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F64ADF" w14:textId="6BFBF6FB" w:rsidR="000E0B74" w:rsidRPr="006D0240" w:rsidRDefault="000E0B74" w:rsidP="008E6292"/>
    <w:p w14:paraId="36A32E1F" w14:textId="77777777" w:rsidR="000E0B74" w:rsidRPr="006D0240" w:rsidRDefault="000E0B74" w:rsidP="001D4EAA">
      <w:pPr>
        <w:pStyle w:val="Crest"/>
        <w:spacing w:after="1320"/>
        <w:jc w:val="left"/>
      </w:pPr>
    </w:p>
    <w:p w14:paraId="2D2D1E53" w14:textId="074B55C9" w:rsidR="000E0B74" w:rsidRPr="00BA3D6E" w:rsidRDefault="00402E6B" w:rsidP="001D4EAA">
      <w:pPr>
        <w:pStyle w:val="Title"/>
        <w:rPr>
          <w:sz w:val="54"/>
          <w:szCs w:val="54"/>
        </w:rPr>
      </w:pPr>
      <w:r>
        <w:rPr>
          <w:sz w:val="54"/>
          <w:szCs w:val="54"/>
        </w:rPr>
        <w:t>Foreign investment reforms</w:t>
      </w:r>
    </w:p>
    <w:p w14:paraId="5B4FB186" w14:textId="667D3D13" w:rsidR="00056880" w:rsidRDefault="00A91674" w:rsidP="001D4EAA">
      <w:pPr>
        <w:pStyle w:val="ReportDate"/>
        <w:rPr>
          <w:rFonts w:ascii="Rockwell" w:hAnsi="Rockwell"/>
          <w:sz w:val="24"/>
        </w:rPr>
      </w:pPr>
      <w:r>
        <w:rPr>
          <w:rStyle w:val="ReportDateChar"/>
        </w:rPr>
        <w:t>June</w:t>
      </w:r>
      <w:r w:rsidR="00DE3212">
        <w:rPr>
          <w:rStyle w:val="ReportDateChar"/>
        </w:rPr>
        <w:t xml:space="preserve"> </w:t>
      </w:r>
      <w:r w:rsidR="00BA3D6E">
        <w:rPr>
          <w:rStyle w:val="ReportDateChar"/>
        </w:rPr>
        <w:t>2020</w:t>
      </w:r>
    </w:p>
    <w:p w14:paraId="1B5A5778" w14:textId="77777777" w:rsidR="002F617F" w:rsidRPr="001D4EAA" w:rsidRDefault="002F617F" w:rsidP="001D4EAA">
      <w:pPr>
        <w:spacing w:after="6000"/>
      </w:pPr>
    </w:p>
    <w:p w14:paraId="73DA5EBF" w14:textId="77777777" w:rsidR="002F617F" w:rsidRDefault="002F617F"/>
    <w:p w14:paraId="764028FA" w14:textId="519C1CA0" w:rsidR="000E0B74" w:rsidRDefault="000E0B74" w:rsidP="000E0B74">
      <w:pPr>
        <w:sectPr w:rsidR="000E0B74" w:rsidSect="00E1136B">
          <w:headerReference w:type="default" r:id="rId13"/>
          <w:footerReference w:type="default" r:id="rId14"/>
          <w:pgSz w:w="11906" w:h="16838"/>
          <w:pgMar w:top="1418" w:right="1418" w:bottom="1418" w:left="1418" w:header="709" w:footer="709" w:gutter="0"/>
          <w:pgNumType w:fmt="lowerRoman" w:start="1"/>
          <w:cols w:space="720"/>
        </w:sectPr>
      </w:pPr>
    </w:p>
    <w:p w14:paraId="1670F5A9" w14:textId="77777777" w:rsidR="000E0B74" w:rsidRDefault="000E0B74" w:rsidP="000E0B74">
      <w:pPr>
        <w:spacing w:before="240"/>
      </w:pPr>
      <w:r w:rsidRPr="00661BF0">
        <w:lastRenderedPageBreak/>
        <w:t xml:space="preserve">© Commonwealth of Australia </w:t>
      </w:r>
      <w:r w:rsidRPr="0061405A">
        <w:t>20</w:t>
      </w:r>
      <w:r w:rsidR="0061405A" w:rsidRPr="0061405A">
        <w:t>20</w:t>
      </w:r>
    </w:p>
    <w:p w14:paraId="068D0B2C" w14:textId="77777777"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5"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6"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6BF241FE" w14:textId="77777777" w:rsidR="000E0B74" w:rsidRDefault="000E0B74" w:rsidP="000E0B74">
      <w:pPr>
        <w:pStyle w:val="ChartGraphic"/>
        <w:jc w:val="left"/>
      </w:pPr>
      <w:r w:rsidRPr="00E56DFB">
        <w:rPr>
          <w:noProof/>
        </w:rPr>
        <w:drawing>
          <wp:inline distT="0" distB="0" distL="0" distR="0" wp14:anchorId="5AD7F9A6" wp14:editId="2A913584">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47DA9127"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8"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26FF63F4" w14:textId="4CF61D23" w:rsidR="000E0B74" w:rsidRPr="002F1BC2" w:rsidRDefault="000E0B74" w:rsidP="000E0B74">
      <w:pPr>
        <w:ind w:left="709"/>
        <w:rPr>
          <w:i/>
        </w:rPr>
      </w:pPr>
      <w:r w:rsidRPr="002F1BC2">
        <w:rPr>
          <w:i/>
        </w:rPr>
        <w:t xml:space="preserve">Treasury material used </w:t>
      </w:r>
      <w:r w:rsidR="00AF5EDD">
        <w:rPr>
          <w:i/>
        </w:rPr>
        <w:t>‘</w:t>
      </w:r>
      <w:r w:rsidRPr="002F1BC2">
        <w:rPr>
          <w:i/>
        </w:rPr>
        <w:t>as supplied</w:t>
      </w:r>
      <w:r w:rsidR="00AF5EDD">
        <w:rPr>
          <w:i/>
        </w:rPr>
        <w:t>’</w:t>
      </w:r>
      <w:r>
        <w:rPr>
          <w:i/>
        </w:rPr>
        <w:t>.</w:t>
      </w:r>
    </w:p>
    <w:p w14:paraId="2EAA58DD"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581FEC3A" w14:textId="77777777" w:rsidR="000E0B74" w:rsidRPr="00A13A11" w:rsidRDefault="000E0B74" w:rsidP="000E0B74">
      <w:pPr>
        <w:ind w:firstLine="720"/>
      </w:pPr>
      <w:r w:rsidRPr="002F1BC2">
        <w:rPr>
          <w:i/>
        </w:rPr>
        <w:t xml:space="preserve">Source: The </w:t>
      </w:r>
      <w:r w:rsidRPr="002F1BC2">
        <w:rPr>
          <w:i/>
          <w:iCs/>
        </w:rPr>
        <w:t>Australian Government the Treasury</w:t>
      </w:r>
      <w:r>
        <w:t>.</w:t>
      </w:r>
    </w:p>
    <w:p w14:paraId="5BB65405" w14:textId="77777777" w:rsidR="000E0B74" w:rsidRPr="006627B4" w:rsidRDefault="000E0B74" w:rsidP="000E0B74">
      <w:pPr>
        <w:spacing w:before="240"/>
      </w:pPr>
      <w:r w:rsidRPr="00CC63CC">
        <w:rPr>
          <w:b/>
        </w:rPr>
        <w:t>Derivative</w:t>
      </w:r>
      <w:r w:rsidRPr="006627B4">
        <w:t xml:space="preserve"> </w:t>
      </w:r>
      <w:r w:rsidRPr="00CC63CC">
        <w:rPr>
          <w:b/>
        </w:rPr>
        <w:t>material</w:t>
      </w:r>
    </w:p>
    <w:p w14:paraId="7CC233AE"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4145A1AE" w14:textId="77777777" w:rsidR="000E0B74" w:rsidRPr="006627B4" w:rsidRDefault="000E0B74" w:rsidP="000E0B74">
      <w:pPr>
        <w:ind w:firstLine="720"/>
      </w:pPr>
      <w:r w:rsidRPr="002F1BC2">
        <w:rPr>
          <w:i/>
        </w:rPr>
        <w:t>Based on The Australian Government the Treasury data</w:t>
      </w:r>
      <w:r>
        <w:t>.</w:t>
      </w:r>
    </w:p>
    <w:p w14:paraId="275879A3" w14:textId="77777777" w:rsidR="000E0B74" w:rsidRPr="006627B4" w:rsidRDefault="000E0B74" w:rsidP="000E0B74">
      <w:pPr>
        <w:spacing w:before="240"/>
        <w:rPr>
          <w:b/>
        </w:rPr>
      </w:pPr>
      <w:r w:rsidRPr="006627B4">
        <w:rPr>
          <w:b/>
        </w:rPr>
        <w:t>Use of the Coat of Arms</w:t>
      </w:r>
    </w:p>
    <w:p w14:paraId="083F2B80" w14:textId="0041DAA8"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19" w:history="1">
        <w:r w:rsidR="0061405A">
          <w:rPr>
            <w:rStyle w:val="Hyperlink"/>
          </w:rPr>
          <w:t>http://www.pmc.gov.au/government/commonwealth</w:t>
        </w:r>
        <w:r w:rsidR="00AF5EDD">
          <w:rPr>
            <w:rStyle w:val="Hyperlink"/>
          </w:rPr>
          <w:noBreakHyphen/>
        </w:r>
        <w:r w:rsidR="0061405A">
          <w:rPr>
            <w:rStyle w:val="Hyperlink"/>
          </w:rPr>
          <w:t>coat</w:t>
        </w:r>
        <w:r w:rsidR="00AF5EDD">
          <w:rPr>
            <w:rStyle w:val="Hyperlink"/>
          </w:rPr>
          <w:noBreakHyphen/>
        </w:r>
        <w:r w:rsidR="0061405A">
          <w:rPr>
            <w:rStyle w:val="Hyperlink"/>
          </w:rPr>
          <w:t>arms</w:t>
        </w:r>
      </w:hyperlink>
      <w:r w:rsidRPr="004A7BC2">
        <w:t>).</w:t>
      </w:r>
    </w:p>
    <w:p w14:paraId="7A747356" w14:textId="77777777" w:rsidR="000E0B74" w:rsidRPr="006627B4" w:rsidRDefault="000E0B74" w:rsidP="000E0B74">
      <w:pPr>
        <w:spacing w:before="240"/>
        <w:rPr>
          <w:b/>
        </w:rPr>
      </w:pPr>
      <w:r>
        <w:rPr>
          <w:b/>
        </w:rPr>
        <w:t>Other u</w:t>
      </w:r>
      <w:r w:rsidRPr="006627B4">
        <w:rPr>
          <w:b/>
        </w:rPr>
        <w:t>ses</w:t>
      </w:r>
    </w:p>
    <w:p w14:paraId="6079A007" w14:textId="77777777" w:rsidR="000E0B74" w:rsidRPr="006627B4" w:rsidRDefault="000E0B74" w:rsidP="000E0B74">
      <w:r>
        <w:t>E</w:t>
      </w:r>
      <w:r w:rsidRPr="006627B4">
        <w:t>nquiries regarding this licence and any other use of this document are welcome at:</w:t>
      </w:r>
    </w:p>
    <w:p w14:paraId="34FD1B10" w14:textId="77777777" w:rsidR="000E0B74" w:rsidRPr="002F1BC2" w:rsidRDefault="000E0B74" w:rsidP="000E0B74">
      <w:pPr>
        <w:ind w:left="720"/>
        <w:rPr>
          <w:rStyle w:val="Hyperlink"/>
        </w:rPr>
      </w:pPr>
      <w:r w:rsidRPr="006627B4">
        <w:t>Manager</w:t>
      </w:r>
      <w:r w:rsidR="009A668A">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20" w:history="1">
        <w:r w:rsidRPr="00B31CFB">
          <w:rPr>
            <w:rStyle w:val="Hyperlink"/>
          </w:rPr>
          <w:t>medialiaison@treasury.gov.au</w:t>
        </w:r>
      </w:hyperlink>
    </w:p>
    <w:p w14:paraId="6D040B94" w14:textId="77777777" w:rsidR="000E0B74" w:rsidRDefault="000E0B74" w:rsidP="000E0B74">
      <w:pPr>
        <w:pStyle w:val="SingleParagraph"/>
        <w:sectPr w:rsidR="000E0B74" w:rsidSect="00475B7B">
          <w:headerReference w:type="even" r:id="rId21"/>
          <w:headerReference w:type="default" r:id="rId22"/>
          <w:footerReference w:type="even" r:id="rId23"/>
          <w:pgSz w:w="11906" w:h="16838" w:code="9"/>
          <w:pgMar w:top="1418" w:right="1418" w:bottom="1418" w:left="1418" w:header="709" w:footer="709" w:gutter="0"/>
          <w:pgNumType w:fmt="lowerRoman"/>
          <w:cols w:space="708"/>
          <w:titlePg/>
          <w:docGrid w:linePitch="360"/>
        </w:sectPr>
      </w:pPr>
    </w:p>
    <w:p w14:paraId="4F3D13A4" w14:textId="77777777" w:rsidR="000E0B74" w:rsidRPr="00354FBB" w:rsidRDefault="000E0B74" w:rsidP="00316EBD">
      <w:pPr>
        <w:pStyle w:val="Heading1"/>
        <w:spacing w:before="0"/>
      </w:pPr>
      <w:bookmarkStart w:id="0" w:name="_Toc33450074"/>
      <w:bookmarkStart w:id="1" w:name="_Toc33540582"/>
      <w:bookmarkStart w:id="2" w:name="_Toc33625459"/>
      <w:bookmarkStart w:id="3" w:name="_Toc34142413"/>
      <w:bookmarkStart w:id="4" w:name="_Toc34147737"/>
      <w:bookmarkStart w:id="5" w:name="_Toc34148740"/>
      <w:bookmarkStart w:id="6" w:name="_Toc34376158"/>
      <w:bookmarkStart w:id="7" w:name="_Toc34384767"/>
      <w:bookmarkStart w:id="8" w:name="_Toc34385198"/>
      <w:bookmarkStart w:id="9" w:name="_Toc34823593"/>
      <w:bookmarkStart w:id="10" w:name="_Toc34840540"/>
      <w:bookmarkStart w:id="11" w:name="_Toc35254818"/>
      <w:bookmarkStart w:id="12" w:name="_Toc35257714"/>
      <w:bookmarkStart w:id="13" w:name="_Toc41999432"/>
      <w:bookmarkStart w:id="14" w:name="_Toc42154148"/>
      <w:r w:rsidRPr="00354FBB">
        <w:lastRenderedPageBreak/>
        <w:t>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103FA72A" w14:textId="039D6B21" w:rsidR="00953210" w:rsidRDefault="00953210">
      <w:pPr>
        <w:pStyle w:val="TOC1"/>
        <w:rPr>
          <w:rFonts w:asciiTheme="minorHAnsi" w:eastAsiaTheme="minorEastAsia" w:hAnsiTheme="minorHAnsi" w:cstheme="minorBidi"/>
          <w:b w:val="0"/>
          <w:color w:val="auto"/>
        </w:rPr>
      </w:pPr>
      <w:r>
        <w:rPr>
          <w:b w:val="0"/>
        </w:rPr>
        <w:fldChar w:fldCharType="begin"/>
      </w:r>
      <w:r>
        <w:rPr>
          <w:b w:val="0"/>
        </w:rPr>
        <w:instrText xml:space="preserve"> TOC \o "1-2" \h \z \u </w:instrText>
      </w:r>
      <w:r>
        <w:rPr>
          <w:b w:val="0"/>
        </w:rPr>
        <w:fldChar w:fldCharType="separate"/>
      </w:r>
      <w:hyperlink w:anchor="_Toc42154148" w:history="1">
        <w:r w:rsidRPr="003968DB">
          <w:rPr>
            <w:rStyle w:val="Hyperlink"/>
          </w:rPr>
          <w:t>Contents</w:t>
        </w:r>
        <w:r>
          <w:rPr>
            <w:webHidden/>
          </w:rPr>
          <w:tab/>
        </w:r>
        <w:r>
          <w:rPr>
            <w:webHidden/>
          </w:rPr>
          <w:fldChar w:fldCharType="begin"/>
        </w:r>
        <w:r>
          <w:rPr>
            <w:webHidden/>
          </w:rPr>
          <w:instrText xml:space="preserve"> PAGEREF _Toc42154148 \h </w:instrText>
        </w:r>
        <w:r>
          <w:rPr>
            <w:webHidden/>
          </w:rPr>
        </w:r>
        <w:r>
          <w:rPr>
            <w:webHidden/>
          </w:rPr>
          <w:fldChar w:fldCharType="separate"/>
        </w:r>
        <w:r w:rsidR="005006B8">
          <w:rPr>
            <w:webHidden/>
          </w:rPr>
          <w:t>iii</w:t>
        </w:r>
        <w:r>
          <w:rPr>
            <w:webHidden/>
          </w:rPr>
          <w:fldChar w:fldCharType="end"/>
        </w:r>
      </w:hyperlink>
    </w:p>
    <w:p w14:paraId="74FCAA54" w14:textId="719F4FA2" w:rsidR="00953210" w:rsidRDefault="001B08D8">
      <w:pPr>
        <w:pStyle w:val="TOC1"/>
        <w:rPr>
          <w:rFonts w:asciiTheme="minorHAnsi" w:eastAsiaTheme="minorEastAsia" w:hAnsiTheme="minorHAnsi" w:cstheme="minorBidi"/>
          <w:b w:val="0"/>
          <w:color w:val="auto"/>
        </w:rPr>
      </w:pPr>
      <w:hyperlink w:anchor="_Toc42154149" w:history="1">
        <w:r w:rsidR="00953210" w:rsidRPr="003968DB">
          <w:rPr>
            <w:rStyle w:val="Hyperlink"/>
            <w:rFonts w:cstheme="minorHAnsi"/>
          </w:rPr>
          <w:t>Introduction</w:t>
        </w:r>
        <w:r w:rsidR="00953210">
          <w:rPr>
            <w:webHidden/>
          </w:rPr>
          <w:tab/>
        </w:r>
        <w:r w:rsidR="00953210">
          <w:rPr>
            <w:webHidden/>
          </w:rPr>
          <w:fldChar w:fldCharType="begin"/>
        </w:r>
        <w:r w:rsidR="00953210">
          <w:rPr>
            <w:webHidden/>
          </w:rPr>
          <w:instrText xml:space="preserve"> PAGEREF _Toc42154149 \h </w:instrText>
        </w:r>
        <w:r w:rsidR="00953210">
          <w:rPr>
            <w:webHidden/>
          </w:rPr>
        </w:r>
        <w:r w:rsidR="00953210">
          <w:rPr>
            <w:webHidden/>
          </w:rPr>
          <w:fldChar w:fldCharType="separate"/>
        </w:r>
        <w:r w:rsidR="005006B8">
          <w:rPr>
            <w:webHidden/>
          </w:rPr>
          <w:t>1</w:t>
        </w:r>
        <w:r w:rsidR="00953210">
          <w:rPr>
            <w:webHidden/>
          </w:rPr>
          <w:fldChar w:fldCharType="end"/>
        </w:r>
      </w:hyperlink>
    </w:p>
    <w:p w14:paraId="1C1F61F0" w14:textId="40F6C603" w:rsidR="00953210" w:rsidRDefault="001B08D8">
      <w:pPr>
        <w:pStyle w:val="TOC2"/>
        <w:rPr>
          <w:rFonts w:asciiTheme="minorHAnsi" w:eastAsiaTheme="minorEastAsia" w:hAnsiTheme="minorHAnsi" w:cstheme="minorBidi"/>
          <w:color w:val="auto"/>
          <w:szCs w:val="22"/>
        </w:rPr>
      </w:pPr>
      <w:hyperlink w:anchor="_Toc42154150" w:history="1">
        <w:r w:rsidR="00953210" w:rsidRPr="003968DB">
          <w:rPr>
            <w:rStyle w:val="Hyperlink"/>
          </w:rPr>
          <w:t>Background</w:t>
        </w:r>
        <w:r w:rsidR="00953210">
          <w:rPr>
            <w:webHidden/>
          </w:rPr>
          <w:tab/>
        </w:r>
        <w:r w:rsidR="00953210">
          <w:rPr>
            <w:webHidden/>
          </w:rPr>
          <w:fldChar w:fldCharType="begin"/>
        </w:r>
        <w:r w:rsidR="00953210">
          <w:rPr>
            <w:webHidden/>
          </w:rPr>
          <w:instrText xml:space="preserve"> PAGEREF _Toc42154150 \h </w:instrText>
        </w:r>
        <w:r w:rsidR="00953210">
          <w:rPr>
            <w:webHidden/>
          </w:rPr>
        </w:r>
        <w:r w:rsidR="00953210">
          <w:rPr>
            <w:webHidden/>
          </w:rPr>
          <w:fldChar w:fldCharType="separate"/>
        </w:r>
        <w:r w:rsidR="005006B8">
          <w:rPr>
            <w:webHidden/>
          </w:rPr>
          <w:t>2</w:t>
        </w:r>
        <w:r w:rsidR="00953210">
          <w:rPr>
            <w:webHidden/>
          </w:rPr>
          <w:fldChar w:fldCharType="end"/>
        </w:r>
      </w:hyperlink>
    </w:p>
    <w:p w14:paraId="7AFCECC1" w14:textId="55B51D31" w:rsidR="00953210" w:rsidRDefault="001B08D8">
      <w:pPr>
        <w:pStyle w:val="TOC2"/>
        <w:rPr>
          <w:rFonts w:asciiTheme="minorHAnsi" w:eastAsiaTheme="minorEastAsia" w:hAnsiTheme="minorHAnsi" w:cstheme="minorBidi"/>
          <w:color w:val="auto"/>
          <w:szCs w:val="22"/>
        </w:rPr>
      </w:pPr>
      <w:hyperlink w:anchor="_Toc42154151" w:history="1">
        <w:r w:rsidR="00953210" w:rsidRPr="003968DB">
          <w:rPr>
            <w:rStyle w:val="Hyperlink"/>
          </w:rPr>
          <w:t>Summary of Reforms</w:t>
        </w:r>
        <w:r w:rsidR="00953210">
          <w:rPr>
            <w:webHidden/>
          </w:rPr>
          <w:tab/>
        </w:r>
        <w:r w:rsidR="00953210">
          <w:rPr>
            <w:webHidden/>
          </w:rPr>
          <w:fldChar w:fldCharType="begin"/>
        </w:r>
        <w:r w:rsidR="00953210">
          <w:rPr>
            <w:webHidden/>
          </w:rPr>
          <w:instrText xml:space="preserve"> PAGEREF _Toc42154151 \h </w:instrText>
        </w:r>
        <w:r w:rsidR="00953210">
          <w:rPr>
            <w:webHidden/>
          </w:rPr>
        </w:r>
        <w:r w:rsidR="00953210">
          <w:rPr>
            <w:webHidden/>
          </w:rPr>
          <w:fldChar w:fldCharType="separate"/>
        </w:r>
        <w:r w:rsidR="005006B8">
          <w:rPr>
            <w:webHidden/>
          </w:rPr>
          <w:t>4</w:t>
        </w:r>
        <w:r w:rsidR="00953210">
          <w:rPr>
            <w:webHidden/>
          </w:rPr>
          <w:fldChar w:fldCharType="end"/>
        </w:r>
      </w:hyperlink>
    </w:p>
    <w:p w14:paraId="5413ADA2" w14:textId="14E25CD0" w:rsidR="00953210" w:rsidRDefault="001B08D8">
      <w:pPr>
        <w:pStyle w:val="TOC1"/>
        <w:rPr>
          <w:rFonts w:asciiTheme="minorHAnsi" w:eastAsiaTheme="minorEastAsia" w:hAnsiTheme="minorHAnsi" w:cstheme="minorBidi"/>
          <w:b w:val="0"/>
          <w:color w:val="auto"/>
        </w:rPr>
      </w:pPr>
      <w:hyperlink w:anchor="_Toc42154152" w:history="1">
        <w:r w:rsidR="00953210" w:rsidRPr="003968DB">
          <w:rPr>
            <w:rStyle w:val="Hyperlink"/>
          </w:rPr>
          <w:t>Protecting Australia</w:t>
        </w:r>
        <w:r w:rsidR="00AF5EDD">
          <w:rPr>
            <w:rStyle w:val="Hyperlink"/>
          </w:rPr>
          <w:t>’</w:t>
        </w:r>
        <w:r w:rsidR="00953210" w:rsidRPr="003968DB">
          <w:rPr>
            <w:rStyle w:val="Hyperlink"/>
          </w:rPr>
          <w:t>s national security</w:t>
        </w:r>
        <w:r w:rsidR="00953210">
          <w:rPr>
            <w:webHidden/>
          </w:rPr>
          <w:tab/>
        </w:r>
        <w:r w:rsidR="00953210">
          <w:rPr>
            <w:webHidden/>
          </w:rPr>
          <w:fldChar w:fldCharType="begin"/>
        </w:r>
        <w:r w:rsidR="00953210">
          <w:rPr>
            <w:webHidden/>
          </w:rPr>
          <w:instrText xml:space="preserve"> PAGEREF _Toc42154152 \h </w:instrText>
        </w:r>
        <w:r w:rsidR="00953210">
          <w:rPr>
            <w:webHidden/>
          </w:rPr>
        </w:r>
        <w:r w:rsidR="00953210">
          <w:rPr>
            <w:webHidden/>
          </w:rPr>
          <w:fldChar w:fldCharType="separate"/>
        </w:r>
        <w:r w:rsidR="005006B8">
          <w:rPr>
            <w:webHidden/>
          </w:rPr>
          <w:t>7</w:t>
        </w:r>
        <w:r w:rsidR="00953210">
          <w:rPr>
            <w:webHidden/>
          </w:rPr>
          <w:fldChar w:fldCharType="end"/>
        </w:r>
      </w:hyperlink>
    </w:p>
    <w:p w14:paraId="11F91412" w14:textId="283C8816" w:rsidR="00953210" w:rsidRDefault="001B08D8">
      <w:pPr>
        <w:pStyle w:val="TOC2"/>
        <w:rPr>
          <w:rFonts w:asciiTheme="minorHAnsi" w:eastAsiaTheme="minorEastAsia" w:hAnsiTheme="minorHAnsi" w:cstheme="minorBidi"/>
          <w:color w:val="auto"/>
          <w:szCs w:val="22"/>
        </w:rPr>
      </w:pPr>
      <w:hyperlink w:anchor="_Toc42154153" w:history="1">
        <w:r w:rsidR="00953210" w:rsidRPr="003968DB">
          <w:rPr>
            <w:rStyle w:val="Hyperlink"/>
            <w:rFonts w:eastAsia="Arial"/>
          </w:rPr>
          <w:t>National security test for sensitive foreign investment</w:t>
        </w:r>
        <w:r w:rsidR="00953210">
          <w:rPr>
            <w:webHidden/>
          </w:rPr>
          <w:tab/>
        </w:r>
        <w:r w:rsidR="00953210">
          <w:rPr>
            <w:webHidden/>
          </w:rPr>
          <w:fldChar w:fldCharType="begin"/>
        </w:r>
        <w:r w:rsidR="00953210">
          <w:rPr>
            <w:webHidden/>
          </w:rPr>
          <w:instrText xml:space="preserve"> PAGEREF _Toc42154153 \h </w:instrText>
        </w:r>
        <w:r w:rsidR="00953210">
          <w:rPr>
            <w:webHidden/>
          </w:rPr>
        </w:r>
        <w:r w:rsidR="00953210">
          <w:rPr>
            <w:webHidden/>
          </w:rPr>
          <w:fldChar w:fldCharType="separate"/>
        </w:r>
        <w:r w:rsidR="005006B8">
          <w:rPr>
            <w:webHidden/>
          </w:rPr>
          <w:t>8</w:t>
        </w:r>
        <w:r w:rsidR="00953210">
          <w:rPr>
            <w:webHidden/>
          </w:rPr>
          <w:fldChar w:fldCharType="end"/>
        </w:r>
      </w:hyperlink>
    </w:p>
    <w:p w14:paraId="1B839F74" w14:textId="130CF1DC" w:rsidR="00953210" w:rsidRDefault="001B08D8">
      <w:pPr>
        <w:pStyle w:val="TOC1"/>
        <w:rPr>
          <w:rFonts w:asciiTheme="minorHAnsi" w:eastAsiaTheme="minorEastAsia" w:hAnsiTheme="minorHAnsi" w:cstheme="minorBidi"/>
          <w:b w:val="0"/>
          <w:color w:val="auto"/>
        </w:rPr>
      </w:pPr>
      <w:hyperlink w:anchor="_Toc42154154" w:history="1">
        <w:r w:rsidR="00953210" w:rsidRPr="003968DB">
          <w:rPr>
            <w:rStyle w:val="Hyperlink"/>
            <w:rFonts w:eastAsia="Arial"/>
          </w:rPr>
          <w:t>Streamline less sensitive investments</w:t>
        </w:r>
        <w:r w:rsidR="00953210">
          <w:rPr>
            <w:webHidden/>
          </w:rPr>
          <w:tab/>
        </w:r>
        <w:r w:rsidR="00953210">
          <w:rPr>
            <w:webHidden/>
          </w:rPr>
          <w:fldChar w:fldCharType="begin"/>
        </w:r>
        <w:r w:rsidR="00953210">
          <w:rPr>
            <w:webHidden/>
          </w:rPr>
          <w:instrText xml:space="preserve"> PAGEREF _Toc42154154 \h </w:instrText>
        </w:r>
        <w:r w:rsidR="00953210">
          <w:rPr>
            <w:webHidden/>
          </w:rPr>
        </w:r>
        <w:r w:rsidR="00953210">
          <w:rPr>
            <w:webHidden/>
          </w:rPr>
          <w:fldChar w:fldCharType="separate"/>
        </w:r>
        <w:r w:rsidR="005006B8">
          <w:rPr>
            <w:webHidden/>
          </w:rPr>
          <w:t>12</w:t>
        </w:r>
        <w:r w:rsidR="00953210">
          <w:rPr>
            <w:webHidden/>
          </w:rPr>
          <w:fldChar w:fldCharType="end"/>
        </w:r>
      </w:hyperlink>
    </w:p>
    <w:p w14:paraId="2388DF5D" w14:textId="14A70D2B" w:rsidR="00953210" w:rsidRDefault="001B08D8">
      <w:pPr>
        <w:pStyle w:val="TOC2"/>
        <w:rPr>
          <w:rFonts w:asciiTheme="minorHAnsi" w:eastAsiaTheme="minorEastAsia" w:hAnsiTheme="minorHAnsi" w:cstheme="minorBidi"/>
          <w:color w:val="auto"/>
          <w:szCs w:val="22"/>
        </w:rPr>
      </w:pPr>
      <w:hyperlink w:anchor="_Toc42154155" w:history="1">
        <w:r w:rsidR="00953210" w:rsidRPr="003968DB">
          <w:rPr>
            <w:rStyle w:val="Hyperlink"/>
          </w:rPr>
          <w:t>Current</w:t>
        </w:r>
        <w:r w:rsidR="00953210">
          <w:rPr>
            <w:webHidden/>
          </w:rPr>
          <w:tab/>
        </w:r>
        <w:r w:rsidR="00953210">
          <w:rPr>
            <w:webHidden/>
          </w:rPr>
          <w:fldChar w:fldCharType="begin"/>
        </w:r>
        <w:r w:rsidR="00953210">
          <w:rPr>
            <w:webHidden/>
          </w:rPr>
          <w:instrText xml:space="preserve"> PAGEREF _Toc42154155 \h </w:instrText>
        </w:r>
        <w:r w:rsidR="00953210">
          <w:rPr>
            <w:webHidden/>
          </w:rPr>
        </w:r>
        <w:r w:rsidR="00953210">
          <w:rPr>
            <w:webHidden/>
          </w:rPr>
          <w:fldChar w:fldCharType="separate"/>
        </w:r>
        <w:r w:rsidR="005006B8">
          <w:rPr>
            <w:webHidden/>
          </w:rPr>
          <w:t>12</w:t>
        </w:r>
        <w:r w:rsidR="00953210">
          <w:rPr>
            <w:webHidden/>
          </w:rPr>
          <w:fldChar w:fldCharType="end"/>
        </w:r>
      </w:hyperlink>
    </w:p>
    <w:p w14:paraId="54EDAB6E" w14:textId="09675E30" w:rsidR="00953210" w:rsidRDefault="001B08D8">
      <w:pPr>
        <w:pStyle w:val="TOC2"/>
        <w:rPr>
          <w:rFonts w:asciiTheme="minorHAnsi" w:eastAsiaTheme="minorEastAsia" w:hAnsiTheme="minorHAnsi" w:cstheme="minorBidi"/>
          <w:color w:val="auto"/>
          <w:szCs w:val="22"/>
        </w:rPr>
      </w:pPr>
      <w:hyperlink w:anchor="_Toc42154156" w:history="1">
        <w:r w:rsidR="00953210" w:rsidRPr="003968DB">
          <w:rPr>
            <w:rStyle w:val="Hyperlink"/>
          </w:rPr>
          <w:t>Reform</w:t>
        </w:r>
        <w:r w:rsidR="00953210">
          <w:rPr>
            <w:webHidden/>
          </w:rPr>
          <w:tab/>
        </w:r>
        <w:r w:rsidR="00953210">
          <w:rPr>
            <w:webHidden/>
          </w:rPr>
          <w:fldChar w:fldCharType="begin"/>
        </w:r>
        <w:r w:rsidR="00953210">
          <w:rPr>
            <w:webHidden/>
          </w:rPr>
          <w:instrText xml:space="preserve"> PAGEREF _Toc42154156 \h </w:instrText>
        </w:r>
        <w:r w:rsidR="00953210">
          <w:rPr>
            <w:webHidden/>
          </w:rPr>
        </w:r>
        <w:r w:rsidR="00953210">
          <w:rPr>
            <w:webHidden/>
          </w:rPr>
          <w:fldChar w:fldCharType="separate"/>
        </w:r>
        <w:r w:rsidR="005006B8">
          <w:rPr>
            <w:webHidden/>
          </w:rPr>
          <w:t>13</w:t>
        </w:r>
        <w:r w:rsidR="00953210">
          <w:rPr>
            <w:webHidden/>
          </w:rPr>
          <w:fldChar w:fldCharType="end"/>
        </w:r>
      </w:hyperlink>
    </w:p>
    <w:p w14:paraId="3CD68117" w14:textId="3763A09D" w:rsidR="00953210" w:rsidRDefault="001B08D8">
      <w:pPr>
        <w:pStyle w:val="TOC1"/>
        <w:rPr>
          <w:rFonts w:asciiTheme="minorHAnsi" w:eastAsiaTheme="minorEastAsia" w:hAnsiTheme="minorHAnsi" w:cstheme="minorBidi"/>
          <w:b w:val="0"/>
          <w:color w:val="auto"/>
        </w:rPr>
      </w:pPr>
      <w:hyperlink w:anchor="_Toc42154157" w:history="1">
        <w:r w:rsidR="00953210" w:rsidRPr="003968DB">
          <w:rPr>
            <w:rStyle w:val="Hyperlink"/>
          </w:rPr>
          <w:t>Stronger penalties, compliance and enforcement powers</w:t>
        </w:r>
        <w:r w:rsidR="00953210">
          <w:rPr>
            <w:webHidden/>
          </w:rPr>
          <w:tab/>
        </w:r>
        <w:r w:rsidR="00953210">
          <w:rPr>
            <w:webHidden/>
          </w:rPr>
          <w:fldChar w:fldCharType="begin"/>
        </w:r>
        <w:r w:rsidR="00953210">
          <w:rPr>
            <w:webHidden/>
          </w:rPr>
          <w:instrText xml:space="preserve"> PAGEREF _Toc42154157 \h </w:instrText>
        </w:r>
        <w:r w:rsidR="00953210">
          <w:rPr>
            <w:webHidden/>
          </w:rPr>
        </w:r>
        <w:r w:rsidR="00953210">
          <w:rPr>
            <w:webHidden/>
          </w:rPr>
          <w:fldChar w:fldCharType="separate"/>
        </w:r>
        <w:r w:rsidR="005006B8">
          <w:rPr>
            <w:webHidden/>
          </w:rPr>
          <w:t>15</w:t>
        </w:r>
        <w:r w:rsidR="00953210">
          <w:rPr>
            <w:webHidden/>
          </w:rPr>
          <w:fldChar w:fldCharType="end"/>
        </w:r>
      </w:hyperlink>
    </w:p>
    <w:p w14:paraId="0C2318F0" w14:textId="4917965F" w:rsidR="00953210" w:rsidRDefault="001B08D8">
      <w:pPr>
        <w:pStyle w:val="TOC2"/>
        <w:rPr>
          <w:rFonts w:asciiTheme="minorHAnsi" w:eastAsiaTheme="minorEastAsia" w:hAnsiTheme="minorHAnsi" w:cstheme="minorBidi"/>
          <w:color w:val="auto"/>
          <w:szCs w:val="22"/>
        </w:rPr>
      </w:pPr>
      <w:hyperlink w:anchor="_Toc42154158" w:history="1">
        <w:r w:rsidR="00953210" w:rsidRPr="003968DB">
          <w:rPr>
            <w:rStyle w:val="Hyperlink"/>
            <w:rFonts w:eastAsia="Arial"/>
          </w:rPr>
          <w:t>Obtain standard monitoring and investigative powers</w:t>
        </w:r>
        <w:r w:rsidR="00953210">
          <w:rPr>
            <w:webHidden/>
          </w:rPr>
          <w:tab/>
        </w:r>
        <w:r w:rsidR="00953210">
          <w:rPr>
            <w:webHidden/>
          </w:rPr>
          <w:fldChar w:fldCharType="begin"/>
        </w:r>
        <w:r w:rsidR="00953210">
          <w:rPr>
            <w:webHidden/>
          </w:rPr>
          <w:instrText xml:space="preserve"> PAGEREF _Toc42154158 \h </w:instrText>
        </w:r>
        <w:r w:rsidR="00953210">
          <w:rPr>
            <w:webHidden/>
          </w:rPr>
        </w:r>
        <w:r w:rsidR="00953210">
          <w:rPr>
            <w:webHidden/>
          </w:rPr>
          <w:fldChar w:fldCharType="separate"/>
        </w:r>
        <w:r w:rsidR="005006B8">
          <w:rPr>
            <w:webHidden/>
          </w:rPr>
          <w:t>16</w:t>
        </w:r>
        <w:r w:rsidR="00953210">
          <w:rPr>
            <w:webHidden/>
          </w:rPr>
          <w:fldChar w:fldCharType="end"/>
        </w:r>
      </w:hyperlink>
    </w:p>
    <w:p w14:paraId="398070E6" w14:textId="331E73D9" w:rsidR="00953210" w:rsidRDefault="001B08D8">
      <w:pPr>
        <w:pStyle w:val="TOC2"/>
        <w:rPr>
          <w:rFonts w:asciiTheme="minorHAnsi" w:eastAsiaTheme="minorEastAsia" w:hAnsiTheme="minorHAnsi" w:cstheme="minorBidi"/>
          <w:color w:val="auto"/>
          <w:szCs w:val="22"/>
        </w:rPr>
      </w:pPr>
      <w:hyperlink w:anchor="_Toc42154159" w:history="1">
        <w:r w:rsidR="00953210" w:rsidRPr="003968DB">
          <w:rPr>
            <w:rStyle w:val="Hyperlink"/>
            <w:rFonts w:eastAsia="Arial"/>
          </w:rPr>
          <w:t>Obtain directions power</w:t>
        </w:r>
        <w:r w:rsidR="00953210">
          <w:rPr>
            <w:webHidden/>
          </w:rPr>
          <w:tab/>
        </w:r>
        <w:r w:rsidR="00953210">
          <w:rPr>
            <w:webHidden/>
          </w:rPr>
          <w:fldChar w:fldCharType="begin"/>
        </w:r>
        <w:r w:rsidR="00953210">
          <w:rPr>
            <w:webHidden/>
          </w:rPr>
          <w:instrText xml:space="preserve"> PAGEREF _Toc42154159 \h </w:instrText>
        </w:r>
        <w:r w:rsidR="00953210">
          <w:rPr>
            <w:webHidden/>
          </w:rPr>
        </w:r>
        <w:r w:rsidR="00953210">
          <w:rPr>
            <w:webHidden/>
          </w:rPr>
          <w:fldChar w:fldCharType="separate"/>
        </w:r>
        <w:r w:rsidR="005006B8">
          <w:rPr>
            <w:webHidden/>
          </w:rPr>
          <w:t>16</w:t>
        </w:r>
        <w:r w:rsidR="00953210">
          <w:rPr>
            <w:webHidden/>
          </w:rPr>
          <w:fldChar w:fldCharType="end"/>
        </w:r>
      </w:hyperlink>
    </w:p>
    <w:p w14:paraId="0F780CDC" w14:textId="1F4E6137" w:rsidR="00953210" w:rsidRDefault="001B08D8">
      <w:pPr>
        <w:pStyle w:val="TOC2"/>
        <w:rPr>
          <w:rFonts w:asciiTheme="minorHAnsi" w:eastAsiaTheme="minorEastAsia" w:hAnsiTheme="minorHAnsi" w:cstheme="minorBidi"/>
          <w:color w:val="auto"/>
          <w:szCs w:val="22"/>
        </w:rPr>
      </w:pPr>
      <w:hyperlink w:anchor="_Toc42154160" w:history="1">
        <w:r w:rsidR="00953210" w:rsidRPr="003968DB">
          <w:rPr>
            <w:rStyle w:val="Hyperlink"/>
            <w:rFonts w:eastAsia="Arial"/>
          </w:rPr>
          <w:t>Increase civil and criminal penalties</w:t>
        </w:r>
        <w:r w:rsidR="00953210">
          <w:rPr>
            <w:webHidden/>
          </w:rPr>
          <w:tab/>
        </w:r>
        <w:r w:rsidR="00953210">
          <w:rPr>
            <w:webHidden/>
          </w:rPr>
          <w:fldChar w:fldCharType="begin"/>
        </w:r>
        <w:r w:rsidR="00953210">
          <w:rPr>
            <w:webHidden/>
          </w:rPr>
          <w:instrText xml:space="preserve"> PAGEREF _Toc42154160 \h </w:instrText>
        </w:r>
        <w:r w:rsidR="00953210">
          <w:rPr>
            <w:webHidden/>
          </w:rPr>
        </w:r>
        <w:r w:rsidR="00953210">
          <w:rPr>
            <w:webHidden/>
          </w:rPr>
          <w:fldChar w:fldCharType="separate"/>
        </w:r>
        <w:r w:rsidR="005006B8">
          <w:rPr>
            <w:webHidden/>
          </w:rPr>
          <w:t>17</w:t>
        </w:r>
        <w:r w:rsidR="00953210">
          <w:rPr>
            <w:webHidden/>
          </w:rPr>
          <w:fldChar w:fldCharType="end"/>
        </w:r>
      </w:hyperlink>
    </w:p>
    <w:p w14:paraId="0B921D94" w14:textId="5E79123E" w:rsidR="00953210" w:rsidRDefault="001B08D8">
      <w:pPr>
        <w:pStyle w:val="TOC2"/>
        <w:rPr>
          <w:rFonts w:asciiTheme="minorHAnsi" w:eastAsiaTheme="minorEastAsia" w:hAnsiTheme="minorHAnsi" w:cstheme="minorBidi"/>
          <w:color w:val="auto"/>
          <w:szCs w:val="22"/>
        </w:rPr>
      </w:pPr>
      <w:hyperlink w:anchor="_Toc42154161" w:history="1">
        <w:r w:rsidR="00953210" w:rsidRPr="003968DB">
          <w:rPr>
            <w:rStyle w:val="Hyperlink"/>
            <w:rFonts w:eastAsia="Arial"/>
          </w:rPr>
          <w:t>Expand the infringement notices regime</w:t>
        </w:r>
        <w:r w:rsidR="00953210">
          <w:rPr>
            <w:webHidden/>
          </w:rPr>
          <w:tab/>
        </w:r>
        <w:r w:rsidR="00953210">
          <w:rPr>
            <w:webHidden/>
          </w:rPr>
          <w:fldChar w:fldCharType="begin"/>
        </w:r>
        <w:r w:rsidR="00953210">
          <w:rPr>
            <w:webHidden/>
          </w:rPr>
          <w:instrText xml:space="preserve"> PAGEREF _Toc42154161 \h </w:instrText>
        </w:r>
        <w:r w:rsidR="00953210">
          <w:rPr>
            <w:webHidden/>
          </w:rPr>
        </w:r>
        <w:r w:rsidR="00953210">
          <w:rPr>
            <w:webHidden/>
          </w:rPr>
          <w:fldChar w:fldCharType="separate"/>
        </w:r>
        <w:r w:rsidR="005006B8">
          <w:rPr>
            <w:webHidden/>
          </w:rPr>
          <w:t>18</w:t>
        </w:r>
        <w:r w:rsidR="00953210">
          <w:rPr>
            <w:webHidden/>
          </w:rPr>
          <w:fldChar w:fldCharType="end"/>
        </w:r>
      </w:hyperlink>
    </w:p>
    <w:p w14:paraId="7F857F71" w14:textId="3CE788A4" w:rsidR="00953210" w:rsidRDefault="001B08D8">
      <w:pPr>
        <w:pStyle w:val="TOC2"/>
        <w:rPr>
          <w:rFonts w:asciiTheme="minorHAnsi" w:eastAsiaTheme="minorEastAsia" w:hAnsiTheme="minorHAnsi" w:cstheme="minorBidi"/>
          <w:color w:val="auto"/>
          <w:szCs w:val="22"/>
        </w:rPr>
      </w:pPr>
      <w:hyperlink w:anchor="_Toc42154162" w:history="1">
        <w:r w:rsidR="00953210" w:rsidRPr="003968DB">
          <w:rPr>
            <w:rStyle w:val="Hyperlink"/>
          </w:rPr>
          <w:t>Obtain adequate powers to remedy incorrect statements</w:t>
        </w:r>
        <w:r w:rsidR="00953210">
          <w:rPr>
            <w:webHidden/>
          </w:rPr>
          <w:tab/>
        </w:r>
        <w:r w:rsidR="00953210">
          <w:rPr>
            <w:webHidden/>
          </w:rPr>
          <w:fldChar w:fldCharType="begin"/>
        </w:r>
        <w:r w:rsidR="00953210">
          <w:rPr>
            <w:webHidden/>
          </w:rPr>
          <w:instrText xml:space="preserve"> PAGEREF _Toc42154162 \h </w:instrText>
        </w:r>
        <w:r w:rsidR="00953210">
          <w:rPr>
            <w:webHidden/>
          </w:rPr>
        </w:r>
        <w:r w:rsidR="00953210">
          <w:rPr>
            <w:webHidden/>
          </w:rPr>
          <w:fldChar w:fldCharType="separate"/>
        </w:r>
        <w:r w:rsidR="005006B8">
          <w:rPr>
            <w:webHidden/>
          </w:rPr>
          <w:t>19</w:t>
        </w:r>
        <w:r w:rsidR="00953210">
          <w:rPr>
            <w:webHidden/>
          </w:rPr>
          <w:fldChar w:fldCharType="end"/>
        </w:r>
      </w:hyperlink>
    </w:p>
    <w:p w14:paraId="3F771999" w14:textId="3FAAB4D1" w:rsidR="00953210" w:rsidRDefault="001B08D8">
      <w:pPr>
        <w:pStyle w:val="TOC2"/>
        <w:rPr>
          <w:rFonts w:asciiTheme="minorHAnsi" w:eastAsiaTheme="minorEastAsia" w:hAnsiTheme="minorHAnsi" w:cstheme="minorBidi"/>
          <w:color w:val="auto"/>
          <w:szCs w:val="22"/>
        </w:rPr>
      </w:pPr>
      <w:hyperlink w:anchor="_Toc42154163" w:history="1">
        <w:r w:rsidR="00953210" w:rsidRPr="003968DB">
          <w:rPr>
            <w:rStyle w:val="Hyperlink"/>
          </w:rPr>
          <w:t>Strengthen the Government</w:t>
        </w:r>
        <w:r w:rsidR="00AF5EDD">
          <w:rPr>
            <w:rStyle w:val="Hyperlink"/>
          </w:rPr>
          <w:t>’</w:t>
        </w:r>
        <w:r w:rsidR="00953210" w:rsidRPr="003968DB">
          <w:rPr>
            <w:rStyle w:val="Hyperlink"/>
          </w:rPr>
          <w:t xml:space="preserve">s powers with respect to interests transferred by will or </w:t>
        </w:r>
        <w:r w:rsidR="00953210">
          <w:rPr>
            <w:rStyle w:val="Hyperlink"/>
          </w:rPr>
          <w:br/>
        </w:r>
        <w:r w:rsidR="00953210" w:rsidRPr="003968DB">
          <w:rPr>
            <w:rStyle w:val="Hyperlink"/>
          </w:rPr>
          <w:t>devolution by operation of law</w:t>
        </w:r>
        <w:r w:rsidR="00953210">
          <w:rPr>
            <w:webHidden/>
          </w:rPr>
          <w:tab/>
        </w:r>
        <w:r w:rsidR="00953210">
          <w:rPr>
            <w:webHidden/>
          </w:rPr>
          <w:fldChar w:fldCharType="begin"/>
        </w:r>
        <w:r w:rsidR="00953210">
          <w:rPr>
            <w:webHidden/>
          </w:rPr>
          <w:instrText xml:space="preserve"> PAGEREF _Toc42154163 \h </w:instrText>
        </w:r>
        <w:r w:rsidR="00953210">
          <w:rPr>
            <w:webHidden/>
          </w:rPr>
        </w:r>
        <w:r w:rsidR="00953210">
          <w:rPr>
            <w:webHidden/>
          </w:rPr>
          <w:fldChar w:fldCharType="separate"/>
        </w:r>
        <w:r w:rsidR="005006B8">
          <w:rPr>
            <w:webHidden/>
          </w:rPr>
          <w:t>20</w:t>
        </w:r>
        <w:r w:rsidR="00953210">
          <w:rPr>
            <w:webHidden/>
          </w:rPr>
          <w:fldChar w:fldCharType="end"/>
        </w:r>
      </w:hyperlink>
    </w:p>
    <w:p w14:paraId="571DCCAF" w14:textId="5AD3493C" w:rsidR="00953210" w:rsidRDefault="001B08D8">
      <w:pPr>
        <w:pStyle w:val="TOC2"/>
        <w:rPr>
          <w:rFonts w:asciiTheme="minorHAnsi" w:eastAsiaTheme="minorEastAsia" w:hAnsiTheme="minorHAnsi" w:cstheme="minorBidi"/>
          <w:color w:val="auto"/>
          <w:szCs w:val="22"/>
        </w:rPr>
      </w:pPr>
      <w:hyperlink w:anchor="_Toc42154164" w:history="1">
        <w:r w:rsidR="00953210" w:rsidRPr="003968DB">
          <w:rPr>
            <w:rStyle w:val="Hyperlink"/>
            <w:rFonts w:eastAsia="Arial"/>
          </w:rPr>
          <w:t>Obtain the power to accept enforceable undertakings</w:t>
        </w:r>
        <w:r w:rsidR="00953210">
          <w:rPr>
            <w:webHidden/>
          </w:rPr>
          <w:tab/>
        </w:r>
        <w:r w:rsidR="00953210">
          <w:rPr>
            <w:webHidden/>
          </w:rPr>
          <w:fldChar w:fldCharType="begin"/>
        </w:r>
        <w:r w:rsidR="00953210">
          <w:rPr>
            <w:webHidden/>
          </w:rPr>
          <w:instrText xml:space="preserve"> PAGEREF _Toc42154164 \h </w:instrText>
        </w:r>
        <w:r w:rsidR="00953210">
          <w:rPr>
            <w:webHidden/>
          </w:rPr>
        </w:r>
        <w:r w:rsidR="00953210">
          <w:rPr>
            <w:webHidden/>
          </w:rPr>
          <w:fldChar w:fldCharType="separate"/>
        </w:r>
        <w:r w:rsidR="005006B8">
          <w:rPr>
            <w:webHidden/>
          </w:rPr>
          <w:t>20</w:t>
        </w:r>
        <w:r w:rsidR="00953210">
          <w:rPr>
            <w:webHidden/>
          </w:rPr>
          <w:fldChar w:fldCharType="end"/>
        </w:r>
      </w:hyperlink>
    </w:p>
    <w:p w14:paraId="2D424811" w14:textId="72F8B432" w:rsidR="00953210" w:rsidRDefault="001B08D8">
      <w:pPr>
        <w:pStyle w:val="TOC2"/>
        <w:rPr>
          <w:rFonts w:asciiTheme="minorHAnsi" w:eastAsiaTheme="minorEastAsia" w:hAnsiTheme="minorHAnsi" w:cstheme="minorBidi"/>
          <w:color w:val="auto"/>
          <w:szCs w:val="22"/>
        </w:rPr>
      </w:pPr>
      <w:hyperlink w:anchor="_Toc42154165" w:history="1">
        <w:r w:rsidR="00953210" w:rsidRPr="003968DB">
          <w:rPr>
            <w:rStyle w:val="Hyperlink"/>
            <w:rFonts w:eastAsia="Arial"/>
          </w:rPr>
          <w:t>Require notification that an action has been taken</w:t>
        </w:r>
        <w:r w:rsidR="00953210">
          <w:rPr>
            <w:webHidden/>
          </w:rPr>
          <w:tab/>
        </w:r>
        <w:r w:rsidR="00953210">
          <w:rPr>
            <w:webHidden/>
          </w:rPr>
          <w:fldChar w:fldCharType="begin"/>
        </w:r>
        <w:r w:rsidR="00953210">
          <w:rPr>
            <w:webHidden/>
          </w:rPr>
          <w:instrText xml:space="preserve"> PAGEREF _Toc42154165 \h </w:instrText>
        </w:r>
        <w:r w:rsidR="00953210">
          <w:rPr>
            <w:webHidden/>
          </w:rPr>
        </w:r>
        <w:r w:rsidR="00953210">
          <w:rPr>
            <w:webHidden/>
          </w:rPr>
          <w:fldChar w:fldCharType="separate"/>
        </w:r>
        <w:r w:rsidR="005006B8">
          <w:rPr>
            <w:webHidden/>
          </w:rPr>
          <w:t>21</w:t>
        </w:r>
        <w:r w:rsidR="00953210">
          <w:rPr>
            <w:webHidden/>
          </w:rPr>
          <w:fldChar w:fldCharType="end"/>
        </w:r>
      </w:hyperlink>
    </w:p>
    <w:p w14:paraId="62D37CA1" w14:textId="28D79401" w:rsidR="00953210" w:rsidRDefault="001B08D8">
      <w:pPr>
        <w:pStyle w:val="TOC1"/>
        <w:rPr>
          <w:rFonts w:asciiTheme="minorHAnsi" w:eastAsiaTheme="minorEastAsia" w:hAnsiTheme="minorHAnsi" w:cstheme="minorBidi"/>
          <w:b w:val="0"/>
          <w:color w:val="auto"/>
        </w:rPr>
      </w:pPr>
      <w:hyperlink w:anchor="_Toc42154166" w:history="1">
        <w:r w:rsidR="00953210" w:rsidRPr="003968DB">
          <w:rPr>
            <w:rStyle w:val="Hyperlink"/>
          </w:rPr>
          <w:t>Integrity of the foreign investment review framework</w:t>
        </w:r>
        <w:r w:rsidR="00953210">
          <w:rPr>
            <w:webHidden/>
          </w:rPr>
          <w:tab/>
        </w:r>
        <w:r w:rsidR="00953210">
          <w:rPr>
            <w:webHidden/>
          </w:rPr>
          <w:fldChar w:fldCharType="begin"/>
        </w:r>
        <w:r w:rsidR="00953210">
          <w:rPr>
            <w:webHidden/>
          </w:rPr>
          <w:instrText xml:space="preserve"> PAGEREF _Toc42154166 \h </w:instrText>
        </w:r>
        <w:r w:rsidR="00953210">
          <w:rPr>
            <w:webHidden/>
          </w:rPr>
        </w:r>
        <w:r w:rsidR="00953210">
          <w:rPr>
            <w:webHidden/>
          </w:rPr>
          <w:fldChar w:fldCharType="separate"/>
        </w:r>
        <w:r w:rsidR="005006B8">
          <w:rPr>
            <w:webHidden/>
          </w:rPr>
          <w:t>22</w:t>
        </w:r>
        <w:r w:rsidR="00953210">
          <w:rPr>
            <w:webHidden/>
          </w:rPr>
          <w:fldChar w:fldCharType="end"/>
        </w:r>
      </w:hyperlink>
    </w:p>
    <w:p w14:paraId="66611F20" w14:textId="7DC8A4F0" w:rsidR="00953210" w:rsidRDefault="001B08D8">
      <w:pPr>
        <w:pStyle w:val="TOC2"/>
        <w:rPr>
          <w:rFonts w:asciiTheme="minorHAnsi" w:eastAsiaTheme="minorEastAsia" w:hAnsiTheme="minorHAnsi" w:cstheme="minorBidi"/>
          <w:color w:val="auto"/>
          <w:szCs w:val="22"/>
        </w:rPr>
      </w:pPr>
      <w:hyperlink w:anchor="_Toc42154167" w:history="1">
        <w:r w:rsidR="00953210" w:rsidRPr="003968DB">
          <w:rPr>
            <w:rStyle w:val="Hyperlink"/>
            <w:rFonts w:eastAsia="Arial"/>
          </w:rPr>
          <w:t>Improve the integrity of the approval process</w:t>
        </w:r>
        <w:r w:rsidR="00953210">
          <w:rPr>
            <w:webHidden/>
          </w:rPr>
          <w:tab/>
        </w:r>
        <w:r w:rsidR="00953210">
          <w:rPr>
            <w:webHidden/>
          </w:rPr>
          <w:fldChar w:fldCharType="begin"/>
        </w:r>
        <w:r w:rsidR="00953210">
          <w:rPr>
            <w:webHidden/>
          </w:rPr>
          <w:instrText xml:space="preserve"> PAGEREF _Toc42154167 \h </w:instrText>
        </w:r>
        <w:r w:rsidR="00953210">
          <w:rPr>
            <w:webHidden/>
          </w:rPr>
        </w:r>
        <w:r w:rsidR="00953210">
          <w:rPr>
            <w:webHidden/>
          </w:rPr>
          <w:fldChar w:fldCharType="separate"/>
        </w:r>
        <w:r w:rsidR="005006B8">
          <w:rPr>
            <w:webHidden/>
          </w:rPr>
          <w:t>22</w:t>
        </w:r>
        <w:r w:rsidR="00953210">
          <w:rPr>
            <w:webHidden/>
          </w:rPr>
          <w:fldChar w:fldCharType="end"/>
        </w:r>
      </w:hyperlink>
    </w:p>
    <w:p w14:paraId="36F40B62" w14:textId="7D46AE70" w:rsidR="00953210" w:rsidRDefault="001B08D8">
      <w:pPr>
        <w:pStyle w:val="TOC2"/>
        <w:rPr>
          <w:rFonts w:asciiTheme="minorHAnsi" w:eastAsiaTheme="minorEastAsia" w:hAnsiTheme="minorHAnsi" w:cstheme="minorBidi"/>
          <w:color w:val="auto"/>
          <w:szCs w:val="22"/>
        </w:rPr>
      </w:pPr>
      <w:hyperlink w:anchor="_Toc42154168" w:history="1">
        <w:r w:rsidR="00953210" w:rsidRPr="003968DB">
          <w:rPr>
            <w:rStyle w:val="Hyperlink"/>
            <w:rFonts w:eastAsia="Arial"/>
          </w:rPr>
          <w:t>Narrow the scope of the moneylending exemption</w:t>
        </w:r>
        <w:r w:rsidR="00953210">
          <w:rPr>
            <w:webHidden/>
          </w:rPr>
          <w:tab/>
        </w:r>
        <w:r w:rsidR="00953210">
          <w:rPr>
            <w:webHidden/>
          </w:rPr>
          <w:fldChar w:fldCharType="begin"/>
        </w:r>
        <w:r w:rsidR="00953210">
          <w:rPr>
            <w:webHidden/>
          </w:rPr>
          <w:instrText xml:space="preserve"> PAGEREF _Toc42154168 \h </w:instrText>
        </w:r>
        <w:r w:rsidR="00953210">
          <w:rPr>
            <w:webHidden/>
          </w:rPr>
        </w:r>
        <w:r w:rsidR="00953210">
          <w:rPr>
            <w:webHidden/>
          </w:rPr>
          <w:fldChar w:fldCharType="separate"/>
        </w:r>
        <w:r w:rsidR="005006B8">
          <w:rPr>
            <w:webHidden/>
          </w:rPr>
          <w:t>22</w:t>
        </w:r>
        <w:r w:rsidR="00953210">
          <w:rPr>
            <w:webHidden/>
          </w:rPr>
          <w:fldChar w:fldCharType="end"/>
        </w:r>
      </w:hyperlink>
    </w:p>
    <w:p w14:paraId="4B6572A3" w14:textId="3CFBAA21" w:rsidR="00953210" w:rsidRDefault="001B08D8">
      <w:pPr>
        <w:pStyle w:val="TOC2"/>
        <w:rPr>
          <w:rFonts w:asciiTheme="minorHAnsi" w:eastAsiaTheme="minorEastAsia" w:hAnsiTheme="minorHAnsi" w:cstheme="minorBidi"/>
          <w:color w:val="auto"/>
          <w:szCs w:val="22"/>
        </w:rPr>
      </w:pPr>
      <w:hyperlink w:anchor="_Toc42154169" w:history="1">
        <w:r w:rsidR="00953210" w:rsidRPr="003968DB">
          <w:rPr>
            <w:rStyle w:val="Hyperlink"/>
            <w:rFonts w:eastAsia="Arial"/>
          </w:rPr>
          <w:t>Oversight of Commonwealth, state, territory and local Government asset sales</w:t>
        </w:r>
        <w:r w:rsidR="00953210">
          <w:rPr>
            <w:webHidden/>
          </w:rPr>
          <w:tab/>
        </w:r>
        <w:r w:rsidR="00953210">
          <w:rPr>
            <w:webHidden/>
          </w:rPr>
          <w:fldChar w:fldCharType="begin"/>
        </w:r>
        <w:r w:rsidR="00953210">
          <w:rPr>
            <w:webHidden/>
          </w:rPr>
          <w:instrText xml:space="preserve"> PAGEREF _Toc42154169 \h </w:instrText>
        </w:r>
        <w:r w:rsidR="00953210">
          <w:rPr>
            <w:webHidden/>
          </w:rPr>
        </w:r>
        <w:r w:rsidR="00953210">
          <w:rPr>
            <w:webHidden/>
          </w:rPr>
          <w:fldChar w:fldCharType="separate"/>
        </w:r>
        <w:r w:rsidR="005006B8">
          <w:rPr>
            <w:webHidden/>
          </w:rPr>
          <w:t>23</w:t>
        </w:r>
        <w:r w:rsidR="00953210">
          <w:rPr>
            <w:webHidden/>
          </w:rPr>
          <w:fldChar w:fldCharType="end"/>
        </w:r>
      </w:hyperlink>
    </w:p>
    <w:p w14:paraId="0DEBAE5C" w14:textId="1ABFDA18" w:rsidR="00953210" w:rsidRDefault="001B08D8">
      <w:pPr>
        <w:pStyle w:val="TOC2"/>
        <w:rPr>
          <w:rFonts w:asciiTheme="minorHAnsi" w:eastAsiaTheme="minorEastAsia" w:hAnsiTheme="minorHAnsi" w:cstheme="minorBidi"/>
          <w:color w:val="auto"/>
          <w:szCs w:val="22"/>
        </w:rPr>
      </w:pPr>
      <w:hyperlink w:anchor="_Toc42154170" w:history="1">
        <w:r w:rsidR="00953210" w:rsidRPr="003968DB">
          <w:rPr>
            <w:rStyle w:val="Hyperlink"/>
          </w:rPr>
          <w:t>Extend the tracing rules to apply to limited partnerships</w:t>
        </w:r>
        <w:r w:rsidR="00953210">
          <w:rPr>
            <w:webHidden/>
          </w:rPr>
          <w:tab/>
        </w:r>
        <w:r w:rsidR="00953210">
          <w:rPr>
            <w:webHidden/>
          </w:rPr>
          <w:fldChar w:fldCharType="begin"/>
        </w:r>
        <w:r w:rsidR="00953210">
          <w:rPr>
            <w:webHidden/>
          </w:rPr>
          <w:instrText xml:space="preserve"> PAGEREF _Toc42154170 \h </w:instrText>
        </w:r>
        <w:r w:rsidR="00953210">
          <w:rPr>
            <w:webHidden/>
          </w:rPr>
        </w:r>
        <w:r w:rsidR="00953210">
          <w:rPr>
            <w:webHidden/>
          </w:rPr>
          <w:fldChar w:fldCharType="separate"/>
        </w:r>
        <w:r w:rsidR="005006B8">
          <w:rPr>
            <w:webHidden/>
          </w:rPr>
          <w:t>23</w:t>
        </w:r>
        <w:r w:rsidR="00953210">
          <w:rPr>
            <w:webHidden/>
          </w:rPr>
          <w:fldChar w:fldCharType="end"/>
        </w:r>
      </w:hyperlink>
    </w:p>
    <w:p w14:paraId="258CBC6A" w14:textId="2623F29B" w:rsidR="00953210" w:rsidRDefault="001B08D8">
      <w:pPr>
        <w:pStyle w:val="TOC2"/>
        <w:rPr>
          <w:rFonts w:asciiTheme="minorHAnsi" w:eastAsiaTheme="minorEastAsia" w:hAnsiTheme="minorHAnsi" w:cstheme="minorBidi"/>
          <w:color w:val="auto"/>
          <w:szCs w:val="22"/>
        </w:rPr>
      </w:pPr>
      <w:hyperlink w:anchor="_Toc42154171" w:history="1">
        <w:r w:rsidR="00953210" w:rsidRPr="003968DB">
          <w:rPr>
            <w:rStyle w:val="Hyperlink"/>
            <w:rFonts w:eastAsia="Arial"/>
          </w:rPr>
          <w:t>Prevent the use of family structures to subvert the operation of the FATA</w:t>
        </w:r>
        <w:r w:rsidR="00953210">
          <w:rPr>
            <w:webHidden/>
          </w:rPr>
          <w:tab/>
        </w:r>
        <w:r w:rsidR="00953210">
          <w:rPr>
            <w:webHidden/>
          </w:rPr>
          <w:fldChar w:fldCharType="begin"/>
        </w:r>
        <w:r w:rsidR="00953210">
          <w:rPr>
            <w:webHidden/>
          </w:rPr>
          <w:instrText xml:space="preserve"> PAGEREF _Toc42154171 \h </w:instrText>
        </w:r>
        <w:r w:rsidR="00953210">
          <w:rPr>
            <w:webHidden/>
          </w:rPr>
        </w:r>
        <w:r w:rsidR="00953210">
          <w:rPr>
            <w:webHidden/>
          </w:rPr>
          <w:fldChar w:fldCharType="separate"/>
        </w:r>
        <w:r w:rsidR="005006B8">
          <w:rPr>
            <w:webHidden/>
          </w:rPr>
          <w:t>24</w:t>
        </w:r>
        <w:r w:rsidR="00953210">
          <w:rPr>
            <w:webHidden/>
          </w:rPr>
          <w:fldChar w:fldCharType="end"/>
        </w:r>
      </w:hyperlink>
    </w:p>
    <w:p w14:paraId="232502CE" w14:textId="580697A5" w:rsidR="00953210" w:rsidRDefault="001B08D8">
      <w:pPr>
        <w:pStyle w:val="TOC2"/>
        <w:rPr>
          <w:rFonts w:asciiTheme="minorHAnsi" w:eastAsiaTheme="minorEastAsia" w:hAnsiTheme="minorHAnsi" w:cstheme="minorBidi"/>
          <w:color w:val="auto"/>
          <w:szCs w:val="22"/>
        </w:rPr>
      </w:pPr>
      <w:hyperlink w:anchor="_Toc42154172" w:history="1">
        <w:r w:rsidR="00953210" w:rsidRPr="003968DB">
          <w:rPr>
            <w:rStyle w:val="Hyperlink"/>
            <w:rFonts w:eastAsia="Arial"/>
          </w:rPr>
          <w:t>More coordinated information gathering and sharing</w:t>
        </w:r>
        <w:r w:rsidR="00953210">
          <w:rPr>
            <w:webHidden/>
          </w:rPr>
          <w:tab/>
        </w:r>
        <w:r w:rsidR="00953210">
          <w:rPr>
            <w:webHidden/>
          </w:rPr>
          <w:fldChar w:fldCharType="begin"/>
        </w:r>
        <w:r w:rsidR="00953210">
          <w:rPr>
            <w:webHidden/>
          </w:rPr>
          <w:instrText xml:space="preserve"> PAGEREF _Toc42154172 \h </w:instrText>
        </w:r>
        <w:r w:rsidR="00953210">
          <w:rPr>
            <w:webHidden/>
          </w:rPr>
        </w:r>
        <w:r w:rsidR="00953210">
          <w:rPr>
            <w:webHidden/>
          </w:rPr>
          <w:fldChar w:fldCharType="separate"/>
        </w:r>
        <w:r w:rsidR="005006B8">
          <w:rPr>
            <w:webHidden/>
          </w:rPr>
          <w:t>25</w:t>
        </w:r>
        <w:r w:rsidR="00953210">
          <w:rPr>
            <w:webHidden/>
          </w:rPr>
          <w:fldChar w:fldCharType="end"/>
        </w:r>
      </w:hyperlink>
    </w:p>
    <w:p w14:paraId="5DE95993" w14:textId="313C09F5" w:rsidR="00953210" w:rsidRDefault="001B08D8">
      <w:pPr>
        <w:pStyle w:val="TOC2"/>
        <w:rPr>
          <w:rFonts w:asciiTheme="minorHAnsi" w:eastAsiaTheme="minorEastAsia" w:hAnsiTheme="minorHAnsi" w:cstheme="minorBidi"/>
          <w:color w:val="auto"/>
          <w:szCs w:val="22"/>
        </w:rPr>
      </w:pPr>
      <w:hyperlink w:anchor="_Toc42154173" w:history="1">
        <w:r w:rsidR="00953210" w:rsidRPr="003968DB">
          <w:rPr>
            <w:rStyle w:val="Hyperlink"/>
          </w:rPr>
          <w:t>A new Register of Foreign Ownership</w:t>
        </w:r>
        <w:r w:rsidR="00953210">
          <w:rPr>
            <w:webHidden/>
          </w:rPr>
          <w:tab/>
        </w:r>
        <w:r w:rsidR="00953210">
          <w:rPr>
            <w:webHidden/>
          </w:rPr>
          <w:fldChar w:fldCharType="begin"/>
        </w:r>
        <w:r w:rsidR="00953210">
          <w:rPr>
            <w:webHidden/>
          </w:rPr>
          <w:instrText xml:space="preserve"> PAGEREF _Toc42154173 \h </w:instrText>
        </w:r>
        <w:r w:rsidR="00953210">
          <w:rPr>
            <w:webHidden/>
          </w:rPr>
        </w:r>
        <w:r w:rsidR="00953210">
          <w:rPr>
            <w:webHidden/>
          </w:rPr>
          <w:fldChar w:fldCharType="separate"/>
        </w:r>
        <w:r w:rsidR="005006B8">
          <w:rPr>
            <w:webHidden/>
          </w:rPr>
          <w:t>25</w:t>
        </w:r>
        <w:r w:rsidR="00953210">
          <w:rPr>
            <w:webHidden/>
          </w:rPr>
          <w:fldChar w:fldCharType="end"/>
        </w:r>
      </w:hyperlink>
    </w:p>
    <w:p w14:paraId="5C1E33D8" w14:textId="05E9D897" w:rsidR="00953210" w:rsidRDefault="001B08D8">
      <w:pPr>
        <w:pStyle w:val="TOC2"/>
        <w:rPr>
          <w:rFonts w:asciiTheme="minorHAnsi" w:eastAsiaTheme="minorEastAsia" w:hAnsiTheme="minorHAnsi" w:cstheme="minorBidi"/>
          <w:color w:val="auto"/>
          <w:szCs w:val="22"/>
        </w:rPr>
      </w:pPr>
      <w:hyperlink w:anchor="_Toc42154174" w:history="1">
        <w:r w:rsidR="00953210" w:rsidRPr="003968DB">
          <w:rPr>
            <w:rStyle w:val="Hyperlink"/>
          </w:rPr>
          <w:t>Greater sharing of foreign investment information</w:t>
        </w:r>
        <w:r w:rsidR="00953210">
          <w:rPr>
            <w:webHidden/>
          </w:rPr>
          <w:tab/>
        </w:r>
        <w:r w:rsidR="00953210">
          <w:rPr>
            <w:webHidden/>
          </w:rPr>
          <w:fldChar w:fldCharType="begin"/>
        </w:r>
        <w:r w:rsidR="00953210">
          <w:rPr>
            <w:webHidden/>
          </w:rPr>
          <w:instrText xml:space="preserve"> PAGEREF _Toc42154174 \h </w:instrText>
        </w:r>
        <w:r w:rsidR="00953210">
          <w:rPr>
            <w:webHidden/>
          </w:rPr>
        </w:r>
        <w:r w:rsidR="00953210">
          <w:rPr>
            <w:webHidden/>
          </w:rPr>
          <w:fldChar w:fldCharType="separate"/>
        </w:r>
        <w:r w:rsidR="005006B8">
          <w:rPr>
            <w:webHidden/>
          </w:rPr>
          <w:t>26</w:t>
        </w:r>
        <w:r w:rsidR="00953210">
          <w:rPr>
            <w:webHidden/>
          </w:rPr>
          <w:fldChar w:fldCharType="end"/>
        </w:r>
      </w:hyperlink>
    </w:p>
    <w:p w14:paraId="0DB7BE56" w14:textId="250C9AFA" w:rsidR="00953210" w:rsidRDefault="001B08D8">
      <w:pPr>
        <w:pStyle w:val="TOC1"/>
        <w:rPr>
          <w:rFonts w:asciiTheme="minorHAnsi" w:eastAsiaTheme="minorEastAsia" w:hAnsiTheme="minorHAnsi" w:cstheme="minorBidi"/>
          <w:b w:val="0"/>
          <w:color w:val="auto"/>
        </w:rPr>
      </w:pPr>
      <w:hyperlink w:anchor="_Toc42154175" w:history="1">
        <w:r w:rsidR="00953210" w:rsidRPr="003968DB">
          <w:rPr>
            <w:rStyle w:val="Hyperlink"/>
          </w:rPr>
          <w:t>A fairer and simpler framework for foreign investment fees</w:t>
        </w:r>
        <w:r w:rsidR="00953210">
          <w:rPr>
            <w:webHidden/>
          </w:rPr>
          <w:tab/>
        </w:r>
        <w:r w:rsidR="00953210">
          <w:rPr>
            <w:webHidden/>
          </w:rPr>
          <w:fldChar w:fldCharType="begin"/>
        </w:r>
        <w:r w:rsidR="00953210">
          <w:rPr>
            <w:webHidden/>
          </w:rPr>
          <w:instrText xml:space="preserve"> PAGEREF _Toc42154175 \h </w:instrText>
        </w:r>
        <w:r w:rsidR="00953210">
          <w:rPr>
            <w:webHidden/>
          </w:rPr>
        </w:r>
        <w:r w:rsidR="00953210">
          <w:rPr>
            <w:webHidden/>
          </w:rPr>
          <w:fldChar w:fldCharType="separate"/>
        </w:r>
        <w:r w:rsidR="005006B8">
          <w:rPr>
            <w:webHidden/>
          </w:rPr>
          <w:t>27</w:t>
        </w:r>
        <w:r w:rsidR="00953210">
          <w:rPr>
            <w:webHidden/>
          </w:rPr>
          <w:fldChar w:fldCharType="end"/>
        </w:r>
      </w:hyperlink>
    </w:p>
    <w:p w14:paraId="5D0DAD0D" w14:textId="3CC7B761" w:rsidR="00953210" w:rsidRDefault="001B08D8">
      <w:pPr>
        <w:pStyle w:val="TOC1"/>
        <w:rPr>
          <w:rFonts w:asciiTheme="minorHAnsi" w:eastAsiaTheme="minorEastAsia" w:hAnsiTheme="minorHAnsi" w:cstheme="minorBidi"/>
          <w:b w:val="0"/>
          <w:color w:val="auto"/>
        </w:rPr>
      </w:pPr>
      <w:hyperlink w:anchor="_Toc42154176" w:history="1">
        <w:r w:rsidR="00953210" w:rsidRPr="003968DB">
          <w:rPr>
            <w:rStyle w:val="Hyperlink"/>
          </w:rPr>
          <w:t xml:space="preserve">A </w:t>
        </w:r>
        <w:r w:rsidR="00953210" w:rsidRPr="003968DB">
          <w:rPr>
            <w:rStyle w:val="Hyperlink"/>
            <w:rFonts w:eastAsia="Arial"/>
          </w:rPr>
          <w:t>timely, consistent and reliable investor experience</w:t>
        </w:r>
        <w:r w:rsidR="00953210">
          <w:rPr>
            <w:webHidden/>
          </w:rPr>
          <w:tab/>
        </w:r>
        <w:r w:rsidR="00953210">
          <w:rPr>
            <w:webHidden/>
          </w:rPr>
          <w:fldChar w:fldCharType="begin"/>
        </w:r>
        <w:r w:rsidR="00953210">
          <w:rPr>
            <w:webHidden/>
          </w:rPr>
          <w:instrText xml:space="preserve"> PAGEREF _Toc42154176 \h </w:instrText>
        </w:r>
        <w:r w:rsidR="00953210">
          <w:rPr>
            <w:webHidden/>
          </w:rPr>
        </w:r>
        <w:r w:rsidR="00953210">
          <w:rPr>
            <w:webHidden/>
          </w:rPr>
          <w:fldChar w:fldCharType="separate"/>
        </w:r>
        <w:r w:rsidR="005006B8">
          <w:rPr>
            <w:webHidden/>
          </w:rPr>
          <w:t>28</w:t>
        </w:r>
        <w:r w:rsidR="00953210">
          <w:rPr>
            <w:webHidden/>
          </w:rPr>
          <w:fldChar w:fldCharType="end"/>
        </w:r>
      </w:hyperlink>
    </w:p>
    <w:p w14:paraId="70B4B452" w14:textId="39B26A86" w:rsidR="00953210" w:rsidRDefault="001B08D8">
      <w:pPr>
        <w:pStyle w:val="TOC1"/>
        <w:rPr>
          <w:rFonts w:asciiTheme="minorHAnsi" w:eastAsiaTheme="minorEastAsia" w:hAnsiTheme="minorHAnsi" w:cstheme="minorBidi"/>
          <w:b w:val="0"/>
          <w:color w:val="auto"/>
        </w:rPr>
      </w:pPr>
      <w:hyperlink w:anchor="_Toc42154177" w:history="1">
        <w:r w:rsidR="00953210" w:rsidRPr="003968DB">
          <w:rPr>
            <w:rStyle w:val="Hyperlink"/>
          </w:rPr>
          <w:t>Other technical amendments</w:t>
        </w:r>
        <w:r w:rsidR="00953210">
          <w:rPr>
            <w:webHidden/>
          </w:rPr>
          <w:tab/>
        </w:r>
        <w:r w:rsidR="00953210">
          <w:rPr>
            <w:webHidden/>
          </w:rPr>
          <w:fldChar w:fldCharType="begin"/>
        </w:r>
        <w:r w:rsidR="00953210">
          <w:rPr>
            <w:webHidden/>
          </w:rPr>
          <w:instrText xml:space="preserve"> PAGEREF _Toc42154177 \h </w:instrText>
        </w:r>
        <w:r w:rsidR="00953210">
          <w:rPr>
            <w:webHidden/>
          </w:rPr>
        </w:r>
        <w:r w:rsidR="00953210">
          <w:rPr>
            <w:webHidden/>
          </w:rPr>
          <w:fldChar w:fldCharType="separate"/>
        </w:r>
        <w:r w:rsidR="005006B8">
          <w:rPr>
            <w:webHidden/>
          </w:rPr>
          <w:t>30</w:t>
        </w:r>
        <w:r w:rsidR="00953210">
          <w:rPr>
            <w:webHidden/>
          </w:rPr>
          <w:fldChar w:fldCharType="end"/>
        </w:r>
      </w:hyperlink>
    </w:p>
    <w:p w14:paraId="5F769D81" w14:textId="72E54574" w:rsidR="00953210" w:rsidRDefault="001B08D8">
      <w:pPr>
        <w:pStyle w:val="TOC1"/>
        <w:rPr>
          <w:rFonts w:asciiTheme="minorHAnsi" w:eastAsiaTheme="minorEastAsia" w:hAnsiTheme="minorHAnsi" w:cstheme="minorBidi"/>
          <w:b w:val="0"/>
          <w:color w:val="auto"/>
        </w:rPr>
      </w:pPr>
      <w:hyperlink w:anchor="_Toc42154178" w:history="1">
        <w:r w:rsidR="00953210" w:rsidRPr="003968DB">
          <w:rPr>
            <w:rStyle w:val="Hyperlink"/>
          </w:rPr>
          <w:t>Abbreviations</w:t>
        </w:r>
        <w:r w:rsidR="00953210">
          <w:rPr>
            <w:webHidden/>
          </w:rPr>
          <w:tab/>
        </w:r>
        <w:r w:rsidR="00953210">
          <w:rPr>
            <w:webHidden/>
          </w:rPr>
          <w:fldChar w:fldCharType="begin"/>
        </w:r>
        <w:r w:rsidR="00953210">
          <w:rPr>
            <w:webHidden/>
          </w:rPr>
          <w:instrText xml:space="preserve"> PAGEREF _Toc42154178 \h </w:instrText>
        </w:r>
        <w:r w:rsidR="00953210">
          <w:rPr>
            <w:webHidden/>
          </w:rPr>
        </w:r>
        <w:r w:rsidR="00953210">
          <w:rPr>
            <w:webHidden/>
          </w:rPr>
          <w:fldChar w:fldCharType="separate"/>
        </w:r>
        <w:r w:rsidR="005006B8">
          <w:rPr>
            <w:webHidden/>
          </w:rPr>
          <w:t>31</w:t>
        </w:r>
        <w:r w:rsidR="00953210">
          <w:rPr>
            <w:webHidden/>
          </w:rPr>
          <w:fldChar w:fldCharType="end"/>
        </w:r>
      </w:hyperlink>
    </w:p>
    <w:p w14:paraId="6DBC4978" w14:textId="29B5A53C" w:rsidR="000E0B74" w:rsidRDefault="00953210" w:rsidP="00656356">
      <w:pPr>
        <w:pStyle w:val="SingleParagraph"/>
        <w:tabs>
          <w:tab w:val="right" w:leader="dot" w:pos="9072"/>
        </w:tabs>
        <w:ind w:right="-2"/>
        <w:sectPr w:rsidR="000E0B74" w:rsidSect="00475B7B">
          <w:pgSz w:w="11906" w:h="16838" w:code="9"/>
          <w:pgMar w:top="1418" w:right="1418" w:bottom="1418" w:left="1418" w:header="709" w:footer="709" w:gutter="0"/>
          <w:pgNumType w:fmt="lowerRoman"/>
          <w:cols w:space="708"/>
          <w:titlePg/>
          <w:docGrid w:linePitch="360"/>
        </w:sectPr>
      </w:pPr>
      <w:r>
        <w:rPr>
          <w:b/>
          <w:noProof/>
          <w:color w:val="004A7F"/>
          <w:szCs w:val="22"/>
        </w:rPr>
        <w:fldChar w:fldCharType="end"/>
      </w:r>
    </w:p>
    <w:p w14:paraId="74240732" w14:textId="57E7EC6F" w:rsidR="00E634CC" w:rsidRDefault="00BB38BF" w:rsidP="00E763F0">
      <w:pPr>
        <w:pStyle w:val="Heading1"/>
        <w:keepLines/>
        <w:tabs>
          <w:tab w:val="left" w:pos="567"/>
        </w:tabs>
        <w:spacing w:before="240" w:after="200"/>
        <w:rPr>
          <w:rFonts w:asciiTheme="minorHAnsi" w:hAnsiTheme="minorHAnsi" w:cstheme="minorHAnsi"/>
        </w:rPr>
      </w:pPr>
      <w:bookmarkStart w:id="15" w:name="_Toc34142415"/>
      <w:bookmarkStart w:id="16" w:name="_Toc34147739"/>
      <w:bookmarkStart w:id="17" w:name="_Toc34148742"/>
      <w:bookmarkStart w:id="18" w:name="_Toc34376160"/>
      <w:bookmarkStart w:id="19" w:name="_Toc34384769"/>
      <w:bookmarkStart w:id="20" w:name="_Toc34385200"/>
      <w:bookmarkStart w:id="21" w:name="_Toc34823595"/>
      <w:bookmarkStart w:id="22" w:name="_Toc34840542"/>
      <w:bookmarkStart w:id="23" w:name="_Toc35254820"/>
      <w:bookmarkStart w:id="24" w:name="_Toc35257716"/>
      <w:bookmarkStart w:id="25" w:name="_Toc41999433"/>
      <w:bookmarkStart w:id="26" w:name="_Toc42154149"/>
      <w:r>
        <w:rPr>
          <w:rFonts w:asciiTheme="minorHAnsi" w:hAnsiTheme="minorHAnsi" w:cstheme="minorHAnsi"/>
        </w:rPr>
        <w:lastRenderedPageBreak/>
        <w:t>Introduction</w:t>
      </w:r>
      <w:bookmarkEnd w:id="15"/>
      <w:bookmarkEnd w:id="16"/>
      <w:bookmarkEnd w:id="17"/>
      <w:bookmarkEnd w:id="18"/>
      <w:bookmarkEnd w:id="19"/>
      <w:bookmarkEnd w:id="20"/>
      <w:bookmarkEnd w:id="21"/>
      <w:bookmarkEnd w:id="22"/>
      <w:bookmarkEnd w:id="23"/>
      <w:bookmarkEnd w:id="24"/>
      <w:bookmarkEnd w:id="25"/>
      <w:bookmarkEnd w:id="26"/>
    </w:p>
    <w:p w14:paraId="7725F079" w14:textId="7B6C5EA4" w:rsidR="00781F96" w:rsidRDefault="00781F96" w:rsidP="00781F96">
      <w:r>
        <w:t>The Government welcomes foreign investment. It is important for Australia</w:t>
      </w:r>
      <w:r w:rsidR="00AF5EDD">
        <w:t>’</w:t>
      </w:r>
      <w:r>
        <w:t>s long</w:t>
      </w:r>
      <w:r w:rsidR="00AF5EDD">
        <w:noBreakHyphen/>
      </w:r>
      <w:r>
        <w:t>term economic success, stability and prosperity.</w:t>
      </w:r>
      <w:r w:rsidDel="0016587D">
        <w:t xml:space="preserve"> </w:t>
      </w:r>
      <w:r w:rsidR="00CD2E2B">
        <w:t>Based on the latest available data, f</w:t>
      </w:r>
      <w:r>
        <w:t>oreign investment supports:</w:t>
      </w:r>
    </w:p>
    <w:p w14:paraId="05875B74" w14:textId="06DFAF47" w:rsidR="00781F96" w:rsidRDefault="00781F96" w:rsidP="00781F96">
      <w:pPr>
        <w:pStyle w:val="Bullet"/>
        <w:spacing w:after="0"/>
        <w:ind w:left="522" w:hanging="522"/>
      </w:pPr>
      <w:r>
        <w:t>employment (one in ten jobs are</w:t>
      </w:r>
      <w:r w:rsidR="00422C14">
        <w:t xml:space="preserve"> created by foreign businesses);</w:t>
      </w:r>
      <w:r>
        <w:t xml:space="preserve"> </w:t>
      </w:r>
    </w:p>
    <w:p w14:paraId="34CC309B" w14:textId="5D3C8ACC" w:rsidR="00781F96" w:rsidRDefault="00781F96" w:rsidP="00DA31A1">
      <w:pPr>
        <w:pStyle w:val="Bullet"/>
        <w:spacing w:after="0"/>
      </w:pPr>
      <w:r>
        <w:t xml:space="preserve">the national economy (businesses </w:t>
      </w:r>
      <w:r w:rsidR="00A376E2">
        <w:t xml:space="preserve">supported by foreign investment </w:t>
      </w:r>
      <w:r>
        <w:t>contribute more than a q</w:t>
      </w:r>
      <w:r w:rsidR="00422C14">
        <w:t xml:space="preserve">uarter of </w:t>
      </w:r>
      <w:r w:rsidR="00CD2E2B">
        <w:t>Industry Value Added</w:t>
      </w:r>
      <w:r w:rsidR="00422C14">
        <w:t>);</w:t>
      </w:r>
      <w:r>
        <w:t xml:space="preserve"> and </w:t>
      </w:r>
    </w:p>
    <w:p w14:paraId="18717E62" w14:textId="6FF18375" w:rsidR="00781F96" w:rsidRDefault="00781F96" w:rsidP="00781F96">
      <w:pPr>
        <w:pStyle w:val="Bullet"/>
        <w:spacing w:after="0"/>
        <w:ind w:left="522" w:hanging="522"/>
      </w:pPr>
      <w:r>
        <w:t>higher wages (foreign</w:t>
      </w:r>
      <w:r w:rsidR="00393ADE">
        <w:t xml:space="preserve"> </w:t>
      </w:r>
      <w:r>
        <w:t>businesses pay wages that are on average $20,000 a year higher)</w:t>
      </w:r>
      <w:r>
        <w:rPr>
          <w:rStyle w:val="FootnoteReference"/>
        </w:rPr>
        <w:footnoteReference w:id="2"/>
      </w:r>
      <w:r>
        <w:t xml:space="preserve"> </w:t>
      </w:r>
    </w:p>
    <w:p w14:paraId="550A216F" w14:textId="18E80AEB" w:rsidR="00781F96" w:rsidRDefault="00781F96" w:rsidP="00781F96">
      <w:r>
        <w:t>However, risks to Australia</w:t>
      </w:r>
      <w:r w:rsidR="00AF5EDD">
        <w:t>’</w:t>
      </w:r>
      <w:r>
        <w:t xml:space="preserve">s national interest, particularly national security, have increased as a result </w:t>
      </w:r>
      <w:r w:rsidR="000648BA">
        <w:t xml:space="preserve">of a </w:t>
      </w:r>
      <w:r w:rsidR="000648BA" w:rsidRPr="000648BA">
        <w:t>confluence of developments</w:t>
      </w:r>
      <w:r w:rsidR="000D1474">
        <w:t xml:space="preserve"> — </w:t>
      </w:r>
      <w:r w:rsidR="000648BA" w:rsidRPr="000648BA">
        <w:t>including rapid technological change</w:t>
      </w:r>
      <w:r w:rsidR="000648BA">
        <w:t xml:space="preserve"> </w:t>
      </w:r>
      <w:r w:rsidR="000648BA" w:rsidRPr="000648BA">
        <w:t>and changes in the international security environment</w:t>
      </w:r>
      <w:r w:rsidR="000648BA">
        <w:t>.</w:t>
      </w:r>
      <w:r w:rsidRPr="00FF567F">
        <w:t xml:space="preserve"> </w:t>
      </w:r>
    </w:p>
    <w:p w14:paraId="00B18322" w14:textId="22F08B02" w:rsidR="00781F96" w:rsidRDefault="00781F96" w:rsidP="00781F96">
      <w:r>
        <w:t>Rising</w:t>
      </w:r>
      <w:r w:rsidRPr="006D64A2">
        <w:t xml:space="preserve"> national security concerns have led many countries to review both their frameworks for screening inward investment and the way in which the</w:t>
      </w:r>
      <w:r>
        <w:t>se frameworks</w:t>
      </w:r>
      <w:r w:rsidRPr="006D64A2">
        <w:t xml:space="preserve"> are applied</w:t>
      </w:r>
      <w:r>
        <w:t xml:space="preserve"> (see </w:t>
      </w:r>
      <w:r w:rsidRPr="008447CE">
        <w:rPr>
          <w:b/>
        </w:rPr>
        <w:t xml:space="preserve">Table </w:t>
      </w:r>
      <w:r>
        <w:rPr>
          <w:b/>
        </w:rPr>
        <w:t>1</w:t>
      </w:r>
      <w:r>
        <w:t xml:space="preserve"> on page 3 for further details).</w:t>
      </w:r>
    </w:p>
    <w:p w14:paraId="2534FECE" w14:textId="6D72C086" w:rsidR="001A59CD" w:rsidRDefault="003A6B6C" w:rsidP="00115CF4">
      <w:r>
        <w:t xml:space="preserve">This </w:t>
      </w:r>
      <w:r w:rsidR="002C548D">
        <w:t xml:space="preserve">paper outlines </w:t>
      </w:r>
      <w:r w:rsidR="002C548D" w:rsidDel="000648BA">
        <w:t xml:space="preserve">the most </w:t>
      </w:r>
      <w:r w:rsidR="002C548D">
        <w:t xml:space="preserve">comprehensive </w:t>
      </w:r>
      <w:r w:rsidR="00A45975">
        <w:t>reform</w:t>
      </w:r>
      <w:r w:rsidR="001A59CD">
        <w:t>s</w:t>
      </w:r>
      <w:r w:rsidR="00A45975">
        <w:t xml:space="preserve"> </w:t>
      </w:r>
      <w:r w:rsidR="002C548D">
        <w:t>to Australia</w:t>
      </w:r>
      <w:r w:rsidR="00AF5EDD">
        <w:t>’</w:t>
      </w:r>
      <w:r w:rsidR="002C548D">
        <w:t xml:space="preserve">s foreign investment </w:t>
      </w:r>
      <w:r w:rsidR="00E62E8F">
        <w:t xml:space="preserve">review </w:t>
      </w:r>
      <w:r w:rsidR="002C548D">
        <w:t xml:space="preserve">framework </w:t>
      </w:r>
      <w:r w:rsidR="00DB47A1">
        <w:t>in more than 20 years</w:t>
      </w:r>
      <w:r w:rsidR="000D1474">
        <w:t xml:space="preserve">. </w:t>
      </w:r>
      <w:r w:rsidR="001A59CD">
        <w:t xml:space="preserve">The Government </w:t>
      </w:r>
      <w:r w:rsidR="00A91674">
        <w:t xml:space="preserve">will </w:t>
      </w:r>
      <w:r w:rsidR="0099758B">
        <w:t xml:space="preserve">shortly </w:t>
      </w:r>
      <w:r w:rsidR="00A91674">
        <w:t>release exposure draft legislation</w:t>
      </w:r>
      <w:r w:rsidR="001A59CD">
        <w:t xml:space="preserve"> </w:t>
      </w:r>
      <w:r w:rsidR="00706538">
        <w:t>for consultation</w:t>
      </w:r>
      <w:r w:rsidR="00CB13E4">
        <w:t xml:space="preserve"> </w:t>
      </w:r>
      <w:r w:rsidR="00A91674">
        <w:t xml:space="preserve">on the reforms prior to its introduction into </w:t>
      </w:r>
      <w:r w:rsidR="00721A41">
        <w:t>P</w:t>
      </w:r>
      <w:r w:rsidR="00A91674">
        <w:t>arliament</w:t>
      </w:r>
      <w:r w:rsidR="00721A41">
        <w:t>,</w:t>
      </w:r>
      <w:r w:rsidR="00A91674">
        <w:t xml:space="preserve"> and</w:t>
      </w:r>
      <w:r w:rsidR="001A59CD">
        <w:t xml:space="preserve"> provid</w:t>
      </w:r>
      <w:r w:rsidR="00A91674">
        <w:t>e</w:t>
      </w:r>
      <w:r w:rsidR="001A59CD">
        <w:t xml:space="preserve"> </w:t>
      </w:r>
      <w:r w:rsidR="00054DC2">
        <w:t xml:space="preserve">further </w:t>
      </w:r>
      <w:r w:rsidR="001A59CD">
        <w:t xml:space="preserve">guidance </w:t>
      </w:r>
      <w:r w:rsidR="00054DC2">
        <w:t xml:space="preserve">for investors </w:t>
      </w:r>
      <w:r w:rsidR="00A91674">
        <w:t>on</w:t>
      </w:r>
      <w:r w:rsidR="001A59CD">
        <w:t xml:space="preserve"> implementation.</w:t>
      </w:r>
    </w:p>
    <w:p w14:paraId="6F945C51" w14:textId="62F2053B" w:rsidR="00781F96" w:rsidRDefault="00781F96" w:rsidP="00781F96">
      <w:r>
        <w:t>Th</w:t>
      </w:r>
      <w:r w:rsidR="00054DC2">
        <w:t>ese</w:t>
      </w:r>
      <w:r>
        <w:t xml:space="preserve"> reform</w:t>
      </w:r>
      <w:r w:rsidR="00620541">
        <w:t>s</w:t>
      </w:r>
      <w:r>
        <w:t xml:space="preserve"> include measures to strengthen the existing framework with: enhanced national security review of sensitive acquisitions; extra powers and resources to ensure foreign investors comply with the terms of their approval; and amendments to streamline investment in non</w:t>
      </w:r>
      <w:r w:rsidR="00AF5EDD">
        <w:noBreakHyphen/>
      </w:r>
      <w:r>
        <w:t>sensitive areas.</w:t>
      </w:r>
    </w:p>
    <w:p w14:paraId="29A69540" w14:textId="4F67391B" w:rsidR="00781F96" w:rsidRDefault="00781F96" w:rsidP="00781F96">
      <w:r>
        <w:t>In particular, the national security reforms will enable the Government to better address emerging national security risks that arise from foreign ownership, such as powers to screen any direct</w:t>
      </w:r>
      <w:r>
        <w:rPr>
          <w:rStyle w:val="FootnoteReference"/>
        </w:rPr>
        <w:footnoteReference w:id="3"/>
      </w:r>
      <w:r>
        <w:t xml:space="preserve"> investment on national security grounds regardless of value. There are also measures to reduce the regulatory burden for certain investments that do not pose national security risks, and provide greater clarity on the scope and application of the </w:t>
      </w:r>
      <w:r w:rsidR="00A345E2">
        <w:rPr>
          <w:i/>
        </w:rPr>
        <w:t xml:space="preserve">Foreign Acquisitions and Takeovers Act 1975 </w:t>
      </w:r>
      <w:r w:rsidR="00A345E2">
        <w:t>(</w:t>
      </w:r>
      <w:r>
        <w:t>FATA</w:t>
      </w:r>
      <w:r w:rsidR="00A345E2">
        <w:t>)</w:t>
      </w:r>
      <w:r>
        <w:t xml:space="preserve">. </w:t>
      </w:r>
    </w:p>
    <w:p w14:paraId="30658341" w14:textId="02068327" w:rsidR="00480C68" w:rsidRDefault="000C74BD" w:rsidP="000C74BD">
      <w:r w:rsidDel="006C5C42">
        <w:t>To</w:t>
      </w:r>
      <w:r>
        <w:t xml:space="preserve"> ensure appropriate oversight during the coronavirus crisis</w:t>
      </w:r>
      <w:r w:rsidR="007E7696">
        <w:t xml:space="preserve">, </w:t>
      </w:r>
      <w:r>
        <w:t xml:space="preserve">the Government announced on 29 March 2020 the temporary reduction to $0 for the monetary screening thresholds for all foreign investments subject to the FATA. </w:t>
      </w:r>
    </w:p>
    <w:p w14:paraId="237A13AD" w14:textId="6DAFD5A5" w:rsidR="00480C68" w:rsidRDefault="00480C68" w:rsidP="00480C68">
      <w:r w:rsidRPr="00480C68">
        <w:t xml:space="preserve">The announcement of the reform package does not immediately affect the temporary </w:t>
      </w:r>
      <w:r>
        <w:t xml:space="preserve">measures, which will remain in place for the duration of the coronavirus crisis. The Government anticipates a smooth transition from the current temporary arrangements to the new system once legislated. </w:t>
      </w:r>
    </w:p>
    <w:p w14:paraId="2B8681C7" w14:textId="46571006" w:rsidR="00B30B6D" w:rsidRDefault="00867440" w:rsidP="00B30B6D">
      <w:pPr>
        <w:jc w:val="both"/>
      </w:pPr>
      <w:r>
        <w:t>T</w:t>
      </w:r>
      <w:r w:rsidR="00B30B6D">
        <w:t xml:space="preserve">he </w:t>
      </w:r>
      <w:r w:rsidR="0030594B">
        <w:t>Government</w:t>
      </w:r>
      <w:r w:rsidR="00AF5EDD">
        <w:t>’</w:t>
      </w:r>
      <w:r w:rsidR="0030594B">
        <w:t xml:space="preserve">s </w:t>
      </w:r>
      <w:r w:rsidR="0002603E">
        <w:t xml:space="preserve">reforms </w:t>
      </w:r>
      <w:r w:rsidR="0030594B">
        <w:t xml:space="preserve">will </w:t>
      </w:r>
      <w:r w:rsidR="00B30B6D">
        <w:t>ensur</w:t>
      </w:r>
      <w:r w:rsidR="0030594B">
        <w:t>e</w:t>
      </w:r>
      <w:r w:rsidR="00B30B6D">
        <w:t xml:space="preserve"> the foreign investment review framework continues to balance: </w:t>
      </w:r>
    </w:p>
    <w:p w14:paraId="622D878F" w14:textId="0CB32DA1" w:rsidR="00B30B6D" w:rsidRDefault="00B30B6D" w:rsidP="001E20A5">
      <w:pPr>
        <w:pStyle w:val="Bullet"/>
        <w:jc w:val="both"/>
      </w:pPr>
      <w:r>
        <w:t>maintaining Australia as an attractive place for foreign investment, with a framework that promotes business certainty and delivers timely decisions;</w:t>
      </w:r>
    </w:p>
    <w:p w14:paraId="07B651BE" w14:textId="77777777" w:rsidR="00B30B6D" w:rsidRDefault="00B30B6D" w:rsidP="001E20A5">
      <w:pPr>
        <w:pStyle w:val="Bullet"/>
        <w:jc w:val="both"/>
      </w:pPr>
      <w:r>
        <w:t>maintaining public confidence in the integrity of the framework, including compliance; and</w:t>
      </w:r>
    </w:p>
    <w:p w14:paraId="04CE5DA4" w14:textId="69FD09E4" w:rsidR="00EF4A76" w:rsidRDefault="00B30B6D" w:rsidP="007935F3">
      <w:pPr>
        <w:pStyle w:val="Bullet"/>
        <w:jc w:val="both"/>
      </w:pPr>
      <w:r>
        <w:t>protecting Australia</w:t>
      </w:r>
      <w:r w:rsidR="00AF5EDD">
        <w:t>’</w:t>
      </w:r>
      <w:r>
        <w:t xml:space="preserve">s national interest </w:t>
      </w:r>
      <w:r w:rsidR="005B6930">
        <w:t xml:space="preserve">including </w:t>
      </w:r>
      <w:r>
        <w:t>national security.</w:t>
      </w:r>
    </w:p>
    <w:p w14:paraId="6DEDB35C" w14:textId="77777777" w:rsidR="000870C0" w:rsidRDefault="00BB38BF" w:rsidP="002D5E51">
      <w:pPr>
        <w:pStyle w:val="Heading2"/>
      </w:pPr>
      <w:bookmarkStart w:id="27" w:name="_Toc34142416"/>
      <w:bookmarkStart w:id="28" w:name="_Toc34147740"/>
      <w:bookmarkStart w:id="29" w:name="_Toc34148743"/>
      <w:bookmarkStart w:id="30" w:name="_Toc34376161"/>
      <w:bookmarkStart w:id="31" w:name="_Toc34384770"/>
      <w:bookmarkStart w:id="32" w:name="_Toc34385201"/>
      <w:bookmarkStart w:id="33" w:name="_Toc34823596"/>
      <w:bookmarkStart w:id="34" w:name="_Toc34840543"/>
      <w:bookmarkStart w:id="35" w:name="_Toc35254821"/>
      <w:bookmarkStart w:id="36" w:name="_Toc35257717"/>
      <w:bookmarkStart w:id="37" w:name="_Toc41999434"/>
      <w:bookmarkStart w:id="38" w:name="_Toc42154150"/>
      <w:r>
        <w:lastRenderedPageBreak/>
        <w:t>Background</w:t>
      </w:r>
      <w:bookmarkEnd w:id="27"/>
      <w:bookmarkEnd w:id="28"/>
      <w:bookmarkEnd w:id="29"/>
      <w:bookmarkEnd w:id="30"/>
      <w:bookmarkEnd w:id="31"/>
      <w:bookmarkEnd w:id="32"/>
      <w:bookmarkEnd w:id="33"/>
      <w:bookmarkEnd w:id="34"/>
      <w:bookmarkEnd w:id="35"/>
      <w:bookmarkEnd w:id="36"/>
      <w:bookmarkEnd w:id="37"/>
      <w:bookmarkEnd w:id="38"/>
    </w:p>
    <w:p w14:paraId="1775D58C" w14:textId="39B89685" w:rsidR="000C74BD" w:rsidRDefault="000C74BD" w:rsidP="000C74BD">
      <w:r>
        <w:t>Australia remains one of the world</w:t>
      </w:r>
      <w:r w:rsidR="00AF5EDD">
        <w:t>’</w:t>
      </w:r>
      <w:r>
        <w:t>s most attractive destinations for foreign investment, with that attractiveness founded on a range of factors: our</w:t>
      </w:r>
      <w:r w:rsidRPr="00C313D4">
        <w:t xml:space="preserve"> stable democracy</w:t>
      </w:r>
      <w:r>
        <w:t>;</w:t>
      </w:r>
      <w:r w:rsidRPr="00C313D4">
        <w:t xml:space="preserve"> </w:t>
      </w:r>
      <w:r>
        <w:t xml:space="preserve">our </w:t>
      </w:r>
      <w:r w:rsidRPr="00C313D4">
        <w:t>strong rule of law</w:t>
      </w:r>
      <w:r>
        <w:t>; a highly</w:t>
      </w:r>
      <w:r w:rsidR="00AF5EDD">
        <w:noBreakHyphen/>
      </w:r>
      <w:r>
        <w:t>skilled and highly</w:t>
      </w:r>
      <w:r w:rsidR="00AF5EDD">
        <w:noBreakHyphen/>
      </w:r>
      <w:r>
        <w:t>educated workforce; our proximity to dynamic and fast</w:t>
      </w:r>
      <w:r w:rsidR="00AF5EDD">
        <w:noBreakHyphen/>
      </w:r>
      <w:r w:rsidRPr="006F7CA1">
        <w:t>growing markets</w:t>
      </w:r>
      <w:r>
        <w:t xml:space="preserve">; our abundant natural resources and </w:t>
      </w:r>
      <w:r w:rsidRPr="006F7CA1">
        <w:t>wo</w:t>
      </w:r>
      <w:r>
        <w:t>rld</w:t>
      </w:r>
      <w:r w:rsidR="00AF5EDD">
        <w:noBreakHyphen/>
      </w:r>
      <w:r>
        <w:t xml:space="preserve">class industry capabilities; and a strong and well managed economy. </w:t>
      </w:r>
    </w:p>
    <w:p w14:paraId="1E8E25AB" w14:textId="5409F8B7" w:rsidR="000C74BD" w:rsidRDefault="000C74BD" w:rsidP="000C74BD">
      <w:r>
        <w:t>Australia</w:t>
      </w:r>
      <w:r w:rsidR="00AF5EDD">
        <w:t>’</w:t>
      </w:r>
      <w:r>
        <w:t>s attractiveness as a destination for foreign investment is reflected in foreign direct investment (FDI) inflows, which in the three years to 2019 averaged 3</w:t>
      </w:r>
      <w:r w:rsidRPr="00F507C0">
        <w:t>.</w:t>
      </w:r>
      <w:r>
        <w:t>3 per cent of GDP</w:t>
      </w:r>
      <w:r w:rsidR="000D1474">
        <w:t xml:space="preserve"> — </w:t>
      </w:r>
      <w:r>
        <w:t xml:space="preserve">compared with </w:t>
      </w:r>
      <w:r w:rsidRPr="003124D4">
        <w:t>1.</w:t>
      </w:r>
      <w:r>
        <w:t>7</w:t>
      </w:r>
      <w:r w:rsidRPr="003124D4">
        <w:t xml:space="preserve"> per cent </w:t>
      </w:r>
      <w:r>
        <w:t xml:space="preserve">of GDP </w:t>
      </w:r>
      <w:r w:rsidRPr="003124D4">
        <w:t>for</w:t>
      </w:r>
      <w:r>
        <w:t xml:space="preserve"> </w:t>
      </w:r>
      <w:r w:rsidRPr="003124D4">
        <w:t xml:space="preserve">the OECD and </w:t>
      </w:r>
      <w:r>
        <w:t xml:space="preserve">1.5 per cent of GDP for </w:t>
      </w:r>
      <w:r w:rsidRPr="003124D4">
        <w:t>the G20</w:t>
      </w:r>
      <w:r w:rsidR="008A4554">
        <w:t xml:space="preserve"> economies</w:t>
      </w:r>
      <w:r>
        <w:t>.</w:t>
      </w:r>
      <w:r>
        <w:rPr>
          <w:rStyle w:val="FootnoteReference"/>
        </w:rPr>
        <w:footnoteReference w:id="4"/>
      </w:r>
      <w:r w:rsidRPr="003124D4" w:rsidDel="00621498">
        <w:t xml:space="preserve"> </w:t>
      </w:r>
    </w:p>
    <w:p w14:paraId="5E264EC7" w14:textId="531B80AF" w:rsidR="000C74BD" w:rsidRDefault="000C74BD" w:rsidP="000C74BD">
      <w:r>
        <w:t xml:space="preserve">In recent years, many countries have updated their foreign investment regimes to manage </w:t>
      </w:r>
      <w:r w:rsidR="00054DC2">
        <w:t xml:space="preserve">a range of </w:t>
      </w:r>
      <w:r>
        <w:t>new risks. This paper sets out Australia</w:t>
      </w:r>
      <w:r w:rsidR="00AF5EDD">
        <w:t>’</w:t>
      </w:r>
      <w:r>
        <w:t>s reforms to respond to these shared challenges.</w:t>
      </w:r>
    </w:p>
    <w:p w14:paraId="277C39BF" w14:textId="5532046B" w:rsidR="00AE0B70" w:rsidRDefault="00AE0B70" w:rsidP="000C74BD">
      <w:r w:rsidRPr="00AE6C43">
        <w:t xml:space="preserve">This package builds on </w:t>
      </w:r>
      <w:r>
        <w:t>reforms to the foreign investment review framework that the Government introduced in</w:t>
      </w:r>
      <w:r w:rsidRPr="00AE6C43">
        <w:t xml:space="preserve"> 2015</w:t>
      </w:r>
      <w:r>
        <w:t>. Those</w:t>
      </w:r>
      <w:r w:rsidRPr="00AE6C43">
        <w:t xml:space="preserve"> reforms</w:t>
      </w:r>
      <w:r>
        <w:t xml:space="preserve"> modernised the FATA by:</w:t>
      </w:r>
      <w:r w:rsidDel="00BC53D1">
        <w:t xml:space="preserve"> </w:t>
      </w:r>
      <w:r>
        <w:t>bringing all foreign investment into the legislative framework rather than relying on policy statements; strengthening the Government</w:t>
      </w:r>
      <w:r w:rsidR="00AF5EDD">
        <w:t>’</w:t>
      </w:r>
      <w:r>
        <w:t xml:space="preserve">s oversight and enforcement of the residential real estate sector; providing greater </w:t>
      </w:r>
      <w:r w:rsidRPr="00AE6C43">
        <w:t>scrutiny and transparency around agricultural investments</w:t>
      </w:r>
      <w:r>
        <w:t xml:space="preserve">; and introducing fees so that </w:t>
      </w:r>
      <w:r w:rsidRPr="00AE6C43">
        <w:t xml:space="preserve">the cost of </w:t>
      </w:r>
      <w:r>
        <w:t xml:space="preserve">administering </w:t>
      </w:r>
      <w:r w:rsidRPr="00AE6C43">
        <w:t xml:space="preserve">the </w:t>
      </w:r>
      <w:r>
        <w:t>foreign investment regime is borne by</w:t>
      </w:r>
      <w:r w:rsidRPr="00614D40">
        <w:t xml:space="preserve"> </w:t>
      </w:r>
      <w:r>
        <w:t>foreign investors and not Australian taxpayers.</w:t>
      </w:r>
    </w:p>
    <w:p w14:paraId="657628F0" w14:textId="6534DD91" w:rsidR="00AE0B70" w:rsidRDefault="00AE0B70" w:rsidP="000C74BD">
      <w:r>
        <w:t>Importantly, the reforms preserve the core principle underpinning Australia</w:t>
      </w:r>
      <w:r w:rsidR="00AF5EDD">
        <w:t>’</w:t>
      </w:r>
      <w:r>
        <w:t>s foreign investment system</w:t>
      </w:r>
      <w:r w:rsidRPr="00B67311">
        <w:t>: Australia welcomes foreign investment for the significant economic benefits it provides</w:t>
      </w:r>
      <w:r>
        <w:t>. The Government will continue to review individual investments on a case</w:t>
      </w:r>
      <w:r w:rsidR="00AF5EDD">
        <w:noBreakHyphen/>
      </w:r>
      <w:r>
        <w:t>by</w:t>
      </w:r>
      <w:r w:rsidR="00AF5EDD">
        <w:noBreakHyphen/>
      </w:r>
      <w:r>
        <w:t xml:space="preserve">case basis to ensure they </w:t>
      </w:r>
      <w:r w:rsidRPr="00B67311">
        <w:t xml:space="preserve">are not contrary to the national interest. </w:t>
      </w:r>
      <w:r>
        <w:t>This</w:t>
      </w:r>
      <w:r w:rsidRPr="00B67311">
        <w:t xml:space="preserve"> is critical to </w:t>
      </w:r>
      <w:r>
        <w:t>both</w:t>
      </w:r>
      <w:r w:rsidRPr="00B67311">
        <w:t xml:space="preserve"> protect</w:t>
      </w:r>
      <w:r>
        <w:t>ing Australia</w:t>
      </w:r>
      <w:r w:rsidR="00AF5EDD">
        <w:t>’</w:t>
      </w:r>
      <w:r>
        <w:t xml:space="preserve">s </w:t>
      </w:r>
      <w:r w:rsidRPr="00B67311">
        <w:t>national interest and maintain</w:t>
      </w:r>
      <w:r>
        <w:t>ing</w:t>
      </w:r>
      <w:r w:rsidRPr="00B67311">
        <w:t xml:space="preserve"> the Australian public</w:t>
      </w:r>
      <w:r w:rsidR="00AF5EDD">
        <w:t>’</w:t>
      </w:r>
      <w:r w:rsidRPr="00B67311">
        <w:t xml:space="preserve">s </w:t>
      </w:r>
      <w:r>
        <w:t>confidence in the</w:t>
      </w:r>
      <w:r w:rsidRPr="00B67311">
        <w:t xml:space="preserve"> foreign investment</w:t>
      </w:r>
      <w:r>
        <w:t xml:space="preserve"> regime</w:t>
      </w:r>
      <w:r w:rsidRPr="00B67311">
        <w:t>.</w:t>
      </w:r>
    </w:p>
    <w:p w14:paraId="53EB4AF3" w14:textId="7AABD31A" w:rsidR="008647A4" w:rsidRDefault="00953475" w:rsidP="008647A4">
      <w:pPr>
        <w:jc w:val="both"/>
      </w:pPr>
      <w:r>
        <w:t>Consistent with Australia</w:t>
      </w:r>
      <w:r w:rsidR="00AF5EDD">
        <w:t>’</w:t>
      </w:r>
      <w:r>
        <w:t xml:space="preserve">s </w:t>
      </w:r>
      <w:r w:rsidR="00AD2C3C">
        <w:t>open, transparent and</w:t>
      </w:r>
      <w:r>
        <w:t xml:space="preserve"> welcoming approach to foreign investment, </w:t>
      </w:r>
      <w:r w:rsidR="008647A4">
        <w:t xml:space="preserve">the Foreign Investment Review Board (FIRB) </w:t>
      </w:r>
      <w:r w:rsidR="00054DC2">
        <w:t>considers</w:t>
      </w:r>
      <w:r>
        <w:t xml:space="preserve"> ways to mitigate risks so </w:t>
      </w:r>
      <w:r w:rsidR="00DA45DD">
        <w:t>individual</w:t>
      </w:r>
      <w:r>
        <w:t xml:space="preserve"> investments can proceed. It is i</w:t>
      </w:r>
      <w:r w:rsidR="00F654F5">
        <w:t xml:space="preserve">ncreasingly </w:t>
      </w:r>
      <w:r w:rsidR="008647A4">
        <w:t>recommend</w:t>
      </w:r>
      <w:r>
        <w:t>ing</w:t>
      </w:r>
      <w:r w:rsidR="00B96411" w:rsidDel="002A7DB1">
        <w:t xml:space="preserve"> </w:t>
      </w:r>
      <w:r w:rsidR="00AC3286">
        <w:t xml:space="preserve">conditions </w:t>
      </w:r>
      <w:r w:rsidR="008647A4">
        <w:t>be attached to approvals on a case</w:t>
      </w:r>
      <w:r w:rsidR="00AF5EDD">
        <w:noBreakHyphen/>
      </w:r>
      <w:r w:rsidR="008647A4">
        <w:t>by</w:t>
      </w:r>
      <w:r w:rsidR="00AF5EDD">
        <w:noBreakHyphen/>
      </w:r>
      <w:r w:rsidR="008647A4">
        <w:t>case basis</w:t>
      </w:r>
      <w:r>
        <w:t xml:space="preserve"> as the principal means of mitigation</w:t>
      </w:r>
      <w:r w:rsidR="008647A4">
        <w:t>.</w:t>
      </w:r>
      <w:r w:rsidR="008647A4" w:rsidDel="00F069DB">
        <w:t xml:space="preserve"> </w:t>
      </w:r>
      <w:r w:rsidR="00F069DB">
        <w:t>Conditions provide a mechanism for foreign investment proposals to proceed while still safeguarding the national interest</w:t>
      </w:r>
      <w:r w:rsidR="00F654F5">
        <w:t xml:space="preserve">. </w:t>
      </w:r>
      <w:r w:rsidR="006A2D39">
        <w:t>The FIRB draws on advice from a range of agencies in performing this role</w:t>
      </w:r>
      <w:r w:rsidR="008647A4">
        <w:t xml:space="preserve">. </w:t>
      </w:r>
    </w:p>
    <w:p w14:paraId="63B7D1BE" w14:textId="15777A42" w:rsidR="00AE0B70" w:rsidRDefault="00AE0B70" w:rsidP="00542420">
      <w:r>
        <w:t>The reforms outlined in this paper balance these considerations. The Government will introduce a new national security test to ensure that it can act to address national security concerns arising from individual investment proposals which would otherwise be below the screening thresholds when the temporary $0 screening arrangements lapse. This measure,</w:t>
      </w:r>
      <w:r w:rsidRPr="002D5E51">
        <w:t xml:space="preserve"> coupled with a more streamlined screening process for less sensitive foreign investments, will ensure </w:t>
      </w:r>
      <w:r>
        <w:t>Australia</w:t>
      </w:r>
      <w:r w:rsidRPr="002D5E51">
        <w:t xml:space="preserve"> continue</w:t>
      </w:r>
      <w:r>
        <w:t>s</w:t>
      </w:r>
      <w:r w:rsidRPr="002D5E51">
        <w:t xml:space="preserve"> to successfully attract the levels of foreign investment which underpin our long</w:t>
      </w:r>
      <w:r w:rsidR="00AF5EDD">
        <w:noBreakHyphen/>
      </w:r>
      <w:r w:rsidRPr="002D5E51">
        <w:t>term economic prosperity</w:t>
      </w:r>
      <w:r>
        <w:t xml:space="preserve"> without compromising national security</w:t>
      </w:r>
      <w:r w:rsidRPr="002D5E51">
        <w:t>.</w:t>
      </w:r>
      <w:r>
        <w:t xml:space="preserve"> </w:t>
      </w:r>
    </w:p>
    <w:p w14:paraId="1DF64CAD" w14:textId="714BFB5F" w:rsidR="00AE0B70" w:rsidRDefault="00AE0B70" w:rsidP="00542420">
      <w:r>
        <w:t xml:space="preserve">The Government will also strengthen Treasury and the </w:t>
      </w:r>
      <w:r w:rsidR="00DA31A1">
        <w:t>Australian Taxation Office</w:t>
      </w:r>
      <w:r w:rsidR="00AF5EDD">
        <w:t>’</w:t>
      </w:r>
      <w:r w:rsidR="00DA31A1">
        <w:t>s (</w:t>
      </w:r>
      <w:r>
        <w:t>ATO</w:t>
      </w:r>
      <w:r w:rsidR="00AF5EDD">
        <w:t>’</w:t>
      </w:r>
      <w:r>
        <w:t>s</w:t>
      </w:r>
      <w:r w:rsidR="00DA31A1">
        <w:t>)</w:t>
      </w:r>
      <w:r>
        <w:t xml:space="preserve"> compliance monitoring and enforcement capacity. Australians rightly expect foreign investors to comply with the requirements of the FATA, along with any conditions imposed on their individual investments in Australia. Strengthening the Treasury and the ATO</w:t>
      </w:r>
      <w:r w:rsidR="00AF5EDD">
        <w:t>’</w:t>
      </w:r>
      <w:r>
        <w:t>s ability to monitor, and enforce compliance with conditions will build confidence in the foreign investment framework, alongside ensuring that any investors who do not follow the rules are appropriately penalised.</w:t>
      </w:r>
    </w:p>
    <w:p w14:paraId="302257C9" w14:textId="05548CAD" w:rsidR="00F530F1" w:rsidRDefault="00F530F1" w:rsidP="00542420"/>
    <w:p w14:paraId="17A5792E" w14:textId="437D305F" w:rsidR="00F530F1" w:rsidRDefault="00F530F1" w:rsidP="00542420"/>
    <w:p w14:paraId="34B57CD6" w14:textId="28BD1EFA" w:rsidR="00F530F1" w:rsidRDefault="00F530F1" w:rsidP="00542420"/>
    <w:p w14:paraId="7A5A354F" w14:textId="26EE694D" w:rsidR="00F530F1" w:rsidRDefault="00F530F1" w:rsidP="00542420"/>
    <w:tbl>
      <w:tblPr>
        <w:tblW w:w="5000" w:type="pct"/>
        <w:shd w:val="clear" w:color="auto" w:fill="E3E7F0"/>
        <w:tblLook w:val="01E0" w:firstRow="1" w:lastRow="1" w:firstColumn="1" w:lastColumn="1" w:noHBand="0" w:noVBand="0"/>
      </w:tblPr>
      <w:tblGrid>
        <w:gridCol w:w="9070"/>
      </w:tblGrid>
      <w:tr w:rsidR="00F530F1" w14:paraId="1B4628F7" w14:textId="77777777" w:rsidTr="00A777D8">
        <w:tc>
          <w:tcPr>
            <w:tcW w:w="5000" w:type="pct"/>
            <w:shd w:val="clear" w:color="auto" w:fill="E3E7F0"/>
          </w:tcPr>
          <w:p w14:paraId="3C81CF8F" w14:textId="77777777" w:rsidR="00F530F1" w:rsidRDefault="00F530F1" w:rsidP="00A777D8">
            <w:pPr>
              <w:pStyle w:val="BoxText"/>
              <w:rPr>
                <w:b/>
                <w:color w:val="00827F" w:themeColor="accent3"/>
                <w:sz w:val="26"/>
                <w:szCs w:val="26"/>
              </w:rPr>
            </w:pPr>
            <w:r w:rsidRPr="00F530F1">
              <w:rPr>
                <w:b/>
                <w:color w:val="00827F" w:themeColor="accent3"/>
                <w:sz w:val="26"/>
                <w:szCs w:val="26"/>
              </w:rPr>
              <w:t>Table 1: International developments in foreign investment screening</w:t>
            </w:r>
          </w:p>
          <w:p w14:paraId="196C55A7" w14:textId="77777777" w:rsidR="00F530F1" w:rsidRDefault="00F530F1" w:rsidP="00F530F1">
            <w:pPr>
              <w:pStyle w:val="BoxText"/>
            </w:pPr>
            <w:r>
              <w:t xml:space="preserve">Prior to the coronavirus pandemic, several advanced and emerging economies had already introduced changes to their foreign investment screening rules which strengthened the existing powers of governments to scrutinise investment, particularly in sensitive sectors. Like Australia, when making these changes governments have overwhelmingly continued to emphasise the need to balance reform against the well recognised benefits of foreign investment. </w:t>
            </w:r>
          </w:p>
          <w:p w14:paraId="6C1EB358" w14:textId="516D7755" w:rsidR="00F530F1" w:rsidRDefault="00F530F1" w:rsidP="00F530F1">
            <w:pPr>
              <w:pStyle w:val="BoxText"/>
            </w:pPr>
            <w:r>
              <w:t>OECD research has found that in the two years from 2017 to 2019, nine out of the world</w:t>
            </w:r>
            <w:r w:rsidR="00AF5EDD">
              <w:t>’</w:t>
            </w:r>
            <w:r>
              <w:t>s largest ten economies have modified or introduced new, comprehensive policies to manage acquisition  or ownership related risk to essential security interests in response to profound reassessments of risks and vulnerabilities.</w:t>
            </w:r>
            <w:r>
              <w:rPr>
                <w:rStyle w:val="FootnoteReference"/>
              </w:rPr>
              <w:footnoteReference w:id="5"/>
            </w:r>
            <w:r>
              <w:t xml:space="preserve"> </w:t>
            </w:r>
          </w:p>
          <w:p w14:paraId="70D32257" w14:textId="77777777" w:rsidR="00F530F1" w:rsidRDefault="00F530F1" w:rsidP="00F530F1">
            <w:pPr>
              <w:pStyle w:val="BoxText"/>
            </w:pPr>
            <w:r>
              <w:t xml:space="preserve">In July 2018, the </w:t>
            </w:r>
            <w:r w:rsidRPr="00F530F1">
              <w:rPr>
                <w:b/>
              </w:rPr>
              <w:t>United Kingdom</w:t>
            </w:r>
            <w:r>
              <w:t xml:space="preserve"> outlined plans in a White Paper for a new national security power. The United Kingdom also lowered investment screening thresholds in high tech industries, including quantum computing. </w:t>
            </w:r>
          </w:p>
          <w:p w14:paraId="6ED948AE" w14:textId="77777777" w:rsidR="00F530F1" w:rsidRDefault="00F530F1" w:rsidP="00F530F1">
            <w:pPr>
              <w:pStyle w:val="BoxText"/>
            </w:pPr>
            <w:r>
              <w:t xml:space="preserve">In November 2019, </w:t>
            </w:r>
            <w:r w:rsidRPr="00F530F1">
              <w:rPr>
                <w:b/>
              </w:rPr>
              <w:t>Japan</w:t>
            </w:r>
            <w:r>
              <w:t xml:space="preserve"> passed a bill placing restrictions on foreign investment on national security grounds, which include lowering the threshold in sensitive companies from 10 per cent to as little as 1 per cent. This follows August 2019 reforms which expanded by 20 the number of sensitive sectors for which pre acquisition notification is required.</w:t>
            </w:r>
          </w:p>
          <w:p w14:paraId="20C63CC4" w14:textId="7A073228" w:rsidR="00F530F1" w:rsidRDefault="00F530F1" w:rsidP="00F530F1">
            <w:pPr>
              <w:pStyle w:val="BoxText"/>
            </w:pPr>
            <w:r>
              <w:t xml:space="preserve">In the </w:t>
            </w:r>
            <w:r w:rsidRPr="00F530F1">
              <w:rPr>
                <w:b/>
              </w:rPr>
              <w:t>United States</w:t>
            </w:r>
            <w:r>
              <w:t>, the Foreign Investment Risk Review Modernization Act 2018 commenced in November 2018, significantly expanding the government</w:t>
            </w:r>
            <w:r w:rsidR="00AF5EDD">
              <w:t>’</w:t>
            </w:r>
            <w:r>
              <w:t xml:space="preserve">s powers to review investment in critical technologies, infrastructure and data. Under regulations that came into effect in February 2020, Australia is one of three countries to be declared an </w:t>
            </w:r>
            <w:r w:rsidR="00AF5EDD">
              <w:t>‘</w:t>
            </w:r>
            <w:r>
              <w:t>excepted foreign state</w:t>
            </w:r>
            <w:r w:rsidR="00AF5EDD">
              <w:t>’</w:t>
            </w:r>
            <w:r>
              <w:t xml:space="preserve">, meaning Australian investors are exempt from certain notification and screening requirements. </w:t>
            </w:r>
          </w:p>
          <w:p w14:paraId="7015E0ED" w14:textId="77777777" w:rsidR="00F530F1" w:rsidRDefault="00F530F1" w:rsidP="00F530F1">
            <w:pPr>
              <w:pStyle w:val="BoxText"/>
            </w:pPr>
            <w:r>
              <w:t xml:space="preserve">In March 2019, </w:t>
            </w:r>
            <w:r w:rsidRPr="00F530F1">
              <w:rPr>
                <w:b/>
              </w:rPr>
              <w:t xml:space="preserve">China </w:t>
            </w:r>
            <w:r>
              <w:t>enacted the Foreign Investment Law, which has implications for foreign firms operating in China or looking to invest in China. The Law includes a provision to permit the review of foreign investment on national security grounds.</w:t>
            </w:r>
          </w:p>
          <w:p w14:paraId="1262C702" w14:textId="77777777" w:rsidR="00F530F1" w:rsidRDefault="00F530F1" w:rsidP="00F530F1">
            <w:pPr>
              <w:pStyle w:val="BoxText"/>
            </w:pPr>
            <w:r>
              <w:t xml:space="preserve">The </w:t>
            </w:r>
            <w:r w:rsidRPr="00F530F1">
              <w:rPr>
                <w:b/>
              </w:rPr>
              <w:t>European Commission</w:t>
            </w:r>
            <w:r>
              <w:t xml:space="preserve"> introduced a new foreign investment screening framework, which commenced on 10 April 2019. The framework is intended to improve information sharing and cooperation between the individual screening rules of each member state. Several European Union members, including France and Germany, have recently strengthened their foreign investment rules.</w:t>
            </w:r>
          </w:p>
          <w:p w14:paraId="64DD5D03" w14:textId="71AD21B5" w:rsidR="00F530F1" w:rsidRPr="008950C5" w:rsidRDefault="00F530F1" w:rsidP="00F530F1">
            <w:pPr>
              <w:pStyle w:val="BoxText"/>
            </w:pPr>
            <w:r>
              <w:t xml:space="preserve">In November 2019, the </w:t>
            </w:r>
            <w:r w:rsidRPr="00F530F1">
              <w:rPr>
                <w:b/>
              </w:rPr>
              <w:t>New Zealand</w:t>
            </w:r>
            <w:r>
              <w:t xml:space="preserve"> government announced reforms to the Overseas Investment Act 2005 that enhance compliance powers, introduce a </w:t>
            </w:r>
            <w:r w:rsidR="00AF5EDD">
              <w:t>‘</w:t>
            </w:r>
            <w:r>
              <w:t>national interest test</w:t>
            </w:r>
            <w:r w:rsidR="00AF5EDD">
              <w:t>’</w:t>
            </w:r>
            <w:r>
              <w:t xml:space="preserve"> (similar to Australia</w:t>
            </w:r>
            <w:r w:rsidR="00AF5EDD">
              <w:t>’</w:t>
            </w:r>
            <w:r>
              <w:t>s) and introduce new powers to protect New Zealand</w:t>
            </w:r>
            <w:r w:rsidR="00AF5EDD">
              <w:t>’</w:t>
            </w:r>
            <w:r>
              <w:t xml:space="preserve">s </w:t>
            </w:r>
            <w:r w:rsidR="00AF5EDD">
              <w:t>‘</w:t>
            </w:r>
            <w:r>
              <w:t>core interests</w:t>
            </w:r>
            <w:r w:rsidR="00AF5EDD">
              <w:t>’</w:t>
            </w:r>
            <w:r>
              <w:t>, including national security. The latter includes mandatory notification requirements for sensitive transactions and a new power to enable the government to call in certain transactions that are not currently screened. Elements of these reforms, including the national interest test and call in power, were passed in May 2020 alongside a temporary notification requirement for all controlling investment in response to the coronavirus.</w:t>
            </w:r>
          </w:p>
        </w:tc>
      </w:tr>
    </w:tbl>
    <w:p w14:paraId="234A6A8B" w14:textId="77777777" w:rsidR="00F530F1" w:rsidRDefault="00F530F1" w:rsidP="00F530F1"/>
    <w:p w14:paraId="42387234" w14:textId="613DEF14" w:rsidR="00BB38BF" w:rsidRDefault="00772123" w:rsidP="007F411A">
      <w:bookmarkStart w:id="39" w:name="_Toc34142417"/>
      <w:bookmarkStart w:id="40" w:name="_Toc34147741"/>
      <w:bookmarkStart w:id="41" w:name="_Toc34148744"/>
      <w:bookmarkStart w:id="42" w:name="_Toc34376162"/>
      <w:bookmarkStart w:id="43" w:name="_Toc34384771"/>
      <w:bookmarkStart w:id="44" w:name="_Toc34385202"/>
      <w:r>
        <w:br w:type="column"/>
      </w:r>
      <w:bookmarkStart w:id="45" w:name="_Toc34823597"/>
      <w:bookmarkStart w:id="46" w:name="_Toc34840544"/>
      <w:bookmarkStart w:id="47" w:name="_Toc35254822"/>
      <w:bookmarkStart w:id="48" w:name="_Toc35257718"/>
      <w:bookmarkStart w:id="49" w:name="_Toc41999435"/>
      <w:bookmarkStart w:id="50" w:name="_Toc42154151"/>
      <w:r w:rsidR="00BB38BF">
        <w:lastRenderedPageBreak/>
        <w:t xml:space="preserve">Summary of </w:t>
      </w:r>
      <w:bookmarkEnd w:id="39"/>
      <w:bookmarkEnd w:id="40"/>
      <w:bookmarkEnd w:id="41"/>
      <w:bookmarkEnd w:id="42"/>
      <w:bookmarkEnd w:id="43"/>
      <w:bookmarkEnd w:id="44"/>
      <w:r w:rsidR="00953475">
        <w:t>Reforms</w:t>
      </w:r>
      <w:bookmarkEnd w:id="45"/>
      <w:bookmarkEnd w:id="46"/>
      <w:bookmarkEnd w:id="47"/>
      <w:bookmarkEnd w:id="48"/>
      <w:bookmarkEnd w:id="49"/>
      <w:bookmarkEnd w:id="50"/>
    </w:p>
    <w:p w14:paraId="0A820A8A" w14:textId="1A4C8723" w:rsidR="000870C0" w:rsidRPr="00656331" w:rsidRDefault="000870C0" w:rsidP="000D1474">
      <w:pPr>
        <w:pStyle w:val="Heading3"/>
      </w:pPr>
      <w:bookmarkStart w:id="51" w:name="_Toc33738026"/>
      <w:r w:rsidRPr="00656331">
        <w:t>Protecting Australia</w:t>
      </w:r>
      <w:r w:rsidR="00AF5EDD">
        <w:t>’</w:t>
      </w:r>
      <w:r w:rsidRPr="00656331">
        <w:t>s national security</w:t>
      </w:r>
      <w:bookmarkEnd w:id="51"/>
    </w:p>
    <w:p w14:paraId="39DAF4D9" w14:textId="7A771EC5" w:rsidR="0007627F" w:rsidRDefault="000870C0" w:rsidP="001E20A5">
      <w:pPr>
        <w:pStyle w:val="OutlineNumbered1"/>
        <w:numPr>
          <w:ilvl w:val="0"/>
          <w:numId w:val="12"/>
        </w:numPr>
        <w:jc w:val="both"/>
      </w:pPr>
      <w:r>
        <w:t>The Government will introduce a new national security test which will</w:t>
      </w:r>
      <w:r w:rsidR="0007627F">
        <w:t>:</w:t>
      </w:r>
      <w:r>
        <w:t xml:space="preserve"> </w:t>
      </w:r>
    </w:p>
    <w:p w14:paraId="1FF002D3" w14:textId="77777777" w:rsidR="0007627F" w:rsidRPr="00513DA7" w:rsidRDefault="00372D04" w:rsidP="001E20A5">
      <w:pPr>
        <w:pStyle w:val="OutlineNumbered2"/>
        <w:numPr>
          <w:ilvl w:val="1"/>
          <w:numId w:val="12"/>
        </w:numPr>
      </w:pPr>
      <w:r w:rsidRPr="00A61370">
        <w:rPr>
          <w:szCs w:val="22"/>
        </w:rPr>
        <w:t xml:space="preserve">enable the Treasurer to impose conditions or block any investment by a foreign person on national security grounds regardless of the value of </w:t>
      </w:r>
      <w:r w:rsidR="000870C0" w:rsidRPr="00513DA7">
        <w:t>investment</w:t>
      </w:r>
      <w:r w:rsidR="0007627F" w:rsidRPr="00513DA7">
        <w:t>;</w:t>
      </w:r>
    </w:p>
    <w:p w14:paraId="06ADF70A" w14:textId="7D12CCF3" w:rsidR="00081922" w:rsidRDefault="00372D04" w:rsidP="001E20A5">
      <w:pPr>
        <w:pStyle w:val="OutlineNumbered2"/>
        <w:numPr>
          <w:ilvl w:val="1"/>
          <w:numId w:val="12"/>
        </w:numPr>
      </w:pPr>
      <w:r w:rsidRPr="00513DA7">
        <w:rPr>
          <w:szCs w:val="22"/>
        </w:rPr>
        <w:t xml:space="preserve">require mandatory notification of any proposed investment </w:t>
      </w:r>
      <w:r w:rsidR="00081922">
        <w:rPr>
          <w:szCs w:val="22"/>
        </w:rPr>
        <w:t xml:space="preserve">by a foreign person </w:t>
      </w:r>
      <w:r w:rsidRPr="00513DA7">
        <w:rPr>
          <w:szCs w:val="22"/>
        </w:rPr>
        <w:t xml:space="preserve">in a </w:t>
      </w:r>
      <w:r w:rsidR="00D60FD1">
        <w:rPr>
          <w:szCs w:val="22"/>
        </w:rPr>
        <w:t xml:space="preserve">sensitive </w:t>
      </w:r>
      <w:r w:rsidR="0007627F" w:rsidRPr="00513DA7">
        <w:t>national security business;</w:t>
      </w:r>
    </w:p>
    <w:p w14:paraId="55A911E6" w14:textId="17D812BE" w:rsidR="0007627F" w:rsidRPr="00513DA7" w:rsidRDefault="00081922" w:rsidP="001E20A5">
      <w:pPr>
        <w:pStyle w:val="OutlineNumbered2"/>
        <w:numPr>
          <w:ilvl w:val="1"/>
          <w:numId w:val="12"/>
        </w:numPr>
      </w:pPr>
      <w:r>
        <w:t>require mandatory notification where a business or entity owned by a foreign person starts to carry on the activi</w:t>
      </w:r>
      <w:r w:rsidR="00F80EFE">
        <w:t>ties of a</w:t>
      </w:r>
      <w:r w:rsidR="00D60FD1">
        <w:t xml:space="preserve"> sensitive</w:t>
      </w:r>
      <w:r w:rsidR="00F80EFE">
        <w:t xml:space="preserve"> national security business;</w:t>
      </w:r>
      <w:r w:rsidR="0007627F" w:rsidRPr="00513DA7">
        <w:t xml:space="preserve"> </w:t>
      </w:r>
    </w:p>
    <w:p w14:paraId="522075B4" w14:textId="6D1D93E5" w:rsidR="0007627F" w:rsidRDefault="0007627F" w:rsidP="001E20A5">
      <w:pPr>
        <w:pStyle w:val="OutlineNumbered2"/>
        <w:numPr>
          <w:ilvl w:val="1"/>
          <w:numId w:val="12"/>
        </w:numPr>
      </w:pPr>
      <w:r>
        <w:t xml:space="preserve">allow any </w:t>
      </w:r>
      <w:r w:rsidR="00E638BE">
        <w:t>investment</w:t>
      </w:r>
      <w:r>
        <w:t xml:space="preserve"> </w:t>
      </w:r>
      <w:r w:rsidR="000E61B8">
        <w:t xml:space="preserve">that would not ordinarily require notification </w:t>
      </w:r>
      <w:r>
        <w:t xml:space="preserve">to be </w:t>
      </w:r>
      <w:r w:rsidR="00AF5EDD">
        <w:t>‘</w:t>
      </w:r>
      <w:r>
        <w:t>called in</w:t>
      </w:r>
      <w:r w:rsidR="00AF5EDD">
        <w:t>’</w:t>
      </w:r>
      <w:r>
        <w:t xml:space="preserve"> for screening on national security g</w:t>
      </w:r>
      <w:r w:rsidR="0081079F">
        <w:t>rounds;</w:t>
      </w:r>
    </w:p>
    <w:p w14:paraId="4250495D" w14:textId="3BAA57CA" w:rsidR="007B51EA" w:rsidRDefault="00237D5B" w:rsidP="001E20A5">
      <w:pPr>
        <w:pStyle w:val="OutlineNumbered2"/>
        <w:numPr>
          <w:ilvl w:val="1"/>
          <w:numId w:val="12"/>
        </w:numPr>
      </w:pPr>
      <w:r>
        <w:t xml:space="preserve">allow investors to voluntarily notify to receive </w:t>
      </w:r>
      <w:r w:rsidR="00DA31A1">
        <w:t>investor certainty</w:t>
      </w:r>
      <w:r>
        <w:t xml:space="preserve"> from </w:t>
      </w:r>
      <w:r w:rsidR="00AF5EDD">
        <w:t>‘</w:t>
      </w:r>
      <w:r>
        <w:t>call in</w:t>
      </w:r>
      <w:r w:rsidR="00AF5EDD">
        <w:t>’</w:t>
      </w:r>
      <w:r>
        <w:t xml:space="preserve"> for a particular investment or apply for an investor</w:t>
      </w:r>
      <w:r w:rsidR="00AF5EDD">
        <w:noBreakHyphen/>
      </w:r>
      <w:r>
        <w:t>specific exemption certificate; and</w:t>
      </w:r>
    </w:p>
    <w:p w14:paraId="1D1B5FDC" w14:textId="0B44950E" w:rsidR="00372D04" w:rsidRPr="00BE1C21" w:rsidRDefault="00DF357D">
      <w:pPr>
        <w:pStyle w:val="OutlineNumbered2"/>
        <w:numPr>
          <w:ilvl w:val="1"/>
          <w:numId w:val="12"/>
        </w:numPr>
        <w:rPr>
          <w:szCs w:val="22"/>
        </w:rPr>
      </w:pPr>
      <w:r w:rsidRPr="00A61370">
        <w:rPr>
          <w:szCs w:val="22"/>
        </w:rPr>
        <w:t xml:space="preserve">allow the Treasurer to impose conditions, vary existing conditions, or, as a last resort, </w:t>
      </w:r>
      <w:r w:rsidR="008A78F2">
        <w:rPr>
          <w:szCs w:val="22"/>
        </w:rPr>
        <w:t>require</w:t>
      </w:r>
      <w:r w:rsidR="008A78F2" w:rsidRPr="00A61370">
        <w:rPr>
          <w:szCs w:val="22"/>
        </w:rPr>
        <w:t xml:space="preserve"> </w:t>
      </w:r>
      <w:r w:rsidRPr="00A61370">
        <w:rPr>
          <w:szCs w:val="22"/>
        </w:rPr>
        <w:t>the divestment of any realised invest</w:t>
      </w:r>
      <w:r w:rsidRPr="00DF357D">
        <w:rPr>
          <w:szCs w:val="22"/>
        </w:rPr>
        <w:t>ment</w:t>
      </w:r>
      <w:r w:rsidR="00102F07">
        <w:rPr>
          <w:szCs w:val="22"/>
        </w:rPr>
        <w:t xml:space="preserve"> which was </w:t>
      </w:r>
      <w:r w:rsidR="00AA37B6">
        <w:rPr>
          <w:szCs w:val="22"/>
        </w:rPr>
        <w:t>approved under</w:t>
      </w:r>
      <w:r w:rsidR="00102F07">
        <w:rPr>
          <w:szCs w:val="22"/>
        </w:rPr>
        <w:t xml:space="preserve"> the FATA</w:t>
      </w:r>
      <w:r w:rsidRPr="00DF357D" w:rsidDel="006F29B5">
        <w:rPr>
          <w:szCs w:val="22"/>
        </w:rPr>
        <w:t xml:space="preserve"> </w:t>
      </w:r>
      <w:r w:rsidR="00040DED">
        <w:rPr>
          <w:szCs w:val="22"/>
        </w:rPr>
        <w:t xml:space="preserve">where </w:t>
      </w:r>
      <w:r w:rsidRPr="00DF357D" w:rsidDel="006F29B5">
        <w:rPr>
          <w:szCs w:val="22"/>
        </w:rPr>
        <w:t xml:space="preserve">national security </w:t>
      </w:r>
      <w:r w:rsidR="00040DED">
        <w:rPr>
          <w:szCs w:val="22"/>
        </w:rPr>
        <w:t>risks emerge</w:t>
      </w:r>
      <w:r w:rsidR="007B51EA" w:rsidRPr="00BE1C21">
        <w:rPr>
          <w:szCs w:val="22"/>
        </w:rPr>
        <w:t>.</w:t>
      </w:r>
    </w:p>
    <w:p w14:paraId="3E39440D" w14:textId="6B27F120" w:rsidR="00311F09" w:rsidRPr="00656331" w:rsidRDefault="007B5A42" w:rsidP="000D1474">
      <w:pPr>
        <w:pStyle w:val="Heading3"/>
      </w:pPr>
      <w:r>
        <w:t>Streamline</w:t>
      </w:r>
      <w:r w:rsidR="00311F09">
        <w:t xml:space="preserve"> less sensitive </w:t>
      </w:r>
      <w:r w:rsidR="00E638BE">
        <w:t>investment</w:t>
      </w:r>
      <w:r w:rsidR="00311F09">
        <w:t>s</w:t>
      </w:r>
    </w:p>
    <w:p w14:paraId="35F48B5A" w14:textId="17AD7FC4" w:rsidR="000870C0" w:rsidRDefault="000870C0" w:rsidP="001E20A5">
      <w:pPr>
        <w:pStyle w:val="OutlineNumbered1"/>
        <w:numPr>
          <w:ilvl w:val="0"/>
          <w:numId w:val="12"/>
        </w:numPr>
        <w:jc w:val="both"/>
      </w:pPr>
      <w:r>
        <w:t>The Government will</w:t>
      </w:r>
      <w:r w:rsidR="00412DDC">
        <w:t xml:space="preserve"> </w:t>
      </w:r>
      <w:r w:rsidR="00A1577C">
        <w:t>exempt certain investments</w:t>
      </w:r>
      <w:r w:rsidR="00B52871">
        <w:t xml:space="preserve"> made</w:t>
      </w:r>
      <w:r w:rsidR="00A1577C">
        <w:t xml:space="preserve"> by entities </w:t>
      </w:r>
      <w:r w:rsidR="00213463">
        <w:t xml:space="preserve">which </w:t>
      </w:r>
      <w:r w:rsidR="00A1577C">
        <w:t xml:space="preserve">are </w:t>
      </w:r>
      <w:r w:rsidR="001C47FA">
        <w:t xml:space="preserve">currently </w:t>
      </w:r>
      <w:r w:rsidR="00A1577C">
        <w:t xml:space="preserve">classified as </w:t>
      </w:r>
      <w:r w:rsidR="00AF5EDD">
        <w:t>‘</w:t>
      </w:r>
      <w:r w:rsidR="00A1577C">
        <w:t>Foreign Government Investors</w:t>
      </w:r>
      <w:r w:rsidR="00AF5EDD">
        <w:t>’</w:t>
      </w:r>
      <w:r w:rsidR="00B249EC">
        <w:t>.</w:t>
      </w:r>
      <w:r w:rsidR="00B52871">
        <w:t xml:space="preserve"> </w:t>
      </w:r>
      <w:r w:rsidR="00B249EC">
        <w:t xml:space="preserve">This exemption will </w:t>
      </w:r>
      <w:r w:rsidR="00B5418C">
        <w:t>be non</w:t>
      </w:r>
      <w:r w:rsidR="00AF5EDD">
        <w:noBreakHyphen/>
      </w:r>
      <w:r w:rsidR="00B5418C">
        <w:t xml:space="preserve">discriminatory and </w:t>
      </w:r>
      <w:r w:rsidR="00B249EC">
        <w:t>apply only</w:t>
      </w:r>
      <w:r w:rsidR="00B52871">
        <w:t xml:space="preserve"> where</w:t>
      </w:r>
      <w:r w:rsidR="00A1577C">
        <w:t xml:space="preserve"> </w:t>
      </w:r>
      <w:r w:rsidR="00B52871">
        <w:t>no foreign government</w:t>
      </w:r>
      <w:r w:rsidR="00530237">
        <w:t xml:space="preserve"> </w:t>
      </w:r>
      <w:r w:rsidR="001C47FA">
        <w:t xml:space="preserve">investor </w:t>
      </w:r>
      <w:r w:rsidR="00B52871">
        <w:t xml:space="preserve">has </w:t>
      </w:r>
      <w:r w:rsidR="00BC023F">
        <w:t xml:space="preserve">or could </w:t>
      </w:r>
      <w:r w:rsidR="00AA37B6">
        <w:t xml:space="preserve">be perceived to </w:t>
      </w:r>
      <w:r w:rsidR="00BC023F">
        <w:t xml:space="preserve">have </w:t>
      </w:r>
      <w:r w:rsidR="00530237">
        <w:rPr>
          <w:rFonts w:eastAsia="Arial"/>
        </w:rPr>
        <w:t>influence or control over the investment or operational decisions of the entity or any of its underlying assets</w:t>
      </w:r>
      <w:r>
        <w:t>.</w:t>
      </w:r>
    </w:p>
    <w:p w14:paraId="0192D35E" w14:textId="77777777" w:rsidR="000870C0" w:rsidRPr="00656331" w:rsidRDefault="000870C0" w:rsidP="000D1474">
      <w:pPr>
        <w:pStyle w:val="Heading3"/>
      </w:pPr>
      <w:bookmarkStart w:id="52" w:name="_Toc33738027"/>
      <w:r w:rsidRPr="00656331">
        <w:t>Stronger penalties, compliance and enforcement powers</w:t>
      </w:r>
      <w:bookmarkEnd w:id="52"/>
    </w:p>
    <w:p w14:paraId="78C35E30" w14:textId="2A056421" w:rsidR="00CF5071" w:rsidRPr="00646D5D" w:rsidRDefault="00CF5071" w:rsidP="001E20A5">
      <w:pPr>
        <w:pStyle w:val="OutlineNumbered1"/>
        <w:numPr>
          <w:ilvl w:val="0"/>
          <w:numId w:val="12"/>
        </w:numPr>
        <w:jc w:val="both"/>
      </w:pPr>
      <w:r>
        <w:t xml:space="preserve">The </w:t>
      </w:r>
      <w:r w:rsidR="00D4331B">
        <w:t xml:space="preserve">Government </w:t>
      </w:r>
      <w:r w:rsidRPr="00646D5D">
        <w:t xml:space="preserve">will have </w:t>
      </w:r>
      <w:r w:rsidR="003F23CD" w:rsidRPr="00646D5D">
        <w:t xml:space="preserve">standard </w:t>
      </w:r>
      <w:r w:rsidRPr="00646D5D">
        <w:t>monitoring and investigative powers</w:t>
      </w:r>
      <w:r w:rsidR="006529EF">
        <w:t xml:space="preserve"> (in line with those of other business regulators)</w:t>
      </w:r>
      <w:r w:rsidRPr="00646D5D">
        <w:t xml:space="preserve">, including access to premises with consent or by warrant to gather information. This measure will improve </w:t>
      </w:r>
      <w:r>
        <w:t>regulator</w:t>
      </w:r>
      <w:r w:rsidRPr="00646D5D">
        <w:t>s</w:t>
      </w:r>
      <w:r w:rsidR="00AF5EDD">
        <w:t>’</w:t>
      </w:r>
      <w:r w:rsidRPr="00646D5D">
        <w:t xml:space="preserve"> capability to monitor investor compliance and/or investigate potential non</w:t>
      </w:r>
      <w:r w:rsidR="00AF5EDD">
        <w:noBreakHyphen/>
      </w:r>
      <w:r w:rsidRPr="00646D5D">
        <w:t>compliance.</w:t>
      </w:r>
    </w:p>
    <w:p w14:paraId="7A015B9C" w14:textId="1A9A2985" w:rsidR="00CF5071" w:rsidRPr="000A0DD6" w:rsidRDefault="00D4331B" w:rsidP="001E20A5">
      <w:pPr>
        <w:pStyle w:val="OutlineNumbered1"/>
        <w:numPr>
          <w:ilvl w:val="0"/>
          <w:numId w:val="12"/>
        </w:numPr>
        <w:jc w:val="both"/>
      </w:pPr>
      <w:r>
        <w:t>The Government</w:t>
      </w:r>
      <w:r w:rsidR="00CF5071" w:rsidRPr="00892457">
        <w:t xml:space="preserve"> </w:t>
      </w:r>
      <w:r w:rsidR="00CF5071" w:rsidRPr="000A0DD6">
        <w:t xml:space="preserve">will have powers to give directions to investors in order to prevent or address suspected breaches of conditions or </w:t>
      </w:r>
      <w:r w:rsidR="00CF5071">
        <w:t>of the foreign investment laws</w:t>
      </w:r>
      <w:r w:rsidR="00CF5071" w:rsidRPr="000A0DD6">
        <w:t>.</w:t>
      </w:r>
    </w:p>
    <w:p w14:paraId="212464F0" w14:textId="6D0AE308" w:rsidR="00CF5071" w:rsidRDefault="00CF5071" w:rsidP="001E20A5">
      <w:pPr>
        <w:pStyle w:val="OutlineNumbered1"/>
        <w:numPr>
          <w:ilvl w:val="0"/>
          <w:numId w:val="12"/>
        </w:numPr>
        <w:jc w:val="both"/>
      </w:pPr>
      <w:r w:rsidRPr="00012AFB">
        <w:t xml:space="preserve">The Government will increase civil and criminal penalties under the FATA to ensure </w:t>
      </w:r>
      <w:r>
        <w:t>the</w:t>
      </w:r>
      <w:r w:rsidR="00E47118">
        <w:t>se penalties</w:t>
      </w:r>
      <w:r w:rsidRPr="00012AFB">
        <w:t xml:space="preserve"> act as an effective deterrent. </w:t>
      </w:r>
    </w:p>
    <w:p w14:paraId="0C410902" w14:textId="4E5B2678" w:rsidR="000870C0" w:rsidRDefault="000870C0" w:rsidP="001E20A5">
      <w:pPr>
        <w:pStyle w:val="OutlineNumbered1"/>
        <w:numPr>
          <w:ilvl w:val="0"/>
          <w:numId w:val="12"/>
        </w:numPr>
        <w:jc w:val="both"/>
      </w:pPr>
      <w:r>
        <w:t xml:space="preserve">The Government will expand the infringement notices regime to cover all </w:t>
      </w:r>
      <w:r w:rsidR="00A70757">
        <w:t>types of foreign investments</w:t>
      </w:r>
      <w:r>
        <w:t xml:space="preserve"> and introduce a third tier to allow for a more graduated </w:t>
      </w:r>
      <w:r w:rsidR="003C590F">
        <w:t xml:space="preserve">and proportional </w:t>
      </w:r>
      <w:r>
        <w:t>approach to enforcement.</w:t>
      </w:r>
    </w:p>
    <w:p w14:paraId="35AB1743" w14:textId="4AC39B08" w:rsidR="000870C0" w:rsidRDefault="00D4331B" w:rsidP="001E20A5">
      <w:pPr>
        <w:pStyle w:val="OutlineNumbered1"/>
        <w:numPr>
          <w:ilvl w:val="0"/>
          <w:numId w:val="12"/>
        </w:numPr>
        <w:jc w:val="both"/>
      </w:pPr>
      <w:r>
        <w:t>The Government</w:t>
      </w:r>
      <w:r w:rsidR="000870C0" w:rsidRPr="00892457">
        <w:t xml:space="preserve"> </w:t>
      </w:r>
      <w:r w:rsidR="000870C0">
        <w:t xml:space="preserve">will have powers to remedy situations where foreign persons are given a </w:t>
      </w:r>
      <w:r w:rsidR="00A72FA2">
        <w:t>no objection</w:t>
      </w:r>
      <w:r w:rsidR="000870C0">
        <w:t xml:space="preserve"> notification or an exemption certificate based on a foreign investment application that makes an incorrect statement, or omits an important piece of information.</w:t>
      </w:r>
    </w:p>
    <w:p w14:paraId="7FA840E6" w14:textId="66ADCAC5" w:rsidR="000870C0" w:rsidRDefault="00D4331B" w:rsidP="001E20A5">
      <w:pPr>
        <w:pStyle w:val="OutlineNumbered1"/>
        <w:numPr>
          <w:ilvl w:val="0"/>
          <w:numId w:val="12"/>
        </w:numPr>
        <w:jc w:val="both"/>
      </w:pPr>
      <w:r>
        <w:t>The Government</w:t>
      </w:r>
      <w:r w:rsidR="000870C0" w:rsidRPr="00892457">
        <w:t xml:space="preserve"> </w:t>
      </w:r>
      <w:r w:rsidR="000870C0">
        <w:t xml:space="preserve">will have </w:t>
      </w:r>
      <w:r w:rsidR="00CF5071">
        <w:t>powers</w:t>
      </w:r>
      <w:r w:rsidR="000870C0">
        <w:t xml:space="preserve"> with respect to a</w:t>
      </w:r>
      <w:r w:rsidR="008D4570">
        <w:t>n investment</w:t>
      </w:r>
      <w:r w:rsidR="000870C0">
        <w:t xml:space="preserve"> </w:t>
      </w:r>
      <w:r w:rsidR="007648EC">
        <w:t xml:space="preserve">that was originally </w:t>
      </w:r>
      <w:r w:rsidR="008D4570">
        <w:t xml:space="preserve">made </w:t>
      </w:r>
      <w:r w:rsidR="000870C0">
        <w:t>in breach of the FATA</w:t>
      </w:r>
      <w:r w:rsidR="007648EC">
        <w:t xml:space="preserve"> where</w:t>
      </w:r>
      <w:r w:rsidR="000870C0">
        <w:t xml:space="preserve"> th</w:t>
      </w:r>
      <w:r w:rsidR="008D4570">
        <w:t xml:space="preserve">e interest </w:t>
      </w:r>
      <w:r w:rsidR="000870C0">
        <w:t xml:space="preserve">has </w:t>
      </w:r>
      <w:r w:rsidR="006D6238">
        <w:t>subsequently</w:t>
      </w:r>
      <w:r w:rsidR="007648EC">
        <w:t xml:space="preserve"> </w:t>
      </w:r>
      <w:r w:rsidR="000870C0">
        <w:t xml:space="preserve">been transferred to another foreign person by will or devolution </w:t>
      </w:r>
      <w:r w:rsidR="006D6238">
        <w:t xml:space="preserve">by operation </w:t>
      </w:r>
      <w:r w:rsidR="000870C0">
        <w:t xml:space="preserve">of law. </w:t>
      </w:r>
    </w:p>
    <w:p w14:paraId="74CEB668" w14:textId="7DDFCEC6" w:rsidR="000870C0" w:rsidRDefault="00D4331B" w:rsidP="001E20A5">
      <w:pPr>
        <w:pStyle w:val="OutlineNumbered1"/>
        <w:numPr>
          <w:ilvl w:val="0"/>
          <w:numId w:val="12"/>
        </w:numPr>
        <w:jc w:val="both"/>
      </w:pPr>
      <w:r>
        <w:lastRenderedPageBreak/>
        <w:t>The Government</w:t>
      </w:r>
      <w:r w:rsidR="000870C0" w:rsidRPr="00892457">
        <w:t xml:space="preserve"> </w:t>
      </w:r>
      <w:r w:rsidR="000870C0">
        <w:t xml:space="preserve">will have the power to </w:t>
      </w:r>
      <w:r w:rsidR="0098602A">
        <w:t>accept</w:t>
      </w:r>
      <w:r w:rsidR="00646D5D">
        <w:t xml:space="preserve"> </w:t>
      </w:r>
      <w:r w:rsidR="000870C0">
        <w:t xml:space="preserve">enforceable undertakings </w:t>
      </w:r>
      <w:r w:rsidR="0098602A">
        <w:t>from</w:t>
      </w:r>
      <w:r w:rsidR="003F23CD">
        <w:t xml:space="preserve"> </w:t>
      </w:r>
      <w:r w:rsidR="000870C0">
        <w:t xml:space="preserve">foreign </w:t>
      </w:r>
      <w:r w:rsidR="00687E26">
        <w:t xml:space="preserve">persons </w:t>
      </w:r>
      <w:r w:rsidR="000870C0">
        <w:t xml:space="preserve">to </w:t>
      </w:r>
      <w:r w:rsidR="0056708B" w:rsidRPr="00477839">
        <w:t>manage non</w:t>
      </w:r>
      <w:r w:rsidR="00AF5EDD">
        <w:noBreakHyphen/>
      </w:r>
      <w:r w:rsidR="0056708B" w:rsidRPr="00477839">
        <w:t>compliance</w:t>
      </w:r>
      <w:r w:rsidR="00BC1F64">
        <w:t xml:space="preserve"> or to give weight to commitments</w:t>
      </w:r>
      <w:r w:rsidR="00D80BD7">
        <w:t xml:space="preserve"> </w:t>
      </w:r>
      <w:r w:rsidR="00687E26">
        <w:t>a foreign person</w:t>
      </w:r>
      <w:r w:rsidR="00BC1F64">
        <w:t xml:space="preserve"> </w:t>
      </w:r>
      <w:r w:rsidR="006529EF">
        <w:t xml:space="preserve">made </w:t>
      </w:r>
      <w:r w:rsidR="00BC1F64">
        <w:t xml:space="preserve">at the time of applying for a </w:t>
      </w:r>
      <w:r w:rsidR="00A72FA2">
        <w:t>no objection</w:t>
      </w:r>
      <w:r w:rsidR="00BC1F64">
        <w:t xml:space="preserve"> notification</w:t>
      </w:r>
      <w:r w:rsidR="006529EF">
        <w:t xml:space="preserve"> </w:t>
      </w:r>
      <w:r w:rsidR="00D303E6">
        <w:t>or an exemption certificate</w:t>
      </w:r>
      <w:r w:rsidR="000870C0">
        <w:t>.</w:t>
      </w:r>
    </w:p>
    <w:p w14:paraId="3938A18D" w14:textId="3CF84B4F" w:rsidR="000870C0" w:rsidRDefault="000870C0" w:rsidP="001E20A5">
      <w:pPr>
        <w:pStyle w:val="OutlineNumbered1"/>
        <w:numPr>
          <w:ilvl w:val="0"/>
          <w:numId w:val="12"/>
        </w:numPr>
        <w:jc w:val="both"/>
      </w:pPr>
      <w:r>
        <w:t xml:space="preserve">Foreign persons who have been issued a </w:t>
      </w:r>
      <w:r w:rsidR="00A72FA2">
        <w:t>no objection</w:t>
      </w:r>
      <w:r>
        <w:t xml:space="preserve"> notification for a proposed action</w:t>
      </w:r>
      <w:r w:rsidR="00C55693">
        <w:t xml:space="preserve"> or an exemption certificate</w:t>
      </w:r>
      <w:r>
        <w:t xml:space="preserve"> will be required to notify the </w:t>
      </w:r>
      <w:r w:rsidR="00A251DB">
        <w:t xml:space="preserve">Government </w:t>
      </w:r>
      <w:r>
        <w:t>of certain events, including that the action has occurred or did not occur.</w:t>
      </w:r>
    </w:p>
    <w:p w14:paraId="4C9A7C1B" w14:textId="577EA068" w:rsidR="000870C0" w:rsidRPr="00656331" w:rsidRDefault="000870C0" w:rsidP="000D1474">
      <w:pPr>
        <w:pStyle w:val="Heading3"/>
      </w:pPr>
      <w:bookmarkStart w:id="53" w:name="_Toc33738028"/>
      <w:r w:rsidRPr="00656331">
        <w:t xml:space="preserve">Integrity of the foreign investment </w:t>
      </w:r>
      <w:r w:rsidR="00621498">
        <w:t xml:space="preserve">review </w:t>
      </w:r>
      <w:r w:rsidRPr="00656331">
        <w:t>framework</w:t>
      </w:r>
      <w:bookmarkEnd w:id="53"/>
    </w:p>
    <w:p w14:paraId="5D980880" w14:textId="6BD6B041" w:rsidR="000870C0" w:rsidRPr="004608DE" w:rsidRDefault="000870C0" w:rsidP="001E20A5">
      <w:pPr>
        <w:pStyle w:val="OutlineNumbered1"/>
        <w:numPr>
          <w:ilvl w:val="0"/>
          <w:numId w:val="12"/>
        </w:numPr>
        <w:jc w:val="both"/>
      </w:pPr>
      <w:r w:rsidRPr="004608DE">
        <w:t xml:space="preserve">The Government will </w:t>
      </w:r>
      <w:r w:rsidR="00C631D4">
        <w:t xml:space="preserve">clarify that </w:t>
      </w:r>
      <w:r w:rsidR="00687E26">
        <w:t>foreign persons</w:t>
      </w:r>
      <w:r w:rsidR="00687E26" w:rsidRPr="004608DE">
        <w:t xml:space="preserve"> </w:t>
      </w:r>
      <w:r w:rsidR="00C631D4">
        <w:t xml:space="preserve">are required </w:t>
      </w:r>
      <w:r w:rsidRPr="004608DE">
        <w:t xml:space="preserve">to seek further foreign investment approval for any increase in actual or proportional holdings above what has been </w:t>
      </w:r>
      <w:r w:rsidR="00C631D4">
        <w:t xml:space="preserve">previously </w:t>
      </w:r>
      <w:r w:rsidRPr="004608DE">
        <w:t xml:space="preserve">approved, including as a result of creep acquisitions and </w:t>
      </w:r>
      <w:r w:rsidR="00C631D4">
        <w:t xml:space="preserve">proportional </w:t>
      </w:r>
      <w:r w:rsidRPr="004608DE">
        <w:t xml:space="preserve">increases through share buybacks </w:t>
      </w:r>
      <w:r>
        <w:t xml:space="preserve">and </w:t>
      </w:r>
      <w:r w:rsidR="008F3D45">
        <w:t xml:space="preserve">selective </w:t>
      </w:r>
      <w:r>
        <w:t>capital reductions.</w:t>
      </w:r>
    </w:p>
    <w:p w14:paraId="2C8AF789" w14:textId="4C22C904" w:rsidR="000870C0" w:rsidRPr="004608DE" w:rsidRDefault="003E2BE4" w:rsidP="003E2BE4">
      <w:pPr>
        <w:pStyle w:val="OutlineNumbered1"/>
        <w:numPr>
          <w:ilvl w:val="0"/>
          <w:numId w:val="12"/>
        </w:numPr>
        <w:jc w:val="both"/>
      </w:pPr>
      <w:r w:rsidRPr="003E2BE4">
        <w:t>The Government will narrow the scope of the moneylending exemption so that it does not apply where foreign money lenders are obtaining interests in a sensitive national security business</w:t>
      </w:r>
      <w:r>
        <w:t xml:space="preserve"> under a moneylending agreement</w:t>
      </w:r>
      <w:r w:rsidR="00DC15F5">
        <w:t>.</w:t>
      </w:r>
    </w:p>
    <w:p w14:paraId="6A46FEDC" w14:textId="58CA9D8C" w:rsidR="000870C0" w:rsidRPr="004608DE" w:rsidRDefault="000870C0" w:rsidP="001E20A5">
      <w:pPr>
        <w:pStyle w:val="OutlineNumbered1"/>
        <w:numPr>
          <w:ilvl w:val="0"/>
          <w:numId w:val="12"/>
        </w:numPr>
        <w:jc w:val="both"/>
      </w:pPr>
      <w:r w:rsidRPr="004608DE">
        <w:t>The Government will require foreign</w:t>
      </w:r>
      <w:r w:rsidR="004D0F27">
        <w:t xml:space="preserve"> persons</w:t>
      </w:r>
      <w:r w:rsidRPr="004608DE">
        <w:t xml:space="preserve"> to seek </w:t>
      </w:r>
      <w:r>
        <w:t xml:space="preserve">foreign investment </w:t>
      </w:r>
      <w:r w:rsidRPr="004608DE">
        <w:t xml:space="preserve">approval for </w:t>
      </w:r>
      <w:r w:rsidR="00285ECC" w:rsidRPr="004608DE">
        <w:t>acquisitions of interests from</w:t>
      </w:r>
      <w:r w:rsidR="00684AEE">
        <w:t xml:space="preserve"> the Commonwealth,</w:t>
      </w:r>
      <w:r w:rsidR="00285ECC" w:rsidRPr="004608DE">
        <w:t xml:space="preserve"> state or territory governments or local government bodies to perform Government services or functions associated with privatisation programs</w:t>
      </w:r>
      <w:r w:rsidR="00285ECC">
        <w:t xml:space="preserve"> that may raise national security risks</w:t>
      </w:r>
      <w:r w:rsidR="00DC15F5">
        <w:t>.</w:t>
      </w:r>
    </w:p>
    <w:p w14:paraId="40AC31B0" w14:textId="74B6F509" w:rsidR="000870C0" w:rsidRDefault="000870C0" w:rsidP="001E20A5">
      <w:pPr>
        <w:pStyle w:val="OutlineNumbered1"/>
        <w:numPr>
          <w:ilvl w:val="0"/>
          <w:numId w:val="12"/>
        </w:numPr>
        <w:jc w:val="both"/>
      </w:pPr>
      <w:r>
        <w:t>The FATA will be amended so that t</w:t>
      </w:r>
      <w:r w:rsidRPr="004608DE">
        <w:t xml:space="preserve">he tracing rules </w:t>
      </w:r>
      <w:r w:rsidR="00C631D4">
        <w:t xml:space="preserve">can be similarly applied </w:t>
      </w:r>
      <w:r w:rsidRPr="004608DE">
        <w:t xml:space="preserve">to </w:t>
      </w:r>
      <w:r w:rsidR="007F1490">
        <w:t xml:space="preserve">unincorporated </w:t>
      </w:r>
      <w:r w:rsidRPr="004608DE">
        <w:t xml:space="preserve">limited partnerships as </w:t>
      </w:r>
      <w:r w:rsidR="00C631D4">
        <w:t xml:space="preserve">they are to </w:t>
      </w:r>
      <w:r w:rsidRPr="004608DE">
        <w:t>corporations and trusts</w:t>
      </w:r>
      <w:r>
        <w:t xml:space="preserve">, so that </w:t>
      </w:r>
      <w:r w:rsidR="003E2BE4">
        <w:t xml:space="preserve">beneficial </w:t>
      </w:r>
      <w:r>
        <w:t>interests can be</w:t>
      </w:r>
      <w:r w:rsidR="00F530F1">
        <w:t> </w:t>
      </w:r>
      <w:r>
        <w:t>traced</w:t>
      </w:r>
      <w:r w:rsidR="00DC15F5">
        <w:t>.</w:t>
      </w:r>
    </w:p>
    <w:p w14:paraId="28FAF8C4" w14:textId="5740ABAC" w:rsidR="004A4858" w:rsidRDefault="00A6590D" w:rsidP="001E20A5">
      <w:pPr>
        <w:pStyle w:val="OutlineNumbered1"/>
        <w:numPr>
          <w:ilvl w:val="0"/>
          <w:numId w:val="12"/>
        </w:numPr>
        <w:jc w:val="both"/>
      </w:pPr>
      <w:r w:rsidRPr="00A6590D">
        <w:t xml:space="preserve">A </w:t>
      </w:r>
      <w:r w:rsidRPr="00652178">
        <w:t xml:space="preserve">foreign person, who is a </w:t>
      </w:r>
      <w:r w:rsidRPr="00A6590D">
        <w:t xml:space="preserve">parent or spouse </w:t>
      </w:r>
      <w:r w:rsidRPr="00652178">
        <w:t xml:space="preserve">of an Australian resident, </w:t>
      </w:r>
      <w:r w:rsidRPr="00A6590D">
        <w:t xml:space="preserve">will need to seek foreign investment approval prior to </w:t>
      </w:r>
      <w:r>
        <w:t>the purchase of</w:t>
      </w:r>
      <w:r w:rsidRPr="00A6590D">
        <w:t xml:space="preserve"> Australian land where they provide money to the</w:t>
      </w:r>
      <w:r w:rsidR="00D459B8">
        <w:t>ir</w:t>
      </w:r>
      <w:r w:rsidRPr="00652178">
        <w:t xml:space="preserve"> Australian family member </w:t>
      </w:r>
      <w:r w:rsidR="00833ADB">
        <w:t>for the purchase</w:t>
      </w:r>
      <w:r w:rsidRPr="00A6590D">
        <w:t>, other than by way of a gift.</w:t>
      </w:r>
    </w:p>
    <w:p w14:paraId="3F264A26" w14:textId="77777777" w:rsidR="000870C0" w:rsidRPr="00656331" w:rsidRDefault="000870C0" w:rsidP="000D1474">
      <w:pPr>
        <w:pStyle w:val="Heading3"/>
      </w:pPr>
      <w:bookmarkStart w:id="54" w:name="_Toc33738029"/>
      <w:r w:rsidRPr="00656331">
        <w:t>More coordinated information gathering and sharing</w:t>
      </w:r>
      <w:bookmarkEnd w:id="54"/>
    </w:p>
    <w:p w14:paraId="3AF77091" w14:textId="298FDCCB" w:rsidR="000870C0" w:rsidRDefault="000870C0" w:rsidP="001E20A5">
      <w:pPr>
        <w:pStyle w:val="OutlineNumbered1"/>
        <w:numPr>
          <w:ilvl w:val="0"/>
          <w:numId w:val="12"/>
        </w:numPr>
        <w:jc w:val="both"/>
      </w:pPr>
      <w:r>
        <w:t xml:space="preserve">The Government </w:t>
      </w:r>
      <w:r w:rsidR="005531EC">
        <w:t>is considering</w:t>
      </w:r>
      <w:r>
        <w:t xml:space="preserve"> a new </w:t>
      </w:r>
      <w:r w:rsidR="00DC15F5">
        <w:t>Register of Foreign Ownership</w:t>
      </w:r>
      <w:r w:rsidR="00CE755F">
        <w:t xml:space="preserve"> that will merge and expand the </w:t>
      </w:r>
      <w:r w:rsidR="008A7A6B">
        <w:t xml:space="preserve">existing </w:t>
      </w:r>
      <w:r w:rsidR="00CE755F">
        <w:t xml:space="preserve">agricultural land, water and residential </w:t>
      </w:r>
      <w:r w:rsidR="00E62E8F">
        <w:t>r</w:t>
      </w:r>
      <w:r w:rsidR="008A7A6B">
        <w:t>egisters,</w:t>
      </w:r>
      <w:r w:rsidR="00CE755F">
        <w:t xml:space="preserve"> in order</w:t>
      </w:r>
      <w:r w:rsidR="00DC15F5">
        <w:t xml:space="preserve"> </w:t>
      </w:r>
      <w:r w:rsidR="006F277F">
        <w:t xml:space="preserve">to increase </w:t>
      </w:r>
      <w:r w:rsidR="002212DC">
        <w:t xml:space="preserve">the </w:t>
      </w:r>
      <w:r w:rsidR="00646D5D">
        <w:t>Government</w:t>
      </w:r>
      <w:r w:rsidR="00AF5EDD">
        <w:t>’</w:t>
      </w:r>
      <w:r w:rsidR="00646D5D">
        <w:t>s</w:t>
      </w:r>
      <w:r w:rsidR="002212DC">
        <w:t xml:space="preserve"> </w:t>
      </w:r>
      <w:r w:rsidR="006F277F">
        <w:t>visibility of foreign investments made in Australia</w:t>
      </w:r>
      <w:r w:rsidR="00DC15F5">
        <w:t>.</w:t>
      </w:r>
    </w:p>
    <w:p w14:paraId="41A63F92" w14:textId="1C6DE640" w:rsidR="000870C0" w:rsidRPr="00625492" w:rsidRDefault="000870C0" w:rsidP="001E20A5">
      <w:pPr>
        <w:pStyle w:val="OutlineNumbered1"/>
        <w:numPr>
          <w:ilvl w:val="0"/>
          <w:numId w:val="12"/>
        </w:numPr>
        <w:jc w:val="both"/>
      </w:pPr>
      <w:r w:rsidRPr="00625492">
        <w:t>The Government will increase the scope of the information sharing provisions under the FATA</w:t>
      </w:r>
      <w:r w:rsidR="00CE755F">
        <w:t xml:space="preserve"> and the </w:t>
      </w:r>
      <w:r w:rsidR="00C72E2A">
        <w:rPr>
          <w:i/>
        </w:rPr>
        <w:t xml:space="preserve">Tax Administration Act 1953 </w:t>
      </w:r>
      <w:r w:rsidR="00C72E2A">
        <w:t xml:space="preserve">(the </w:t>
      </w:r>
      <w:r w:rsidR="00CE755F">
        <w:t>TAA</w:t>
      </w:r>
      <w:r w:rsidR="00C72E2A">
        <w:t>)</w:t>
      </w:r>
      <w:r w:rsidRPr="00625492">
        <w:t xml:space="preserve"> to allow greater sharing of </w:t>
      </w:r>
      <w:r w:rsidR="00CE755F">
        <w:t xml:space="preserve">foreign investment </w:t>
      </w:r>
      <w:r w:rsidRPr="00625492">
        <w:t>information across government agencies</w:t>
      </w:r>
      <w:r w:rsidR="00DC15F5">
        <w:t xml:space="preserve"> </w:t>
      </w:r>
      <w:r w:rsidR="003C590F">
        <w:t>to simplify the administration of the</w:t>
      </w:r>
      <w:r w:rsidR="00CE755F">
        <w:t xml:space="preserve"> foreign investment framework</w:t>
      </w:r>
      <w:r w:rsidR="00DC15F5">
        <w:t>.</w:t>
      </w:r>
    </w:p>
    <w:p w14:paraId="21E1962A" w14:textId="5973AEB8" w:rsidR="000870C0" w:rsidRDefault="000870C0" w:rsidP="001E20A5">
      <w:pPr>
        <w:pStyle w:val="OutlineNumbered1"/>
        <w:numPr>
          <w:ilvl w:val="0"/>
          <w:numId w:val="12"/>
        </w:numPr>
        <w:jc w:val="both"/>
      </w:pPr>
      <w:r w:rsidRPr="00625492">
        <w:t>The Government will introduce new information sharing provisions to allow sharing of protected information with international counterparts where national secur</w:t>
      </w:r>
      <w:r w:rsidR="00DC15F5">
        <w:t>ity considerations are present.</w:t>
      </w:r>
    </w:p>
    <w:p w14:paraId="664A7FBB" w14:textId="13CA4733" w:rsidR="00B62954" w:rsidRPr="00656331" w:rsidRDefault="00126D5F" w:rsidP="000D1474">
      <w:pPr>
        <w:pStyle w:val="Heading3"/>
      </w:pPr>
      <w:r>
        <w:t>A fairer and simpler framework for</w:t>
      </w:r>
      <w:r w:rsidR="00B62954" w:rsidRPr="00656331">
        <w:t xml:space="preserve"> foreign investment fees</w:t>
      </w:r>
    </w:p>
    <w:p w14:paraId="531304CB" w14:textId="254C91AC" w:rsidR="00B62954" w:rsidRDefault="004039BA" w:rsidP="001E20A5">
      <w:pPr>
        <w:pStyle w:val="OutlineNumbered1"/>
        <w:numPr>
          <w:ilvl w:val="0"/>
          <w:numId w:val="12"/>
        </w:numPr>
        <w:jc w:val="both"/>
      </w:pPr>
      <w:r>
        <w:t xml:space="preserve">The foreign investment fees framework ensures that foreign </w:t>
      </w:r>
      <w:r w:rsidR="0096718D">
        <w:t>investors</w:t>
      </w:r>
      <w:r>
        <w:t>, not</w:t>
      </w:r>
      <w:r w:rsidR="00687E26">
        <w:t xml:space="preserve"> Australian</w:t>
      </w:r>
      <w:r>
        <w:t xml:space="preserve"> taxpayers, bear the costs of administering the foreign investment system. </w:t>
      </w:r>
      <w:r w:rsidR="00C61563">
        <w:t xml:space="preserve">Consistent with this principle, fees will </w:t>
      </w:r>
      <w:r w:rsidR="00A6305B">
        <w:t>be reviewed to ensure they continue</w:t>
      </w:r>
      <w:r w:rsidR="00C61563">
        <w:t xml:space="preserve"> to cover the costs of administering </w:t>
      </w:r>
      <w:r w:rsidR="0081079F">
        <w:t xml:space="preserve">the </w:t>
      </w:r>
      <w:r w:rsidR="00A6305B">
        <w:t>system</w:t>
      </w:r>
      <w:r w:rsidR="00C61563">
        <w:t xml:space="preserve">. In doing so, the Government is committed to reforming the fees framework to make it fairer and simpler </w:t>
      </w:r>
      <w:r w:rsidR="00354FB4">
        <w:t>for investors</w:t>
      </w:r>
      <w:r w:rsidR="00C61563">
        <w:t>.</w:t>
      </w:r>
      <w:r>
        <w:t xml:space="preserve"> </w:t>
      </w:r>
    </w:p>
    <w:p w14:paraId="1BABD41D" w14:textId="3FEBF7C0" w:rsidR="00167D8D" w:rsidRPr="00656331" w:rsidRDefault="00892457" w:rsidP="000D1474">
      <w:pPr>
        <w:pStyle w:val="Heading3"/>
      </w:pPr>
      <w:bookmarkStart w:id="55" w:name="_Toc33738031"/>
      <w:r>
        <w:lastRenderedPageBreak/>
        <w:t>A timely, consistent and reliable investor experience</w:t>
      </w:r>
    </w:p>
    <w:p w14:paraId="29F51362" w14:textId="07786840" w:rsidR="00892457" w:rsidRPr="00167D8D" w:rsidRDefault="00892457" w:rsidP="001E20A5">
      <w:pPr>
        <w:pStyle w:val="OutlineNumbered1"/>
        <w:numPr>
          <w:ilvl w:val="0"/>
          <w:numId w:val="12"/>
        </w:numPr>
        <w:jc w:val="both"/>
      </w:pPr>
      <w:r w:rsidRPr="00892457">
        <w:t>The Government is committed to delivering a timely and efficient foreign investment regime which recognises commercial deadlines and does not unnecessarily impede the operation of foreign investors or markets</w:t>
      </w:r>
      <w:r w:rsidR="00950F68">
        <w:t>.</w:t>
      </w:r>
      <w:r w:rsidR="007A7E51">
        <w:t xml:space="preserve"> The Government will continue to work with stakeholders in identifying ways to streamline and enhance the investor experience.</w:t>
      </w:r>
      <w:r w:rsidR="007A7E51" w:rsidDel="007A7E51">
        <w:t xml:space="preserve"> </w:t>
      </w:r>
    </w:p>
    <w:p w14:paraId="39F56EF1" w14:textId="60A15123" w:rsidR="000870C0" w:rsidRPr="00656331" w:rsidDel="00950F68" w:rsidRDefault="000870C0" w:rsidP="000D1474">
      <w:pPr>
        <w:pStyle w:val="Heading3"/>
      </w:pPr>
      <w:r w:rsidRPr="00656331" w:rsidDel="00950F68">
        <w:t>Other amendments</w:t>
      </w:r>
      <w:bookmarkEnd w:id="55"/>
    </w:p>
    <w:p w14:paraId="17ADF350" w14:textId="11C16FAC" w:rsidR="000870C0" w:rsidDel="00950F68" w:rsidRDefault="000870C0" w:rsidP="001E20A5">
      <w:pPr>
        <w:pStyle w:val="OutlineNumbered1"/>
        <w:numPr>
          <w:ilvl w:val="0"/>
          <w:numId w:val="12"/>
        </w:numPr>
        <w:jc w:val="both"/>
      </w:pPr>
      <w:r w:rsidDel="00950F68">
        <w:t xml:space="preserve">The Government will introduce </w:t>
      </w:r>
      <w:r w:rsidRPr="00BB7844" w:rsidDel="00950F68">
        <w:t xml:space="preserve">amendments to </w:t>
      </w:r>
      <w:r w:rsidDel="00950F68">
        <w:t xml:space="preserve">the foreign investment review framework </w:t>
      </w:r>
      <w:r w:rsidR="00646D5D" w:rsidDel="00950F68">
        <w:t>to improve readability of</w:t>
      </w:r>
      <w:r w:rsidDel="00950F68">
        <w:t xml:space="preserve"> </w:t>
      </w:r>
      <w:r w:rsidRPr="00BB7844" w:rsidDel="00950F68">
        <w:t>existing provisions</w:t>
      </w:r>
      <w:r w:rsidDel="00950F68">
        <w:t>, rectify</w:t>
      </w:r>
      <w:r w:rsidRPr="00BB7844" w:rsidDel="00950F68">
        <w:t xml:space="preserve"> inconsistencies </w:t>
      </w:r>
      <w:r w:rsidDel="00950F68">
        <w:t xml:space="preserve">and unintended consequences, </w:t>
      </w:r>
      <w:r w:rsidRPr="00BB7844" w:rsidDel="00950F68">
        <w:t>and address feedback from investors seeking greater certainty</w:t>
      </w:r>
      <w:r w:rsidR="00DC15F5" w:rsidDel="00950F68">
        <w:t>.</w:t>
      </w:r>
    </w:p>
    <w:p w14:paraId="075BFCC9" w14:textId="5EFAF5DF" w:rsidR="00832387" w:rsidRDefault="00E763F0" w:rsidP="000D1474">
      <w:pPr>
        <w:pStyle w:val="Heading1"/>
      </w:pPr>
      <w:r>
        <w:rPr>
          <w:rFonts w:asciiTheme="minorHAnsi" w:hAnsiTheme="minorHAnsi" w:cstheme="minorHAnsi"/>
        </w:rPr>
        <w:br w:type="column"/>
      </w:r>
      <w:bookmarkStart w:id="56" w:name="_Toc33540613"/>
      <w:bookmarkStart w:id="57" w:name="_Toc33625464"/>
      <w:bookmarkStart w:id="58" w:name="_Toc34142418"/>
      <w:bookmarkStart w:id="59" w:name="_Toc34147742"/>
      <w:bookmarkStart w:id="60" w:name="_Toc34148745"/>
      <w:bookmarkStart w:id="61" w:name="_Toc34376163"/>
      <w:bookmarkStart w:id="62" w:name="_Toc34384772"/>
      <w:bookmarkStart w:id="63" w:name="_Toc34385203"/>
      <w:bookmarkStart w:id="64" w:name="_Toc34823598"/>
      <w:bookmarkStart w:id="65" w:name="_Toc34840545"/>
      <w:bookmarkStart w:id="66" w:name="_Toc35254823"/>
      <w:bookmarkStart w:id="67" w:name="_Toc35257719"/>
      <w:bookmarkStart w:id="68" w:name="_Toc41999436"/>
      <w:bookmarkStart w:id="69" w:name="_Toc42154152"/>
      <w:bookmarkStart w:id="70" w:name="_Toc33450081"/>
      <w:bookmarkStart w:id="71" w:name="_Toc33540589"/>
      <w:r w:rsidR="00832387">
        <w:lastRenderedPageBreak/>
        <w:t>Protecting Australia</w:t>
      </w:r>
      <w:r w:rsidR="00AF5EDD">
        <w:t>’</w:t>
      </w:r>
      <w:r w:rsidR="00832387">
        <w:t xml:space="preserve">s </w:t>
      </w:r>
      <w:r w:rsidR="00832387" w:rsidRPr="000D1474">
        <w:t>national</w:t>
      </w:r>
      <w:r w:rsidR="00832387">
        <w:t xml:space="preserve"> security</w:t>
      </w:r>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6EFD71C0" w14:textId="02CDD685" w:rsidR="00E40903" w:rsidRDefault="00FA70FE" w:rsidP="00542420">
      <w:r w:rsidRPr="00030C20">
        <w:t xml:space="preserve">The Government will </w:t>
      </w:r>
      <w:r w:rsidRPr="00445B61">
        <w:t>strengthen the overall capacity of the foreign investment review framework to address existing and emerging national security risks arising from foreign ownership.</w:t>
      </w:r>
      <w:r w:rsidR="00C3529B">
        <w:t xml:space="preserve"> It will do this by introducing a new national security test</w:t>
      </w:r>
      <w:r w:rsidR="009B69E8">
        <w:t xml:space="preserve"> and ensuring foreign investors comply with Australia</w:t>
      </w:r>
      <w:r w:rsidR="00AF5EDD">
        <w:t>’</w:t>
      </w:r>
      <w:r w:rsidR="009B69E8">
        <w:t>s rules</w:t>
      </w:r>
      <w:r w:rsidR="00C3529B">
        <w:t xml:space="preserve">. </w:t>
      </w:r>
    </w:p>
    <w:p w14:paraId="193FB011" w14:textId="0E6820DE" w:rsidR="00C3529B" w:rsidRDefault="00C3529B" w:rsidP="00542420">
      <w:r>
        <w:t>Currently, f</w:t>
      </w:r>
      <w:r w:rsidRPr="00FC0D47">
        <w:t xml:space="preserve">oreign </w:t>
      </w:r>
      <w:r>
        <w:t>persons</w:t>
      </w:r>
      <w:r w:rsidRPr="00FC0D47">
        <w:t xml:space="preserve"> must seek government approval for investments above certain thresholds that </w:t>
      </w:r>
      <w:r w:rsidR="009C1B3C">
        <w:t xml:space="preserve">are </w:t>
      </w:r>
      <w:r w:rsidRPr="00FC0D47">
        <w:t>depend</w:t>
      </w:r>
      <w:r w:rsidR="009C1B3C">
        <w:t>ent</w:t>
      </w:r>
      <w:r w:rsidRPr="00FC0D47">
        <w:t xml:space="preserve"> on the sector and country of investor. While </w:t>
      </w:r>
      <w:r>
        <w:t>Foreign Government Investors (FGIs)</w:t>
      </w:r>
      <w:r w:rsidRPr="00FC0D47">
        <w:t xml:space="preserve"> </w:t>
      </w:r>
      <w:r w:rsidR="000A492A">
        <w:t xml:space="preserve">already </w:t>
      </w:r>
      <w:r w:rsidRPr="00FC0D47">
        <w:t>face a zero</w:t>
      </w:r>
      <w:r w:rsidR="00AF5EDD">
        <w:noBreakHyphen/>
      </w:r>
      <w:r w:rsidRPr="00FC0D47">
        <w:t>dollar screening threshold, most private investments under $275 million</w:t>
      </w:r>
      <w:r w:rsidR="00C86456">
        <w:t xml:space="preserve"> </w:t>
      </w:r>
      <w:r w:rsidR="004D77D8">
        <w:t>(</w:t>
      </w:r>
      <w:r w:rsidR="00C86456">
        <w:t>or $1,192 million for our F</w:t>
      </w:r>
      <w:r w:rsidR="003C590F">
        <w:t xml:space="preserve">ree Trade Agreement </w:t>
      </w:r>
      <w:r w:rsidR="00C86456">
        <w:t>partners</w:t>
      </w:r>
      <w:r w:rsidR="004D77D8">
        <w:t>)</w:t>
      </w:r>
      <w:r w:rsidR="00C86456">
        <w:t xml:space="preserve"> are not screened</w:t>
      </w:r>
      <w:r w:rsidRPr="00FC0D47">
        <w:t xml:space="preserve">. </w:t>
      </w:r>
    </w:p>
    <w:p w14:paraId="3B522D1B" w14:textId="64557E04" w:rsidR="00C3529B" w:rsidRDefault="009C1B3C" w:rsidP="00542420">
      <w:r>
        <w:t xml:space="preserve">The presence of monetary thresholds mean </w:t>
      </w:r>
      <w:r w:rsidR="001628C9">
        <w:t xml:space="preserve">investments </w:t>
      </w:r>
      <w:r w:rsidR="000A492A">
        <w:t xml:space="preserve">in </w:t>
      </w:r>
      <w:r w:rsidR="001628C9">
        <w:t>s</w:t>
      </w:r>
      <w:r w:rsidR="001628C9" w:rsidRPr="00FC0D47">
        <w:t xml:space="preserve">ome of </w:t>
      </w:r>
      <w:r w:rsidR="001628C9">
        <w:t>our</w:t>
      </w:r>
      <w:r w:rsidR="001628C9" w:rsidRPr="00FC0D47">
        <w:t xml:space="preserve"> most sensitive </w:t>
      </w:r>
      <w:r w:rsidR="001628C9">
        <w:t>sectors</w:t>
      </w:r>
      <w:r w:rsidR="00431B16" w:rsidRPr="00431B16">
        <w:rPr>
          <w:szCs w:val="22"/>
        </w:rPr>
        <w:t xml:space="preserve"> </w:t>
      </w:r>
      <w:r>
        <w:t xml:space="preserve">are not screened, </w:t>
      </w:r>
      <w:r w:rsidR="00A26FFA">
        <w:t xml:space="preserve">even </w:t>
      </w:r>
      <w:r w:rsidR="00A82F58">
        <w:t>where</w:t>
      </w:r>
      <w:r>
        <w:t xml:space="preserve"> an investment rais</w:t>
      </w:r>
      <w:r w:rsidR="00A26FFA">
        <w:t>es</w:t>
      </w:r>
      <w:r>
        <w:t xml:space="preserve"> national security concerns</w:t>
      </w:r>
      <w:r w:rsidR="00C86456">
        <w:t xml:space="preserve">. </w:t>
      </w:r>
      <w:r w:rsidR="001628C9">
        <w:t xml:space="preserve">These sectors are particularly vulnerable as their specialised </w:t>
      </w:r>
      <w:r w:rsidR="00FD0CAB">
        <w:t xml:space="preserve">expertise often </w:t>
      </w:r>
      <w:r w:rsidR="001628C9">
        <w:t>mean</w:t>
      </w:r>
      <w:r w:rsidR="00FD0CAB">
        <w:t>s</w:t>
      </w:r>
      <w:r w:rsidR="001628C9">
        <w:t xml:space="preserve"> </w:t>
      </w:r>
      <w:r w:rsidR="00FD0CAB">
        <w:t>the</w:t>
      </w:r>
      <w:r w:rsidR="00FA150C">
        <w:t xml:space="preserve">y </w:t>
      </w:r>
      <w:r w:rsidR="00AD157F">
        <w:t xml:space="preserve">are comprised of </w:t>
      </w:r>
      <w:r w:rsidR="004F1FD3">
        <w:t>a</w:t>
      </w:r>
      <w:r w:rsidR="00AD157F">
        <w:t xml:space="preserve"> </w:t>
      </w:r>
      <w:r w:rsidR="001628C9">
        <w:t>large number of new and/or smaller firms, with valuation</w:t>
      </w:r>
      <w:r w:rsidR="0061185E">
        <w:t>s</w:t>
      </w:r>
      <w:r w:rsidR="00FD0CAB">
        <w:t xml:space="preserve"> that are</w:t>
      </w:r>
      <w:r w:rsidR="001628C9">
        <w:t xml:space="preserve"> </w:t>
      </w:r>
      <w:r w:rsidR="00FD0CAB">
        <w:t xml:space="preserve">frequently </w:t>
      </w:r>
      <w:r w:rsidR="001628C9">
        <w:t xml:space="preserve">well below existing </w:t>
      </w:r>
      <w:r w:rsidR="0077617C">
        <w:t xml:space="preserve">screening </w:t>
      </w:r>
      <w:r w:rsidR="001628C9">
        <w:t xml:space="preserve">thresholds. </w:t>
      </w:r>
    </w:p>
    <w:p w14:paraId="5ADA3800" w14:textId="7BE5936B" w:rsidR="00B13DB2" w:rsidRDefault="00E63233" w:rsidP="00542420">
      <w:r>
        <w:t xml:space="preserve">As noted in </w:t>
      </w:r>
      <w:r w:rsidRPr="00E63233">
        <w:rPr>
          <w:b/>
        </w:rPr>
        <w:t>Table 1</w:t>
      </w:r>
      <w:r w:rsidRPr="00281E39">
        <w:t>,</w:t>
      </w:r>
      <w:r>
        <w:rPr>
          <w:b/>
        </w:rPr>
        <w:t xml:space="preserve"> </w:t>
      </w:r>
      <w:r w:rsidR="00B13DB2">
        <w:t xml:space="preserve">Australia is not alone in recognising and responding to these national security challenges. </w:t>
      </w:r>
      <w:r w:rsidR="00B13DB2" w:rsidRPr="00445B61">
        <w:t xml:space="preserve">Many other </w:t>
      </w:r>
      <w:r w:rsidR="00B13DB2">
        <w:t>economies</w:t>
      </w:r>
      <w:r w:rsidR="000D1474">
        <w:t xml:space="preserve"> — </w:t>
      </w:r>
      <w:r w:rsidR="00B13DB2" w:rsidRPr="00445B61">
        <w:t>including Canada</w:t>
      </w:r>
      <w:r w:rsidR="00B13DB2">
        <w:t>,</w:t>
      </w:r>
      <w:r w:rsidR="00B13DB2" w:rsidRPr="00445B61">
        <w:t xml:space="preserve"> China</w:t>
      </w:r>
      <w:r w:rsidR="00B13DB2">
        <w:t>,</w:t>
      </w:r>
      <w:r w:rsidR="00B13DB2" w:rsidRPr="00445B61">
        <w:t xml:space="preserve"> </w:t>
      </w:r>
      <w:r w:rsidR="00B13DB2">
        <w:t>the EU,</w:t>
      </w:r>
      <w:r w:rsidR="00B13DB2" w:rsidRPr="00445B61">
        <w:t xml:space="preserve"> Japan</w:t>
      </w:r>
      <w:r w:rsidR="00B13DB2">
        <w:t>,</w:t>
      </w:r>
      <w:r w:rsidR="00B13DB2" w:rsidRPr="00445B61">
        <w:t xml:space="preserve"> New Zealand</w:t>
      </w:r>
      <w:r w:rsidR="00B13DB2">
        <w:t>,</w:t>
      </w:r>
      <w:r w:rsidR="00B13DB2" w:rsidRPr="00445B61">
        <w:t xml:space="preserve"> the UK </w:t>
      </w:r>
      <w:r w:rsidR="00B13DB2">
        <w:t xml:space="preserve">and the </w:t>
      </w:r>
      <w:r w:rsidR="00B13DB2" w:rsidRPr="00445B61">
        <w:t>US</w:t>
      </w:r>
      <w:r w:rsidR="000D1474">
        <w:t xml:space="preserve"> — </w:t>
      </w:r>
      <w:r w:rsidR="00B13DB2" w:rsidRPr="00445B61">
        <w:t xml:space="preserve">have recently updated their foreign investment rules for similar reasons. </w:t>
      </w:r>
    </w:p>
    <w:p w14:paraId="00A346C0" w14:textId="2297FFA5" w:rsidR="00B13DB2" w:rsidRPr="002B2460" w:rsidRDefault="00E63233" w:rsidP="00542420">
      <w:pPr>
        <w:rPr>
          <w:szCs w:val="22"/>
        </w:rPr>
      </w:pPr>
      <w:r>
        <w:t>I</w:t>
      </w:r>
      <w:r w:rsidR="00B13DB2" w:rsidRPr="004D4A63">
        <w:t>n</w:t>
      </w:r>
      <w:r>
        <w:t xml:space="preserve"> addition</w:t>
      </w:r>
      <w:r w:rsidR="00B13DB2">
        <w:t xml:space="preserve">, </w:t>
      </w:r>
      <w:r w:rsidR="00B13DB2" w:rsidRPr="004D4A63">
        <w:t xml:space="preserve">in </w:t>
      </w:r>
      <w:r w:rsidR="00B13DB2">
        <w:t xml:space="preserve">the </w:t>
      </w:r>
      <w:r w:rsidR="00B13DB2" w:rsidRPr="004D4A63">
        <w:t>two years</w:t>
      </w:r>
      <w:r w:rsidR="00B13DB2">
        <w:t xml:space="preserve"> to 2019, nine out of the world</w:t>
      </w:r>
      <w:r w:rsidR="00AF5EDD">
        <w:t>’</w:t>
      </w:r>
      <w:r w:rsidR="00B13DB2">
        <w:t xml:space="preserve">s </w:t>
      </w:r>
      <w:r w:rsidR="00785FA4">
        <w:t xml:space="preserve">ten </w:t>
      </w:r>
      <w:r w:rsidR="00B13DB2">
        <w:t>largest economies have modified or introduced new policies to manage foreign ownership</w:t>
      </w:r>
      <w:r w:rsidR="00AF5EDD">
        <w:noBreakHyphen/>
      </w:r>
      <w:r w:rsidR="00B13DB2">
        <w:t>related risk</w:t>
      </w:r>
      <w:r w:rsidR="00785FA4">
        <w:t>s</w:t>
      </w:r>
      <w:r w:rsidR="00B13DB2">
        <w:t xml:space="preserve"> to essential security interests in response to profound reassessment of risks and vulnerabilities.</w:t>
      </w:r>
    </w:p>
    <w:p w14:paraId="0610974E" w14:textId="01CD129C" w:rsidR="001628C9" w:rsidRDefault="001628C9" w:rsidP="00542420">
      <w:r>
        <w:t>To address risk</w:t>
      </w:r>
      <w:r w:rsidR="0061185E">
        <w:t>s arising from foreign ownership</w:t>
      </w:r>
      <w:r>
        <w:t xml:space="preserve">, </w:t>
      </w:r>
      <w:r w:rsidR="00AD157F">
        <w:rPr>
          <w:szCs w:val="22"/>
        </w:rPr>
        <w:t xml:space="preserve">a new national security test will be introduced for </w:t>
      </w:r>
      <w:r w:rsidR="00082EE9">
        <w:t xml:space="preserve">investments that raise national security concerns </w:t>
      </w:r>
      <w:r w:rsidR="006A0630">
        <w:t>and which fall below existing monetary thresholds</w:t>
      </w:r>
      <w:r w:rsidR="006A0630">
        <w:rPr>
          <w:rStyle w:val="CommentReference"/>
        </w:rPr>
        <w:t>.</w:t>
      </w:r>
    </w:p>
    <w:p w14:paraId="5E84FAF7" w14:textId="719552EF" w:rsidR="004B51DD" w:rsidRDefault="004B51DD" w:rsidP="00445B61">
      <w:pPr>
        <w:rPr>
          <w:rFonts w:cs="Arial"/>
          <w:color w:val="002C47"/>
          <w:kern w:val="32"/>
          <w:sz w:val="36"/>
          <w:szCs w:val="28"/>
        </w:rPr>
      </w:pPr>
      <w:r>
        <w:br w:type="page"/>
      </w:r>
    </w:p>
    <w:p w14:paraId="3F32DE1D" w14:textId="707CC77E" w:rsidR="00C06557" w:rsidRDefault="00706582" w:rsidP="001F018F">
      <w:pPr>
        <w:pStyle w:val="Heading2"/>
        <w:jc w:val="both"/>
        <w:rPr>
          <w:rFonts w:eastAsia="Arial"/>
        </w:rPr>
      </w:pPr>
      <w:bookmarkStart w:id="72" w:name="_Toc34142419"/>
      <w:bookmarkStart w:id="73" w:name="_Toc34147743"/>
      <w:bookmarkStart w:id="74" w:name="_Toc34148746"/>
      <w:bookmarkStart w:id="75" w:name="_Toc34376164"/>
      <w:bookmarkStart w:id="76" w:name="_Toc34384773"/>
      <w:bookmarkStart w:id="77" w:name="_Toc34385204"/>
      <w:bookmarkStart w:id="78" w:name="_Toc34823599"/>
      <w:bookmarkStart w:id="79" w:name="_Toc34840546"/>
      <w:bookmarkStart w:id="80" w:name="_Toc35254824"/>
      <w:bookmarkStart w:id="81" w:name="_Toc35257720"/>
      <w:bookmarkStart w:id="82" w:name="_Toc41999437"/>
      <w:bookmarkStart w:id="83" w:name="_Toc42154153"/>
      <w:r>
        <w:rPr>
          <w:rFonts w:eastAsia="Arial"/>
        </w:rPr>
        <w:lastRenderedPageBreak/>
        <w:t>National security test for sensitive foreign investment</w:t>
      </w:r>
      <w:bookmarkStart w:id="84" w:name="_Toc33625465"/>
      <w:bookmarkEnd w:id="72"/>
      <w:bookmarkEnd w:id="73"/>
      <w:bookmarkEnd w:id="74"/>
      <w:bookmarkEnd w:id="75"/>
      <w:bookmarkEnd w:id="76"/>
      <w:bookmarkEnd w:id="77"/>
      <w:bookmarkEnd w:id="78"/>
      <w:bookmarkEnd w:id="79"/>
      <w:bookmarkEnd w:id="80"/>
      <w:bookmarkEnd w:id="81"/>
      <w:bookmarkEnd w:id="82"/>
      <w:bookmarkEnd w:id="83"/>
    </w:p>
    <w:p w14:paraId="7DFE11B3" w14:textId="77777777" w:rsidR="001F018F" w:rsidRPr="001F018F" w:rsidRDefault="001F018F" w:rsidP="001F018F">
      <w:pPr>
        <w:pStyle w:val="SingleParagraph"/>
        <w:rPr>
          <w:rFonts w:eastAsia="Arial"/>
        </w:rPr>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C06557" w14:paraId="640E5E1A" w14:textId="77777777" w:rsidTr="001F018F">
        <w:tc>
          <w:tcPr>
            <w:tcW w:w="5000" w:type="pct"/>
            <w:shd w:val="clear" w:color="auto" w:fill="EBEBEB"/>
          </w:tcPr>
          <w:p w14:paraId="1A35522B" w14:textId="756E3C20" w:rsidR="00C06557" w:rsidRPr="00E77132" w:rsidRDefault="00C06557" w:rsidP="00E77132">
            <w:pPr>
              <w:pStyle w:val="OneLevelNumberedParagraph"/>
              <w:rPr>
                <w:sz w:val="22"/>
              </w:rPr>
            </w:pPr>
            <w:r w:rsidRPr="00E77132">
              <w:rPr>
                <w:sz w:val="22"/>
              </w:rPr>
              <w:t>The Government will introduce a new national security test which will:</w:t>
            </w:r>
          </w:p>
          <w:p w14:paraId="44111305" w14:textId="77777777" w:rsidR="00C06557" w:rsidRPr="00E8250E" w:rsidRDefault="00C06557" w:rsidP="00C06557">
            <w:pPr>
              <w:pStyle w:val="AlphaParagraph"/>
              <w:spacing w:before="120"/>
              <w:rPr>
                <w:color w:val="002C47" w:themeColor="accent1"/>
                <w:sz w:val="22"/>
                <w:szCs w:val="22"/>
              </w:rPr>
            </w:pPr>
            <w:r w:rsidRPr="00E8250E">
              <w:rPr>
                <w:color w:val="002C47" w:themeColor="accent1"/>
                <w:sz w:val="22"/>
                <w:szCs w:val="22"/>
              </w:rPr>
              <w:t>enable the Treasurer to impose conditions or block any investment by a foreign person on national security grounds regardless of the value of investment;</w:t>
            </w:r>
          </w:p>
          <w:p w14:paraId="20FC3E17" w14:textId="77777777" w:rsidR="00C06557" w:rsidRPr="00E8250E" w:rsidRDefault="00C06557" w:rsidP="00C06557">
            <w:pPr>
              <w:pStyle w:val="AlphaParagraph"/>
              <w:spacing w:before="120"/>
              <w:rPr>
                <w:color w:val="002C47" w:themeColor="accent1"/>
                <w:sz w:val="22"/>
                <w:szCs w:val="22"/>
              </w:rPr>
            </w:pPr>
            <w:r w:rsidRPr="00E8250E">
              <w:rPr>
                <w:color w:val="002C47" w:themeColor="accent1"/>
                <w:sz w:val="22"/>
                <w:szCs w:val="22"/>
              </w:rPr>
              <w:t>require mandatory notification of any proposed investment by a foreign person in a sensitive national security business;</w:t>
            </w:r>
          </w:p>
          <w:p w14:paraId="05DCC2CC" w14:textId="77777777" w:rsidR="00C06557" w:rsidRPr="00E8250E" w:rsidRDefault="00C06557" w:rsidP="00C06557">
            <w:pPr>
              <w:pStyle w:val="AlphaParagraph"/>
              <w:spacing w:before="120"/>
              <w:rPr>
                <w:color w:val="002C47" w:themeColor="accent1"/>
                <w:sz w:val="22"/>
                <w:szCs w:val="22"/>
              </w:rPr>
            </w:pPr>
            <w:r w:rsidRPr="00E8250E">
              <w:rPr>
                <w:color w:val="002C47" w:themeColor="accent1"/>
                <w:sz w:val="22"/>
                <w:szCs w:val="22"/>
              </w:rPr>
              <w:t>require mandatory notification where a business or entity owned by a foreign person starts to carry on the activities of a sensitive national security business;</w:t>
            </w:r>
          </w:p>
          <w:p w14:paraId="6A3E4106" w14:textId="4D4077A0" w:rsidR="00C06557" w:rsidRPr="00E8250E" w:rsidRDefault="00C06557" w:rsidP="00C06557">
            <w:pPr>
              <w:pStyle w:val="AlphaParagraph"/>
              <w:spacing w:before="120"/>
              <w:rPr>
                <w:color w:val="002C47" w:themeColor="accent1"/>
                <w:sz w:val="22"/>
                <w:szCs w:val="22"/>
              </w:rPr>
            </w:pPr>
            <w:r w:rsidRPr="00E8250E">
              <w:rPr>
                <w:color w:val="002C47" w:themeColor="accent1"/>
                <w:sz w:val="22"/>
                <w:szCs w:val="22"/>
              </w:rPr>
              <w:t xml:space="preserve">allow any investment that would not ordinarily require notification to be </w:t>
            </w:r>
            <w:r w:rsidR="00AF5EDD">
              <w:rPr>
                <w:color w:val="002C47" w:themeColor="accent1"/>
                <w:sz w:val="22"/>
                <w:szCs w:val="22"/>
              </w:rPr>
              <w:t>‘</w:t>
            </w:r>
            <w:r w:rsidRPr="00E8250E">
              <w:rPr>
                <w:color w:val="002C47" w:themeColor="accent1"/>
                <w:sz w:val="22"/>
                <w:szCs w:val="22"/>
              </w:rPr>
              <w:t>called in</w:t>
            </w:r>
            <w:r w:rsidR="00AF5EDD">
              <w:rPr>
                <w:color w:val="002C47" w:themeColor="accent1"/>
                <w:sz w:val="22"/>
                <w:szCs w:val="22"/>
              </w:rPr>
              <w:t>’</w:t>
            </w:r>
            <w:r w:rsidRPr="00E8250E">
              <w:rPr>
                <w:color w:val="002C47" w:themeColor="accent1"/>
                <w:sz w:val="22"/>
                <w:szCs w:val="22"/>
              </w:rPr>
              <w:t xml:space="preserve"> for screening on national security grounds;</w:t>
            </w:r>
          </w:p>
          <w:p w14:paraId="3A00D668" w14:textId="3F98CD0B" w:rsidR="00C06557" w:rsidRPr="00E8250E" w:rsidRDefault="00C06557" w:rsidP="00C06557">
            <w:pPr>
              <w:pStyle w:val="AlphaParagraph"/>
              <w:spacing w:before="120"/>
              <w:rPr>
                <w:color w:val="002C47" w:themeColor="accent1"/>
                <w:sz w:val="22"/>
                <w:szCs w:val="22"/>
              </w:rPr>
            </w:pPr>
            <w:r w:rsidRPr="00E8250E">
              <w:rPr>
                <w:color w:val="002C47" w:themeColor="accent1"/>
                <w:sz w:val="22"/>
                <w:szCs w:val="22"/>
              </w:rPr>
              <w:t xml:space="preserve">allow investors to voluntarily notify to receive </w:t>
            </w:r>
            <w:r w:rsidR="00DA31A1">
              <w:rPr>
                <w:color w:val="002C47" w:themeColor="accent1"/>
                <w:sz w:val="22"/>
                <w:szCs w:val="22"/>
              </w:rPr>
              <w:t>investor certainty</w:t>
            </w:r>
            <w:r w:rsidRPr="00E8250E">
              <w:rPr>
                <w:color w:val="002C47" w:themeColor="accent1"/>
                <w:sz w:val="22"/>
                <w:szCs w:val="22"/>
              </w:rPr>
              <w:t xml:space="preserve"> from </w:t>
            </w:r>
            <w:r w:rsidR="00AF5EDD">
              <w:rPr>
                <w:color w:val="002C47" w:themeColor="accent1"/>
                <w:sz w:val="22"/>
                <w:szCs w:val="22"/>
              </w:rPr>
              <w:t>‘</w:t>
            </w:r>
            <w:r w:rsidRPr="00E8250E">
              <w:rPr>
                <w:color w:val="002C47" w:themeColor="accent1"/>
                <w:sz w:val="22"/>
                <w:szCs w:val="22"/>
              </w:rPr>
              <w:t>call in</w:t>
            </w:r>
            <w:r w:rsidR="00AF5EDD">
              <w:rPr>
                <w:color w:val="002C47" w:themeColor="accent1"/>
                <w:sz w:val="22"/>
                <w:szCs w:val="22"/>
              </w:rPr>
              <w:t>’</w:t>
            </w:r>
            <w:r w:rsidRPr="00E8250E">
              <w:rPr>
                <w:color w:val="002C47" w:themeColor="accent1"/>
                <w:sz w:val="22"/>
                <w:szCs w:val="22"/>
              </w:rPr>
              <w:t xml:space="preserve"> for a particular investment or apply for an investor specific exemption certificate; and</w:t>
            </w:r>
          </w:p>
          <w:p w14:paraId="753DEF33" w14:textId="774C024A" w:rsidR="00C06557" w:rsidRPr="00C06557" w:rsidRDefault="00C06557" w:rsidP="00C06557">
            <w:pPr>
              <w:pStyle w:val="AlphaParagraph"/>
              <w:spacing w:before="120"/>
            </w:pPr>
            <w:r w:rsidRPr="00E8250E">
              <w:rPr>
                <w:color w:val="002C47" w:themeColor="accent1"/>
                <w:sz w:val="22"/>
                <w:szCs w:val="22"/>
              </w:rPr>
              <w:t>allow the Treasurer to impose conditions, vary existing conditions, or, as a last resort, require the divestment of any realised investment which was approved under the FATA, where national security risks emerge.</w:t>
            </w:r>
          </w:p>
        </w:tc>
      </w:tr>
      <w:bookmarkEnd w:id="84"/>
    </w:tbl>
    <w:p w14:paraId="3F87953E" w14:textId="77777777" w:rsidR="00C06557" w:rsidRDefault="00C06557" w:rsidP="00C06557">
      <w:pPr>
        <w:pStyle w:val="SingleParagraph"/>
        <w:rPr>
          <w:rFonts w:eastAsia="Arial"/>
        </w:rPr>
      </w:pPr>
    </w:p>
    <w:p w14:paraId="6294E344" w14:textId="4DA49F7E" w:rsidR="00FA231F" w:rsidRPr="00706582" w:rsidRDefault="00FA231F" w:rsidP="000D1474">
      <w:pPr>
        <w:pStyle w:val="Heading3"/>
        <w:rPr>
          <w:rFonts w:eastAsia="Arial"/>
        </w:rPr>
      </w:pPr>
      <w:r w:rsidRPr="00706582">
        <w:rPr>
          <w:rFonts w:eastAsia="Arial"/>
        </w:rPr>
        <w:t>New national security test</w:t>
      </w:r>
    </w:p>
    <w:p w14:paraId="3F6000D9" w14:textId="1B10A00F" w:rsidR="00BF1740" w:rsidRDefault="001F2FD1" w:rsidP="00542420">
      <w:r>
        <w:t xml:space="preserve">The Government will introduce </w:t>
      </w:r>
      <w:r w:rsidR="00AB30A7">
        <w:t xml:space="preserve">a new national security test </w:t>
      </w:r>
      <w:r>
        <w:t xml:space="preserve">for investments </w:t>
      </w:r>
      <w:r w:rsidR="00A311BA">
        <w:t>that raise national security concerns and</w:t>
      </w:r>
      <w:r>
        <w:t xml:space="preserve"> </w:t>
      </w:r>
      <w:r w:rsidR="0034638F">
        <w:t xml:space="preserve">which </w:t>
      </w:r>
      <w:r>
        <w:t xml:space="preserve">fall below </w:t>
      </w:r>
      <w:r w:rsidR="007E7400">
        <w:t xml:space="preserve">existing </w:t>
      </w:r>
      <w:r>
        <w:t xml:space="preserve">monetary thresholds. </w:t>
      </w:r>
      <w:r w:rsidR="004A25F7">
        <w:t xml:space="preserve">Investments subject to the new national security test will be assessed in relation to factors </w:t>
      </w:r>
      <w:r w:rsidR="00605B35">
        <w:t>that give rise to</w:t>
      </w:r>
      <w:r w:rsidR="004A25F7">
        <w:t xml:space="preserve"> national security</w:t>
      </w:r>
      <w:r w:rsidR="00605B35">
        <w:t xml:space="preserve"> concerns</w:t>
      </w:r>
      <w:r w:rsidR="004A25F7">
        <w:t>.</w:t>
      </w:r>
      <w:r w:rsidR="00BF1740">
        <w:t xml:space="preserve"> As context, the </w:t>
      </w:r>
      <w:r w:rsidR="00BF1740">
        <w:rPr>
          <w:i/>
        </w:rPr>
        <w:t>Australian Security Intelligence Organisation Act 1979</w:t>
      </w:r>
      <w:r w:rsidR="00BF1740">
        <w:t xml:space="preserve"> defines security to mean </w:t>
      </w:r>
      <w:r w:rsidR="00626419">
        <w:t>protection from espionage, sabotage, politically motivated violence, attacks on Australia</w:t>
      </w:r>
      <w:r w:rsidR="00AF5EDD">
        <w:t>’</w:t>
      </w:r>
      <w:r w:rsidR="00626419">
        <w:t>s defence system; acts of foreign interference; or the protection of Australia</w:t>
      </w:r>
      <w:r w:rsidR="00AF5EDD">
        <w:t>’</w:t>
      </w:r>
      <w:r w:rsidR="00626419">
        <w:t xml:space="preserve">s territorial and border integrity from serious threats. These factors may be relevant for the Treasurer when considering whether a proposed investment gives rise to national security concerns. </w:t>
      </w:r>
    </w:p>
    <w:p w14:paraId="4538CF5A" w14:textId="49DB1251" w:rsidR="007E7400" w:rsidRDefault="00C60EC9" w:rsidP="00542420">
      <w:r>
        <w:t>For clarity, t</w:t>
      </w:r>
      <w:r w:rsidR="005D35CF">
        <w:t>he existing national interest test will remain unchanged</w:t>
      </w:r>
      <w:r w:rsidR="00BF54DA">
        <w:t xml:space="preserve"> including the factors </w:t>
      </w:r>
      <w:r w:rsidR="002F2486">
        <w:t>that</w:t>
      </w:r>
      <w:r w:rsidR="00BF54DA">
        <w:t xml:space="preserve"> typically </w:t>
      </w:r>
      <w:r w:rsidR="002F2486">
        <w:t>underpin the assessment process</w:t>
      </w:r>
      <w:r w:rsidR="00BF54DA">
        <w:t xml:space="preserve"> such as the character of the investor, competition, impact on the economy and community, national security and other Government policies (including tax).</w:t>
      </w:r>
      <w:r w:rsidR="005D35CF">
        <w:t xml:space="preserve"> </w:t>
      </w:r>
    </w:p>
    <w:p w14:paraId="103713D4" w14:textId="4D6CF64D" w:rsidR="000A112C" w:rsidRDefault="00EA5987" w:rsidP="00542420">
      <w:r>
        <w:t>In order to avoid overlap</w:t>
      </w:r>
      <w:r w:rsidR="00C60EC9">
        <w:t xml:space="preserve"> between the two tests</w:t>
      </w:r>
      <w:r>
        <w:t xml:space="preserve">, wherever the broader national interest test would apply to a particular action, only that test will be </w:t>
      </w:r>
      <w:r w:rsidR="007D39AD">
        <w:t>used in an assessment</w:t>
      </w:r>
      <w:r>
        <w:t>.</w:t>
      </w:r>
      <w:r w:rsidR="00FF1597">
        <w:t xml:space="preserve"> </w:t>
      </w:r>
      <w:r w:rsidR="00B84DEA">
        <w:t>This</w:t>
      </w:r>
      <w:r w:rsidR="00C60EC9">
        <w:t xml:space="preserve"> is because national security is already a relevant factor that the Government considers as part of the national interest</w:t>
      </w:r>
      <w:r w:rsidR="00542420">
        <w:t> </w:t>
      </w:r>
      <w:r w:rsidR="00C60EC9">
        <w:t xml:space="preserve">test. </w:t>
      </w:r>
    </w:p>
    <w:tbl>
      <w:tblPr>
        <w:tblStyle w:val="TableGrid"/>
        <w:tblW w:w="0" w:type="auto"/>
        <w:tblLook w:val="04A0" w:firstRow="1" w:lastRow="0" w:firstColumn="1" w:lastColumn="0" w:noHBand="0" w:noVBand="1"/>
      </w:tblPr>
      <w:tblGrid>
        <w:gridCol w:w="4566"/>
        <w:gridCol w:w="4494"/>
      </w:tblGrid>
      <w:tr w:rsidR="000A112C" w:rsidRPr="00D26A48" w14:paraId="1BC63303" w14:textId="77777777" w:rsidTr="00536289">
        <w:tc>
          <w:tcPr>
            <w:tcW w:w="9060" w:type="dxa"/>
            <w:gridSpan w:val="2"/>
            <w:shd w:val="clear" w:color="auto" w:fill="auto"/>
          </w:tcPr>
          <w:p w14:paraId="2BBD6486" w14:textId="40A7B3FE" w:rsidR="000A112C" w:rsidRPr="000D1474" w:rsidRDefault="000A112C" w:rsidP="000D1474">
            <w:pPr>
              <w:pStyle w:val="ChartMainHeading"/>
              <w:rPr>
                <w:sz w:val="22"/>
              </w:rPr>
            </w:pPr>
            <w:r w:rsidRPr="000D1474">
              <w:rPr>
                <w:sz w:val="22"/>
              </w:rPr>
              <w:lastRenderedPageBreak/>
              <w:t xml:space="preserve">Chart 1: Factors the Government will typically use to assess foreign investment proposals against when applying the existing national interest test and the new national security test </w:t>
            </w:r>
          </w:p>
        </w:tc>
      </w:tr>
      <w:tr w:rsidR="000A112C" w14:paraId="29EE963A" w14:textId="77777777" w:rsidTr="00536289">
        <w:tc>
          <w:tcPr>
            <w:tcW w:w="4566" w:type="dxa"/>
            <w:shd w:val="clear" w:color="auto" w:fill="auto"/>
            <w:vAlign w:val="center"/>
          </w:tcPr>
          <w:p w14:paraId="1D9FB4C3" w14:textId="77777777" w:rsidR="000A112C" w:rsidRDefault="000A112C" w:rsidP="00652178">
            <w:pPr>
              <w:jc w:val="right"/>
              <w:rPr>
                <w:szCs w:val="22"/>
              </w:rPr>
            </w:pPr>
            <w:r>
              <w:rPr>
                <w:noProof/>
              </w:rPr>
              <w:drawing>
                <wp:inline distT="0" distB="0" distL="0" distR="0" wp14:anchorId="4105FAE6" wp14:editId="50242322">
                  <wp:extent cx="2266950" cy="1781175"/>
                  <wp:effectExtent l="0" t="19050" r="0"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c>
        <w:tc>
          <w:tcPr>
            <w:tcW w:w="4494" w:type="dxa"/>
            <w:shd w:val="clear" w:color="auto" w:fill="auto"/>
            <w:vAlign w:val="center"/>
          </w:tcPr>
          <w:p w14:paraId="12E658EF" w14:textId="1E885DC9" w:rsidR="000A112C" w:rsidRDefault="00F67ADA" w:rsidP="00652178">
            <w:pPr>
              <w:jc w:val="left"/>
              <w:rPr>
                <w:szCs w:val="22"/>
              </w:rPr>
            </w:pPr>
            <w:r>
              <w:rPr>
                <w:noProof/>
              </w:rPr>
              <w:drawing>
                <wp:inline distT="0" distB="0" distL="0" distR="0" wp14:anchorId="13F6CA38" wp14:editId="37A0F4F9">
                  <wp:extent cx="2266950" cy="1781175"/>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c>
      </w:tr>
    </w:tbl>
    <w:p w14:paraId="3023320A" w14:textId="12891E59" w:rsidR="00605B35" w:rsidRDefault="00B84DEA" w:rsidP="00542420">
      <w:r>
        <w:t>F</w:t>
      </w:r>
      <w:r w:rsidR="00C60EC9">
        <w:t>or m</w:t>
      </w:r>
      <w:r w:rsidR="00605B35">
        <w:t xml:space="preserve">ost investors who </w:t>
      </w:r>
      <w:r w:rsidR="00E212A9">
        <w:t>undertake</w:t>
      </w:r>
      <w:r w:rsidR="00605B35">
        <w:t xml:space="preserve"> investments in non</w:t>
      </w:r>
      <w:r w:rsidR="00AF5EDD">
        <w:noBreakHyphen/>
      </w:r>
      <w:r w:rsidR="00605B35">
        <w:t xml:space="preserve">sensitive areas, the introduction of the new national security test will not affect how they interact with the foreign investment review framework. </w:t>
      </w:r>
      <w:r w:rsidR="00E63233">
        <w:t>I</w:t>
      </w:r>
      <w:r w:rsidR="00605B35">
        <w:t>f an investment was previously exempt from screening, it will remain exempt, unless the investment raises national security concerns and falls below existing monetary thresholds</w:t>
      </w:r>
      <w:r>
        <w:t>.</w:t>
      </w:r>
    </w:p>
    <w:p w14:paraId="2D1E2274" w14:textId="0FDCE712" w:rsidR="003A32F0" w:rsidRPr="004A5AD6" w:rsidRDefault="00832387" w:rsidP="00542420">
      <w:pPr>
        <w:rPr>
          <w:rFonts w:eastAsia="Arial"/>
        </w:rPr>
      </w:pPr>
      <w:r w:rsidRPr="1F7F8671">
        <w:rPr>
          <w:rFonts w:eastAsia="Arial"/>
        </w:rPr>
        <w:t>The</w:t>
      </w:r>
      <w:r w:rsidR="00E23B54">
        <w:rPr>
          <w:rFonts w:eastAsia="Arial"/>
        </w:rPr>
        <w:t xml:space="preserve"> new</w:t>
      </w:r>
      <w:r w:rsidRPr="1F7F8671">
        <w:rPr>
          <w:rFonts w:eastAsia="Arial"/>
        </w:rPr>
        <w:t xml:space="preserve"> national security test will enable the </w:t>
      </w:r>
      <w:r w:rsidR="001E1D40">
        <w:rPr>
          <w:rFonts w:eastAsia="Arial"/>
        </w:rPr>
        <w:t xml:space="preserve">Government </w:t>
      </w:r>
      <w:r w:rsidRPr="1F7F8671">
        <w:rPr>
          <w:rFonts w:eastAsia="Arial"/>
        </w:rPr>
        <w:t xml:space="preserve">to </w:t>
      </w:r>
      <w:r w:rsidR="00160785">
        <w:rPr>
          <w:rFonts w:eastAsia="Arial"/>
        </w:rPr>
        <w:t>review</w:t>
      </w:r>
      <w:r w:rsidRPr="1F7F8671">
        <w:rPr>
          <w:rFonts w:eastAsia="Arial"/>
        </w:rPr>
        <w:t xml:space="preserve"> any </w:t>
      </w:r>
      <w:r w:rsidR="00A31957">
        <w:rPr>
          <w:rFonts w:eastAsia="Arial"/>
        </w:rPr>
        <w:t>acquisition of a</w:t>
      </w:r>
      <w:r w:rsidRPr="1F7F8671">
        <w:rPr>
          <w:rFonts w:eastAsia="Arial"/>
        </w:rPr>
        <w:t xml:space="preserve"> </w:t>
      </w:r>
      <w:r>
        <w:rPr>
          <w:rFonts w:eastAsia="Arial"/>
        </w:rPr>
        <w:t xml:space="preserve">direct </w:t>
      </w:r>
      <w:r w:rsidR="00A31957">
        <w:rPr>
          <w:rFonts w:eastAsia="Arial"/>
        </w:rPr>
        <w:t>interest</w:t>
      </w:r>
      <w:r w:rsidR="00A31957" w:rsidRPr="1F7F8671">
        <w:rPr>
          <w:rFonts w:eastAsia="Arial"/>
        </w:rPr>
        <w:t xml:space="preserve"> </w:t>
      </w:r>
      <w:r w:rsidRPr="1F7F8671">
        <w:rPr>
          <w:rFonts w:eastAsia="Arial"/>
        </w:rPr>
        <w:t xml:space="preserve">by a foreign person on national security grounds, regardless of the value of the investment. </w:t>
      </w:r>
      <w:r w:rsidR="003A32F0" w:rsidRPr="00657410">
        <w:rPr>
          <w:rFonts w:eastAsia="Arial"/>
        </w:rPr>
        <w:t>If satisfied that the investment would be contrary to Australia</w:t>
      </w:r>
      <w:r w:rsidR="00AF5EDD">
        <w:rPr>
          <w:rFonts w:eastAsia="Arial"/>
        </w:rPr>
        <w:t>’</w:t>
      </w:r>
      <w:r w:rsidR="003A32F0" w:rsidRPr="00657410">
        <w:rPr>
          <w:rFonts w:eastAsia="Arial"/>
        </w:rPr>
        <w:t>s national security, the Treasurer will have the power to mitigate national security concerns by imposing conditions or, if necessary, prohibit the proposed investment.</w:t>
      </w:r>
    </w:p>
    <w:p w14:paraId="5FCF9599" w14:textId="16F3B159" w:rsidR="00B84DEA" w:rsidRDefault="00D73FB2" w:rsidP="00542420">
      <w:pPr>
        <w:rPr>
          <w:rFonts w:eastAsia="Arial"/>
        </w:rPr>
      </w:pPr>
      <w:r>
        <w:rPr>
          <w:rFonts w:eastAsia="Arial"/>
        </w:rPr>
        <w:t>Enhanced national security protections</w:t>
      </w:r>
      <w:r w:rsidR="00832387" w:rsidRPr="1F7F8671">
        <w:rPr>
          <w:rFonts w:eastAsia="Arial"/>
        </w:rPr>
        <w:t xml:space="preserve"> will be given effect through the following </w:t>
      </w:r>
      <w:r w:rsidR="00832387">
        <w:rPr>
          <w:rFonts w:eastAsia="Arial"/>
        </w:rPr>
        <w:t xml:space="preserve">five specific </w:t>
      </w:r>
      <w:r w:rsidR="00832387" w:rsidRPr="1F7F8671">
        <w:rPr>
          <w:rFonts w:eastAsia="Arial"/>
        </w:rPr>
        <w:t>measures</w:t>
      </w:r>
      <w:r w:rsidR="00D54E53">
        <w:rPr>
          <w:rFonts w:eastAsia="Arial"/>
        </w:rPr>
        <w:t>.</w:t>
      </w:r>
    </w:p>
    <w:p w14:paraId="6A9BBEB3" w14:textId="7D77B657" w:rsidR="00550D83" w:rsidRPr="00706582" w:rsidRDefault="00550D83" w:rsidP="000D1474">
      <w:pPr>
        <w:pStyle w:val="Heading3"/>
        <w:rPr>
          <w:rFonts w:eastAsia="Arial"/>
        </w:rPr>
      </w:pPr>
      <w:r w:rsidRPr="00706582">
        <w:rPr>
          <w:rFonts w:eastAsia="Arial"/>
        </w:rPr>
        <w:t>Mandatory pre</w:t>
      </w:r>
      <w:r w:rsidR="00AF5EDD">
        <w:rPr>
          <w:rFonts w:eastAsia="Arial"/>
        </w:rPr>
        <w:noBreakHyphen/>
      </w:r>
      <w:r>
        <w:rPr>
          <w:rFonts w:eastAsia="Arial"/>
        </w:rPr>
        <w:t>investment</w:t>
      </w:r>
      <w:r w:rsidRPr="00706582">
        <w:rPr>
          <w:rFonts w:eastAsia="Arial"/>
        </w:rPr>
        <w:t xml:space="preserve"> notification </w:t>
      </w:r>
    </w:p>
    <w:p w14:paraId="70A0055B" w14:textId="47C7E229" w:rsidR="00832387" w:rsidRDefault="00832387" w:rsidP="001F018F">
      <w:pPr>
        <w:rPr>
          <w:rFonts w:eastAsia="Arial"/>
        </w:rPr>
      </w:pPr>
      <w:r w:rsidRPr="1F7F8671">
        <w:rPr>
          <w:rFonts w:eastAsia="Arial"/>
        </w:rPr>
        <w:t xml:space="preserve">Foreign persons acquiring a direct interest (generally at least 10 per cent, or in a position of control) in a </w:t>
      </w:r>
      <w:r w:rsidR="00AF5EDD">
        <w:rPr>
          <w:rFonts w:eastAsia="Arial"/>
        </w:rPr>
        <w:t>‘</w:t>
      </w:r>
      <w:r w:rsidRPr="1F7F8671">
        <w:rPr>
          <w:rFonts w:eastAsia="Arial"/>
        </w:rPr>
        <w:t>sensitive national security business</w:t>
      </w:r>
      <w:r w:rsidR="00AF5EDD">
        <w:rPr>
          <w:rFonts w:eastAsia="Arial"/>
        </w:rPr>
        <w:t>’</w:t>
      </w:r>
      <w:r w:rsidRPr="1F7F8671">
        <w:rPr>
          <w:rFonts w:eastAsia="Arial"/>
        </w:rPr>
        <w:t xml:space="preserve">, or </w:t>
      </w:r>
      <w:r w:rsidR="00C12540">
        <w:rPr>
          <w:rFonts w:eastAsia="Arial"/>
        </w:rPr>
        <w:t xml:space="preserve">where a foreign person </w:t>
      </w:r>
      <w:r w:rsidR="00986386">
        <w:rPr>
          <w:rFonts w:eastAsia="Arial"/>
        </w:rPr>
        <w:t>starts to</w:t>
      </w:r>
      <w:r w:rsidRPr="1F7F8671">
        <w:rPr>
          <w:rFonts w:eastAsia="Arial"/>
        </w:rPr>
        <w:t xml:space="preserve"> </w:t>
      </w:r>
      <w:r w:rsidR="00986386" w:rsidRPr="004641AE">
        <w:rPr>
          <w:rFonts w:eastAsia="Arial"/>
        </w:rPr>
        <w:t xml:space="preserve">carry on the activities of </w:t>
      </w:r>
      <w:r w:rsidRPr="1F7F8671">
        <w:rPr>
          <w:rFonts w:eastAsia="Arial"/>
        </w:rPr>
        <w:t>such a business</w:t>
      </w:r>
      <w:r w:rsidR="00C06DB7">
        <w:rPr>
          <w:rFonts w:eastAsia="Arial"/>
        </w:rPr>
        <w:t>,</w:t>
      </w:r>
      <w:r w:rsidRPr="1F7F8671">
        <w:rPr>
          <w:rFonts w:eastAsia="Arial"/>
        </w:rPr>
        <w:t xml:space="preserve"> </w:t>
      </w:r>
      <w:r w:rsidR="009017D0">
        <w:rPr>
          <w:rFonts w:eastAsia="Arial"/>
        </w:rPr>
        <w:t>will need to</w:t>
      </w:r>
      <w:r w:rsidR="009017D0" w:rsidRPr="1F7F8671">
        <w:rPr>
          <w:rFonts w:eastAsia="Arial"/>
        </w:rPr>
        <w:t xml:space="preserve"> </w:t>
      </w:r>
      <w:r w:rsidRPr="1F7F8671">
        <w:rPr>
          <w:rFonts w:eastAsia="Arial"/>
        </w:rPr>
        <w:t xml:space="preserve">notify and obtain </w:t>
      </w:r>
      <w:r w:rsidR="00A86114">
        <w:rPr>
          <w:rFonts w:eastAsia="Arial"/>
        </w:rPr>
        <w:t xml:space="preserve">foreign investment </w:t>
      </w:r>
      <w:r w:rsidRPr="1F7F8671">
        <w:rPr>
          <w:rFonts w:eastAsia="Arial"/>
        </w:rPr>
        <w:t>approval</w:t>
      </w:r>
      <w:r w:rsidR="008453B6">
        <w:rPr>
          <w:rFonts w:eastAsia="Arial"/>
        </w:rPr>
        <w:t xml:space="preserve"> prior to making the acquisition</w:t>
      </w:r>
      <w:r w:rsidRPr="1F7F8671">
        <w:rPr>
          <w:rFonts w:eastAsia="Arial"/>
        </w:rPr>
        <w:t>.</w:t>
      </w:r>
      <w:r w:rsidRPr="1F7F8671" w:rsidDel="00A86114">
        <w:rPr>
          <w:rFonts w:eastAsia="Arial"/>
        </w:rPr>
        <w:t xml:space="preserve"> </w:t>
      </w:r>
      <w:r w:rsidRPr="1F7F8671">
        <w:rPr>
          <w:rFonts w:eastAsia="Arial"/>
        </w:rPr>
        <w:t>This will ensure foreign investments that raise national security concerns are screened irrespective of the value of the investment or the investor</w:t>
      </w:r>
      <w:r w:rsidR="00AF5EDD">
        <w:rPr>
          <w:rFonts w:eastAsia="Arial"/>
        </w:rPr>
        <w:t>’</w:t>
      </w:r>
      <w:r w:rsidRPr="1F7F8671">
        <w:rPr>
          <w:rFonts w:eastAsia="Arial"/>
        </w:rPr>
        <w:t>s nationality</w:t>
      </w:r>
      <w:r w:rsidR="0012402C">
        <w:rPr>
          <w:rFonts w:eastAsia="Arial"/>
        </w:rPr>
        <w:t xml:space="preserve">, or whether the acquirer is a private </w:t>
      </w:r>
      <w:r w:rsidR="006C671B">
        <w:rPr>
          <w:rFonts w:eastAsia="Arial"/>
        </w:rPr>
        <w:t xml:space="preserve">foreign investor </w:t>
      </w:r>
      <w:r w:rsidR="0012402C">
        <w:rPr>
          <w:rFonts w:eastAsia="Arial"/>
        </w:rPr>
        <w:t>or</w:t>
      </w:r>
      <w:r w:rsidR="006C671B">
        <w:rPr>
          <w:rFonts w:eastAsia="Arial"/>
        </w:rPr>
        <w:t xml:space="preserve"> a</w:t>
      </w:r>
      <w:r w:rsidR="0012402C">
        <w:rPr>
          <w:rFonts w:eastAsia="Arial"/>
        </w:rPr>
        <w:t xml:space="preserve"> foreign government investor</w:t>
      </w:r>
      <w:r w:rsidRPr="1F7F8671">
        <w:rPr>
          <w:rFonts w:eastAsia="Arial"/>
        </w:rPr>
        <w:t>.</w:t>
      </w:r>
    </w:p>
    <w:p w14:paraId="050A6C68" w14:textId="1DE75CF4" w:rsidR="00BD635C" w:rsidRPr="000D1474" w:rsidRDefault="00BD635C" w:rsidP="000D1474">
      <w:pPr>
        <w:rPr>
          <w:rFonts w:eastAsia="Arial"/>
          <w:i/>
        </w:rPr>
      </w:pPr>
      <w:r w:rsidRPr="000D1474">
        <w:rPr>
          <w:rFonts w:eastAsia="Arial"/>
          <w:i/>
        </w:rPr>
        <w:t>Type of investment that will give rise to mandatory notification:</w:t>
      </w:r>
    </w:p>
    <w:p w14:paraId="7BED743F" w14:textId="76925644" w:rsidR="00BD635C" w:rsidRPr="00E768EB" w:rsidRDefault="0029517A" w:rsidP="00BD635C">
      <w:pPr>
        <w:pStyle w:val="Bullet"/>
        <w:rPr>
          <w:rFonts w:eastAsia="Arial"/>
        </w:rPr>
      </w:pPr>
      <w:r>
        <w:rPr>
          <w:rFonts w:eastAsia="Arial"/>
        </w:rPr>
        <w:t>A</w:t>
      </w:r>
      <w:r w:rsidR="00BD635C" w:rsidRPr="00E768EB">
        <w:rPr>
          <w:rFonts w:eastAsia="Arial"/>
        </w:rPr>
        <w:t xml:space="preserve">ny proposed </w:t>
      </w:r>
      <w:r w:rsidR="008002DC">
        <w:rPr>
          <w:rFonts w:eastAsia="Arial"/>
        </w:rPr>
        <w:t xml:space="preserve">acquisition of a </w:t>
      </w:r>
      <w:r w:rsidR="00FC4FA9">
        <w:rPr>
          <w:rFonts w:eastAsia="Arial"/>
        </w:rPr>
        <w:t xml:space="preserve">direct </w:t>
      </w:r>
      <w:r w:rsidR="008002DC">
        <w:rPr>
          <w:rFonts w:eastAsia="Arial"/>
        </w:rPr>
        <w:t>interest</w:t>
      </w:r>
      <w:r w:rsidR="00BD635C" w:rsidRPr="00E768EB">
        <w:rPr>
          <w:rFonts w:eastAsia="Arial"/>
        </w:rPr>
        <w:t xml:space="preserve"> by a foreign person in a</w:t>
      </w:r>
      <w:r w:rsidR="00D60FD1">
        <w:rPr>
          <w:rFonts w:eastAsia="Arial"/>
        </w:rPr>
        <w:t xml:space="preserve"> sensitive</w:t>
      </w:r>
      <w:r w:rsidR="00BD635C" w:rsidRPr="00E768EB">
        <w:rPr>
          <w:rFonts w:eastAsia="Arial"/>
        </w:rPr>
        <w:t xml:space="preserve"> national security business</w:t>
      </w:r>
      <w:r w:rsidR="00C84004">
        <w:rPr>
          <w:rFonts w:eastAsia="Arial"/>
        </w:rPr>
        <w:t>; or</w:t>
      </w:r>
    </w:p>
    <w:p w14:paraId="5F918401" w14:textId="30BAC50C" w:rsidR="00BD635C" w:rsidRDefault="00312A8E" w:rsidP="00BD635C">
      <w:pPr>
        <w:pStyle w:val="Bullet"/>
        <w:rPr>
          <w:rFonts w:eastAsia="Arial"/>
        </w:rPr>
      </w:pPr>
      <w:r>
        <w:rPr>
          <w:rFonts w:eastAsia="Arial"/>
        </w:rPr>
        <w:t>W</w:t>
      </w:r>
      <w:r w:rsidR="00BD635C" w:rsidRPr="00E768EB">
        <w:rPr>
          <w:rFonts w:eastAsia="Arial"/>
        </w:rPr>
        <w:t xml:space="preserve">here a business or entity owned by a foreign person starts to carry on </w:t>
      </w:r>
      <w:r w:rsidR="00C84004">
        <w:rPr>
          <w:rFonts w:eastAsia="Arial"/>
        </w:rPr>
        <w:t xml:space="preserve">a </w:t>
      </w:r>
      <w:r w:rsidR="00D60FD1">
        <w:rPr>
          <w:rFonts w:eastAsia="Arial"/>
        </w:rPr>
        <w:t xml:space="preserve">sensitive </w:t>
      </w:r>
      <w:r w:rsidR="00BD635C" w:rsidRPr="00E768EB">
        <w:rPr>
          <w:rFonts w:eastAsia="Arial"/>
        </w:rPr>
        <w:t>national security business</w:t>
      </w:r>
      <w:r w:rsidR="00C84004">
        <w:rPr>
          <w:rFonts w:eastAsia="Arial"/>
        </w:rPr>
        <w:t>.</w:t>
      </w:r>
    </w:p>
    <w:p w14:paraId="068457DD" w14:textId="2A39D1C6" w:rsidR="00E91D0B" w:rsidRPr="000D1474" w:rsidRDefault="00E91D0B" w:rsidP="000D1474">
      <w:pPr>
        <w:rPr>
          <w:rFonts w:eastAsia="Arial"/>
          <w:i/>
        </w:rPr>
      </w:pPr>
      <w:r w:rsidRPr="000D1474">
        <w:rPr>
          <w:rFonts w:eastAsia="Arial"/>
          <w:i/>
        </w:rPr>
        <w:t>Definition of a sensitive national security business</w:t>
      </w:r>
    </w:p>
    <w:p w14:paraId="45FA6906" w14:textId="397FFAF9" w:rsidR="009017D0" w:rsidRDefault="007431C9" w:rsidP="001F018F">
      <w:pPr>
        <w:rPr>
          <w:rFonts w:eastAsia="Arial"/>
        </w:rPr>
      </w:pPr>
      <w:r>
        <w:rPr>
          <w:rFonts w:eastAsia="Arial"/>
        </w:rPr>
        <w:t>The</w:t>
      </w:r>
      <w:r w:rsidR="00832387" w:rsidRPr="1F7F8671">
        <w:rPr>
          <w:rFonts w:eastAsia="Arial"/>
        </w:rPr>
        <w:t xml:space="preserve"> definition of a sensitive national security business for mandatory notification will </w:t>
      </w:r>
      <w:r w:rsidR="00A7067B">
        <w:rPr>
          <w:rFonts w:eastAsia="Arial"/>
        </w:rPr>
        <w:t xml:space="preserve">be </w:t>
      </w:r>
      <w:r w:rsidR="00AB30A7">
        <w:rPr>
          <w:rFonts w:eastAsia="Arial"/>
        </w:rPr>
        <w:t>introduced</w:t>
      </w:r>
      <w:r w:rsidR="00E648B9" w:rsidDel="00AB30A7">
        <w:rPr>
          <w:rFonts w:eastAsia="Arial"/>
        </w:rPr>
        <w:t xml:space="preserve"> </w:t>
      </w:r>
      <w:r w:rsidR="000A492A" w:rsidDel="00AB30A7">
        <w:rPr>
          <w:rFonts w:eastAsia="Arial"/>
        </w:rPr>
        <w:t>in regulations</w:t>
      </w:r>
      <w:r w:rsidR="00EA5987">
        <w:rPr>
          <w:rFonts w:eastAsia="Arial"/>
        </w:rPr>
        <w:t xml:space="preserve">. This is consistent with the current approach to defining sensitive businesses for </w:t>
      </w:r>
      <w:r w:rsidR="00857283">
        <w:rPr>
          <w:rFonts w:eastAsia="Arial"/>
        </w:rPr>
        <w:t>Free Trade Agreement (</w:t>
      </w:r>
      <w:r w:rsidR="00EA5987">
        <w:rPr>
          <w:rFonts w:eastAsia="Arial"/>
        </w:rPr>
        <w:t>FTA</w:t>
      </w:r>
      <w:r w:rsidR="00857283">
        <w:rPr>
          <w:rFonts w:eastAsia="Arial"/>
        </w:rPr>
        <w:t>)</w:t>
      </w:r>
      <w:r w:rsidR="00EA5987">
        <w:rPr>
          <w:rFonts w:eastAsia="Arial"/>
        </w:rPr>
        <w:t xml:space="preserve"> purposes, and provides the Government with the flexibility </w:t>
      </w:r>
      <w:r w:rsidR="00E648B9">
        <w:rPr>
          <w:rFonts w:eastAsia="Arial"/>
        </w:rPr>
        <w:t xml:space="preserve">to adapt </w:t>
      </w:r>
      <w:r w:rsidR="00EA5987">
        <w:rPr>
          <w:rFonts w:eastAsia="Arial"/>
        </w:rPr>
        <w:t xml:space="preserve">the definition </w:t>
      </w:r>
      <w:r w:rsidR="008145EF">
        <w:rPr>
          <w:rFonts w:eastAsia="Arial"/>
        </w:rPr>
        <w:t xml:space="preserve">over time </w:t>
      </w:r>
      <w:r w:rsidR="00EA5987">
        <w:rPr>
          <w:rFonts w:eastAsia="Arial"/>
        </w:rPr>
        <w:t xml:space="preserve">in response to a changing </w:t>
      </w:r>
      <w:r w:rsidR="00587CAB">
        <w:rPr>
          <w:rFonts w:eastAsia="Arial"/>
        </w:rPr>
        <w:t xml:space="preserve">global </w:t>
      </w:r>
      <w:r w:rsidR="00EA5987">
        <w:rPr>
          <w:rFonts w:eastAsia="Arial"/>
        </w:rPr>
        <w:t>environment</w:t>
      </w:r>
      <w:r w:rsidR="00A7067B">
        <w:rPr>
          <w:rFonts w:eastAsia="Arial"/>
        </w:rPr>
        <w:t xml:space="preserve">. </w:t>
      </w:r>
    </w:p>
    <w:p w14:paraId="23ECBEBE" w14:textId="7DFCF142" w:rsidR="001C4F8C" w:rsidRDefault="001C4F8C" w:rsidP="001F018F">
      <w:pPr>
        <w:rPr>
          <w:rFonts w:eastAsia="Arial"/>
        </w:rPr>
      </w:pPr>
      <w:r>
        <w:rPr>
          <w:rFonts w:eastAsia="Arial"/>
        </w:rPr>
        <w:t>The existing framework includes a definition of sensitive businesses for the purpose of monetary screening thresholds for the national interest test</w:t>
      </w:r>
      <w:r w:rsidR="000D1474">
        <w:rPr>
          <w:rFonts w:eastAsia="Arial"/>
        </w:rPr>
        <w:t xml:space="preserve"> — </w:t>
      </w:r>
      <w:r>
        <w:rPr>
          <w:rFonts w:eastAsia="Arial"/>
        </w:rPr>
        <w:t>that includes media, transport, and telecommunication businesses and businesses providing infrastructure to these businesses</w:t>
      </w:r>
      <w:r w:rsidR="008F616F">
        <w:rPr>
          <w:rFonts w:eastAsia="Arial"/>
        </w:rPr>
        <w:t xml:space="preserve"> (section</w:t>
      </w:r>
      <w:r w:rsidR="00F530F1">
        <w:rPr>
          <w:rFonts w:eastAsia="Arial"/>
        </w:rPr>
        <w:t> </w:t>
      </w:r>
      <w:r w:rsidR="008F616F">
        <w:rPr>
          <w:rFonts w:eastAsia="Arial"/>
        </w:rPr>
        <w:t xml:space="preserve">22 of the </w:t>
      </w:r>
      <w:r w:rsidR="008F616F">
        <w:rPr>
          <w:rFonts w:eastAsia="Arial"/>
          <w:i/>
        </w:rPr>
        <w:t xml:space="preserve">Foreign Acquisitions and Takeovers Regulation 2015 </w:t>
      </w:r>
      <w:r w:rsidR="008F616F">
        <w:rPr>
          <w:rFonts w:eastAsia="Arial"/>
        </w:rPr>
        <w:t>(FATR))</w:t>
      </w:r>
      <w:r w:rsidR="00857283">
        <w:rPr>
          <w:rFonts w:eastAsia="Arial"/>
        </w:rPr>
        <w:t xml:space="preserve">. Foreign investment by </w:t>
      </w:r>
      <w:r w:rsidR="00857283">
        <w:rPr>
          <w:rFonts w:eastAsia="Arial"/>
        </w:rPr>
        <w:lastRenderedPageBreak/>
        <w:t>private investors in these businesses is subject to the $275 million threshold, even if the investor is otherwise eligible for the concessional FTA</w:t>
      </w:r>
      <w:r w:rsidR="00AF5EDD">
        <w:rPr>
          <w:rFonts w:eastAsia="Arial"/>
        </w:rPr>
        <w:noBreakHyphen/>
      </w:r>
      <w:r w:rsidR="00857283">
        <w:rPr>
          <w:rFonts w:eastAsia="Arial"/>
        </w:rPr>
        <w:t xml:space="preserve">partner screening threshold. </w:t>
      </w:r>
      <w:r w:rsidR="004C375C">
        <w:rPr>
          <w:rFonts w:eastAsia="Arial"/>
        </w:rPr>
        <w:t xml:space="preserve">Since foreign investment in a sensitive national security business will be subject to screening regardless of the value of the investment or the country of investor, the existing definition of sensitive business is </w:t>
      </w:r>
      <w:r w:rsidR="00C31CBF">
        <w:rPr>
          <w:rFonts w:eastAsia="Arial"/>
        </w:rPr>
        <w:t xml:space="preserve">considered </w:t>
      </w:r>
      <w:r w:rsidR="004C375C">
        <w:rPr>
          <w:rFonts w:eastAsia="Arial"/>
        </w:rPr>
        <w:t>too broad for the new mandatory notification requirements</w:t>
      </w:r>
      <w:r w:rsidR="00C31CBF">
        <w:rPr>
          <w:rFonts w:eastAsia="Arial"/>
        </w:rPr>
        <w:t xml:space="preserve"> that specifically deal with national security</w:t>
      </w:r>
      <w:r w:rsidR="001F018F">
        <w:rPr>
          <w:rFonts w:eastAsia="Arial"/>
        </w:rPr>
        <w:t> </w:t>
      </w:r>
      <w:r w:rsidR="00C31CBF">
        <w:rPr>
          <w:rFonts w:eastAsia="Arial"/>
        </w:rPr>
        <w:t>risks</w:t>
      </w:r>
      <w:r w:rsidR="004C375C">
        <w:rPr>
          <w:rFonts w:eastAsia="Arial"/>
        </w:rPr>
        <w:t xml:space="preserve">. </w:t>
      </w:r>
    </w:p>
    <w:p w14:paraId="2B3DA130" w14:textId="6D2CC233" w:rsidR="00982285" w:rsidRDefault="00812A3B" w:rsidP="001F018F">
      <w:pPr>
        <w:rPr>
          <w:rFonts w:eastAsia="Arial"/>
        </w:rPr>
      </w:pPr>
      <w:r>
        <w:rPr>
          <w:rFonts w:eastAsia="Arial"/>
        </w:rPr>
        <w:t>Consultation on the</w:t>
      </w:r>
      <w:r w:rsidR="001B12F2">
        <w:rPr>
          <w:rFonts w:eastAsia="Arial"/>
        </w:rPr>
        <w:t xml:space="preserve"> new definition of a </w:t>
      </w:r>
      <w:r w:rsidR="00AF5EDD">
        <w:rPr>
          <w:rFonts w:eastAsia="Arial"/>
        </w:rPr>
        <w:t>‘</w:t>
      </w:r>
      <w:r w:rsidR="00CA25A7">
        <w:rPr>
          <w:rFonts w:eastAsia="Arial"/>
        </w:rPr>
        <w:t xml:space="preserve">sensitive </w:t>
      </w:r>
      <w:r w:rsidR="001B12F2">
        <w:rPr>
          <w:rFonts w:eastAsia="Arial"/>
        </w:rPr>
        <w:t>national security business</w:t>
      </w:r>
      <w:r w:rsidR="00AF5EDD">
        <w:rPr>
          <w:rFonts w:eastAsia="Arial"/>
        </w:rPr>
        <w:t>’</w:t>
      </w:r>
      <w:r w:rsidR="001B12F2">
        <w:rPr>
          <w:rFonts w:eastAsia="Arial"/>
        </w:rPr>
        <w:t xml:space="preserve"> will </w:t>
      </w:r>
      <w:r>
        <w:rPr>
          <w:rFonts w:eastAsia="Arial"/>
        </w:rPr>
        <w:t>explore concepts including, but not limited to</w:t>
      </w:r>
      <w:r w:rsidR="008F674A">
        <w:rPr>
          <w:rFonts w:eastAsia="Arial"/>
        </w:rPr>
        <w:t xml:space="preserve">: </w:t>
      </w:r>
    </w:p>
    <w:p w14:paraId="0D1134B8" w14:textId="77777777" w:rsidR="00A47614" w:rsidRDefault="00A47614" w:rsidP="00A47614">
      <w:pPr>
        <w:pStyle w:val="Bullet"/>
      </w:pPr>
      <w:r>
        <w:t>a b</w:t>
      </w:r>
      <w:r w:rsidRPr="004B0A85">
        <w:t xml:space="preserve">usinesses regulated under the </w:t>
      </w:r>
      <w:r w:rsidRPr="00536289">
        <w:rPr>
          <w:i/>
        </w:rPr>
        <w:t>Security of Critical Infrastructure Act 2018</w:t>
      </w:r>
      <w:r w:rsidRPr="004B0A85">
        <w:t xml:space="preserve"> or the </w:t>
      </w:r>
      <w:r w:rsidRPr="00536289">
        <w:rPr>
          <w:i/>
        </w:rPr>
        <w:t>Telecommunications Act 1997</w:t>
      </w:r>
      <w:r w:rsidRPr="004B0A85">
        <w:t xml:space="preserve">; </w:t>
      </w:r>
    </w:p>
    <w:p w14:paraId="68203C00" w14:textId="4F755275" w:rsidR="00A47614" w:rsidRPr="004B0A85" w:rsidRDefault="00A47614" w:rsidP="00A47614">
      <w:pPr>
        <w:pStyle w:val="Bullet"/>
      </w:pPr>
      <w:r w:rsidRPr="004B0A85">
        <w:t>any business involved in</w:t>
      </w:r>
      <w:r>
        <w:t xml:space="preserve"> </w:t>
      </w:r>
      <w:r w:rsidRPr="004B0A85">
        <w:t>th</w:t>
      </w:r>
      <w:r>
        <w:t>e</w:t>
      </w:r>
      <w:r w:rsidRPr="004B0A85">
        <w:t xml:space="preserve"> manufacture or supply of defence or national security</w:t>
      </w:r>
      <w:r w:rsidR="00AF5EDD">
        <w:noBreakHyphen/>
      </w:r>
      <w:r w:rsidRPr="004B0A85">
        <w:t xml:space="preserve">related goods, services and technologies, or any business that can create vulnerabilities in the security of Defence and national security supply chain, the Defence estate and/or other core Defence interests; </w:t>
      </w:r>
    </w:p>
    <w:p w14:paraId="37AABEF1" w14:textId="5AFB5C53" w:rsidR="00A47614" w:rsidRPr="004B0A85" w:rsidRDefault="00A47614" w:rsidP="00A47614">
      <w:pPr>
        <w:pStyle w:val="Bullet"/>
      </w:pPr>
      <w:r>
        <w:t>a</w:t>
      </w:r>
      <w:r w:rsidRPr="004B0A85">
        <w:t>ny business or land situated in or proximate to Defence or national security installations; and</w:t>
      </w:r>
    </w:p>
    <w:p w14:paraId="2C6BEF74" w14:textId="02F4628B" w:rsidR="00A47614" w:rsidRDefault="00A47614" w:rsidP="00A47614">
      <w:pPr>
        <w:pStyle w:val="Bullet"/>
      </w:pPr>
      <w:r>
        <w:t>a</w:t>
      </w:r>
      <w:r w:rsidRPr="004B0A85">
        <w:t xml:space="preserve">ny business that owns, stores, collects or maintains sensitive data relating to </w:t>
      </w:r>
      <w:r>
        <w:t>Australia</w:t>
      </w:r>
      <w:r w:rsidR="00AF5EDD">
        <w:t>’</w:t>
      </w:r>
      <w:r>
        <w:t>s</w:t>
      </w:r>
      <w:r w:rsidRPr="004B0A85">
        <w:t xml:space="preserve"> national security and/or defence. </w:t>
      </w:r>
    </w:p>
    <w:p w14:paraId="61F2C1F9" w14:textId="1EC42FC4" w:rsidR="00E91D0B" w:rsidRPr="00657410" w:rsidRDefault="007431C9" w:rsidP="001F018F">
      <w:pPr>
        <w:rPr>
          <w:rFonts w:eastAsia="Arial" w:cs="Arial"/>
        </w:rPr>
      </w:pPr>
      <w:r>
        <w:t>C</w:t>
      </w:r>
      <w:r w:rsidR="005A700E">
        <w:t xml:space="preserve">onsultation </w:t>
      </w:r>
      <w:r>
        <w:t>on the definition of a sensitive national security business</w:t>
      </w:r>
      <w:r w:rsidR="005A700E">
        <w:t xml:space="preserve"> will take place alongside the release of exposure draft legislation</w:t>
      </w:r>
      <w:r w:rsidR="00C254AF">
        <w:t>.</w:t>
      </w:r>
    </w:p>
    <w:p w14:paraId="19824D41" w14:textId="7577379F" w:rsidR="0048160F" w:rsidRPr="00706582" w:rsidRDefault="00AF5EDD" w:rsidP="000D1474">
      <w:pPr>
        <w:pStyle w:val="Heading3"/>
        <w:rPr>
          <w:rFonts w:eastAsia="Arial"/>
        </w:rPr>
      </w:pPr>
      <w:r>
        <w:rPr>
          <w:rFonts w:eastAsia="Arial"/>
        </w:rPr>
        <w:t>‘</w:t>
      </w:r>
      <w:r w:rsidR="0048160F" w:rsidRPr="00706582">
        <w:rPr>
          <w:rFonts w:eastAsia="Arial"/>
        </w:rPr>
        <w:t>Call in</w:t>
      </w:r>
      <w:r>
        <w:rPr>
          <w:rFonts w:eastAsia="Arial"/>
        </w:rPr>
        <w:t>’</w:t>
      </w:r>
      <w:r w:rsidR="0048160F" w:rsidRPr="00706582">
        <w:rPr>
          <w:rFonts w:eastAsia="Arial"/>
        </w:rPr>
        <w:t xml:space="preserve"> power </w:t>
      </w:r>
    </w:p>
    <w:p w14:paraId="36DA6E70" w14:textId="49075029" w:rsidR="005156E7" w:rsidRDefault="00832387" w:rsidP="001F018F">
      <w:pPr>
        <w:rPr>
          <w:rFonts w:eastAsia="Arial"/>
        </w:rPr>
      </w:pPr>
      <w:r w:rsidRPr="1F7F8671">
        <w:rPr>
          <w:rFonts w:eastAsia="Arial"/>
        </w:rPr>
        <w:t xml:space="preserve">Any investment not otherwise notified </w:t>
      </w:r>
      <w:r w:rsidR="00CD24B4">
        <w:rPr>
          <w:rFonts w:eastAsia="Arial"/>
        </w:rPr>
        <w:t xml:space="preserve">under the existing national interest or new </w:t>
      </w:r>
      <w:r w:rsidR="003676B2">
        <w:rPr>
          <w:rFonts w:eastAsia="Arial"/>
        </w:rPr>
        <w:t xml:space="preserve">national security </w:t>
      </w:r>
      <w:r w:rsidR="00CD24B4">
        <w:rPr>
          <w:rFonts w:eastAsia="Arial"/>
        </w:rPr>
        <w:t>mandatory pre</w:t>
      </w:r>
      <w:r w:rsidR="00AF5EDD">
        <w:rPr>
          <w:rFonts w:eastAsia="Arial"/>
        </w:rPr>
        <w:noBreakHyphen/>
      </w:r>
      <w:r w:rsidR="00CD24B4">
        <w:rPr>
          <w:rFonts w:eastAsia="Arial"/>
        </w:rPr>
        <w:t xml:space="preserve">investment notification processes </w:t>
      </w:r>
      <w:r w:rsidR="005156E7">
        <w:rPr>
          <w:rFonts w:eastAsia="Arial"/>
        </w:rPr>
        <w:t>will</w:t>
      </w:r>
      <w:r w:rsidR="005156E7" w:rsidRPr="1F7F8671">
        <w:rPr>
          <w:rFonts w:eastAsia="Arial"/>
        </w:rPr>
        <w:t xml:space="preserve"> </w:t>
      </w:r>
      <w:r w:rsidRPr="1F7F8671">
        <w:rPr>
          <w:rFonts w:eastAsia="Arial"/>
        </w:rPr>
        <w:t xml:space="preserve">be </w:t>
      </w:r>
      <w:r w:rsidR="005156E7">
        <w:rPr>
          <w:rFonts w:eastAsia="Arial"/>
        </w:rPr>
        <w:t xml:space="preserve">able to </w:t>
      </w:r>
      <w:r w:rsidRPr="1F7F8671">
        <w:rPr>
          <w:rFonts w:eastAsia="Arial"/>
        </w:rPr>
        <w:t>be called in before, during or after the</w:t>
      </w:r>
      <w:r w:rsidR="008679E6">
        <w:rPr>
          <w:rFonts w:eastAsia="Arial"/>
        </w:rPr>
        <w:t xml:space="preserve"> </w:t>
      </w:r>
      <w:r w:rsidR="00E638BE">
        <w:rPr>
          <w:rFonts w:eastAsia="Arial"/>
        </w:rPr>
        <w:t>investment</w:t>
      </w:r>
      <w:r w:rsidRPr="1F7F8671">
        <w:rPr>
          <w:rFonts w:eastAsia="Arial"/>
        </w:rPr>
        <w:t>, on a case</w:t>
      </w:r>
      <w:r w:rsidR="00AF5EDD">
        <w:rPr>
          <w:rFonts w:eastAsia="Arial"/>
        </w:rPr>
        <w:noBreakHyphen/>
      </w:r>
      <w:r w:rsidRPr="1F7F8671">
        <w:rPr>
          <w:rFonts w:eastAsia="Arial"/>
        </w:rPr>
        <w:t>by</w:t>
      </w:r>
      <w:r w:rsidR="00AF5EDD">
        <w:rPr>
          <w:rFonts w:eastAsia="Arial"/>
        </w:rPr>
        <w:noBreakHyphen/>
      </w:r>
      <w:r w:rsidRPr="1F7F8671">
        <w:rPr>
          <w:rFonts w:eastAsia="Arial"/>
        </w:rPr>
        <w:t xml:space="preserve">case basis if </w:t>
      </w:r>
      <w:r w:rsidR="00A81459">
        <w:rPr>
          <w:rFonts w:eastAsia="Arial"/>
        </w:rPr>
        <w:t xml:space="preserve">the Treasurer considers </w:t>
      </w:r>
      <w:r w:rsidR="005156E7">
        <w:rPr>
          <w:rFonts w:eastAsia="Arial"/>
        </w:rPr>
        <w:t xml:space="preserve">the investment </w:t>
      </w:r>
      <w:r w:rsidR="00D4331B">
        <w:rPr>
          <w:rFonts w:eastAsia="Arial"/>
        </w:rPr>
        <w:t>raises</w:t>
      </w:r>
      <w:r w:rsidRPr="1F7F8671">
        <w:rPr>
          <w:rFonts w:eastAsia="Arial"/>
        </w:rPr>
        <w:t xml:space="preserve"> national security concerns. </w:t>
      </w:r>
    </w:p>
    <w:p w14:paraId="056FFBC3" w14:textId="556BA8DD" w:rsidR="009862DB" w:rsidRDefault="009862DB" w:rsidP="001F018F">
      <w:pPr>
        <w:rPr>
          <w:rFonts w:eastAsia="Arial"/>
        </w:rPr>
      </w:pPr>
      <w:r>
        <w:rPr>
          <w:rFonts w:eastAsia="Arial"/>
        </w:rPr>
        <w:t xml:space="preserve">Once called in, an investment will be reviewed </w:t>
      </w:r>
      <w:r w:rsidR="003676B2">
        <w:rPr>
          <w:rFonts w:eastAsia="Arial"/>
        </w:rPr>
        <w:t xml:space="preserve">under the national security test to </w:t>
      </w:r>
      <w:r>
        <w:rPr>
          <w:rFonts w:eastAsia="Arial"/>
        </w:rPr>
        <w:t>determine if it raises national security concerns</w:t>
      </w:r>
      <w:r w:rsidR="00030948">
        <w:rPr>
          <w:rFonts w:eastAsia="Arial"/>
        </w:rPr>
        <w:t>, consistent with the</w:t>
      </w:r>
      <w:r>
        <w:rPr>
          <w:rFonts w:eastAsia="Arial"/>
        </w:rPr>
        <w:t xml:space="preserve"> same process as those </w:t>
      </w:r>
      <w:r w:rsidR="00030948">
        <w:rPr>
          <w:rFonts w:eastAsia="Arial"/>
        </w:rPr>
        <w:t xml:space="preserve">investors who </w:t>
      </w:r>
      <w:r>
        <w:rPr>
          <w:rFonts w:eastAsia="Arial"/>
        </w:rPr>
        <w:t>noti</w:t>
      </w:r>
      <w:r w:rsidR="00030948">
        <w:rPr>
          <w:rFonts w:eastAsia="Arial"/>
        </w:rPr>
        <w:t>fy</w:t>
      </w:r>
      <w:r>
        <w:rPr>
          <w:rFonts w:eastAsia="Arial"/>
        </w:rPr>
        <w:t xml:space="preserve"> on a mandatory basis.</w:t>
      </w:r>
    </w:p>
    <w:p w14:paraId="4027D7BF" w14:textId="22AD2208" w:rsidR="00DB01A1" w:rsidRDefault="00E77456" w:rsidP="001F018F">
      <w:pPr>
        <w:rPr>
          <w:rFonts w:eastAsia="Arial"/>
        </w:rPr>
      </w:pPr>
      <w:r>
        <w:rPr>
          <w:rFonts w:eastAsia="Arial"/>
        </w:rPr>
        <w:t xml:space="preserve">The </w:t>
      </w:r>
      <w:r w:rsidR="00C1304C">
        <w:rPr>
          <w:rFonts w:eastAsia="Arial"/>
        </w:rPr>
        <w:t xml:space="preserve">key concepts that </w:t>
      </w:r>
      <w:r w:rsidR="00812A3B">
        <w:rPr>
          <w:rFonts w:eastAsia="Arial"/>
        </w:rPr>
        <w:t>are proposed to</w:t>
      </w:r>
      <w:r w:rsidR="00C1304C">
        <w:rPr>
          <w:rFonts w:eastAsia="Arial"/>
        </w:rPr>
        <w:t xml:space="preserve"> inform the </w:t>
      </w:r>
      <w:r>
        <w:rPr>
          <w:rFonts w:eastAsia="Arial"/>
        </w:rPr>
        <w:t xml:space="preserve">definition of a sensitive national security business </w:t>
      </w:r>
      <w:r w:rsidR="00C1304C">
        <w:rPr>
          <w:rFonts w:eastAsia="Arial"/>
        </w:rPr>
        <w:t xml:space="preserve">are </w:t>
      </w:r>
      <w:r>
        <w:rPr>
          <w:rFonts w:eastAsia="Arial"/>
        </w:rPr>
        <w:t xml:space="preserve">deliberately narrow in recognition </w:t>
      </w:r>
      <w:r w:rsidR="00B040F3">
        <w:rPr>
          <w:rFonts w:eastAsia="Arial"/>
        </w:rPr>
        <w:t xml:space="preserve">of the fact </w:t>
      </w:r>
      <w:r>
        <w:rPr>
          <w:rFonts w:eastAsia="Arial"/>
        </w:rPr>
        <w:t>that, o</w:t>
      </w:r>
      <w:r w:rsidR="00FE65C4">
        <w:rPr>
          <w:rFonts w:eastAsia="Arial"/>
        </w:rPr>
        <w:t>utside of th</w:t>
      </w:r>
      <w:r>
        <w:rPr>
          <w:rFonts w:eastAsia="Arial"/>
        </w:rPr>
        <w:t xml:space="preserve">ose </w:t>
      </w:r>
      <w:r w:rsidR="00FE65C4">
        <w:rPr>
          <w:rFonts w:eastAsia="Arial"/>
        </w:rPr>
        <w:t>identified sensitive national security businesses</w:t>
      </w:r>
      <w:r w:rsidR="00B040F3">
        <w:rPr>
          <w:rFonts w:eastAsia="Arial"/>
        </w:rPr>
        <w:t>,</w:t>
      </w:r>
      <w:r w:rsidR="00FE65C4">
        <w:rPr>
          <w:rFonts w:eastAsia="Arial"/>
        </w:rPr>
        <w:t xml:space="preserve"> t</w:t>
      </w:r>
      <w:r w:rsidR="00296B02">
        <w:rPr>
          <w:rFonts w:eastAsia="Arial"/>
        </w:rPr>
        <w:t>he majority of investment</w:t>
      </w:r>
      <w:r w:rsidR="00FE65C4">
        <w:rPr>
          <w:rFonts w:eastAsia="Arial"/>
        </w:rPr>
        <w:t>s</w:t>
      </w:r>
      <w:r w:rsidR="00296B02">
        <w:rPr>
          <w:rFonts w:eastAsia="Arial"/>
        </w:rPr>
        <w:t xml:space="preserve"> </w:t>
      </w:r>
      <w:r w:rsidR="003A290B">
        <w:rPr>
          <w:rFonts w:eastAsia="Arial"/>
        </w:rPr>
        <w:t xml:space="preserve">into Australia </w:t>
      </w:r>
      <w:r w:rsidR="00A83F8F">
        <w:rPr>
          <w:rFonts w:eastAsia="Arial"/>
        </w:rPr>
        <w:t xml:space="preserve">are not </w:t>
      </w:r>
      <w:r w:rsidR="003A290B">
        <w:rPr>
          <w:rFonts w:eastAsia="Arial"/>
        </w:rPr>
        <w:t xml:space="preserve">likely to </w:t>
      </w:r>
      <w:r w:rsidR="00A83F8F">
        <w:rPr>
          <w:rFonts w:eastAsia="Arial"/>
        </w:rPr>
        <w:t xml:space="preserve">raise national security concerns. </w:t>
      </w:r>
      <w:r>
        <w:rPr>
          <w:rFonts w:eastAsia="Arial"/>
        </w:rPr>
        <w:t xml:space="preserve">However, national security concerns can and will arise in relation to particular investments outside those businesses over time. </w:t>
      </w:r>
      <w:r w:rsidR="00105C92">
        <w:rPr>
          <w:rFonts w:eastAsia="Arial"/>
        </w:rPr>
        <w:t xml:space="preserve">The </w:t>
      </w:r>
      <w:r w:rsidR="00AF5EDD">
        <w:rPr>
          <w:rFonts w:eastAsia="Arial"/>
        </w:rPr>
        <w:t>‘</w:t>
      </w:r>
      <w:r w:rsidR="00E7451B">
        <w:rPr>
          <w:rFonts w:eastAsia="Arial"/>
        </w:rPr>
        <w:t>call in</w:t>
      </w:r>
      <w:r w:rsidR="00AF5EDD">
        <w:rPr>
          <w:rFonts w:eastAsia="Arial"/>
        </w:rPr>
        <w:t>’</w:t>
      </w:r>
      <w:r w:rsidR="00E7451B">
        <w:rPr>
          <w:rFonts w:eastAsia="Arial"/>
        </w:rPr>
        <w:t xml:space="preserve"> </w:t>
      </w:r>
      <w:r w:rsidR="00105C92">
        <w:rPr>
          <w:rFonts w:eastAsia="Arial"/>
        </w:rPr>
        <w:t>power will provide</w:t>
      </w:r>
      <w:r w:rsidR="00A256CD">
        <w:rPr>
          <w:rFonts w:eastAsia="Arial"/>
        </w:rPr>
        <w:t xml:space="preserve"> the Government </w:t>
      </w:r>
      <w:r>
        <w:rPr>
          <w:rFonts w:eastAsia="Arial"/>
        </w:rPr>
        <w:t xml:space="preserve">with the ability to compel particular investors to submit an application for screening where such concerns arise, </w:t>
      </w:r>
      <w:r w:rsidR="00A256CD">
        <w:rPr>
          <w:rFonts w:eastAsia="Arial"/>
        </w:rPr>
        <w:t xml:space="preserve">without imposing the regulatory burden of </w:t>
      </w:r>
      <w:r w:rsidR="00CD24B4">
        <w:rPr>
          <w:rFonts w:eastAsia="Arial"/>
        </w:rPr>
        <w:t xml:space="preserve">mandatory </w:t>
      </w:r>
      <w:r w:rsidR="00A256CD">
        <w:rPr>
          <w:rFonts w:eastAsia="Arial"/>
        </w:rPr>
        <w:t>notification requirements over broad parts of the economy.</w:t>
      </w:r>
      <w:r w:rsidR="00105C92">
        <w:rPr>
          <w:rFonts w:eastAsia="Arial"/>
        </w:rPr>
        <w:t xml:space="preserve"> The overwhelming majority of investment will not be called in for review. </w:t>
      </w:r>
    </w:p>
    <w:p w14:paraId="538CA2C3" w14:textId="0CAE3721" w:rsidR="005803C2" w:rsidRDefault="005803C2" w:rsidP="001F018F">
      <w:pPr>
        <w:rPr>
          <w:rFonts w:eastAsia="Arial" w:cs="Arial"/>
        </w:rPr>
      </w:pPr>
      <w:r>
        <w:rPr>
          <w:rFonts w:eastAsia="Arial" w:cs="Arial"/>
        </w:rPr>
        <w:t xml:space="preserve">To ensure investors have certainty, </w:t>
      </w:r>
      <w:r w:rsidR="00CD24B4">
        <w:rPr>
          <w:rFonts w:eastAsia="Arial"/>
        </w:rPr>
        <w:t>t</w:t>
      </w:r>
      <w:r w:rsidR="00CD24B4" w:rsidRPr="00EF4643">
        <w:rPr>
          <w:rFonts w:eastAsia="Arial"/>
        </w:rPr>
        <w:t xml:space="preserve">he use of this </w:t>
      </w:r>
      <w:r w:rsidR="00AF5EDD">
        <w:rPr>
          <w:rFonts w:eastAsia="Arial"/>
        </w:rPr>
        <w:t>‘</w:t>
      </w:r>
      <w:r w:rsidR="00CD24B4" w:rsidRPr="00EF4643">
        <w:rPr>
          <w:rFonts w:eastAsia="Arial"/>
        </w:rPr>
        <w:t>call in</w:t>
      </w:r>
      <w:r w:rsidR="00AF5EDD">
        <w:rPr>
          <w:rFonts w:eastAsia="Arial"/>
        </w:rPr>
        <w:t>’</w:t>
      </w:r>
      <w:r w:rsidR="00CD24B4" w:rsidRPr="00EF4643">
        <w:rPr>
          <w:rFonts w:eastAsia="Arial"/>
        </w:rPr>
        <w:t xml:space="preserve"> power will be time</w:t>
      </w:r>
      <w:r w:rsidR="00AF5EDD">
        <w:rPr>
          <w:rFonts w:eastAsia="Arial"/>
        </w:rPr>
        <w:noBreakHyphen/>
      </w:r>
      <w:r w:rsidR="00CD24B4" w:rsidRPr="00EF4643">
        <w:rPr>
          <w:rFonts w:eastAsia="Arial"/>
        </w:rPr>
        <w:t xml:space="preserve">limited and public guidance will be issued on the type of </w:t>
      </w:r>
      <w:r w:rsidR="00B37C4D" w:rsidRPr="00EF4643">
        <w:rPr>
          <w:rFonts w:eastAsia="Arial"/>
        </w:rPr>
        <w:t xml:space="preserve">investment </w:t>
      </w:r>
      <w:r w:rsidR="00CD24B4" w:rsidRPr="00EF4643">
        <w:rPr>
          <w:rFonts w:eastAsia="Arial"/>
        </w:rPr>
        <w:t xml:space="preserve">where the </w:t>
      </w:r>
      <w:r w:rsidR="00AF5EDD">
        <w:rPr>
          <w:rFonts w:eastAsia="Arial"/>
        </w:rPr>
        <w:t>‘</w:t>
      </w:r>
      <w:r w:rsidR="00CD24B4" w:rsidRPr="00EF4643">
        <w:rPr>
          <w:rFonts w:eastAsia="Arial"/>
        </w:rPr>
        <w:t>call in</w:t>
      </w:r>
      <w:r w:rsidR="00AF5EDD">
        <w:rPr>
          <w:rFonts w:eastAsia="Arial"/>
        </w:rPr>
        <w:t>’</w:t>
      </w:r>
      <w:r w:rsidR="00CD24B4" w:rsidRPr="00EF4643">
        <w:rPr>
          <w:rFonts w:eastAsia="Arial"/>
        </w:rPr>
        <w:t xml:space="preserve"> power could be used. </w:t>
      </w:r>
      <w:r w:rsidR="001E5D75">
        <w:rPr>
          <w:rFonts w:eastAsia="Arial"/>
        </w:rPr>
        <w:t xml:space="preserve">This will </w:t>
      </w:r>
      <w:r w:rsidR="00E86C43">
        <w:rPr>
          <w:rFonts w:eastAsia="Arial"/>
        </w:rPr>
        <w:t xml:space="preserve">provide </w:t>
      </w:r>
      <w:r w:rsidR="001E5D75">
        <w:rPr>
          <w:rFonts w:eastAsia="Arial"/>
        </w:rPr>
        <w:t>investors</w:t>
      </w:r>
      <w:r w:rsidR="00E86C43">
        <w:rPr>
          <w:rFonts w:eastAsia="Arial"/>
        </w:rPr>
        <w:t xml:space="preserve"> with greater certainty </w:t>
      </w:r>
      <w:r w:rsidRPr="005803C2">
        <w:rPr>
          <w:rFonts w:eastAsia="Arial" w:cs="Arial"/>
        </w:rPr>
        <w:t xml:space="preserve">and </w:t>
      </w:r>
      <w:r w:rsidR="00E86C43">
        <w:rPr>
          <w:rFonts w:eastAsia="Arial" w:cs="Arial"/>
        </w:rPr>
        <w:t xml:space="preserve">will </w:t>
      </w:r>
      <w:r w:rsidRPr="005803C2">
        <w:rPr>
          <w:rFonts w:eastAsia="Arial" w:cs="Arial"/>
        </w:rPr>
        <w:t xml:space="preserve">further inform their decision </w:t>
      </w:r>
      <w:r w:rsidR="008453B6">
        <w:rPr>
          <w:rFonts w:eastAsia="Arial" w:cs="Arial"/>
        </w:rPr>
        <w:t xml:space="preserve">whether </w:t>
      </w:r>
      <w:r w:rsidRPr="005803C2">
        <w:rPr>
          <w:rFonts w:eastAsia="Arial" w:cs="Arial"/>
        </w:rPr>
        <w:t>to voluntarily</w:t>
      </w:r>
      <w:r w:rsidR="002E0808">
        <w:rPr>
          <w:rFonts w:eastAsia="Arial" w:cs="Arial"/>
        </w:rPr>
        <w:t> </w:t>
      </w:r>
      <w:r w:rsidRPr="005803C2">
        <w:rPr>
          <w:rFonts w:eastAsia="Arial" w:cs="Arial"/>
        </w:rPr>
        <w:t>notify</w:t>
      </w:r>
      <w:r w:rsidR="004320E2">
        <w:rPr>
          <w:rFonts w:eastAsia="Arial" w:cs="Arial"/>
        </w:rPr>
        <w:t>.</w:t>
      </w:r>
    </w:p>
    <w:p w14:paraId="0345FF35" w14:textId="6EB3FD81" w:rsidR="00832387" w:rsidRPr="00706582" w:rsidRDefault="00CA65D5" w:rsidP="000D1474">
      <w:pPr>
        <w:pStyle w:val="Heading3"/>
        <w:rPr>
          <w:rFonts w:eastAsia="Arial"/>
        </w:rPr>
      </w:pPr>
      <w:r>
        <w:rPr>
          <w:rFonts w:eastAsia="Arial"/>
        </w:rPr>
        <w:t>Investor certainty: Voluntary notification</w:t>
      </w:r>
    </w:p>
    <w:p w14:paraId="2F5C3812" w14:textId="744F2EDD" w:rsidR="009E741A" w:rsidRDefault="00F17E8C" w:rsidP="001F018F">
      <w:pPr>
        <w:rPr>
          <w:rFonts w:eastAsia="Arial"/>
        </w:rPr>
      </w:pPr>
      <w:r>
        <w:rPr>
          <w:rFonts w:eastAsia="Arial"/>
        </w:rPr>
        <w:t>For greater regulatory certainty</w:t>
      </w:r>
      <w:r w:rsidR="00832387" w:rsidRPr="1F7F8671">
        <w:rPr>
          <w:rFonts w:eastAsia="Arial"/>
        </w:rPr>
        <w:t xml:space="preserve">, investors will have the opportunity </w:t>
      </w:r>
      <w:r w:rsidR="00832387">
        <w:rPr>
          <w:rFonts w:eastAsia="Arial"/>
        </w:rPr>
        <w:t xml:space="preserve">to </w:t>
      </w:r>
      <w:r w:rsidR="00685B31">
        <w:rPr>
          <w:rFonts w:eastAsia="Arial"/>
        </w:rPr>
        <w:t>voluntarily notify</w:t>
      </w:r>
      <w:r w:rsidR="00832387">
        <w:rPr>
          <w:rFonts w:eastAsia="Arial"/>
        </w:rPr>
        <w:t xml:space="preserve"> </w:t>
      </w:r>
      <w:r w:rsidR="00C76F77">
        <w:rPr>
          <w:rFonts w:eastAsia="Arial"/>
        </w:rPr>
        <w:t>(</w:t>
      </w:r>
      <w:r w:rsidR="00832387">
        <w:rPr>
          <w:rFonts w:eastAsia="Arial"/>
        </w:rPr>
        <w:t xml:space="preserve">on a </w:t>
      </w:r>
      <w:r w:rsidR="00C76F77">
        <w:rPr>
          <w:rFonts w:eastAsia="Arial"/>
        </w:rPr>
        <w:t>per</w:t>
      </w:r>
      <w:r w:rsidR="00AF5EDD">
        <w:rPr>
          <w:rFonts w:eastAsia="Arial"/>
        </w:rPr>
        <w:noBreakHyphen/>
      </w:r>
      <w:r w:rsidR="00E638BE">
        <w:rPr>
          <w:rFonts w:eastAsia="Arial"/>
        </w:rPr>
        <w:t>investment</w:t>
      </w:r>
      <w:r w:rsidR="00832387" w:rsidRPr="1F7F8671">
        <w:rPr>
          <w:rFonts w:eastAsia="Arial"/>
        </w:rPr>
        <w:t xml:space="preserve"> basis</w:t>
      </w:r>
      <w:r w:rsidR="00C76F77">
        <w:rPr>
          <w:rFonts w:eastAsia="Arial"/>
        </w:rPr>
        <w:t>)</w:t>
      </w:r>
      <w:r w:rsidR="00685B31">
        <w:rPr>
          <w:rFonts w:eastAsia="Arial"/>
        </w:rPr>
        <w:t>, including pre</w:t>
      </w:r>
      <w:r w:rsidR="00AF5EDD">
        <w:rPr>
          <w:rFonts w:eastAsia="Arial"/>
        </w:rPr>
        <w:noBreakHyphen/>
      </w:r>
      <w:r w:rsidR="00685B31">
        <w:rPr>
          <w:rFonts w:eastAsia="Arial"/>
        </w:rPr>
        <w:t>acquisition, to avoid</w:t>
      </w:r>
      <w:r w:rsidR="00E86C43">
        <w:rPr>
          <w:rFonts w:eastAsia="Arial"/>
        </w:rPr>
        <w:t xml:space="preserve"> </w:t>
      </w:r>
      <w:r w:rsidR="007B2043">
        <w:rPr>
          <w:rFonts w:eastAsia="Arial"/>
        </w:rPr>
        <w:t xml:space="preserve">the possibility of </w:t>
      </w:r>
      <w:r w:rsidR="00681A1C">
        <w:rPr>
          <w:rFonts w:eastAsia="Arial"/>
        </w:rPr>
        <w:t xml:space="preserve">being called in </w:t>
      </w:r>
      <w:r w:rsidR="001D67DF">
        <w:rPr>
          <w:rFonts w:eastAsia="Arial"/>
        </w:rPr>
        <w:t xml:space="preserve">for review </w:t>
      </w:r>
      <w:r w:rsidR="009E741A">
        <w:rPr>
          <w:rFonts w:eastAsia="Arial"/>
        </w:rPr>
        <w:t>on national security grounds</w:t>
      </w:r>
      <w:r>
        <w:rPr>
          <w:rFonts w:eastAsia="Arial"/>
        </w:rPr>
        <w:t>.</w:t>
      </w:r>
      <w:r w:rsidR="00E86C43">
        <w:rPr>
          <w:rFonts w:eastAsia="Arial"/>
        </w:rPr>
        <w:t xml:space="preserve"> </w:t>
      </w:r>
    </w:p>
    <w:p w14:paraId="4A46918D" w14:textId="6C2F7589" w:rsidR="000B49C7" w:rsidRDefault="00B34652" w:rsidP="001F018F">
      <w:pPr>
        <w:rPr>
          <w:rFonts w:eastAsia="Arial"/>
        </w:rPr>
      </w:pPr>
      <w:r>
        <w:rPr>
          <w:rFonts w:eastAsia="Arial"/>
        </w:rPr>
        <w:lastRenderedPageBreak/>
        <w:t>W</w:t>
      </w:r>
      <w:r w:rsidR="00C50C20">
        <w:rPr>
          <w:rFonts w:eastAsia="Arial"/>
        </w:rPr>
        <w:t xml:space="preserve">here a voluntary </w:t>
      </w:r>
      <w:r w:rsidR="007B2043">
        <w:rPr>
          <w:rFonts w:eastAsia="Arial"/>
        </w:rPr>
        <w:t>notification</w:t>
      </w:r>
      <w:r w:rsidR="00C50C20">
        <w:rPr>
          <w:rFonts w:eastAsia="Arial"/>
        </w:rPr>
        <w:t xml:space="preserve"> </w:t>
      </w:r>
      <w:r w:rsidR="007B2043">
        <w:rPr>
          <w:rFonts w:eastAsia="Arial"/>
        </w:rPr>
        <w:t xml:space="preserve">occurs </w:t>
      </w:r>
      <w:r w:rsidR="00C50C20">
        <w:rPr>
          <w:rFonts w:eastAsia="Arial"/>
        </w:rPr>
        <w:t>for an investment that is not subject to mandatory notification</w:t>
      </w:r>
      <w:r>
        <w:rPr>
          <w:rFonts w:eastAsia="Arial"/>
        </w:rPr>
        <w:t xml:space="preserve">, </w:t>
      </w:r>
      <w:r w:rsidR="00832387" w:rsidRPr="1F7F8671">
        <w:rPr>
          <w:rFonts w:eastAsia="Arial"/>
        </w:rPr>
        <w:t>a</w:t>
      </w:r>
      <w:r w:rsidR="004D5C1F">
        <w:rPr>
          <w:rFonts w:eastAsia="Arial"/>
        </w:rPr>
        <w:t xml:space="preserve"> time</w:t>
      </w:r>
      <w:r w:rsidR="00AF5EDD">
        <w:rPr>
          <w:rFonts w:eastAsia="Arial"/>
        </w:rPr>
        <w:noBreakHyphen/>
      </w:r>
      <w:r w:rsidR="00330E50">
        <w:rPr>
          <w:rFonts w:eastAsia="Arial"/>
        </w:rPr>
        <w:t>limited</w:t>
      </w:r>
      <w:r w:rsidR="00832387" w:rsidRPr="1F7F8671">
        <w:rPr>
          <w:rFonts w:eastAsia="Arial"/>
        </w:rPr>
        <w:t xml:space="preserve"> period </w:t>
      </w:r>
      <w:r w:rsidR="00330E50" w:rsidRPr="1F7F8671">
        <w:rPr>
          <w:rFonts w:eastAsia="Arial"/>
        </w:rPr>
        <w:t xml:space="preserve">will commence </w:t>
      </w:r>
      <w:r w:rsidR="003750BD">
        <w:rPr>
          <w:rFonts w:eastAsia="Arial"/>
        </w:rPr>
        <w:t>in</w:t>
      </w:r>
      <w:r w:rsidR="00832387" w:rsidRPr="1F7F8671">
        <w:rPr>
          <w:rFonts w:eastAsia="Arial"/>
        </w:rPr>
        <w:t xml:space="preserve"> which the Treasurer will need to decide whether to exercise the </w:t>
      </w:r>
      <w:r w:rsidR="00AF5EDD">
        <w:rPr>
          <w:rFonts w:eastAsia="Arial"/>
        </w:rPr>
        <w:t>‘</w:t>
      </w:r>
      <w:r w:rsidR="00832387" w:rsidRPr="1F7F8671">
        <w:rPr>
          <w:rFonts w:eastAsia="Arial"/>
        </w:rPr>
        <w:t>call in</w:t>
      </w:r>
      <w:r w:rsidR="00AF5EDD">
        <w:rPr>
          <w:rFonts w:eastAsia="Arial"/>
        </w:rPr>
        <w:t>’</w:t>
      </w:r>
      <w:r w:rsidR="00832387" w:rsidRPr="1F7F8671">
        <w:rPr>
          <w:rFonts w:eastAsia="Arial"/>
        </w:rPr>
        <w:t xml:space="preserve"> power and review the </w:t>
      </w:r>
      <w:r w:rsidR="00E638BE">
        <w:rPr>
          <w:rFonts w:eastAsia="Arial"/>
        </w:rPr>
        <w:t>investment</w:t>
      </w:r>
      <w:r w:rsidR="00832387" w:rsidRPr="1F7F8671">
        <w:rPr>
          <w:rFonts w:eastAsia="Arial"/>
        </w:rPr>
        <w:t xml:space="preserve"> on national security grounds</w:t>
      </w:r>
      <w:r w:rsidR="000D1474">
        <w:rPr>
          <w:rFonts w:eastAsia="Arial"/>
        </w:rPr>
        <w:t xml:space="preserve">. </w:t>
      </w:r>
    </w:p>
    <w:p w14:paraId="1D8B238D" w14:textId="23A62951" w:rsidR="00832387" w:rsidRPr="0012308A" w:rsidRDefault="00CA65D5" w:rsidP="000D1474">
      <w:pPr>
        <w:pStyle w:val="Heading3"/>
        <w:rPr>
          <w:rFonts w:eastAsia="Arial"/>
        </w:rPr>
      </w:pPr>
      <w:r>
        <w:rPr>
          <w:rFonts w:eastAsia="Arial"/>
        </w:rPr>
        <w:t xml:space="preserve">Investor certainty: </w:t>
      </w:r>
      <w:r w:rsidR="00832387" w:rsidRPr="0012308A">
        <w:rPr>
          <w:rFonts w:eastAsia="Arial"/>
        </w:rPr>
        <w:t>Investor</w:t>
      </w:r>
      <w:r w:rsidR="00AF5EDD">
        <w:rPr>
          <w:rFonts w:eastAsia="Arial"/>
        </w:rPr>
        <w:noBreakHyphen/>
      </w:r>
      <w:r w:rsidR="00832387" w:rsidRPr="0012308A">
        <w:rPr>
          <w:rFonts w:eastAsia="Arial"/>
        </w:rPr>
        <w:t xml:space="preserve">specific exemption certificates </w:t>
      </w:r>
    </w:p>
    <w:p w14:paraId="7DDFA9D1" w14:textId="19732FE0" w:rsidR="00847290" w:rsidRDefault="00847290" w:rsidP="001F018F">
      <w:r>
        <w:t>Investors will be able to apply for a time</w:t>
      </w:r>
      <w:r w:rsidR="00AF5EDD">
        <w:noBreakHyphen/>
      </w:r>
      <w:r>
        <w:t>limited investor</w:t>
      </w:r>
      <w:r w:rsidR="00AF5EDD">
        <w:noBreakHyphen/>
      </w:r>
      <w:r>
        <w:t xml:space="preserve">specific exemption certificate </w:t>
      </w:r>
      <w:r w:rsidR="00526BDA">
        <w:t xml:space="preserve">which enables them to make eligible acquisitions without </w:t>
      </w:r>
      <w:r>
        <w:t>case</w:t>
      </w:r>
      <w:r w:rsidR="00AF5EDD">
        <w:noBreakHyphen/>
      </w:r>
      <w:r>
        <w:t>by</w:t>
      </w:r>
      <w:r w:rsidR="00AF5EDD">
        <w:noBreakHyphen/>
      </w:r>
      <w:r>
        <w:t>case screening</w:t>
      </w:r>
      <w:r w:rsidR="00F17E8C">
        <w:t>.</w:t>
      </w:r>
      <w:r w:rsidR="00C6230E" w:rsidRPr="00C6230E">
        <w:rPr>
          <w:rFonts w:eastAsia="Arial" w:cs="Arial"/>
        </w:rPr>
        <w:t xml:space="preserve"> </w:t>
      </w:r>
      <w:r w:rsidR="00C6230E">
        <w:rPr>
          <w:rFonts w:eastAsia="Arial" w:cs="Arial"/>
        </w:rPr>
        <w:t>Exemption</w:t>
      </w:r>
      <w:r w:rsidR="00526BDA">
        <w:rPr>
          <w:rFonts w:eastAsia="Arial" w:cs="Arial"/>
        </w:rPr>
        <w:t xml:space="preserve"> certificate</w:t>
      </w:r>
      <w:r w:rsidR="00C6230E">
        <w:rPr>
          <w:rFonts w:eastAsia="Arial" w:cs="Arial"/>
        </w:rPr>
        <w:t>s may range in length</w:t>
      </w:r>
      <w:r>
        <w:rPr>
          <w:rFonts w:eastAsia="Arial"/>
        </w:rPr>
        <w:t xml:space="preserve"> and value</w:t>
      </w:r>
      <w:r w:rsidR="00C6230E">
        <w:rPr>
          <w:rFonts w:eastAsia="Arial" w:cs="Arial"/>
        </w:rPr>
        <w:t>, and will be subject to conditions, including reporting conditions where necessary</w:t>
      </w:r>
      <w:r>
        <w:t xml:space="preserve">. </w:t>
      </w:r>
    </w:p>
    <w:p w14:paraId="0882AFB7" w14:textId="5FE02586" w:rsidR="00847290" w:rsidRDefault="00847290" w:rsidP="001F018F">
      <w:r>
        <w:t xml:space="preserve">Investors </w:t>
      </w:r>
      <w:r w:rsidR="00C6230E">
        <w:t>will</w:t>
      </w:r>
      <w:r>
        <w:t xml:space="preserve"> only be approved </w:t>
      </w:r>
      <w:r w:rsidR="00C6230E">
        <w:t>where</w:t>
      </w:r>
      <w:r>
        <w:t xml:space="preserve"> they </w:t>
      </w:r>
      <w:r w:rsidR="004D5C1F">
        <w:t xml:space="preserve">have been </w:t>
      </w:r>
      <w:r>
        <w:t xml:space="preserve">assessed as </w:t>
      </w:r>
      <w:r w:rsidR="00526BDA">
        <w:t xml:space="preserve">not </w:t>
      </w:r>
      <w:r>
        <w:t xml:space="preserve">posing </w:t>
      </w:r>
      <w:r w:rsidR="00526BDA">
        <w:t>a</w:t>
      </w:r>
      <w:r>
        <w:t xml:space="preserve"> risk to national security, and once approved they would </w:t>
      </w:r>
      <w:r w:rsidR="00F00E66">
        <w:t>no longer face</w:t>
      </w:r>
      <w:r w:rsidR="009628EA" w:rsidRPr="00E768EB">
        <w:t xml:space="preserve"> the</w:t>
      </w:r>
      <w:r w:rsidR="00961297">
        <w:t xml:space="preserve"> time,</w:t>
      </w:r>
      <w:r w:rsidR="009628EA" w:rsidRPr="00E768EB">
        <w:t xml:space="preserve"> cost and regulatory burden of separate applications</w:t>
      </w:r>
      <w:r w:rsidR="000D1474">
        <w:t xml:space="preserve">. </w:t>
      </w:r>
    </w:p>
    <w:p w14:paraId="189BAB77" w14:textId="338D06F8" w:rsidR="00464733" w:rsidRDefault="00832387" w:rsidP="001F018F">
      <w:pPr>
        <w:rPr>
          <w:rFonts w:eastAsia="Arial"/>
        </w:rPr>
      </w:pPr>
      <w:r w:rsidRPr="1F7F8671">
        <w:rPr>
          <w:rFonts w:eastAsia="Arial"/>
        </w:rPr>
        <w:t>Assessing exemption</w:t>
      </w:r>
      <w:r w:rsidR="00526BDA">
        <w:rPr>
          <w:rFonts w:eastAsia="Arial"/>
        </w:rPr>
        <w:t xml:space="preserve"> certificate</w:t>
      </w:r>
      <w:r w:rsidR="00F643B8">
        <w:rPr>
          <w:rFonts w:eastAsia="Arial"/>
        </w:rPr>
        <w:t>s</w:t>
      </w:r>
      <w:r w:rsidRPr="1F7F8671">
        <w:rPr>
          <w:rFonts w:eastAsia="Arial"/>
        </w:rPr>
        <w:t xml:space="preserve"> on a case</w:t>
      </w:r>
      <w:r w:rsidR="00AF5EDD">
        <w:rPr>
          <w:rFonts w:eastAsia="Arial"/>
        </w:rPr>
        <w:noBreakHyphen/>
      </w:r>
      <w:r w:rsidRPr="1F7F8671">
        <w:rPr>
          <w:rFonts w:eastAsia="Arial"/>
        </w:rPr>
        <w:t>by</w:t>
      </w:r>
      <w:r w:rsidR="00AF5EDD">
        <w:rPr>
          <w:rFonts w:eastAsia="Arial"/>
        </w:rPr>
        <w:noBreakHyphen/>
      </w:r>
      <w:r w:rsidRPr="1F7F8671">
        <w:rPr>
          <w:rFonts w:eastAsia="Arial"/>
        </w:rPr>
        <w:t>case</w:t>
      </w:r>
      <w:r w:rsidR="00F17E8C">
        <w:rPr>
          <w:rFonts w:eastAsia="Arial"/>
        </w:rPr>
        <w:t>, non</w:t>
      </w:r>
      <w:r w:rsidR="00AF5EDD">
        <w:rPr>
          <w:rFonts w:eastAsia="Arial"/>
        </w:rPr>
        <w:noBreakHyphen/>
      </w:r>
      <w:r w:rsidR="00F17E8C">
        <w:rPr>
          <w:rFonts w:eastAsia="Arial"/>
        </w:rPr>
        <w:t>discriminatory</w:t>
      </w:r>
      <w:r w:rsidRPr="1F7F8671">
        <w:rPr>
          <w:rFonts w:eastAsia="Arial"/>
        </w:rPr>
        <w:t xml:space="preserve"> basis will provide Australia </w:t>
      </w:r>
      <w:r w:rsidR="00C6230E">
        <w:rPr>
          <w:rFonts w:eastAsia="Arial"/>
        </w:rPr>
        <w:t xml:space="preserve">with </w:t>
      </w:r>
      <w:r w:rsidRPr="1F7F8671">
        <w:rPr>
          <w:rFonts w:eastAsia="Arial"/>
        </w:rPr>
        <w:t>the greatest flexibility to reduce investor burden while continuing to attract investment that is not contrary to Australia</w:t>
      </w:r>
      <w:r w:rsidR="00AF5EDD">
        <w:rPr>
          <w:rFonts w:eastAsia="Arial"/>
        </w:rPr>
        <w:t>’</w:t>
      </w:r>
      <w:r w:rsidRPr="1F7F8671">
        <w:rPr>
          <w:rFonts w:eastAsia="Arial"/>
        </w:rPr>
        <w:t xml:space="preserve">s national security interests. </w:t>
      </w:r>
    </w:p>
    <w:p w14:paraId="270DBF9C" w14:textId="0DD66EE4" w:rsidR="0072282D" w:rsidRPr="00706582" w:rsidRDefault="00026976" w:rsidP="000D1474">
      <w:pPr>
        <w:pStyle w:val="Heading3"/>
        <w:rPr>
          <w:rFonts w:eastAsia="Arial"/>
        </w:rPr>
      </w:pPr>
      <w:r>
        <w:rPr>
          <w:rFonts w:eastAsia="Arial"/>
        </w:rPr>
        <w:t>Last resort review</w:t>
      </w:r>
      <w:r w:rsidR="0072282D" w:rsidRPr="00706582">
        <w:rPr>
          <w:rFonts w:eastAsia="Arial"/>
        </w:rPr>
        <w:t xml:space="preserve"> power</w:t>
      </w:r>
    </w:p>
    <w:p w14:paraId="557C932B" w14:textId="2E4F49E4" w:rsidR="00252414" w:rsidRDefault="00BE594A" w:rsidP="001F018F">
      <w:pPr>
        <w:rPr>
          <w:rFonts w:eastAsia="Arial" w:cs="Arial"/>
        </w:rPr>
      </w:pPr>
      <w:r>
        <w:rPr>
          <w:rFonts w:eastAsia="Arial" w:cs="Arial"/>
        </w:rPr>
        <w:t xml:space="preserve">The Government will </w:t>
      </w:r>
      <w:r>
        <w:t xml:space="preserve">introduce a </w:t>
      </w:r>
      <w:r w:rsidR="00026976">
        <w:t xml:space="preserve">national security </w:t>
      </w:r>
      <w:r>
        <w:t xml:space="preserve">last resort </w:t>
      </w:r>
      <w:r w:rsidR="00026976">
        <w:t xml:space="preserve">review </w:t>
      </w:r>
      <w:r>
        <w:t xml:space="preserve">power to </w:t>
      </w:r>
      <w:r w:rsidR="004B703D">
        <w:t xml:space="preserve">reassess </w:t>
      </w:r>
      <w:r>
        <w:t>approved foreign investments</w:t>
      </w:r>
      <w:r w:rsidDel="009C0679">
        <w:t xml:space="preserve"> </w:t>
      </w:r>
      <w:r>
        <w:t xml:space="preserve">where subsequent national security risks emerge. </w:t>
      </w:r>
      <w:r w:rsidR="00B136E7">
        <w:t>T</w:t>
      </w:r>
      <w:r w:rsidR="00252414">
        <w:t xml:space="preserve">he </w:t>
      </w:r>
      <w:r w:rsidR="00026976">
        <w:t xml:space="preserve">last resort review </w:t>
      </w:r>
      <w:r w:rsidR="00252414">
        <w:t xml:space="preserve">power will </w:t>
      </w:r>
      <w:r w:rsidR="00C53435">
        <w:t>allow</w:t>
      </w:r>
      <w:r w:rsidR="00252414">
        <w:t xml:space="preserve"> the Treasurer to</w:t>
      </w:r>
      <w:r w:rsidR="00252414" w:rsidRPr="00967481">
        <w:t xml:space="preserve"> impos</w:t>
      </w:r>
      <w:r w:rsidR="00252414" w:rsidRPr="00967481" w:rsidDel="004D12E6">
        <w:t>e</w:t>
      </w:r>
      <w:r w:rsidR="00252414" w:rsidRPr="00967481">
        <w:t xml:space="preserve"> conditions, vary existing conditions, or, as a last resort, </w:t>
      </w:r>
      <w:r w:rsidR="00961297">
        <w:t>require</w:t>
      </w:r>
      <w:r w:rsidR="00961297" w:rsidRPr="00967481">
        <w:t xml:space="preserve"> </w:t>
      </w:r>
      <w:r w:rsidR="00252414" w:rsidRPr="00967481">
        <w:t xml:space="preserve">the divestment </w:t>
      </w:r>
      <w:r w:rsidR="00252414" w:rsidRPr="1F7F8671">
        <w:rPr>
          <w:rFonts w:eastAsia="Arial" w:cs="Arial"/>
        </w:rPr>
        <w:t>of foreign interests in a business, entity or land</w:t>
      </w:r>
      <w:r w:rsidR="00252414">
        <w:rPr>
          <w:rFonts w:eastAsia="Arial" w:cs="Arial"/>
        </w:rPr>
        <w:t xml:space="preserve">. </w:t>
      </w:r>
    </w:p>
    <w:p w14:paraId="5FF8F621" w14:textId="36EFE088" w:rsidR="00147C09" w:rsidRDefault="00147C09" w:rsidP="001F018F">
      <w:r>
        <w:t>The</w:t>
      </w:r>
      <w:r w:rsidR="00E768EB">
        <w:t xml:space="preserve"> </w:t>
      </w:r>
      <w:r w:rsidR="00026976">
        <w:t>last resort review</w:t>
      </w:r>
      <w:r w:rsidRPr="00C74710">
        <w:t xml:space="preserve"> power will not be retrospective and will only be applicable to any future foreign investment that is revi</w:t>
      </w:r>
      <w:r>
        <w:t>ewed under the FATA</w:t>
      </w:r>
      <w:r w:rsidR="000D1474">
        <w:t xml:space="preserve">. </w:t>
      </w:r>
    </w:p>
    <w:p w14:paraId="2726CE1C" w14:textId="79A4F31D" w:rsidR="00BE594A" w:rsidRDefault="00BE594A" w:rsidP="001F018F">
      <w:r>
        <w:t xml:space="preserve">The </w:t>
      </w:r>
      <w:r w:rsidR="00C53435">
        <w:t xml:space="preserve">purpose of the </w:t>
      </w:r>
      <w:r w:rsidR="00026976">
        <w:t>last resort review</w:t>
      </w:r>
      <w:r>
        <w:t xml:space="preserve"> power </w:t>
      </w:r>
      <w:r w:rsidR="00C53435">
        <w:t>is to</w:t>
      </w:r>
      <w:r>
        <w:t xml:space="preserve"> address a gap in Australia</w:t>
      </w:r>
      <w:r w:rsidR="00AF5EDD">
        <w:t>’</w:t>
      </w:r>
      <w:r>
        <w:t>s approach to managing foreign involvement in sensitive sectors, where point</w:t>
      </w:r>
      <w:r w:rsidR="00AF5EDD">
        <w:noBreakHyphen/>
      </w:r>
      <w:r>
        <w:t>in</w:t>
      </w:r>
      <w:r w:rsidR="00AF5EDD">
        <w:noBreakHyphen/>
      </w:r>
      <w:r>
        <w:t xml:space="preserve">time approvals, including conditions </w:t>
      </w:r>
      <w:r w:rsidR="00F00E66">
        <w:t>to</w:t>
      </w:r>
      <w:r>
        <w:t xml:space="preserve"> protect our national security, </w:t>
      </w:r>
      <w:r w:rsidR="008A78F2">
        <w:t xml:space="preserve">are made </w:t>
      </w:r>
      <w:r>
        <w:t>redundant due to rapid technological change, or where the nature of the security risks posed change</w:t>
      </w:r>
      <w:r w:rsidDel="004C0947">
        <w:t xml:space="preserve"> </w:t>
      </w:r>
      <w:r>
        <w:t>subsequent to approval</w:t>
      </w:r>
      <w:r w:rsidRPr="00561AC8">
        <w:t>.</w:t>
      </w:r>
    </w:p>
    <w:p w14:paraId="16BDDAD2" w14:textId="417A183E" w:rsidR="0026290F" w:rsidRDefault="0026290F" w:rsidP="001F018F">
      <w:r>
        <w:t xml:space="preserve">The </w:t>
      </w:r>
      <w:r w:rsidR="00026976">
        <w:t>last resort review</w:t>
      </w:r>
      <w:r w:rsidR="00252414">
        <w:t xml:space="preserve"> power </w:t>
      </w:r>
      <w:r w:rsidR="00C53435">
        <w:t>will</w:t>
      </w:r>
      <w:r>
        <w:t xml:space="preserve"> enable the Treasurer to address national security risks only in relation to foreign investments approved under the FATA, </w:t>
      </w:r>
      <w:r w:rsidR="009F1F5C">
        <w:t>either</w:t>
      </w:r>
      <w:r>
        <w:t xml:space="preserve"> under the</w:t>
      </w:r>
      <w:r w:rsidDel="00117B49">
        <w:t xml:space="preserve"> </w:t>
      </w:r>
      <w:r>
        <w:t>national interest test (which includes national security considerations) or under the new national security test for lower value transactions.</w:t>
      </w:r>
    </w:p>
    <w:p w14:paraId="0C806B2E" w14:textId="76135031" w:rsidR="0026290F" w:rsidRDefault="0026290F" w:rsidP="001F018F">
      <w:r>
        <w:t xml:space="preserve">Where an investor has notified of an </w:t>
      </w:r>
      <w:r w:rsidR="009F1F5C">
        <w:t>acquisition (</w:t>
      </w:r>
      <w:r>
        <w:t>action</w:t>
      </w:r>
      <w:r w:rsidR="009F1F5C">
        <w:t>)</w:t>
      </w:r>
      <w:r w:rsidR="000D1474">
        <w:t xml:space="preserve"> — </w:t>
      </w:r>
      <w:r>
        <w:t>either voluntarily or mandatorily</w:t>
      </w:r>
      <w:r w:rsidR="000D1474">
        <w:t xml:space="preserve"> — </w:t>
      </w:r>
      <w:r>
        <w:t xml:space="preserve">or </w:t>
      </w:r>
      <w:r w:rsidR="00252414">
        <w:t xml:space="preserve">has </w:t>
      </w:r>
      <w:r>
        <w:t>been called in for review</w:t>
      </w:r>
      <w:r w:rsidDel="005D7812">
        <w:t xml:space="preserve">, </w:t>
      </w:r>
      <w:r>
        <w:t xml:space="preserve">the </w:t>
      </w:r>
      <w:r w:rsidR="000D1467">
        <w:t xml:space="preserve">last resort review </w:t>
      </w:r>
      <w:r>
        <w:t>power will provide</w:t>
      </w:r>
      <w:r w:rsidDel="003030BB">
        <w:t xml:space="preserve"> the Treasurer </w:t>
      </w:r>
      <w:r>
        <w:t xml:space="preserve">with the ability to subsequently </w:t>
      </w:r>
      <w:r w:rsidR="006776C1">
        <w:t xml:space="preserve">assess </w:t>
      </w:r>
      <w:r>
        <w:t>and mitigate specific national security threats.</w:t>
      </w:r>
    </w:p>
    <w:p w14:paraId="724B3A0B" w14:textId="6757867E" w:rsidR="000D1467" w:rsidRDefault="0077617C" w:rsidP="001F018F">
      <w:r>
        <w:t>In order to</w:t>
      </w:r>
      <w:r w:rsidR="002A449E">
        <w:t xml:space="preserve"> </w:t>
      </w:r>
      <w:r w:rsidR="007B5D05">
        <w:t xml:space="preserve">provide certainty to </w:t>
      </w:r>
      <w:r w:rsidR="000D1467">
        <w:t xml:space="preserve">foreign </w:t>
      </w:r>
      <w:r w:rsidR="007B5D05">
        <w:t>investors</w:t>
      </w:r>
      <w:r w:rsidR="002A449E">
        <w:t xml:space="preserve"> who </w:t>
      </w:r>
      <w:r w:rsidR="007B5D05">
        <w:t>pose no national security concerns</w:t>
      </w:r>
      <w:r>
        <w:t xml:space="preserve">, the last resort review power will only </w:t>
      </w:r>
      <w:r w:rsidR="000D1467">
        <w:t xml:space="preserve">be available </w:t>
      </w:r>
      <w:r>
        <w:t>if and when the Treasurer</w:t>
      </w:r>
      <w:r w:rsidR="000D1467">
        <w:t xml:space="preserve"> has taken (or is deemed to have taken)</w:t>
      </w:r>
      <w:r>
        <w:t xml:space="preserve"> a decision with respect to a</w:t>
      </w:r>
      <w:r w:rsidR="000D1467">
        <w:t xml:space="preserve"> particular</w:t>
      </w:r>
      <w:r>
        <w:t xml:space="preserve"> action. </w:t>
      </w:r>
      <w:r w:rsidR="000D1467">
        <w:t xml:space="preserve">Where an investment </w:t>
      </w:r>
      <w:r w:rsidR="00F900FA">
        <w:t>was not required to be screened and/or was</w:t>
      </w:r>
      <w:r w:rsidR="000D1467">
        <w:t xml:space="preserve"> not called in within the specified call in period, the action</w:t>
      </w:r>
      <w:r>
        <w:t xml:space="preserve"> </w:t>
      </w:r>
      <w:r w:rsidR="007B5D05">
        <w:t xml:space="preserve">will </w:t>
      </w:r>
      <w:r w:rsidR="00D13FEE">
        <w:t xml:space="preserve">not </w:t>
      </w:r>
      <w:r w:rsidR="007B5D05">
        <w:t>be subject to future action under the foreign investment review framework</w:t>
      </w:r>
      <w:r w:rsidR="00B87D14">
        <w:t>.</w:t>
      </w:r>
    </w:p>
    <w:p w14:paraId="24D844BA" w14:textId="538A0CA8" w:rsidR="00C53435" w:rsidRDefault="00035225" w:rsidP="001F018F">
      <w:r>
        <w:t>Providing</w:t>
      </w:r>
      <w:r w:rsidR="00DC1DC6">
        <w:t xml:space="preserve"> no other regulatory mechanisms are available</w:t>
      </w:r>
      <w:r w:rsidR="00E0104A">
        <w:t xml:space="preserve"> to </w:t>
      </w:r>
      <w:r w:rsidR="0077617C">
        <w:t xml:space="preserve">satisfactorily </w:t>
      </w:r>
      <w:r w:rsidR="00E0104A">
        <w:t>address the national security risks</w:t>
      </w:r>
      <w:r>
        <w:t xml:space="preserve"> (such as through the </w:t>
      </w:r>
      <w:r w:rsidRPr="00B44E27">
        <w:rPr>
          <w:rFonts w:eastAsia="Arial" w:cs="Arial"/>
          <w:i/>
        </w:rPr>
        <w:t xml:space="preserve">Security of Critical Infrastructure Act 2018 </w:t>
      </w:r>
      <w:r w:rsidRPr="00B44E27">
        <w:rPr>
          <w:rFonts w:eastAsia="Arial" w:cs="Arial"/>
        </w:rPr>
        <w:t xml:space="preserve">and the </w:t>
      </w:r>
      <w:r w:rsidRPr="00B44E27">
        <w:rPr>
          <w:rFonts w:eastAsia="Arial" w:cs="Arial"/>
          <w:i/>
        </w:rPr>
        <w:t>Telecommunications Act</w:t>
      </w:r>
      <w:r w:rsidR="002E0808">
        <w:rPr>
          <w:rFonts w:eastAsia="Arial" w:cs="Arial"/>
          <w:i/>
        </w:rPr>
        <w:t> </w:t>
      </w:r>
      <w:r w:rsidRPr="00B44E27">
        <w:rPr>
          <w:rFonts w:eastAsia="Arial" w:cs="Arial"/>
          <w:i/>
        </w:rPr>
        <w:t>1997</w:t>
      </w:r>
      <w:r>
        <w:rPr>
          <w:rFonts w:eastAsia="Arial" w:cs="Arial"/>
        </w:rPr>
        <w:t>)</w:t>
      </w:r>
      <w:r w:rsidR="00C53435">
        <w:t xml:space="preserve">, the Treasurer will be able to impose new or vary existing conditions, or, as a last resort, </w:t>
      </w:r>
      <w:r w:rsidR="008A78F2">
        <w:t xml:space="preserve">require </w:t>
      </w:r>
      <w:r w:rsidR="00C53435">
        <w:t>the divestment of foreign interests in a business, entity or title of land where subsequent to the original approval it can be substantiated that:</w:t>
      </w:r>
    </w:p>
    <w:p w14:paraId="1067250B" w14:textId="5144D524" w:rsidR="00045EE0" w:rsidRDefault="00045EE0" w:rsidP="009E1CFA">
      <w:pPr>
        <w:pStyle w:val="Bullet"/>
        <w:jc w:val="both"/>
      </w:pPr>
      <w:r>
        <w:t>the applicant made a material misstatement or omission to the Treasurer, and this misstatement or omission directly related to national security risks posed by the acquisition;</w:t>
      </w:r>
    </w:p>
    <w:p w14:paraId="53C77BB6" w14:textId="1B330C2F" w:rsidR="0012674A" w:rsidRPr="00DE3B0B" w:rsidRDefault="0012674A" w:rsidP="009E1CFA">
      <w:pPr>
        <w:pStyle w:val="Bullet"/>
        <w:jc w:val="both"/>
      </w:pPr>
      <w:r w:rsidRPr="00DE3B0B">
        <w:lastRenderedPageBreak/>
        <w:t xml:space="preserve">the activities of the investor have changed substantially, posing national security risks which could not be reasonably foreseen at the time of approval; </w:t>
      </w:r>
    </w:p>
    <w:p w14:paraId="50096060" w14:textId="60774551" w:rsidR="00F51CB1" w:rsidRDefault="00F51CB1" w:rsidP="00F51CB1">
      <w:pPr>
        <w:pStyle w:val="Bullet"/>
      </w:pPr>
      <w:r>
        <w:t>a material change occurs to the operating environment, which alters the nature of national security risks posed at the time of approval;</w:t>
      </w:r>
      <w:r w:rsidR="00284203">
        <w:t xml:space="preserve"> and/or</w:t>
      </w:r>
    </w:p>
    <w:p w14:paraId="26E1CC09" w14:textId="307E6680" w:rsidR="0012674A" w:rsidRPr="00DE3B0B" w:rsidRDefault="0012674A" w:rsidP="009E1CFA">
      <w:pPr>
        <w:pStyle w:val="Bullet"/>
        <w:jc w:val="both"/>
      </w:pPr>
      <w:r w:rsidRPr="00DE3B0B">
        <w:t>national security risks have emerged in relation to the acquirer, or the target, which could not be reasonably foreseen at the time of approval.</w:t>
      </w:r>
    </w:p>
    <w:p w14:paraId="1194767B" w14:textId="660C31C3" w:rsidR="00381ECF" w:rsidRPr="00A00F76" w:rsidRDefault="00360EEC" w:rsidP="001F018F">
      <w:r w:rsidRPr="1F7F8671">
        <w:rPr>
          <w:rFonts w:eastAsia="Arial"/>
        </w:rPr>
        <w:t>In recognition of the significant implications for investors</w:t>
      </w:r>
      <w:r w:rsidR="00221575">
        <w:rPr>
          <w:rFonts w:eastAsia="Arial"/>
        </w:rPr>
        <w:t>,</w:t>
      </w:r>
      <w:r>
        <w:rPr>
          <w:rFonts w:eastAsia="Arial"/>
        </w:rPr>
        <w:t xml:space="preserve"> the need for investor certainty</w:t>
      </w:r>
      <w:r w:rsidR="00221575">
        <w:rPr>
          <w:rFonts w:eastAsia="Arial"/>
        </w:rPr>
        <w:t xml:space="preserve"> and the need for transparency</w:t>
      </w:r>
      <w:r w:rsidRPr="1F7F8671">
        <w:rPr>
          <w:rFonts w:eastAsia="Arial"/>
        </w:rPr>
        <w:t xml:space="preserve">, this power will be subject to </w:t>
      </w:r>
      <w:r>
        <w:rPr>
          <w:rFonts w:eastAsia="Arial"/>
        </w:rPr>
        <w:t xml:space="preserve">significant </w:t>
      </w:r>
      <w:r w:rsidR="00E768EB">
        <w:rPr>
          <w:rFonts w:eastAsia="Arial"/>
        </w:rPr>
        <w:t>safeguard</w:t>
      </w:r>
      <w:r w:rsidR="00536289">
        <w:rPr>
          <w:rFonts w:eastAsia="Arial"/>
        </w:rPr>
        <w:t xml:space="preserve">s </w:t>
      </w:r>
      <w:r w:rsidR="00D76A3F">
        <w:rPr>
          <w:rFonts w:eastAsia="Arial"/>
        </w:rPr>
        <w:t>including that the Treasurer be satisfied that</w:t>
      </w:r>
      <w:r w:rsidR="00381ECF">
        <w:t>:</w:t>
      </w:r>
    </w:p>
    <w:p w14:paraId="5F6D7209" w14:textId="20A9669D" w:rsidR="00381ECF" w:rsidRDefault="00381ECF" w:rsidP="009E1CFA">
      <w:pPr>
        <w:pStyle w:val="Bullet"/>
        <w:jc w:val="both"/>
      </w:pPr>
      <w:r>
        <w:t>reasonable steps have been taken to negotiate in good faith with the foreign investor to achieve an outcome of eliminating or reducing the risk without action under the FATA;</w:t>
      </w:r>
    </w:p>
    <w:p w14:paraId="52DED335" w14:textId="1DD26117" w:rsidR="00807561" w:rsidRDefault="00381ECF" w:rsidP="009E1CFA">
      <w:pPr>
        <w:pStyle w:val="Bullet"/>
        <w:jc w:val="both"/>
      </w:pPr>
      <w:r>
        <w:t xml:space="preserve">there are no other </w:t>
      </w:r>
      <w:r w:rsidRPr="00A00F76">
        <w:t xml:space="preserve">regulatory mechanisms outside the FATA </w:t>
      </w:r>
      <w:r>
        <w:t xml:space="preserve">that </w:t>
      </w:r>
      <w:r w:rsidRPr="00A00F76">
        <w:t xml:space="preserve">can be used </w:t>
      </w:r>
      <w:r>
        <w:t>to adequately address the identified risk</w:t>
      </w:r>
      <w:r w:rsidR="00807561">
        <w:t>; and</w:t>
      </w:r>
    </w:p>
    <w:p w14:paraId="5E2B33F8" w14:textId="23F01209" w:rsidR="009A6489" w:rsidRPr="002923CA" w:rsidRDefault="00807561" w:rsidP="00256517">
      <w:pPr>
        <w:pStyle w:val="Bullet"/>
        <w:jc w:val="both"/>
        <w:rPr>
          <w:rFonts w:eastAsia="Arial" w:cs="Arial"/>
        </w:rPr>
      </w:pPr>
      <w:r>
        <w:t xml:space="preserve">action under the FATA is reasonably necessary for the purposes of eliminating </w:t>
      </w:r>
      <w:r w:rsidR="00E768EB">
        <w:t>or reducing the identified risk.</w:t>
      </w:r>
    </w:p>
    <w:p w14:paraId="1FDC267E" w14:textId="4F1FF45F" w:rsidR="00C06557" w:rsidRPr="00C06557" w:rsidRDefault="007D3085" w:rsidP="001F018F">
      <w:pPr>
        <w:pStyle w:val="Heading1"/>
        <w:rPr>
          <w:rFonts w:eastAsia="Arial"/>
        </w:rPr>
      </w:pPr>
      <w:bookmarkStart w:id="85" w:name="_Toc34376165"/>
      <w:bookmarkStart w:id="86" w:name="_Toc34384774"/>
      <w:bookmarkStart w:id="87" w:name="_Toc34385205"/>
      <w:bookmarkStart w:id="88" w:name="_Toc34823600"/>
      <w:bookmarkStart w:id="89" w:name="_Toc34840547"/>
      <w:bookmarkStart w:id="90" w:name="_Toc35254825"/>
      <w:bookmarkStart w:id="91" w:name="_Toc35257721"/>
      <w:bookmarkStart w:id="92" w:name="_Toc41999438"/>
      <w:bookmarkStart w:id="93" w:name="_Toc42154154"/>
      <w:r>
        <w:rPr>
          <w:rFonts w:eastAsia="Arial"/>
        </w:rPr>
        <w:t>Streamline less</w:t>
      </w:r>
      <w:r w:rsidR="002720D2">
        <w:rPr>
          <w:rFonts w:eastAsia="Arial"/>
        </w:rPr>
        <w:t xml:space="preserve"> </w:t>
      </w:r>
      <w:r>
        <w:rPr>
          <w:rFonts w:eastAsia="Arial"/>
        </w:rPr>
        <w:t xml:space="preserve">sensitive </w:t>
      </w:r>
      <w:r w:rsidR="00E638BE">
        <w:rPr>
          <w:rFonts w:eastAsia="Arial"/>
        </w:rPr>
        <w:t>i</w:t>
      </w:r>
      <w:bookmarkEnd w:id="85"/>
      <w:r w:rsidR="00E638BE">
        <w:rPr>
          <w:rFonts w:eastAsia="Arial"/>
        </w:rPr>
        <w:t>nvestment</w:t>
      </w:r>
      <w:r>
        <w:rPr>
          <w:rFonts w:eastAsia="Arial"/>
        </w:rPr>
        <w:t>s</w:t>
      </w:r>
      <w:bookmarkEnd w:id="86"/>
      <w:bookmarkEnd w:id="87"/>
      <w:bookmarkEnd w:id="88"/>
      <w:bookmarkEnd w:id="89"/>
      <w:bookmarkEnd w:id="90"/>
      <w:bookmarkEnd w:id="91"/>
      <w:bookmarkEnd w:id="92"/>
      <w:bookmarkEnd w:id="93"/>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C06557" w14:paraId="67D6BB3E" w14:textId="77777777" w:rsidTr="001F018F">
        <w:tc>
          <w:tcPr>
            <w:tcW w:w="5000" w:type="pct"/>
            <w:shd w:val="clear" w:color="auto" w:fill="EBEBEB"/>
          </w:tcPr>
          <w:p w14:paraId="087ABDF9" w14:textId="5FBBCBC6" w:rsidR="00C06557" w:rsidRPr="00E77132" w:rsidRDefault="00C06557" w:rsidP="00E77132">
            <w:pPr>
              <w:pStyle w:val="OneLevelNumberedParagraph"/>
              <w:rPr>
                <w:sz w:val="22"/>
              </w:rPr>
            </w:pPr>
            <w:r w:rsidRPr="00E77132">
              <w:rPr>
                <w:sz w:val="22"/>
              </w:rPr>
              <w:t xml:space="preserve">The Government will exempt certain investments made by entities who are currently classified as </w:t>
            </w:r>
            <w:r w:rsidR="00AF5EDD">
              <w:rPr>
                <w:sz w:val="22"/>
              </w:rPr>
              <w:t>‘</w:t>
            </w:r>
            <w:r w:rsidRPr="00E77132">
              <w:rPr>
                <w:sz w:val="22"/>
              </w:rPr>
              <w:t>Foreign Government Investors</w:t>
            </w:r>
            <w:r w:rsidR="00AF5EDD">
              <w:rPr>
                <w:sz w:val="22"/>
              </w:rPr>
              <w:t>’</w:t>
            </w:r>
            <w:r w:rsidRPr="00E77132">
              <w:rPr>
                <w:sz w:val="22"/>
              </w:rPr>
              <w:t>. This exemption will be non discriminatory and apply only where no foreign government investor has or could be perceived to have influence or control over the investment or operational decisions of the entity or any of its underlying assets.</w:t>
            </w:r>
          </w:p>
        </w:tc>
      </w:tr>
    </w:tbl>
    <w:p w14:paraId="33DA314C" w14:textId="77777777" w:rsidR="00C06557" w:rsidRDefault="00C06557" w:rsidP="00C06557">
      <w:pPr>
        <w:pStyle w:val="SingleParagraph"/>
        <w:rPr>
          <w:rFonts w:eastAsia="Arial"/>
        </w:rPr>
      </w:pPr>
    </w:p>
    <w:p w14:paraId="7DDD48A2" w14:textId="2145516C" w:rsidR="008908C4" w:rsidRDefault="000630C4" w:rsidP="001F018F">
      <w:pPr>
        <w:rPr>
          <w:rFonts w:eastAsia="Arial"/>
        </w:rPr>
      </w:pPr>
      <w:r>
        <w:rPr>
          <w:rFonts w:eastAsia="Arial"/>
        </w:rPr>
        <w:t>S</w:t>
      </w:r>
      <w:r w:rsidRPr="008270C4">
        <w:rPr>
          <w:rFonts w:eastAsia="Arial"/>
        </w:rPr>
        <w:t xml:space="preserve">ome </w:t>
      </w:r>
      <w:r>
        <w:rPr>
          <w:rFonts w:eastAsia="Arial"/>
        </w:rPr>
        <w:t xml:space="preserve">privately controlled and managed </w:t>
      </w:r>
      <w:r w:rsidRPr="008270C4">
        <w:rPr>
          <w:rFonts w:eastAsia="Arial"/>
        </w:rPr>
        <w:t>institutional investors are regularly screened</w:t>
      </w:r>
      <w:r>
        <w:rPr>
          <w:rFonts w:eastAsia="Arial"/>
        </w:rPr>
        <w:t xml:space="preserve"> under the</w:t>
      </w:r>
      <w:r w:rsidR="002720D2">
        <w:rPr>
          <w:rFonts w:eastAsia="Arial"/>
        </w:rPr>
        <w:t xml:space="preserve"> </w:t>
      </w:r>
      <w:r w:rsidR="00AF5EDD">
        <w:rPr>
          <w:rFonts w:eastAsia="Arial"/>
        </w:rPr>
        <w:t>‘</w:t>
      </w:r>
      <w:r w:rsidR="002720D2">
        <w:rPr>
          <w:rFonts w:eastAsia="Arial"/>
        </w:rPr>
        <w:t>Foreign Government Investor</w:t>
      </w:r>
      <w:r w:rsidR="00AF5EDD">
        <w:rPr>
          <w:rFonts w:eastAsia="Arial"/>
        </w:rPr>
        <w:t>’</w:t>
      </w:r>
      <w:r w:rsidR="002720D2">
        <w:rPr>
          <w:rFonts w:eastAsia="Arial"/>
        </w:rPr>
        <w:t xml:space="preserve"> (FGI)</w:t>
      </w:r>
      <w:r>
        <w:rPr>
          <w:rFonts w:eastAsia="Arial"/>
        </w:rPr>
        <w:t xml:space="preserve"> screening rules </w:t>
      </w:r>
      <w:r w:rsidRPr="008270C4">
        <w:rPr>
          <w:rFonts w:eastAsia="Arial"/>
        </w:rPr>
        <w:t>due to large investments by FGIs in their funds.</w:t>
      </w:r>
      <w:r w:rsidDel="00870C37">
        <w:rPr>
          <w:rFonts w:eastAsia="Arial"/>
        </w:rPr>
        <w:t xml:space="preserve"> </w:t>
      </w:r>
      <w:r w:rsidR="008908C4" w:rsidRPr="000D365D">
        <w:rPr>
          <w:rFonts w:eastAsia="Arial" w:cs="Arial"/>
        </w:rPr>
        <w:t>Operational</w:t>
      </w:r>
      <w:r w:rsidR="008908C4" w:rsidRPr="00FC67E7">
        <w:rPr>
          <w:rFonts w:eastAsia="Arial" w:cs="Arial"/>
        </w:rPr>
        <w:t xml:space="preserve"> and strategic </w:t>
      </w:r>
      <w:r w:rsidR="008908C4" w:rsidRPr="000D365D">
        <w:rPr>
          <w:rFonts w:eastAsia="Arial" w:cs="Arial"/>
        </w:rPr>
        <w:t>control over fund investments and fund</w:t>
      </w:r>
      <w:r w:rsidR="008908C4" w:rsidRPr="00FC67E7">
        <w:rPr>
          <w:rFonts w:eastAsia="Arial" w:cs="Arial"/>
        </w:rPr>
        <w:t xml:space="preserve"> investment </w:t>
      </w:r>
      <w:r w:rsidR="008908C4" w:rsidRPr="000D365D">
        <w:rPr>
          <w:rFonts w:eastAsia="Arial" w:cs="Arial"/>
        </w:rPr>
        <w:t>decisions</w:t>
      </w:r>
      <w:r w:rsidR="008908C4" w:rsidRPr="00FC67E7">
        <w:rPr>
          <w:rFonts w:eastAsia="Arial" w:cs="Arial"/>
        </w:rPr>
        <w:t xml:space="preserve"> is generally </w:t>
      </w:r>
      <w:r w:rsidR="008908C4" w:rsidRPr="000D365D">
        <w:rPr>
          <w:rFonts w:eastAsia="Arial" w:cs="Arial"/>
        </w:rPr>
        <w:t>undertaken</w:t>
      </w:r>
      <w:r w:rsidR="008908C4" w:rsidRPr="00FC67E7">
        <w:rPr>
          <w:rFonts w:eastAsia="Arial" w:cs="Arial"/>
        </w:rPr>
        <w:t xml:space="preserve"> entirely by the general partner</w:t>
      </w:r>
      <w:r w:rsidR="00AF54FF">
        <w:rPr>
          <w:rFonts w:eastAsia="Arial" w:cs="Arial"/>
        </w:rPr>
        <w:t>s</w:t>
      </w:r>
      <w:r w:rsidR="008908C4" w:rsidRPr="00FC67E7">
        <w:rPr>
          <w:rFonts w:eastAsia="Arial" w:cs="Arial"/>
        </w:rPr>
        <w:t xml:space="preserve"> of the funds (</w:t>
      </w:r>
      <w:r w:rsidR="008908C4">
        <w:rPr>
          <w:rFonts w:eastAsia="Arial" w:cs="Arial"/>
        </w:rPr>
        <w:t>wh</w:t>
      </w:r>
      <w:r w:rsidR="00AF54FF">
        <w:rPr>
          <w:rFonts w:eastAsia="Arial" w:cs="Arial"/>
        </w:rPr>
        <w:t>ich</w:t>
      </w:r>
      <w:r w:rsidR="008908C4">
        <w:rPr>
          <w:rFonts w:eastAsia="Arial" w:cs="Arial"/>
        </w:rPr>
        <w:t xml:space="preserve"> are typically private, non</w:t>
      </w:r>
      <w:r w:rsidR="00AF5EDD">
        <w:rPr>
          <w:rFonts w:eastAsia="Arial" w:cs="Arial"/>
        </w:rPr>
        <w:noBreakHyphen/>
      </w:r>
      <w:r w:rsidR="008908C4">
        <w:rPr>
          <w:rFonts w:eastAsia="Arial" w:cs="Arial"/>
        </w:rPr>
        <w:t>government entities</w:t>
      </w:r>
      <w:r w:rsidR="008908C4" w:rsidRPr="000D365D">
        <w:rPr>
          <w:rFonts w:eastAsia="Arial" w:cs="Arial"/>
        </w:rPr>
        <w:t>).</w:t>
      </w:r>
      <w:r w:rsidR="008908C4" w:rsidRPr="00FC67E7">
        <w:rPr>
          <w:rFonts w:eastAsia="Arial" w:cs="Arial"/>
        </w:rPr>
        <w:t xml:space="preserve"> Receiving funding from foreign government</w:t>
      </w:r>
      <w:r w:rsidR="00AF5EDD">
        <w:rPr>
          <w:rFonts w:eastAsia="Arial" w:cs="Arial"/>
        </w:rPr>
        <w:noBreakHyphen/>
      </w:r>
      <w:r w:rsidR="008908C4" w:rsidRPr="00FC67E7">
        <w:rPr>
          <w:rFonts w:eastAsia="Arial" w:cs="Arial"/>
        </w:rPr>
        <w:t xml:space="preserve">related sources is common amongst the largest institutional investors, and </w:t>
      </w:r>
      <w:r w:rsidR="008908C4">
        <w:rPr>
          <w:rFonts w:eastAsia="Arial" w:cs="Arial"/>
        </w:rPr>
        <w:t xml:space="preserve">it is common for there to be </w:t>
      </w:r>
      <w:r w:rsidR="008908C4" w:rsidRPr="00FC67E7">
        <w:rPr>
          <w:rFonts w:eastAsia="Arial" w:cs="Arial"/>
        </w:rPr>
        <w:t xml:space="preserve">sufficient barriers against </w:t>
      </w:r>
      <w:r w:rsidR="008908C4">
        <w:rPr>
          <w:rFonts w:eastAsia="Arial" w:cs="Arial"/>
        </w:rPr>
        <w:t xml:space="preserve">foreign </w:t>
      </w:r>
      <w:r w:rsidR="008908C4" w:rsidRPr="00FC67E7">
        <w:rPr>
          <w:rFonts w:eastAsia="Arial" w:cs="Arial"/>
        </w:rPr>
        <w:t>government influence to make them low</w:t>
      </w:r>
      <w:r w:rsidR="008C566D">
        <w:rPr>
          <w:rFonts w:eastAsia="Arial" w:cs="Arial"/>
        </w:rPr>
        <w:t>er</w:t>
      </w:r>
      <w:r w:rsidR="00AF5EDD">
        <w:rPr>
          <w:rFonts w:eastAsia="Arial" w:cs="Arial"/>
        </w:rPr>
        <w:noBreakHyphen/>
      </w:r>
      <w:r w:rsidR="008908C4" w:rsidRPr="00FC67E7">
        <w:rPr>
          <w:rFonts w:eastAsia="Arial" w:cs="Arial"/>
        </w:rPr>
        <w:t>risk or otherwise unlikely to raise national interest concerns.</w:t>
      </w:r>
    </w:p>
    <w:p w14:paraId="6A1C5973" w14:textId="3093C3C8" w:rsidR="008C566D" w:rsidRDefault="00215F3C" w:rsidP="001F018F">
      <w:pPr>
        <w:rPr>
          <w:rFonts w:eastAsia="Arial"/>
        </w:rPr>
      </w:pPr>
      <w:r>
        <w:rPr>
          <w:rFonts w:eastAsia="Arial"/>
        </w:rPr>
        <w:t xml:space="preserve">The Government will </w:t>
      </w:r>
      <w:r w:rsidR="003A6D85">
        <w:rPr>
          <w:rFonts w:eastAsia="Arial"/>
        </w:rPr>
        <w:t xml:space="preserve">no longer treat </w:t>
      </w:r>
      <w:r w:rsidR="00F530F1">
        <w:rPr>
          <w:rFonts w:eastAsia="Arial"/>
        </w:rPr>
        <w:t>certain entities (that is,</w:t>
      </w:r>
      <w:r w:rsidR="0041611C" w:rsidRPr="008270C4">
        <w:rPr>
          <w:rFonts w:eastAsia="Arial"/>
        </w:rPr>
        <w:t xml:space="preserve"> </w:t>
      </w:r>
      <w:r w:rsidR="00343456">
        <w:rPr>
          <w:rFonts w:eastAsia="Arial"/>
        </w:rPr>
        <w:t>some</w:t>
      </w:r>
      <w:r w:rsidR="0041611C" w:rsidRPr="008270C4">
        <w:rPr>
          <w:rFonts w:eastAsia="Arial"/>
        </w:rPr>
        <w:t xml:space="preserve"> investment funds</w:t>
      </w:r>
      <w:r w:rsidR="002720D2">
        <w:rPr>
          <w:rFonts w:eastAsia="Arial"/>
        </w:rPr>
        <w:t>)</w:t>
      </w:r>
      <w:r w:rsidR="0041611C" w:rsidRPr="008270C4">
        <w:rPr>
          <w:rFonts w:eastAsia="Arial"/>
        </w:rPr>
        <w:t xml:space="preserve"> as</w:t>
      </w:r>
      <w:r w:rsidR="0010039B">
        <w:rPr>
          <w:rFonts w:eastAsia="Arial"/>
        </w:rPr>
        <w:t xml:space="preserve"> </w:t>
      </w:r>
      <w:r w:rsidR="002720D2">
        <w:rPr>
          <w:rFonts w:eastAsia="Arial"/>
        </w:rPr>
        <w:t xml:space="preserve">FGIs </w:t>
      </w:r>
      <w:r w:rsidR="0041611C" w:rsidRPr="008270C4">
        <w:rPr>
          <w:rFonts w:eastAsia="Arial"/>
        </w:rPr>
        <w:t xml:space="preserve">under the broader national interest test where their FGI investors </w:t>
      </w:r>
      <w:r w:rsidR="00DC5430">
        <w:rPr>
          <w:rFonts w:eastAsia="Arial"/>
        </w:rPr>
        <w:t xml:space="preserve">have no influence or control over the investment or operational decisions of the entity or any of </w:t>
      </w:r>
      <w:r w:rsidR="002A4BD9">
        <w:rPr>
          <w:rFonts w:eastAsia="Arial"/>
        </w:rPr>
        <w:t>its</w:t>
      </w:r>
      <w:r w:rsidR="00DC5430">
        <w:rPr>
          <w:rFonts w:eastAsia="Arial"/>
        </w:rPr>
        <w:t xml:space="preserve"> underlying assets</w:t>
      </w:r>
      <w:r w:rsidR="0041611C" w:rsidRPr="008270C4">
        <w:rPr>
          <w:rFonts w:eastAsia="Arial"/>
        </w:rPr>
        <w:t xml:space="preserve">. </w:t>
      </w:r>
      <w:r w:rsidR="00343456">
        <w:rPr>
          <w:rFonts w:eastAsia="Arial"/>
        </w:rPr>
        <w:t xml:space="preserve">These entities </w:t>
      </w:r>
      <w:r w:rsidR="008908C4">
        <w:rPr>
          <w:rFonts w:eastAsia="Arial"/>
        </w:rPr>
        <w:t>will</w:t>
      </w:r>
      <w:r w:rsidR="00462CB1">
        <w:rPr>
          <w:rFonts w:eastAsia="Arial"/>
        </w:rPr>
        <w:t xml:space="preserve"> still be</w:t>
      </w:r>
      <w:r w:rsidR="008E7B40">
        <w:rPr>
          <w:rFonts w:eastAsia="Arial"/>
        </w:rPr>
        <w:t xml:space="preserve"> </w:t>
      </w:r>
      <w:r w:rsidR="00343456">
        <w:rPr>
          <w:rFonts w:eastAsia="Arial"/>
        </w:rPr>
        <w:t xml:space="preserve">considered </w:t>
      </w:r>
      <w:r w:rsidR="00B0082F">
        <w:rPr>
          <w:rFonts w:eastAsia="Arial"/>
        </w:rPr>
        <w:t xml:space="preserve">as </w:t>
      </w:r>
      <w:r w:rsidR="00AF5EDD">
        <w:rPr>
          <w:rFonts w:eastAsia="Arial"/>
        </w:rPr>
        <w:t>‘</w:t>
      </w:r>
      <w:r w:rsidR="00343456">
        <w:rPr>
          <w:rFonts w:eastAsia="Arial"/>
        </w:rPr>
        <w:t>foreign persons</w:t>
      </w:r>
      <w:r w:rsidR="00AF5EDD">
        <w:rPr>
          <w:rFonts w:eastAsia="Arial"/>
        </w:rPr>
        <w:t>’</w:t>
      </w:r>
      <w:r w:rsidR="00343456">
        <w:rPr>
          <w:rFonts w:eastAsia="Arial"/>
        </w:rPr>
        <w:t xml:space="preserve"> for </w:t>
      </w:r>
      <w:r w:rsidR="00462CB1">
        <w:rPr>
          <w:rFonts w:eastAsia="Arial"/>
        </w:rPr>
        <w:t xml:space="preserve">the purpose of foreign investment </w:t>
      </w:r>
      <w:r w:rsidR="003A6D85">
        <w:rPr>
          <w:rFonts w:eastAsia="Arial"/>
        </w:rPr>
        <w:t>screening</w:t>
      </w:r>
      <w:r w:rsidR="00343456">
        <w:rPr>
          <w:rFonts w:eastAsia="Arial"/>
        </w:rPr>
        <w:t>.</w:t>
      </w:r>
      <w:r w:rsidR="0041611C" w:rsidRPr="008270C4">
        <w:rPr>
          <w:rFonts w:eastAsia="Arial"/>
        </w:rPr>
        <w:t xml:space="preserve"> </w:t>
      </w:r>
    </w:p>
    <w:p w14:paraId="269C7C1E" w14:textId="62B4BE34" w:rsidR="00870C37" w:rsidRDefault="00870C37" w:rsidP="001F018F">
      <w:pPr>
        <w:rPr>
          <w:rFonts w:eastAsia="Arial" w:cs="Arial"/>
        </w:rPr>
      </w:pPr>
      <w:r>
        <w:rPr>
          <w:rFonts w:eastAsia="Arial"/>
        </w:rPr>
        <w:t xml:space="preserve">The measure </w:t>
      </w:r>
      <w:r w:rsidR="008E7B40">
        <w:rPr>
          <w:rFonts w:eastAsia="Arial"/>
        </w:rPr>
        <w:t>is intended to</w:t>
      </w:r>
      <w:r>
        <w:rPr>
          <w:rFonts w:eastAsia="Arial"/>
        </w:rPr>
        <w:t xml:space="preserve"> streamline the handling of non</w:t>
      </w:r>
      <w:r w:rsidR="00AF5EDD">
        <w:rPr>
          <w:rFonts w:eastAsia="Arial"/>
        </w:rPr>
        <w:noBreakHyphen/>
      </w:r>
      <w:r>
        <w:rPr>
          <w:rFonts w:eastAsia="Arial"/>
        </w:rPr>
        <w:t>sensitive cases and reduce red tape for</w:t>
      </w:r>
      <w:r w:rsidR="00F530F1">
        <w:rPr>
          <w:rFonts w:eastAsia="Arial"/>
        </w:rPr>
        <w:t> </w:t>
      </w:r>
      <w:r>
        <w:rPr>
          <w:rFonts w:eastAsia="Arial"/>
        </w:rPr>
        <w:t>investors.</w:t>
      </w:r>
    </w:p>
    <w:p w14:paraId="7186762A" w14:textId="45AA98A5" w:rsidR="00877327" w:rsidRPr="00DB0E68" w:rsidRDefault="00877327" w:rsidP="000D1474">
      <w:pPr>
        <w:pStyle w:val="Heading2"/>
        <w:rPr>
          <w:i/>
        </w:rPr>
      </w:pPr>
      <w:bookmarkStart w:id="94" w:name="_Toc42154155"/>
      <w:r w:rsidRPr="00DB0E68">
        <w:t>Current</w:t>
      </w:r>
      <w:bookmarkEnd w:id="94"/>
    </w:p>
    <w:p w14:paraId="638D392A" w14:textId="61EC1E86" w:rsidR="00574CE7" w:rsidRDefault="00B0082F" w:rsidP="001F018F">
      <w:r>
        <w:t xml:space="preserve">The current definition of </w:t>
      </w:r>
      <w:r w:rsidR="00AF5EDD">
        <w:t>‘</w:t>
      </w:r>
      <w:r>
        <w:t>foreign government investor</w:t>
      </w:r>
      <w:r w:rsidR="00AF5EDD">
        <w:t>’</w:t>
      </w:r>
      <w:r>
        <w:t xml:space="preserve"> under section 17 of the FATR is broad</w:t>
      </w:r>
      <w:r w:rsidR="00574CE7">
        <w:t xml:space="preserve"> and includes foreign governments and their agencies. It also includes corporations, trustees of trusts and general partners of limited partnerships in which:</w:t>
      </w:r>
    </w:p>
    <w:p w14:paraId="3BD6ECFB" w14:textId="77777777" w:rsidR="00574CE7" w:rsidRDefault="00574CE7" w:rsidP="00574CE7">
      <w:pPr>
        <w:pStyle w:val="Bullet"/>
        <w:jc w:val="both"/>
      </w:pPr>
      <w:r>
        <w:lastRenderedPageBreak/>
        <w:t>foreign governments, their agencies (including other foreign government investors from the same country) hold an interest of at least 20 per cent</w:t>
      </w:r>
      <w:r w:rsidRPr="00CA73E9">
        <w:t>;</w:t>
      </w:r>
      <w:r>
        <w:t xml:space="preserve"> or</w:t>
      </w:r>
    </w:p>
    <w:p w14:paraId="3F4E222A" w14:textId="77777777" w:rsidR="00574CE7" w:rsidRPr="009B14F3" w:rsidRDefault="00574CE7" w:rsidP="00574CE7">
      <w:pPr>
        <w:pStyle w:val="Bullet"/>
        <w:jc w:val="both"/>
      </w:pPr>
      <w:r>
        <w:t>multiple foreign government investors collectively hold an aggregate interest of at least 40 per cent.</w:t>
      </w:r>
    </w:p>
    <w:p w14:paraId="33817BF3" w14:textId="77777777" w:rsidR="00574CE7" w:rsidRDefault="00574CE7" w:rsidP="001F018F">
      <w:r w:rsidRPr="00CA73E9">
        <w:rPr>
          <w:rFonts w:eastAsia="Arial"/>
        </w:rPr>
        <w:t xml:space="preserve">If an </w:t>
      </w:r>
      <w:r w:rsidRPr="00404D54">
        <w:t>investor</w:t>
      </w:r>
      <w:r>
        <w:t xml:space="preserve"> is</w:t>
      </w:r>
      <w:r w:rsidRPr="00404D54">
        <w:t xml:space="preserve"> considered an FGI for </w:t>
      </w:r>
      <w:r>
        <w:t>the purpose of foreign investment laws</w:t>
      </w:r>
      <w:r w:rsidRPr="00404D54">
        <w:t xml:space="preserve">, foreign investment approval </w:t>
      </w:r>
      <w:r>
        <w:t>is</w:t>
      </w:r>
      <w:r w:rsidRPr="00404D54">
        <w:t xml:space="preserve"> required for a range of actions which would not otherwise be required if the investor was </w:t>
      </w:r>
      <w:r>
        <w:t>a private investor</w:t>
      </w:r>
      <w:r w:rsidRPr="00404D54">
        <w:t>.</w:t>
      </w:r>
      <w:r>
        <w:t xml:space="preserve"> </w:t>
      </w:r>
    </w:p>
    <w:p w14:paraId="079F223F" w14:textId="354D7087" w:rsidR="00C460C2" w:rsidRDefault="00B0082F" w:rsidP="001F018F">
      <w:r>
        <w:t>S</w:t>
      </w:r>
      <w:r w:rsidRPr="00B47BBB">
        <w:t xml:space="preserve">ome institutional investors that are privately controlled </w:t>
      </w:r>
      <w:r>
        <w:t>may be</w:t>
      </w:r>
      <w:r w:rsidRPr="00B47BBB">
        <w:t xml:space="preserve"> caught within the </w:t>
      </w:r>
      <w:r>
        <w:t>FGI</w:t>
      </w:r>
      <w:r w:rsidRPr="00B47BBB">
        <w:t xml:space="preserve"> category under the </w:t>
      </w:r>
      <w:r>
        <w:t>FATA</w:t>
      </w:r>
      <w:r w:rsidRPr="00B47BBB">
        <w:t xml:space="preserve"> (and therefore</w:t>
      </w:r>
      <w:r>
        <w:t xml:space="preserve"> subject to a</w:t>
      </w:r>
      <w:r w:rsidRPr="00B47BBB">
        <w:t xml:space="preserve"> </w:t>
      </w:r>
      <w:r>
        <w:t>$0 screening threshold for certain types of investments)</w:t>
      </w:r>
      <w:r w:rsidR="00574CE7">
        <w:t>,</w:t>
      </w:r>
      <w:r w:rsidR="006C5455">
        <w:t xml:space="preserve"> even </w:t>
      </w:r>
      <w:r w:rsidR="009432C3">
        <w:t>where</w:t>
      </w:r>
      <w:r w:rsidR="006C5455">
        <w:t xml:space="preserve"> their FGI investors do not have any influence </w:t>
      </w:r>
      <w:r w:rsidR="002A4BD9">
        <w:t>or control</w:t>
      </w:r>
      <w:r w:rsidR="006C5455">
        <w:t xml:space="preserve"> over the</w:t>
      </w:r>
      <w:r w:rsidR="00163076">
        <w:t xml:space="preserve"> investment or operational </w:t>
      </w:r>
      <w:r w:rsidR="00F15F93">
        <w:t>decisions of the</w:t>
      </w:r>
      <w:r w:rsidR="006C5455">
        <w:t xml:space="preserve"> entity</w:t>
      </w:r>
      <w:r w:rsidR="004735D0">
        <w:t xml:space="preserve"> </w:t>
      </w:r>
      <w:r w:rsidR="00DB396B">
        <w:t>or any of its underlying assets</w:t>
      </w:r>
      <w:r w:rsidR="006C5455">
        <w:t xml:space="preserve">. </w:t>
      </w:r>
      <w:r w:rsidR="009432C3">
        <w:t xml:space="preserve">The experience of screening these proposals indicates they </w:t>
      </w:r>
      <w:r w:rsidR="000A01A2">
        <w:t xml:space="preserve">typically </w:t>
      </w:r>
      <w:r w:rsidR="004735D0">
        <w:t xml:space="preserve">do not </w:t>
      </w:r>
      <w:r w:rsidR="00DB655A">
        <w:t xml:space="preserve">give rise to </w:t>
      </w:r>
      <w:r w:rsidR="004735D0">
        <w:t xml:space="preserve">national interest </w:t>
      </w:r>
      <w:r w:rsidR="00DB655A">
        <w:t>concerns</w:t>
      </w:r>
      <w:r w:rsidR="006C5455">
        <w:t xml:space="preserve">. </w:t>
      </w:r>
    </w:p>
    <w:p w14:paraId="25875D86" w14:textId="79BD62BD" w:rsidR="009C7658" w:rsidRPr="00642801" w:rsidRDefault="005A700E" w:rsidP="000D1474">
      <w:pPr>
        <w:pStyle w:val="Heading2"/>
      </w:pPr>
      <w:bookmarkStart w:id="95" w:name="_Toc42154156"/>
      <w:r>
        <w:t>Reform</w:t>
      </w:r>
      <w:bookmarkEnd w:id="95"/>
    </w:p>
    <w:p w14:paraId="2FD19359" w14:textId="5DF9DF18" w:rsidR="00832387" w:rsidRPr="00FC67E7" w:rsidRDefault="004737D2" w:rsidP="001F018F">
      <w:r>
        <w:rPr>
          <w:rFonts w:eastAsia="Arial"/>
        </w:rPr>
        <w:t>C</w:t>
      </w:r>
      <w:r w:rsidR="008E7B40">
        <w:rPr>
          <w:rFonts w:eastAsia="Arial"/>
        </w:rPr>
        <w:t>ertain</w:t>
      </w:r>
      <w:r w:rsidR="008972C4">
        <w:rPr>
          <w:rFonts w:eastAsia="Arial"/>
        </w:rPr>
        <w:t xml:space="preserve"> e</w:t>
      </w:r>
      <w:r w:rsidR="00832387" w:rsidRPr="00FC67E7">
        <w:rPr>
          <w:rFonts w:eastAsia="Arial"/>
        </w:rPr>
        <w:t>ntities</w:t>
      </w:r>
      <w:r w:rsidR="00534867">
        <w:rPr>
          <w:rFonts w:eastAsia="Arial"/>
        </w:rPr>
        <w:t xml:space="preserve"> </w:t>
      </w:r>
      <w:r w:rsidR="008D7E69">
        <w:rPr>
          <w:rFonts w:eastAsia="Arial"/>
        </w:rPr>
        <w:t>(that is,</w:t>
      </w:r>
      <w:r w:rsidR="00832387">
        <w:rPr>
          <w:rFonts w:eastAsia="Arial"/>
        </w:rPr>
        <w:t xml:space="preserve"> </w:t>
      </w:r>
      <w:r w:rsidR="008E7B40">
        <w:rPr>
          <w:rFonts w:eastAsia="Arial"/>
        </w:rPr>
        <w:t>some</w:t>
      </w:r>
      <w:r w:rsidR="00832387">
        <w:rPr>
          <w:rFonts w:eastAsia="Arial"/>
        </w:rPr>
        <w:t xml:space="preserve"> investment funds)</w:t>
      </w:r>
      <w:r w:rsidR="00832387" w:rsidRPr="00FC67E7">
        <w:rPr>
          <w:rFonts w:eastAsia="Arial"/>
        </w:rPr>
        <w:t xml:space="preserve"> will no longer be treated as FGIs under the broader national interest test where no FGI has management rights and all of their FGI</w:t>
      </w:r>
      <w:r w:rsidR="000E69E9">
        <w:rPr>
          <w:rFonts w:eastAsia="Arial"/>
        </w:rPr>
        <w:t xml:space="preserve"> investor</w:t>
      </w:r>
      <w:r w:rsidR="00832387" w:rsidRPr="00FC67E7">
        <w:rPr>
          <w:rFonts w:eastAsia="Arial"/>
        </w:rPr>
        <w:t xml:space="preserve">s </w:t>
      </w:r>
      <w:r w:rsidR="00781A82">
        <w:rPr>
          <w:rFonts w:eastAsia="Arial"/>
        </w:rPr>
        <w:t>have no influence or control over the investment or operational decisions of the entity or any of its underlying assets</w:t>
      </w:r>
      <w:r w:rsidR="00832387" w:rsidRPr="00FC67E7">
        <w:rPr>
          <w:rFonts w:eastAsia="Arial"/>
        </w:rPr>
        <w:t>. This will be given effect in two ways:</w:t>
      </w:r>
    </w:p>
    <w:p w14:paraId="160E9992" w14:textId="1D4508D7" w:rsidR="00832387" w:rsidRPr="00B71B27" w:rsidRDefault="00832387" w:rsidP="009E1CFA">
      <w:pPr>
        <w:pStyle w:val="Bullet"/>
        <w:jc w:val="both"/>
      </w:pPr>
      <w:r w:rsidRPr="00B71B27">
        <w:t xml:space="preserve">Entities which have more than 40 per cent foreign government ownership in aggregate (without </w:t>
      </w:r>
      <w:r w:rsidR="00DB396B">
        <w:t>influence or control</w:t>
      </w:r>
      <w:r w:rsidRPr="00B71B27">
        <w:t>) but less than 20 per cent from any single foreign government will no longer be deemed FGIs under the FATR</w:t>
      </w:r>
      <w:r w:rsidR="008A2E18">
        <w:t xml:space="preserve"> (see </w:t>
      </w:r>
      <w:r w:rsidR="00DC1DC6" w:rsidRPr="0011258E">
        <w:rPr>
          <w:b/>
          <w:i/>
        </w:rPr>
        <w:t>Example 1</w:t>
      </w:r>
      <w:r w:rsidR="00DC1DC6">
        <w:t xml:space="preserve"> </w:t>
      </w:r>
      <w:r w:rsidR="008A2E18">
        <w:t>below)</w:t>
      </w:r>
      <w:r w:rsidRPr="00B71B27">
        <w:t>.</w:t>
      </w:r>
    </w:p>
    <w:p w14:paraId="49264084" w14:textId="79A3D5EA" w:rsidR="00832387" w:rsidRPr="00B71B27" w:rsidRDefault="00832387" w:rsidP="009E1CFA">
      <w:pPr>
        <w:pStyle w:val="Bullet"/>
        <w:jc w:val="both"/>
      </w:pPr>
      <w:r w:rsidRPr="00B71B27">
        <w:t>Entities</w:t>
      </w:r>
      <w:r w:rsidR="00534867">
        <w:t xml:space="preserve"> </w:t>
      </w:r>
      <w:r w:rsidRPr="00B71B27">
        <w:t xml:space="preserve">which have a single foreign government with </w:t>
      </w:r>
      <w:r w:rsidR="00220F88">
        <w:t>at least</w:t>
      </w:r>
      <w:r w:rsidRPr="00B71B27">
        <w:t xml:space="preserve"> 20 per cent ownership (without </w:t>
      </w:r>
      <w:r w:rsidR="00DB396B">
        <w:t>influence or control</w:t>
      </w:r>
      <w:r w:rsidRPr="00B71B27">
        <w:t xml:space="preserve">) will still be deemed FGIs, however </w:t>
      </w:r>
      <w:r w:rsidR="00FD01A1">
        <w:t xml:space="preserve">they </w:t>
      </w:r>
      <w:r w:rsidRPr="00B71B27">
        <w:t>will be able to apply for a broad exemption certificate on a case</w:t>
      </w:r>
      <w:r w:rsidR="00AF5EDD">
        <w:noBreakHyphen/>
      </w:r>
      <w:r w:rsidRPr="00B71B27">
        <w:t>by</w:t>
      </w:r>
      <w:r w:rsidR="00AF5EDD">
        <w:noBreakHyphen/>
      </w:r>
      <w:r w:rsidRPr="00B71B27">
        <w:t xml:space="preserve">case basis. These exemption certificates could be granted </w:t>
      </w:r>
      <w:r w:rsidR="002C6B11">
        <w:t xml:space="preserve">for </w:t>
      </w:r>
      <w:r w:rsidR="00D80641">
        <w:t>a specified time period (</w:t>
      </w:r>
      <w:r w:rsidR="003352B8">
        <w:t>such as 5 or 10 years, or</w:t>
      </w:r>
      <w:r w:rsidR="00D80641">
        <w:t xml:space="preserve"> </w:t>
      </w:r>
      <w:r w:rsidRPr="00B71B27">
        <w:t xml:space="preserve">up to the life of the </w:t>
      </w:r>
      <w:r w:rsidR="00FD01A1">
        <w:t>entity</w:t>
      </w:r>
      <w:r w:rsidR="00D80641">
        <w:t>)</w:t>
      </w:r>
      <w:r w:rsidRPr="00B71B27">
        <w:t xml:space="preserve">, and could include conditions </w:t>
      </w:r>
      <w:r w:rsidR="00642801">
        <w:t xml:space="preserve">(see </w:t>
      </w:r>
      <w:r w:rsidR="00642801" w:rsidRPr="00DB0E68">
        <w:rPr>
          <w:b/>
          <w:i/>
        </w:rPr>
        <w:t>Example 2</w:t>
      </w:r>
      <w:r w:rsidR="00642801">
        <w:t xml:space="preserve"> below)</w:t>
      </w:r>
      <w:r w:rsidRPr="00B71B27">
        <w:t>.</w:t>
      </w:r>
    </w:p>
    <w:p w14:paraId="5B85F6EC" w14:textId="54814FB2" w:rsidR="00C15F00" w:rsidRDefault="00832387" w:rsidP="001F018F">
      <w:pPr>
        <w:rPr>
          <w:rFonts w:eastAsia="Arial" w:cs="Arial"/>
        </w:rPr>
      </w:pPr>
      <w:r>
        <w:t>These entities</w:t>
      </w:r>
      <w:r w:rsidR="00534867">
        <w:t xml:space="preserve"> </w:t>
      </w:r>
      <w:r>
        <w:t xml:space="preserve">would still be subject to screening </w:t>
      </w:r>
      <w:r w:rsidR="00536289">
        <w:t>at the</w:t>
      </w:r>
      <w:r>
        <w:t xml:space="preserve"> thresholds</w:t>
      </w:r>
      <w:r w:rsidR="002923CA">
        <w:t xml:space="preserve"> for </w:t>
      </w:r>
      <w:r w:rsidR="000D1474">
        <w:t>private foreign investors ($275 </w:t>
      </w:r>
      <w:r w:rsidR="002923CA">
        <w:t>million, or $1,192 million for FTA</w:t>
      </w:r>
      <w:r w:rsidR="00AF5EDD">
        <w:noBreakHyphen/>
      </w:r>
      <w:r w:rsidR="002923CA">
        <w:t>partner countries)</w:t>
      </w:r>
      <w:r>
        <w:t xml:space="preserve"> </w:t>
      </w:r>
      <w:r w:rsidR="00536289">
        <w:t>which apply when the temporary coronavirus</w:t>
      </w:r>
      <w:r w:rsidR="00AF5EDD">
        <w:noBreakHyphen/>
      </w:r>
      <w:r w:rsidR="00536289">
        <w:t xml:space="preserve">related measures are </w:t>
      </w:r>
      <w:r w:rsidR="002923CA">
        <w:t>not in place</w:t>
      </w:r>
      <w:r>
        <w:t>.</w:t>
      </w:r>
      <w:r w:rsidR="000551CE" w:rsidRPr="000551CE">
        <w:rPr>
          <w:rFonts w:eastAsia="Arial" w:cs="Arial"/>
        </w:rPr>
        <w:t xml:space="preserve"> </w:t>
      </w:r>
      <w:r w:rsidR="000551CE">
        <w:rPr>
          <w:rFonts w:eastAsia="Arial" w:cs="Arial"/>
        </w:rPr>
        <w:t xml:space="preserve">The new national </w:t>
      </w:r>
      <w:r w:rsidR="003355DC">
        <w:rPr>
          <w:rFonts w:eastAsia="Arial" w:cs="Arial"/>
        </w:rPr>
        <w:t>security</w:t>
      </w:r>
      <w:r w:rsidR="000551CE">
        <w:rPr>
          <w:rFonts w:eastAsia="Arial" w:cs="Arial"/>
        </w:rPr>
        <w:t xml:space="preserve"> test will also apply where the investment raises national security concerns, regardless of the value of the investment</w:t>
      </w:r>
      <w:r w:rsidR="000D1474">
        <w:rPr>
          <w:rFonts w:eastAsia="Arial" w:cs="Arial"/>
        </w:rPr>
        <w:t xml:space="preserve"> (see Position </w:t>
      </w:r>
      <w:r w:rsidR="003352B8">
        <w:rPr>
          <w:rFonts w:eastAsia="Arial" w:cs="Arial"/>
        </w:rPr>
        <w:t>1)</w:t>
      </w:r>
      <w:r w:rsidR="000D1474">
        <w:rPr>
          <w:rFonts w:eastAsia="Arial" w:cs="Arial"/>
        </w:rPr>
        <w:t xml:space="preserve">. </w:t>
      </w:r>
    </w:p>
    <w:p w14:paraId="638E7CE9" w14:textId="56D06F19" w:rsidR="008E0B68" w:rsidRDefault="00412DDC" w:rsidP="001F018F">
      <w:pPr>
        <w:rPr>
          <w:rFonts w:eastAsia="Arial"/>
        </w:rPr>
      </w:pPr>
      <w:r>
        <w:rPr>
          <w:rFonts w:eastAsia="Arial"/>
        </w:rPr>
        <w:t xml:space="preserve">Under </w:t>
      </w:r>
      <w:r w:rsidRPr="00DB0E68">
        <w:rPr>
          <w:rFonts w:eastAsia="Arial"/>
          <w:b/>
          <w:i/>
        </w:rPr>
        <w:t>Example 2</w:t>
      </w:r>
      <w:r>
        <w:rPr>
          <w:rFonts w:eastAsia="Arial"/>
        </w:rPr>
        <w:t xml:space="preserve">, </w:t>
      </w:r>
      <w:r w:rsidR="00FB0B8A">
        <w:rPr>
          <w:rFonts w:eastAsia="Arial"/>
        </w:rPr>
        <w:t>the</w:t>
      </w:r>
      <w:r w:rsidR="008E0B68">
        <w:rPr>
          <w:rFonts w:eastAsia="Arial"/>
        </w:rPr>
        <w:t xml:space="preserve"> limited partnership</w:t>
      </w:r>
      <w:r w:rsidR="00FB0B8A">
        <w:rPr>
          <w:rFonts w:eastAsia="Arial"/>
        </w:rPr>
        <w:t xml:space="preserve"> </w:t>
      </w:r>
      <w:r w:rsidR="008E0B68">
        <w:rPr>
          <w:rFonts w:eastAsia="Arial"/>
        </w:rPr>
        <w:t>investment fund</w:t>
      </w:r>
      <w:r w:rsidR="00FB0B8A">
        <w:rPr>
          <w:rFonts w:eastAsia="Arial"/>
        </w:rPr>
        <w:t xml:space="preserve"> may apply for an exemption certificate</w:t>
      </w:r>
      <w:r>
        <w:rPr>
          <w:rFonts w:eastAsia="Arial"/>
        </w:rPr>
        <w:t xml:space="preserve"> and</w:t>
      </w:r>
      <w:r w:rsidR="00FB0B8A">
        <w:rPr>
          <w:rFonts w:eastAsia="Arial"/>
        </w:rPr>
        <w:t xml:space="preserve"> would have to demonstrate the abse</w:t>
      </w:r>
      <w:r w:rsidR="008E0B68">
        <w:rPr>
          <w:rFonts w:eastAsia="Arial"/>
        </w:rPr>
        <w:t>nce of FGI influence or control.</w:t>
      </w:r>
      <w:r>
        <w:rPr>
          <w:rFonts w:eastAsia="Arial"/>
        </w:rPr>
        <w:t xml:space="preserve"> </w:t>
      </w:r>
      <w:r w:rsidR="006824EC">
        <w:rPr>
          <w:rFonts w:eastAsia="Arial"/>
        </w:rPr>
        <w:t>The</w:t>
      </w:r>
      <w:r w:rsidR="00C15F00">
        <w:rPr>
          <w:rFonts w:eastAsia="Arial"/>
        </w:rPr>
        <w:t xml:space="preserve"> </w:t>
      </w:r>
      <w:r w:rsidR="001605DD">
        <w:rPr>
          <w:rFonts w:eastAsia="Arial"/>
        </w:rPr>
        <w:t>fund</w:t>
      </w:r>
      <w:r w:rsidR="00B66BE3">
        <w:rPr>
          <w:rFonts w:eastAsia="Arial"/>
        </w:rPr>
        <w:t xml:space="preserve"> </w:t>
      </w:r>
      <w:r w:rsidR="00C15F00">
        <w:rPr>
          <w:rFonts w:eastAsia="Arial"/>
        </w:rPr>
        <w:t>will be required, at minimum, to show that</w:t>
      </w:r>
      <w:r w:rsidR="005F6017">
        <w:rPr>
          <w:rFonts w:eastAsia="Arial"/>
        </w:rPr>
        <w:t xml:space="preserve"> their FGIs</w:t>
      </w:r>
      <w:r w:rsidR="00C15F00">
        <w:rPr>
          <w:rFonts w:eastAsia="Arial"/>
        </w:rPr>
        <w:t xml:space="preserve">: </w:t>
      </w:r>
    </w:p>
    <w:p w14:paraId="5B6E55D3" w14:textId="3AAF2FFF" w:rsidR="008E0B68" w:rsidRDefault="005F6017" w:rsidP="00DB0E68">
      <w:pPr>
        <w:pStyle w:val="Bullet"/>
        <w:jc w:val="both"/>
      </w:pPr>
      <w:r w:rsidRPr="00D30E8E">
        <w:rPr>
          <w:rFonts w:eastAsia="Arial"/>
        </w:rPr>
        <w:t>do not</w:t>
      </w:r>
      <w:r w:rsidR="008E0B68" w:rsidRPr="00675CE2">
        <w:rPr>
          <w:rFonts w:eastAsia="Arial"/>
        </w:rPr>
        <w:t xml:space="preserve"> </w:t>
      </w:r>
      <w:r w:rsidR="008E0B68" w:rsidRPr="00DB0E68">
        <w:t>have</w:t>
      </w:r>
      <w:r w:rsidR="00C15F00" w:rsidRPr="009446CF">
        <w:t xml:space="preserve"> mana</w:t>
      </w:r>
      <w:r w:rsidR="00C15F00">
        <w:t xml:space="preserve">gement rights in the investment; </w:t>
      </w:r>
    </w:p>
    <w:p w14:paraId="06DD3BC4" w14:textId="77777777" w:rsidR="00DB396B" w:rsidRDefault="00DB396B" w:rsidP="00DB396B">
      <w:pPr>
        <w:pStyle w:val="Bullet"/>
        <w:jc w:val="both"/>
      </w:pPr>
      <w:r>
        <w:t>typically do</w:t>
      </w:r>
      <w:r w:rsidRPr="009446CF">
        <w:t xml:space="preserve"> not know which</w:t>
      </w:r>
      <w:r>
        <w:t xml:space="preserve"> and when</w:t>
      </w:r>
      <w:r w:rsidRPr="009446CF">
        <w:t xml:space="preserve"> particular investments </w:t>
      </w:r>
      <w:r>
        <w:t>will be made</w:t>
      </w:r>
      <w:r w:rsidRPr="009446CF">
        <w:t xml:space="preserve"> (but may know the broad nature of the investment st</w:t>
      </w:r>
      <w:r>
        <w:t xml:space="preserve">rategy); and </w:t>
      </w:r>
    </w:p>
    <w:p w14:paraId="3D5E95F3" w14:textId="03643D62" w:rsidR="00F777C4" w:rsidRDefault="005F6017" w:rsidP="00DB0E68">
      <w:pPr>
        <w:pStyle w:val="Bullet"/>
        <w:jc w:val="both"/>
      </w:pPr>
      <w:r>
        <w:t>do not have</w:t>
      </w:r>
      <w:r w:rsidR="00C15F00" w:rsidRPr="009446CF">
        <w:t xml:space="preserve"> influence or control</w:t>
      </w:r>
      <w:r w:rsidR="008E0B68">
        <w:t xml:space="preserve">, </w:t>
      </w:r>
      <w:r w:rsidR="00C15F00" w:rsidRPr="009446CF">
        <w:t>directly or indirectly</w:t>
      </w:r>
      <w:r w:rsidR="008E0B68">
        <w:t>,</w:t>
      </w:r>
      <w:r w:rsidR="008E0B68" w:rsidRPr="008E0B68">
        <w:t xml:space="preserve"> </w:t>
      </w:r>
      <w:r w:rsidR="00C15F00" w:rsidRPr="009446CF">
        <w:t>and could not be perceived to have any influence or control over the investment entity or strategy (including decisions to increase holdings or divest holdings in a sector or industry) of the investment fund.</w:t>
      </w:r>
    </w:p>
    <w:p w14:paraId="4D2F60E2" w14:textId="77777777" w:rsidR="001605DD" w:rsidRDefault="001605DD" w:rsidP="00637697">
      <w:pPr>
        <w:pStyle w:val="OutlineNumbered1"/>
        <w:numPr>
          <w:ilvl w:val="0"/>
          <w:numId w:val="0"/>
        </w:numPr>
        <w:jc w:val="both"/>
        <w:rPr>
          <w:rFonts w:eastAsia="Arial" w:cs="Arial"/>
        </w:rPr>
      </w:pPr>
    </w:p>
    <w:tbl>
      <w:tblPr>
        <w:tblStyle w:val="TableGrid"/>
        <w:tblW w:w="0" w:type="auto"/>
        <w:tblLook w:val="04A0" w:firstRow="1" w:lastRow="0" w:firstColumn="1" w:lastColumn="0" w:noHBand="0" w:noVBand="1"/>
      </w:tblPr>
      <w:tblGrid>
        <w:gridCol w:w="9070"/>
      </w:tblGrid>
      <w:tr w:rsidR="00895AB5" w14:paraId="3CD6AD17" w14:textId="77777777" w:rsidTr="00895AB5">
        <w:tc>
          <w:tcPr>
            <w:tcW w:w="9060" w:type="dxa"/>
            <w:shd w:val="clear" w:color="auto" w:fill="auto"/>
          </w:tcPr>
          <w:p w14:paraId="1C4CA5B2" w14:textId="77777777" w:rsidR="00895AB5" w:rsidRDefault="00895AB5" w:rsidP="000D1474">
            <w:pPr>
              <w:pStyle w:val="ChartMainHeading"/>
              <w:rPr>
                <w:rFonts w:eastAsia="Arial"/>
              </w:rPr>
            </w:pPr>
            <w:r>
              <w:rPr>
                <w:rFonts w:eastAsia="Arial"/>
              </w:rPr>
              <w:lastRenderedPageBreak/>
              <w:t>Example 1</w:t>
            </w:r>
          </w:p>
          <w:p w14:paraId="23E900F6" w14:textId="49802C96" w:rsidR="00895AB5" w:rsidRDefault="0096004F" w:rsidP="00637697">
            <w:pPr>
              <w:pStyle w:val="OutlineNumbered1"/>
              <w:numPr>
                <w:ilvl w:val="0"/>
                <w:numId w:val="0"/>
              </w:numPr>
              <w:rPr>
                <w:rFonts w:eastAsia="Arial" w:cs="Arial"/>
                <w:b/>
              </w:rPr>
            </w:pPr>
            <w:r>
              <w:rPr>
                <w:sz w:val="22"/>
              </w:rPr>
              <w:object w:dxaOrig="8175" w:dyaOrig="4860" w14:anchorId="1E8E7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pt;height:262.2pt" o:ole="">
                  <v:imagedata r:id="rId34" o:title=""/>
                </v:shape>
                <o:OLEObject Type="Embed" ProgID="Visio.Drawing.15" ShapeID="_x0000_i1025" DrawAspect="Content" ObjectID="_1652882957" r:id="rId35"/>
              </w:object>
            </w:r>
          </w:p>
        </w:tc>
      </w:tr>
      <w:tr w:rsidR="00895AB5" w14:paraId="3215AF40" w14:textId="77777777" w:rsidTr="00895AB5">
        <w:tc>
          <w:tcPr>
            <w:tcW w:w="9060" w:type="dxa"/>
            <w:shd w:val="clear" w:color="auto" w:fill="auto"/>
          </w:tcPr>
          <w:p w14:paraId="12BB2F63" w14:textId="2F926B09" w:rsidR="00895AB5" w:rsidRDefault="00895AB5" w:rsidP="000D1474">
            <w:pPr>
              <w:pStyle w:val="ChartorTableNote"/>
              <w:rPr>
                <w:rFonts w:eastAsia="Arial" w:cs="Arial"/>
                <w:b/>
              </w:rPr>
            </w:pPr>
            <w:r w:rsidRPr="00895AB5">
              <w:rPr>
                <w:rFonts w:eastAsia="Arial" w:cs="Arial"/>
              </w:rPr>
              <w:t>Notes</w:t>
            </w:r>
            <w:r>
              <w:rPr>
                <w:rFonts w:eastAsia="Arial" w:cs="Arial"/>
              </w:rPr>
              <w:t>: in this example, each single</w:t>
            </w:r>
            <w:r w:rsidR="00852BF6">
              <w:rPr>
                <w:rFonts w:eastAsia="Arial" w:cs="Arial"/>
              </w:rPr>
              <w:t xml:space="preserve"> foreign government holds</w:t>
            </w:r>
            <w:r>
              <w:rPr>
                <w:rFonts w:eastAsia="Arial" w:cs="Arial"/>
              </w:rPr>
              <w:t xml:space="preserve"> </w:t>
            </w:r>
            <w:r w:rsidRPr="00B71B27">
              <w:t xml:space="preserve">less than 20 per cent </w:t>
            </w:r>
            <w:r>
              <w:t>ownership</w:t>
            </w:r>
            <w:r w:rsidR="00852BF6">
              <w:t xml:space="preserve"> in the Private equity fund Limited Partnership and </w:t>
            </w:r>
            <w:r w:rsidR="00CA1238">
              <w:t>when considered in</w:t>
            </w:r>
            <w:r w:rsidR="00005E11">
              <w:t xml:space="preserve"> aggregate</w:t>
            </w:r>
            <w:r w:rsidR="00EC423D">
              <w:t>,</w:t>
            </w:r>
            <w:r w:rsidR="00852BF6">
              <w:t xml:space="preserve"> </w:t>
            </w:r>
            <w:r w:rsidR="00CA1238">
              <w:t xml:space="preserve">foreign governments </w:t>
            </w:r>
            <w:r w:rsidR="00852BF6">
              <w:t xml:space="preserve">hold more than </w:t>
            </w:r>
            <w:r w:rsidR="00852BF6" w:rsidRPr="00B71B27">
              <w:t>40</w:t>
            </w:r>
            <w:r w:rsidR="00CA1238">
              <w:t> per </w:t>
            </w:r>
            <w:r w:rsidR="00852BF6" w:rsidRPr="00B71B27">
              <w:t>cent foreign government ownership</w:t>
            </w:r>
            <w:r w:rsidR="00852BF6">
              <w:t xml:space="preserve">. </w:t>
            </w:r>
            <w:r w:rsidR="00EC423D">
              <w:t xml:space="preserve">This scenario will satisfy both limbs of the relevant test. </w:t>
            </w:r>
          </w:p>
        </w:tc>
      </w:tr>
    </w:tbl>
    <w:p w14:paraId="007C88F9" w14:textId="77777777" w:rsidR="00895AB5" w:rsidRDefault="00895AB5" w:rsidP="000D1474">
      <w:pPr>
        <w:pStyle w:val="SingleParagraph"/>
        <w:rPr>
          <w:rFonts w:eastAsia="Arial"/>
        </w:rPr>
      </w:pPr>
    </w:p>
    <w:tbl>
      <w:tblPr>
        <w:tblStyle w:val="TableGrid"/>
        <w:tblW w:w="0" w:type="auto"/>
        <w:tblLook w:val="04A0" w:firstRow="1" w:lastRow="0" w:firstColumn="1" w:lastColumn="0" w:noHBand="0" w:noVBand="1"/>
      </w:tblPr>
      <w:tblGrid>
        <w:gridCol w:w="9070"/>
      </w:tblGrid>
      <w:tr w:rsidR="00895AB5" w14:paraId="0B397887" w14:textId="77777777" w:rsidTr="00895AB5">
        <w:tc>
          <w:tcPr>
            <w:tcW w:w="9070" w:type="dxa"/>
            <w:shd w:val="clear" w:color="auto" w:fill="auto"/>
          </w:tcPr>
          <w:p w14:paraId="04F3776E" w14:textId="6D880AEC" w:rsidR="00895AB5" w:rsidRPr="00637697" w:rsidRDefault="00895AB5" w:rsidP="000D1474">
            <w:pPr>
              <w:pStyle w:val="ChartMainHeading"/>
              <w:rPr>
                <w:rFonts w:eastAsia="Arial"/>
              </w:rPr>
            </w:pPr>
            <w:r>
              <w:rPr>
                <w:rFonts w:eastAsia="Arial"/>
              </w:rPr>
              <w:t>Example 2</w:t>
            </w:r>
          </w:p>
        </w:tc>
      </w:tr>
      <w:tr w:rsidR="00895AB5" w14:paraId="1EC39242" w14:textId="77777777" w:rsidTr="00895AB5">
        <w:tc>
          <w:tcPr>
            <w:tcW w:w="9070" w:type="dxa"/>
            <w:shd w:val="clear" w:color="auto" w:fill="auto"/>
          </w:tcPr>
          <w:p w14:paraId="36D1840C" w14:textId="05CB74A1" w:rsidR="00895AB5" w:rsidRDefault="0096004F" w:rsidP="00637697">
            <w:pPr>
              <w:pStyle w:val="OutlineNumbered1"/>
              <w:numPr>
                <w:ilvl w:val="0"/>
                <w:numId w:val="0"/>
              </w:numPr>
              <w:rPr>
                <w:rFonts w:eastAsia="Arial" w:cs="Arial"/>
              </w:rPr>
            </w:pPr>
            <w:r>
              <w:rPr>
                <w:sz w:val="22"/>
              </w:rPr>
              <w:object w:dxaOrig="8175" w:dyaOrig="4515" w14:anchorId="4A6B06C1">
                <v:shape id="_x0000_i1026" type="#_x0000_t75" style="width:437.4pt;height:241.8pt" o:ole="">
                  <v:imagedata r:id="rId36" o:title=""/>
                </v:shape>
                <o:OLEObject Type="Embed" ProgID="Visio.Drawing.15" ShapeID="_x0000_i1026" DrawAspect="Content" ObjectID="_1652882958" r:id="rId37"/>
              </w:object>
            </w:r>
            <w:r w:rsidR="00462E1C" w:rsidDel="00462E1C">
              <w:rPr>
                <w:sz w:val="22"/>
              </w:rPr>
              <w:t xml:space="preserve"> </w:t>
            </w:r>
          </w:p>
        </w:tc>
      </w:tr>
      <w:tr w:rsidR="00895AB5" w14:paraId="48256D82" w14:textId="77777777" w:rsidTr="00895AB5">
        <w:tc>
          <w:tcPr>
            <w:tcW w:w="9070" w:type="dxa"/>
            <w:shd w:val="clear" w:color="auto" w:fill="auto"/>
          </w:tcPr>
          <w:p w14:paraId="4FCEB5E8" w14:textId="1784F0C3" w:rsidR="00895AB5" w:rsidRDefault="00895AB5" w:rsidP="000D1474">
            <w:pPr>
              <w:pStyle w:val="ChartorTableNote"/>
              <w:rPr>
                <w:rFonts w:eastAsia="Arial" w:cs="Arial"/>
              </w:rPr>
            </w:pPr>
            <w:r>
              <w:rPr>
                <w:rFonts w:eastAsia="Arial" w:cs="Arial"/>
              </w:rPr>
              <w:t>Notes:</w:t>
            </w:r>
            <w:r w:rsidR="00005E11">
              <w:rPr>
                <w:rFonts w:eastAsia="Arial" w:cs="Arial"/>
              </w:rPr>
              <w:t xml:space="preserve"> </w:t>
            </w:r>
            <w:r w:rsidR="00EC423D">
              <w:rPr>
                <w:rFonts w:eastAsia="Arial" w:cs="Arial"/>
              </w:rPr>
              <w:t xml:space="preserve">in this example, not all single foreign governments hold </w:t>
            </w:r>
            <w:r w:rsidR="00EC423D" w:rsidRPr="00B71B27">
              <w:t xml:space="preserve">less than 20 per cent </w:t>
            </w:r>
            <w:r w:rsidR="00EC423D">
              <w:t xml:space="preserve">ownership in the Private equity fund Limited Partnership, </w:t>
            </w:r>
            <w:r w:rsidR="00E6694F">
              <w:t>but</w:t>
            </w:r>
            <w:r w:rsidR="00EC423D">
              <w:t xml:space="preserve"> when considered in aggregate, foreign governments hold more than </w:t>
            </w:r>
            <w:r w:rsidR="00EC423D" w:rsidRPr="00B71B27">
              <w:t>40</w:t>
            </w:r>
            <w:r w:rsidR="00EC423D">
              <w:t> per </w:t>
            </w:r>
            <w:r w:rsidR="00EC423D" w:rsidRPr="00B71B27">
              <w:t>cent foreign government ownership</w:t>
            </w:r>
            <w:r w:rsidR="00EC423D">
              <w:t>. This scenario will not satisfy both limbs of the relevant test</w:t>
            </w:r>
            <w:r w:rsidR="00E6694F">
              <w:t>. T</w:t>
            </w:r>
            <w:r w:rsidR="00EC423D">
              <w:rPr>
                <w:rFonts w:eastAsia="Arial" w:cs="Arial"/>
              </w:rPr>
              <w:t>he limited partnership investment fund may apply for an exemption certificate</w:t>
            </w:r>
            <w:r w:rsidR="00E6694F">
              <w:rPr>
                <w:rFonts w:eastAsia="Arial" w:cs="Arial"/>
              </w:rPr>
              <w:t xml:space="preserve"> and would need to demonstrate the absence of FGI influence or control.</w:t>
            </w:r>
          </w:p>
        </w:tc>
      </w:tr>
    </w:tbl>
    <w:p w14:paraId="60EFD30F" w14:textId="77777777" w:rsidR="002923CA" w:rsidRDefault="002923CA" w:rsidP="002923CA">
      <w:pPr>
        <w:rPr>
          <w:rFonts w:cs="Arial"/>
          <w:color w:val="002C47" w:themeColor="accent1"/>
          <w:kern w:val="32"/>
          <w:sz w:val="48"/>
          <w:szCs w:val="36"/>
        </w:rPr>
      </w:pPr>
      <w:bookmarkStart w:id="96" w:name="_Toc33625467"/>
      <w:bookmarkStart w:id="97" w:name="_Toc34142422"/>
      <w:bookmarkStart w:id="98" w:name="_Toc34147746"/>
      <w:bookmarkStart w:id="99" w:name="_Toc34148749"/>
      <w:bookmarkStart w:id="100" w:name="_Toc34376167"/>
      <w:bookmarkStart w:id="101" w:name="_Toc34384776"/>
      <w:bookmarkStart w:id="102" w:name="_Toc34385207"/>
      <w:bookmarkStart w:id="103" w:name="_Toc34823602"/>
      <w:bookmarkStart w:id="104" w:name="_Toc34840549"/>
      <w:bookmarkStart w:id="105" w:name="_Toc35254826"/>
      <w:bookmarkStart w:id="106" w:name="_Toc35257722"/>
      <w:r>
        <w:br w:type="page"/>
      </w:r>
    </w:p>
    <w:p w14:paraId="2A8790A3" w14:textId="3693D8C5" w:rsidR="006819EA" w:rsidRDefault="00D3064E" w:rsidP="00536289">
      <w:pPr>
        <w:pStyle w:val="Heading1"/>
        <w:spacing w:before="120"/>
      </w:pPr>
      <w:bookmarkStart w:id="107" w:name="_Toc41999439"/>
      <w:bookmarkStart w:id="108" w:name="_Toc42154157"/>
      <w:r>
        <w:lastRenderedPageBreak/>
        <w:t xml:space="preserve">Stronger </w:t>
      </w:r>
      <w:r w:rsidR="00912E6E">
        <w:t xml:space="preserve">penalties, </w:t>
      </w:r>
      <w:r>
        <w:t>compliance and</w:t>
      </w:r>
      <w:r w:rsidR="005A700E">
        <w:t xml:space="preserve"> </w:t>
      </w:r>
      <w:r>
        <w:t>enforcement powers</w:t>
      </w:r>
      <w:bookmarkEnd w:id="70"/>
      <w:bookmarkEnd w:id="71"/>
      <w:bookmarkEnd w:id="96"/>
      <w:bookmarkEnd w:id="97"/>
      <w:bookmarkEnd w:id="98"/>
      <w:bookmarkEnd w:id="99"/>
      <w:bookmarkEnd w:id="100"/>
      <w:bookmarkEnd w:id="101"/>
      <w:bookmarkEnd w:id="102"/>
      <w:bookmarkEnd w:id="103"/>
      <w:bookmarkEnd w:id="104"/>
      <w:bookmarkEnd w:id="105"/>
      <w:bookmarkEnd w:id="106"/>
      <w:bookmarkEnd w:id="107"/>
      <w:bookmarkEnd w:id="108"/>
    </w:p>
    <w:p w14:paraId="2DC4855F" w14:textId="5AAD879F" w:rsidR="00A949F4" w:rsidRDefault="00006C60" w:rsidP="001F018F">
      <w:r>
        <w:t xml:space="preserve">Ensuring </w:t>
      </w:r>
      <w:r w:rsidR="006C5A57">
        <w:t>foreign investors comply with Australia</w:t>
      </w:r>
      <w:r w:rsidR="00AF5EDD">
        <w:t>’</w:t>
      </w:r>
      <w:r w:rsidR="006C5A57">
        <w:t xml:space="preserve">s rules </w:t>
      </w:r>
      <w:r>
        <w:t>i</w:t>
      </w:r>
      <w:r w:rsidR="006A0FFB">
        <w:t>s a priority for the Government.</w:t>
      </w:r>
      <w:r w:rsidR="00535257">
        <w:t xml:space="preserve"> </w:t>
      </w:r>
    </w:p>
    <w:p w14:paraId="673D6447" w14:textId="1A9EFFB1" w:rsidR="00006C60" w:rsidRDefault="006A0FFB" w:rsidP="001F018F">
      <w:r>
        <w:t xml:space="preserve">Compliance activities </w:t>
      </w:r>
      <w:r w:rsidR="00AD548A">
        <w:t>are fundamental to</w:t>
      </w:r>
      <w:r>
        <w:t xml:space="preserve"> the integrity of t</w:t>
      </w:r>
      <w:r w:rsidR="00AD548A">
        <w:t>he foreign investment</w:t>
      </w:r>
      <w:r w:rsidR="00621498">
        <w:t xml:space="preserve"> review</w:t>
      </w:r>
      <w:r w:rsidR="00AD548A">
        <w:t xml:space="preserve"> framework. They provide </w:t>
      </w:r>
      <w:r>
        <w:t xml:space="preserve">assurance that foreign persons are meeting their obligations while minimising the regulatory burden </w:t>
      </w:r>
      <w:r w:rsidR="004735D0">
        <w:t>and ensuring a level playing field for all</w:t>
      </w:r>
      <w:r w:rsidR="004735D0" w:rsidDel="004735D0">
        <w:t xml:space="preserve"> </w:t>
      </w:r>
      <w:r>
        <w:t>investors.</w:t>
      </w:r>
    </w:p>
    <w:p w14:paraId="393CDEAC" w14:textId="72C0CA16" w:rsidR="00AD548A" w:rsidRDefault="0038665F" w:rsidP="001F018F">
      <w:r>
        <w:t xml:space="preserve">The </w:t>
      </w:r>
      <w:r w:rsidR="00092765">
        <w:t>Government</w:t>
      </w:r>
      <w:r>
        <w:t xml:space="preserve"> is supported</w:t>
      </w:r>
      <w:r w:rsidR="0007404A">
        <w:t xml:space="preserve"> by</w:t>
      </w:r>
      <w:r>
        <w:t xml:space="preserve"> </w:t>
      </w:r>
      <w:r w:rsidR="00AD548A" w:rsidRPr="00406C1F">
        <w:t>Treasury</w:t>
      </w:r>
      <w:r>
        <w:t xml:space="preserve"> and the ATO</w:t>
      </w:r>
      <w:r w:rsidR="0007404A">
        <w:t>, as Australia</w:t>
      </w:r>
      <w:r w:rsidR="00AF5EDD">
        <w:t>’</w:t>
      </w:r>
      <w:r w:rsidR="0007404A">
        <w:t xml:space="preserve">s foreign investment regulators, to ensure investor compliance with foreign investment legislation. </w:t>
      </w:r>
      <w:r w:rsidR="00AD548A" w:rsidRPr="00406C1F">
        <w:t xml:space="preserve">Treasury is responsible for compliance and enforcement activities </w:t>
      </w:r>
      <w:r w:rsidR="0007404A">
        <w:t>with respect to</w:t>
      </w:r>
      <w:r w:rsidR="00AD548A" w:rsidRPr="00406C1F">
        <w:t xml:space="preserve"> business, agricultural and commercial land foreign investment proposals. The ATO is responsible for compliance and enforcement activities </w:t>
      </w:r>
      <w:r w:rsidR="0007404A">
        <w:t>with respect to</w:t>
      </w:r>
      <w:r w:rsidR="00AD548A" w:rsidRPr="00406C1F">
        <w:t xml:space="preserve"> residential real estate</w:t>
      </w:r>
      <w:r w:rsidR="00AD548A">
        <w:t xml:space="preserve"> and the vacancy fee,</w:t>
      </w:r>
      <w:r w:rsidR="00AD548A" w:rsidRPr="00406C1F">
        <w:t xml:space="preserve"> and some commercial land proposals. </w:t>
      </w:r>
    </w:p>
    <w:p w14:paraId="6F372F05" w14:textId="1E80288B" w:rsidR="00AD548A" w:rsidRPr="00406C1F" w:rsidRDefault="00535257" w:rsidP="001F018F">
      <w:r>
        <w:t>Treasury and the ATO</w:t>
      </w:r>
      <w:r w:rsidR="00AD548A" w:rsidRPr="00406C1F">
        <w:t xml:space="preserve"> ad</w:t>
      </w:r>
      <w:r w:rsidR="00AD548A">
        <w:t>opt a risk</w:t>
      </w:r>
      <w:r w:rsidR="00AF5EDD">
        <w:noBreakHyphen/>
      </w:r>
      <w:r w:rsidR="00AD548A">
        <w:t>based approach to their compliance work and focus</w:t>
      </w:r>
      <w:r w:rsidR="00AD548A" w:rsidRPr="00406C1F">
        <w:t xml:space="preserve"> efforts on areas of risk to the national interest. </w:t>
      </w:r>
    </w:p>
    <w:p w14:paraId="3313B80C" w14:textId="512BC92D" w:rsidR="000B5BD0" w:rsidRDefault="000B5BD0" w:rsidP="001F018F">
      <w:r>
        <w:t>A credible compliance monitoring and enforcement capacity is essential to ensure the foreign investment review framework effectively addresses current and future risks, while continuing to attract foreign investment that strengthens our economy.</w:t>
      </w:r>
    </w:p>
    <w:p w14:paraId="16886720" w14:textId="6D713265" w:rsidR="00ED623D" w:rsidRPr="009C3D9F" w:rsidRDefault="006C5A57" w:rsidP="001F018F">
      <w:pPr>
        <w:rPr>
          <w:rFonts w:cstheme="minorHAnsi"/>
          <w:shd w:val="clear" w:color="auto" w:fill="FFFF00"/>
        </w:rPr>
      </w:pPr>
      <w:r>
        <w:t xml:space="preserve">However, </w:t>
      </w:r>
      <w:r w:rsidR="0099416C">
        <w:t xml:space="preserve">there </w:t>
      </w:r>
      <w:r w:rsidR="0077617C">
        <w:t>is a need to expand</w:t>
      </w:r>
      <w:r w:rsidR="009C3D9F">
        <w:t xml:space="preserve"> Treasury</w:t>
      </w:r>
      <w:r w:rsidR="00AF5EDD">
        <w:t>’</w:t>
      </w:r>
      <w:r w:rsidR="009C3D9F">
        <w:t xml:space="preserve">s and </w:t>
      </w:r>
      <w:r w:rsidR="00281E39">
        <w:t>the</w:t>
      </w:r>
      <w:r w:rsidR="009C3D9F">
        <w:t xml:space="preserve"> ATO</w:t>
      </w:r>
      <w:r w:rsidR="00AF5EDD">
        <w:t>’</w:t>
      </w:r>
      <w:r w:rsidR="009C3D9F">
        <w:t>s</w:t>
      </w:r>
      <w:r w:rsidR="00ED623D">
        <w:t xml:space="preserve"> compliance monitoring </w:t>
      </w:r>
      <w:r w:rsidR="00CF6271">
        <w:t xml:space="preserve">and enforcement </w:t>
      </w:r>
      <w:r w:rsidR="00ED623D">
        <w:t xml:space="preserve">tools. </w:t>
      </w:r>
      <w:r w:rsidR="00790513">
        <w:t>O</w:t>
      </w:r>
      <w:r w:rsidR="000A492A">
        <w:t xml:space="preserve">ther than in relation to residential property investments, the </w:t>
      </w:r>
      <w:r w:rsidR="009A590A">
        <w:t>Treasurer</w:t>
      </w:r>
      <w:r w:rsidR="00AF5EDD">
        <w:t>’</w:t>
      </w:r>
      <w:r w:rsidR="009A590A">
        <w:t xml:space="preserve">s </w:t>
      </w:r>
      <w:r w:rsidR="000A492A">
        <w:t>enforcement powers are limited to seeking a civil penalty order or criminal prosecution. This is inhibiting the Government</w:t>
      </w:r>
      <w:r w:rsidR="00AF5EDD">
        <w:t>’</w:t>
      </w:r>
      <w:r w:rsidR="000A492A">
        <w:t>s ability to respond proportionally to issues of</w:t>
      </w:r>
      <w:r w:rsidR="000A492A" w:rsidRPr="00E51242">
        <w:rPr>
          <w:rFonts w:cstheme="minorHAnsi"/>
        </w:rPr>
        <w:t xml:space="preserve"> non</w:t>
      </w:r>
      <w:r w:rsidR="00AF5EDD">
        <w:rPr>
          <w:rFonts w:cstheme="minorHAnsi"/>
        </w:rPr>
        <w:noBreakHyphen/>
      </w:r>
      <w:r w:rsidR="000A492A" w:rsidRPr="00E51242">
        <w:rPr>
          <w:rFonts w:cstheme="minorHAnsi"/>
        </w:rPr>
        <w:t>compliance</w:t>
      </w:r>
      <w:r w:rsidR="00281E39">
        <w:rPr>
          <w:rFonts w:cstheme="minorHAnsi"/>
        </w:rPr>
        <w:t>.</w:t>
      </w:r>
      <w:r w:rsidR="000A492A">
        <w:rPr>
          <w:rFonts w:cstheme="minorHAnsi"/>
        </w:rPr>
        <w:t xml:space="preserve"> </w:t>
      </w:r>
      <w:r w:rsidR="00281E39">
        <w:rPr>
          <w:rFonts w:cstheme="minorHAnsi"/>
        </w:rPr>
        <w:t>F</w:t>
      </w:r>
      <w:r w:rsidR="000A492A">
        <w:rPr>
          <w:rFonts w:cstheme="minorHAnsi"/>
        </w:rPr>
        <w:t xml:space="preserve">or example, </w:t>
      </w:r>
      <w:r w:rsidR="000A492A" w:rsidRPr="00E51242">
        <w:rPr>
          <w:rFonts w:cstheme="minorHAnsi"/>
        </w:rPr>
        <w:t xml:space="preserve">court action </w:t>
      </w:r>
      <w:r w:rsidR="000A492A">
        <w:rPr>
          <w:rFonts w:cstheme="minorHAnsi"/>
        </w:rPr>
        <w:t>has to be taken</w:t>
      </w:r>
      <w:r w:rsidR="000A492A" w:rsidRPr="00E51242">
        <w:rPr>
          <w:rFonts w:cstheme="minorHAnsi"/>
        </w:rPr>
        <w:t xml:space="preserve"> to enforce conditions</w:t>
      </w:r>
      <w:r w:rsidR="000A492A">
        <w:rPr>
          <w:rFonts w:cstheme="minorHAnsi"/>
        </w:rPr>
        <w:t>,</w:t>
      </w:r>
      <w:r w:rsidR="000A492A" w:rsidRPr="00E51242">
        <w:rPr>
          <w:rFonts w:cstheme="minorHAnsi"/>
        </w:rPr>
        <w:t xml:space="preserve"> even if the breach of conditions was only minor. Additionally, </w:t>
      </w:r>
      <w:r w:rsidR="000A492A">
        <w:rPr>
          <w:rFonts w:cstheme="minorHAnsi"/>
        </w:rPr>
        <w:t xml:space="preserve">the existing tools are out of step with those of </w:t>
      </w:r>
      <w:r w:rsidR="009A590A">
        <w:rPr>
          <w:rFonts w:cstheme="minorHAnsi"/>
        </w:rPr>
        <w:t xml:space="preserve">comparable </w:t>
      </w:r>
      <w:r w:rsidR="00F96681">
        <w:rPr>
          <w:rFonts w:cstheme="minorHAnsi"/>
        </w:rPr>
        <w:t>Australian market regulators.</w:t>
      </w:r>
    </w:p>
    <w:p w14:paraId="09E8E409" w14:textId="6BC586F9" w:rsidR="006B6D90" w:rsidRDefault="00226A7D" w:rsidP="001F018F">
      <w:r>
        <w:t xml:space="preserve">The Government </w:t>
      </w:r>
      <w:r w:rsidR="001F48AE">
        <w:t xml:space="preserve">will deliver reforms to ensure that Treasury and </w:t>
      </w:r>
      <w:r w:rsidR="00D90A06">
        <w:t xml:space="preserve">the </w:t>
      </w:r>
      <w:r w:rsidR="001F48AE">
        <w:t xml:space="preserve">ATO </w:t>
      </w:r>
      <w:r w:rsidR="00D90A06">
        <w:t>have</w:t>
      </w:r>
      <w:r w:rsidR="001F48AE">
        <w:t xml:space="preserve"> the resources, powers and penalties </w:t>
      </w:r>
      <w:r>
        <w:t>to effectively monitor, investigate and prosecute breaches of foreign investment laws</w:t>
      </w:r>
      <w:r w:rsidR="003576FD">
        <w:t>.</w:t>
      </w:r>
      <w:r w:rsidR="001F48AE">
        <w:t xml:space="preserve"> </w:t>
      </w:r>
      <w:r w:rsidR="006B6D90">
        <w:t xml:space="preserve">The reforms </w:t>
      </w:r>
      <w:r w:rsidR="000B5BD0">
        <w:t xml:space="preserve">will </w:t>
      </w:r>
      <w:r w:rsidR="006B6D90">
        <w:t>enhance the FATA</w:t>
      </w:r>
      <w:r w:rsidR="00AF5EDD">
        <w:t>’</w:t>
      </w:r>
      <w:r w:rsidR="006B6D90">
        <w:t xml:space="preserve">s compliance regime </w:t>
      </w:r>
      <w:r w:rsidR="00A67C0D">
        <w:t>and brings it</w:t>
      </w:r>
      <w:r w:rsidR="006B6D90">
        <w:t xml:space="preserve"> into closer alignment with</w:t>
      </w:r>
      <w:r w:rsidR="005A1A58">
        <w:t xml:space="preserve"> overseas counterparts and</w:t>
      </w:r>
      <w:r w:rsidR="006B6D90">
        <w:t xml:space="preserve"> </w:t>
      </w:r>
      <w:r w:rsidR="005A1A58">
        <w:t>domestic market regulators.</w:t>
      </w:r>
      <w:r w:rsidR="00F777C4">
        <w:t xml:space="preserve"> </w:t>
      </w:r>
    </w:p>
    <w:p w14:paraId="4680E398" w14:textId="58E97354" w:rsidR="00201424" w:rsidRDefault="00F95488" w:rsidP="00201424">
      <w:pPr>
        <w:pStyle w:val="Heading2"/>
        <w:rPr>
          <w:rFonts w:eastAsia="Arial"/>
        </w:rPr>
      </w:pPr>
      <w:r>
        <w:rPr>
          <w:color w:val="00ABBD" w:themeColor="accent5"/>
          <w:sz w:val="24"/>
        </w:rPr>
        <w:br w:type="column"/>
      </w:r>
      <w:bookmarkStart w:id="109" w:name="_Toc34376175"/>
      <w:bookmarkStart w:id="110" w:name="_Toc34384777"/>
      <w:bookmarkStart w:id="111" w:name="_Toc34385208"/>
      <w:bookmarkStart w:id="112" w:name="_Toc34823603"/>
      <w:bookmarkStart w:id="113" w:name="_Toc34840550"/>
      <w:bookmarkStart w:id="114" w:name="_Toc35254827"/>
      <w:bookmarkStart w:id="115" w:name="_Toc35257723"/>
      <w:bookmarkStart w:id="116" w:name="_Toc41999440"/>
      <w:bookmarkStart w:id="117" w:name="_Toc42154158"/>
      <w:bookmarkStart w:id="118" w:name="_Toc34376168"/>
      <w:r w:rsidR="00201424">
        <w:rPr>
          <w:rFonts w:eastAsia="Arial"/>
        </w:rPr>
        <w:lastRenderedPageBreak/>
        <w:t>Obtain standard monitoring and investigative powers</w:t>
      </w:r>
      <w:bookmarkEnd w:id="109"/>
      <w:bookmarkEnd w:id="110"/>
      <w:bookmarkEnd w:id="111"/>
      <w:bookmarkEnd w:id="112"/>
      <w:bookmarkEnd w:id="113"/>
      <w:bookmarkEnd w:id="114"/>
      <w:bookmarkEnd w:id="115"/>
      <w:bookmarkEnd w:id="116"/>
      <w:bookmarkEnd w:id="117"/>
    </w:p>
    <w:p w14:paraId="26A107AF" w14:textId="77777777" w:rsidR="00C06557" w:rsidRPr="00C06557" w:rsidRDefault="00C06557" w:rsidP="00C06557">
      <w:pPr>
        <w:pStyle w:val="SingleParagraph"/>
        <w:rPr>
          <w:rFonts w:eastAsia="Arial"/>
        </w:rPr>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C06557" w14:paraId="30282ED1" w14:textId="77777777" w:rsidTr="001F018F">
        <w:tc>
          <w:tcPr>
            <w:tcW w:w="5000" w:type="pct"/>
            <w:shd w:val="clear" w:color="auto" w:fill="EBEBEB"/>
          </w:tcPr>
          <w:p w14:paraId="0AB07FEC" w14:textId="5DB3A959" w:rsidR="00C06557" w:rsidRPr="00E77132" w:rsidRDefault="00C06557" w:rsidP="00E77132">
            <w:pPr>
              <w:pStyle w:val="OneLevelNumberedParagraph"/>
              <w:rPr>
                <w:sz w:val="22"/>
              </w:rPr>
            </w:pPr>
            <w:r w:rsidRPr="00E77132">
              <w:rPr>
                <w:sz w:val="22"/>
              </w:rPr>
              <w:t>The Government will have standard monitoring and investigative powers (in line with those of other business regulators), including access to premises with consent or by warrant to gather information. This measure will improve regulators</w:t>
            </w:r>
            <w:r w:rsidR="00AF5EDD">
              <w:rPr>
                <w:sz w:val="22"/>
              </w:rPr>
              <w:t>’</w:t>
            </w:r>
            <w:r w:rsidRPr="00E77132">
              <w:rPr>
                <w:sz w:val="22"/>
              </w:rPr>
              <w:t xml:space="preserve"> capability to monitor investor compliance and/or investigate potential non compliance.</w:t>
            </w:r>
          </w:p>
        </w:tc>
      </w:tr>
    </w:tbl>
    <w:p w14:paraId="1098D69B" w14:textId="77777777" w:rsidR="00C06557" w:rsidRDefault="00C06557" w:rsidP="00C06557">
      <w:pPr>
        <w:pStyle w:val="SingleParagraph"/>
        <w:rPr>
          <w:rFonts w:eastAsia="Arial"/>
        </w:rPr>
      </w:pPr>
    </w:p>
    <w:p w14:paraId="1507BF0A" w14:textId="3A52B249" w:rsidR="00201424" w:rsidRDefault="00201424" w:rsidP="001F018F">
      <w:r>
        <w:t xml:space="preserve">Currently, the </w:t>
      </w:r>
      <w:r w:rsidR="00BA142B">
        <w:t xml:space="preserve">Treasury </w:t>
      </w:r>
      <w:r>
        <w:t xml:space="preserve">relies on </w:t>
      </w:r>
      <w:r w:rsidR="00AA6CC1">
        <w:t xml:space="preserve">the </w:t>
      </w:r>
      <w:r>
        <w:t>general information gathering power under section 133 of the FATA to monitor and investigate non</w:t>
      </w:r>
      <w:r w:rsidR="00AF5EDD">
        <w:noBreakHyphen/>
      </w:r>
      <w:r>
        <w:t>compliance</w:t>
      </w:r>
      <w:r w:rsidR="00BA142B">
        <w:t xml:space="preserve">, while the ATO utilises powers under </w:t>
      </w:r>
      <w:r w:rsidR="00F60A64">
        <w:t xml:space="preserve">the </w:t>
      </w:r>
      <w:r w:rsidR="00BA142B">
        <w:t>TAA</w:t>
      </w:r>
      <w:r>
        <w:t xml:space="preserve">. </w:t>
      </w:r>
    </w:p>
    <w:p w14:paraId="65389BA7" w14:textId="4CB66185" w:rsidR="00201424" w:rsidRDefault="00201424" w:rsidP="001F018F">
      <w:r>
        <w:t xml:space="preserve">While </w:t>
      </w:r>
      <w:r w:rsidR="00BA142B">
        <w:t xml:space="preserve">the information gathering powers under the FATA </w:t>
      </w:r>
      <w:r>
        <w:t>supports desk</w:t>
      </w:r>
      <w:r w:rsidR="00AF5EDD">
        <w:noBreakHyphen/>
      </w:r>
      <w:r>
        <w:t>top and paper</w:t>
      </w:r>
      <w:r w:rsidR="00AF5EDD">
        <w:noBreakHyphen/>
      </w:r>
      <w:r>
        <w:t xml:space="preserve">based auditing and compliance monitoring, it does not </w:t>
      </w:r>
      <w:r w:rsidR="00A571DE">
        <w:t xml:space="preserve">establish a specific framework for </w:t>
      </w:r>
      <w:r>
        <w:t>site or site</w:t>
      </w:r>
      <w:r w:rsidR="00AF5EDD">
        <w:noBreakHyphen/>
      </w:r>
      <w:r>
        <w:t xml:space="preserve">based inspections or investigations. </w:t>
      </w:r>
      <w:r w:rsidR="00A571DE">
        <w:t>A</w:t>
      </w:r>
      <w:r w:rsidR="007B7540">
        <w:t>t</w:t>
      </w:r>
      <w:r w:rsidR="00A571DE">
        <w:t xml:space="preserve"> times the </w:t>
      </w:r>
      <w:r>
        <w:t xml:space="preserve">existing information gathering power is insufficient to draw compliance conclusions with respect to certain conditions </w:t>
      </w:r>
      <w:r w:rsidR="00E81E98">
        <w:t>(</w:t>
      </w:r>
      <w:r w:rsidR="008D7E69">
        <w:t>for example,</w:t>
      </w:r>
      <w:r>
        <w:t xml:space="preserve"> </w:t>
      </w:r>
      <w:r w:rsidR="00E81E98">
        <w:t xml:space="preserve">conditions </w:t>
      </w:r>
      <w:r>
        <w:t>requiring the installation or removal of surveillance and communications equipment</w:t>
      </w:r>
      <w:r w:rsidR="00E81E98">
        <w:t>)</w:t>
      </w:r>
      <w:r>
        <w:t xml:space="preserve">. </w:t>
      </w:r>
    </w:p>
    <w:p w14:paraId="0B2D44A9" w14:textId="5C33F9D0" w:rsidR="00F60A64" w:rsidRDefault="00201424" w:rsidP="001F018F">
      <w:r>
        <w:t xml:space="preserve">It is expected that the powers will be obtained by triggering the </w:t>
      </w:r>
      <w:r w:rsidRPr="00201424">
        <w:rPr>
          <w:i/>
        </w:rPr>
        <w:t>Regulatory Powers (Standard Provisions) Act 2014</w:t>
      </w:r>
      <w:r>
        <w:t>, which provides a standard suite of provisions in relation to monitoring and investigation powers.</w:t>
      </w:r>
      <w:r w:rsidR="00914F0B">
        <w:t xml:space="preserve"> ATO officers working under the delegation of the Treasurer would continue to access powers under the TAA.</w:t>
      </w:r>
    </w:p>
    <w:p w14:paraId="0153B0C5" w14:textId="1802C2A8" w:rsidR="009D1720" w:rsidRDefault="009D1720" w:rsidP="009D1720">
      <w:pPr>
        <w:pStyle w:val="Heading2"/>
        <w:rPr>
          <w:rFonts w:eastAsia="Arial"/>
        </w:rPr>
      </w:pPr>
      <w:bookmarkStart w:id="119" w:name="_Toc34384778"/>
      <w:bookmarkStart w:id="120" w:name="_Toc34385209"/>
      <w:bookmarkStart w:id="121" w:name="_Toc34823604"/>
      <w:bookmarkStart w:id="122" w:name="_Toc34840551"/>
      <w:bookmarkStart w:id="123" w:name="_Toc35254828"/>
      <w:bookmarkStart w:id="124" w:name="_Toc35257724"/>
      <w:bookmarkStart w:id="125" w:name="_Toc41999441"/>
      <w:bookmarkStart w:id="126" w:name="_Toc42154159"/>
      <w:r>
        <w:rPr>
          <w:rFonts w:eastAsia="Arial"/>
        </w:rPr>
        <w:t>Obtain directions power</w:t>
      </w:r>
      <w:bookmarkEnd w:id="119"/>
      <w:bookmarkEnd w:id="120"/>
      <w:bookmarkEnd w:id="121"/>
      <w:bookmarkEnd w:id="122"/>
      <w:bookmarkEnd w:id="123"/>
      <w:bookmarkEnd w:id="124"/>
      <w:bookmarkEnd w:id="125"/>
      <w:bookmarkEnd w:id="126"/>
    </w:p>
    <w:p w14:paraId="6447D425" w14:textId="77777777" w:rsidR="00C06557" w:rsidRPr="00C06557" w:rsidRDefault="00C06557" w:rsidP="00C06557">
      <w:pPr>
        <w:pStyle w:val="SingleParagraph"/>
        <w:rPr>
          <w:rFonts w:eastAsia="Arial"/>
        </w:rPr>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C06557" w14:paraId="4CB5920E" w14:textId="77777777" w:rsidTr="001F018F">
        <w:tc>
          <w:tcPr>
            <w:tcW w:w="5000" w:type="pct"/>
            <w:shd w:val="clear" w:color="auto" w:fill="EBEBEB"/>
          </w:tcPr>
          <w:p w14:paraId="09A9A898" w14:textId="612B2879" w:rsidR="00C06557" w:rsidRPr="00E77132" w:rsidRDefault="00C06557" w:rsidP="00E77132">
            <w:pPr>
              <w:pStyle w:val="OneLevelNumberedParagraph"/>
              <w:rPr>
                <w:sz w:val="22"/>
              </w:rPr>
            </w:pPr>
            <w:r w:rsidRPr="00E77132">
              <w:rPr>
                <w:sz w:val="22"/>
              </w:rPr>
              <w:t>The Government will have powers to give directions to investors in order to prevent or address suspected breaches of conditions or of the foreign investment laws.</w:t>
            </w:r>
          </w:p>
        </w:tc>
      </w:tr>
    </w:tbl>
    <w:p w14:paraId="1C32440B" w14:textId="77777777" w:rsidR="00C06557" w:rsidRDefault="00C06557" w:rsidP="00C06557">
      <w:pPr>
        <w:pStyle w:val="SingleParagraph"/>
      </w:pPr>
    </w:p>
    <w:p w14:paraId="3192DF81" w14:textId="2FF9C61E" w:rsidR="009D1720" w:rsidRDefault="009D1720" w:rsidP="001F018F">
      <w:r w:rsidRPr="0031391E">
        <w:t>The absence of a directions power</w:t>
      </w:r>
      <w:r>
        <w:t xml:space="preserve"> under the FATA</w:t>
      </w:r>
      <w:r w:rsidRPr="0031391E">
        <w:t xml:space="preserve"> leaves the </w:t>
      </w:r>
      <w:r w:rsidR="00AA6CC1">
        <w:t xml:space="preserve">Government without a tool to pursue early and effective action </w:t>
      </w:r>
      <w:r w:rsidRPr="0031391E">
        <w:t>to remedy a breach</w:t>
      </w:r>
      <w:r w:rsidR="00AA6CC1">
        <w:t xml:space="preserve"> of conditions</w:t>
      </w:r>
      <w:r w:rsidRPr="0031391E">
        <w:t xml:space="preserve">. Relying on punitive action following a breach may place the national interest at greater risk </w:t>
      </w:r>
      <w:r>
        <w:t>than</w:t>
      </w:r>
      <w:r w:rsidRPr="0031391E">
        <w:t xml:space="preserve"> would be </w:t>
      </w:r>
      <w:r w:rsidR="00EC6B14">
        <w:t>the case</w:t>
      </w:r>
      <w:r w:rsidR="00EC6B14" w:rsidRPr="0031391E">
        <w:t xml:space="preserve"> </w:t>
      </w:r>
      <w:r w:rsidRPr="0031391E">
        <w:t xml:space="preserve">through </w:t>
      </w:r>
      <w:r w:rsidR="00241A10">
        <w:t xml:space="preserve">more timely </w:t>
      </w:r>
      <w:r w:rsidR="00A571DE">
        <w:t xml:space="preserve">and targeted </w:t>
      </w:r>
      <w:r w:rsidR="00241A10">
        <w:t>intervention</w:t>
      </w:r>
      <w:r>
        <w:t>.</w:t>
      </w:r>
    </w:p>
    <w:p w14:paraId="763693DD" w14:textId="03639D01" w:rsidR="009D1720" w:rsidRDefault="009D1720" w:rsidP="001F018F">
      <w:r>
        <w:t xml:space="preserve">The power to </w:t>
      </w:r>
      <w:r w:rsidR="00BC6E25">
        <w:t xml:space="preserve">issue directions </w:t>
      </w:r>
      <w:r>
        <w:t xml:space="preserve">will give the </w:t>
      </w:r>
      <w:r w:rsidR="00DB0B07">
        <w:t>Government</w:t>
      </w:r>
      <w:r>
        <w:t xml:space="preserve"> flexibility on how best to address actual or likely non</w:t>
      </w:r>
      <w:r w:rsidR="00AF5EDD">
        <w:noBreakHyphen/>
      </w:r>
      <w:r>
        <w:t xml:space="preserve">compliance. The directions power would be triggered where the </w:t>
      </w:r>
      <w:r w:rsidR="00DB0B07">
        <w:t>Government</w:t>
      </w:r>
      <w:r>
        <w:t xml:space="preserve"> has a reason to suspect that an investor has, is, or will, engage in conduct that breaches a condition of their approval or</w:t>
      </w:r>
      <w:r w:rsidR="00C06F99">
        <w:t xml:space="preserve"> breaches </w:t>
      </w:r>
      <w:r w:rsidR="00803C7D">
        <w:t xml:space="preserve">a </w:t>
      </w:r>
      <w:r>
        <w:t xml:space="preserve">foreign investment law. The requirement to have a </w:t>
      </w:r>
      <w:r w:rsidR="00AF5EDD">
        <w:t>‘</w:t>
      </w:r>
      <w:r>
        <w:t>reason to suspect</w:t>
      </w:r>
      <w:r w:rsidR="00AF5EDD">
        <w:t>’</w:t>
      </w:r>
      <w:r>
        <w:t xml:space="preserve"> is an objective test based on the facts and circumstances of each case</w:t>
      </w:r>
      <w:r w:rsidR="00241A10">
        <w:t>, and is consistent with the standard applied in other regulatory spheres</w:t>
      </w:r>
      <w:r w:rsidR="009A3897">
        <w:t xml:space="preserve"> such as in the </w:t>
      </w:r>
      <w:r w:rsidR="002F0049">
        <w:rPr>
          <w:i/>
        </w:rPr>
        <w:t>Australian Securities and Investment Commission Act 2001</w:t>
      </w:r>
      <w:r w:rsidR="002F0049">
        <w:t xml:space="preserve"> and the </w:t>
      </w:r>
      <w:r w:rsidR="002F0049">
        <w:rPr>
          <w:i/>
        </w:rPr>
        <w:t>National Consumer Credit Protection Act 2009</w:t>
      </w:r>
      <w:r w:rsidR="00241A10">
        <w:t>.</w:t>
      </w:r>
    </w:p>
    <w:p w14:paraId="4BE2ED93" w14:textId="52E1FA52" w:rsidR="005C59ED" w:rsidRDefault="001169CB" w:rsidP="001F018F">
      <w:pPr>
        <w:rPr>
          <w:rFonts w:asciiTheme="minorHAnsi" w:eastAsiaTheme="minorHAnsi" w:hAnsiTheme="minorHAnsi" w:cstheme="minorBidi"/>
          <w:szCs w:val="22"/>
          <w:lang w:eastAsia="en-US"/>
        </w:rPr>
      </w:pPr>
      <w:r>
        <w:t>Directions could be used to respond to a range of circumstances including</w:t>
      </w:r>
      <w:r w:rsidR="005C59ED">
        <w:rPr>
          <w:rFonts w:asciiTheme="minorHAnsi" w:eastAsiaTheme="minorHAnsi" w:hAnsiTheme="minorHAnsi" w:cstheme="minorBidi"/>
          <w:szCs w:val="22"/>
          <w:lang w:eastAsia="en-US"/>
        </w:rPr>
        <w:t xml:space="preserve"> to:</w:t>
      </w:r>
    </w:p>
    <w:p w14:paraId="3198DF0A" w14:textId="1F66787E" w:rsidR="005C59ED" w:rsidRPr="001D636F" w:rsidRDefault="001D636F" w:rsidP="001D636F">
      <w:pPr>
        <w:pStyle w:val="Bullet"/>
        <w:jc w:val="both"/>
        <w:rPr>
          <w:rFonts w:eastAsia="Arial"/>
        </w:rPr>
      </w:pPr>
      <w:r>
        <w:rPr>
          <w:rFonts w:eastAsia="Arial"/>
        </w:rPr>
        <w:t>c</w:t>
      </w:r>
      <w:r w:rsidR="005C59ED" w:rsidRPr="001D636F">
        <w:rPr>
          <w:rFonts w:eastAsia="Arial"/>
        </w:rPr>
        <w:t xml:space="preserve">omply with the </w:t>
      </w:r>
      <w:r w:rsidR="00D400B1">
        <w:rPr>
          <w:rFonts w:eastAsia="Arial"/>
        </w:rPr>
        <w:t>FATA</w:t>
      </w:r>
      <w:r w:rsidR="005C59ED" w:rsidRPr="001D636F">
        <w:rPr>
          <w:rFonts w:eastAsia="Arial"/>
        </w:rPr>
        <w:t xml:space="preserve"> or the associated regulations</w:t>
      </w:r>
      <w:r>
        <w:rPr>
          <w:rFonts w:eastAsia="Arial"/>
        </w:rPr>
        <w:t>;</w:t>
      </w:r>
    </w:p>
    <w:p w14:paraId="50B153DB" w14:textId="2398E3A3" w:rsidR="005C59ED" w:rsidRPr="001D636F" w:rsidRDefault="001D636F" w:rsidP="001D636F">
      <w:pPr>
        <w:pStyle w:val="Bullet"/>
        <w:jc w:val="both"/>
        <w:rPr>
          <w:rFonts w:eastAsia="Arial"/>
        </w:rPr>
      </w:pPr>
      <w:r>
        <w:rPr>
          <w:rFonts w:eastAsia="Arial"/>
        </w:rPr>
        <w:t>t</w:t>
      </w:r>
      <w:r w:rsidR="005C59ED" w:rsidRPr="001D636F">
        <w:rPr>
          <w:rFonts w:eastAsia="Arial"/>
        </w:rPr>
        <w:t>ake action or refrain from a particular action required to prevent further or ongoing harm to the national interest</w:t>
      </w:r>
      <w:r>
        <w:rPr>
          <w:rFonts w:eastAsia="Arial"/>
        </w:rPr>
        <w:t>; and/or</w:t>
      </w:r>
    </w:p>
    <w:p w14:paraId="3DEACE80" w14:textId="1E3B53FF" w:rsidR="005C59ED" w:rsidRPr="001D636F" w:rsidRDefault="001D636F" w:rsidP="001D636F">
      <w:pPr>
        <w:pStyle w:val="Bullet"/>
        <w:jc w:val="both"/>
        <w:rPr>
          <w:rFonts w:eastAsia="Arial"/>
        </w:rPr>
      </w:pPr>
      <w:r>
        <w:rPr>
          <w:rFonts w:eastAsia="Arial"/>
        </w:rPr>
        <w:t>t</w:t>
      </w:r>
      <w:r w:rsidR="005C59ED" w:rsidRPr="001D636F">
        <w:rPr>
          <w:rFonts w:eastAsia="Arial"/>
        </w:rPr>
        <w:t>ake action or refrain from a particular action to remedy any breaches of the terms of an exemption certificate or no objection certificate</w:t>
      </w:r>
      <w:r>
        <w:rPr>
          <w:rFonts w:eastAsia="Arial"/>
        </w:rPr>
        <w:t>.</w:t>
      </w:r>
    </w:p>
    <w:p w14:paraId="26D388B6" w14:textId="619D3B8B" w:rsidR="009D1720" w:rsidRDefault="009D1720" w:rsidP="001F018F">
      <w:r>
        <w:t>An investor must comply with a direction</w:t>
      </w:r>
      <w:r w:rsidR="00463927">
        <w:t>.</w:t>
      </w:r>
      <w:r>
        <w:t xml:space="preserve"> </w:t>
      </w:r>
      <w:r w:rsidR="00DC1DC6">
        <w:t xml:space="preserve">Failure to comply with a direction will expose the person to </w:t>
      </w:r>
      <w:r w:rsidR="00415CA2">
        <w:t>enforcement mechanisms</w:t>
      </w:r>
      <w:r>
        <w:t>.</w:t>
      </w:r>
    </w:p>
    <w:p w14:paraId="1C3078AC" w14:textId="058BC5BD" w:rsidR="00C06F99" w:rsidRDefault="00C06F99" w:rsidP="00C06F99">
      <w:pPr>
        <w:pStyle w:val="Heading2"/>
        <w:rPr>
          <w:rFonts w:eastAsia="Arial"/>
        </w:rPr>
      </w:pPr>
      <w:bookmarkStart w:id="127" w:name="_Toc34384779"/>
      <w:bookmarkStart w:id="128" w:name="_Toc34385210"/>
      <w:bookmarkStart w:id="129" w:name="_Toc34823605"/>
      <w:bookmarkStart w:id="130" w:name="_Toc34840552"/>
      <w:bookmarkStart w:id="131" w:name="_Toc35254829"/>
      <w:bookmarkStart w:id="132" w:name="_Toc35257725"/>
      <w:bookmarkStart w:id="133" w:name="_Toc41999442"/>
      <w:bookmarkStart w:id="134" w:name="_Toc42154160"/>
      <w:r>
        <w:rPr>
          <w:rFonts w:eastAsia="Arial"/>
        </w:rPr>
        <w:lastRenderedPageBreak/>
        <w:t>Increase civil and criminal penalties</w:t>
      </w:r>
      <w:bookmarkEnd w:id="127"/>
      <w:bookmarkEnd w:id="128"/>
      <w:bookmarkEnd w:id="129"/>
      <w:bookmarkEnd w:id="130"/>
      <w:bookmarkEnd w:id="131"/>
      <w:bookmarkEnd w:id="132"/>
      <w:bookmarkEnd w:id="133"/>
      <w:bookmarkEnd w:id="134"/>
    </w:p>
    <w:p w14:paraId="336AAD3F" w14:textId="77777777" w:rsidR="00C06557" w:rsidRPr="00C06557" w:rsidRDefault="00C06557" w:rsidP="00C06557">
      <w:pPr>
        <w:pStyle w:val="SingleParagraph"/>
        <w:rPr>
          <w:rFonts w:eastAsia="Arial"/>
        </w:rPr>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C06557" w14:paraId="757EBF51" w14:textId="77777777" w:rsidTr="001F018F">
        <w:tc>
          <w:tcPr>
            <w:tcW w:w="5000" w:type="pct"/>
            <w:shd w:val="clear" w:color="auto" w:fill="EBEBEB"/>
          </w:tcPr>
          <w:p w14:paraId="1E8528E6" w14:textId="1753FDCC" w:rsidR="00C06557" w:rsidRPr="00E77132" w:rsidRDefault="00C06557" w:rsidP="00E77132">
            <w:pPr>
              <w:pStyle w:val="OneLevelNumberedParagraph"/>
              <w:rPr>
                <w:sz w:val="22"/>
              </w:rPr>
            </w:pPr>
            <w:r w:rsidRPr="00E77132">
              <w:rPr>
                <w:sz w:val="22"/>
              </w:rPr>
              <w:t>The Government will increase civil and criminal penalties under the FATA to ensure they act as an effective deterrent.</w:t>
            </w:r>
          </w:p>
        </w:tc>
      </w:tr>
    </w:tbl>
    <w:p w14:paraId="768712EB" w14:textId="10626254" w:rsidR="00C06557" w:rsidRDefault="00C06557" w:rsidP="00C06557">
      <w:pPr>
        <w:pStyle w:val="SingleParagraph"/>
      </w:pPr>
    </w:p>
    <w:p w14:paraId="18D06B78" w14:textId="0C99776C" w:rsidR="00694FB8" w:rsidRDefault="00694FB8" w:rsidP="001F018F">
      <w:r>
        <w:t xml:space="preserve">Current </w:t>
      </w:r>
      <w:r w:rsidR="007F1461">
        <w:t>monetary</w:t>
      </w:r>
      <w:r>
        <w:t xml:space="preserve"> penalties under the FATA are low compared to other business regulators, and do not act as an effective deterrent.</w:t>
      </w:r>
    </w:p>
    <w:p w14:paraId="0EB7A706" w14:textId="1DE8C7A2" w:rsidR="00694FB8" w:rsidRDefault="00694FB8" w:rsidP="001F018F">
      <w:r>
        <w:t xml:space="preserve">For example, with respect </w:t>
      </w:r>
      <w:r w:rsidR="00E94D6A">
        <w:t xml:space="preserve">to </w:t>
      </w:r>
      <w:r>
        <w:t>non</w:t>
      </w:r>
      <w:r w:rsidR="00AF5EDD">
        <w:noBreakHyphen/>
      </w:r>
      <w:r>
        <w:t>residential real estate investments, the maximum civil penalties that may be applied by the courts to individuals on conviction for a breach of the FATA (such as failing to obtain prior approval, or comply with a condition of approval) is a fine of 250 penalty units (currently $52,000) for individuals and 1,250 penalty units (currently $262,500) for corporations. Criminal penalties are 750 penalty units and/or 3 years imprisonment for individuals, and 3,750</w:t>
      </w:r>
      <w:r w:rsidR="008D7E69">
        <w:t> </w:t>
      </w:r>
      <w:r>
        <w:t>penalty units for corporations.</w:t>
      </w:r>
    </w:p>
    <w:p w14:paraId="368F4F25" w14:textId="2CA3557F" w:rsidR="00694FB8" w:rsidRDefault="00694FB8" w:rsidP="001F018F">
      <w:r>
        <w:t>For organisations with the capacity to make investments generally greater than $275 million, the current penalty scale does not provide a meaningful deterrent against non</w:t>
      </w:r>
      <w:r w:rsidR="00AF5EDD">
        <w:noBreakHyphen/>
      </w:r>
      <w:r>
        <w:t>compliance. This is especially so when compared to recent changes to the Australian Securities and Investments Commission</w:t>
      </w:r>
      <w:r w:rsidR="00AF5EDD">
        <w:t>’</w:t>
      </w:r>
      <w:r>
        <w:t>s (ASIC) regime which allows ASIC to seek maximum penalties of $1.05 million for individuals and up to $525 million for corporations.</w:t>
      </w:r>
    </w:p>
    <w:p w14:paraId="31546A1F" w14:textId="77777777" w:rsidR="00442F92" w:rsidRDefault="00442F92" w:rsidP="00442F92">
      <w:pPr>
        <w:pStyle w:val="SingleParagraph"/>
      </w:pPr>
    </w:p>
    <w:p w14:paraId="37766206" w14:textId="6A72BCC4" w:rsidR="00C06F99" w:rsidRPr="00877327" w:rsidRDefault="000C13D7" w:rsidP="00BD1503">
      <w:pPr>
        <w:pStyle w:val="TableMainHeading"/>
      </w:pPr>
      <w:r>
        <w:t>Changes to criminal penalty</w:t>
      </w:r>
      <w:r w:rsidR="0011264D" w:rsidRPr="00877327">
        <w:t xml:space="preserve"> </w:t>
      </w:r>
      <w:r w:rsidR="00F45393">
        <w:t>in relation to all types of investments (residential and non</w:t>
      </w:r>
      <w:r w:rsidR="00AF5EDD">
        <w:noBreakHyphen/>
      </w:r>
      <w:r w:rsidR="00F45393">
        <w:t>residential)</w:t>
      </w:r>
    </w:p>
    <w:tbl>
      <w:tblPr>
        <w:tblStyle w:val="TableGrid"/>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91"/>
        <w:gridCol w:w="1930"/>
        <w:gridCol w:w="1345"/>
        <w:gridCol w:w="1299"/>
        <w:gridCol w:w="1489"/>
        <w:gridCol w:w="1506"/>
      </w:tblGrid>
      <w:tr w:rsidR="00C06F99" w:rsidRPr="00D87D09" w14:paraId="0AE22332" w14:textId="77777777" w:rsidTr="001605DD">
        <w:tc>
          <w:tcPr>
            <w:tcW w:w="823" w:type="pct"/>
            <w:vMerge w:val="restart"/>
          </w:tcPr>
          <w:p w14:paraId="539B4171" w14:textId="77777777" w:rsidR="00C06F99" w:rsidRPr="00D87D09" w:rsidRDefault="00C06F99" w:rsidP="00BD1503">
            <w:pPr>
              <w:pStyle w:val="TableColumnHeadingCentred"/>
            </w:pPr>
            <w:r>
              <w:t>Max criminal penalty</w:t>
            </w:r>
          </w:p>
        </w:tc>
        <w:tc>
          <w:tcPr>
            <w:tcW w:w="2524" w:type="pct"/>
            <w:gridSpan w:val="3"/>
          </w:tcPr>
          <w:p w14:paraId="062A6DE9" w14:textId="77777777" w:rsidR="00C06F99" w:rsidRPr="00D87D09" w:rsidRDefault="00C06F99" w:rsidP="00BD1503">
            <w:pPr>
              <w:pStyle w:val="TableColumnHeadingCentred"/>
            </w:pPr>
            <w:r w:rsidRPr="00D87D09">
              <w:t>Individual</w:t>
            </w:r>
          </w:p>
        </w:tc>
        <w:tc>
          <w:tcPr>
            <w:tcW w:w="1653" w:type="pct"/>
            <w:gridSpan w:val="2"/>
          </w:tcPr>
          <w:p w14:paraId="24C73FAA" w14:textId="77777777" w:rsidR="00C06F99" w:rsidRPr="00D87D09" w:rsidRDefault="00C06F99" w:rsidP="00BD1503">
            <w:pPr>
              <w:pStyle w:val="TableColumnHeadingCentred"/>
            </w:pPr>
            <w:r w:rsidRPr="00D87D09">
              <w:t>Corporation</w:t>
            </w:r>
          </w:p>
        </w:tc>
      </w:tr>
      <w:tr w:rsidR="00C06F99" w14:paraId="69FBEBDF" w14:textId="77777777" w:rsidTr="001605DD">
        <w:tc>
          <w:tcPr>
            <w:tcW w:w="823" w:type="pct"/>
            <w:vMerge/>
          </w:tcPr>
          <w:p w14:paraId="206CDEC0" w14:textId="77777777" w:rsidR="00C06F99" w:rsidRDefault="00C06F99" w:rsidP="00BD1503">
            <w:pPr>
              <w:pStyle w:val="TableColumnHeadingCentred"/>
            </w:pPr>
          </w:p>
        </w:tc>
        <w:tc>
          <w:tcPr>
            <w:tcW w:w="1065" w:type="pct"/>
          </w:tcPr>
          <w:p w14:paraId="0BAA3E53" w14:textId="77777777" w:rsidR="00C06F99" w:rsidRDefault="00C06F99" w:rsidP="008D7E69">
            <w:pPr>
              <w:pStyle w:val="TableColumnHeadingCentred"/>
            </w:pPr>
            <w:r>
              <w:t>Penalty units</w:t>
            </w:r>
          </w:p>
        </w:tc>
        <w:tc>
          <w:tcPr>
            <w:tcW w:w="742" w:type="pct"/>
          </w:tcPr>
          <w:p w14:paraId="1D25B013" w14:textId="77777777" w:rsidR="00C06F99" w:rsidRDefault="00C06F99" w:rsidP="008D7E69">
            <w:pPr>
              <w:pStyle w:val="TableColumnHeadingCentred"/>
            </w:pPr>
            <w:r>
              <w:t>$</w:t>
            </w:r>
          </w:p>
        </w:tc>
        <w:tc>
          <w:tcPr>
            <w:tcW w:w="717" w:type="pct"/>
          </w:tcPr>
          <w:p w14:paraId="49E08C0A" w14:textId="77777777" w:rsidR="00C06F99" w:rsidRDefault="00C06F99" w:rsidP="008D7E69">
            <w:pPr>
              <w:pStyle w:val="TableColumnHeadingCentred"/>
            </w:pPr>
            <w:r>
              <w:t>Prison term</w:t>
            </w:r>
          </w:p>
        </w:tc>
        <w:tc>
          <w:tcPr>
            <w:tcW w:w="822" w:type="pct"/>
          </w:tcPr>
          <w:p w14:paraId="46692BE2" w14:textId="77777777" w:rsidR="00C06F99" w:rsidRDefault="00C06F99" w:rsidP="008D7E69">
            <w:pPr>
              <w:pStyle w:val="TableColumnHeadingCentred"/>
            </w:pPr>
            <w:r>
              <w:t>Penalty units</w:t>
            </w:r>
          </w:p>
        </w:tc>
        <w:tc>
          <w:tcPr>
            <w:tcW w:w="831" w:type="pct"/>
          </w:tcPr>
          <w:p w14:paraId="4BC5452F" w14:textId="77777777" w:rsidR="00C06F99" w:rsidRDefault="00C06F99" w:rsidP="008D7E69">
            <w:pPr>
              <w:pStyle w:val="TableColumnHeadingCentred"/>
            </w:pPr>
            <w:r>
              <w:t>$</w:t>
            </w:r>
          </w:p>
        </w:tc>
      </w:tr>
      <w:tr w:rsidR="00C06F99" w14:paraId="69E5FAED" w14:textId="77777777" w:rsidTr="001605DD">
        <w:tc>
          <w:tcPr>
            <w:tcW w:w="823" w:type="pct"/>
          </w:tcPr>
          <w:p w14:paraId="0094B503" w14:textId="77777777" w:rsidR="00C06F99" w:rsidRPr="007925AD" w:rsidRDefault="00C06F99" w:rsidP="00BD1503">
            <w:pPr>
              <w:pStyle w:val="TableColumnHeadingCentred"/>
            </w:pPr>
            <w:r w:rsidRPr="007925AD">
              <w:t>Current</w:t>
            </w:r>
          </w:p>
        </w:tc>
        <w:tc>
          <w:tcPr>
            <w:tcW w:w="1065" w:type="pct"/>
          </w:tcPr>
          <w:p w14:paraId="63F0F640" w14:textId="77777777" w:rsidR="00C06F99" w:rsidRDefault="00C06F99" w:rsidP="00BD1503">
            <w:pPr>
              <w:pStyle w:val="TableTextCentered"/>
            </w:pPr>
            <w:r>
              <w:t>750</w:t>
            </w:r>
          </w:p>
        </w:tc>
        <w:tc>
          <w:tcPr>
            <w:tcW w:w="742" w:type="pct"/>
          </w:tcPr>
          <w:p w14:paraId="2E23DE01" w14:textId="77777777" w:rsidR="00C06F99" w:rsidRDefault="00C06F99" w:rsidP="00BD1503">
            <w:pPr>
              <w:pStyle w:val="TableTextCentered"/>
            </w:pPr>
            <w:r>
              <w:t>157,500</w:t>
            </w:r>
          </w:p>
        </w:tc>
        <w:tc>
          <w:tcPr>
            <w:tcW w:w="717" w:type="pct"/>
          </w:tcPr>
          <w:p w14:paraId="310888C2" w14:textId="77777777" w:rsidR="00C06F99" w:rsidRDefault="00C06F99" w:rsidP="00BD1503">
            <w:pPr>
              <w:pStyle w:val="TableTextCentered"/>
            </w:pPr>
            <w:r>
              <w:t>3 years</w:t>
            </w:r>
          </w:p>
        </w:tc>
        <w:tc>
          <w:tcPr>
            <w:tcW w:w="822" w:type="pct"/>
          </w:tcPr>
          <w:p w14:paraId="2F733D64" w14:textId="77777777" w:rsidR="00C06F99" w:rsidRDefault="00C06F99" w:rsidP="00BD1503">
            <w:pPr>
              <w:pStyle w:val="TableTextCentered"/>
            </w:pPr>
            <w:r>
              <w:t>3,750</w:t>
            </w:r>
          </w:p>
        </w:tc>
        <w:tc>
          <w:tcPr>
            <w:tcW w:w="831" w:type="pct"/>
          </w:tcPr>
          <w:p w14:paraId="7306E0AB" w14:textId="77777777" w:rsidR="00C06F99" w:rsidRDefault="00C06F99" w:rsidP="00BD1503">
            <w:pPr>
              <w:pStyle w:val="TableTextCentered"/>
            </w:pPr>
            <w:r>
              <w:t>787,500</w:t>
            </w:r>
          </w:p>
        </w:tc>
      </w:tr>
      <w:tr w:rsidR="00C06F99" w14:paraId="5713EEE8" w14:textId="77777777" w:rsidTr="00D90F40">
        <w:tc>
          <w:tcPr>
            <w:tcW w:w="823" w:type="pct"/>
          </w:tcPr>
          <w:p w14:paraId="36D84B36" w14:textId="0AD1C648" w:rsidR="00C06F99" w:rsidRPr="007925AD" w:rsidRDefault="00FC5889" w:rsidP="00BD1503">
            <w:pPr>
              <w:pStyle w:val="TableColumnHeadingCentred"/>
            </w:pPr>
            <w:r>
              <w:t>Reform</w:t>
            </w:r>
          </w:p>
        </w:tc>
        <w:tc>
          <w:tcPr>
            <w:tcW w:w="1065" w:type="pct"/>
          </w:tcPr>
          <w:p w14:paraId="22CA2CC9" w14:textId="77777777" w:rsidR="00C06F99" w:rsidRDefault="00C06F99" w:rsidP="00BD1503">
            <w:pPr>
              <w:pStyle w:val="TableTextCentered"/>
            </w:pPr>
            <w:r>
              <w:t>15,000</w:t>
            </w:r>
          </w:p>
        </w:tc>
        <w:tc>
          <w:tcPr>
            <w:tcW w:w="742" w:type="pct"/>
          </w:tcPr>
          <w:p w14:paraId="4124F083" w14:textId="77777777" w:rsidR="00C06F99" w:rsidRDefault="00C06F99" w:rsidP="00BD1503">
            <w:pPr>
              <w:pStyle w:val="TableTextCentered"/>
            </w:pPr>
            <w:r>
              <w:t>3.15 million</w:t>
            </w:r>
          </w:p>
        </w:tc>
        <w:tc>
          <w:tcPr>
            <w:tcW w:w="717" w:type="pct"/>
          </w:tcPr>
          <w:p w14:paraId="412BB518" w14:textId="366D269E" w:rsidR="00C06F99" w:rsidRDefault="00C06F99" w:rsidP="00BD1503">
            <w:pPr>
              <w:pStyle w:val="TableTextCentered"/>
            </w:pPr>
            <w:r>
              <w:t>10 years</w:t>
            </w:r>
          </w:p>
        </w:tc>
        <w:tc>
          <w:tcPr>
            <w:tcW w:w="822" w:type="pct"/>
            <w:vAlign w:val="center"/>
          </w:tcPr>
          <w:p w14:paraId="44CF3BF3" w14:textId="2C8AF17D" w:rsidR="00C06F99" w:rsidRPr="00D90F40" w:rsidRDefault="00D90F40" w:rsidP="00BD1503">
            <w:pPr>
              <w:pStyle w:val="TableTextCentered"/>
              <w:rPr>
                <w:rFonts w:ascii="Times New Roman" w:eastAsiaTheme="minorHAnsi" w:hAnsi="Times New Roman"/>
                <w:sz w:val="24"/>
                <w:szCs w:val="24"/>
              </w:rPr>
            </w:pPr>
            <w:r>
              <w:t>150,000</w:t>
            </w:r>
            <w:r>
              <w:rPr>
                <w:rFonts w:ascii="Times New Roman" w:eastAsiaTheme="minorHAnsi" w:hAnsi="Times New Roman"/>
                <w:sz w:val="24"/>
                <w:szCs w:val="24"/>
              </w:rPr>
              <w:t xml:space="preserve"> </w:t>
            </w:r>
          </w:p>
        </w:tc>
        <w:tc>
          <w:tcPr>
            <w:tcW w:w="831" w:type="pct"/>
          </w:tcPr>
          <w:p w14:paraId="5D3BB823" w14:textId="77777777" w:rsidR="00C06F99" w:rsidRDefault="00C06F99" w:rsidP="00BD1503">
            <w:pPr>
              <w:pStyle w:val="TableTextCentered"/>
            </w:pPr>
            <w:r>
              <w:t>31.5 million</w:t>
            </w:r>
          </w:p>
        </w:tc>
      </w:tr>
    </w:tbl>
    <w:p w14:paraId="07AF6CE0" w14:textId="77777777" w:rsidR="00C06557" w:rsidRDefault="00C06557" w:rsidP="00C06557">
      <w:pPr>
        <w:pStyle w:val="SingleParagraph"/>
      </w:pPr>
    </w:p>
    <w:p w14:paraId="68BFA4E8" w14:textId="4BD67BFE" w:rsidR="0011264D" w:rsidRPr="00877327" w:rsidRDefault="000C13D7" w:rsidP="00BD1503">
      <w:pPr>
        <w:pStyle w:val="TableMainHeading"/>
      </w:pPr>
      <w:r>
        <w:t>Changes to civil penalty</w:t>
      </w:r>
      <w:r w:rsidR="0011264D" w:rsidRPr="00877327">
        <w:t xml:space="preserve"> </w:t>
      </w:r>
      <w:r w:rsidR="00F45393" w:rsidRPr="00877327">
        <w:t>in relation to non</w:t>
      </w:r>
      <w:r w:rsidR="00AF5EDD">
        <w:noBreakHyphen/>
      </w:r>
      <w:r w:rsidR="00F45393" w:rsidRPr="00877327">
        <w:t>residential investments</w:t>
      </w:r>
    </w:p>
    <w:tbl>
      <w:tblPr>
        <w:tblStyle w:val="TableGrid"/>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93"/>
        <w:gridCol w:w="2301"/>
        <w:gridCol w:w="1357"/>
        <w:gridCol w:w="2443"/>
        <w:gridCol w:w="1466"/>
      </w:tblGrid>
      <w:tr w:rsidR="00C06F99" w:rsidRPr="00D87D09" w14:paraId="75343085" w14:textId="77777777" w:rsidTr="001605DD">
        <w:tc>
          <w:tcPr>
            <w:tcW w:w="824" w:type="pct"/>
            <w:vMerge w:val="restart"/>
          </w:tcPr>
          <w:p w14:paraId="32FA28C6" w14:textId="77777777" w:rsidR="00C06F99" w:rsidRPr="00D87D09" w:rsidRDefault="00C06F99" w:rsidP="00BD1503">
            <w:pPr>
              <w:pStyle w:val="TableColumnHeadingCentred"/>
            </w:pPr>
            <w:r>
              <w:t>Max civil penalty</w:t>
            </w:r>
          </w:p>
        </w:tc>
        <w:tc>
          <w:tcPr>
            <w:tcW w:w="2019" w:type="pct"/>
            <w:gridSpan w:val="2"/>
          </w:tcPr>
          <w:p w14:paraId="41FAF9EA" w14:textId="77777777" w:rsidR="00C06F99" w:rsidRPr="00D87D09" w:rsidRDefault="00C06F99" w:rsidP="00BD1503">
            <w:pPr>
              <w:pStyle w:val="TableColumnHeadingCentred"/>
            </w:pPr>
            <w:r w:rsidRPr="00D87D09">
              <w:t>Individual</w:t>
            </w:r>
          </w:p>
        </w:tc>
        <w:tc>
          <w:tcPr>
            <w:tcW w:w="2157" w:type="pct"/>
            <w:gridSpan w:val="2"/>
          </w:tcPr>
          <w:p w14:paraId="54525282" w14:textId="77777777" w:rsidR="00C06F99" w:rsidRPr="00D87D09" w:rsidRDefault="00C06F99" w:rsidP="00BD1503">
            <w:pPr>
              <w:pStyle w:val="TableColumnHeadingCentred"/>
            </w:pPr>
            <w:r w:rsidRPr="00D87D09">
              <w:t>Corporation</w:t>
            </w:r>
          </w:p>
        </w:tc>
      </w:tr>
      <w:tr w:rsidR="00C06F99" w14:paraId="36CCEC78" w14:textId="77777777" w:rsidTr="001605DD">
        <w:tc>
          <w:tcPr>
            <w:tcW w:w="824" w:type="pct"/>
            <w:vMerge/>
          </w:tcPr>
          <w:p w14:paraId="6E3662B6" w14:textId="77777777" w:rsidR="00C06F99" w:rsidRDefault="00C06F99" w:rsidP="00BD1503">
            <w:pPr>
              <w:pStyle w:val="TableColumnHeadingCentred"/>
            </w:pPr>
          </w:p>
        </w:tc>
        <w:tc>
          <w:tcPr>
            <w:tcW w:w="1270" w:type="pct"/>
          </w:tcPr>
          <w:p w14:paraId="3775DED2" w14:textId="77777777" w:rsidR="00C06F99" w:rsidRDefault="00C06F99" w:rsidP="008D7E69">
            <w:pPr>
              <w:pStyle w:val="TableColumnHeadingCentred"/>
            </w:pPr>
            <w:r>
              <w:t>Penalty units</w:t>
            </w:r>
          </w:p>
        </w:tc>
        <w:tc>
          <w:tcPr>
            <w:tcW w:w="749" w:type="pct"/>
          </w:tcPr>
          <w:p w14:paraId="3FF1FE1F" w14:textId="77777777" w:rsidR="00C06F99" w:rsidRDefault="00C06F99" w:rsidP="008D7E69">
            <w:pPr>
              <w:pStyle w:val="TableColumnHeadingCentred"/>
            </w:pPr>
            <w:r>
              <w:t>$</w:t>
            </w:r>
          </w:p>
        </w:tc>
        <w:tc>
          <w:tcPr>
            <w:tcW w:w="1348" w:type="pct"/>
          </w:tcPr>
          <w:p w14:paraId="41AED150" w14:textId="77777777" w:rsidR="00C06F99" w:rsidRDefault="00C06F99" w:rsidP="008D7E69">
            <w:pPr>
              <w:pStyle w:val="TableColumnHeadingCentred"/>
            </w:pPr>
            <w:r>
              <w:t>Penalty units</w:t>
            </w:r>
          </w:p>
        </w:tc>
        <w:tc>
          <w:tcPr>
            <w:tcW w:w="809" w:type="pct"/>
          </w:tcPr>
          <w:p w14:paraId="6AA0D309" w14:textId="77777777" w:rsidR="00C06F99" w:rsidRDefault="00C06F99" w:rsidP="008D7E69">
            <w:pPr>
              <w:pStyle w:val="TableColumnHeadingCentred"/>
            </w:pPr>
            <w:r>
              <w:t>$</w:t>
            </w:r>
          </w:p>
        </w:tc>
      </w:tr>
      <w:tr w:rsidR="00C06F99" w14:paraId="690B9B3A" w14:textId="77777777" w:rsidTr="001605DD">
        <w:tc>
          <w:tcPr>
            <w:tcW w:w="824" w:type="pct"/>
          </w:tcPr>
          <w:p w14:paraId="6E987628" w14:textId="77777777" w:rsidR="00C06F99" w:rsidRPr="007925AD" w:rsidRDefault="00C06F99" w:rsidP="00BD1503">
            <w:pPr>
              <w:pStyle w:val="TableColumnHeadingCentred"/>
            </w:pPr>
            <w:r w:rsidRPr="007925AD">
              <w:t>Current</w:t>
            </w:r>
          </w:p>
        </w:tc>
        <w:tc>
          <w:tcPr>
            <w:tcW w:w="1270" w:type="pct"/>
          </w:tcPr>
          <w:p w14:paraId="69F9D012" w14:textId="77777777" w:rsidR="00C06F99" w:rsidRDefault="00C06F99" w:rsidP="00BD1503">
            <w:pPr>
              <w:pStyle w:val="TableTextCentered"/>
            </w:pPr>
            <w:r>
              <w:t>250</w:t>
            </w:r>
          </w:p>
        </w:tc>
        <w:tc>
          <w:tcPr>
            <w:tcW w:w="749" w:type="pct"/>
          </w:tcPr>
          <w:p w14:paraId="2FB01FFA" w14:textId="77777777" w:rsidR="00C06F99" w:rsidRDefault="00C06F99" w:rsidP="00BD1503">
            <w:pPr>
              <w:pStyle w:val="TableTextCentered"/>
            </w:pPr>
            <w:r>
              <w:t>52,500</w:t>
            </w:r>
          </w:p>
        </w:tc>
        <w:tc>
          <w:tcPr>
            <w:tcW w:w="1348" w:type="pct"/>
          </w:tcPr>
          <w:p w14:paraId="12C780B5" w14:textId="77777777" w:rsidR="00C06F99" w:rsidRDefault="00C06F99" w:rsidP="00BD1503">
            <w:pPr>
              <w:pStyle w:val="TableTextCentered"/>
            </w:pPr>
            <w:r>
              <w:t>1,250</w:t>
            </w:r>
          </w:p>
        </w:tc>
        <w:tc>
          <w:tcPr>
            <w:tcW w:w="809" w:type="pct"/>
          </w:tcPr>
          <w:p w14:paraId="0AA14CCA" w14:textId="77777777" w:rsidR="00C06F99" w:rsidRDefault="00C06F99" w:rsidP="00BD1503">
            <w:pPr>
              <w:pStyle w:val="TableTextCentered"/>
            </w:pPr>
            <w:r>
              <w:t>262,500</w:t>
            </w:r>
          </w:p>
        </w:tc>
      </w:tr>
      <w:tr w:rsidR="00C06F99" w14:paraId="61AFBF43" w14:textId="77777777" w:rsidTr="001605DD">
        <w:tc>
          <w:tcPr>
            <w:tcW w:w="824" w:type="pct"/>
          </w:tcPr>
          <w:p w14:paraId="7D4EE299" w14:textId="2CB065F0" w:rsidR="00C06F99" w:rsidRPr="007925AD" w:rsidRDefault="00FC5889" w:rsidP="00BD1503">
            <w:pPr>
              <w:pStyle w:val="TableColumnHeadingCentred"/>
            </w:pPr>
            <w:r>
              <w:t>Reform</w:t>
            </w:r>
          </w:p>
        </w:tc>
        <w:tc>
          <w:tcPr>
            <w:tcW w:w="1270" w:type="pct"/>
          </w:tcPr>
          <w:p w14:paraId="56580250" w14:textId="66C63960" w:rsidR="00C06F99" w:rsidRDefault="00C06F99" w:rsidP="00BD1503">
            <w:pPr>
              <w:pStyle w:val="TableTextCentered"/>
            </w:pPr>
            <w:r>
              <w:t>The greater of  5,000 units or 75% of the value of the investment to a maximum monetary value of 2.5 million penalty units</w:t>
            </w:r>
          </w:p>
        </w:tc>
        <w:tc>
          <w:tcPr>
            <w:tcW w:w="749" w:type="pct"/>
          </w:tcPr>
          <w:p w14:paraId="095DA549" w14:textId="77777777" w:rsidR="00C06F99" w:rsidRDefault="00C06F99" w:rsidP="00BD1503">
            <w:pPr>
              <w:pStyle w:val="TableTextCentered"/>
            </w:pPr>
            <w:r>
              <w:t>1.05 million to 525 million</w:t>
            </w:r>
          </w:p>
        </w:tc>
        <w:tc>
          <w:tcPr>
            <w:tcW w:w="1348" w:type="pct"/>
          </w:tcPr>
          <w:p w14:paraId="689A9C69" w14:textId="152A6BEA" w:rsidR="00C06F99" w:rsidRDefault="00C06F99" w:rsidP="00BD1503">
            <w:pPr>
              <w:pStyle w:val="TableTextCentered"/>
            </w:pPr>
            <w:r>
              <w:t xml:space="preserve">The greater of 50,000 units or 75% of the value of the investment to a maximum monetary value of 2.5 million penalty units </w:t>
            </w:r>
          </w:p>
        </w:tc>
        <w:tc>
          <w:tcPr>
            <w:tcW w:w="809" w:type="pct"/>
          </w:tcPr>
          <w:p w14:paraId="0E6F5F82" w14:textId="77777777" w:rsidR="00C06F99" w:rsidRDefault="00C06F99" w:rsidP="00BD1503">
            <w:pPr>
              <w:pStyle w:val="TableTextCentered"/>
            </w:pPr>
            <w:r>
              <w:t>10.5 million to 525 million</w:t>
            </w:r>
          </w:p>
        </w:tc>
      </w:tr>
    </w:tbl>
    <w:p w14:paraId="0A9ED4E4" w14:textId="77777777" w:rsidR="005A700E" w:rsidRDefault="005A700E" w:rsidP="00AA7E2D">
      <w:pPr>
        <w:pStyle w:val="OutlineNumbered1"/>
        <w:numPr>
          <w:ilvl w:val="0"/>
          <w:numId w:val="0"/>
        </w:numPr>
        <w:spacing w:before="240"/>
        <w:rPr>
          <w:b/>
        </w:rPr>
      </w:pPr>
    </w:p>
    <w:p w14:paraId="333AB3CE" w14:textId="77777777" w:rsidR="005A700E" w:rsidRDefault="005A700E">
      <w:pPr>
        <w:spacing w:before="0" w:after="160" w:line="259" w:lineRule="auto"/>
        <w:rPr>
          <w:b/>
        </w:rPr>
      </w:pPr>
      <w:r>
        <w:rPr>
          <w:b/>
        </w:rPr>
        <w:br w:type="page"/>
      </w:r>
    </w:p>
    <w:p w14:paraId="26295604" w14:textId="0A59D485" w:rsidR="00F45393" w:rsidRDefault="000C13D7" w:rsidP="008D7E69">
      <w:pPr>
        <w:pStyle w:val="TableMainHeading"/>
      </w:pPr>
      <w:r>
        <w:lastRenderedPageBreak/>
        <w:t>Changes to civil penalty</w:t>
      </w:r>
      <w:r w:rsidR="00F45393" w:rsidRPr="004C63AD">
        <w:t xml:space="preserve"> in relation to residential investments</w:t>
      </w:r>
    </w:p>
    <w:tbl>
      <w:tblPr>
        <w:tblStyle w:val="TableGrid"/>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47"/>
        <w:gridCol w:w="3260"/>
        <w:gridCol w:w="3253"/>
      </w:tblGrid>
      <w:tr w:rsidR="00D71394" w14:paraId="77977DF4" w14:textId="77777777" w:rsidTr="003B1EAE">
        <w:tc>
          <w:tcPr>
            <w:tcW w:w="1406" w:type="pct"/>
            <w:vMerge w:val="restart"/>
          </w:tcPr>
          <w:p w14:paraId="474E0BA8" w14:textId="1DE77D96" w:rsidR="00D71394" w:rsidRDefault="00D71394" w:rsidP="00BD1503">
            <w:pPr>
              <w:pStyle w:val="TableColumnHeadingLeft"/>
            </w:pPr>
            <w:r>
              <w:t>Action</w:t>
            </w:r>
          </w:p>
        </w:tc>
        <w:tc>
          <w:tcPr>
            <w:tcW w:w="3594" w:type="pct"/>
            <w:gridSpan w:val="2"/>
          </w:tcPr>
          <w:p w14:paraId="6E561604" w14:textId="5793AEF6" w:rsidR="00D71394" w:rsidRPr="00940900" w:rsidRDefault="00D71394" w:rsidP="008D7E69">
            <w:pPr>
              <w:pStyle w:val="TableColumnHeadingCentred"/>
            </w:pPr>
            <w:r w:rsidRPr="008D7E69">
              <w:t>Maximum</w:t>
            </w:r>
            <w:r w:rsidRPr="00940900">
              <w:t xml:space="preserve"> civil penalty</w:t>
            </w:r>
          </w:p>
        </w:tc>
      </w:tr>
      <w:tr w:rsidR="00D71394" w14:paraId="5C1864CF" w14:textId="77777777" w:rsidTr="00536289">
        <w:tc>
          <w:tcPr>
            <w:tcW w:w="1406" w:type="pct"/>
            <w:vMerge/>
          </w:tcPr>
          <w:p w14:paraId="196A479A" w14:textId="77777777" w:rsidR="00D71394" w:rsidRDefault="00D71394" w:rsidP="00BD1503">
            <w:pPr>
              <w:pStyle w:val="TableColumnHeadingLeft"/>
            </w:pPr>
          </w:p>
        </w:tc>
        <w:tc>
          <w:tcPr>
            <w:tcW w:w="1799" w:type="pct"/>
          </w:tcPr>
          <w:p w14:paraId="1D49AFCC" w14:textId="256E766F" w:rsidR="00D71394" w:rsidRDefault="00D71394" w:rsidP="00BD1503">
            <w:pPr>
              <w:pStyle w:val="TableColumnHeadingCentred"/>
            </w:pPr>
            <w:r>
              <w:t>Current</w:t>
            </w:r>
          </w:p>
        </w:tc>
        <w:tc>
          <w:tcPr>
            <w:tcW w:w="1795" w:type="pct"/>
          </w:tcPr>
          <w:p w14:paraId="2EE9D836" w14:textId="2C0AE766" w:rsidR="00D71394" w:rsidRDefault="00D71394" w:rsidP="00BD1503">
            <w:pPr>
              <w:pStyle w:val="TableColumnHeadingCentred"/>
            </w:pPr>
            <w:r>
              <w:t>Proposed</w:t>
            </w:r>
          </w:p>
        </w:tc>
      </w:tr>
      <w:tr w:rsidR="00D71394" w14:paraId="56E1912E" w14:textId="77777777" w:rsidTr="00536289">
        <w:tc>
          <w:tcPr>
            <w:tcW w:w="1406" w:type="pct"/>
          </w:tcPr>
          <w:p w14:paraId="34371332" w14:textId="2DD4CA39" w:rsidR="00D71394" w:rsidRDefault="00D71394" w:rsidP="00BD1503">
            <w:pPr>
              <w:pStyle w:val="TableColumnHeadingLeft"/>
            </w:pPr>
            <w:r>
              <w:t>Foreign person acquires new property without approval</w:t>
            </w:r>
            <w:r w:rsidR="00001659">
              <w:t xml:space="preserve"> </w:t>
            </w:r>
          </w:p>
          <w:p w14:paraId="2DECA6A2" w14:textId="77777777" w:rsidR="00001659" w:rsidRDefault="00D71394" w:rsidP="00BD1503">
            <w:pPr>
              <w:pStyle w:val="TableColumnHeadingLeft"/>
            </w:pPr>
            <w:r>
              <w:t>Temporary resident acquires established property without approval</w:t>
            </w:r>
          </w:p>
          <w:p w14:paraId="09C7E611" w14:textId="6E1334AD" w:rsidR="00D71394" w:rsidRDefault="00001659" w:rsidP="00BD1503">
            <w:pPr>
              <w:pStyle w:val="TableColumnHeadingLeft"/>
            </w:pPr>
            <w:r>
              <w:t>See section 94 of the FATA</w:t>
            </w:r>
          </w:p>
        </w:tc>
        <w:tc>
          <w:tcPr>
            <w:tcW w:w="1799" w:type="pct"/>
          </w:tcPr>
          <w:p w14:paraId="61188A9C" w14:textId="77777777" w:rsidR="00D47394" w:rsidRDefault="00D47394" w:rsidP="00BD1503">
            <w:pPr>
              <w:pStyle w:val="TableTextLeft"/>
            </w:pPr>
            <w:r>
              <w:t xml:space="preserve">The greater of: </w:t>
            </w:r>
          </w:p>
          <w:p w14:paraId="071C12DE" w14:textId="77777777" w:rsidR="00D47394" w:rsidRPr="00BD1503" w:rsidRDefault="00D47394" w:rsidP="00BD1503">
            <w:pPr>
              <w:pStyle w:val="OutlineNumbered1"/>
              <w:numPr>
                <w:ilvl w:val="0"/>
                <w:numId w:val="34"/>
              </w:numPr>
              <w:spacing w:before="120"/>
              <w:ind w:left="357" w:hanging="357"/>
              <w:jc w:val="left"/>
              <w:rPr>
                <w:sz w:val="18"/>
              </w:rPr>
            </w:pPr>
            <w:r>
              <w:t xml:space="preserve">10 </w:t>
            </w:r>
            <w:r w:rsidRPr="00BD1503">
              <w:rPr>
                <w:sz w:val="18"/>
              </w:rPr>
              <w:t>per cent of the consideration for the residential land acquisition; or</w:t>
            </w:r>
          </w:p>
          <w:p w14:paraId="54D1C75B" w14:textId="57B103C4" w:rsidR="00D71394" w:rsidRPr="00877327" w:rsidRDefault="00D47394" w:rsidP="00BD1503">
            <w:pPr>
              <w:pStyle w:val="OutlineNumbered1"/>
              <w:numPr>
                <w:ilvl w:val="0"/>
                <w:numId w:val="34"/>
              </w:numPr>
              <w:spacing w:before="120"/>
              <w:ind w:left="357" w:hanging="357"/>
              <w:jc w:val="left"/>
            </w:pPr>
            <w:r w:rsidRPr="00BD1503">
              <w:rPr>
                <w:sz w:val="18"/>
              </w:rPr>
              <w:t>10 per cent of the market value of the interest in the property</w:t>
            </w:r>
          </w:p>
        </w:tc>
        <w:tc>
          <w:tcPr>
            <w:tcW w:w="1795" w:type="pct"/>
          </w:tcPr>
          <w:p w14:paraId="3FDD49A3" w14:textId="77777777" w:rsidR="00D47394" w:rsidRDefault="00D47394" w:rsidP="00BD1503">
            <w:pPr>
              <w:pStyle w:val="TableTextLeft"/>
            </w:pPr>
            <w:r>
              <w:t xml:space="preserve">The greater of: </w:t>
            </w:r>
          </w:p>
          <w:p w14:paraId="58F57151" w14:textId="25239E6A" w:rsidR="00D47394" w:rsidRPr="00BD1503" w:rsidRDefault="00D47394" w:rsidP="00BD1503">
            <w:pPr>
              <w:pStyle w:val="OutlineNumbered1"/>
              <w:numPr>
                <w:ilvl w:val="0"/>
                <w:numId w:val="34"/>
              </w:numPr>
              <w:spacing w:before="120"/>
              <w:ind w:left="357" w:hanging="357"/>
              <w:jc w:val="left"/>
              <w:rPr>
                <w:sz w:val="18"/>
              </w:rPr>
            </w:pPr>
            <w:r w:rsidRPr="00BD1503">
              <w:rPr>
                <w:sz w:val="18"/>
              </w:rPr>
              <w:t>25 per cent of the consideration for the residential land acquisition; or</w:t>
            </w:r>
          </w:p>
          <w:p w14:paraId="0ED9DC35" w14:textId="1A082D4A" w:rsidR="00D71394" w:rsidRPr="00877327" w:rsidRDefault="00D47394" w:rsidP="00BD1503">
            <w:pPr>
              <w:pStyle w:val="OutlineNumbered1"/>
              <w:numPr>
                <w:ilvl w:val="0"/>
                <w:numId w:val="34"/>
              </w:numPr>
              <w:spacing w:before="120"/>
              <w:ind w:left="357" w:hanging="357"/>
              <w:jc w:val="left"/>
            </w:pPr>
            <w:r w:rsidRPr="00BD1503">
              <w:rPr>
                <w:sz w:val="18"/>
              </w:rPr>
              <w:t>25 per cent of the market value of the interest in the property.</w:t>
            </w:r>
          </w:p>
        </w:tc>
      </w:tr>
    </w:tbl>
    <w:p w14:paraId="2CCA2DB8" w14:textId="2CAACD32" w:rsidR="00706582" w:rsidRDefault="00706582" w:rsidP="00946485">
      <w:pPr>
        <w:pStyle w:val="Heading2"/>
        <w:rPr>
          <w:rFonts w:eastAsia="Arial"/>
        </w:rPr>
      </w:pPr>
      <w:bookmarkStart w:id="135" w:name="_Toc34142423"/>
      <w:bookmarkStart w:id="136" w:name="_Toc34147747"/>
      <w:bookmarkStart w:id="137" w:name="_Toc34148750"/>
      <w:bookmarkStart w:id="138" w:name="_Toc34384780"/>
      <w:bookmarkStart w:id="139" w:name="_Toc34385211"/>
      <w:bookmarkStart w:id="140" w:name="_Toc34823606"/>
      <w:bookmarkStart w:id="141" w:name="_Toc34840553"/>
      <w:bookmarkStart w:id="142" w:name="_Toc35254830"/>
      <w:bookmarkStart w:id="143" w:name="_Toc35257726"/>
      <w:bookmarkStart w:id="144" w:name="_Toc41999443"/>
      <w:bookmarkStart w:id="145" w:name="_Toc42154161"/>
      <w:bookmarkStart w:id="146" w:name="_Toc33625468"/>
      <w:r>
        <w:rPr>
          <w:rFonts w:eastAsia="Arial"/>
        </w:rPr>
        <w:t>Expand the infringement notices regime</w:t>
      </w:r>
      <w:bookmarkEnd w:id="118"/>
      <w:bookmarkEnd w:id="135"/>
      <w:bookmarkEnd w:id="136"/>
      <w:bookmarkEnd w:id="137"/>
      <w:bookmarkEnd w:id="138"/>
      <w:bookmarkEnd w:id="139"/>
      <w:bookmarkEnd w:id="140"/>
      <w:bookmarkEnd w:id="141"/>
      <w:bookmarkEnd w:id="142"/>
      <w:bookmarkEnd w:id="143"/>
      <w:bookmarkEnd w:id="144"/>
      <w:bookmarkEnd w:id="145"/>
    </w:p>
    <w:p w14:paraId="773CCC41" w14:textId="77777777" w:rsidR="00C06557" w:rsidRPr="00C06557" w:rsidRDefault="00C06557" w:rsidP="00C06557">
      <w:pPr>
        <w:pStyle w:val="SingleParagraph"/>
        <w:rPr>
          <w:rFonts w:eastAsia="Arial"/>
        </w:rPr>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C06557" w14:paraId="03B04879" w14:textId="77777777" w:rsidTr="001F018F">
        <w:tc>
          <w:tcPr>
            <w:tcW w:w="5000" w:type="pct"/>
            <w:shd w:val="clear" w:color="auto" w:fill="EBEBEB"/>
          </w:tcPr>
          <w:p w14:paraId="7274BE2A" w14:textId="42DA8E6D" w:rsidR="00C06557" w:rsidRPr="00E77132" w:rsidRDefault="00E7453B" w:rsidP="00E77132">
            <w:pPr>
              <w:pStyle w:val="OneLevelNumberedParagraph"/>
              <w:rPr>
                <w:sz w:val="22"/>
              </w:rPr>
            </w:pPr>
            <w:r w:rsidRPr="00E77132">
              <w:rPr>
                <w:sz w:val="22"/>
              </w:rPr>
              <w:t>The Government will expand the infringement notices regime to cover all types of foreign investments and introduce a third tier to allow for a more graduated and proportional approach to enforcement.</w:t>
            </w:r>
          </w:p>
        </w:tc>
      </w:tr>
      <w:bookmarkEnd w:id="146"/>
    </w:tbl>
    <w:p w14:paraId="4D7E423A" w14:textId="77777777" w:rsidR="00E8250E" w:rsidRDefault="00E8250E" w:rsidP="00E8250E">
      <w:pPr>
        <w:pStyle w:val="SingleParagraph"/>
      </w:pPr>
    </w:p>
    <w:p w14:paraId="10B55413" w14:textId="6EFE7137" w:rsidR="00694FB8" w:rsidRDefault="00694FB8" w:rsidP="001F018F">
      <w:r>
        <w:t>Currently, the FATA allows for less serious breaches of the foreign investment rules to be punishable by way of an infringement notice, but only in relation to residential real estate investments (see section 100</w:t>
      </w:r>
      <w:r w:rsidDel="00B777F8">
        <w:t>)</w:t>
      </w:r>
      <w:r>
        <w:t xml:space="preserve">. </w:t>
      </w:r>
      <w:r w:rsidR="00563791">
        <w:t>The lower level Tier 1 penalty applies if the person self</w:t>
      </w:r>
      <w:r w:rsidR="00AF5EDD">
        <w:noBreakHyphen/>
      </w:r>
      <w:r w:rsidR="00563791">
        <w:t xml:space="preserve">discloses the conduct which gives rise to the penalty, while the higher Tier 2 penalty applies in all other cases. </w:t>
      </w:r>
      <w:r>
        <w:t>The only existing mechanism</w:t>
      </w:r>
      <w:r w:rsidR="003A00DD">
        <w:t>s</w:t>
      </w:r>
      <w:r>
        <w:t xml:space="preserve"> for penalising breaches of the FATA for all other sectors is to initiate court proceedings to impose civil or criminal penalties </w:t>
      </w:r>
      <w:r w:rsidR="0024724E">
        <w:t>(</w:t>
      </w:r>
      <w:r>
        <w:t>a disposal order</w:t>
      </w:r>
      <w:r w:rsidR="0024724E">
        <w:t xml:space="preserve"> can be issued once a civil or criminal penalty is</w:t>
      </w:r>
      <w:r w:rsidR="00442F92">
        <w:t> </w:t>
      </w:r>
      <w:r w:rsidR="0024724E">
        <w:t>secured)</w:t>
      </w:r>
      <w:r>
        <w:t>.</w:t>
      </w:r>
    </w:p>
    <w:p w14:paraId="17671660" w14:textId="69F510A7" w:rsidR="00694FB8" w:rsidRPr="00515D76" w:rsidRDefault="00694FB8" w:rsidP="001F018F">
      <w:r w:rsidRPr="00515D76">
        <w:t xml:space="preserve">The Government will expand the infringement notices regime to cover all </w:t>
      </w:r>
      <w:r>
        <w:t>types of breaches relating to foreign</w:t>
      </w:r>
      <w:r w:rsidRPr="00515D76">
        <w:t xml:space="preserve"> </w:t>
      </w:r>
      <w:r>
        <w:t>investment</w:t>
      </w:r>
      <w:r w:rsidRPr="00515D76">
        <w:t>s</w:t>
      </w:r>
      <w:r>
        <w:t xml:space="preserve"> and enable proportionate, and graduated, action in response to investor non</w:t>
      </w:r>
      <w:r w:rsidR="00AF5EDD">
        <w:noBreakHyphen/>
      </w:r>
      <w:r>
        <w:t xml:space="preserve">compliance. </w:t>
      </w:r>
      <w:r w:rsidR="00BC6E25" w:rsidRPr="00515D76">
        <w:t xml:space="preserve">A third tier </w:t>
      </w:r>
      <w:r>
        <w:t>will also be introduced for non</w:t>
      </w:r>
      <w:r w:rsidR="00AF5EDD">
        <w:noBreakHyphen/>
      </w:r>
      <w:r>
        <w:t>compliance in relation to high</w:t>
      </w:r>
      <w:r w:rsidR="00AF5EDD">
        <w:noBreakHyphen/>
      </w:r>
      <w:r>
        <w:t>value acquisitions</w:t>
      </w:r>
      <w:r w:rsidR="008D7E69">
        <w:t xml:space="preserve"> (for example,</w:t>
      </w:r>
      <w:r w:rsidR="006F3633">
        <w:t xml:space="preserve"> </w:t>
      </w:r>
      <w:r w:rsidR="002451C9">
        <w:t>above $5 million)</w:t>
      </w:r>
      <w:r>
        <w:t xml:space="preserve">. </w:t>
      </w:r>
      <w:r w:rsidRPr="00515D76">
        <w:t>This would enable</w:t>
      </w:r>
      <w:r w:rsidR="00DC1DC6">
        <w:t xml:space="preserve"> the</w:t>
      </w:r>
      <w:r w:rsidRPr="00515D76">
        <w:t xml:space="preserve"> ATO and Treasury to respond to a range of compliance issues, and ensure more credible deterrence for low to mid</w:t>
      </w:r>
      <w:r w:rsidR="00AF5EDD">
        <w:noBreakHyphen/>
      </w:r>
      <w:r w:rsidRPr="00515D76">
        <w:t>range non</w:t>
      </w:r>
      <w:r w:rsidR="00AF5EDD">
        <w:noBreakHyphen/>
      </w:r>
      <w:r w:rsidRPr="00515D76">
        <w:t xml:space="preserve">compliance. This means infringement notices will attach to civil penalty provisions that relate to business </w:t>
      </w:r>
      <w:r>
        <w:t>investment</w:t>
      </w:r>
      <w:r w:rsidR="008D7E69">
        <w:t>s (for example,</w:t>
      </w:r>
      <w:r w:rsidRPr="00515D76">
        <w:t xml:space="preserve"> contravening a condition imposed to ensure that the action taken would not be contrary to the national interest). </w:t>
      </w:r>
    </w:p>
    <w:p w14:paraId="0078C7C6" w14:textId="4A3F641E" w:rsidR="00BA649B" w:rsidRDefault="00BA649B" w:rsidP="001F018F">
      <w:r w:rsidRPr="00D87D09">
        <w:rPr>
          <w:b/>
        </w:rPr>
        <w:t>Current</w:t>
      </w:r>
      <w:r w:rsidR="000D1474">
        <w:rPr>
          <w:b/>
        </w:rPr>
        <w:t xml:space="preserve"> — </w:t>
      </w:r>
      <w:r>
        <w:t>Two tiers infringement notices regime and apply to breaches in residential real estate only.</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06"/>
        <w:gridCol w:w="1814"/>
        <w:gridCol w:w="1812"/>
        <w:gridCol w:w="1815"/>
        <w:gridCol w:w="1813"/>
      </w:tblGrid>
      <w:tr w:rsidR="00BA649B" w:rsidRPr="00D87D09" w14:paraId="3E84FA03" w14:textId="77777777" w:rsidTr="00BA649B">
        <w:tc>
          <w:tcPr>
            <w:tcW w:w="1806" w:type="dxa"/>
            <w:vMerge w:val="restart"/>
          </w:tcPr>
          <w:p w14:paraId="3494AFA7" w14:textId="77777777" w:rsidR="00BA649B" w:rsidRPr="00D87D09" w:rsidRDefault="00BA649B" w:rsidP="00BD1503">
            <w:pPr>
              <w:pStyle w:val="TableColumnHeadingCentred"/>
            </w:pPr>
            <w:r w:rsidRPr="00D87D09">
              <w:t>Tiers</w:t>
            </w:r>
          </w:p>
        </w:tc>
        <w:tc>
          <w:tcPr>
            <w:tcW w:w="3626" w:type="dxa"/>
            <w:gridSpan w:val="2"/>
          </w:tcPr>
          <w:p w14:paraId="47236067" w14:textId="77777777" w:rsidR="00BA649B" w:rsidRPr="00D87D09" w:rsidRDefault="00BA649B" w:rsidP="00BD1503">
            <w:pPr>
              <w:pStyle w:val="TableColumnHeadingCentred"/>
            </w:pPr>
            <w:r w:rsidRPr="00D87D09">
              <w:t>Individual</w:t>
            </w:r>
          </w:p>
        </w:tc>
        <w:tc>
          <w:tcPr>
            <w:tcW w:w="3628" w:type="dxa"/>
            <w:gridSpan w:val="2"/>
          </w:tcPr>
          <w:p w14:paraId="33362061" w14:textId="77777777" w:rsidR="00BA649B" w:rsidRPr="00D87D09" w:rsidRDefault="00BA649B" w:rsidP="00BD1503">
            <w:pPr>
              <w:pStyle w:val="TableColumnHeadingCentred"/>
            </w:pPr>
            <w:r w:rsidRPr="00D87D09">
              <w:t>Corporation</w:t>
            </w:r>
          </w:p>
        </w:tc>
      </w:tr>
      <w:tr w:rsidR="00BA649B" w14:paraId="35E5C283" w14:textId="77777777" w:rsidTr="00BA649B">
        <w:tc>
          <w:tcPr>
            <w:tcW w:w="1806" w:type="dxa"/>
            <w:vMerge/>
          </w:tcPr>
          <w:p w14:paraId="0E781797" w14:textId="77777777" w:rsidR="00BA649B" w:rsidRDefault="00BA649B">
            <w:pPr>
              <w:spacing w:before="60" w:after="60"/>
              <w:jc w:val="center"/>
            </w:pPr>
          </w:p>
        </w:tc>
        <w:tc>
          <w:tcPr>
            <w:tcW w:w="1814" w:type="dxa"/>
          </w:tcPr>
          <w:p w14:paraId="302DAECF" w14:textId="314B92CB" w:rsidR="00BA649B" w:rsidRDefault="001B08D8">
            <w:pPr>
              <w:spacing w:before="60" w:after="60"/>
              <w:jc w:val="center"/>
            </w:pPr>
            <w:r w:rsidRPr="001B08D8">
              <w:t>Penalty units</w:t>
            </w:r>
          </w:p>
        </w:tc>
        <w:tc>
          <w:tcPr>
            <w:tcW w:w="1812" w:type="dxa"/>
          </w:tcPr>
          <w:p w14:paraId="63980274" w14:textId="77BFDB08" w:rsidR="00BA649B" w:rsidRDefault="001B08D8">
            <w:pPr>
              <w:spacing w:before="60" w:after="60"/>
              <w:jc w:val="center"/>
            </w:pPr>
            <w:r>
              <w:t>$</w:t>
            </w:r>
          </w:p>
        </w:tc>
        <w:tc>
          <w:tcPr>
            <w:tcW w:w="1815" w:type="dxa"/>
          </w:tcPr>
          <w:p w14:paraId="59A31260" w14:textId="20084D3D" w:rsidR="00BA649B" w:rsidRDefault="001B08D8">
            <w:pPr>
              <w:spacing w:before="60" w:after="60"/>
              <w:jc w:val="center"/>
            </w:pPr>
            <w:r w:rsidRPr="001B08D8">
              <w:t>Penalty units</w:t>
            </w:r>
          </w:p>
        </w:tc>
        <w:tc>
          <w:tcPr>
            <w:tcW w:w="1813" w:type="dxa"/>
          </w:tcPr>
          <w:p w14:paraId="6004DED7" w14:textId="23CC784D" w:rsidR="00BA649B" w:rsidRDefault="001B08D8">
            <w:pPr>
              <w:spacing w:before="60" w:after="60"/>
              <w:jc w:val="center"/>
            </w:pPr>
            <w:r>
              <w:t>$</w:t>
            </w:r>
          </w:p>
        </w:tc>
      </w:tr>
      <w:tr w:rsidR="00BA649B" w14:paraId="3624DE8C" w14:textId="77777777" w:rsidTr="00BA649B">
        <w:tc>
          <w:tcPr>
            <w:tcW w:w="1806" w:type="dxa"/>
          </w:tcPr>
          <w:p w14:paraId="4A63DE5A" w14:textId="77777777" w:rsidR="00BA649B" w:rsidRDefault="00BA649B">
            <w:pPr>
              <w:spacing w:before="60" w:after="60"/>
              <w:jc w:val="center"/>
            </w:pPr>
            <w:r>
              <w:t>1</w:t>
            </w:r>
          </w:p>
        </w:tc>
        <w:tc>
          <w:tcPr>
            <w:tcW w:w="1814" w:type="dxa"/>
          </w:tcPr>
          <w:p w14:paraId="7455F676" w14:textId="2A077D4E" w:rsidR="00BA649B" w:rsidRDefault="001B08D8">
            <w:pPr>
              <w:spacing w:before="60" w:after="60"/>
              <w:jc w:val="center"/>
            </w:pPr>
            <w:r w:rsidRPr="001B08D8">
              <w:t>12</w:t>
            </w:r>
          </w:p>
        </w:tc>
        <w:tc>
          <w:tcPr>
            <w:tcW w:w="1812" w:type="dxa"/>
          </w:tcPr>
          <w:p w14:paraId="20DD0FEB" w14:textId="5AD382CB" w:rsidR="00BA649B" w:rsidRDefault="001B08D8">
            <w:pPr>
              <w:spacing w:before="60" w:after="60"/>
              <w:jc w:val="center"/>
            </w:pPr>
            <w:r w:rsidRPr="001B08D8">
              <w:t>2,520</w:t>
            </w:r>
          </w:p>
        </w:tc>
        <w:tc>
          <w:tcPr>
            <w:tcW w:w="1815" w:type="dxa"/>
          </w:tcPr>
          <w:p w14:paraId="5BB8785F" w14:textId="396DB0B1" w:rsidR="00BA649B" w:rsidRDefault="001B08D8">
            <w:pPr>
              <w:spacing w:before="60" w:after="60"/>
              <w:jc w:val="center"/>
            </w:pPr>
            <w:r w:rsidRPr="001B08D8">
              <w:t>60</w:t>
            </w:r>
          </w:p>
        </w:tc>
        <w:tc>
          <w:tcPr>
            <w:tcW w:w="1813" w:type="dxa"/>
          </w:tcPr>
          <w:p w14:paraId="4EEEB1B9" w14:textId="4C103AD8" w:rsidR="00BA649B" w:rsidRDefault="001B08D8">
            <w:pPr>
              <w:spacing w:before="60" w:after="60"/>
              <w:jc w:val="center"/>
            </w:pPr>
            <w:r w:rsidRPr="001B08D8">
              <w:t>12,600</w:t>
            </w:r>
          </w:p>
        </w:tc>
      </w:tr>
      <w:tr w:rsidR="00BA649B" w14:paraId="4413A654" w14:textId="77777777" w:rsidTr="00BA649B">
        <w:tc>
          <w:tcPr>
            <w:tcW w:w="1806" w:type="dxa"/>
          </w:tcPr>
          <w:p w14:paraId="3F7A809E" w14:textId="77777777" w:rsidR="00BA649B" w:rsidRDefault="00BA649B">
            <w:pPr>
              <w:spacing w:before="60" w:after="60"/>
              <w:jc w:val="center"/>
            </w:pPr>
            <w:r>
              <w:t>2</w:t>
            </w:r>
          </w:p>
        </w:tc>
        <w:tc>
          <w:tcPr>
            <w:tcW w:w="1814" w:type="dxa"/>
          </w:tcPr>
          <w:p w14:paraId="59A50C7B" w14:textId="608DC30A" w:rsidR="00BA649B" w:rsidRDefault="001B08D8">
            <w:pPr>
              <w:spacing w:before="60" w:after="60"/>
              <w:jc w:val="center"/>
            </w:pPr>
            <w:r w:rsidRPr="001B08D8">
              <w:t>60</w:t>
            </w:r>
          </w:p>
        </w:tc>
        <w:tc>
          <w:tcPr>
            <w:tcW w:w="1812" w:type="dxa"/>
          </w:tcPr>
          <w:p w14:paraId="2BDCB7C8" w14:textId="43C27954" w:rsidR="00BA649B" w:rsidRDefault="001B08D8">
            <w:pPr>
              <w:spacing w:before="60" w:after="60"/>
              <w:jc w:val="center"/>
            </w:pPr>
            <w:r w:rsidRPr="001B08D8">
              <w:t>12,600</w:t>
            </w:r>
          </w:p>
        </w:tc>
        <w:tc>
          <w:tcPr>
            <w:tcW w:w="1815" w:type="dxa"/>
          </w:tcPr>
          <w:p w14:paraId="4D83391D" w14:textId="3ABAE0C0" w:rsidR="00BA649B" w:rsidRDefault="001B08D8">
            <w:pPr>
              <w:spacing w:before="60" w:after="60"/>
              <w:jc w:val="center"/>
            </w:pPr>
            <w:r w:rsidRPr="001B08D8">
              <w:t>300</w:t>
            </w:r>
          </w:p>
        </w:tc>
        <w:tc>
          <w:tcPr>
            <w:tcW w:w="1813" w:type="dxa"/>
          </w:tcPr>
          <w:p w14:paraId="3E32F5FC" w14:textId="70DA2B3A" w:rsidR="00BA649B" w:rsidRDefault="001B08D8">
            <w:pPr>
              <w:spacing w:before="60" w:after="60"/>
              <w:jc w:val="center"/>
            </w:pPr>
            <w:r w:rsidRPr="001B08D8">
              <w:t>63,000</w:t>
            </w:r>
          </w:p>
        </w:tc>
      </w:tr>
    </w:tbl>
    <w:p w14:paraId="1C8D943F" w14:textId="77777777" w:rsidR="005A700E" w:rsidRDefault="005A700E">
      <w:pPr>
        <w:spacing w:before="240"/>
        <w:rPr>
          <w:b/>
        </w:rPr>
      </w:pPr>
      <w:bookmarkStart w:id="147" w:name="_GoBack"/>
      <w:bookmarkEnd w:id="147"/>
    </w:p>
    <w:p w14:paraId="1A43F9F1" w14:textId="77777777" w:rsidR="005A700E" w:rsidRDefault="005A700E">
      <w:pPr>
        <w:spacing w:before="0" w:after="160" w:line="259" w:lineRule="auto"/>
        <w:rPr>
          <w:b/>
        </w:rPr>
      </w:pPr>
      <w:r>
        <w:rPr>
          <w:b/>
        </w:rPr>
        <w:br w:type="page"/>
      </w:r>
    </w:p>
    <w:p w14:paraId="40E0BFEE" w14:textId="377EA793" w:rsidR="00BA649B" w:rsidRDefault="005A700E" w:rsidP="001F018F">
      <w:r>
        <w:rPr>
          <w:b/>
        </w:rPr>
        <w:lastRenderedPageBreak/>
        <w:t>Reforms</w:t>
      </w:r>
      <w:r w:rsidR="000D1474">
        <w:rPr>
          <w:b/>
        </w:rPr>
        <w:t xml:space="preserve"> — </w:t>
      </w:r>
      <w:r w:rsidR="00BA649B">
        <w:t>Three tiers infringement notices regime and apply to breaches with respect to all types of breaches, not just in residential real estate.</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06"/>
        <w:gridCol w:w="1813"/>
        <w:gridCol w:w="1811"/>
        <w:gridCol w:w="1814"/>
        <w:gridCol w:w="1816"/>
      </w:tblGrid>
      <w:tr w:rsidR="00BA649B" w:rsidRPr="00D87D09" w14:paraId="1077FEBE" w14:textId="77777777" w:rsidTr="00BA649B">
        <w:tc>
          <w:tcPr>
            <w:tcW w:w="1806" w:type="dxa"/>
            <w:vMerge w:val="restart"/>
          </w:tcPr>
          <w:p w14:paraId="092FD805" w14:textId="77777777" w:rsidR="00BA649B" w:rsidRPr="00D87D09" w:rsidRDefault="00BA649B" w:rsidP="008D7E69">
            <w:pPr>
              <w:pStyle w:val="TableColumnHeadingCentred"/>
            </w:pPr>
            <w:r w:rsidRPr="00D87D09">
              <w:t>Tiers</w:t>
            </w:r>
          </w:p>
        </w:tc>
        <w:tc>
          <w:tcPr>
            <w:tcW w:w="3624" w:type="dxa"/>
            <w:gridSpan w:val="2"/>
          </w:tcPr>
          <w:p w14:paraId="0B7EE108" w14:textId="77777777" w:rsidR="00BA649B" w:rsidRPr="00D87D09" w:rsidRDefault="00BA649B" w:rsidP="008D7E69">
            <w:pPr>
              <w:pStyle w:val="TableColumnHeadingCentred"/>
            </w:pPr>
            <w:r w:rsidRPr="00D87D09">
              <w:t>Individual</w:t>
            </w:r>
          </w:p>
        </w:tc>
        <w:tc>
          <w:tcPr>
            <w:tcW w:w="3630" w:type="dxa"/>
            <w:gridSpan w:val="2"/>
          </w:tcPr>
          <w:p w14:paraId="1D8B9FA3" w14:textId="77777777" w:rsidR="00BA649B" w:rsidRPr="00D87D09" w:rsidRDefault="00BA649B" w:rsidP="008D7E69">
            <w:pPr>
              <w:pStyle w:val="TableColumnHeadingCentred"/>
            </w:pPr>
            <w:r w:rsidRPr="00D87D09">
              <w:t>Corporation</w:t>
            </w:r>
          </w:p>
        </w:tc>
      </w:tr>
      <w:tr w:rsidR="00BA649B" w14:paraId="17C00C4B" w14:textId="77777777" w:rsidTr="00BA649B">
        <w:tc>
          <w:tcPr>
            <w:tcW w:w="1806" w:type="dxa"/>
            <w:vMerge/>
          </w:tcPr>
          <w:p w14:paraId="66748049" w14:textId="77777777" w:rsidR="00BA649B" w:rsidRDefault="00BA649B">
            <w:pPr>
              <w:spacing w:before="60" w:after="60"/>
              <w:jc w:val="center"/>
            </w:pPr>
          </w:p>
        </w:tc>
        <w:tc>
          <w:tcPr>
            <w:tcW w:w="1813" w:type="dxa"/>
          </w:tcPr>
          <w:p w14:paraId="1E6A5261" w14:textId="77777777" w:rsidR="00BA649B" w:rsidRDefault="00BA649B" w:rsidP="008D7E69">
            <w:pPr>
              <w:pStyle w:val="TableColumnHeadingCentred"/>
            </w:pPr>
            <w:r>
              <w:t>Penalty units</w:t>
            </w:r>
          </w:p>
        </w:tc>
        <w:tc>
          <w:tcPr>
            <w:tcW w:w="1811" w:type="dxa"/>
          </w:tcPr>
          <w:p w14:paraId="6FE70F41" w14:textId="77777777" w:rsidR="00BA649B" w:rsidRDefault="00BA649B" w:rsidP="008D7E69">
            <w:pPr>
              <w:pStyle w:val="TableColumnHeadingCentred"/>
            </w:pPr>
            <w:r>
              <w:t>$</w:t>
            </w:r>
          </w:p>
        </w:tc>
        <w:tc>
          <w:tcPr>
            <w:tcW w:w="1814" w:type="dxa"/>
          </w:tcPr>
          <w:p w14:paraId="0E411D6A" w14:textId="77777777" w:rsidR="00BA649B" w:rsidRDefault="00BA649B" w:rsidP="008D7E69">
            <w:pPr>
              <w:pStyle w:val="TableColumnHeadingCentred"/>
            </w:pPr>
            <w:r>
              <w:t>Penalty units</w:t>
            </w:r>
          </w:p>
        </w:tc>
        <w:tc>
          <w:tcPr>
            <w:tcW w:w="1816" w:type="dxa"/>
          </w:tcPr>
          <w:p w14:paraId="73121517" w14:textId="77777777" w:rsidR="00BA649B" w:rsidRDefault="00BA649B" w:rsidP="008D7E69">
            <w:pPr>
              <w:pStyle w:val="TableColumnHeadingCentred"/>
            </w:pPr>
            <w:r>
              <w:t>$</w:t>
            </w:r>
          </w:p>
        </w:tc>
      </w:tr>
      <w:tr w:rsidR="00BA649B" w14:paraId="18B3D81E" w14:textId="77777777" w:rsidTr="00BA649B">
        <w:tc>
          <w:tcPr>
            <w:tcW w:w="1806" w:type="dxa"/>
          </w:tcPr>
          <w:p w14:paraId="3DA45351" w14:textId="77777777" w:rsidR="00BA649B" w:rsidRDefault="00BA649B">
            <w:pPr>
              <w:spacing w:before="60" w:after="60"/>
              <w:jc w:val="center"/>
            </w:pPr>
            <w:r>
              <w:t>1</w:t>
            </w:r>
          </w:p>
        </w:tc>
        <w:tc>
          <w:tcPr>
            <w:tcW w:w="1813" w:type="dxa"/>
          </w:tcPr>
          <w:p w14:paraId="641D1B7F" w14:textId="77777777" w:rsidR="00BA649B" w:rsidRDefault="00BA649B">
            <w:pPr>
              <w:spacing w:before="60" w:after="60"/>
              <w:jc w:val="center"/>
            </w:pPr>
            <w:r>
              <w:t>12</w:t>
            </w:r>
          </w:p>
        </w:tc>
        <w:tc>
          <w:tcPr>
            <w:tcW w:w="1811" w:type="dxa"/>
          </w:tcPr>
          <w:p w14:paraId="4BB4C581" w14:textId="77777777" w:rsidR="00BA649B" w:rsidRDefault="00BA649B">
            <w:pPr>
              <w:spacing w:before="60" w:after="60"/>
              <w:jc w:val="center"/>
            </w:pPr>
            <w:r>
              <w:t>2,520</w:t>
            </w:r>
          </w:p>
        </w:tc>
        <w:tc>
          <w:tcPr>
            <w:tcW w:w="1814" w:type="dxa"/>
          </w:tcPr>
          <w:p w14:paraId="7109D50E" w14:textId="77777777" w:rsidR="00BA649B" w:rsidRDefault="00BA649B">
            <w:pPr>
              <w:spacing w:before="60" w:after="60"/>
              <w:jc w:val="center"/>
            </w:pPr>
            <w:r>
              <w:t>60</w:t>
            </w:r>
          </w:p>
        </w:tc>
        <w:tc>
          <w:tcPr>
            <w:tcW w:w="1816" w:type="dxa"/>
          </w:tcPr>
          <w:p w14:paraId="213F6935" w14:textId="77777777" w:rsidR="00BA649B" w:rsidRDefault="00BA649B">
            <w:pPr>
              <w:spacing w:before="60" w:after="60"/>
              <w:jc w:val="center"/>
            </w:pPr>
            <w:r>
              <w:t>12,600</w:t>
            </w:r>
          </w:p>
        </w:tc>
      </w:tr>
      <w:tr w:rsidR="00BA649B" w14:paraId="4B00C92A" w14:textId="77777777" w:rsidTr="00BA649B">
        <w:tc>
          <w:tcPr>
            <w:tcW w:w="1806" w:type="dxa"/>
          </w:tcPr>
          <w:p w14:paraId="4676C3C6" w14:textId="77777777" w:rsidR="00BA649B" w:rsidRDefault="00BA649B">
            <w:pPr>
              <w:spacing w:before="60" w:after="60"/>
              <w:jc w:val="center"/>
            </w:pPr>
            <w:r>
              <w:t>2</w:t>
            </w:r>
          </w:p>
        </w:tc>
        <w:tc>
          <w:tcPr>
            <w:tcW w:w="1813" w:type="dxa"/>
          </w:tcPr>
          <w:p w14:paraId="55416AB4" w14:textId="77777777" w:rsidR="00BA649B" w:rsidRDefault="00BA649B">
            <w:pPr>
              <w:spacing w:before="60" w:after="60"/>
              <w:jc w:val="center"/>
            </w:pPr>
            <w:r>
              <w:t>60</w:t>
            </w:r>
          </w:p>
        </w:tc>
        <w:tc>
          <w:tcPr>
            <w:tcW w:w="1811" w:type="dxa"/>
          </w:tcPr>
          <w:p w14:paraId="49A76B2F" w14:textId="77777777" w:rsidR="00BA649B" w:rsidRDefault="00BA649B">
            <w:pPr>
              <w:spacing w:before="60" w:after="60"/>
              <w:jc w:val="center"/>
            </w:pPr>
            <w:r>
              <w:t>12,600</w:t>
            </w:r>
          </w:p>
        </w:tc>
        <w:tc>
          <w:tcPr>
            <w:tcW w:w="1814" w:type="dxa"/>
          </w:tcPr>
          <w:p w14:paraId="36C7C437" w14:textId="77777777" w:rsidR="00BA649B" w:rsidRDefault="00BA649B">
            <w:pPr>
              <w:spacing w:before="60" w:after="60"/>
              <w:jc w:val="center"/>
            </w:pPr>
            <w:r>
              <w:t>300</w:t>
            </w:r>
          </w:p>
        </w:tc>
        <w:tc>
          <w:tcPr>
            <w:tcW w:w="1816" w:type="dxa"/>
          </w:tcPr>
          <w:p w14:paraId="28BF392A" w14:textId="77777777" w:rsidR="00BA649B" w:rsidRDefault="00BA649B">
            <w:pPr>
              <w:spacing w:before="60" w:after="60"/>
              <w:jc w:val="center"/>
            </w:pPr>
            <w:r>
              <w:t>63,000</w:t>
            </w:r>
          </w:p>
        </w:tc>
      </w:tr>
      <w:tr w:rsidR="00BA649B" w14:paraId="461A11BA" w14:textId="77777777" w:rsidTr="00BA649B">
        <w:tc>
          <w:tcPr>
            <w:tcW w:w="1806" w:type="dxa"/>
          </w:tcPr>
          <w:p w14:paraId="78321FFA" w14:textId="77777777" w:rsidR="00BA649B" w:rsidRDefault="00BA649B">
            <w:pPr>
              <w:spacing w:before="60" w:after="60"/>
              <w:jc w:val="center"/>
            </w:pPr>
            <w:r>
              <w:t>3</w:t>
            </w:r>
          </w:p>
        </w:tc>
        <w:tc>
          <w:tcPr>
            <w:tcW w:w="1813" w:type="dxa"/>
          </w:tcPr>
          <w:p w14:paraId="3601C437" w14:textId="2569F507" w:rsidR="00BA649B" w:rsidRDefault="00D20B83" w:rsidP="00D20B83">
            <w:pPr>
              <w:spacing w:before="60" w:after="60"/>
              <w:jc w:val="center"/>
            </w:pPr>
            <w:r>
              <w:t>300</w:t>
            </w:r>
          </w:p>
        </w:tc>
        <w:tc>
          <w:tcPr>
            <w:tcW w:w="1811" w:type="dxa"/>
          </w:tcPr>
          <w:p w14:paraId="7CD13856" w14:textId="60173D8C" w:rsidR="00BA649B" w:rsidRDefault="00D20B83" w:rsidP="00D20B83">
            <w:pPr>
              <w:spacing w:before="60" w:after="60"/>
              <w:jc w:val="center"/>
            </w:pPr>
            <w:r>
              <w:t>63,000</w:t>
            </w:r>
          </w:p>
        </w:tc>
        <w:tc>
          <w:tcPr>
            <w:tcW w:w="1814" w:type="dxa"/>
          </w:tcPr>
          <w:p w14:paraId="016B2A97" w14:textId="18B8D322" w:rsidR="00BA649B" w:rsidRDefault="00D20B83" w:rsidP="00D20B83">
            <w:pPr>
              <w:spacing w:before="60" w:after="60"/>
              <w:jc w:val="center"/>
            </w:pPr>
            <w:r>
              <w:t>1,500</w:t>
            </w:r>
          </w:p>
        </w:tc>
        <w:tc>
          <w:tcPr>
            <w:tcW w:w="1816" w:type="dxa"/>
          </w:tcPr>
          <w:p w14:paraId="074D9356" w14:textId="6189DF94" w:rsidR="00BA649B" w:rsidRDefault="00D20B83" w:rsidP="00D20B83">
            <w:pPr>
              <w:spacing w:before="60" w:after="60"/>
              <w:jc w:val="center"/>
            </w:pPr>
            <w:r>
              <w:t>315,000</w:t>
            </w:r>
          </w:p>
        </w:tc>
      </w:tr>
    </w:tbl>
    <w:p w14:paraId="26044E38" w14:textId="4353E1F7" w:rsidR="003D582D" w:rsidRDefault="003D582D" w:rsidP="00946485">
      <w:pPr>
        <w:pStyle w:val="Heading2"/>
      </w:pPr>
      <w:bookmarkStart w:id="148" w:name="_Toc34142428"/>
      <w:bookmarkStart w:id="149" w:name="_Toc34147752"/>
      <w:bookmarkStart w:id="150" w:name="_Toc34148755"/>
      <w:bookmarkStart w:id="151" w:name="_Toc34376172"/>
      <w:bookmarkStart w:id="152" w:name="_Toc34384782"/>
      <w:bookmarkStart w:id="153" w:name="_Toc34385213"/>
      <w:bookmarkStart w:id="154" w:name="_Toc34823608"/>
      <w:bookmarkStart w:id="155" w:name="_Toc34840555"/>
      <w:bookmarkStart w:id="156" w:name="_Toc35254832"/>
      <w:bookmarkStart w:id="157" w:name="_Toc35257728"/>
      <w:bookmarkStart w:id="158" w:name="_Toc41999445"/>
      <w:bookmarkStart w:id="159" w:name="_Toc42154162"/>
      <w:r>
        <w:t>Obtain adequate powers to remedy incorrect statements</w:t>
      </w:r>
      <w:bookmarkEnd w:id="148"/>
      <w:bookmarkEnd w:id="149"/>
      <w:bookmarkEnd w:id="150"/>
      <w:bookmarkEnd w:id="151"/>
      <w:bookmarkEnd w:id="152"/>
      <w:bookmarkEnd w:id="153"/>
      <w:bookmarkEnd w:id="154"/>
      <w:bookmarkEnd w:id="155"/>
      <w:bookmarkEnd w:id="156"/>
      <w:bookmarkEnd w:id="157"/>
      <w:bookmarkEnd w:id="158"/>
      <w:bookmarkEnd w:id="159"/>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E8250E" w14:paraId="75D28E5F" w14:textId="77777777" w:rsidTr="001F018F">
        <w:tc>
          <w:tcPr>
            <w:tcW w:w="5000" w:type="pct"/>
            <w:shd w:val="clear" w:color="auto" w:fill="EBEBEB"/>
          </w:tcPr>
          <w:p w14:paraId="5FF28483" w14:textId="2FFDE70A" w:rsidR="00E8250E" w:rsidRPr="00E77132" w:rsidRDefault="00E8250E" w:rsidP="00E77132">
            <w:pPr>
              <w:pStyle w:val="OneLevelNumberedParagraph"/>
              <w:rPr>
                <w:sz w:val="22"/>
              </w:rPr>
            </w:pPr>
            <w:r w:rsidRPr="00E77132">
              <w:rPr>
                <w:sz w:val="22"/>
              </w:rPr>
              <w:t>The Government will have powers to remedy situations where foreign persons are given a no objection notification or an exemption certificate based on a foreign investment application that makes an incorrect statement, or omits an important piece of information.</w:t>
            </w:r>
          </w:p>
        </w:tc>
      </w:tr>
    </w:tbl>
    <w:p w14:paraId="6C6408B3" w14:textId="77777777" w:rsidR="00E8250E" w:rsidRDefault="00E8250E" w:rsidP="00E8250E">
      <w:pPr>
        <w:pStyle w:val="SingleParagraph"/>
        <w:rPr>
          <w:rFonts w:eastAsia="Arial"/>
        </w:rPr>
      </w:pPr>
    </w:p>
    <w:p w14:paraId="332ACF88" w14:textId="2B5B37D7" w:rsidR="00A66EF2" w:rsidRDefault="00B93206" w:rsidP="001F018F">
      <w:r>
        <w:t xml:space="preserve">Currently, </w:t>
      </w:r>
      <w:r w:rsidR="00BC6E25">
        <w:t>short of the anti</w:t>
      </w:r>
      <w:r w:rsidR="00AF5EDD">
        <w:noBreakHyphen/>
      </w:r>
      <w:r w:rsidR="00BC6E25">
        <w:t>avoidance rules</w:t>
      </w:r>
      <w:r w:rsidR="00522167">
        <w:t xml:space="preserve"> under section 78 of the FATA</w:t>
      </w:r>
      <w:r w:rsidR="006B09A6">
        <w:t xml:space="preserve">, </w:t>
      </w:r>
      <w:r>
        <w:t>no</w:t>
      </w:r>
      <w:r w:rsidR="00522167">
        <w:t xml:space="preserve"> other</w:t>
      </w:r>
      <w:r>
        <w:t xml:space="preserve"> </w:t>
      </w:r>
      <w:r w:rsidR="000D0BDB">
        <w:t xml:space="preserve">specific </w:t>
      </w:r>
      <w:r>
        <w:t>provision</w:t>
      </w:r>
      <w:r w:rsidR="00522167">
        <w:t>s</w:t>
      </w:r>
      <w:r>
        <w:t xml:space="preserve"> exist that allow for a</w:t>
      </w:r>
      <w:r w:rsidR="006B09A6">
        <w:t>n adequate</w:t>
      </w:r>
      <w:r>
        <w:t xml:space="preserve"> remedy in situations where a person makes an incorrect statement, or omits an important piece of information, when notifying the </w:t>
      </w:r>
      <w:r w:rsidR="00092765">
        <w:t xml:space="preserve">Government </w:t>
      </w:r>
      <w:r>
        <w:t xml:space="preserve">of their proposed investment. </w:t>
      </w:r>
    </w:p>
    <w:p w14:paraId="0C687332" w14:textId="2264B788" w:rsidR="00A66EF2" w:rsidRDefault="00B93206" w:rsidP="001F018F">
      <w:r>
        <w:t xml:space="preserve">If the </w:t>
      </w:r>
      <w:r w:rsidR="00092765">
        <w:t xml:space="preserve">Government </w:t>
      </w:r>
      <w:r>
        <w:t xml:space="preserve">relies on the information that is provided in the notification, and that information is false or misleading, an </w:t>
      </w:r>
      <w:r w:rsidR="000A492A">
        <w:t xml:space="preserve">unsatisfactory </w:t>
      </w:r>
      <w:r>
        <w:t xml:space="preserve">outcome </w:t>
      </w:r>
      <w:r w:rsidR="00A0690B">
        <w:t xml:space="preserve">could </w:t>
      </w:r>
      <w:r>
        <w:t>result.</w:t>
      </w:r>
      <w:r w:rsidR="00A66EF2">
        <w:t xml:space="preserve"> The </w:t>
      </w:r>
      <w:r w:rsidR="00092765">
        <w:t>Government</w:t>
      </w:r>
      <w:r w:rsidR="00A66EF2" w:rsidDel="00A0690B">
        <w:t xml:space="preserve"> </w:t>
      </w:r>
      <w:r w:rsidR="00A0690B">
        <w:t xml:space="preserve">may </w:t>
      </w:r>
      <w:r w:rsidR="00A66EF2">
        <w:t xml:space="preserve">not be able to order the investor to dispose of their interest in the relevant asset, because the foreign person has received a </w:t>
      </w:r>
      <w:r w:rsidR="00A72FA2">
        <w:t>no objection</w:t>
      </w:r>
      <w:r w:rsidR="00A66EF2">
        <w:t xml:space="preserve"> notification</w:t>
      </w:r>
      <w:r w:rsidR="00A77A31">
        <w:t xml:space="preserve"> or exemption certificate</w:t>
      </w:r>
      <w:r w:rsidR="00A66EF2">
        <w:t xml:space="preserve"> in relation to that interest (see section 70 of the FATA).</w:t>
      </w:r>
    </w:p>
    <w:p w14:paraId="1E17F007" w14:textId="3F790005" w:rsidR="00A66EF2" w:rsidRDefault="00A0690B" w:rsidP="001F018F">
      <w:r>
        <w:t>C</w:t>
      </w:r>
      <w:r w:rsidR="002F1F19">
        <w:t xml:space="preserve">riminal remedies </w:t>
      </w:r>
      <w:r w:rsidR="0024724E">
        <w:t>could be sought</w:t>
      </w:r>
      <w:r w:rsidR="002F1F19">
        <w:t xml:space="preserve"> if a person provides false and misleading information to a Commonwealth employee during the administration of the FATA. </w:t>
      </w:r>
      <w:r w:rsidR="00EF47B8">
        <w:t>The FATA will be amended to provide the Government with additional powers to remedy situations where foreign persons are given a no objection notification or exemption certificate based on an application that makes an incorrect statement, or omits an important piece of information, when notifying the Government of their proposed investment and that statement or omission was material to the no objection notification or exemption certificate being given. This amendment is necessary as</w:t>
      </w:r>
      <w:r w:rsidR="00492233">
        <w:t xml:space="preserve"> criminal remedies could not undo</w:t>
      </w:r>
      <w:r w:rsidR="00DE0767">
        <w:t xml:space="preserve"> the harm to the national interest arising from the grant of a </w:t>
      </w:r>
      <w:r w:rsidR="00A72FA2">
        <w:t>no objection</w:t>
      </w:r>
      <w:r w:rsidR="00DE0767">
        <w:t xml:space="preserve"> notification </w:t>
      </w:r>
      <w:r w:rsidR="00987222">
        <w:t xml:space="preserve">that was </w:t>
      </w:r>
      <w:r w:rsidR="00DE0767">
        <w:t>based on incorrect information</w:t>
      </w:r>
      <w:r w:rsidR="002F1F19">
        <w:t>.</w:t>
      </w:r>
    </w:p>
    <w:p w14:paraId="55F24836" w14:textId="1DD50299" w:rsidR="000D7AA6" w:rsidRDefault="00BC6E25" w:rsidP="001F018F">
      <w:r>
        <w:t xml:space="preserve">The amendments will </w:t>
      </w:r>
      <w:r w:rsidR="00F37480">
        <w:t>include</w:t>
      </w:r>
      <w:r w:rsidR="00EF49DE">
        <w:t xml:space="preserve"> the following</w:t>
      </w:r>
      <w:r w:rsidR="00F37480">
        <w:t xml:space="preserve"> key changes</w:t>
      </w:r>
      <w:r w:rsidR="0083653F">
        <w:t>:</w:t>
      </w:r>
    </w:p>
    <w:p w14:paraId="232F8928" w14:textId="03F14ED2" w:rsidR="008D14CC" w:rsidRDefault="0024724E" w:rsidP="009E1CFA">
      <w:pPr>
        <w:pStyle w:val="Bullet"/>
        <w:jc w:val="both"/>
      </w:pPr>
      <w:bookmarkStart w:id="160" w:name="_Toc34142429"/>
      <w:bookmarkStart w:id="161" w:name="_Toc34147753"/>
      <w:bookmarkStart w:id="162" w:name="_Toc34148756"/>
      <w:r>
        <w:t>F</w:t>
      </w:r>
      <w:r w:rsidR="00431C58">
        <w:t>irst</w:t>
      </w:r>
      <w:r w:rsidR="008D14CC">
        <w:t xml:space="preserve">, </w:t>
      </w:r>
      <w:r w:rsidR="00903886">
        <w:t>establish a civil penalty and an</w:t>
      </w:r>
      <w:r w:rsidR="000E4310">
        <w:t xml:space="preserve"> associated</w:t>
      </w:r>
      <w:r w:rsidR="00903886">
        <w:t xml:space="preserve"> infringement. While the </w:t>
      </w:r>
      <w:r w:rsidR="00903886" w:rsidRPr="00DB3C96">
        <w:rPr>
          <w:i/>
        </w:rPr>
        <w:t xml:space="preserve">Criminal Code Act </w:t>
      </w:r>
      <w:r w:rsidR="00B5136A" w:rsidRPr="00DB3C96">
        <w:rPr>
          <w:i/>
        </w:rPr>
        <w:t>1995</w:t>
      </w:r>
      <w:r w:rsidR="00B5136A">
        <w:t xml:space="preserve"> </w:t>
      </w:r>
      <w:r w:rsidR="00903886">
        <w:t>provides for punishment of a person who makes a false or misleading statement to a Commonwealth official, it does not respond effectively to the threat to Australia</w:t>
      </w:r>
      <w:r w:rsidR="00AF5EDD">
        <w:t>’</w:t>
      </w:r>
      <w:r w:rsidR="00903886">
        <w:t>s national interest that such a statement may cause. E</w:t>
      </w:r>
      <w:r w:rsidR="00903886" w:rsidRPr="007505BB">
        <w:t xml:space="preserve">stablishing a civil penalty and an infringement ability </w:t>
      </w:r>
      <w:r w:rsidR="00903886">
        <w:t xml:space="preserve">in such circumstances would </w:t>
      </w:r>
      <w:r w:rsidR="00694FB8">
        <w:t xml:space="preserve">enable </w:t>
      </w:r>
      <w:r w:rsidR="00903886">
        <w:t>a more nuanced response to such breaches</w:t>
      </w:r>
      <w:r w:rsidR="008D14CC">
        <w:t xml:space="preserve">. </w:t>
      </w:r>
    </w:p>
    <w:p w14:paraId="664C66F2" w14:textId="7A1148F5" w:rsidR="00A77A31" w:rsidRDefault="0024724E" w:rsidP="009E1CFA">
      <w:pPr>
        <w:pStyle w:val="Bullet"/>
        <w:jc w:val="both"/>
      </w:pPr>
      <w:r>
        <w:t>S</w:t>
      </w:r>
      <w:r w:rsidR="00431C58">
        <w:t>econd, an incorrect statement would trigger the Treasurer</w:t>
      </w:r>
      <w:r w:rsidR="00AF5EDD">
        <w:t>’</w:t>
      </w:r>
      <w:r w:rsidR="00431C58">
        <w:t>s powers in Part 3 of the FATA to remedy an unsatisfactory outcome that is a result of a foreign person providing incorrect information while seeking approval, including disposal powers in the most serious cases.</w:t>
      </w:r>
    </w:p>
    <w:p w14:paraId="71AD8697" w14:textId="2E7DCC36" w:rsidR="008D14CC" w:rsidRDefault="008D14CC" w:rsidP="008D14CC">
      <w:pPr>
        <w:pStyle w:val="Heading2"/>
      </w:pPr>
      <w:bookmarkStart w:id="163" w:name="_Toc34376173"/>
      <w:bookmarkStart w:id="164" w:name="_Toc34150289"/>
      <w:bookmarkStart w:id="165" w:name="_Toc34384783"/>
      <w:bookmarkStart w:id="166" w:name="_Toc34385214"/>
      <w:bookmarkStart w:id="167" w:name="_Toc34823609"/>
      <w:bookmarkStart w:id="168" w:name="_Toc34840556"/>
      <w:bookmarkStart w:id="169" w:name="_Toc35254833"/>
      <w:bookmarkStart w:id="170" w:name="_Toc35257729"/>
      <w:bookmarkStart w:id="171" w:name="_Toc41999446"/>
      <w:bookmarkStart w:id="172" w:name="_Toc42154163"/>
      <w:bookmarkStart w:id="173" w:name="_Toc33738059"/>
      <w:bookmarkEnd w:id="160"/>
      <w:bookmarkEnd w:id="161"/>
      <w:bookmarkEnd w:id="162"/>
      <w:r>
        <w:lastRenderedPageBreak/>
        <w:t xml:space="preserve">Strengthen the </w:t>
      </w:r>
      <w:r w:rsidR="00175034">
        <w:t>Government</w:t>
      </w:r>
      <w:r w:rsidR="00AF5EDD">
        <w:t>’</w:t>
      </w:r>
      <w:r w:rsidR="00175034">
        <w:t xml:space="preserve">s </w:t>
      </w:r>
      <w:r>
        <w:t xml:space="preserve">powers with respect to </w:t>
      </w:r>
      <w:r w:rsidR="00425E1E">
        <w:t xml:space="preserve">interests </w:t>
      </w:r>
      <w:r>
        <w:t xml:space="preserve">transferred by will or devolution </w:t>
      </w:r>
      <w:r w:rsidR="009F334E">
        <w:t xml:space="preserve">by operation </w:t>
      </w:r>
      <w:r>
        <w:t>of law</w:t>
      </w:r>
      <w:bookmarkEnd w:id="163"/>
      <w:bookmarkEnd w:id="164"/>
      <w:bookmarkEnd w:id="165"/>
      <w:bookmarkEnd w:id="166"/>
      <w:bookmarkEnd w:id="167"/>
      <w:bookmarkEnd w:id="168"/>
      <w:bookmarkEnd w:id="169"/>
      <w:bookmarkEnd w:id="170"/>
      <w:bookmarkEnd w:id="171"/>
      <w:bookmarkEnd w:id="172"/>
    </w:p>
    <w:p w14:paraId="667C0BD5" w14:textId="77777777" w:rsidR="00E77132" w:rsidRPr="00C06557" w:rsidRDefault="00E77132" w:rsidP="00E77132">
      <w:pPr>
        <w:pStyle w:val="SingleParagraph"/>
        <w:rPr>
          <w:rFonts w:eastAsia="Arial"/>
        </w:rPr>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E77132" w14:paraId="6302E885" w14:textId="77777777" w:rsidTr="001F018F">
        <w:tc>
          <w:tcPr>
            <w:tcW w:w="5000" w:type="pct"/>
            <w:shd w:val="clear" w:color="auto" w:fill="EBEBEB"/>
          </w:tcPr>
          <w:p w14:paraId="3FDED7A0" w14:textId="632813E2" w:rsidR="00E77132" w:rsidRPr="00E77132" w:rsidRDefault="00E77132" w:rsidP="00E77132">
            <w:pPr>
              <w:pStyle w:val="OneLevelNumberedParagraph"/>
              <w:rPr>
                <w:sz w:val="22"/>
              </w:rPr>
            </w:pPr>
            <w:r w:rsidRPr="00E77132">
              <w:rPr>
                <w:sz w:val="22"/>
              </w:rPr>
              <w:t>The Government will have powers with respect to an investment that was originally made in breach of the FATA where the interest has subsequently been transferred to another foreign person by will or devolution by operation of law.</w:t>
            </w:r>
          </w:p>
        </w:tc>
      </w:tr>
      <w:bookmarkEnd w:id="173"/>
    </w:tbl>
    <w:p w14:paraId="1C424EE0" w14:textId="77777777" w:rsidR="00E77132" w:rsidRDefault="00E77132" w:rsidP="00E77132">
      <w:pPr>
        <w:pStyle w:val="SingleParagraph"/>
        <w:rPr>
          <w:rFonts w:eastAsia="Arial"/>
        </w:rPr>
      </w:pPr>
    </w:p>
    <w:p w14:paraId="7037088E" w14:textId="585DA9A7" w:rsidR="00900E90" w:rsidRDefault="00F556EE" w:rsidP="00E77132">
      <w:pPr>
        <w:rPr>
          <w:rFonts w:eastAsia="Arial"/>
        </w:rPr>
      </w:pPr>
      <w:r>
        <w:rPr>
          <w:rFonts w:eastAsia="Arial"/>
        </w:rPr>
        <w:t xml:space="preserve">Currently, </w:t>
      </w:r>
      <w:r w:rsidR="00900E90">
        <w:rPr>
          <w:rFonts w:eastAsia="Arial"/>
        </w:rPr>
        <w:t xml:space="preserve">section 29 of the FATR provides </w:t>
      </w:r>
      <w:r>
        <w:rPr>
          <w:rFonts w:eastAsia="Arial"/>
        </w:rPr>
        <w:t xml:space="preserve">a broad exemption </w:t>
      </w:r>
      <w:r w:rsidR="00900E90">
        <w:rPr>
          <w:rFonts w:eastAsia="Arial"/>
        </w:rPr>
        <w:t>with respect to</w:t>
      </w:r>
      <w:r>
        <w:rPr>
          <w:rFonts w:eastAsia="Arial"/>
        </w:rPr>
        <w:t xml:space="preserve"> interests acquired by will or devolution</w:t>
      </w:r>
      <w:r w:rsidR="002104E5">
        <w:rPr>
          <w:rFonts w:eastAsia="Arial"/>
        </w:rPr>
        <w:t xml:space="preserve"> by operation</w:t>
      </w:r>
      <w:r>
        <w:rPr>
          <w:rFonts w:eastAsia="Arial"/>
        </w:rPr>
        <w:t xml:space="preserve"> of law. </w:t>
      </w:r>
      <w:r w:rsidR="00D8491E">
        <w:rPr>
          <w:rFonts w:eastAsia="Arial"/>
        </w:rPr>
        <w:t xml:space="preserve">The exemption applies </w:t>
      </w:r>
      <w:r w:rsidR="000C573C">
        <w:rPr>
          <w:rFonts w:eastAsia="Arial"/>
        </w:rPr>
        <w:t>even when the</w:t>
      </w:r>
      <w:r w:rsidR="00D8491E">
        <w:rPr>
          <w:rFonts w:eastAsia="Arial"/>
        </w:rPr>
        <w:t xml:space="preserve"> original acquisition was </w:t>
      </w:r>
      <w:r w:rsidR="000C573C">
        <w:rPr>
          <w:rFonts w:eastAsia="Arial"/>
        </w:rPr>
        <w:t xml:space="preserve">not </w:t>
      </w:r>
      <w:r w:rsidR="00D8491E">
        <w:rPr>
          <w:rFonts w:eastAsia="Arial"/>
        </w:rPr>
        <w:t xml:space="preserve">notified to the </w:t>
      </w:r>
      <w:r w:rsidR="00175034">
        <w:rPr>
          <w:rFonts w:eastAsia="Arial"/>
        </w:rPr>
        <w:t>Government</w:t>
      </w:r>
      <w:r w:rsidR="000C573C">
        <w:rPr>
          <w:rFonts w:eastAsia="Arial"/>
        </w:rPr>
        <w:t xml:space="preserve"> in breach of the FATA</w:t>
      </w:r>
      <w:r w:rsidR="00D8491E">
        <w:rPr>
          <w:rFonts w:eastAsia="Arial"/>
        </w:rPr>
        <w:t xml:space="preserve">. </w:t>
      </w:r>
    </w:p>
    <w:p w14:paraId="0A5015DE" w14:textId="7D0D418C" w:rsidR="00D8491E" w:rsidRDefault="00D8491E" w:rsidP="001F018F">
      <w:pPr>
        <w:rPr>
          <w:rFonts w:eastAsia="Arial"/>
        </w:rPr>
      </w:pPr>
      <w:r>
        <w:rPr>
          <w:rFonts w:eastAsia="Arial"/>
        </w:rPr>
        <w:t>For example, a property held in breach of the FATA which is later transferred by will or devolution</w:t>
      </w:r>
      <w:r w:rsidR="002104E5">
        <w:rPr>
          <w:rFonts w:eastAsia="Arial"/>
        </w:rPr>
        <w:t xml:space="preserve"> by operation</w:t>
      </w:r>
      <w:r>
        <w:rPr>
          <w:rFonts w:eastAsia="Arial"/>
        </w:rPr>
        <w:t xml:space="preserve"> of law to another foreign person, </w:t>
      </w:r>
      <w:r w:rsidR="00900E90">
        <w:rPr>
          <w:rFonts w:eastAsia="Arial"/>
        </w:rPr>
        <w:t xml:space="preserve">could </w:t>
      </w:r>
      <w:r>
        <w:rPr>
          <w:rFonts w:eastAsia="Arial"/>
        </w:rPr>
        <w:t xml:space="preserve">become </w:t>
      </w:r>
      <w:r w:rsidR="00AF5EDD">
        <w:rPr>
          <w:rFonts w:eastAsia="Arial"/>
        </w:rPr>
        <w:t>‘</w:t>
      </w:r>
      <w:r>
        <w:rPr>
          <w:rFonts w:eastAsia="Arial"/>
        </w:rPr>
        <w:t>legitimised</w:t>
      </w:r>
      <w:r w:rsidR="00AF5EDD">
        <w:rPr>
          <w:rFonts w:eastAsia="Arial"/>
        </w:rPr>
        <w:t>’</w:t>
      </w:r>
      <w:r>
        <w:rPr>
          <w:rFonts w:eastAsia="Arial"/>
        </w:rPr>
        <w:t xml:space="preserve"> </w:t>
      </w:r>
      <w:r w:rsidR="00900E90">
        <w:rPr>
          <w:rFonts w:eastAsia="Arial"/>
        </w:rPr>
        <w:t>by virtue of section </w:t>
      </w:r>
      <w:r>
        <w:rPr>
          <w:rFonts w:eastAsia="Arial"/>
        </w:rPr>
        <w:t xml:space="preserve">29 of the FATR. </w:t>
      </w:r>
      <w:r w:rsidR="00900E90">
        <w:rPr>
          <w:rFonts w:eastAsia="Arial"/>
        </w:rPr>
        <w:t>Consequently, a foreign person may hold an asset that they would not otherwise be permitted to acqui</w:t>
      </w:r>
      <w:r w:rsidR="00961C2B">
        <w:rPr>
          <w:rFonts w:eastAsia="Arial"/>
        </w:rPr>
        <w:t>re under the national interest</w:t>
      </w:r>
      <w:r w:rsidR="00CB554B">
        <w:rPr>
          <w:rFonts w:eastAsia="Arial"/>
        </w:rPr>
        <w:t xml:space="preserve"> test</w:t>
      </w:r>
      <w:r w:rsidR="00961C2B">
        <w:rPr>
          <w:rFonts w:eastAsia="Arial"/>
        </w:rPr>
        <w:t xml:space="preserve">, leaving the </w:t>
      </w:r>
      <w:r w:rsidR="00175034">
        <w:rPr>
          <w:rFonts w:eastAsia="Arial"/>
        </w:rPr>
        <w:t xml:space="preserve">Government </w:t>
      </w:r>
      <w:r w:rsidR="00961C2B">
        <w:rPr>
          <w:rFonts w:eastAsia="Arial"/>
        </w:rPr>
        <w:t xml:space="preserve">with no ability </w:t>
      </w:r>
      <w:r w:rsidR="00900E90">
        <w:rPr>
          <w:rFonts w:eastAsia="Arial"/>
        </w:rPr>
        <w:t xml:space="preserve">take </w:t>
      </w:r>
      <w:r>
        <w:rPr>
          <w:rFonts w:eastAsia="Arial"/>
        </w:rPr>
        <w:t xml:space="preserve">appropriate action </w:t>
      </w:r>
      <w:r w:rsidR="00900E90">
        <w:rPr>
          <w:rFonts w:eastAsia="Arial"/>
        </w:rPr>
        <w:t xml:space="preserve">on </w:t>
      </w:r>
      <w:r>
        <w:rPr>
          <w:rFonts w:eastAsia="Arial"/>
        </w:rPr>
        <w:t>property held contrary to the national interest.</w:t>
      </w:r>
    </w:p>
    <w:p w14:paraId="3D6396E0" w14:textId="5C6942FE" w:rsidR="00F556EE" w:rsidRDefault="00011D47" w:rsidP="001F018F">
      <w:pPr>
        <w:rPr>
          <w:rFonts w:eastAsia="Arial"/>
        </w:rPr>
      </w:pPr>
      <w:r>
        <w:rPr>
          <w:rFonts w:eastAsia="Arial"/>
        </w:rPr>
        <w:t xml:space="preserve">The Government </w:t>
      </w:r>
      <w:r w:rsidR="00EB6EFC">
        <w:rPr>
          <w:rFonts w:eastAsia="Arial"/>
        </w:rPr>
        <w:t>will introduce amendments</w:t>
      </w:r>
      <w:r w:rsidR="004E30C3">
        <w:rPr>
          <w:rFonts w:eastAsia="Arial"/>
        </w:rPr>
        <w:t xml:space="preserve"> </w:t>
      </w:r>
      <w:r>
        <w:rPr>
          <w:rFonts w:eastAsia="Arial"/>
        </w:rPr>
        <w:t xml:space="preserve">to require </w:t>
      </w:r>
      <w:r w:rsidR="004E30C3">
        <w:rPr>
          <w:rFonts w:eastAsia="Arial"/>
        </w:rPr>
        <w:t>foreign persons to notify</w:t>
      </w:r>
      <w:r>
        <w:rPr>
          <w:rFonts w:eastAsia="Arial"/>
        </w:rPr>
        <w:t xml:space="preserve"> of an acquisition made by </w:t>
      </w:r>
      <w:r w:rsidR="00EB6EFC">
        <w:rPr>
          <w:rFonts w:eastAsia="Arial"/>
        </w:rPr>
        <w:t xml:space="preserve">will or </w:t>
      </w:r>
      <w:r>
        <w:rPr>
          <w:rFonts w:eastAsia="Arial"/>
        </w:rPr>
        <w:t>devolution by operation of law</w:t>
      </w:r>
      <w:r w:rsidR="004E30C3">
        <w:rPr>
          <w:rFonts w:eastAsia="Arial"/>
        </w:rPr>
        <w:t xml:space="preserve"> in circumstances where no requisite approval was given prior to the relevant interest being transferred by will or devolution by operation of law. Additionally, the Government will have the power to impose</w:t>
      </w:r>
      <w:r>
        <w:rPr>
          <w:rFonts w:eastAsia="Arial"/>
        </w:rPr>
        <w:t xml:space="preserve"> conditions </w:t>
      </w:r>
      <w:r w:rsidR="004E30C3">
        <w:rPr>
          <w:rFonts w:eastAsia="Arial"/>
        </w:rPr>
        <w:t xml:space="preserve">and disposal order power </w:t>
      </w:r>
      <w:r>
        <w:rPr>
          <w:rFonts w:eastAsia="Arial"/>
        </w:rPr>
        <w:t xml:space="preserve">to safeguard the national interest </w:t>
      </w:r>
      <w:r w:rsidR="004E30C3">
        <w:rPr>
          <w:rFonts w:eastAsia="Arial"/>
        </w:rPr>
        <w:t>in these circumstances</w:t>
      </w:r>
      <w:r w:rsidR="000D1474">
        <w:rPr>
          <w:rFonts w:eastAsia="Arial"/>
        </w:rPr>
        <w:t xml:space="preserve">. </w:t>
      </w:r>
    </w:p>
    <w:p w14:paraId="309FF62E" w14:textId="64E7C52D" w:rsidR="00D24B86" w:rsidRDefault="00ED643A" w:rsidP="00946485">
      <w:pPr>
        <w:pStyle w:val="Heading2"/>
        <w:rPr>
          <w:rFonts w:eastAsia="Arial"/>
        </w:rPr>
      </w:pPr>
      <w:bookmarkStart w:id="174" w:name="_Toc34142432"/>
      <w:bookmarkStart w:id="175" w:name="_Toc34147756"/>
      <w:bookmarkStart w:id="176" w:name="_Toc34148759"/>
      <w:bookmarkStart w:id="177" w:name="_Toc34150292"/>
      <w:bookmarkStart w:id="178" w:name="_Toc34376176"/>
      <w:bookmarkStart w:id="179" w:name="_Toc34384784"/>
      <w:bookmarkStart w:id="180" w:name="_Toc34385215"/>
      <w:bookmarkStart w:id="181" w:name="_Toc34823610"/>
      <w:bookmarkStart w:id="182" w:name="_Toc34840557"/>
      <w:bookmarkStart w:id="183" w:name="_Toc35254834"/>
      <w:bookmarkStart w:id="184" w:name="_Toc35257730"/>
      <w:bookmarkStart w:id="185" w:name="_Toc41999447"/>
      <w:bookmarkStart w:id="186" w:name="_Toc42154164"/>
      <w:r w:rsidRPr="002757DB">
        <w:rPr>
          <w:rFonts w:eastAsia="Arial"/>
        </w:rPr>
        <w:t xml:space="preserve">Obtain the power to </w:t>
      </w:r>
      <w:r w:rsidR="0098602A">
        <w:rPr>
          <w:rFonts w:eastAsia="Arial"/>
        </w:rPr>
        <w:t>accept</w:t>
      </w:r>
      <w:r w:rsidR="001720C8" w:rsidRPr="002757DB">
        <w:rPr>
          <w:rFonts w:eastAsia="Arial"/>
        </w:rPr>
        <w:t xml:space="preserve"> </w:t>
      </w:r>
      <w:r w:rsidRPr="002757DB">
        <w:rPr>
          <w:rFonts w:eastAsia="Arial"/>
        </w:rPr>
        <w:t>enforceable undertakings</w:t>
      </w:r>
      <w:bookmarkEnd w:id="174"/>
      <w:bookmarkEnd w:id="175"/>
      <w:bookmarkEnd w:id="176"/>
      <w:bookmarkEnd w:id="177"/>
      <w:bookmarkEnd w:id="178"/>
      <w:bookmarkEnd w:id="179"/>
      <w:bookmarkEnd w:id="180"/>
      <w:bookmarkEnd w:id="181"/>
      <w:bookmarkEnd w:id="182"/>
      <w:bookmarkEnd w:id="183"/>
      <w:bookmarkEnd w:id="184"/>
      <w:bookmarkEnd w:id="185"/>
      <w:bookmarkEnd w:id="186"/>
    </w:p>
    <w:p w14:paraId="2F28D0E3" w14:textId="77777777" w:rsidR="00E77132" w:rsidRPr="00C06557" w:rsidRDefault="00E77132" w:rsidP="00E77132">
      <w:pPr>
        <w:pStyle w:val="SingleParagraph"/>
        <w:rPr>
          <w:rFonts w:eastAsia="Arial"/>
        </w:rPr>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E77132" w14:paraId="47BD02DF" w14:textId="77777777" w:rsidTr="001F018F">
        <w:tc>
          <w:tcPr>
            <w:tcW w:w="5000" w:type="pct"/>
            <w:shd w:val="clear" w:color="auto" w:fill="EBEBEB"/>
          </w:tcPr>
          <w:p w14:paraId="4BE26802" w14:textId="64471E52" w:rsidR="00E77132" w:rsidRPr="00E77132" w:rsidRDefault="00E77132" w:rsidP="00E77132">
            <w:pPr>
              <w:pStyle w:val="OneLevelNumberedParagraph"/>
              <w:rPr>
                <w:sz w:val="22"/>
              </w:rPr>
            </w:pPr>
            <w:r w:rsidRPr="00E77132">
              <w:rPr>
                <w:sz w:val="22"/>
              </w:rPr>
              <w:t>The Government will have the power to accept enforceable undertakings from foreign persons to manage non compliance or to give weight to commitments a foreign person made at the time of applying for a no objection notification or an exemption certificate.</w:t>
            </w:r>
          </w:p>
        </w:tc>
      </w:tr>
    </w:tbl>
    <w:p w14:paraId="71135F9A" w14:textId="77777777" w:rsidR="00E77132" w:rsidRDefault="00E77132" w:rsidP="00E77132">
      <w:pPr>
        <w:pStyle w:val="SingleParagraph"/>
      </w:pPr>
    </w:p>
    <w:p w14:paraId="3E66F4C1" w14:textId="7629CA78" w:rsidR="00E90D33" w:rsidRPr="00E90D33" w:rsidRDefault="00E90D33" w:rsidP="00E77132">
      <w:r>
        <w:t xml:space="preserve">Undertakings </w:t>
      </w:r>
      <w:r w:rsidR="005A700E">
        <w:t xml:space="preserve">will </w:t>
      </w:r>
      <w:r>
        <w:t>be a complementary mechanism to the proposed directions power described</w:t>
      </w:r>
      <w:r w:rsidR="00442F92">
        <w:t> </w:t>
      </w:r>
      <w:r>
        <w:t>above</w:t>
      </w:r>
      <w:r w:rsidR="00D303E6">
        <w:t>.</w:t>
      </w:r>
    </w:p>
    <w:p w14:paraId="63F17F71" w14:textId="61D0D5B1" w:rsidR="00CE7214" w:rsidRDefault="00A24925" w:rsidP="001F018F">
      <w:r>
        <w:t xml:space="preserve">Enforceable undertakings are a credible and flexible </w:t>
      </w:r>
      <w:r w:rsidR="00694FB8">
        <w:t xml:space="preserve">part of an effective </w:t>
      </w:r>
      <w:r>
        <w:t xml:space="preserve">deterrence regime, because they provide </w:t>
      </w:r>
      <w:r w:rsidR="0034586A">
        <w:t xml:space="preserve">a mechanism </w:t>
      </w:r>
      <w:r w:rsidR="0034586A" w:rsidRPr="7A9A7C5B">
        <w:rPr>
          <w:rFonts w:eastAsia="Arial" w:cs="Arial"/>
        </w:rPr>
        <w:t xml:space="preserve">to </w:t>
      </w:r>
      <w:r w:rsidR="00EF49DE">
        <w:rPr>
          <w:rFonts w:eastAsia="Arial" w:cs="Arial"/>
        </w:rPr>
        <w:t>prevent</w:t>
      </w:r>
      <w:r w:rsidR="0034586A" w:rsidRPr="7A9A7C5B">
        <w:rPr>
          <w:rFonts w:eastAsia="Arial" w:cs="Arial"/>
        </w:rPr>
        <w:t xml:space="preserve"> actions which could place the national interest at risk, and restore investor compliance</w:t>
      </w:r>
      <w:r w:rsidR="0034586A">
        <w:t xml:space="preserve"> </w:t>
      </w:r>
      <w:r w:rsidR="00664295">
        <w:t>without recourse to the courts</w:t>
      </w:r>
      <w:r w:rsidR="00CE7214">
        <w:t>.</w:t>
      </w:r>
    </w:p>
    <w:p w14:paraId="382877BD" w14:textId="1D1D763D" w:rsidR="00E90D33" w:rsidRDefault="00A24925" w:rsidP="001F018F">
      <w:r>
        <w:t xml:space="preserve">Enforceable undertakings would be </w:t>
      </w:r>
      <w:r w:rsidR="00363FF4">
        <w:t>available for use</w:t>
      </w:r>
      <w:r w:rsidR="00E90D33">
        <w:t xml:space="preserve"> in </w:t>
      </w:r>
      <w:r>
        <w:t>the following</w:t>
      </w:r>
      <w:r w:rsidR="00E90D33">
        <w:t xml:space="preserve"> circumstances:</w:t>
      </w:r>
    </w:p>
    <w:p w14:paraId="03865957" w14:textId="77777777" w:rsidR="00E90D33" w:rsidRDefault="00E90D33" w:rsidP="009E1CFA">
      <w:pPr>
        <w:pStyle w:val="Bullet"/>
        <w:jc w:val="both"/>
      </w:pPr>
      <w:r>
        <w:t>where an investor faces a realistic prospect of litigation for a civil penalty order for breach of condition, and offers the undertaking as a lower cost, more flexible and more certain alternative; or</w:t>
      </w:r>
    </w:p>
    <w:p w14:paraId="2349230A" w14:textId="4CA78FB5" w:rsidR="00AE7F93" w:rsidRDefault="00E90D33" w:rsidP="00A51556">
      <w:pPr>
        <w:pStyle w:val="Bullet"/>
        <w:jc w:val="both"/>
      </w:pPr>
      <w:r>
        <w:t xml:space="preserve">where, at the time an investment is proposed, an investor offers </w:t>
      </w:r>
      <w:r w:rsidR="0088331A">
        <w:t>to undertake certain</w:t>
      </w:r>
      <w:r>
        <w:t xml:space="preserve"> things which </w:t>
      </w:r>
      <w:r w:rsidR="00E76916">
        <w:t>ha</w:t>
      </w:r>
      <w:r w:rsidR="0084678C">
        <w:t>ve</w:t>
      </w:r>
      <w:r w:rsidR="00E76916">
        <w:t xml:space="preserve"> the effect of reducing national interest risks and</w:t>
      </w:r>
      <w:r>
        <w:t xml:space="preserve"> make it more likely that </w:t>
      </w:r>
      <w:r w:rsidR="0080011E">
        <w:t>the proposal (</w:t>
      </w:r>
      <w:r w:rsidR="00511B41">
        <w:t>subject to</w:t>
      </w:r>
      <w:r w:rsidR="0080011E">
        <w:t xml:space="preserve"> any applicable conditions) would not </w:t>
      </w:r>
      <w:r w:rsidR="00511B41">
        <w:t xml:space="preserve">be contrary to the national interest, so enabling </w:t>
      </w:r>
      <w:r>
        <w:t xml:space="preserve">the decision maker </w:t>
      </w:r>
      <w:r w:rsidR="00511B41">
        <w:t>to accept it</w:t>
      </w:r>
      <w:r>
        <w:t>.</w:t>
      </w:r>
      <w:r w:rsidR="008230A7">
        <w:t xml:space="preserve"> I</w:t>
      </w:r>
      <w:r w:rsidR="00AE7F93">
        <w:t xml:space="preserve">t is anticipated that the framework for accepting and enforcing undertakings that is set out in the </w:t>
      </w:r>
      <w:r w:rsidR="00AE7F93" w:rsidRPr="008230A7">
        <w:rPr>
          <w:i/>
        </w:rPr>
        <w:t>Regulatory Powers (Standard Provisions) Act 2014</w:t>
      </w:r>
      <w:r w:rsidR="00AE7F93" w:rsidRPr="00003A4C">
        <w:t xml:space="preserve"> </w:t>
      </w:r>
      <w:r w:rsidR="00AE7F93">
        <w:t>will be used to enact this power.</w:t>
      </w:r>
    </w:p>
    <w:p w14:paraId="47D20AC7" w14:textId="7C99D661" w:rsidR="007D3085" w:rsidRDefault="007D3085" w:rsidP="00946485">
      <w:pPr>
        <w:pStyle w:val="Heading2"/>
        <w:rPr>
          <w:rFonts w:eastAsia="Arial"/>
        </w:rPr>
      </w:pPr>
      <w:bookmarkStart w:id="187" w:name="_Toc34142433"/>
      <w:bookmarkStart w:id="188" w:name="_Toc34147757"/>
      <w:bookmarkStart w:id="189" w:name="_Toc34148760"/>
      <w:bookmarkStart w:id="190" w:name="_Toc34376177"/>
      <w:bookmarkStart w:id="191" w:name="_Toc34384785"/>
      <w:bookmarkStart w:id="192" w:name="_Toc34385216"/>
      <w:bookmarkStart w:id="193" w:name="_Toc34823611"/>
      <w:bookmarkStart w:id="194" w:name="_Toc34840558"/>
      <w:bookmarkStart w:id="195" w:name="_Toc35254835"/>
      <w:bookmarkStart w:id="196" w:name="_Toc35257731"/>
      <w:bookmarkStart w:id="197" w:name="_Toc41999448"/>
      <w:bookmarkStart w:id="198" w:name="_Toc42154165"/>
      <w:r w:rsidRPr="002757DB">
        <w:rPr>
          <w:rFonts w:eastAsia="Arial"/>
        </w:rPr>
        <w:lastRenderedPageBreak/>
        <w:t xml:space="preserve">Require notification that an </w:t>
      </w:r>
      <w:r w:rsidR="009F334E">
        <w:rPr>
          <w:rFonts w:eastAsia="Arial"/>
        </w:rPr>
        <w:t>action has been taken</w:t>
      </w:r>
      <w:bookmarkEnd w:id="187"/>
      <w:bookmarkEnd w:id="188"/>
      <w:bookmarkEnd w:id="189"/>
      <w:bookmarkEnd w:id="190"/>
      <w:bookmarkEnd w:id="191"/>
      <w:bookmarkEnd w:id="192"/>
      <w:bookmarkEnd w:id="193"/>
      <w:bookmarkEnd w:id="194"/>
      <w:bookmarkEnd w:id="195"/>
      <w:bookmarkEnd w:id="196"/>
      <w:bookmarkEnd w:id="197"/>
      <w:bookmarkEnd w:id="198"/>
    </w:p>
    <w:p w14:paraId="14D72DF8" w14:textId="77777777" w:rsidR="00E77132" w:rsidRPr="00C06557" w:rsidRDefault="00E77132" w:rsidP="00E77132">
      <w:pPr>
        <w:pStyle w:val="SingleParagraph"/>
        <w:rPr>
          <w:rFonts w:eastAsia="Arial"/>
        </w:rPr>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E77132" w14:paraId="30644343" w14:textId="77777777" w:rsidTr="001F018F">
        <w:tc>
          <w:tcPr>
            <w:tcW w:w="5000" w:type="pct"/>
            <w:shd w:val="clear" w:color="auto" w:fill="EBEBEB"/>
          </w:tcPr>
          <w:p w14:paraId="1E0B3E5D" w14:textId="71DCDA80" w:rsidR="00E77132" w:rsidRPr="00E77132" w:rsidRDefault="00E77132" w:rsidP="00E77132">
            <w:pPr>
              <w:pStyle w:val="OneLevelNumberedParagraph"/>
              <w:rPr>
                <w:sz w:val="22"/>
              </w:rPr>
            </w:pPr>
            <w:r w:rsidRPr="00E77132">
              <w:rPr>
                <w:sz w:val="22"/>
              </w:rPr>
              <w:t>Foreign persons who have been issued a no objection notification for a proposed action or an exemption certificate will be required to notify the Government of certain events, including that the action has occurred or did not occur.</w:t>
            </w:r>
          </w:p>
        </w:tc>
      </w:tr>
    </w:tbl>
    <w:p w14:paraId="11753424" w14:textId="77777777" w:rsidR="00E77132" w:rsidRDefault="00E77132" w:rsidP="00E77132">
      <w:pPr>
        <w:pStyle w:val="SingleParagraph"/>
        <w:rPr>
          <w:rFonts w:eastAsia="Arial"/>
        </w:rPr>
      </w:pPr>
    </w:p>
    <w:p w14:paraId="1F39468E" w14:textId="25BCE989" w:rsidR="00042230" w:rsidRDefault="00C26595" w:rsidP="00E77132">
      <w:r>
        <w:t>Presently, f</w:t>
      </w:r>
      <w:r w:rsidR="00042230">
        <w:t xml:space="preserve">ollowing a </w:t>
      </w:r>
      <w:r w:rsidR="00A72FA2">
        <w:t>no objection</w:t>
      </w:r>
      <w:r w:rsidR="00042230" w:rsidRPr="00E84FA5">
        <w:t xml:space="preserve"> notification, there is </w:t>
      </w:r>
      <w:r w:rsidR="00840C78">
        <w:t xml:space="preserve">often </w:t>
      </w:r>
      <w:r w:rsidR="00042230">
        <w:t xml:space="preserve">a </w:t>
      </w:r>
      <w:r w:rsidR="00042230" w:rsidRPr="00E84FA5">
        <w:t xml:space="preserve">lack of visibility whether the proposed </w:t>
      </w:r>
      <w:r w:rsidR="009F334E">
        <w:t>action</w:t>
      </w:r>
      <w:r w:rsidR="00042230" w:rsidRPr="00E84FA5">
        <w:t xml:space="preserve"> actually </w:t>
      </w:r>
      <w:r w:rsidR="009F334E">
        <w:t xml:space="preserve">occurs </w:t>
      </w:r>
      <w:r w:rsidR="00042230" w:rsidRPr="00E84FA5">
        <w:t>and when.</w:t>
      </w:r>
      <w:r w:rsidR="00042230">
        <w:t xml:space="preserve"> This makes it difficult to enforce conditions that only take effect upon </w:t>
      </w:r>
      <w:r w:rsidR="001D6923">
        <w:t xml:space="preserve">the action </w:t>
      </w:r>
      <w:r w:rsidR="00464A7F">
        <w:t>occurring</w:t>
      </w:r>
      <w:r w:rsidR="00042230">
        <w:t xml:space="preserve">, because Treasury is not aware when these conditions </w:t>
      </w:r>
      <w:r w:rsidR="00694FB8">
        <w:t xml:space="preserve">take </w:t>
      </w:r>
      <w:r w:rsidR="00042230">
        <w:t xml:space="preserve">effect. </w:t>
      </w:r>
    </w:p>
    <w:p w14:paraId="73548070" w14:textId="77777777" w:rsidR="00042230" w:rsidRPr="002757DB" w:rsidRDefault="00042230" w:rsidP="001F018F">
      <w:pPr>
        <w:rPr>
          <w:szCs w:val="22"/>
        </w:rPr>
      </w:pPr>
      <w:r>
        <w:t>A requirement to notify when the transaction takes place is included in conditions relatively often, but a uniform and legislated requirement will place a stronger obligation on investors and will be simpler to administer.</w:t>
      </w:r>
    </w:p>
    <w:p w14:paraId="0BD03423" w14:textId="3DD98F59" w:rsidR="002757DB" w:rsidRPr="002757DB" w:rsidRDefault="00FE1D57" w:rsidP="001F018F">
      <w:r>
        <w:t>An</w:t>
      </w:r>
      <w:r w:rsidR="002757DB" w:rsidRPr="002757DB">
        <w:t xml:space="preserve"> applicant who has been issued a </w:t>
      </w:r>
      <w:r w:rsidR="00A72FA2">
        <w:t>no objection</w:t>
      </w:r>
      <w:r w:rsidR="002757DB" w:rsidRPr="002757DB">
        <w:t xml:space="preserve"> notification for a proposed action </w:t>
      </w:r>
      <w:r>
        <w:t>will be required</w:t>
      </w:r>
      <w:r w:rsidR="002757DB" w:rsidRPr="002757DB">
        <w:t xml:space="preserve"> to notify, within a specified number of days, that: the action has occurred; the action did not occur within the life of the </w:t>
      </w:r>
      <w:r w:rsidR="00A72FA2">
        <w:t>no objection</w:t>
      </w:r>
      <w:r w:rsidR="002757DB" w:rsidRPr="002757DB">
        <w:t xml:space="preserve"> notification; or the applicant become aware of a termination event in relation to conditions that have been imposed</w:t>
      </w:r>
      <w:r>
        <w:t>.</w:t>
      </w:r>
    </w:p>
    <w:p w14:paraId="4D6CE879" w14:textId="1B6A18F4" w:rsidR="00DA7F34" w:rsidRDefault="00DA7F34" w:rsidP="00CE7214">
      <w:pPr>
        <w:pStyle w:val="OutlineNumbered1"/>
        <w:numPr>
          <w:ilvl w:val="0"/>
          <w:numId w:val="0"/>
        </w:numPr>
        <w:rPr>
          <w:rFonts w:cs="Arial"/>
          <w:iCs/>
          <w:color w:val="002C47"/>
          <w:kern w:val="32"/>
          <w:sz w:val="36"/>
          <w:szCs w:val="28"/>
        </w:rPr>
      </w:pPr>
      <w:r>
        <w:br w:type="page"/>
      </w:r>
    </w:p>
    <w:p w14:paraId="661F47EA" w14:textId="06E64EE5" w:rsidR="00832387" w:rsidRDefault="00832387" w:rsidP="00946485">
      <w:pPr>
        <w:pStyle w:val="Heading1"/>
      </w:pPr>
      <w:bookmarkStart w:id="199" w:name="_Toc33540604"/>
      <w:bookmarkStart w:id="200" w:name="_Toc33625479"/>
      <w:bookmarkStart w:id="201" w:name="_Toc34142434"/>
      <w:bookmarkStart w:id="202" w:name="_Toc34147758"/>
      <w:bookmarkStart w:id="203" w:name="_Toc34148761"/>
      <w:bookmarkStart w:id="204" w:name="_Toc34376178"/>
      <w:bookmarkStart w:id="205" w:name="_Toc34384786"/>
      <w:bookmarkStart w:id="206" w:name="_Toc34385217"/>
      <w:bookmarkStart w:id="207" w:name="_Toc34823612"/>
      <w:bookmarkStart w:id="208" w:name="_Toc34840559"/>
      <w:bookmarkStart w:id="209" w:name="_Toc35254836"/>
      <w:bookmarkStart w:id="210" w:name="_Toc35257732"/>
      <w:bookmarkStart w:id="211" w:name="_Toc41999449"/>
      <w:bookmarkStart w:id="212" w:name="_Toc42154166"/>
      <w:bookmarkStart w:id="213" w:name="_Toc33450093"/>
      <w:bookmarkStart w:id="214" w:name="_Toc33540601"/>
      <w:r>
        <w:lastRenderedPageBreak/>
        <w:t>Integrity of the foreign investment</w:t>
      </w:r>
      <w:r w:rsidR="00621498">
        <w:t xml:space="preserve"> review</w:t>
      </w:r>
      <w:r>
        <w:t xml:space="preserve"> framework</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5BC32408" w14:textId="7EE99476" w:rsidR="00530CDA" w:rsidRDefault="00832387" w:rsidP="001F018F">
      <w:pPr>
        <w:rPr>
          <w:rFonts w:eastAsia="Arial"/>
        </w:rPr>
      </w:pPr>
      <w:r>
        <w:rPr>
          <w:rFonts w:eastAsia="Arial"/>
        </w:rPr>
        <w:t xml:space="preserve">The Government is committed to improving the integrity of the framework by making foreign investor obligations clearer, ensuring the foreign investment </w:t>
      </w:r>
      <w:r w:rsidR="00621498">
        <w:rPr>
          <w:rFonts w:eastAsia="Arial"/>
        </w:rPr>
        <w:t xml:space="preserve">review </w:t>
      </w:r>
      <w:r>
        <w:rPr>
          <w:rFonts w:eastAsia="Arial"/>
        </w:rPr>
        <w:t>framework c</w:t>
      </w:r>
      <w:r w:rsidR="00544217">
        <w:rPr>
          <w:rFonts w:eastAsia="Arial"/>
        </w:rPr>
        <w:t>ontinues to be fit for purpose</w:t>
      </w:r>
      <w:r w:rsidR="00D1353E">
        <w:rPr>
          <w:rFonts w:eastAsia="Arial"/>
        </w:rPr>
        <w:t xml:space="preserve"> and meet community expectations</w:t>
      </w:r>
      <w:r w:rsidR="00544217">
        <w:rPr>
          <w:rFonts w:eastAsia="Arial"/>
        </w:rPr>
        <w:t>.</w:t>
      </w:r>
    </w:p>
    <w:p w14:paraId="684A29BC" w14:textId="698305C3" w:rsidR="007D3085" w:rsidRDefault="00817274" w:rsidP="00946485">
      <w:pPr>
        <w:pStyle w:val="Heading2"/>
        <w:rPr>
          <w:rFonts w:eastAsia="Arial"/>
        </w:rPr>
      </w:pPr>
      <w:bookmarkStart w:id="215" w:name="_Toc34142435"/>
      <w:bookmarkStart w:id="216" w:name="_Toc34147759"/>
      <w:bookmarkStart w:id="217" w:name="_Toc34148762"/>
      <w:bookmarkStart w:id="218" w:name="_Toc34376179"/>
      <w:bookmarkStart w:id="219" w:name="_Toc34384787"/>
      <w:bookmarkStart w:id="220" w:name="_Toc34385218"/>
      <w:bookmarkStart w:id="221" w:name="_Toc34823613"/>
      <w:bookmarkStart w:id="222" w:name="_Toc34840560"/>
      <w:bookmarkStart w:id="223" w:name="_Toc35254837"/>
      <w:bookmarkStart w:id="224" w:name="_Toc35257733"/>
      <w:bookmarkStart w:id="225" w:name="_Toc41999450"/>
      <w:bookmarkStart w:id="226" w:name="_Toc42154167"/>
      <w:r>
        <w:rPr>
          <w:rFonts w:eastAsia="Arial"/>
        </w:rPr>
        <w:t>Improve the integrity of the approval process</w:t>
      </w:r>
      <w:bookmarkEnd w:id="215"/>
      <w:bookmarkEnd w:id="216"/>
      <w:bookmarkEnd w:id="217"/>
      <w:bookmarkEnd w:id="218"/>
      <w:bookmarkEnd w:id="219"/>
      <w:bookmarkEnd w:id="220"/>
      <w:bookmarkEnd w:id="221"/>
      <w:bookmarkEnd w:id="222"/>
      <w:bookmarkEnd w:id="223"/>
      <w:bookmarkEnd w:id="224"/>
      <w:bookmarkEnd w:id="225"/>
      <w:bookmarkEnd w:id="226"/>
    </w:p>
    <w:p w14:paraId="31F33A13" w14:textId="77777777" w:rsidR="00E77132" w:rsidRPr="00C06557" w:rsidRDefault="00E77132" w:rsidP="00E77132">
      <w:pPr>
        <w:pStyle w:val="SingleParagraph"/>
        <w:rPr>
          <w:rFonts w:eastAsia="Arial"/>
        </w:rPr>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E77132" w14:paraId="5528E237" w14:textId="77777777" w:rsidTr="001F018F">
        <w:tc>
          <w:tcPr>
            <w:tcW w:w="5000" w:type="pct"/>
            <w:shd w:val="clear" w:color="auto" w:fill="EBEBEB"/>
          </w:tcPr>
          <w:p w14:paraId="5B07CBF8" w14:textId="319A0C1B" w:rsidR="00E77132" w:rsidRPr="00E77132" w:rsidRDefault="00E77132" w:rsidP="00E77132">
            <w:pPr>
              <w:pStyle w:val="OneLevelNumberedParagraph"/>
              <w:rPr>
                <w:sz w:val="22"/>
              </w:rPr>
            </w:pPr>
            <w:r w:rsidRPr="00E77132">
              <w:rPr>
                <w:sz w:val="22"/>
              </w:rPr>
              <w:t>The Government will clarify that foreign persons are required to seek further foreign investment approval for any increase in actual or proportional holdings above what has been previously approved, including as a result of creep acquisitions and proportional increases through share buybacks and selective capital reductions.</w:t>
            </w:r>
          </w:p>
        </w:tc>
      </w:tr>
    </w:tbl>
    <w:p w14:paraId="3ABB725D" w14:textId="77777777" w:rsidR="00E77132" w:rsidRDefault="00E77132" w:rsidP="00E77132">
      <w:pPr>
        <w:pStyle w:val="SingleParagraph"/>
        <w:rPr>
          <w:rFonts w:eastAsia="Arial"/>
        </w:rPr>
      </w:pPr>
    </w:p>
    <w:p w14:paraId="4667AFAA" w14:textId="26C04FA0" w:rsidR="00817274" w:rsidRDefault="00817274" w:rsidP="00E77132">
      <w:pPr>
        <w:rPr>
          <w:rFonts w:eastAsia="Arial"/>
        </w:rPr>
      </w:pPr>
      <w:r w:rsidRPr="7A9A7C5B">
        <w:rPr>
          <w:rFonts w:eastAsia="Arial"/>
        </w:rPr>
        <w:t>Not all increases in shareholdings of an Australian business require</w:t>
      </w:r>
      <w:r w:rsidR="005C718E">
        <w:rPr>
          <w:rFonts w:eastAsia="Arial"/>
        </w:rPr>
        <w:t xml:space="preserve"> foreign investment</w:t>
      </w:r>
      <w:r w:rsidRPr="7A9A7C5B">
        <w:rPr>
          <w:rFonts w:eastAsia="Arial"/>
        </w:rPr>
        <w:t xml:space="preserve"> approval.</w:t>
      </w:r>
      <w:r w:rsidR="00840C78">
        <w:rPr>
          <w:rFonts w:eastAsia="Arial"/>
        </w:rPr>
        <w:t xml:space="preserve"> Certain i</w:t>
      </w:r>
      <w:r w:rsidRPr="7A9A7C5B">
        <w:rPr>
          <w:rFonts w:eastAsia="Arial"/>
        </w:rPr>
        <w:t>nvestors may be able to increase their holdings above 20 per cent in target companies incrementally over time,</w:t>
      </w:r>
      <w:r w:rsidR="00D87878">
        <w:rPr>
          <w:rFonts w:eastAsia="Arial"/>
        </w:rPr>
        <w:t xml:space="preserve"> and unless the acquisitions result in a change in control, the Government may be unable to impose conditions or prohibit these further acquisitions </w:t>
      </w:r>
      <w:r w:rsidR="00A71F4F">
        <w:rPr>
          <w:rFonts w:eastAsia="Arial"/>
        </w:rPr>
        <w:t xml:space="preserve">under the FATA </w:t>
      </w:r>
      <w:r w:rsidR="00D87878">
        <w:rPr>
          <w:rFonts w:eastAsia="Arial"/>
        </w:rPr>
        <w:t xml:space="preserve">even where </w:t>
      </w:r>
      <w:r w:rsidR="005E62A8">
        <w:rPr>
          <w:rFonts w:eastAsia="Arial"/>
        </w:rPr>
        <w:t>the investment raises national</w:t>
      </w:r>
      <w:r w:rsidR="00D87878">
        <w:rPr>
          <w:rFonts w:eastAsia="Arial"/>
        </w:rPr>
        <w:t xml:space="preserve"> interest concerns.</w:t>
      </w:r>
      <w:r w:rsidRPr="7A9A7C5B">
        <w:rPr>
          <w:rFonts w:eastAsia="Arial"/>
        </w:rPr>
        <w:t xml:space="preserve"> </w:t>
      </w:r>
    </w:p>
    <w:p w14:paraId="12CAE64D" w14:textId="788195F8" w:rsidR="00817274" w:rsidRDefault="00817274" w:rsidP="001F018F">
      <w:pPr>
        <w:rPr>
          <w:rFonts w:eastAsia="Arial"/>
        </w:rPr>
      </w:pPr>
      <w:r w:rsidRPr="7A9A7C5B">
        <w:rPr>
          <w:rFonts w:eastAsia="Arial"/>
        </w:rPr>
        <w:t>Additionally, the effect</w:t>
      </w:r>
      <w:r w:rsidR="006224A5">
        <w:rPr>
          <w:rFonts w:eastAsia="Arial"/>
        </w:rPr>
        <w:t>s</w:t>
      </w:r>
      <w:r w:rsidRPr="7A9A7C5B">
        <w:rPr>
          <w:rFonts w:eastAsia="Arial"/>
        </w:rPr>
        <w:t xml:space="preserve"> of </w:t>
      </w:r>
      <w:r w:rsidR="00840C78">
        <w:rPr>
          <w:rFonts w:eastAsia="Arial"/>
        </w:rPr>
        <w:t xml:space="preserve">selective capital reductions or </w:t>
      </w:r>
      <w:r w:rsidRPr="7A9A7C5B">
        <w:rPr>
          <w:rFonts w:eastAsia="Arial"/>
        </w:rPr>
        <w:t xml:space="preserve">share buyback programs </w:t>
      </w:r>
      <w:r w:rsidR="000A492A">
        <w:rPr>
          <w:rFonts w:eastAsia="Arial"/>
        </w:rPr>
        <w:t xml:space="preserve">present </w:t>
      </w:r>
      <w:r w:rsidRPr="7A9A7C5B">
        <w:rPr>
          <w:rFonts w:eastAsia="Arial"/>
        </w:rPr>
        <w:t>a potential gap in the Government</w:t>
      </w:r>
      <w:r w:rsidR="00AF5EDD">
        <w:rPr>
          <w:rFonts w:eastAsia="Arial"/>
        </w:rPr>
        <w:t>’</w:t>
      </w:r>
      <w:r w:rsidRPr="7A9A7C5B">
        <w:rPr>
          <w:rFonts w:eastAsia="Arial"/>
        </w:rPr>
        <w:t xml:space="preserve">s ability to </w:t>
      </w:r>
      <w:r>
        <w:rPr>
          <w:rFonts w:eastAsia="Arial"/>
        </w:rPr>
        <w:t>address national interest risks with respect to</w:t>
      </w:r>
      <w:r w:rsidRPr="7A9A7C5B">
        <w:rPr>
          <w:rFonts w:eastAsia="Arial"/>
        </w:rPr>
        <w:t xml:space="preserve"> previously approved foreign investors increasing their </w:t>
      </w:r>
      <w:r w:rsidR="00840C78">
        <w:rPr>
          <w:rFonts w:eastAsia="Arial"/>
        </w:rPr>
        <w:t>percentage</w:t>
      </w:r>
      <w:r>
        <w:rPr>
          <w:rFonts w:eastAsia="Arial"/>
        </w:rPr>
        <w:t>, includ</w:t>
      </w:r>
      <w:r w:rsidR="00442F92">
        <w:rPr>
          <w:rFonts w:eastAsia="Arial"/>
        </w:rPr>
        <w:t>ing changes in control above 20 </w:t>
      </w:r>
      <w:r>
        <w:rPr>
          <w:rFonts w:eastAsia="Arial"/>
        </w:rPr>
        <w:t>per</w:t>
      </w:r>
      <w:r w:rsidR="00442F92">
        <w:rPr>
          <w:rFonts w:eastAsia="Arial"/>
        </w:rPr>
        <w:t> </w:t>
      </w:r>
      <w:r>
        <w:rPr>
          <w:rFonts w:eastAsia="Arial"/>
        </w:rPr>
        <w:t>cent</w:t>
      </w:r>
      <w:r w:rsidRPr="7A9A7C5B">
        <w:rPr>
          <w:rFonts w:eastAsia="Arial"/>
        </w:rPr>
        <w:t>.</w:t>
      </w:r>
      <w:r>
        <w:rPr>
          <w:rFonts w:eastAsia="Arial"/>
        </w:rPr>
        <w:t xml:space="preserve"> This amendment will clarify that </w:t>
      </w:r>
      <w:r w:rsidRPr="7A9A7C5B">
        <w:rPr>
          <w:rFonts w:eastAsia="Arial"/>
        </w:rPr>
        <w:t xml:space="preserve">increases in </w:t>
      </w:r>
      <w:r w:rsidR="00840C78">
        <w:rPr>
          <w:rFonts w:eastAsia="Arial"/>
        </w:rPr>
        <w:t>interests in entities above</w:t>
      </w:r>
      <w:r w:rsidR="00AE31C2">
        <w:rPr>
          <w:rFonts w:eastAsia="Arial"/>
        </w:rPr>
        <w:t xml:space="preserve"> 20 per cent </w:t>
      </w:r>
      <w:r w:rsidRPr="7A9A7C5B">
        <w:rPr>
          <w:rFonts w:eastAsia="Arial"/>
        </w:rPr>
        <w:t xml:space="preserve">as a result of share buybacks or selective capital reductions </w:t>
      </w:r>
      <w:r w:rsidR="00EF49DE">
        <w:rPr>
          <w:rFonts w:eastAsia="Arial"/>
        </w:rPr>
        <w:t xml:space="preserve">will require approval </w:t>
      </w:r>
      <w:r w:rsidR="00EF49DE" w:rsidRPr="7A9A7C5B">
        <w:rPr>
          <w:rFonts w:eastAsia="Arial"/>
        </w:rPr>
        <w:t>under the FATA</w:t>
      </w:r>
      <w:r w:rsidRPr="7A9A7C5B">
        <w:rPr>
          <w:rFonts w:eastAsia="Arial"/>
        </w:rPr>
        <w:t xml:space="preserve">. </w:t>
      </w:r>
    </w:p>
    <w:p w14:paraId="0CF1CDC6" w14:textId="334F6F10" w:rsidR="000C1839" w:rsidRDefault="000C1839" w:rsidP="000C1839">
      <w:pPr>
        <w:pStyle w:val="Heading2"/>
        <w:rPr>
          <w:rFonts w:eastAsia="Arial"/>
        </w:rPr>
      </w:pPr>
      <w:bookmarkStart w:id="227" w:name="_Toc34384788"/>
      <w:bookmarkStart w:id="228" w:name="_Toc34385219"/>
      <w:bookmarkStart w:id="229" w:name="_Toc34823614"/>
      <w:bookmarkStart w:id="230" w:name="_Toc34840561"/>
      <w:bookmarkStart w:id="231" w:name="_Toc35254838"/>
      <w:bookmarkStart w:id="232" w:name="_Toc35257734"/>
      <w:bookmarkStart w:id="233" w:name="_Toc41999451"/>
      <w:bookmarkStart w:id="234" w:name="_Toc42154168"/>
      <w:bookmarkStart w:id="235" w:name="_Toc34142436"/>
      <w:bookmarkStart w:id="236" w:name="_Toc34147760"/>
      <w:bookmarkStart w:id="237" w:name="_Toc34148763"/>
      <w:bookmarkStart w:id="238" w:name="_Toc34376180"/>
      <w:r w:rsidRPr="004004BF">
        <w:rPr>
          <w:rFonts w:eastAsia="Arial"/>
        </w:rPr>
        <w:t>Narrow the scope of the moneylending exemption</w:t>
      </w:r>
      <w:bookmarkEnd w:id="227"/>
      <w:bookmarkEnd w:id="228"/>
      <w:bookmarkEnd w:id="229"/>
      <w:bookmarkEnd w:id="230"/>
      <w:bookmarkEnd w:id="231"/>
      <w:bookmarkEnd w:id="232"/>
      <w:bookmarkEnd w:id="233"/>
      <w:bookmarkEnd w:id="234"/>
    </w:p>
    <w:p w14:paraId="31B2D035" w14:textId="77777777" w:rsidR="00E77132" w:rsidRPr="00C06557" w:rsidRDefault="00E77132" w:rsidP="00E77132">
      <w:pPr>
        <w:pStyle w:val="SingleParagraph"/>
        <w:rPr>
          <w:rFonts w:eastAsia="Arial"/>
        </w:rPr>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E77132" w14:paraId="40E37752" w14:textId="77777777" w:rsidTr="001F018F">
        <w:tc>
          <w:tcPr>
            <w:tcW w:w="5000" w:type="pct"/>
            <w:shd w:val="clear" w:color="auto" w:fill="EBEBEB"/>
          </w:tcPr>
          <w:p w14:paraId="33EA5C4B" w14:textId="04BBDFCA" w:rsidR="00E77132" w:rsidRPr="00E77132" w:rsidRDefault="00E77132" w:rsidP="00E77132">
            <w:pPr>
              <w:pStyle w:val="OneLevelNumberedParagraph"/>
              <w:rPr>
                <w:sz w:val="22"/>
              </w:rPr>
            </w:pPr>
            <w:r w:rsidRPr="00E77132">
              <w:rPr>
                <w:sz w:val="22"/>
              </w:rPr>
              <w:t>The Government will narrow the scope of the moneylending exemption so that it does not apply where foreign money lenders are obtaining interests in a sensitive national security business under a moneylending agreement.</w:t>
            </w:r>
          </w:p>
        </w:tc>
      </w:tr>
    </w:tbl>
    <w:p w14:paraId="08F1692D" w14:textId="77777777" w:rsidR="00E77132" w:rsidRDefault="00E77132" w:rsidP="00E77132">
      <w:pPr>
        <w:pStyle w:val="SingleParagraph"/>
        <w:rPr>
          <w:lang w:val="en"/>
        </w:rPr>
      </w:pPr>
    </w:p>
    <w:p w14:paraId="2A792807" w14:textId="6955502B" w:rsidR="000875FD" w:rsidRPr="00A87AB2" w:rsidRDefault="00DC4C86" w:rsidP="001F018F">
      <w:pPr>
        <w:rPr>
          <w:rFonts w:eastAsia="Arial"/>
        </w:rPr>
      </w:pPr>
      <w:r w:rsidRPr="00DC4C86">
        <w:rPr>
          <w:lang w:val="en"/>
        </w:rPr>
        <w:t>Section 27 of the FATR exempts for all purposes, the acquisition of an interest in securities, assets, a trust, Australian land or a tenement if the interest is held solely by way of security for the purposes of a moneylending agreement.</w:t>
      </w:r>
      <w:r w:rsidR="00BD57F5">
        <w:rPr>
          <w:lang w:val="en"/>
        </w:rPr>
        <w:t xml:space="preserve"> </w:t>
      </w:r>
      <w:r w:rsidR="008D138C">
        <w:rPr>
          <w:lang w:val="en"/>
        </w:rPr>
        <w:t xml:space="preserve">The scope of this moneylending exemption will be narrowed so that </w:t>
      </w:r>
      <w:bookmarkStart w:id="239" w:name="_Toc34384789"/>
      <w:bookmarkStart w:id="240" w:name="_Toc34385220"/>
      <w:bookmarkStart w:id="241" w:name="_Toc34823615"/>
      <w:bookmarkStart w:id="242" w:name="_Toc34840562"/>
      <w:bookmarkStart w:id="243" w:name="_Toc35254839"/>
      <w:bookmarkStart w:id="244" w:name="_Toc35257735"/>
      <w:r w:rsidR="000875FD">
        <w:t>foreign</w:t>
      </w:r>
      <w:r w:rsidR="000875FD" w:rsidDel="003D6146">
        <w:t xml:space="preserve"> </w:t>
      </w:r>
      <w:r w:rsidR="003D6146">
        <w:t>persons</w:t>
      </w:r>
      <w:r w:rsidR="00DE2224">
        <w:t xml:space="preserve"> will need approval before</w:t>
      </w:r>
      <w:r w:rsidR="003D6146">
        <w:t xml:space="preserve"> </w:t>
      </w:r>
      <w:r w:rsidR="000875FD">
        <w:t xml:space="preserve">acquiring an interest in securities, assets, a trust, Australian land or a tenement in a sensitive national security business (as newly defined under the national security measures), where the interest will be held solely by way of security for the purpose a moneylending agreement. </w:t>
      </w:r>
    </w:p>
    <w:p w14:paraId="23055B02" w14:textId="55BDDD9D" w:rsidR="000C1839" w:rsidRDefault="00772123" w:rsidP="000C1839">
      <w:pPr>
        <w:pStyle w:val="Heading2"/>
        <w:rPr>
          <w:rFonts w:eastAsia="Arial"/>
        </w:rPr>
      </w:pPr>
      <w:r>
        <w:rPr>
          <w:rFonts w:eastAsia="Arial"/>
        </w:rPr>
        <w:br w:type="column"/>
      </w:r>
      <w:bookmarkStart w:id="245" w:name="_Toc41999452"/>
      <w:bookmarkStart w:id="246" w:name="_Toc42154169"/>
      <w:r w:rsidR="000C1839">
        <w:rPr>
          <w:rFonts w:eastAsia="Arial"/>
        </w:rPr>
        <w:lastRenderedPageBreak/>
        <w:t xml:space="preserve">Oversight of </w:t>
      </w:r>
      <w:r w:rsidR="001F0C87">
        <w:rPr>
          <w:rFonts w:eastAsia="Arial"/>
        </w:rPr>
        <w:t xml:space="preserve">Commonwealth, </w:t>
      </w:r>
      <w:r w:rsidR="000C1839">
        <w:rPr>
          <w:rFonts w:eastAsia="Arial"/>
        </w:rPr>
        <w:t>state, territory and local Government asset sales</w:t>
      </w:r>
      <w:bookmarkEnd w:id="239"/>
      <w:bookmarkEnd w:id="240"/>
      <w:bookmarkEnd w:id="241"/>
      <w:bookmarkEnd w:id="242"/>
      <w:bookmarkEnd w:id="243"/>
      <w:bookmarkEnd w:id="244"/>
      <w:bookmarkEnd w:id="245"/>
      <w:bookmarkEnd w:id="246"/>
    </w:p>
    <w:p w14:paraId="7B456FE0" w14:textId="77777777" w:rsidR="00E77132" w:rsidRPr="00C06557" w:rsidRDefault="00E77132" w:rsidP="00E77132">
      <w:pPr>
        <w:pStyle w:val="SingleParagraph"/>
        <w:rPr>
          <w:rFonts w:eastAsia="Arial"/>
        </w:rPr>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E77132" w14:paraId="42B74BC1" w14:textId="77777777" w:rsidTr="001F018F">
        <w:tc>
          <w:tcPr>
            <w:tcW w:w="5000" w:type="pct"/>
            <w:shd w:val="clear" w:color="auto" w:fill="EBEBEB"/>
          </w:tcPr>
          <w:p w14:paraId="31E1E913" w14:textId="5E5449B3" w:rsidR="00E77132" w:rsidRPr="00E77132" w:rsidRDefault="00E77132" w:rsidP="00E77132">
            <w:pPr>
              <w:pStyle w:val="OneLevelNumberedParagraph"/>
              <w:rPr>
                <w:sz w:val="22"/>
              </w:rPr>
            </w:pPr>
            <w:r w:rsidRPr="00E77132">
              <w:rPr>
                <w:sz w:val="22"/>
              </w:rPr>
              <w:t>The Government will require foreign persons to seek foreign investment approval for acquisitions of interests from the Commonwealth, state or territory governments, or local government bodies to perform Government services or functions associated with privatisation programs that may raise national security risks.</w:t>
            </w:r>
          </w:p>
        </w:tc>
      </w:tr>
    </w:tbl>
    <w:p w14:paraId="0CE1FA64" w14:textId="77777777" w:rsidR="00E77132" w:rsidRDefault="00E77132" w:rsidP="00E77132">
      <w:pPr>
        <w:pStyle w:val="SingleParagraph"/>
        <w:rPr>
          <w:rFonts w:eastAsia="Arial"/>
        </w:rPr>
      </w:pPr>
    </w:p>
    <w:p w14:paraId="436A0E2D" w14:textId="6D370F4D" w:rsidR="00B7043D" w:rsidRDefault="00C27205" w:rsidP="001F018F">
      <w:r>
        <w:t xml:space="preserve">Currently, </w:t>
      </w:r>
      <w:r w:rsidR="00B7043D">
        <w:t>section 31 of the FATR exempt</w:t>
      </w:r>
      <w:r w:rsidR="00D307DE">
        <w:t>s</w:t>
      </w:r>
      <w:r>
        <w:t xml:space="preserve"> </w:t>
      </w:r>
      <w:r w:rsidR="00B7043D">
        <w:t xml:space="preserve">certain acquisitions from Australian governments from the FATA, except for acquisitions by foreign government investors or </w:t>
      </w:r>
      <w:r>
        <w:t xml:space="preserve">acquisitions of specified infrastructure </w:t>
      </w:r>
      <w:r w:rsidR="0032032A">
        <w:t xml:space="preserve">from Australian governments (or </w:t>
      </w:r>
      <w:r w:rsidR="00AF5EDD">
        <w:t>‘</w:t>
      </w:r>
      <w:r w:rsidR="0032032A">
        <w:t>Australian businesses</w:t>
      </w:r>
      <w:r w:rsidR="00AF5EDD">
        <w:t>’</w:t>
      </w:r>
      <w:r w:rsidR="0032032A">
        <w:t xml:space="preserve"> holding interests in such infrastructure).</w:t>
      </w:r>
      <w:r w:rsidR="00C1406F">
        <w:t xml:space="preserve"> </w:t>
      </w:r>
    </w:p>
    <w:p w14:paraId="0786C408" w14:textId="175793B0" w:rsidR="005643A5" w:rsidRDefault="001F0C87" w:rsidP="001F018F">
      <w:r>
        <w:t>However,</w:t>
      </w:r>
      <w:r w:rsidR="00C27205">
        <w:t xml:space="preserve"> </w:t>
      </w:r>
      <w:r w:rsidR="000C1839" w:rsidRPr="00592BE6">
        <w:t xml:space="preserve">where a foreign </w:t>
      </w:r>
      <w:r w:rsidR="003D6146">
        <w:t>person</w:t>
      </w:r>
      <w:r w:rsidR="003D6146" w:rsidRPr="00592BE6">
        <w:t xml:space="preserve"> </w:t>
      </w:r>
      <w:r w:rsidR="004C5E58">
        <w:t>seeks</w:t>
      </w:r>
      <w:r w:rsidR="000C1839" w:rsidRPr="00592BE6">
        <w:t xml:space="preserve"> to acquire a service, function or</w:t>
      </w:r>
      <w:r w:rsidR="000C1839">
        <w:t xml:space="preserve"> asset from a </w:t>
      </w:r>
      <w:r>
        <w:t>government entity</w:t>
      </w:r>
      <w:r w:rsidR="000C1839" w:rsidRPr="00592BE6">
        <w:t xml:space="preserve">, </w:t>
      </w:r>
      <w:r w:rsidR="00AB2315">
        <w:t>and</w:t>
      </w:r>
      <w:r w:rsidR="000C1839" w:rsidRPr="00592BE6">
        <w:t xml:space="preserve"> </w:t>
      </w:r>
      <w:r w:rsidR="002A369E">
        <w:t xml:space="preserve">where the </w:t>
      </w:r>
      <w:r>
        <w:t>government entity</w:t>
      </w:r>
      <w:r w:rsidR="002A369E">
        <w:t xml:space="preserve">, in that context, is not conducting </w:t>
      </w:r>
      <w:r w:rsidR="004C5E58">
        <w:t xml:space="preserve">a business (in the legal sense), </w:t>
      </w:r>
      <w:r w:rsidR="000C1839">
        <w:t xml:space="preserve">this </w:t>
      </w:r>
      <w:r w:rsidR="000C1839" w:rsidRPr="00592BE6">
        <w:t xml:space="preserve">may not be considered to involve the acquisition of an interest in an existing </w:t>
      </w:r>
      <w:r w:rsidR="00AF5EDD">
        <w:t>‘</w:t>
      </w:r>
      <w:r w:rsidR="000C1839" w:rsidRPr="00592BE6">
        <w:t>Australian business</w:t>
      </w:r>
      <w:r w:rsidR="00AF5EDD">
        <w:t>’</w:t>
      </w:r>
      <w:r w:rsidR="000C1839" w:rsidRPr="00592BE6">
        <w:t xml:space="preserve"> for the purposes of the FATA</w:t>
      </w:r>
      <w:r w:rsidR="000C1839">
        <w:t>. T</w:t>
      </w:r>
      <w:r w:rsidR="000C1839" w:rsidRPr="00592BE6">
        <w:t>herefore</w:t>
      </w:r>
      <w:r w:rsidR="000C1839">
        <w:t>,</w:t>
      </w:r>
      <w:r w:rsidR="000C1839" w:rsidRPr="00592BE6">
        <w:t xml:space="preserve"> </w:t>
      </w:r>
      <w:r w:rsidR="000C1839">
        <w:t xml:space="preserve">the acquisition may </w:t>
      </w:r>
      <w:r w:rsidR="000C1839" w:rsidRPr="00592BE6">
        <w:t xml:space="preserve">not </w:t>
      </w:r>
      <w:r w:rsidR="000C1839">
        <w:t xml:space="preserve">be </w:t>
      </w:r>
      <w:r w:rsidR="000C1839" w:rsidRPr="00592BE6">
        <w:t>subject to foreign investment review</w:t>
      </w:r>
      <w:r w:rsidR="00F37480">
        <w:t>, even where the investment raises national security concerns</w:t>
      </w:r>
      <w:r w:rsidR="000D1474">
        <w:t xml:space="preserve">. </w:t>
      </w:r>
      <w:r w:rsidR="000C1839" w:rsidRPr="00592BE6">
        <w:t xml:space="preserve">This is because </w:t>
      </w:r>
      <w:r w:rsidR="000C1839">
        <w:t>the ordinary and traditional functions of government may not be considered to be</w:t>
      </w:r>
      <w:r w:rsidR="00BF534B">
        <w:t xml:space="preserve"> an act of</w:t>
      </w:r>
      <w:r w:rsidR="000C1839">
        <w:t xml:space="preserve"> </w:t>
      </w:r>
      <w:r w:rsidR="00AF5EDD">
        <w:t>‘</w:t>
      </w:r>
      <w:r w:rsidR="000C1839">
        <w:t xml:space="preserve">carrying on </w:t>
      </w:r>
      <w:r w:rsidR="00BF534B">
        <w:t xml:space="preserve">a </w:t>
      </w:r>
      <w:r w:rsidR="000C1839">
        <w:t>business</w:t>
      </w:r>
      <w:r w:rsidR="00AF5EDD">
        <w:t>’</w:t>
      </w:r>
      <w:r w:rsidR="005643A5">
        <w:t xml:space="preserve"> with the primary aim of making or gaining profits. </w:t>
      </w:r>
    </w:p>
    <w:p w14:paraId="56ED8440" w14:textId="5087CD32" w:rsidR="00AB1171" w:rsidRDefault="00AB1171" w:rsidP="001F018F">
      <w:pPr>
        <w:rPr>
          <w:rFonts w:eastAsia="Arial"/>
        </w:rPr>
      </w:pPr>
      <w:r>
        <w:rPr>
          <w:rFonts w:eastAsia="Arial"/>
        </w:rPr>
        <w:t xml:space="preserve">Amendments will be made to </w:t>
      </w:r>
      <w:r w:rsidR="00A51556">
        <w:rPr>
          <w:rFonts w:eastAsia="Arial"/>
        </w:rPr>
        <w:t>ensure</w:t>
      </w:r>
      <w:r w:rsidR="000C1839" w:rsidRPr="00C8310C">
        <w:rPr>
          <w:rFonts w:eastAsia="Arial"/>
        </w:rPr>
        <w:t xml:space="preserve"> the </w:t>
      </w:r>
      <w:r w:rsidR="00143244">
        <w:rPr>
          <w:rFonts w:eastAsia="Arial"/>
        </w:rPr>
        <w:t>Government</w:t>
      </w:r>
      <w:r w:rsidR="00143244" w:rsidRPr="00C8310C">
        <w:rPr>
          <w:rFonts w:eastAsia="Arial"/>
        </w:rPr>
        <w:t xml:space="preserve"> </w:t>
      </w:r>
      <w:r w:rsidR="000C1839" w:rsidRPr="00C8310C">
        <w:rPr>
          <w:rFonts w:eastAsia="Arial"/>
        </w:rPr>
        <w:t>has the opportunity to review and determine that proposed investment</w:t>
      </w:r>
      <w:r w:rsidR="00A51556">
        <w:rPr>
          <w:rFonts w:eastAsia="Arial"/>
        </w:rPr>
        <w:t>s of this type</w:t>
      </w:r>
      <w:r w:rsidR="000C1839" w:rsidRPr="00C8310C">
        <w:rPr>
          <w:rFonts w:eastAsia="Arial"/>
        </w:rPr>
        <w:t xml:space="preserve"> </w:t>
      </w:r>
      <w:r w:rsidR="00620541">
        <w:rPr>
          <w:rFonts w:eastAsia="Arial"/>
        </w:rPr>
        <w:t>are</w:t>
      </w:r>
      <w:r w:rsidR="000C1839" w:rsidRPr="00C8310C">
        <w:rPr>
          <w:rFonts w:eastAsia="Arial"/>
        </w:rPr>
        <w:t xml:space="preserve"> not con</w:t>
      </w:r>
      <w:r w:rsidR="000C1839">
        <w:rPr>
          <w:rFonts w:eastAsia="Arial"/>
        </w:rPr>
        <w:t xml:space="preserve">trary to </w:t>
      </w:r>
      <w:r w:rsidR="006A0C98">
        <w:rPr>
          <w:rFonts w:eastAsia="Arial"/>
        </w:rPr>
        <w:t>national security</w:t>
      </w:r>
      <w:r w:rsidR="000C1839">
        <w:rPr>
          <w:rFonts w:eastAsia="Arial"/>
        </w:rPr>
        <w:t xml:space="preserve">. </w:t>
      </w:r>
    </w:p>
    <w:p w14:paraId="013A3303" w14:textId="264140D1" w:rsidR="00551B45" w:rsidRDefault="00AB1171" w:rsidP="001F018F">
      <w:pPr>
        <w:rPr>
          <w:rFonts w:eastAsia="Arial"/>
        </w:rPr>
      </w:pPr>
      <w:r>
        <w:rPr>
          <w:rFonts w:eastAsia="Arial"/>
        </w:rPr>
        <w:t xml:space="preserve">Amendments will also be made to align the scope of the exemption under section 31 of the FATR with the new national security test, so that acquisitions of an interest in a </w:t>
      </w:r>
      <w:r w:rsidR="00AF5EDD">
        <w:rPr>
          <w:rFonts w:eastAsia="Arial"/>
        </w:rPr>
        <w:t>‘</w:t>
      </w:r>
      <w:r>
        <w:rPr>
          <w:rFonts w:eastAsia="Arial"/>
        </w:rPr>
        <w:t>sensitive national security business</w:t>
      </w:r>
      <w:r w:rsidR="00AF5EDD">
        <w:rPr>
          <w:rFonts w:eastAsia="Arial"/>
        </w:rPr>
        <w:t>’</w:t>
      </w:r>
      <w:r>
        <w:rPr>
          <w:rFonts w:eastAsia="Arial"/>
        </w:rPr>
        <w:t xml:space="preserve"> from Australian governments are</w:t>
      </w:r>
      <w:r w:rsidR="00D307DE">
        <w:rPr>
          <w:rFonts w:eastAsia="Arial"/>
        </w:rPr>
        <w:t xml:space="preserve"> also</w:t>
      </w:r>
      <w:r>
        <w:rPr>
          <w:rFonts w:eastAsia="Arial"/>
        </w:rPr>
        <w:t xml:space="preserve"> subject to the FATA.</w:t>
      </w:r>
    </w:p>
    <w:p w14:paraId="30C3AD1E" w14:textId="32BCEA9E" w:rsidR="00ED7014" w:rsidRDefault="00ED7014" w:rsidP="00ED7014">
      <w:pPr>
        <w:pStyle w:val="Heading2"/>
      </w:pPr>
      <w:bookmarkStart w:id="247" w:name="_Toc34384790"/>
      <w:bookmarkStart w:id="248" w:name="_Toc34385221"/>
      <w:bookmarkStart w:id="249" w:name="_Toc34823616"/>
      <w:bookmarkStart w:id="250" w:name="_Toc34840563"/>
      <w:bookmarkStart w:id="251" w:name="_Toc35254840"/>
      <w:bookmarkStart w:id="252" w:name="_Toc35257736"/>
      <w:bookmarkStart w:id="253" w:name="_Toc41999453"/>
      <w:bookmarkStart w:id="254" w:name="_Toc42154170"/>
      <w:r>
        <w:t>Extend the tracing rules to apply to limited partnerships</w:t>
      </w:r>
      <w:bookmarkEnd w:id="247"/>
      <w:bookmarkEnd w:id="248"/>
      <w:bookmarkEnd w:id="249"/>
      <w:bookmarkEnd w:id="250"/>
      <w:bookmarkEnd w:id="251"/>
      <w:bookmarkEnd w:id="252"/>
      <w:bookmarkEnd w:id="253"/>
      <w:bookmarkEnd w:id="254"/>
    </w:p>
    <w:p w14:paraId="419B8047" w14:textId="77777777" w:rsidR="00E77132" w:rsidRPr="00C06557" w:rsidRDefault="00E77132" w:rsidP="00E77132">
      <w:pPr>
        <w:pStyle w:val="SingleParagraph"/>
        <w:rPr>
          <w:rFonts w:eastAsia="Arial"/>
        </w:rPr>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E77132" w14:paraId="3F8E04A1" w14:textId="77777777" w:rsidTr="001F018F">
        <w:tc>
          <w:tcPr>
            <w:tcW w:w="5000" w:type="pct"/>
            <w:shd w:val="clear" w:color="auto" w:fill="EBEBEB"/>
          </w:tcPr>
          <w:p w14:paraId="0594FBD6" w14:textId="57A19A2C" w:rsidR="00E77132" w:rsidRPr="00E77132" w:rsidRDefault="00E77132" w:rsidP="00E77132">
            <w:pPr>
              <w:pStyle w:val="OneLevelNumberedParagraph"/>
              <w:rPr>
                <w:sz w:val="22"/>
              </w:rPr>
            </w:pPr>
            <w:r w:rsidRPr="00E77132">
              <w:rPr>
                <w:sz w:val="22"/>
              </w:rPr>
              <w:t>The FATA will be amended so that the tracing rules can be similarly applied to unincorporated limited partnerships as they are to corporations and trusts, so that beneficial interests can be traced.</w:t>
            </w:r>
          </w:p>
        </w:tc>
      </w:tr>
    </w:tbl>
    <w:p w14:paraId="46545DB1" w14:textId="77777777" w:rsidR="00E77132" w:rsidRDefault="00E77132" w:rsidP="00E77132">
      <w:pPr>
        <w:pStyle w:val="SingleParagraph"/>
        <w:rPr>
          <w:rFonts w:eastAsia="Arial"/>
        </w:rPr>
      </w:pPr>
    </w:p>
    <w:p w14:paraId="720B4266" w14:textId="74E1A172" w:rsidR="00ED7014" w:rsidRDefault="00ED7014" w:rsidP="001F018F">
      <w:r w:rsidRPr="00346349">
        <w:t>To consider whether a foreign person requires approval for a proposed acquisition of an interest in securities, assets or trusts, it is necessary to determine what interests are held in the relevant entities. One way that an interest is established is by</w:t>
      </w:r>
      <w:r>
        <w:t xml:space="preserve"> </w:t>
      </w:r>
      <w:r w:rsidRPr="00346349">
        <w:t xml:space="preserve">tracing interests </w:t>
      </w:r>
      <w:r>
        <w:t>through</w:t>
      </w:r>
      <w:r w:rsidRPr="00346349">
        <w:t xml:space="preserve"> corporations and</w:t>
      </w:r>
      <w:r w:rsidR="00442F92">
        <w:t> </w:t>
      </w:r>
      <w:r w:rsidRPr="00346349">
        <w:t>trusts.</w:t>
      </w:r>
    </w:p>
    <w:p w14:paraId="34FF3B04" w14:textId="6EF63D87" w:rsidR="00ED7014" w:rsidRPr="00B053C9" w:rsidRDefault="00ED7014" w:rsidP="001F018F">
      <w:r w:rsidRPr="00B053C9">
        <w:t xml:space="preserve">The effect of the tracing rules </w:t>
      </w:r>
      <w:r>
        <w:t xml:space="preserve">under section 19 of the FATA </w:t>
      </w:r>
      <w:r w:rsidRPr="00B053C9">
        <w:t>is that a person is taken to hold the interests in</w:t>
      </w:r>
      <w:r>
        <w:t xml:space="preserve"> securities</w:t>
      </w:r>
      <w:r w:rsidRPr="00B053C9">
        <w:t xml:space="preserve"> in</w:t>
      </w:r>
      <w:r w:rsidRPr="000D1FB8">
        <w:t xml:space="preserve"> </w:t>
      </w:r>
      <w:r>
        <w:t>companies or trusts which are lower in the corporate structure where certain requirements are met</w:t>
      </w:r>
      <w:r w:rsidR="000D1474">
        <w:t xml:space="preserve">. </w:t>
      </w:r>
    </w:p>
    <w:p w14:paraId="3E87DAF3" w14:textId="4DEBA822" w:rsidR="00ED7014" w:rsidRPr="009B6518" w:rsidRDefault="00ED7014" w:rsidP="001F018F">
      <w:pPr>
        <w:rPr>
          <w:rFonts w:eastAsia="Arial" w:cs="Arial"/>
        </w:rPr>
      </w:pPr>
      <w:r w:rsidRPr="00B053C9">
        <w:t>The current tracing provisions only apply to interests in trusts and companies; they cannot be applied to</w:t>
      </w:r>
      <w:r>
        <w:t xml:space="preserve"> those</w:t>
      </w:r>
      <w:r w:rsidRPr="00B053C9">
        <w:t xml:space="preserve"> limited partnerships</w:t>
      </w:r>
      <w:r>
        <w:t xml:space="preserve"> which are not incorporated</w:t>
      </w:r>
      <w:r w:rsidRPr="009B6518">
        <w:t xml:space="preserve">. This means that the </w:t>
      </w:r>
      <w:r w:rsidR="00143244">
        <w:t>Government</w:t>
      </w:r>
      <w:r w:rsidR="00143244" w:rsidRPr="009B6518">
        <w:t xml:space="preserve"> </w:t>
      </w:r>
      <w:r w:rsidRPr="009B6518">
        <w:t>can impose conditions on the higher entity in an organisational structure where the higher entity holds an interest in the lower entity</w:t>
      </w:r>
      <w:r>
        <w:t xml:space="preserve">; however, conditions may not be able to be imposed </w:t>
      </w:r>
      <w:r w:rsidRPr="009B6518">
        <w:t>if there is a</w:t>
      </w:r>
      <w:r>
        <w:t>n unincorporated</w:t>
      </w:r>
      <w:r w:rsidRPr="009B6518">
        <w:t xml:space="preserve"> limited partnership sitting between the two entities.</w:t>
      </w:r>
    </w:p>
    <w:p w14:paraId="7CE77597" w14:textId="7BC5CA62" w:rsidR="00ED7014" w:rsidRDefault="00ED7014" w:rsidP="001F018F">
      <w:pPr>
        <w:rPr>
          <w:rFonts w:eastAsia="Arial"/>
        </w:rPr>
      </w:pPr>
      <w:r>
        <w:rPr>
          <w:rFonts w:eastAsia="Arial"/>
        </w:rPr>
        <w:lastRenderedPageBreak/>
        <w:t>Presently, this limits the Government</w:t>
      </w:r>
      <w:r w:rsidR="00AF5EDD">
        <w:rPr>
          <w:rFonts w:eastAsia="Arial"/>
        </w:rPr>
        <w:t>’</w:t>
      </w:r>
      <w:r>
        <w:rPr>
          <w:rFonts w:eastAsia="Arial"/>
        </w:rPr>
        <w:t xml:space="preserve">s ability to effectively address national interest and security risks, particularly where limited partnerships are used as a vehicle for investment in critical infrastructure and other sensitive sectors. </w:t>
      </w:r>
    </w:p>
    <w:p w14:paraId="56970F79" w14:textId="649DEF19" w:rsidR="00ED7014" w:rsidRPr="009B6518" w:rsidRDefault="00ED7014" w:rsidP="001F018F">
      <w:pPr>
        <w:rPr>
          <w:rFonts w:eastAsia="Arial"/>
        </w:rPr>
      </w:pPr>
      <w:r w:rsidRPr="00ED7014">
        <w:rPr>
          <w:rFonts w:eastAsia="Arial"/>
        </w:rPr>
        <w:t>T</w:t>
      </w:r>
      <w:r>
        <w:rPr>
          <w:rFonts w:eastAsia="Arial"/>
        </w:rPr>
        <w:t>he tracing rules will be extended to apply to unincorporated limited partnerships. T</w:t>
      </w:r>
      <w:r w:rsidRPr="00ED7014">
        <w:rPr>
          <w:rFonts w:eastAsia="Arial"/>
        </w:rPr>
        <w:t xml:space="preserve">his will enable the </w:t>
      </w:r>
      <w:r w:rsidR="00143244">
        <w:rPr>
          <w:rFonts w:eastAsia="Arial"/>
        </w:rPr>
        <w:t>Government</w:t>
      </w:r>
      <w:r w:rsidR="00143244" w:rsidRPr="00ED7014">
        <w:rPr>
          <w:rFonts w:eastAsia="Arial"/>
        </w:rPr>
        <w:t xml:space="preserve"> </w:t>
      </w:r>
      <w:r w:rsidRPr="00ED7014">
        <w:rPr>
          <w:rFonts w:eastAsia="Arial"/>
        </w:rPr>
        <w:t>to impose conditions on the higher entities in the organisational structure where required to manage national interest risks.</w:t>
      </w:r>
      <w:r>
        <w:rPr>
          <w:rFonts w:eastAsia="Arial"/>
        </w:rPr>
        <w:t xml:space="preserve"> Following the amendment, </w:t>
      </w:r>
      <w:r>
        <w:t>foreign investment laws</w:t>
      </w:r>
      <w:r w:rsidRPr="009B6518">
        <w:t xml:space="preserve"> may capture significant actions that occur offshore involving the higher entities in the organisation structure through the application of the tracing provisions to the lower entities. </w:t>
      </w:r>
    </w:p>
    <w:p w14:paraId="1C7255A6" w14:textId="314E60F8" w:rsidR="00817274" w:rsidRDefault="00817274" w:rsidP="00946485">
      <w:pPr>
        <w:pStyle w:val="Heading2"/>
        <w:rPr>
          <w:rFonts w:eastAsia="Arial"/>
        </w:rPr>
      </w:pPr>
      <w:bookmarkStart w:id="255" w:name="_Toc34384791"/>
      <w:bookmarkStart w:id="256" w:name="_Toc34385222"/>
      <w:bookmarkStart w:id="257" w:name="_Toc34823617"/>
      <w:bookmarkStart w:id="258" w:name="_Toc34840564"/>
      <w:bookmarkStart w:id="259" w:name="_Toc35254841"/>
      <w:bookmarkStart w:id="260" w:name="_Toc35257737"/>
      <w:bookmarkStart w:id="261" w:name="_Toc41999454"/>
      <w:bookmarkStart w:id="262" w:name="_Toc42154171"/>
      <w:r>
        <w:rPr>
          <w:rFonts w:eastAsia="Arial"/>
        </w:rPr>
        <w:t>Prevent the use of family structures to subvert the operation of the FATA</w:t>
      </w:r>
      <w:bookmarkEnd w:id="235"/>
      <w:bookmarkEnd w:id="236"/>
      <w:bookmarkEnd w:id="237"/>
      <w:bookmarkEnd w:id="238"/>
      <w:bookmarkEnd w:id="255"/>
      <w:bookmarkEnd w:id="256"/>
      <w:bookmarkEnd w:id="257"/>
      <w:bookmarkEnd w:id="258"/>
      <w:bookmarkEnd w:id="259"/>
      <w:bookmarkEnd w:id="260"/>
      <w:bookmarkEnd w:id="261"/>
      <w:bookmarkEnd w:id="262"/>
    </w:p>
    <w:p w14:paraId="09191A72" w14:textId="77777777" w:rsidR="00E77132" w:rsidRPr="00C06557" w:rsidRDefault="00E77132" w:rsidP="00E77132">
      <w:pPr>
        <w:pStyle w:val="SingleParagraph"/>
        <w:rPr>
          <w:rFonts w:eastAsia="Arial"/>
        </w:rPr>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E77132" w14:paraId="72D4974B" w14:textId="77777777" w:rsidTr="001F018F">
        <w:tc>
          <w:tcPr>
            <w:tcW w:w="5000" w:type="pct"/>
            <w:shd w:val="clear" w:color="auto" w:fill="EBEBEB"/>
          </w:tcPr>
          <w:p w14:paraId="231835CC" w14:textId="532CCFCA" w:rsidR="00E77132" w:rsidRPr="00E77132" w:rsidRDefault="00E77132" w:rsidP="00E77132">
            <w:pPr>
              <w:pStyle w:val="OneLevelNumberedParagraph"/>
              <w:rPr>
                <w:sz w:val="22"/>
              </w:rPr>
            </w:pPr>
            <w:r w:rsidRPr="00E77132">
              <w:rPr>
                <w:sz w:val="22"/>
              </w:rPr>
              <w:t>A foreign person, who is a parent or spouse of an Australian resident, will need to seek foreign investment approval prior to the purchase of Australian land where they provide money to their Australian family member for the purpose, other than by way of a gift.</w:t>
            </w:r>
          </w:p>
        </w:tc>
      </w:tr>
    </w:tbl>
    <w:p w14:paraId="60BCFD53" w14:textId="77777777" w:rsidR="00E77132" w:rsidRDefault="00E77132" w:rsidP="00E77132">
      <w:pPr>
        <w:pStyle w:val="SingleParagraph"/>
        <w:rPr>
          <w:rFonts w:eastAsia="Arial"/>
        </w:rPr>
      </w:pPr>
    </w:p>
    <w:p w14:paraId="24F148B8" w14:textId="14F6860E" w:rsidR="004004BF" w:rsidRDefault="004004BF" w:rsidP="001F018F">
      <w:pPr>
        <w:rPr>
          <w:rFonts w:eastAsia="Arial"/>
        </w:rPr>
      </w:pPr>
      <w:r w:rsidRPr="008B6130">
        <w:rPr>
          <w:rFonts w:eastAsia="Arial"/>
        </w:rPr>
        <w:t xml:space="preserve">There is a risk that a foreign person could avoid </w:t>
      </w:r>
      <w:r w:rsidR="00D525CC">
        <w:rPr>
          <w:rFonts w:eastAsia="Arial"/>
        </w:rPr>
        <w:t>foreign investment</w:t>
      </w:r>
      <w:r w:rsidR="00D525CC" w:rsidRPr="008B6130">
        <w:rPr>
          <w:rFonts w:eastAsia="Arial"/>
        </w:rPr>
        <w:t xml:space="preserve"> </w:t>
      </w:r>
      <w:r w:rsidRPr="008B6130">
        <w:rPr>
          <w:rFonts w:eastAsia="Arial"/>
        </w:rPr>
        <w:t xml:space="preserve">screening when purchasing Australian land and other assets by providing the funds to </w:t>
      </w:r>
      <w:r w:rsidR="00B152E6">
        <w:rPr>
          <w:rFonts w:eastAsia="Arial"/>
        </w:rPr>
        <w:t>a</w:t>
      </w:r>
      <w:r w:rsidRPr="008B6130">
        <w:rPr>
          <w:rFonts w:eastAsia="Arial"/>
        </w:rPr>
        <w:t xml:space="preserve"> family member (such as a </w:t>
      </w:r>
      <w:r w:rsidR="00B152E6">
        <w:rPr>
          <w:rFonts w:eastAsia="Arial"/>
        </w:rPr>
        <w:t>spouse</w:t>
      </w:r>
      <w:r w:rsidR="00B152E6" w:rsidRPr="008B6130">
        <w:rPr>
          <w:rFonts w:eastAsia="Arial"/>
        </w:rPr>
        <w:t xml:space="preserve"> </w:t>
      </w:r>
      <w:r w:rsidRPr="008B6130">
        <w:rPr>
          <w:rFonts w:eastAsia="Arial"/>
        </w:rPr>
        <w:t xml:space="preserve">or a child) to purchase the asset. </w:t>
      </w:r>
    </w:p>
    <w:p w14:paraId="577F8399" w14:textId="7F1AF594" w:rsidR="004004BF" w:rsidRDefault="00431C58" w:rsidP="001F018F">
      <w:pPr>
        <w:rPr>
          <w:rFonts w:eastAsia="Arial"/>
        </w:rPr>
      </w:pPr>
      <w:r>
        <w:rPr>
          <w:rFonts w:eastAsia="Arial"/>
        </w:rPr>
        <w:t xml:space="preserve">Generally, a trust or equitable interest arises on behalf of a person providing the funds for a purchase of property. Where persons involved in this type of transaction are related, </w:t>
      </w:r>
      <w:r w:rsidR="004004BF" w:rsidRPr="008B6130">
        <w:rPr>
          <w:rFonts w:eastAsia="Arial"/>
        </w:rPr>
        <w:t xml:space="preserve">the </w:t>
      </w:r>
      <w:r w:rsidR="00AF5EDD">
        <w:rPr>
          <w:rFonts w:eastAsia="Arial"/>
        </w:rPr>
        <w:t>‘</w:t>
      </w:r>
      <w:r w:rsidR="004004BF" w:rsidRPr="008B6130">
        <w:rPr>
          <w:rFonts w:eastAsia="Arial"/>
        </w:rPr>
        <w:t>presumpt</w:t>
      </w:r>
      <w:r w:rsidR="004004BF">
        <w:rPr>
          <w:rFonts w:eastAsia="Arial"/>
        </w:rPr>
        <w:t>ion of advancement</w:t>
      </w:r>
      <w:r w:rsidR="00AF5EDD">
        <w:rPr>
          <w:rFonts w:eastAsia="Arial"/>
        </w:rPr>
        <w:t>’</w:t>
      </w:r>
      <w:r w:rsidR="004004BF">
        <w:rPr>
          <w:rFonts w:eastAsia="Arial"/>
        </w:rPr>
        <w:t xml:space="preserve"> (a common law principle)</w:t>
      </w:r>
      <w:r w:rsidR="004004BF" w:rsidRPr="008B6130">
        <w:rPr>
          <w:rFonts w:eastAsia="Arial"/>
        </w:rPr>
        <w:t xml:space="preserve"> assumes the person who gave the money to the other person intended for that person to acquire </w:t>
      </w:r>
      <w:r w:rsidR="00C859F9">
        <w:rPr>
          <w:rFonts w:eastAsia="Arial"/>
        </w:rPr>
        <w:t>the</w:t>
      </w:r>
      <w:r w:rsidR="00C859F9" w:rsidRPr="008B6130">
        <w:rPr>
          <w:rFonts w:eastAsia="Arial"/>
        </w:rPr>
        <w:t xml:space="preserve"> </w:t>
      </w:r>
      <w:r w:rsidR="004004BF" w:rsidRPr="008B6130">
        <w:rPr>
          <w:rFonts w:eastAsia="Arial"/>
        </w:rPr>
        <w:t>property unfettered</w:t>
      </w:r>
      <w:r w:rsidR="00C859F9">
        <w:rPr>
          <w:rFonts w:eastAsia="Arial"/>
        </w:rPr>
        <w:t xml:space="preserve">. </w:t>
      </w:r>
      <w:r>
        <w:rPr>
          <w:rFonts w:eastAsia="Arial"/>
        </w:rPr>
        <w:t xml:space="preserve">Foreign ownership would not be recognised unless the presumption of advancement could be rebutted, for example by showing that when the property is later sold, the proceeds of the property sale were </w:t>
      </w:r>
      <w:r w:rsidR="003027D7">
        <w:rPr>
          <w:rFonts w:eastAsia="Arial"/>
        </w:rPr>
        <w:t xml:space="preserve">dispersed back to the foreign person </w:t>
      </w:r>
      <w:r w:rsidR="003A2504">
        <w:rPr>
          <w:rFonts w:eastAsia="Arial"/>
        </w:rPr>
        <w:t>who originally provided the</w:t>
      </w:r>
      <w:r w:rsidR="003027D7">
        <w:rPr>
          <w:rFonts w:eastAsia="Arial"/>
        </w:rPr>
        <w:t xml:space="preserve"> funds</w:t>
      </w:r>
      <w:r w:rsidR="003A2504">
        <w:rPr>
          <w:rFonts w:eastAsia="Arial"/>
        </w:rPr>
        <w:t xml:space="preserve"> to purchase the property</w:t>
      </w:r>
      <w:r w:rsidR="003027D7">
        <w:rPr>
          <w:rFonts w:eastAsia="Arial"/>
        </w:rPr>
        <w:t>. It is at this later stage that it becomes clear the property was actually held on trust by the family member</w:t>
      </w:r>
      <w:r w:rsidR="0055072C">
        <w:rPr>
          <w:rFonts w:eastAsia="Arial"/>
        </w:rPr>
        <w:t xml:space="preserve">, which is </w:t>
      </w:r>
      <w:r w:rsidR="003A2504">
        <w:rPr>
          <w:rFonts w:eastAsia="Arial"/>
        </w:rPr>
        <w:t>evidence</w:t>
      </w:r>
      <w:r w:rsidR="0055072C">
        <w:rPr>
          <w:rFonts w:eastAsia="Arial"/>
        </w:rPr>
        <w:t xml:space="preserve"> that</w:t>
      </w:r>
      <w:r w:rsidR="003027D7">
        <w:rPr>
          <w:rFonts w:eastAsia="Arial"/>
        </w:rPr>
        <w:t xml:space="preserve"> would </w:t>
      </w:r>
      <w:r w:rsidR="003A2504">
        <w:rPr>
          <w:rFonts w:eastAsia="Arial"/>
        </w:rPr>
        <w:t>have rebutted</w:t>
      </w:r>
      <w:r w:rsidR="003027D7">
        <w:rPr>
          <w:rFonts w:eastAsia="Arial"/>
        </w:rPr>
        <w:t xml:space="preserve"> </w:t>
      </w:r>
      <w:r w:rsidR="0051641F">
        <w:rPr>
          <w:rFonts w:eastAsia="Arial"/>
        </w:rPr>
        <w:t>the presumption of advancement. However, by this time, the property has been sold and funds dispersed, leaving little recourse against the foreign person who avoided scrutiny. These actions may lead to land banking by foreign persons.</w:t>
      </w:r>
    </w:p>
    <w:p w14:paraId="08196CCB" w14:textId="52357777" w:rsidR="004004BF" w:rsidRPr="00140477" w:rsidRDefault="002A369E" w:rsidP="001F018F">
      <w:pPr>
        <w:rPr>
          <w:rFonts w:eastAsia="Arial"/>
        </w:rPr>
      </w:pPr>
      <w:r>
        <w:rPr>
          <w:rFonts w:eastAsia="Arial"/>
        </w:rPr>
        <w:t>To address this issue,</w:t>
      </w:r>
      <w:r w:rsidR="004A6D08">
        <w:rPr>
          <w:rFonts w:eastAsia="Arial"/>
        </w:rPr>
        <w:t xml:space="preserve"> the operation of the presumption of advancement </w:t>
      </w:r>
      <w:r w:rsidR="00200093">
        <w:rPr>
          <w:rFonts w:eastAsia="Arial"/>
        </w:rPr>
        <w:t>will</w:t>
      </w:r>
      <w:r w:rsidR="004A6D08">
        <w:rPr>
          <w:rFonts w:eastAsia="Arial"/>
        </w:rPr>
        <w:t xml:space="preserve"> be excluded from the FATA. A</w:t>
      </w:r>
      <w:r w:rsidR="00380BFA">
        <w:rPr>
          <w:rFonts w:eastAsia="Arial"/>
        </w:rPr>
        <w:t>mendments will be introduced to clarify</w:t>
      </w:r>
      <w:r w:rsidR="004A6D08">
        <w:rPr>
          <w:rFonts w:eastAsia="Arial"/>
        </w:rPr>
        <w:t xml:space="preserve"> that</w:t>
      </w:r>
      <w:r w:rsidR="00380BFA">
        <w:rPr>
          <w:rFonts w:eastAsia="Arial"/>
        </w:rPr>
        <w:t xml:space="preserve">, where a foreign person </w:t>
      </w:r>
      <w:r w:rsidR="00750490">
        <w:rPr>
          <w:rFonts w:eastAsia="Arial"/>
        </w:rPr>
        <w:t>provides</w:t>
      </w:r>
      <w:r w:rsidR="00380BFA">
        <w:rPr>
          <w:rFonts w:eastAsia="Arial"/>
        </w:rPr>
        <w:t xml:space="preserve"> money to their </w:t>
      </w:r>
      <w:r w:rsidR="00750490">
        <w:rPr>
          <w:rFonts w:eastAsia="Arial"/>
        </w:rPr>
        <w:t xml:space="preserve">family members </w:t>
      </w:r>
      <w:r w:rsidR="00117325">
        <w:rPr>
          <w:rFonts w:eastAsia="Arial"/>
        </w:rPr>
        <w:t xml:space="preserve">to </w:t>
      </w:r>
      <w:r w:rsidR="00750490">
        <w:rPr>
          <w:rFonts w:eastAsia="Arial"/>
        </w:rPr>
        <w:t>p</w:t>
      </w:r>
      <w:r w:rsidR="00380BFA">
        <w:rPr>
          <w:rFonts w:eastAsia="Arial"/>
        </w:rPr>
        <w:t>urchase Australian land</w:t>
      </w:r>
      <w:r w:rsidR="005C6857">
        <w:rPr>
          <w:rFonts w:eastAsia="Arial"/>
        </w:rPr>
        <w:t xml:space="preserve"> (irrespective of whether the</w:t>
      </w:r>
      <w:r w:rsidR="00572956">
        <w:rPr>
          <w:rFonts w:eastAsia="Arial"/>
        </w:rPr>
        <w:t>ir</w:t>
      </w:r>
      <w:r w:rsidR="005C6857">
        <w:rPr>
          <w:rFonts w:eastAsia="Arial"/>
        </w:rPr>
        <w:t xml:space="preserve"> relationship triggers</w:t>
      </w:r>
      <w:r w:rsidR="00750490">
        <w:rPr>
          <w:rFonts w:eastAsia="Arial"/>
        </w:rPr>
        <w:t xml:space="preserve"> the presumption of advancement</w:t>
      </w:r>
      <w:r w:rsidR="005C6857">
        <w:rPr>
          <w:rFonts w:eastAsia="Arial"/>
        </w:rPr>
        <w:t>)</w:t>
      </w:r>
      <w:r w:rsidR="00380BFA">
        <w:rPr>
          <w:rFonts w:eastAsia="Arial"/>
        </w:rPr>
        <w:t xml:space="preserve">, the foreign person would be acquiring an interest in the property at the time of the purchase, and as such, may require </w:t>
      </w:r>
      <w:r w:rsidR="004A6D08">
        <w:rPr>
          <w:rFonts w:eastAsia="Arial"/>
        </w:rPr>
        <w:t xml:space="preserve">prior </w:t>
      </w:r>
      <w:r w:rsidR="00380BFA">
        <w:rPr>
          <w:rFonts w:eastAsia="Arial"/>
        </w:rPr>
        <w:t>approval.</w:t>
      </w:r>
      <w:r w:rsidR="004A6D08">
        <w:rPr>
          <w:rFonts w:eastAsia="Arial"/>
        </w:rPr>
        <w:t xml:space="preserve"> Exceptions will apply where it can be show</w:t>
      </w:r>
      <w:r w:rsidR="00EA54C2">
        <w:rPr>
          <w:rFonts w:eastAsia="Arial"/>
        </w:rPr>
        <w:t>n</w:t>
      </w:r>
      <w:r w:rsidR="004A6D08">
        <w:rPr>
          <w:rFonts w:eastAsia="Arial"/>
        </w:rPr>
        <w:t xml:space="preserve"> the money was a genuine gift</w:t>
      </w:r>
      <w:r w:rsidR="000D1474">
        <w:rPr>
          <w:rFonts w:eastAsia="Arial"/>
        </w:rPr>
        <w:t xml:space="preserve">. </w:t>
      </w:r>
    </w:p>
    <w:p w14:paraId="74869A1E" w14:textId="78000EA7" w:rsidR="006B74FB" w:rsidRPr="00536289" w:rsidRDefault="00772123" w:rsidP="00536289">
      <w:pPr>
        <w:pStyle w:val="Heading2"/>
        <w:rPr>
          <w:rFonts w:eastAsia="Arial"/>
        </w:rPr>
      </w:pPr>
      <w:r>
        <w:rPr>
          <w:rFonts w:eastAsia="Arial"/>
        </w:rPr>
        <w:br w:type="column"/>
      </w:r>
      <w:bookmarkStart w:id="263" w:name="_Toc33625485"/>
      <w:bookmarkStart w:id="264" w:name="_Toc34142440"/>
      <w:bookmarkStart w:id="265" w:name="_Toc34147764"/>
      <w:bookmarkStart w:id="266" w:name="_Toc34148767"/>
      <w:bookmarkStart w:id="267" w:name="_Toc34376184"/>
      <w:bookmarkStart w:id="268" w:name="_Toc34384792"/>
      <w:bookmarkStart w:id="269" w:name="_Toc34385223"/>
      <w:bookmarkStart w:id="270" w:name="_Toc34823618"/>
      <w:bookmarkStart w:id="271" w:name="_Toc34840565"/>
      <w:bookmarkStart w:id="272" w:name="_Toc35254842"/>
      <w:bookmarkStart w:id="273" w:name="_Toc35257738"/>
      <w:bookmarkStart w:id="274" w:name="_Toc41999455"/>
      <w:bookmarkStart w:id="275" w:name="_Toc42154172"/>
      <w:r w:rsidR="006B74FB" w:rsidRPr="00536289">
        <w:rPr>
          <w:rFonts w:eastAsia="Arial"/>
        </w:rPr>
        <w:lastRenderedPageBreak/>
        <w:t>More coordinated information gathering and sharing</w:t>
      </w:r>
      <w:bookmarkEnd w:id="263"/>
      <w:bookmarkEnd w:id="264"/>
      <w:bookmarkEnd w:id="265"/>
      <w:bookmarkEnd w:id="266"/>
      <w:bookmarkEnd w:id="267"/>
      <w:bookmarkEnd w:id="268"/>
      <w:bookmarkEnd w:id="269"/>
      <w:bookmarkEnd w:id="270"/>
      <w:bookmarkEnd w:id="271"/>
      <w:bookmarkEnd w:id="272"/>
      <w:bookmarkEnd w:id="273"/>
      <w:bookmarkEnd w:id="274"/>
      <w:bookmarkEnd w:id="275"/>
    </w:p>
    <w:p w14:paraId="6AD35E4B" w14:textId="71D3C30E" w:rsidR="006B74FB" w:rsidRPr="009309F5" w:rsidRDefault="006B74FB" w:rsidP="001F018F">
      <w:pPr>
        <w:rPr>
          <w:rFonts w:eastAsia="Arial"/>
        </w:rPr>
      </w:pPr>
      <w:r w:rsidRPr="009309F5">
        <w:rPr>
          <w:rFonts w:eastAsia="Arial"/>
        </w:rPr>
        <w:t xml:space="preserve">The Government </w:t>
      </w:r>
      <w:r w:rsidR="009D293C">
        <w:rPr>
          <w:rFonts w:eastAsia="Arial"/>
        </w:rPr>
        <w:t>recognises the need to protect commercially sensitive information</w:t>
      </w:r>
      <w:r w:rsidR="004A4D15">
        <w:rPr>
          <w:rFonts w:eastAsia="Arial"/>
        </w:rPr>
        <w:t>, but also</w:t>
      </w:r>
      <w:r w:rsidR="009D293C">
        <w:rPr>
          <w:rFonts w:eastAsia="Arial"/>
        </w:rPr>
        <w:t xml:space="preserve"> </w:t>
      </w:r>
      <w:r w:rsidR="00587708">
        <w:rPr>
          <w:rFonts w:eastAsia="Arial"/>
        </w:rPr>
        <w:t xml:space="preserve">supports </w:t>
      </w:r>
      <w:r w:rsidRPr="009309F5">
        <w:rPr>
          <w:rFonts w:eastAsia="Arial"/>
        </w:rPr>
        <w:t xml:space="preserve">a coordinated approach </w:t>
      </w:r>
      <w:r w:rsidR="004A4D15">
        <w:rPr>
          <w:rFonts w:eastAsia="Arial"/>
        </w:rPr>
        <w:t>to</w:t>
      </w:r>
      <w:r w:rsidR="004A4D15" w:rsidRPr="009309F5">
        <w:rPr>
          <w:rFonts w:eastAsia="Arial"/>
        </w:rPr>
        <w:t xml:space="preserve"> </w:t>
      </w:r>
      <w:r w:rsidR="004E3F86">
        <w:rPr>
          <w:rFonts w:eastAsia="Arial"/>
        </w:rPr>
        <w:t xml:space="preserve">screening foreign investment applications and </w:t>
      </w:r>
      <w:r w:rsidRPr="009309F5">
        <w:rPr>
          <w:rFonts w:eastAsia="Arial"/>
        </w:rPr>
        <w:t>protect</w:t>
      </w:r>
      <w:r w:rsidR="004E3F86">
        <w:rPr>
          <w:rFonts w:eastAsia="Arial"/>
        </w:rPr>
        <w:t>ing</w:t>
      </w:r>
      <w:r w:rsidRPr="009309F5">
        <w:rPr>
          <w:rFonts w:eastAsia="Arial"/>
        </w:rPr>
        <w:t xml:space="preserve"> the national interest and security.</w:t>
      </w:r>
      <w:r>
        <w:rPr>
          <w:rFonts w:eastAsia="Arial"/>
        </w:rPr>
        <w:t xml:space="preserve"> </w:t>
      </w:r>
      <w:r w:rsidR="004E3F86">
        <w:rPr>
          <w:rFonts w:eastAsia="Arial"/>
        </w:rPr>
        <w:t>This means r</w:t>
      </w:r>
      <w:r w:rsidRPr="009309F5">
        <w:rPr>
          <w:rFonts w:eastAsia="Arial"/>
        </w:rPr>
        <w:t xml:space="preserve">elevant government agencies need the flexibility to share information and respond quickly </w:t>
      </w:r>
      <w:r w:rsidR="009E3F7F">
        <w:rPr>
          <w:rFonts w:eastAsia="Arial"/>
        </w:rPr>
        <w:t>on consultation requests</w:t>
      </w:r>
      <w:r w:rsidR="004A4D15">
        <w:rPr>
          <w:rFonts w:eastAsia="Arial"/>
        </w:rPr>
        <w:t>,</w:t>
      </w:r>
      <w:r w:rsidR="009E3F7F">
        <w:rPr>
          <w:rFonts w:eastAsia="Arial"/>
        </w:rPr>
        <w:t xml:space="preserve"> </w:t>
      </w:r>
      <w:r w:rsidR="004A4D15">
        <w:rPr>
          <w:rFonts w:eastAsia="Arial"/>
        </w:rPr>
        <w:t>thereby</w:t>
      </w:r>
      <w:r w:rsidR="009E3F7F">
        <w:rPr>
          <w:rFonts w:eastAsia="Arial"/>
        </w:rPr>
        <w:t xml:space="preserve"> </w:t>
      </w:r>
      <w:r w:rsidR="009D293C">
        <w:rPr>
          <w:rFonts w:eastAsia="Arial"/>
        </w:rPr>
        <w:t xml:space="preserve">enabling faster processing of </w:t>
      </w:r>
      <w:r w:rsidR="009E3F7F">
        <w:rPr>
          <w:rFonts w:eastAsia="Arial"/>
        </w:rPr>
        <w:t>applications</w:t>
      </w:r>
      <w:r w:rsidR="009D293C">
        <w:rPr>
          <w:rFonts w:eastAsia="Arial"/>
        </w:rPr>
        <w:t xml:space="preserve"> and </w:t>
      </w:r>
      <w:r w:rsidR="004A4D15">
        <w:rPr>
          <w:rFonts w:eastAsia="Arial"/>
        </w:rPr>
        <w:t xml:space="preserve">greater </w:t>
      </w:r>
      <w:r w:rsidR="009D293C">
        <w:rPr>
          <w:rFonts w:eastAsia="Arial"/>
        </w:rPr>
        <w:t>consistency of decision</w:t>
      </w:r>
      <w:r w:rsidR="004A4D15">
        <w:rPr>
          <w:rFonts w:eastAsia="Arial"/>
        </w:rPr>
        <w:t xml:space="preserve"> </w:t>
      </w:r>
      <w:r w:rsidR="009D293C">
        <w:rPr>
          <w:rFonts w:eastAsia="Arial"/>
        </w:rPr>
        <w:t>making</w:t>
      </w:r>
      <w:r w:rsidR="009E3F7F">
        <w:rPr>
          <w:rFonts w:eastAsia="Arial"/>
        </w:rPr>
        <w:t xml:space="preserve">. </w:t>
      </w:r>
    </w:p>
    <w:p w14:paraId="49D54494" w14:textId="2F1FC17E" w:rsidR="006B74FB" w:rsidRDefault="006B74FB" w:rsidP="001F018F">
      <w:r>
        <w:t>The Government</w:t>
      </w:r>
      <w:r w:rsidR="00AF5EDD">
        <w:t>’</w:t>
      </w:r>
      <w:r>
        <w:t xml:space="preserve">s ability to identify and assess national interest and national security risks in foreign investment hinges on </w:t>
      </w:r>
      <w:r w:rsidR="007C3D4A">
        <w:t>the quality, accuracy and currency of foreign investment data. However, the availability and accessibility of such data can at times be limited</w:t>
      </w:r>
      <w:r>
        <w:t xml:space="preserve">. </w:t>
      </w:r>
    </w:p>
    <w:p w14:paraId="15B4B9CF" w14:textId="6BC4EDF8" w:rsidR="006B74FB" w:rsidRDefault="006B74FB" w:rsidP="001F018F">
      <w:r w:rsidRPr="002456EA">
        <w:t>Data relating to foreign investment is spread out across the government</w:t>
      </w:r>
      <w:r w:rsidR="005B595B">
        <w:t>,</w:t>
      </w:r>
      <w:r w:rsidRPr="002456EA">
        <w:t xml:space="preserve"> making it </w:t>
      </w:r>
      <w:r>
        <w:t>challenging</w:t>
      </w:r>
      <w:r w:rsidRPr="002456EA">
        <w:t xml:space="preserve"> to identify investor trends. </w:t>
      </w:r>
      <w:r w:rsidR="004E3F86" w:rsidRPr="002456EA">
        <w:t xml:space="preserve">Currently the ATO administers the agricultural land, water entitlements </w:t>
      </w:r>
      <w:r w:rsidR="004E3F86">
        <w:t xml:space="preserve">and residential land registers, the Australian Communications and Media Authority (ACMA) administers </w:t>
      </w:r>
      <w:r w:rsidR="004E3F86" w:rsidRPr="002456EA">
        <w:t>the media assets foreign ownership register</w:t>
      </w:r>
      <w:r w:rsidR="004E3F86">
        <w:t>,</w:t>
      </w:r>
      <w:r w:rsidR="004E3F86" w:rsidRPr="002456EA">
        <w:t xml:space="preserve"> and some information on foreign ownership is collected under the critical infrastructure assets register administered by the Critical Infrastructure Centre</w:t>
      </w:r>
      <w:r w:rsidR="00D13D48">
        <w:t> </w:t>
      </w:r>
      <w:r w:rsidR="004E3F86" w:rsidRPr="002456EA">
        <w:t>(CIC)</w:t>
      </w:r>
      <w:r w:rsidR="004E3F86">
        <w:t xml:space="preserve">. The differing regulators and legislation </w:t>
      </w:r>
      <w:r w:rsidR="001E7A26">
        <w:t>underpinning these registers have</w:t>
      </w:r>
      <w:r w:rsidR="007D5D2B">
        <w:t xml:space="preserve"> the potential to lead</w:t>
      </w:r>
      <w:r w:rsidR="004E3F86">
        <w:t xml:space="preserve"> to unintended consequences of organisational and legal barriers to information sharing.</w:t>
      </w:r>
    </w:p>
    <w:p w14:paraId="0799049C" w14:textId="5F7043DC" w:rsidR="001B4986" w:rsidRDefault="00101522" w:rsidP="001F018F">
      <w:pPr>
        <w:rPr>
          <w:rFonts w:eastAsia="Arial"/>
        </w:rPr>
      </w:pPr>
      <w:r>
        <w:rPr>
          <w:rFonts w:eastAsia="Arial"/>
        </w:rPr>
        <w:t>The Government will introduce reforms to ensure</w:t>
      </w:r>
      <w:r w:rsidR="001B4986" w:rsidRPr="001B4986">
        <w:rPr>
          <w:rFonts w:eastAsia="Arial"/>
        </w:rPr>
        <w:t>, subject to appropriate safeguards and in line with other legislative requirements,</w:t>
      </w:r>
      <w:r>
        <w:rPr>
          <w:rFonts w:eastAsia="Arial"/>
        </w:rPr>
        <w:t xml:space="preserve"> </w:t>
      </w:r>
      <w:r w:rsidRPr="00101522">
        <w:rPr>
          <w:rFonts w:eastAsia="Arial"/>
        </w:rPr>
        <w:t xml:space="preserve">greater sharing of </w:t>
      </w:r>
      <w:r w:rsidR="00DE072E">
        <w:rPr>
          <w:rFonts w:eastAsia="Arial"/>
        </w:rPr>
        <w:t xml:space="preserve">foreign investment </w:t>
      </w:r>
      <w:r w:rsidR="00442F92">
        <w:rPr>
          <w:rFonts w:eastAsia="Arial"/>
        </w:rPr>
        <w:t>information (for example,</w:t>
      </w:r>
      <w:r w:rsidRPr="00101522">
        <w:rPr>
          <w:rFonts w:eastAsia="Arial"/>
        </w:rPr>
        <w:t xml:space="preserve"> </w:t>
      </w:r>
      <w:r w:rsidR="001B4986" w:rsidRPr="001B4986">
        <w:rPr>
          <w:rFonts w:eastAsia="Arial"/>
        </w:rPr>
        <w:t>information held on ATO registers) across government agencies and with international counterparts where national security considerations are present.</w:t>
      </w:r>
    </w:p>
    <w:p w14:paraId="3A28A463" w14:textId="59946F76" w:rsidR="00AB1F65" w:rsidRDefault="00AB1F65" w:rsidP="00946485">
      <w:pPr>
        <w:pStyle w:val="Heading2"/>
      </w:pPr>
      <w:bookmarkStart w:id="276" w:name="_Toc34142441"/>
      <w:bookmarkStart w:id="277" w:name="_Toc34147765"/>
      <w:bookmarkStart w:id="278" w:name="_Toc34148768"/>
      <w:bookmarkStart w:id="279" w:name="_Toc34376185"/>
      <w:bookmarkStart w:id="280" w:name="_Toc34384793"/>
      <w:bookmarkStart w:id="281" w:name="_Toc34385224"/>
      <w:bookmarkStart w:id="282" w:name="_Toc34823619"/>
      <w:bookmarkStart w:id="283" w:name="_Toc34840566"/>
      <w:bookmarkStart w:id="284" w:name="_Toc35254843"/>
      <w:bookmarkStart w:id="285" w:name="_Toc35257739"/>
      <w:bookmarkStart w:id="286" w:name="_Toc41999456"/>
      <w:bookmarkStart w:id="287" w:name="_Toc42154173"/>
      <w:bookmarkStart w:id="288" w:name="_Toc34385933"/>
      <w:r>
        <w:t>A new Register of Foreign Ownership</w:t>
      </w:r>
      <w:bookmarkEnd w:id="276"/>
      <w:bookmarkEnd w:id="277"/>
      <w:bookmarkEnd w:id="278"/>
      <w:bookmarkEnd w:id="279"/>
      <w:bookmarkEnd w:id="280"/>
      <w:bookmarkEnd w:id="281"/>
      <w:bookmarkEnd w:id="282"/>
      <w:bookmarkEnd w:id="283"/>
      <w:bookmarkEnd w:id="284"/>
      <w:bookmarkEnd w:id="285"/>
      <w:bookmarkEnd w:id="286"/>
      <w:bookmarkEnd w:id="287"/>
    </w:p>
    <w:p w14:paraId="15A6B42C" w14:textId="77777777" w:rsidR="00E77132" w:rsidRPr="00C06557" w:rsidRDefault="00E77132" w:rsidP="00E77132">
      <w:pPr>
        <w:pStyle w:val="SingleParagraph"/>
        <w:rPr>
          <w:rFonts w:eastAsia="Arial"/>
        </w:rPr>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E77132" w14:paraId="2CA857F0" w14:textId="77777777" w:rsidTr="001F018F">
        <w:tc>
          <w:tcPr>
            <w:tcW w:w="5000" w:type="pct"/>
            <w:shd w:val="clear" w:color="auto" w:fill="EBEBEB"/>
          </w:tcPr>
          <w:p w14:paraId="375AACEA" w14:textId="1A2C83FB" w:rsidR="00E77132" w:rsidRPr="00E77132" w:rsidRDefault="00E77132" w:rsidP="00E77132">
            <w:pPr>
              <w:pStyle w:val="OneLevelNumberedParagraph"/>
              <w:rPr>
                <w:sz w:val="22"/>
              </w:rPr>
            </w:pPr>
            <w:r w:rsidRPr="00E77132">
              <w:rPr>
                <w:sz w:val="22"/>
              </w:rPr>
              <w:t>The Government is considering a new Register of Foreign Ownership that will merge and expand the existing agricultural land, water and residential registers, in order to increase the Government</w:t>
            </w:r>
            <w:r w:rsidR="00AF5EDD">
              <w:rPr>
                <w:sz w:val="22"/>
              </w:rPr>
              <w:t>’</w:t>
            </w:r>
            <w:r w:rsidRPr="00E77132">
              <w:rPr>
                <w:sz w:val="22"/>
              </w:rPr>
              <w:t>s visibility of foreign investments made in Australia.</w:t>
            </w:r>
          </w:p>
        </w:tc>
      </w:tr>
    </w:tbl>
    <w:p w14:paraId="51425E3D" w14:textId="77777777" w:rsidR="00E77132" w:rsidRDefault="00E77132" w:rsidP="00E77132">
      <w:pPr>
        <w:pStyle w:val="SingleParagraph"/>
        <w:rPr>
          <w:rFonts w:eastAsia="Arial"/>
        </w:rPr>
      </w:pPr>
    </w:p>
    <w:p w14:paraId="7EB02FF6" w14:textId="5338636F" w:rsidR="00AC7F05" w:rsidRDefault="00AC7F05" w:rsidP="001F018F">
      <w:bookmarkStart w:id="289" w:name="_Toc33450094"/>
      <w:bookmarkStart w:id="290" w:name="_Toc33540602"/>
      <w:bookmarkStart w:id="291" w:name="_Toc33625486"/>
      <w:bookmarkEnd w:id="288"/>
      <w:r w:rsidRPr="00776BC8">
        <w:t>The</w:t>
      </w:r>
      <w:r>
        <w:t xml:space="preserve"> new</w:t>
      </w:r>
      <w:r w:rsidRPr="00776BC8">
        <w:t xml:space="preserve"> Register</w:t>
      </w:r>
      <w:r>
        <w:t xml:space="preserve"> of Foreign Ownership (the Register)</w:t>
      </w:r>
      <w:r w:rsidRPr="00776BC8">
        <w:t xml:space="preserve"> </w:t>
      </w:r>
      <w:r w:rsidR="001B4986">
        <w:t xml:space="preserve">will </w:t>
      </w:r>
      <w:r w:rsidR="005E3B2E">
        <w:t>provide greater visibility of foreign investment in Australia and</w:t>
      </w:r>
      <w:r w:rsidR="00F65AA0">
        <w:t xml:space="preserve"> </w:t>
      </w:r>
      <w:r w:rsidRPr="00776BC8">
        <w:t>support information sharing across government</w:t>
      </w:r>
      <w:r w:rsidR="00A51556">
        <w:t>.</w:t>
      </w:r>
      <w:r w:rsidR="00BE61D6">
        <w:t xml:space="preserve">The Register </w:t>
      </w:r>
      <w:r w:rsidR="001B4986">
        <w:t xml:space="preserve">will </w:t>
      </w:r>
      <w:r w:rsidR="00BE61D6">
        <w:t>be administered by the ATO</w:t>
      </w:r>
      <w:r w:rsidR="00EE6E9E">
        <w:t>.</w:t>
      </w:r>
    </w:p>
    <w:p w14:paraId="482CFDC2" w14:textId="0CC79892" w:rsidR="00AC7F05" w:rsidRPr="00776BC8" w:rsidRDefault="00AC7F05" w:rsidP="001F018F">
      <w:r>
        <w:t>Information</w:t>
      </w:r>
      <w:r w:rsidRPr="00776BC8">
        <w:t xml:space="preserve"> gathered on the register </w:t>
      </w:r>
      <w:r w:rsidR="00457FB0">
        <w:t>will, subject to appropriate safeguards,</w:t>
      </w:r>
      <w:r w:rsidR="00457FB0" w:rsidRPr="00776BC8">
        <w:t xml:space="preserve"> </w:t>
      </w:r>
      <w:r w:rsidRPr="00776BC8">
        <w:t xml:space="preserve">be </w:t>
      </w:r>
      <w:r>
        <w:t>sharable</w:t>
      </w:r>
      <w:r w:rsidRPr="00776BC8">
        <w:t xml:space="preserve"> across government in line with the proposed changes to </w:t>
      </w:r>
      <w:r w:rsidR="00DE072E">
        <w:t xml:space="preserve">the </w:t>
      </w:r>
      <w:r w:rsidRPr="00776BC8">
        <w:t xml:space="preserve">foreign investment information sharing provisions. The Register </w:t>
      </w:r>
      <w:r w:rsidR="00457FB0">
        <w:t>will</w:t>
      </w:r>
      <w:r w:rsidR="00457FB0" w:rsidRPr="00776BC8">
        <w:t xml:space="preserve"> </w:t>
      </w:r>
      <w:r w:rsidRPr="00776BC8">
        <w:t>not be searchable by the public</w:t>
      </w:r>
      <w:r>
        <w:t xml:space="preserve"> due to commercial sensitivities and privacy considerations.</w:t>
      </w:r>
      <w:r w:rsidRPr="00776BC8">
        <w:t xml:space="preserve"> </w:t>
      </w:r>
    </w:p>
    <w:p w14:paraId="010FCC07" w14:textId="0CE8478C" w:rsidR="00AC7F05" w:rsidRPr="00776BC8" w:rsidRDefault="00AC7F05" w:rsidP="001F018F">
      <w:r>
        <w:t>T</w:t>
      </w:r>
      <w:r w:rsidRPr="00776BC8">
        <w:t xml:space="preserve">he Register </w:t>
      </w:r>
      <w:r w:rsidR="00457FB0">
        <w:t>will</w:t>
      </w:r>
      <w:r w:rsidRPr="00776BC8">
        <w:t xml:space="preserve"> </w:t>
      </w:r>
      <w:r w:rsidR="002B4E52">
        <w:t xml:space="preserve">initially </w:t>
      </w:r>
      <w:r w:rsidR="00831B14">
        <w:t>amalgamate existing registers</w:t>
      </w:r>
      <w:r w:rsidR="005C718E">
        <w:t>,</w:t>
      </w:r>
      <w:r w:rsidR="00831B14">
        <w:t xml:space="preserve"> and subject to consultation</w:t>
      </w:r>
      <w:r w:rsidR="005B4F05">
        <w:t>,</w:t>
      </w:r>
      <w:r w:rsidR="00831B14">
        <w:t xml:space="preserve"> </w:t>
      </w:r>
      <w:r w:rsidRPr="00776BC8">
        <w:t xml:space="preserve">require </w:t>
      </w:r>
      <w:r w:rsidR="002B4E52">
        <w:t xml:space="preserve">at a minimum </w:t>
      </w:r>
      <w:r w:rsidRPr="00776BC8">
        <w:t>foreign persons to register: interest</w:t>
      </w:r>
      <w:r w:rsidR="00DE072E">
        <w:t>s</w:t>
      </w:r>
      <w:r w:rsidRPr="00776BC8">
        <w:t xml:space="preserve"> they acquire in Australian land; water entitlements and contractual water rights; and business acquisitions that require foreign investment approval including anything covered by the new national security test.</w:t>
      </w:r>
    </w:p>
    <w:p w14:paraId="2E138C08" w14:textId="1AF15054" w:rsidR="00AC7F05" w:rsidRDefault="00AC7F05" w:rsidP="001F018F">
      <w:r>
        <w:t>As t</w:t>
      </w:r>
      <w:r w:rsidRPr="00776BC8">
        <w:t xml:space="preserve">he ATO </w:t>
      </w:r>
      <w:r>
        <w:t>already</w:t>
      </w:r>
      <w:r w:rsidRPr="00776BC8">
        <w:t xml:space="preserve"> administers the existing agricultural land, residential land and water entitlements registers</w:t>
      </w:r>
      <w:r>
        <w:t xml:space="preserve">, these registers (in addition to any new registration obligations arising from this proposal) </w:t>
      </w:r>
      <w:r w:rsidR="00F11843">
        <w:t xml:space="preserve">will </w:t>
      </w:r>
      <w:r>
        <w:t>be merged and consolidated to avoid duplication.</w:t>
      </w:r>
      <w:r w:rsidRPr="00776BC8">
        <w:t xml:space="preserve"> </w:t>
      </w:r>
      <w:r w:rsidR="00EE6E9E">
        <w:t>This</w:t>
      </w:r>
      <w:r w:rsidRPr="002456EA">
        <w:t xml:space="preserve"> </w:t>
      </w:r>
      <w:r w:rsidR="00F11843">
        <w:t>will</w:t>
      </w:r>
      <w:r w:rsidR="00F11843" w:rsidRPr="002456EA">
        <w:t xml:space="preserve"> </w:t>
      </w:r>
      <w:r>
        <w:t xml:space="preserve">allow for </w:t>
      </w:r>
      <w:r w:rsidR="00857BDE">
        <w:t xml:space="preserve">a </w:t>
      </w:r>
      <w:r>
        <w:t xml:space="preserve">better user </w:t>
      </w:r>
      <w:r w:rsidR="005E3B2E">
        <w:t>experience</w:t>
      </w:r>
      <w:r>
        <w:t xml:space="preserve">, </w:t>
      </w:r>
      <w:r w:rsidRPr="002456EA">
        <w:t xml:space="preserve">and </w:t>
      </w:r>
      <w:r w:rsidR="00F11843">
        <w:t>will</w:t>
      </w:r>
      <w:r w:rsidR="00F11843" w:rsidRPr="00776BC8">
        <w:t xml:space="preserve"> </w:t>
      </w:r>
      <w:r w:rsidR="00857BDE" w:rsidRPr="00776BC8">
        <w:t xml:space="preserve">assist </w:t>
      </w:r>
      <w:r w:rsidR="00857BDE">
        <w:t>the Government to</w:t>
      </w:r>
      <w:r w:rsidR="00857BDE" w:rsidRPr="00776BC8">
        <w:t xml:space="preserve"> identif</w:t>
      </w:r>
      <w:r w:rsidR="00857BDE">
        <w:t>y</w:t>
      </w:r>
      <w:r w:rsidR="00857BDE" w:rsidRPr="00776BC8">
        <w:t xml:space="preserve"> </w:t>
      </w:r>
      <w:r w:rsidR="00857BDE">
        <w:t xml:space="preserve">trends and </w:t>
      </w:r>
      <w:r w:rsidR="00A51556">
        <w:t xml:space="preserve">any </w:t>
      </w:r>
      <w:r w:rsidR="00857BDE" w:rsidRPr="00776BC8">
        <w:t>systemic</w:t>
      </w:r>
      <w:r w:rsidR="00A51556">
        <w:t xml:space="preserve"> issues</w:t>
      </w:r>
      <w:r w:rsidR="005C718E">
        <w:t xml:space="preserve">. It </w:t>
      </w:r>
      <w:r w:rsidR="00857BDE">
        <w:t>may also support</w:t>
      </w:r>
      <w:r w:rsidR="00857BDE" w:rsidRPr="00776BC8">
        <w:t xml:space="preserve"> compliance activities more broadly</w:t>
      </w:r>
      <w:r w:rsidR="009F68E8">
        <w:t>, including managing investors</w:t>
      </w:r>
      <w:r w:rsidR="00AF5EDD">
        <w:t>’</w:t>
      </w:r>
      <w:r w:rsidR="009F68E8">
        <w:t xml:space="preserve"> exit from the regulatory environment when approved investments are sold down or divested</w:t>
      </w:r>
      <w:r w:rsidR="00857BDE" w:rsidRPr="00776BC8">
        <w:t>.</w:t>
      </w:r>
    </w:p>
    <w:p w14:paraId="3EEFE081" w14:textId="14278A6B" w:rsidR="00AC7F05" w:rsidRPr="00776BC8" w:rsidRDefault="00AC7F05" w:rsidP="001F018F">
      <w:r w:rsidRPr="00776BC8">
        <w:lastRenderedPageBreak/>
        <w:t xml:space="preserve">The Register </w:t>
      </w:r>
      <w:r w:rsidR="00457FB0">
        <w:t>will</w:t>
      </w:r>
      <w:r w:rsidRPr="00776BC8">
        <w:t xml:space="preserve"> be a </w:t>
      </w:r>
      <w:r w:rsidR="0055072C" w:rsidRPr="00776BC8">
        <w:t>post</w:t>
      </w:r>
      <w:r w:rsidR="00AF5EDD">
        <w:noBreakHyphen/>
      </w:r>
      <w:r w:rsidR="0055072C" w:rsidRPr="00776BC8">
        <w:t xml:space="preserve">acquisition </w:t>
      </w:r>
      <w:r w:rsidRPr="00776BC8">
        <w:t>recording system</w:t>
      </w:r>
      <w:r w:rsidR="00F65AA0">
        <w:t xml:space="preserve">, recording </w:t>
      </w:r>
      <w:r w:rsidRPr="00776BC8">
        <w:t>actual foreign direct investments</w:t>
      </w:r>
      <w:r w:rsidR="001C1CBF">
        <w:t>,</w:t>
      </w:r>
      <w:r w:rsidR="001C1CBF" w:rsidRPr="00776BC8">
        <w:t xml:space="preserve"> rather</w:t>
      </w:r>
      <w:r w:rsidRPr="00776BC8">
        <w:t xml:space="preserve"> than proposed acquisitions. </w:t>
      </w:r>
      <w:r w:rsidR="00B139AE">
        <w:t xml:space="preserve">The register </w:t>
      </w:r>
      <w:r w:rsidR="00B37DDF">
        <w:t>will</w:t>
      </w:r>
      <w:r w:rsidR="00B139AE">
        <w:t xml:space="preserve"> also require investors to notify of divestments, disposals of assets, and any changes in their foreign entity status. </w:t>
      </w:r>
      <w:r w:rsidRPr="00776BC8">
        <w:t xml:space="preserve">Investors </w:t>
      </w:r>
      <w:r w:rsidR="00F11843">
        <w:t>will</w:t>
      </w:r>
      <w:r w:rsidR="00F11843" w:rsidRPr="00776BC8">
        <w:t xml:space="preserve"> </w:t>
      </w:r>
      <w:r w:rsidRPr="00776BC8">
        <w:t xml:space="preserve">be required to register within a specified </w:t>
      </w:r>
      <w:r w:rsidR="00F65AA0">
        <w:t xml:space="preserve">period </w:t>
      </w:r>
      <w:r w:rsidR="005C718E">
        <w:t xml:space="preserve">following an action. </w:t>
      </w:r>
    </w:p>
    <w:p w14:paraId="5E46CDDD" w14:textId="5DD1F09A" w:rsidR="00C06149" w:rsidRDefault="00AC7F05" w:rsidP="001F018F">
      <w:r w:rsidRPr="00776BC8">
        <w:t xml:space="preserve">For most investors, the registration requirement </w:t>
      </w:r>
      <w:r w:rsidR="00F11843">
        <w:t>will</w:t>
      </w:r>
      <w:r w:rsidR="00F11843" w:rsidRPr="00776BC8">
        <w:t xml:space="preserve"> </w:t>
      </w:r>
      <w:r w:rsidR="00047BC7">
        <w:t xml:space="preserve">not </w:t>
      </w:r>
      <w:r w:rsidR="002B75DB">
        <w:t>im</w:t>
      </w:r>
      <w:r w:rsidR="00047BC7">
        <w:t>pose</w:t>
      </w:r>
      <w:r w:rsidRPr="00776BC8">
        <w:t xml:space="preserve"> an </w:t>
      </w:r>
      <w:r w:rsidR="00047BC7">
        <w:t xml:space="preserve">additional burden </w:t>
      </w:r>
      <w:r w:rsidR="002B75DB">
        <w:t>over</w:t>
      </w:r>
      <w:r w:rsidRPr="00776BC8">
        <w:t xml:space="preserve"> an existing obligation. </w:t>
      </w:r>
      <w:r>
        <w:t>For example, f</w:t>
      </w:r>
      <w:r w:rsidRPr="00776BC8">
        <w:t xml:space="preserve">oreign </w:t>
      </w:r>
      <w:r w:rsidR="003D6146">
        <w:t>persons</w:t>
      </w:r>
      <w:r w:rsidR="003D6146" w:rsidRPr="00776BC8">
        <w:t xml:space="preserve"> </w:t>
      </w:r>
      <w:r w:rsidRPr="00776BC8">
        <w:t xml:space="preserve">currently have to register when acquiring or disposing of interests in agricultural land, residential land, water or media assets, or if they are a responsible entity </w:t>
      </w:r>
      <w:r w:rsidR="00122DF4">
        <w:t>or</w:t>
      </w:r>
      <w:r w:rsidR="00122DF4" w:rsidRPr="00776BC8">
        <w:t xml:space="preserve"> </w:t>
      </w:r>
      <w:r w:rsidRPr="00776BC8">
        <w:t xml:space="preserve">a direct interest holder of a </w:t>
      </w:r>
      <w:r w:rsidR="00F65AA0">
        <w:t xml:space="preserve">specified </w:t>
      </w:r>
      <w:r w:rsidRPr="00776BC8">
        <w:t>critical infrastructure asset.</w:t>
      </w:r>
    </w:p>
    <w:p w14:paraId="7AAC61E8" w14:textId="5A081FF5" w:rsidR="009C2FEE" w:rsidRPr="00C06149" w:rsidRDefault="00602486" w:rsidP="001F018F">
      <w:r w:rsidRPr="00776BC8">
        <w:t>Where possible, Treasury</w:t>
      </w:r>
      <w:r>
        <w:t xml:space="preserve"> and the ATO</w:t>
      </w:r>
      <w:r w:rsidRPr="00776BC8">
        <w:t xml:space="preserve"> will leverage the capabilities from the </w:t>
      </w:r>
      <w:hyperlink r:id="rId38" w:history="1">
        <w:r w:rsidRPr="00403DAB">
          <w:rPr>
            <w:rStyle w:val="Hyperlink"/>
          </w:rPr>
          <w:t>Modernising Business Registers program</w:t>
        </w:r>
      </w:hyperlink>
      <w:r w:rsidRPr="00776BC8">
        <w:t xml:space="preserve"> to assist in the development of the Register. </w:t>
      </w:r>
      <w:r w:rsidR="00AC7F05" w:rsidRPr="00776BC8">
        <w:t>This may include</w:t>
      </w:r>
      <w:r w:rsidR="00162813">
        <w:t xml:space="preserve"> ensuring</w:t>
      </w:r>
      <w:r w:rsidR="00AC7F05" w:rsidRPr="00776BC8">
        <w:t xml:space="preserve"> the interoperability of the new Register with other government registry services, minimising regulatory reporting burdens where possible. </w:t>
      </w:r>
    </w:p>
    <w:p w14:paraId="4234E888" w14:textId="3B66A1E0" w:rsidR="00C06149" w:rsidRDefault="00C06149" w:rsidP="00946485">
      <w:pPr>
        <w:pStyle w:val="Heading2"/>
      </w:pPr>
      <w:bookmarkStart w:id="292" w:name="_Toc34142442"/>
      <w:bookmarkStart w:id="293" w:name="_Toc34147766"/>
      <w:bookmarkStart w:id="294" w:name="_Toc34148769"/>
      <w:bookmarkStart w:id="295" w:name="_Toc34376186"/>
      <w:bookmarkStart w:id="296" w:name="_Toc34384794"/>
      <w:bookmarkStart w:id="297" w:name="_Toc34385225"/>
      <w:bookmarkStart w:id="298" w:name="_Toc34823620"/>
      <w:bookmarkStart w:id="299" w:name="_Toc34840567"/>
      <w:bookmarkStart w:id="300" w:name="_Toc35254844"/>
      <w:bookmarkStart w:id="301" w:name="_Toc35257740"/>
      <w:bookmarkStart w:id="302" w:name="_Toc41999457"/>
      <w:bookmarkStart w:id="303" w:name="_Toc42154174"/>
      <w:r>
        <w:t>Greater sharing of foreign investment information</w:t>
      </w:r>
      <w:bookmarkEnd w:id="292"/>
      <w:bookmarkEnd w:id="293"/>
      <w:bookmarkEnd w:id="294"/>
      <w:bookmarkEnd w:id="295"/>
      <w:bookmarkEnd w:id="296"/>
      <w:bookmarkEnd w:id="297"/>
      <w:bookmarkEnd w:id="298"/>
      <w:bookmarkEnd w:id="299"/>
      <w:bookmarkEnd w:id="300"/>
      <w:bookmarkEnd w:id="301"/>
      <w:bookmarkEnd w:id="302"/>
      <w:bookmarkEnd w:id="303"/>
    </w:p>
    <w:p w14:paraId="216664A9" w14:textId="77777777" w:rsidR="00E77132" w:rsidRPr="00C06557" w:rsidRDefault="00E77132" w:rsidP="00E77132">
      <w:pPr>
        <w:pStyle w:val="SingleParagraph"/>
        <w:rPr>
          <w:rFonts w:eastAsia="Arial"/>
        </w:rPr>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E77132" w14:paraId="0E0EC12A" w14:textId="77777777" w:rsidTr="001F018F">
        <w:tc>
          <w:tcPr>
            <w:tcW w:w="5000" w:type="pct"/>
            <w:shd w:val="clear" w:color="auto" w:fill="EBEBEB"/>
          </w:tcPr>
          <w:p w14:paraId="20647B39" w14:textId="77777777" w:rsidR="00E77132" w:rsidRDefault="00E77132" w:rsidP="00E77132">
            <w:pPr>
              <w:pStyle w:val="OneLevelNumberedParagraph"/>
              <w:rPr>
                <w:sz w:val="22"/>
              </w:rPr>
            </w:pPr>
            <w:r w:rsidRPr="00E77132">
              <w:rPr>
                <w:sz w:val="22"/>
              </w:rPr>
              <w:t>The Government will increase the scope of the information sharing provisions under the FATA and the TAA to allow greater sharing of foreign investment information across government agencies to simplify the administration of the foreign investment framework.</w:t>
            </w:r>
          </w:p>
          <w:p w14:paraId="7030753E" w14:textId="6D34F223" w:rsidR="00E77132" w:rsidRPr="00E77132" w:rsidRDefault="00E77132" w:rsidP="00E77132">
            <w:pPr>
              <w:pStyle w:val="OneLevelNumberedParagraph"/>
              <w:rPr>
                <w:sz w:val="22"/>
              </w:rPr>
            </w:pPr>
            <w:r w:rsidRPr="00E77132">
              <w:rPr>
                <w:sz w:val="22"/>
              </w:rPr>
              <w:t>The Government will introduce new information sharing provisions to allow the sharing of protected information with international counterparts where national security considerations are present.</w:t>
            </w:r>
          </w:p>
        </w:tc>
      </w:tr>
    </w:tbl>
    <w:p w14:paraId="671522A0" w14:textId="77777777" w:rsidR="00E77132" w:rsidRDefault="00E77132" w:rsidP="00E77132">
      <w:pPr>
        <w:pStyle w:val="SingleParagraph"/>
        <w:rPr>
          <w:rFonts w:eastAsia="Arial"/>
        </w:rPr>
      </w:pPr>
    </w:p>
    <w:bookmarkEnd w:id="289"/>
    <w:bookmarkEnd w:id="290"/>
    <w:bookmarkEnd w:id="291"/>
    <w:p w14:paraId="777C2804" w14:textId="6EED73CA" w:rsidR="006B74FB" w:rsidRPr="00E40BFF" w:rsidRDefault="006B74FB" w:rsidP="001F018F">
      <w:pPr>
        <w:rPr>
          <w:rFonts w:eastAsia="Arial"/>
        </w:rPr>
      </w:pPr>
      <w:r>
        <w:rPr>
          <w:rFonts w:eastAsia="Arial"/>
        </w:rPr>
        <w:t>Legislative a</w:t>
      </w:r>
      <w:r w:rsidRPr="7A9A7C5B">
        <w:rPr>
          <w:rFonts w:eastAsia="Arial"/>
        </w:rPr>
        <w:t xml:space="preserve">mendments </w:t>
      </w:r>
      <w:r>
        <w:rPr>
          <w:rFonts w:eastAsia="Arial"/>
        </w:rPr>
        <w:t xml:space="preserve">will be made to </w:t>
      </w:r>
      <w:r w:rsidRPr="7A9A7C5B">
        <w:rPr>
          <w:rFonts w:eastAsia="Arial"/>
        </w:rPr>
        <w:t>facilitate</w:t>
      </w:r>
      <w:r w:rsidR="00457FB0">
        <w:rPr>
          <w:rFonts w:eastAsia="Arial"/>
        </w:rPr>
        <w:t xml:space="preserve">, </w:t>
      </w:r>
      <w:r w:rsidR="00457FB0">
        <w:t>subject to appropriate safeguards,</w:t>
      </w:r>
      <w:r w:rsidRPr="7A9A7C5B">
        <w:rPr>
          <w:rFonts w:eastAsia="Arial"/>
        </w:rPr>
        <w:t xml:space="preserve"> more streamlined sharing of </w:t>
      </w:r>
      <w:r>
        <w:rPr>
          <w:rFonts w:eastAsia="Arial"/>
        </w:rPr>
        <w:t xml:space="preserve">foreign investment </w:t>
      </w:r>
      <w:r w:rsidRPr="7A9A7C5B">
        <w:rPr>
          <w:rFonts w:eastAsia="Arial"/>
        </w:rPr>
        <w:t xml:space="preserve">information to other state and federal agencies (including those with related domestic responsibilities </w:t>
      </w:r>
      <w:r w:rsidR="00F84312">
        <w:rPr>
          <w:rFonts w:eastAsia="Arial"/>
        </w:rPr>
        <w:t>with</w:t>
      </w:r>
      <w:r w:rsidRPr="7A9A7C5B">
        <w:rPr>
          <w:rFonts w:eastAsia="Arial"/>
        </w:rPr>
        <w:t xml:space="preserve"> an interest in conditions imposed).</w:t>
      </w:r>
    </w:p>
    <w:p w14:paraId="71180B06" w14:textId="5AAE1FF8" w:rsidR="006B74FB" w:rsidRDefault="006B74FB" w:rsidP="001F018F">
      <w:pPr>
        <w:rPr>
          <w:rFonts w:eastAsia="Arial"/>
        </w:rPr>
      </w:pPr>
      <w:r w:rsidRPr="00CB2BFE">
        <w:rPr>
          <w:rFonts w:eastAsia="Arial"/>
        </w:rPr>
        <w:t xml:space="preserve">Legislative amendments will </w:t>
      </w:r>
      <w:r>
        <w:rPr>
          <w:rFonts w:eastAsia="Arial"/>
        </w:rPr>
        <w:t xml:space="preserve">also </w:t>
      </w:r>
      <w:r w:rsidRPr="00CB2BFE">
        <w:rPr>
          <w:rFonts w:eastAsia="Arial"/>
        </w:rPr>
        <w:t xml:space="preserve">be made to enable the ATO to communicate protected information (as defined under the </w:t>
      </w:r>
      <w:r w:rsidRPr="00B265AB">
        <w:rPr>
          <w:rFonts w:eastAsia="Arial"/>
          <w:i/>
          <w:szCs w:val="22"/>
        </w:rPr>
        <w:t>Tax Administration Act 1953</w:t>
      </w:r>
      <w:r w:rsidRPr="00CB2BFE">
        <w:rPr>
          <w:rFonts w:eastAsia="Arial"/>
        </w:rPr>
        <w:t xml:space="preserve">) directly to </w:t>
      </w:r>
      <w:r w:rsidR="00431BCE">
        <w:rPr>
          <w:rFonts w:eastAsia="Arial"/>
        </w:rPr>
        <w:t xml:space="preserve">the </w:t>
      </w:r>
      <w:r>
        <w:rPr>
          <w:rFonts w:eastAsia="Arial"/>
        </w:rPr>
        <w:t>FIRB</w:t>
      </w:r>
      <w:r w:rsidR="00431BCE">
        <w:rPr>
          <w:rFonts w:eastAsia="Arial"/>
        </w:rPr>
        <w:t xml:space="preserve"> </w:t>
      </w:r>
      <w:r w:rsidRPr="00CB2BFE">
        <w:rPr>
          <w:rFonts w:eastAsia="Arial"/>
        </w:rPr>
        <w:t xml:space="preserve">(rather than through the Treasury as the current law requires) for the purpose of advising the </w:t>
      </w:r>
      <w:r w:rsidR="00143244">
        <w:rPr>
          <w:rFonts w:eastAsia="Arial"/>
        </w:rPr>
        <w:t>Government</w:t>
      </w:r>
      <w:r w:rsidR="00143244" w:rsidRPr="00CB2BFE">
        <w:rPr>
          <w:rFonts w:eastAsia="Arial"/>
        </w:rPr>
        <w:t xml:space="preserve"> </w:t>
      </w:r>
      <w:r w:rsidRPr="00CB2BFE">
        <w:rPr>
          <w:rFonts w:eastAsia="Arial"/>
        </w:rPr>
        <w:t xml:space="preserve">on foreign investment </w:t>
      </w:r>
      <w:r w:rsidR="00F56520">
        <w:rPr>
          <w:rFonts w:eastAsia="Arial"/>
        </w:rPr>
        <w:t>issues</w:t>
      </w:r>
      <w:r w:rsidRPr="00CB2BFE">
        <w:rPr>
          <w:rFonts w:eastAsia="Arial"/>
        </w:rPr>
        <w:t>.</w:t>
      </w:r>
      <w:r w:rsidR="00351822" w:rsidRPr="00351822">
        <w:t xml:space="preserve"> </w:t>
      </w:r>
    </w:p>
    <w:p w14:paraId="426BE2D6" w14:textId="071E1537" w:rsidR="007230CF" w:rsidRDefault="007230CF" w:rsidP="001F018F">
      <w:r>
        <w:t>New information sharing provisions will be introduced</w:t>
      </w:r>
      <w:r w:rsidR="00457FB0">
        <w:t>, subject to appropriate safeguards,</w:t>
      </w:r>
      <w:r>
        <w:t xml:space="preserve"> to enable sharing of protected information with international counterparts in limited circumstances where national security considerations are present. </w:t>
      </w:r>
    </w:p>
    <w:p w14:paraId="6A05DD60" w14:textId="6CC0E02E" w:rsidR="00602486" w:rsidRPr="001D6046" w:rsidRDefault="00602486" w:rsidP="001F018F">
      <w:pPr>
        <w:rPr>
          <w:rFonts w:eastAsia="Arial"/>
        </w:rPr>
      </w:pPr>
      <w:bookmarkStart w:id="304" w:name="_Toc33450096"/>
      <w:bookmarkEnd w:id="304"/>
      <w:r w:rsidRPr="00A84283">
        <w:t xml:space="preserve">The </w:t>
      </w:r>
      <w:r>
        <w:t>Government</w:t>
      </w:r>
      <w:r w:rsidRPr="00A84283">
        <w:t xml:space="preserve"> recognises that much of the information required to assess an application will be commercially sensitive or of a private or confidential nature. </w:t>
      </w:r>
      <w:r>
        <w:t xml:space="preserve">Accordingly, </w:t>
      </w:r>
      <w:r>
        <w:rPr>
          <w:rFonts w:eastAsia="Arial"/>
        </w:rPr>
        <w:t>these</w:t>
      </w:r>
      <w:r w:rsidRPr="00CB2BFE">
        <w:rPr>
          <w:rFonts w:eastAsia="Arial"/>
        </w:rPr>
        <w:t xml:space="preserve"> initiatives will be </w:t>
      </w:r>
      <w:r>
        <w:rPr>
          <w:rFonts w:eastAsia="Arial"/>
        </w:rPr>
        <w:t>implemented consistently</w:t>
      </w:r>
      <w:r w:rsidRPr="00CB2BFE" w:rsidDel="00A37635">
        <w:rPr>
          <w:rFonts w:eastAsia="Arial"/>
        </w:rPr>
        <w:t xml:space="preserve"> </w:t>
      </w:r>
      <w:r w:rsidRPr="00CB2BFE">
        <w:rPr>
          <w:rFonts w:eastAsia="Arial"/>
        </w:rPr>
        <w:t>with Australian privacy</w:t>
      </w:r>
      <w:r>
        <w:rPr>
          <w:rFonts w:eastAsia="Arial"/>
        </w:rPr>
        <w:t xml:space="preserve"> and </w:t>
      </w:r>
      <w:r w:rsidR="00457FB0">
        <w:rPr>
          <w:rFonts w:eastAsia="Arial"/>
        </w:rPr>
        <w:t>confidentiality</w:t>
      </w:r>
      <w:r w:rsidR="00457FB0" w:rsidRPr="00CB2BFE">
        <w:rPr>
          <w:rFonts w:eastAsia="Arial"/>
        </w:rPr>
        <w:t xml:space="preserve"> </w:t>
      </w:r>
      <w:r w:rsidR="00A72F63" w:rsidRPr="00CB2BFE">
        <w:rPr>
          <w:rFonts w:eastAsia="Arial"/>
        </w:rPr>
        <w:t>law</w:t>
      </w:r>
      <w:r w:rsidR="00A72F63">
        <w:rPr>
          <w:rFonts w:eastAsia="Arial"/>
        </w:rPr>
        <w:t>s</w:t>
      </w:r>
      <w:r w:rsidR="00A72F63" w:rsidRPr="00CB2BFE">
        <w:rPr>
          <w:rFonts w:eastAsia="Arial"/>
        </w:rPr>
        <w:t xml:space="preserve"> </w:t>
      </w:r>
      <w:r w:rsidRPr="00CB2BFE">
        <w:rPr>
          <w:rFonts w:eastAsia="Arial"/>
        </w:rPr>
        <w:t xml:space="preserve">to ensure adequate protection of </w:t>
      </w:r>
      <w:r w:rsidR="00457FB0">
        <w:rPr>
          <w:rFonts w:eastAsia="Arial"/>
        </w:rPr>
        <w:t>such</w:t>
      </w:r>
      <w:r w:rsidR="00457FB0" w:rsidRPr="00CB2BFE">
        <w:rPr>
          <w:rFonts w:eastAsia="Arial"/>
        </w:rPr>
        <w:t xml:space="preserve"> </w:t>
      </w:r>
      <w:r w:rsidRPr="00CB2BFE">
        <w:rPr>
          <w:rFonts w:eastAsia="Arial"/>
        </w:rPr>
        <w:t xml:space="preserve">information. </w:t>
      </w:r>
    </w:p>
    <w:p w14:paraId="0DABD069" w14:textId="366267F0" w:rsidR="00A65B9A" w:rsidRDefault="006B74FB" w:rsidP="00946485">
      <w:pPr>
        <w:pStyle w:val="Heading1"/>
      </w:pPr>
      <w:r>
        <w:br w:type="column"/>
      </w:r>
      <w:bookmarkStart w:id="305" w:name="_Toc34376187"/>
      <w:bookmarkStart w:id="306" w:name="_Toc34384795"/>
      <w:bookmarkStart w:id="307" w:name="_Toc34385226"/>
      <w:bookmarkStart w:id="308" w:name="_Toc34823621"/>
      <w:bookmarkStart w:id="309" w:name="_Toc34840568"/>
      <w:bookmarkStart w:id="310" w:name="_Toc35254845"/>
      <w:bookmarkStart w:id="311" w:name="_Toc35257741"/>
      <w:bookmarkStart w:id="312" w:name="_Toc41999458"/>
      <w:bookmarkStart w:id="313" w:name="_Toc42154175"/>
      <w:bookmarkEnd w:id="213"/>
      <w:bookmarkEnd w:id="214"/>
      <w:r w:rsidR="008812C3">
        <w:lastRenderedPageBreak/>
        <w:t>A fairer and simpler framework for</w:t>
      </w:r>
      <w:r w:rsidR="00A65B9A">
        <w:t xml:space="preserve"> foreign investment fees</w:t>
      </w:r>
      <w:bookmarkEnd w:id="305"/>
      <w:bookmarkEnd w:id="306"/>
      <w:bookmarkEnd w:id="307"/>
      <w:bookmarkEnd w:id="308"/>
      <w:bookmarkEnd w:id="309"/>
      <w:bookmarkEnd w:id="310"/>
      <w:bookmarkEnd w:id="311"/>
      <w:bookmarkEnd w:id="312"/>
      <w:bookmarkEnd w:id="313"/>
      <w:r w:rsidR="00A65B9A">
        <w:t xml:space="preserve"> </w:t>
      </w:r>
      <w:r w:rsidR="007F7E46">
        <w:t xml:space="preserve">  </w:t>
      </w: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E77132" w14:paraId="5904DDDB" w14:textId="77777777" w:rsidTr="001F018F">
        <w:tc>
          <w:tcPr>
            <w:tcW w:w="5000" w:type="pct"/>
            <w:shd w:val="clear" w:color="auto" w:fill="EBEBEB"/>
          </w:tcPr>
          <w:p w14:paraId="6E2693E6" w14:textId="70E09ED6" w:rsidR="00E77132" w:rsidRPr="00E77132" w:rsidRDefault="00E77132" w:rsidP="00E77132">
            <w:pPr>
              <w:pStyle w:val="OneLevelNumberedParagraph"/>
              <w:rPr>
                <w:sz w:val="22"/>
              </w:rPr>
            </w:pPr>
            <w:r w:rsidRPr="00E77132">
              <w:rPr>
                <w:sz w:val="22"/>
              </w:rPr>
              <w:t>The foreign investment fees framework ensures that foreign investors, not Australian taxpayers, bear the costs of administering the foreign investment system. Consistent with this principle, fees will be reviewed to ensure they continue to cover the costs of administering the system. In doing so, the Government is committed to reforming the fees framework to make it fairer and simpler for foreign investors.</w:t>
            </w:r>
          </w:p>
        </w:tc>
      </w:tr>
    </w:tbl>
    <w:p w14:paraId="2AC00BC7" w14:textId="77777777" w:rsidR="00E77132" w:rsidRDefault="00E77132" w:rsidP="00E77132">
      <w:pPr>
        <w:pStyle w:val="SingleParagraph"/>
        <w:rPr>
          <w:rFonts w:eastAsia="Arial"/>
        </w:rPr>
      </w:pPr>
    </w:p>
    <w:p w14:paraId="4B5B3D48" w14:textId="432CBCD6" w:rsidR="000A5B53" w:rsidRDefault="000A5B53" w:rsidP="001F018F">
      <w:pPr>
        <w:rPr>
          <w:rFonts w:eastAsia="Arial"/>
        </w:rPr>
      </w:pPr>
      <w:r>
        <w:rPr>
          <w:rFonts w:eastAsia="Arial"/>
        </w:rPr>
        <w:t xml:space="preserve">The Government </w:t>
      </w:r>
      <w:r w:rsidR="005C718E">
        <w:rPr>
          <w:rFonts w:eastAsia="Arial"/>
        </w:rPr>
        <w:t>maintains</w:t>
      </w:r>
      <w:r w:rsidR="00A8749E">
        <w:rPr>
          <w:rFonts w:eastAsia="Arial"/>
        </w:rPr>
        <w:t xml:space="preserve"> that</w:t>
      </w:r>
      <w:r w:rsidR="005C718E">
        <w:rPr>
          <w:rFonts w:eastAsia="Arial"/>
        </w:rPr>
        <w:t xml:space="preserve"> </w:t>
      </w:r>
      <w:r>
        <w:rPr>
          <w:rFonts w:eastAsia="Arial"/>
        </w:rPr>
        <w:t>the cost of administering the foreign investment review framework should be borne by</w:t>
      </w:r>
      <w:r w:rsidR="00DA2EFB">
        <w:rPr>
          <w:rFonts w:eastAsia="Arial"/>
        </w:rPr>
        <w:t xml:space="preserve"> foreign investors</w:t>
      </w:r>
      <w:r w:rsidR="00325AB8">
        <w:rPr>
          <w:rFonts w:eastAsia="Arial"/>
        </w:rPr>
        <w:t xml:space="preserve"> </w:t>
      </w:r>
      <w:r w:rsidR="00DA2EFB">
        <w:rPr>
          <w:rFonts w:eastAsia="Arial"/>
        </w:rPr>
        <w:t>not</w:t>
      </w:r>
      <w:r>
        <w:rPr>
          <w:rFonts w:eastAsia="Arial"/>
        </w:rPr>
        <w:t xml:space="preserve"> Australian taxpayer</w:t>
      </w:r>
      <w:r w:rsidR="000F6620">
        <w:rPr>
          <w:rFonts w:eastAsia="Arial"/>
        </w:rPr>
        <w:t>s</w:t>
      </w:r>
      <w:r>
        <w:rPr>
          <w:rFonts w:eastAsia="Arial"/>
        </w:rPr>
        <w:t xml:space="preserve">. </w:t>
      </w:r>
    </w:p>
    <w:p w14:paraId="7E95E515" w14:textId="651DD60F" w:rsidR="00390F30" w:rsidRPr="00AC3783" w:rsidRDefault="00727180" w:rsidP="001F018F">
      <w:pPr>
        <w:rPr>
          <w:rFonts w:eastAsia="Arial"/>
        </w:rPr>
      </w:pPr>
      <w:r>
        <w:rPr>
          <w:rFonts w:eastAsia="Arial"/>
        </w:rPr>
        <w:t>On t</w:t>
      </w:r>
      <w:r w:rsidR="00FE6DE8">
        <w:rPr>
          <w:rFonts w:eastAsia="Arial"/>
        </w:rPr>
        <w:t>his basis, the fee schedule will be updated to reflect the enlarged roles and responsibilities of foreign investment activities across government</w:t>
      </w:r>
      <w:r w:rsidR="00DF1044">
        <w:rPr>
          <w:rFonts w:eastAsia="Arial"/>
        </w:rPr>
        <w:t xml:space="preserve">, including </w:t>
      </w:r>
      <w:r w:rsidR="00C33EA4">
        <w:rPr>
          <w:rFonts w:eastAsia="Arial"/>
        </w:rPr>
        <w:t xml:space="preserve">aspects related to </w:t>
      </w:r>
      <w:r w:rsidR="00DF1044">
        <w:rPr>
          <w:rFonts w:eastAsia="Arial"/>
        </w:rPr>
        <w:t>national security</w:t>
      </w:r>
      <w:r w:rsidR="00FE6DE8">
        <w:rPr>
          <w:rFonts w:eastAsia="Arial"/>
        </w:rPr>
        <w:t xml:space="preserve">. </w:t>
      </w:r>
      <w:r w:rsidR="00C33EA4">
        <w:rPr>
          <w:rFonts w:eastAsia="Arial"/>
        </w:rPr>
        <w:t>It</w:t>
      </w:r>
      <w:r w:rsidR="00A619BA">
        <w:rPr>
          <w:rFonts w:eastAsia="Arial"/>
        </w:rPr>
        <w:t xml:space="preserve"> will</w:t>
      </w:r>
      <w:r w:rsidR="00390F30">
        <w:rPr>
          <w:rFonts w:eastAsia="Arial"/>
        </w:rPr>
        <w:t xml:space="preserve"> also take into account the </w:t>
      </w:r>
      <w:r w:rsidR="00A619BA">
        <w:rPr>
          <w:rFonts w:eastAsia="Arial"/>
        </w:rPr>
        <w:t>growing</w:t>
      </w:r>
      <w:r w:rsidR="005C718E">
        <w:rPr>
          <w:rFonts w:eastAsia="Arial"/>
        </w:rPr>
        <w:t xml:space="preserve"> complexity</w:t>
      </w:r>
      <w:r w:rsidR="00C33EA4">
        <w:rPr>
          <w:rFonts w:eastAsia="Arial"/>
        </w:rPr>
        <w:t xml:space="preserve"> of cases</w:t>
      </w:r>
      <w:r w:rsidR="00325AB8">
        <w:rPr>
          <w:rFonts w:eastAsia="Arial"/>
        </w:rPr>
        <w:t>, as well as</w:t>
      </w:r>
      <w:r w:rsidR="00390F30" w:rsidRPr="00BA24BE">
        <w:rPr>
          <w:rFonts w:eastAsia="Arial"/>
        </w:rPr>
        <w:t xml:space="preserve"> </w:t>
      </w:r>
      <w:r w:rsidR="00325AB8">
        <w:rPr>
          <w:rFonts w:eastAsia="Arial"/>
        </w:rPr>
        <w:t>the</w:t>
      </w:r>
      <w:r w:rsidR="00390F30" w:rsidRPr="006463C7">
        <w:rPr>
          <w:rFonts w:eastAsia="Arial"/>
        </w:rPr>
        <w:t xml:space="preserve"> </w:t>
      </w:r>
      <w:r w:rsidR="00692113">
        <w:rPr>
          <w:rFonts w:eastAsia="Arial"/>
        </w:rPr>
        <w:t xml:space="preserve">administrative </w:t>
      </w:r>
      <w:r w:rsidR="00390F30" w:rsidRPr="00BA24BE">
        <w:rPr>
          <w:rFonts w:eastAsia="Arial"/>
        </w:rPr>
        <w:t xml:space="preserve">cost of the </w:t>
      </w:r>
      <w:r w:rsidR="00390F30" w:rsidRPr="006463C7">
        <w:rPr>
          <w:rFonts w:eastAsia="Arial"/>
        </w:rPr>
        <w:t>review</w:t>
      </w:r>
      <w:r w:rsidR="00390F30" w:rsidRPr="00BA24BE">
        <w:rPr>
          <w:rFonts w:eastAsia="Arial"/>
        </w:rPr>
        <w:t xml:space="preserve"> process </w:t>
      </w:r>
      <w:r w:rsidR="00392758">
        <w:rPr>
          <w:rFonts w:eastAsia="Arial"/>
        </w:rPr>
        <w:t>over recent years</w:t>
      </w:r>
      <w:r w:rsidR="00390F30" w:rsidRPr="006463C7">
        <w:rPr>
          <w:rFonts w:eastAsia="Arial"/>
        </w:rPr>
        <w:t>.</w:t>
      </w:r>
    </w:p>
    <w:p w14:paraId="578248BE" w14:textId="77777777" w:rsidR="00DD6478" w:rsidRDefault="00DD6478" w:rsidP="001F018F">
      <w:pPr>
        <w:rPr>
          <w:rFonts w:eastAsia="Arial"/>
        </w:rPr>
      </w:pPr>
      <w:r>
        <w:rPr>
          <w:rFonts w:eastAsia="Arial"/>
        </w:rPr>
        <w:t xml:space="preserve">At present, </w:t>
      </w:r>
      <w:r w:rsidR="00677F79">
        <w:rPr>
          <w:rFonts w:eastAsia="Arial"/>
        </w:rPr>
        <w:t>f</w:t>
      </w:r>
      <w:r>
        <w:rPr>
          <w:rFonts w:eastAsia="Arial"/>
        </w:rPr>
        <w:t>ees are generally payable by a foreign person who makes an application under the FATA, with applications only considered once the correct fee has been paid.</w:t>
      </w:r>
    </w:p>
    <w:p w14:paraId="3C2D9371" w14:textId="51391CF9" w:rsidR="00DD6478" w:rsidRDefault="00DD6478" w:rsidP="001F018F">
      <w:pPr>
        <w:rPr>
          <w:rFonts w:eastAsia="Arial"/>
        </w:rPr>
      </w:pPr>
      <w:r>
        <w:rPr>
          <w:rFonts w:eastAsia="Arial"/>
        </w:rPr>
        <w:t xml:space="preserve">Application fees vary based on the type and size of an acquisition. </w:t>
      </w:r>
      <w:r w:rsidR="000F6620">
        <w:rPr>
          <w:rFonts w:eastAsia="Arial"/>
        </w:rPr>
        <w:t xml:space="preserve">Generally for </w:t>
      </w:r>
      <w:r>
        <w:rPr>
          <w:rFonts w:eastAsia="Arial"/>
        </w:rPr>
        <w:t xml:space="preserve">business proposals, fees range from </w:t>
      </w:r>
      <w:r w:rsidRPr="00EF4643">
        <w:rPr>
          <w:rFonts w:eastAsia="Arial"/>
        </w:rPr>
        <w:t>$</w:t>
      </w:r>
      <w:r w:rsidR="00284A29">
        <w:rPr>
          <w:rFonts w:eastAsia="Arial"/>
        </w:rPr>
        <w:t>2,000</w:t>
      </w:r>
      <w:r w:rsidRPr="00EF4643">
        <w:rPr>
          <w:rFonts w:eastAsia="Arial"/>
        </w:rPr>
        <w:t xml:space="preserve"> to $</w:t>
      </w:r>
      <w:r w:rsidR="00284A29">
        <w:rPr>
          <w:rFonts w:eastAsia="Arial"/>
        </w:rPr>
        <w:t>10</w:t>
      </w:r>
      <w:r w:rsidR="00692113">
        <w:rPr>
          <w:rFonts w:eastAsia="Arial"/>
        </w:rPr>
        <w:t>5,2</w:t>
      </w:r>
      <w:r w:rsidR="00284A29">
        <w:rPr>
          <w:rFonts w:eastAsia="Arial"/>
        </w:rPr>
        <w:t>00</w:t>
      </w:r>
      <w:r>
        <w:rPr>
          <w:rFonts w:eastAsia="Arial"/>
        </w:rPr>
        <w:t>. Land fees vary depending on the type of land being acquired and the price for the acquisition of the interest.</w:t>
      </w:r>
    </w:p>
    <w:p w14:paraId="3B7E178A" w14:textId="2B58D721" w:rsidR="00DD6478" w:rsidRDefault="00392758" w:rsidP="001F018F">
      <w:pPr>
        <w:rPr>
          <w:rFonts w:eastAsia="Arial"/>
        </w:rPr>
      </w:pPr>
      <w:r>
        <w:rPr>
          <w:rFonts w:eastAsia="Arial"/>
        </w:rPr>
        <w:t xml:space="preserve">The updated fee schedule </w:t>
      </w:r>
      <w:r w:rsidR="00EE06C6">
        <w:rPr>
          <w:rFonts w:eastAsia="Arial"/>
        </w:rPr>
        <w:t xml:space="preserve">will </w:t>
      </w:r>
      <w:r w:rsidR="00DB062B">
        <w:rPr>
          <w:rFonts w:eastAsia="Arial"/>
        </w:rPr>
        <w:t xml:space="preserve">primarily </w:t>
      </w:r>
      <w:r w:rsidR="00DD6478">
        <w:rPr>
          <w:rFonts w:eastAsia="Arial"/>
        </w:rPr>
        <w:t xml:space="preserve">focus on delivering a structure that is </w:t>
      </w:r>
      <w:r w:rsidR="008A44DD">
        <w:rPr>
          <w:rFonts w:eastAsia="Arial"/>
        </w:rPr>
        <w:t xml:space="preserve">fairer and </w:t>
      </w:r>
      <w:r w:rsidR="00677F79">
        <w:rPr>
          <w:rFonts w:eastAsia="Arial"/>
        </w:rPr>
        <w:t>simpler</w:t>
      </w:r>
      <w:r w:rsidR="00DD6478">
        <w:rPr>
          <w:rFonts w:eastAsia="Arial"/>
        </w:rPr>
        <w:t>.</w:t>
      </w:r>
      <w:r w:rsidR="00DB062B">
        <w:rPr>
          <w:rFonts w:eastAsia="Arial"/>
        </w:rPr>
        <w:t xml:space="preserve"> </w:t>
      </w:r>
      <w:r w:rsidR="00DD6478">
        <w:rPr>
          <w:rFonts w:eastAsia="Arial"/>
        </w:rPr>
        <w:t>In</w:t>
      </w:r>
      <w:r w:rsidR="000B1182">
        <w:rPr>
          <w:rFonts w:eastAsia="Arial"/>
        </w:rPr>
        <w:t xml:space="preserve"> </w:t>
      </w:r>
      <w:r w:rsidR="00DD6478">
        <w:rPr>
          <w:rFonts w:eastAsia="Arial"/>
        </w:rPr>
        <w:t>particular, t</w:t>
      </w:r>
      <w:r w:rsidR="00677F79">
        <w:rPr>
          <w:rFonts w:eastAsia="Arial"/>
        </w:rPr>
        <w:t>he update</w:t>
      </w:r>
      <w:r w:rsidR="00DD6478">
        <w:rPr>
          <w:rFonts w:eastAsia="Arial"/>
        </w:rPr>
        <w:t xml:space="preserve"> will </w:t>
      </w:r>
      <w:r w:rsidR="00D80C63">
        <w:rPr>
          <w:rFonts w:eastAsia="Arial"/>
        </w:rPr>
        <w:t>reduce</w:t>
      </w:r>
      <w:r w:rsidR="00EE06C6">
        <w:rPr>
          <w:rFonts w:eastAsia="Arial"/>
        </w:rPr>
        <w:t xml:space="preserve"> the complexity of the framework</w:t>
      </w:r>
      <w:r w:rsidR="00DD6478">
        <w:rPr>
          <w:rFonts w:eastAsia="Arial"/>
        </w:rPr>
        <w:t xml:space="preserve"> to minimise the compliance </w:t>
      </w:r>
      <w:r w:rsidR="0039250B">
        <w:rPr>
          <w:rFonts w:eastAsia="Arial"/>
        </w:rPr>
        <w:t>and administrative</w:t>
      </w:r>
      <w:r w:rsidR="00DD6478">
        <w:rPr>
          <w:rFonts w:eastAsia="Arial"/>
        </w:rPr>
        <w:t xml:space="preserve"> costs for</w:t>
      </w:r>
      <w:r w:rsidR="00DB062B">
        <w:rPr>
          <w:rFonts w:eastAsia="Arial"/>
        </w:rPr>
        <w:t xml:space="preserve"> foreign investors</w:t>
      </w:r>
      <w:r w:rsidR="00293851">
        <w:rPr>
          <w:rFonts w:eastAsia="Arial"/>
        </w:rPr>
        <w:t xml:space="preserve"> in establishing and paying </w:t>
      </w:r>
      <w:r w:rsidR="009644BF">
        <w:rPr>
          <w:rFonts w:eastAsia="Arial"/>
        </w:rPr>
        <w:t>the</w:t>
      </w:r>
      <w:r w:rsidR="00DD6478">
        <w:rPr>
          <w:rFonts w:eastAsia="Arial"/>
        </w:rPr>
        <w:t xml:space="preserve"> </w:t>
      </w:r>
      <w:r w:rsidR="00284A29">
        <w:rPr>
          <w:rFonts w:eastAsia="Arial"/>
        </w:rPr>
        <w:t>applicable</w:t>
      </w:r>
      <w:r w:rsidR="00DD6478">
        <w:rPr>
          <w:rFonts w:eastAsia="Arial"/>
        </w:rPr>
        <w:t xml:space="preserve"> fee</w:t>
      </w:r>
      <w:r w:rsidR="009644BF">
        <w:rPr>
          <w:rFonts w:eastAsia="Arial"/>
        </w:rPr>
        <w:t>.</w:t>
      </w:r>
    </w:p>
    <w:p w14:paraId="237ECA7E" w14:textId="613DA242" w:rsidR="00A07D9A" w:rsidRDefault="00BD08F3" w:rsidP="001F018F">
      <w:pPr>
        <w:rPr>
          <w:rFonts w:eastAsia="Arial"/>
        </w:rPr>
      </w:pPr>
      <w:r>
        <w:rPr>
          <w:rFonts w:eastAsia="Arial"/>
        </w:rPr>
        <w:t>With the introduction of investor</w:t>
      </w:r>
      <w:r w:rsidR="00AF5EDD">
        <w:rPr>
          <w:rFonts w:eastAsia="Arial"/>
        </w:rPr>
        <w:noBreakHyphen/>
      </w:r>
      <w:r>
        <w:rPr>
          <w:rFonts w:eastAsia="Arial"/>
        </w:rPr>
        <w:t xml:space="preserve">specific exemption certificates, </w:t>
      </w:r>
      <w:r w:rsidR="003213ED">
        <w:rPr>
          <w:rFonts w:eastAsia="Arial"/>
        </w:rPr>
        <w:t>the fee schedule for</w:t>
      </w:r>
      <w:r>
        <w:rPr>
          <w:rFonts w:eastAsia="Arial"/>
        </w:rPr>
        <w:t xml:space="preserve"> exemption certificates more broadly</w:t>
      </w:r>
      <w:r w:rsidR="008A44DD">
        <w:rPr>
          <w:rFonts w:eastAsia="Arial"/>
        </w:rPr>
        <w:t xml:space="preserve"> </w:t>
      </w:r>
      <w:r>
        <w:rPr>
          <w:rFonts w:eastAsia="Arial"/>
        </w:rPr>
        <w:t>w</w:t>
      </w:r>
      <w:r w:rsidR="008A44DD">
        <w:rPr>
          <w:rFonts w:eastAsia="Arial"/>
        </w:rPr>
        <w:t xml:space="preserve">ill </w:t>
      </w:r>
      <w:r w:rsidR="003213ED">
        <w:rPr>
          <w:rFonts w:eastAsia="Arial"/>
        </w:rPr>
        <w:t xml:space="preserve">be adjusted to </w:t>
      </w:r>
      <w:r>
        <w:rPr>
          <w:rFonts w:eastAsia="Arial"/>
        </w:rPr>
        <w:t xml:space="preserve">reflect the varied </w:t>
      </w:r>
      <w:r w:rsidR="001D68AF">
        <w:rPr>
          <w:rFonts w:eastAsia="Arial"/>
        </w:rPr>
        <w:t>duration</w:t>
      </w:r>
      <w:r>
        <w:rPr>
          <w:rFonts w:eastAsia="Arial"/>
        </w:rPr>
        <w:t xml:space="preserve"> and value of exemption</w:t>
      </w:r>
      <w:r w:rsidR="00442F92">
        <w:rPr>
          <w:rFonts w:eastAsia="Arial"/>
        </w:rPr>
        <w:t> </w:t>
      </w:r>
      <w:r>
        <w:rPr>
          <w:rFonts w:eastAsia="Arial"/>
        </w:rPr>
        <w:t>certificates</w:t>
      </w:r>
      <w:r w:rsidR="00A3003B">
        <w:rPr>
          <w:rFonts w:eastAsia="Arial"/>
        </w:rPr>
        <w:t xml:space="preserve">. </w:t>
      </w:r>
    </w:p>
    <w:p w14:paraId="522B0350" w14:textId="77777777" w:rsidR="00924B4D" w:rsidRPr="00C848AD" w:rsidRDefault="00924B4D" w:rsidP="00C848AD"/>
    <w:p w14:paraId="572AEF19" w14:textId="77777777" w:rsidR="00086901" w:rsidRPr="009D2ACA" w:rsidRDefault="00086901" w:rsidP="00086901">
      <w:pPr>
        <w:rPr>
          <w:b/>
        </w:rPr>
      </w:pPr>
    </w:p>
    <w:p w14:paraId="31F23A9F" w14:textId="15DC4FE1" w:rsidR="008A316F" w:rsidRDefault="00202176" w:rsidP="008A316F">
      <w:pPr>
        <w:pStyle w:val="Heading1"/>
      </w:pPr>
      <w:r>
        <w:br w:type="column"/>
      </w:r>
      <w:bookmarkStart w:id="314" w:name="_Toc35254846"/>
      <w:bookmarkStart w:id="315" w:name="_Toc35257742"/>
      <w:bookmarkStart w:id="316" w:name="_Toc41999459"/>
      <w:bookmarkStart w:id="317" w:name="_Toc42154176"/>
      <w:r w:rsidR="008A316F">
        <w:lastRenderedPageBreak/>
        <w:t xml:space="preserve">A </w:t>
      </w:r>
      <w:r w:rsidR="008A316F">
        <w:rPr>
          <w:rFonts w:eastAsia="Arial"/>
        </w:rPr>
        <w:t xml:space="preserve">timely, </w:t>
      </w:r>
      <w:r w:rsidR="000F6620">
        <w:rPr>
          <w:rFonts w:eastAsia="Arial"/>
        </w:rPr>
        <w:t xml:space="preserve">consistent and reliable </w:t>
      </w:r>
      <w:r w:rsidR="008A316F">
        <w:rPr>
          <w:rFonts w:eastAsia="Arial"/>
        </w:rPr>
        <w:t>investor experience</w:t>
      </w:r>
      <w:bookmarkEnd w:id="314"/>
      <w:bookmarkEnd w:id="315"/>
      <w:bookmarkEnd w:id="316"/>
      <w:bookmarkEnd w:id="317"/>
      <w:r w:rsidR="008A316F">
        <w:t xml:space="preserve"> </w:t>
      </w:r>
    </w:p>
    <w:p w14:paraId="7FB6A06F" w14:textId="77777777" w:rsidR="00E77132" w:rsidRPr="00C06557" w:rsidRDefault="00E77132" w:rsidP="00E77132">
      <w:pPr>
        <w:pStyle w:val="SingleParagraph"/>
        <w:rPr>
          <w:rFonts w:eastAsia="Arial"/>
        </w:rPr>
      </w:pP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E77132" w14:paraId="5699B999" w14:textId="77777777" w:rsidTr="001F018F">
        <w:tc>
          <w:tcPr>
            <w:tcW w:w="5000" w:type="pct"/>
            <w:shd w:val="clear" w:color="auto" w:fill="EBEBEB"/>
          </w:tcPr>
          <w:p w14:paraId="1C35CA2C" w14:textId="535DDE13" w:rsidR="00E77132" w:rsidRPr="00E77132" w:rsidRDefault="00E77132" w:rsidP="00E77132">
            <w:pPr>
              <w:pStyle w:val="OneLevelNumberedParagraph"/>
              <w:rPr>
                <w:sz w:val="22"/>
              </w:rPr>
            </w:pPr>
            <w:r w:rsidRPr="00E77132">
              <w:rPr>
                <w:sz w:val="22"/>
              </w:rPr>
              <w:t>The Government is committed to delivering a timely and efficient foreign investment regime which recognises commercial deadlines and does not unnecessarily impede the operation of foreign investors or markets. The Government will continue to work with stakeholders in identifying ways to streamline and enhance the investor experience.</w:t>
            </w:r>
          </w:p>
        </w:tc>
      </w:tr>
    </w:tbl>
    <w:p w14:paraId="4E9ADF51" w14:textId="77777777" w:rsidR="00E77132" w:rsidRDefault="00E77132" w:rsidP="00E77132">
      <w:pPr>
        <w:pStyle w:val="SingleParagraph"/>
      </w:pPr>
    </w:p>
    <w:p w14:paraId="5EA76584" w14:textId="4E127FC9" w:rsidR="008A316F" w:rsidRDefault="00746854" w:rsidP="001F018F">
      <w:r>
        <w:t xml:space="preserve">The </w:t>
      </w:r>
      <w:r w:rsidR="008A316F">
        <w:t>Government provides a range of services and programs to support foreign investors and business operating in Australia in recognition of the important role they play in supporting Australia</w:t>
      </w:r>
      <w:r w:rsidR="00AF5EDD">
        <w:t>’</w:t>
      </w:r>
      <w:r w:rsidR="008A316F">
        <w:t xml:space="preserve">s prosperity. Ensuring a more seamless interaction between these activities and the foreign investment review framework can improve the operation of businesses, markets and the economy. </w:t>
      </w:r>
    </w:p>
    <w:p w14:paraId="56EE5A95" w14:textId="77580F25" w:rsidR="008A316F" w:rsidRDefault="008A316F" w:rsidP="001F018F">
      <w:r>
        <w:t>In 2014 the Government introduced the Regulator Performance Framework (RPF), establishing a common set of performance measures that will allow for the comprehensive assessment of regulator performance and their engagement with stakeholders. Australia</w:t>
      </w:r>
      <w:r w:rsidR="00AF5EDD">
        <w:t>’</w:t>
      </w:r>
      <w:r>
        <w:t xml:space="preserve">s foreign investment regulators </w:t>
      </w:r>
      <w:r w:rsidR="00987CEE">
        <w:t xml:space="preserve">(Treasury and the ATO) </w:t>
      </w:r>
      <w:r>
        <w:t>report annually on performance against the RPF and in 2018</w:t>
      </w:r>
      <w:r w:rsidR="00AF5EDD">
        <w:noBreakHyphen/>
      </w:r>
      <w:r>
        <w:t>19 were found to have met the required key performance indicators. However, stakeholders identified a number of issues which Australia</w:t>
      </w:r>
      <w:r w:rsidR="00AF5EDD">
        <w:t>’</w:t>
      </w:r>
      <w:r>
        <w:t xml:space="preserve">s foreign investment regulators will prioritise over the coming reporting periods. These include: </w:t>
      </w:r>
    </w:p>
    <w:p w14:paraId="1115F9F9" w14:textId="1725AF70" w:rsidR="008A316F" w:rsidRDefault="008A316F" w:rsidP="008A316F">
      <w:pPr>
        <w:pStyle w:val="Bullet"/>
      </w:pPr>
      <w:r>
        <w:t>reviewing Treasury</w:t>
      </w:r>
      <w:r w:rsidR="00AF5EDD">
        <w:t>’</w:t>
      </w:r>
      <w:r>
        <w:t>s business processes and implementing more systematic arrangements to case</w:t>
      </w:r>
      <w:r w:rsidR="00442F92">
        <w:t> </w:t>
      </w:r>
      <w:r>
        <w:t>processing;</w:t>
      </w:r>
    </w:p>
    <w:p w14:paraId="132371E4" w14:textId="77777777" w:rsidR="008A316F" w:rsidRDefault="008A316F" w:rsidP="008A316F">
      <w:pPr>
        <w:pStyle w:val="Bullet"/>
      </w:pPr>
      <w:r>
        <w:t>improving processes for applying conditions;</w:t>
      </w:r>
    </w:p>
    <w:p w14:paraId="51D506A7" w14:textId="45879869" w:rsidR="008A316F" w:rsidRDefault="008A316F" w:rsidP="008A316F">
      <w:pPr>
        <w:pStyle w:val="Bullet"/>
      </w:pPr>
      <w:r>
        <w:t>enhancing avenues for formal and informal engagement, including stakeholder feedback, and</w:t>
      </w:r>
      <w:r w:rsidR="00442F92">
        <w:t> </w:t>
      </w:r>
      <w:r>
        <w:t>increasing survey response rates; and</w:t>
      </w:r>
    </w:p>
    <w:p w14:paraId="746D11CD" w14:textId="3326BF4F" w:rsidR="008A316F" w:rsidRDefault="008A316F" w:rsidP="008A316F">
      <w:pPr>
        <w:pStyle w:val="Bullet"/>
      </w:pPr>
      <w:r>
        <w:t>continuing to build cross agency understanding of national interest risks in key sectors of the</w:t>
      </w:r>
      <w:r w:rsidR="00442F92">
        <w:t> </w:t>
      </w:r>
      <w:r>
        <w:t xml:space="preserve">economy. </w:t>
      </w:r>
    </w:p>
    <w:p w14:paraId="248DBDFB" w14:textId="64457813" w:rsidR="0045544E" w:rsidRDefault="008A316F" w:rsidP="00AF29A5">
      <w:r>
        <w:t>Treasury will address these concerns over the coming reporting period.</w:t>
      </w:r>
      <w:r w:rsidR="000C0BD5">
        <w:t xml:space="preserve"> </w:t>
      </w:r>
      <w:r w:rsidR="0045544E">
        <w:t>The Government is also committed to ensuring Australia</w:t>
      </w:r>
      <w:r w:rsidR="00AF5EDD">
        <w:t>’</w:t>
      </w:r>
      <w:r w:rsidR="0045544E">
        <w:t>s foreign investment regulators have appropriate systems and resources to effectively balance commercial deadlines against the robust review of applications the Australian community expect. This objective needs to be balanced with an efficient, and timely foreign investment review process which provides commercial certainty for investors</w:t>
      </w:r>
      <w:r w:rsidR="000D1474">
        <w:t xml:space="preserve">. </w:t>
      </w:r>
      <w:r w:rsidR="0045544E">
        <w:t>Data for 2018</w:t>
      </w:r>
      <w:r w:rsidR="00AF5EDD">
        <w:noBreakHyphen/>
      </w:r>
      <w:r w:rsidR="0045544E">
        <w:t>19 indicates that the median application processing time for Treasury was 45 days. This outcome generally reflects sensitive or significant applications which require in</w:t>
      </w:r>
      <w:r w:rsidR="00AF5EDD">
        <w:noBreakHyphen/>
      </w:r>
      <w:r w:rsidR="0045544E">
        <w:t xml:space="preserve">depth analysis and the need to be informed by expert input from consultation partners. </w:t>
      </w:r>
    </w:p>
    <w:p w14:paraId="7C9B7171" w14:textId="387EA508" w:rsidR="0045544E" w:rsidRDefault="0045544E" w:rsidP="001920DA">
      <w:r w:rsidRPr="00D50A89">
        <w:t xml:space="preserve">Under current processes, extension to </w:t>
      </w:r>
      <w:r>
        <w:t>the 30</w:t>
      </w:r>
      <w:r w:rsidR="00AF5EDD">
        <w:noBreakHyphen/>
      </w:r>
      <w:r>
        <w:t xml:space="preserve">day statutory deadline </w:t>
      </w:r>
      <w:r w:rsidR="008A44DD">
        <w:t xml:space="preserve">is only available </w:t>
      </w:r>
      <w:r>
        <w:t>through a voluntary request from the applicant for an extension or through an interim order by the Government.</w:t>
      </w:r>
      <w:r w:rsidR="008A44DD">
        <w:t xml:space="preserve"> In light of the expiration of powers to prohibit or impose conditions if a decision is not made by the statutory deadline, it is important that where additional time is needed to assess the application that such additional time is allocated.</w:t>
      </w:r>
    </w:p>
    <w:p w14:paraId="64B0AFAA" w14:textId="08B9A00E" w:rsidR="000675F9" w:rsidRDefault="008A44DD" w:rsidP="00DB0E68">
      <w:r>
        <w:t xml:space="preserve">For this reason, the Government </w:t>
      </w:r>
      <w:r w:rsidR="000675F9">
        <w:t xml:space="preserve">will introduce </w:t>
      </w:r>
      <w:r>
        <w:t>a new measure to e</w:t>
      </w:r>
      <w:r w:rsidR="0045544E" w:rsidRPr="0045544E">
        <w:t>xtend the statutory decision period in certain circumstances</w:t>
      </w:r>
      <w:r w:rsidR="003A4AD4">
        <w:t>, particularly when considering a complex and sensitive case</w:t>
      </w:r>
      <w:r>
        <w:t xml:space="preserve">. </w:t>
      </w:r>
      <w:r w:rsidR="0045544E" w:rsidRPr="004225CF">
        <w:t xml:space="preserve">The </w:t>
      </w:r>
      <w:r w:rsidR="0045544E">
        <w:t>Government</w:t>
      </w:r>
      <w:r w:rsidR="0045544E" w:rsidRPr="004225CF">
        <w:t xml:space="preserve"> will have a </w:t>
      </w:r>
      <w:r w:rsidR="000675F9">
        <w:t>new</w:t>
      </w:r>
      <w:r w:rsidR="0045544E" w:rsidRPr="004225CF">
        <w:t xml:space="preserve"> power</w:t>
      </w:r>
      <w:r w:rsidR="000675F9">
        <w:t xml:space="preserve"> to extend</w:t>
      </w:r>
      <w:r w:rsidR="00162813">
        <w:t>,</w:t>
      </w:r>
      <w:r w:rsidR="000675F9">
        <w:t xml:space="preserve"> or further extend</w:t>
      </w:r>
      <w:r w:rsidR="00162813">
        <w:t>,</w:t>
      </w:r>
      <w:r w:rsidR="000675F9">
        <w:t xml:space="preserve"> the statutory timeframe by up to 90</w:t>
      </w:r>
      <w:r w:rsidR="00442F92">
        <w:t> </w:t>
      </w:r>
      <w:r w:rsidR="000675F9">
        <w:t xml:space="preserve">days so that the Treasurer can determine whether the relevant action being considered is </w:t>
      </w:r>
      <w:r w:rsidR="000675F9">
        <w:lastRenderedPageBreak/>
        <w:t xml:space="preserve">contrary to the national interest, including to </w:t>
      </w:r>
      <w:r w:rsidR="00FD22D4">
        <w:t>provide</w:t>
      </w:r>
      <w:r w:rsidR="000675F9">
        <w:t xml:space="preserve"> sufficient time to consult with a Commonwealth, State or Territory body. </w:t>
      </w:r>
    </w:p>
    <w:p w14:paraId="204EF320" w14:textId="1323DD16" w:rsidR="0045544E" w:rsidRPr="00D50A89" w:rsidRDefault="0045544E" w:rsidP="001920DA">
      <w:r>
        <w:t xml:space="preserve">This measure will enable the Government to extend the statutory timeframe of an application by providing a reason to the applicant, but without the need to issue an interim order or seek consent from the applicant. </w:t>
      </w:r>
      <w:r w:rsidR="003A4AD4" w:rsidRPr="001C4701">
        <w:t xml:space="preserve">This power </w:t>
      </w:r>
      <w:r w:rsidR="003A4AD4">
        <w:t>is</w:t>
      </w:r>
      <w:r w:rsidR="003A4AD4" w:rsidRPr="001C4701">
        <w:t xml:space="preserve"> limited so that the total period </w:t>
      </w:r>
      <w:r w:rsidR="003A4AD4">
        <w:t xml:space="preserve">by which the Treasurer can extend the </w:t>
      </w:r>
      <w:r w:rsidR="00850333">
        <w:t>consideration period is 90 days</w:t>
      </w:r>
      <w:r w:rsidR="003A4AD4">
        <w:t>,</w:t>
      </w:r>
      <w:r w:rsidR="00850333">
        <w:t xml:space="preserve"> though</w:t>
      </w:r>
      <w:r w:rsidR="003A4AD4">
        <w:t xml:space="preserve"> this </w:t>
      </w:r>
      <w:r w:rsidR="00EF06E8">
        <w:t>total</w:t>
      </w:r>
      <w:r w:rsidR="003A4AD4">
        <w:t xml:space="preserve"> may be reached by </w:t>
      </w:r>
      <w:r w:rsidR="00850333">
        <w:t>way of</w:t>
      </w:r>
      <w:r w:rsidR="003A4AD4">
        <w:t xml:space="preserve"> multiple extensions.</w:t>
      </w:r>
    </w:p>
    <w:p w14:paraId="63A4B839" w14:textId="3F52CA70" w:rsidR="002C5981" w:rsidRPr="00542420" w:rsidRDefault="0045544E" w:rsidP="00536289">
      <w:r>
        <w:t xml:space="preserve">This measure </w:t>
      </w:r>
      <w:r w:rsidR="00E2570E">
        <w:t xml:space="preserve">will complement </w:t>
      </w:r>
      <w:r w:rsidR="00D43DC3">
        <w:t xml:space="preserve">the other </w:t>
      </w:r>
      <w:r w:rsidR="00E2570E">
        <w:t xml:space="preserve">existing </w:t>
      </w:r>
      <w:r w:rsidR="00D43DC3">
        <w:t xml:space="preserve">mechanisms to extend the statutory period. It </w:t>
      </w:r>
      <w:r>
        <w:t>is intended to increase the efficiency associated with the processing of cases, accommodate the time required by consultation partners, decision makers and the Government to consider and process complex and sensitive cases as well as provide greater clarity</w:t>
      </w:r>
      <w:r w:rsidR="002E2995">
        <w:t xml:space="preserve"> on the application process</w:t>
      </w:r>
      <w:r>
        <w:t xml:space="preserve"> to the applicant in such cases.</w:t>
      </w:r>
    </w:p>
    <w:p w14:paraId="4977B40E" w14:textId="09663512" w:rsidR="00E77132" w:rsidRDefault="00E77132" w:rsidP="00536289">
      <w:pPr>
        <w:rPr>
          <w:rFonts w:cs="Arial"/>
          <w:b/>
          <w:color w:val="002C47" w:themeColor="accent1"/>
          <w:kern w:val="32"/>
          <w:sz w:val="48"/>
          <w:szCs w:val="36"/>
        </w:rPr>
      </w:pPr>
    </w:p>
    <w:p w14:paraId="58F890D2" w14:textId="77777777" w:rsidR="00E77132" w:rsidRDefault="00E77132" w:rsidP="00E77132">
      <w:pPr>
        <w:sectPr w:rsidR="00E77132" w:rsidSect="005B013E">
          <w:headerReference w:type="even" r:id="rId39"/>
          <w:headerReference w:type="default" r:id="rId40"/>
          <w:footerReference w:type="even" r:id="rId41"/>
          <w:footerReference w:type="default" r:id="rId42"/>
          <w:headerReference w:type="first" r:id="rId43"/>
          <w:footerReference w:type="first" r:id="rId44"/>
          <w:pgSz w:w="11906" w:h="16838" w:code="9"/>
          <w:pgMar w:top="1418" w:right="1418" w:bottom="1418" w:left="1418" w:header="709" w:footer="709" w:gutter="0"/>
          <w:pgNumType w:start="1"/>
          <w:cols w:space="708"/>
          <w:docGrid w:linePitch="360"/>
        </w:sectPr>
      </w:pPr>
    </w:p>
    <w:p w14:paraId="43DCE437" w14:textId="2C71A141" w:rsidR="00E77132" w:rsidRPr="00E77132" w:rsidRDefault="00022253" w:rsidP="00E77132">
      <w:pPr>
        <w:pStyle w:val="Heading1"/>
        <w:spacing w:before="0"/>
      </w:pPr>
      <w:bookmarkStart w:id="318" w:name="_Toc41999460"/>
      <w:bookmarkStart w:id="319" w:name="_Toc42154177"/>
      <w:r>
        <w:lastRenderedPageBreak/>
        <w:t>Other technical amendments</w:t>
      </w:r>
      <w:bookmarkEnd w:id="318"/>
      <w:bookmarkEnd w:id="319"/>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070"/>
      </w:tblGrid>
      <w:tr w:rsidR="00E77132" w14:paraId="0E612DAD" w14:textId="77777777" w:rsidTr="001F018F">
        <w:tc>
          <w:tcPr>
            <w:tcW w:w="5000" w:type="pct"/>
            <w:shd w:val="clear" w:color="auto" w:fill="EBEBEB"/>
          </w:tcPr>
          <w:p w14:paraId="0C2BFBA2" w14:textId="77777777" w:rsidR="00E77132" w:rsidRPr="00E77132" w:rsidRDefault="00E77132" w:rsidP="001F018F">
            <w:pPr>
              <w:pStyle w:val="OneLevelNumberedParagraph"/>
              <w:rPr>
                <w:sz w:val="22"/>
              </w:rPr>
            </w:pPr>
            <w:r w:rsidRPr="00E77132">
              <w:rPr>
                <w:sz w:val="22"/>
              </w:rPr>
              <w:t>The Government will introduce amendments to the foreign investment review framework to improve the readability of existing provisions, rectify inconsistencies and unintended consequences, and address feedback from investors seeking greater certainty.</w:t>
            </w:r>
          </w:p>
        </w:tc>
      </w:tr>
    </w:tbl>
    <w:p w14:paraId="7A80CDB9" w14:textId="77777777" w:rsidR="00E77132" w:rsidRPr="00953210" w:rsidRDefault="00E77132" w:rsidP="002C5981">
      <w:pPr>
        <w:pStyle w:val="SingleParagraph"/>
        <w:rPr>
          <w:sz w:val="4"/>
        </w:rPr>
      </w:pPr>
    </w:p>
    <w:tbl>
      <w:tblPr>
        <w:tblStyle w:val="TableGrid"/>
        <w:tblW w:w="5001" w:type="pct"/>
        <w:tblLook w:val="04A0" w:firstRow="1" w:lastRow="0" w:firstColumn="1" w:lastColumn="0" w:noHBand="0" w:noVBand="1"/>
      </w:tblPr>
      <w:tblGrid>
        <w:gridCol w:w="2052"/>
        <w:gridCol w:w="7020"/>
      </w:tblGrid>
      <w:tr w:rsidR="00953210" w:rsidRPr="00427449" w14:paraId="611CD11F" w14:textId="77777777" w:rsidTr="00FE34D2">
        <w:tc>
          <w:tcPr>
            <w:tcW w:w="1131" w:type="pct"/>
            <w:tcBorders>
              <w:top w:val="single" w:sz="4" w:space="0" w:color="002C47" w:themeColor="accent1"/>
              <w:bottom w:val="single" w:sz="4" w:space="0" w:color="002C47"/>
            </w:tcBorders>
          </w:tcPr>
          <w:p w14:paraId="372CB055" w14:textId="77777777" w:rsidR="002C5981" w:rsidRPr="00427449" w:rsidRDefault="002C5981" w:rsidP="001F018F">
            <w:pPr>
              <w:pStyle w:val="TableColumnHeadingLeft"/>
              <w:rPr>
                <w:rFonts w:eastAsia="Arial"/>
              </w:rPr>
            </w:pPr>
            <w:r w:rsidRPr="00427449">
              <w:rPr>
                <w:rFonts w:eastAsia="Arial"/>
              </w:rPr>
              <w:t>Amendments</w:t>
            </w:r>
          </w:p>
        </w:tc>
        <w:tc>
          <w:tcPr>
            <w:tcW w:w="3869" w:type="pct"/>
            <w:tcBorders>
              <w:top w:val="single" w:sz="4" w:space="0" w:color="002C47" w:themeColor="accent1"/>
              <w:bottom w:val="single" w:sz="4" w:space="0" w:color="002C47"/>
            </w:tcBorders>
          </w:tcPr>
          <w:p w14:paraId="48758FDC" w14:textId="77777777" w:rsidR="002C5981" w:rsidRPr="00427449" w:rsidRDefault="002C5981" w:rsidP="001F018F">
            <w:pPr>
              <w:pStyle w:val="TableColumnHeadingCentred"/>
              <w:rPr>
                <w:rFonts w:eastAsia="Arial"/>
              </w:rPr>
            </w:pPr>
            <w:r w:rsidRPr="00427449">
              <w:rPr>
                <w:rFonts w:eastAsia="Arial"/>
              </w:rPr>
              <w:t>Rationale</w:t>
            </w:r>
          </w:p>
        </w:tc>
      </w:tr>
      <w:tr w:rsidR="00953210" w:rsidRPr="00427449" w14:paraId="4EF08819" w14:textId="77777777" w:rsidTr="00FE34D2">
        <w:tc>
          <w:tcPr>
            <w:tcW w:w="1131" w:type="pct"/>
            <w:tcBorders>
              <w:top w:val="single" w:sz="4" w:space="0" w:color="002C47"/>
            </w:tcBorders>
          </w:tcPr>
          <w:p w14:paraId="298F892D" w14:textId="7AA2C1AF" w:rsidR="002C5981" w:rsidRPr="00427449" w:rsidRDefault="002C5981" w:rsidP="00953210">
            <w:pPr>
              <w:spacing w:before="60" w:after="60"/>
              <w:jc w:val="left"/>
              <w:rPr>
                <w:rFonts w:eastAsia="Arial"/>
                <w:b/>
                <w:sz w:val="18"/>
                <w:szCs w:val="18"/>
              </w:rPr>
            </w:pPr>
            <w:r w:rsidRPr="00427449">
              <w:rPr>
                <w:rFonts w:eastAsia="Arial"/>
                <w:b/>
                <w:sz w:val="18"/>
                <w:szCs w:val="18"/>
              </w:rPr>
              <w:t xml:space="preserve">Address </w:t>
            </w:r>
            <w:r w:rsidRPr="00427449">
              <w:rPr>
                <w:b/>
                <w:sz w:val="18"/>
                <w:szCs w:val="18"/>
              </w:rPr>
              <w:t>anomalies with the treatment of sub</w:t>
            </w:r>
            <w:r w:rsidR="00AF5EDD">
              <w:rPr>
                <w:b/>
                <w:sz w:val="18"/>
                <w:szCs w:val="18"/>
              </w:rPr>
              <w:noBreakHyphen/>
            </w:r>
            <w:r w:rsidRPr="00427449">
              <w:rPr>
                <w:b/>
                <w:sz w:val="18"/>
                <w:szCs w:val="18"/>
              </w:rPr>
              <w:t>divided or amalgamated land</w:t>
            </w:r>
          </w:p>
        </w:tc>
        <w:tc>
          <w:tcPr>
            <w:tcW w:w="3869" w:type="pct"/>
            <w:tcBorders>
              <w:top w:val="single" w:sz="4" w:space="0" w:color="002C47"/>
            </w:tcBorders>
          </w:tcPr>
          <w:p w14:paraId="028E40F1" w14:textId="7A064287" w:rsidR="002C5981" w:rsidRPr="00427449" w:rsidRDefault="002C5981" w:rsidP="001F018F">
            <w:pPr>
              <w:pStyle w:val="OutlineNumbered1"/>
              <w:numPr>
                <w:ilvl w:val="0"/>
                <w:numId w:val="0"/>
              </w:numPr>
              <w:spacing w:before="60" w:after="60"/>
              <w:rPr>
                <w:rFonts w:eastAsia="Arial" w:cs="Arial"/>
                <w:sz w:val="18"/>
                <w:szCs w:val="18"/>
              </w:rPr>
            </w:pPr>
            <w:r w:rsidRPr="00427449">
              <w:rPr>
                <w:rFonts w:eastAsia="Arial" w:cs="Arial"/>
                <w:sz w:val="18"/>
                <w:szCs w:val="18"/>
              </w:rPr>
              <w:t>The process of amalgamation or subdivision of land results in the cancellation of the old title and the creation of a new title in respect of the land, and so a new interest in land is created and acquired by the new or existing landholder(s). This could give rise to a significant and/or notifiable action if one of the landholders is a foreign person and the relevant threshold is</w:t>
            </w:r>
            <w:r w:rsidR="00442F92">
              <w:rPr>
                <w:rFonts w:eastAsia="Arial" w:cs="Arial"/>
                <w:sz w:val="18"/>
                <w:szCs w:val="18"/>
              </w:rPr>
              <w:t> </w:t>
            </w:r>
            <w:r w:rsidRPr="00427449">
              <w:rPr>
                <w:rFonts w:eastAsia="Arial" w:cs="Arial"/>
                <w:sz w:val="18"/>
                <w:szCs w:val="18"/>
              </w:rPr>
              <w:t xml:space="preserve">met. </w:t>
            </w:r>
          </w:p>
          <w:p w14:paraId="265E1CDE" w14:textId="2FC986DF" w:rsidR="002C5981" w:rsidRPr="00427449" w:rsidRDefault="002C5981" w:rsidP="001F018F">
            <w:pPr>
              <w:pStyle w:val="OutlineNumbered1"/>
              <w:numPr>
                <w:ilvl w:val="0"/>
                <w:numId w:val="0"/>
              </w:numPr>
              <w:spacing w:before="60" w:after="60"/>
              <w:rPr>
                <w:sz w:val="18"/>
                <w:szCs w:val="18"/>
              </w:rPr>
            </w:pPr>
            <w:r w:rsidRPr="00427449">
              <w:rPr>
                <w:rFonts w:eastAsia="Arial" w:cs="Arial"/>
                <w:sz w:val="18"/>
                <w:szCs w:val="18"/>
              </w:rPr>
              <w:t xml:space="preserve">Following the amendment, </w:t>
            </w:r>
            <w:r w:rsidRPr="00427449">
              <w:rPr>
                <w:sz w:val="18"/>
                <w:szCs w:val="18"/>
              </w:rPr>
              <w:t xml:space="preserve">Australian land owned by a foreign person that is subject to a subdivision or amalgamation will not require further foreign investment approval following the creation of a new title where the same foreign person making the </w:t>
            </w:r>
            <w:r w:rsidR="00AF5EDD">
              <w:rPr>
                <w:sz w:val="18"/>
                <w:szCs w:val="18"/>
              </w:rPr>
              <w:t>‘</w:t>
            </w:r>
            <w:r w:rsidRPr="00427449">
              <w:rPr>
                <w:sz w:val="18"/>
                <w:szCs w:val="18"/>
              </w:rPr>
              <w:t>acquisition</w:t>
            </w:r>
            <w:r w:rsidR="00AF5EDD">
              <w:rPr>
                <w:sz w:val="18"/>
                <w:szCs w:val="18"/>
              </w:rPr>
              <w:t>’</w:t>
            </w:r>
            <w:r w:rsidRPr="00427449">
              <w:rPr>
                <w:sz w:val="18"/>
                <w:szCs w:val="18"/>
              </w:rPr>
              <w:t xml:space="preserve"> held an interest in the relevant title that was subdivided (or titles that were amalgamated) immediately before the subdivision or amalgamation occurred. </w:t>
            </w:r>
          </w:p>
          <w:p w14:paraId="038636CA" w14:textId="77777777" w:rsidR="002C5981" w:rsidRPr="00427449" w:rsidRDefault="002C5981" w:rsidP="001F018F">
            <w:pPr>
              <w:pStyle w:val="OutlineNumbered1"/>
              <w:numPr>
                <w:ilvl w:val="0"/>
                <w:numId w:val="0"/>
              </w:numPr>
              <w:spacing w:before="60" w:after="60"/>
              <w:rPr>
                <w:rFonts w:eastAsia="Arial" w:cs="Arial"/>
                <w:sz w:val="18"/>
                <w:szCs w:val="18"/>
              </w:rPr>
            </w:pPr>
            <w:r w:rsidRPr="00427449">
              <w:rPr>
                <w:sz w:val="18"/>
                <w:szCs w:val="18"/>
              </w:rPr>
              <w:t>Where relevant, conditions attached to acquisition of the original parcel of land will continue to be in force, for both private and foreign government investors, after the subdivision or amalgamation.</w:t>
            </w:r>
          </w:p>
        </w:tc>
      </w:tr>
      <w:tr w:rsidR="00953210" w:rsidRPr="00427449" w14:paraId="4381EF10" w14:textId="77777777" w:rsidTr="00FE34D2">
        <w:tc>
          <w:tcPr>
            <w:tcW w:w="1131" w:type="pct"/>
          </w:tcPr>
          <w:p w14:paraId="7CA20111" w14:textId="77777777" w:rsidR="002C5981" w:rsidRPr="00427449" w:rsidRDefault="002C5981" w:rsidP="001F018F">
            <w:pPr>
              <w:spacing w:before="60" w:after="60"/>
              <w:jc w:val="left"/>
              <w:rPr>
                <w:rFonts w:eastAsia="Arial"/>
                <w:b/>
                <w:sz w:val="18"/>
                <w:szCs w:val="18"/>
              </w:rPr>
            </w:pPr>
            <w:r w:rsidRPr="00427449">
              <w:rPr>
                <w:rFonts w:eastAsia="Arial"/>
                <w:b/>
                <w:sz w:val="18"/>
                <w:szCs w:val="18"/>
              </w:rPr>
              <w:t>Exempt certain revenue streams of mining and production tenements</w:t>
            </w:r>
          </w:p>
          <w:p w14:paraId="6E0FEF25" w14:textId="77777777" w:rsidR="002C5981" w:rsidRPr="00427449" w:rsidRDefault="002C5981" w:rsidP="001F018F">
            <w:pPr>
              <w:rPr>
                <w:rFonts w:eastAsia="Arial"/>
                <w:b/>
                <w:sz w:val="18"/>
                <w:szCs w:val="18"/>
              </w:rPr>
            </w:pPr>
          </w:p>
        </w:tc>
        <w:tc>
          <w:tcPr>
            <w:tcW w:w="3869" w:type="pct"/>
          </w:tcPr>
          <w:p w14:paraId="745655F3" w14:textId="77777777" w:rsidR="002C5981" w:rsidRPr="00427449" w:rsidRDefault="002C5981" w:rsidP="001F018F">
            <w:pPr>
              <w:pStyle w:val="Heading4"/>
              <w:shd w:val="clear" w:color="auto" w:fill="F2F2F2" w:themeFill="background1" w:themeFillShade="F2"/>
              <w:spacing w:before="60" w:after="60"/>
              <w:outlineLvl w:val="3"/>
              <w:rPr>
                <w:rFonts w:cs="Times New Roman"/>
                <w:color w:val="auto"/>
                <w:kern w:val="0"/>
                <w:sz w:val="18"/>
                <w:szCs w:val="18"/>
              </w:rPr>
            </w:pPr>
            <w:r w:rsidRPr="00427449">
              <w:rPr>
                <w:rFonts w:cs="Times New Roman"/>
                <w:color w:val="auto"/>
                <w:kern w:val="0"/>
                <w:sz w:val="18"/>
                <w:szCs w:val="18"/>
              </w:rPr>
              <w:t xml:space="preserve">Acquisitions of revenue streams in relation to mining and production tenements will be exempted from the FATA where the revenue stream does not entail rights to occupy the land or have direct control or influence over the land. </w:t>
            </w:r>
          </w:p>
          <w:p w14:paraId="2F2C40B1" w14:textId="77777777" w:rsidR="002C5981" w:rsidRPr="00427449" w:rsidRDefault="002C5981" w:rsidP="001F018F">
            <w:pPr>
              <w:pStyle w:val="OutlineNumbered1"/>
              <w:numPr>
                <w:ilvl w:val="0"/>
                <w:numId w:val="0"/>
              </w:numPr>
              <w:spacing w:before="60" w:after="60"/>
              <w:rPr>
                <w:sz w:val="18"/>
                <w:szCs w:val="18"/>
              </w:rPr>
            </w:pPr>
            <w:r w:rsidRPr="00427449">
              <w:rPr>
                <w:sz w:val="18"/>
                <w:szCs w:val="18"/>
              </w:rPr>
              <w:t xml:space="preserve">Stakeholders have raised issues regarding acquisitions of mining royalty streams being captured by the FATA and imposing unnecessary regulatory burden. The definition of interest in land includes interests in revenue streams that do not offer any rights to occupy the land or have direct control or influence over the land. </w:t>
            </w:r>
          </w:p>
          <w:p w14:paraId="4FBA920D" w14:textId="3E09CC50" w:rsidR="002C5981" w:rsidRPr="00427449" w:rsidRDefault="002C5981" w:rsidP="001F018F">
            <w:pPr>
              <w:pStyle w:val="OutlineNumbered1"/>
              <w:numPr>
                <w:ilvl w:val="0"/>
                <w:numId w:val="0"/>
              </w:numPr>
              <w:spacing w:before="60" w:after="60"/>
              <w:rPr>
                <w:rFonts w:eastAsia="Arial" w:cs="Arial"/>
                <w:sz w:val="18"/>
                <w:szCs w:val="18"/>
              </w:rPr>
            </w:pPr>
            <w:r w:rsidRPr="00427449">
              <w:rPr>
                <w:sz w:val="18"/>
                <w:szCs w:val="18"/>
              </w:rPr>
              <w:t>Following the amendment, a foreign person, who had already received approval to acquire a mining and production tenement, would not need to seek further approval if they wanted to on</w:t>
            </w:r>
            <w:r w:rsidR="00AF5EDD">
              <w:rPr>
                <w:sz w:val="18"/>
                <w:szCs w:val="18"/>
              </w:rPr>
              <w:noBreakHyphen/>
            </w:r>
            <w:r w:rsidRPr="00427449">
              <w:rPr>
                <w:sz w:val="18"/>
                <w:szCs w:val="18"/>
              </w:rPr>
              <w:t>sell their interest and receive a revenue stream as consideration. Any revenue streams that offer occupancy, control or influence over the land would still be subject to the FATA.</w:t>
            </w:r>
          </w:p>
        </w:tc>
      </w:tr>
      <w:tr w:rsidR="00953210" w:rsidRPr="00427449" w14:paraId="0C1B8400" w14:textId="77777777" w:rsidTr="00FE34D2">
        <w:tc>
          <w:tcPr>
            <w:tcW w:w="1131" w:type="pct"/>
          </w:tcPr>
          <w:p w14:paraId="6ABD19B1" w14:textId="77777777" w:rsidR="002C5981" w:rsidRPr="00427449" w:rsidRDefault="002C5981" w:rsidP="001F018F">
            <w:pPr>
              <w:spacing w:before="60" w:after="60"/>
              <w:jc w:val="left"/>
              <w:rPr>
                <w:rFonts w:eastAsia="Arial"/>
                <w:b/>
                <w:sz w:val="18"/>
                <w:szCs w:val="18"/>
              </w:rPr>
            </w:pPr>
            <w:r w:rsidRPr="00427449">
              <w:rPr>
                <w:rFonts w:eastAsia="Arial"/>
                <w:b/>
                <w:sz w:val="18"/>
                <w:szCs w:val="18"/>
              </w:rPr>
              <w:t>Exempt exploration tenements acquired by private investors, regardless of the right to occupy</w:t>
            </w:r>
          </w:p>
        </w:tc>
        <w:tc>
          <w:tcPr>
            <w:tcW w:w="3869" w:type="pct"/>
          </w:tcPr>
          <w:p w14:paraId="738F962E" w14:textId="77777777" w:rsidR="002C5981" w:rsidRPr="00427449" w:rsidRDefault="002C5981" w:rsidP="001F018F">
            <w:pPr>
              <w:pStyle w:val="OutlineNumbered1"/>
              <w:numPr>
                <w:ilvl w:val="0"/>
                <w:numId w:val="0"/>
              </w:numPr>
              <w:spacing w:before="60" w:after="60"/>
              <w:rPr>
                <w:sz w:val="18"/>
                <w:szCs w:val="18"/>
              </w:rPr>
            </w:pPr>
            <w:r w:rsidRPr="00427449">
              <w:rPr>
                <w:sz w:val="18"/>
                <w:szCs w:val="18"/>
              </w:rPr>
              <w:t xml:space="preserve">In general, acquisitions of exploration tenements by private investors are already exempt from screening under the FATA. However, some tenements in some states and territories (e.g. Northern Territory and offshore exploration tenements), are not exempt, as they provide the investor a right to occupy the underlying land which is also another type of land such as vacant commercial land (and are therefore a notifiable action). </w:t>
            </w:r>
          </w:p>
          <w:p w14:paraId="66815EB7" w14:textId="77777777" w:rsidR="002C5981" w:rsidRPr="00427449" w:rsidRDefault="002C5981" w:rsidP="001F018F">
            <w:pPr>
              <w:pStyle w:val="OutlineNumbered1"/>
              <w:numPr>
                <w:ilvl w:val="0"/>
                <w:numId w:val="0"/>
              </w:numPr>
              <w:spacing w:before="60" w:after="60"/>
              <w:rPr>
                <w:sz w:val="18"/>
                <w:szCs w:val="18"/>
              </w:rPr>
            </w:pPr>
            <w:r w:rsidRPr="00427449">
              <w:rPr>
                <w:sz w:val="18"/>
                <w:szCs w:val="18"/>
              </w:rPr>
              <w:t>Following this amendment, exploration tenements acquired by private foreign investors will be exempted from the FATA. The exemption may not extend to certain investments, such as acquisitions that are subject to the new national security test, and exploration tenements acquired by FGIs</w:t>
            </w:r>
            <w:r>
              <w:rPr>
                <w:sz w:val="18"/>
                <w:szCs w:val="18"/>
              </w:rPr>
              <w:t xml:space="preserve"> — </w:t>
            </w:r>
            <w:r w:rsidRPr="00427449">
              <w:rPr>
                <w:sz w:val="18"/>
                <w:szCs w:val="18"/>
              </w:rPr>
              <w:t>these will continue to be subject to the FATA.</w:t>
            </w:r>
          </w:p>
        </w:tc>
      </w:tr>
      <w:tr w:rsidR="00953210" w:rsidRPr="00427449" w14:paraId="311F6947" w14:textId="77777777" w:rsidTr="00FE34D2">
        <w:tc>
          <w:tcPr>
            <w:tcW w:w="1131" w:type="pct"/>
          </w:tcPr>
          <w:p w14:paraId="16A3AE99" w14:textId="6A73435E" w:rsidR="002C5981" w:rsidRPr="007B32B4" w:rsidRDefault="002C5981" w:rsidP="001F018F">
            <w:pPr>
              <w:spacing w:before="60" w:after="60"/>
              <w:jc w:val="left"/>
              <w:rPr>
                <w:rFonts w:eastAsia="Arial"/>
                <w:b/>
                <w:sz w:val="18"/>
                <w:szCs w:val="18"/>
              </w:rPr>
            </w:pPr>
            <w:r w:rsidRPr="007B32B4">
              <w:rPr>
                <w:rFonts w:eastAsia="Arial"/>
                <w:b/>
                <w:sz w:val="18"/>
                <w:szCs w:val="18"/>
              </w:rPr>
              <w:t xml:space="preserve">Update the definition of </w:t>
            </w:r>
            <w:r w:rsidR="00AF5EDD">
              <w:rPr>
                <w:rFonts w:eastAsia="Arial"/>
                <w:b/>
                <w:sz w:val="18"/>
                <w:szCs w:val="18"/>
              </w:rPr>
              <w:t>‘</w:t>
            </w:r>
            <w:r w:rsidRPr="007B32B4">
              <w:rPr>
                <w:rFonts w:eastAsia="Arial"/>
                <w:b/>
                <w:sz w:val="18"/>
                <w:szCs w:val="18"/>
              </w:rPr>
              <w:t>Australian media business</w:t>
            </w:r>
            <w:r w:rsidR="00AF5EDD">
              <w:rPr>
                <w:rFonts w:eastAsia="Arial"/>
                <w:b/>
                <w:sz w:val="18"/>
                <w:szCs w:val="18"/>
              </w:rPr>
              <w:t>’</w:t>
            </w:r>
          </w:p>
        </w:tc>
        <w:tc>
          <w:tcPr>
            <w:tcW w:w="3869" w:type="pct"/>
          </w:tcPr>
          <w:p w14:paraId="206DD8B5" w14:textId="7DD2C1BF" w:rsidR="002C5981" w:rsidRPr="007B32B4" w:rsidRDefault="00AF5EDD" w:rsidP="001F018F">
            <w:pPr>
              <w:pStyle w:val="OutlineNumbered1"/>
              <w:numPr>
                <w:ilvl w:val="0"/>
                <w:numId w:val="0"/>
              </w:numPr>
              <w:spacing w:before="60" w:after="60"/>
              <w:rPr>
                <w:sz w:val="18"/>
                <w:szCs w:val="18"/>
              </w:rPr>
            </w:pPr>
            <w:r>
              <w:rPr>
                <w:rFonts w:eastAsia="Arial"/>
                <w:sz w:val="18"/>
                <w:szCs w:val="18"/>
              </w:rPr>
              <w:t>‘</w:t>
            </w:r>
            <w:r w:rsidR="002C5981" w:rsidRPr="007B32B4">
              <w:rPr>
                <w:rFonts w:asciiTheme="minorHAnsi" w:hAnsiTheme="minorHAnsi"/>
                <w:bCs/>
                <w:iCs/>
                <w:sz w:val="18"/>
                <w:szCs w:val="18"/>
              </w:rPr>
              <w:t>Australian media business</w:t>
            </w:r>
            <w:r>
              <w:rPr>
                <w:rFonts w:asciiTheme="minorHAnsi" w:hAnsiTheme="minorHAnsi"/>
                <w:bCs/>
                <w:iCs/>
                <w:sz w:val="18"/>
                <w:szCs w:val="18"/>
              </w:rPr>
              <w:t>’</w:t>
            </w:r>
            <w:r w:rsidR="002C5981" w:rsidRPr="007B32B4">
              <w:rPr>
                <w:rFonts w:asciiTheme="minorHAnsi" w:hAnsiTheme="minorHAnsi"/>
                <w:bCs/>
                <w:iCs/>
                <w:sz w:val="18"/>
                <w:szCs w:val="18"/>
              </w:rPr>
              <w:t xml:space="preserve"> </w:t>
            </w:r>
            <w:r w:rsidR="002C5981" w:rsidRPr="007B32B4">
              <w:rPr>
                <w:rFonts w:asciiTheme="minorHAnsi" w:hAnsiTheme="minorHAnsi"/>
                <w:sz w:val="18"/>
                <w:szCs w:val="18"/>
              </w:rPr>
              <w:t>is currently defined under section 5 of the FATR as an Australian business of publishing daily newspapers, or broadcasting television or radio, in Australia (including on websites from which all or part of those newspapers or broadcasts may be accessed). This definition excludes Australian businesses that publish content through websites</w:t>
            </w:r>
            <w:r w:rsidR="002C5981" w:rsidRPr="007B32B4">
              <w:rPr>
                <w:rFonts w:eastAsia="Arial" w:cs="Arial"/>
                <w:sz w:val="18"/>
                <w:szCs w:val="18"/>
              </w:rPr>
              <w:t xml:space="preserve"> </w:t>
            </w:r>
            <w:r w:rsidR="002C5981" w:rsidRPr="007B32B4">
              <w:rPr>
                <w:rFonts w:asciiTheme="minorHAnsi" w:hAnsiTheme="minorHAnsi"/>
                <w:sz w:val="18"/>
                <w:szCs w:val="18"/>
              </w:rPr>
              <w:t>and/or web applications only.</w:t>
            </w:r>
          </w:p>
        </w:tc>
      </w:tr>
      <w:tr w:rsidR="00953210" w:rsidRPr="00427449" w14:paraId="40F6D1D5" w14:textId="77777777" w:rsidTr="00FE34D2">
        <w:tc>
          <w:tcPr>
            <w:tcW w:w="1131" w:type="pct"/>
          </w:tcPr>
          <w:p w14:paraId="1D169440" w14:textId="77777777" w:rsidR="002C5981" w:rsidRPr="007B32B4" w:rsidRDefault="002C5981" w:rsidP="001F018F">
            <w:pPr>
              <w:spacing w:before="60" w:after="60"/>
              <w:jc w:val="left"/>
              <w:rPr>
                <w:rFonts w:eastAsia="Arial"/>
                <w:b/>
                <w:sz w:val="18"/>
                <w:szCs w:val="18"/>
              </w:rPr>
            </w:pPr>
            <w:r w:rsidRPr="00BE5536">
              <w:rPr>
                <w:rFonts w:eastAsia="Arial"/>
                <w:b/>
                <w:sz w:val="18"/>
                <w:szCs w:val="18"/>
              </w:rPr>
              <w:t>Provide flexibility to impose a lesser penalty for infringement</w:t>
            </w:r>
          </w:p>
        </w:tc>
        <w:tc>
          <w:tcPr>
            <w:tcW w:w="3869" w:type="pct"/>
          </w:tcPr>
          <w:p w14:paraId="06420B5C" w14:textId="77777777" w:rsidR="002C5981" w:rsidRDefault="002C5981" w:rsidP="001F018F">
            <w:pPr>
              <w:spacing w:before="60" w:after="60"/>
              <w:rPr>
                <w:rFonts w:eastAsia="Arial"/>
                <w:sz w:val="18"/>
                <w:szCs w:val="18"/>
              </w:rPr>
            </w:pPr>
            <w:r w:rsidRPr="00BE5536">
              <w:rPr>
                <w:rFonts w:eastAsia="Arial"/>
                <w:sz w:val="18"/>
                <w:szCs w:val="18"/>
              </w:rPr>
              <w:t>A key limitation of the current infringement notices regime is the lack of flexibility to move down the infringement tier structure. This is because of the strict manner in which the definitions of the infringement tier structures are put in place under subsection 101(1)(c) of the FATA.</w:t>
            </w:r>
            <w:r>
              <w:rPr>
                <w:rFonts w:eastAsia="Arial"/>
                <w:sz w:val="18"/>
                <w:szCs w:val="18"/>
              </w:rPr>
              <w:t xml:space="preserve"> As such</w:t>
            </w:r>
            <w:r w:rsidRPr="00BE5536">
              <w:rPr>
                <w:rFonts w:eastAsia="Arial"/>
                <w:sz w:val="18"/>
                <w:szCs w:val="18"/>
              </w:rPr>
              <w:t xml:space="preserve">, the FATA does not provide the flexibility to adjust the infringement penalty to a more appropriate amount, such as in circumstances where </w:t>
            </w:r>
            <w:r>
              <w:rPr>
                <w:rFonts w:eastAsia="Arial"/>
                <w:sz w:val="18"/>
                <w:szCs w:val="18"/>
              </w:rPr>
              <w:t>the investor shows a willingness to comply.</w:t>
            </w:r>
          </w:p>
          <w:p w14:paraId="2EBA6D10" w14:textId="77777777" w:rsidR="002C5981" w:rsidRPr="007B32B4" w:rsidRDefault="002C5981" w:rsidP="001F018F">
            <w:pPr>
              <w:spacing w:before="60" w:after="60"/>
              <w:rPr>
                <w:rFonts w:eastAsia="Arial"/>
                <w:sz w:val="18"/>
                <w:szCs w:val="18"/>
              </w:rPr>
            </w:pPr>
            <w:r w:rsidRPr="00BE5536">
              <w:rPr>
                <w:rFonts w:eastAsia="Arial"/>
                <w:sz w:val="18"/>
                <w:szCs w:val="18"/>
              </w:rPr>
              <w:t>This amendment will enable the Government to consider lesser value penalties than what is stated on an issued infringement notice (i.e. reductions to the other tier amounts set in legislation) where there are significant mitigating circumstances concerning the conduct of the person.</w:t>
            </w:r>
          </w:p>
        </w:tc>
      </w:tr>
      <w:tr w:rsidR="00953210" w:rsidRPr="00427449" w14:paraId="2DC66C69" w14:textId="77777777" w:rsidTr="00FE34D2">
        <w:tc>
          <w:tcPr>
            <w:tcW w:w="1131" w:type="pct"/>
          </w:tcPr>
          <w:p w14:paraId="57DCBC1B" w14:textId="77777777" w:rsidR="002C5981" w:rsidRPr="007B32B4" w:rsidRDefault="002C5981" w:rsidP="00FE34D2">
            <w:pPr>
              <w:spacing w:before="60" w:after="0"/>
              <w:rPr>
                <w:rFonts w:eastAsia="Arial"/>
                <w:b/>
                <w:sz w:val="18"/>
                <w:szCs w:val="18"/>
              </w:rPr>
            </w:pPr>
            <w:r w:rsidRPr="007B32B4">
              <w:rPr>
                <w:rFonts w:eastAsia="Arial"/>
                <w:b/>
                <w:sz w:val="18"/>
                <w:szCs w:val="18"/>
              </w:rPr>
              <w:t>Other amendments</w:t>
            </w:r>
          </w:p>
        </w:tc>
        <w:tc>
          <w:tcPr>
            <w:tcW w:w="3869" w:type="pct"/>
          </w:tcPr>
          <w:p w14:paraId="4A294EF2" w14:textId="77777777" w:rsidR="002C5981" w:rsidRPr="007B32B4" w:rsidRDefault="002C5981" w:rsidP="00FE34D2">
            <w:pPr>
              <w:pStyle w:val="OutlineNumbered1"/>
              <w:numPr>
                <w:ilvl w:val="0"/>
                <w:numId w:val="0"/>
              </w:numPr>
              <w:spacing w:before="60" w:after="0"/>
              <w:rPr>
                <w:rFonts w:eastAsia="Arial"/>
                <w:sz w:val="18"/>
                <w:szCs w:val="18"/>
              </w:rPr>
            </w:pPr>
            <w:r w:rsidRPr="007B32B4">
              <w:rPr>
                <w:rFonts w:eastAsia="Arial"/>
                <w:sz w:val="18"/>
                <w:szCs w:val="18"/>
              </w:rPr>
              <w:t>Minor technical amendments to improve investor clarity on certain legislative provisions.</w:t>
            </w:r>
          </w:p>
        </w:tc>
      </w:tr>
    </w:tbl>
    <w:p w14:paraId="5238710B" w14:textId="22297AA3" w:rsidR="00BA3D6E" w:rsidRDefault="0055308B" w:rsidP="00656331">
      <w:pPr>
        <w:pStyle w:val="Heading1"/>
      </w:pPr>
      <w:bookmarkStart w:id="320" w:name="_Toc33450105"/>
      <w:bookmarkStart w:id="321" w:name="_Toc33540616"/>
      <w:bookmarkStart w:id="322" w:name="_Toc33625511"/>
      <w:bookmarkStart w:id="323" w:name="_Toc34142448"/>
      <w:bookmarkStart w:id="324" w:name="_Toc34147772"/>
      <w:bookmarkStart w:id="325" w:name="_Toc34148775"/>
      <w:bookmarkStart w:id="326" w:name="_Toc34376192"/>
      <w:bookmarkStart w:id="327" w:name="_Toc34382577"/>
      <w:bookmarkStart w:id="328" w:name="_Toc34384800"/>
      <w:bookmarkStart w:id="329" w:name="_Toc34385231"/>
      <w:bookmarkStart w:id="330" w:name="_Toc34823626"/>
      <w:bookmarkStart w:id="331" w:name="_Toc34840573"/>
      <w:bookmarkStart w:id="332" w:name="_Toc35254850"/>
      <w:bookmarkStart w:id="333" w:name="_Toc35257746"/>
      <w:bookmarkStart w:id="334" w:name="_Toc41999461"/>
      <w:bookmarkStart w:id="335" w:name="_Toc42154178"/>
      <w:r>
        <w:lastRenderedPageBreak/>
        <w:t>Abbreviations</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0"/>
        <w:gridCol w:w="4530"/>
      </w:tblGrid>
      <w:tr w:rsidR="003B4E1E" w14:paraId="2FC18CDB" w14:textId="77777777" w:rsidTr="00953210">
        <w:tc>
          <w:tcPr>
            <w:tcW w:w="4530" w:type="dxa"/>
            <w:tcBorders>
              <w:top w:val="single" w:sz="4" w:space="0" w:color="002C47"/>
              <w:bottom w:val="single" w:sz="4" w:space="0" w:color="002C47"/>
            </w:tcBorders>
          </w:tcPr>
          <w:p w14:paraId="77A9464B" w14:textId="6ABC398A" w:rsidR="003B4E1E" w:rsidRPr="003B4E1E" w:rsidRDefault="003B4E1E" w:rsidP="002C5981">
            <w:pPr>
              <w:pStyle w:val="TableColumnHeadingLeft"/>
            </w:pPr>
            <w:r>
              <w:t>Acronym</w:t>
            </w:r>
          </w:p>
        </w:tc>
        <w:tc>
          <w:tcPr>
            <w:tcW w:w="4530" w:type="dxa"/>
            <w:tcBorders>
              <w:top w:val="single" w:sz="4" w:space="0" w:color="002C47"/>
              <w:bottom w:val="single" w:sz="4" w:space="0" w:color="002C47"/>
            </w:tcBorders>
          </w:tcPr>
          <w:p w14:paraId="33FA98B8" w14:textId="30BB83CC" w:rsidR="003B4E1E" w:rsidRPr="003B4E1E" w:rsidRDefault="003B4E1E" w:rsidP="002C5981">
            <w:pPr>
              <w:pStyle w:val="TableColumnHeadingLeft"/>
            </w:pPr>
            <w:r w:rsidRPr="003B4E1E">
              <w:t>Meaning</w:t>
            </w:r>
          </w:p>
        </w:tc>
      </w:tr>
      <w:tr w:rsidR="003F30F2" w14:paraId="22685AC5" w14:textId="77777777" w:rsidTr="00953210">
        <w:tc>
          <w:tcPr>
            <w:tcW w:w="4530" w:type="dxa"/>
            <w:tcBorders>
              <w:top w:val="single" w:sz="4" w:space="0" w:color="002C47"/>
            </w:tcBorders>
          </w:tcPr>
          <w:p w14:paraId="2E514CD2" w14:textId="36099D82" w:rsidR="003F30F2" w:rsidRPr="00D60FD1" w:rsidRDefault="003F30F2" w:rsidP="003B4E1E">
            <w:r w:rsidRPr="00D60FD1">
              <w:t>ATO</w:t>
            </w:r>
          </w:p>
        </w:tc>
        <w:tc>
          <w:tcPr>
            <w:tcW w:w="4530" w:type="dxa"/>
            <w:tcBorders>
              <w:top w:val="single" w:sz="4" w:space="0" w:color="002C47"/>
            </w:tcBorders>
          </w:tcPr>
          <w:p w14:paraId="7FFCDAF1" w14:textId="3E523D87" w:rsidR="003F30F2" w:rsidRPr="003B4E1E" w:rsidRDefault="003F30F2" w:rsidP="003B4E1E">
            <w:pPr>
              <w:rPr>
                <w:b/>
              </w:rPr>
            </w:pPr>
            <w:r>
              <w:t>Australian Taxation Office</w:t>
            </w:r>
          </w:p>
        </w:tc>
      </w:tr>
      <w:tr w:rsidR="003B4E1E" w14:paraId="650F8A89" w14:textId="77777777" w:rsidTr="003F30F2">
        <w:tc>
          <w:tcPr>
            <w:tcW w:w="4530" w:type="dxa"/>
          </w:tcPr>
          <w:p w14:paraId="2F45885F" w14:textId="15534B3B" w:rsidR="003B4E1E" w:rsidRDefault="003B4E1E" w:rsidP="003B4E1E">
            <w:r>
              <w:t>FATA</w:t>
            </w:r>
          </w:p>
        </w:tc>
        <w:tc>
          <w:tcPr>
            <w:tcW w:w="4530" w:type="dxa"/>
          </w:tcPr>
          <w:p w14:paraId="198D840C" w14:textId="560FEB16" w:rsidR="003B4E1E" w:rsidRPr="003F30F2" w:rsidRDefault="003F30F2" w:rsidP="003B4E1E">
            <w:pPr>
              <w:rPr>
                <w:i/>
              </w:rPr>
            </w:pPr>
            <w:r>
              <w:rPr>
                <w:i/>
              </w:rPr>
              <w:t>Foreign Acquisitions and Takeovers Act 1975</w:t>
            </w:r>
          </w:p>
        </w:tc>
      </w:tr>
      <w:tr w:rsidR="003B4E1E" w14:paraId="4AAE9C38" w14:textId="77777777" w:rsidTr="003F30F2">
        <w:tc>
          <w:tcPr>
            <w:tcW w:w="4530" w:type="dxa"/>
          </w:tcPr>
          <w:p w14:paraId="2042A33B" w14:textId="709C748D" w:rsidR="003B4E1E" w:rsidRDefault="003B4E1E" w:rsidP="003B4E1E">
            <w:r>
              <w:t>FATR</w:t>
            </w:r>
          </w:p>
        </w:tc>
        <w:tc>
          <w:tcPr>
            <w:tcW w:w="4530" w:type="dxa"/>
          </w:tcPr>
          <w:p w14:paraId="377CD2C5" w14:textId="214D88FF" w:rsidR="003B4E1E" w:rsidRDefault="003F30F2" w:rsidP="003B4E1E">
            <w:r>
              <w:rPr>
                <w:i/>
              </w:rPr>
              <w:t>Foreign Acquisitions and Takeovers Regulation 2015</w:t>
            </w:r>
          </w:p>
        </w:tc>
      </w:tr>
      <w:tr w:rsidR="003B4E1E" w14:paraId="7C30A6F1" w14:textId="77777777" w:rsidTr="003F30F2">
        <w:tc>
          <w:tcPr>
            <w:tcW w:w="4530" w:type="dxa"/>
          </w:tcPr>
          <w:p w14:paraId="27ABE337" w14:textId="7709DB37" w:rsidR="003B4E1E" w:rsidRDefault="003B4E1E" w:rsidP="003B4E1E">
            <w:r>
              <w:t>FGI</w:t>
            </w:r>
          </w:p>
        </w:tc>
        <w:tc>
          <w:tcPr>
            <w:tcW w:w="4530" w:type="dxa"/>
          </w:tcPr>
          <w:p w14:paraId="08388AC7" w14:textId="27FDC875" w:rsidR="003B4E1E" w:rsidRDefault="003F30F2" w:rsidP="003B4E1E">
            <w:r>
              <w:t>Foreign Government Investor</w:t>
            </w:r>
          </w:p>
        </w:tc>
      </w:tr>
      <w:tr w:rsidR="003B4E1E" w14:paraId="254CD82A" w14:textId="77777777" w:rsidTr="003F30F2">
        <w:tc>
          <w:tcPr>
            <w:tcW w:w="4530" w:type="dxa"/>
          </w:tcPr>
          <w:p w14:paraId="718163A8" w14:textId="4DD71821" w:rsidR="003B4E1E" w:rsidRDefault="003B4E1E" w:rsidP="003B4E1E">
            <w:r>
              <w:t>FIRB</w:t>
            </w:r>
          </w:p>
        </w:tc>
        <w:tc>
          <w:tcPr>
            <w:tcW w:w="4530" w:type="dxa"/>
          </w:tcPr>
          <w:p w14:paraId="0BD92AD5" w14:textId="5F8A3E91" w:rsidR="003B4E1E" w:rsidRDefault="003F30F2" w:rsidP="003B4E1E">
            <w:r>
              <w:t>Foreign Investment Review Board</w:t>
            </w:r>
          </w:p>
        </w:tc>
      </w:tr>
      <w:tr w:rsidR="00365E65" w14:paraId="1ABB8D43" w14:textId="77777777" w:rsidTr="003F30F2">
        <w:tc>
          <w:tcPr>
            <w:tcW w:w="4530" w:type="dxa"/>
          </w:tcPr>
          <w:p w14:paraId="53A6BD2B" w14:textId="3067431C" w:rsidR="00365E65" w:rsidRDefault="00365E65" w:rsidP="003B4E1E">
            <w:r>
              <w:t>TAA</w:t>
            </w:r>
          </w:p>
        </w:tc>
        <w:tc>
          <w:tcPr>
            <w:tcW w:w="4530" w:type="dxa"/>
          </w:tcPr>
          <w:p w14:paraId="3EB401F3" w14:textId="38D89BF0" w:rsidR="00365E65" w:rsidRDefault="00365E65" w:rsidP="003B4E1E">
            <w:r>
              <w:rPr>
                <w:i/>
              </w:rPr>
              <w:t>Tax Administration Act 1953</w:t>
            </w:r>
          </w:p>
        </w:tc>
      </w:tr>
    </w:tbl>
    <w:p w14:paraId="53225A44" w14:textId="77777777" w:rsidR="003B4E1E" w:rsidRPr="003B4E1E" w:rsidRDefault="003B4E1E" w:rsidP="003B4E1E"/>
    <w:p w14:paraId="1F92B935" w14:textId="77777777" w:rsidR="00BA3D6E" w:rsidRDefault="00BA3D6E" w:rsidP="002D488F"/>
    <w:sectPr w:rsidR="00BA3D6E" w:rsidSect="00953210">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9C9385" w14:textId="77777777" w:rsidR="00A777D8" w:rsidRDefault="00A777D8">
      <w:pPr>
        <w:spacing w:before="0" w:after="0"/>
      </w:pPr>
      <w:r>
        <w:separator/>
      </w:r>
    </w:p>
  </w:endnote>
  <w:endnote w:type="continuationSeparator" w:id="0">
    <w:p w14:paraId="1036B058" w14:textId="77777777" w:rsidR="00A777D8" w:rsidRDefault="00A777D8">
      <w:pPr>
        <w:spacing w:before="0" w:after="0"/>
      </w:pPr>
      <w:r>
        <w:continuationSeparator/>
      </w:r>
    </w:p>
  </w:endnote>
  <w:endnote w:type="continuationNotice" w:id="1">
    <w:p w14:paraId="34D14CC4" w14:textId="77777777" w:rsidR="00A777D8" w:rsidRDefault="00A777D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D69BC" w14:textId="68FF2524" w:rsidR="00A777D8" w:rsidRPr="00E1136B" w:rsidRDefault="00A777D8" w:rsidP="00E1136B">
    <w:pPr>
      <w:pStyle w:val="Footer"/>
    </w:pPr>
    <w:r>
      <w:fldChar w:fldCharType="begin"/>
    </w:r>
    <w:r>
      <w:instrText xml:space="preserve"> PAGE   \* MERGEFORMAT </w:instrText>
    </w:r>
    <w:r>
      <w:fldChar w:fldCharType="separate"/>
    </w:r>
    <w:r w:rsidR="001B08D8">
      <w:rPr>
        <w:noProof/>
      </w:rPr>
      <w:t>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EDB15" w14:textId="77777777" w:rsidR="00A777D8" w:rsidRPr="00E77C89" w:rsidRDefault="00A777D8" w:rsidP="0017089D">
    <w:r>
      <w:fldChar w:fldCharType="begin"/>
    </w:r>
    <w:r>
      <w:instrText xml:space="preserve"> PAGE  \* Arabic  \* MERGEFORMAT </w:instrText>
    </w:r>
    <w:r>
      <w:fldChar w:fldCharType="separate"/>
    </w:r>
    <w:r>
      <w:t>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08CBD" w14:textId="77777777" w:rsidR="00A777D8" w:rsidRPr="00E77C89" w:rsidRDefault="00A777D8" w:rsidP="0017089D"/>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2A6B3" w14:textId="491CDFE0" w:rsidR="00A777D8" w:rsidRPr="00E1136B" w:rsidRDefault="00A777D8" w:rsidP="00E1136B">
    <w:pPr>
      <w:pStyle w:val="Footer"/>
    </w:pPr>
    <w:r>
      <w:fldChar w:fldCharType="begin"/>
    </w:r>
    <w:r>
      <w:instrText xml:space="preserve"> PAGE   \* MERGEFORMAT </w:instrText>
    </w:r>
    <w:r>
      <w:fldChar w:fldCharType="separate"/>
    </w:r>
    <w:r w:rsidR="001B08D8">
      <w:rPr>
        <w:noProof/>
      </w:rPr>
      <w:t>19</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7026F" w14:textId="77777777" w:rsidR="00A777D8" w:rsidRDefault="00A777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2A1C3D" w14:textId="77777777" w:rsidR="00A777D8" w:rsidRDefault="00A777D8">
      <w:pPr>
        <w:spacing w:before="0" w:after="0"/>
      </w:pPr>
      <w:r>
        <w:separator/>
      </w:r>
    </w:p>
  </w:footnote>
  <w:footnote w:type="continuationSeparator" w:id="0">
    <w:p w14:paraId="69BE8E30" w14:textId="77777777" w:rsidR="00A777D8" w:rsidRDefault="00A777D8">
      <w:pPr>
        <w:spacing w:before="0" w:after="0"/>
      </w:pPr>
      <w:r>
        <w:continuationSeparator/>
      </w:r>
    </w:p>
  </w:footnote>
  <w:footnote w:type="continuationNotice" w:id="1">
    <w:p w14:paraId="12FC0C64" w14:textId="77777777" w:rsidR="00A777D8" w:rsidRDefault="00A777D8">
      <w:pPr>
        <w:spacing w:before="0" w:after="0"/>
      </w:pPr>
    </w:p>
  </w:footnote>
  <w:footnote w:id="2">
    <w:p w14:paraId="350060BB" w14:textId="77C0462D" w:rsidR="00A777D8" w:rsidRPr="00FC4EF9" w:rsidRDefault="00A777D8" w:rsidP="002E0808">
      <w:pPr>
        <w:pStyle w:val="FootnoteText"/>
      </w:pPr>
      <w:r w:rsidRPr="000D1474">
        <w:rPr>
          <w:rStyle w:val="FootnoteReference"/>
          <w:sz w:val="16"/>
          <w:szCs w:val="16"/>
          <w:vertAlign w:val="baseline"/>
        </w:rPr>
        <w:footnoteRef/>
      </w:r>
      <w:r>
        <w:t xml:space="preserve"> </w:t>
      </w:r>
      <w:r>
        <w:tab/>
      </w:r>
      <w:r w:rsidRPr="00FC4EF9">
        <w:t>ABS cat. no. 5494.0</w:t>
      </w:r>
      <w:r>
        <w:t xml:space="preserve"> — </w:t>
      </w:r>
      <w:r w:rsidRPr="00FC4EF9">
        <w:t>Economic Activity of Foreign Owned Businesses in Australia, 2014</w:t>
      </w:r>
      <w:r w:rsidR="00AF5EDD">
        <w:noBreakHyphen/>
      </w:r>
      <w:r w:rsidRPr="00FC4EF9">
        <w:t>15.</w:t>
      </w:r>
    </w:p>
  </w:footnote>
  <w:footnote w:id="3">
    <w:p w14:paraId="76B87B9C" w14:textId="0D97092C" w:rsidR="00A777D8" w:rsidRPr="00161859" w:rsidRDefault="00A777D8" w:rsidP="002E0808">
      <w:pPr>
        <w:pStyle w:val="FootnoteText"/>
        <w:rPr>
          <w:lang w:val="en"/>
        </w:rPr>
      </w:pPr>
      <w:r w:rsidRPr="000D1474">
        <w:rPr>
          <w:rStyle w:val="FootnoteReference"/>
          <w:sz w:val="16"/>
          <w:szCs w:val="16"/>
          <w:vertAlign w:val="baseline"/>
        </w:rPr>
        <w:footnoteRef/>
      </w:r>
      <w:r w:rsidRPr="00161859">
        <w:t xml:space="preserve"> </w:t>
      </w:r>
      <w:r>
        <w:tab/>
      </w:r>
      <w:r w:rsidRPr="00161859">
        <w:rPr>
          <w:lang w:val="en"/>
        </w:rPr>
        <w:t xml:space="preserve">A direct interest in an entity or business is defined in section 16 of the </w:t>
      </w:r>
      <w:r w:rsidRPr="00161859">
        <w:rPr>
          <w:i/>
          <w:lang w:val="en"/>
        </w:rPr>
        <w:t>Foreign Acquisitions and Takeovers Regulation 2015</w:t>
      </w:r>
      <w:r w:rsidR="00DA31A1">
        <w:rPr>
          <w:i/>
          <w:lang w:val="en"/>
        </w:rPr>
        <w:t>.</w:t>
      </w:r>
    </w:p>
  </w:footnote>
  <w:footnote w:id="4">
    <w:p w14:paraId="4E47C160" w14:textId="6C33B481" w:rsidR="00A777D8" w:rsidRPr="002E0808" w:rsidRDefault="00A777D8" w:rsidP="002E0808">
      <w:pPr>
        <w:pStyle w:val="FootnoteText"/>
      </w:pPr>
      <w:r w:rsidRPr="002E0808">
        <w:rPr>
          <w:rStyle w:val="FootnoteReference"/>
          <w:vertAlign w:val="baseline"/>
        </w:rPr>
        <w:footnoteRef/>
      </w:r>
      <w:r w:rsidRPr="002E0808">
        <w:t xml:space="preserve"> </w:t>
      </w:r>
      <w:r w:rsidRPr="002E0808">
        <w:tab/>
        <w:t>OECD (2020), FDI flows.</w:t>
      </w:r>
    </w:p>
  </w:footnote>
  <w:footnote w:id="5">
    <w:p w14:paraId="250102FA" w14:textId="71EE06CE" w:rsidR="00A777D8" w:rsidRPr="00867440" w:rsidRDefault="00A777D8" w:rsidP="00F530F1">
      <w:pPr>
        <w:pStyle w:val="FootnoteText"/>
        <w:rPr>
          <w:sz w:val="18"/>
        </w:rPr>
      </w:pPr>
      <w:r w:rsidRPr="000D1474">
        <w:rPr>
          <w:rStyle w:val="FootnoteReference"/>
          <w:vertAlign w:val="baseline"/>
        </w:rPr>
        <w:footnoteRef/>
      </w:r>
      <w:r w:rsidRPr="00652178">
        <w:t xml:space="preserve"> </w:t>
      </w:r>
      <w:r>
        <w:tab/>
      </w:r>
      <w:r w:rsidRPr="00652178">
        <w:t xml:space="preserve">OECD, Joachim Phol, 2019, </w:t>
      </w:r>
      <w:r w:rsidR="00AF5EDD">
        <w:t>‘</w:t>
      </w:r>
      <w:r w:rsidRPr="00652178">
        <w:t>Acquisition</w:t>
      </w:r>
      <w:r w:rsidR="00AF5EDD">
        <w:noBreakHyphen/>
      </w:r>
      <w:r w:rsidRPr="00652178">
        <w:t xml:space="preserve"> and ownership</w:t>
      </w:r>
      <w:r w:rsidR="00AF5EDD">
        <w:noBreakHyphen/>
      </w:r>
      <w:r w:rsidRPr="00652178">
        <w:t>related policies to safeguard essential security interests: New policies to manage new threats. (Research note on current and emerging trends</w:t>
      </w:r>
      <w:r w:rsidR="00AF5EDD">
        <w:t>’</w:t>
      </w:r>
      <w:r w:rsidRPr="00652178">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608AD" w14:textId="13B4009B" w:rsidR="00A777D8" w:rsidRDefault="00AF5EDD">
    <w:pPr>
      <w:pStyle w:val="Header"/>
    </w:pPr>
    <w:r>
      <w:rPr>
        <w:noProof/>
      </w:rPr>
      <w:drawing>
        <wp:anchor distT="0" distB="0" distL="114300" distR="114300" simplePos="0" relativeHeight="251659264" behindDoc="1" locked="0" layoutInCell="1" allowOverlap="1" wp14:anchorId="7B87E564" wp14:editId="4B4987EA">
          <wp:simplePos x="0" y="0"/>
          <wp:positionH relativeFrom="page">
            <wp:posOffset>176530</wp:posOffset>
          </wp:positionH>
          <wp:positionV relativeFrom="page">
            <wp:posOffset>163830</wp:posOffset>
          </wp:positionV>
          <wp:extent cx="7200000" cy="10184400"/>
          <wp:effectExtent l="0" t="0" r="127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200000" cy="10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983E1" w14:textId="77777777" w:rsidR="00A777D8" w:rsidRPr="001F3912" w:rsidRDefault="00A777D8"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84D55" w14:textId="0B076836" w:rsidR="00A777D8" w:rsidRPr="001F3912" w:rsidRDefault="00A777D8" w:rsidP="0017089D"/>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CA26F" w14:textId="77777777" w:rsidR="00A777D8" w:rsidRPr="001F3912" w:rsidRDefault="00A777D8" w:rsidP="0017089D"/>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14313" w14:textId="05B31FA1" w:rsidR="00A777D8" w:rsidRDefault="001B08D8" w:rsidP="001606CF">
    <w:pPr>
      <w:pStyle w:val="Header"/>
    </w:pPr>
    <w:r>
      <w:fldChar w:fldCharType="begin"/>
    </w:r>
    <w:r>
      <w:instrText xml:space="preserve"> STYLEREF  Title  \* MERGEFORMAT </w:instrText>
    </w:r>
    <w:r>
      <w:fldChar w:fldCharType="separate"/>
    </w:r>
    <w:r>
      <w:rPr>
        <w:noProof/>
      </w:rPr>
      <w:t>Foreign investment reforms</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8053C" w14:textId="77777777" w:rsidR="00A777D8" w:rsidRDefault="00A777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329CA"/>
    <w:multiLevelType w:val="multilevel"/>
    <w:tmpl w:val="BE44C77E"/>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8EA2550"/>
    <w:multiLevelType w:val="multilevel"/>
    <w:tmpl w:val="2B20CD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E092280"/>
    <w:multiLevelType w:val="hybridMultilevel"/>
    <w:tmpl w:val="EA06853C"/>
    <w:lvl w:ilvl="0" w:tplc="461020E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234110C"/>
    <w:multiLevelType w:val="multilevel"/>
    <w:tmpl w:val="0AA4A5BE"/>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2BE2D80"/>
    <w:multiLevelType w:val="multilevel"/>
    <w:tmpl w:val="73668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9F7B24"/>
    <w:multiLevelType w:val="multilevel"/>
    <w:tmpl w:val="6CEACD10"/>
    <w:lvl w:ilvl="0">
      <w:start w:val="1"/>
      <w:numFmt w:val="decimal"/>
      <w:lvlText w:val="%1"/>
      <w:lvlJc w:val="left"/>
      <w:pPr>
        <w:ind w:left="360" w:hanging="360"/>
      </w:pPr>
      <w:rPr>
        <w:rFonts w:hint="default"/>
        <w:sz w:val="28"/>
      </w:rPr>
    </w:lvl>
    <w:lvl w:ilvl="1">
      <w:start w:val="1"/>
      <w:numFmt w:val="decimal"/>
      <w:lvlText w:val="%1.%2"/>
      <w:lvlJc w:val="left"/>
      <w:pPr>
        <w:tabs>
          <w:tab w:val="num" w:pos="340"/>
        </w:tabs>
        <w:ind w:left="340" w:firstLine="0"/>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4426593"/>
    <w:multiLevelType w:val="hybridMultilevel"/>
    <w:tmpl w:val="172C33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44A21C9"/>
    <w:multiLevelType w:val="hybridMultilevel"/>
    <w:tmpl w:val="581EEADE"/>
    <w:lvl w:ilvl="0" w:tplc="FA181F5C">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6CC4E5D"/>
    <w:multiLevelType w:val="multilevel"/>
    <w:tmpl w:val="D10E9CF6"/>
    <w:numStyleLink w:val="OneLevelList"/>
  </w:abstractNum>
  <w:abstractNum w:abstractNumId="12"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8327664"/>
    <w:multiLevelType w:val="multilevel"/>
    <w:tmpl w:val="F4B21BA6"/>
    <w:lvl w:ilvl="0">
      <w:start w:val="1"/>
      <w:numFmt w:val="decimal"/>
      <w:lvlText w:val="%1."/>
      <w:lvlJc w:val="left"/>
      <w:pPr>
        <w:tabs>
          <w:tab w:val="num" w:pos="709"/>
        </w:tabs>
        <w:ind w:left="0" w:hanging="709"/>
      </w:pPr>
      <w:rPr>
        <w:sz w:val="20"/>
      </w:rPr>
    </w:lvl>
    <w:lvl w:ilvl="1">
      <w:start w:val="1"/>
      <w:numFmt w:val="decimal"/>
      <w:lvlText w:val="%1.%2."/>
      <w:lvlJc w:val="left"/>
      <w:pPr>
        <w:tabs>
          <w:tab w:val="num" w:pos="709"/>
        </w:tabs>
        <w:ind w:left="0" w:hanging="709"/>
      </w:pPr>
      <w:rPr>
        <w:sz w:val="20"/>
      </w:rPr>
    </w:lvl>
    <w:lvl w:ilvl="2">
      <w:start w:val="1"/>
      <w:numFmt w:val="decimal"/>
      <w:lvlText w:val="%1.%2.%3."/>
      <w:lvlJc w:val="left"/>
      <w:pPr>
        <w:tabs>
          <w:tab w:val="num" w:pos="709"/>
        </w:tabs>
        <w:ind w:left="0" w:hanging="709"/>
      </w:pPr>
      <w:rPr>
        <w:sz w:val="20"/>
      </w:rPr>
    </w:lvl>
    <w:lvl w:ilvl="3">
      <w:start w:val="1"/>
      <w:numFmt w:val="lowerLetter"/>
      <w:lvlText w:val="%4."/>
      <w:lvlJc w:val="left"/>
      <w:pPr>
        <w:tabs>
          <w:tab w:val="num" w:pos="709"/>
        </w:tabs>
        <w:ind w:left="425" w:hanging="425"/>
      </w:pPr>
    </w:lvl>
    <w:lvl w:ilvl="4">
      <w:start w:val="1"/>
      <w:numFmt w:val="bullet"/>
      <w:lvlText w:val=""/>
      <w:lvlJc w:val="left"/>
      <w:pPr>
        <w:tabs>
          <w:tab w:val="num" w:pos="709"/>
        </w:tabs>
        <w:ind w:left="425" w:hanging="425"/>
      </w:pPr>
      <w:rPr>
        <w:rFonts w:ascii="Symbol" w:hAnsi="Symbol" w:hint="default"/>
        <w:b w:val="0"/>
        <w:i w:val="0"/>
        <w:color w:val="auto"/>
      </w:rPr>
    </w:lvl>
    <w:lvl w:ilvl="5">
      <w:start w:val="1"/>
      <w:numFmt w:val="bullet"/>
      <w:lvlText w:val="–"/>
      <w:lvlJc w:val="left"/>
      <w:pPr>
        <w:tabs>
          <w:tab w:val="num" w:pos="1418"/>
        </w:tabs>
        <w:ind w:left="851" w:hanging="426"/>
      </w:pPr>
      <w:rPr>
        <w:b w:val="0"/>
        <w:i w:val="0"/>
      </w:rPr>
    </w:lvl>
    <w:lvl w:ilvl="6">
      <w:start w:val="1"/>
      <w:numFmt w:val="bullet"/>
      <w:lvlText w:val="–"/>
      <w:lvlJc w:val="left"/>
      <w:pPr>
        <w:tabs>
          <w:tab w:val="num" w:pos="1843"/>
        </w:tabs>
        <w:ind w:left="1276" w:hanging="425"/>
      </w:pPr>
      <w:rPr>
        <w:b w:val="0"/>
        <w:i w:val="0"/>
      </w:rPr>
    </w:lvl>
    <w:lvl w:ilvl="7">
      <w:start w:val="1"/>
      <w:numFmt w:val="bullet"/>
      <w:lvlText w:val="–"/>
      <w:lvlJc w:val="left"/>
      <w:pPr>
        <w:tabs>
          <w:tab w:val="num" w:pos="2410"/>
        </w:tabs>
        <w:ind w:left="1701" w:hanging="425"/>
      </w:pPr>
      <w:rPr>
        <w:b w:val="0"/>
        <w:i w:val="0"/>
      </w:rPr>
    </w:lvl>
    <w:lvl w:ilvl="8">
      <w:start w:val="1"/>
      <w:numFmt w:val="bullet"/>
      <w:lvlText w:val="–"/>
      <w:lvlJc w:val="left"/>
      <w:pPr>
        <w:tabs>
          <w:tab w:val="num" w:pos="2835"/>
        </w:tabs>
        <w:ind w:left="2126" w:hanging="425"/>
      </w:pPr>
      <w:rPr>
        <w:b w:val="0"/>
        <w:i w:val="0"/>
      </w:rPr>
    </w:lvl>
  </w:abstractNum>
  <w:abstractNum w:abstractNumId="14" w15:restartNumberingAfterBreak="0">
    <w:nsid w:val="18C5764C"/>
    <w:multiLevelType w:val="hybridMultilevel"/>
    <w:tmpl w:val="09A69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602DFC"/>
    <w:multiLevelType w:val="hybridMultilevel"/>
    <w:tmpl w:val="E2C89F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5252770"/>
    <w:multiLevelType w:val="multilevel"/>
    <w:tmpl w:val="0C09001F"/>
    <w:name w:val="StandardNumbered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5C40616"/>
    <w:multiLevelType w:val="multilevel"/>
    <w:tmpl w:val="43CA1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AAA7BB4"/>
    <w:multiLevelType w:val="multilevel"/>
    <w:tmpl w:val="2E90926E"/>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3600" w:hanging="360"/>
      </w:pPr>
    </w:lvl>
    <w:lvl w:ilvl="4">
      <w:start w:val="1"/>
      <w:numFmt w:val="lowerLetter"/>
      <w:lvlText w:val="(%5)"/>
      <w:lvlJc w:val="left"/>
      <w:pPr>
        <w:ind w:left="3960" w:hanging="360"/>
      </w:pPr>
    </w:lvl>
    <w:lvl w:ilvl="5">
      <w:start w:val="1"/>
      <w:numFmt w:val="lowerRoman"/>
      <w:lvlText w:val="(%6)"/>
      <w:lvlJc w:val="left"/>
      <w:pPr>
        <w:ind w:left="4320" w:hanging="360"/>
      </w:pPr>
    </w:lvl>
    <w:lvl w:ilvl="6">
      <w:start w:val="1"/>
      <w:numFmt w:val="decimal"/>
      <w:lvlText w:val="%7."/>
      <w:lvlJc w:val="left"/>
      <w:pPr>
        <w:ind w:left="4680" w:hanging="360"/>
      </w:pPr>
    </w:lvl>
    <w:lvl w:ilvl="7">
      <w:start w:val="1"/>
      <w:numFmt w:val="lowerLetter"/>
      <w:lvlText w:val="%8."/>
      <w:lvlJc w:val="left"/>
      <w:pPr>
        <w:ind w:left="5040" w:hanging="360"/>
      </w:pPr>
    </w:lvl>
    <w:lvl w:ilvl="8">
      <w:start w:val="1"/>
      <w:numFmt w:val="lowerRoman"/>
      <w:lvlText w:val="%9."/>
      <w:lvlJc w:val="left"/>
      <w:pPr>
        <w:ind w:left="5400" w:hanging="360"/>
      </w:pPr>
    </w:lvl>
  </w:abstractNum>
  <w:abstractNum w:abstractNumId="20" w15:restartNumberingAfterBreak="0">
    <w:nsid w:val="2F064374"/>
    <w:multiLevelType w:val="hybridMultilevel"/>
    <w:tmpl w:val="4386E552"/>
    <w:lvl w:ilvl="0" w:tplc="4DECCAEC">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8C1C89"/>
    <w:multiLevelType w:val="hybridMultilevel"/>
    <w:tmpl w:val="C0923C52"/>
    <w:lvl w:ilvl="0" w:tplc="A4387BF6">
      <w:start w:val="1"/>
      <w:numFmt w:val="decimal"/>
      <w:lvlText w:val="%1."/>
      <w:lvlJc w:val="left"/>
      <w:pPr>
        <w:tabs>
          <w:tab w:val="num" w:pos="720"/>
        </w:tabs>
        <w:ind w:left="720" w:hanging="360"/>
      </w:pPr>
      <w:rPr>
        <w:b/>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3" w15:restartNumberingAfterBreak="0">
    <w:nsid w:val="30FE4DAF"/>
    <w:multiLevelType w:val="multilevel"/>
    <w:tmpl w:val="CD023C08"/>
    <w:lvl w:ilvl="0">
      <w:start w:val="1"/>
      <w:numFmt w:val="decimal"/>
      <w:lvlText w:val="%1"/>
      <w:lvlJc w:val="left"/>
      <w:pPr>
        <w:ind w:left="405" w:hanging="405"/>
      </w:pPr>
      <w:rPr>
        <w:rFonts w:hint="default"/>
        <w:i/>
        <w:sz w:val="24"/>
      </w:rPr>
    </w:lvl>
    <w:lvl w:ilvl="1">
      <w:start w:val="1"/>
      <w:numFmt w:val="lowerLetter"/>
      <w:lvlText w:val="%2."/>
      <w:lvlJc w:val="left"/>
      <w:pPr>
        <w:ind w:left="405" w:hanging="405"/>
      </w:pPr>
      <w:rPr>
        <w:rFonts w:hint="default"/>
        <w:i/>
        <w:sz w:val="24"/>
      </w:rPr>
    </w:lvl>
    <w:lvl w:ilvl="2">
      <w:start w:val="1"/>
      <w:numFmt w:val="decimal"/>
      <w:lvlText w:val="%1.%2.%3"/>
      <w:lvlJc w:val="left"/>
      <w:pPr>
        <w:ind w:left="720" w:hanging="720"/>
      </w:pPr>
      <w:rPr>
        <w:rFonts w:hint="default"/>
        <w:i/>
        <w:sz w:val="24"/>
      </w:rPr>
    </w:lvl>
    <w:lvl w:ilvl="3">
      <w:start w:val="1"/>
      <w:numFmt w:val="decimal"/>
      <w:lvlText w:val="%1.%2.%3.%4"/>
      <w:lvlJc w:val="left"/>
      <w:pPr>
        <w:ind w:left="720" w:hanging="720"/>
      </w:pPr>
      <w:rPr>
        <w:rFonts w:hint="default"/>
        <w:i/>
        <w:sz w:val="24"/>
      </w:rPr>
    </w:lvl>
    <w:lvl w:ilvl="4">
      <w:start w:val="1"/>
      <w:numFmt w:val="decimal"/>
      <w:lvlText w:val="%1.%2.%3.%4.%5"/>
      <w:lvlJc w:val="left"/>
      <w:pPr>
        <w:ind w:left="1080" w:hanging="1080"/>
      </w:pPr>
      <w:rPr>
        <w:rFonts w:hint="default"/>
        <w:i/>
        <w:sz w:val="24"/>
      </w:rPr>
    </w:lvl>
    <w:lvl w:ilvl="5">
      <w:start w:val="1"/>
      <w:numFmt w:val="decimal"/>
      <w:lvlText w:val="%1.%2.%3.%4.%5.%6"/>
      <w:lvlJc w:val="left"/>
      <w:pPr>
        <w:ind w:left="1080" w:hanging="1080"/>
      </w:pPr>
      <w:rPr>
        <w:rFonts w:hint="default"/>
        <w:i/>
        <w:sz w:val="24"/>
      </w:rPr>
    </w:lvl>
    <w:lvl w:ilvl="6">
      <w:start w:val="1"/>
      <w:numFmt w:val="decimal"/>
      <w:lvlText w:val="%1.%2.%3.%4.%5.%6.%7"/>
      <w:lvlJc w:val="left"/>
      <w:pPr>
        <w:ind w:left="1440" w:hanging="1440"/>
      </w:pPr>
      <w:rPr>
        <w:rFonts w:hint="default"/>
        <w:i/>
        <w:sz w:val="24"/>
      </w:rPr>
    </w:lvl>
    <w:lvl w:ilvl="7">
      <w:start w:val="1"/>
      <w:numFmt w:val="decimal"/>
      <w:lvlText w:val="%1.%2.%3.%4.%5.%6.%7.%8"/>
      <w:lvlJc w:val="left"/>
      <w:pPr>
        <w:ind w:left="1440" w:hanging="1440"/>
      </w:pPr>
      <w:rPr>
        <w:rFonts w:hint="default"/>
        <w:i/>
        <w:sz w:val="24"/>
      </w:rPr>
    </w:lvl>
    <w:lvl w:ilvl="8">
      <w:start w:val="1"/>
      <w:numFmt w:val="decimal"/>
      <w:lvlText w:val="%1.%2.%3.%4.%5.%6.%7.%8.%9"/>
      <w:lvlJc w:val="left"/>
      <w:pPr>
        <w:ind w:left="1800" w:hanging="1800"/>
      </w:pPr>
      <w:rPr>
        <w:rFonts w:hint="default"/>
        <w:i/>
        <w:sz w:val="24"/>
      </w:rPr>
    </w:lvl>
  </w:abstractNum>
  <w:abstractNum w:abstractNumId="24"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25107F2"/>
    <w:multiLevelType w:val="multilevel"/>
    <w:tmpl w:val="5630D4F0"/>
    <w:lvl w:ilvl="0">
      <w:start w:val="1"/>
      <w:numFmt w:val="bullet"/>
      <w:lvlText w:val="•"/>
      <w:lvlJc w:val="left"/>
      <w:pPr>
        <w:tabs>
          <w:tab w:val="num" w:pos="1040"/>
        </w:tabs>
        <w:ind w:left="1040" w:hanging="520"/>
      </w:pPr>
      <w:rPr>
        <w:rFonts w:ascii="Times New Roman" w:hAnsi="Times New Roman" w:cs="Times New Roman"/>
      </w:rPr>
    </w:lvl>
    <w:lvl w:ilvl="1">
      <w:start w:val="1"/>
      <w:numFmt w:val="bullet"/>
      <w:lvlText w:val="–"/>
      <w:lvlJc w:val="left"/>
      <w:pPr>
        <w:tabs>
          <w:tab w:val="num" w:pos="1560"/>
        </w:tabs>
        <w:ind w:left="1560" w:hanging="520"/>
      </w:pPr>
      <w:rPr>
        <w:rFonts w:ascii="Times New Roman" w:hAnsi="Times New Roman" w:cs="Times New Roman"/>
      </w:rPr>
    </w:lvl>
    <w:lvl w:ilvl="2">
      <w:start w:val="1"/>
      <w:numFmt w:val="bullet"/>
      <w:lvlText w:val=":"/>
      <w:lvlJc w:val="left"/>
      <w:pPr>
        <w:tabs>
          <w:tab w:val="num" w:pos="2080"/>
        </w:tabs>
        <w:ind w:left="2080" w:hanging="520"/>
      </w:pPr>
      <w:rPr>
        <w:rFonts w:ascii="Times New Roman" w:hAnsi="Times New Roman" w:cs="Times New Roman"/>
      </w:rPr>
    </w:lvl>
    <w:lvl w:ilvl="3">
      <w:start w:val="1"/>
      <w:numFmt w:val="decimal"/>
      <w:lvlText w:val="(%4)"/>
      <w:lvlJc w:val="left"/>
      <w:pPr>
        <w:ind w:left="1960" w:hanging="360"/>
      </w:pPr>
    </w:lvl>
    <w:lvl w:ilvl="4">
      <w:start w:val="1"/>
      <w:numFmt w:val="lowerLetter"/>
      <w:lvlText w:val="(%5)"/>
      <w:lvlJc w:val="left"/>
      <w:pPr>
        <w:ind w:left="2320" w:hanging="360"/>
      </w:pPr>
    </w:lvl>
    <w:lvl w:ilvl="5">
      <w:start w:val="1"/>
      <w:numFmt w:val="lowerRoman"/>
      <w:lvlText w:val="(%6)"/>
      <w:lvlJc w:val="left"/>
      <w:pPr>
        <w:ind w:left="2680" w:hanging="360"/>
      </w:pPr>
    </w:lvl>
    <w:lvl w:ilvl="6">
      <w:start w:val="1"/>
      <w:numFmt w:val="decimal"/>
      <w:lvlText w:val="%7."/>
      <w:lvlJc w:val="left"/>
      <w:pPr>
        <w:ind w:left="3040" w:hanging="360"/>
      </w:pPr>
    </w:lvl>
    <w:lvl w:ilvl="7">
      <w:start w:val="1"/>
      <w:numFmt w:val="lowerLetter"/>
      <w:lvlText w:val="%8."/>
      <w:lvlJc w:val="left"/>
      <w:pPr>
        <w:ind w:left="3400" w:hanging="360"/>
      </w:pPr>
    </w:lvl>
    <w:lvl w:ilvl="8">
      <w:start w:val="1"/>
      <w:numFmt w:val="lowerRoman"/>
      <w:lvlText w:val="%9."/>
      <w:lvlJc w:val="left"/>
      <w:pPr>
        <w:ind w:left="3760" w:hanging="360"/>
      </w:pPr>
    </w:lvl>
  </w:abstractNum>
  <w:abstractNum w:abstractNumId="26"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AD1151F"/>
    <w:multiLevelType w:val="multilevel"/>
    <w:tmpl w:val="15ACD3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3BBB4575"/>
    <w:multiLevelType w:val="multilevel"/>
    <w:tmpl w:val="B9385130"/>
    <w:lvl w:ilvl="0">
      <w:start w:val="1"/>
      <w:numFmt w:val="decimal"/>
      <w:lvlText w:val="%1"/>
      <w:lvlJc w:val="left"/>
      <w:pPr>
        <w:ind w:left="360" w:hanging="360"/>
      </w:pPr>
      <w:rPr>
        <w:rFonts w:hint="default"/>
        <w:sz w:val="28"/>
      </w:rPr>
    </w:lvl>
    <w:lvl w:ilvl="1">
      <w:start w:val="1"/>
      <w:numFmt w:val="decimal"/>
      <w:lvlText w:val="%1.%2"/>
      <w:lvlJc w:val="left"/>
      <w:pPr>
        <w:tabs>
          <w:tab w:val="num" w:pos="340"/>
        </w:tabs>
        <w:ind w:left="34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D343B95"/>
    <w:multiLevelType w:val="multilevel"/>
    <w:tmpl w:val="118219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F58450C"/>
    <w:multiLevelType w:val="hybridMultilevel"/>
    <w:tmpl w:val="73EA3C7C"/>
    <w:lvl w:ilvl="0" w:tplc="62306A04">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0136712"/>
    <w:multiLevelType w:val="multilevel"/>
    <w:tmpl w:val="D9843D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419B164A"/>
    <w:multiLevelType w:val="multilevel"/>
    <w:tmpl w:val="828CB3A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1CB4C63"/>
    <w:multiLevelType w:val="hybridMultilevel"/>
    <w:tmpl w:val="8E282E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46351077"/>
    <w:multiLevelType w:val="hybridMultilevel"/>
    <w:tmpl w:val="179615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472D5E8E"/>
    <w:multiLevelType w:val="multilevel"/>
    <w:tmpl w:val="780015BA"/>
    <w:lvl w:ilvl="0">
      <w:start w:val="1"/>
      <w:numFmt w:val="decimal"/>
      <w:lvlText w:val="%1"/>
      <w:lvlJc w:val="left"/>
      <w:pPr>
        <w:ind w:left="405" w:hanging="405"/>
      </w:pPr>
      <w:rPr>
        <w:rFonts w:hint="default"/>
        <w:i/>
        <w:sz w:val="24"/>
      </w:rPr>
    </w:lvl>
    <w:lvl w:ilvl="1">
      <w:start w:val="1"/>
      <w:numFmt w:val="decimal"/>
      <w:lvlText w:val="%1.%2"/>
      <w:lvlJc w:val="left"/>
      <w:pPr>
        <w:ind w:left="405" w:hanging="405"/>
      </w:pPr>
      <w:rPr>
        <w:rFonts w:hint="default"/>
        <w:i/>
        <w:sz w:val="24"/>
      </w:rPr>
    </w:lvl>
    <w:lvl w:ilvl="2">
      <w:start w:val="1"/>
      <w:numFmt w:val="decimal"/>
      <w:lvlText w:val="%1.%2.%3"/>
      <w:lvlJc w:val="left"/>
      <w:pPr>
        <w:ind w:left="720" w:hanging="720"/>
      </w:pPr>
      <w:rPr>
        <w:rFonts w:hint="default"/>
        <w:i/>
        <w:sz w:val="24"/>
      </w:rPr>
    </w:lvl>
    <w:lvl w:ilvl="3">
      <w:start w:val="1"/>
      <w:numFmt w:val="decimal"/>
      <w:lvlText w:val="%1.%2.%3.%4"/>
      <w:lvlJc w:val="left"/>
      <w:pPr>
        <w:ind w:left="720" w:hanging="720"/>
      </w:pPr>
      <w:rPr>
        <w:rFonts w:hint="default"/>
        <w:i/>
        <w:sz w:val="24"/>
      </w:rPr>
    </w:lvl>
    <w:lvl w:ilvl="4">
      <w:start w:val="1"/>
      <w:numFmt w:val="decimal"/>
      <w:lvlText w:val="%1.%2.%3.%4.%5"/>
      <w:lvlJc w:val="left"/>
      <w:pPr>
        <w:ind w:left="1080" w:hanging="1080"/>
      </w:pPr>
      <w:rPr>
        <w:rFonts w:hint="default"/>
        <w:i/>
        <w:sz w:val="24"/>
      </w:rPr>
    </w:lvl>
    <w:lvl w:ilvl="5">
      <w:start w:val="1"/>
      <w:numFmt w:val="decimal"/>
      <w:lvlText w:val="%1.%2.%3.%4.%5.%6"/>
      <w:lvlJc w:val="left"/>
      <w:pPr>
        <w:ind w:left="1080" w:hanging="1080"/>
      </w:pPr>
      <w:rPr>
        <w:rFonts w:hint="default"/>
        <w:i/>
        <w:sz w:val="24"/>
      </w:rPr>
    </w:lvl>
    <w:lvl w:ilvl="6">
      <w:start w:val="1"/>
      <w:numFmt w:val="decimal"/>
      <w:lvlText w:val="%1.%2.%3.%4.%5.%6.%7"/>
      <w:lvlJc w:val="left"/>
      <w:pPr>
        <w:ind w:left="1440" w:hanging="1440"/>
      </w:pPr>
      <w:rPr>
        <w:rFonts w:hint="default"/>
        <w:i/>
        <w:sz w:val="24"/>
      </w:rPr>
    </w:lvl>
    <w:lvl w:ilvl="7">
      <w:start w:val="1"/>
      <w:numFmt w:val="decimal"/>
      <w:lvlText w:val="%1.%2.%3.%4.%5.%6.%7.%8"/>
      <w:lvlJc w:val="left"/>
      <w:pPr>
        <w:ind w:left="1440" w:hanging="1440"/>
      </w:pPr>
      <w:rPr>
        <w:rFonts w:hint="default"/>
        <w:i/>
        <w:sz w:val="24"/>
      </w:rPr>
    </w:lvl>
    <w:lvl w:ilvl="8">
      <w:start w:val="1"/>
      <w:numFmt w:val="decimal"/>
      <w:lvlText w:val="%1.%2.%3.%4.%5.%6.%7.%8.%9"/>
      <w:lvlJc w:val="left"/>
      <w:pPr>
        <w:ind w:left="1800" w:hanging="1800"/>
      </w:pPr>
      <w:rPr>
        <w:rFonts w:hint="default"/>
        <w:i/>
        <w:sz w:val="24"/>
      </w:rPr>
    </w:lvl>
  </w:abstractNum>
  <w:abstractNum w:abstractNumId="36" w15:restartNumberingAfterBreak="0">
    <w:nsid w:val="47D44C2E"/>
    <w:multiLevelType w:val="multilevel"/>
    <w:tmpl w:val="6A6A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93362AC"/>
    <w:multiLevelType w:val="multilevel"/>
    <w:tmpl w:val="42FC17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49882CA6"/>
    <w:multiLevelType w:val="hybridMultilevel"/>
    <w:tmpl w:val="49C09A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A6F47A8"/>
    <w:multiLevelType w:val="hybridMultilevel"/>
    <w:tmpl w:val="F0824978"/>
    <w:lvl w:ilvl="0" w:tplc="F7565F4A">
      <w:start w:val="1"/>
      <w:numFmt w:val="lowerLetter"/>
      <w:pStyle w:val="ChartorTableFootnote"/>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4C1F0D68"/>
    <w:multiLevelType w:val="hybridMultilevel"/>
    <w:tmpl w:val="1312D968"/>
    <w:name w:val="StandardNumberedList22"/>
    <w:lvl w:ilvl="0" w:tplc="AB88FE0C">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4E1E0922"/>
    <w:multiLevelType w:val="hybridMultilevel"/>
    <w:tmpl w:val="60ECD86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F931197"/>
    <w:multiLevelType w:val="hybridMultilevel"/>
    <w:tmpl w:val="23781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0371B3E"/>
    <w:multiLevelType w:val="hybridMultilevel"/>
    <w:tmpl w:val="F2B6DEE2"/>
    <w:lvl w:ilvl="0" w:tplc="4CCEEDD6">
      <w:start w:val="1"/>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10D2021"/>
    <w:multiLevelType w:val="multilevel"/>
    <w:tmpl w:val="72F8140E"/>
    <w:numStyleLink w:val="OutlineList"/>
  </w:abstractNum>
  <w:abstractNum w:abstractNumId="45" w15:restartNumberingAfterBreak="0">
    <w:nsid w:val="53344A7A"/>
    <w:multiLevelType w:val="hybridMultilevel"/>
    <w:tmpl w:val="E5B0540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57727061"/>
    <w:multiLevelType w:val="hybridMultilevel"/>
    <w:tmpl w:val="873EE4F8"/>
    <w:lvl w:ilvl="0" w:tplc="0C090005">
      <w:start w:val="1"/>
      <w:numFmt w:val="bullet"/>
      <w:lvlText w:val=""/>
      <w:lvlJc w:val="left"/>
      <w:pPr>
        <w:tabs>
          <w:tab w:val="num" w:pos="1800"/>
        </w:tabs>
        <w:ind w:left="1800" w:hanging="360"/>
      </w:pPr>
      <w:rPr>
        <w:rFonts w:ascii="Wingdings" w:hAnsi="Wingdings" w:hint="default"/>
      </w:rPr>
    </w:lvl>
    <w:lvl w:ilvl="1" w:tplc="0C090003">
      <w:start w:val="1"/>
      <w:numFmt w:val="bullet"/>
      <w:lvlText w:val="o"/>
      <w:lvlJc w:val="left"/>
      <w:pPr>
        <w:tabs>
          <w:tab w:val="num" w:pos="2520"/>
        </w:tabs>
        <w:ind w:left="2520" w:hanging="360"/>
      </w:pPr>
      <w:rPr>
        <w:rFonts w:ascii="Courier New" w:hAnsi="Courier New" w:cs="Courier New" w:hint="default"/>
      </w:rPr>
    </w:lvl>
    <w:lvl w:ilvl="2" w:tplc="0C090005">
      <w:start w:val="1"/>
      <w:numFmt w:val="bullet"/>
      <w:lvlText w:val=""/>
      <w:lvlJc w:val="left"/>
      <w:pPr>
        <w:tabs>
          <w:tab w:val="num" w:pos="3240"/>
        </w:tabs>
        <w:ind w:left="3240" w:hanging="360"/>
      </w:pPr>
      <w:rPr>
        <w:rFonts w:ascii="Wingdings" w:hAnsi="Wingdings" w:hint="default"/>
      </w:rPr>
    </w:lvl>
    <w:lvl w:ilvl="3" w:tplc="0C090001">
      <w:start w:val="1"/>
      <w:numFmt w:val="bullet"/>
      <w:lvlText w:val=""/>
      <w:lvlJc w:val="left"/>
      <w:pPr>
        <w:tabs>
          <w:tab w:val="num" w:pos="3960"/>
        </w:tabs>
        <w:ind w:left="3960" w:hanging="360"/>
      </w:pPr>
      <w:rPr>
        <w:rFonts w:ascii="Symbol" w:hAnsi="Symbol" w:hint="default"/>
      </w:rPr>
    </w:lvl>
    <w:lvl w:ilvl="4" w:tplc="0C090003">
      <w:start w:val="1"/>
      <w:numFmt w:val="bullet"/>
      <w:lvlText w:val="o"/>
      <w:lvlJc w:val="left"/>
      <w:pPr>
        <w:tabs>
          <w:tab w:val="num" w:pos="4680"/>
        </w:tabs>
        <w:ind w:left="4680" w:hanging="360"/>
      </w:pPr>
      <w:rPr>
        <w:rFonts w:ascii="Courier New" w:hAnsi="Courier New" w:cs="Courier New" w:hint="default"/>
      </w:rPr>
    </w:lvl>
    <w:lvl w:ilvl="5" w:tplc="0C090005">
      <w:start w:val="1"/>
      <w:numFmt w:val="bullet"/>
      <w:lvlText w:val=""/>
      <w:lvlJc w:val="left"/>
      <w:pPr>
        <w:tabs>
          <w:tab w:val="num" w:pos="5400"/>
        </w:tabs>
        <w:ind w:left="5400" w:hanging="360"/>
      </w:pPr>
      <w:rPr>
        <w:rFonts w:ascii="Wingdings" w:hAnsi="Wingdings" w:hint="default"/>
      </w:rPr>
    </w:lvl>
    <w:lvl w:ilvl="6" w:tplc="0C090001">
      <w:start w:val="1"/>
      <w:numFmt w:val="bullet"/>
      <w:lvlText w:val=""/>
      <w:lvlJc w:val="left"/>
      <w:pPr>
        <w:tabs>
          <w:tab w:val="num" w:pos="6120"/>
        </w:tabs>
        <w:ind w:left="6120" w:hanging="360"/>
      </w:pPr>
      <w:rPr>
        <w:rFonts w:ascii="Symbol" w:hAnsi="Symbol" w:hint="default"/>
      </w:rPr>
    </w:lvl>
    <w:lvl w:ilvl="7" w:tplc="0C090003">
      <w:start w:val="1"/>
      <w:numFmt w:val="bullet"/>
      <w:lvlText w:val="o"/>
      <w:lvlJc w:val="left"/>
      <w:pPr>
        <w:tabs>
          <w:tab w:val="num" w:pos="6840"/>
        </w:tabs>
        <w:ind w:left="6840" w:hanging="360"/>
      </w:pPr>
      <w:rPr>
        <w:rFonts w:ascii="Courier New" w:hAnsi="Courier New" w:cs="Courier New" w:hint="default"/>
      </w:rPr>
    </w:lvl>
    <w:lvl w:ilvl="8" w:tplc="0C090005">
      <w:start w:val="1"/>
      <w:numFmt w:val="bullet"/>
      <w:lvlText w:val=""/>
      <w:lvlJc w:val="left"/>
      <w:pPr>
        <w:tabs>
          <w:tab w:val="num" w:pos="7560"/>
        </w:tabs>
        <w:ind w:left="7560" w:hanging="360"/>
      </w:pPr>
      <w:rPr>
        <w:rFonts w:ascii="Wingdings" w:hAnsi="Wingdings" w:hint="default"/>
      </w:rPr>
    </w:lvl>
  </w:abstractNum>
  <w:abstractNum w:abstractNumId="47" w15:restartNumberingAfterBreak="0">
    <w:nsid w:val="58BE3EA7"/>
    <w:multiLevelType w:val="multilevel"/>
    <w:tmpl w:val="38CEB4AE"/>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5DD90ADD"/>
    <w:multiLevelType w:val="hybridMultilevel"/>
    <w:tmpl w:val="C25018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295399B"/>
    <w:multiLevelType w:val="hybridMultilevel"/>
    <w:tmpl w:val="74B256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668C4766"/>
    <w:multiLevelType w:val="hybridMultilevel"/>
    <w:tmpl w:val="B4BE56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8654606"/>
    <w:multiLevelType w:val="multilevel"/>
    <w:tmpl w:val="344A78A8"/>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B991F1C"/>
    <w:multiLevelType w:val="hybridMultilevel"/>
    <w:tmpl w:val="01927B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6DED6F2A"/>
    <w:multiLevelType w:val="hybridMultilevel"/>
    <w:tmpl w:val="4EE62F38"/>
    <w:lvl w:ilvl="0" w:tplc="D4B6CD64">
      <w:start w:val="1"/>
      <w:numFmt w:val="decimal"/>
      <w:lvlText w:val="%1."/>
      <w:lvlJc w:val="left"/>
      <w:pPr>
        <w:ind w:left="360" w:hanging="360"/>
      </w:pPr>
    </w:lvl>
    <w:lvl w:ilvl="1" w:tplc="F10CE8D4">
      <w:start w:val="1"/>
      <w:numFmt w:val="lowerLetter"/>
      <w:lvlText w:val="(%2)"/>
      <w:lvlJc w:val="left"/>
      <w:pPr>
        <w:ind w:left="1080" w:hanging="360"/>
      </w:pPr>
      <w:rPr>
        <w:rFonts w:hint="default"/>
      </w:rPr>
    </w:lvl>
    <w:lvl w:ilvl="2" w:tplc="AD3AFEBE">
      <w:start w:val="1"/>
      <w:numFmt w:val="lowerRoman"/>
      <w:lvlText w:val="%3."/>
      <w:lvlJc w:val="right"/>
      <w:pPr>
        <w:ind w:left="1800" w:hanging="180"/>
      </w:pPr>
    </w:lvl>
    <w:lvl w:ilvl="3" w:tplc="6736F614" w:tentative="1">
      <w:start w:val="1"/>
      <w:numFmt w:val="decimal"/>
      <w:lvlText w:val="%4."/>
      <w:lvlJc w:val="left"/>
      <w:pPr>
        <w:ind w:left="2520" w:hanging="360"/>
      </w:pPr>
    </w:lvl>
    <w:lvl w:ilvl="4" w:tplc="FE9AEEA8" w:tentative="1">
      <w:start w:val="1"/>
      <w:numFmt w:val="lowerLetter"/>
      <w:lvlText w:val="%5."/>
      <w:lvlJc w:val="left"/>
      <w:pPr>
        <w:ind w:left="3240" w:hanging="360"/>
      </w:pPr>
    </w:lvl>
    <w:lvl w:ilvl="5" w:tplc="2D66F7EE" w:tentative="1">
      <w:start w:val="1"/>
      <w:numFmt w:val="lowerRoman"/>
      <w:lvlText w:val="%6."/>
      <w:lvlJc w:val="right"/>
      <w:pPr>
        <w:ind w:left="3960" w:hanging="180"/>
      </w:pPr>
    </w:lvl>
    <w:lvl w:ilvl="6" w:tplc="00481174" w:tentative="1">
      <w:start w:val="1"/>
      <w:numFmt w:val="decimal"/>
      <w:lvlText w:val="%7."/>
      <w:lvlJc w:val="left"/>
      <w:pPr>
        <w:ind w:left="4680" w:hanging="360"/>
      </w:pPr>
    </w:lvl>
    <w:lvl w:ilvl="7" w:tplc="0426718A" w:tentative="1">
      <w:start w:val="1"/>
      <w:numFmt w:val="lowerLetter"/>
      <w:lvlText w:val="%8."/>
      <w:lvlJc w:val="left"/>
      <w:pPr>
        <w:ind w:left="5400" w:hanging="360"/>
      </w:pPr>
    </w:lvl>
    <w:lvl w:ilvl="8" w:tplc="4516D33C" w:tentative="1">
      <w:start w:val="1"/>
      <w:numFmt w:val="lowerRoman"/>
      <w:lvlText w:val="%9."/>
      <w:lvlJc w:val="right"/>
      <w:pPr>
        <w:ind w:left="6120" w:hanging="180"/>
      </w:pPr>
    </w:lvl>
  </w:abstractNum>
  <w:abstractNum w:abstractNumId="54" w15:restartNumberingAfterBreak="0">
    <w:nsid w:val="730D7EC4"/>
    <w:multiLevelType w:val="multilevel"/>
    <w:tmpl w:val="529CBF24"/>
    <w:name w:val="StandardNumberedList"/>
    <w:lvl w:ilvl="0">
      <w:start w:val="1"/>
      <w:numFmt w:val="decimal"/>
      <w:lvlText w:val="%1."/>
      <w:lvlJc w:val="left"/>
      <w:pPr>
        <w:tabs>
          <w:tab w:val="num" w:pos="520"/>
        </w:tabs>
        <w:ind w:left="520" w:hanging="520"/>
      </w:pPr>
      <w:rPr>
        <w:rFonts w:hint="default"/>
      </w:rPr>
    </w:lvl>
    <w:lvl w:ilvl="1">
      <w:start w:val="1"/>
      <w:numFmt w:val="decimal"/>
      <w:lvlText w:val="%1.%2."/>
      <w:lvlJc w:val="left"/>
      <w:pPr>
        <w:tabs>
          <w:tab w:val="num" w:pos="1040"/>
        </w:tabs>
        <w:ind w:left="1040" w:hanging="520"/>
      </w:pPr>
      <w:rPr>
        <w:rFonts w:hint="default"/>
      </w:rPr>
    </w:lvl>
    <w:lvl w:ilvl="2">
      <w:start w:val="1"/>
      <w:numFmt w:val="decimal"/>
      <w:lvlText w:val="%1.%2.%3."/>
      <w:lvlJc w:val="left"/>
      <w:pPr>
        <w:tabs>
          <w:tab w:val="num" w:pos="1560"/>
        </w:tabs>
        <w:ind w:left="1560" w:hanging="52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737B195A"/>
    <w:multiLevelType w:val="hybridMultilevel"/>
    <w:tmpl w:val="FE0008D8"/>
    <w:lvl w:ilvl="0" w:tplc="4510E54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3C05B93"/>
    <w:multiLevelType w:val="hybridMultilevel"/>
    <w:tmpl w:val="EE8AE016"/>
    <w:lvl w:ilvl="0" w:tplc="4C2C912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51B546B"/>
    <w:multiLevelType w:val="hybridMultilevel"/>
    <w:tmpl w:val="E8D61E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6F26231"/>
    <w:multiLevelType w:val="hybridMultilevel"/>
    <w:tmpl w:val="E8627772"/>
    <w:lvl w:ilvl="0" w:tplc="353A775A">
      <w:start w:val="1"/>
      <w:numFmt w:val="bullet"/>
      <w:pStyle w:val="CABBulletList"/>
      <w:lvlText w:val=""/>
      <w:lvlJc w:val="left"/>
      <w:pPr>
        <w:ind w:left="242" w:hanging="284"/>
      </w:pPr>
      <w:rPr>
        <w:rFonts w:ascii="Symbol" w:hAnsi="Symbol" w:hint="default"/>
        <w:color w:val="002C47" w:themeColor="accent1"/>
      </w:rPr>
    </w:lvl>
    <w:lvl w:ilvl="1" w:tplc="46466756" w:tentative="1">
      <w:start w:val="1"/>
      <w:numFmt w:val="bullet"/>
      <w:lvlText w:val="o"/>
      <w:lvlJc w:val="left"/>
      <w:pPr>
        <w:ind w:left="1398" w:hanging="360"/>
      </w:pPr>
      <w:rPr>
        <w:rFonts w:ascii="Courier New" w:hAnsi="Courier New" w:hint="default"/>
      </w:rPr>
    </w:lvl>
    <w:lvl w:ilvl="2" w:tplc="D2A21A14" w:tentative="1">
      <w:start w:val="1"/>
      <w:numFmt w:val="bullet"/>
      <w:lvlText w:val=""/>
      <w:lvlJc w:val="left"/>
      <w:pPr>
        <w:ind w:left="2118" w:hanging="360"/>
      </w:pPr>
      <w:rPr>
        <w:rFonts w:ascii="Wingdings" w:hAnsi="Wingdings" w:hint="default"/>
      </w:rPr>
    </w:lvl>
    <w:lvl w:ilvl="3" w:tplc="B45008D0" w:tentative="1">
      <w:start w:val="1"/>
      <w:numFmt w:val="bullet"/>
      <w:lvlText w:val=""/>
      <w:lvlJc w:val="left"/>
      <w:pPr>
        <w:ind w:left="2838" w:hanging="360"/>
      </w:pPr>
      <w:rPr>
        <w:rFonts w:ascii="Symbol" w:hAnsi="Symbol" w:hint="default"/>
      </w:rPr>
    </w:lvl>
    <w:lvl w:ilvl="4" w:tplc="6CB86666" w:tentative="1">
      <w:start w:val="1"/>
      <w:numFmt w:val="bullet"/>
      <w:lvlText w:val="o"/>
      <w:lvlJc w:val="left"/>
      <w:pPr>
        <w:ind w:left="3558" w:hanging="360"/>
      </w:pPr>
      <w:rPr>
        <w:rFonts w:ascii="Courier New" w:hAnsi="Courier New" w:hint="default"/>
      </w:rPr>
    </w:lvl>
    <w:lvl w:ilvl="5" w:tplc="DA381E0C" w:tentative="1">
      <w:start w:val="1"/>
      <w:numFmt w:val="bullet"/>
      <w:lvlText w:val=""/>
      <w:lvlJc w:val="left"/>
      <w:pPr>
        <w:ind w:left="4278" w:hanging="360"/>
      </w:pPr>
      <w:rPr>
        <w:rFonts w:ascii="Wingdings" w:hAnsi="Wingdings" w:hint="default"/>
      </w:rPr>
    </w:lvl>
    <w:lvl w:ilvl="6" w:tplc="09C8B462" w:tentative="1">
      <w:start w:val="1"/>
      <w:numFmt w:val="bullet"/>
      <w:lvlText w:val=""/>
      <w:lvlJc w:val="left"/>
      <w:pPr>
        <w:ind w:left="4998" w:hanging="360"/>
      </w:pPr>
      <w:rPr>
        <w:rFonts w:ascii="Symbol" w:hAnsi="Symbol" w:hint="default"/>
      </w:rPr>
    </w:lvl>
    <w:lvl w:ilvl="7" w:tplc="AC967F74" w:tentative="1">
      <w:start w:val="1"/>
      <w:numFmt w:val="bullet"/>
      <w:lvlText w:val="o"/>
      <w:lvlJc w:val="left"/>
      <w:pPr>
        <w:ind w:left="5718" w:hanging="360"/>
      </w:pPr>
      <w:rPr>
        <w:rFonts w:ascii="Courier New" w:hAnsi="Courier New" w:hint="default"/>
      </w:rPr>
    </w:lvl>
    <w:lvl w:ilvl="8" w:tplc="0DCCB8C8" w:tentative="1">
      <w:start w:val="1"/>
      <w:numFmt w:val="bullet"/>
      <w:lvlText w:val=""/>
      <w:lvlJc w:val="left"/>
      <w:pPr>
        <w:ind w:left="6438" w:hanging="360"/>
      </w:pPr>
      <w:rPr>
        <w:rFonts w:ascii="Wingdings" w:hAnsi="Wingdings" w:hint="default"/>
      </w:rPr>
    </w:lvl>
  </w:abstractNum>
  <w:abstractNum w:abstractNumId="59" w15:restartNumberingAfterBreak="0">
    <w:nsid w:val="773A32BF"/>
    <w:multiLevelType w:val="multilevel"/>
    <w:tmpl w:val="27CC14B8"/>
    <w:lvl w:ilvl="0">
      <w:start w:val="1"/>
      <w:numFmt w:val="decimal"/>
      <w:lvlText w:val="%1."/>
      <w:lvlJc w:val="left"/>
      <w:pPr>
        <w:tabs>
          <w:tab w:val="num" w:pos="520"/>
        </w:tabs>
        <w:ind w:left="520" w:hanging="520"/>
      </w:pPr>
      <w:rPr>
        <w:rFonts w:hint="default"/>
      </w:rPr>
    </w:lvl>
    <w:lvl w:ilvl="1">
      <w:start w:val="1"/>
      <w:numFmt w:val="decimal"/>
      <w:lvlText w:val="%1.%2."/>
      <w:lvlJc w:val="left"/>
      <w:pPr>
        <w:tabs>
          <w:tab w:val="num" w:pos="992"/>
        </w:tabs>
        <w:ind w:left="992" w:hanging="472"/>
      </w:pPr>
      <w:rPr>
        <w:rFonts w:hint="default"/>
      </w:rPr>
    </w:lvl>
    <w:lvl w:ilvl="2">
      <w:start w:val="1"/>
      <w:numFmt w:val="decimal"/>
      <w:lvlText w:val="%1.%2.%3."/>
      <w:lvlJc w:val="left"/>
      <w:pPr>
        <w:tabs>
          <w:tab w:val="num" w:pos="1464"/>
        </w:tabs>
        <w:ind w:left="1464" w:hanging="472"/>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7B0705EC"/>
    <w:multiLevelType w:val="multilevel"/>
    <w:tmpl w:val="D82A5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22"/>
  </w:num>
  <w:num w:numId="2">
    <w:abstractNumId w:val="1"/>
  </w:num>
  <w:num w:numId="3">
    <w:abstractNumId w:val="26"/>
  </w:num>
  <w:num w:numId="4">
    <w:abstractNumId w:val="5"/>
  </w:num>
  <w:num w:numId="5">
    <w:abstractNumId w:val="11"/>
  </w:num>
  <w:num w:numId="6">
    <w:abstractNumId w:val="24"/>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abstractNumId w:val="58"/>
  </w:num>
  <w:num w:numId="8">
    <w:abstractNumId w:val="44"/>
  </w:num>
  <w:num w:numId="9">
    <w:abstractNumId w:val="39"/>
  </w:num>
  <w:num w:numId="10">
    <w:abstractNumId w:val="15"/>
  </w:num>
  <w:num w:numId="11">
    <w:abstractNumId w:val="51"/>
  </w:num>
  <w:num w:numId="12">
    <w:abstractNumId w:val="45"/>
  </w:num>
  <w:num w:numId="13">
    <w:abstractNumId w:val="23"/>
  </w:num>
  <w:num w:numId="14">
    <w:abstractNumId w:val="20"/>
  </w:num>
  <w:num w:numId="15">
    <w:abstractNumId w:val="30"/>
  </w:num>
  <w:num w:numId="16">
    <w:abstractNumId w:val="54"/>
  </w:num>
  <w:num w:numId="17">
    <w:abstractNumId w:val="40"/>
  </w:num>
  <w:num w:numId="18">
    <w:abstractNumId w:val="29"/>
  </w:num>
  <w:num w:numId="19">
    <w:abstractNumId w:val="13"/>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0">
    <w:abstractNumId w:val="17"/>
  </w:num>
  <w:num w:numId="21">
    <w:abstractNumId w:val="36"/>
  </w:num>
  <w:num w:numId="22">
    <w:abstractNumId w:val="56"/>
  </w:num>
  <w:num w:numId="23">
    <w:abstractNumId w:val="35"/>
  </w:num>
  <w:num w:numId="24">
    <w:abstractNumId w:val="4"/>
  </w:num>
  <w:num w:numId="25">
    <w:abstractNumId w:val="60"/>
  </w:num>
  <w:num w:numId="26">
    <w:abstractNumId w:val="53"/>
  </w:num>
  <w:num w:numId="27">
    <w:abstractNumId w:val="28"/>
  </w:num>
  <w:num w:numId="28">
    <w:abstractNumId w:val="8"/>
  </w:num>
  <w:num w:numId="29">
    <w:abstractNumId w:val="2"/>
  </w:num>
  <w:num w:numId="30">
    <w:abstractNumId w:val="37"/>
  </w:num>
  <w:num w:numId="31">
    <w:abstractNumId w:val="19"/>
  </w:num>
  <w:num w:numId="32">
    <w:abstractNumId w:val="27"/>
  </w:num>
  <w:num w:numId="33">
    <w:abstractNumId w:val="31"/>
  </w:num>
  <w:num w:numId="34">
    <w:abstractNumId w:val="42"/>
  </w:num>
  <w:num w:numId="35">
    <w:abstractNumId w:val="14"/>
  </w:num>
  <w:num w:numId="36">
    <w:abstractNumId w:val="34"/>
  </w:num>
  <w:num w:numId="37">
    <w:abstractNumId w:val="52"/>
  </w:num>
  <w:num w:numId="38">
    <w:abstractNumId w:val="52"/>
  </w:num>
  <w:num w:numId="39">
    <w:abstractNumId w:val="21"/>
    <w:lvlOverride w:ilvl="0">
      <w:startOverride w:val="1"/>
    </w:lvlOverride>
    <w:lvlOverride w:ilvl="1"/>
    <w:lvlOverride w:ilvl="2"/>
    <w:lvlOverride w:ilvl="3"/>
    <w:lvlOverride w:ilvl="4"/>
    <w:lvlOverride w:ilvl="5"/>
    <w:lvlOverride w:ilvl="6"/>
    <w:lvlOverride w:ilvl="7"/>
    <w:lvlOverride w:ilvl="8"/>
  </w:num>
  <w:num w:numId="40">
    <w:abstractNumId w:val="46"/>
  </w:num>
  <w:num w:numId="41">
    <w:abstractNumId w:val="33"/>
  </w:num>
  <w:num w:numId="42">
    <w:abstractNumId w:val="38"/>
  </w:num>
  <w:num w:numId="43">
    <w:abstractNumId w:val="21"/>
    <w:lvlOverride w:ilvl="0">
      <w:startOverride w:val="1"/>
    </w:lvlOverride>
    <w:lvlOverride w:ilvl="1"/>
    <w:lvlOverride w:ilvl="2"/>
    <w:lvlOverride w:ilvl="3"/>
    <w:lvlOverride w:ilvl="4"/>
    <w:lvlOverride w:ilvl="5"/>
    <w:lvlOverride w:ilvl="6"/>
    <w:lvlOverride w:ilvl="7"/>
    <w:lvlOverride w:ilvl="8"/>
  </w:num>
  <w:num w:numId="44">
    <w:abstractNumId w:val="46"/>
  </w:num>
  <w:num w:numId="45">
    <w:abstractNumId w:val="41"/>
  </w:num>
  <w:num w:numId="46">
    <w:abstractNumId w:val="48"/>
  </w:num>
  <w:num w:numId="47">
    <w:abstractNumId w:val="10"/>
  </w:num>
  <w:num w:numId="48">
    <w:abstractNumId w:val="49"/>
  </w:num>
  <w:num w:numId="49">
    <w:abstractNumId w:val="51"/>
  </w:num>
  <w:num w:numId="50">
    <w:abstractNumId w:val="51"/>
  </w:num>
  <w:num w:numId="51">
    <w:abstractNumId w:val="51"/>
  </w:num>
  <w:num w:numId="52">
    <w:abstractNumId w:val="47"/>
  </w:num>
  <w:num w:numId="53">
    <w:abstractNumId w:val="0"/>
  </w:num>
  <w:num w:numId="54">
    <w:abstractNumId w:val="9"/>
  </w:num>
  <w:num w:numId="55">
    <w:abstractNumId w:val="57"/>
  </w:num>
  <w:num w:numId="56">
    <w:abstractNumId w:val="6"/>
  </w:num>
  <w:num w:numId="57">
    <w:abstractNumId w:val="3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2"/>
  </w:num>
  <w:num w:numId="60">
    <w:abstractNumId w:val="55"/>
  </w:num>
  <w:num w:numId="61">
    <w:abstractNumId w:val="43"/>
  </w:num>
  <w:num w:numId="62">
    <w:abstractNumId w:val="59"/>
  </w:num>
  <w:num w:numId="63">
    <w:abstractNumId w:val="50"/>
  </w:num>
  <w:num w:numId="64">
    <w:abstractNumId w:val="7"/>
  </w:num>
  <w:num w:numId="6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num>
  <w:num w:numId="67">
    <w:abstractNumId w:val="3"/>
  </w:num>
  <w:num w:numId="68">
    <w:abstractNumId w:val="18"/>
  </w:num>
  <w:num w:numId="69">
    <w:abstractNumId w:val="61"/>
  </w:num>
  <w:num w:numId="70">
    <w:abstractNumId w:val="2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D6E"/>
    <w:rsid w:val="00000DAA"/>
    <w:rsid w:val="00001310"/>
    <w:rsid w:val="00001659"/>
    <w:rsid w:val="000019C0"/>
    <w:rsid w:val="00001B13"/>
    <w:rsid w:val="00002C14"/>
    <w:rsid w:val="00002F07"/>
    <w:rsid w:val="00003A4C"/>
    <w:rsid w:val="00003B60"/>
    <w:rsid w:val="00003CAD"/>
    <w:rsid w:val="0000405F"/>
    <w:rsid w:val="00004226"/>
    <w:rsid w:val="00004A4C"/>
    <w:rsid w:val="00004AA9"/>
    <w:rsid w:val="00004AC2"/>
    <w:rsid w:val="00005611"/>
    <w:rsid w:val="00005689"/>
    <w:rsid w:val="00005E11"/>
    <w:rsid w:val="00006C60"/>
    <w:rsid w:val="00007041"/>
    <w:rsid w:val="00007EC2"/>
    <w:rsid w:val="000103D2"/>
    <w:rsid w:val="0001091A"/>
    <w:rsid w:val="00011725"/>
    <w:rsid w:val="00011D47"/>
    <w:rsid w:val="00012771"/>
    <w:rsid w:val="00012AFB"/>
    <w:rsid w:val="00012C62"/>
    <w:rsid w:val="00012DB6"/>
    <w:rsid w:val="00013D99"/>
    <w:rsid w:val="000147DF"/>
    <w:rsid w:val="0001514E"/>
    <w:rsid w:val="00017803"/>
    <w:rsid w:val="00020306"/>
    <w:rsid w:val="000207AD"/>
    <w:rsid w:val="00020FCE"/>
    <w:rsid w:val="000214BF"/>
    <w:rsid w:val="0002223A"/>
    <w:rsid w:val="00022253"/>
    <w:rsid w:val="000223E9"/>
    <w:rsid w:val="00023536"/>
    <w:rsid w:val="00024DED"/>
    <w:rsid w:val="00024E77"/>
    <w:rsid w:val="0002544D"/>
    <w:rsid w:val="00025DE3"/>
    <w:rsid w:val="00025E2B"/>
    <w:rsid w:val="00025FD8"/>
    <w:rsid w:val="0002603E"/>
    <w:rsid w:val="000268A9"/>
    <w:rsid w:val="00026976"/>
    <w:rsid w:val="00026DDF"/>
    <w:rsid w:val="000270AF"/>
    <w:rsid w:val="000270CE"/>
    <w:rsid w:val="00030948"/>
    <w:rsid w:val="00030C20"/>
    <w:rsid w:val="00031072"/>
    <w:rsid w:val="00031BC0"/>
    <w:rsid w:val="00033A18"/>
    <w:rsid w:val="00033AF2"/>
    <w:rsid w:val="00033CBB"/>
    <w:rsid w:val="00034420"/>
    <w:rsid w:val="00034591"/>
    <w:rsid w:val="000346FD"/>
    <w:rsid w:val="00034D6C"/>
    <w:rsid w:val="00035225"/>
    <w:rsid w:val="00035620"/>
    <w:rsid w:val="000357F4"/>
    <w:rsid w:val="00035936"/>
    <w:rsid w:val="000364E8"/>
    <w:rsid w:val="00036887"/>
    <w:rsid w:val="00036C4A"/>
    <w:rsid w:val="00037941"/>
    <w:rsid w:val="00037B42"/>
    <w:rsid w:val="00040DED"/>
    <w:rsid w:val="0004175F"/>
    <w:rsid w:val="00041A8B"/>
    <w:rsid w:val="00041E88"/>
    <w:rsid w:val="00042230"/>
    <w:rsid w:val="0004274D"/>
    <w:rsid w:val="000427DB"/>
    <w:rsid w:val="000438D4"/>
    <w:rsid w:val="00043C5C"/>
    <w:rsid w:val="00043DE1"/>
    <w:rsid w:val="000446A1"/>
    <w:rsid w:val="00044C0A"/>
    <w:rsid w:val="00044E48"/>
    <w:rsid w:val="00045EE0"/>
    <w:rsid w:val="00047477"/>
    <w:rsid w:val="00047BC7"/>
    <w:rsid w:val="000501C0"/>
    <w:rsid w:val="00052DA6"/>
    <w:rsid w:val="00053152"/>
    <w:rsid w:val="00053825"/>
    <w:rsid w:val="00054DC2"/>
    <w:rsid w:val="00055048"/>
    <w:rsid w:val="000551CE"/>
    <w:rsid w:val="000553AB"/>
    <w:rsid w:val="00055EFD"/>
    <w:rsid w:val="00056880"/>
    <w:rsid w:val="00056A4E"/>
    <w:rsid w:val="00057009"/>
    <w:rsid w:val="000576C7"/>
    <w:rsid w:val="00060088"/>
    <w:rsid w:val="00060973"/>
    <w:rsid w:val="0006104B"/>
    <w:rsid w:val="0006162F"/>
    <w:rsid w:val="00062CBF"/>
    <w:rsid w:val="000630C4"/>
    <w:rsid w:val="0006352C"/>
    <w:rsid w:val="000645DD"/>
    <w:rsid w:val="000648BA"/>
    <w:rsid w:val="000650D8"/>
    <w:rsid w:val="0006599A"/>
    <w:rsid w:val="00065A07"/>
    <w:rsid w:val="00065F1A"/>
    <w:rsid w:val="000660ED"/>
    <w:rsid w:val="0006679B"/>
    <w:rsid w:val="000675D1"/>
    <w:rsid w:val="000675F9"/>
    <w:rsid w:val="00067FBE"/>
    <w:rsid w:val="00070BD7"/>
    <w:rsid w:val="0007102C"/>
    <w:rsid w:val="00071386"/>
    <w:rsid w:val="000714C1"/>
    <w:rsid w:val="00072352"/>
    <w:rsid w:val="00072767"/>
    <w:rsid w:val="00072A09"/>
    <w:rsid w:val="000730CA"/>
    <w:rsid w:val="00073521"/>
    <w:rsid w:val="000738D2"/>
    <w:rsid w:val="0007404A"/>
    <w:rsid w:val="00074E43"/>
    <w:rsid w:val="000750F7"/>
    <w:rsid w:val="000754D8"/>
    <w:rsid w:val="00076054"/>
    <w:rsid w:val="0007627F"/>
    <w:rsid w:val="000763ED"/>
    <w:rsid w:val="00076ABE"/>
    <w:rsid w:val="000775DE"/>
    <w:rsid w:val="00080CAF"/>
    <w:rsid w:val="00080F0E"/>
    <w:rsid w:val="000816D1"/>
    <w:rsid w:val="0008183B"/>
    <w:rsid w:val="00081922"/>
    <w:rsid w:val="00082753"/>
    <w:rsid w:val="00082EE9"/>
    <w:rsid w:val="00083AAB"/>
    <w:rsid w:val="00083E38"/>
    <w:rsid w:val="00084B72"/>
    <w:rsid w:val="000858F2"/>
    <w:rsid w:val="00085F01"/>
    <w:rsid w:val="00086452"/>
    <w:rsid w:val="00086901"/>
    <w:rsid w:val="00086EBA"/>
    <w:rsid w:val="000870C0"/>
    <w:rsid w:val="000870FB"/>
    <w:rsid w:val="000875FD"/>
    <w:rsid w:val="0008796D"/>
    <w:rsid w:val="00087FAF"/>
    <w:rsid w:val="0009031E"/>
    <w:rsid w:val="00090EFE"/>
    <w:rsid w:val="00091351"/>
    <w:rsid w:val="00091F9E"/>
    <w:rsid w:val="000926E3"/>
    <w:rsid w:val="00092765"/>
    <w:rsid w:val="00092B14"/>
    <w:rsid w:val="00093F70"/>
    <w:rsid w:val="00095D26"/>
    <w:rsid w:val="000971A0"/>
    <w:rsid w:val="00097D52"/>
    <w:rsid w:val="000A01A2"/>
    <w:rsid w:val="000A0DD6"/>
    <w:rsid w:val="000A112C"/>
    <w:rsid w:val="000A1898"/>
    <w:rsid w:val="000A24C7"/>
    <w:rsid w:val="000A328F"/>
    <w:rsid w:val="000A3802"/>
    <w:rsid w:val="000A3969"/>
    <w:rsid w:val="000A46A6"/>
    <w:rsid w:val="000A492A"/>
    <w:rsid w:val="000A4B2F"/>
    <w:rsid w:val="000A4EDD"/>
    <w:rsid w:val="000A51BC"/>
    <w:rsid w:val="000A5319"/>
    <w:rsid w:val="000A5B53"/>
    <w:rsid w:val="000A5BBC"/>
    <w:rsid w:val="000A5F5A"/>
    <w:rsid w:val="000A6A5E"/>
    <w:rsid w:val="000A6C39"/>
    <w:rsid w:val="000A7359"/>
    <w:rsid w:val="000A7844"/>
    <w:rsid w:val="000A7F3A"/>
    <w:rsid w:val="000A7FC3"/>
    <w:rsid w:val="000B1182"/>
    <w:rsid w:val="000B1674"/>
    <w:rsid w:val="000B23C4"/>
    <w:rsid w:val="000B25DE"/>
    <w:rsid w:val="000B35D1"/>
    <w:rsid w:val="000B37A4"/>
    <w:rsid w:val="000B3B34"/>
    <w:rsid w:val="000B3DB1"/>
    <w:rsid w:val="000B47E1"/>
    <w:rsid w:val="000B49C7"/>
    <w:rsid w:val="000B5BD0"/>
    <w:rsid w:val="000B78BF"/>
    <w:rsid w:val="000B7B54"/>
    <w:rsid w:val="000C0879"/>
    <w:rsid w:val="000C0BD5"/>
    <w:rsid w:val="000C11D4"/>
    <w:rsid w:val="000C13D7"/>
    <w:rsid w:val="000C1839"/>
    <w:rsid w:val="000C1ACE"/>
    <w:rsid w:val="000C29A0"/>
    <w:rsid w:val="000C3883"/>
    <w:rsid w:val="000C4617"/>
    <w:rsid w:val="000C51DA"/>
    <w:rsid w:val="000C573C"/>
    <w:rsid w:val="000C5F40"/>
    <w:rsid w:val="000C5FF0"/>
    <w:rsid w:val="000C647A"/>
    <w:rsid w:val="000C6614"/>
    <w:rsid w:val="000C6AEB"/>
    <w:rsid w:val="000C74BD"/>
    <w:rsid w:val="000C7747"/>
    <w:rsid w:val="000C7EDF"/>
    <w:rsid w:val="000D000D"/>
    <w:rsid w:val="000D046D"/>
    <w:rsid w:val="000D0BDB"/>
    <w:rsid w:val="000D1308"/>
    <w:rsid w:val="000D1467"/>
    <w:rsid w:val="000D146C"/>
    <w:rsid w:val="000D1474"/>
    <w:rsid w:val="000D1D47"/>
    <w:rsid w:val="000D1F29"/>
    <w:rsid w:val="000D1FB8"/>
    <w:rsid w:val="000D20E3"/>
    <w:rsid w:val="000D365D"/>
    <w:rsid w:val="000D38ED"/>
    <w:rsid w:val="000D3E02"/>
    <w:rsid w:val="000D427B"/>
    <w:rsid w:val="000D55F1"/>
    <w:rsid w:val="000D61B7"/>
    <w:rsid w:val="000D6B82"/>
    <w:rsid w:val="000D7AA6"/>
    <w:rsid w:val="000D7EB6"/>
    <w:rsid w:val="000E078F"/>
    <w:rsid w:val="000E0B2C"/>
    <w:rsid w:val="000E0B74"/>
    <w:rsid w:val="000E1A15"/>
    <w:rsid w:val="000E2C6E"/>
    <w:rsid w:val="000E324F"/>
    <w:rsid w:val="000E392E"/>
    <w:rsid w:val="000E4310"/>
    <w:rsid w:val="000E5940"/>
    <w:rsid w:val="000E5A66"/>
    <w:rsid w:val="000E5BF3"/>
    <w:rsid w:val="000E5C76"/>
    <w:rsid w:val="000E6092"/>
    <w:rsid w:val="000E61B8"/>
    <w:rsid w:val="000E69E9"/>
    <w:rsid w:val="000E7397"/>
    <w:rsid w:val="000F01FB"/>
    <w:rsid w:val="000F072F"/>
    <w:rsid w:val="000F0BF8"/>
    <w:rsid w:val="000F2919"/>
    <w:rsid w:val="000F2A81"/>
    <w:rsid w:val="000F36EC"/>
    <w:rsid w:val="000F3CDA"/>
    <w:rsid w:val="000F43F6"/>
    <w:rsid w:val="000F494E"/>
    <w:rsid w:val="000F4A8C"/>
    <w:rsid w:val="000F5C29"/>
    <w:rsid w:val="000F6620"/>
    <w:rsid w:val="000F71D8"/>
    <w:rsid w:val="000F7517"/>
    <w:rsid w:val="0010039B"/>
    <w:rsid w:val="00101157"/>
    <w:rsid w:val="00101522"/>
    <w:rsid w:val="00102E6C"/>
    <w:rsid w:val="00102F07"/>
    <w:rsid w:val="00102FA4"/>
    <w:rsid w:val="00103061"/>
    <w:rsid w:val="00104087"/>
    <w:rsid w:val="001048D8"/>
    <w:rsid w:val="00104FB6"/>
    <w:rsid w:val="0010520E"/>
    <w:rsid w:val="00105C92"/>
    <w:rsid w:val="00105F12"/>
    <w:rsid w:val="0010616D"/>
    <w:rsid w:val="0010665A"/>
    <w:rsid w:val="001066B2"/>
    <w:rsid w:val="00106A79"/>
    <w:rsid w:val="0010706E"/>
    <w:rsid w:val="00107576"/>
    <w:rsid w:val="00107626"/>
    <w:rsid w:val="00107CFE"/>
    <w:rsid w:val="00107E66"/>
    <w:rsid w:val="00110232"/>
    <w:rsid w:val="00110A4C"/>
    <w:rsid w:val="001115FA"/>
    <w:rsid w:val="00111EC5"/>
    <w:rsid w:val="0011264D"/>
    <w:rsid w:val="00112709"/>
    <w:rsid w:val="0011391D"/>
    <w:rsid w:val="00114723"/>
    <w:rsid w:val="00114BB4"/>
    <w:rsid w:val="00115002"/>
    <w:rsid w:val="00115749"/>
    <w:rsid w:val="00115A53"/>
    <w:rsid w:val="00115CF4"/>
    <w:rsid w:val="00116185"/>
    <w:rsid w:val="0011655C"/>
    <w:rsid w:val="001169CB"/>
    <w:rsid w:val="00117325"/>
    <w:rsid w:val="00120A9D"/>
    <w:rsid w:val="00121190"/>
    <w:rsid w:val="00121AE9"/>
    <w:rsid w:val="00121FA3"/>
    <w:rsid w:val="00122947"/>
    <w:rsid w:val="00122CF3"/>
    <w:rsid w:val="00122DF4"/>
    <w:rsid w:val="0012308A"/>
    <w:rsid w:val="00123FB4"/>
    <w:rsid w:val="0012402C"/>
    <w:rsid w:val="001258AF"/>
    <w:rsid w:val="001259CD"/>
    <w:rsid w:val="00125E98"/>
    <w:rsid w:val="0012664D"/>
    <w:rsid w:val="0012674A"/>
    <w:rsid w:val="00126D5F"/>
    <w:rsid w:val="00126E11"/>
    <w:rsid w:val="00126F8B"/>
    <w:rsid w:val="00127D47"/>
    <w:rsid w:val="00127F9E"/>
    <w:rsid w:val="001300F3"/>
    <w:rsid w:val="001303D6"/>
    <w:rsid w:val="00130FDB"/>
    <w:rsid w:val="00131781"/>
    <w:rsid w:val="0013234C"/>
    <w:rsid w:val="001339E4"/>
    <w:rsid w:val="00134079"/>
    <w:rsid w:val="0013440E"/>
    <w:rsid w:val="00134466"/>
    <w:rsid w:val="0013479C"/>
    <w:rsid w:val="00135EB8"/>
    <w:rsid w:val="001360C0"/>
    <w:rsid w:val="0013678F"/>
    <w:rsid w:val="00136C72"/>
    <w:rsid w:val="00137A51"/>
    <w:rsid w:val="00137E53"/>
    <w:rsid w:val="00140477"/>
    <w:rsid w:val="0014091C"/>
    <w:rsid w:val="00141D98"/>
    <w:rsid w:val="00141DE6"/>
    <w:rsid w:val="00142AF5"/>
    <w:rsid w:val="00143244"/>
    <w:rsid w:val="00143839"/>
    <w:rsid w:val="00143E0B"/>
    <w:rsid w:val="00144017"/>
    <w:rsid w:val="00144425"/>
    <w:rsid w:val="00144820"/>
    <w:rsid w:val="00145A40"/>
    <w:rsid w:val="00145C86"/>
    <w:rsid w:val="00146A10"/>
    <w:rsid w:val="00146C47"/>
    <w:rsid w:val="00147B77"/>
    <w:rsid w:val="00147C09"/>
    <w:rsid w:val="00147CD7"/>
    <w:rsid w:val="00150786"/>
    <w:rsid w:val="001512C7"/>
    <w:rsid w:val="00151DBD"/>
    <w:rsid w:val="00151E24"/>
    <w:rsid w:val="001528D9"/>
    <w:rsid w:val="001529D8"/>
    <w:rsid w:val="00153C86"/>
    <w:rsid w:val="00154630"/>
    <w:rsid w:val="00154D31"/>
    <w:rsid w:val="00156B75"/>
    <w:rsid w:val="00156BDE"/>
    <w:rsid w:val="00156C60"/>
    <w:rsid w:val="0015701A"/>
    <w:rsid w:val="001605DD"/>
    <w:rsid w:val="001606CF"/>
    <w:rsid w:val="00160785"/>
    <w:rsid w:val="0016128D"/>
    <w:rsid w:val="001613E1"/>
    <w:rsid w:val="00161859"/>
    <w:rsid w:val="00161B3A"/>
    <w:rsid w:val="00162813"/>
    <w:rsid w:val="001628C9"/>
    <w:rsid w:val="00162CDC"/>
    <w:rsid w:val="00163076"/>
    <w:rsid w:val="001630E8"/>
    <w:rsid w:val="0016320A"/>
    <w:rsid w:val="00163AC2"/>
    <w:rsid w:val="001642C1"/>
    <w:rsid w:val="00164316"/>
    <w:rsid w:val="0016587D"/>
    <w:rsid w:val="0016747E"/>
    <w:rsid w:val="00167B05"/>
    <w:rsid w:val="00167D8D"/>
    <w:rsid w:val="0017019C"/>
    <w:rsid w:val="0017088F"/>
    <w:rsid w:val="0017089D"/>
    <w:rsid w:val="00170DB3"/>
    <w:rsid w:val="00170EEA"/>
    <w:rsid w:val="00171118"/>
    <w:rsid w:val="00171C51"/>
    <w:rsid w:val="00171DE3"/>
    <w:rsid w:val="001720C8"/>
    <w:rsid w:val="001729CC"/>
    <w:rsid w:val="00172DA8"/>
    <w:rsid w:val="00174D8C"/>
    <w:rsid w:val="00175034"/>
    <w:rsid w:val="001751EB"/>
    <w:rsid w:val="0017522B"/>
    <w:rsid w:val="0017526B"/>
    <w:rsid w:val="001755BB"/>
    <w:rsid w:val="00176555"/>
    <w:rsid w:val="001768E0"/>
    <w:rsid w:val="00176D4A"/>
    <w:rsid w:val="00177939"/>
    <w:rsid w:val="00181194"/>
    <w:rsid w:val="001811DC"/>
    <w:rsid w:val="00182338"/>
    <w:rsid w:val="00182DFF"/>
    <w:rsid w:val="00183525"/>
    <w:rsid w:val="001835E4"/>
    <w:rsid w:val="00184B6F"/>
    <w:rsid w:val="00184F2E"/>
    <w:rsid w:val="001860B7"/>
    <w:rsid w:val="00186651"/>
    <w:rsid w:val="001903F6"/>
    <w:rsid w:val="0019052B"/>
    <w:rsid w:val="00190DAF"/>
    <w:rsid w:val="00190EA3"/>
    <w:rsid w:val="0019101A"/>
    <w:rsid w:val="0019128A"/>
    <w:rsid w:val="00191FBE"/>
    <w:rsid w:val="001920DA"/>
    <w:rsid w:val="00192F35"/>
    <w:rsid w:val="00194484"/>
    <w:rsid w:val="00194FD6"/>
    <w:rsid w:val="0019528B"/>
    <w:rsid w:val="00195423"/>
    <w:rsid w:val="00195438"/>
    <w:rsid w:val="00196129"/>
    <w:rsid w:val="001961D6"/>
    <w:rsid w:val="001968A9"/>
    <w:rsid w:val="00196C40"/>
    <w:rsid w:val="001976E5"/>
    <w:rsid w:val="001A0E05"/>
    <w:rsid w:val="001A122C"/>
    <w:rsid w:val="001A126A"/>
    <w:rsid w:val="001A185C"/>
    <w:rsid w:val="001A2230"/>
    <w:rsid w:val="001A22A5"/>
    <w:rsid w:val="001A23CB"/>
    <w:rsid w:val="001A2B20"/>
    <w:rsid w:val="001A32C8"/>
    <w:rsid w:val="001A3D7C"/>
    <w:rsid w:val="001A59CD"/>
    <w:rsid w:val="001A5FF9"/>
    <w:rsid w:val="001A60F9"/>
    <w:rsid w:val="001A6260"/>
    <w:rsid w:val="001A73D6"/>
    <w:rsid w:val="001A7F95"/>
    <w:rsid w:val="001B08D8"/>
    <w:rsid w:val="001B09C2"/>
    <w:rsid w:val="001B1237"/>
    <w:rsid w:val="001B1242"/>
    <w:rsid w:val="001B12F2"/>
    <w:rsid w:val="001B185C"/>
    <w:rsid w:val="001B1F5D"/>
    <w:rsid w:val="001B33D3"/>
    <w:rsid w:val="001B3620"/>
    <w:rsid w:val="001B3AAC"/>
    <w:rsid w:val="001B3C5A"/>
    <w:rsid w:val="001B3DA0"/>
    <w:rsid w:val="001B4986"/>
    <w:rsid w:val="001B503F"/>
    <w:rsid w:val="001B5134"/>
    <w:rsid w:val="001B6044"/>
    <w:rsid w:val="001B6083"/>
    <w:rsid w:val="001B6921"/>
    <w:rsid w:val="001B6BB5"/>
    <w:rsid w:val="001B728F"/>
    <w:rsid w:val="001C05C3"/>
    <w:rsid w:val="001C0666"/>
    <w:rsid w:val="001C1CBF"/>
    <w:rsid w:val="001C2AC4"/>
    <w:rsid w:val="001C2F01"/>
    <w:rsid w:val="001C2F08"/>
    <w:rsid w:val="001C32FA"/>
    <w:rsid w:val="001C358D"/>
    <w:rsid w:val="001C4724"/>
    <w:rsid w:val="001C47FA"/>
    <w:rsid w:val="001C4F8C"/>
    <w:rsid w:val="001C6460"/>
    <w:rsid w:val="001C6FD7"/>
    <w:rsid w:val="001C793D"/>
    <w:rsid w:val="001C7C48"/>
    <w:rsid w:val="001D0FA9"/>
    <w:rsid w:val="001D1438"/>
    <w:rsid w:val="001D1881"/>
    <w:rsid w:val="001D1F8B"/>
    <w:rsid w:val="001D22FB"/>
    <w:rsid w:val="001D2792"/>
    <w:rsid w:val="001D3414"/>
    <w:rsid w:val="001D40FF"/>
    <w:rsid w:val="001D423F"/>
    <w:rsid w:val="001D488E"/>
    <w:rsid w:val="001D4EAA"/>
    <w:rsid w:val="001D5CFB"/>
    <w:rsid w:val="001D5DEB"/>
    <w:rsid w:val="001D6046"/>
    <w:rsid w:val="001D636F"/>
    <w:rsid w:val="001D67DF"/>
    <w:rsid w:val="001D68AF"/>
    <w:rsid w:val="001D6923"/>
    <w:rsid w:val="001D6A1D"/>
    <w:rsid w:val="001E0260"/>
    <w:rsid w:val="001E06B3"/>
    <w:rsid w:val="001E18F0"/>
    <w:rsid w:val="001E1D40"/>
    <w:rsid w:val="001E1DD6"/>
    <w:rsid w:val="001E20A5"/>
    <w:rsid w:val="001E3754"/>
    <w:rsid w:val="001E3C98"/>
    <w:rsid w:val="001E3C99"/>
    <w:rsid w:val="001E41BF"/>
    <w:rsid w:val="001E5890"/>
    <w:rsid w:val="001E5D1A"/>
    <w:rsid w:val="001E5D75"/>
    <w:rsid w:val="001E641E"/>
    <w:rsid w:val="001E72C0"/>
    <w:rsid w:val="001E7A26"/>
    <w:rsid w:val="001E7F2E"/>
    <w:rsid w:val="001F018F"/>
    <w:rsid w:val="001F0C87"/>
    <w:rsid w:val="001F2FD1"/>
    <w:rsid w:val="001F412F"/>
    <w:rsid w:val="001F45E6"/>
    <w:rsid w:val="001F45E7"/>
    <w:rsid w:val="001F46E6"/>
    <w:rsid w:val="001F48AE"/>
    <w:rsid w:val="001F57CE"/>
    <w:rsid w:val="001F601A"/>
    <w:rsid w:val="001F691C"/>
    <w:rsid w:val="001F7087"/>
    <w:rsid w:val="001F7DF1"/>
    <w:rsid w:val="001F7ED3"/>
    <w:rsid w:val="001F7F68"/>
    <w:rsid w:val="00200093"/>
    <w:rsid w:val="002002DF"/>
    <w:rsid w:val="00200C3F"/>
    <w:rsid w:val="00201424"/>
    <w:rsid w:val="002018F5"/>
    <w:rsid w:val="00201E53"/>
    <w:rsid w:val="00202176"/>
    <w:rsid w:val="002023BA"/>
    <w:rsid w:val="00202665"/>
    <w:rsid w:val="002028F7"/>
    <w:rsid w:val="00203547"/>
    <w:rsid w:val="002056E5"/>
    <w:rsid w:val="0020573E"/>
    <w:rsid w:val="00206B81"/>
    <w:rsid w:val="002075F4"/>
    <w:rsid w:val="00207A5D"/>
    <w:rsid w:val="002104E5"/>
    <w:rsid w:val="00210829"/>
    <w:rsid w:val="00210AB7"/>
    <w:rsid w:val="00211449"/>
    <w:rsid w:val="00211B0B"/>
    <w:rsid w:val="0021244E"/>
    <w:rsid w:val="00212FEC"/>
    <w:rsid w:val="00213463"/>
    <w:rsid w:val="002135D2"/>
    <w:rsid w:val="0021377D"/>
    <w:rsid w:val="00213BB5"/>
    <w:rsid w:val="00214367"/>
    <w:rsid w:val="002149C1"/>
    <w:rsid w:val="00214F83"/>
    <w:rsid w:val="0021525D"/>
    <w:rsid w:val="00215F3C"/>
    <w:rsid w:val="00216788"/>
    <w:rsid w:val="002169FC"/>
    <w:rsid w:val="00216DF6"/>
    <w:rsid w:val="002203A1"/>
    <w:rsid w:val="00220F88"/>
    <w:rsid w:val="0022119E"/>
    <w:rsid w:val="002212DC"/>
    <w:rsid w:val="00221497"/>
    <w:rsid w:val="00221575"/>
    <w:rsid w:val="0022190E"/>
    <w:rsid w:val="00221B70"/>
    <w:rsid w:val="00221ED3"/>
    <w:rsid w:val="002222B4"/>
    <w:rsid w:val="00222605"/>
    <w:rsid w:val="002228F1"/>
    <w:rsid w:val="00223089"/>
    <w:rsid w:val="00224693"/>
    <w:rsid w:val="00224CFE"/>
    <w:rsid w:val="00226996"/>
    <w:rsid w:val="00226A7D"/>
    <w:rsid w:val="00227A4A"/>
    <w:rsid w:val="00230098"/>
    <w:rsid w:val="00230C59"/>
    <w:rsid w:val="00230EC0"/>
    <w:rsid w:val="00231049"/>
    <w:rsid w:val="002314D2"/>
    <w:rsid w:val="00231B3F"/>
    <w:rsid w:val="00231E87"/>
    <w:rsid w:val="0023244E"/>
    <w:rsid w:val="002324F5"/>
    <w:rsid w:val="00232977"/>
    <w:rsid w:val="00232AD8"/>
    <w:rsid w:val="002335BD"/>
    <w:rsid w:val="00233C2A"/>
    <w:rsid w:val="00233C9B"/>
    <w:rsid w:val="00233CB8"/>
    <w:rsid w:val="00233D0A"/>
    <w:rsid w:val="00233EC1"/>
    <w:rsid w:val="00234426"/>
    <w:rsid w:val="002344C5"/>
    <w:rsid w:val="0023458E"/>
    <w:rsid w:val="00234D7E"/>
    <w:rsid w:val="00235C36"/>
    <w:rsid w:val="00235C75"/>
    <w:rsid w:val="00235F6B"/>
    <w:rsid w:val="002363AE"/>
    <w:rsid w:val="00236427"/>
    <w:rsid w:val="002365A1"/>
    <w:rsid w:val="002365A9"/>
    <w:rsid w:val="00236A49"/>
    <w:rsid w:val="00236CFD"/>
    <w:rsid w:val="002372A6"/>
    <w:rsid w:val="002376EB"/>
    <w:rsid w:val="00237D5B"/>
    <w:rsid w:val="00237E98"/>
    <w:rsid w:val="00240212"/>
    <w:rsid w:val="00240251"/>
    <w:rsid w:val="00240E93"/>
    <w:rsid w:val="00241A10"/>
    <w:rsid w:val="00241B01"/>
    <w:rsid w:val="00242C62"/>
    <w:rsid w:val="00243084"/>
    <w:rsid w:val="00245111"/>
    <w:rsid w:val="002451C9"/>
    <w:rsid w:val="00245400"/>
    <w:rsid w:val="002456EA"/>
    <w:rsid w:val="0024612C"/>
    <w:rsid w:val="00246FBE"/>
    <w:rsid w:val="0024724E"/>
    <w:rsid w:val="00247D77"/>
    <w:rsid w:val="00250242"/>
    <w:rsid w:val="00251650"/>
    <w:rsid w:val="002517EE"/>
    <w:rsid w:val="00252414"/>
    <w:rsid w:val="00253976"/>
    <w:rsid w:val="0025450F"/>
    <w:rsid w:val="0025505E"/>
    <w:rsid w:val="002553AB"/>
    <w:rsid w:val="002558A1"/>
    <w:rsid w:val="002558C8"/>
    <w:rsid w:val="00256517"/>
    <w:rsid w:val="00256526"/>
    <w:rsid w:val="002576AF"/>
    <w:rsid w:val="00257AEE"/>
    <w:rsid w:val="002606A8"/>
    <w:rsid w:val="00260BB7"/>
    <w:rsid w:val="00260D94"/>
    <w:rsid w:val="0026153F"/>
    <w:rsid w:val="00261719"/>
    <w:rsid w:val="00261C08"/>
    <w:rsid w:val="00262527"/>
    <w:rsid w:val="0026290F"/>
    <w:rsid w:val="0026305C"/>
    <w:rsid w:val="00263107"/>
    <w:rsid w:val="00263A17"/>
    <w:rsid w:val="00263B6C"/>
    <w:rsid w:val="002642DF"/>
    <w:rsid w:val="0026479F"/>
    <w:rsid w:val="0026522E"/>
    <w:rsid w:val="00265379"/>
    <w:rsid w:val="00266FCA"/>
    <w:rsid w:val="00270509"/>
    <w:rsid w:val="002711C5"/>
    <w:rsid w:val="00271FC0"/>
    <w:rsid w:val="002720D2"/>
    <w:rsid w:val="00272CD6"/>
    <w:rsid w:val="002731C9"/>
    <w:rsid w:val="002738A9"/>
    <w:rsid w:val="00273DDE"/>
    <w:rsid w:val="00274A6A"/>
    <w:rsid w:val="00274B29"/>
    <w:rsid w:val="00275259"/>
    <w:rsid w:val="002754C5"/>
    <w:rsid w:val="00275670"/>
    <w:rsid w:val="002757DB"/>
    <w:rsid w:val="0027590B"/>
    <w:rsid w:val="00275AE9"/>
    <w:rsid w:val="00280C08"/>
    <w:rsid w:val="00280FDC"/>
    <w:rsid w:val="00281585"/>
    <w:rsid w:val="00281A99"/>
    <w:rsid w:val="00281D83"/>
    <w:rsid w:val="00281E39"/>
    <w:rsid w:val="00282624"/>
    <w:rsid w:val="00282889"/>
    <w:rsid w:val="00283780"/>
    <w:rsid w:val="00283D2D"/>
    <w:rsid w:val="00284203"/>
    <w:rsid w:val="002844DA"/>
    <w:rsid w:val="00284A29"/>
    <w:rsid w:val="00284B55"/>
    <w:rsid w:val="00284CDB"/>
    <w:rsid w:val="002856DB"/>
    <w:rsid w:val="00285969"/>
    <w:rsid w:val="00285ECC"/>
    <w:rsid w:val="00286062"/>
    <w:rsid w:val="00286957"/>
    <w:rsid w:val="00287322"/>
    <w:rsid w:val="0028782C"/>
    <w:rsid w:val="00287BD1"/>
    <w:rsid w:val="00290571"/>
    <w:rsid w:val="00291BFE"/>
    <w:rsid w:val="002923CA"/>
    <w:rsid w:val="00292CAD"/>
    <w:rsid w:val="00293137"/>
    <w:rsid w:val="00293324"/>
    <w:rsid w:val="00293851"/>
    <w:rsid w:val="00293FAB"/>
    <w:rsid w:val="002940EC"/>
    <w:rsid w:val="00294E83"/>
    <w:rsid w:val="00294F41"/>
    <w:rsid w:val="0029517A"/>
    <w:rsid w:val="00295B21"/>
    <w:rsid w:val="00295DD4"/>
    <w:rsid w:val="00296B02"/>
    <w:rsid w:val="00296D16"/>
    <w:rsid w:val="002A0376"/>
    <w:rsid w:val="002A042A"/>
    <w:rsid w:val="002A09B3"/>
    <w:rsid w:val="002A0B2E"/>
    <w:rsid w:val="002A16E2"/>
    <w:rsid w:val="002A1F9E"/>
    <w:rsid w:val="002A1FCA"/>
    <w:rsid w:val="002A2369"/>
    <w:rsid w:val="002A2EE6"/>
    <w:rsid w:val="002A33BE"/>
    <w:rsid w:val="002A369E"/>
    <w:rsid w:val="002A388B"/>
    <w:rsid w:val="002A3BBA"/>
    <w:rsid w:val="002A449E"/>
    <w:rsid w:val="002A450F"/>
    <w:rsid w:val="002A4BD9"/>
    <w:rsid w:val="002A5964"/>
    <w:rsid w:val="002A5A8E"/>
    <w:rsid w:val="002A7511"/>
    <w:rsid w:val="002A7519"/>
    <w:rsid w:val="002A7D3B"/>
    <w:rsid w:val="002A7DB1"/>
    <w:rsid w:val="002B01B4"/>
    <w:rsid w:val="002B053B"/>
    <w:rsid w:val="002B16AE"/>
    <w:rsid w:val="002B231B"/>
    <w:rsid w:val="002B2460"/>
    <w:rsid w:val="002B3009"/>
    <w:rsid w:val="002B3536"/>
    <w:rsid w:val="002B3829"/>
    <w:rsid w:val="002B4136"/>
    <w:rsid w:val="002B4234"/>
    <w:rsid w:val="002B425F"/>
    <w:rsid w:val="002B42F5"/>
    <w:rsid w:val="002B479D"/>
    <w:rsid w:val="002B4D4D"/>
    <w:rsid w:val="002B4E52"/>
    <w:rsid w:val="002B5C39"/>
    <w:rsid w:val="002B5F75"/>
    <w:rsid w:val="002B7504"/>
    <w:rsid w:val="002B75DB"/>
    <w:rsid w:val="002B77FC"/>
    <w:rsid w:val="002B7B56"/>
    <w:rsid w:val="002B7C93"/>
    <w:rsid w:val="002C0E20"/>
    <w:rsid w:val="002C141B"/>
    <w:rsid w:val="002C1B8E"/>
    <w:rsid w:val="002C2020"/>
    <w:rsid w:val="002C23AA"/>
    <w:rsid w:val="002C2942"/>
    <w:rsid w:val="002C33E6"/>
    <w:rsid w:val="002C3D69"/>
    <w:rsid w:val="002C415C"/>
    <w:rsid w:val="002C44CF"/>
    <w:rsid w:val="002C46E4"/>
    <w:rsid w:val="002C531B"/>
    <w:rsid w:val="002C548D"/>
    <w:rsid w:val="002C5698"/>
    <w:rsid w:val="002C5981"/>
    <w:rsid w:val="002C6330"/>
    <w:rsid w:val="002C64EA"/>
    <w:rsid w:val="002C6714"/>
    <w:rsid w:val="002C6945"/>
    <w:rsid w:val="002C6B11"/>
    <w:rsid w:val="002C6EFA"/>
    <w:rsid w:val="002C7441"/>
    <w:rsid w:val="002C7DE6"/>
    <w:rsid w:val="002D03A0"/>
    <w:rsid w:val="002D04FA"/>
    <w:rsid w:val="002D1BBF"/>
    <w:rsid w:val="002D247D"/>
    <w:rsid w:val="002D2619"/>
    <w:rsid w:val="002D2692"/>
    <w:rsid w:val="002D2CC6"/>
    <w:rsid w:val="002D3FEE"/>
    <w:rsid w:val="002D4146"/>
    <w:rsid w:val="002D488F"/>
    <w:rsid w:val="002D51AA"/>
    <w:rsid w:val="002D55E0"/>
    <w:rsid w:val="002D5733"/>
    <w:rsid w:val="002D5E51"/>
    <w:rsid w:val="002D6384"/>
    <w:rsid w:val="002D6974"/>
    <w:rsid w:val="002D73B8"/>
    <w:rsid w:val="002E05CB"/>
    <w:rsid w:val="002E0808"/>
    <w:rsid w:val="002E16F4"/>
    <w:rsid w:val="002E1FBA"/>
    <w:rsid w:val="002E2995"/>
    <w:rsid w:val="002E2DBC"/>
    <w:rsid w:val="002E2EA9"/>
    <w:rsid w:val="002E303D"/>
    <w:rsid w:val="002E318E"/>
    <w:rsid w:val="002E39BC"/>
    <w:rsid w:val="002E39C0"/>
    <w:rsid w:val="002E3FB9"/>
    <w:rsid w:val="002E45E0"/>
    <w:rsid w:val="002E4FFD"/>
    <w:rsid w:val="002E570E"/>
    <w:rsid w:val="002E61EB"/>
    <w:rsid w:val="002E6D5B"/>
    <w:rsid w:val="002E7218"/>
    <w:rsid w:val="002E7B9F"/>
    <w:rsid w:val="002E7E95"/>
    <w:rsid w:val="002F0049"/>
    <w:rsid w:val="002F036C"/>
    <w:rsid w:val="002F0549"/>
    <w:rsid w:val="002F0CED"/>
    <w:rsid w:val="002F0FD3"/>
    <w:rsid w:val="002F1F19"/>
    <w:rsid w:val="002F2437"/>
    <w:rsid w:val="002F2486"/>
    <w:rsid w:val="002F2580"/>
    <w:rsid w:val="002F29B6"/>
    <w:rsid w:val="002F2A1E"/>
    <w:rsid w:val="002F3137"/>
    <w:rsid w:val="002F3CE7"/>
    <w:rsid w:val="002F522C"/>
    <w:rsid w:val="002F53DD"/>
    <w:rsid w:val="002F55E0"/>
    <w:rsid w:val="002F5B13"/>
    <w:rsid w:val="002F617F"/>
    <w:rsid w:val="002F6455"/>
    <w:rsid w:val="002F6895"/>
    <w:rsid w:val="002F68D5"/>
    <w:rsid w:val="002F780D"/>
    <w:rsid w:val="002F7FF0"/>
    <w:rsid w:val="003001E2"/>
    <w:rsid w:val="00300FE7"/>
    <w:rsid w:val="003022A6"/>
    <w:rsid w:val="003024A8"/>
    <w:rsid w:val="003027D7"/>
    <w:rsid w:val="00302A95"/>
    <w:rsid w:val="00302B16"/>
    <w:rsid w:val="00302B48"/>
    <w:rsid w:val="00303869"/>
    <w:rsid w:val="00303949"/>
    <w:rsid w:val="00303F76"/>
    <w:rsid w:val="003045A0"/>
    <w:rsid w:val="003057E3"/>
    <w:rsid w:val="0030594B"/>
    <w:rsid w:val="0030749C"/>
    <w:rsid w:val="0031018F"/>
    <w:rsid w:val="00310EFF"/>
    <w:rsid w:val="00310F46"/>
    <w:rsid w:val="00311A7C"/>
    <w:rsid w:val="00311F09"/>
    <w:rsid w:val="003122F4"/>
    <w:rsid w:val="00312420"/>
    <w:rsid w:val="003124D4"/>
    <w:rsid w:val="00312A8E"/>
    <w:rsid w:val="00312BD8"/>
    <w:rsid w:val="00313906"/>
    <w:rsid w:val="00314398"/>
    <w:rsid w:val="00314B27"/>
    <w:rsid w:val="00314CAC"/>
    <w:rsid w:val="00314F5E"/>
    <w:rsid w:val="00315874"/>
    <w:rsid w:val="00315FC1"/>
    <w:rsid w:val="003164DD"/>
    <w:rsid w:val="00316E3B"/>
    <w:rsid w:val="00316EBD"/>
    <w:rsid w:val="00317468"/>
    <w:rsid w:val="0032032A"/>
    <w:rsid w:val="00320AB8"/>
    <w:rsid w:val="003211F9"/>
    <w:rsid w:val="003213ED"/>
    <w:rsid w:val="00321597"/>
    <w:rsid w:val="003222E8"/>
    <w:rsid w:val="00322960"/>
    <w:rsid w:val="00323375"/>
    <w:rsid w:val="003234E7"/>
    <w:rsid w:val="00323669"/>
    <w:rsid w:val="00324C9D"/>
    <w:rsid w:val="003257CC"/>
    <w:rsid w:val="00325AB8"/>
    <w:rsid w:val="003268D5"/>
    <w:rsid w:val="00326B92"/>
    <w:rsid w:val="00327995"/>
    <w:rsid w:val="00327BFC"/>
    <w:rsid w:val="00330E50"/>
    <w:rsid w:val="00331528"/>
    <w:rsid w:val="0033185D"/>
    <w:rsid w:val="00332180"/>
    <w:rsid w:val="0033221F"/>
    <w:rsid w:val="00333745"/>
    <w:rsid w:val="00333F3D"/>
    <w:rsid w:val="003348FD"/>
    <w:rsid w:val="00334A15"/>
    <w:rsid w:val="003352B8"/>
    <w:rsid w:val="003355DC"/>
    <w:rsid w:val="0033677F"/>
    <w:rsid w:val="00336A3A"/>
    <w:rsid w:val="00336F93"/>
    <w:rsid w:val="003379A8"/>
    <w:rsid w:val="003402FF"/>
    <w:rsid w:val="00341FCB"/>
    <w:rsid w:val="0034209B"/>
    <w:rsid w:val="00343456"/>
    <w:rsid w:val="0034381A"/>
    <w:rsid w:val="00343B49"/>
    <w:rsid w:val="003442D5"/>
    <w:rsid w:val="00344779"/>
    <w:rsid w:val="0034478E"/>
    <w:rsid w:val="0034547B"/>
    <w:rsid w:val="0034562A"/>
    <w:rsid w:val="0034586A"/>
    <w:rsid w:val="00346349"/>
    <w:rsid w:val="0034638F"/>
    <w:rsid w:val="0034666B"/>
    <w:rsid w:val="00346B63"/>
    <w:rsid w:val="003475F2"/>
    <w:rsid w:val="003510EF"/>
    <w:rsid w:val="00351822"/>
    <w:rsid w:val="00351907"/>
    <w:rsid w:val="0035364E"/>
    <w:rsid w:val="00354D27"/>
    <w:rsid w:val="00354FB4"/>
    <w:rsid w:val="00354FBB"/>
    <w:rsid w:val="00356567"/>
    <w:rsid w:val="00356F78"/>
    <w:rsid w:val="0035732D"/>
    <w:rsid w:val="00357413"/>
    <w:rsid w:val="003576FD"/>
    <w:rsid w:val="00360ED3"/>
    <w:rsid w:val="00360EEC"/>
    <w:rsid w:val="00362BE8"/>
    <w:rsid w:val="00363D22"/>
    <w:rsid w:val="00363FF4"/>
    <w:rsid w:val="003641CC"/>
    <w:rsid w:val="0036501F"/>
    <w:rsid w:val="00365344"/>
    <w:rsid w:val="00365E35"/>
    <w:rsid w:val="00365E65"/>
    <w:rsid w:val="00367159"/>
    <w:rsid w:val="003673C5"/>
    <w:rsid w:val="003676B2"/>
    <w:rsid w:val="00367BEF"/>
    <w:rsid w:val="00367C62"/>
    <w:rsid w:val="00367E19"/>
    <w:rsid w:val="0037155A"/>
    <w:rsid w:val="00371C53"/>
    <w:rsid w:val="0037237C"/>
    <w:rsid w:val="00372D04"/>
    <w:rsid w:val="003746B1"/>
    <w:rsid w:val="00374958"/>
    <w:rsid w:val="00374B2D"/>
    <w:rsid w:val="00374EC4"/>
    <w:rsid w:val="00374F99"/>
    <w:rsid w:val="003750BD"/>
    <w:rsid w:val="00375132"/>
    <w:rsid w:val="0037564B"/>
    <w:rsid w:val="003758D3"/>
    <w:rsid w:val="00375B0D"/>
    <w:rsid w:val="00376325"/>
    <w:rsid w:val="003765F1"/>
    <w:rsid w:val="00376BA0"/>
    <w:rsid w:val="003778F0"/>
    <w:rsid w:val="00377CE7"/>
    <w:rsid w:val="00380BFA"/>
    <w:rsid w:val="00381ECF"/>
    <w:rsid w:val="003823F8"/>
    <w:rsid w:val="003825A5"/>
    <w:rsid w:val="003828CA"/>
    <w:rsid w:val="00382F72"/>
    <w:rsid w:val="0038361A"/>
    <w:rsid w:val="00383640"/>
    <w:rsid w:val="003839F0"/>
    <w:rsid w:val="00383E82"/>
    <w:rsid w:val="00384987"/>
    <w:rsid w:val="00385026"/>
    <w:rsid w:val="003858A6"/>
    <w:rsid w:val="0038665F"/>
    <w:rsid w:val="00386F21"/>
    <w:rsid w:val="003901D6"/>
    <w:rsid w:val="003909A0"/>
    <w:rsid w:val="00390F30"/>
    <w:rsid w:val="00390FC5"/>
    <w:rsid w:val="0039104C"/>
    <w:rsid w:val="00391398"/>
    <w:rsid w:val="003914E2"/>
    <w:rsid w:val="00391A45"/>
    <w:rsid w:val="00391F03"/>
    <w:rsid w:val="0039250B"/>
    <w:rsid w:val="003925E3"/>
    <w:rsid w:val="00392758"/>
    <w:rsid w:val="00392846"/>
    <w:rsid w:val="00392DCC"/>
    <w:rsid w:val="00393ADE"/>
    <w:rsid w:val="00393C54"/>
    <w:rsid w:val="003940E2"/>
    <w:rsid w:val="00395287"/>
    <w:rsid w:val="003977F8"/>
    <w:rsid w:val="00397A76"/>
    <w:rsid w:val="00397D25"/>
    <w:rsid w:val="00397DE4"/>
    <w:rsid w:val="00397F25"/>
    <w:rsid w:val="003A00DD"/>
    <w:rsid w:val="003A086F"/>
    <w:rsid w:val="003A0A7D"/>
    <w:rsid w:val="003A1631"/>
    <w:rsid w:val="003A1A8E"/>
    <w:rsid w:val="003A24E1"/>
    <w:rsid w:val="003A2504"/>
    <w:rsid w:val="003A290B"/>
    <w:rsid w:val="003A3038"/>
    <w:rsid w:val="003A30EC"/>
    <w:rsid w:val="003A3118"/>
    <w:rsid w:val="003A32F0"/>
    <w:rsid w:val="003A355A"/>
    <w:rsid w:val="003A3EC9"/>
    <w:rsid w:val="003A4AD4"/>
    <w:rsid w:val="003A5761"/>
    <w:rsid w:val="003A58AC"/>
    <w:rsid w:val="003A5D0A"/>
    <w:rsid w:val="003A6251"/>
    <w:rsid w:val="003A6374"/>
    <w:rsid w:val="003A64A6"/>
    <w:rsid w:val="003A6B6C"/>
    <w:rsid w:val="003A6D85"/>
    <w:rsid w:val="003A7C3D"/>
    <w:rsid w:val="003B01EB"/>
    <w:rsid w:val="003B0B8B"/>
    <w:rsid w:val="003B1672"/>
    <w:rsid w:val="003B1EAE"/>
    <w:rsid w:val="003B243D"/>
    <w:rsid w:val="003B40AC"/>
    <w:rsid w:val="003B440F"/>
    <w:rsid w:val="003B4E1E"/>
    <w:rsid w:val="003B56C3"/>
    <w:rsid w:val="003B6FB6"/>
    <w:rsid w:val="003B7018"/>
    <w:rsid w:val="003B7BC7"/>
    <w:rsid w:val="003B7BE5"/>
    <w:rsid w:val="003C3467"/>
    <w:rsid w:val="003C480C"/>
    <w:rsid w:val="003C4C3C"/>
    <w:rsid w:val="003C511A"/>
    <w:rsid w:val="003C590F"/>
    <w:rsid w:val="003C5ABB"/>
    <w:rsid w:val="003C5D45"/>
    <w:rsid w:val="003C6430"/>
    <w:rsid w:val="003C6713"/>
    <w:rsid w:val="003C6CC4"/>
    <w:rsid w:val="003C7A98"/>
    <w:rsid w:val="003D1328"/>
    <w:rsid w:val="003D14F9"/>
    <w:rsid w:val="003D1527"/>
    <w:rsid w:val="003D2049"/>
    <w:rsid w:val="003D2106"/>
    <w:rsid w:val="003D227D"/>
    <w:rsid w:val="003D32E3"/>
    <w:rsid w:val="003D4779"/>
    <w:rsid w:val="003D582D"/>
    <w:rsid w:val="003D6141"/>
    <w:rsid w:val="003D6146"/>
    <w:rsid w:val="003D63E0"/>
    <w:rsid w:val="003D6D58"/>
    <w:rsid w:val="003D7331"/>
    <w:rsid w:val="003E05C4"/>
    <w:rsid w:val="003E07DB"/>
    <w:rsid w:val="003E1047"/>
    <w:rsid w:val="003E2372"/>
    <w:rsid w:val="003E286D"/>
    <w:rsid w:val="003E2BE4"/>
    <w:rsid w:val="003E32A6"/>
    <w:rsid w:val="003E38B0"/>
    <w:rsid w:val="003E428C"/>
    <w:rsid w:val="003E4D87"/>
    <w:rsid w:val="003E5359"/>
    <w:rsid w:val="003E5597"/>
    <w:rsid w:val="003E59C3"/>
    <w:rsid w:val="003E5DC4"/>
    <w:rsid w:val="003E6B9C"/>
    <w:rsid w:val="003E6E4B"/>
    <w:rsid w:val="003E70C3"/>
    <w:rsid w:val="003E7886"/>
    <w:rsid w:val="003E7F28"/>
    <w:rsid w:val="003F112B"/>
    <w:rsid w:val="003F142C"/>
    <w:rsid w:val="003F23CD"/>
    <w:rsid w:val="003F2973"/>
    <w:rsid w:val="003F2D93"/>
    <w:rsid w:val="003F30F2"/>
    <w:rsid w:val="003F4749"/>
    <w:rsid w:val="003F477D"/>
    <w:rsid w:val="003F4CF7"/>
    <w:rsid w:val="003F4ED1"/>
    <w:rsid w:val="003F5044"/>
    <w:rsid w:val="003F643F"/>
    <w:rsid w:val="003F67F3"/>
    <w:rsid w:val="003F6DBE"/>
    <w:rsid w:val="003F71F2"/>
    <w:rsid w:val="003F7350"/>
    <w:rsid w:val="003F7F4F"/>
    <w:rsid w:val="003F7F52"/>
    <w:rsid w:val="004004BF"/>
    <w:rsid w:val="004025C5"/>
    <w:rsid w:val="00402E6B"/>
    <w:rsid w:val="0040333E"/>
    <w:rsid w:val="004039BA"/>
    <w:rsid w:val="00403DAB"/>
    <w:rsid w:val="00404D54"/>
    <w:rsid w:val="0040512A"/>
    <w:rsid w:val="00406BC7"/>
    <w:rsid w:val="00407E79"/>
    <w:rsid w:val="0041042A"/>
    <w:rsid w:val="00410C4F"/>
    <w:rsid w:val="0041118B"/>
    <w:rsid w:val="004113D2"/>
    <w:rsid w:val="004119FB"/>
    <w:rsid w:val="004126AA"/>
    <w:rsid w:val="00412749"/>
    <w:rsid w:val="00412DDC"/>
    <w:rsid w:val="004135F0"/>
    <w:rsid w:val="00413821"/>
    <w:rsid w:val="00413919"/>
    <w:rsid w:val="00413B90"/>
    <w:rsid w:val="00413F91"/>
    <w:rsid w:val="00414662"/>
    <w:rsid w:val="00414B16"/>
    <w:rsid w:val="00415057"/>
    <w:rsid w:val="004152F0"/>
    <w:rsid w:val="00415535"/>
    <w:rsid w:val="00415570"/>
    <w:rsid w:val="00415A1C"/>
    <w:rsid w:val="00415CA2"/>
    <w:rsid w:val="0041611C"/>
    <w:rsid w:val="00416762"/>
    <w:rsid w:val="00416C97"/>
    <w:rsid w:val="00417ABF"/>
    <w:rsid w:val="0042061F"/>
    <w:rsid w:val="004206B6"/>
    <w:rsid w:val="004207EE"/>
    <w:rsid w:val="00420E21"/>
    <w:rsid w:val="00421351"/>
    <w:rsid w:val="00421482"/>
    <w:rsid w:val="00421641"/>
    <w:rsid w:val="00421A0F"/>
    <w:rsid w:val="00421B6A"/>
    <w:rsid w:val="004220B9"/>
    <w:rsid w:val="004225CF"/>
    <w:rsid w:val="004226B6"/>
    <w:rsid w:val="00422C14"/>
    <w:rsid w:val="004235D7"/>
    <w:rsid w:val="00424089"/>
    <w:rsid w:val="00424BF7"/>
    <w:rsid w:val="004256AD"/>
    <w:rsid w:val="0042582B"/>
    <w:rsid w:val="00425E1E"/>
    <w:rsid w:val="004260EB"/>
    <w:rsid w:val="004268AA"/>
    <w:rsid w:val="00426FDB"/>
    <w:rsid w:val="00427449"/>
    <w:rsid w:val="00430B70"/>
    <w:rsid w:val="00430EF9"/>
    <w:rsid w:val="00431B16"/>
    <w:rsid w:val="00431BCE"/>
    <w:rsid w:val="00431C58"/>
    <w:rsid w:val="00431EAC"/>
    <w:rsid w:val="004320E2"/>
    <w:rsid w:val="00432666"/>
    <w:rsid w:val="00432814"/>
    <w:rsid w:val="0043366E"/>
    <w:rsid w:val="00433820"/>
    <w:rsid w:val="00435753"/>
    <w:rsid w:val="004358A7"/>
    <w:rsid w:val="0043739B"/>
    <w:rsid w:val="004379F3"/>
    <w:rsid w:val="00437DC5"/>
    <w:rsid w:val="004415D5"/>
    <w:rsid w:val="004417FF"/>
    <w:rsid w:val="00441F2A"/>
    <w:rsid w:val="004424A7"/>
    <w:rsid w:val="00442CC3"/>
    <w:rsid w:val="00442E36"/>
    <w:rsid w:val="00442F92"/>
    <w:rsid w:val="00443AD1"/>
    <w:rsid w:val="00444095"/>
    <w:rsid w:val="004447DD"/>
    <w:rsid w:val="00445265"/>
    <w:rsid w:val="00445B61"/>
    <w:rsid w:val="00450433"/>
    <w:rsid w:val="004504E3"/>
    <w:rsid w:val="00450848"/>
    <w:rsid w:val="004509F3"/>
    <w:rsid w:val="004516E2"/>
    <w:rsid w:val="00452D8F"/>
    <w:rsid w:val="0045328F"/>
    <w:rsid w:val="0045513B"/>
    <w:rsid w:val="0045544E"/>
    <w:rsid w:val="00455497"/>
    <w:rsid w:val="00455680"/>
    <w:rsid w:val="004559CE"/>
    <w:rsid w:val="00455F84"/>
    <w:rsid w:val="004567F5"/>
    <w:rsid w:val="00456D55"/>
    <w:rsid w:val="00456F1F"/>
    <w:rsid w:val="00457232"/>
    <w:rsid w:val="004573F4"/>
    <w:rsid w:val="0045764B"/>
    <w:rsid w:val="00457666"/>
    <w:rsid w:val="004578CF"/>
    <w:rsid w:val="00457C71"/>
    <w:rsid w:val="00457DA2"/>
    <w:rsid w:val="00457FB0"/>
    <w:rsid w:val="004606E0"/>
    <w:rsid w:val="004607B0"/>
    <w:rsid w:val="004608DE"/>
    <w:rsid w:val="004609F6"/>
    <w:rsid w:val="00460F51"/>
    <w:rsid w:val="00460F66"/>
    <w:rsid w:val="004626B1"/>
    <w:rsid w:val="00462CB1"/>
    <w:rsid w:val="00462E1C"/>
    <w:rsid w:val="004636A8"/>
    <w:rsid w:val="00463733"/>
    <w:rsid w:val="00463894"/>
    <w:rsid w:val="00463927"/>
    <w:rsid w:val="00464613"/>
    <w:rsid w:val="00464733"/>
    <w:rsid w:val="00464A7F"/>
    <w:rsid w:val="00464C0B"/>
    <w:rsid w:val="0046560B"/>
    <w:rsid w:val="004671C2"/>
    <w:rsid w:val="00467228"/>
    <w:rsid w:val="00467AD6"/>
    <w:rsid w:val="00471074"/>
    <w:rsid w:val="004712C4"/>
    <w:rsid w:val="004725A3"/>
    <w:rsid w:val="004735D0"/>
    <w:rsid w:val="004736A8"/>
    <w:rsid w:val="004737D2"/>
    <w:rsid w:val="00473912"/>
    <w:rsid w:val="00473A52"/>
    <w:rsid w:val="00475081"/>
    <w:rsid w:val="00475B78"/>
    <w:rsid w:val="00475B7B"/>
    <w:rsid w:val="00475F4D"/>
    <w:rsid w:val="0047679D"/>
    <w:rsid w:val="0048092C"/>
    <w:rsid w:val="00480960"/>
    <w:rsid w:val="00480C68"/>
    <w:rsid w:val="00481034"/>
    <w:rsid w:val="00481081"/>
    <w:rsid w:val="0048160F"/>
    <w:rsid w:val="004817C8"/>
    <w:rsid w:val="00481A76"/>
    <w:rsid w:val="00481BA1"/>
    <w:rsid w:val="00482AD1"/>
    <w:rsid w:val="00482B76"/>
    <w:rsid w:val="00483002"/>
    <w:rsid w:val="00483049"/>
    <w:rsid w:val="0048376B"/>
    <w:rsid w:val="004844DC"/>
    <w:rsid w:val="004857CF"/>
    <w:rsid w:val="00485C06"/>
    <w:rsid w:val="00485D39"/>
    <w:rsid w:val="004860DF"/>
    <w:rsid w:val="004861A9"/>
    <w:rsid w:val="0048684C"/>
    <w:rsid w:val="00486ADF"/>
    <w:rsid w:val="00486AE0"/>
    <w:rsid w:val="0048768B"/>
    <w:rsid w:val="00487FF7"/>
    <w:rsid w:val="00490052"/>
    <w:rsid w:val="00490403"/>
    <w:rsid w:val="004908C3"/>
    <w:rsid w:val="004918FF"/>
    <w:rsid w:val="004919BA"/>
    <w:rsid w:val="00492233"/>
    <w:rsid w:val="00492FCB"/>
    <w:rsid w:val="0049332E"/>
    <w:rsid w:val="004938D1"/>
    <w:rsid w:val="00493CEB"/>
    <w:rsid w:val="004945D8"/>
    <w:rsid w:val="00494FEB"/>
    <w:rsid w:val="004951A8"/>
    <w:rsid w:val="004965F3"/>
    <w:rsid w:val="00496924"/>
    <w:rsid w:val="00497423"/>
    <w:rsid w:val="00497795"/>
    <w:rsid w:val="004977C8"/>
    <w:rsid w:val="004A00E1"/>
    <w:rsid w:val="004A022A"/>
    <w:rsid w:val="004A0C25"/>
    <w:rsid w:val="004A11EC"/>
    <w:rsid w:val="004A18F8"/>
    <w:rsid w:val="004A19BF"/>
    <w:rsid w:val="004A1B06"/>
    <w:rsid w:val="004A1DC8"/>
    <w:rsid w:val="004A2180"/>
    <w:rsid w:val="004A25F7"/>
    <w:rsid w:val="004A409D"/>
    <w:rsid w:val="004A4858"/>
    <w:rsid w:val="004A4BF1"/>
    <w:rsid w:val="004A4D15"/>
    <w:rsid w:val="004A55B8"/>
    <w:rsid w:val="004A5672"/>
    <w:rsid w:val="004A617E"/>
    <w:rsid w:val="004A61CE"/>
    <w:rsid w:val="004A6479"/>
    <w:rsid w:val="004A6777"/>
    <w:rsid w:val="004A6979"/>
    <w:rsid w:val="004A6D08"/>
    <w:rsid w:val="004A73B4"/>
    <w:rsid w:val="004A74A2"/>
    <w:rsid w:val="004A7753"/>
    <w:rsid w:val="004A7852"/>
    <w:rsid w:val="004A7BC2"/>
    <w:rsid w:val="004B01AB"/>
    <w:rsid w:val="004B04BB"/>
    <w:rsid w:val="004B06CC"/>
    <w:rsid w:val="004B0F98"/>
    <w:rsid w:val="004B215D"/>
    <w:rsid w:val="004B242E"/>
    <w:rsid w:val="004B2B01"/>
    <w:rsid w:val="004B3943"/>
    <w:rsid w:val="004B43C8"/>
    <w:rsid w:val="004B4DD0"/>
    <w:rsid w:val="004B4F6B"/>
    <w:rsid w:val="004B51DD"/>
    <w:rsid w:val="004B5762"/>
    <w:rsid w:val="004B680A"/>
    <w:rsid w:val="004B6850"/>
    <w:rsid w:val="004B685E"/>
    <w:rsid w:val="004B703D"/>
    <w:rsid w:val="004B7094"/>
    <w:rsid w:val="004B73D1"/>
    <w:rsid w:val="004B75CA"/>
    <w:rsid w:val="004B7ABA"/>
    <w:rsid w:val="004C0BB6"/>
    <w:rsid w:val="004C0D26"/>
    <w:rsid w:val="004C0FFB"/>
    <w:rsid w:val="004C15C8"/>
    <w:rsid w:val="004C204E"/>
    <w:rsid w:val="004C3569"/>
    <w:rsid w:val="004C375C"/>
    <w:rsid w:val="004C3DE0"/>
    <w:rsid w:val="004C4563"/>
    <w:rsid w:val="004C4A09"/>
    <w:rsid w:val="004C4B04"/>
    <w:rsid w:val="004C4C82"/>
    <w:rsid w:val="004C4CBA"/>
    <w:rsid w:val="004C5433"/>
    <w:rsid w:val="004C5E58"/>
    <w:rsid w:val="004C5FFB"/>
    <w:rsid w:val="004C67C6"/>
    <w:rsid w:val="004C7D3F"/>
    <w:rsid w:val="004D0504"/>
    <w:rsid w:val="004D0C34"/>
    <w:rsid w:val="004D0F27"/>
    <w:rsid w:val="004D181A"/>
    <w:rsid w:val="004D1C00"/>
    <w:rsid w:val="004D1E74"/>
    <w:rsid w:val="004D2530"/>
    <w:rsid w:val="004D2F57"/>
    <w:rsid w:val="004D2F71"/>
    <w:rsid w:val="004D32B0"/>
    <w:rsid w:val="004D3EDF"/>
    <w:rsid w:val="004D496D"/>
    <w:rsid w:val="004D4A63"/>
    <w:rsid w:val="004D5498"/>
    <w:rsid w:val="004D594B"/>
    <w:rsid w:val="004D5C1F"/>
    <w:rsid w:val="004D5F84"/>
    <w:rsid w:val="004D6C47"/>
    <w:rsid w:val="004D6C5D"/>
    <w:rsid w:val="004D7033"/>
    <w:rsid w:val="004D7655"/>
    <w:rsid w:val="004D77D8"/>
    <w:rsid w:val="004D7CF8"/>
    <w:rsid w:val="004E0481"/>
    <w:rsid w:val="004E073C"/>
    <w:rsid w:val="004E0ADF"/>
    <w:rsid w:val="004E131B"/>
    <w:rsid w:val="004E16E9"/>
    <w:rsid w:val="004E2505"/>
    <w:rsid w:val="004E2650"/>
    <w:rsid w:val="004E2B39"/>
    <w:rsid w:val="004E2F14"/>
    <w:rsid w:val="004E30C3"/>
    <w:rsid w:val="004E3C23"/>
    <w:rsid w:val="004E3F86"/>
    <w:rsid w:val="004E4B07"/>
    <w:rsid w:val="004E526F"/>
    <w:rsid w:val="004E5713"/>
    <w:rsid w:val="004E5773"/>
    <w:rsid w:val="004E5973"/>
    <w:rsid w:val="004F03AC"/>
    <w:rsid w:val="004F0700"/>
    <w:rsid w:val="004F07B3"/>
    <w:rsid w:val="004F1164"/>
    <w:rsid w:val="004F1647"/>
    <w:rsid w:val="004F1FD3"/>
    <w:rsid w:val="004F212E"/>
    <w:rsid w:val="004F2280"/>
    <w:rsid w:val="004F24BE"/>
    <w:rsid w:val="004F2F1B"/>
    <w:rsid w:val="004F33F9"/>
    <w:rsid w:val="004F3935"/>
    <w:rsid w:val="004F50B8"/>
    <w:rsid w:val="004F65BD"/>
    <w:rsid w:val="004F688D"/>
    <w:rsid w:val="004F76C2"/>
    <w:rsid w:val="004F7F48"/>
    <w:rsid w:val="0050012F"/>
    <w:rsid w:val="005002B0"/>
    <w:rsid w:val="005006B8"/>
    <w:rsid w:val="00501151"/>
    <w:rsid w:val="00501B77"/>
    <w:rsid w:val="00502701"/>
    <w:rsid w:val="00502A2A"/>
    <w:rsid w:val="00502C96"/>
    <w:rsid w:val="00502F7B"/>
    <w:rsid w:val="005033C1"/>
    <w:rsid w:val="00503A7B"/>
    <w:rsid w:val="0050499B"/>
    <w:rsid w:val="00504C19"/>
    <w:rsid w:val="00504E08"/>
    <w:rsid w:val="00505300"/>
    <w:rsid w:val="005057A2"/>
    <w:rsid w:val="005058EF"/>
    <w:rsid w:val="00505BA1"/>
    <w:rsid w:val="00506C9C"/>
    <w:rsid w:val="00506D71"/>
    <w:rsid w:val="005074EB"/>
    <w:rsid w:val="005077D2"/>
    <w:rsid w:val="00507B82"/>
    <w:rsid w:val="00507C3A"/>
    <w:rsid w:val="00507F38"/>
    <w:rsid w:val="0051120B"/>
    <w:rsid w:val="00511B41"/>
    <w:rsid w:val="00511BAF"/>
    <w:rsid w:val="00511CD7"/>
    <w:rsid w:val="00512AD1"/>
    <w:rsid w:val="00512DFE"/>
    <w:rsid w:val="005131FF"/>
    <w:rsid w:val="005137D9"/>
    <w:rsid w:val="0051395A"/>
    <w:rsid w:val="00513DA7"/>
    <w:rsid w:val="00514635"/>
    <w:rsid w:val="005155DE"/>
    <w:rsid w:val="005156E7"/>
    <w:rsid w:val="005157A5"/>
    <w:rsid w:val="00515D76"/>
    <w:rsid w:val="0051641F"/>
    <w:rsid w:val="00516785"/>
    <w:rsid w:val="0051726B"/>
    <w:rsid w:val="00520138"/>
    <w:rsid w:val="0052019D"/>
    <w:rsid w:val="00520870"/>
    <w:rsid w:val="00520DC6"/>
    <w:rsid w:val="005213C0"/>
    <w:rsid w:val="00521C65"/>
    <w:rsid w:val="00521FF9"/>
    <w:rsid w:val="00522167"/>
    <w:rsid w:val="0052348D"/>
    <w:rsid w:val="00523647"/>
    <w:rsid w:val="00523B06"/>
    <w:rsid w:val="00524188"/>
    <w:rsid w:val="0052419D"/>
    <w:rsid w:val="005246F8"/>
    <w:rsid w:val="005269A8"/>
    <w:rsid w:val="00526BC2"/>
    <w:rsid w:val="00526BDA"/>
    <w:rsid w:val="00527396"/>
    <w:rsid w:val="00527F7D"/>
    <w:rsid w:val="005301F8"/>
    <w:rsid w:val="00530237"/>
    <w:rsid w:val="00530CDA"/>
    <w:rsid w:val="005312FC"/>
    <w:rsid w:val="00531592"/>
    <w:rsid w:val="00531FC1"/>
    <w:rsid w:val="00532A54"/>
    <w:rsid w:val="005333B4"/>
    <w:rsid w:val="005336C0"/>
    <w:rsid w:val="00534867"/>
    <w:rsid w:val="00534C2E"/>
    <w:rsid w:val="00535257"/>
    <w:rsid w:val="005352CD"/>
    <w:rsid w:val="00535CB4"/>
    <w:rsid w:val="0053603D"/>
    <w:rsid w:val="00536289"/>
    <w:rsid w:val="005366F6"/>
    <w:rsid w:val="00536A4D"/>
    <w:rsid w:val="00540A34"/>
    <w:rsid w:val="00541BD8"/>
    <w:rsid w:val="00541ED2"/>
    <w:rsid w:val="005420DB"/>
    <w:rsid w:val="00542420"/>
    <w:rsid w:val="00542CE6"/>
    <w:rsid w:val="00543ADC"/>
    <w:rsid w:val="00544217"/>
    <w:rsid w:val="005445E5"/>
    <w:rsid w:val="00544625"/>
    <w:rsid w:val="005448B9"/>
    <w:rsid w:val="00544D2B"/>
    <w:rsid w:val="00544F93"/>
    <w:rsid w:val="005456DD"/>
    <w:rsid w:val="00545BFA"/>
    <w:rsid w:val="00545C3C"/>
    <w:rsid w:val="005462DF"/>
    <w:rsid w:val="00546967"/>
    <w:rsid w:val="005473C8"/>
    <w:rsid w:val="0055052C"/>
    <w:rsid w:val="0055072C"/>
    <w:rsid w:val="005508C0"/>
    <w:rsid w:val="005508DA"/>
    <w:rsid w:val="00550D83"/>
    <w:rsid w:val="005511D9"/>
    <w:rsid w:val="00551254"/>
    <w:rsid w:val="00551A9A"/>
    <w:rsid w:val="00551ACF"/>
    <w:rsid w:val="00551B45"/>
    <w:rsid w:val="00552AFB"/>
    <w:rsid w:val="00552B05"/>
    <w:rsid w:val="0055308B"/>
    <w:rsid w:val="005531EC"/>
    <w:rsid w:val="005535A7"/>
    <w:rsid w:val="00553D60"/>
    <w:rsid w:val="00554A52"/>
    <w:rsid w:val="00554EB0"/>
    <w:rsid w:val="00555107"/>
    <w:rsid w:val="0055528B"/>
    <w:rsid w:val="00555C4A"/>
    <w:rsid w:val="00555D17"/>
    <w:rsid w:val="00555D72"/>
    <w:rsid w:val="0055616E"/>
    <w:rsid w:val="00556540"/>
    <w:rsid w:val="00556D47"/>
    <w:rsid w:val="005577BE"/>
    <w:rsid w:val="0055796F"/>
    <w:rsid w:val="00557A7D"/>
    <w:rsid w:val="00557D53"/>
    <w:rsid w:val="00557F19"/>
    <w:rsid w:val="00560769"/>
    <w:rsid w:val="005610BB"/>
    <w:rsid w:val="00561481"/>
    <w:rsid w:val="00561C4A"/>
    <w:rsid w:val="00562E1D"/>
    <w:rsid w:val="0056310F"/>
    <w:rsid w:val="00563515"/>
    <w:rsid w:val="00563791"/>
    <w:rsid w:val="005643A5"/>
    <w:rsid w:val="00564D4F"/>
    <w:rsid w:val="00564F8A"/>
    <w:rsid w:val="005663DB"/>
    <w:rsid w:val="0056708B"/>
    <w:rsid w:val="00567703"/>
    <w:rsid w:val="00567C7E"/>
    <w:rsid w:val="00567FEE"/>
    <w:rsid w:val="005703B1"/>
    <w:rsid w:val="005708C9"/>
    <w:rsid w:val="0057127D"/>
    <w:rsid w:val="00571B46"/>
    <w:rsid w:val="00571F33"/>
    <w:rsid w:val="00572053"/>
    <w:rsid w:val="00572105"/>
    <w:rsid w:val="00572956"/>
    <w:rsid w:val="00572CAD"/>
    <w:rsid w:val="00573702"/>
    <w:rsid w:val="0057370C"/>
    <w:rsid w:val="00573B72"/>
    <w:rsid w:val="00573D4E"/>
    <w:rsid w:val="00574CE7"/>
    <w:rsid w:val="0057506D"/>
    <w:rsid w:val="005751B3"/>
    <w:rsid w:val="00575ADF"/>
    <w:rsid w:val="00576D40"/>
    <w:rsid w:val="005770F5"/>
    <w:rsid w:val="00580151"/>
    <w:rsid w:val="005803C2"/>
    <w:rsid w:val="005809F5"/>
    <w:rsid w:val="00581224"/>
    <w:rsid w:val="00585391"/>
    <w:rsid w:val="00585D94"/>
    <w:rsid w:val="00585DE9"/>
    <w:rsid w:val="005868DE"/>
    <w:rsid w:val="00586941"/>
    <w:rsid w:val="00586ABE"/>
    <w:rsid w:val="00587708"/>
    <w:rsid w:val="00587BB1"/>
    <w:rsid w:val="00587CAB"/>
    <w:rsid w:val="005906B3"/>
    <w:rsid w:val="00590BD9"/>
    <w:rsid w:val="00591891"/>
    <w:rsid w:val="00592552"/>
    <w:rsid w:val="005929F9"/>
    <w:rsid w:val="00592B80"/>
    <w:rsid w:val="0059318E"/>
    <w:rsid w:val="00593911"/>
    <w:rsid w:val="00593C07"/>
    <w:rsid w:val="00594B8A"/>
    <w:rsid w:val="00594E2A"/>
    <w:rsid w:val="00595AF6"/>
    <w:rsid w:val="005960C6"/>
    <w:rsid w:val="00596136"/>
    <w:rsid w:val="0059682A"/>
    <w:rsid w:val="00596A5C"/>
    <w:rsid w:val="005A1225"/>
    <w:rsid w:val="005A1A58"/>
    <w:rsid w:val="005A1EC2"/>
    <w:rsid w:val="005A2D28"/>
    <w:rsid w:val="005A3021"/>
    <w:rsid w:val="005A3A6A"/>
    <w:rsid w:val="005A4181"/>
    <w:rsid w:val="005A43C5"/>
    <w:rsid w:val="005A4DE4"/>
    <w:rsid w:val="005A5AB3"/>
    <w:rsid w:val="005A700E"/>
    <w:rsid w:val="005A70B1"/>
    <w:rsid w:val="005A78D4"/>
    <w:rsid w:val="005B013E"/>
    <w:rsid w:val="005B06CA"/>
    <w:rsid w:val="005B0B81"/>
    <w:rsid w:val="005B1E8C"/>
    <w:rsid w:val="005B2A6D"/>
    <w:rsid w:val="005B2B0A"/>
    <w:rsid w:val="005B324F"/>
    <w:rsid w:val="005B4076"/>
    <w:rsid w:val="005B49E9"/>
    <w:rsid w:val="005B4F05"/>
    <w:rsid w:val="005B521A"/>
    <w:rsid w:val="005B581F"/>
    <w:rsid w:val="005B595B"/>
    <w:rsid w:val="005B5D99"/>
    <w:rsid w:val="005B6930"/>
    <w:rsid w:val="005B6B9F"/>
    <w:rsid w:val="005B7065"/>
    <w:rsid w:val="005C09C2"/>
    <w:rsid w:val="005C0D35"/>
    <w:rsid w:val="005C0EC2"/>
    <w:rsid w:val="005C1566"/>
    <w:rsid w:val="005C1A49"/>
    <w:rsid w:val="005C1FE3"/>
    <w:rsid w:val="005C3015"/>
    <w:rsid w:val="005C3693"/>
    <w:rsid w:val="005C59ED"/>
    <w:rsid w:val="005C665C"/>
    <w:rsid w:val="005C6857"/>
    <w:rsid w:val="005C6CEC"/>
    <w:rsid w:val="005C718E"/>
    <w:rsid w:val="005C75BB"/>
    <w:rsid w:val="005D00B7"/>
    <w:rsid w:val="005D027D"/>
    <w:rsid w:val="005D149A"/>
    <w:rsid w:val="005D1C3A"/>
    <w:rsid w:val="005D1D16"/>
    <w:rsid w:val="005D21D1"/>
    <w:rsid w:val="005D21F4"/>
    <w:rsid w:val="005D237F"/>
    <w:rsid w:val="005D2698"/>
    <w:rsid w:val="005D2CD3"/>
    <w:rsid w:val="005D35CF"/>
    <w:rsid w:val="005D3894"/>
    <w:rsid w:val="005D3CF9"/>
    <w:rsid w:val="005D4F91"/>
    <w:rsid w:val="005D63DC"/>
    <w:rsid w:val="005E0931"/>
    <w:rsid w:val="005E1267"/>
    <w:rsid w:val="005E1B69"/>
    <w:rsid w:val="005E20D6"/>
    <w:rsid w:val="005E250B"/>
    <w:rsid w:val="005E2E0A"/>
    <w:rsid w:val="005E2FC9"/>
    <w:rsid w:val="005E30EE"/>
    <w:rsid w:val="005E3B2E"/>
    <w:rsid w:val="005E3EF3"/>
    <w:rsid w:val="005E4350"/>
    <w:rsid w:val="005E49E8"/>
    <w:rsid w:val="005E5116"/>
    <w:rsid w:val="005E5B4C"/>
    <w:rsid w:val="005E62A8"/>
    <w:rsid w:val="005E6B2C"/>
    <w:rsid w:val="005E7598"/>
    <w:rsid w:val="005E776E"/>
    <w:rsid w:val="005F0AA0"/>
    <w:rsid w:val="005F15BF"/>
    <w:rsid w:val="005F1A6B"/>
    <w:rsid w:val="005F237D"/>
    <w:rsid w:val="005F283B"/>
    <w:rsid w:val="005F3087"/>
    <w:rsid w:val="005F3431"/>
    <w:rsid w:val="005F3C14"/>
    <w:rsid w:val="005F4EC4"/>
    <w:rsid w:val="005F6017"/>
    <w:rsid w:val="005F60B4"/>
    <w:rsid w:val="005F7997"/>
    <w:rsid w:val="005F7E6C"/>
    <w:rsid w:val="0060028B"/>
    <w:rsid w:val="00601497"/>
    <w:rsid w:val="00602486"/>
    <w:rsid w:val="00602553"/>
    <w:rsid w:val="00602743"/>
    <w:rsid w:val="00603C4E"/>
    <w:rsid w:val="0060586D"/>
    <w:rsid w:val="0060595B"/>
    <w:rsid w:val="00605AFD"/>
    <w:rsid w:val="00605B35"/>
    <w:rsid w:val="00605CAE"/>
    <w:rsid w:val="00605D29"/>
    <w:rsid w:val="006060F9"/>
    <w:rsid w:val="006064FC"/>
    <w:rsid w:val="00606745"/>
    <w:rsid w:val="00606F4E"/>
    <w:rsid w:val="00607507"/>
    <w:rsid w:val="00607C7C"/>
    <w:rsid w:val="006104F9"/>
    <w:rsid w:val="0061134D"/>
    <w:rsid w:val="0061169B"/>
    <w:rsid w:val="0061185E"/>
    <w:rsid w:val="00612087"/>
    <w:rsid w:val="006123D4"/>
    <w:rsid w:val="00612411"/>
    <w:rsid w:val="00612B6C"/>
    <w:rsid w:val="00612CBA"/>
    <w:rsid w:val="00612DBB"/>
    <w:rsid w:val="0061345C"/>
    <w:rsid w:val="0061405A"/>
    <w:rsid w:val="00614D40"/>
    <w:rsid w:val="00614FA6"/>
    <w:rsid w:val="00614FE4"/>
    <w:rsid w:val="00615AB7"/>
    <w:rsid w:val="00615ECF"/>
    <w:rsid w:val="00616693"/>
    <w:rsid w:val="00616A27"/>
    <w:rsid w:val="00616DDF"/>
    <w:rsid w:val="00617B63"/>
    <w:rsid w:val="00620541"/>
    <w:rsid w:val="00620A14"/>
    <w:rsid w:val="00621498"/>
    <w:rsid w:val="006220B4"/>
    <w:rsid w:val="006222B8"/>
    <w:rsid w:val="00622427"/>
    <w:rsid w:val="006224A5"/>
    <w:rsid w:val="00622A78"/>
    <w:rsid w:val="00623596"/>
    <w:rsid w:val="00623D20"/>
    <w:rsid w:val="00623EC0"/>
    <w:rsid w:val="006240E8"/>
    <w:rsid w:val="00624DBF"/>
    <w:rsid w:val="00624FB6"/>
    <w:rsid w:val="00625492"/>
    <w:rsid w:val="00626419"/>
    <w:rsid w:val="006269B7"/>
    <w:rsid w:val="00626F7D"/>
    <w:rsid w:val="00627378"/>
    <w:rsid w:val="00627F00"/>
    <w:rsid w:val="00627FC4"/>
    <w:rsid w:val="00630522"/>
    <w:rsid w:val="00630FC3"/>
    <w:rsid w:val="00632E20"/>
    <w:rsid w:val="00632ECD"/>
    <w:rsid w:val="00632F93"/>
    <w:rsid w:val="006330C7"/>
    <w:rsid w:val="00633D35"/>
    <w:rsid w:val="00635333"/>
    <w:rsid w:val="006354B9"/>
    <w:rsid w:val="0063572C"/>
    <w:rsid w:val="00635A1A"/>
    <w:rsid w:val="00636BB2"/>
    <w:rsid w:val="00637697"/>
    <w:rsid w:val="00637840"/>
    <w:rsid w:val="00637C14"/>
    <w:rsid w:val="00637CE5"/>
    <w:rsid w:val="0064068C"/>
    <w:rsid w:val="00641D79"/>
    <w:rsid w:val="00642801"/>
    <w:rsid w:val="0064283A"/>
    <w:rsid w:val="00642911"/>
    <w:rsid w:val="00643542"/>
    <w:rsid w:val="006449D1"/>
    <w:rsid w:val="00645AC7"/>
    <w:rsid w:val="0064631F"/>
    <w:rsid w:val="006463C7"/>
    <w:rsid w:val="006465BF"/>
    <w:rsid w:val="00646B15"/>
    <w:rsid w:val="00646D5D"/>
    <w:rsid w:val="006473E8"/>
    <w:rsid w:val="006478D7"/>
    <w:rsid w:val="00647C23"/>
    <w:rsid w:val="00647F92"/>
    <w:rsid w:val="00647FA8"/>
    <w:rsid w:val="00650033"/>
    <w:rsid w:val="0065004A"/>
    <w:rsid w:val="0065010A"/>
    <w:rsid w:val="00652178"/>
    <w:rsid w:val="0065286D"/>
    <w:rsid w:val="006529EF"/>
    <w:rsid w:val="00653770"/>
    <w:rsid w:val="006538EC"/>
    <w:rsid w:val="00653CAF"/>
    <w:rsid w:val="00654319"/>
    <w:rsid w:val="006546C5"/>
    <w:rsid w:val="00654A39"/>
    <w:rsid w:val="006558AE"/>
    <w:rsid w:val="00656331"/>
    <w:rsid w:val="00656356"/>
    <w:rsid w:val="00657C36"/>
    <w:rsid w:val="006605ED"/>
    <w:rsid w:val="0066091A"/>
    <w:rsid w:val="00660A67"/>
    <w:rsid w:val="006618C7"/>
    <w:rsid w:val="00664162"/>
    <w:rsid w:val="00664295"/>
    <w:rsid w:val="006651E9"/>
    <w:rsid w:val="00666756"/>
    <w:rsid w:val="00671FA6"/>
    <w:rsid w:val="006723AC"/>
    <w:rsid w:val="0067351C"/>
    <w:rsid w:val="006740B6"/>
    <w:rsid w:val="00674D57"/>
    <w:rsid w:val="006755BF"/>
    <w:rsid w:val="00675648"/>
    <w:rsid w:val="00675694"/>
    <w:rsid w:val="006757A1"/>
    <w:rsid w:val="00675936"/>
    <w:rsid w:val="00675CE2"/>
    <w:rsid w:val="006776BB"/>
    <w:rsid w:val="006776C1"/>
    <w:rsid w:val="006779C9"/>
    <w:rsid w:val="00677F79"/>
    <w:rsid w:val="00677FAD"/>
    <w:rsid w:val="00680399"/>
    <w:rsid w:val="006811DA"/>
    <w:rsid w:val="006819EA"/>
    <w:rsid w:val="00681A18"/>
    <w:rsid w:val="00681A1C"/>
    <w:rsid w:val="006820E8"/>
    <w:rsid w:val="006824EC"/>
    <w:rsid w:val="00682880"/>
    <w:rsid w:val="00684111"/>
    <w:rsid w:val="00684AEE"/>
    <w:rsid w:val="00685269"/>
    <w:rsid w:val="006855BB"/>
    <w:rsid w:val="006856AD"/>
    <w:rsid w:val="00685959"/>
    <w:rsid w:val="00685B31"/>
    <w:rsid w:val="00686165"/>
    <w:rsid w:val="00687C42"/>
    <w:rsid w:val="00687E26"/>
    <w:rsid w:val="0069121E"/>
    <w:rsid w:val="00691CB5"/>
    <w:rsid w:val="00691CF4"/>
    <w:rsid w:val="00691D23"/>
    <w:rsid w:val="00692113"/>
    <w:rsid w:val="0069350A"/>
    <w:rsid w:val="00693CCF"/>
    <w:rsid w:val="00694C7A"/>
    <w:rsid w:val="00694FB8"/>
    <w:rsid w:val="006957DB"/>
    <w:rsid w:val="00696300"/>
    <w:rsid w:val="0069670C"/>
    <w:rsid w:val="00696A15"/>
    <w:rsid w:val="006A0630"/>
    <w:rsid w:val="006A07B9"/>
    <w:rsid w:val="006A0BC0"/>
    <w:rsid w:val="006A0C98"/>
    <w:rsid w:val="006A0FFB"/>
    <w:rsid w:val="006A108B"/>
    <w:rsid w:val="006A1D5D"/>
    <w:rsid w:val="006A20F8"/>
    <w:rsid w:val="006A23C5"/>
    <w:rsid w:val="006A2D39"/>
    <w:rsid w:val="006A421E"/>
    <w:rsid w:val="006A4665"/>
    <w:rsid w:val="006A6747"/>
    <w:rsid w:val="006A6C91"/>
    <w:rsid w:val="006A6EE1"/>
    <w:rsid w:val="006A771F"/>
    <w:rsid w:val="006A7B15"/>
    <w:rsid w:val="006A7F46"/>
    <w:rsid w:val="006B09A6"/>
    <w:rsid w:val="006B0B94"/>
    <w:rsid w:val="006B1D3F"/>
    <w:rsid w:val="006B2B43"/>
    <w:rsid w:val="006B2BCF"/>
    <w:rsid w:val="006B37B6"/>
    <w:rsid w:val="006B48F7"/>
    <w:rsid w:val="006B4D19"/>
    <w:rsid w:val="006B57D5"/>
    <w:rsid w:val="006B5E7C"/>
    <w:rsid w:val="006B6276"/>
    <w:rsid w:val="006B629C"/>
    <w:rsid w:val="006B683D"/>
    <w:rsid w:val="006B6D90"/>
    <w:rsid w:val="006B6D9A"/>
    <w:rsid w:val="006B7454"/>
    <w:rsid w:val="006B74FB"/>
    <w:rsid w:val="006B79E6"/>
    <w:rsid w:val="006C10B2"/>
    <w:rsid w:val="006C1684"/>
    <w:rsid w:val="006C1D61"/>
    <w:rsid w:val="006C222B"/>
    <w:rsid w:val="006C2B73"/>
    <w:rsid w:val="006C2FF4"/>
    <w:rsid w:val="006C4108"/>
    <w:rsid w:val="006C415A"/>
    <w:rsid w:val="006C4B76"/>
    <w:rsid w:val="006C5455"/>
    <w:rsid w:val="006C54DC"/>
    <w:rsid w:val="006C590F"/>
    <w:rsid w:val="006C5A57"/>
    <w:rsid w:val="006C5C42"/>
    <w:rsid w:val="006C5E6F"/>
    <w:rsid w:val="006C645D"/>
    <w:rsid w:val="006C66AE"/>
    <w:rsid w:val="006C671B"/>
    <w:rsid w:val="006C6AED"/>
    <w:rsid w:val="006C7828"/>
    <w:rsid w:val="006C7AF9"/>
    <w:rsid w:val="006D02F5"/>
    <w:rsid w:val="006D181D"/>
    <w:rsid w:val="006D214C"/>
    <w:rsid w:val="006D2887"/>
    <w:rsid w:val="006D2B20"/>
    <w:rsid w:val="006D35AB"/>
    <w:rsid w:val="006D3B9C"/>
    <w:rsid w:val="006D4244"/>
    <w:rsid w:val="006D427A"/>
    <w:rsid w:val="006D42C7"/>
    <w:rsid w:val="006D4A81"/>
    <w:rsid w:val="006D51FF"/>
    <w:rsid w:val="006D56A7"/>
    <w:rsid w:val="006D5C18"/>
    <w:rsid w:val="006D6238"/>
    <w:rsid w:val="006D66A6"/>
    <w:rsid w:val="006D6B97"/>
    <w:rsid w:val="006D7E90"/>
    <w:rsid w:val="006E178A"/>
    <w:rsid w:val="006E1B5B"/>
    <w:rsid w:val="006E2105"/>
    <w:rsid w:val="006E2194"/>
    <w:rsid w:val="006E228E"/>
    <w:rsid w:val="006E2EF4"/>
    <w:rsid w:val="006E3507"/>
    <w:rsid w:val="006E35B7"/>
    <w:rsid w:val="006E37DE"/>
    <w:rsid w:val="006E3AD5"/>
    <w:rsid w:val="006E3CC3"/>
    <w:rsid w:val="006E47EB"/>
    <w:rsid w:val="006E492B"/>
    <w:rsid w:val="006E4EA4"/>
    <w:rsid w:val="006E5A98"/>
    <w:rsid w:val="006E612E"/>
    <w:rsid w:val="006E6660"/>
    <w:rsid w:val="006E7F58"/>
    <w:rsid w:val="006F035B"/>
    <w:rsid w:val="006F0B39"/>
    <w:rsid w:val="006F277F"/>
    <w:rsid w:val="006F2860"/>
    <w:rsid w:val="006F29B5"/>
    <w:rsid w:val="006F3633"/>
    <w:rsid w:val="006F3F08"/>
    <w:rsid w:val="006F5006"/>
    <w:rsid w:val="006F5A3E"/>
    <w:rsid w:val="006F613E"/>
    <w:rsid w:val="006F656C"/>
    <w:rsid w:val="006F682E"/>
    <w:rsid w:val="006F6888"/>
    <w:rsid w:val="006F6B89"/>
    <w:rsid w:val="006F7CA1"/>
    <w:rsid w:val="0070070B"/>
    <w:rsid w:val="00700E66"/>
    <w:rsid w:val="00702589"/>
    <w:rsid w:val="00702965"/>
    <w:rsid w:val="00703547"/>
    <w:rsid w:val="00704555"/>
    <w:rsid w:val="00704FF7"/>
    <w:rsid w:val="007051A5"/>
    <w:rsid w:val="007057AA"/>
    <w:rsid w:val="00705AEB"/>
    <w:rsid w:val="00706406"/>
    <w:rsid w:val="00706538"/>
    <w:rsid w:val="00706582"/>
    <w:rsid w:val="007067F8"/>
    <w:rsid w:val="00707014"/>
    <w:rsid w:val="00707310"/>
    <w:rsid w:val="007073A2"/>
    <w:rsid w:val="00707771"/>
    <w:rsid w:val="00707F43"/>
    <w:rsid w:val="007108D0"/>
    <w:rsid w:val="0071096A"/>
    <w:rsid w:val="00711C17"/>
    <w:rsid w:val="0071280B"/>
    <w:rsid w:val="00712DA8"/>
    <w:rsid w:val="00712E24"/>
    <w:rsid w:val="007131C3"/>
    <w:rsid w:val="007133CF"/>
    <w:rsid w:val="00714950"/>
    <w:rsid w:val="00715D06"/>
    <w:rsid w:val="00715D32"/>
    <w:rsid w:val="00715D4A"/>
    <w:rsid w:val="007162E2"/>
    <w:rsid w:val="0072067C"/>
    <w:rsid w:val="007213D2"/>
    <w:rsid w:val="007214FE"/>
    <w:rsid w:val="007218B3"/>
    <w:rsid w:val="00721A41"/>
    <w:rsid w:val="007227D9"/>
    <w:rsid w:val="0072282D"/>
    <w:rsid w:val="00722E1F"/>
    <w:rsid w:val="007230CF"/>
    <w:rsid w:val="0072359A"/>
    <w:rsid w:val="007236E6"/>
    <w:rsid w:val="00724306"/>
    <w:rsid w:val="0072517F"/>
    <w:rsid w:val="00725A50"/>
    <w:rsid w:val="00725CDC"/>
    <w:rsid w:val="00726774"/>
    <w:rsid w:val="00726F90"/>
    <w:rsid w:val="00727156"/>
    <w:rsid w:val="00727180"/>
    <w:rsid w:val="007272C0"/>
    <w:rsid w:val="0072761C"/>
    <w:rsid w:val="00730500"/>
    <w:rsid w:val="00730580"/>
    <w:rsid w:val="00730851"/>
    <w:rsid w:val="00731103"/>
    <w:rsid w:val="00732653"/>
    <w:rsid w:val="00732B61"/>
    <w:rsid w:val="00733282"/>
    <w:rsid w:val="00733305"/>
    <w:rsid w:val="007336AA"/>
    <w:rsid w:val="00733C33"/>
    <w:rsid w:val="00733C79"/>
    <w:rsid w:val="00733D15"/>
    <w:rsid w:val="007377C3"/>
    <w:rsid w:val="00737B0F"/>
    <w:rsid w:val="00737E8F"/>
    <w:rsid w:val="00740239"/>
    <w:rsid w:val="007411EC"/>
    <w:rsid w:val="00742636"/>
    <w:rsid w:val="007431C9"/>
    <w:rsid w:val="007435F4"/>
    <w:rsid w:val="0074385A"/>
    <w:rsid w:val="007441EC"/>
    <w:rsid w:val="00745A87"/>
    <w:rsid w:val="00746202"/>
    <w:rsid w:val="00746854"/>
    <w:rsid w:val="00747EB6"/>
    <w:rsid w:val="00750490"/>
    <w:rsid w:val="007505BB"/>
    <w:rsid w:val="007508D0"/>
    <w:rsid w:val="00751399"/>
    <w:rsid w:val="007519B0"/>
    <w:rsid w:val="00752D26"/>
    <w:rsid w:val="0075303C"/>
    <w:rsid w:val="007531BA"/>
    <w:rsid w:val="0075434C"/>
    <w:rsid w:val="00754EAF"/>
    <w:rsid w:val="00756EBF"/>
    <w:rsid w:val="00757FC6"/>
    <w:rsid w:val="00760246"/>
    <w:rsid w:val="00760525"/>
    <w:rsid w:val="00760B8D"/>
    <w:rsid w:val="00760DCF"/>
    <w:rsid w:val="00760E64"/>
    <w:rsid w:val="00760F36"/>
    <w:rsid w:val="00761092"/>
    <w:rsid w:val="00761506"/>
    <w:rsid w:val="007617A2"/>
    <w:rsid w:val="0076327E"/>
    <w:rsid w:val="0076397F"/>
    <w:rsid w:val="00763F57"/>
    <w:rsid w:val="007648EC"/>
    <w:rsid w:val="007648FC"/>
    <w:rsid w:val="007669E5"/>
    <w:rsid w:val="00766F8D"/>
    <w:rsid w:val="0076788C"/>
    <w:rsid w:val="00767F54"/>
    <w:rsid w:val="00770FF6"/>
    <w:rsid w:val="00771DBC"/>
    <w:rsid w:val="00772123"/>
    <w:rsid w:val="00772902"/>
    <w:rsid w:val="007739DC"/>
    <w:rsid w:val="00773F51"/>
    <w:rsid w:val="007740E4"/>
    <w:rsid w:val="00774D22"/>
    <w:rsid w:val="00774E33"/>
    <w:rsid w:val="0077504A"/>
    <w:rsid w:val="007750BA"/>
    <w:rsid w:val="007751CD"/>
    <w:rsid w:val="007752D0"/>
    <w:rsid w:val="0077617C"/>
    <w:rsid w:val="00776BC8"/>
    <w:rsid w:val="00777086"/>
    <w:rsid w:val="0077799C"/>
    <w:rsid w:val="007810CE"/>
    <w:rsid w:val="0078162A"/>
    <w:rsid w:val="00781A82"/>
    <w:rsid w:val="00781F96"/>
    <w:rsid w:val="00783536"/>
    <w:rsid w:val="007835C9"/>
    <w:rsid w:val="007835DD"/>
    <w:rsid w:val="00783796"/>
    <w:rsid w:val="00783C93"/>
    <w:rsid w:val="00783D22"/>
    <w:rsid w:val="00784C7A"/>
    <w:rsid w:val="00784E8E"/>
    <w:rsid w:val="0078509F"/>
    <w:rsid w:val="00785FA4"/>
    <w:rsid w:val="007860B6"/>
    <w:rsid w:val="007867C2"/>
    <w:rsid w:val="007868BB"/>
    <w:rsid w:val="00790513"/>
    <w:rsid w:val="00790701"/>
    <w:rsid w:val="00790FB3"/>
    <w:rsid w:val="00791326"/>
    <w:rsid w:val="00791540"/>
    <w:rsid w:val="0079245C"/>
    <w:rsid w:val="00792DD4"/>
    <w:rsid w:val="007935F3"/>
    <w:rsid w:val="00793939"/>
    <w:rsid w:val="00794499"/>
    <w:rsid w:val="00794B6A"/>
    <w:rsid w:val="007951FD"/>
    <w:rsid w:val="00795249"/>
    <w:rsid w:val="007959EA"/>
    <w:rsid w:val="007A042E"/>
    <w:rsid w:val="007A0572"/>
    <w:rsid w:val="007A0DEF"/>
    <w:rsid w:val="007A19A9"/>
    <w:rsid w:val="007A2576"/>
    <w:rsid w:val="007A2678"/>
    <w:rsid w:val="007A26B8"/>
    <w:rsid w:val="007A2881"/>
    <w:rsid w:val="007A2F55"/>
    <w:rsid w:val="007A3C4F"/>
    <w:rsid w:val="007A3DA6"/>
    <w:rsid w:val="007A3EB1"/>
    <w:rsid w:val="007A4CB9"/>
    <w:rsid w:val="007A5700"/>
    <w:rsid w:val="007A6689"/>
    <w:rsid w:val="007A7A14"/>
    <w:rsid w:val="007A7E51"/>
    <w:rsid w:val="007B090D"/>
    <w:rsid w:val="007B10EB"/>
    <w:rsid w:val="007B1881"/>
    <w:rsid w:val="007B1C60"/>
    <w:rsid w:val="007B2043"/>
    <w:rsid w:val="007B21EE"/>
    <w:rsid w:val="007B2889"/>
    <w:rsid w:val="007B32B4"/>
    <w:rsid w:val="007B340B"/>
    <w:rsid w:val="007B3705"/>
    <w:rsid w:val="007B440E"/>
    <w:rsid w:val="007B4DF5"/>
    <w:rsid w:val="007B5042"/>
    <w:rsid w:val="007B5079"/>
    <w:rsid w:val="007B51EA"/>
    <w:rsid w:val="007B595E"/>
    <w:rsid w:val="007B5A04"/>
    <w:rsid w:val="007B5A42"/>
    <w:rsid w:val="007B5B02"/>
    <w:rsid w:val="007B5D05"/>
    <w:rsid w:val="007B5D86"/>
    <w:rsid w:val="007B6534"/>
    <w:rsid w:val="007B686B"/>
    <w:rsid w:val="007B689B"/>
    <w:rsid w:val="007B71FF"/>
    <w:rsid w:val="007B7540"/>
    <w:rsid w:val="007B7BCF"/>
    <w:rsid w:val="007B7C15"/>
    <w:rsid w:val="007B7DDC"/>
    <w:rsid w:val="007B7E72"/>
    <w:rsid w:val="007C0867"/>
    <w:rsid w:val="007C0EDE"/>
    <w:rsid w:val="007C2B78"/>
    <w:rsid w:val="007C2B84"/>
    <w:rsid w:val="007C2CAA"/>
    <w:rsid w:val="007C2F39"/>
    <w:rsid w:val="007C3480"/>
    <w:rsid w:val="007C3D4A"/>
    <w:rsid w:val="007C433D"/>
    <w:rsid w:val="007C48A3"/>
    <w:rsid w:val="007C49F0"/>
    <w:rsid w:val="007C4CD2"/>
    <w:rsid w:val="007C52FA"/>
    <w:rsid w:val="007C5B21"/>
    <w:rsid w:val="007C619C"/>
    <w:rsid w:val="007C619D"/>
    <w:rsid w:val="007C750A"/>
    <w:rsid w:val="007C7531"/>
    <w:rsid w:val="007C7885"/>
    <w:rsid w:val="007C79DD"/>
    <w:rsid w:val="007C7F2A"/>
    <w:rsid w:val="007D0025"/>
    <w:rsid w:val="007D0C7B"/>
    <w:rsid w:val="007D0D62"/>
    <w:rsid w:val="007D174C"/>
    <w:rsid w:val="007D2778"/>
    <w:rsid w:val="007D3085"/>
    <w:rsid w:val="007D31C3"/>
    <w:rsid w:val="007D39AD"/>
    <w:rsid w:val="007D4314"/>
    <w:rsid w:val="007D4742"/>
    <w:rsid w:val="007D4FFF"/>
    <w:rsid w:val="007D523D"/>
    <w:rsid w:val="007D5AA6"/>
    <w:rsid w:val="007D5D2B"/>
    <w:rsid w:val="007D695A"/>
    <w:rsid w:val="007D6F11"/>
    <w:rsid w:val="007D7D8E"/>
    <w:rsid w:val="007E0747"/>
    <w:rsid w:val="007E0A99"/>
    <w:rsid w:val="007E10DC"/>
    <w:rsid w:val="007E2299"/>
    <w:rsid w:val="007E2AB9"/>
    <w:rsid w:val="007E2CD2"/>
    <w:rsid w:val="007E3B65"/>
    <w:rsid w:val="007E4E62"/>
    <w:rsid w:val="007E6456"/>
    <w:rsid w:val="007E6BF2"/>
    <w:rsid w:val="007E7400"/>
    <w:rsid w:val="007E7696"/>
    <w:rsid w:val="007F0D0B"/>
    <w:rsid w:val="007F0D77"/>
    <w:rsid w:val="007F1461"/>
    <w:rsid w:val="007F1490"/>
    <w:rsid w:val="007F212C"/>
    <w:rsid w:val="007F22C2"/>
    <w:rsid w:val="007F295E"/>
    <w:rsid w:val="007F310F"/>
    <w:rsid w:val="007F3305"/>
    <w:rsid w:val="007F3558"/>
    <w:rsid w:val="007F37E6"/>
    <w:rsid w:val="007F393C"/>
    <w:rsid w:val="007F411A"/>
    <w:rsid w:val="007F451A"/>
    <w:rsid w:val="007F471C"/>
    <w:rsid w:val="007F4B16"/>
    <w:rsid w:val="007F4BE0"/>
    <w:rsid w:val="007F4D7F"/>
    <w:rsid w:val="007F51D8"/>
    <w:rsid w:val="007F6646"/>
    <w:rsid w:val="007F7480"/>
    <w:rsid w:val="007F7A31"/>
    <w:rsid w:val="007F7BA9"/>
    <w:rsid w:val="007F7E46"/>
    <w:rsid w:val="0080011E"/>
    <w:rsid w:val="008002DC"/>
    <w:rsid w:val="00800EF6"/>
    <w:rsid w:val="00800FC3"/>
    <w:rsid w:val="00801443"/>
    <w:rsid w:val="008030A5"/>
    <w:rsid w:val="00803C7D"/>
    <w:rsid w:val="00804B07"/>
    <w:rsid w:val="00804CDC"/>
    <w:rsid w:val="00805DE5"/>
    <w:rsid w:val="008064F6"/>
    <w:rsid w:val="008066A9"/>
    <w:rsid w:val="00807561"/>
    <w:rsid w:val="0080774C"/>
    <w:rsid w:val="00807A25"/>
    <w:rsid w:val="0081047F"/>
    <w:rsid w:val="00810612"/>
    <w:rsid w:val="0081066F"/>
    <w:rsid w:val="0081079F"/>
    <w:rsid w:val="00810E31"/>
    <w:rsid w:val="00811064"/>
    <w:rsid w:val="00811483"/>
    <w:rsid w:val="00812137"/>
    <w:rsid w:val="0081253A"/>
    <w:rsid w:val="008125C4"/>
    <w:rsid w:val="00812A3B"/>
    <w:rsid w:val="00812B52"/>
    <w:rsid w:val="008143EB"/>
    <w:rsid w:val="008145EF"/>
    <w:rsid w:val="00814620"/>
    <w:rsid w:val="008147FA"/>
    <w:rsid w:val="00814E71"/>
    <w:rsid w:val="00815668"/>
    <w:rsid w:val="00815756"/>
    <w:rsid w:val="00815EBA"/>
    <w:rsid w:val="00817274"/>
    <w:rsid w:val="00820A77"/>
    <w:rsid w:val="0082164D"/>
    <w:rsid w:val="00821B3D"/>
    <w:rsid w:val="00821CCD"/>
    <w:rsid w:val="008230A7"/>
    <w:rsid w:val="008237B8"/>
    <w:rsid w:val="00823895"/>
    <w:rsid w:val="00823D50"/>
    <w:rsid w:val="008243BA"/>
    <w:rsid w:val="00824AEC"/>
    <w:rsid w:val="00824B28"/>
    <w:rsid w:val="00824C37"/>
    <w:rsid w:val="00824D52"/>
    <w:rsid w:val="008253F1"/>
    <w:rsid w:val="00825674"/>
    <w:rsid w:val="0082640D"/>
    <w:rsid w:val="0082656C"/>
    <w:rsid w:val="008270C4"/>
    <w:rsid w:val="008270F0"/>
    <w:rsid w:val="008303FC"/>
    <w:rsid w:val="00830916"/>
    <w:rsid w:val="00831B14"/>
    <w:rsid w:val="00832387"/>
    <w:rsid w:val="00832842"/>
    <w:rsid w:val="00833745"/>
    <w:rsid w:val="00833ADB"/>
    <w:rsid w:val="00833FD9"/>
    <w:rsid w:val="00834243"/>
    <w:rsid w:val="0083446E"/>
    <w:rsid w:val="00834EC4"/>
    <w:rsid w:val="008357E7"/>
    <w:rsid w:val="00835F31"/>
    <w:rsid w:val="0083653F"/>
    <w:rsid w:val="008366DE"/>
    <w:rsid w:val="008378E1"/>
    <w:rsid w:val="008402A9"/>
    <w:rsid w:val="00840C78"/>
    <w:rsid w:val="00840CA8"/>
    <w:rsid w:val="00841589"/>
    <w:rsid w:val="0084181F"/>
    <w:rsid w:val="008420D2"/>
    <w:rsid w:val="00842D18"/>
    <w:rsid w:val="00844131"/>
    <w:rsid w:val="008445BA"/>
    <w:rsid w:val="008447CE"/>
    <w:rsid w:val="008450CC"/>
    <w:rsid w:val="008453B6"/>
    <w:rsid w:val="00845AFD"/>
    <w:rsid w:val="0084678C"/>
    <w:rsid w:val="00847290"/>
    <w:rsid w:val="00850333"/>
    <w:rsid w:val="00850AEE"/>
    <w:rsid w:val="00850EE3"/>
    <w:rsid w:val="00850F7D"/>
    <w:rsid w:val="008525F2"/>
    <w:rsid w:val="00852BC4"/>
    <w:rsid w:val="00852BF6"/>
    <w:rsid w:val="00853B17"/>
    <w:rsid w:val="008549E3"/>
    <w:rsid w:val="00854FB0"/>
    <w:rsid w:val="00855618"/>
    <w:rsid w:val="008567C9"/>
    <w:rsid w:val="00857283"/>
    <w:rsid w:val="00857478"/>
    <w:rsid w:val="00857969"/>
    <w:rsid w:val="00857BDE"/>
    <w:rsid w:val="00860612"/>
    <w:rsid w:val="0086266D"/>
    <w:rsid w:val="00863546"/>
    <w:rsid w:val="0086440A"/>
    <w:rsid w:val="008647A4"/>
    <w:rsid w:val="00864D7D"/>
    <w:rsid w:val="00865B63"/>
    <w:rsid w:val="00866223"/>
    <w:rsid w:val="0086667D"/>
    <w:rsid w:val="00866E7A"/>
    <w:rsid w:val="00867440"/>
    <w:rsid w:val="0086782A"/>
    <w:rsid w:val="008679E6"/>
    <w:rsid w:val="00867F51"/>
    <w:rsid w:val="00867FF7"/>
    <w:rsid w:val="008709D3"/>
    <w:rsid w:val="00870C37"/>
    <w:rsid w:val="008714FC"/>
    <w:rsid w:val="00871501"/>
    <w:rsid w:val="00871E77"/>
    <w:rsid w:val="00872616"/>
    <w:rsid w:val="0087340F"/>
    <w:rsid w:val="0087381A"/>
    <w:rsid w:val="00873912"/>
    <w:rsid w:val="00874498"/>
    <w:rsid w:val="00874511"/>
    <w:rsid w:val="008749EF"/>
    <w:rsid w:val="00876499"/>
    <w:rsid w:val="0087712A"/>
    <w:rsid w:val="00877327"/>
    <w:rsid w:val="00877977"/>
    <w:rsid w:val="00880094"/>
    <w:rsid w:val="00880848"/>
    <w:rsid w:val="00880B38"/>
    <w:rsid w:val="008812C3"/>
    <w:rsid w:val="00881B87"/>
    <w:rsid w:val="00881EA4"/>
    <w:rsid w:val="0088331A"/>
    <w:rsid w:val="00883A49"/>
    <w:rsid w:val="00884408"/>
    <w:rsid w:val="00885A2E"/>
    <w:rsid w:val="00885F72"/>
    <w:rsid w:val="0088644B"/>
    <w:rsid w:val="00886E74"/>
    <w:rsid w:val="008908C4"/>
    <w:rsid w:val="008923F8"/>
    <w:rsid w:val="00892457"/>
    <w:rsid w:val="00893654"/>
    <w:rsid w:val="00894040"/>
    <w:rsid w:val="008946CF"/>
    <w:rsid w:val="008954B8"/>
    <w:rsid w:val="00895AB5"/>
    <w:rsid w:val="00895D7B"/>
    <w:rsid w:val="00897016"/>
    <w:rsid w:val="008972C4"/>
    <w:rsid w:val="00897658"/>
    <w:rsid w:val="00897764"/>
    <w:rsid w:val="008977BD"/>
    <w:rsid w:val="00897913"/>
    <w:rsid w:val="00897AD6"/>
    <w:rsid w:val="008A07FC"/>
    <w:rsid w:val="008A0B23"/>
    <w:rsid w:val="008A1187"/>
    <w:rsid w:val="008A2D28"/>
    <w:rsid w:val="008A2E18"/>
    <w:rsid w:val="008A316F"/>
    <w:rsid w:val="008A3606"/>
    <w:rsid w:val="008A3CA0"/>
    <w:rsid w:val="008A40F1"/>
    <w:rsid w:val="008A44DD"/>
    <w:rsid w:val="008A4554"/>
    <w:rsid w:val="008A4FE4"/>
    <w:rsid w:val="008A78F2"/>
    <w:rsid w:val="008A79FF"/>
    <w:rsid w:val="008A7A6B"/>
    <w:rsid w:val="008B03BB"/>
    <w:rsid w:val="008B109B"/>
    <w:rsid w:val="008B1499"/>
    <w:rsid w:val="008B239E"/>
    <w:rsid w:val="008B245D"/>
    <w:rsid w:val="008B2799"/>
    <w:rsid w:val="008B30F2"/>
    <w:rsid w:val="008B3553"/>
    <w:rsid w:val="008B3F16"/>
    <w:rsid w:val="008B42A1"/>
    <w:rsid w:val="008B51F5"/>
    <w:rsid w:val="008B5852"/>
    <w:rsid w:val="008B6130"/>
    <w:rsid w:val="008B71C8"/>
    <w:rsid w:val="008C0862"/>
    <w:rsid w:val="008C1003"/>
    <w:rsid w:val="008C3862"/>
    <w:rsid w:val="008C3E01"/>
    <w:rsid w:val="008C4602"/>
    <w:rsid w:val="008C523E"/>
    <w:rsid w:val="008C566D"/>
    <w:rsid w:val="008C65D4"/>
    <w:rsid w:val="008C68A5"/>
    <w:rsid w:val="008C6C9E"/>
    <w:rsid w:val="008D0AFB"/>
    <w:rsid w:val="008D138C"/>
    <w:rsid w:val="008D14CC"/>
    <w:rsid w:val="008D1705"/>
    <w:rsid w:val="008D1F27"/>
    <w:rsid w:val="008D2F30"/>
    <w:rsid w:val="008D3149"/>
    <w:rsid w:val="008D32AC"/>
    <w:rsid w:val="008D338D"/>
    <w:rsid w:val="008D339F"/>
    <w:rsid w:val="008D4570"/>
    <w:rsid w:val="008D470D"/>
    <w:rsid w:val="008D4BF3"/>
    <w:rsid w:val="008D4E37"/>
    <w:rsid w:val="008D79AF"/>
    <w:rsid w:val="008D7E69"/>
    <w:rsid w:val="008D7F38"/>
    <w:rsid w:val="008E0B68"/>
    <w:rsid w:val="008E1375"/>
    <w:rsid w:val="008E16E8"/>
    <w:rsid w:val="008E1920"/>
    <w:rsid w:val="008E240A"/>
    <w:rsid w:val="008E3E93"/>
    <w:rsid w:val="008E410D"/>
    <w:rsid w:val="008E4E8F"/>
    <w:rsid w:val="008E58F7"/>
    <w:rsid w:val="008E6292"/>
    <w:rsid w:val="008E6747"/>
    <w:rsid w:val="008E7B40"/>
    <w:rsid w:val="008E7C4E"/>
    <w:rsid w:val="008E7DE4"/>
    <w:rsid w:val="008F0959"/>
    <w:rsid w:val="008F1C4A"/>
    <w:rsid w:val="008F1DE5"/>
    <w:rsid w:val="008F262F"/>
    <w:rsid w:val="008F3AB1"/>
    <w:rsid w:val="008F3D45"/>
    <w:rsid w:val="008F4077"/>
    <w:rsid w:val="008F4100"/>
    <w:rsid w:val="008F4516"/>
    <w:rsid w:val="008F4F9D"/>
    <w:rsid w:val="008F5F84"/>
    <w:rsid w:val="008F616F"/>
    <w:rsid w:val="008F652E"/>
    <w:rsid w:val="008F65B6"/>
    <w:rsid w:val="008F674A"/>
    <w:rsid w:val="008F6D07"/>
    <w:rsid w:val="0090042F"/>
    <w:rsid w:val="00900695"/>
    <w:rsid w:val="00900E90"/>
    <w:rsid w:val="009012A1"/>
    <w:rsid w:val="009017D0"/>
    <w:rsid w:val="00901DD5"/>
    <w:rsid w:val="0090267E"/>
    <w:rsid w:val="0090296B"/>
    <w:rsid w:val="009030FA"/>
    <w:rsid w:val="00903886"/>
    <w:rsid w:val="00903E99"/>
    <w:rsid w:val="00903ED1"/>
    <w:rsid w:val="0090438B"/>
    <w:rsid w:val="009049CB"/>
    <w:rsid w:val="00904D35"/>
    <w:rsid w:val="00905543"/>
    <w:rsid w:val="00906B12"/>
    <w:rsid w:val="00906EFF"/>
    <w:rsid w:val="009070C9"/>
    <w:rsid w:val="00907216"/>
    <w:rsid w:val="009075EB"/>
    <w:rsid w:val="0090762E"/>
    <w:rsid w:val="00910467"/>
    <w:rsid w:val="00910965"/>
    <w:rsid w:val="00910F1E"/>
    <w:rsid w:val="00911BA6"/>
    <w:rsid w:val="009121E4"/>
    <w:rsid w:val="00912910"/>
    <w:rsid w:val="00912E6E"/>
    <w:rsid w:val="00914F0B"/>
    <w:rsid w:val="00915A49"/>
    <w:rsid w:val="00915BB8"/>
    <w:rsid w:val="00915C96"/>
    <w:rsid w:val="00915E16"/>
    <w:rsid w:val="00916472"/>
    <w:rsid w:val="00916685"/>
    <w:rsid w:val="00917EFA"/>
    <w:rsid w:val="00920A22"/>
    <w:rsid w:val="00921057"/>
    <w:rsid w:val="0092110E"/>
    <w:rsid w:val="009219FB"/>
    <w:rsid w:val="00921BDF"/>
    <w:rsid w:val="00922344"/>
    <w:rsid w:val="00923E77"/>
    <w:rsid w:val="009240C6"/>
    <w:rsid w:val="00924715"/>
    <w:rsid w:val="00924A1A"/>
    <w:rsid w:val="00924B4D"/>
    <w:rsid w:val="00924DAD"/>
    <w:rsid w:val="00924FF2"/>
    <w:rsid w:val="009254FA"/>
    <w:rsid w:val="00925586"/>
    <w:rsid w:val="009258C0"/>
    <w:rsid w:val="00925902"/>
    <w:rsid w:val="00925AA5"/>
    <w:rsid w:val="00926627"/>
    <w:rsid w:val="00926BA2"/>
    <w:rsid w:val="00927FE4"/>
    <w:rsid w:val="009309F5"/>
    <w:rsid w:val="00931749"/>
    <w:rsid w:val="00931CED"/>
    <w:rsid w:val="0093200A"/>
    <w:rsid w:val="00932594"/>
    <w:rsid w:val="00932931"/>
    <w:rsid w:val="00932ACC"/>
    <w:rsid w:val="0093373D"/>
    <w:rsid w:val="00936571"/>
    <w:rsid w:val="00937737"/>
    <w:rsid w:val="0094000A"/>
    <w:rsid w:val="0094019D"/>
    <w:rsid w:val="009403FD"/>
    <w:rsid w:val="00940900"/>
    <w:rsid w:val="00940A54"/>
    <w:rsid w:val="00941D0A"/>
    <w:rsid w:val="00941E24"/>
    <w:rsid w:val="00942115"/>
    <w:rsid w:val="009422F1"/>
    <w:rsid w:val="0094275A"/>
    <w:rsid w:val="00942C11"/>
    <w:rsid w:val="009432C3"/>
    <w:rsid w:val="009438AB"/>
    <w:rsid w:val="00943F4B"/>
    <w:rsid w:val="00944415"/>
    <w:rsid w:val="00944B7F"/>
    <w:rsid w:val="0094557F"/>
    <w:rsid w:val="0094607A"/>
    <w:rsid w:val="009461FE"/>
    <w:rsid w:val="00946485"/>
    <w:rsid w:val="00947225"/>
    <w:rsid w:val="00950753"/>
    <w:rsid w:val="00950F68"/>
    <w:rsid w:val="009516C7"/>
    <w:rsid w:val="0095223C"/>
    <w:rsid w:val="00952280"/>
    <w:rsid w:val="00953210"/>
    <w:rsid w:val="00953475"/>
    <w:rsid w:val="00953A3E"/>
    <w:rsid w:val="00954C74"/>
    <w:rsid w:val="00955594"/>
    <w:rsid w:val="00955624"/>
    <w:rsid w:val="00956367"/>
    <w:rsid w:val="00956AA5"/>
    <w:rsid w:val="00956D3E"/>
    <w:rsid w:val="00957D63"/>
    <w:rsid w:val="0096004F"/>
    <w:rsid w:val="0096051A"/>
    <w:rsid w:val="009607BE"/>
    <w:rsid w:val="00961297"/>
    <w:rsid w:val="009615EA"/>
    <w:rsid w:val="00961945"/>
    <w:rsid w:val="00961C2B"/>
    <w:rsid w:val="00961C49"/>
    <w:rsid w:val="009628EA"/>
    <w:rsid w:val="0096336C"/>
    <w:rsid w:val="00963886"/>
    <w:rsid w:val="009638A0"/>
    <w:rsid w:val="009644BF"/>
    <w:rsid w:val="0096456C"/>
    <w:rsid w:val="00964837"/>
    <w:rsid w:val="009651B5"/>
    <w:rsid w:val="0096634E"/>
    <w:rsid w:val="00966F9A"/>
    <w:rsid w:val="00967021"/>
    <w:rsid w:val="0096718D"/>
    <w:rsid w:val="0096730D"/>
    <w:rsid w:val="00967481"/>
    <w:rsid w:val="009676DB"/>
    <w:rsid w:val="00967850"/>
    <w:rsid w:val="00970DC7"/>
    <w:rsid w:val="00971297"/>
    <w:rsid w:val="00971813"/>
    <w:rsid w:val="00972033"/>
    <w:rsid w:val="00972528"/>
    <w:rsid w:val="00973228"/>
    <w:rsid w:val="009732EC"/>
    <w:rsid w:val="00974E03"/>
    <w:rsid w:val="0097531C"/>
    <w:rsid w:val="00975987"/>
    <w:rsid w:val="009759C3"/>
    <w:rsid w:val="00975BD9"/>
    <w:rsid w:val="00976352"/>
    <w:rsid w:val="0097698F"/>
    <w:rsid w:val="00976E37"/>
    <w:rsid w:val="0097721B"/>
    <w:rsid w:val="009778EB"/>
    <w:rsid w:val="009802AF"/>
    <w:rsid w:val="00981FD4"/>
    <w:rsid w:val="009821CE"/>
    <w:rsid w:val="00982285"/>
    <w:rsid w:val="0098241D"/>
    <w:rsid w:val="00983EAF"/>
    <w:rsid w:val="00983ECE"/>
    <w:rsid w:val="00984009"/>
    <w:rsid w:val="00984F78"/>
    <w:rsid w:val="00985070"/>
    <w:rsid w:val="009852CF"/>
    <w:rsid w:val="009856BC"/>
    <w:rsid w:val="00985E1B"/>
    <w:rsid w:val="0098602A"/>
    <w:rsid w:val="009862DB"/>
    <w:rsid w:val="00986386"/>
    <w:rsid w:val="00987222"/>
    <w:rsid w:val="009872DF"/>
    <w:rsid w:val="00987778"/>
    <w:rsid w:val="00987CEE"/>
    <w:rsid w:val="009906C6"/>
    <w:rsid w:val="00990A46"/>
    <w:rsid w:val="009927FC"/>
    <w:rsid w:val="00992D38"/>
    <w:rsid w:val="0099320F"/>
    <w:rsid w:val="00993580"/>
    <w:rsid w:val="00993F4F"/>
    <w:rsid w:val="0099416C"/>
    <w:rsid w:val="009946D1"/>
    <w:rsid w:val="00994BA3"/>
    <w:rsid w:val="009957B2"/>
    <w:rsid w:val="00995D7A"/>
    <w:rsid w:val="00996069"/>
    <w:rsid w:val="009963D3"/>
    <w:rsid w:val="00996C41"/>
    <w:rsid w:val="0099758B"/>
    <w:rsid w:val="009A056D"/>
    <w:rsid w:val="009A0A66"/>
    <w:rsid w:val="009A209F"/>
    <w:rsid w:val="009A2799"/>
    <w:rsid w:val="009A2C9C"/>
    <w:rsid w:val="009A3897"/>
    <w:rsid w:val="009A3A69"/>
    <w:rsid w:val="009A590A"/>
    <w:rsid w:val="009A5BBD"/>
    <w:rsid w:val="009A5DF5"/>
    <w:rsid w:val="009A6147"/>
    <w:rsid w:val="009A6489"/>
    <w:rsid w:val="009A658F"/>
    <w:rsid w:val="009A668A"/>
    <w:rsid w:val="009A6D47"/>
    <w:rsid w:val="009A74A4"/>
    <w:rsid w:val="009B055A"/>
    <w:rsid w:val="009B06AB"/>
    <w:rsid w:val="009B0A42"/>
    <w:rsid w:val="009B14F3"/>
    <w:rsid w:val="009B1E7D"/>
    <w:rsid w:val="009B24B5"/>
    <w:rsid w:val="009B25FD"/>
    <w:rsid w:val="009B298E"/>
    <w:rsid w:val="009B2C16"/>
    <w:rsid w:val="009B3518"/>
    <w:rsid w:val="009B3BD7"/>
    <w:rsid w:val="009B3CA4"/>
    <w:rsid w:val="009B4341"/>
    <w:rsid w:val="009B46A7"/>
    <w:rsid w:val="009B46AE"/>
    <w:rsid w:val="009B4800"/>
    <w:rsid w:val="009B485C"/>
    <w:rsid w:val="009B57CD"/>
    <w:rsid w:val="009B5C48"/>
    <w:rsid w:val="009B5FFC"/>
    <w:rsid w:val="009B6518"/>
    <w:rsid w:val="009B65E0"/>
    <w:rsid w:val="009B69E8"/>
    <w:rsid w:val="009C0A4C"/>
    <w:rsid w:val="009C12AB"/>
    <w:rsid w:val="009C14E8"/>
    <w:rsid w:val="009C1B3C"/>
    <w:rsid w:val="009C27D0"/>
    <w:rsid w:val="009C2FEE"/>
    <w:rsid w:val="009C33B8"/>
    <w:rsid w:val="009C34A1"/>
    <w:rsid w:val="009C3669"/>
    <w:rsid w:val="009C3D9F"/>
    <w:rsid w:val="009C5148"/>
    <w:rsid w:val="009C5AF6"/>
    <w:rsid w:val="009C68CD"/>
    <w:rsid w:val="009C697A"/>
    <w:rsid w:val="009C6ED3"/>
    <w:rsid w:val="009C7658"/>
    <w:rsid w:val="009C7713"/>
    <w:rsid w:val="009C7CCF"/>
    <w:rsid w:val="009D008D"/>
    <w:rsid w:val="009D07D4"/>
    <w:rsid w:val="009D0995"/>
    <w:rsid w:val="009D1720"/>
    <w:rsid w:val="009D1735"/>
    <w:rsid w:val="009D18B4"/>
    <w:rsid w:val="009D293C"/>
    <w:rsid w:val="009D2ACA"/>
    <w:rsid w:val="009D2BD0"/>
    <w:rsid w:val="009D2E20"/>
    <w:rsid w:val="009D33F9"/>
    <w:rsid w:val="009D665D"/>
    <w:rsid w:val="009D6DDD"/>
    <w:rsid w:val="009D7848"/>
    <w:rsid w:val="009D7D63"/>
    <w:rsid w:val="009E0E77"/>
    <w:rsid w:val="009E10CF"/>
    <w:rsid w:val="009E13C2"/>
    <w:rsid w:val="009E1CFA"/>
    <w:rsid w:val="009E2A52"/>
    <w:rsid w:val="009E3B73"/>
    <w:rsid w:val="009E3F7F"/>
    <w:rsid w:val="009E469A"/>
    <w:rsid w:val="009E47C7"/>
    <w:rsid w:val="009E4FB1"/>
    <w:rsid w:val="009E5107"/>
    <w:rsid w:val="009E6F03"/>
    <w:rsid w:val="009E70FE"/>
    <w:rsid w:val="009E724A"/>
    <w:rsid w:val="009E741A"/>
    <w:rsid w:val="009E7BFD"/>
    <w:rsid w:val="009E7EE3"/>
    <w:rsid w:val="009F0DD6"/>
    <w:rsid w:val="009F1814"/>
    <w:rsid w:val="009F1A30"/>
    <w:rsid w:val="009F1F5C"/>
    <w:rsid w:val="009F334E"/>
    <w:rsid w:val="009F534B"/>
    <w:rsid w:val="009F597B"/>
    <w:rsid w:val="009F604B"/>
    <w:rsid w:val="009F607C"/>
    <w:rsid w:val="009F61EC"/>
    <w:rsid w:val="009F68E8"/>
    <w:rsid w:val="009F7262"/>
    <w:rsid w:val="00A00709"/>
    <w:rsid w:val="00A00B9D"/>
    <w:rsid w:val="00A01E54"/>
    <w:rsid w:val="00A01FCF"/>
    <w:rsid w:val="00A0233C"/>
    <w:rsid w:val="00A063C0"/>
    <w:rsid w:val="00A0690B"/>
    <w:rsid w:val="00A06C95"/>
    <w:rsid w:val="00A06F95"/>
    <w:rsid w:val="00A072D1"/>
    <w:rsid w:val="00A07D9A"/>
    <w:rsid w:val="00A110A0"/>
    <w:rsid w:val="00A11DD4"/>
    <w:rsid w:val="00A120AA"/>
    <w:rsid w:val="00A1258E"/>
    <w:rsid w:val="00A142FF"/>
    <w:rsid w:val="00A14B59"/>
    <w:rsid w:val="00A1533E"/>
    <w:rsid w:val="00A156B1"/>
    <w:rsid w:val="00A1577C"/>
    <w:rsid w:val="00A16645"/>
    <w:rsid w:val="00A16E03"/>
    <w:rsid w:val="00A173EB"/>
    <w:rsid w:val="00A17C3A"/>
    <w:rsid w:val="00A20D4E"/>
    <w:rsid w:val="00A21E01"/>
    <w:rsid w:val="00A223BC"/>
    <w:rsid w:val="00A2372D"/>
    <w:rsid w:val="00A23D4D"/>
    <w:rsid w:val="00A24776"/>
    <w:rsid w:val="00A24925"/>
    <w:rsid w:val="00A24A48"/>
    <w:rsid w:val="00A24F8F"/>
    <w:rsid w:val="00A251DB"/>
    <w:rsid w:val="00A251F6"/>
    <w:rsid w:val="00A256CD"/>
    <w:rsid w:val="00A256EE"/>
    <w:rsid w:val="00A258D2"/>
    <w:rsid w:val="00A260CD"/>
    <w:rsid w:val="00A2644B"/>
    <w:rsid w:val="00A269FE"/>
    <w:rsid w:val="00A26FFA"/>
    <w:rsid w:val="00A27CA9"/>
    <w:rsid w:val="00A27CD5"/>
    <w:rsid w:val="00A3003B"/>
    <w:rsid w:val="00A3004C"/>
    <w:rsid w:val="00A311BA"/>
    <w:rsid w:val="00A31957"/>
    <w:rsid w:val="00A326C5"/>
    <w:rsid w:val="00A32C5E"/>
    <w:rsid w:val="00A32C62"/>
    <w:rsid w:val="00A33524"/>
    <w:rsid w:val="00A33546"/>
    <w:rsid w:val="00A336DE"/>
    <w:rsid w:val="00A345E2"/>
    <w:rsid w:val="00A3513F"/>
    <w:rsid w:val="00A354B8"/>
    <w:rsid w:val="00A356EF"/>
    <w:rsid w:val="00A3590B"/>
    <w:rsid w:val="00A35E1A"/>
    <w:rsid w:val="00A35F9D"/>
    <w:rsid w:val="00A361ED"/>
    <w:rsid w:val="00A362B5"/>
    <w:rsid w:val="00A365EF"/>
    <w:rsid w:val="00A37451"/>
    <w:rsid w:val="00A3749B"/>
    <w:rsid w:val="00A37635"/>
    <w:rsid w:val="00A376A5"/>
    <w:rsid w:val="00A376E2"/>
    <w:rsid w:val="00A37EF3"/>
    <w:rsid w:val="00A40489"/>
    <w:rsid w:val="00A418F5"/>
    <w:rsid w:val="00A41DFF"/>
    <w:rsid w:val="00A4236B"/>
    <w:rsid w:val="00A4258D"/>
    <w:rsid w:val="00A427BB"/>
    <w:rsid w:val="00A435EA"/>
    <w:rsid w:val="00A43C8D"/>
    <w:rsid w:val="00A44465"/>
    <w:rsid w:val="00A45591"/>
    <w:rsid w:val="00A45975"/>
    <w:rsid w:val="00A459A6"/>
    <w:rsid w:val="00A46505"/>
    <w:rsid w:val="00A46B82"/>
    <w:rsid w:val="00A47614"/>
    <w:rsid w:val="00A47AF8"/>
    <w:rsid w:val="00A47C04"/>
    <w:rsid w:val="00A500EF"/>
    <w:rsid w:val="00A50D2D"/>
    <w:rsid w:val="00A51556"/>
    <w:rsid w:val="00A521FE"/>
    <w:rsid w:val="00A5296E"/>
    <w:rsid w:val="00A533FB"/>
    <w:rsid w:val="00A538BC"/>
    <w:rsid w:val="00A53C4E"/>
    <w:rsid w:val="00A54A67"/>
    <w:rsid w:val="00A54DDE"/>
    <w:rsid w:val="00A55086"/>
    <w:rsid w:val="00A55113"/>
    <w:rsid w:val="00A557A1"/>
    <w:rsid w:val="00A55B95"/>
    <w:rsid w:val="00A5691E"/>
    <w:rsid w:val="00A571DE"/>
    <w:rsid w:val="00A57D79"/>
    <w:rsid w:val="00A60647"/>
    <w:rsid w:val="00A6088C"/>
    <w:rsid w:val="00A60B15"/>
    <w:rsid w:val="00A60E8E"/>
    <w:rsid w:val="00A6104F"/>
    <w:rsid w:val="00A6136D"/>
    <w:rsid w:val="00A61370"/>
    <w:rsid w:val="00A619BA"/>
    <w:rsid w:val="00A61A9C"/>
    <w:rsid w:val="00A62205"/>
    <w:rsid w:val="00A62E42"/>
    <w:rsid w:val="00A6305B"/>
    <w:rsid w:val="00A631D1"/>
    <w:rsid w:val="00A635A8"/>
    <w:rsid w:val="00A637AD"/>
    <w:rsid w:val="00A64055"/>
    <w:rsid w:val="00A642E7"/>
    <w:rsid w:val="00A6479C"/>
    <w:rsid w:val="00A64A71"/>
    <w:rsid w:val="00A64C23"/>
    <w:rsid w:val="00A658AA"/>
    <w:rsid w:val="00A65901"/>
    <w:rsid w:val="00A6590D"/>
    <w:rsid w:val="00A65B9A"/>
    <w:rsid w:val="00A65C4E"/>
    <w:rsid w:val="00A65D92"/>
    <w:rsid w:val="00A65EA2"/>
    <w:rsid w:val="00A66613"/>
    <w:rsid w:val="00A66EF2"/>
    <w:rsid w:val="00A67C0D"/>
    <w:rsid w:val="00A67C7B"/>
    <w:rsid w:val="00A67D59"/>
    <w:rsid w:val="00A7020B"/>
    <w:rsid w:val="00A705F4"/>
    <w:rsid w:val="00A7067B"/>
    <w:rsid w:val="00A70757"/>
    <w:rsid w:val="00A70802"/>
    <w:rsid w:val="00A71285"/>
    <w:rsid w:val="00A71F1E"/>
    <w:rsid w:val="00A71F4F"/>
    <w:rsid w:val="00A7224D"/>
    <w:rsid w:val="00A72F63"/>
    <w:rsid w:val="00A72FA2"/>
    <w:rsid w:val="00A73344"/>
    <w:rsid w:val="00A7335A"/>
    <w:rsid w:val="00A7359F"/>
    <w:rsid w:val="00A73C97"/>
    <w:rsid w:val="00A73FC4"/>
    <w:rsid w:val="00A74707"/>
    <w:rsid w:val="00A74D1B"/>
    <w:rsid w:val="00A757D0"/>
    <w:rsid w:val="00A759C0"/>
    <w:rsid w:val="00A76CDF"/>
    <w:rsid w:val="00A76EF6"/>
    <w:rsid w:val="00A7750D"/>
    <w:rsid w:val="00A777D8"/>
    <w:rsid w:val="00A77A31"/>
    <w:rsid w:val="00A77D22"/>
    <w:rsid w:val="00A80622"/>
    <w:rsid w:val="00A80730"/>
    <w:rsid w:val="00A80DEF"/>
    <w:rsid w:val="00A81459"/>
    <w:rsid w:val="00A8167E"/>
    <w:rsid w:val="00A81A51"/>
    <w:rsid w:val="00A82840"/>
    <w:rsid w:val="00A82F58"/>
    <w:rsid w:val="00A8390D"/>
    <w:rsid w:val="00A83F8F"/>
    <w:rsid w:val="00A845BF"/>
    <w:rsid w:val="00A86114"/>
    <w:rsid w:val="00A868DF"/>
    <w:rsid w:val="00A86F9D"/>
    <w:rsid w:val="00A8749E"/>
    <w:rsid w:val="00A87507"/>
    <w:rsid w:val="00A87AB2"/>
    <w:rsid w:val="00A911A4"/>
    <w:rsid w:val="00A91674"/>
    <w:rsid w:val="00A919D0"/>
    <w:rsid w:val="00A91A77"/>
    <w:rsid w:val="00A92156"/>
    <w:rsid w:val="00A92DB8"/>
    <w:rsid w:val="00A92EA4"/>
    <w:rsid w:val="00A949F4"/>
    <w:rsid w:val="00A96315"/>
    <w:rsid w:val="00A96332"/>
    <w:rsid w:val="00AA038A"/>
    <w:rsid w:val="00AA0C0E"/>
    <w:rsid w:val="00AA0FC5"/>
    <w:rsid w:val="00AA286C"/>
    <w:rsid w:val="00AA2A5F"/>
    <w:rsid w:val="00AA37B6"/>
    <w:rsid w:val="00AA4375"/>
    <w:rsid w:val="00AA51BC"/>
    <w:rsid w:val="00AA581E"/>
    <w:rsid w:val="00AA5CB6"/>
    <w:rsid w:val="00AA5F00"/>
    <w:rsid w:val="00AA6A28"/>
    <w:rsid w:val="00AA6CC1"/>
    <w:rsid w:val="00AA6FFB"/>
    <w:rsid w:val="00AA770E"/>
    <w:rsid w:val="00AA7E2D"/>
    <w:rsid w:val="00AB0975"/>
    <w:rsid w:val="00AB0B4D"/>
    <w:rsid w:val="00AB1171"/>
    <w:rsid w:val="00AB17D7"/>
    <w:rsid w:val="00AB1F65"/>
    <w:rsid w:val="00AB2315"/>
    <w:rsid w:val="00AB27A4"/>
    <w:rsid w:val="00AB30A7"/>
    <w:rsid w:val="00AB35EB"/>
    <w:rsid w:val="00AB3802"/>
    <w:rsid w:val="00AB3894"/>
    <w:rsid w:val="00AB5E28"/>
    <w:rsid w:val="00AB6F2E"/>
    <w:rsid w:val="00AB71CA"/>
    <w:rsid w:val="00AB789D"/>
    <w:rsid w:val="00AB7A5A"/>
    <w:rsid w:val="00AB7E4B"/>
    <w:rsid w:val="00AC02B6"/>
    <w:rsid w:val="00AC1BE1"/>
    <w:rsid w:val="00AC203E"/>
    <w:rsid w:val="00AC214D"/>
    <w:rsid w:val="00AC25ED"/>
    <w:rsid w:val="00AC3286"/>
    <w:rsid w:val="00AC3783"/>
    <w:rsid w:val="00AC397D"/>
    <w:rsid w:val="00AC3ECD"/>
    <w:rsid w:val="00AC4AC9"/>
    <w:rsid w:val="00AC4F61"/>
    <w:rsid w:val="00AC539E"/>
    <w:rsid w:val="00AC53CE"/>
    <w:rsid w:val="00AC56AF"/>
    <w:rsid w:val="00AC5F9E"/>
    <w:rsid w:val="00AC674A"/>
    <w:rsid w:val="00AC701C"/>
    <w:rsid w:val="00AC7334"/>
    <w:rsid w:val="00AC76BF"/>
    <w:rsid w:val="00AC798D"/>
    <w:rsid w:val="00AC7F05"/>
    <w:rsid w:val="00AD0315"/>
    <w:rsid w:val="00AD0505"/>
    <w:rsid w:val="00AD157F"/>
    <w:rsid w:val="00AD1CCA"/>
    <w:rsid w:val="00AD1F5E"/>
    <w:rsid w:val="00AD216D"/>
    <w:rsid w:val="00AD255E"/>
    <w:rsid w:val="00AD2C3C"/>
    <w:rsid w:val="00AD2D0B"/>
    <w:rsid w:val="00AD3C62"/>
    <w:rsid w:val="00AD43B7"/>
    <w:rsid w:val="00AD548A"/>
    <w:rsid w:val="00AD5622"/>
    <w:rsid w:val="00AD59D2"/>
    <w:rsid w:val="00AD5D54"/>
    <w:rsid w:val="00AD654A"/>
    <w:rsid w:val="00AD7159"/>
    <w:rsid w:val="00AD7922"/>
    <w:rsid w:val="00AE0B70"/>
    <w:rsid w:val="00AE0B82"/>
    <w:rsid w:val="00AE0C30"/>
    <w:rsid w:val="00AE0EA6"/>
    <w:rsid w:val="00AE10EA"/>
    <w:rsid w:val="00AE137B"/>
    <w:rsid w:val="00AE1DAA"/>
    <w:rsid w:val="00AE252C"/>
    <w:rsid w:val="00AE2F90"/>
    <w:rsid w:val="00AE31C2"/>
    <w:rsid w:val="00AE4336"/>
    <w:rsid w:val="00AE553B"/>
    <w:rsid w:val="00AE612F"/>
    <w:rsid w:val="00AE7F93"/>
    <w:rsid w:val="00AF19B0"/>
    <w:rsid w:val="00AF247E"/>
    <w:rsid w:val="00AF29A5"/>
    <w:rsid w:val="00AF3595"/>
    <w:rsid w:val="00AF4C04"/>
    <w:rsid w:val="00AF54FF"/>
    <w:rsid w:val="00AF5EDD"/>
    <w:rsid w:val="00AF60FC"/>
    <w:rsid w:val="00AF6100"/>
    <w:rsid w:val="00AF638E"/>
    <w:rsid w:val="00AF7114"/>
    <w:rsid w:val="00AF7245"/>
    <w:rsid w:val="00AF7A22"/>
    <w:rsid w:val="00B00514"/>
    <w:rsid w:val="00B0082F"/>
    <w:rsid w:val="00B008BB"/>
    <w:rsid w:val="00B02A00"/>
    <w:rsid w:val="00B03676"/>
    <w:rsid w:val="00B03793"/>
    <w:rsid w:val="00B040F3"/>
    <w:rsid w:val="00B04136"/>
    <w:rsid w:val="00B053C9"/>
    <w:rsid w:val="00B05B2E"/>
    <w:rsid w:val="00B070B8"/>
    <w:rsid w:val="00B07131"/>
    <w:rsid w:val="00B10443"/>
    <w:rsid w:val="00B107FE"/>
    <w:rsid w:val="00B1125E"/>
    <w:rsid w:val="00B11A47"/>
    <w:rsid w:val="00B11B08"/>
    <w:rsid w:val="00B124B5"/>
    <w:rsid w:val="00B12BE0"/>
    <w:rsid w:val="00B135B2"/>
    <w:rsid w:val="00B136E7"/>
    <w:rsid w:val="00B139AE"/>
    <w:rsid w:val="00B139D1"/>
    <w:rsid w:val="00B13A25"/>
    <w:rsid w:val="00B13A72"/>
    <w:rsid w:val="00B13DB2"/>
    <w:rsid w:val="00B13F1B"/>
    <w:rsid w:val="00B14305"/>
    <w:rsid w:val="00B147EE"/>
    <w:rsid w:val="00B14840"/>
    <w:rsid w:val="00B14EAB"/>
    <w:rsid w:val="00B152E6"/>
    <w:rsid w:val="00B15409"/>
    <w:rsid w:val="00B1573F"/>
    <w:rsid w:val="00B159B1"/>
    <w:rsid w:val="00B15CFB"/>
    <w:rsid w:val="00B15D5B"/>
    <w:rsid w:val="00B16B76"/>
    <w:rsid w:val="00B17362"/>
    <w:rsid w:val="00B20DD2"/>
    <w:rsid w:val="00B210EC"/>
    <w:rsid w:val="00B21DEC"/>
    <w:rsid w:val="00B222B7"/>
    <w:rsid w:val="00B23AA2"/>
    <w:rsid w:val="00B2442F"/>
    <w:rsid w:val="00B249EC"/>
    <w:rsid w:val="00B26382"/>
    <w:rsid w:val="00B265AB"/>
    <w:rsid w:val="00B308AA"/>
    <w:rsid w:val="00B30B6D"/>
    <w:rsid w:val="00B3149D"/>
    <w:rsid w:val="00B31ABF"/>
    <w:rsid w:val="00B32EFB"/>
    <w:rsid w:val="00B33BDC"/>
    <w:rsid w:val="00B33C41"/>
    <w:rsid w:val="00B34652"/>
    <w:rsid w:val="00B34885"/>
    <w:rsid w:val="00B35207"/>
    <w:rsid w:val="00B353B0"/>
    <w:rsid w:val="00B3590B"/>
    <w:rsid w:val="00B35F8F"/>
    <w:rsid w:val="00B36942"/>
    <w:rsid w:val="00B37456"/>
    <w:rsid w:val="00B37C4D"/>
    <w:rsid w:val="00B37DDF"/>
    <w:rsid w:val="00B40152"/>
    <w:rsid w:val="00B40C22"/>
    <w:rsid w:val="00B4135F"/>
    <w:rsid w:val="00B41BF5"/>
    <w:rsid w:val="00B424CD"/>
    <w:rsid w:val="00B427E5"/>
    <w:rsid w:val="00B42D19"/>
    <w:rsid w:val="00B43081"/>
    <w:rsid w:val="00B44E27"/>
    <w:rsid w:val="00B451DA"/>
    <w:rsid w:val="00B45AF4"/>
    <w:rsid w:val="00B4600C"/>
    <w:rsid w:val="00B5136A"/>
    <w:rsid w:val="00B51C57"/>
    <w:rsid w:val="00B525A4"/>
    <w:rsid w:val="00B52871"/>
    <w:rsid w:val="00B52909"/>
    <w:rsid w:val="00B5372F"/>
    <w:rsid w:val="00B53BDA"/>
    <w:rsid w:val="00B5418C"/>
    <w:rsid w:val="00B5444E"/>
    <w:rsid w:val="00B55438"/>
    <w:rsid w:val="00B55467"/>
    <w:rsid w:val="00B55A10"/>
    <w:rsid w:val="00B579B2"/>
    <w:rsid w:val="00B57BC0"/>
    <w:rsid w:val="00B57EEB"/>
    <w:rsid w:val="00B57FD2"/>
    <w:rsid w:val="00B60689"/>
    <w:rsid w:val="00B61714"/>
    <w:rsid w:val="00B61BC3"/>
    <w:rsid w:val="00B6236E"/>
    <w:rsid w:val="00B62954"/>
    <w:rsid w:val="00B63439"/>
    <w:rsid w:val="00B66BE3"/>
    <w:rsid w:val="00B66C1D"/>
    <w:rsid w:val="00B67311"/>
    <w:rsid w:val="00B67F2B"/>
    <w:rsid w:val="00B7043D"/>
    <w:rsid w:val="00B70C69"/>
    <w:rsid w:val="00B71631"/>
    <w:rsid w:val="00B71B27"/>
    <w:rsid w:val="00B729B9"/>
    <w:rsid w:val="00B73D18"/>
    <w:rsid w:val="00B745E9"/>
    <w:rsid w:val="00B747DB"/>
    <w:rsid w:val="00B74935"/>
    <w:rsid w:val="00B753DF"/>
    <w:rsid w:val="00B753E6"/>
    <w:rsid w:val="00B754FC"/>
    <w:rsid w:val="00B75D2E"/>
    <w:rsid w:val="00B75D85"/>
    <w:rsid w:val="00B76644"/>
    <w:rsid w:val="00B770FF"/>
    <w:rsid w:val="00B777F8"/>
    <w:rsid w:val="00B77A37"/>
    <w:rsid w:val="00B8005C"/>
    <w:rsid w:val="00B801E0"/>
    <w:rsid w:val="00B822E9"/>
    <w:rsid w:val="00B827CD"/>
    <w:rsid w:val="00B82942"/>
    <w:rsid w:val="00B82BCB"/>
    <w:rsid w:val="00B82EF9"/>
    <w:rsid w:val="00B8411B"/>
    <w:rsid w:val="00B84DEA"/>
    <w:rsid w:val="00B85068"/>
    <w:rsid w:val="00B85655"/>
    <w:rsid w:val="00B8571B"/>
    <w:rsid w:val="00B85890"/>
    <w:rsid w:val="00B85CAA"/>
    <w:rsid w:val="00B85F45"/>
    <w:rsid w:val="00B85F47"/>
    <w:rsid w:val="00B87654"/>
    <w:rsid w:val="00B87782"/>
    <w:rsid w:val="00B87927"/>
    <w:rsid w:val="00B87D14"/>
    <w:rsid w:val="00B911F6"/>
    <w:rsid w:val="00B9120F"/>
    <w:rsid w:val="00B919BC"/>
    <w:rsid w:val="00B91B01"/>
    <w:rsid w:val="00B92619"/>
    <w:rsid w:val="00B92862"/>
    <w:rsid w:val="00B92F9F"/>
    <w:rsid w:val="00B93206"/>
    <w:rsid w:val="00B9439A"/>
    <w:rsid w:val="00B9456B"/>
    <w:rsid w:val="00B94C74"/>
    <w:rsid w:val="00B95919"/>
    <w:rsid w:val="00B960A4"/>
    <w:rsid w:val="00B96411"/>
    <w:rsid w:val="00B97893"/>
    <w:rsid w:val="00BA103F"/>
    <w:rsid w:val="00BA142B"/>
    <w:rsid w:val="00BA24BE"/>
    <w:rsid w:val="00BA32CB"/>
    <w:rsid w:val="00BA37FD"/>
    <w:rsid w:val="00BA3C86"/>
    <w:rsid w:val="00BA3D6E"/>
    <w:rsid w:val="00BA4E1C"/>
    <w:rsid w:val="00BA4E68"/>
    <w:rsid w:val="00BA5A42"/>
    <w:rsid w:val="00BA649B"/>
    <w:rsid w:val="00BA6758"/>
    <w:rsid w:val="00BA6A30"/>
    <w:rsid w:val="00BA6A62"/>
    <w:rsid w:val="00BA7EFF"/>
    <w:rsid w:val="00BB077C"/>
    <w:rsid w:val="00BB1762"/>
    <w:rsid w:val="00BB23E1"/>
    <w:rsid w:val="00BB31FC"/>
    <w:rsid w:val="00BB38BF"/>
    <w:rsid w:val="00BB3D73"/>
    <w:rsid w:val="00BB3E7A"/>
    <w:rsid w:val="00BB3FDD"/>
    <w:rsid w:val="00BB424F"/>
    <w:rsid w:val="00BB459F"/>
    <w:rsid w:val="00BB48CB"/>
    <w:rsid w:val="00BB4C7B"/>
    <w:rsid w:val="00BB50F1"/>
    <w:rsid w:val="00BB6240"/>
    <w:rsid w:val="00BB6A15"/>
    <w:rsid w:val="00BB704C"/>
    <w:rsid w:val="00BB7844"/>
    <w:rsid w:val="00BB7E70"/>
    <w:rsid w:val="00BC0178"/>
    <w:rsid w:val="00BC023F"/>
    <w:rsid w:val="00BC0C03"/>
    <w:rsid w:val="00BC16D8"/>
    <w:rsid w:val="00BC1C45"/>
    <w:rsid w:val="00BC1F64"/>
    <w:rsid w:val="00BC3A9B"/>
    <w:rsid w:val="00BC3E59"/>
    <w:rsid w:val="00BC3FE2"/>
    <w:rsid w:val="00BC4226"/>
    <w:rsid w:val="00BC4779"/>
    <w:rsid w:val="00BC53D1"/>
    <w:rsid w:val="00BC5485"/>
    <w:rsid w:val="00BC65AA"/>
    <w:rsid w:val="00BC6A02"/>
    <w:rsid w:val="00BC6BF8"/>
    <w:rsid w:val="00BC6E25"/>
    <w:rsid w:val="00BC70C8"/>
    <w:rsid w:val="00BC7811"/>
    <w:rsid w:val="00BC7AA3"/>
    <w:rsid w:val="00BC7ABF"/>
    <w:rsid w:val="00BC7C51"/>
    <w:rsid w:val="00BD08F3"/>
    <w:rsid w:val="00BD0C47"/>
    <w:rsid w:val="00BD1503"/>
    <w:rsid w:val="00BD1AD2"/>
    <w:rsid w:val="00BD2129"/>
    <w:rsid w:val="00BD4733"/>
    <w:rsid w:val="00BD5650"/>
    <w:rsid w:val="00BD57F5"/>
    <w:rsid w:val="00BD58F6"/>
    <w:rsid w:val="00BD635C"/>
    <w:rsid w:val="00BD67B3"/>
    <w:rsid w:val="00BD6B91"/>
    <w:rsid w:val="00BD6FC9"/>
    <w:rsid w:val="00BE0621"/>
    <w:rsid w:val="00BE088D"/>
    <w:rsid w:val="00BE1C21"/>
    <w:rsid w:val="00BE2A18"/>
    <w:rsid w:val="00BE2BAB"/>
    <w:rsid w:val="00BE3D57"/>
    <w:rsid w:val="00BE3DA6"/>
    <w:rsid w:val="00BE3F24"/>
    <w:rsid w:val="00BE4223"/>
    <w:rsid w:val="00BE529B"/>
    <w:rsid w:val="00BE5536"/>
    <w:rsid w:val="00BE594A"/>
    <w:rsid w:val="00BE5C8D"/>
    <w:rsid w:val="00BE61D6"/>
    <w:rsid w:val="00BE7E0C"/>
    <w:rsid w:val="00BF0363"/>
    <w:rsid w:val="00BF0A57"/>
    <w:rsid w:val="00BF1069"/>
    <w:rsid w:val="00BF1740"/>
    <w:rsid w:val="00BF22F8"/>
    <w:rsid w:val="00BF3172"/>
    <w:rsid w:val="00BF40B6"/>
    <w:rsid w:val="00BF41B2"/>
    <w:rsid w:val="00BF43E5"/>
    <w:rsid w:val="00BF4F04"/>
    <w:rsid w:val="00BF534B"/>
    <w:rsid w:val="00BF54DA"/>
    <w:rsid w:val="00BF554D"/>
    <w:rsid w:val="00BF64AA"/>
    <w:rsid w:val="00BF68C2"/>
    <w:rsid w:val="00BF6BE3"/>
    <w:rsid w:val="00BF7708"/>
    <w:rsid w:val="00C00A8C"/>
    <w:rsid w:val="00C00AC7"/>
    <w:rsid w:val="00C02A76"/>
    <w:rsid w:val="00C033E5"/>
    <w:rsid w:val="00C037CF"/>
    <w:rsid w:val="00C03B39"/>
    <w:rsid w:val="00C04228"/>
    <w:rsid w:val="00C04282"/>
    <w:rsid w:val="00C04797"/>
    <w:rsid w:val="00C04BAE"/>
    <w:rsid w:val="00C05268"/>
    <w:rsid w:val="00C06149"/>
    <w:rsid w:val="00C06557"/>
    <w:rsid w:val="00C06DB7"/>
    <w:rsid w:val="00C06F99"/>
    <w:rsid w:val="00C10B14"/>
    <w:rsid w:val="00C11550"/>
    <w:rsid w:val="00C124D8"/>
    <w:rsid w:val="00C12540"/>
    <w:rsid w:val="00C12905"/>
    <w:rsid w:val="00C12AD7"/>
    <w:rsid w:val="00C12B96"/>
    <w:rsid w:val="00C12DA1"/>
    <w:rsid w:val="00C12E06"/>
    <w:rsid w:val="00C1304C"/>
    <w:rsid w:val="00C1357F"/>
    <w:rsid w:val="00C138D3"/>
    <w:rsid w:val="00C13E49"/>
    <w:rsid w:val="00C1406F"/>
    <w:rsid w:val="00C147DB"/>
    <w:rsid w:val="00C148FC"/>
    <w:rsid w:val="00C15F00"/>
    <w:rsid w:val="00C167BE"/>
    <w:rsid w:val="00C1738B"/>
    <w:rsid w:val="00C20833"/>
    <w:rsid w:val="00C23882"/>
    <w:rsid w:val="00C23C38"/>
    <w:rsid w:val="00C24020"/>
    <w:rsid w:val="00C24571"/>
    <w:rsid w:val="00C248B9"/>
    <w:rsid w:val="00C25406"/>
    <w:rsid w:val="00C254AF"/>
    <w:rsid w:val="00C25BED"/>
    <w:rsid w:val="00C26595"/>
    <w:rsid w:val="00C27205"/>
    <w:rsid w:val="00C27B9A"/>
    <w:rsid w:val="00C30297"/>
    <w:rsid w:val="00C3085A"/>
    <w:rsid w:val="00C31162"/>
    <w:rsid w:val="00C313D4"/>
    <w:rsid w:val="00C31CBF"/>
    <w:rsid w:val="00C32467"/>
    <w:rsid w:val="00C3252D"/>
    <w:rsid w:val="00C32531"/>
    <w:rsid w:val="00C3297F"/>
    <w:rsid w:val="00C329EB"/>
    <w:rsid w:val="00C3389A"/>
    <w:rsid w:val="00C33EA4"/>
    <w:rsid w:val="00C34D62"/>
    <w:rsid w:val="00C34F93"/>
    <w:rsid w:val="00C35179"/>
    <w:rsid w:val="00C3529B"/>
    <w:rsid w:val="00C35510"/>
    <w:rsid w:val="00C37463"/>
    <w:rsid w:val="00C37AF2"/>
    <w:rsid w:val="00C37C2E"/>
    <w:rsid w:val="00C40E46"/>
    <w:rsid w:val="00C41363"/>
    <w:rsid w:val="00C416AC"/>
    <w:rsid w:val="00C418D6"/>
    <w:rsid w:val="00C41E39"/>
    <w:rsid w:val="00C4325B"/>
    <w:rsid w:val="00C43A61"/>
    <w:rsid w:val="00C452BC"/>
    <w:rsid w:val="00C455EF"/>
    <w:rsid w:val="00C460C2"/>
    <w:rsid w:val="00C46214"/>
    <w:rsid w:val="00C467F6"/>
    <w:rsid w:val="00C4698F"/>
    <w:rsid w:val="00C473C5"/>
    <w:rsid w:val="00C502C6"/>
    <w:rsid w:val="00C5090D"/>
    <w:rsid w:val="00C50C20"/>
    <w:rsid w:val="00C50C84"/>
    <w:rsid w:val="00C51111"/>
    <w:rsid w:val="00C512C9"/>
    <w:rsid w:val="00C53215"/>
    <w:rsid w:val="00C53435"/>
    <w:rsid w:val="00C539B7"/>
    <w:rsid w:val="00C539C0"/>
    <w:rsid w:val="00C53E6A"/>
    <w:rsid w:val="00C54528"/>
    <w:rsid w:val="00C54E4E"/>
    <w:rsid w:val="00C55693"/>
    <w:rsid w:val="00C56EB8"/>
    <w:rsid w:val="00C57D1D"/>
    <w:rsid w:val="00C57D73"/>
    <w:rsid w:val="00C57FF1"/>
    <w:rsid w:val="00C607AF"/>
    <w:rsid w:val="00C60EC9"/>
    <w:rsid w:val="00C61563"/>
    <w:rsid w:val="00C61971"/>
    <w:rsid w:val="00C62269"/>
    <w:rsid w:val="00C6230E"/>
    <w:rsid w:val="00C62C9D"/>
    <w:rsid w:val="00C62E6F"/>
    <w:rsid w:val="00C63140"/>
    <w:rsid w:val="00C631D4"/>
    <w:rsid w:val="00C64391"/>
    <w:rsid w:val="00C65063"/>
    <w:rsid w:val="00C6525E"/>
    <w:rsid w:val="00C663AB"/>
    <w:rsid w:val="00C67FE4"/>
    <w:rsid w:val="00C7110C"/>
    <w:rsid w:val="00C7184C"/>
    <w:rsid w:val="00C718C8"/>
    <w:rsid w:val="00C7235A"/>
    <w:rsid w:val="00C72A08"/>
    <w:rsid w:val="00C72A98"/>
    <w:rsid w:val="00C72E2A"/>
    <w:rsid w:val="00C73824"/>
    <w:rsid w:val="00C745FF"/>
    <w:rsid w:val="00C74FC8"/>
    <w:rsid w:val="00C7539E"/>
    <w:rsid w:val="00C760DA"/>
    <w:rsid w:val="00C76204"/>
    <w:rsid w:val="00C76E3A"/>
    <w:rsid w:val="00C76F77"/>
    <w:rsid w:val="00C77B37"/>
    <w:rsid w:val="00C77D5C"/>
    <w:rsid w:val="00C802C0"/>
    <w:rsid w:val="00C8074A"/>
    <w:rsid w:val="00C810A5"/>
    <w:rsid w:val="00C81176"/>
    <w:rsid w:val="00C811C3"/>
    <w:rsid w:val="00C8310C"/>
    <w:rsid w:val="00C838CE"/>
    <w:rsid w:val="00C84004"/>
    <w:rsid w:val="00C842E0"/>
    <w:rsid w:val="00C844BE"/>
    <w:rsid w:val="00C844E4"/>
    <w:rsid w:val="00C848AD"/>
    <w:rsid w:val="00C84933"/>
    <w:rsid w:val="00C84C3B"/>
    <w:rsid w:val="00C84E8D"/>
    <w:rsid w:val="00C85145"/>
    <w:rsid w:val="00C85314"/>
    <w:rsid w:val="00C853B2"/>
    <w:rsid w:val="00C854ED"/>
    <w:rsid w:val="00C859F9"/>
    <w:rsid w:val="00C8615A"/>
    <w:rsid w:val="00C86456"/>
    <w:rsid w:val="00C8684C"/>
    <w:rsid w:val="00C86E64"/>
    <w:rsid w:val="00C8713B"/>
    <w:rsid w:val="00C87B9E"/>
    <w:rsid w:val="00C87E44"/>
    <w:rsid w:val="00C87FEA"/>
    <w:rsid w:val="00C914A6"/>
    <w:rsid w:val="00C916B6"/>
    <w:rsid w:val="00C916EF"/>
    <w:rsid w:val="00C91C2F"/>
    <w:rsid w:val="00C9248E"/>
    <w:rsid w:val="00C9267A"/>
    <w:rsid w:val="00C93BD5"/>
    <w:rsid w:val="00C93E3F"/>
    <w:rsid w:val="00C940B9"/>
    <w:rsid w:val="00C94BDB"/>
    <w:rsid w:val="00C94EB6"/>
    <w:rsid w:val="00C959A3"/>
    <w:rsid w:val="00C95D52"/>
    <w:rsid w:val="00C963E6"/>
    <w:rsid w:val="00C9721C"/>
    <w:rsid w:val="00C97A24"/>
    <w:rsid w:val="00CA07C4"/>
    <w:rsid w:val="00CA08E9"/>
    <w:rsid w:val="00CA0958"/>
    <w:rsid w:val="00CA0AA0"/>
    <w:rsid w:val="00CA1095"/>
    <w:rsid w:val="00CA1238"/>
    <w:rsid w:val="00CA1DA1"/>
    <w:rsid w:val="00CA25A7"/>
    <w:rsid w:val="00CA3251"/>
    <w:rsid w:val="00CA46D6"/>
    <w:rsid w:val="00CA4BC0"/>
    <w:rsid w:val="00CA5654"/>
    <w:rsid w:val="00CA5BD8"/>
    <w:rsid w:val="00CA61CE"/>
    <w:rsid w:val="00CA65D5"/>
    <w:rsid w:val="00CA6D50"/>
    <w:rsid w:val="00CA6E47"/>
    <w:rsid w:val="00CA6F38"/>
    <w:rsid w:val="00CA73E9"/>
    <w:rsid w:val="00CA7977"/>
    <w:rsid w:val="00CB0022"/>
    <w:rsid w:val="00CB02CC"/>
    <w:rsid w:val="00CB1291"/>
    <w:rsid w:val="00CB13E4"/>
    <w:rsid w:val="00CB2BFE"/>
    <w:rsid w:val="00CB2D26"/>
    <w:rsid w:val="00CB2E0B"/>
    <w:rsid w:val="00CB3029"/>
    <w:rsid w:val="00CB30FC"/>
    <w:rsid w:val="00CB398D"/>
    <w:rsid w:val="00CB49D5"/>
    <w:rsid w:val="00CB5079"/>
    <w:rsid w:val="00CB5478"/>
    <w:rsid w:val="00CB554B"/>
    <w:rsid w:val="00CB6064"/>
    <w:rsid w:val="00CB6201"/>
    <w:rsid w:val="00CB7238"/>
    <w:rsid w:val="00CB7A70"/>
    <w:rsid w:val="00CB7E4D"/>
    <w:rsid w:val="00CC02D2"/>
    <w:rsid w:val="00CC102E"/>
    <w:rsid w:val="00CC10D8"/>
    <w:rsid w:val="00CC1A8F"/>
    <w:rsid w:val="00CC2550"/>
    <w:rsid w:val="00CC335E"/>
    <w:rsid w:val="00CC48A9"/>
    <w:rsid w:val="00CC48E5"/>
    <w:rsid w:val="00CC559D"/>
    <w:rsid w:val="00CC57FB"/>
    <w:rsid w:val="00CC5A18"/>
    <w:rsid w:val="00CC5C14"/>
    <w:rsid w:val="00CC6B52"/>
    <w:rsid w:val="00CC6FD5"/>
    <w:rsid w:val="00CC7D0C"/>
    <w:rsid w:val="00CD0B08"/>
    <w:rsid w:val="00CD0E62"/>
    <w:rsid w:val="00CD0E88"/>
    <w:rsid w:val="00CD150D"/>
    <w:rsid w:val="00CD24B4"/>
    <w:rsid w:val="00CD2E2B"/>
    <w:rsid w:val="00CD3165"/>
    <w:rsid w:val="00CD3979"/>
    <w:rsid w:val="00CD39B2"/>
    <w:rsid w:val="00CD3F2A"/>
    <w:rsid w:val="00CD445B"/>
    <w:rsid w:val="00CD4713"/>
    <w:rsid w:val="00CD477E"/>
    <w:rsid w:val="00CD5D11"/>
    <w:rsid w:val="00CD5E1C"/>
    <w:rsid w:val="00CD652F"/>
    <w:rsid w:val="00CD654B"/>
    <w:rsid w:val="00CD6704"/>
    <w:rsid w:val="00CD6A6A"/>
    <w:rsid w:val="00CD6A8C"/>
    <w:rsid w:val="00CD6A96"/>
    <w:rsid w:val="00CD6B51"/>
    <w:rsid w:val="00CD6BD4"/>
    <w:rsid w:val="00CD7A4D"/>
    <w:rsid w:val="00CE0773"/>
    <w:rsid w:val="00CE0974"/>
    <w:rsid w:val="00CE0BAA"/>
    <w:rsid w:val="00CE178A"/>
    <w:rsid w:val="00CE223E"/>
    <w:rsid w:val="00CE25B9"/>
    <w:rsid w:val="00CE2EDE"/>
    <w:rsid w:val="00CE314F"/>
    <w:rsid w:val="00CE5B0C"/>
    <w:rsid w:val="00CE7214"/>
    <w:rsid w:val="00CE7312"/>
    <w:rsid w:val="00CE755F"/>
    <w:rsid w:val="00CF0F42"/>
    <w:rsid w:val="00CF0FE7"/>
    <w:rsid w:val="00CF1B62"/>
    <w:rsid w:val="00CF1FD0"/>
    <w:rsid w:val="00CF2106"/>
    <w:rsid w:val="00CF238E"/>
    <w:rsid w:val="00CF301D"/>
    <w:rsid w:val="00CF3951"/>
    <w:rsid w:val="00CF4AE8"/>
    <w:rsid w:val="00CF5071"/>
    <w:rsid w:val="00CF6271"/>
    <w:rsid w:val="00CF6E8D"/>
    <w:rsid w:val="00CF7BEF"/>
    <w:rsid w:val="00D0187B"/>
    <w:rsid w:val="00D02728"/>
    <w:rsid w:val="00D0293F"/>
    <w:rsid w:val="00D02E7E"/>
    <w:rsid w:val="00D03327"/>
    <w:rsid w:val="00D04BF1"/>
    <w:rsid w:val="00D052FD"/>
    <w:rsid w:val="00D061CF"/>
    <w:rsid w:val="00D06396"/>
    <w:rsid w:val="00D100F7"/>
    <w:rsid w:val="00D1069F"/>
    <w:rsid w:val="00D10788"/>
    <w:rsid w:val="00D10D58"/>
    <w:rsid w:val="00D11440"/>
    <w:rsid w:val="00D11D82"/>
    <w:rsid w:val="00D1353E"/>
    <w:rsid w:val="00D13D48"/>
    <w:rsid w:val="00D13DF7"/>
    <w:rsid w:val="00D13FAD"/>
    <w:rsid w:val="00D13FEE"/>
    <w:rsid w:val="00D145F5"/>
    <w:rsid w:val="00D15A36"/>
    <w:rsid w:val="00D15DE2"/>
    <w:rsid w:val="00D15E3F"/>
    <w:rsid w:val="00D1624C"/>
    <w:rsid w:val="00D17ACF"/>
    <w:rsid w:val="00D20504"/>
    <w:rsid w:val="00D20B83"/>
    <w:rsid w:val="00D20F68"/>
    <w:rsid w:val="00D22695"/>
    <w:rsid w:val="00D2475A"/>
    <w:rsid w:val="00D24B86"/>
    <w:rsid w:val="00D24E37"/>
    <w:rsid w:val="00D250FD"/>
    <w:rsid w:val="00D263BB"/>
    <w:rsid w:val="00D267AD"/>
    <w:rsid w:val="00D27890"/>
    <w:rsid w:val="00D27D9E"/>
    <w:rsid w:val="00D27F42"/>
    <w:rsid w:val="00D303E6"/>
    <w:rsid w:val="00D3064E"/>
    <w:rsid w:val="00D307DE"/>
    <w:rsid w:val="00D30AAD"/>
    <w:rsid w:val="00D30E8E"/>
    <w:rsid w:val="00D31B26"/>
    <w:rsid w:val="00D31D54"/>
    <w:rsid w:val="00D31DC2"/>
    <w:rsid w:val="00D32D4E"/>
    <w:rsid w:val="00D33458"/>
    <w:rsid w:val="00D34427"/>
    <w:rsid w:val="00D355F0"/>
    <w:rsid w:val="00D35823"/>
    <w:rsid w:val="00D36176"/>
    <w:rsid w:val="00D361DF"/>
    <w:rsid w:val="00D36835"/>
    <w:rsid w:val="00D36B39"/>
    <w:rsid w:val="00D371F1"/>
    <w:rsid w:val="00D37286"/>
    <w:rsid w:val="00D37786"/>
    <w:rsid w:val="00D37EC3"/>
    <w:rsid w:val="00D400B1"/>
    <w:rsid w:val="00D40297"/>
    <w:rsid w:val="00D418BD"/>
    <w:rsid w:val="00D42057"/>
    <w:rsid w:val="00D42095"/>
    <w:rsid w:val="00D42311"/>
    <w:rsid w:val="00D42BC7"/>
    <w:rsid w:val="00D42D52"/>
    <w:rsid w:val="00D43109"/>
    <w:rsid w:val="00D4331B"/>
    <w:rsid w:val="00D4395D"/>
    <w:rsid w:val="00D439C9"/>
    <w:rsid w:val="00D43CB4"/>
    <w:rsid w:val="00D43DC3"/>
    <w:rsid w:val="00D44737"/>
    <w:rsid w:val="00D459B8"/>
    <w:rsid w:val="00D45AF8"/>
    <w:rsid w:val="00D45D1E"/>
    <w:rsid w:val="00D46478"/>
    <w:rsid w:val="00D46B45"/>
    <w:rsid w:val="00D46C18"/>
    <w:rsid w:val="00D47394"/>
    <w:rsid w:val="00D50A7B"/>
    <w:rsid w:val="00D50A89"/>
    <w:rsid w:val="00D50F42"/>
    <w:rsid w:val="00D5106D"/>
    <w:rsid w:val="00D51112"/>
    <w:rsid w:val="00D51811"/>
    <w:rsid w:val="00D51C05"/>
    <w:rsid w:val="00D522B7"/>
    <w:rsid w:val="00D525CC"/>
    <w:rsid w:val="00D52658"/>
    <w:rsid w:val="00D52B9C"/>
    <w:rsid w:val="00D53335"/>
    <w:rsid w:val="00D533D3"/>
    <w:rsid w:val="00D53D0E"/>
    <w:rsid w:val="00D53DC1"/>
    <w:rsid w:val="00D53F8F"/>
    <w:rsid w:val="00D5494F"/>
    <w:rsid w:val="00D54BB1"/>
    <w:rsid w:val="00D54E53"/>
    <w:rsid w:val="00D568AE"/>
    <w:rsid w:val="00D57193"/>
    <w:rsid w:val="00D57C66"/>
    <w:rsid w:val="00D57F69"/>
    <w:rsid w:val="00D60899"/>
    <w:rsid w:val="00D60FD1"/>
    <w:rsid w:val="00D613B6"/>
    <w:rsid w:val="00D61664"/>
    <w:rsid w:val="00D6249E"/>
    <w:rsid w:val="00D62FB7"/>
    <w:rsid w:val="00D634FB"/>
    <w:rsid w:val="00D64B7A"/>
    <w:rsid w:val="00D65708"/>
    <w:rsid w:val="00D665A5"/>
    <w:rsid w:val="00D67092"/>
    <w:rsid w:val="00D676C4"/>
    <w:rsid w:val="00D67740"/>
    <w:rsid w:val="00D710EE"/>
    <w:rsid w:val="00D71394"/>
    <w:rsid w:val="00D72B10"/>
    <w:rsid w:val="00D72F41"/>
    <w:rsid w:val="00D7349A"/>
    <w:rsid w:val="00D7392A"/>
    <w:rsid w:val="00D73C13"/>
    <w:rsid w:val="00D73FB2"/>
    <w:rsid w:val="00D742C6"/>
    <w:rsid w:val="00D74E9C"/>
    <w:rsid w:val="00D76578"/>
    <w:rsid w:val="00D76A3F"/>
    <w:rsid w:val="00D76C13"/>
    <w:rsid w:val="00D76DF8"/>
    <w:rsid w:val="00D77316"/>
    <w:rsid w:val="00D80641"/>
    <w:rsid w:val="00D80BD7"/>
    <w:rsid w:val="00D80C63"/>
    <w:rsid w:val="00D81A38"/>
    <w:rsid w:val="00D81B7B"/>
    <w:rsid w:val="00D8213A"/>
    <w:rsid w:val="00D83396"/>
    <w:rsid w:val="00D8345C"/>
    <w:rsid w:val="00D83B1D"/>
    <w:rsid w:val="00D83BD9"/>
    <w:rsid w:val="00D84063"/>
    <w:rsid w:val="00D842EA"/>
    <w:rsid w:val="00D845C4"/>
    <w:rsid w:val="00D8491E"/>
    <w:rsid w:val="00D853F5"/>
    <w:rsid w:val="00D859AE"/>
    <w:rsid w:val="00D87089"/>
    <w:rsid w:val="00D87878"/>
    <w:rsid w:val="00D87DE9"/>
    <w:rsid w:val="00D902D1"/>
    <w:rsid w:val="00D9071B"/>
    <w:rsid w:val="00D90A06"/>
    <w:rsid w:val="00D90A73"/>
    <w:rsid w:val="00D90D75"/>
    <w:rsid w:val="00D90F40"/>
    <w:rsid w:val="00D92194"/>
    <w:rsid w:val="00D922FF"/>
    <w:rsid w:val="00D92477"/>
    <w:rsid w:val="00D928DB"/>
    <w:rsid w:val="00D92F05"/>
    <w:rsid w:val="00D92F1C"/>
    <w:rsid w:val="00D92F37"/>
    <w:rsid w:val="00D93A8B"/>
    <w:rsid w:val="00D93D4A"/>
    <w:rsid w:val="00D93EE8"/>
    <w:rsid w:val="00D93FE2"/>
    <w:rsid w:val="00D940C1"/>
    <w:rsid w:val="00D942C2"/>
    <w:rsid w:val="00D9455C"/>
    <w:rsid w:val="00D94C7F"/>
    <w:rsid w:val="00D95FB9"/>
    <w:rsid w:val="00D969F7"/>
    <w:rsid w:val="00D977A3"/>
    <w:rsid w:val="00D97C6D"/>
    <w:rsid w:val="00DA02B8"/>
    <w:rsid w:val="00DA045E"/>
    <w:rsid w:val="00DA056C"/>
    <w:rsid w:val="00DA0608"/>
    <w:rsid w:val="00DA0E12"/>
    <w:rsid w:val="00DA1019"/>
    <w:rsid w:val="00DA181D"/>
    <w:rsid w:val="00DA2A93"/>
    <w:rsid w:val="00DA2DDA"/>
    <w:rsid w:val="00DA2EFB"/>
    <w:rsid w:val="00DA31A1"/>
    <w:rsid w:val="00DA330A"/>
    <w:rsid w:val="00DA45DD"/>
    <w:rsid w:val="00DA5259"/>
    <w:rsid w:val="00DA602D"/>
    <w:rsid w:val="00DA6192"/>
    <w:rsid w:val="00DA686B"/>
    <w:rsid w:val="00DA69B7"/>
    <w:rsid w:val="00DA7F34"/>
    <w:rsid w:val="00DB01A1"/>
    <w:rsid w:val="00DB062B"/>
    <w:rsid w:val="00DB0B07"/>
    <w:rsid w:val="00DB0CE6"/>
    <w:rsid w:val="00DB0E68"/>
    <w:rsid w:val="00DB229D"/>
    <w:rsid w:val="00DB36F1"/>
    <w:rsid w:val="00DB3935"/>
    <w:rsid w:val="00DB396B"/>
    <w:rsid w:val="00DB3C96"/>
    <w:rsid w:val="00DB3D4A"/>
    <w:rsid w:val="00DB4674"/>
    <w:rsid w:val="00DB471D"/>
    <w:rsid w:val="00DB47A1"/>
    <w:rsid w:val="00DB5645"/>
    <w:rsid w:val="00DB5A76"/>
    <w:rsid w:val="00DB5D2D"/>
    <w:rsid w:val="00DB61F2"/>
    <w:rsid w:val="00DB655A"/>
    <w:rsid w:val="00DB6606"/>
    <w:rsid w:val="00DB6C22"/>
    <w:rsid w:val="00DB722F"/>
    <w:rsid w:val="00DB7D99"/>
    <w:rsid w:val="00DB7F09"/>
    <w:rsid w:val="00DC00E8"/>
    <w:rsid w:val="00DC03BD"/>
    <w:rsid w:val="00DC043A"/>
    <w:rsid w:val="00DC0E9B"/>
    <w:rsid w:val="00DC1569"/>
    <w:rsid w:val="00DC15F5"/>
    <w:rsid w:val="00DC18E0"/>
    <w:rsid w:val="00DC1C10"/>
    <w:rsid w:val="00DC1DC6"/>
    <w:rsid w:val="00DC2173"/>
    <w:rsid w:val="00DC25D7"/>
    <w:rsid w:val="00DC3CBD"/>
    <w:rsid w:val="00DC3E74"/>
    <w:rsid w:val="00DC4C86"/>
    <w:rsid w:val="00DC4FB7"/>
    <w:rsid w:val="00DC5022"/>
    <w:rsid w:val="00DC5430"/>
    <w:rsid w:val="00DC5CC4"/>
    <w:rsid w:val="00DD012E"/>
    <w:rsid w:val="00DD1898"/>
    <w:rsid w:val="00DD19A4"/>
    <w:rsid w:val="00DD2678"/>
    <w:rsid w:val="00DD297A"/>
    <w:rsid w:val="00DD36DC"/>
    <w:rsid w:val="00DD398A"/>
    <w:rsid w:val="00DD3B22"/>
    <w:rsid w:val="00DD457D"/>
    <w:rsid w:val="00DD4A6D"/>
    <w:rsid w:val="00DD5608"/>
    <w:rsid w:val="00DD594A"/>
    <w:rsid w:val="00DD63CC"/>
    <w:rsid w:val="00DD6478"/>
    <w:rsid w:val="00DD6524"/>
    <w:rsid w:val="00DD6C03"/>
    <w:rsid w:val="00DD7194"/>
    <w:rsid w:val="00DE01CB"/>
    <w:rsid w:val="00DE05B7"/>
    <w:rsid w:val="00DE072E"/>
    <w:rsid w:val="00DE0767"/>
    <w:rsid w:val="00DE11EB"/>
    <w:rsid w:val="00DE144D"/>
    <w:rsid w:val="00DE2224"/>
    <w:rsid w:val="00DE2283"/>
    <w:rsid w:val="00DE250F"/>
    <w:rsid w:val="00DE28B1"/>
    <w:rsid w:val="00DE2960"/>
    <w:rsid w:val="00DE2A7A"/>
    <w:rsid w:val="00DE2BD2"/>
    <w:rsid w:val="00DE3212"/>
    <w:rsid w:val="00DE3B0B"/>
    <w:rsid w:val="00DE3C40"/>
    <w:rsid w:val="00DE3FAB"/>
    <w:rsid w:val="00DE4450"/>
    <w:rsid w:val="00DE489E"/>
    <w:rsid w:val="00DE494A"/>
    <w:rsid w:val="00DE556D"/>
    <w:rsid w:val="00DE5774"/>
    <w:rsid w:val="00DE5C03"/>
    <w:rsid w:val="00DE658B"/>
    <w:rsid w:val="00DE6672"/>
    <w:rsid w:val="00DE6750"/>
    <w:rsid w:val="00DE691B"/>
    <w:rsid w:val="00DE70B3"/>
    <w:rsid w:val="00DE77F1"/>
    <w:rsid w:val="00DE783A"/>
    <w:rsid w:val="00DF00B8"/>
    <w:rsid w:val="00DF05AC"/>
    <w:rsid w:val="00DF08C5"/>
    <w:rsid w:val="00DF1044"/>
    <w:rsid w:val="00DF236B"/>
    <w:rsid w:val="00DF2531"/>
    <w:rsid w:val="00DF2A14"/>
    <w:rsid w:val="00DF357D"/>
    <w:rsid w:val="00DF382A"/>
    <w:rsid w:val="00DF46F7"/>
    <w:rsid w:val="00DF4B33"/>
    <w:rsid w:val="00DF57CB"/>
    <w:rsid w:val="00DF755D"/>
    <w:rsid w:val="00DF7A23"/>
    <w:rsid w:val="00DF7B08"/>
    <w:rsid w:val="00DF7C19"/>
    <w:rsid w:val="00E005A6"/>
    <w:rsid w:val="00E0104A"/>
    <w:rsid w:val="00E01091"/>
    <w:rsid w:val="00E01B6E"/>
    <w:rsid w:val="00E01BBE"/>
    <w:rsid w:val="00E02188"/>
    <w:rsid w:val="00E02FCB"/>
    <w:rsid w:val="00E033F5"/>
    <w:rsid w:val="00E0350B"/>
    <w:rsid w:val="00E036E3"/>
    <w:rsid w:val="00E03F14"/>
    <w:rsid w:val="00E04918"/>
    <w:rsid w:val="00E05EA7"/>
    <w:rsid w:val="00E0687F"/>
    <w:rsid w:val="00E06B6C"/>
    <w:rsid w:val="00E06EA4"/>
    <w:rsid w:val="00E071B4"/>
    <w:rsid w:val="00E0781D"/>
    <w:rsid w:val="00E100EA"/>
    <w:rsid w:val="00E1077C"/>
    <w:rsid w:val="00E10D39"/>
    <w:rsid w:val="00E1136B"/>
    <w:rsid w:val="00E125EC"/>
    <w:rsid w:val="00E128C5"/>
    <w:rsid w:val="00E12B72"/>
    <w:rsid w:val="00E13B0F"/>
    <w:rsid w:val="00E149FC"/>
    <w:rsid w:val="00E16A5D"/>
    <w:rsid w:val="00E16E7C"/>
    <w:rsid w:val="00E20024"/>
    <w:rsid w:val="00E2068F"/>
    <w:rsid w:val="00E20C5F"/>
    <w:rsid w:val="00E20C75"/>
    <w:rsid w:val="00E20E01"/>
    <w:rsid w:val="00E21128"/>
    <w:rsid w:val="00E212A9"/>
    <w:rsid w:val="00E21435"/>
    <w:rsid w:val="00E21BA2"/>
    <w:rsid w:val="00E2239B"/>
    <w:rsid w:val="00E22D51"/>
    <w:rsid w:val="00E2363B"/>
    <w:rsid w:val="00E23B54"/>
    <w:rsid w:val="00E248BA"/>
    <w:rsid w:val="00E2558A"/>
    <w:rsid w:val="00E25627"/>
    <w:rsid w:val="00E2570E"/>
    <w:rsid w:val="00E258F1"/>
    <w:rsid w:val="00E26103"/>
    <w:rsid w:val="00E26150"/>
    <w:rsid w:val="00E269B1"/>
    <w:rsid w:val="00E307D0"/>
    <w:rsid w:val="00E30DDD"/>
    <w:rsid w:val="00E325B6"/>
    <w:rsid w:val="00E33D5B"/>
    <w:rsid w:val="00E34008"/>
    <w:rsid w:val="00E34A64"/>
    <w:rsid w:val="00E35698"/>
    <w:rsid w:val="00E35D81"/>
    <w:rsid w:val="00E35D90"/>
    <w:rsid w:val="00E35FA1"/>
    <w:rsid w:val="00E36056"/>
    <w:rsid w:val="00E37141"/>
    <w:rsid w:val="00E3719A"/>
    <w:rsid w:val="00E378EE"/>
    <w:rsid w:val="00E37FA6"/>
    <w:rsid w:val="00E40903"/>
    <w:rsid w:val="00E40BC2"/>
    <w:rsid w:val="00E40BFF"/>
    <w:rsid w:val="00E40CF6"/>
    <w:rsid w:val="00E41448"/>
    <w:rsid w:val="00E41D77"/>
    <w:rsid w:val="00E42B84"/>
    <w:rsid w:val="00E46011"/>
    <w:rsid w:val="00E46DF2"/>
    <w:rsid w:val="00E47118"/>
    <w:rsid w:val="00E475F5"/>
    <w:rsid w:val="00E47B01"/>
    <w:rsid w:val="00E50217"/>
    <w:rsid w:val="00E50926"/>
    <w:rsid w:val="00E50E7C"/>
    <w:rsid w:val="00E51259"/>
    <w:rsid w:val="00E5127D"/>
    <w:rsid w:val="00E51290"/>
    <w:rsid w:val="00E513BC"/>
    <w:rsid w:val="00E513FF"/>
    <w:rsid w:val="00E51545"/>
    <w:rsid w:val="00E5454B"/>
    <w:rsid w:val="00E55326"/>
    <w:rsid w:val="00E5547E"/>
    <w:rsid w:val="00E55A87"/>
    <w:rsid w:val="00E562A9"/>
    <w:rsid w:val="00E5656E"/>
    <w:rsid w:val="00E565CE"/>
    <w:rsid w:val="00E569F1"/>
    <w:rsid w:val="00E57C58"/>
    <w:rsid w:val="00E6030A"/>
    <w:rsid w:val="00E605A5"/>
    <w:rsid w:val="00E60B13"/>
    <w:rsid w:val="00E60E67"/>
    <w:rsid w:val="00E611C1"/>
    <w:rsid w:val="00E620C9"/>
    <w:rsid w:val="00E62464"/>
    <w:rsid w:val="00E62E8F"/>
    <w:rsid w:val="00E631E1"/>
    <w:rsid w:val="00E6320E"/>
    <w:rsid w:val="00E63233"/>
    <w:rsid w:val="00E634CC"/>
    <w:rsid w:val="00E63834"/>
    <w:rsid w:val="00E638BE"/>
    <w:rsid w:val="00E648B9"/>
    <w:rsid w:val="00E651AF"/>
    <w:rsid w:val="00E65B3E"/>
    <w:rsid w:val="00E6694F"/>
    <w:rsid w:val="00E66980"/>
    <w:rsid w:val="00E66F07"/>
    <w:rsid w:val="00E670B1"/>
    <w:rsid w:val="00E67576"/>
    <w:rsid w:val="00E7076E"/>
    <w:rsid w:val="00E711D7"/>
    <w:rsid w:val="00E71428"/>
    <w:rsid w:val="00E722F9"/>
    <w:rsid w:val="00E72FF7"/>
    <w:rsid w:val="00E7346C"/>
    <w:rsid w:val="00E7451B"/>
    <w:rsid w:val="00E7453B"/>
    <w:rsid w:val="00E751AD"/>
    <w:rsid w:val="00E75209"/>
    <w:rsid w:val="00E763F0"/>
    <w:rsid w:val="00E768EB"/>
    <w:rsid w:val="00E76916"/>
    <w:rsid w:val="00E76C7A"/>
    <w:rsid w:val="00E77132"/>
    <w:rsid w:val="00E77456"/>
    <w:rsid w:val="00E80C40"/>
    <w:rsid w:val="00E80DDB"/>
    <w:rsid w:val="00E80EAA"/>
    <w:rsid w:val="00E81358"/>
    <w:rsid w:val="00E81D31"/>
    <w:rsid w:val="00E81E98"/>
    <w:rsid w:val="00E8250E"/>
    <w:rsid w:val="00E8333D"/>
    <w:rsid w:val="00E83834"/>
    <w:rsid w:val="00E83BF1"/>
    <w:rsid w:val="00E8460F"/>
    <w:rsid w:val="00E84AC8"/>
    <w:rsid w:val="00E85A8B"/>
    <w:rsid w:val="00E85FCA"/>
    <w:rsid w:val="00E86541"/>
    <w:rsid w:val="00E86812"/>
    <w:rsid w:val="00E86C43"/>
    <w:rsid w:val="00E86F7A"/>
    <w:rsid w:val="00E87E1D"/>
    <w:rsid w:val="00E902B0"/>
    <w:rsid w:val="00E902E8"/>
    <w:rsid w:val="00E90C52"/>
    <w:rsid w:val="00E90D33"/>
    <w:rsid w:val="00E91A5D"/>
    <w:rsid w:val="00E91D00"/>
    <w:rsid w:val="00E91D0B"/>
    <w:rsid w:val="00E92134"/>
    <w:rsid w:val="00E92354"/>
    <w:rsid w:val="00E92645"/>
    <w:rsid w:val="00E94820"/>
    <w:rsid w:val="00E9484C"/>
    <w:rsid w:val="00E94D6A"/>
    <w:rsid w:val="00E95D67"/>
    <w:rsid w:val="00E95DEF"/>
    <w:rsid w:val="00E96558"/>
    <w:rsid w:val="00E967E5"/>
    <w:rsid w:val="00E969C8"/>
    <w:rsid w:val="00E96E0D"/>
    <w:rsid w:val="00E971E3"/>
    <w:rsid w:val="00E974BB"/>
    <w:rsid w:val="00EA19E1"/>
    <w:rsid w:val="00EA22E9"/>
    <w:rsid w:val="00EA2E8D"/>
    <w:rsid w:val="00EA326F"/>
    <w:rsid w:val="00EA32D2"/>
    <w:rsid w:val="00EA3958"/>
    <w:rsid w:val="00EA46FE"/>
    <w:rsid w:val="00EA4FBB"/>
    <w:rsid w:val="00EA5010"/>
    <w:rsid w:val="00EA54C2"/>
    <w:rsid w:val="00EA5530"/>
    <w:rsid w:val="00EA56F7"/>
    <w:rsid w:val="00EA5987"/>
    <w:rsid w:val="00EA5C42"/>
    <w:rsid w:val="00EA5C68"/>
    <w:rsid w:val="00EA5E56"/>
    <w:rsid w:val="00EA65E7"/>
    <w:rsid w:val="00EA7228"/>
    <w:rsid w:val="00EA787D"/>
    <w:rsid w:val="00EA79C4"/>
    <w:rsid w:val="00EA7E11"/>
    <w:rsid w:val="00EB030F"/>
    <w:rsid w:val="00EB048F"/>
    <w:rsid w:val="00EB12D0"/>
    <w:rsid w:val="00EB1400"/>
    <w:rsid w:val="00EB405E"/>
    <w:rsid w:val="00EB4A95"/>
    <w:rsid w:val="00EB4AC0"/>
    <w:rsid w:val="00EB5413"/>
    <w:rsid w:val="00EB5F5B"/>
    <w:rsid w:val="00EB6C80"/>
    <w:rsid w:val="00EB6EFC"/>
    <w:rsid w:val="00EB7DF1"/>
    <w:rsid w:val="00EC015B"/>
    <w:rsid w:val="00EC0338"/>
    <w:rsid w:val="00EC3234"/>
    <w:rsid w:val="00EC423D"/>
    <w:rsid w:val="00EC48C9"/>
    <w:rsid w:val="00EC4B12"/>
    <w:rsid w:val="00EC4C06"/>
    <w:rsid w:val="00EC588D"/>
    <w:rsid w:val="00EC624C"/>
    <w:rsid w:val="00EC641B"/>
    <w:rsid w:val="00EC6B14"/>
    <w:rsid w:val="00EC6B16"/>
    <w:rsid w:val="00EC6E9D"/>
    <w:rsid w:val="00EC7A8E"/>
    <w:rsid w:val="00ED0D2E"/>
    <w:rsid w:val="00ED1421"/>
    <w:rsid w:val="00ED1768"/>
    <w:rsid w:val="00ED34F6"/>
    <w:rsid w:val="00ED3AEB"/>
    <w:rsid w:val="00ED4537"/>
    <w:rsid w:val="00ED49BA"/>
    <w:rsid w:val="00ED52DD"/>
    <w:rsid w:val="00ED576A"/>
    <w:rsid w:val="00ED59AF"/>
    <w:rsid w:val="00ED623D"/>
    <w:rsid w:val="00ED643A"/>
    <w:rsid w:val="00ED64F6"/>
    <w:rsid w:val="00ED7014"/>
    <w:rsid w:val="00ED703A"/>
    <w:rsid w:val="00ED77F1"/>
    <w:rsid w:val="00ED7850"/>
    <w:rsid w:val="00ED797B"/>
    <w:rsid w:val="00ED7F05"/>
    <w:rsid w:val="00EE0573"/>
    <w:rsid w:val="00EE06C6"/>
    <w:rsid w:val="00EE1142"/>
    <w:rsid w:val="00EE3528"/>
    <w:rsid w:val="00EE36AF"/>
    <w:rsid w:val="00EE37BD"/>
    <w:rsid w:val="00EE42C0"/>
    <w:rsid w:val="00EE47E2"/>
    <w:rsid w:val="00EE48BE"/>
    <w:rsid w:val="00EE6220"/>
    <w:rsid w:val="00EE677F"/>
    <w:rsid w:val="00EE67DE"/>
    <w:rsid w:val="00EE6E9E"/>
    <w:rsid w:val="00EE70E0"/>
    <w:rsid w:val="00EE75A8"/>
    <w:rsid w:val="00EF06E8"/>
    <w:rsid w:val="00EF077B"/>
    <w:rsid w:val="00EF133C"/>
    <w:rsid w:val="00EF1CD3"/>
    <w:rsid w:val="00EF21BB"/>
    <w:rsid w:val="00EF21CE"/>
    <w:rsid w:val="00EF275C"/>
    <w:rsid w:val="00EF36D0"/>
    <w:rsid w:val="00EF3823"/>
    <w:rsid w:val="00EF4643"/>
    <w:rsid w:val="00EF47B8"/>
    <w:rsid w:val="00EF49DE"/>
    <w:rsid w:val="00EF4A76"/>
    <w:rsid w:val="00EF6168"/>
    <w:rsid w:val="00EF66F2"/>
    <w:rsid w:val="00EF6E40"/>
    <w:rsid w:val="00EF7247"/>
    <w:rsid w:val="00EF76A4"/>
    <w:rsid w:val="00F000DA"/>
    <w:rsid w:val="00F00738"/>
    <w:rsid w:val="00F0082D"/>
    <w:rsid w:val="00F009B8"/>
    <w:rsid w:val="00F00ABE"/>
    <w:rsid w:val="00F00B5E"/>
    <w:rsid w:val="00F00E66"/>
    <w:rsid w:val="00F01478"/>
    <w:rsid w:val="00F016BD"/>
    <w:rsid w:val="00F01DF4"/>
    <w:rsid w:val="00F025BC"/>
    <w:rsid w:val="00F02877"/>
    <w:rsid w:val="00F02B87"/>
    <w:rsid w:val="00F03C4E"/>
    <w:rsid w:val="00F0409B"/>
    <w:rsid w:val="00F0541F"/>
    <w:rsid w:val="00F05FAE"/>
    <w:rsid w:val="00F065E2"/>
    <w:rsid w:val="00F069DB"/>
    <w:rsid w:val="00F06F72"/>
    <w:rsid w:val="00F07182"/>
    <w:rsid w:val="00F0785F"/>
    <w:rsid w:val="00F078D4"/>
    <w:rsid w:val="00F07C90"/>
    <w:rsid w:val="00F100DD"/>
    <w:rsid w:val="00F108F7"/>
    <w:rsid w:val="00F10BE3"/>
    <w:rsid w:val="00F11843"/>
    <w:rsid w:val="00F11CB3"/>
    <w:rsid w:val="00F11DD5"/>
    <w:rsid w:val="00F12B10"/>
    <w:rsid w:val="00F12D1F"/>
    <w:rsid w:val="00F131D3"/>
    <w:rsid w:val="00F136D7"/>
    <w:rsid w:val="00F13A89"/>
    <w:rsid w:val="00F13E45"/>
    <w:rsid w:val="00F1450F"/>
    <w:rsid w:val="00F14793"/>
    <w:rsid w:val="00F14D3D"/>
    <w:rsid w:val="00F14D97"/>
    <w:rsid w:val="00F14EF2"/>
    <w:rsid w:val="00F15E11"/>
    <w:rsid w:val="00F15F93"/>
    <w:rsid w:val="00F16453"/>
    <w:rsid w:val="00F1654D"/>
    <w:rsid w:val="00F16B5A"/>
    <w:rsid w:val="00F171D6"/>
    <w:rsid w:val="00F17A77"/>
    <w:rsid w:val="00F17CBB"/>
    <w:rsid w:val="00F17E8C"/>
    <w:rsid w:val="00F20146"/>
    <w:rsid w:val="00F20469"/>
    <w:rsid w:val="00F20615"/>
    <w:rsid w:val="00F2161D"/>
    <w:rsid w:val="00F2197B"/>
    <w:rsid w:val="00F21C5B"/>
    <w:rsid w:val="00F230F1"/>
    <w:rsid w:val="00F23713"/>
    <w:rsid w:val="00F24BD1"/>
    <w:rsid w:val="00F24C7A"/>
    <w:rsid w:val="00F24E3E"/>
    <w:rsid w:val="00F24E61"/>
    <w:rsid w:val="00F255D7"/>
    <w:rsid w:val="00F25C6D"/>
    <w:rsid w:val="00F26279"/>
    <w:rsid w:val="00F26C25"/>
    <w:rsid w:val="00F271EF"/>
    <w:rsid w:val="00F3004D"/>
    <w:rsid w:val="00F30E9E"/>
    <w:rsid w:val="00F31262"/>
    <w:rsid w:val="00F3229D"/>
    <w:rsid w:val="00F3282E"/>
    <w:rsid w:val="00F3289A"/>
    <w:rsid w:val="00F3302A"/>
    <w:rsid w:val="00F33D1F"/>
    <w:rsid w:val="00F33DF6"/>
    <w:rsid w:val="00F355C7"/>
    <w:rsid w:val="00F359AC"/>
    <w:rsid w:val="00F3672F"/>
    <w:rsid w:val="00F36948"/>
    <w:rsid w:val="00F37480"/>
    <w:rsid w:val="00F37F82"/>
    <w:rsid w:val="00F4077F"/>
    <w:rsid w:val="00F40D99"/>
    <w:rsid w:val="00F413DF"/>
    <w:rsid w:val="00F42380"/>
    <w:rsid w:val="00F42468"/>
    <w:rsid w:val="00F4315F"/>
    <w:rsid w:val="00F43AF4"/>
    <w:rsid w:val="00F45393"/>
    <w:rsid w:val="00F458CD"/>
    <w:rsid w:val="00F46AF2"/>
    <w:rsid w:val="00F47205"/>
    <w:rsid w:val="00F50343"/>
    <w:rsid w:val="00F507C0"/>
    <w:rsid w:val="00F51695"/>
    <w:rsid w:val="00F51CB1"/>
    <w:rsid w:val="00F52540"/>
    <w:rsid w:val="00F52CC3"/>
    <w:rsid w:val="00F530F1"/>
    <w:rsid w:val="00F54420"/>
    <w:rsid w:val="00F54437"/>
    <w:rsid w:val="00F544D1"/>
    <w:rsid w:val="00F544FF"/>
    <w:rsid w:val="00F54555"/>
    <w:rsid w:val="00F54E84"/>
    <w:rsid w:val="00F556EE"/>
    <w:rsid w:val="00F56514"/>
    <w:rsid w:val="00F56520"/>
    <w:rsid w:val="00F56F9A"/>
    <w:rsid w:val="00F573CD"/>
    <w:rsid w:val="00F57709"/>
    <w:rsid w:val="00F57A78"/>
    <w:rsid w:val="00F57D08"/>
    <w:rsid w:val="00F60188"/>
    <w:rsid w:val="00F609C5"/>
    <w:rsid w:val="00F60A64"/>
    <w:rsid w:val="00F61349"/>
    <w:rsid w:val="00F61A39"/>
    <w:rsid w:val="00F6209A"/>
    <w:rsid w:val="00F624B1"/>
    <w:rsid w:val="00F62622"/>
    <w:rsid w:val="00F62C54"/>
    <w:rsid w:val="00F643B8"/>
    <w:rsid w:val="00F64680"/>
    <w:rsid w:val="00F64791"/>
    <w:rsid w:val="00F64AE2"/>
    <w:rsid w:val="00F6531F"/>
    <w:rsid w:val="00F654F5"/>
    <w:rsid w:val="00F65AA0"/>
    <w:rsid w:val="00F65D6A"/>
    <w:rsid w:val="00F6608D"/>
    <w:rsid w:val="00F66B9F"/>
    <w:rsid w:val="00F67ADA"/>
    <w:rsid w:val="00F67C21"/>
    <w:rsid w:val="00F7053B"/>
    <w:rsid w:val="00F7084C"/>
    <w:rsid w:val="00F70F22"/>
    <w:rsid w:val="00F71A0E"/>
    <w:rsid w:val="00F72AD2"/>
    <w:rsid w:val="00F72FC2"/>
    <w:rsid w:val="00F73094"/>
    <w:rsid w:val="00F749C8"/>
    <w:rsid w:val="00F750D7"/>
    <w:rsid w:val="00F758F0"/>
    <w:rsid w:val="00F769F9"/>
    <w:rsid w:val="00F777C4"/>
    <w:rsid w:val="00F77D6D"/>
    <w:rsid w:val="00F77DE6"/>
    <w:rsid w:val="00F8065B"/>
    <w:rsid w:val="00F80900"/>
    <w:rsid w:val="00F80EFE"/>
    <w:rsid w:val="00F8141F"/>
    <w:rsid w:val="00F817CE"/>
    <w:rsid w:val="00F819DD"/>
    <w:rsid w:val="00F82039"/>
    <w:rsid w:val="00F83564"/>
    <w:rsid w:val="00F837FA"/>
    <w:rsid w:val="00F84312"/>
    <w:rsid w:val="00F84FF3"/>
    <w:rsid w:val="00F868DB"/>
    <w:rsid w:val="00F86CE0"/>
    <w:rsid w:val="00F86D16"/>
    <w:rsid w:val="00F900FA"/>
    <w:rsid w:val="00F9092C"/>
    <w:rsid w:val="00F90A83"/>
    <w:rsid w:val="00F91A5C"/>
    <w:rsid w:val="00F91FAB"/>
    <w:rsid w:val="00F92019"/>
    <w:rsid w:val="00F92279"/>
    <w:rsid w:val="00F92C0E"/>
    <w:rsid w:val="00F93B59"/>
    <w:rsid w:val="00F94959"/>
    <w:rsid w:val="00F95488"/>
    <w:rsid w:val="00F954D2"/>
    <w:rsid w:val="00F95918"/>
    <w:rsid w:val="00F9598B"/>
    <w:rsid w:val="00F95B4C"/>
    <w:rsid w:val="00F95D19"/>
    <w:rsid w:val="00F960D5"/>
    <w:rsid w:val="00F96681"/>
    <w:rsid w:val="00F96A6C"/>
    <w:rsid w:val="00F96B63"/>
    <w:rsid w:val="00FA00E2"/>
    <w:rsid w:val="00FA01D1"/>
    <w:rsid w:val="00FA04BC"/>
    <w:rsid w:val="00FA150C"/>
    <w:rsid w:val="00FA1513"/>
    <w:rsid w:val="00FA1847"/>
    <w:rsid w:val="00FA1909"/>
    <w:rsid w:val="00FA1EE2"/>
    <w:rsid w:val="00FA231F"/>
    <w:rsid w:val="00FA237E"/>
    <w:rsid w:val="00FA2F2E"/>
    <w:rsid w:val="00FA31B5"/>
    <w:rsid w:val="00FA349F"/>
    <w:rsid w:val="00FA3665"/>
    <w:rsid w:val="00FA387A"/>
    <w:rsid w:val="00FA3C20"/>
    <w:rsid w:val="00FA4A02"/>
    <w:rsid w:val="00FA5F32"/>
    <w:rsid w:val="00FA6536"/>
    <w:rsid w:val="00FA65EB"/>
    <w:rsid w:val="00FA6706"/>
    <w:rsid w:val="00FA70FE"/>
    <w:rsid w:val="00FB0B8A"/>
    <w:rsid w:val="00FB0FFF"/>
    <w:rsid w:val="00FB14A0"/>
    <w:rsid w:val="00FB2B08"/>
    <w:rsid w:val="00FB30D2"/>
    <w:rsid w:val="00FB312B"/>
    <w:rsid w:val="00FB3374"/>
    <w:rsid w:val="00FB34ED"/>
    <w:rsid w:val="00FB3755"/>
    <w:rsid w:val="00FB37BB"/>
    <w:rsid w:val="00FB3FEB"/>
    <w:rsid w:val="00FB4C4B"/>
    <w:rsid w:val="00FB551D"/>
    <w:rsid w:val="00FB64AA"/>
    <w:rsid w:val="00FB68C4"/>
    <w:rsid w:val="00FB7501"/>
    <w:rsid w:val="00FC0D47"/>
    <w:rsid w:val="00FC19FB"/>
    <w:rsid w:val="00FC1B79"/>
    <w:rsid w:val="00FC23DB"/>
    <w:rsid w:val="00FC2D40"/>
    <w:rsid w:val="00FC2D5A"/>
    <w:rsid w:val="00FC3DE7"/>
    <w:rsid w:val="00FC477C"/>
    <w:rsid w:val="00FC48CE"/>
    <w:rsid w:val="00FC4EF9"/>
    <w:rsid w:val="00FC4FA9"/>
    <w:rsid w:val="00FC5540"/>
    <w:rsid w:val="00FC5721"/>
    <w:rsid w:val="00FC5889"/>
    <w:rsid w:val="00FC6139"/>
    <w:rsid w:val="00FC6194"/>
    <w:rsid w:val="00FC65DC"/>
    <w:rsid w:val="00FC67E7"/>
    <w:rsid w:val="00FC6ADA"/>
    <w:rsid w:val="00FD01A1"/>
    <w:rsid w:val="00FD028A"/>
    <w:rsid w:val="00FD0BEF"/>
    <w:rsid w:val="00FD0CAB"/>
    <w:rsid w:val="00FD1A4F"/>
    <w:rsid w:val="00FD22D4"/>
    <w:rsid w:val="00FD2D38"/>
    <w:rsid w:val="00FD3B0A"/>
    <w:rsid w:val="00FD3C01"/>
    <w:rsid w:val="00FD3C8A"/>
    <w:rsid w:val="00FD3CD1"/>
    <w:rsid w:val="00FD3D67"/>
    <w:rsid w:val="00FD417C"/>
    <w:rsid w:val="00FD449B"/>
    <w:rsid w:val="00FD4A92"/>
    <w:rsid w:val="00FD5383"/>
    <w:rsid w:val="00FD65BE"/>
    <w:rsid w:val="00FD7D5A"/>
    <w:rsid w:val="00FD7E0B"/>
    <w:rsid w:val="00FE03DC"/>
    <w:rsid w:val="00FE08DE"/>
    <w:rsid w:val="00FE13F6"/>
    <w:rsid w:val="00FE144E"/>
    <w:rsid w:val="00FE1D57"/>
    <w:rsid w:val="00FE28AA"/>
    <w:rsid w:val="00FE2AEC"/>
    <w:rsid w:val="00FE2BD7"/>
    <w:rsid w:val="00FE2C46"/>
    <w:rsid w:val="00FE34D2"/>
    <w:rsid w:val="00FE3706"/>
    <w:rsid w:val="00FE4930"/>
    <w:rsid w:val="00FE4BD9"/>
    <w:rsid w:val="00FE4DFF"/>
    <w:rsid w:val="00FE6114"/>
    <w:rsid w:val="00FE6309"/>
    <w:rsid w:val="00FE65C4"/>
    <w:rsid w:val="00FE6DE8"/>
    <w:rsid w:val="00FE7A79"/>
    <w:rsid w:val="00FF09A9"/>
    <w:rsid w:val="00FF0AA3"/>
    <w:rsid w:val="00FF1331"/>
    <w:rsid w:val="00FF1597"/>
    <w:rsid w:val="00FF1EA0"/>
    <w:rsid w:val="00FF26DD"/>
    <w:rsid w:val="00FF2C68"/>
    <w:rsid w:val="00FF30CE"/>
    <w:rsid w:val="00FF3232"/>
    <w:rsid w:val="00FF4784"/>
    <w:rsid w:val="00FF4B17"/>
    <w:rsid w:val="00FF4C3B"/>
    <w:rsid w:val="00FF5061"/>
    <w:rsid w:val="00FF5B9F"/>
    <w:rsid w:val="00FF61F9"/>
    <w:rsid w:val="00FF6802"/>
    <w:rsid w:val="00FF69B1"/>
    <w:rsid w:val="00FF7542"/>
    <w:rsid w:val="00FF7E5E"/>
    <w:rsid w:val="5105E3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F94E01F"/>
  <w15:docId w15:val="{A5DB10AA-A9C2-4EF8-83C4-4398374EE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132"/>
    <w:pPr>
      <w:spacing w:before="120" w:after="120" w:line="240" w:lineRule="auto"/>
    </w:pPr>
    <w:rPr>
      <w:rFonts w:ascii="Calibri" w:eastAsia="Times New Roman" w:hAnsi="Calibri" w:cs="Times New Roman"/>
      <w:szCs w:val="20"/>
      <w:lang w:eastAsia="en-AU"/>
    </w:rPr>
  </w:style>
  <w:style w:type="paragraph" w:styleId="Heading1">
    <w:name w:val="heading 1"/>
    <w:aliases w:val="Heading 1 Cab,CAB Section Heading"/>
    <w:basedOn w:val="HeadingBase"/>
    <w:next w:val="Normal"/>
    <w:link w:val="Heading1Char"/>
    <w:qFormat/>
    <w:rsid w:val="000D1474"/>
    <w:pPr>
      <w:spacing w:before="480"/>
      <w:outlineLvl w:val="0"/>
    </w:pPr>
    <w:rPr>
      <w:bCs w:val="0"/>
      <w:color w:val="002C47" w:themeColor="accent1"/>
      <w:sz w:val="48"/>
    </w:rPr>
  </w:style>
  <w:style w:type="paragraph" w:styleId="Heading2">
    <w:name w:val="heading 2"/>
    <w:basedOn w:val="HeadingBase"/>
    <w:next w:val="Normal"/>
    <w:link w:val="Heading2Char"/>
    <w:qFormat/>
    <w:rsid w:val="000D1474"/>
    <w:pPr>
      <w:spacing w:before="360"/>
      <w:outlineLvl w:val="1"/>
    </w:pPr>
    <w:rPr>
      <w:bCs w:val="0"/>
      <w:iCs/>
      <w:sz w:val="36"/>
      <w:szCs w:val="28"/>
    </w:rPr>
  </w:style>
  <w:style w:type="paragraph" w:styleId="Heading3">
    <w:name w:val="heading 3"/>
    <w:basedOn w:val="HeadingBase"/>
    <w:next w:val="Normal"/>
    <w:link w:val="Heading3Char"/>
    <w:qFormat/>
    <w:rsid w:val="000D1474"/>
    <w:pPr>
      <w:spacing w:before="240"/>
      <w:outlineLvl w:val="2"/>
    </w:pPr>
    <w:rPr>
      <w:bCs w:val="0"/>
      <w:color w:val="00827F" w:themeColor="accent3"/>
      <w:sz w:val="28"/>
      <w:szCs w:val="26"/>
    </w:rPr>
  </w:style>
  <w:style w:type="paragraph" w:styleId="Heading4">
    <w:name w:val="heading 4"/>
    <w:basedOn w:val="HeadingBase"/>
    <w:next w:val="Normal"/>
    <w:link w:val="Heading4Char"/>
    <w:qFormat/>
    <w:rsid w:val="000D1474"/>
    <w:pPr>
      <w:outlineLvl w:val="3"/>
    </w:pPr>
    <w:rPr>
      <w:bCs w:val="0"/>
      <w:color w:val="3A6FAF" w:themeColor="accent2"/>
      <w:sz w:val="26"/>
      <w:szCs w:val="26"/>
    </w:rPr>
  </w:style>
  <w:style w:type="paragraph" w:styleId="Heading5">
    <w:name w:val="heading 5"/>
    <w:basedOn w:val="HeadingBase"/>
    <w:next w:val="Normal"/>
    <w:link w:val="Heading5Char"/>
    <w:qFormat/>
    <w:rsid w:val="000D1474"/>
    <w:pPr>
      <w:outlineLvl w:val="4"/>
    </w:pPr>
    <w:rPr>
      <w:b/>
      <w:bCs w:val="0"/>
      <w:iCs/>
    </w:rPr>
  </w:style>
  <w:style w:type="paragraph" w:styleId="Heading6">
    <w:name w:val="heading 6"/>
    <w:basedOn w:val="HeadingBase"/>
    <w:next w:val="Normal"/>
    <w:link w:val="Heading6Char"/>
    <w:qFormat/>
    <w:rsid w:val="000D1474"/>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ab Char,CAB Section Heading Char"/>
    <w:basedOn w:val="DefaultParagraphFont"/>
    <w:link w:val="Heading1"/>
    <w:rsid w:val="000D1474"/>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0D1474"/>
    <w:rPr>
      <w:rFonts w:ascii="Calibri" w:eastAsia="Times New Roman" w:hAnsi="Calibri" w:cs="Arial"/>
      <w:iCs/>
      <w:color w:val="002C47"/>
      <w:kern w:val="32"/>
      <w:sz w:val="36"/>
      <w:szCs w:val="28"/>
      <w:lang w:eastAsia="en-AU"/>
    </w:rPr>
  </w:style>
  <w:style w:type="character" w:customStyle="1" w:styleId="Heading3Char">
    <w:name w:val="Heading 3 Char"/>
    <w:basedOn w:val="DefaultParagraphFont"/>
    <w:link w:val="Heading3"/>
    <w:rsid w:val="000D1474"/>
    <w:rPr>
      <w:rFonts w:ascii="Calibri" w:eastAsia="Times New Roman" w:hAnsi="Calibri" w:cs="Arial"/>
      <w:color w:val="00827F" w:themeColor="accent3"/>
      <w:kern w:val="32"/>
      <w:sz w:val="28"/>
      <w:szCs w:val="26"/>
      <w:lang w:eastAsia="en-AU"/>
    </w:rPr>
  </w:style>
  <w:style w:type="character" w:customStyle="1" w:styleId="Heading4Char">
    <w:name w:val="Heading 4 Char"/>
    <w:basedOn w:val="DefaultParagraphFont"/>
    <w:link w:val="Heading4"/>
    <w:rsid w:val="000D1474"/>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0D1474"/>
    <w:rPr>
      <w:rFonts w:ascii="Calibri" w:eastAsia="Times New Roman" w:hAnsi="Calibri" w:cs="Arial"/>
      <w:b/>
      <w:iCs/>
      <w:color w:val="002C47"/>
      <w:kern w:val="32"/>
      <w:szCs w:val="36"/>
      <w:lang w:eastAsia="en-AU"/>
    </w:rPr>
  </w:style>
  <w:style w:type="character" w:customStyle="1" w:styleId="Heading6Char">
    <w:name w:val="Heading 6 Char"/>
    <w:basedOn w:val="DefaultParagraphFont"/>
    <w:link w:val="Heading6"/>
    <w:rsid w:val="000D1474"/>
    <w:rPr>
      <w:rFonts w:ascii="Calibri" w:eastAsia="Times New Roman" w:hAnsi="Calibri" w:cs="Arial"/>
      <w:color w:val="002C47"/>
      <w:kern w:val="32"/>
      <w:lang w:eastAsia="en-AU"/>
    </w:rPr>
  </w:style>
  <w:style w:type="paragraph" w:customStyle="1" w:styleId="ChartGraphic">
    <w:name w:val="Chart Graphic"/>
    <w:basedOn w:val="Normal"/>
    <w:next w:val="Normal"/>
    <w:rsid w:val="000D1474"/>
    <w:pPr>
      <w:keepNext/>
      <w:spacing w:before="0" w:after="0"/>
      <w:jc w:val="center"/>
    </w:pPr>
    <w:rPr>
      <w:color w:val="004A7F"/>
      <w:sz w:val="20"/>
    </w:rPr>
  </w:style>
  <w:style w:type="paragraph" w:customStyle="1" w:styleId="AlphaParagraph">
    <w:name w:val="Alpha Paragraph"/>
    <w:basedOn w:val="Normal"/>
    <w:qFormat/>
    <w:rsid w:val="000D1474"/>
    <w:pPr>
      <w:numPr>
        <w:ilvl w:val="1"/>
        <w:numId w:val="68"/>
      </w:numPr>
      <w:spacing w:before="0"/>
    </w:pPr>
  </w:style>
  <w:style w:type="paragraph" w:customStyle="1" w:styleId="BoxBullet">
    <w:name w:val="Box Bullet"/>
    <w:basedOn w:val="Normal"/>
    <w:rsid w:val="000D1474"/>
    <w:pPr>
      <w:numPr>
        <w:numId w:val="2"/>
      </w:numPr>
      <w:spacing w:before="0"/>
      <w:ind w:left="284" w:hanging="284"/>
    </w:pPr>
  </w:style>
  <w:style w:type="paragraph" w:customStyle="1" w:styleId="BoxDash">
    <w:name w:val="Box Dash"/>
    <w:basedOn w:val="Normal"/>
    <w:rsid w:val="000D1474"/>
    <w:pPr>
      <w:numPr>
        <w:ilvl w:val="1"/>
        <w:numId w:val="2"/>
      </w:numPr>
      <w:spacing w:before="0"/>
      <w:ind w:left="568"/>
    </w:pPr>
  </w:style>
  <w:style w:type="paragraph" w:customStyle="1" w:styleId="BoxDoubleDot">
    <w:name w:val="Box Double Dot"/>
    <w:basedOn w:val="Normal"/>
    <w:rsid w:val="000D1474"/>
    <w:pPr>
      <w:numPr>
        <w:ilvl w:val="2"/>
        <w:numId w:val="2"/>
      </w:numPr>
      <w:spacing w:before="0"/>
      <w:ind w:left="851" w:hanging="284"/>
    </w:pPr>
  </w:style>
  <w:style w:type="paragraph" w:customStyle="1" w:styleId="BoxHeading">
    <w:name w:val="Box Heading"/>
    <w:basedOn w:val="Normal"/>
    <w:next w:val="Normal"/>
    <w:rsid w:val="000D1474"/>
    <w:pPr>
      <w:keepNext/>
      <w:spacing w:before="240"/>
    </w:pPr>
    <w:rPr>
      <w:b/>
      <w:color w:val="00827F" w:themeColor="accent3"/>
      <w:sz w:val="26"/>
      <w:szCs w:val="26"/>
    </w:rPr>
  </w:style>
  <w:style w:type="paragraph" w:customStyle="1" w:styleId="BoxText">
    <w:name w:val="Box Text"/>
    <w:basedOn w:val="Normal"/>
    <w:rsid w:val="000D1474"/>
  </w:style>
  <w:style w:type="paragraph" w:customStyle="1" w:styleId="Bullet">
    <w:name w:val="Bullet"/>
    <w:aliases w:val="b,b1,Body,b + line,level 1,Bullet + line"/>
    <w:basedOn w:val="Normal"/>
    <w:link w:val="BulletChar"/>
    <w:rsid w:val="000D1474"/>
    <w:pPr>
      <w:numPr>
        <w:numId w:val="1"/>
      </w:numPr>
      <w:spacing w:before="0"/>
      <w:ind w:left="284" w:hanging="284"/>
    </w:pPr>
  </w:style>
  <w:style w:type="paragraph" w:customStyle="1" w:styleId="ChartandTableFootnoteAlpha">
    <w:name w:val="Chart and Table Footnote Alpha"/>
    <w:rsid w:val="000D1474"/>
    <w:pPr>
      <w:numPr>
        <w:numId w:val="70"/>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0D1474"/>
    <w:pPr>
      <w:jc w:val="center"/>
    </w:pPr>
    <w:rPr>
      <w:sz w:val="24"/>
    </w:rPr>
  </w:style>
  <w:style w:type="paragraph" w:customStyle="1" w:styleId="ChartorTableNote">
    <w:name w:val="Chart or Table Note"/>
    <w:next w:val="Normal"/>
    <w:rsid w:val="000D14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0D1474"/>
    <w:pPr>
      <w:jc w:val="center"/>
    </w:pPr>
  </w:style>
  <w:style w:type="paragraph" w:customStyle="1" w:styleId="ReportDate">
    <w:name w:val="Report Date"/>
    <w:basedOn w:val="Normal"/>
    <w:link w:val="ReportDateChar"/>
    <w:rsid w:val="000D1474"/>
    <w:pPr>
      <w:keepNext/>
      <w:spacing w:before="0" w:after="360"/>
    </w:pPr>
    <w:rPr>
      <w:color w:val="FFFFFF" w:themeColor="background1"/>
      <w:sz w:val="44"/>
    </w:rPr>
  </w:style>
  <w:style w:type="paragraph" w:customStyle="1" w:styleId="Dash">
    <w:name w:val="Dash"/>
    <w:basedOn w:val="Normal"/>
    <w:link w:val="DashChar"/>
    <w:rsid w:val="000D1474"/>
    <w:pPr>
      <w:numPr>
        <w:ilvl w:val="1"/>
        <w:numId w:val="1"/>
      </w:numPr>
      <w:spacing w:before="0"/>
      <w:ind w:left="568"/>
    </w:pPr>
  </w:style>
  <w:style w:type="paragraph" w:customStyle="1" w:styleId="DoubleDot">
    <w:name w:val="Double Dot"/>
    <w:basedOn w:val="Normal"/>
    <w:rsid w:val="000D1474"/>
    <w:pPr>
      <w:numPr>
        <w:ilvl w:val="2"/>
        <w:numId w:val="1"/>
      </w:numPr>
      <w:spacing w:before="0"/>
      <w:ind w:left="851" w:hanging="284"/>
    </w:pPr>
  </w:style>
  <w:style w:type="paragraph" w:customStyle="1" w:styleId="TableMainHeading">
    <w:name w:val="Table Main Heading"/>
    <w:basedOn w:val="Heading3"/>
    <w:next w:val="Normal"/>
    <w:rsid w:val="00BD1503"/>
    <w:pPr>
      <w:spacing w:before="120" w:after="0"/>
    </w:pPr>
    <w:rPr>
      <w:b/>
      <w:sz w:val="22"/>
    </w:rPr>
  </w:style>
  <w:style w:type="paragraph" w:customStyle="1" w:styleId="FooterEven">
    <w:name w:val="Footer Even"/>
    <w:basedOn w:val="Footer"/>
    <w:rsid w:val="000D1474"/>
    <w:pPr>
      <w:keepNext/>
      <w:tabs>
        <w:tab w:val="clear" w:pos="4513"/>
        <w:tab w:val="clear" w:pos="9026"/>
      </w:tabs>
    </w:pPr>
    <w:rPr>
      <w:noProof/>
    </w:rPr>
  </w:style>
  <w:style w:type="paragraph" w:customStyle="1" w:styleId="FooterOdd">
    <w:name w:val="Footer Odd"/>
    <w:basedOn w:val="Footer"/>
    <w:rsid w:val="000D1474"/>
    <w:pPr>
      <w:keepNext/>
      <w:tabs>
        <w:tab w:val="clear" w:pos="4513"/>
        <w:tab w:val="clear" w:pos="9026"/>
      </w:tabs>
      <w:jc w:val="right"/>
    </w:pPr>
  </w:style>
  <w:style w:type="character" w:styleId="Hyperlink">
    <w:name w:val="Hyperlink"/>
    <w:basedOn w:val="DefaultParagraphFont"/>
    <w:uiPriority w:val="99"/>
    <w:rsid w:val="000D1474"/>
    <w:rPr>
      <w:color w:val="3A6FAF"/>
      <w:u w:val="none"/>
    </w:rPr>
  </w:style>
  <w:style w:type="paragraph" w:customStyle="1" w:styleId="OutlineNumbered1">
    <w:name w:val="Outline Numbered 1"/>
    <w:basedOn w:val="Normal"/>
    <w:link w:val="OutlineNumbered1Char"/>
    <w:rsid w:val="000D1474"/>
    <w:pPr>
      <w:numPr>
        <w:numId w:val="8"/>
      </w:numPr>
      <w:spacing w:before="0"/>
    </w:pPr>
  </w:style>
  <w:style w:type="paragraph" w:customStyle="1" w:styleId="OneLevelNumberedParagraph">
    <w:name w:val="One Level Numbered Paragraph"/>
    <w:basedOn w:val="Normal"/>
    <w:rsid w:val="00E77132"/>
    <w:pPr>
      <w:numPr>
        <w:numId w:val="5"/>
      </w:numPr>
      <w:tabs>
        <w:tab w:val="clear" w:pos="284"/>
        <w:tab w:val="num" w:pos="604"/>
      </w:tabs>
      <w:ind w:left="462" w:hanging="462"/>
      <w:jc w:val="both"/>
    </w:pPr>
    <w:rPr>
      <w:color w:val="002C47" w:themeColor="accent1"/>
      <w:szCs w:val="22"/>
    </w:rPr>
  </w:style>
  <w:style w:type="paragraph" w:customStyle="1" w:styleId="OutlineNumbered2">
    <w:name w:val="Outline Numbered 2"/>
    <w:basedOn w:val="Normal"/>
    <w:link w:val="OutlineNumbered2Char"/>
    <w:rsid w:val="000D1474"/>
    <w:pPr>
      <w:numPr>
        <w:ilvl w:val="1"/>
        <w:numId w:val="8"/>
      </w:numPr>
      <w:spacing w:before="0"/>
    </w:pPr>
  </w:style>
  <w:style w:type="paragraph" w:customStyle="1" w:styleId="OutlineNumbered3">
    <w:name w:val="Outline Numbered 3"/>
    <w:basedOn w:val="Normal"/>
    <w:rsid w:val="000D1474"/>
    <w:pPr>
      <w:numPr>
        <w:ilvl w:val="2"/>
        <w:numId w:val="8"/>
      </w:numPr>
      <w:spacing w:before="0"/>
    </w:pPr>
  </w:style>
  <w:style w:type="paragraph" w:customStyle="1" w:styleId="Romannumeral">
    <w:name w:val="Roman numeral"/>
    <w:basedOn w:val="Normal"/>
    <w:rsid w:val="000D1474"/>
    <w:pPr>
      <w:numPr>
        <w:numId w:val="68"/>
      </w:numPr>
      <w:tabs>
        <w:tab w:val="clear" w:pos="720"/>
        <w:tab w:val="left" w:pos="851"/>
      </w:tabs>
      <w:spacing w:before="0"/>
      <w:ind w:left="851" w:hanging="851"/>
    </w:pPr>
  </w:style>
  <w:style w:type="paragraph" w:customStyle="1" w:styleId="SingleParagraph">
    <w:name w:val="Single Paragraph"/>
    <w:basedOn w:val="Normal"/>
    <w:link w:val="SingleParagraphChar"/>
    <w:rsid w:val="000D1474"/>
    <w:pPr>
      <w:spacing w:before="0" w:after="0"/>
    </w:pPr>
  </w:style>
  <w:style w:type="paragraph" w:customStyle="1" w:styleId="TableSecondHeading">
    <w:name w:val="Table Second Heading"/>
    <w:basedOn w:val="Normal"/>
    <w:next w:val="Normal"/>
    <w:rsid w:val="000D1474"/>
    <w:pPr>
      <w:keepNext/>
      <w:spacing w:before="0" w:after="20"/>
    </w:pPr>
    <w:rPr>
      <w:b/>
      <w:color w:val="004A7F"/>
    </w:rPr>
  </w:style>
  <w:style w:type="paragraph" w:customStyle="1" w:styleId="TableColumnHeadingCentred">
    <w:name w:val="Table Column Heading Centred"/>
    <w:basedOn w:val="TableTextLeft"/>
    <w:rsid w:val="000D1474"/>
    <w:pPr>
      <w:jc w:val="center"/>
    </w:pPr>
    <w:rPr>
      <w:b/>
      <w:color w:val="004A7F"/>
      <w:sz w:val="20"/>
    </w:rPr>
  </w:style>
  <w:style w:type="paragraph" w:customStyle="1" w:styleId="TableColumnHeadingLeft">
    <w:name w:val="Table Column Heading Left"/>
    <w:basedOn w:val="TableTextLeft"/>
    <w:rsid w:val="000D1474"/>
    <w:rPr>
      <w:b/>
      <w:color w:val="004A7F"/>
      <w:sz w:val="20"/>
    </w:rPr>
  </w:style>
  <w:style w:type="paragraph" w:customStyle="1" w:styleId="TableColumnHeadingRight">
    <w:name w:val="Table Column Heading Right"/>
    <w:basedOn w:val="TableTextLeft"/>
    <w:rsid w:val="000D1474"/>
    <w:pPr>
      <w:jc w:val="right"/>
    </w:pPr>
    <w:rPr>
      <w:b/>
      <w:color w:val="004A7F"/>
      <w:sz w:val="20"/>
    </w:rPr>
  </w:style>
  <w:style w:type="table" w:styleId="TableGrid">
    <w:name w:val="Table Grid"/>
    <w:basedOn w:val="TableNormal"/>
    <w:rsid w:val="000D14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0D1474"/>
    <w:pPr>
      <w:jc w:val="center"/>
    </w:pPr>
  </w:style>
  <w:style w:type="paragraph" w:customStyle="1" w:styleId="TableTextLeft">
    <w:name w:val="Table Text Left"/>
    <w:basedOn w:val="TableTextRight"/>
    <w:rsid w:val="000D1474"/>
    <w:pPr>
      <w:jc w:val="left"/>
    </w:pPr>
  </w:style>
  <w:style w:type="paragraph" w:customStyle="1" w:styleId="TableTextRight">
    <w:name w:val="Table Text Right"/>
    <w:basedOn w:val="Normal"/>
    <w:rsid w:val="000D1474"/>
    <w:pPr>
      <w:spacing w:before="40" w:after="40"/>
      <w:jc w:val="right"/>
    </w:pPr>
    <w:rPr>
      <w:color w:val="000000"/>
      <w:sz w:val="18"/>
    </w:rPr>
  </w:style>
  <w:style w:type="paragraph" w:styleId="TOC1">
    <w:name w:val="toc 1"/>
    <w:basedOn w:val="Normal"/>
    <w:next w:val="Normal"/>
    <w:uiPriority w:val="39"/>
    <w:qFormat/>
    <w:rsid w:val="000D1474"/>
    <w:pPr>
      <w:keepNext/>
      <w:tabs>
        <w:tab w:val="right" w:leader="dot" w:pos="9072"/>
      </w:tabs>
      <w:spacing w:before="180" w:after="0"/>
      <w:ind w:right="-2"/>
    </w:pPr>
    <w:rPr>
      <w:b/>
      <w:noProof/>
      <w:color w:val="004A7F"/>
      <w:szCs w:val="22"/>
    </w:rPr>
  </w:style>
  <w:style w:type="paragraph" w:styleId="TOC2">
    <w:name w:val="toc 2"/>
    <w:basedOn w:val="Normal"/>
    <w:next w:val="Normal"/>
    <w:uiPriority w:val="39"/>
    <w:qFormat/>
    <w:rsid w:val="000D1474"/>
    <w:pPr>
      <w:keepNext/>
      <w:tabs>
        <w:tab w:val="right" w:leader="dot" w:pos="9072"/>
      </w:tabs>
      <w:spacing w:before="40" w:after="20"/>
      <w:ind w:right="-2"/>
    </w:pPr>
    <w:rPr>
      <w:noProof/>
      <w:color w:val="004A7F"/>
    </w:rPr>
  </w:style>
  <w:style w:type="paragraph" w:styleId="TOC3">
    <w:name w:val="toc 3"/>
    <w:basedOn w:val="Normal"/>
    <w:next w:val="Normal"/>
    <w:uiPriority w:val="39"/>
    <w:qFormat/>
    <w:rsid w:val="000D1474"/>
    <w:pPr>
      <w:tabs>
        <w:tab w:val="right" w:leader="dot" w:pos="9072"/>
      </w:tabs>
      <w:spacing w:before="20" w:after="0"/>
      <w:ind w:left="284" w:right="-2"/>
    </w:pPr>
    <w:rPr>
      <w:rFonts w:cs="Calibri"/>
      <w:noProof/>
      <w:color w:val="7F7F7F"/>
    </w:rPr>
  </w:style>
  <w:style w:type="numbering" w:customStyle="1" w:styleId="OutlineList">
    <w:name w:val="OutlineList"/>
    <w:uiPriority w:val="99"/>
    <w:rsid w:val="000D1474"/>
    <w:pPr>
      <w:numPr>
        <w:numId w:val="4"/>
      </w:numPr>
    </w:pPr>
  </w:style>
  <w:style w:type="numbering" w:customStyle="1" w:styleId="BulletedList">
    <w:name w:val="Bulleted List"/>
    <w:uiPriority w:val="99"/>
    <w:rsid w:val="000D1474"/>
    <w:pPr>
      <w:numPr>
        <w:numId w:val="1"/>
      </w:numPr>
    </w:pPr>
  </w:style>
  <w:style w:type="numbering" w:customStyle="1" w:styleId="BoxBulletedList">
    <w:name w:val="Box Bulleted List"/>
    <w:uiPriority w:val="99"/>
    <w:rsid w:val="000D1474"/>
    <w:pPr>
      <w:numPr>
        <w:numId w:val="2"/>
      </w:numPr>
    </w:pPr>
  </w:style>
  <w:style w:type="numbering" w:customStyle="1" w:styleId="OneLevelList">
    <w:name w:val="OneLevelList"/>
    <w:uiPriority w:val="99"/>
    <w:rsid w:val="000D1474"/>
    <w:pPr>
      <w:numPr>
        <w:numId w:val="3"/>
      </w:numPr>
    </w:pPr>
  </w:style>
  <w:style w:type="numbering" w:customStyle="1" w:styleId="ChartandTableFootnoteAlphaList">
    <w:name w:val="ChartandTableFootnoteAlphaList"/>
    <w:uiPriority w:val="99"/>
    <w:rsid w:val="000D1474"/>
    <w:pPr>
      <w:numPr>
        <w:numId w:val="70"/>
      </w:numPr>
    </w:pPr>
  </w:style>
  <w:style w:type="paragraph" w:customStyle="1" w:styleId="Crest">
    <w:name w:val="Crest"/>
    <w:basedOn w:val="Header"/>
    <w:rsid w:val="000D1474"/>
    <w:pPr>
      <w:spacing w:after="480"/>
      <w:jc w:val="center"/>
    </w:pPr>
    <w:rPr>
      <w:color w:val="000000" w:themeColor="text1"/>
    </w:rPr>
  </w:style>
  <w:style w:type="paragraph" w:customStyle="1" w:styleId="Heading1Numbered">
    <w:name w:val="Heading 1 Numbered"/>
    <w:basedOn w:val="Heading1"/>
    <w:next w:val="Normal"/>
    <w:rsid w:val="000D1474"/>
    <w:pPr>
      <w:numPr>
        <w:numId w:val="66"/>
      </w:numPr>
    </w:pPr>
  </w:style>
  <w:style w:type="character" w:customStyle="1" w:styleId="SingleParagraphChar">
    <w:name w:val="Single Paragraph Char"/>
    <w:basedOn w:val="DefaultParagraphFont"/>
    <w:link w:val="SingleParagraph"/>
    <w:rsid w:val="000D1474"/>
    <w:rPr>
      <w:rFonts w:ascii="Calibri" w:eastAsia="Times New Roman" w:hAnsi="Calibri" w:cs="Times New Roman"/>
      <w:szCs w:val="20"/>
      <w:lang w:eastAsia="en-AU"/>
    </w:rPr>
  </w:style>
  <w:style w:type="paragraph" w:customStyle="1" w:styleId="Heading2Numbered">
    <w:name w:val="Heading 2 Numbered"/>
    <w:basedOn w:val="Heading2"/>
    <w:next w:val="Normal"/>
    <w:rsid w:val="000D1474"/>
    <w:pPr>
      <w:numPr>
        <w:ilvl w:val="1"/>
        <w:numId w:val="66"/>
      </w:numPr>
      <w:ind w:left="284" w:hanging="284"/>
    </w:pPr>
  </w:style>
  <w:style w:type="paragraph" w:customStyle="1" w:styleId="Heading3Numbered">
    <w:name w:val="Heading 3 Numbered"/>
    <w:basedOn w:val="Heading3"/>
    <w:qFormat/>
    <w:rsid w:val="000D1474"/>
    <w:pPr>
      <w:numPr>
        <w:ilvl w:val="2"/>
        <w:numId w:val="66"/>
      </w:numPr>
      <w:ind w:left="284" w:hanging="284"/>
    </w:pPr>
  </w:style>
  <w:style w:type="paragraph" w:styleId="Title">
    <w:name w:val="Title"/>
    <w:basedOn w:val="Normal"/>
    <w:next w:val="Normal"/>
    <w:link w:val="TitleChar"/>
    <w:uiPriority w:val="10"/>
    <w:qFormat/>
    <w:rsid w:val="000D1474"/>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0D1474"/>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0D1474"/>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0D1474"/>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D1474"/>
    <w:rPr>
      <w:i/>
      <w:iCs/>
      <w:color w:val="808080" w:themeColor="text1" w:themeTint="7F"/>
    </w:rPr>
  </w:style>
  <w:style w:type="paragraph" w:styleId="Footer">
    <w:name w:val="footer"/>
    <w:basedOn w:val="Normal"/>
    <w:link w:val="FooterChar"/>
    <w:unhideWhenUsed/>
    <w:rsid w:val="000D1474"/>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0D1474"/>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0D1474"/>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0D1474"/>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D1474"/>
    <w:rPr>
      <w:color w:val="808080"/>
    </w:rPr>
  </w:style>
  <w:style w:type="paragraph" w:customStyle="1" w:styleId="AppendixHeading">
    <w:name w:val="Appendix Heading"/>
    <w:basedOn w:val="Normal"/>
    <w:next w:val="Normal"/>
    <w:rsid w:val="000D1474"/>
    <w:pPr>
      <w:keepNext/>
      <w:spacing w:before="720" w:after="360"/>
    </w:pPr>
    <w:rPr>
      <w:rFonts w:ascii="Arial Bold" w:hAnsi="Arial Bold"/>
      <w:b/>
      <w:smallCaps/>
      <w:color w:val="004A7F"/>
      <w:sz w:val="36"/>
      <w:szCs w:val="36"/>
    </w:rPr>
  </w:style>
  <w:style w:type="paragraph" w:customStyle="1" w:styleId="HeadingBase">
    <w:name w:val="Heading Base"/>
    <w:qFormat/>
    <w:rsid w:val="000D1474"/>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0D1474"/>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0D1474"/>
    <w:pPr>
      <w:spacing w:after="1800"/>
      <w:ind w:right="142"/>
    </w:pPr>
    <w:rPr>
      <w:rFonts w:ascii="Century Gothic" w:hAnsi="Century Gothic"/>
      <w:b/>
      <w:bCs/>
      <w:color w:val="F06252" w:themeColor="text2"/>
      <w:sz w:val="22"/>
    </w:rPr>
  </w:style>
  <w:style w:type="paragraph" w:customStyle="1" w:styleId="NotesHeading">
    <w:name w:val="Notes Heading"/>
    <w:basedOn w:val="Normal"/>
    <w:rsid w:val="000D1474"/>
    <w:pPr>
      <w:keepNext/>
      <w:spacing w:before="240" w:after="360"/>
      <w:jc w:val="center"/>
    </w:pPr>
    <w:rPr>
      <w:rFonts w:ascii="Century Gothic" w:hAnsi="Century Gothic"/>
      <w:smallCaps/>
      <w:color w:val="F06252" w:themeColor="text2"/>
      <w:sz w:val="36"/>
      <w:szCs w:val="36"/>
    </w:rPr>
  </w:style>
  <w:style w:type="paragraph" w:customStyle="1" w:styleId="Divider">
    <w:name w:val="Divider"/>
    <w:basedOn w:val="ReportDate"/>
    <w:qFormat/>
    <w:rsid w:val="000D1474"/>
    <w:pPr>
      <w:spacing w:after="1800"/>
    </w:pPr>
    <w:rPr>
      <w:rFonts w:ascii="Rockwell" w:hAnsi="Rockwell"/>
      <w:sz w:val="24"/>
    </w:rPr>
  </w:style>
  <w:style w:type="character" w:customStyle="1" w:styleId="FramedFooter">
    <w:name w:val="Framed Footer"/>
    <w:rsid w:val="000D1474"/>
    <w:rPr>
      <w:rFonts w:ascii="Arial" w:hAnsi="Arial"/>
      <w:color w:val="004A7F"/>
      <w:sz w:val="18"/>
    </w:rPr>
  </w:style>
  <w:style w:type="character" w:customStyle="1" w:styleId="FramedHeader">
    <w:name w:val="Framed Header"/>
    <w:basedOn w:val="DefaultParagraphFont"/>
    <w:rsid w:val="000D1474"/>
    <w:rPr>
      <w:rFonts w:ascii="Arial" w:hAnsi="Arial"/>
      <w:dstrike w:val="0"/>
      <w:color w:val="auto"/>
      <w:sz w:val="18"/>
      <w:vertAlign w:val="baseline"/>
    </w:rPr>
  </w:style>
  <w:style w:type="paragraph" w:customStyle="1" w:styleId="TableTextIndented">
    <w:name w:val="Table Text Indented"/>
    <w:basedOn w:val="TableTextLeft"/>
    <w:qFormat/>
    <w:rsid w:val="000D1474"/>
    <w:pPr>
      <w:ind w:left="284"/>
    </w:pPr>
  </w:style>
  <w:style w:type="paragraph" w:customStyle="1" w:styleId="TableHeadingContinued">
    <w:name w:val="Table Heading Continued"/>
    <w:basedOn w:val="TableMainHeading"/>
    <w:next w:val="TableGraphic"/>
    <w:qFormat/>
    <w:rsid w:val="000D1474"/>
  </w:style>
  <w:style w:type="paragraph" w:customStyle="1" w:styleId="TableGraphic">
    <w:name w:val="Table Graphic"/>
    <w:basedOn w:val="HeadingBase"/>
    <w:next w:val="Normal"/>
    <w:qFormat/>
    <w:rsid w:val="000D1474"/>
    <w:pPr>
      <w:spacing w:after="0"/>
    </w:pPr>
  </w:style>
  <w:style w:type="character" w:styleId="FootnoteReference">
    <w:name w:val="footnote reference"/>
    <w:basedOn w:val="DefaultParagraphFont"/>
    <w:uiPriority w:val="99"/>
    <w:rsid w:val="000D1474"/>
    <w:rPr>
      <w:rFonts w:ascii="Calibri" w:hAnsi="Calibri"/>
      <w:sz w:val="20"/>
      <w:vertAlign w:val="superscript"/>
    </w:rPr>
  </w:style>
  <w:style w:type="paragraph" w:styleId="FootnoteText">
    <w:name w:val="footnote text"/>
    <w:basedOn w:val="Normal"/>
    <w:link w:val="FootnoteTextChar"/>
    <w:uiPriority w:val="99"/>
    <w:rsid w:val="002E0808"/>
    <w:pPr>
      <w:spacing w:before="0" w:after="0"/>
      <w:ind w:left="426" w:hanging="426"/>
    </w:pPr>
    <w:rPr>
      <w:sz w:val="20"/>
    </w:rPr>
  </w:style>
  <w:style w:type="character" w:customStyle="1" w:styleId="FootnoteTextChar">
    <w:name w:val="Footnote Text Char"/>
    <w:basedOn w:val="DefaultParagraphFont"/>
    <w:link w:val="FootnoteText"/>
    <w:uiPriority w:val="99"/>
    <w:rsid w:val="002E0808"/>
    <w:rPr>
      <w:rFonts w:ascii="Calibri" w:eastAsia="Times New Roman" w:hAnsi="Calibri" w:cs="Times New Roman"/>
      <w:sz w:val="20"/>
      <w:szCs w:val="20"/>
      <w:lang w:eastAsia="en-AU"/>
    </w:rPr>
  </w:style>
  <w:style w:type="paragraph" w:customStyle="1" w:styleId="Heading3noTOC">
    <w:name w:val="Heading 3 no TOC"/>
    <w:basedOn w:val="Heading3"/>
    <w:qFormat/>
    <w:rsid w:val="000D1474"/>
    <w:rPr>
      <w:rFonts w:cs="Calibri"/>
    </w:rPr>
  </w:style>
  <w:style w:type="paragraph" w:styleId="BalloonText">
    <w:name w:val="Balloon Text"/>
    <w:basedOn w:val="Normal"/>
    <w:link w:val="BalloonTextChar"/>
    <w:uiPriority w:val="99"/>
    <w:semiHidden/>
    <w:unhideWhenUsed/>
    <w:rsid w:val="000D147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474"/>
    <w:rPr>
      <w:rFonts w:ascii="Tahoma" w:eastAsia="Times New Roman" w:hAnsi="Tahoma" w:cs="Tahoma"/>
      <w:sz w:val="16"/>
      <w:szCs w:val="16"/>
      <w:lang w:eastAsia="en-AU"/>
    </w:rPr>
  </w:style>
  <w:style w:type="character" w:customStyle="1" w:styleId="BulletChar">
    <w:name w:val="Bullet Char"/>
    <w:aliases w:val="b + line Char Char,b Char,b Char Char,b1 Char,b + line Char,Body Char,level 1 Char,Number Char,Bullet + line Char,Bullets Char,L Char,List Paragraph Char,List Paragraph1 Char,List Paragraph11 Char,Recommendation Char,List Paragraph2 Char"/>
    <w:basedOn w:val="DefaultParagraphFont"/>
    <w:link w:val="Bullet"/>
    <w:qFormat/>
    <w:rsid w:val="00074E43"/>
    <w:rPr>
      <w:rFonts w:ascii="Calibri" w:eastAsia="Times New Roman" w:hAnsi="Calibri" w:cs="Times New Roman"/>
      <w:szCs w:val="20"/>
      <w:lang w:eastAsia="en-AU"/>
    </w:rPr>
  </w:style>
  <w:style w:type="table" w:customStyle="1" w:styleId="TableGrid1">
    <w:name w:val="Table Grid1"/>
    <w:basedOn w:val="TableNormal"/>
    <w:next w:val="TableGrid"/>
    <w:uiPriority w:val="59"/>
    <w:rsid w:val="00235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utlineNumbered2Char">
    <w:name w:val="Outline Numbered 2 Char"/>
    <w:basedOn w:val="BulletChar"/>
    <w:link w:val="OutlineNumbered2"/>
    <w:rsid w:val="00616A27"/>
    <w:rPr>
      <w:rFonts w:ascii="Calibri" w:eastAsia="Times New Roman" w:hAnsi="Calibri" w:cs="Times New Roman"/>
      <w:szCs w:val="20"/>
      <w:lang w:eastAsia="en-AU"/>
    </w:rPr>
  </w:style>
  <w:style w:type="character" w:styleId="CommentReference">
    <w:name w:val="annotation reference"/>
    <w:basedOn w:val="DefaultParagraphFont"/>
    <w:uiPriority w:val="99"/>
    <w:semiHidden/>
    <w:unhideWhenUsed/>
    <w:rsid w:val="00CB5478"/>
    <w:rPr>
      <w:sz w:val="16"/>
      <w:szCs w:val="16"/>
    </w:rPr>
  </w:style>
  <w:style w:type="paragraph" w:styleId="CommentText">
    <w:name w:val="annotation text"/>
    <w:basedOn w:val="Normal"/>
    <w:link w:val="CommentTextChar"/>
    <w:uiPriority w:val="99"/>
    <w:unhideWhenUsed/>
    <w:rsid w:val="00CB5478"/>
    <w:rPr>
      <w:sz w:val="20"/>
    </w:rPr>
  </w:style>
  <w:style w:type="character" w:customStyle="1" w:styleId="CommentTextChar">
    <w:name w:val="Comment Text Char"/>
    <w:basedOn w:val="DefaultParagraphFont"/>
    <w:link w:val="CommentText"/>
    <w:uiPriority w:val="99"/>
    <w:rsid w:val="00CB5478"/>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CB5478"/>
    <w:rPr>
      <w:b/>
      <w:bCs/>
    </w:rPr>
  </w:style>
  <w:style w:type="character" w:customStyle="1" w:styleId="CommentSubjectChar">
    <w:name w:val="Comment Subject Char"/>
    <w:basedOn w:val="CommentTextChar"/>
    <w:link w:val="CommentSubject"/>
    <w:uiPriority w:val="99"/>
    <w:semiHidden/>
    <w:rsid w:val="00CB5478"/>
    <w:rPr>
      <w:rFonts w:ascii="Calibri" w:eastAsia="Times New Roman" w:hAnsi="Calibri" w:cs="Times New Roman"/>
      <w:b/>
      <w:bCs/>
      <w:sz w:val="20"/>
      <w:szCs w:val="20"/>
      <w:lang w:eastAsia="en-AU"/>
    </w:rPr>
  </w:style>
  <w:style w:type="table" w:customStyle="1" w:styleId="TableGrid2">
    <w:name w:val="Table Grid2"/>
    <w:basedOn w:val="TableNormal"/>
    <w:next w:val="TableGrid"/>
    <w:uiPriority w:val="59"/>
    <w:rsid w:val="00C50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C4B12"/>
    <w:pPr>
      <w:spacing w:after="0" w:line="240" w:lineRule="auto"/>
    </w:pPr>
    <w:rPr>
      <w:rFonts w:ascii="Calibri" w:eastAsia="Times New Roman" w:hAnsi="Calibri" w:cs="Times New Roman"/>
      <w:szCs w:val="20"/>
      <w:lang w:eastAsia="en-AU"/>
    </w:rPr>
  </w:style>
  <w:style w:type="character" w:customStyle="1" w:styleId="OutlineNumbered1Char">
    <w:name w:val="Outline Numbered 1 Char"/>
    <w:basedOn w:val="DefaultParagraphFont"/>
    <w:link w:val="OutlineNumbered1"/>
    <w:rsid w:val="00EA5C42"/>
    <w:rPr>
      <w:rFonts w:ascii="Calibri" w:eastAsia="Times New Roman" w:hAnsi="Calibri" w:cs="Times New Roman"/>
      <w:szCs w:val="20"/>
      <w:lang w:eastAsia="en-AU"/>
    </w:rPr>
  </w:style>
  <w:style w:type="paragraph" w:customStyle="1" w:styleId="CABParagraph">
    <w:name w:val="CAB Paragraph"/>
    <w:basedOn w:val="BodyText"/>
    <w:link w:val="CABParagraphChar"/>
    <w:uiPriority w:val="98"/>
    <w:qFormat/>
    <w:rsid w:val="00A07D9A"/>
    <w:pPr>
      <w:spacing w:after="0"/>
    </w:pPr>
    <w:rPr>
      <w:rFonts w:ascii="Arial" w:eastAsiaTheme="minorHAnsi" w:hAnsi="Arial" w:cstheme="minorBidi"/>
      <w:szCs w:val="22"/>
      <w:lang w:eastAsia="en-US"/>
    </w:rPr>
  </w:style>
  <w:style w:type="character" w:customStyle="1" w:styleId="CABParagraphChar">
    <w:name w:val="CAB Paragraph Char"/>
    <w:basedOn w:val="DefaultParagraphFont"/>
    <w:link w:val="CABParagraph"/>
    <w:uiPriority w:val="98"/>
    <w:rsid w:val="00A07D9A"/>
    <w:rPr>
      <w:rFonts w:ascii="Arial" w:hAnsi="Arial"/>
    </w:rPr>
  </w:style>
  <w:style w:type="paragraph" w:styleId="BodyText">
    <w:name w:val="Body Text"/>
    <w:basedOn w:val="Normal"/>
    <w:link w:val="BodyTextChar"/>
    <w:uiPriority w:val="99"/>
    <w:semiHidden/>
    <w:unhideWhenUsed/>
    <w:rsid w:val="00A07D9A"/>
  </w:style>
  <w:style w:type="character" w:customStyle="1" w:styleId="BodyTextChar">
    <w:name w:val="Body Text Char"/>
    <w:basedOn w:val="DefaultParagraphFont"/>
    <w:link w:val="BodyText"/>
    <w:uiPriority w:val="99"/>
    <w:semiHidden/>
    <w:rsid w:val="00A07D9A"/>
    <w:rPr>
      <w:rFonts w:ascii="Calibri" w:eastAsia="Times New Roman" w:hAnsi="Calibri" w:cs="Times New Roman"/>
      <w:szCs w:val="20"/>
      <w:lang w:eastAsia="en-AU"/>
    </w:rPr>
  </w:style>
  <w:style w:type="paragraph" w:customStyle="1" w:styleId="CAB-Heading1">
    <w:name w:val="CAB - Heading 1"/>
    <w:basedOn w:val="Heading1"/>
    <w:link w:val="CAB-Heading1Char"/>
    <w:uiPriority w:val="98"/>
    <w:rsid w:val="00CC5C14"/>
    <w:pPr>
      <w:keepLines/>
      <w:tabs>
        <w:tab w:val="left" w:pos="567"/>
      </w:tabs>
      <w:spacing w:before="240" w:after="200"/>
    </w:pPr>
    <w:rPr>
      <w:rFonts w:ascii="Arial" w:eastAsiaTheme="majorEastAsia" w:hAnsi="Arial" w:cstheme="majorBidi"/>
      <w:b/>
      <w:bCs/>
      <w:color w:val="003865"/>
      <w:kern w:val="0"/>
      <w:sz w:val="28"/>
      <w:szCs w:val="28"/>
      <w:lang w:eastAsia="en-US"/>
    </w:rPr>
  </w:style>
  <w:style w:type="character" w:customStyle="1" w:styleId="CAB-Heading1Char">
    <w:name w:val="CAB - Heading 1 Char"/>
    <w:basedOn w:val="DefaultParagraphFont"/>
    <w:link w:val="CAB-Heading1"/>
    <w:uiPriority w:val="98"/>
    <w:rsid w:val="00CC5C14"/>
    <w:rPr>
      <w:rFonts w:ascii="Arial" w:eastAsiaTheme="majorEastAsia" w:hAnsi="Arial" w:cstheme="majorBidi"/>
      <w:b/>
      <w:bCs/>
      <w:color w:val="003865"/>
      <w:sz w:val="28"/>
      <w:szCs w:val="28"/>
    </w:rPr>
  </w:style>
  <w:style w:type="paragraph" w:customStyle="1" w:styleId="CABNumberedParagraph">
    <w:name w:val="CAB Numbered Paragraph"/>
    <w:basedOn w:val="Normal"/>
    <w:link w:val="CABNumberedParagraphChar"/>
    <w:uiPriority w:val="98"/>
    <w:qFormat/>
    <w:rsid w:val="00A60647"/>
    <w:pPr>
      <w:spacing w:before="0" w:after="200" w:line="276" w:lineRule="auto"/>
    </w:pPr>
    <w:rPr>
      <w:rFonts w:ascii="Arial" w:eastAsiaTheme="minorHAnsi" w:hAnsi="Arial" w:cstheme="minorBidi"/>
      <w:szCs w:val="22"/>
      <w:lang w:eastAsia="en-US"/>
    </w:rPr>
  </w:style>
  <w:style w:type="character" w:customStyle="1" w:styleId="CABNumberedParagraphChar">
    <w:name w:val="CAB Numbered Paragraph Char"/>
    <w:basedOn w:val="DefaultParagraphFont"/>
    <w:link w:val="CABNumberedParagraph"/>
    <w:uiPriority w:val="98"/>
    <w:rsid w:val="00A60647"/>
    <w:rPr>
      <w:rFonts w:ascii="Arial" w:hAnsi="Arial"/>
    </w:rPr>
  </w:style>
  <w:style w:type="character" w:styleId="FollowedHyperlink">
    <w:name w:val="FollowedHyperlink"/>
    <w:basedOn w:val="DefaultParagraphFont"/>
    <w:uiPriority w:val="99"/>
    <w:semiHidden/>
    <w:unhideWhenUsed/>
    <w:rsid w:val="00FD65BE"/>
    <w:rPr>
      <w:color w:val="E61E26" w:themeColor="followedHyperlink"/>
      <w:u w:val="single"/>
    </w:rPr>
  </w:style>
  <w:style w:type="paragraph" w:styleId="NormalWeb">
    <w:name w:val="Normal (Web)"/>
    <w:basedOn w:val="Normal"/>
    <w:uiPriority w:val="99"/>
    <w:semiHidden/>
    <w:unhideWhenUsed/>
    <w:rsid w:val="0048768B"/>
    <w:pPr>
      <w:spacing w:before="0" w:after="150"/>
    </w:pPr>
    <w:rPr>
      <w:rFonts w:ascii="Times New Roman" w:hAnsi="Times New Roman"/>
      <w:sz w:val="24"/>
      <w:szCs w:val="24"/>
    </w:rPr>
  </w:style>
  <w:style w:type="paragraph" w:customStyle="1" w:styleId="CABBulletList">
    <w:name w:val="CAB Bullet List"/>
    <w:basedOn w:val="ListParagraph"/>
    <w:uiPriority w:val="98"/>
    <w:qFormat/>
    <w:rsid w:val="00A3513F"/>
    <w:pPr>
      <w:numPr>
        <w:numId w:val="7"/>
      </w:numPr>
      <w:tabs>
        <w:tab w:val="num" w:pos="283"/>
        <w:tab w:val="left" w:pos="851"/>
      </w:tabs>
      <w:spacing w:before="60" w:after="60"/>
    </w:pPr>
    <w:rPr>
      <w:rFonts w:ascii="Arial" w:eastAsiaTheme="minorHAnsi" w:hAnsi="Arial" w:cstheme="minorBidi"/>
      <w:szCs w:val="22"/>
      <w:lang w:eastAsia="en-US"/>
    </w:rPr>
  </w:style>
  <w:style w:type="paragraph" w:styleId="ListParagraph">
    <w:name w:val="List Paragraph"/>
    <w:aliases w:val="Brief List Paragraph 1,Bullet point,CAB - List Bullet,Content descriptions,FooterText,L,List Bullet Cab,List Paragraph Number,List Paragraph1,List Paragraph11,List Paragraph2,NFP GP Bulleted List,Recommendation,numbered"/>
    <w:basedOn w:val="Normal"/>
    <w:uiPriority w:val="34"/>
    <w:qFormat/>
    <w:rsid w:val="001303D6"/>
    <w:pPr>
      <w:ind w:left="720"/>
      <w:contextualSpacing/>
    </w:pPr>
  </w:style>
  <w:style w:type="paragraph" w:customStyle="1" w:styleId="CABList">
    <w:name w:val="CAB List"/>
    <w:basedOn w:val="BodyText"/>
    <w:uiPriority w:val="98"/>
    <w:qFormat/>
    <w:rsid w:val="00867F51"/>
    <w:pPr>
      <w:tabs>
        <w:tab w:val="left" w:pos="4253"/>
      </w:tabs>
      <w:spacing w:after="0"/>
    </w:pPr>
    <w:rPr>
      <w:rFonts w:ascii="Arial" w:eastAsiaTheme="minorHAnsi" w:hAnsi="Arial" w:cstheme="minorBidi"/>
      <w:szCs w:val="22"/>
      <w:lang w:eastAsia="en-US"/>
    </w:rPr>
  </w:style>
  <w:style w:type="paragraph" w:customStyle="1" w:styleId="CABH2Info">
    <w:name w:val="CAB H2 Info"/>
    <w:basedOn w:val="Heading2"/>
    <w:uiPriority w:val="98"/>
    <w:qFormat/>
    <w:rsid w:val="00867F51"/>
    <w:pPr>
      <w:keepLines/>
      <w:spacing w:before="200" w:after="0"/>
    </w:pPr>
    <w:rPr>
      <w:rFonts w:ascii="Arial" w:eastAsiaTheme="majorEastAsia" w:hAnsi="Arial" w:cstheme="majorBidi"/>
      <w:b/>
      <w:bCs/>
      <w:iCs w:val="0"/>
      <w:color w:val="auto"/>
      <w:kern w:val="0"/>
      <w:sz w:val="24"/>
      <w:szCs w:val="32"/>
      <w:lang w:eastAsia="en-US"/>
    </w:rPr>
  </w:style>
  <w:style w:type="paragraph" w:customStyle="1" w:styleId="Bullet3">
    <w:name w:val="Bullet 3"/>
    <w:basedOn w:val="Normal"/>
    <w:rsid w:val="00C93BD5"/>
    <w:pPr>
      <w:tabs>
        <w:tab w:val="left" w:pos="284"/>
        <w:tab w:val="num" w:pos="852"/>
      </w:tabs>
      <w:spacing w:before="0" w:after="200" w:line="276" w:lineRule="auto"/>
      <w:ind w:left="852" w:hanging="284"/>
    </w:pPr>
    <w:rPr>
      <w:rFonts w:eastAsia="Calibri"/>
      <w:szCs w:val="22"/>
      <w:lang w:eastAsia="en-US"/>
    </w:rPr>
  </w:style>
  <w:style w:type="paragraph" w:customStyle="1" w:styleId="ContentsHeading">
    <w:name w:val="Contents Heading"/>
    <w:basedOn w:val="HeadingBase"/>
    <w:next w:val="Normal"/>
    <w:rsid w:val="00CF2106"/>
    <w:pPr>
      <w:keepNext w:val="0"/>
      <w:spacing w:after="360"/>
    </w:pPr>
    <w:rPr>
      <w:rFonts w:cs="Times New Roman"/>
      <w:bCs w:val="0"/>
      <w:smallCaps/>
      <w:color w:val="653979"/>
      <w:kern w:val="0"/>
      <w:sz w:val="36"/>
    </w:rPr>
  </w:style>
  <w:style w:type="paragraph" w:customStyle="1" w:styleId="ChartorTableFootnote">
    <w:name w:val="Chart or Table Footnote"/>
    <w:basedOn w:val="ChartorTableNote"/>
    <w:next w:val="Normal"/>
    <w:autoRedefine/>
    <w:qFormat/>
    <w:rsid w:val="00CF2106"/>
    <w:pPr>
      <w:numPr>
        <w:numId w:val="9"/>
      </w:numPr>
    </w:pPr>
    <w:rPr>
      <w:rFonts w:ascii="Arial" w:hAnsi="Arial"/>
      <w:sz w:val="16"/>
    </w:rPr>
  </w:style>
  <w:style w:type="paragraph" w:styleId="NoSpacing">
    <w:name w:val="No Spacing"/>
    <w:uiPriority w:val="1"/>
    <w:qFormat/>
    <w:rsid w:val="00624FB6"/>
    <w:pPr>
      <w:spacing w:after="0" w:line="240" w:lineRule="auto"/>
    </w:pPr>
    <w:rPr>
      <w:rFonts w:ascii="Calibri" w:eastAsia="Times New Roman" w:hAnsi="Calibri" w:cs="Times New Roman"/>
      <w:szCs w:val="20"/>
      <w:lang w:eastAsia="en-AU"/>
    </w:rPr>
  </w:style>
  <w:style w:type="character" w:styleId="Strong">
    <w:name w:val="Strong"/>
    <w:basedOn w:val="DefaultParagraphFont"/>
    <w:uiPriority w:val="22"/>
    <w:qFormat/>
    <w:rsid w:val="0016747E"/>
    <w:rPr>
      <w:b/>
      <w:bCs/>
    </w:rPr>
  </w:style>
  <w:style w:type="paragraph" w:styleId="TOC4">
    <w:name w:val="toc 4"/>
    <w:basedOn w:val="Normal"/>
    <w:next w:val="Normal"/>
    <w:autoRedefine/>
    <w:uiPriority w:val="39"/>
    <w:unhideWhenUsed/>
    <w:rsid w:val="002F0549"/>
    <w:pPr>
      <w:spacing w:before="0" w:after="100" w:line="259"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2F0549"/>
    <w:pPr>
      <w:spacing w:before="0"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2F0549"/>
    <w:pPr>
      <w:spacing w:before="0"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2F0549"/>
    <w:pPr>
      <w:spacing w:before="0"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2F0549"/>
    <w:pPr>
      <w:spacing w:before="0"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2F0549"/>
    <w:pPr>
      <w:spacing w:before="0" w:after="100" w:line="259" w:lineRule="auto"/>
      <w:ind w:left="1760"/>
    </w:pPr>
    <w:rPr>
      <w:rFonts w:asciiTheme="minorHAnsi" w:eastAsiaTheme="minorEastAsia" w:hAnsiTheme="minorHAnsi" w:cstheme="minorBidi"/>
      <w:szCs w:val="22"/>
    </w:rPr>
  </w:style>
  <w:style w:type="paragraph" w:customStyle="1" w:styleId="Default">
    <w:name w:val="Default"/>
    <w:rsid w:val="00481A76"/>
    <w:pPr>
      <w:autoSpaceDE w:val="0"/>
      <w:autoSpaceDN w:val="0"/>
      <w:adjustRightInd w:val="0"/>
      <w:spacing w:after="0" w:line="240" w:lineRule="auto"/>
    </w:pPr>
    <w:rPr>
      <w:rFonts w:ascii="Calibri" w:hAnsi="Calibri" w:cs="Calibri"/>
      <w:color w:val="000000"/>
      <w:sz w:val="24"/>
      <w:szCs w:val="24"/>
    </w:rPr>
  </w:style>
  <w:style w:type="paragraph" w:customStyle="1" w:styleId="NumberLevel1">
    <w:name w:val="Number Level 1"/>
    <w:aliases w:val="N1"/>
    <w:basedOn w:val="Normal"/>
    <w:uiPriority w:val="1"/>
    <w:rsid w:val="00A76CDF"/>
    <w:pPr>
      <w:tabs>
        <w:tab w:val="num" w:pos="709"/>
      </w:tabs>
      <w:spacing w:before="140" w:after="140" w:line="280" w:lineRule="atLeast"/>
      <w:ind w:hanging="709"/>
    </w:pPr>
    <w:rPr>
      <w:rFonts w:ascii="Arial" w:eastAsiaTheme="minorHAnsi" w:hAnsi="Arial" w:cs="Arial"/>
      <w:szCs w:val="22"/>
    </w:rPr>
  </w:style>
  <w:style w:type="paragraph" w:customStyle="1" w:styleId="NumberLevel2">
    <w:name w:val="Number Level 2"/>
    <w:aliases w:val="N2"/>
    <w:basedOn w:val="Normal"/>
    <w:uiPriority w:val="1"/>
    <w:rsid w:val="00A76CDF"/>
    <w:pPr>
      <w:tabs>
        <w:tab w:val="num" w:pos="709"/>
      </w:tabs>
      <w:spacing w:before="140" w:after="140" w:line="280" w:lineRule="atLeast"/>
      <w:ind w:hanging="709"/>
    </w:pPr>
    <w:rPr>
      <w:rFonts w:ascii="Arial" w:eastAsiaTheme="minorHAnsi" w:hAnsi="Arial" w:cs="Arial"/>
      <w:szCs w:val="22"/>
    </w:rPr>
  </w:style>
  <w:style w:type="paragraph" w:customStyle="1" w:styleId="NumberLevel3">
    <w:name w:val="Number Level 3"/>
    <w:aliases w:val="N3"/>
    <w:basedOn w:val="Normal"/>
    <w:uiPriority w:val="1"/>
    <w:rsid w:val="00A76CDF"/>
    <w:pPr>
      <w:tabs>
        <w:tab w:val="num" w:pos="709"/>
      </w:tabs>
      <w:spacing w:before="140" w:after="140" w:line="280" w:lineRule="atLeast"/>
      <w:ind w:hanging="709"/>
    </w:pPr>
    <w:rPr>
      <w:rFonts w:ascii="Arial" w:eastAsiaTheme="minorHAnsi" w:hAnsi="Arial" w:cs="Arial"/>
      <w:szCs w:val="22"/>
    </w:rPr>
  </w:style>
  <w:style w:type="paragraph" w:customStyle="1" w:styleId="NumberLevel4">
    <w:name w:val="Number Level 4"/>
    <w:aliases w:val="N4"/>
    <w:basedOn w:val="Normal"/>
    <w:uiPriority w:val="1"/>
    <w:rsid w:val="00A76CDF"/>
    <w:pPr>
      <w:tabs>
        <w:tab w:val="num" w:pos="709"/>
      </w:tabs>
      <w:spacing w:before="0" w:after="140" w:line="280" w:lineRule="atLeast"/>
      <w:ind w:left="425" w:hanging="425"/>
    </w:pPr>
    <w:rPr>
      <w:rFonts w:ascii="Arial" w:eastAsiaTheme="minorHAnsi" w:hAnsi="Arial" w:cs="Arial"/>
      <w:szCs w:val="22"/>
    </w:rPr>
  </w:style>
  <w:style w:type="paragraph" w:customStyle="1" w:styleId="NumberLevel5">
    <w:name w:val="Number Level 5"/>
    <w:aliases w:val="N5"/>
    <w:basedOn w:val="Normal"/>
    <w:uiPriority w:val="1"/>
    <w:rsid w:val="00A76CDF"/>
    <w:pPr>
      <w:tabs>
        <w:tab w:val="num" w:pos="709"/>
      </w:tabs>
      <w:spacing w:before="0" w:after="140" w:line="280" w:lineRule="atLeast"/>
      <w:ind w:left="425" w:hanging="425"/>
    </w:pPr>
    <w:rPr>
      <w:rFonts w:ascii="Arial" w:eastAsiaTheme="minorHAnsi" w:hAnsi="Arial" w:cs="Arial"/>
      <w:szCs w:val="22"/>
    </w:rPr>
  </w:style>
  <w:style w:type="paragraph" w:customStyle="1" w:styleId="NumberLevel6">
    <w:name w:val="Number Level 6"/>
    <w:basedOn w:val="Normal"/>
    <w:uiPriority w:val="1"/>
    <w:rsid w:val="00A76CDF"/>
    <w:pPr>
      <w:tabs>
        <w:tab w:val="num" w:pos="1418"/>
      </w:tabs>
      <w:spacing w:before="0" w:after="140" w:line="280" w:lineRule="atLeast"/>
      <w:ind w:left="851" w:hanging="426"/>
    </w:pPr>
    <w:rPr>
      <w:rFonts w:ascii="Arial" w:eastAsiaTheme="minorHAnsi" w:hAnsi="Arial" w:cs="Arial"/>
      <w:szCs w:val="22"/>
    </w:rPr>
  </w:style>
  <w:style w:type="paragraph" w:customStyle="1" w:styleId="NumberLevel7">
    <w:name w:val="Number Level 7"/>
    <w:basedOn w:val="Normal"/>
    <w:uiPriority w:val="1"/>
    <w:rsid w:val="00A76CDF"/>
    <w:pPr>
      <w:tabs>
        <w:tab w:val="num" w:pos="1843"/>
      </w:tabs>
      <w:spacing w:before="0" w:after="140" w:line="280" w:lineRule="atLeast"/>
      <w:ind w:left="1276" w:hanging="425"/>
    </w:pPr>
    <w:rPr>
      <w:rFonts w:ascii="Arial" w:eastAsiaTheme="minorHAnsi" w:hAnsi="Arial" w:cs="Arial"/>
      <w:szCs w:val="22"/>
    </w:rPr>
  </w:style>
  <w:style w:type="paragraph" w:customStyle="1" w:styleId="NumberLevel8">
    <w:name w:val="Number Level 8"/>
    <w:basedOn w:val="Normal"/>
    <w:uiPriority w:val="1"/>
    <w:rsid w:val="00A76CDF"/>
    <w:pPr>
      <w:tabs>
        <w:tab w:val="num" w:pos="2410"/>
      </w:tabs>
      <w:spacing w:before="0" w:after="140" w:line="280" w:lineRule="atLeast"/>
      <w:ind w:left="1701" w:hanging="425"/>
    </w:pPr>
    <w:rPr>
      <w:rFonts w:ascii="Arial" w:eastAsiaTheme="minorHAnsi" w:hAnsi="Arial" w:cs="Arial"/>
      <w:szCs w:val="22"/>
    </w:rPr>
  </w:style>
  <w:style w:type="paragraph" w:customStyle="1" w:styleId="NumberLevel9">
    <w:name w:val="Number Level 9"/>
    <w:basedOn w:val="Normal"/>
    <w:uiPriority w:val="1"/>
    <w:rsid w:val="00A76CDF"/>
    <w:pPr>
      <w:tabs>
        <w:tab w:val="num" w:pos="2835"/>
      </w:tabs>
      <w:spacing w:before="0" w:after="140" w:line="280" w:lineRule="atLeast"/>
      <w:ind w:left="2126" w:hanging="425"/>
    </w:pPr>
    <w:rPr>
      <w:rFonts w:ascii="Arial" w:eastAsiaTheme="minorHAnsi" w:hAnsi="Arial" w:cs="Arial"/>
      <w:szCs w:val="22"/>
    </w:rPr>
  </w:style>
  <w:style w:type="character" w:styleId="Emphasis">
    <w:name w:val="Emphasis"/>
    <w:basedOn w:val="DefaultParagraphFont"/>
    <w:uiPriority w:val="20"/>
    <w:qFormat/>
    <w:rsid w:val="00A27CD5"/>
    <w:rPr>
      <w:i/>
      <w:iCs/>
    </w:rPr>
  </w:style>
  <w:style w:type="paragraph" w:customStyle="1" w:styleId="RecommendationListCab">
    <w:name w:val="Recommendation List Cab"/>
    <w:basedOn w:val="Normal"/>
    <w:uiPriority w:val="1"/>
    <w:rsid w:val="00904D35"/>
    <w:pPr>
      <w:spacing w:before="0" w:after="0" w:line="276" w:lineRule="auto"/>
    </w:pPr>
    <w:rPr>
      <w:rFonts w:ascii="Arial" w:eastAsiaTheme="minorHAnsi" w:hAnsi="Arial" w:cstheme="minorBidi"/>
      <w:szCs w:val="22"/>
      <w:lang w:eastAsia="en-US"/>
    </w:rPr>
  </w:style>
  <w:style w:type="paragraph" w:customStyle="1" w:styleId="CAB-NumberedParagraph">
    <w:name w:val="CAB - Numbered Paragraph"/>
    <w:basedOn w:val="Normal"/>
    <w:link w:val="CAB-NumberedParagraphChar"/>
    <w:uiPriority w:val="98"/>
    <w:rsid w:val="00A55B95"/>
    <w:pPr>
      <w:tabs>
        <w:tab w:val="num" w:pos="340"/>
      </w:tabs>
      <w:spacing w:before="0" w:after="200" w:line="276" w:lineRule="auto"/>
      <w:ind w:left="340"/>
    </w:pPr>
    <w:rPr>
      <w:rFonts w:ascii="Arial" w:eastAsiaTheme="minorHAnsi" w:hAnsi="Arial" w:cstheme="minorBidi"/>
      <w:szCs w:val="22"/>
      <w:lang w:eastAsia="en-US"/>
    </w:rPr>
  </w:style>
  <w:style w:type="character" w:customStyle="1" w:styleId="CAB-NumberedParagraphChar">
    <w:name w:val="CAB - Numbered Paragraph Char"/>
    <w:basedOn w:val="DefaultParagraphFont"/>
    <w:link w:val="CAB-NumberedParagraph"/>
    <w:uiPriority w:val="98"/>
    <w:rsid w:val="00A55B95"/>
    <w:rPr>
      <w:rFonts w:ascii="Arial" w:hAnsi="Arial"/>
    </w:rPr>
  </w:style>
  <w:style w:type="paragraph" w:styleId="EndnoteText">
    <w:name w:val="endnote text"/>
    <w:basedOn w:val="Normal"/>
    <w:link w:val="EndnoteTextChar"/>
    <w:uiPriority w:val="99"/>
    <w:semiHidden/>
    <w:unhideWhenUsed/>
    <w:rsid w:val="004F2280"/>
    <w:pPr>
      <w:spacing w:before="0" w:after="0"/>
    </w:pPr>
    <w:rPr>
      <w:sz w:val="20"/>
    </w:rPr>
  </w:style>
  <w:style w:type="character" w:customStyle="1" w:styleId="EndnoteTextChar">
    <w:name w:val="Endnote Text Char"/>
    <w:basedOn w:val="DefaultParagraphFont"/>
    <w:link w:val="EndnoteText"/>
    <w:uiPriority w:val="99"/>
    <w:semiHidden/>
    <w:rsid w:val="004F2280"/>
    <w:rPr>
      <w:rFonts w:ascii="Calibri" w:eastAsia="Times New Roman" w:hAnsi="Calibri" w:cs="Times New Roman"/>
      <w:sz w:val="20"/>
      <w:szCs w:val="20"/>
      <w:lang w:eastAsia="en-AU"/>
    </w:rPr>
  </w:style>
  <w:style w:type="character" w:styleId="EndnoteReference">
    <w:name w:val="endnote reference"/>
    <w:basedOn w:val="DefaultParagraphFont"/>
    <w:uiPriority w:val="99"/>
    <w:semiHidden/>
    <w:unhideWhenUsed/>
    <w:rsid w:val="004F2280"/>
    <w:rPr>
      <w:vertAlign w:val="superscript"/>
    </w:rPr>
  </w:style>
  <w:style w:type="paragraph" w:customStyle="1" w:styleId="AddresseeAction">
    <w:name w:val="AddresseeAction"/>
    <w:basedOn w:val="Normal"/>
    <w:rsid w:val="00F61349"/>
    <w:pPr>
      <w:spacing w:before="0" w:after="0"/>
    </w:pPr>
    <w:rPr>
      <w:rFonts w:ascii="Times New Roman" w:eastAsiaTheme="minorHAnsi" w:hAnsi="Times New Roman"/>
      <w:caps/>
      <w:sz w:val="24"/>
      <w:szCs w:val="24"/>
      <w:lang w:eastAsia="en-US"/>
    </w:rPr>
  </w:style>
  <w:style w:type="character" w:customStyle="1" w:styleId="DashChar">
    <w:name w:val="Dash Char"/>
    <w:basedOn w:val="DefaultParagraphFont"/>
    <w:link w:val="Dash"/>
    <w:rsid w:val="0055052C"/>
    <w:rPr>
      <w:rFonts w:ascii="Calibri" w:eastAsia="Times New Roman" w:hAnsi="Calibri" w:cs="Times New Roman"/>
      <w:szCs w:val="20"/>
      <w:lang w:eastAsia="en-AU"/>
    </w:rPr>
  </w:style>
  <w:style w:type="paragraph" w:customStyle="1" w:styleId="msonormal0">
    <w:name w:val="msonormal"/>
    <w:basedOn w:val="Normal"/>
    <w:rsid w:val="00BF43E5"/>
    <w:pPr>
      <w:tabs>
        <w:tab w:val="num" w:pos="1040"/>
      </w:tabs>
      <w:spacing w:before="100" w:beforeAutospacing="1" w:after="100" w:afterAutospacing="1"/>
    </w:pPr>
    <w:rPr>
      <w:rFonts w:ascii="Times New Roman" w:eastAsiaTheme="minorHAnsi" w:hAnsi="Times New Roman"/>
      <w:sz w:val="24"/>
      <w:szCs w:val="24"/>
    </w:rPr>
  </w:style>
  <w:style w:type="paragraph" w:customStyle="1" w:styleId="DLMSecurityHeader">
    <w:name w:val="DLM Security Header"/>
    <w:link w:val="DLMSecurityHeaderChar"/>
    <w:rsid w:val="00A47614"/>
    <w:pPr>
      <w:spacing w:before="60" w:after="240"/>
      <w:jc w:val="center"/>
    </w:pPr>
    <w:rPr>
      <w:rFonts w:ascii="Calibri" w:eastAsia="Times New Roman" w:hAnsi="Calibri" w:cs="Calibri"/>
      <w:b/>
      <w:caps/>
      <w:color w:val="002C47" w:themeColor="accent1"/>
      <w:sz w:val="24"/>
      <w:szCs w:val="20"/>
      <w:lang w:eastAsia="en-AU"/>
    </w:rPr>
  </w:style>
  <w:style w:type="character" w:customStyle="1" w:styleId="DLMSecurityHeaderChar">
    <w:name w:val="DLM Security Header Char"/>
    <w:basedOn w:val="HeaderChar"/>
    <w:link w:val="DLMSecurityHeader"/>
    <w:rsid w:val="00A47614"/>
    <w:rPr>
      <w:rFonts w:ascii="Calibri" w:eastAsia="Times New Roman" w:hAnsi="Calibri" w:cs="Calibri"/>
      <w:b/>
      <w:caps/>
      <w:color w:val="002C47" w:themeColor="accent1"/>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9293">
      <w:bodyDiv w:val="1"/>
      <w:marLeft w:val="0"/>
      <w:marRight w:val="0"/>
      <w:marTop w:val="0"/>
      <w:marBottom w:val="0"/>
      <w:divBdr>
        <w:top w:val="none" w:sz="0" w:space="0" w:color="auto"/>
        <w:left w:val="none" w:sz="0" w:space="0" w:color="auto"/>
        <w:bottom w:val="none" w:sz="0" w:space="0" w:color="auto"/>
        <w:right w:val="none" w:sz="0" w:space="0" w:color="auto"/>
      </w:divBdr>
      <w:divsChild>
        <w:div w:id="839738702">
          <w:marLeft w:val="0"/>
          <w:marRight w:val="0"/>
          <w:marTop w:val="0"/>
          <w:marBottom w:val="0"/>
          <w:divBdr>
            <w:top w:val="none" w:sz="0" w:space="0" w:color="auto"/>
            <w:left w:val="none" w:sz="0" w:space="0" w:color="auto"/>
            <w:bottom w:val="none" w:sz="0" w:space="0" w:color="auto"/>
            <w:right w:val="none" w:sz="0" w:space="0" w:color="auto"/>
          </w:divBdr>
          <w:divsChild>
            <w:div w:id="1313294829">
              <w:marLeft w:val="0"/>
              <w:marRight w:val="0"/>
              <w:marTop w:val="0"/>
              <w:marBottom w:val="0"/>
              <w:divBdr>
                <w:top w:val="none" w:sz="0" w:space="0" w:color="auto"/>
                <w:left w:val="none" w:sz="0" w:space="0" w:color="auto"/>
                <w:bottom w:val="none" w:sz="0" w:space="0" w:color="auto"/>
                <w:right w:val="none" w:sz="0" w:space="0" w:color="auto"/>
              </w:divBdr>
              <w:divsChild>
                <w:div w:id="787699150">
                  <w:marLeft w:val="-225"/>
                  <w:marRight w:val="-225"/>
                  <w:marTop w:val="0"/>
                  <w:marBottom w:val="0"/>
                  <w:divBdr>
                    <w:top w:val="none" w:sz="0" w:space="0" w:color="auto"/>
                    <w:left w:val="none" w:sz="0" w:space="0" w:color="auto"/>
                    <w:bottom w:val="none" w:sz="0" w:space="0" w:color="auto"/>
                    <w:right w:val="none" w:sz="0" w:space="0" w:color="auto"/>
                  </w:divBdr>
                  <w:divsChild>
                    <w:div w:id="772436584">
                      <w:marLeft w:val="0"/>
                      <w:marRight w:val="0"/>
                      <w:marTop w:val="0"/>
                      <w:marBottom w:val="0"/>
                      <w:divBdr>
                        <w:top w:val="none" w:sz="0" w:space="0" w:color="auto"/>
                        <w:left w:val="none" w:sz="0" w:space="0" w:color="auto"/>
                        <w:bottom w:val="none" w:sz="0" w:space="0" w:color="auto"/>
                        <w:right w:val="none" w:sz="0" w:space="0" w:color="auto"/>
                      </w:divBdr>
                      <w:divsChild>
                        <w:div w:id="1644314483">
                          <w:marLeft w:val="0"/>
                          <w:marRight w:val="0"/>
                          <w:marTop w:val="0"/>
                          <w:marBottom w:val="0"/>
                          <w:divBdr>
                            <w:top w:val="none" w:sz="0" w:space="0" w:color="auto"/>
                            <w:left w:val="none" w:sz="0" w:space="0" w:color="auto"/>
                            <w:bottom w:val="none" w:sz="0" w:space="0" w:color="auto"/>
                            <w:right w:val="none" w:sz="0" w:space="0" w:color="auto"/>
                          </w:divBdr>
                          <w:divsChild>
                            <w:div w:id="94091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88298">
      <w:bodyDiv w:val="1"/>
      <w:marLeft w:val="0"/>
      <w:marRight w:val="0"/>
      <w:marTop w:val="0"/>
      <w:marBottom w:val="0"/>
      <w:divBdr>
        <w:top w:val="none" w:sz="0" w:space="0" w:color="auto"/>
        <w:left w:val="none" w:sz="0" w:space="0" w:color="auto"/>
        <w:bottom w:val="none" w:sz="0" w:space="0" w:color="auto"/>
        <w:right w:val="none" w:sz="0" w:space="0" w:color="auto"/>
      </w:divBdr>
    </w:div>
    <w:div w:id="53940459">
      <w:bodyDiv w:val="1"/>
      <w:marLeft w:val="0"/>
      <w:marRight w:val="0"/>
      <w:marTop w:val="0"/>
      <w:marBottom w:val="0"/>
      <w:divBdr>
        <w:top w:val="none" w:sz="0" w:space="0" w:color="auto"/>
        <w:left w:val="none" w:sz="0" w:space="0" w:color="auto"/>
        <w:bottom w:val="none" w:sz="0" w:space="0" w:color="auto"/>
        <w:right w:val="none" w:sz="0" w:space="0" w:color="auto"/>
      </w:divBdr>
    </w:div>
    <w:div w:id="80106451">
      <w:bodyDiv w:val="1"/>
      <w:marLeft w:val="0"/>
      <w:marRight w:val="0"/>
      <w:marTop w:val="0"/>
      <w:marBottom w:val="0"/>
      <w:divBdr>
        <w:top w:val="none" w:sz="0" w:space="0" w:color="auto"/>
        <w:left w:val="none" w:sz="0" w:space="0" w:color="auto"/>
        <w:bottom w:val="none" w:sz="0" w:space="0" w:color="auto"/>
        <w:right w:val="none" w:sz="0" w:space="0" w:color="auto"/>
      </w:divBdr>
      <w:divsChild>
        <w:div w:id="626349973">
          <w:marLeft w:val="0"/>
          <w:marRight w:val="0"/>
          <w:marTop w:val="0"/>
          <w:marBottom w:val="0"/>
          <w:divBdr>
            <w:top w:val="none" w:sz="0" w:space="0" w:color="auto"/>
            <w:left w:val="none" w:sz="0" w:space="0" w:color="auto"/>
            <w:bottom w:val="none" w:sz="0" w:space="0" w:color="auto"/>
            <w:right w:val="none" w:sz="0" w:space="0" w:color="auto"/>
          </w:divBdr>
          <w:divsChild>
            <w:div w:id="141822651">
              <w:marLeft w:val="-225"/>
              <w:marRight w:val="-225"/>
              <w:marTop w:val="0"/>
              <w:marBottom w:val="0"/>
              <w:divBdr>
                <w:top w:val="none" w:sz="0" w:space="0" w:color="auto"/>
                <w:left w:val="none" w:sz="0" w:space="0" w:color="auto"/>
                <w:bottom w:val="none" w:sz="0" w:space="0" w:color="auto"/>
                <w:right w:val="none" w:sz="0" w:space="0" w:color="auto"/>
              </w:divBdr>
              <w:divsChild>
                <w:div w:id="1778214135">
                  <w:marLeft w:val="0"/>
                  <w:marRight w:val="0"/>
                  <w:marTop w:val="0"/>
                  <w:marBottom w:val="0"/>
                  <w:divBdr>
                    <w:top w:val="none" w:sz="0" w:space="0" w:color="auto"/>
                    <w:left w:val="none" w:sz="0" w:space="0" w:color="auto"/>
                    <w:bottom w:val="none" w:sz="0" w:space="0" w:color="auto"/>
                    <w:right w:val="none" w:sz="0" w:space="0" w:color="auto"/>
                  </w:divBdr>
                  <w:divsChild>
                    <w:div w:id="197856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06132">
      <w:bodyDiv w:val="1"/>
      <w:marLeft w:val="0"/>
      <w:marRight w:val="0"/>
      <w:marTop w:val="0"/>
      <w:marBottom w:val="0"/>
      <w:divBdr>
        <w:top w:val="none" w:sz="0" w:space="0" w:color="auto"/>
        <w:left w:val="none" w:sz="0" w:space="0" w:color="auto"/>
        <w:bottom w:val="none" w:sz="0" w:space="0" w:color="auto"/>
        <w:right w:val="none" w:sz="0" w:space="0" w:color="auto"/>
      </w:divBdr>
    </w:div>
    <w:div w:id="180094105">
      <w:bodyDiv w:val="1"/>
      <w:marLeft w:val="0"/>
      <w:marRight w:val="0"/>
      <w:marTop w:val="0"/>
      <w:marBottom w:val="0"/>
      <w:divBdr>
        <w:top w:val="none" w:sz="0" w:space="0" w:color="auto"/>
        <w:left w:val="none" w:sz="0" w:space="0" w:color="auto"/>
        <w:bottom w:val="none" w:sz="0" w:space="0" w:color="auto"/>
        <w:right w:val="none" w:sz="0" w:space="0" w:color="auto"/>
      </w:divBdr>
    </w:div>
    <w:div w:id="192304562">
      <w:bodyDiv w:val="1"/>
      <w:marLeft w:val="0"/>
      <w:marRight w:val="0"/>
      <w:marTop w:val="0"/>
      <w:marBottom w:val="0"/>
      <w:divBdr>
        <w:top w:val="none" w:sz="0" w:space="0" w:color="auto"/>
        <w:left w:val="none" w:sz="0" w:space="0" w:color="auto"/>
        <w:bottom w:val="none" w:sz="0" w:space="0" w:color="auto"/>
        <w:right w:val="none" w:sz="0" w:space="0" w:color="auto"/>
      </w:divBdr>
    </w:div>
    <w:div w:id="215318199">
      <w:bodyDiv w:val="1"/>
      <w:marLeft w:val="0"/>
      <w:marRight w:val="0"/>
      <w:marTop w:val="0"/>
      <w:marBottom w:val="0"/>
      <w:divBdr>
        <w:top w:val="none" w:sz="0" w:space="0" w:color="auto"/>
        <w:left w:val="none" w:sz="0" w:space="0" w:color="auto"/>
        <w:bottom w:val="none" w:sz="0" w:space="0" w:color="auto"/>
        <w:right w:val="none" w:sz="0" w:space="0" w:color="auto"/>
      </w:divBdr>
    </w:div>
    <w:div w:id="225343251">
      <w:bodyDiv w:val="1"/>
      <w:marLeft w:val="0"/>
      <w:marRight w:val="0"/>
      <w:marTop w:val="0"/>
      <w:marBottom w:val="0"/>
      <w:divBdr>
        <w:top w:val="none" w:sz="0" w:space="0" w:color="auto"/>
        <w:left w:val="none" w:sz="0" w:space="0" w:color="auto"/>
        <w:bottom w:val="none" w:sz="0" w:space="0" w:color="auto"/>
        <w:right w:val="none" w:sz="0" w:space="0" w:color="auto"/>
      </w:divBdr>
    </w:div>
    <w:div w:id="254362497">
      <w:bodyDiv w:val="1"/>
      <w:marLeft w:val="0"/>
      <w:marRight w:val="0"/>
      <w:marTop w:val="0"/>
      <w:marBottom w:val="0"/>
      <w:divBdr>
        <w:top w:val="none" w:sz="0" w:space="0" w:color="auto"/>
        <w:left w:val="none" w:sz="0" w:space="0" w:color="auto"/>
        <w:bottom w:val="none" w:sz="0" w:space="0" w:color="auto"/>
        <w:right w:val="none" w:sz="0" w:space="0" w:color="auto"/>
      </w:divBdr>
    </w:div>
    <w:div w:id="289483348">
      <w:bodyDiv w:val="1"/>
      <w:marLeft w:val="0"/>
      <w:marRight w:val="0"/>
      <w:marTop w:val="0"/>
      <w:marBottom w:val="0"/>
      <w:divBdr>
        <w:top w:val="none" w:sz="0" w:space="0" w:color="auto"/>
        <w:left w:val="none" w:sz="0" w:space="0" w:color="auto"/>
        <w:bottom w:val="none" w:sz="0" w:space="0" w:color="auto"/>
        <w:right w:val="none" w:sz="0" w:space="0" w:color="auto"/>
      </w:divBdr>
    </w:div>
    <w:div w:id="360471335">
      <w:bodyDiv w:val="1"/>
      <w:marLeft w:val="0"/>
      <w:marRight w:val="0"/>
      <w:marTop w:val="0"/>
      <w:marBottom w:val="0"/>
      <w:divBdr>
        <w:top w:val="none" w:sz="0" w:space="0" w:color="auto"/>
        <w:left w:val="none" w:sz="0" w:space="0" w:color="auto"/>
        <w:bottom w:val="none" w:sz="0" w:space="0" w:color="auto"/>
        <w:right w:val="none" w:sz="0" w:space="0" w:color="auto"/>
      </w:divBdr>
    </w:div>
    <w:div w:id="361905307">
      <w:bodyDiv w:val="1"/>
      <w:marLeft w:val="0"/>
      <w:marRight w:val="0"/>
      <w:marTop w:val="0"/>
      <w:marBottom w:val="0"/>
      <w:divBdr>
        <w:top w:val="none" w:sz="0" w:space="0" w:color="auto"/>
        <w:left w:val="none" w:sz="0" w:space="0" w:color="auto"/>
        <w:bottom w:val="none" w:sz="0" w:space="0" w:color="auto"/>
        <w:right w:val="none" w:sz="0" w:space="0" w:color="auto"/>
      </w:divBdr>
    </w:div>
    <w:div w:id="446239660">
      <w:bodyDiv w:val="1"/>
      <w:marLeft w:val="0"/>
      <w:marRight w:val="0"/>
      <w:marTop w:val="0"/>
      <w:marBottom w:val="0"/>
      <w:divBdr>
        <w:top w:val="none" w:sz="0" w:space="0" w:color="auto"/>
        <w:left w:val="none" w:sz="0" w:space="0" w:color="auto"/>
        <w:bottom w:val="none" w:sz="0" w:space="0" w:color="auto"/>
        <w:right w:val="none" w:sz="0" w:space="0" w:color="auto"/>
      </w:divBdr>
    </w:div>
    <w:div w:id="474642826">
      <w:bodyDiv w:val="1"/>
      <w:marLeft w:val="0"/>
      <w:marRight w:val="0"/>
      <w:marTop w:val="0"/>
      <w:marBottom w:val="0"/>
      <w:divBdr>
        <w:top w:val="none" w:sz="0" w:space="0" w:color="auto"/>
        <w:left w:val="none" w:sz="0" w:space="0" w:color="auto"/>
        <w:bottom w:val="none" w:sz="0" w:space="0" w:color="auto"/>
        <w:right w:val="none" w:sz="0" w:space="0" w:color="auto"/>
      </w:divBdr>
    </w:div>
    <w:div w:id="475952492">
      <w:bodyDiv w:val="1"/>
      <w:marLeft w:val="0"/>
      <w:marRight w:val="0"/>
      <w:marTop w:val="0"/>
      <w:marBottom w:val="0"/>
      <w:divBdr>
        <w:top w:val="none" w:sz="0" w:space="0" w:color="auto"/>
        <w:left w:val="none" w:sz="0" w:space="0" w:color="auto"/>
        <w:bottom w:val="none" w:sz="0" w:space="0" w:color="auto"/>
        <w:right w:val="none" w:sz="0" w:space="0" w:color="auto"/>
      </w:divBdr>
    </w:div>
    <w:div w:id="484515679">
      <w:bodyDiv w:val="1"/>
      <w:marLeft w:val="0"/>
      <w:marRight w:val="0"/>
      <w:marTop w:val="0"/>
      <w:marBottom w:val="0"/>
      <w:divBdr>
        <w:top w:val="none" w:sz="0" w:space="0" w:color="auto"/>
        <w:left w:val="none" w:sz="0" w:space="0" w:color="auto"/>
        <w:bottom w:val="none" w:sz="0" w:space="0" w:color="auto"/>
        <w:right w:val="none" w:sz="0" w:space="0" w:color="auto"/>
      </w:divBdr>
    </w:div>
    <w:div w:id="496459516">
      <w:bodyDiv w:val="1"/>
      <w:marLeft w:val="0"/>
      <w:marRight w:val="0"/>
      <w:marTop w:val="0"/>
      <w:marBottom w:val="0"/>
      <w:divBdr>
        <w:top w:val="none" w:sz="0" w:space="0" w:color="auto"/>
        <w:left w:val="none" w:sz="0" w:space="0" w:color="auto"/>
        <w:bottom w:val="none" w:sz="0" w:space="0" w:color="auto"/>
        <w:right w:val="none" w:sz="0" w:space="0" w:color="auto"/>
      </w:divBdr>
    </w:div>
    <w:div w:id="554005261">
      <w:bodyDiv w:val="1"/>
      <w:marLeft w:val="0"/>
      <w:marRight w:val="0"/>
      <w:marTop w:val="0"/>
      <w:marBottom w:val="0"/>
      <w:divBdr>
        <w:top w:val="none" w:sz="0" w:space="0" w:color="auto"/>
        <w:left w:val="none" w:sz="0" w:space="0" w:color="auto"/>
        <w:bottom w:val="none" w:sz="0" w:space="0" w:color="auto"/>
        <w:right w:val="none" w:sz="0" w:space="0" w:color="auto"/>
      </w:divBdr>
    </w:div>
    <w:div w:id="580335205">
      <w:bodyDiv w:val="1"/>
      <w:marLeft w:val="0"/>
      <w:marRight w:val="0"/>
      <w:marTop w:val="0"/>
      <w:marBottom w:val="0"/>
      <w:divBdr>
        <w:top w:val="none" w:sz="0" w:space="0" w:color="auto"/>
        <w:left w:val="none" w:sz="0" w:space="0" w:color="auto"/>
        <w:bottom w:val="none" w:sz="0" w:space="0" w:color="auto"/>
        <w:right w:val="none" w:sz="0" w:space="0" w:color="auto"/>
      </w:divBdr>
    </w:div>
    <w:div w:id="594243398">
      <w:bodyDiv w:val="1"/>
      <w:marLeft w:val="0"/>
      <w:marRight w:val="0"/>
      <w:marTop w:val="0"/>
      <w:marBottom w:val="0"/>
      <w:divBdr>
        <w:top w:val="none" w:sz="0" w:space="0" w:color="auto"/>
        <w:left w:val="none" w:sz="0" w:space="0" w:color="auto"/>
        <w:bottom w:val="none" w:sz="0" w:space="0" w:color="auto"/>
        <w:right w:val="none" w:sz="0" w:space="0" w:color="auto"/>
      </w:divBdr>
    </w:div>
    <w:div w:id="642198884">
      <w:bodyDiv w:val="1"/>
      <w:marLeft w:val="0"/>
      <w:marRight w:val="0"/>
      <w:marTop w:val="0"/>
      <w:marBottom w:val="0"/>
      <w:divBdr>
        <w:top w:val="none" w:sz="0" w:space="0" w:color="auto"/>
        <w:left w:val="none" w:sz="0" w:space="0" w:color="auto"/>
        <w:bottom w:val="none" w:sz="0" w:space="0" w:color="auto"/>
        <w:right w:val="none" w:sz="0" w:space="0" w:color="auto"/>
      </w:divBdr>
    </w:div>
    <w:div w:id="773331336">
      <w:bodyDiv w:val="1"/>
      <w:marLeft w:val="0"/>
      <w:marRight w:val="0"/>
      <w:marTop w:val="0"/>
      <w:marBottom w:val="0"/>
      <w:divBdr>
        <w:top w:val="none" w:sz="0" w:space="0" w:color="auto"/>
        <w:left w:val="none" w:sz="0" w:space="0" w:color="auto"/>
        <w:bottom w:val="none" w:sz="0" w:space="0" w:color="auto"/>
        <w:right w:val="none" w:sz="0" w:space="0" w:color="auto"/>
      </w:divBdr>
      <w:divsChild>
        <w:div w:id="1656715123">
          <w:marLeft w:val="0"/>
          <w:marRight w:val="0"/>
          <w:marTop w:val="0"/>
          <w:marBottom w:val="0"/>
          <w:divBdr>
            <w:top w:val="none" w:sz="0" w:space="0" w:color="auto"/>
            <w:left w:val="none" w:sz="0" w:space="0" w:color="auto"/>
            <w:bottom w:val="none" w:sz="0" w:space="0" w:color="auto"/>
            <w:right w:val="none" w:sz="0" w:space="0" w:color="auto"/>
          </w:divBdr>
          <w:divsChild>
            <w:div w:id="343480901">
              <w:marLeft w:val="0"/>
              <w:marRight w:val="0"/>
              <w:marTop w:val="0"/>
              <w:marBottom w:val="0"/>
              <w:divBdr>
                <w:top w:val="none" w:sz="0" w:space="0" w:color="auto"/>
                <w:left w:val="none" w:sz="0" w:space="0" w:color="auto"/>
                <w:bottom w:val="none" w:sz="0" w:space="0" w:color="auto"/>
                <w:right w:val="none" w:sz="0" w:space="0" w:color="auto"/>
              </w:divBdr>
              <w:divsChild>
                <w:div w:id="1640842115">
                  <w:marLeft w:val="-225"/>
                  <w:marRight w:val="-225"/>
                  <w:marTop w:val="0"/>
                  <w:marBottom w:val="0"/>
                  <w:divBdr>
                    <w:top w:val="none" w:sz="0" w:space="0" w:color="auto"/>
                    <w:left w:val="none" w:sz="0" w:space="0" w:color="auto"/>
                    <w:bottom w:val="none" w:sz="0" w:space="0" w:color="auto"/>
                    <w:right w:val="none" w:sz="0" w:space="0" w:color="auto"/>
                  </w:divBdr>
                  <w:divsChild>
                    <w:div w:id="107941895">
                      <w:marLeft w:val="0"/>
                      <w:marRight w:val="0"/>
                      <w:marTop w:val="0"/>
                      <w:marBottom w:val="0"/>
                      <w:divBdr>
                        <w:top w:val="none" w:sz="0" w:space="0" w:color="auto"/>
                        <w:left w:val="none" w:sz="0" w:space="0" w:color="auto"/>
                        <w:bottom w:val="none" w:sz="0" w:space="0" w:color="auto"/>
                        <w:right w:val="none" w:sz="0" w:space="0" w:color="auto"/>
                      </w:divBdr>
                      <w:divsChild>
                        <w:div w:id="1762608266">
                          <w:marLeft w:val="0"/>
                          <w:marRight w:val="0"/>
                          <w:marTop w:val="0"/>
                          <w:marBottom w:val="0"/>
                          <w:divBdr>
                            <w:top w:val="none" w:sz="0" w:space="0" w:color="auto"/>
                            <w:left w:val="none" w:sz="0" w:space="0" w:color="auto"/>
                            <w:bottom w:val="none" w:sz="0" w:space="0" w:color="auto"/>
                            <w:right w:val="none" w:sz="0" w:space="0" w:color="auto"/>
                          </w:divBdr>
                          <w:divsChild>
                            <w:div w:id="9509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191502">
      <w:bodyDiv w:val="1"/>
      <w:marLeft w:val="0"/>
      <w:marRight w:val="0"/>
      <w:marTop w:val="0"/>
      <w:marBottom w:val="0"/>
      <w:divBdr>
        <w:top w:val="none" w:sz="0" w:space="0" w:color="auto"/>
        <w:left w:val="none" w:sz="0" w:space="0" w:color="auto"/>
        <w:bottom w:val="none" w:sz="0" w:space="0" w:color="auto"/>
        <w:right w:val="none" w:sz="0" w:space="0" w:color="auto"/>
      </w:divBdr>
    </w:div>
    <w:div w:id="814880532">
      <w:bodyDiv w:val="1"/>
      <w:marLeft w:val="0"/>
      <w:marRight w:val="0"/>
      <w:marTop w:val="0"/>
      <w:marBottom w:val="0"/>
      <w:divBdr>
        <w:top w:val="none" w:sz="0" w:space="0" w:color="auto"/>
        <w:left w:val="none" w:sz="0" w:space="0" w:color="auto"/>
        <w:bottom w:val="none" w:sz="0" w:space="0" w:color="auto"/>
        <w:right w:val="none" w:sz="0" w:space="0" w:color="auto"/>
      </w:divBdr>
    </w:div>
    <w:div w:id="842552446">
      <w:bodyDiv w:val="1"/>
      <w:marLeft w:val="0"/>
      <w:marRight w:val="0"/>
      <w:marTop w:val="0"/>
      <w:marBottom w:val="0"/>
      <w:divBdr>
        <w:top w:val="none" w:sz="0" w:space="0" w:color="auto"/>
        <w:left w:val="none" w:sz="0" w:space="0" w:color="auto"/>
        <w:bottom w:val="none" w:sz="0" w:space="0" w:color="auto"/>
        <w:right w:val="none" w:sz="0" w:space="0" w:color="auto"/>
      </w:divBdr>
    </w:div>
    <w:div w:id="882059765">
      <w:bodyDiv w:val="1"/>
      <w:marLeft w:val="0"/>
      <w:marRight w:val="0"/>
      <w:marTop w:val="0"/>
      <w:marBottom w:val="0"/>
      <w:divBdr>
        <w:top w:val="none" w:sz="0" w:space="0" w:color="auto"/>
        <w:left w:val="none" w:sz="0" w:space="0" w:color="auto"/>
        <w:bottom w:val="none" w:sz="0" w:space="0" w:color="auto"/>
        <w:right w:val="none" w:sz="0" w:space="0" w:color="auto"/>
      </w:divBdr>
    </w:div>
    <w:div w:id="907887067">
      <w:bodyDiv w:val="1"/>
      <w:marLeft w:val="0"/>
      <w:marRight w:val="0"/>
      <w:marTop w:val="0"/>
      <w:marBottom w:val="0"/>
      <w:divBdr>
        <w:top w:val="none" w:sz="0" w:space="0" w:color="auto"/>
        <w:left w:val="none" w:sz="0" w:space="0" w:color="auto"/>
        <w:bottom w:val="none" w:sz="0" w:space="0" w:color="auto"/>
        <w:right w:val="none" w:sz="0" w:space="0" w:color="auto"/>
      </w:divBdr>
    </w:div>
    <w:div w:id="915093425">
      <w:bodyDiv w:val="1"/>
      <w:marLeft w:val="0"/>
      <w:marRight w:val="0"/>
      <w:marTop w:val="0"/>
      <w:marBottom w:val="0"/>
      <w:divBdr>
        <w:top w:val="none" w:sz="0" w:space="0" w:color="auto"/>
        <w:left w:val="none" w:sz="0" w:space="0" w:color="auto"/>
        <w:bottom w:val="none" w:sz="0" w:space="0" w:color="auto"/>
        <w:right w:val="none" w:sz="0" w:space="0" w:color="auto"/>
      </w:divBdr>
    </w:div>
    <w:div w:id="990254968">
      <w:bodyDiv w:val="1"/>
      <w:marLeft w:val="0"/>
      <w:marRight w:val="0"/>
      <w:marTop w:val="0"/>
      <w:marBottom w:val="0"/>
      <w:divBdr>
        <w:top w:val="none" w:sz="0" w:space="0" w:color="auto"/>
        <w:left w:val="none" w:sz="0" w:space="0" w:color="auto"/>
        <w:bottom w:val="none" w:sz="0" w:space="0" w:color="auto"/>
        <w:right w:val="none" w:sz="0" w:space="0" w:color="auto"/>
      </w:divBdr>
    </w:div>
    <w:div w:id="1007899634">
      <w:bodyDiv w:val="1"/>
      <w:marLeft w:val="0"/>
      <w:marRight w:val="0"/>
      <w:marTop w:val="0"/>
      <w:marBottom w:val="0"/>
      <w:divBdr>
        <w:top w:val="none" w:sz="0" w:space="0" w:color="auto"/>
        <w:left w:val="none" w:sz="0" w:space="0" w:color="auto"/>
        <w:bottom w:val="none" w:sz="0" w:space="0" w:color="auto"/>
        <w:right w:val="none" w:sz="0" w:space="0" w:color="auto"/>
      </w:divBdr>
    </w:div>
    <w:div w:id="1029183558">
      <w:bodyDiv w:val="1"/>
      <w:marLeft w:val="0"/>
      <w:marRight w:val="0"/>
      <w:marTop w:val="0"/>
      <w:marBottom w:val="0"/>
      <w:divBdr>
        <w:top w:val="none" w:sz="0" w:space="0" w:color="auto"/>
        <w:left w:val="none" w:sz="0" w:space="0" w:color="auto"/>
        <w:bottom w:val="none" w:sz="0" w:space="0" w:color="auto"/>
        <w:right w:val="none" w:sz="0" w:space="0" w:color="auto"/>
      </w:divBdr>
    </w:div>
    <w:div w:id="1062368017">
      <w:bodyDiv w:val="1"/>
      <w:marLeft w:val="0"/>
      <w:marRight w:val="0"/>
      <w:marTop w:val="0"/>
      <w:marBottom w:val="0"/>
      <w:divBdr>
        <w:top w:val="none" w:sz="0" w:space="0" w:color="auto"/>
        <w:left w:val="none" w:sz="0" w:space="0" w:color="auto"/>
        <w:bottom w:val="none" w:sz="0" w:space="0" w:color="auto"/>
        <w:right w:val="none" w:sz="0" w:space="0" w:color="auto"/>
      </w:divBdr>
    </w:div>
    <w:div w:id="1127577469">
      <w:bodyDiv w:val="1"/>
      <w:marLeft w:val="0"/>
      <w:marRight w:val="0"/>
      <w:marTop w:val="0"/>
      <w:marBottom w:val="0"/>
      <w:divBdr>
        <w:top w:val="none" w:sz="0" w:space="0" w:color="auto"/>
        <w:left w:val="none" w:sz="0" w:space="0" w:color="auto"/>
        <w:bottom w:val="none" w:sz="0" w:space="0" w:color="auto"/>
        <w:right w:val="none" w:sz="0" w:space="0" w:color="auto"/>
      </w:divBdr>
    </w:div>
    <w:div w:id="1131441326">
      <w:bodyDiv w:val="1"/>
      <w:marLeft w:val="0"/>
      <w:marRight w:val="0"/>
      <w:marTop w:val="0"/>
      <w:marBottom w:val="0"/>
      <w:divBdr>
        <w:top w:val="none" w:sz="0" w:space="0" w:color="auto"/>
        <w:left w:val="none" w:sz="0" w:space="0" w:color="auto"/>
        <w:bottom w:val="none" w:sz="0" w:space="0" w:color="auto"/>
        <w:right w:val="none" w:sz="0" w:space="0" w:color="auto"/>
      </w:divBdr>
      <w:divsChild>
        <w:div w:id="1924408821">
          <w:marLeft w:val="0"/>
          <w:marRight w:val="0"/>
          <w:marTop w:val="0"/>
          <w:marBottom w:val="0"/>
          <w:divBdr>
            <w:top w:val="none" w:sz="0" w:space="0" w:color="auto"/>
            <w:left w:val="none" w:sz="0" w:space="0" w:color="auto"/>
            <w:bottom w:val="none" w:sz="0" w:space="0" w:color="auto"/>
            <w:right w:val="none" w:sz="0" w:space="0" w:color="auto"/>
          </w:divBdr>
          <w:divsChild>
            <w:div w:id="2053113159">
              <w:marLeft w:val="0"/>
              <w:marRight w:val="0"/>
              <w:marTop w:val="0"/>
              <w:marBottom w:val="0"/>
              <w:divBdr>
                <w:top w:val="none" w:sz="0" w:space="0" w:color="auto"/>
                <w:left w:val="none" w:sz="0" w:space="0" w:color="auto"/>
                <w:bottom w:val="none" w:sz="0" w:space="0" w:color="auto"/>
                <w:right w:val="none" w:sz="0" w:space="0" w:color="auto"/>
              </w:divBdr>
              <w:divsChild>
                <w:div w:id="471023994">
                  <w:marLeft w:val="-225"/>
                  <w:marRight w:val="-225"/>
                  <w:marTop w:val="0"/>
                  <w:marBottom w:val="0"/>
                  <w:divBdr>
                    <w:top w:val="none" w:sz="0" w:space="0" w:color="auto"/>
                    <w:left w:val="none" w:sz="0" w:space="0" w:color="auto"/>
                    <w:bottom w:val="none" w:sz="0" w:space="0" w:color="auto"/>
                    <w:right w:val="none" w:sz="0" w:space="0" w:color="auto"/>
                  </w:divBdr>
                  <w:divsChild>
                    <w:div w:id="1057586085">
                      <w:marLeft w:val="0"/>
                      <w:marRight w:val="0"/>
                      <w:marTop w:val="0"/>
                      <w:marBottom w:val="0"/>
                      <w:divBdr>
                        <w:top w:val="none" w:sz="0" w:space="0" w:color="auto"/>
                        <w:left w:val="none" w:sz="0" w:space="0" w:color="auto"/>
                        <w:bottom w:val="none" w:sz="0" w:space="0" w:color="auto"/>
                        <w:right w:val="none" w:sz="0" w:space="0" w:color="auto"/>
                      </w:divBdr>
                      <w:divsChild>
                        <w:div w:id="687365428">
                          <w:marLeft w:val="0"/>
                          <w:marRight w:val="0"/>
                          <w:marTop w:val="0"/>
                          <w:marBottom w:val="0"/>
                          <w:divBdr>
                            <w:top w:val="none" w:sz="0" w:space="0" w:color="auto"/>
                            <w:left w:val="none" w:sz="0" w:space="0" w:color="auto"/>
                            <w:bottom w:val="none" w:sz="0" w:space="0" w:color="auto"/>
                            <w:right w:val="none" w:sz="0" w:space="0" w:color="auto"/>
                          </w:divBdr>
                          <w:divsChild>
                            <w:div w:id="45175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349911">
      <w:bodyDiv w:val="1"/>
      <w:marLeft w:val="0"/>
      <w:marRight w:val="0"/>
      <w:marTop w:val="0"/>
      <w:marBottom w:val="0"/>
      <w:divBdr>
        <w:top w:val="none" w:sz="0" w:space="0" w:color="auto"/>
        <w:left w:val="none" w:sz="0" w:space="0" w:color="auto"/>
        <w:bottom w:val="none" w:sz="0" w:space="0" w:color="auto"/>
        <w:right w:val="none" w:sz="0" w:space="0" w:color="auto"/>
      </w:divBdr>
    </w:div>
    <w:div w:id="1185901207">
      <w:bodyDiv w:val="1"/>
      <w:marLeft w:val="0"/>
      <w:marRight w:val="0"/>
      <w:marTop w:val="0"/>
      <w:marBottom w:val="0"/>
      <w:divBdr>
        <w:top w:val="none" w:sz="0" w:space="0" w:color="auto"/>
        <w:left w:val="none" w:sz="0" w:space="0" w:color="auto"/>
        <w:bottom w:val="none" w:sz="0" w:space="0" w:color="auto"/>
        <w:right w:val="none" w:sz="0" w:space="0" w:color="auto"/>
      </w:divBdr>
      <w:divsChild>
        <w:div w:id="151141025">
          <w:marLeft w:val="0"/>
          <w:marRight w:val="0"/>
          <w:marTop w:val="0"/>
          <w:marBottom w:val="0"/>
          <w:divBdr>
            <w:top w:val="none" w:sz="0" w:space="0" w:color="auto"/>
            <w:left w:val="none" w:sz="0" w:space="0" w:color="auto"/>
            <w:bottom w:val="none" w:sz="0" w:space="0" w:color="auto"/>
            <w:right w:val="none" w:sz="0" w:space="0" w:color="auto"/>
          </w:divBdr>
          <w:divsChild>
            <w:div w:id="473832016">
              <w:marLeft w:val="0"/>
              <w:marRight w:val="0"/>
              <w:marTop w:val="0"/>
              <w:marBottom w:val="0"/>
              <w:divBdr>
                <w:top w:val="none" w:sz="0" w:space="0" w:color="auto"/>
                <w:left w:val="none" w:sz="0" w:space="0" w:color="auto"/>
                <w:bottom w:val="none" w:sz="0" w:space="0" w:color="auto"/>
                <w:right w:val="none" w:sz="0" w:space="0" w:color="auto"/>
              </w:divBdr>
              <w:divsChild>
                <w:div w:id="656808742">
                  <w:marLeft w:val="-225"/>
                  <w:marRight w:val="-225"/>
                  <w:marTop w:val="0"/>
                  <w:marBottom w:val="0"/>
                  <w:divBdr>
                    <w:top w:val="none" w:sz="0" w:space="0" w:color="auto"/>
                    <w:left w:val="none" w:sz="0" w:space="0" w:color="auto"/>
                    <w:bottom w:val="none" w:sz="0" w:space="0" w:color="auto"/>
                    <w:right w:val="none" w:sz="0" w:space="0" w:color="auto"/>
                  </w:divBdr>
                  <w:divsChild>
                    <w:div w:id="91323148">
                      <w:marLeft w:val="0"/>
                      <w:marRight w:val="0"/>
                      <w:marTop w:val="0"/>
                      <w:marBottom w:val="0"/>
                      <w:divBdr>
                        <w:top w:val="none" w:sz="0" w:space="0" w:color="auto"/>
                        <w:left w:val="none" w:sz="0" w:space="0" w:color="auto"/>
                        <w:bottom w:val="none" w:sz="0" w:space="0" w:color="auto"/>
                        <w:right w:val="none" w:sz="0" w:space="0" w:color="auto"/>
                      </w:divBdr>
                      <w:divsChild>
                        <w:div w:id="367487764">
                          <w:marLeft w:val="0"/>
                          <w:marRight w:val="0"/>
                          <w:marTop w:val="0"/>
                          <w:marBottom w:val="0"/>
                          <w:divBdr>
                            <w:top w:val="none" w:sz="0" w:space="0" w:color="auto"/>
                            <w:left w:val="none" w:sz="0" w:space="0" w:color="auto"/>
                            <w:bottom w:val="none" w:sz="0" w:space="0" w:color="auto"/>
                            <w:right w:val="none" w:sz="0" w:space="0" w:color="auto"/>
                          </w:divBdr>
                          <w:divsChild>
                            <w:div w:id="10422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783060">
      <w:bodyDiv w:val="1"/>
      <w:marLeft w:val="0"/>
      <w:marRight w:val="0"/>
      <w:marTop w:val="0"/>
      <w:marBottom w:val="0"/>
      <w:divBdr>
        <w:top w:val="none" w:sz="0" w:space="0" w:color="auto"/>
        <w:left w:val="none" w:sz="0" w:space="0" w:color="auto"/>
        <w:bottom w:val="none" w:sz="0" w:space="0" w:color="auto"/>
        <w:right w:val="none" w:sz="0" w:space="0" w:color="auto"/>
      </w:divBdr>
    </w:div>
    <w:div w:id="1223755050">
      <w:bodyDiv w:val="1"/>
      <w:marLeft w:val="0"/>
      <w:marRight w:val="0"/>
      <w:marTop w:val="0"/>
      <w:marBottom w:val="0"/>
      <w:divBdr>
        <w:top w:val="none" w:sz="0" w:space="0" w:color="auto"/>
        <w:left w:val="none" w:sz="0" w:space="0" w:color="auto"/>
        <w:bottom w:val="none" w:sz="0" w:space="0" w:color="auto"/>
        <w:right w:val="none" w:sz="0" w:space="0" w:color="auto"/>
      </w:divBdr>
    </w:div>
    <w:div w:id="1236088524">
      <w:bodyDiv w:val="1"/>
      <w:marLeft w:val="0"/>
      <w:marRight w:val="0"/>
      <w:marTop w:val="0"/>
      <w:marBottom w:val="0"/>
      <w:divBdr>
        <w:top w:val="none" w:sz="0" w:space="0" w:color="auto"/>
        <w:left w:val="none" w:sz="0" w:space="0" w:color="auto"/>
        <w:bottom w:val="none" w:sz="0" w:space="0" w:color="auto"/>
        <w:right w:val="none" w:sz="0" w:space="0" w:color="auto"/>
      </w:divBdr>
    </w:div>
    <w:div w:id="1252548640">
      <w:bodyDiv w:val="1"/>
      <w:marLeft w:val="0"/>
      <w:marRight w:val="0"/>
      <w:marTop w:val="0"/>
      <w:marBottom w:val="0"/>
      <w:divBdr>
        <w:top w:val="none" w:sz="0" w:space="0" w:color="auto"/>
        <w:left w:val="none" w:sz="0" w:space="0" w:color="auto"/>
        <w:bottom w:val="none" w:sz="0" w:space="0" w:color="auto"/>
        <w:right w:val="none" w:sz="0" w:space="0" w:color="auto"/>
      </w:divBdr>
    </w:div>
    <w:div w:id="1343315411">
      <w:bodyDiv w:val="1"/>
      <w:marLeft w:val="0"/>
      <w:marRight w:val="0"/>
      <w:marTop w:val="0"/>
      <w:marBottom w:val="0"/>
      <w:divBdr>
        <w:top w:val="none" w:sz="0" w:space="0" w:color="auto"/>
        <w:left w:val="none" w:sz="0" w:space="0" w:color="auto"/>
        <w:bottom w:val="none" w:sz="0" w:space="0" w:color="auto"/>
        <w:right w:val="none" w:sz="0" w:space="0" w:color="auto"/>
      </w:divBdr>
    </w:div>
    <w:div w:id="1385644740">
      <w:bodyDiv w:val="1"/>
      <w:marLeft w:val="0"/>
      <w:marRight w:val="0"/>
      <w:marTop w:val="0"/>
      <w:marBottom w:val="0"/>
      <w:divBdr>
        <w:top w:val="none" w:sz="0" w:space="0" w:color="auto"/>
        <w:left w:val="none" w:sz="0" w:space="0" w:color="auto"/>
        <w:bottom w:val="none" w:sz="0" w:space="0" w:color="auto"/>
        <w:right w:val="none" w:sz="0" w:space="0" w:color="auto"/>
      </w:divBdr>
    </w:div>
    <w:div w:id="1478523871">
      <w:bodyDiv w:val="1"/>
      <w:marLeft w:val="0"/>
      <w:marRight w:val="0"/>
      <w:marTop w:val="0"/>
      <w:marBottom w:val="0"/>
      <w:divBdr>
        <w:top w:val="none" w:sz="0" w:space="0" w:color="auto"/>
        <w:left w:val="none" w:sz="0" w:space="0" w:color="auto"/>
        <w:bottom w:val="none" w:sz="0" w:space="0" w:color="auto"/>
        <w:right w:val="none" w:sz="0" w:space="0" w:color="auto"/>
      </w:divBdr>
      <w:divsChild>
        <w:div w:id="2125804149">
          <w:marLeft w:val="0"/>
          <w:marRight w:val="0"/>
          <w:marTop w:val="0"/>
          <w:marBottom w:val="0"/>
          <w:divBdr>
            <w:top w:val="none" w:sz="0" w:space="0" w:color="auto"/>
            <w:left w:val="none" w:sz="0" w:space="0" w:color="auto"/>
            <w:bottom w:val="none" w:sz="0" w:space="0" w:color="auto"/>
            <w:right w:val="none" w:sz="0" w:space="0" w:color="auto"/>
          </w:divBdr>
          <w:divsChild>
            <w:div w:id="1588687950">
              <w:marLeft w:val="0"/>
              <w:marRight w:val="0"/>
              <w:marTop w:val="0"/>
              <w:marBottom w:val="0"/>
              <w:divBdr>
                <w:top w:val="none" w:sz="0" w:space="0" w:color="auto"/>
                <w:left w:val="none" w:sz="0" w:space="0" w:color="auto"/>
                <w:bottom w:val="none" w:sz="0" w:space="0" w:color="auto"/>
                <w:right w:val="none" w:sz="0" w:space="0" w:color="auto"/>
              </w:divBdr>
              <w:divsChild>
                <w:div w:id="1911384087">
                  <w:marLeft w:val="-225"/>
                  <w:marRight w:val="-225"/>
                  <w:marTop w:val="0"/>
                  <w:marBottom w:val="0"/>
                  <w:divBdr>
                    <w:top w:val="none" w:sz="0" w:space="0" w:color="auto"/>
                    <w:left w:val="none" w:sz="0" w:space="0" w:color="auto"/>
                    <w:bottom w:val="none" w:sz="0" w:space="0" w:color="auto"/>
                    <w:right w:val="none" w:sz="0" w:space="0" w:color="auto"/>
                  </w:divBdr>
                  <w:divsChild>
                    <w:div w:id="1498304827">
                      <w:marLeft w:val="0"/>
                      <w:marRight w:val="0"/>
                      <w:marTop w:val="0"/>
                      <w:marBottom w:val="0"/>
                      <w:divBdr>
                        <w:top w:val="none" w:sz="0" w:space="0" w:color="auto"/>
                        <w:left w:val="none" w:sz="0" w:space="0" w:color="auto"/>
                        <w:bottom w:val="none" w:sz="0" w:space="0" w:color="auto"/>
                        <w:right w:val="none" w:sz="0" w:space="0" w:color="auto"/>
                      </w:divBdr>
                      <w:divsChild>
                        <w:div w:id="1778066030">
                          <w:marLeft w:val="0"/>
                          <w:marRight w:val="0"/>
                          <w:marTop w:val="0"/>
                          <w:marBottom w:val="0"/>
                          <w:divBdr>
                            <w:top w:val="none" w:sz="0" w:space="0" w:color="auto"/>
                            <w:left w:val="none" w:sz="0" w:space="0" w:color="auto"/>
                            <w:bottom w:val="none" w:sz="0" w:space="0" w:color="auto"/>
                            <w:right w:val="none" w:sz="0" w:space="0" w:color="auto"/>
                          </w:divBdr>
                          <w:divsChild>
                            <w:div w:id="109694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810114">
      <w:bodyDiv w:val="1"/>
      <w:marLeft w:val="0"/>
      <w:marRight w:val="0"/>
      <w:marTop w:val="0"/>
      <w:marBottom w:val="0"/>
      <w:divBdr>
        <w:top w:val="none" w:sz="0" w:space="0" w:color="auto"/>
        <w:left w:val="none" w:sz="0" w:space="0" w:color="auto"/>
        <w:bottom w:val="none" w:sz="0" w:space="0" w:color="auto"/>
        <w:right w:val="none" w:sz="0" w:space="0" w:color="auto"/>
      </w:divBdr>
      <w:divsChild>
        <w:div w:id="1946232016">
          <w:marLeft w:val="0"/>
          <w:marRight w:val="0"/>
          <w:marTop w:val="0"/>
          <w:marBottom w:val="0"/>
          <w:divBdr>
            <w:top w:val="none" w:sz="0" w:space="0" w:color="auto"/>
            <w:left w:val="none" w:sz="0" w:space="0" w:color="auto"/>
            <w:bottom w:val="none" w:sz="0" w:space="0" w:color="auto"/>
            <w:right w:val="none" w:sz="0" w:space="0" w:color="auto"/>
          </w:divBdr>
          <w:divsChild>
            <w:div w:id="335809737">
              <w:marLeft w:val="0"/>
              <w:marRight w:val="0"/>
              <w:marTop w:val="0"/>
              <w:marBottom w:val="0"/>
              <w:divBdr>
                <w:top w:val="none" w:sz="0" w:space="0" w:color="auto"/>
                <w:left w:val="none" w:sz="0" w:space="0" w:color="auto"/>
                <w:bottom w:val="none" w:sz="0" w:space="0" w:color="auto"/>
                <w:right w:val="none" w:sz="0" w:space="0" w:color="auto"/>
              </w:divBdr>
              <w:divsChild>
                <w:div w:id="746001563">
                  <w:marLeft w:val="-225"/>
                  <w:marRight w:val="-225"/>
                  <w:marTop w:val="0"/>
                  <w:marBottom w:val="0"/>
                  <w:divBdr>
                    <w:top w:val="none" w:sz="0" w:space="0" w:color="auto"/>
                    <w:left w:val="none" w:sz="0" w:space="0" w:color="auto"/>
                    <w:bottom w:val="none" w:sz="0" w:space="0" w:color="auto"/>
                    <w:right w:val="none" w:sz="0" w:space="0" w:color="auto"/>
                  </w:divBdr>
                  <w:divsChild>
                    <w:div w:id="1281760936">
                      <w:marLeft w:val="0"/>
                      <w:marRight w:val="0"/>
                      <w:marTop w:val="0"/>
                      <w:marBottom w:val="0"/>
                      <w:divBdr>
                        <w:top w:val="none" w:sz="0" w:space="0" w:color="auto"/>
                        <w:left w:val="none" w:sz="0" w:space="0" w:color="auto"/>
                        <w:bottom w:val="none" w:sz="0" w:space="0" w:color="auto"/>
                        <w:right w:val="none" w:sz="0" w:space="0" w:color="auto"/>
                      </w:divBdr>
                      <w:divsChild>
                        <w:div w:id="1505321462">
                          <w:marLeft w:val="0"/>
                          <w:marRight w:val="0"/>
                          <w:marTop w:val="0"/>
                          <w:marBottom w:val="0"/>
                          <w:divBdr>
                            <w:top w:val="none" w:sz="0" w:space="0" w:color="auto"/>
                            <w:left w:val="none" w:sz="0" w:space="0" w:color="auto"/>
                            <w:bottom w:val="none" w:sz="0" w:space="0" w:color="auto"/>
                            <w:right w:val="none" w:sz="0" w:space="0" w:color="auto"/>
                          </w:divBdr>
                          <w:divsChild>
                            <w:div w:id="423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133982">
      <w:bodyDiv w:val="1"/>
      <w:marLeft w:val="0"/>
      <w:marRight w:val="0"/>
      <w:marTop w:val="0"/>
      <w:marBottom w:val="0"/>
      <w:divBdr>
        <w:top w:val="none" w:sz="0" w:space="0" w:color="auto"/>
        <w:left w:val="none" w:sz="0" w:space="0" w:color="auto"/>
        <w:bottom w:val="none" w:sz="0" w:space="0" w:color="auto"/>
        <w:right w:val="none" w:sz="0" w:space="0" w:color="auto"/>
      </w:divBdr>
    </w:div>
    <w:div w:id="1773477492">
      <w:bodyDiv w:val="1"/>
      <w:marLeft w:val="0"/>
      <w:marRight w:val="0"/>
      <w:marTop w:val="0"/>
      <w:marBottom w:val="0"/>
      <w:divBdr>
        <w:top w:val="none" w:sz="0" w:space="0" w:color="auto"/>
        <w:left w:val="none" w:sz="0" w:space="0" w:color="auto"/>
        <w:bottom w:val="none" w:sz="0" w:space="0" w:color="auto"/>
        <w:right w:val="none" w:sz="0" w:space="0" w:color="auto"/>
      </w:divBdr>
    </w:div>
    <w:div w:id="1787577425">
      <w:bodyDiv w:val="1"/>
      <w:marLeft w:val="0"/>
      <w:marRight w:val="0"/>
      <w:marTop w:val="0"/>
      <w:marBottom w:val="0"/>
      <w:divBdr>
        <w:top w:val="none" w:sz="0" w:space="0" w:color="auto"/>
        <w:left w:val="none" w:sz="0" w:space="0" w:color="auto"/>
        <w:bottom w:val="none" w:sz="0" w:space="0" w:color="auto"/>
        <w:right w:val="none" w:sz="0" w:space="0" w:color="auto"/>
      </w:divBdr>
    </w:div>
    <w:div w:id="1794980816">
      <w:bodyDiv w:val="1"/>
      <w:marLeft w:val="0"/>
      <w:marRight w:val="0"/>
      <w:marTop w:val="0"/>
      <w:marBottom w:val="0"/>
      <w:divBdr>
        <w:top w:val="none" w:sz="0" w:space="0" w:color="auto"/>
        <w:left w:val="none" w:sz="0" w:space="0" w:color="auto"/>
        <w:bottom w:val="none" w:sz="0" w:space="0" w:color="auto"/>
        <w:right w:val="none" w:sz="0" w:space="0" w:color="auto"/>
      </w:divBdr>
    </w:div>
    <w:div w:id="1795827181">
      <w:bodyDiv w:val="1"/>
      <w:marLeft w:val="0"/>
      <w:marRight w:val="0"/>
      <w:marTop w:val="0"/>
      <w:marBottom w:val="0"/>
      <w:divBdr>
        <w:top w:val="none" w:sz="0" w:space="0" w:color="auto"/>
        <w:left w:val="none" w:sz="0" w:space="0" w:color="auto"/>
        <w:bottom w:val="none" w:sz="0" w:space="0" w:color="auto"/>
        <w:right w:val="none" w:sz="0" w:space="0" w:color="auto"/>
      </w:divBdr>
    </w:div>
    <w:div w:id="1816793862">
      <w:bodyDiv w:val="1"/>
      <w:marLeft w:val="0"/>
      <w:marRight w:val="0"/>
      <w:marTop w:val="0"/>
      <w:marBottom w:val="0"/>
      <w:divBdr>
        <w:top w:val="none" w:sz="0" w:space="0" w:color="auto"/>
        <w:left w:val="none" w:sz="0" w:space="0" w:color="auto"/>
        <w:bottom w:val="none" w:sz="0" w:space="0" w:color="auto"/>
        <w:right w:val="none" w:sz="0" w:space="0" w:color="auto"/>
      </w:divBdr>
    </w:div>
    <w:div w:id="1839417454">
      <w:bodyDiv w:val="1"/>
      <w:marLeft w:val="0"/>
      <w:marRight w:val="0"/>
      <w:marTop w:val="0"/>
      <w:marBottom w:val="0"/>
      <w:divBdr>
        <w:top w:val="none" w:sz="0" w:space="0" w:color="auto"/>
        <w:left w:val="none" w:sz="0" w:space="0" w:color="auto"/>
        <w:bottom w:val="none" w:sz="0" w:space="0" w:color="auto"/>
        <w:right w:val="none" w:sz="0" w:space="0" w:color="auto"/>
      </w:divBdr>
    </w:div>
    <w:div w:id="1846896859">
      <w:bodyDiv w:val="1"/>
      <w:marLeft w:val="0"/>
      <w:marRight w:val="0"/>
      <w:marTop w:val="0"/>
      <w:marBottom w:val="0"/>
      <w:divBdr>
        <w:top w:val="none" w:sz="0" w:space="0" w:color="auto"/>
        <w:left w:val="none" w:sz="0" w:space="0" w:color="auto"/>
        <w:bottom w:val="none" w:sz="0" w:space="0" w:color="auto"/>
        <w:right w:val="none" w:sz="0" w:space="0" w:color="auto"/>
      </w:divBdr>
      <w:divsChild>
        <w:div w:id="2071271272">
          <w:marLeft w:val="0"/>
          <w:marRight w:val="0"/>
          <w:marTop w:val="0"/>
          <w:marBottom w:val="0"/>
          <w:divBdr>
            <w:top w:val="none" w:sz="0" w:space="0" w:color="auto"/>
            <w:left w:val="none" w:sz="0" w:space="0" w:color="auto"/>
            <w:bottom w:val="none" w:sz="0" w:space="0" w:color="auto"/>
            <w:right w:val="none" w:sz="0" w:space="0" w:color="auto"/>
          </w:divBdr>
          <w:divsChild>
            <w:div w:id="177818829">
              <w:marLeft w:val="0"/>
              <w:marRight w:val="0"/>
              <w:marTop w:val="0"/>
              <w:marBottom w:val="0"/>
              <w:divBdr>
                <w:top w:val="none" w:sz="0" w:space="0" w:color="auto"/>
                <w:left w:val="none" w:sz="0" w:space="0" w:color="auto"/>
                <w:bottom w:val="none" w:sz="0" w:space="0" w:color="auto"/>
                <w:right w:val="none" w:sz="0" w:space="0" w:color="auto"/>
              </w:divBdr>
              <w:divsChild>
                <w:div w:id="588736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854369861">
      <w:bodyDiv w:val="1"/>
      <w:marLeft w:val="0"/>
      <w:marRight w:val="0"/>
      <w:marTop w:val="0"/>
      <w:marBottom w:val="0"/>
      <w:divBdr>
        <w:top w:val="none" w:sz="0" w:space="0" w:color="auto"/>
        <w:left w:val="none" w:sz="0" w:space="0" w:color="auto"/>
        <w:bottom w:val="none" w:sz="0" w:space="0" w:color="auto"/>
        <w:right w:val="none" w:sz="0" w:space="0" w:color="auto"/>
      </w:divBdr>
    </w:div>
    <w:div w:id="1897353820">
      <w:bodyDiv w:val="1"/>
      <w:marLeft w:val="0"/>
      <w:marRight w:val="0"/>
      <w:marTop w:val="0"/>
      <w:marBottom w:val="0"/>
      <w:divBdr>
        <w:top w:val="none" w:sz="0" w:space="0" w:color="auto"/>
        <w:left w:val="none" w:sz="0" w:space="0" w:color="auto"/>
        <w:bottom w:val="none" w:sz="0" w:space="0" w:color="auto"/>
        <w:right w:val="none" w:sz="0" w:space="0" w:color="auto"/>
      </w:divBdr>
    </w:div>
    <w:div w:id="1914193494">
      <w:bodyDiv w:val="1"/>
      <w:marLeft w:val="0"/>
      <w:marRight w:val="0"/>
      <w:marTop w:val="0"/>
      <w:marBottom w:val="0"/>
      <w:divBdr>
        <w:top w:val="none" w:sz="0" w:space="0" w:color="auto"/>
        <w:left w:val="none" w:sz="0" w:space="0" w:color="auto"/>
        <w:bottom w:val="none" w:sz="0" w:space="0" w:color="auto"/>
        <w:right w:val="none" w:sz="0" w:space="0" w:color="auto"/>
      </w:divBdr>
    </w:div>
    <w:div w:id="1959526536">
      <w:bodyDiv w:val="1"/>
      <w:marLeft w:val="0"/>
      <w:marRight w:val="0"/>
      <w:marTop w:val="0"/>
      <w:marBottom w:val="0"/>
      <w:divBdr>
        <w:top w:val="none" w:sz="0" w:space="0" w:color="auto"/>
        <w:left w:val="none" w:sz="0" w:space="0" w:color="auto"/>
        <w:bottom w:val="none" w:sz="0" w:space="0" w:color="auto"/>
        <w:right w:val="none" w:sz="0" w:space="0" w:color="auto"/>
      </w:divBdr>
    </w:div>
    <w:div w:id="1978875252">
      <w:bodyDiv w:val="1"/>
      <w:marLeft w:val="0"/>
      <w:marRight w:val="0"/>
      <w:marTop w:val="0"/>
      <w:marBottom w:val="0"/>
      <w:divBdr>
        <w:top w:val="none" w:sz="0" w:space="0" w:color="auto"/>
        <w:left w:val="none" w:sz="0" w:space="0" w:color="auto"/>
        <w:bottom w:val="none" w:sz="0" w:space="0" w:color="auto"/>
        <w:right w:val="none" w:sz="0" w:space="0" w:color="auto"/>
      </w:divBdr>
    </w:div>
    <w:div w:id="1980188064">
      <w:bodyDiv w:val="1"/>
      <w:marLeft w:val="0"/>
      <w:marRight w:val="0"/>
      <w:marTop w:val="0"/>
      <w:marBottom w:val="0"/>
      <w:divBdr>
        <w:top w:val="none" w:sz="0" w:space="0" w:color="auto"/>
        <w:left w:val="none" w:sz="0" w:space="0" w:color="auto"/>
        <w:bottom w:val="none" w:sz="0" w:space="0" w:color="auto"/>
        <w:right w:val="none" w:sz="0" w:space="0" w:color="auto"/>
      </w:divBdr>
    </w:div>
    <w:div w:id="1991785935">
      <w:bodyDiv w:val="1"/>
      <w:marLeft w:val="0"/>
      <w:marRight w:val="0"/>
      <w:marTop w:val="0"/>
      <w:marBottom w:val="0"/>
      <w:divBdr>
        <w:top w:val="none" w:sz="0" w:space="0" w:color="auto"/>
        <w:left w:val="none" w:sz="0" w:space="0" w:color="auto"/>
        <w:bottom w:val="none" w:sz="0" w:space="0" w:color="auto"/>
        <w:right w:val="none" w:sz="0" w:space="0" w:color="auto"/>
      </w:divBdr>
    </w:div>
    <w:div w:id="2011171913">
      <w:bodyDiv w:val="1"/>
      <w:marLeft w:val="0"/>
      <w:marRight w:val="0"/>
      <w:marTop w:val="0"/>
      <w:marBottom w:val="0"/>
      <w:divBdr>
        <w:top w:val="none" w:sz="0" w:space="0" w:color="auto"/>
        <w:left w:val="none" w:sz="0" w:space="0" w:color="auto"/>
        <w:bottom w:val="none" w:sz="0" w:space="0" w:color="auto"/>
        <w:right w:val="none" w:sz="0" w:space="0" w:color="auto"/>
      </w:divBdr>
    </w:div>
    <w:div w:id="2021199442">
      <w:bodyDiv w:val="1"/>
      <w:marLeft w:val="0"/>
      <w:marRight w:val="0"/>
      <w:marTop w:val="0"/>
      <w:marBottom w:val="0"/>
      <w:divBdr>
        <w:top w:val="none" w:sz="0" w:space="0" w:color="auto"/>
        <w:left w:val="none" w:sz="0" w:space="0" w:color="auto"/>
        <w:bottom w:val="none" w:sz="0" w:space="0" w:color="auto"/>
        <w:right w:val="none" w:sz="0" w:space="0" w:color="auto"/>
      </w:divBdr>
    </w:div>
    <w:div w:id="2070422555">
      <w:bodyDiv w:val="1"/>
      <w:marLeft w:val="0"/>
      <w:marRight w:val="0"/>
      <w:marTop w:val="0"/>
      <w:marBottom w:val="0"/>
      <w:divBdr>
        <w:top w:val="none" w:sz="0" w:space="0" w:color="auto"/>
        <w:left w:val="none" w:sz="0" w:space="0" w:color="auto"/>
        <w:bottom w:val="none" w:sz="0" w:space="0" w:color="auto"/>
        <w:right w:val="none" w:sz="0" w:space="0" w:color="auto"/>
      </w:divBdr>
      <w:divsChild>
        <w:div w:id="1839423992">
          <w:marLeft w:val="0"/>
          <w:marRight w:val="0"/>
          <w:marTop w:val="0"/>
          <w:marBottom w:val="0"/>
          <w:divBdr>
            <w:top w:val="none" w:sz="0" w:space="0" w:color="auto"/>
            <w:left w:val="none" w:sz="0" w:space="0" w:color="auto"/>
            <w:bottom w:val="none" w:sz="0" w:space="0" w:color="auto"/>
            <w:right w:val="none" w:sz="0" w:space="0" w:color="auto"/>
          </w:divBdr>
          <w:divsChild>
            <w:div w:id="562519436">
              <w:marLeft w:val="0"/>
              <w:marRight w:val="0"/>
              <w:marTop w:val="0"/>
              <w:marBottom w:val="0"/>
              <w:divBdr>
                <w:top w:val="none" w:sz="0" w:space="0" w:color="auto"/>
                <w:left w:val="none" w:sz="0" w:space="0" w:color="auto"/>
                <w:bottom w:val="none" w:sz="0" w:space="0" w:color="auto"/>
                <w:right w:val="none" w:sz="0" w:space="0" w:color="auto"/>
              </w:divBdr>
              <w:divsChild>
                <w:div w:id="1942645608">
                  <w:marLeft w:val="-225"/>
                  <w:marRight w:val="-225"/>
                  <w:marTop w:val="0"/>
                  <w:marBottom w:val="0"/>
                  <w:divBdr>
                    <w:top w:val="none" w:sz="0" w:space="0" w:color="auto"/>
                    <w:left w:val="none" w:sz="0" w:space="0" w:color="auto"/>
                    <w:bottom w:val="none" w:sz="0" w:space="0" w:color="auto"/>
                    <w:right w:val="none" w:sz="0" w:space="0" w:color="auto"/>
                  </w:divBdr>
                  <w:divsChild>
                    <w:div w:id="573782396">
                      <w:marLeft w:val="0"/>
                      <w:marRight w:val="0"/>
                      <w:marTop w:val="0"/>
                      <w:marBottom w:val="0"/>
                      <w:divBdr>
                        <w:top w:val="none" w:sz="0" w:space="0" w:color="auto"/>
                        <w:left w:val="none" w:sz="0" w:space="0" w:color="auto"/>
                        <w:bottom w:val="none" w:sz="0" w:space="0" w:color="auto"/>
                        <w:right w:val="none" w:sz="0" w:space="0" w:color="auto"/>
                      </w:divBdr>
                      <w:divsChild>
                        <w:div w:id="1356074646">
                          <w:marLeft w:val="0"/>
                          <w:marRight w:val="0"/>
                          <w:marTop w:val="0"/>
                          <w:marBottom w:val="0"/>
                          <w:divBdr>
                            <w:top w:val="none" w:sz="0" w:space="0" w:color="auto"/>
                            <w:left w:val="none" w:sz="0" w:space="0" w:color="auto"/>
                            <w:bottom w:val="none" w:sz="0" w:space="0" w:color="auto"/>
                            <w:right w:val="none" w:sz="0" w:space="0" w:color="auto"/>
                          </w:divBdr>
                          <w:divsChild>
                            <w:div w:id="6006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806907">
      <w:bodyDiv w:val="1"/>
      <w:marLeft w:val="0"/>
      <w:marRight w:val="0"/>
      <w:marTop w:val="0"/>
      <w:marBottom w:val="0"/>
      <w:divBdr>
        <w:top w:val="none" w:sz="0" w:space="0" w:color="auto"/>
        <w:left w:val="none" w:sz="0" w:space="0" w:color="auto"/>
        <w:bottom w:val="none" w:sz="0" w:space="0" w:color="auto"/>
        <w:right w:val="none" w:sz="0" w:space="0" w:color="auto"/>
      </w:divBdr>
    </w:div>
    <w:div w:id="211720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creativecommons.org/licenses/by/3.0/au/deed.en" TargetMode="External"/><Relationship Id="rId26" Type="http://schemas.openxmlformats.org/officeDocument/2006/relationships/diagramQuickStyle" Target="diagrams/quickStyle1.xml"/><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3.emf"/><Relationship Id="rId42"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wmf"/><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hyperlink" Target="https://www.abr.gov.au/media-centre/modernising-business-registers-and-director-identification-numbers"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creativecommons.org/licenses/by/3.0/au/legalcode" TargetMode="External"/><Relationship Id="rId20" Type="http://schemas.openxmlformats.org/officeDocument/2006/relationships/hyperlink" Target="mailto:medialiaison@treasury.gov.au" TargetMode="External"/><Relationship Id="rId29" Type="http://schemas.openxmlformats.org/officeDocument/2006/relationships/diagramData" Target="diagrams/data2.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package" Target="embeddings/Microsoft_Visio_Drawing1.vsdx"/><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creativecommons.org/licenses/by/3.0/au/deed.en" TargetMode="External"/><Relationship Id="rId23" Type="http://schemas.openxmlformats.org/officeDocument/2006/relationships/footer" Target="footer2.xml"/><Relationship Id="rId28" Type="http://schemas.microsoft.com/office/2007/relationships/diagramDrawing" Target="diagrams/drawing1.xml"/><Relationship Id="rId36" Type="http://schemas.openxmlformats.org/officeDocument/2006/relationships/image" Target="media/image4.emf"/><Relationship Id="rId10" Type="http://schemas.openxmlformats.org/officeDocument/2006/relationships/webSettings" Target="webSettings.xml"/><Relationship Id="rId19" Type="http://schemas.openxmlformats.org/officeDocument/2006/relationships/hyperlink" Target="http://www.pmc.gov.au/government/commonwealth-coat-arms" TargetMode="External"/><Relationship Id="rId31" Type="http://schemas.openxmlformats.org/officeDocument/2006/relationships/diagramQuickStyle" Target="diagrams/quickStyle2.xm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package" Target="embeddings/Microsoft_Visio_Drawing.vsdx"/><Relationship Id="rId43"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F1F7C9-5F8D-4EE5-8EEF-D607C5D77589}"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US"/>
        </a:p>
      </dgm:t>
    </dgm:pt>
    <dgm:pt modelId="{8ED51632-015C-4396-9C5E-18F412AC8B99}">
      <dgm:prSet phldrT="[Text]"/>
      <dgm:spPr>
        <a:ln>
          <a:noFill/>
        </a:ln>
      </dgm:spPr>
      <dgm:t>
        <a:bodyPr/>
        <a:lstStyle/>
        <a:p>
          <a:pPr algn="ctr"/>
          <a:r>
            <a:rPr lang="en-US"/>
            <a:t>National interest test</a:t>
          </a:r>
        </a:p>
      </dgm:t>
    </dgm:pt>
    <dgm:pt modelId="{9E9FBCBB-C612-415A-864C-54BAE163C9C7}" type="parTrans" cxnId="{3F2696A5-73F0-4AE4-93C2-35C80DAE7238}">
      <dgm:prSet/>
      <dgm:spPr/>
      <dgm:t>
        <a:bodyPr/>
        <a:lstStyle/>
        <a:p>
          <a:pPr algn="ctr"/>
          <a:endParaRPr lang="en-US"/>
        </a:p>
      </dgm:t>
    </dgm:pt>
    <dgm:pt modelId="{6742F566-AE4A-4C02-9C52-F6844D85E270}" type="sibTrans" cxnId="{3F2696A5-73F0-4AE4-93C2-35C80DAE7238}">
      <dgm:prSet/>
      <dgm:spPr/>
      <dgm:t>
        <a:bodyPr/>
        <a:lstStyle/>
        <a:p>
          <a:pPr algn="ctr"/>
          <a:endParaRPr lang="en-US"/>
        </a:p>
      </dgm:t>
    </dgm:pt>
    <dgm:pt modelId="{D7C3D7A7-9B38-4380-A3D4-73631C425EFB}">
      <dgm:prSet phldrT="[Text]" custT="1"/>
      <dgm:spPr>
        <a:solidFill>
          <a:schemeClr val="accent2"/>
        </a:solidFill>
        <a:ln>
          <a:noFill/>
        </a:ln>
      </dgm:spPr>
      <dgm:t>
        <a:bodyPr/>
        <a:lstStyle/>
        <a:p>
          <a:pPr algn="ctr"/>
          <a:r>
            <a:rPr lang="en-US" sz="600"/>
            <a:t>Impact on the economy and community</a:t>
          </a:r>
        </a:p>
      </dgm:t>
    </dgm:pt>
    <dgm:pt modelId="{AF5960FB-C82B-43A2-BC23-4600CAE09CEE}" type="parTrans" cxnId="{19331F8B-964E-440D-879E-4437EA28AE58}">
      <dgm:prSet/>
      <dgm:spPr/>
      <dgm:t>
        <a:bodyPr/>
        <a:lstStyle/>
        <a:p>
          <a:pPr algn="ctr"/>
          <a:endParaRPr lang="en-US"/>
        </a:p>
      </dgm:t>
    </dgm:pt>
    <dgm:pt modelId="{D5983A88-3785-41A0-B5C1-3546DB7D6B04}" type="sibTrans" cxnId="{19331F8B-964E-440D-879E-4437EA28AE58}">
      <dgm:prSet/>
      <dgm:spPr/>
      <dgm:t>
        <a:bodyPr/>
        <a:lstStyle/>
        <a:p>
          <a:pPr algn="ctr"/>
          <a:endParaRPr lang="en-US"/>
        </a:p>
      </dgm:t>
    </dgm:pt>
    <dgm:pt modelId="{9EB86907-CDB8-4C9F-AA14-1508D7676EAB}">
      <dgm:prSet phldrT="[Text]" custT="1"/>
      <dgm:spPr>
        <a:solidFill>
          <a:schemeClr val="accent2"/>
        </a:solidFill>
        <a:ln>
          <a:noFill/>
        </a:ln>
      </dgm:spPr>
      <dgm:t>
        <a:bodyPr/>
        <a:lstStyle/>
        <a:p>
          <a:pPr algn="ctr"/>
          <a:r>
            <a:rPr lang="en-US" sz="600"/>
            <a:t>National security</a:t>
          </a:r>
        </a:p>
      </dgm:t>
    </dgm:pt>
    <dgm:pt modelId="{209046DF-26F4-46D4-BB3F-9249F3923221}" type="parTrans" cxnId="{56595467-6309-4C51-90CA-DAD23D6D49C5}">
      <dgm:prSet/>
      <dgm:spPr/>
      <dgm:t>
        <a:bodyPr/>
        <a:lstStyle/>
        <a:p>
          <a:pPr algn="ctr"/>
          <a:endParaRPr lang="en-US"/>
        </a:p>
      </dgm:t>
    </dgm:pt>
    <dgm:pt modelId="{FDFB98F4-C8B9-49C2-9EA1-C7E15DED1D29}" type="sibTrans" cxnId="{56595467-6309-4C51-90CA-DAD23D6D49C5}">
      <dgm:prSet/>
      <dgm:spPr/>
      <dgm:t>
        <a:bodyPr/>
        <a:lstStyle/>
        <a:p>
          <a:pPr algn="ctr"/>
          <a:endParaRPr lang="en-US"/>
        </a:p>
      </dgm:t>
    </dgm:pt>
    <dgm:pt modelId="{7FD21D76-D6A4-4E03-ADCD-1818241B5F50}">
      <dgm:prSet phldrT="[Text]" custT="1"/>
      <dgm:spPr>
        <a:solidFill>
          <a:schemeClr val="accent2"/>
        </a:solidFill>
        <a:ln>
          <a:noFill/>
        </a:ln>
      </dgm:spPr>
      <dgm:t>
        <a:bodyPr/>
        <a:lstStyle/>
        <a:p>
          <a:pPr algn="ctr"/>
          <a:r>
            <a:rPr lang="en-US" sz="600"/>
            <a:t>Competition</a:t>
          </a:r>
        </a:p>
      </dgm:t>
    </dgm:pt>
    <dgm:pt modelId="{43D54256-D1BE-4FB7-BE7E-40ECDFBCEF3B}" type="parTrans" cxnId="{3B2D5F83-3946-4882-AAC6-D19A84728DA1}">
      <dgm:prSet/>
      <dgm:spPr/>
      <dgm:t>
        <a:bodyPr/>
        <a:lstStyle/>
        <a:p>
          <a:pPr algn="ctr"/>
          <a:endParaRPr lang="en-US"/>
        </a:p>
      </dgm:t>
    </dgm:pt>
    <dgm:pt modelId="{451F0DF7-0E87-40C2-92B1-F1B7B5D09547}" type="sibTrans" cxnId="{3B2D5F83-3946-4882-AAC6-D19A84728DA1}">
      <dgm:prSet/>
      <dgm:spPr/>
      <dgm:t>
        <a:bodyPr/>
        <a:lstStyle/>
        <a:p>
          <a:pPr algn="ctr"/>
          <a:endParaRPr lang="en-US"/>
        </a:p>
      </dgm:t>
    </dgm:pt>
    <dgm:pt modelId="{FE1B9E12-F68C-405E-A0B2-2060BC20A4F7}">
      <dgm:prSet phldrT="[Text]" custT="1"/>
      <dgm:spPr>
        <a:solidFill>
          <a:schemeClr val="accent2"/>
        </a:solidFill>
        <a:ln>
          <a:noFill/>
        </a:ln>
      </dgm:spPr>
      <dgm:t>
        <a:bodyPr/>
        <a:lstStyle/>
        <a:p>
          <a:pPr algn="ctr"/>
          <a:r>
            <a:rPr lang="en-US" sz="600"/>
            <a:t>Character of the investor</a:t>
          </a:r>
        </a:p>
      </dgm:t>
    </dgm:pt>
    <dgm:pt modelId="{33399FE7-71A2-4AD3-8A15-BD52C5A46CF8}" type="parTrans" cxnId="{C1436B25-557D-4C7F-93B1-F146709B922A}">
      <dgm:prSet/>
      <dgm:spPr/>
      <dgm:t>
        <a:bodyPr/>
        <a:lstStyle/>
        <a:p>
          <a:pPr algn="ctr"/>
          <a:endParaRPr lang="en-US"/>
        </a:p>
      </dgm:t>
    </dgm:pt>
    <dgm:pt modelId="{21EB18BF-5D22-4D5E-98E7-DDF8C2A6540B}" type="sibTrans" cxnId="{C1436B25-557D-4C7F-93B1-F146709B922A}">
      <dgm:prSet/>
      <dgm:spPr/>
      <dgm:t>
        <a:bodyPr/>
        <a:lstStyle/>
        <a:p>
          <a:pPr algn="ctr"/>
          <a:endParaRPr lang="en-US"/>
        </a:p>
      </dgm:t>
    </dgm:pt>
    <dgm:pt modelId="{48654EA3-217C-4F41-B650-29083D0F69C4}">
      <dgm:prSet phldrT="[Text]" custT="1"/>
      <dgm:spPr>
        <a:solidFill>
          <a:schemeClr val="accent2"/>
        </a:solidFill>
        <a:ln>
          <a:noFill/>
        </a:ln>
      </dgm:spPr>
      <dgm:t>
        <a:bodyPr/>
        <a:lstStyle/>
        <a:p>
          <a:pPr algn="ctr"/>
          <a:r>
            <a:rPr lang="en-US" sz="600"/>
            <a:t>Other Govt. policies (such as tax)</a:t>
          </a:r>
        </a:p>
      </dgm:t>
    </dgm:pt>
    <dgm:pt modelId="{52F0881B-D129-4620-A3EC-64C92EFB4A20}" type="parTrans" cxnId="{0C722635-D50F-4096-856E-0FE84F636F4A}">
      <dgm:prSet/>
      <dgm:spPr/>
      <dgm:t>
        <a:bodyPr/>
        <a:lstStyle/>
        <a:p>
          <a:pPr algn="ctr"/>
          <a:endParaRPr lang="en-US"/>
        </a:p>
      </dgm:t>
    </dgm:pt>
    <dgm:pt modelId="{B733E83A-F9DB-4837-A5A0-3AAA1B33EE46}" type="sibTrans" cxnId="{0C722635-D50F-4096-856E-0FE84F636F4A}">
      <dgm:prSet/>
      <dgm:spPr/>
      <dgm:t>
        <a:bodyPr/>
        <a:lstStyle/>
        <a:p>
          <a:pPr algn="ctr"/>
          <a:endParaRPr lang="en-US"/>
        </a:p>
      </dgm:t>
    </dgm:pt>
    <dgm:pt modelId="{5D07AD18-62E2-4D59-B212-693A6CE49B49}" type="pres">
      <dgm:prSet presAssocID="{BBF1F7C9-5F8D-4EE5-8EEF-D607C5D77589}" presName="cycle" presStyleCnt="0">
        <dgm:presLayoutVars>
          <dgm:chMax val="1"/>
          <dgm:dir/>
          <dgm:animLvl val="ctr"/>
          <dgm:resizeHandles val="exact"/>
        </dgm:presLayoutVars>
      </dgm:prSet>
      <dgm:spPr/>
      <dgm:t>
        <a:bodyPr/>
        <a:lstStyle/>
        <a:p>
          <a:endParaRPr lang="en-US"/>
        </a:p>
      </dgm:t>
    </dgm:pt>
    <dgm:pt modelId="{8239E413-FB96-4183-8741-1F797DAFF519}" type="pres">
      <dgm:prSet presAssocID="{8ED51632-015C-4396-9C5E-18F412AC8B99}" presName="centerShape" presStyleLbl="node0" presStyleIdx="0" presStyleCnt="1" custScaleX="119376" custScaleY="114414"/>
      <dgm:spPr/>
      <dgm:t>
        <a:bodyPr/>
        <a:lstStyle/>
        <a:p>
          <a:endParaRPr lang="en-US"/>
        </a:p>
      </dgm:t>
    </dgm:pt>
    <dgm:pt modelId="{74135947-D99F-4050-8067-18A267379E2F}" type="pres">
      <dgm:prSet presAssocID="{AF5960FB-C82B-43A2-BC23-4600CAE09CEE}" presName="Name9" presStyleLbl="parChTrans1D2" presStyleIdx="0" presStyleCnt="5"/>
      <dgm:spPr/>
      <dgm:t>
        <a:bodyPr/>
        <a:lstStyle/>
        <a:p>
          <a:endParaRPr lang="en-US"/>
        </a:p>
      </dgm:t>
    </dgm:pt>
    <dgm:pt modelId="{ECB56AE7-6564-4CB6-96E3-66C2850E8DF2}" type="pres">
      <dgm:prSet presAssocID="{AF5960FB-C82B-43A2-BC23-4600CAE09CEE}" presName="connTx" presStyleLbl="parChTrans1D2" presStyleIdx="0" presStyleCnt="5"/>
      <dgm:spPr/>
      <dgm:t>
        <a:bodyPr/>
        <a:lstStyle/>
        <a:p>
          <a:endParaRPr lang="en-US"/>
        </a:p>
      </dgm:t>
    </dgm:pt>
    <dgm:pt modelId="{BC9383B6-DA3C-49CB-986B-E0F501CDF7AB}" type="pres">
      <dgm:prSet presAssocID="{D7C3D7A7-9B38-4380-A3D4-73631C425EFB}" presName="node" presStyleLbl="node1" presStyleIdx="0" presStyleCnt="5" custScaleX="106941" custScaleY="108036">
        <dgm:presLayoutVars>
          <dgm:bulletEnabled val="1"/>
        </dgm:presLayoutVars>
      </dgm:prSet>
      <dgm:spPr/>
      <dgm:t>
        <a:bodyPr/>
        <a:lstStyle/>
        <a:p>
          <a:endParaRPr lang="en-US"/>
        </a:p>
      </dgm:t>
    </dgm:pt>
    <dgm:pt modelId="{6ECB3D76-7986-4A31-8DC5-78594D2018DC}" type="pres">
      <dgm:prSet presAssocID="{209046DF-26F4-46D4-BB3F-9249F3923221}" presName="Name9" presStyleLbl="parChTrans1D2" presStyleIdx="1" presStyleCnt="5"/>
      <dgm:spPr/>
      <dgm:t>
        <a:bodyPr/>
        <a:lstStyle/>
        <a:p>
          <a:endParaRPr lang="en-US"/>
        </a:p>
      </dgm:t>
    </dgm:pt>
    <dgm:pt modelId="{6F7D851D-D5CF-4CA7-A667-B9787B1EFF85}" type="pres">
      <dgm:prSet presAssocID="{209046DF-26F4-46D4-BB3F-9249F3923221}" presName="connTx" presStyleLbl="parChTrans1D2" presStyleIdx="1" presStyleCnt="5"/>
      <dgm:spPr/>
      <dgm:t>
        <a:bodyPr/>
        <a:lstStyle/>
        <a:p>
          <a:endParaRPr lang="en-US"/>
        </a:p>
      </dgm:t>
    </dgm:pt>
    <dgm:pt modelId="{E175E627-A56E-49FE-8508-287847E44D06}" type="pres">
      <dgm:prSet presAssocID="{9EB86907-CDB8-4C9F-AA14-1508D7676EAB}" presName="node" presStyleLbl="node1" presStyleIdx="1" presStyleCnt="5" custScaleX="106941" custScaleY="108036">
        <dgm:presLayoutVars>
          <dgm:bulletEnabled val="1"/>
        </dgm:presLayoutVars>
      </dgm:prSet>
      <dgm:spPr/>
      <dgm:t>
        <a:bodyPr/>
        <a:lstStyle/>
        <a:p>
          <a:endParaRPr lang="en-US"/>
        </a:p>
      </dgm:t>
    </dgm:pt>
    <dgm:pt modelId="{EFB9CC53-5EE2-4A9D-9B45-586DDCA15298}" type="pres">
      <dgm:prSet presAssocID="{43D54256-D1BE-4FB7-BE7E-40ECDFBCEF3B}" presName="Name9" presStyleLbl="parChTrans1D2" presStyleIdx="2" presStyleCnt="5"/>
      <dgm:spPr/>
      <dgm:t>
        <a:bodyPr/>
        <a:lstStyle/>
        <a:p>
          <a:endParaRPr lang="en-US"/>
        </a:p>
      </dgm:t>
    </dgm:pt>
    <dgm:pt modelId="{FDC253A6-83D1-40FE-94B7-EEB08BA341C3}" type="pres">
      <dgm:prSet presAssocID="{43D54256-D1BE-4FB7-BE7E-40ECDFBCEF3B}" presName="connTx" presStyleLbl="parChTrans1D2" presStyleIdx="2" presStyleCnt="5"/>
      <dgm:spPr/>
      <dgm:t>
        <a:bodyPr/>
        <a:lstStyle/>
        <a:p>
          <a:endParaRPr lang="en-US"/>
        </a:p>
      </dgm:t>
    </dgm:pt>
    <dgm:pt modelId="{0D02DD6A-8280-4E7C-909B-EF390E8576E5}" type="pres">
      <dgm:prSet presAssocID="{7FD21D76-D6A4-4E03-ADCD-1818241B5F50}" presName="node" presStyleLbl="node1" presStyleIdx="2" presStyleCnt="5" custScaleX="106941" custScaleY="108036">
        <dgm:presLayoutVars>
          <dgm:bulletEnabled val="1"/>
        </dgm:presLayoutVars>
      </dgm:prSet>
      <dgm:spPr/>
      <dgm:t>
        <a:bodyPr/>
        <a:lstStyle/>
        <a:p>
          <a:endParaRPr lang="en-US"/>
        </a:p>
      </dgm:t>
    </dgm:pt>
    <dgm:pt modelId="{F30B244A-83FB-45A9-BC1D-5EFE33B1500B}" type="pres">
      <dgm:prSet presAssocID="{33399FE7-71A2-4AD3-8A15-BD52C5A46CF8}" presName="Name9" presStyleLbl="parChTrans1D2" presStyleIdx="3" presStyleCnt="5"/>
      <dgm:spPr/>
      <dgm:t>
        <a:bodyPr/>
        <a:lstStyle/>
        <a:p>
          <a:endParaRPr lang="en-US"/>
        </a:p>
      </dgm:t>
    </dgm:pt>
    <dgm:pt modelId="{5B088043-F0D3-4C2E-9091-DF75C485FF8A}" type="pres">
      <dgm:prSet presAssocID="{33399FE7-71A2-4AD3-8A15-BD52C5A46CF8}" presName="connTx" presStyleLbl="parChTrans1D2" presStyleIdx="3" presStyleCnt="5"/>
      <dgm:spPr/>
      <dgm:t>
        <a:bodyPr/>
        <a:lstStyle/>
        <a:p>
          <a:endParaRPr lang="en-US"/>
        </a:p>
      </dgm:t>
    </dgm:pt>
    <dgm:pt modelId="{1C637BB4-E171-45CB-9DF6-0441ABAB9F2E}" type="pres">
      <dgm:prSet presAssocID="{FE1B9E12-F68C-405E-A0B2-2060BC20A4F7}" presName="node" presStyleLbl="node1" presStyleIdx="3" presStyleCnt="5" custScaleX="106941" custScaleY="108036">
        <dgm:presLayoutVars>
          <dgm:bulletEnabled val="1"/>
        </dgm:presLayoutVars>
      </dgm:prSet>
      <dgm:spPr/>
      <dgm:t>
        <a:bodyPr/>
        <a:lstStyle/>
        <a:p>
          <a:endParaRPr lang="en-US"/>
        </a:p>
      </dgm:t>
    </dgm:pt>
    <dgm:pt modelId="{CA827E3D-3AF3-4D5E-B054-4FB1D10CF12D}" type="pres">
      <dgm:prSet presAssocID="{52F0881B-D129-4620-A3EC-64C92EFB4A20}" presName="Name9" presStyleLbl="parChTrans1D2" presStyleIdx="4" presStyleCnt="5"/>
      <dgm:spPr/>
      <dgm:t>
        <a:bodyPr/>
        <a:lstStyle/>
        <a:p>
          <a:endParaRPr lang="en-US"/>
        </a:p>
      </dgm:t>
    </dgm:pt>
    <dgm:pt modelId="{888A9779-F249-4800-A978-6DE9CBE0A309}" type="pres">
      <dgm:prSet presAssocID="{52F0881B-D129-4620-A3EC-64C92EFB4A20}" presName="connTx" presStyleLbl="parChTrans1D2" presStyleIdx="4" presStyleCnt="5"/>
      <dgm:spPr/>
      <dgm:t>
        <a:bodyPr/>
        <a:lstStyle/>
        <a:p>
          <a:endParaRPr lang="en-US"/>
        </a:p>
      </dgm:t>
    </dgm:pt>
    <dgm:pt modelId="{91B4DE67-9157-4E13-AC75-6E9A6213ADF4}" type="pres">
      <dgm:prSet presAssocID="{48654EA3-217C-4F41-B650-29083D0F69C4}" presName="node" presStyleLbl="node1" presStyleIdx="4" presStyleCnt="5" custScaleX="106941" custScaleY="108036">
        <dgm:presLayoutVars>
          <dgm:bulletEnabled val="1"/>
        </dgm:presLayoutVars>
      </dgm:prSet>
      <dgm:spPr/>
      <dgm:t>
        <a:bodyPr/>
        <a:lstStyle/>
        <a:p>
          <a:endParaRPr lang="en-US"/>
        </a:p>
      </dgm:t>
    </dgm:pt>
  </dgm:ptLst>
  <dgm:cxnLst>
    <dgm:cxn modelId="{DC0688D3-746E-4BE4-B6F6-E60F8997B3E7}" type="presOf" srcId="{33399FE7-71A2-4AD3-8A15-BD52C5A46CF8}" destId="{F30B244A-83FB-45A9-BC1D-5EFE33B1500B}" srcOrd="0" destOrd="0" presId="urn:microsoft.com/office/officeart/2005/8/layout/radial1"/>
    <dgm:cxn modelId="{E5D7BE53-E19F-4B56-BE33-D4297D205490}" type="presOf" srcId="{209046DF-26F4-46D4-BB3F-9249F3923221}" destId="{6F7D851D-D5CF-4CA7-A667-B9787B1EFF85}" srcOrd="1" destOrd="0" presId="urn:microsoft.com/office/officeart/2005/8/layout/radial1"/>
    <dgm:cxn modelId="{3F2696A5-73F0-4AE4-93C2-35C80DAE7238}" srcId="{BBF1F7C9-5F8D-4EE5-8EEF-D607C5D77589}" destId="{8ED51632-015C-4396-9C5E-18F412AC8B99}" srcOrd="0" destOrd="0" parTransId="{9E9FBCBB-C612-415A-864C-54BAE163C9C7}" sibTransId="{6742F566-AE4A-4C02-9C52-F6844D85E270}"/>
    <dgm:cxn modelId="{9EF44CB7-8D76-4F57-B3CB-C6D35F2A4443}" type="presOf" srcId="{209046DF-26F4-46D4-BB3F-9249F3923221}" destId="{6ECB3D76-7986-4A31-8DC5-78594D2018DC}" srcOrd="0" destOrd="0" presId="urn:microsoft.com/office/officeart/2005/8/layout/radial1"/>
    <dgm:cxn modelId="{F0E19F1A-1961-459F-8030-93406367EB5A}" type="presOf" srcId="{9EB86907-CDB8-4C9F-AA14-1508D7676EAB}" destId="{E175E627-A56E-49FE-8508-287847E44D06}" srcOrd="0" destOrd="0" presId="urn:microsoft.com/office/officeart/2005/8/layout/radial1"/>
    <dgm:cxn modelId="{A8FDFA2D-41FA-45D7-A23A-EB59814BEEF2}" type="presOf" srcId="{AF5960FB-C82B-43A2-BC23-4600CAE09CEE}" destId="{ECB56AE7-6564-4CB6-96E3-66C2850E8DF2}" srcOrd="1" destOrd="0" presId="urn:microsoft.com/office/officeart/2005/8/layout/radial1"/>
    <dgm:cxn modelId="{C1436B25-557D-4C7F-93B1-F146709B922A}" srcId="{8ED51632-015C-4396-9C5E-18F412AC8B99}" destId="{FE1B9E12-F68C-405E-A0B2-2060BC20A4F7}" srcOrd="3" destOrd="0" parTransId="{33399FE7-71A2-4AD3-8A15-BD52C5A46CF8}" sibTransId="{21EB18BF-5D22-4D5E-98E7-DDF8C2A6540B}"/>
    <dgm:cxn modelId="{D0590433-B966-44FA-84EF-EAA7E667EF17}" type="presOf" srcId="{52F0881B-D129-4620-A3EC-64C92EFB4A20}" destId="{888A9779-F249-4800-A978-6DE9CBE0A309}" srcOrd="1" destOrd="0" presId="urn:microsoft.com/office/officeart/2005/8/layout/radial1"/>
    <dgm:cxn modelId="{96CD24B2-D435-47C7-8F30-8F3365314FB8}" type="presOf" srcId="{BBF1F7C9-5F8D-4EE5-8EEF-D607C5D77589}" destId="{5D07AD18-62E2-4D59-B212-693A6CE49B49}" srcOrd="0" destOrd="0" presId="urn:microsoft.com/office/officeart/2005/8/layout/radial1"/>
    <dgm:cxn modelId="{53B9B56A-874B-40C0-8D5A-0383C203A41D}" type="presOf" srcId="{52F0881B-D129-4620-A3EC-64C92EFB4A20}" destId="{CA827E3D-3AF3-4D5E-B054-4FB1D10CF12D}" srcOrd="0" destOrd="0" presId="urn:microsoft.com/office/officeart/2005/8/layout/radial1"/>
    <dgm:cxn modelId="{19331F8B-964E-440D-879E-4437EA28AE58}" srcId="{8ED51632-015C-4396-9C5E-18F412AC8B99}" destId="{D7C3D7A7-9B38-4380-A3D4-73631C425EFB}" srcOrd="0" destOrd="0" parTransId="{AF5960FB-C82B-43A2-BC23-4600CAE09CEE}" sibTransId="{D5983A88-3785-41A0-B5C1-3546DB7D6B04}"/>
    <dgm:cxn modelId="{107E01DC-AFAB-4C59-BB69-D347D04FA562}" type="presOf" srcId="{33399FE7-71A2-4AD3-8A15-BD52C5A46CF8}" destId="{5B088043-F0D3-4C2E-9091-DF75C485FF8A}" srcOrd="1" destOrd="0" presId="urn:microsoft.com/office/officeart/2005/8/layout/radial1"/>
    <dgm:cxn modelId="{3B2D5F83-3946-4882-AAC6-D19A84728DA1}" srcId="{8ED51632-015C-4396-9C5E-18F412AC8B99}" destId="{7FD21D76-D6A4-4E03-ADCD-1818241B5F50}" srcOrd="2" destOrd="0" parTransId="{43D54256-D1BE-4FB7-BE7E-40ECDFBCEF3B}" sibTransId="{451F0DF7-0E87-40C2-92B1-F1B7B5D09547}"/>
    <dgm:cxn modelId="{2B5D529A-D0F0-4859-93B4-F03142E2F39A}" type="presOf" srcId="{FE1B9E12-F68C-405E-A0B2-2060BC20A4F7}" destId="{1C637BB4-E171-45CB-9DF6-0441ABAB9F2E}" srcOrd="0" destOrd="0" presId="urn:microsoft.com/office/officeart/2005/8/layout/radial1"/>
    <dgm:cxn modelId="{0C722635-D50F-4096-856E-0FE84F636F4A}" srcId="{8ED51632-015C-4396-9C5E-18F412AC8B99}" destId="{48654EA3-217C-4F41-B650-29083D0F69C4}" srcOrd="4" destOrd="0" parTransId="{52F0881B-D129-4620-A3EC-64C92EFB4A20}" sibTransId="{B733E83A-F9DB-4837-A5A0-3AAA1B33EE46}"/>
    <dgm:cxn modelId="{56595467-6309-4C51-90CA-DAD23D6D49C5}" srcId="{8ED51632-015C-4396-9C5E-18F412AC8B99}" destId="{9EB86907-CDB8-4C9F-AA14-1508D7676EAB}" srcOrd="1" destOrd="0" parTransId="{209046DF-26F4-46D4-BB3F-9249F3923221}" sibTransId="{FDFB98F4-C8B9-49C2-9EA1-C7E15DED1D29}"/>
    <dgm:cxn modelId="{8CB1DDB8-7FA3-47D5-A482-22833AE2BC99}" type="presOf" srcId="{43D54256-D1BE-4FB7-BE7E-40ECDFBCEF3B}" destId="{EFB9CC53-5EE2-4A9D-9B45-586DDCA15298}" srcOrd="0" destOrd="0" presId="urn:microsoft.com/office/officeart/2005/8/layout/radial1"/>
    <dgm:cxn modelId="{09CB941A-FB79-4826-B0B5-7F901493D230}" type="presOf" srcId="{43D54256-D1BE-4FB7-BE7E-40ECDFBCEF3B}" destId="{FDC253A6-83D1-40FE-94B7-EEB08BA341C3}" srcOrd="1" destOrd="0" presId="urn:microsoft.com/office/officeart/2005/8/layout/radial1"/>
    <dgm:cxn modelId="{82B01FAA-02D8-4581-AE47-9F5337F61024}" type="presOf" srcId="{D7C3D7A7-9B38-4380-A3D4-73631C425EFB}" destId="{BC9383B6-DA3C-49CB-986B-E0F501CDF7AB}" srcOrd="0" destOrd="0" presId="urn:microsoft.com/office/officeart/2005/8/layout/radial1"/>
    <dgm:cxn modelId="{ACCD9524-6C83-4D93-BA41-B7FB9F22B13A}" type="presOf" srcId="{7FD21D76-D6A4-4E03-ADCD-1818241B5F50}" destId="{0D02DD6A-8280-4E7C-909B-EF390E8576E5}" srcOrd="0" destOrd="0" presId="urn:microsoft.com/office/officeart/2005/8/layout/radial1"/>
    <dgm:cxn modelId="{BC9ED760-A6BB-49DF-AFD3-9DD143EC8B55}" type="presOf" srcId="{48654EA3-217C-4F41-B650-29083D0F69C4}" destId="{91B4DE67-9157-4E13-AC75-6E9A6213ADF4}" srcOrd="0" destOrd="0" presId="urn:microsoft.com/office/officeart/2005/8/layout/radial1"/>
    <dgm:cxn modelId="{4E3AFBFD-6AF7-4C43-9763-E6916DB1821E}" type="presOf" srcId="{AF5960FB-C82B-43A2-BC23-4600CAE09CEE}" destId="{74135947-D99F-4050-8067-18A267379E2F}" srcOrd="0" destOrd="0" presId="urn:microsoft.com/office/officeart/2005/8/layout/radial1"/>
    <dgm:cxn modelId="{306301D8-B49A-47BD-9090-DF5EC6A32CF1}" type="presOf" srcId="{8ED51632-015C-4396-9C5E-18F412AC8B99}" destId="{8239E413-FB96-4183-8741-1F797DAFF519}" srcOrd="0" destOrd="0" presId="urn:microsoft.com/office/officeart/2005/8/layout/radial1"/>
    <dgm:cxn modelId="{F2561DC9-F826-49F9-B306-AE5547D6087C}" type="presParOf" srcId="{5D07AD18-62E2-4D59-B212-693A6CE49B49}" destId="{8239E413-FB96-4183-8741-1F797DAFF519}" srcOrd="0" destOrd="0" presId="urn:microsoft.com/office/officeart/2005/8/layout/radial1"/>
    <dgm:cxn modelId="{83149EE4-CBCD-48DC-8FDE-2E9CAA10A535}" type="presParOf" srcId="{5D07AD18-62E2-4D59-B212-693A6CE49B49}" destId="{74135947-D99F-4050-8067-18A267379E2F}" srcOrd="1" destOrd="0" presId="urn:microsoft.com/office/officeart/2005/8/layout/radial1"/>
    <dgm:cxn modelId="{BAC65BB2-09E0-4E1D-80B5-777B0B999CC5}" type="presParOf" srcId="{74135947-D99F-4050-8067-18A267379E2F}" destId="{ECB56AE7-6564-4CB6-96E3-66C2850E8DF2}" srcOrd="0" destOrd="0" presId="urn:microsoft.com/office/officeart/2005/8/layout/radial1"/>
    <dgm:cxn modelId="{8F5CFE23-6566-4BC2-A5F8-B244D553273E}" type="presParOf" srcId="{5D07AD18-62E2-4D59-B212-693A6CE49B49}" destId="{BC9383B6-DA3C-49CB-986B-E0F501CDF7AB}" srcOrd="2" destOrd="0" presId="urn:microsoft.com/office/officeart/2005/8/layout/radial1"/>
    <dgm:cxn modelId="{A9EBA055-2762-4DAE-91D6-3456311BD0DF}" type="presParOf" srcId="{5D07AD18-62E2-4D59-B212-693A6CE49B49}" destId="{6ECB3D76-7986-4A31-8DC5-78594D2018DC}" srcOrd="3" destOrd="0" presId="urn:microsoft.com/office/officeart/2005/8/layout/radial1"/>
    <dgm:cxn modelId="{E7EE54B4-F110-4C1B-9355-A7F08B78C5D0}" type="presParOf" srcId="{6ECB3D76-7986-4A31-8DC5-78594D2018DC}" destId="{6F7D851D-D5CF-4CA7-A667-B9787B1EFF85}" srcOrd="0" destOrd="0" presId="urn:microsoft.com/office/officeart/2005/8/layout/radial1"/>
    <dgm:cxn modelId="{91BFDCD0-3C09-4D7D-91CE-433205573D21}" type="presParOf" srcId="{5D07AD18-62E2-4D59-B212-693A6CE49B49}" destId="{E175E627-A56E-49FE-8508-287847E44D06}" srcOrd="4" destOrd="0" presId="urn:microsoft.com/office/officeart/2005/8/layout/radial1"/>
    <dgm:cxn modelId="{98B25B69-161E-4BC7-B891-76D87B1339FA}" type="presParOf" srcId="{5D07AD18-62E2-4D59-B212-693A6CE49B49}" destId="{EFB9CC53-5EE2-4A9D-9B45-586DDCA15298}" srcOrd="5" destOrd="0" presId="urn:microsoft.com/office/officeart/2005/8/layout/radial1"/>
    <dgm:cxn modelId="{C79D79EF-3386-411C-865D-AF2666347B61}" type="presParOf" srcId="{EFB9CC53-5EE2-4A9D-9B45-586DDCA15298}" destId="{FDC253A6-83D1-40FE-94B7-EEB08BA341C3}" srcOrd="0" destOrd="0" presId="urn:microsoft.com/office/officeart/2005/8/layout/radial1"/>
    <dgm:cxn modelId="{CACCC40F-A56A-4AEE-89A4-EF43B4609F78}" type="presParOf" srcId="{5D07AD18-62E2-4D59-B212-693A6CE49B49}" destId="{0D02DD6A-8280-4E7C-909B-EF390E8576E5}" srcOrd="6" destOrd="0" presId="urn:microsoft.com/office/officeart/2005/8/layout/radial1"/>
    <dgm:cxn modelId="{047E2336-11B9-40BE-B1EC-48AD191F3EEA}" type="presParOf" srcId="{5D07AD18-62E2-4D59-B212-693A6CE49B49}" destId="{F30B244A-83FB-45A9-BC1D-5EFE33B1500B}" srcOrd="7" destOrd="0" presId="urn:microsoft.com/office/officeart/2005/8/layout/radial1"/>
    <dgm:cxn modelId="{4799DB21-0358-4BE6-A298-8ADDCA383856}" type="presParOf" srcId="{F30B244A-83FB-45A9-BC1D-5EFE33B1500B}" destId="{5B088043-F0D3-4C2E-9091-DF75C485FF8A}" srcOrd="0" destOrd="0" presId="urn:microsoft.com/office/officeart/2005/8/layout/radial1"/>
    <dgm:cxn modelId="{A4893FC5-87BA-4363-BE08-4D22E4261AA0}" type="presParOf" srcId="{5D07AD18-62E2-4D59-B212-693A6CE49B49}" destId="{1C637BB4-E171-45CB-9DF6-0441ABAB9F2E}" srcOrd="8" destOrd="0" presId="urn:microsoft.com/office/officeart/2005/8/layout/radial1"/>
    <dgm:cxn modelId="{3797EFA4-088E-4EED-AFA4-072E436EB808}" type="presParOf" srcId="{5D07AD18-62E2-4D59-B212-693A6CE49B49}" destId="{CA827E3D-3AF3-4D5E-B054-4FB1D10CF12D}" srcOrd="9" destOrd="0" presId="urn:microsoft.com/office/officeart/2005/8/layout/radial1"/>
    <dgm:cxn modelId="{05D2D271-1DCA-4B9C-9DBC-D90CA6023EC5}" type="presParOf" srcId="{CA827E3D-3AF3-4D5E-B054-4FB1D10CF12D}" destId="{888A9779-F249-4800-A978-6DE9CBE0A309}" srcOrd="0" destOrd="0" presId="urn:microsoft.com/office/officeart/2005/8/layout/radial1"/>
    <dgm:cxn modelId="{48988EED-68DA-4E8D-B12A-4E8F6EEC38F9}" type="presParOf" srcId="{5D07AD18-62E2-4D59-B212-693A6CE49B49}" destId="{91B4DE67-9157-4E13-AC75-6E9A6213ADF4}" srcOrd="10" destOrd="0" presId="urn:microsoft.com/office/officeart/2005/8/layout/radial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BF1F7C9-5F8D-4EE5-8EEF-D607C5D77589}"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US"/>
        </a:p>
      </dgm:t>
    </dgm:pt>
    <dgm:pt modelId="{8ED51632-015C-4396-9C5E-18F412AC8B99}">
      <dgm:prSet phldrT="[Text]"/>
      <dgm:spPr>
        <a:ln>
          <a:noFill/>
        </a:ln>
      </dgm:spPr>
      <dgm:t>
        <a:bodyPr/>
        <a:lstStyle/>
        <a:p>
          <a:pPr algn="ctr"/>
          <a:r>
            <a:rPr lang="en-US"/>
            <a:t>National security test</a:t>
          </a:r>
        </a:p>
      </dgm:t>
    </dgm:pt>
    <dgm:pt modelId="{9E9FBCBB-C612-415A-864C-54BAE163C9C7}" type="parTrans" cxnId="{3F2696A5-73F0-4AE4-93C2-35C80DAE7238}">
      <dgm:prSet/>
      <dgm:spPr/>
      <dgm:t>
        <a:bodyPr/>
        <a:lstStyle/>
        <a:p>
          <a:pPr algn="ctr"/>
          <a:endParaRPr lang="en-US"/>
        </a:p>
      </dgm:t>
    </dgm:pt>
    <dgm:pt modelId="{6742F566-AE4A-4C02-9C52-F6844D85E270}" type="sibTrans" cxnId="{3F2696A5-73F0-4AE4-93C2-35C80DAE7238}">
      <dgm:prSet/>
      <dgm:spPr/>
      <dgm:t>
        <a:bodyPr/>
        <a:lstStyle/>
        <a:p>
          <a:pPr algn="ctr"/>
          <a:endParaRPr lang="en-US"/>
        </a:p>
      </dgm:t>
    </dgm:pt>
    <dgm:pt modelId="{9EB86907-CDB8-4C9F-AA14-1508D7676EAB}">
      <dgm:prSet phldrT="[Text]" custT="1"/>
      <dgm:spPr>
        <a:solidFill>
          <a:schemeClr val="accent2"/>
        </a:solidFill>
        <a:ln>
          <a:noFill/>
        </a:ln>
      </dgm:spPr>
      <dgm:t>
        <a:bodyPr/>
        <a:lstStyle/>
        <a:p>
          <a:pPr algn="ctr"/>
          <a:r>
            <a:rPr lang="en-US" sz="600"/>
            <a:t>National security</a:t>
          </a:r>
        </a:p>
      </dgm:t>
    </dgm:pt>
    <dgm:pt modelId="{209046DF-26F4-46D4-BB3F-9249F3923221}" type="parTrans" cxnId="{56595467-6309-4C51-90CA-DAD23D6D49C5}">
      <dgm:prSet/>
      <dgm:spPr/>
      <dgm:t>
        <a:bodyPr/>
        <a:lstStyle/>
        <a:p>
          <a:pPr algn="ctr"/>
          <a:endParaRPr lang="en-US"/>
        </a:p>
      </dgm:t>
    </dgm:pt>
    <dgm:pt modelId="{FDFB98F4-C8B9-49C2-9EA1-C7E15DED1D29}" type="sibTrans" cxnId="{56595467-6309-4C51-90CA-DAD23D6D49C5}">
      <dgm:prSet/>
      <dgm:spPr/>
      <dgm:t>
        <a:bodyPr/>
        <a:lstStyle/>
        <a:p>
          <a:pPr algn="ctr"/>
          <a:endParaRPr lang="en-US"/>
        </a:p>
      </dgm:t>
    </dgm:pt>
    <dgm:pt modelId="{7FD21D76-D6A4-4E03-ADCD-1818241B5F50}">
      <dgm:prSet phldrT="[Text]" custT="1"/>
      <dgm:spPr>
        <a:noFill/>
        <a:ln>
          <a:noFill/>
        </a:ln>
      </dgm:spPr>
      <dgm:t>
        <a:bodyPr/>
        <a:lstStyle/>
        <a:p>
          <a:pPr algn="ctr"/>
          <a:endParaRPr lang="en-US" sz="600"/>
        </a:p>
      </dgm:t>
    </dgm:pt>
    <dgm:pt modelId="{43D54256-D1BE-4FB7-BE7E-40ECDFBCEF3B}" type="parTrans" cxnId="{3B2D5F83-3946-4882-AAC6-D19A84728DA1}">
      <dgm:prSet/>
      <dgm:spPr>
        <a:ln>
          <a:noFill/>
        </a:ln>
      </dgm:spPr>
      <dgm:t>
        <a:bodyPr/>
        <a:lstStyle/>
        <a:p>
          <a:pPr algn="ctr"/>
          <a:endParaRPr lang="en-US"/>
        </a:p>
      </dgm:t>
    </dgm:pt>
    <dgm:pt modelId="{451F0DF7-0E87-40C2-92B1-F1B7B5D09547}" type="sibTrans" cxnId="{3B2D5F83-3946-4882-AAC6-D19A84728DA1}">
      <dgm:prSet/>
      <dgm:spPr/>
      <dgm:t>
        <a:bodyPr/>
        <a:lstStyle/>
        <a:p>
          <a:pPr algn="ctr"/>
          <a:endParaRPr lang="en-US"/>
        </a:p>
      </dgm:t>
    </dgm:pt>
    <dgm:pt modelId="{FE1B9E12-F68C-405E-A0B2-2060BC20A4F7}">
      <dgm:prSet phldrT="[Text]" custT="1"/>
      <dgm:spPr>
        <a:noFill/>
        <a:ln>
          <a:noFill/>
        </a:ln>
      </dgm:spPr>
      <dgm:t>
        <a:bodyPr/>
        <a:lstStyle/>
        <a:p>
          <a:pPr algn="ctr"/>
          <a:endParaRPr lang="en-US" sz="600"/>
        </a:p>
      </dgm:t>
    </dgm:pt>
    <dgm:pt modelId="{33399FE7-71A2-4AD3-8A15-BD52C5A46CF8}" type="parTrans" cxnId="{C1436B25-557D-4C7F-93B1-F146709B922A}">
      <dgm:prSet/>
      <dgm:spPr>
        <a:ln>
          <a:noFill/>
        </a:ln>
      </dgm:spPr>
      <dgm:t>
        <a:bodyPr/>
        <a:lstStyle/>
        <a:p>
          <a:pPr algn="ctr"/>
          <a:endParaRPr lang="en-US"/>
        </a:p>
      </dgm:t>
    </dgm:pt>
    <dgm:pt modelId="{21EB18BF-5D22-4D5E-98E7-DDF8C2A6540B}" type="sibTrans" cxnId="{C1436B25-557D-4C7F-93B1-F146709B922A}">
      <dgm:prSet/>
      <dgm:spPr/>
      <dgm:t>
        <a:bodyPr/>
        <a:lstStyle/>
        <a:p>
          <a:pPr algn="ctr"/>
          <a:endParaRPr lang="en-US"/>
        </a:p>
      </dgm:t>
    </dgm:pt>
    <dgm:pt modelId="{48654EA3-217C-4F41-B650-29083D0F69C4}">
      <dgm:prSet phldrT="[Text]" custT="1"/>
      <dgm:spPr>
        <a:noFill/>
        <a:ln>
          <a:noFill/>
        </a:ln>
      </dgm:spPr>
      <dgm:t>
        <a:bodyPr/>
        <a:lstStyle/>
        <a:p>
          <a:pPr algn="ctr"/>
          <a:endParaRPr lang="en-US" sz="600"/>
        </a:p>
      </dgm:t>
    </dgm:pt>
    <dgm:pt modelId="{52F0881B-D129-4620-A3EC-64C92EFB4A20}" type="parTrans" cxnId="{0C722635-D50F-4096-856E-0FE84F636F4A}">
      <dgm:prSet/>
      <dgm:spPr>
        <a:ln>
          <a:noFill/>
        </a:ln>
      </dgm:spPr>
      <dgm:t>
        <a:bodyPr/>
        <a:lstStyle/>
        <a:p>
          <a:pPr algn="ctr"/>
          <a:endParaRPr lang="en-US"/>
        </a:p>
      </dgm:t>
    </dgm:pt>
    <dgm:pt modelId="{B733E83A-F9DB-4837-A5A0-3AAA1B33EE46}" type="sibTrans" cxnId="{0C722635-D50F-4096-856E-0FE84F636F4A}">
      <dgm:prSet/>
      <dgm:spPr/>
      <dgm:t>
        <a:bodyPr/>
        <a:lstStyle/>
        <a:p>
          <a:pPr algn="ctr"/>
          <a:endParaRPr lang="en-US"/>
        </a:p>
      </dgm:t>
    </dgm:pt>
    <dgm:pt modelId="{D7C3D7A7-9B38-4380-A3D4-73631C425EFB}">
      <dgm:prSet phldrT="[Text]" custT="1"/>
      <dgm:spPr>
        <a:noFill/>
        <a:ln>
          <a:noFill/>
        </a:ln>
      </dgm:spPr>
      <dgm:t>
        <a:bodyPr/>
        <a:lstStyle/>
        <a:p>
          <a:pPr algn="ctr"/>
          <a:endParaRPr lang="en-US" sz="600"/>
        </a:p>
      </dgm:t>
    </dgm:pt>
    <dgm:pt modelId="{D5983A88-3785-41A0-B5C1-3546DB7D6B04}" type="sibTrans" cxnId="{19331F8B-964E-440D-879E-4437EA28AE58}">
      <dgm:prSet/>
      <dgm:spPr/>
      <dgm:t>
        <a:bodyPr/>
        <a:lstStyle/>
        <a:p>
          <a:pPr algn="ctr"/>
          <a:endParaRPr lang="en-US"/>
        </a:p>
      </dgm:t>
    </dgm:pt>
    <dgm:pt modelId="{AF5960FB-C82B-43A2-BC23-4600CAE09CEE}" type="parTrans" cxnId="{19331F8B-964E-440D-879E-4437EA28AE58}">
      <dgm:prSet/>
      <dgm:spPr>
        <a:ln>
          <a:noFill/>
        </a:ln>
      </dgm:spPr>
      <dgm:t>
        <a:bodyPr/>
        <a:lstStyle/>
        <a:p>
          <a:pPr algn="ctr"/>
          <a:endParaRPr lang="en-US"/>
        </a:p>
      </dgm:t>
    </dgm:pt>
    <dgm:pt modelId="{5D07AD18-62E2-4D59-B212-693A6CE49B49}" type="pres">
      <dgm:prSet presAssocID="{BBF1F7C9-5F8D-4EE5-8EEF-D607C5D77589}" presName="cycle" presStyleCnt="0">
        <dgm:presLayoutVars>
          <dgm:chMax val="1"/>
          <dgm:dir/>
          <dgm:animLvl val="ctr"/>
          <dgm:resizeHandles val="exact"/>
        </dgm:presLayoutVars>
      </dgm:prSet>
      <dgm:spPr/>
      <dgm:t>
        <a:bodyPr/>
        <a:lstStyle/>
        <a:p>
          <a:endParaRPr lang="en-US"/>
        </a:p>
      </dgm:t>
    </dgm:pt>
    <dgm:pt modelId="{8239E413-FB96-4183-8741-1F797DAFF519}" type="pres">
      <dgm:prSet presAssocID="{8ED51632-015C-4396-9C5E-18F412AC8B99}" presName="centerShape" presStyleLbl="node0" presStyleIdx="0" presStyleCnt="1" custScaleX="119376" custScaleY="114414"/>
      <dgm:spPr/>
      <dgm:t>
        <a:bodyPr/>
        <a:lstStyle/>
        <a:p>
          <a:endParaRPr lang="en-US"/>
        </a:p>
      </dgm:t>
    </dgm:pt>
    <dgm:pt modelId="{74135947-D99F-4050-8067-18A267379E2F}" type="pres">
      <dgm:prSet presAssocID="{AF5960FB-C82B-43A2-BC23-4600CAE09CEE}" presName="Name9" presStyleLbl="parChTrans1D2" presStyleIdx="0" presStyleCnt="5"/>
      <dgm:spPr/>
      <dgm:t>
        <a:bodyPr/>
        <a:lstStyle/>
        <a:p>
          <a:endParaRPr lang="en-US"/>
        </a:p>
      </dgm:t>
    </dgm:pt>
    <dgm:pt modelId="{ECB56AE7-6564-4CB6-96E3-66C2850E8DF2}" type="pres">
      <dgm:prSet presAssocID="{AF5960FB-C82B-43A2-BC23-4600CAE09CEE}" presName="connTx" presStyleLbl="parChTrans1D2" presStyleIdx="0" presStyleCnt="5"/>
      <dgm:spPr/>
      <dgm:t>
        <a:bodyPr/>
        <a:lstStyle/>
        <a:p>
          <a:endParaRPr lang="en-US"/>
        </a:p>
      </dgm:t>
    </dgm:pt>
    <dgm:pt modelId="{BC9383B6-DA3C-49CB-986B-E0F501CDF7AB}" type="pres">
      <dgm:prSet presAssocID="{D7C3D7A7-9B38-4380-A3D4-73631C425EFB}" presName="node" presStyleLbl="node1" presStyleIdx="0" presStyleCnt="5" custScaleX="106941" custScaleY="108036">
        <dgm:presLayoutVars>
          <dgm:bulletEnabled val="1"/>
        </dgm:presLayoutVars>
      </dgm:prSet>
      <dgm:spPr/>
      <dgm:t>
        <a:bodyPr/>
        <a:lstStyle/>
        <a:p>
          <a:endParaRPr lang="en-US"/>
        </a:p>
      </dgm:t>
    </dgm:pt>
    <dgm:pt modelId="{6ECB3D76-7986-4A31-8DC5-78594D2018DC}" type="pres">
      <dgm:prSet presAssocID="{209046DF-26F4-46D4-BB3F-9249F3923221}" presName="Name9" presStyleLbl="parChTrans1D2" presStyleIdx="1" presStyleCnt="5"/>
      <dgm:spPr/>
      <dgm:t>
        <a:bodyPr/>
        <a:lstStyle/>
        <a:p>
          <a:endParaRPr lang="en-US"/>
        </a:p>
      </dgm:t>
    </dgm:pt>
    <dgm:pt modelId="{6F7D851D-D5CF-4CA7-A667-B9787B1EFF85}" type="pres">
      <dgm:prSet presAssocID="{209046DF-26F4-46D4-BB3F-9249F3923221}" presName="connTx" presStyleLbl="parChTrans1D2" presStyleIdx="1" presStyleCnt="5"/>
      <dgm:spPr/>
      <dgm:t>
        <a:bodyPr/>
        <a:lstStyle/>
        <a:p>
          <a:endParaRPr lang="en-US"/>
        </a:p>
      </dgm:t>
    </dgm:pt>
    <dgm:pt modelId="{E175E627-A56E-49FE-8508-287847E44D06}" type="pres">
      <dgm:prSet presAssocID="{9EB86907-CDB8-4C9F-AA14-1508D7676EAB}" presName="node" presStyleLbl="node1" presStyleIdx="1" presStyleCnt="5" custScaleX="106941" custScaleY="108036">
        <dgm:presLayoutVars>
          <dgm:bulletEnabled val="1"/>
        </dgm:presLayoutVars>
      </dgm:prSet>
      <dgm:spPr/>
      <dgm:t>
        <a:bodyPr/>
        <a:lstStyle/>
        <a:p>
          <a:endParaRPr lang="en-US"/>
        </a:p>
      </dgm:t>
    </dgm:pt>
    <dgm:pt modelId="{EFB9CC53-5EE2-4A9D-9B45-586DDCA15298}" type="pres">
      <dgm:prSet presAssocID="{43D54256-D1BE-4FB7-BE7E-40ECDFBCEF3B}" presName="Name9" presStyleLbl="parChTrans1D2" presStyleIdx="2" presStyleCnt="5"/>
      <dgm:spPr/>
      <dgm:t>
        <a:bodyPr/>
        <a:lstStyle/>
        <a:p>
          <a:endParaRPr lang="en-US"/>
        </a:p>
      </dgm:t>
    </dgm:pt>
    <dgm:pt modelId="{FDC253A6-83D1-40FE-94B7-EEB08BA341C3}" type="pres">
      <dgm:prSet presAssocID="{43D54256-D1BE-4FB7-BE7E-40ECDFBCEF3B}" presName="connTx" presStyleLbl="parChTrans1D2" presStyleIdx="2" presStyleCnt="5"/>
      <dgm:spPr/>
      <dgm:t>
        <a:bodyPr/>
        <a:lstStyle/>
        <a:p>
          <a:endParaRPr lang="en-US"/>
        </a:p>
      </dgm:t>
    </dgm:pt>
    <dgm:pt modelId="{0D02DD6A-8280-4E7C-909B-EF390E8576E5}" type="pres">
      <dgm:prSet presAssocID="{7FD21D76-D6A4-4E03-ADCD-1818241B5F50}" presName="node" presStyleLbl="node1" presStyleIdx="2" presStyleCnt="5" custScaleX="106941" custScaleY="108036">
        <dgm:presLayoutVars>
          <dgm:bulletEnabled val="1"/>
        </dgm:presLayoutVars>
      </dgm:prSet>
      <dgm:spPr/>
      <dgm:t>
        <a:bodyPr/>
        <a:lstStyle/>
        <a:p>
          <a:endParaRPr lang="en-US"/>
        </a:p>
      </dgm:t>
    </dgm:pt>
    <dgm:pt modelId="{F30B244A-83FB-45A9-BC1D-5EFE33B1500B}" type="pres">
      <dgm:prSet presAssocID="{33399FE7-71A2-4AD3-8A15-BD52C5A46CF8}" presName="Name9" presStyleLbl="parChTrans1D2" presStyleIdx="3" presStyleCnt="5"/>
      <dgm:spPr/>
      <dgm:t>
        <a:bodyPr/>
        <a:lstStyle/>
        <a:p>
          <a:endParaRPr lang="en-US"/>
        </a:p>
      </dgm:t>
    </dgm:pt>
    <dgm:pt modelId="{5B088043-F0D3-4C2E-9091-DF75C485FF8A}" type="pres">
      <dgm:prSet presAssocID="{33399FE7-71A2-4AD3-8A15-BD52C5A46CF8}" presName="connTx" presStyleLbl="parChTrans1D2" presStyleIdx="3" presStyleCnt="5"/>
      <dgm:spPr/>
      <dgm:t>
        <a:bodyPr/>
        <a:lstStyle/>
        <a:p>
          <a:endParaRPr lang="en-US"/>
        </a:p>
      </dgm:t>
    </dgm:pt>
    <dgm:pt modelId="{1C637BB4-E171-45CB-9DF6-0441ABAB9F2E}" type="pres">
      <dgm:prSet presAssocID="{FE1B9E12-F68C-405E-A0B2-2060BC20A4F7}" presName="node" presStyleLbl="node1" presStyleIdx="3" presStyleCnt="5" custScaleX="106941" custScaleY="108036">
        <dgm:presLayoutVars>
          <dgm:bulletEnabled val="1"/>
        </dgm:presLayoutVars>
      </dgm:prSet>
      <dgm:spPr/>
      <dgm:t>
        <a:bodyPr/>
        <a:lstStyle/>
        <a:p>
          <a:endParaRPr lang="en-US"/>
        </a:p>
      </dgm:t>
    </dgm:pt>
    <dgm:pt modelId="{CA827E3D-3AF3-4D5E-B054-4FB1D10CF12D}" type="pres">
      <dgm:prSet presAssocID="{52F0881B-D129-4620-A3EC-64C92EFB4A20}" presName="Name9" presStyleLbl="parChTrans1D2" presStyleIdx="4" presStyleCnt="5"/>
      <dgm:spPr/>
      <dgm:t>
        <a:bodyPr/>
        <a:lstStyle/>
        <a:p>
          <a:endParaRPr lang="en-US"/>
        </a:p>
      </dgm:t>
    </dgm:pt>
    <dgm:pt modelId="{888A9779-F249-4800-A978-6DE9CBE0A309}" type="pres">
      <dgm:prSet presAssocID="{52F0881B-D129-4620-A3EC-64C92EFB4A20}" presName="connTx" presStyleLbl="parChTrans1D2" presStyleIdx="4" presStyleCnt="5"/>
      <dgm:spPr/>
      <dgm:t>
        <a:bodyPr/>
        <a:lstStyle/>
        <a:p>
          <a:endParaRPr lang="en-US"/>
        </a:p>
      </dgm:t>
    </dgm:pt>
    <dgm:pt modelId="{91B4DE67-9157-4E13-AC75-6E9A6213ADF4}" type="pres">
      <dgm:prSet presAssocID="{48654EA3-217C-4F41-B650-29083D0F69C4}" presName="node" presStyleLbl="node1" presStyleIdx="4" presStyleCnt="5" custScaleX="106941" custScaleY="108036">
        <dgm:presLayoutVars>
          <dgm:bulletEnabled val="1"/>
        </dgm:presLayoutVars>
      </dgm:prSet>
      <dgm:spPr/>
      <dgm:t>
        <a:bodyPr/>
        <a:lstStyle/>
        <a:p>
          <a:endParaRPr lang="en-US"/>
        </a:p>
      </dgm:t>
    </dgm:pt>
  </dgm:ptLst>
  <dgm:cxnLst>
    <dgm:cxn modelId="{9EF44CB7-8D76-4F57-B3CB-C6D35F2A4443}" type="presOf" srcId="{209046DF-26F4-46D4-BB3F-9249F3923221}" destId="{6ECB3D76-7986-4A31-8DC5-78594D2018DC}" srcOrd="0" destOrd="0" presId="urn:microsoft.com/office/officeart/2005/8/layout/radial1"/>
    <dgm:cxn modelId="{4E3AFBFD-6AF7-4C43-9763-E6916DB1821E}" type="presOf" srcId="{AF5960FB-C82B-43A2-BC23-4600CAE09CEE}" destId="{74135947-D99F-4050-8067-18A267379E2F}" srcOrd="0" destOrd="0" presId="urn:microsoft.com/office/officeart/2005/8/layout/radial1"/>
    <dgm:cxn modelId="{C1436B25-557D-4C7F-93B1-F146709B922A}" srcId="{8ED51632-015C-4396-9C5E-18F412AC8B99}" destId="{FE1B9E12-F68C-405E-A0B2-2060BC20A4F7}" srcOrd="3" destOrd="0" parTransId="{33399FE7-71A2-4AD3-8A15-BD52C5A46CF8}" sibTransId="{21EB18BF-5D22-4D5E-98E7-DDF8C2A6540B}"/>
    <dgm:cxn modelId="{DC0688D3-746E-4BE4-B6F6-E60F8997B3E7}" type="presOf" srcId="{33399FE7-71A2-4AD3-8A15-BD52C5A46CF8}" destId="{F30B244A-83FB-45A9-BC1D-5EFE33B1500B}" srcOrd="0" destOrd="0" presId="urn:microsoft.com/office/officeart/2005/8/layout/radial1"/>
    <dgm:cxn modelId="{306301D8-B49A-47BD-9090-DF5EC6A32CF1}" type="presOf" srcId="{8ED51632-015C-4396-9C5E-18F412AC8B99}" destId="{8239E413-FB96-4183-8741-1F797DAFF519}" srcOrd="0" destOrd="0" presId="urn:microsoft.com/office/officeart/2005/8/layout/radial1"/>
    <dgm:cxn modelId="{2B5D529A-D0F0-4859-93B4-F03142E2F39A}" type="presOf" srcId="{FE1B9E12-F68C-405E-A0B2-2060BC20A4F7}" destId="{1C637BB4-E171-45CB-9DF6-0441ABAB9F2E}" srcOrd="0" destOrd="0" presId="urn:microsoft.com/office/officeart/2005/8/layout/radial1"/>
    <dgm:cxn modelId="{8CB1DDB8-7FA3-47D5-A482-22833AE2BC99}" type="presOf" srcId="{43D54256-D1BE-4FB7-BE7E-40ECDFBCEF3B}" destId="{EFB9CC53-5EE2-4A9D-9B45-586DDCA15298}" srcOrd="0" destOrd="0" presId="urn:microsoft.com/office/officeart/2005/8/layout/radial1"/>
    <dgm:cxn modelId="{E5D7BE53-E19F-4B56-BE33-D4297D205490}" type="presOf" srcId="{209046DF-26F4-46D4-BB3F-9249F3923221}" destId="{6F7D851D-D5CF-4CA7-A667-B9787B1EFF85}" srcOrd="1" destOrd="0" presId="urn:microsoft.com/office/officeart/2005/8/layout/radial1"/>
    <dgm:cxn modelId="{F0E19F1A-1961-459F-8030-93406367EB5A}" type="presOf" srcId="{9EB86907-CDB8-4C9F-AA14-1508D7676EAB}" destId="{E175E627-A56E-49FE-8508-287847E44D06}" srcOrd="0" destOrd="0" presId="urn:microsoft.com/office/officeart/2005/8/layout/radial1"/>
    <dgm:cxn modelId="{D0590433-B966-44FA-84EF-EAA7E667EF17}" type="presOf" srcId="{52F0881B-D129-4620-A3EC-64C92EFB4A20}" destId="{888A9779-F249-4800-A978-6DE9CBE0A309}" srcOrd="1" destOrd="0" presId="urn:microsoft.com/office/officeart/2005/8/layout/radial1"/>
    <dgm:cxn modelId="{96CD24B2-D435-47C7-8F30-8F3365314FB8}" type="presOf" srcId="{BBF1F7C9-5F8D-4EE5-8EEF-D607C5D77589}" destId="{5D07AD18-62E2-4D59-B212-693A6CE49B49}" srcOrd="0" destOrd="0" presId="urn:microsoft.com/office/officeart/2005/8/layout/radial1"/>
    <dgm:cxn modelId="{3F2696A5-73F0-4AE4-93C2-35C80DAE7238}" srcId="{BBF1F7C9-5F8D-4EE5-8EEF-D607C5D77589}" destId="{8ED51632-015C-4396-9C5E-18F412AC8B99}" srcOrd="0" destOrd="0" parTransId="{9E9FBCBB-C612-415A-864C-54BAE163C9C7}" sibTransId="{6742F566-AE4A-4C02-9C52-F6844D85E270}"/>
    <dgm:cxn modelId="{A8FDFA2D-41FA-45D7-A23A-EB59814BEEF2}" type="presOf" srcId="{AF5960FB-C82B-43A2-BC23-4600CAE09CEE}" destId="{ECB56AE7-6564-4CB6-96E3-66C2850E8DF2}" srcOrd="1" destOrd="0" presId="urn:microsoft.com/office/officeart/2005/8/layout/radial1"/>
    <dgm:cxn modelId="{82B01FAA-02D8-4581-AE47-9F5337F61024}" type="presOf" srcId="{D7C3D7A7-9B38-4380-A3D4-73631C425EFB}" destId="{BC9383B6-DA3C-49CB-986B-E0F501CDF7AB}" srcOrd="0" destOrd="0" presId="urn:microsoft.com/office/officeart/2005/8/layout/radial1"/>
    <dgm:cxn modelId="{56595467-6309-4C51-90CA-DAD23D6D49C5}" srcId="{8ED51632-015C-4396-9C5E-18F412AC8B99}" destId="{9EB86907-CDB8-4C9F-AA14-1508D7676EAB}" srcOrd="1" destOrd="0" parTransId="{209046DF-26F4-46D4-BB3F-9249F3923221}" sibTransId="{FDFB98F4-C8B9-49C2-9EA1-C7E15DED1D29}"/>
    <dgm:cxn modelId="{107E01DC-AFAB-4C59-BB69-D347D04FA562}" type="presOf" srcId="{33399FE7-71A2-4AD3-8A15-BD52C5A46CF8}" destId="{5B088043-F0D3-4C2E-9091-DF75C485FF8A}" srcOrd="1" destOrd="0" presId="urn:microsoft.com/office/officeart/2005/8/layout/radial1"/>
    <dgm:cxn modelId="{53B9B56A-874B-40C0-8D5A-0383C203A41D}" type="presOf" srcId="{52F0881B-D129-4620-A3EC-64C92EFB4A20}" destId="{CA827E3D-3AF3-4D5E-B054-4FB1D10CF12D}" srcOrd="0" destOrd="0" presId="urn:microsoft.com/office/officeart/2005/8/layout/radial1"/>
    <dgm:cxn modelId="{3B2D5F83-3946-4882-AAC6-D19A84728DA1}" srcId="{8ED51632-015C-4396-9C5E-18F412AC8B99}" destId="{7FD21D76-D6A4-4E03-ADCD-1818241B5F50}" srcOrd="2" destOrd="0" parTransId="{43D54256-D1BE-4FB7-BE7E-40ECDFBCEF3B}" sibTransId="{451F0DF7-0E87-40C2-92B1-F1B7B5D09547}"/>
    <dgm:cxn modelId="{0C722635-D50F-4096-856E-0FE84F636F4A}" srcId="{8ED51632-015C-4396-9C5E-18F412AC8B99}" destId="{48654EA3-217C-4F41-B650-29083D0F69C4}" srcOrd="4" destOrd="0" parTransId="{52F0881B-D129-4620-A3EC-64C92EFB4A20}" sibTransId="{B733E83A-F9DB-4837-A5A0-3AAA1B33EE46}"/>
    <dgm:cxn modelId="{19331F8B-964E-440D-879E-4437EA28AE58}" srcId="{8ED51632-015C-4396-9C5E-18F412AC8B99}" destId="{D7C3D7A7-9B38-4380-A3D4-73631C425EFB}" srcOrd="0" destOrd="0" parTransId="{AF5960FB-C82B-43A2-BC23-4600CAE09CEE}" sibTransId="{D5983A88-3785-41A0-B5C1-3546DB7D6B04}"/>
    <dgm:cxn modelId="{09CB941A-FB79-4826-B0B5-7F901493D230}" type="presOf" srcId="{43D54256-D1BE-4FB7-BE7E-40ECDFBCEF3B}" destId="{FDC253A6-83D1-40FE-94B7-EEB08BA341C3}" srcOrd="1" destOrd="0" presId="urn:microsoft.com/office/officeart/2005/8/layout/radial1"/>
    <dgm:cxn modelId="{BC9ED760-A6BB-49DF-AFD3-9DD143EC8B55}" type="presOf" srcId="{48654EA3-217C-4F41-B650-29083D0F69C4}" destId="{91B4DE67-9157-4E13-AC75-6E9A6213ADF4}" srcOrd="0" destOrd="0" presId="urn:microsoft.com/office/officeart/2005/8/layout/radial1"/>
    <dgm:cxn modelId="{ACCD9524-6C83-4D93-BA41-B7FB9F22B13A}" type="presOf" srcId="{7FD21D76-D6A4-4E03-ADCD-1818241B5F50}" destId="{0D02DD6A-8280-4E7C-909B-EF390E8576E5}" srcOrd="0" destOrd="0" presId="urn:microsoft.com/office/officeart/2005/8/layout/radial1"/>
    <dgm:cxn modelId="{F2561DC9-F826-49F9-B306-AE5547D6087C}" type="presParOf" srcId="{5D07AD18-62E2-4D59-B212-693A6CE49B49}" destId="{8239E413-FB96-4183-8741-1F797DAFF519}" srcOrd="0" destOrd="0" presId="urn:microsoft.com/office/officeart/2005/8/layout/radial1"/>
    <dgm:cxn modelId="{83149EE4-CBCD-48DC-8FDE-2E9CAA10A535}" type="presParOf" srcId="{5D07AD18-62E2-4D59-B212-693A6CE49B49}" destId="{74135947-D99F-4050-8067-18A267379E2F}" srcOrd="1" destOrd="0" presId="urn:microsoft.com/office/officeart/2005/8/layout/radial1"/>
    <dgm:cxn modelId="{BAC65BB2-09E0-4E1D-80B5-777B0B999CC5}" type="presParOf" srcId="{74135947-D99F-4050-8067-18A267379E2F}" destId="{ECB56AE7-6564-4CB6-96E3-66C2850E8DF2}" srcOrd="0" destOrd="0" presId="urn:microsoft.com/office/officeart/2005/8/layout/radial1"/>
    <dgm:cxn modelId="{8F5CFE23-6566-4BC2-A5F8-B244D553273E}" type="presParOf" srcId="{5D07AD18-62E2-4D59-B212-693A6CE49B49}" destId="{BC9383B6-DA3C-49CB-986B-E0F501CDF7AB}" srcOrd="2" destOrd="0" presId="urn:microsoft.com/office/officeart/2005/8/layout/radial1"/>
    <dgm:cxn modelId="{A9EBA055-2762-4DAE-91D6-3456311BD0DF}" type="presParOf" srcId="{5D07AD18-62E2-4D59-B212-693A6CE49B49}" destId="{6ECB3D76-7986-4A31-8DC5-78594D2018DC}" srcOrd="3" destOrd="0" presId="urn:microsoft.com/office/officeart/2005/8/layout/radial1"/>
    <dgm:cxn modelId="{E7EE54B4-F110-4C1B-9355-A7F08B78C5D0}" type="presParOf" srcId="{6ECB3D76-7986-4A31-8DC5-78594D2018DC}" destId="{6F7D851D-D5CF-4CA7-A667-B9787B1EFF85}" srcOrd="0" destOrd="0" presId="urn:microsoft.com/office/officeart/2005/8/layout/radial1"/>
    <dgm:cxn modelId="{91BFDCD0-3C09-4D7D-91CE-433205573D21}" type="presParOf" srcId="{5D07AD18-62E2-4D59-B212-693A6CE49B49}" destId="{E175E627-A56E-49FE-8508-287847E44D06}" srcOrd="4" destOrd="0" presId="urn:microsoft.com/office/officeart/2005/8/layout/radial1"/>
    <dgm:cxn modelId="{98B25B69-161E-4BC7-B891-76D87B1339FA}" type="presParOf" srcId="{5D07AD18-62E2-4D59-B212-693A6CE49B49}" destId="{EFB9CC53-5EE2-4A9D-9B45-586DDCA15298}" srcOrd="5" destOrd="0" presId="urn:microsoft.com/office/officeart/2005/8/layout/radial1"/>
    <dgm:cxn modelId="{C79D79EF-3386-411C-865D-AF2666347B61}" type="presParOf" srcId="{EFB9CC53-5EE2-4A9D-9B45-586DDCA15298}" destId="{FDC253A6-83D1-40FE-94B7-EEB08BA341C3}" srcOrd="0" destOrd="0" presId="urn:microsoft.com/office/officeart/2005/8/layout/radial1"/>
    <dgm:cxn modelId="{CACCC40F-A56A-4AEE-89A4-EF43B4609F78}" type="presParOf" srcId="{5D07AD18-62E2-4D59-B212-693A6CE49B49}" destId="{0D02DD6A-8280-4E7C-909B-EF390E8576E5}" srcOrd="6" destOrd="0" presId="urn:microsoft.com/office/officeart/2005/8/layout/radial1"/>
    <dgm:cxn modelId="{047E2336-11B9-40BE-B1EC-48AD191F3EEA}" type="presParOf" srcId="{5D07AD18-62E2-4D59-B212-693A6CE49B49}" destId="{F30B244A-83FB-45A9-BC1D-5EFE33B1500B}" srcOrd="7" destOrd="0" presId="urn:microsoft.com/office/officeart/2005/8/layout/radial1"/>
    <dgm:cxn modelId="{4799DB21-0358-4BE6-A298-8ADDCA383856}" type="presParOf" srcId="{F30B244A-83FB-45A9-BC1D-5EFE33B1500B}" destId="{5B088043-F0D3-4C2E-9091-DF75C485FF8A}" srcOrd="0" destOrd="0" presId="urn:microsoft.com/office/officeart/2005/8/layout/radial1"/>
    <dgm:cxn modelId="{A4893FC5-87BA-4363-BE08-4D22E4261AA0}" type="presParOf" srcId="{5D07AD18-62E2-4D59-B212-693A6CE49B49}" destId="{1C637BB4-E171-45CB-9DF6-0441ABAB9F2E}" srcOrd="8" destOrd="0" presId="urn:microsoft.com/office/officeart/2005/8/layout/radial1"/>
    <dgm:cxn modelId="{3797EFA4-088E-4EED-AFA4-072E436EB808}" type="presParOf" srcId="{5D07AD18-62E2-4D59-B212-693A6CE49B49}" destId="{CA827E3D-3AF3-4D5E-B054-4FB1D10CF12D}" srcOrd="9" destOrd="0" presId="urn:microsoft.com/office/officeart/2005/8/layout/radial1"/>
    <dgm:cxn modelId="{05D2D271-1DCA-4B9C-9DBC-D90CA6023EC5}" type="presParOf" srcId="{CA827E3D-3AF3-4D5E-B054-4FB1D10CF12D}" destId="{888A9779-F249-4800-A978-6DE9CBE0A309}" srcOrd="0" destOrd="0" presId="urn:microsoft.com/office/officeart/2005/8/layout/radial1"/>
    <dgm:cxn modelId="{48988EED-68DA-4E8D-B12A-4E8F6EEC38F9}" type="presParOf" srcId="{5D07AD18-62E2-4D59-B212-693A6CE49B49}" destId="{91B4DE67-9157-4E13-AC75-6E9A6213ADF4}" srcOrd="10" destOrd="0" presId="urn:microsoft.com/office/officeart/2005/8/layout/radial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39E413-FB96-4183-8741-1F797DAFF519}">
      <dsp:nvSpPr>
        <dsp:cNvPr id="0" name=""/>
        <dsp:cNvSpPr/>
      </dsp:nvSpPr>
      <dsp:spPr>
        <a:xfrm>
          <a:off x="819148" y="654777"/>
          <a:ext cx="628653" cy="602522"/>
        </a:xfrm>
        <a:prstGeom prst="ellipse">
          <a:avLst/>
        </a:prstGeom>
        <a:solidFill>
          <a:schemeClr val="accen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National interest test</a:t>
          </a:r>
        </a:p>
      </dsp:txBody>
      <dsp:txXfrm>
        <a:off x="911212" y="743014"/>
        <a:ext cx="444525" cy="426048"/>
      </dsp:txXfrm>
    </dsp:sp>
    <dsp:sp modelId="{74135947-D99F-4050-8067-18A267379E2F}">
      <dsp:nvSpPr>
        <dsp:cNvPr id="0" name=""/>
        <dsp:cNvSpPr/>
      </dsp:nvSpPr>
      <dsp:spPr>
        <a:xfrm rot="16200000">
          <a:off x="1083633" y="584028"/>
          <a:ext cx="99682" cy="41814"/>
        </a:xfrm>
        <a:custGeom>
          <a:avLst/>
          <a:gdLst/>
          <a:ahLst/>
          <a:cxnLst/>
          <a:rect l="0" t="0" r="0" b="0"/>
          <a:pathLst>
            <a:path>
              <a:moveTo>
                <a:pt x="0" y="20907"/>
              </a:moveTo>
              <a:lnTo>
                <a:pt x="99682" y="209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130982" y="602443"/>
        <a:ext cx="4984" cy="4984"/>
      </dsp:txXfrm>
    </dsp:sp>
    <dsp:sp modelId="{BC9383B6-DA3C-49CB-986B-E0F501CDF7AB}">
      <dsp:nvSpPr>
        <dsp:cNvPr id="0" name=""/>
        <dsp:cNvSpPr/>
      </dsp:nvSpPr>
      <dsp:spPr>
        <a:xfrm>
          <a:off x="851890" y="-13840"/>
          <a:ext cx="563168" cy="568935"/>
        </a:xfrm>
        <a:prstGeom prst="ellipse">
          <a:avLst/>
        </a:prstGeom>
        <a:solidFill>
          <a:schemeClr val="accent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Impact on the economy and community</a:t>
          </a:r>
        </a:p>
      </dsp:txBody>
      <dsp:txXfrm>
        <a:off x="934364" y="69479"/>
        <a:ext cx="398220" cy="402297"/>
      </dsp:txXfrm>
    </dsp:sp>
    <dsp:sp modelId="{6ECB3D76-7986-4A31-8DC5-78594D2018DC}">
      <dsp:nvSpPr>
        <dsp:cNvPr id="0" name=""/>
        <dsp:cNvSpPr/>
      </dsp:nvSpPr>
      <dsp:spPr>
        <a:xfrm rot="20520000">
          <a:off x="1428944" y="824416"/>
          <a:ext cx="90550" cy="41814"/>
        </a:xfrm>
        <a:custGeom>
          <a:avLst/>
          <a:gdLst/>
          <a:ahLst/>
          <a:cxnLst/>
          <a:rect l="0" t="0" r="0" b="0"/>
          <a:pathLst>
            <a:path>
              <a:moveTo>
                <a:pt x="0" y="20907"/>
              </a:moveTo>
              <a:lnTo>
                <a:pt x="90550" y="209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71956" y="843059"/>
        <a:ext cx="4527" cy="4527"/>
      </dsp:txXfrm>
    </dsp:sp>
    <dsp:sp modelId="{E175E627-A56E-49FE-8508-287847E44D06}">
      <dsp:nvSpPr>
        <dsp:cNvPr id="0" name=""/>
        <dsp:cNvSpPr/>
      </dsp:nvSpPr>
      <dsp:spPr>
        <a:xfrm>
          <a:off x="1503756" y="459766"/>
          <a:ext cx="563168" cy="568935"/>
        </a:xfrm>
        <a:prstGeom prst="ellipse">
          <a:avLst/>
        </a:prstGeom>
        <a:solidFill>
          <a:schemeClr val="accent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National security</a:t>
          </a:r>
        </a:p>
      </dsp:txBody>
      <dsp:txXfrm>
        <a:off x="1586230" y="543085"/>
        <a:ext cx="398220" cy="402297"/>
      </dsp:txXfrm>
    </dsp:sp>
    <dsp:sp modelId="{EFB9CC53-5EE2-4A9D-9B45-586DDCA15298}">
      <dsp:nvSpPr>
        <dsp:cNvPr id="0" name=""/>
        <dsp:cNvSpPr/>
      </dsp:nvSpPr>
      <dsp:spPr>
        <a:xfrm rot="3240000">
          <a:off x="1293235" y="1221337"/>
          <a:ext cx="96360" cy="41814"/>
        </a:xfrm>
        <a:custGeom>
          <a:avLst/>
          <a:gdLst/>
          <a:ahLst/>
          <a:cxnLst/>
          <a:rect l="0" t="0" r="0" b="0"/>
          <a:pathLst>
            <a:path>
              <a:moveTo>
                <a:pt x="0" y="20907"/>
              </a:moveTo>
              <a:lnTo>
                <a:pt x="96360" y="209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39006" y="1239835"/>
        <a:ext cx="4818" cy="4818"/>
      </dsp:txXfrm>
    </dsp:sp>
    <dsp:sp modelId="{0D02DD6A-8280-4E7C-909B-EF390E8576E5}">
      <dsp:nvSpPr>
        <dsp:cNvPr id="0" name=""/>
        <dsp:cNvSpPr/>
      </dsp:nvSpPr>
      <dsp:spPr>
        <a:xfrm>
          <a:off x="1254765" y="1226080"/>
          <a:ext cx="563168" cy="568935"/>
        </a:xfrm>
        <a:prstGeom prst="ellipse">
          <a:avLst/>
        </a:prstGeom>
        <a:solidFill>
          <a:schemeClr val="accent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Competition</a:t>
          </a:r>
        </a:p>
      </dsp:txBody>
      <dsp:txXfrm>
        <a:off x="1337239" y="1309399"/>
        <a:ext cx="398220" cy="402297"/>
      </dsp:txXfrm>
    </dsp:sp>
    <dsp:sp modelId="{F30B244A-83FB-45A9-BC1D-5EFE33B1500B}">
      <dsp:nvSpPr>
        <dsp:cNvPr id="0" name=""/>
        <dsp:cNvSpPr/>
      </dsp:nvSpPr>
      <dsp:spPr>
        <a:xfrm rot="7560000">
          <a:off x="877353" y="1221337"/>
          <a:ext cx="96360" cy="41814"/>
        </a:xfrm>
        <a:custGeom>
          <a:avLst/>
          <a:gdLst/>
          <a:ahLst/>
          <a:cxnLst/>
          <a:rect l="0" t="0" r="0" b="0"/>
          <a:pathLst>
            <a:path>
              <a:moveTo>
                <a:pt x="0" y="20907"/>
              </a:moveTo>
              <a:lnTo>
                <a:pt x="96360" y="209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923125" y="1239835"/>
        <a:ext cx="4818" cy="4818"/>
      </dsp:txXfrm>
    </dsp:sp>
    <dsp:sp modelId="{1C637BB4-E171-45CB-9DF6-0441ABAB9F2E}">
      <dsp:nvSpPr>
        <dsp:cNvPr id="0" name=""/>
        <dsp:cNvSpPr/>
      </dsp:nvSpPr>
      <dsp:spPr>
        <a:xfrm>
          <a:off x="449015" y="1226080"/>
          <a:ext cx="563168" cy="568935"/>
        </a:xfrm>
        <a:prstGeom prst="ellipse">
          <a:avLst/>
        </a:prstGeom>
        <a:solidFill>
          <a:schemeClr val="accent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Character of the investor</a:t>
          </a:r>
        </a:p>
      </dsp:txBody>
      <dsp:txXfrm>
        <a:off x="531489" y="1309399"/>
        <a:ext cx="398220" cy="402297"/>
      </dsp:txXfrm>
    </dsp:sp>
    <dsp:sp modelId="{CA827E3D-3AF3-4D5E-B054-4FB1D10CF12D}">
      <dsp:nvSpPr>
        <dsp:cNvPr id="0" name=""/>
        <dsp:cNvSpPr/>
      </dsp:nvSpPr>
      <dsp:spPr>
        <a:xfrm rot="11880000">
          <a:off x="747454" y="824416"/>
          <a:ext cx="90550" cy="41814"/>
        </a:xfrm>
        <a:custGeom>
          <a:avLst/>
          <a:gdLst/>
          <a:ahLst/>
          <a:cxnLst/>
          <a:rect l="0" t="0" r="0" b="0"/>
          <a:pathLst>
            <a:path>
              <a:moveTo>
                <a:pt x="0" y="20907"/>
              </a:moveTo>
              <a:lnTo>
                <a:pt x="90550" y="209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790466" y="843059"/>
        <a:ext cx="4527" cy="4527"/>
      </dsp:txXfrm>
    </dsp:sp>
    <dsp:sp modelId="{91B4DE67-9157-4E13-AC75-6E9A6213ADF4}">
      <dsp:nvSpPr>
        <dsp:cNvPr id="0" name=""/>
        <dsp:cNvSpPr/>
      </dsp:nvSpPr>
      <dsp:spPr>
        <a:xfrm>
          <a:off x="200025" y="459766"/>
          <a:ext cx="563168" cy="568935"/>
        </a:xfrm>
        <a:prstGeom prst="ellipse">
          <a:avLst/>
        </a:prstGeom>
        <a:solidFill>
          <a:schemeClr val="accent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Other Govt. policies (such as tax)</a:t>
          </a:r>
        </a:p>
      </dsp:txBody>
      <dsp:txXfrm>
        <a:off x="282499" y="543085"/>
        <a:ext cx="398220" cy="4022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39E413-FB96-4183-8741-1F797DAFF519}">
      <dsp:nvSpPr>
        <dsp:cNvPr id="0" name=""/>
        <dsp:cNvSpPr/>
      </dsp:nvSpPr>
      <dsp:spPr>
        <a:xfrm>
          <a:off x="819148" y="654777"/>
          <a:ext cx="628653" cy="602522"/>
        </a:xfrm>
        <a:prstGeom prst="ellipse">
          <a:avLst/>
        </a:prstGeom>
        <a:solidFill>
          <a:schemeClr val="accen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National security test</a:t>
          </a:r>
        </a:p>
      </dsp:txBody>
      <dsp:txXfrm>
        <a:off x="911212" y="743014"/>
        <a:ext cx="444525" cy="426048"/>
      </dsp:txXfrm>
    </dsp:sp>
    <dsp:sp modelId="{74135947-D99F-4050-8067-18A267379E2F}">
      <dsp:nvSpPr>
        <dsp:cNvPr id="0" name=""/>
        <dsp:cNvSpPr/>
      </dsp:nvSpPr>
      <dsp:spPr>
        <a:xfrm rot="16200000">
          <a:off x="1083633" y="584028"/>
          <a:ext cx="99682" cy="41814"/>
        </a:xfrm>
        <a:custGeom>
          <a:avLst/>
          <a:gdLst/>
          <a:ahLst/>
          <a:cxnLst/>
          <a:rect l="0" t="0" r="0" b="0"/>
          <a:pathLst>
            <a:path>
              <a:moveTo>
                <a:pt x="0" y="20907"/>
              </a:moveTo>
              <a:lnTo>
                <a:pt x="99682" y="20907"/>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130982" y="602443"/>
        <a:ext cx="4984" cy="4984"/>
      </dsp:txXfrm>
    </dsp:sp>
    <dsp:sp modelId="{BC9383B6-DA3C-49CB-986B-E0F501CDF7AB}">
      <dsp:nvSpPr>
        <dsp:cNvPr id="0" name=""/>
        <dsp:cNvSpPr/>
      </dsp:nvSpPr>
      <dsp:spPr>
        <a:xfrm>
          <a:off x="851890" y="-13840"/>
          <a:ext cx="563168" cy="568935"/>
        </a:xfrm>
        <a:prstGeom prst="ellips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en-US" sz="600" kern="1200"/>
        </a:p>
      </dsp:txBody>
      <dsp:txXfrm>
        <a:off x="934364" y="69479"/>
        <a:ext cx="398220" cy="402297"/>
      </dsp:txXfrm>
    </dsp:sp>
    <dsp:sp modelId="{6ECB3D76-7986-4A31-8DC5-78594D2018DC}">
      <dsp:nvSpPr>
        <dsp:cNvPr id="0" name=""/>
        <dsp:cNvSpPr/>
      </dsp:nvSpPr>
      <dsp:spPr>
        <a:xfrm rot="20520000">
          <a:off x="1428944" y="824416"/>
          <a:ext cx="90550" cy="41814"/>
        </a:xfrm>
        <a:custGeom>
          <a:avLst/>
          <a:gdLst/>
          <a:ahLst/>
          <a:cxnLst/>
          <a:rect l="0" t="0" r="0" b="0"/>
          <a:pathLst>
            <a:path>
              <a:moveTo>
                <a:pt x="0" y="20907"/>
              </a:moveTo>
              <a:lnTo>
                <a:pt x="90550" y="209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71956" y="843059"/>
        <a:ext cx="4527" cy="4527"/>
      </dsp:txXfrm>
    </dsp:sp>
    <dsp:sp modelId="{E175E627-A56E-49FE-8508-287847E44D06}">
      <dsp:nvSpPr>
        <dsp:cNvPr id="0" name=""/>
        <dsp:cNvSpPr/>
      </dsp:nvSpPr>
      <dsp:spPr>
        <a:xfrm>
          <a:off x="1503756" y="459766"/>
          <a:ext cx="563168" cy="568935"/>
        </a:xfrm>
        <a:prstGeom prst="ellipse">
          <a:avLst/>
        </a:prstGeom>
        <a:solidFill>
          <a:schemeClr val="accent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National security</a:t>
          </a:r>
        </a:p>
      </dsp:txBody>
      <dsp:txXfrm>
        <a:off x="1586230" y="543085"/>
        <a:ext cx="398220" cy="402297"/>
      </dsp:txXfrm>
    </dsp:sp>
    <dsp:sp modelId="{EFB9CC53-5EE2-4A9D-9B45-586DDCA15298}">
      <dsp:nvSpPr>
        <dsp:cNvPr id="0" name=""/>
        <dsp:cNvSpPr/>
      </dsp:nvSpPr>
      <dsp:spPr>
        <a:xfrm rot="3240000">
          <a:off x="1293235" y="1221337"/>
          <a:ext cx="96360" cy="41814"/>
        </a:xfrm>
        <a:custGeom>
          <a:avLst/>
          <a:gdLst/>
          <a:ahLst/>
          <a:cxnLst/>
          <a:rect l="0" t="0" r="0" b="0"/>
          <a:pathLst>
            <a:path>
              <a:moveTo>
                <a:pt x="0" y="20907"/>
              </a:moveTo>
              <a:lnTo>
                <a:pt x="96360" y="20907"/>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39006" y="1239835"/>
        <a:ext cx="4818" cy="4818"/>
      </dsp:txXfrm>
    </dsp:sp>
    <dsp:sp modelId="{0D02DD6A-8280-4E7C-909B-EF390E8576E5}">
      <dsp:nvSpPr>
        <dsp:cNvPr id="0" name=""/>
        <dsp:cNvSpPr/>
      </dsp:nvSpPr>
      <dsp:spPr>
        <a:xfrm>
          <a:off x="1254765" y="1226080"/>
          <a:ext cx="563168" cy="568935"/>
        </a:xfrm>
        <a:prstGeom prst="ellips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en-US" sz="600" kern="1200"/>
        </a:p>
      </dsp:txBody>
      <dsp:txXfrm>
        <a:off x="1337239" y="1309399"/>
        <a:ext cx="398220" cy="402297"/>
      </dsp:txXfrm>
    </dsp:sp>
    <dsp:sp modelId="{F30B244A-83FB-45A9-BC1D-5EFE33B1500B}">
      <dsp:nvSpPr>
        <dsp:cNvPr id="0" name=""/>
        <dsp:cNvSpPr/>
      </dsp:nvSpPr>
      <dsp:spPr>
        <a:xfrm rot="7560000">
          <a:off x="877353" y="1221337"/>
          <a:ext cx="96360" cy="41814"/>
        </a:xfrm>
        <a:custGeom>
          <a:avLst/>
          <a:gdLst/>
          <a:ahLst/>
          <a:cxnLst/>
          <a:rect l="0" t="0" r="0" b="0"/>
          <a:pathLst>
            <a:path>
              <a:moveTo>
                <a:pt x="0" y="20907"/>
              </a:moveTo>
              <a:lnTo>
                <a:pt x="96360" y="20907"/>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923125" y="1239835"/>
        <a:ext cx="4818" cy="4818"/>
      </dsp:txXfrm>
    </dsp:sp>
    <dsp:sp modelId="{1C637BB4-E171-45CB-9DF6-0441ABAB9F2E}">
      <dsp:nvSpPr>
        <dsp:cNvPr id="0" name=""/>
        <dsp:cNvSpPr/>
      </dsp:nvSpPr>
      <dsp:spPr>
        <a:xfrm>
          <a:off x="449015" y="1226080"/>
          <a:ext cx="563168" cy="568935"/>
        </a:xfrm>
        <a:prstGeom prst="ellips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en-US" sz="600" kern="1200"/>
        </a:p>
      </dsp:txBody>
      <dsp:txXfrm>
        <a:off x="531489" y="1309399"/>
        <a:ext cx="398220" cy="402297"/>
      </dsp:txXfrm>
    </dsp:sp>
    <dsp:sp modelId="{CA827E3D-3AF3-4D5E-B054-4FB1D10CF12D}">
      <dsp:nvSpPr>
        <dsp:cNvPr id="0" name=""/>
        <dsp:cNvSpPr/>
      </dsp:nvSpPr>
      <dsp:spPr>
        <a:xfrm rot="11880000">
          <a:off x="747454" y="824416"/>
          <a:ext cx="90550" cy="41814"/>
        </a:xfrm>
        <a:custGeom>
          <a:avLst/>
          <a:gdLst/>
          <a:ahLst/>
          <a:cxnLst/>
          <a:rect l="0" t="0" r="0" b="0"/>
          <a:pathLst>
            <a:path>
              <a:moveTo>
                <a:pt x="0" y="20907"/>
              </a:moveTo>
              <a:lnTo>
                <a:pt x="90550" y="20907"/>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790466" y="843059"/>
        <a:ext cx="4527" cy="4527"/>
      </dsp:txXfrm>
    </dsp:sp>
    <dsp:sp modelId="{91B4DE67-9157-4E13-AC75-6E9A6213ADF4}">
      <dsp:nvSpPr>
        <dsp:cNvPr id="0" name=""/>
        <dsp:cNvSpPr/>
      </dsp:nvSpPr>
      <dsp:spPr>
        <a:xfrm>
          <a:off x="200025" y="459766"/>
          <a:ext cx="563168" cy="568935"/>
        </a:xfrm>
        <a:prstGeom prst="ellips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en-US" sz="600" kern="1200"/>
        </a:p>
      </dsp:txBody>
      <dsp:txXfrm>
        <a:off x="282499" y="543085"/>
        <a:ext cx="398220" cy="40229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rporate">
      <a:dk1>
        <a:sysClr val="windowText" lastClr="000000"/>
      </a:dk1>
      <a:lt1>
        <a:sysClr val="window" lastClr="FFFFFF"/>
      </a:lt1>
      <a:dk2>
        <a:srgbClr val="F06252"/>
      </a:dk2>
      <a:lt2>
        <a:srgbClr val="E2E0CB"/>
      </a:lt2>
      <a:accent1>
        <a:srgbClr val="002C47"/>
      </a:accent1>
      <a:accent2>
        <a:srgbClr val="3A6FAF"/>
      </a:accent2>
      <a:accent3>
        <a:srgbClr val="00827F"/>
      </a:accent3>
      <a:accent4>
        <a:srgbClr val="F7901E"/>
      </a:accent4>
      <a:accent5>
        <a:srgbClr val="00ABBD"/>
      </a:accent5>
      <a:accent6>
        <a:srgbClr val="844D9E"/>
      </a:accent6>
      <a:hlink>
        <a:srgbClr val="3A6FAF"/>
      </a:hlink>
      <a:folHlink>
        <a:srgbClr val="E61E2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RA-8909 - Retain as national archives</TermName>
          <TermId xmlns="http://schemas.microsoft.com/office/infopath/2007/PartnerControls">783df9f6-6a3b-4626-95aa-7d6467e087f0</TermId>
        </TermInfo>
      </Terms>
    </lb508a4dc5e84436a0fe496b536466aa>
    <_dlc_DocId xmlns="0f563589-9cf9-4143-b1eb-fb0534803d38">2020MG-107-17472</_dlc_DocId>
    <TaxCatchAll xmlns="0f563589-9cf9-4143-b1eb-fb0534803d38">
      <Value>16</Value>
    </TaxCatchAll>
    <_dlc_DocIdUrl xmlns="0f563589-9cf9-4143-b1eb-fb0534803d38">
      <Url>http://tweb/sites/mg/fitpd/_layouts/15/DocIdRedir.aspx?ID=2020MG-107-17472</Url>
      <Description>2020MG-107-17472</Description>
    </_dlc_DocIdUrl>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DDB296F03498E9448202E36B7829D846" ma:contentTypeVersion="29577" ma:contentTypeDescription=" " ma:contentTypeScope="" ma:versionID="73c7bd53ccc80783158b6b5cc10548ef">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f75837bff50338e5e9d97543dceb0ca4"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PersistId" minOccurs="0"/>
                <xsd:element ref="ns2:_dlc_DocIdUrl" minOccurs="0"/>
                <xsd:element ref="ns3:lb508a4dc5e84436a0fe496b536466aa" minOccurs="0"/>
                <xsd:element ref="ns2:TaxCatchAll" minOccurs="0"/>
                <xsd:element ref="ns2:TaxCatchAllLabel" minOccurs="0"/>
                <xsd:element ref="ns5:IconOverlay"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PersistId" ma:index="9" nillable="true" ma:displayName="Persist ID" ma:description="Keep ID on add." ma:hidden="true" ma:internalName="_dlc_DocIdPersistId" ma:readOnly="true">
      <xsd:simpleType>
        <xsd:restriction base="dms:Boolean"/>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16;#TSY RA-8909 - Retain as national archives|783df9f6-6a3b-4626-95aa-7d6467e087f0"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9E3C1-408A-4222-9F0A-0073C51A27AB}">
  <ds:schemaRef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563589-9cf9-4143-b1eb-fb0534803d38"/>
    <ds:schemaRef ds:uri="http://purl.org/dc/elements/1.1/"/>
    <ds:schemaRef ds:uri="http://schemas.microsoft.com/office/2006/metadata/properties"/>
    <ds:schemaRef ds:uri="d4dd4adf-ddb3-46a3-8d7c-fab3fb2a6bc7"/>
    <ds:schemaRef ds:uri="http://www.w3.org/XML/1998/namespace"/>
    <ds:schemaRef ds:uri="http://purl.org/dc/dcmitype/"/>
  </ds:schemaRefs>
</ds:datastoreItem>
</file>

<file path=customXml/itemProps2.xml><?xml version="1.0" encoding="utf-8"?>
<ds:datastoreItem xmlns:ds="http://schemas.openxmlformats.org/officeDocument/2006/customXml" ds:itemID="{7AE5EA6A-F0EE-4B42-8442-E28FFEF4615A}">
  <ds:schemaRefs>
    <ds:schemaRef ds:uri="http://schemas.microsoft.com/sharepoint/v3/contenttype/forms"/>
  </ds:schemaRefs>
</ds:datastoreItem>
</file>

<file path=customXml/itemProps3.xml><?xml version="1.0" encoding="utf-8"?>
<ds:datastoreItem xmlns:ds="http://schemas.openxmlformats.org/officeDocument/2006/customXml" ds:itemID="{1EFE811F-1426-4B48-BE94-7C516A205690}">
  <ds:schemaRefs>
    <ds:schemaRef ds:uri="office.server.policy"/>
  </ds:schemaRefs>
</ds:datastoreItem>
</file>

<file path=customXml/itemProps4.xml><?xml version="1.0" encoding="utf-8"?>
<ds:datastoreItem xmlns:ds="http://schemas.openxmlformats.org/officeDocument/2006/customXml" ds:itemID="{1E79DA2C-A027-4F57-B2D1-3987AA5FE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A9E3191-73D7-4E1C-BAB2-8018BC5DE61E}">
  <ds:schemaRefs>
    <ds:schemaRef ds:uri="http://schemas.microsoft.com/sharepoint/events"/>
  </ds:schemaRefs>
</ds:datastoreItem>
</file>

<file path=customXml/itemProps6.xml><?xml version="1.0" encoding="utf-8"?>
<ds:datastoreItem xmlns:ds="http://schemas.openxmlformats.org/officeDocument/2006/customXml" ds:itemID="{8B0B5F07-ABB8-4F06-9451-410AC6FE8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15</TotalTime>
  <Pages>34</Pages>
  <Words>12764</Words>
  <Characters>72756</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Foreign investment reforms</vt:lpstr>
    </vt:vector>
  </TitlesOfParts>
  <Company>Australian Government - The Treasury</Company>
  <LinksUpToDate>false</LinksUpToDate>
  <CharactersWithSpaces>85350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Foreign investment reforms</dc:title>
  <dc:subject/>
  <dc:creator>The Treasury</dc:creator>
  <cp:keywords>June 2020</cp:keywords>
  <dc:description/>
  <cp:lastModifiedBy>Hill, Christine</cp:lastModifiedBy>
  <cp:revision>5</cp:revision>
  <cp:lastPrinted>2020-06-04T23:41:00Z</cp:lastPrinted>
  <dcterms:created xsi:type="dcterms:W3CDTF">2020-06-04T23:40:00Z</dcterms:created>
  <dcterms:modified xsi:type="dcterms:W3CDTF">2020-06-05T07:22:00Z</dcterms:modified>
  <cp:category/>
</cp:coreProperties>
</file>