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1CDDF" w14:textId="77777777" w:rsidR="00F012EA" w:rsidRPr="00DD5DF9" w:rsidRDefault="00A40286" w:rsidP="00F012EA">
      <w:pPr>
        <w:pStyle w:val="Title"/>
      </w:pPr>
      <w:bookmarkStart w:id="0" w:name="_GoBack"/>
      <w:bookmarkEnd w:id="0"/>
      <w:r>
        <w:t xml:space="preserve">The </w:t>
      </w:r>
      <w:r w:rsidR="00267CA9">
        <w:t>Career E</w:t>
      </w:r>
      <w:r>
        <w:t xml:space="preserve">ffects of </w:t>
      </w:r>
      <w:r w:rsidR="00267CA9">
        <w:t>Labour Market Conditions at Entry</w:t>
      </w:r>
    </w:p>
    <w:p w14:paraId="53D3D767" w14:textId="77777777" w:rsidR="00F012EA" w:rsidRDefault="004505DF" w:rsidP="00F012EA">
      <w:pPr>
        <w:pStyle w:val="AuthorName"/>
        <w:rPr>
          <w:szCs w:val="24"/>
        </w:rPr>
      </w:pPr>
      <w:r>
        <w:rPr>
          <w:szCs w:val="24"/>
        </w:rPr>
        <w:t>Dan Andrews, Nathan Deutscher, Jonathan Hambur and David Hansell</w:t>
      </w:r>
      <w:r w:rsidR="00F012EA" w:rsidRPr="00F21A41">
        <w:rPr>
          <w:rStyle w:val="FootnoteReference"/>
          <w:szCs w:val="24"/>
        </w:rPr>
        <w:footnoteReference w:id="2"/>
      </w:r>
    </w:p>
    <w:p w14:paraId="00FB59C5" w14:textId="77777777" w:rsidR="00F012EA" w:rsidRPr="00F8009C" w:rsidRDefault="00F012EA" w:rsidP="00F012EA">
      <w:pPr>
        <w:pStyle w:val="Subtitle"/>
        <w:tabs>
          <w:tab w:val="left" w:pos="1985"/>
        </w:tabs>
        <w:rPr>
          <w:szCs w:val="40"/>
        </w:rPr>
      </w:pPr>
      <w:r>
        <w:rPr>
          <w:szCs w:val="40"/>
        </w:rPr>
        <w:t>Treasury Working Paper</w:t>
      </w:r>
      <w:r>
        <w:rPr>
          <w:rStyle w:val="FootnoteReference"/>
          <w:szCs w:val="40"/>
        </w:rPr>
        <w:footnoteReference w:id="3"/>
      </w:r>
    </w:p>
    <w:p w14:paraId="45AF9BC1" w14:textId="77777777" w:rsidR="00F012EA" w:rsidRPr="00F8009C" w:rsidRDefault="00F012EA" w:rsidP="00F012EA">
      <w:pPr>
        <w:pStyle w:val="Subtitle"/>
        <w:rPr>
          <w:szCs w:val="36"/>
        </w:rPr>
      </w:pPr>
      <w:r>
        <w:rPr>
          <w:szCs w:val="36"/>
        </w:rPr>
        <w:t>20</w:t>
      </w:r>
      <w:r w:rsidR="00AA2FFF">
        <w:rPr>
          <w:szCs w:val="36"/>
        </w:rPr>
        <w:t>20</w:t>
      </w:r>
      <w:r w:rsidR="006E4AC4">
        <w:rPr>
          <w:szCs w:val="36"/>
        </w:rPr>
        <w:noBreakHyphen/>
      </w:r>
      <w:r w:rsidR="00AA2FFF">
        <w:rPr>
          <w:szCs w:val="36"/>
        </w:rPr>
        <w:t>0</w:t>
      </w:r>
      <w:r w:rsidR="006E4AC4">
        <w:rPr>
          <w:szCs w:val="36"/>
        </w:rPr>
        <w:t>1</w:t>
      </w:r>
    </w:p>
    <w:p w14:paraId="7CF71600" w14:textId="77777777" w:rsidR="00F012EA" w:rsidRPr="0018497C" w:rsidRDefault="00F012EA" w:rsidP="00F012EA">
      <w:pPr>
        <w:pStyle w:val="SeriesNumber"/>
        <w:spacing w:before="120" w:after="120"/>
        <w:rPr>
          <w:sz w:val="24"/>
          <w:szCs w:val="24"/>
        </w:rPr>
      </w:pPr>
      <w:r w:rsidRPr="0018497C">
        <w:rPr>
          <w:sz w:val="24"/>
          <w:szCs w:val="24"/>
        </w:rPr>
        <w:t xml:space="preserve">Date created: </w:t>
      </w:r>
      <w:r w:rsidR="00B14914">
        <w:rPr>
          <w:sz w:val="24"/>
          <w:szCs w:val="24"/>
        </w:rPr>
        <w:t>June 2020</w:t>
      </w:r>
    </w:p>
    <w:p w14:paraId="2E13EFF8" w14:textId="77777777" w:rsidR="000464B6" w:rsidRDefault="000464B6" w:rsidP="00F012EA">
      <w:pPr>
        <w:pStyle w:val="AuthorName"/>
        <w:rPr>
          <w:szCs w:val="24"/>
        </w:rPr>
        <w:sectPr w:rsidR="000464B6" w:rsidSect="008C0793">
          <w:footerReference w:type="even" r:id="rId13"/>
          <w:footerReference w:type="default" r:id="rId14"/>
          <w:headerReference w:type="first" r:id="rId15"/>
          <w:pgSz w:w="11906" w:h="16838" w:code="9"/>
          <w:pgMar w:top="1418" w:right="1304" w:bottom="1418" w:left="1304" w:header="567" w:footer="567" w:gutter="0"/>
          <w:cols w:space="708"/>
          <w:titlePg/>
          <w:docGrid w:linePitch="360"/>
        </w:sectPr>
      </w:pPr>
    </w:p>
    <w:p w14:paraId="4DE9BB35" w14:textId="77777777" w:rsidR="000464B6" w:rsidRDefault="000464B6" w:rsidP="000464B6">
      <w:r w:rsidRPr="00A83447">
        <w:lastRenderedPageBreak/>
        <w:t>© Commonwealth of Australia 20</w:t>
      </w:r>
      <w:r w:rsidR="00A83447" w:rsidRPr="00A83447">
        <w:t>20</w:t>
      </w:r>
    </w:p>
    <w:p w14:paraId="1ABFD059" w14:textId="77777777" w:rsidR="000464B6" w:rsidRPr="00086F82" w:rsidRDefault="000464B6" w:rsidP="000464B6">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6"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17"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4BA8B5FB" w14:textId="77777777" w:rsidR="000464B6" w:rsidRDefault="000464B6" w:rsidP="000464B6">
      <w:pPr>
        <w:tabs>
          <w:tab w:val="left" w:pos="1650"/>
        </w:tabs>
        <w:spacing w:before="100" w:beforeAutospacing="1" w:after="100" w:afterAutospacing="1"/>
        <w:rPr>
          <w:rFonts w:cstheme="minorHAnsi"/>
          <w:sz w:val="24"/>
          <w:szCs w:val="24"/>
        </w:rPr>
      </w:pPr>
      <w:r w:rsidRPr="00E56DFB">
        <w:rPr>
          <w:rFonts w:cstheme="minorHAnsi"/>
          <w:noProof/>
          <w:sz w:val="24"/>
          <w:szCs w:val="24"/>
          <w:lang w:eastAsia="en-AU"/>
        </w:rPr>
        <w:drawing>
          <wp:inline distT="0" distB="0" distL="0" distR="0" wp14:anchorId="17D38CDF" wp14:editId="29D007AD">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25A3B3F" w14:textId="77777777" w:rsidR="000464B6" w:rsidRPr="006627B4" w:rsidRDefault="000464B6" w:rsidP="000464B6">
      <w:pPr>
        <w:tabs>
          <w:tab w:val="left" w:pos="1650"/>
        </w:tabs>
      </w:pPr>
      <w:r w:rsidRPr="006627B4">
        <w:t>Use of Treasury material under a</w:t>
      </w:r>
      <w:r w:rsidRPr="00476F09">
        <w:rPr>
          <w:rFonts w:cstheme="minorHAnsi"/>
          <w:sz w:val="24"/>
          <w:szCs w:val="24"/>
        </w:rPr>
        <w:t xml:space="preserve"> </w:t>
      </w:r>
      <w:hyperlink r:id="rId19"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7A9FAA4A" w14:textId="77777777" w:rsidR="000464B6" w:rsidRPr="002F1BC2" w:rsidRDefault="000464B6" w:rsidP="000464B6">
      <w:pPr>
        <w:rPr>
          <w:i/>
        </w:rPr>
      </w:pPr>
      <w:r w:rsidRPr="002F1BC2">
        <w:rPr>
          <w:i/>
        </w:rPr>
        <w:t xml:space="preserve">Treasury material used </w:t>
      </w:r>
      <w:r w:rsidR="006E4AC4">
        <w:rPr>
          <w:i/>
        </w:rPr>
        <w:t>‘</w:t>
      </w:r>
      <w:r w:rsidRPr="002F1BC2">
        <w:rPr>
          <w:i/>
        </w:rPr>
        <w:t>as supplied</w:t>
      </w:r>
      <w:r w:rsidR="006E4AC4">
        <w:rPr>
          <w:i/>
        </w:rPr>
        <w:t>’</w:t>
      </w:r>
    </w:p>
    <w:p w14:paraId="5A54C0E2" w14:textId="77777777" w:rsidR="000464B6" w:rsidRPr="00476F09" w:rsidRDefault="000464B6" w:rsidP="000464B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0787C71" w14:textId="77777777" w:rsidR="000464B6" w:rsidRPr="00A13A11" w:rsidRDefault="000464B6" w:rsidP="000464B6">
      <w:pPr>
        <w:ind w:firstLine="720"/>
      </w:pPr>
      <w:r w:rsidRPr="002F1BC2">
        <w:rPr>
          <w:i/>
        </w:rPr>
        <w:t xml:space="preserve">Source: The </w:t>
      </w:r>
      <w:r w:rsidRPr="002F1BC2">
        <w:rPr>
          <w:i/>
          <w:iCs/>
        </w:rPr>
        <w:t>Australian Government the Treasury</w:t>
      </w:r>
    </w:p>
    <w:p w14:paraId="294AA277" w14:textId="77777777" w:rsidR="000464B6" w:rsidRPr="006627B4" w:rsidRDefault="000464B6" w:rsidP="000464B6">
      <w:r w:rsidRPr="006627B4">
        <w:t>Derivative material</w:t>
      </w:r>
    </w:p>
    <w:p w14:paraId="2F47778A" w14:textId="77777777" w:rsidR="000464B6" w:rsidRPr="006627B4" w:rsidRDefault="000464B6" w:rsidP="000464B6">
      <w:r w:rsidRPr="006627B4">
        <w:t xml:space="preserve">If you have modified or transformed Treasury material, or derived new material from those of the Treasury in any way, then Treasury prefers the following attribution: </w:t>
      </w:r>
    </w:p>
    <w:p w14:paraId="63C1B2F9" w14:textId="77777777" w:rsidR="000464B6" w:rsidRPr="006627B4" w:rsidRDefault="000464B6" w:rsidP="000464B6">
      <w:pPr>
        <w:ind w:firstLine="720"/>
      </w:pPr>
      <w:r w:rsidRPr="002F1BC2">
        <w:rPr>
          <w:i/>
        </w:rPr>
        <w:t>Based on The Australian Government the Treasury data</w:t>
      </w:r>
    </w:p>
    <w:p w14:paraId="18FBE7BE" w14:textId="77777777" w:rsidR="000464B6" w:rsidRPr="006627B4" w:rsidRDefault="000464B6" w:rsidP="000464B6">
      <w:pPr>
        <w:spacing w:after="40"/>
        <w:rPr>
          <w:b/>
        </w:rPr>
      </w:pPr>
      <w:r w:rsidRPr="006627B4">
        <w:rPr>
          <w:b/>
        </w:rPr>
        <w:t>Use of the Coat of Arms</w:t>
      </w:r>
    </w:p>
    <w:p w14:paraId="12F627C3" w14:textId="77777777" w:rsidR="000464B6" w:rsidRPr="006627B4" w:rsidRDefault="00A40BA2" w:rsidP="000464B6">
      <w:r w:rsidRPr="00A40BA2">
        <w:t>The terms under which the Coat of Arms can be used are set out on the Departme</w:t>
      </w:r>
      <w:r>
        <w:t>nt of the Prime </w:t>
      </w:r>
      <w:r w:rsidRPr="00A40BA2">
        <w:t xml:space="preserve">Minister and Cabinet website (see </w:t>
      </w:r>
      <w:hyperlink r:id="rId20" w:history="1">
        <w:r w:rsidRPr="005A283B">
          <w:rPr>
            <w:rStyle w:val="Hyperlink"/>
          </w:rPr>
          <w:t>www.pmc.gov.au/government/commonwealth</w:t>
        </w:r>
        <w:r w:rsidR="006E4AC4">
          <w:rPr>
            <w:rStyle w:val="Hyperlink"/>
          </w:rPr>
          <w:noBreakHyphen/>
        </w:r>
        <w:r w:rsidRPr="005A283B">
          <w:rPr>
            <w:rStyle w:val="Hyperlink"/>
          </w:rPr>
          <w:t>coat</w:t>
        </w:r>
        <w:r w:rsidR="006E4AC4">
          <w:rPr>
            <w:rStyle w:val="Hyperlink"/>
          </w:rPr>
          <w:noBreakHyphen/>
        </w:r>
        <w:r w:rsidRPr="005A283B">
          <w:rPr>
            <w:rStyle w:val="Hyperlink"/>
          </w:rPr>
          <w:t>arms</w:t>
        </w:r>
      </w:hyperlink>
      <w:r w:rsidRPr="00A40BA2">
        <w:t>).</w:t>
      </w:r>
    </w:p>
    <w:p w14:paraId="08601F1D" w14:textId="77777777" w:rsidR="000464B6" w:rsidRPr="006627B4" w:rsidRDefault="00A57848" w:rsidP="000464B6">
      <w:pPr>
        <w:spacing w:after="40"/>
        <w:rPr>
          <w:b/>
        </w:rPr>
      </w:pPr>
      <w:r>
        <w:rPr>
          <w:b/>
        </w:rPr>
        <w:t>Other u</w:t>
      </w:r>
      <w:r w:rsidR="000464B6" w:rsidRPr="006627B4">
        <w:rPr>
          <w:b/>
        </w:rPr>
        <w:t>ses</w:t>
      </w:r>
    </w:p>
    <w:p w14:paraId="6A9642A5" w14:textId="77777777" w:rsidR="000464B6" w:rsidRPr="006627B4" w:rsidRDefault="00A57848" w:rsidP="00A57848">
      <w:pPr>
        <w:spacing w:after="120"/>
      </w:pPr>
      <w:r>
        <w:t>E</w:t>
      </w:r>
      <w:r w:rsidR="000464B6" w:rsidRPr="006627B4">
        <w:t>nquiries regarding this licence and any other use of this document are welcome at:</w:t>
      </w:r>
    </w:p>
    <w:p w14:paraId="2187AD1A" w14:textId="77777777" w:rsidR="000464B6" w:rsidRPr="006627B4" w:rsidRDefault="000464B6" w:rsidP="000464B6">
      <w:pPr>
        <w:spacing w:after="0"/>
        <w:ind w:left="720"/>
      </w:pPr>
      <w:r w:rsidRPr="006627B4">
        <w:t>Manager</w:t>
      </w:r>
    </w:p>
    <w:p w14:paraId="6D088D44" w14:textId="77777777" w:rsidR="000464B6" w:rsidRPr="006627B4" w:rsidRDefault="00A57848" w:rsidP="000464B6">
      <w:pPr>
        <w:spacing w:after="0"/>
        <w:ind w:left="720"/>
      </w:pPr>
      <w:r>
        <w:t>Media Unit</w:t>
      </w:r>
    </w:p>
    <w:p w14:paraId="7C206D33" w14:textId="77777777" w:rsidR="000464B6" w:rsidRPr="006627B4" w:rsidRDefault="000464B6" w:rsidP="000464B6">
      <w:pPr>
        <w:spacing w:after="0"/>
        <w:ind w:left="720"/>
      </w:pPr>
      <w:r w:rsidRPr="006627B4">
        <w:t>The Treasury</w:t>
      </w:r>
    </w:p>
    <w:p w14:paraId="030A3557" w14:textId="77777777" w:rsidR="000464B6" w:rsidRPr="006627B4" w:rsidRDefault="000464B6" w:rsidP="000464B6">
      <w:pPr>
        <w:spacing w:after="0"/>
        <w:ind w:left="720"/>
      </w:pPr>
      <w:r w:rsidRPr="006627B4">
        <w:t xml:space="preserve">Langton Crescent </w:t>
      </w:r>
      <w:r w:rsidR="00A57848">
        <w:br/>
      </w:r>
      <w:r w:rsidRPr="006627B4">
        <w:t>Parkes ACT 2600</w:t>
      </w:r>
    </w:p>
    <w:p w14:paraId="39AD0F2A" w14:textId="77777777" w:rsidR="000464B6" w:rsidRDefault="000464B6" w:rsidP="000464B6">
      <w:pPr>
        <w:spacing w:after="0"/>
        <w:ind w:left="720"/>
        <w:rPr>
          <w:rStyle w:val="Hyperlink"/>
        </w:rPr>
      </w:pPr>
      <w:r w:rsidRPr="006627B4">
        <w:t xml:space="preserve">Email: </w:t>
      </w:r>
      <w:hyperlink r:id="rId21" w:history="1">
        <w:r w:rsidR="006E4AC4" w:rsidRPr="009E3079">
          <w:rPr>
            <w:rStyle w:val="Hyperlink"/>
          </w:rPr>
          <w:t>media@treasury.gov.au</w:t>
        </w:r>
      </w:hyperlink>
      <w:r w:rsidRPr="002F1BC2">
        <w:rPr>
          <w:rStyle w:val="Hyperlink"/>
        </w:rPr>
        <w:t xml:space="preserve"> </w:t>
      </w:r>
    </w:p>
    <w:p w14:paraId="3F2B9FD1" w14:textId="77777777" w:rsidR="000464B6" w:rsidRPr="000464B6" w:rsidRDefault="000464B6" w:rsidP="000464B6"/>
    <w:p w14:paraId="079EF271" w14:textId="77777777" w:rsidR="000464B6" w:rsidRDefault="000464B6" w:rsidP="000464B6">
      <w:pPr>
        <w:spacing w:after="0"/>
        <w:ind w:left="720"/>
        <w:rPr>
          <w:rStyle w:val="Hyperlink"/>
        </w:rPr>
        <w:sectPr w:rsidR="000464B6" w:rsidSect="008C0793">
          <w:headerReference w:type="first" r:id="rId22"/>
          <w:pgSz w:w="11906" w:h="16838" w:code="9"/>
          <w:pgMar w:top="1418" w:right="1304" w:bottom="1418" w:left="1304" w:header="567" w:footer="567" w:gutter="0"/>
          <w:cols w:space="708"/>
          <w:titlePg/>
          <w:docGrid w:linePitch="360"/>
        </w:sectPr>
      </w:pPr>
    </w:p>
    <w:p w14:paraId="77C78089" w14:textId="77777777" w:rsidR="00F012EA" w:rsidRDefault="003413FB" w:rsidP="00F012EA">
      <w:pPr>
        <w:pStyle w:val="SingleParagraph"/>
      </w:pPr>
      <w:r>
        <w:lastRenderedPageBreak/>
        <w:t>The Career Effects of Labour Market Conditions at Entry</w:t>
      </w:r>
    </w:p>
    <w:p w14:paraId="3B9AFD68" w14:textId="77777777" w:rsidR="00F012EA" w:rsidRDefault="003413FB" w:rsidP="00F012EA">
      <w:pPr>
        <w:pStyle w:val="SingleParagraph"/>
      </w:pPr>
      <w:r>
        <w:t>Dan Andrews, Nathan Deutscher, Jonathan Hambur and David Hansell</w:t>
      </w:r>
    </w:p>
    <w:p w14:paraId="43F85F84" w14:textId="77777777" w:rsidR="00F012EA" w:rsidRDefault="00F012EA" w:rsidP="00F012EA">
      <w:pPr>
        <w:pStyle w:val="SingleParagraph"/>
      </w:pPr>
      <w:r w:rsidRPr="006E4AC4">
        <w:t>20</w:t>
      </w:r>
      <w:r w:rsidR="00492EF2" w:rsidRPr="006E4AC4">
        <w:t>20</w:t>
      </w:r>
      <w:r w:rsidR="006E4AC4" w:rsidRPr="006E4AC4">
        <w:noBreakHyphen/>
      </w:r>
      <w:r w:rsidR="00492EF2" w:rsidRPr="006E4AC4">
        <w:t>0</w:t>
      </w:r>
      <w:r w:rsidR="006E4AC4" w:rsidRPr="006E4AC4">
        <w:t>1</w:t>
      </w:r>
    </w:p>
    <w:p w14:paraId="2A75118A" w14:textId="77777777" w:rsidR="00F012EA" w:rsidRDefault="00FC2366" w:rsidP="00F012EA">
      <w:pPr>
        <w:pStyle w:val="SingleParagraph"/>
      </w:pPr>
      <w:r>
        <w:t>19 June 2020</w:t>
      </w:r>
    </w:p>
    <w:p w14:paraId="682E92A7" w14:textId="77777777" w:rsidR="00F012EA" w:rsidRDefault="00F012EA" w:rsidP="00F012EA">
      <w:pPr>
        <w:pStyle w:val="Heading1"/>
      </w:pPr>
      <w:r>
        <w:t>Abstract</w:t>
      </w:r>
    </w:p>
    <w:p w14:paraId="5DBD015C" w14:textId="77777777" w:rsidR="006514CE" w:rsidRDefault="006514CE" w:rsidP="007B5A48">
      <w:pPr>
        <w:pStyle w:val="SingleParagraph"/>
        <w:jc w:val="both"/>
      </w:pPr>
      <w:r>
        <w:t xml:space="preserve">This paper explores the effects of </w:t>
      </w:r>
      <w:r w:rsidR="007B5A48">
        <w:t xml:space="preserve">labour market conditions at </w:t>
      </w:r>
      <w:r>
        <w:t>graduati</w:t>
      </w:r>
      <w:r w:rsidR="007B5A48">
        <w:t>on</w:t>
      </w:r>
      <w:r>
        <w:t xml:space="preserve"> on an individual</w:t>
      </w:r>
      <w:r w:rsidR="006E4AC4">
        <w:t>’</w:t>
      </w:r>
      <w:r>
        <w:t>s</w:t>
      </w:r>
      <w:r w:rsidR="007B5A48">
        <w:t xml:space="preserve"> work</w:t>
      </w:r>
      <w:r w:rsidR="006E4AC4">
        <w:noBreakHyphen/>
      </w:r>
      <w:r w:rsidR="007B5A48">
        <w:t>life over the following decade</w:t>
      </w:r>
      <w:r>
        <w:t xml:space="preserve">. Australians graduating into a state and year with a </w:t>
      </w:r>
      <w:r w:rsidR="00AA2FFF">
        <w:t>5</w:t>
      </w:r>
      <w:r w:rsidR="007B5A48">
        <w:t xml:space="preserve"> percentage point </w:t>
      </w:r>
      <w:r>
        <w:t xml:space="preserve">higher youth unemployment rate </w:t>
      </w:r>
      <w:r w:rsidR="003166F7">
        <w:t>can expect to</w:t>
      </w:r>
      <w:r>
        <w:t xml:space="preserve"> earn </w:t>
      </w:r>
      <w:r w:rsidR="003166F7">
        <w:t xml:space="preserve">roughly </w:t>
      </w:r>
      <w:r w:rsidR="00A00042">
        <w:t>8</w:t>
      </w:r>
      <w:r w:rsidR="003166F7">
        <w:t xml:space="preserve"> per cent less </w:t>
      </w:r>
      <w:r w:rsidR="003413FB">
        <w:t xml:space="preserve">in </w:t>
      </w:r>
      <w:r>
        <w:t xml:space="preserve">their first </w:t>
      </w:r>
      <w:r w:rsidR="003166F7">
        <w:t>year of work</w:t>
      </w:r>
      <w:r w:rsidR="00FB251B">
        <w:t xml:space="preserve"> and 3½ per cent</w:t>
      </w:r>
      <w:r w:rsidR="00611DCD">
        <w:t xml:space="preserve"> less</w:t>
      </w:r>
      <w:r w:rsidR="00FB251B">
        <w:t xml:space="preserve"> after five years</w:t>
      </w:r>
      <w:r>
        <w:t xml:space="preserve">, </w:t>
      </w:r>
      <w:r w:rsidR="008624C5">
        <w:t>with the effect</w:t>
      </w:r>
      <w:r w:rsidR="00FB251B">
        <w:t xml:space="preserve"> gradually fading</w:t>
      </w:r>
      <w:r>
        <w:t xml:space="preserve"> </w:t>
      </w:r>
      <w:r w:rsidR="00C75284">
        <w:t>to around zero ten years on</w:t>
      </w:r>
      <w:r>
        <w:t>. </w:t>
      </w:r>
      <w:r w:rsidR="00C75284">
        <w:t>The magnitude of this effect varies according to the characteristics of the individual and the tertiary institution</w:t>
      </w:r>
      <w:r w:rsidR="00A818D0">
        <w:t xml:space="preserve"> </w:t>
      </w:r>
      <w:r w:rsidR="00C75284">
        <w:t>they attend.</w:t>
      </w:r>
      <w:r>
        <w:t xml:space="preserve"> We </w:t>
      </w:r>
      <w:r w:rsidR="00A818D0">
        <w:t xml:space="preserve">then </w:t>
      </w:r>
      <w:r>
        <w:t>explore the mechanisms behind this scarring</w:t>
      </w:r>
      <w:r w:rsidR="008D4526">
        <w:t>. Scarring partly reflects the subsequent evolution of the unemployment rate</w:t>
      </w:r>
      <w:r w:rsidR="006E4AC4">
        <w:t xml:space="preserve"> — </w:t>
      </w:r>
      <w:r w:rsidR="008D4526">
        <w:t>the fact that unemployment shocks tend to persist</w:t>
      </w:r>
      <w:r w:rsidR="006E4AC4">
        <w:t xml:space="preserve"> — </w:t>
      </w:r>
      <w:r w:rsidR="008D4526">
        <w:t xml:space="preserve">highlighting the potential for timely and effective macroeconomic stabilisation policies to ameliorate these scarring effects. More generally, </w:t>
      </w:r>
      <w:r w:rsidR="00C75284">
        <w:t>job switching to more productive firms emerg</w:t>
      </w:r>
      <w:r w:rsidR="008D4526">
        <w:t>es</w:t>
      </w:r>
      <w:r w:rsidR="00C75284">
        <w:t xml:space="preserve"> as a key </w:t>
      </w:r>
      <w:r w:rsidR="00A818D0">
        <w:t>channel</w:t>
      </w:r>
      <w:r w:rsidR="00C75284">
        <w:t xml:space="preserve"> through which workers recover from </w:t>
      </w:r>
      <w:r w:rsidR="00A818D0">
        <w:t xml:space="preserve">adverse shocks </w:t>
      </w:r>
      <w:r w:rsidR="00FA4E37">
        <w:t>that</w:t>
      </w:r>
      <w:r w:rsidR="00A818D0">
        <w:t xml:space="preserve"> initially disrupt </w:t>
      </w:r>
      <w:r w:rsidR="00FA4E37">
        <w:t>(worker</w:t>
      </w:r>
      <w:r w:rsidR="006E4AC4">
        <w:noBreakHyphen/>
      </w:r>
      <w:r w:rsidR="00FA4E37">
        <w:t>firm) match quality</w:t>
      </w:r>
      <w:r w:rsidR="006E4AC4">
        <w:t xml:space="preserve">. </w:t>
      </w:r>
      <w:r>
        <w:t xml:space="preserve">We </w:t>
      </w:r>
      <w:r w:rsidR="00A818D0">
        <w:t>find</w:t>
      </w:r>
      <w:r>
        <w:t xml:space="preserve"> some evidence that the speed of recovery has slowed </w:t>
      </w:r>
      <w:r w:rsidR="00A818D0">
        <w:t xml:space="preserve">since 2000, which </w:t>
      </w:r>
      <w:r w:rsidR="00941BFF">
        <w:t xml:space="preserve">is </w:t>
      </w:r>
      <w:r w:rsidR="00A818D0">
        <w:t>consistent with the decline in labour market dynamism observed in Australia over that period.</w:t>
      </w:r>
    </w:p>
    <w:p w14:paraId="36EA0774" w14:textId="77777777" w:rsidR="006514CE" w:rsidRDefault="006514CE" w:rsidP="006514CE">
      <w:pPr>
        <w:pStyle w:val="SingleParagraph"/>
        <w:rPr>
          <w:color w:val="000000"/>
        </w:rPr>
      </w:pPr>
    </w:p>
    <w:p w14:paraId="4B2CCF99" w14:textId="77777777" w:rsidR="00F012EA" w:rsidRDefault="00F012EA" w:rsidP="00F012EA">
      <w:pPr>
        <w:pStyle w:val="SingleParagraph"/>
      </w:pPr>
      <w:r>
        <w:t xml:space="preserve">JEL Classification Numbers: </w:t>
      </w:r>
      <w:r w:rsidR="00EE47D0">
        <w:t>E24, J62, J64</w:t>
      </w:r>
    </w:p>
    <w:p w14:paraId="1124EDFC" w14:textId="77777777" w:rsidR="00F012EA" w:rsidRDefault="00F012EA" w:rsidP="00F012EA">
      <w:pPr>
        <w:pStyle w:val="SingleParagraph"/>
      </w:pPr>
      <w:r>
        <w:t xml:space="preserve">Keywords: </w:t>
      </w:r>
      <w:r w:rsidR="00EE47D0">
        <w:t>Wages, job mobility, job search</w:t>
      </w:r>
    </w:p>
    <w:p w14:paraId="50CAA860" w14:textId="77777777" w:rsidR="00F012EA" w:rsidRDefault="00F012EA" w:rsidP="00F012EA">
      <w:pPr>
        <w:pStyle w:val="SingleParagraph"/>
      </w:pPr>
    </w:p>
    <w:p w14:paraId="09AA3DD3" w14:textId="77777777" w:rsidR="00F012EA" w:rsidRDefault="003413FB" w:rsidP="00F012EA">
      <w:pPr>
        <w:pStyle w:val="SingleParagraph"/>
      </w:pPr>
      <w:r>
        <w:t>Dan Andrews, Nathan Deutscher, Jonathan Hambur and David Hansell</w:t>
      </w:r>
    </w:p>
    <w:p w14:paraId="63127E0C" w14:textId="77777777" w:rsidR="00F012EA" w:rsidRDefault="003413FB" w:rsidP="00F012EA">
      <w:pPr>
        <w:pStyle w:val="SingleParagraph"/>
      </w:pPr>
      <w:r>
        <w:t>Macroeconomic Modelling and Policy Division</w:t>
      </w:r>
    </w:p>
    <w:p w14:paraId="577A8D9E" w14:textId="77777777" w:rsidR="00F012EA" w:rsidRDefault="003413FB" w:rsidP="00F012EA">
      <w:pPr>
        <w:pStyle w:val="SingleParagraph"/>
      </w:pPr>
      <w:r>
        <w:t>Macroeconomic Group</w:t>
      </w:r>
    </w:p>
    <w:p w14:paraId="1397B886" w14:textId="77777777" w:rsidR="00F012EA" w:rsidRDefault="00F012EA" w:rsidP="00F012EA">
      <w:pPr>
        <w:pStyle w:val="SingleParagraph"/>
      </w:pPr>
      <w:r>
        <w:t>The Treasury</w:t>
      </w:r>
    </w:p>
    <w:p w14:paraId="3E8EA327" w14:textId="77777777" w:rsidR="00F012EA" w:rsidRDefault="00F012EA" w:rsidP="00F012EA">
      <w:pPr>
        <w:pStyle w:val="SingleParagraph"/>
      </w:pPr>
      <w:r>
        <w:t>Langton Crescent</w:t>
      </w:r>
    </w:p>
    <w:p w14:paraId="0115EB09" w14:textId="77777777" w:rsidR="00F012EA" w:rsidRDefault="00F012EA" w:rsidP="00F012EA">
      <w:pPr>
        <w:pStyle w:val="SingleParagraph"/>
      </w:pPr>
      <w:proofErr w:type="gramStart"/>
      <w:r>
        <w:t>Parkes  ACT</w:t>
      </w:r>
      <w:proofErr w:type="gramEnd"/>
      <w:r>
        <w:t xml:space="preserve">  2600</w:t>
      </w:r>
    </w:p>
    <w:p w14:paraId="40E65FE8" w14:textId="77777777" w:rsidR="00F012EA" w:rsidRDefault="00F012EA" w:rsidP="00F012EA">
      <w:pPr>
        <w:pStyle w:val="SingleParagraph"/>
      </w:pPr>
    </w:p>
    <w:p w14:paraId="60FA247E" w14:textId="77777777" w:rsidR="00F012EA" w:rsidRDefault="00F012EA" w:rsidP="00F012EA">
      <w:pPr>
        <w:pStyle w:val="SingleParagraph"/>
      </w:pPr>
    </w:p>
    <w:p w14:paraId="7756D993" w14:textId="77777777" w:rsidR="00F012EA" w:rsidRDefault="00F012EA" w:rsidP="00F012EA">
      <w:pPr>
        <w:pStyle w:val="SeriesNumber"/>
        <w:jc w:val="left"/>
        <w:rPr>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9288"/>
      </w:tblGrid>
      <w:tr w:rsidR="00A83447" w14:paraId="61FC7BAD" w14:textId="77777777" w:rsidTr="00D3671B">
        <w:tc>
          <w:tcPr>
            <w:tcW w:w="9288" w:type="dxa"/>
            <w:shd w:val="clear" w:color="auto" w:fill="F2F2F2" w:themeFill="background1" w:themeFillShade="F2"/>
          </w:tcPr>
          <w:p w14:paraId="59E5DA81" w14:textId="77777777" w:rsidR="00A83447" w:rsidRPr="00B14914" w:rsidRDefault="00A83447" w:rsidP="00B14914">
            <w:pPr>
              <w:spacing w:before="200" w:after="200"/>
              <w:jc w:val="both"/>
            </w:pPr>
            <w:r w:rsidRPr="00B14914">
              <w:t>NOTE: This paper was</w:t>
            </w:r>
            <w:r w:rsidR="00B14914" w:rsidRPr="00B14914">
              <w:t xml:space="preserve"> </w:t>
            </w:r>
            <w:r w:rsidRPr="00B14914">
              <w:t xml:space="preserve">prepared for the 2020 Reserve Bank of Australia Conference that was arranged around the theme: </w:t>
            </w:r>
            <w:r w:rsidRPr="00B14914">
              <w:rPr>
                <w:i/>
              </w:rPr>
              <w:t>The Long</w:t>
            </w:r>
            <w:r w:rsidR="006E4AC4">
              <w:rPr>
                <w:i/>
              </w:rPr>
              <w:noBreakHyphen/>
            </w:r>
            <w:r w:rsidRPr="00B14914">
              <w:rPr>
                <w:i/>
              </w:rPr>
              <w:t>Run Effects of Short</w:t>
            </w:r>
            <w:r w:rsidR="006E4AC4">
              <w:rPr>
                <w:i/>
              </w:rPr>
              <w:noBreakHyphen/>
            </w:r>
            <w:r w:rsidRPr="00B14914">
              <w:rPr>
                <w:i/>
              </w:rPr>
              <w:t>Run Shocks</w:t>
            </w:r>
            <w:r w:rsidRPr="00B14914">
              <w:t>. This conference was due to take place on 8</w:t>
            </w:r>
            <w:r w:rsidR="006E4AC4">
              <w:noBreakHyphen/>
            </w:r>
            <w:r w:rsidRPr="00B14914">
              <w:t>9 April 2020 but did not proceed due to the COVID</w:t>
            </w:r>
            <w:r w:rsidR="006E4AC4">
              <w:noBreakHyphen/>
            </w:r>
            <w:r w:rsidRPr="00B14914">
              <w:t xml:space="preserve">19 </w:t>
            </w:r>
            <w:r w:rsidR="00B14914" w:rsidRPr="00B14914">
              <w:t>pandemic</w:t>
            </w:r>
            <w:r w:rsidRPr="00B14914">
              <w:t>. The paper now includes some additional references relating the research to the current economic situation, but is otherwise unchanged and should be read in this light.</w:t>
            </w:r>
          </w:p>
        </w:tc>
      </w:tr>
    </w:tbl>
    <w:p w14:paraId="2E217C82" w14:textId="77777777" w:rsidR="00F012EA" w:rsidRDefault="00F012EA" w:rsidP="008627B1"/>
    <w:p w14:paraId="55B246D7" w14:textId="77777777" w:rsidR="00A83447" w:rsidRDefault="00A83447" w:rsidP="008627B1"/>
    <w:p w14:paraId="3354881D" w14:textId="77777777" w:rsidR="00F012EA" w:rsidRDefault="00F012EA" w:rsidP="008627B1">
      <w:pPr>
        <w:sectPr w:rsidR="00F012EA" w:rsidSect="008C0793">
          <w:pgSz w:w="11906" w:h="16838" w:code="9"/>
          <w:pgMar w:top="1418" w:right="1304" w:bottom="1418" w:left="1304" w:header="567" w:footer="567" w:gutter="0"/>
          <w:cols w:space="708"/>
          <w:titlePg/>
          <w:docGrid w:linePitch="360"/>
        </w:sectPr>
      </w:pPr>
    </w:p>
    <w:p w14:paraId="4CF68A7D" w14:textId="77777777" w:rsidR="007B5A48" w:rsidRDefault="007B5A48" w:rsidP="007B5A48">
      <w:pPr>
        <w:pStyle w:val="Heading2"/>
        <w:tabs>
          <w:tab w:val="clear" w:pos="850"/>
        </w:tabs>
        <w:rPr>
          <w:rFonts w:cs="Arial"/>
          <w:highlight w:val="lightGray"/>
        </w:rPr>
      </w:pPr>
      <w:bookmarkStart w:id="1" w:name="_Toc271526783"/>
      <w:bookmarkStart w:id="2" w:name="_Toc320810314"/>
      <w:r>
        <w:rPr>
          <w:rFonts w:cs="Arial"/>
          <w:highlight w:val="lightGray"/>
        </w:rPr>
        <w:br w:type="page"/>
      </w:r>
    </w:p>
    <w:p w14:paraId="292BC1F7" w14:textId="77777777" w:rsidR="00F012EA" w:rsidRPr="00A57848" w:rsidRDefault="003F2FED" w:rsidP="003F2FED">
      <w:pPr>
        <w:pStyle w:val="Heading2"/>
        <w:tabs>
          <w:tab w:val="clear" w:pos="850"/>
        </w:tabs>
      </w:pPr>
      <w:r w:rsidRPr="003F2FED">
        <w:rPr>
          <w:b w:val="0"/>
          <w:smallCaps w:val="0"/>
        </w:rPr>
        <w:lastRenderedPageBreak/>
        <w:t>1.</w:t>
      </w:r>
      <w:r>
        <w:t xml:space="preserve"> </w:t>
      </w:r>
      <w:r w:rsidR="00F012EA" w:rsidRPr="007B5A48">
        <w:t>Introduction</w:t>
      </w:r>
      <w:bookmarkEnd w:id="1"/>
      <w:bookmarkEnd w:id="2"/>
    </w:p>
    <w:p w14:paraId="0EBCF16E" w14:textId="77777777" w:rsidR="00165A42" w:rsidRDefault="00971C14" w:rsidP="00971C14">
      <w:pPr>
        <w:jc w:val="both"/>
      </w:pPr>
      <w:r>
        <w:t xml:space="preserve">Across OECD countries, there is </w:t>
      </w:r>
      <w:r w:rsidR="00B53A18">
        <w:t>a</w:t>
      </w:r>
      <w:r>
        <w:t xml:space="preserve"> growing recognition that young people bore the brunt of the labour market adjustment to the Global Financial Crisis (</w:t>
      </w:r>
      <w:r w:rsidR="009C5DF3">
        <w:t xml:space="preserve">GFC; </w:t>
      </w:r>
      <w:r>
        <w:t>OECD 2016). The subdued recovery of youth labour markets over the past decade raises</w:t>
      </w:r>
      <w:r w:rsidR="00DB26E7">
        <w:t xml:space="preserve"> the</w:t>
      </w:r>
      <w:r>
        <w:t xml:space="preserve"> prospect that the </w:t>
      </w:r>
      <w:r w:rsidR="009C5DF3">
        <w:t>crisis</w:t>
      </w:r>
      <w:r>
        <w:t xml:space="preserve"> may have induced scarring effects, for example through poor initial firm</w:t>
      </w:r>
      <w:r w:rsidR="006E4AC4">
        <w:noBreakHyphen/>
      </w:r>
      <w:r>
        <w:t xml:space="preserve">worker matching and </w:t>
      </w:r>
      <w:r w:rsidR="00DB26E7">
        <w:t xml:space="preserve">the </w:t>
      </w:r>
      <w:r>
        <w:t>atrophy</w:t>
      </w:r>
      <w:r w:rsidR="00DD7275">
        <w:t>ing</w:t>
      </w:r>
      <w:r>
        <w:t xml:space="preserve"> of skills. In this regard, empirical studies spanning North America, Japan and Europe </w:t>
      </w:r>
      <w:r w:rsidR="009C5DF3">
        <w:t>have demonstrated</w:t>
      </w:r>
      <w:r>
        <w:t xml:space="preserve"> that poor early labour market experience, particularly </w:t>
      </w:r>
      <w:r w:rsidR="009C5DF3">
        <w:t>entering into the labour market</w:t>
      </w:r>
      <w:r>
        <w:t xml:space="preserve"> during a downturn, can reduce earnings for up to </w:t>
      </w:r>
      <w:r w:rsidR="00FA767B">
        <w:t>ten</w:t>
      </w:r>
      <w:r>
        <w:t xml:space="preserve"> years after graduation</w:t>
      </w:r>
      <w:r w:rsidR="00F937B5">
        <w:t xml:space="preserve"> (</w:t>
      </w:r>
      <w:r w:rsidR="00F937B5" w:rsidRPr="00447D5E">
        <w:t xml:space="preserve">Kahn, 2010; </w:t>
      </w:r>
      <w:proofErr w:type="spellStart"/>
      <w:r w:rsidR="00F937B5" w:rsidRPr="00447D5E">
        <w:t>Oreopolous</w:t>
      </w:r>
      <w:proofErr w:type="spellEnd"/>
      <w:r w:rsidR="00F937B5" w:rsidRPr="00447D5E">
        <w:t xml:space="preserve"> et al 2012)</w:t>
      </w:r>
      <w:r w:rsidRPr="00447D5E">
        <w:t>. While the macroeconomic consequences of the GFC were far milder for Australia, the performance of the youth labour market has remained a concern for policymakers (Dhillon</w:t>
      </w:r>
      <w:r w:rsidR="00806D6E" w:rsidRPr="00447D5E">
        <w:t xml:space="preserve"> and </w:t>
      </w:r>
      <w:r w:rsidRPr="00447D5E">
        <w:t xml:space="preserve">Cassidy 2018; Borland and </w:t>
      </w:r>
      <w:proofErr w:type="spellStart"/>
      <w:r w:rsidRPr="00447D5E">
        <w:t>Coelli</w:t>
      </w:r>
      <w:proofErr w:type="spellEnd"/>
      <w:r w:rsidRPr="00447D5E">
        <w:t xml:space="preserve"> 2020)</w:t>
      </w:r>
      <w:r w:rsidR="0068768C" w:rsidRPr="00447D5E">
        <w:t>, exacerbated by the current COVID</w:t>
      </w:r>
      <w:r w:rsidR="006E4AC4">
        <w:noBreakHyphen/>
      </w:r>
      <w:r w:rsidR="0068768C" w:rsidRPr="00447D5E">
        <w:t>19 pandemic and associated economic fallout</w:t>
      </w:r>
      <w:r w:rsidRPr="00447D5E">
        <w:t>.</w:t>
      </w:r>
      <w:r>
        <w:t xml:space="preserve"> </w:t>
      </w:r>
    </w:p>
    <w:p w14:paraId="0186D47E" w14:textId="77777777" w:rsidR="00F937B5" w:rsidRDefault="00BB13AA" w:rsidP="00971C14">
      <w:pPr>
        <w:jc w:val="both"/>
      </w:pPr>
      <w:r>
        <w:t xml:space="preserve">Indeed, </w:t>
      </w:r>
      <w:r w:rsidR="007E0426">
        <w:t xml:space="preserve">if similar scarring dynamics </w:t>
      </w:r>
      <w:r w:rsidR="007E0426" w:rsidRPr="00447D5E">
        <w:t xml:space="preserve">are at play in Australia, </w:t>
      </w:r>
      <w:r w:rsidRPr="00447D5E">
        <w:t xml:space="preserve">there is a risk that </w:t>
      </w:r>
      <w:r w:rsidR="007E0426" w:rsidRPr="00447D5E">
        <w:t xml:space="preserve">the </w:t>
      </w:r>
      <w:r w:rsidR="00AD22C5" w:rsidRPr="00447D5E">
        <w:t>sharp rise in unemployment associated with COVID</w:t>
      </w:r>
      <w:r w:rsidR="006E4AC4">
        <w:noBreakHyphen/>
      </w:r>
      <w:r w:rsidR="00AD22C5" w:rsidRPr="00447D5E">
        <w:t>19</w:t>
      </w:r>
      <w:r w:rsidRPr="00447D5E">
        <w:t xml:space="preserve"> may have long</w:t>
      </w:r>
      <w:r w:rsidR="006E4AC4">
        <w:noBreakHyphen/>
      </w:r>
      <w:r w:rsidRPr="00447D5E">
        <w:t xml:space="preserve">lasting effects, even </w:t>
      </w:r>
      <w:r w:rsidR="0035687D" w:rsidRPr="00447D5E">
        <w:t>as</w:t>
      </w:r>
      <w:r w:rsidRPr="00447D5E">
        <w:t xml:space="preserve"> cyclical conditions pick</w:t>
      </w:r>
      <w:r w:rsidR="00897DC1" w:rsidRPr="00447D5E">
        <w:t xml:space="preserve"> </w:t>
      </w:r>
      <w:r w:rsidRPr="00447D5E">
        <w:t>up</w:t>
      </w:r>
      <w:r w:rsidR="0035687D" w:rsidRPr="00447D5E">
        <w:t xml:space="preserve"> and the influence of the virus subsides</w:t>
      </w:r>
      <w:r w:rsidR="007E0426" w:rsidRPr="00447D5E">
        <w:t>. But</w:t>
      </w:r>
      <w:r w:rsidRPr="00447D5E">
        <w:t xml:space="preserve"> evidence on</w:t>
      </w:r>
      <w:r>
        <w:t xml:space="preserve"> the aforementioned scarring </w:t>
      </w:r>
      <w:r w:rsidR="00165A42">
        <w:t>phenomenon</w:t>
      </w:r>
      <w:r>
        <w:t xml:space="preserve"> </w:t>
      </w:r>
      <w:r w:rsidR="00971C14">
        <w:t>is limited</w:t>
      </w:r>
      <w:r>
        <w:t xml:space="preserve"> for Australia</w:t>
      </w:r>
      <w:r w:rsidR="00971C14">
        <w:t>.</w:t>
      </w:r>
      <w:r w:rsidR="00C52064">
        <w:rPr>
          <w:rStyle w:val="FootnoteReference"/>
        </w:rPr>
        <w:footnoteReference w:id="4"/>
      </w:r>
      <w:r w:rsidR="00AF1EC9">
        <w:t xml:space="preserve"> </w:t>
      </w:r>
      <w:r w:rsidR="00971C14">
        <w:t xml:space="preserve">Accordingly, this </w:t>
      </w:r>
      <w:r w:rsidR="00FA767B">
        <w:t xml:space="preserve">paper </w:t>
      </w:r>
      <w:r w:rsidR="00971C14">
        <w:t xml:space="preserve">explores the effects of labour market conditions at graduation </w:t>
      </w:r>
      <w:r w:rsidR="0015360E">
        <w:t>up</w:t>
      </w:r>
      <w:r w:rsidR="00971C14">
        <w:t>on an individual</w:t>
      </w:r>
      <w:r w:rsidR="006E4AC4">
        <w:t>’</w:t>
      </w:r>
      <w:r w:rsidR="00971C14">
        <w:t>s work</w:t>
      </w:r>
      <w:r w:rsidR="006E4AC4">
        <w:noBreakHyphen/>
      </w:r>
      <w:r w:rsidR="00971C14">
        <w:t xml:space="preserve">life over the following decade. </w:t>
      </w:r>
      <w:r w:rsidR="0015360E">
        <w:t>W</w:t>
      </w:r>
      <w:r w:rsidR="00971C14">
        <w:t xml:space="preserve">e </w:t>
      </w:r>
      <w:r w:rsidR="00FA767B">
        <w:t>utilise</w:t>
      </w:r>
      <w:r w:rsidR="00971C14">
        <w:t xml:space="preserve"> micro</w:t>
      </w:r>
      <w:r w:rsidR="006E4AC4">
        <w:noBreakHyphen/>
      </w:r>
      <w:r w:rsidR="00971C14">
        <w:t xml:space="preserve">aggregated data on individual wages of </w:t>
      </w:r>
      <w:r w:rsidR="00FF24F2">
        <w:t>most</w:t>
      </w:r>
      <w:r w:rsidR="00971C14">
        <w:t xml:space="preserve"> graduates from 1991 to 2017, merged with qualifications drawn from ATO data on HECS/HELP loans. We then exploit the variation </w:t>
      </w:r>
      <w:r w:rsidR="007A098F">
        <w:t xml:space="preserve">within and between </w:t>
      </w:r>
      <w:r w:rsidR="00971C14">
        <w:t xml:space="preserve">state/territory youth unemployment rates to estimate how local labour market conditions at the time of graduation shape the subsequent </w:t>
      </w:r>
      <w:r w:rsidR="009C5DF3">
        <w:t>earnings and employment</w:t>
      </w:r>
      <w:r w:rsidR="00971C14">
        <w:t xml:space="preserve"> profile</w:t>
      </w:r>
      <w:r w:rsidR="00E172A2">
        <w:t>s</w:t>
      </w:r>
      <w:r w:rsidR="00971C14">
        <w:t xml:space="preserve"> of workers. T</w:t>
      </w:r>
      <w:r w:rsidR="00FD1CFB">
        <w:t>o</w:t>
      </w:r>
      <w:r w:rsidR="0065303C">
        <w:t xml:space="preserve"> isolate </w:t>
      </w:r>
      <w:r w:rsidR="00FD1CFB">
        <w:t>this mechanism, th</w:t>
      </w:r>
      <w:r w:rsidR="00971C14">
        <w:t>e model control</w:t>
      </w:r>
      <w:r w:rsidR="00FD1CFB">
        <w:t>s</w:t>
      </w:r>
      <w:r w:rsidR="00971C14">
        <w:t xml:space="preserve"> for</w:t>
      </w:r>
      <w:r w:rsidR="009C5DF3">
        <w:t xml:space="preserve"> other</w:t>
      </w:r>
      <w:r w:rsidR="00971C14">
        <w:t xml:space="preserve"> </w:t>
      </w:r>
      <w:r w:rsidR="009C5DF3">
        <w:t xml:space="preserve">factors </w:t>
      </w:r>
      <w:r w:rsidR="00F937B5">
        <w:t>that would</w:t>
      </w:r>
      <w:r w:rsidR="00FD1CFB">
        <w:t xml:space="preserve"> </w:t>
      </w:r>
      <w:r w:rsidR="00F937B5">
        <w:t>influence a graduate</w:t>
      </w:r>
      <w:r w:rsidR="006E4AC4">
        <w:t>’</w:t>
      </w:r>
      <w:r w:rsidR="00F937B5">
        <w:t>s earning</w:t>
      </w:r>
      <w:r w:rsidR="009C5DF3">
        <w:t xml:space="preserve"> and employment trajectories, such as the national business cycle, and changes in the national higher education system that could lead to differences in the unobserved characteristics of graduating cohorts</w:t>
      </w:r>
      <w:r w:rsidR="00FD1CFB">
        <w:t>.</w:t>
      </w:r>
    </w:p>
    <w:p w14:paraId="2C929CD9" w14:textId="77777777" w:rsidR="00A17F5C" w:rsidRDefault="00971C14" w:rsidP="008D7E1F">
      <w:pPr>
        <w:jc w:val="both"/>
      </w:pPr>
      <w:r>
        <w:t xml:space="preserve">Our baseline estimates from this static model </w:t>
      </w:r>
      <w:r w:rsidR="009376BD">
        <w:t>imply</w:t>
      </w:r>
      <w:r>
        <w:t xml:space="preserve"> that a 5</w:t>
      </w:r>
      <w:r w:rsidR="00FD1CFB">
        <w:t xml:space="preserve"> percentage point</w:t>
      </w:r>
      <w:r>
        <w:t xml:space="preserve"> rise in the </w:t>
      </w:r>
      <w:r w:rsidR="00FD1CFB">
        <w:t>state</w:t>
      </w:r>
      <w:r>
        <w:t xml:space="preserve"> youth </w:t>
      </w:r>
      <w:r w:rsidR="00FD1CFB">
        <w:t>unemployment</w:t>
      </w:r>
      <w:r>
        <w:t xml:space="preserve"> rate</w:t>
      </w:r>
      <w:r w:rsidR="006E4AC4">
        <w:t xml:space="preserve"> — </w:t>
      </w:r>
      <w:r w:rsidR="009376BD">
        <w:t xml:space="preserve">a typical contractionary </w:t>
      </w:r>
      <w:r w:rsidR="00350CDF">
        <w:t>episode</w:t>
      </w:r>
      <w:r w:rsidR="009376BD">
        <w:t xml:space="preserve"> in our data</w:t>
      </w:r>
      <w:r w:rsidR="006E4AC4">
        <w:t xml:space="preserve"> — </w:t>
      </w:r>
      <w:r>
        <w:t xml:space="preserve">is associated with </w:t>
      </w:r>
      <w:r w:rsidR="009376BD">
        <w:t>a</w:t>
      </w:r>
      <w:r>
        <w:t xml:space="preserve"> decline in earnings </w:t>
      </w:r>
      <w:r w:rsidR="009376BD">
        <w:t xml:space="preserve">of </w:t>
      </w:r>
      <w:r w:rsidR="0077606A">
        <w:t>8</w:t>
      </w:r>
      <w:r w:rsidR="009376BD">
        <w:t xml:space="preserve"> per cent </w:t>
      </w:r>
      <w:r>
        <w:t>in the initial year</w:t>
      </w:r>
      <w:r w:rsidR="009376BD">
        <w:t xml:space="preserve"> and</w:t>
      </w:r>
      <w:r w:rsidR="0032466E">
        <w:t xml:space="preserve"> 3</w:t>
      </w:r>
      <w:r w:rsidR="0077606A">
        <w:t xml:space="preserve">½ </w:t>
      </w:r>
      <w:r w:rsidR="0032466E">
        <w:t>per cent</w:t>
      </w:r>
      <w:r w:rsidR="009376BD">
        <w:t xml:space="preserve"> after</w:t>
      </w:r>
      <w:r>
        <w:t xml:space="preserve"> five years</w:t>
      </w:r>
      <w:r w:rsidR="009376BD">
        <w:t>,</w:t>
      </w:r>
      <w:r>
        <w:t xml:space="preserve"> </w:t>
      </w:r>
      <w:r w:rsidR="0032466E">
        <w:t>before</w:t>
      </w:r>
      <w:r>
        <w:t xml:space="preserve"> fading to </w:t>
      </w:r>
      <w:r w:rsidR="0032466E">
        <w:t>around zero</w:t>
      </w:r>
      <w:r>
        <w:t xml:space="preserve"> </w:t>
      </w:r>
      <w:r w:rsidR="00FA767B">
        <w:t>ten</w:t>
      </w:r>
      <w:r>
        <w:t xml:space="preserve"> years</w:t>
      </w:r>
      <w:r w:rsidR="009376BD">
        <w:t xml:space="preserve"> on</w:t>
      </w:r>
      <w:r>
        <w:t xml:space="preserve">. </w:t>
      </w:r>
      <w:r w:rsidR="00E4280D">
        <w:t>E</w:t>
      </w:r>
      <w:r w:rsidR="009376BD">
        <w:t>stimates</w:t>
      </w:r>
      <w:r w:rsidR="0015360E">
        <w:t xml:space="preserve"> </w:t>
      </w:r>
      <w:r w:rsidR="00E4280D">
        <w:t>suggest</w:t>
      </w:r>
      <w:r w:rsidR="009376BD">
        <w:t xml:space="preserve"> a corresponding decline in the employment</w:t>
      </w:r>
      <w:r w:rsidR="006E4AC4">
        <w:noBreakHyphen/>
      </w:r>
      <w:r w:rsidR="009376BD">
        <w:t>to</w:t>
      </w:r>
      <w:r w:rsidR="006E4AC4">
        <w:noBreakHyphen/>
      </w:r>
      <w:r w:rsidR="009376BD">
        <w:t>population</w:t>
      </w:r>
      <w:r>
        <w:t xml:space="preserve"> ratio </w:t>
      </w:r>
      <w:r w:rsidR="009376BD">
        <w:t xml:space="preserve">of 3½ per cent in the initial year and </w:t>
      </w:r>
      <w:r w:rsidR="0077606A">
        <w:t xml:space="preserve">¾ </w:t>
      </w:r>
      <w:r w:rsidR="009376BD">
        <w:t>per cent after five years</w:t>
      </w:r>
      <w:r w:rsidR="00E4280D">
        <w:t xml:space="preserve">, with </w:t>
      </w:r>
      <w:r w:rsidR="00064904">
        <w:t>a</w:t>
      </w:r>
      <w:r w:rsidR="00E32461">
        <w:t xml:space="preserve"> </w:t>
      </w:r>
      <w:r w:rsidR="00E32461" w:rsidRPr="00E32461">
        <w:t>negligible</w:t>
      </w:r>
      <w:r w:rsidR="00791552">
        <w:t xml:space="preserve"> </w:t>
      </w:r>
      <w:r w:rsidR="00064904">
        <w:t>effect</w:t>
      </w:r>
      <w:r w:rsidR="00E32461" w:rsidRPr="00E32461">
        <w:t xml:space="preserve"> </w:t>
      </w:r>
      <w:r w:rsidR="00FA767B">
        <w:t>ten</w:t>
      </w:r>
      <w:r w:rsidR="009376BD">
        <w:t xml:space="preserve"> years on</w:t>
      </w:r>
      <w:r w:rsidR="00791552">
        <w:t>.</w:t>
      </w:r>
      <w:r>
        <w:t xml:space="preserve"> </w:t>
      </w:r>
      <w:r w:rsidR="00C94849">
        <w:t>T</w:t>
      </w:r>
      <w:r w:rsidR="00C94849" w:rsidRPr="00E32461">
        <w:t>he</w:t>
      </w:r>
      <w:r w:rsidR="00E4280D">
        <w:t>se</w:t>
      </w:r>
      <w:r w:rsidR="00C94849" w:rsidRPr="00E32461">
        <w:t xml:space="preserve"> </w:t>
      </w:r>
      <w:r w:rsidR="00E4280D">
        <w:t>effects</w:t>
      </w:r>
      <w:r w:rsidR="00C94849" w:rsidRPr="00E32461">
        <w:t xml:space="preserve"> </w:t>
      </w:r>
      <w:r w:rsidR="00E4280D">
        <w:t>are</w:t>
      </w:r>
      <w:r w:rsidR="00C94849" w:rsidRPr="00E32461">
        <w:t xml:space="preserve"> broadly similar</w:t>
      </w:r>
      <w:r w:rsidR="00C94849">
        <w:t xml:space="preserve"> </w:t>
      </w:r>
      <w:r w:rsidR="00E4280D">
        <w:t>in magnitude to those</w:t>
      </w:r>
      <w:r w:rsidR="00C94849">
        <w:t xml:space="preserve"> </w:t>
      </w:r>
      <w:r w:rsidR="00E4280D">
        <w:t>uncover</w:t>
      </w:r>
      <w:r w:rsidR="00C94849">
        <w:t xml:space="preserve">ed </w:t>
      </w:r>
      <w:r w:rsidR="00E4280D">
        <w:t>by</w:t>
      </w:r>
      <w:r w:rsidR="00C94849">
        <w:t xml:space="preserve"> comparable </w:t>
      </w:r>
      <w:r w:rsidR="00E4280D">
        <w:t xml:space="preserve">international </w:t>
      </w:r>
      <w:r w:rsidR="00C94849">
        <w:t>studies.</w:t>
      </w:r>
    </w:p>
    <w:p w14:paraId="0F97F7B8" w14:textId="77777777" w:rsidR="00971C14" w:rsidRDefault="00EB0DD6" w:rsidP="00971C14">
      <w:pPr>
        <w:jc w:val="both"/>
      </w:pPr>
      <w:r>
        <w:t>We show</w:t>
      </w:r>
      <w:r w:rsidR="004835AE">
        <w:t xml:space="preserve"> that s</w:t>
      </w:r>
      <w:r w:rsidR="004835AE">
        <w:rPr>
          <w:lang w:val="en-US" w:eastAsia="en-AU"/>
        </w:rPr>
        <w:t xml:space="preserve">hocks </w:t>
      </w:r>
      <w:r>
        <w:rPr>
          <w:lang w:val="en-US" w:eastAsia="en-AU"/>
        </w:rPr>
        <w:t>which</w:t>
      </w:r>
      <w:r w:rsidR="004835AE">
        <w:rPr>
          <w:lang w:val="en-US" w:eastAsia="en-AU"/>
        </w:rPr>
        <w:t xml:space="preserve"> hit workers at the start of their careers are more important than those that hit </w:t>
      </w:r>
      <w:r w:rsidR="008D7E1F">
        <w:rPr>
          <w:lang w:val="en-US" w:eastAsia="en-AU"/>
        </w:rPr>
        <w:t>later</w:t>
      </w:r>
      <w:r w:rsidR="00C94849">
        <w:rPr>
          <w:lang w:val="en-US" w:eastAsia="en-AU"/>
        </w:rPr>
        <w:t xml:space="preserve">. The heightened exposure of young </w:t>
      </w:r>
      <w:r w:rsidR="00A17F5C">
        <w:rPr>
          <w:lang w:val="en-US" w:eastAsia="en-AU"/>
        </w:rPr>
        <w:t xml:space="preserve">workers </w:t>
      </w:r>
      <w:r w:rsidR="00C94849">
        <w:rPr>
          <w:lang w:val="en-US" w:eastAsia="en-AU"/>
        </w:rPr>
        <w:t xml:space="preserve">to shocks has been attributed to </w:t>
      </w:r>
      <w:r w:rsidR="00A17F5C">
        <w:rPr>
          <w:lang w:val="en-US" w:eastAsia="en-AU"/>
        </w:rPr>
        <w:t xml:space="preserve">a number of factors including: </w:t>
      </w:r>
      <w:proofErr w:type="spellStart"/>
      <w:r w:rsidR="00A17F5C" w:rsidRPr="00A17F5C">
        <w:rPr>
          <w:i/>
          <w:lang w:val="en-US" w:eastAsia="en-AU"/>
        </w:rPr>
        <w:t>i</w:t>
      </w:r>
      <w:proofErr w:type="spellEnd"/>
      <w:r w:rsidR="00A17F5C">
        <w:rPr>
          <w:lang w:val="en-US" w:eastAsia="en-AU"/>
        </w:rPr>
        <w:t>)</w:t>
      </w:r>
      <w:r w:rsidR="00C94849">
        <w:rPr>
          <w:lang w:val="en-US" w:eastAsia="en-AU"/>
        </w:rPr>
        <w:t xml:space="preserve"> </w:t>
      </w:r>
      <w:r w:rsidR="00A775CD">
        <w:rPr>
          <w:lang w:val="en-US" w:eastAsia="en-AU"/>
        </w:rPr>
        <w:t>their need to sort into well</w:t>
      </w:r>
      <w:r w:rsidR="006E4AC4">
        <w:rPr>
          <w:lang w:val="en-US" w:eastAsia="en-AU"/>
        </w:rPr>
        <w:noBreakHyphen/>
      </w:r>
      <w:r w:rsidR="00A775CD">
        <w:rPr>
          <w:lang w:val="en-US" w:eastAsia="en-AU"/>
        </w:rPr>
        <w:t xml:space="preserve">matched jobs </w:t>
      </w:r>
      <w:r w:rsidR="00941BFF">
        <w:rPr>
          <w:lang w:val="en-US" w:eastAsia="en-AU"/>
        </w:rPr>
        <w:t xml:space="preserve">in </w:t>
      </w:r>
      <w:r w:rsidR="004177BE">
        <w:rPr>
          <w:lang w:val="en-US" w:eastAsia="en-AU"/>
        </w:rPr>
        <w:t>the formative years of their careers</w:t>
      </w:r>
      <w:r w:rsidR="00706C22">
        <w:rPr>
          <w:lang w:val="en-US" w:eastAsia="en-AU"/>
        </w:rPr>
        <w:t xml:space="preserve"> (e.g. </w:t>
      </w:r>
      <w:proofErr w:type="spellStart"/>
      <w:r w:rsidR="00706C22">
        <w:rPr>
          <w:lang w:val="en-US" w:eastAsia="en-AU"/>
        </w:rPr>
        <w:t>Topel</w:t>
      </w:r>
      <w:proofErr w:type="spellEnd"/>
      <w:r w:rsidR="00706C22">
        <w:rPr>
          <w:lang w:val="en-US" w:eastAsia="en-AU"/>
        </w:rPr>
        <w:t xml:space="preserve"> and Ward 1992)</w:t>
      </w:r>
      <w:r w:rsidR="00A17F5C">
        <w:rPr>
          <w:lang w:val="en-US" w:eastAsia="en-AU"/>
        </w:rPr>
        <w:t xml:space="preserve">; </w:t>
      </w:r>
      <w:r w:rsidR="00A17F5C" w:rsidRPr="00A17F5C">
        <w:rPr>
          <w:i/>
          <w:lang w:val="en-US" w:eastAsia="en-AU"/>
        </w:rPr>
        <w:t>ii</w:t>
      </w:r>
      <w:r w:rsidR="00A17F5C">
        <w:rPr>
          <w:lang w:val="en-US" w:eastAsia="en-AU"/>
        </w:rPr>
        <w:t>)</w:t>
      </w:r>
      <w:r w:rsidR="00A775CD">
        <w:rPr>
          <w:lang w:val="en-US" w:eastAsia="en-AU"/>
        </w:rPr>
        <w:t xml:space="preserve"> the inability of</w:t>
      </w:r>
      <w:r w:rsidR="00C94849">
        <w:rPr>
          <w:lang w:val="en-US" w:eastAsia="en-AU"/>
        </w:rPr>
        <w:t xml:space="preserve"> new entrants </w:t>
      </w:r>
      <w:r w:rsidR="00A775CD">
        <w:rPr>
          <w:lang w:val="en-US" w:eastAsia="en-AU"/>
        </w:rPr>
        <w:t>to</w:t>
      </w:r>
      <w:r w:rsidR="008D7E1F">
        <w:rPr>
          <w:lang w:val="en-US" w:eastAsia="en-AU"/>
        </w:rPr>
        <w:t xml:space="preserve"> shelter</w:t>
      </w:r>
      <w:r w:rsidR="00C94849">
        <w:rPr>
          <w:lang w:val="en-US" w:eastAsia="en-AU"/>
        </w:rPr>
        <w:t xml:space="preserve"> in existing jobs</w:t>
      </w:r>
      <w:r w:rsidR="00A17F5C">
        <w:rPr>
          <w:lang w:val="en-US" w:eastAsia="en-AU"/>
        </w:rPr>
        <w:t xml:space="preserve">; </w:t>
      </w:r>
      <w:r w:rsidR="00A17F5C" w:rsidRPr="00A17F5C">
        <w:rPr>
          <w:i/>
          <w:lang w:val="en-US" w:eastAsia="en-AU"/>
        </w:rPr>
        <w:t>iii</w:t>
      </w:r>
      <w:r w:rsidR="00A17F5C">
        <w:rPr>
          <w:lang w:val="en-US" w:eastAsia="en-AU"/>
        </w:rPr>
        <w:t>)</w:t>
      </w:r>
      <w:r w:rsidR="00C94849">
        <w:rPr>
          <w:lang w:val="en-US" w:eastAsia="en-AU"/>
        </w:rPr>
        <w:t xml:space="preserve"> the so</w:t>
      </w:r>
      <w:r w:rsidR="006E4AC4">
        <w:rPr>
          <w:lang w:val="en-US" w:eastAsia="en-AU"/>
        </w:rPr>
        <w:noBreakHyphen/>
      </w:r>
      <w:r w:rsidR="00C94849">
        <w:rPr>
          <w:lang w:val="en-US" w:eastAsia="en-AU"/>
        </w:rPr>
        <w:t>called</w:t>
      </w:r>
      <w:r w:rsidR="008D7E1F">
        <w:rPr>
          <w:lang w:val="en-US" w:eastAsia="en-AU"/>
        </w:rPr>
        <w:t xml:space="preserve"> </w:t>
      </w:r>
      <w:r w:rsidR="008C72F9">
        <w:rPr>
          <w:lang w:val="en-US" w:eastAsia="en-AU"/>
        </w:rPr>
        <w:t>last</w:t>
      </w:r>
      <w:r w:rsidR="006E4AC4">
        <w:rPr>
          <w:lang w:val="en-US" w:eastAsia="en-AU"/>
        </w:rPr>
        <w:noBreakHyphen/>
      </w:r>
      <w:r w:rsidR="008D7E1F">
        <w:rPr>
          <w:lang w:val="en-US" w:eastAsia="en-AU"/>
        </w:rPr>
        <w:t>in</w:t>
      </w:r>
      <w:r w:rsidR="00C94849">
        <w:rPr>
          <w:lang w:val="en-US" w:eastAsia="en-AU"/>
        </w:rPr>
        <w:t>,</w:t>
      </w:r>
      <w:r w:rsidR="008D7E1F">
        <w:rPr>
          <w:lang w:val="en-US" w:eastAsia="en-AU"/>
        </w:rPr>
        <w:t xml:space="preserve"> first</w:t>
      </w:r>
      <w:r w:rsidR="006E4AC4">
        <w:rPr>
          <w:lang w:val="en-US" w:eastAsia="en-AU"/>
        </w:rPr>
        <w:noBreakHyphen/>
      </w:r>
      <w:r w:rsidR="008D7E1F">
        <w:rPr>
          <w:lang w:val="en-US" w:eastAsia="en-AU"/>
        </w:rPr>
        <w:t xml:space="preserve">out </w:t>
      </w:r>
      <w:r w:rsidR="00C94849">
        <w:rPr>
          <w:lang w:val="en-US" w:eastAsia="en-AU"/>
        </w:rPr>
        <w:t xml:space="preserve">phenomenon with respect to </w:t>
      </w:r>
      <w:proofErr w:type="spellStart"/>
      <w:r w:rsidR="00C94849">
        <w:rPr>
          <w:lang w:val="en-US" w:eastAsia="en-AU"/>
        </w:rPr>
        <w:t>labour</w:t>
      </w:r>
      <w:proofErr w:type="spellEnd"/>
      <w:r w:rsidR="00C94849">
        <w:rPr>
          <w:lang w:val="en-US" w:eastAsia="en-AU"/>
        </w:rPr>
        <w:t xml:space="preserve"> adjustment</w:t>
      </w:r>
      <w:r w:rsidR="00A17F5C">
        <w:rPr>
          <w:lang w:val="en-US" w:eastAsia="en-AU"/>
        </w:rPr>
        <w:t>;</w:t>
      </w:r>
      <w:r w:rsidR="008D7E1F">
        <w:rPr>
          <w:lang w:val="en-US" w:eastAsia="en-AU"/>
        </w:rPr>
        <w:t xml:space="preserve"> </w:t>
      </w:r>
      <w:r w:rsidR="00A17F5C" w:rsidRPr="00A17F5C">
        <w:rPr>
          <w:i/>
          <w:lang w:val="en-US" w:eastAsia="en-AU"/>
        </w:rPr>
        <w:t>iv</w:t>
      </w:r>
      <w:r w:rsidR="00A17F5C">
        <w:rPr>
          <w:lang w:val="en-US" w:eastAsia="en-AU"/>
        </w:rPr>
        <w:t xml:space="preserve">) </w:t>
      </w:r>
      <w:r w:rsidR="008D7E1F">
        <w:rPr>
          <w:lang w:val="en-US" w:eastAsia="en-AU"/>
        </w:rPr>
        <w:t>the greater cyclicality of young fi</w:t>
      </w:r>
      <w:r w:rsidR="008D7E1F" w:rsidRPr="00D708C1">
        <w:rPr>
          <w:lang w:val="en-US" w:eastAsia="en-AU"/>
        </w:rPr>
        <w:t>rms</w:t>
      </w:r>
      <w:r w:rsidR="00706C22">
        <w:rPr>
          <w:lang w:val="en-US" w:eastAsia="en-AU"/>
        </w:rPr>
        <w:t>, who tend to employ young workers</w:t>
      </w:r>
      <w:r w:rsidR="00C94849" w:rsidRPr="00D708C1">
        <w:rPr>
          <w:lang w:val="en-US" w:eastAsia="en-AU"/>
        </w:rPr>
        <w:t xml:space="preserve"> (</w:t>
      </w:r>
      <w:r w:rsidR="00706C22">
        <w:rPr>
          <w:lang w:val="en-US" w:eastAsia="en-AU"/>
        </w:rPr>
        <w:t xml:space="preserve">e.g. </w:t>
      </w:r>
      <w:r w:rsidR="00706C22" w:rsidRPr="00FF24F2">
        <w:rPr>
          <w:lang w:val="en-US" w:eastAsia="en-AU"/>
        </w:rPr>
        <w:t xml:space="preserve">Davis and </w:t>
      </w:r>
      <w:proofErr w:type="spellStart"/>
      <w:r w:rsidR="00706C22" w:rsidRPr="00FF24F2">
        <w:rPr>
          <w:lang w:val="en-US" w:eastAsia="en-AU"/>
        </w:rPr>
        <w:t>Haltiwanger</w:t>
      </w:r>
      <w:proofErr w:type="spellEnd"/>
      <w:r w:rsidR="00706C22" w:rsidRPr="00FF24F2">
        <w:rPr>
          <w:lang w:val="en-US" w:eastAsia="en-AU"/>
        </w:rPr>
        <w:t xml:space="preserve"> 2019</w:t>
      </w:r>
      <w:r w:rsidR="00706C22">
        <w:rPr>
          <w:lang w:val="en-US" w:eastAsia="en-AU"/>
        </w:rPr>
        <w:t xml:space="preserve">; </w:t>
      </w:r>
      <w:r w:rsidR="00706C22" w:rsidRPr="006E1E79">
        <w:rPr>
          <w:lang w:val="en-US" w:eastAsia="en-AU"/>
        </w:rPr>
        <w:t>Andrews 2019</w:t>
      </w:r>
      <w:r w:rsidR="00C94849" w:rsidRPr="00D708C1">
        <w:rPr>
          <w:lang w:val="en-US" w:eastAsia="en-AU"/>
        </w:rPr>
        <w:t>)</w:t>
      </w:r>
      <w:r w:rsidR="004177BE" w:rsidRPr="00D708C1">
        <w:rPr>
          <w:lang w:val="en-US" w:eastAsia="en-AU"/>
        </w:rPr>
        <w:t>;</w:t>
      </w:r>
      <w:r w:rsidR="00D708C1" w:rsidRPr="00D708C1">
        <w:rPr>
          <w:lang w:val="en-US" w:eastAsia="en-AU"/>
        </w:rPr>
        <w:t xml:space="preserve"> and</w:t>
      </w:r>
      <w:r w:rsidR="004177BE" w:rsidRPr="00D708C1">
        <w:rPr>
          <w:lang w:val="en-US" w:eastAsia="en-AU"/>
        </w:rPr>
        <w:t xml:space="preserve"> </w:t>
      </w:r>
      <w:r w:rsidR="004177BE" w:rsidRPr="00DB26E7">
        <w:rPr>
          <w:i/>
          <w:lang w:val="en-US" w:eastAsia="en-AU"/>
        </w:rPr>
        <w:t>v</w:t>
      </w:r>
      <w:r w:rsidR="004177BE" w:rsidRPr="00D708C1">
        <w:rPr>
          <w:lang w:val="en-US" w:eastAsia="en-AU"/>
        </w:rPr>
        <w:t xml:space="preserve">) greater </w:t>
      </w:r>
      <w:r w:rsidR="00D708C1" w:rsidRPr="00D708C1">
        <w:rPr>
          <w:lang w:val="en-US" w:eastAsia="en-AU"/>
        </w:rPr>
        <w:t>exposure</w:t>
      </w:r>
      <w:r w:rsidR="004177BE" w:rsidRPr="00D708C1">
        <w:rPr>
          <w:lang w:val="en-US" w:eastAsia="en-AU"/>
        </w:rPr>
        <w:t xml:space="preserve"> to psychological scarring and signaling effects given the lack of past employment history.</w:t>
      </w:r>
      <w:r w:rsidR="008D7E1F">
        <w:rPr>
          <w:lang w:val="en-US" w:eastAsia="en-AU"/>
        </w:rPr>
        <w:t xml:space="preserve"> </w:t>
      </w:r>
    </w:p>
    <w:p w14:paraId="54070660" w14:textId="77777777" w:rsidR="00971C14" w:rsidRDefault="00971C14" w:rsidP="00971C14">
      <w:pPr>
        <w:jc w:val="both"/>
      </w:pPr>
      <w:r>
        <w:t xml:space="preserve">One </w:t>
      </w:r>
      <w:r w:rsidR="0065303C">
        <w:t>identification</w:t>
      </w:r>
      <w:r>
        <w:t xml:space="preserve"> concern is that </w:t>
      </w:r>
      <w:r w:rsidR="0065303C">
        <w:t xml:space="preserve">the </w:t>
      </w:r>
      <w:r w:rsidR="00A73D69">
        <w:t xml:space="preserve">contemporaneous </w:t>
      </w:r>
      <w:r w:rsidR="0065303C">
        <w:t>variation in</w:t>
      </w:r>
      <w:r w:rsidR="001B0303">
        <w:t xml:space="preserve"> the</w:t>
      </w:r>
      <w:r w:rsidR="0065303C">
        <w:t xml:space="preserve"> unemployment rate </w:t>
      </w:r>
      <w:r w:rsidR="009073CF">
        <w:t>might</w:t>
      </w:r>
      <w:r w:rsidR="0065303C">
        <w:t xml:space="preserve"> </w:t>
      </w:r>
      <w:r w:rsidR="00FA767B">
        <w:t xml:space="preserve">be </w:t>
      </w:r>
      <w:r w:rsidR="0065303C">
        <w:t xml:space="preserve">correlated with other factors that </w:t>
      </w:r>
      <w:r w:rsidR="009073CF">
        <w:t>influence</w:t>
      </w:r>
      <w:r w:rsidR="0065303C">
        <w:t xml:space="preserve"> subsequent earnings, such as</w:t>
      </w:r>
      <w:r w:rsidR="006C4EA8">
        <w:t xml:space="preserve"> emigration or further study choices that affect</w:t>
      </w:r>
      <w:r w:rsidR="0065303C">
        <w:t xml:space="preserve"> the composition of the graduate cohort</w:t>
      </w:r>
      <w:r w:rsidR="006C4EA8">
        <w:t>,</w:t>
      </w:r>
      <w:r w:rsidR="0065303C">
        <w:t xml:space="preserve"> </w:t>
      </w:r>
      <w:r w:rsidR="00A73D69">
        <w:t>or the future u</w:t>
      </w:r>
      <w:r w:rsidR="00A73D69" w:rsidRPr="003C5BAE">
        <w:rPr>
          <w:color w:val="auto"/>
        </w:rPr>
        <w:t xml:space="preserve">nemployment rate. </w:t>
      </w:r>
      <w:r w:rsidR="006C4EA8">
        <w:rPr>
          <w:color w:val="auto"/>
        </w:rPr>
        <w:t>To address these concerns, w</w:t>
      </w:r>
      <w:r w:rsidR="00A73D69" w:rsidRPr="003C5BAE">
        <w:rPr>
          <w:color w:val="auto"/>
        </w:rPr>
        <w:t>e</w:t>
      </w:r>
      <w:r w:rsidR="00281134" w:rsidRPr="003C5BAE">
        <w:rPr>
          <w:color w:val="auto"/>
        </w:rPr>
        <w:t xml:space="preserve"> first</w:t>
      </w:r>
      <w:r w:rsidR="00A73D69" w:rsidRPr="003C5BAE">
        <w:rPr>
          <w:color w:val="auto"/>
        </w:rPr>
        <w:t xml:space="preserve"> show that shocks to the youth unemployment rate do not </w:t>
      </w:r>
      <w:r w:rsidR="00FA767B">
        <w:rPr>
          <w:color w:val="auto"/>
        </w:rPr>
        <w:t>have</w:t>
      </w:r>
      <w:r>
        <w:rPr>
          <w:color w:val="auto"/>
        </w:rPr>
        <w:t xml:space="preserve"> a </w:t>
      </w:r>
      <w:r w:rsidR="00A73D69" w:rsidRPr="003C5BAE">
        <w:rPr>
          <w:color w:val="auto"/>
        </w:rPr>
        <w:t xml:space="preserve">meaningful impact on </w:t>
      </w:r>
      <w:r w:rsidR="006C4EA8">
        <w:rPr>
          <w:color w:val="auto"/>
        </w:rPr>
        <w:t xml:space="preserve">rates of further study </w:t>
      </w:r>
      <w:r w:rsidR="00491CDB">
        <w:rPr>
          <w:color w:val="auto"/>
        </w:rPr>
        <w:t>or</w:t>
      </w:r>
      <w:r w:rsidR="006C4EA8">
        <w:rPr>
          <w:color w:val="auto"/>
        </w:rPr>
        <w:t xml:space="preserve"> emigration</w:t>
      </w:r>
      <w:r w:rsidR="00281134" w:rsidRPr="003C5BAE">
        <w:rPr>
          <w:color w:val="auto"/>
        </w:rPr>
        <w:t>, suggesting th</w:t>
      </w:r>
      <w:r w:rsidR="00FA767B">
        <w:rPr>
          <w:color w:val="auto"/>
        </w:rPr>
        <w:t>at th</w:t>
      </w:r>
      <w:r w:rsidR="00281134" w:rsidRPr="003C5BAE">
        <w:rPr>
          <w:color w:val="auto"/>
        </w:rPr>
        <w:t xml:space="preserve">e results are unlikely to be driven by selection effects. </w:t>
      </w:r>
      <w:r w:rsidR="00491CDB">
        <w:rPr>
          <w:color w:val="auto"/>
        </w:rPr>
        <w:t xml:space="preserve">We then go on to estimate a </w:t>
      </w:r>
      <w:r>
        <w:t>dynamic model</w:t>
      </w:r>
      <w:r w:rsidR="00491CDB">
        <w:t xml:space="preserve"> that</w:t>
      </w:r>
      <w:r>
        <w:t xml:space="preserve"> controls for persistence </w:t>
      </w:r>
      <w:r w:rsidR="00281134">
        <w:t>in youth unemployment rates</w:t>
      </w:r>
      <w:r w:rsidR="00491CDB">
        <w:t xml:space="preserve">. This </w:t>
      </w:r>
      <w:r w:rsidR="003C5BAE">
        <w:t xml:space="preserve">yields </w:t>
      </w:r>
      <w:r w:rsidR="003A26A5">
        <w:t>qualitatively similar</w:t>
      </w:r>
      <w:r w:rsidR="006E4AC4">
        <w:t xml:space="preserve"> — </w:t>
      </w:r>
      <w:r w:rsidR="003A26A5">
        <w:t>albeit somewhat</w:t>
      </w:r>
      <w:r>
        <w:t xml:space="preserve"> more modest</w:t>
      </w:r>
      <w:r w:rsidR="006E4AC4">
        <w:t xml:space="preserve"> — </w:t>
      </w:r>
      <w:r w:rsidR="006C4EA8">
        <w:t xml:space="preserve">results to our </w:t>
      </w:r>
      <w:r w:rsidR="006C4EA8">
        <w:lastRenderedPageBreak/>
        <w:t xml:space="preserve">baseline </w:t>
      </w:r>
      <w:r w:rsidR="0005155C">
        <w:t>m</w:t>
      </w:r>
      <w:r w:rsidR="006C4EA8">
        <w:t>odel</w:t>
      </w:r>
      <w:r w:rsidR="00012004">
        <w:t>, reflecting the fact</w:t>
      </w:r>
      <w:r w:rsidR="00491CDB">
        <w:t xml:space="preserve"> tha</w:t>
      </w:r>
      <w:r w:rsidR="0005155C">
        <w:t>t</w:t>
      </w:r>
      <w:r w:rsidR="00491CDB">
        <w:t xml:space="preserve"> </w:t>
      </w:r>
      <w:r w:rsidR="00012004">
        <w:t>the evolution</w:t>
      </w:r>
      <w:r w:rsidR="00491CDB">
        <w:t xml:space="preserve"> of the </w:t>
      </w:r>
      <w:r w:rsidR="00012004">
        <w:t>unemployment rate following the initial shock partly shapes the earnings</w:t>
      </w:r>
      <w:r w:rsidR="006E4AC4">
        <w:noBreakHyphen/>
      </w:r>
      <w:r w:rsidR="00012004">
        <w:t>experience profile</w:t>
      </w:r>
      <w:r w:rsidR="003A26A5">
        <w:t>.</w:t>
      </w:r>
      <w:r w:rsidR="00D0407F">
        <w:t xml:space="preserve"> This</w:t>
      </w:r>
      <w:r>
        <w:t xml:space="preserve"> </w:t>
      </w:r>
      <w:r w:rsidR="00D0407F">
        <w:t>highlights the potential role for timely and effective macroeconomic stabilisation policies which, by support</w:t>
      </w:r>
      <w:r w:rsidR="00F967F6">
        <w:t>ing</w:t>
      </w:r>
      <w:r w:rsidR="00D0407F">
        <w:t xml:space="preserve"> a rapid re</w:t>
      </w:r>
      <w:r w:rsidR="00A90780">
        <w:t xml:space="preserve">covery in the </w:t>
      </w:r>
      <w:r w:rsidR="002C177F">
        <w:t>labour market</w:t>
      </w:r>
      <w:r w:rsidR="00A90780">
        <w:t>, can reduce any scarring purely associated with a more drawn</w:t>
      </w:r>
      <w:r w:rsidR="006E4AC4">
        <w:noBreakHyphen/>
      </w:r>
      <w:r w:rsidR="00A90780">
        <w:t>out recovery.</w:t>
      </w:r>
      <w:r w:rsidR="00B03947">
        <w:t xml:space="preserve"> </w:t>
      </w:r>
      <w:r w:rsidR="00A90780">
        <w:t>The remaining component of scarring is best thought of as something then experienced by individuals exposed to the initial adverse shock, but no longer facing adverse macroeconomic conditions.</w:t>
      </w:r>
    </w:p>
    <w:p w14:paraId="2C8C7FBC" w14:textId="77777777" w:rsidR="00971C14" w:rsidRDefault="00971C14" w:rsidP="00971C14">
      <w:pPr>
        <w:jc w:val="both"/>
      </w:pPr>
      <w:r>
        <w:t>We then explore heterogeneous effects</w:t>
      </w:r>
      <w:r w:rsidR="006E4AC4">
        <w:t xml:space="preserve"> — </w:t>
      </w:r>
      <w:r w:rsidR="000E52A1">
        <w:t>initially</w:t>
      </w:r>
      <w:r w:rsidR="00381B88">
        <w:t xml:space="preserve"> with respect to the characteristics of the individuals and institution</w:t>
      </w:r>
      <w:r w:rsidR="006E4AC4">
        <w:t xml:space="preserve"> — </w:t>
      </w:r>
      <w:r w:rsidR="00381B88">
        <w:t>in order</w:t>
      </w:r>
      <w:r>
        <w:t xml:space="preserve"> to better understand the underlying mechanisms at work. </w:t>
      </w:r>
      <w:r w:rsidR="00381B88">
        <w:t>W</w:t>
      </w:r>
      <w:r>
        <w:t xml:space="preserve">e find that individuals graduating with an honours (or other postgraduate) degree </w:t>
      </w:r>
      <w:r w:rsidR="003A714B">
        <w:t>are</w:t>
      </w:r>
      <w:r>
        <w:t xml:space="preserve"> less affected by scarring than those with a bachelor</w:t>
      </w:r>
      <w:r w:rsidR="006E4AC4">
        <w:t>’</w:t>
      </w:r>
      <w:r w:rsidR="00EA4608">
        <w:t>s</w:t>
      </w:r>
      <w:r>
        <w:t xml:space="preserve"> degree. </w:t>
      </w:r>
      <w:r w:rsidR="00FA767B">
        <w:t>The same is true</w:t>
      </w:r>
      <w:r>
        <w:t xml:space="preserve"> for graduates of Group of Eight universities </w:t>
      </w:r>
      <w:r w:rsidR="00381B88">
        <w:t xml:space="preserve">compared to </w:t>
      </w:r>
      <w:r>
        <w:t xml:space="preserve">graduates from other universities. These results are consistent with international evidence which suggests that the careers of more advantaged individuals are less likely to be disrupted by adverse labour market shocks. That said, while we find evidence of scarring for young individuals who do not attend university, these effects </w:t>
      </w:r>
      <w:r w:rsidR="005A0BE6">
        <w:t xml:space="preserve">appear to be more </w:t>
      </w:r>
      <w:r>
        <w:t>modest than for university graduates. This suggests that</w:t>
      </w:r>
      <w:r w:rsidR="00381B88">
        <w:t xml:space="preserve"> the </w:t>
      </w:r>
      <w:r>
        <w:t xml:space="preserve">scarring mechanism </w:t>
      </w:r>
      <w:r w:rsidR="00381B88">
        <w:t>underlying</w:t>
      </w:r>
      <w:r w:rsidR="00FA767B">
        <w:t xml:space="preserve"> our results </w:t>
      </w:r>
      <w:r w:rsidR="00032D6D">
        <w:t>may relate</w:t>
      </w:r>
      <w:r>
        <w:t xml:space="preserve"> to </w:t>
      </w:r>
      <w:r w:rsidR="00F00414">
        <w:t xml:space="preserve">poor </w:t>
      </w:r>
      <w:r>
        <w:t>match quality</w:t>
      </w:r>
      <w:r w:rsidR="0057655D">
        <w:t xml:space="preserve"> and/or human capital</w:t>
      </w:r>
      <w:r>
        <w:t xml:space="preserve"> depreciation</w:t>
      </w:r>
      <w:r w:rsidR="006E4AC4">
        <w:t xml:space="preserve"> — </w:t>
      </w:r>
      <w:r w:rsidR="0057655D">
        <w:t xml:space="preserve">two factors </w:t>
      </w:r>
      <w:r w:rsidR="00F07E2A">
        <w:t>which may</w:t>
      </w:r>
      <w:r w:rsidR="00FF33AF">
        <w:t xml:space="preserve"> be less relevant for lower</w:t>
      </w:r>
      <w:r w:rsidR="006E4AC4">
        <w:noBreakHyphen/>
      </w:r>
      <w:r>
        <w:t>skilled workers.</w:t>
      </w:r>
      <w:r w:rsidR="00FD2B0C">
        <w:t xml:space="preserve"> </w:t>
      </w:r>
      <w:r w:rsidR="00CD4032">
        <w:t>Finally, we find</w:t>
      </w:r>
      <w:r w:rsidR="000B55D5">
        <w:t xml:space="preserve"> labour market scarring </w:t>
      </w:r>
      <w:r w:rsidR="007A7C13">
        <w:t>is more persistent</w:t>
      </w:r>
      <w:r w:rsidR="000B55D5">
        <w:t xml:space="preserve"> for women than </w:t>
      </w:r>
      <w:r w:rsidR="007A7C13">
        <w:t>it is for</w:t>
      </w:r>
      <w:r w:rsidR="000B55D5">
        <w:t xml:space="preserve"> men. </w:t>
      </w:r>
    </w:p>
    <w:p w14:paraId="250D0BD7" w14:textId="77777777" w:rsidR="00B3630D" w:rsidRDefault="00F00414" w:rsidP="00971C14">
      <w:pPr>
        <w:jc w:val="both"/>
      </w:pPr>
      <w:r>
        <w:t>W</w:t>
      </w:r>
      <w:r w:rsidR="00971C14">
        <w:t xml:space="preserve">e find a key role for firms in the operation of the scarring mechanism, with implications for match quality. </w:t>
      </w:r>
      <w:r w:rsidR="003A714B">
        <w:t>G</w:t>
      </w:r>
      <w:r w:rsidR="00971C14">
        <w:t>raduate</w:t>
      </w:r>
      <w:r w:rsidR="00F07E2A">
        <w:t>s</w:t>
      </w:r>
      <w:r w:rsidR="00971C14">
        <w:t xml:space="preserve"> that enter during a weaker economic environment tend to join</w:t>
      </w:r>
      <w:r w:rsidR="00032D6D">
        <w:t xml:space="preserve"> (or remain at)</w:t>
      </w:r>
      <w:r w:rsidR="00971C14">
        <w:t xml:space="preserve"> lower productivity firms, suggesting that adverse shocks undermine match quality. This effect</w:t>
      </w:r>
      <w:r w:rsidR="006E4AC4">
        <w:t xml:space="preserve"> — </w:t>
      </w:r>
      <w:r w:rsidR="00FA7AEC">
        <w:t>which is more pronounced for women</w:t>
      </w:r>
      <w:r w:rsidR="006E4AC4">
        <w:t xml:space="preserve"> — </w:t>
      </w:r>
      <w:r w:rsidR="00971C14">
        <w:t>persists for a</w:t>
      </w:r>
      <w:r w:rsidR="003A714B">
        <w:t xml:space="preserve"> </w:t>
      </w:r>
      <w:r w:rsidR="00D94753">
        <w:t>number of years</w:t>
      </w:r>
      <w:r w:rsidR="00971C14">
        <w:t xml:space="preserve">. </w:t>
      </w:r>
      <w:r w:rsidR="00F95306">
        <w:t xml:space="preserve">Given the close link between wages and firm productivity (Treasury 2017; </w:t>
      </w:r>
      <w:r w:rsidR="00305F7A">
        <w:t xml:space="preserve">Andrews </w:t>
      </w:r>
      <w:r w:rsidR="00D64734">
        <w:t>et al,</w:t>
      </w:r>
      <w:r w:rsidR="00F95306">
        <w:t xml:space="preserve"> 2019), this result helps </w:t>
      </w:r>
      <w:r w:rsidR="008D784F">
        <w:t>explain why</w:t>
      </w:r>
      <w:r w:rsidR="00F95306">
        <w:t xml:space="preserve"> ou</w:t>
      </w:r>
      <w:r w:rsidR="004B7474">
        <w:t>r</w:t>
      </w:r>
      <w:r w:rsidR="00F95306">
        <w:t xml:space="preserve"> scarring effects are</w:t>
      </w:r>
      <w:r w:rsidR="00FA7AEC">
        <w:t>, on average,</w:t>
      </w:r>
      <w:r w:rsidR="004B7474">
        <w:t xml:space="preserve"> estimated to be</w:t>
      </w:r>
      <w:r>
        <w:t xml:space="preserve"> long</w:t>
      </w:r>
      <w:r w:rsidR="006E4AC4">
        <w:noBreakHyphen/>
      </w:r>
      <w:r w:rsidR="00F95306">
        <w:t>lasting but not permanent</w:t>
      </w:r>
      <w:r w:rsidR="008D784F">
        <w:t>.</w:t>
      </w:r>
    </w:p>
    <w:p w14:paraId="008C07F5" w14:textId="77777777" w:rsidR="00971C14" w:rsidRDefault="007F6B62" w:rsidP="00971C14">
      <w:pPr>
        <w:jc w:val="both"/>
      </w:pPr>
      <w:r>
        <w:t>L</w:t>
      </w:r>
      <w:r w:rsidR="00B3630D">
        <w:t xml:space="preserve">abour mobility </w:t>
      </w:r>
      <w:r>
        <w:t xml:space="preserve">emerges as a key margin for understanding the impact of the initial shock </w:t>
      </w:r>
      <w:r w:rsidR="00B3630D">
        <w:t>and</w:t>
      </w:r>
      <w:r>
        <w:t xml:space="preserve"> recovery process. I</w:t>
      </w:r>
      <w:r w:rsidR="00971C14">
        <w:t xml:space="preserve">ndividuals that graduate in weaker economic times </w:t>
      </w:r>
      <w:r w:rsidR="003A714B">
        <w:t xml:space="preserve">initially </w:t>
      </w:r>
      <w:r>
        <w:t xml:space="preserve">exhibit </w:t>
      </w:r>
      <w:r w:rsidR="00971C14">
        <w:t xml:space="preserve">lower </w:t>
      </w:r>
      <w:r w:rsidR="003A714B">
        <w:t>job</w:t>
      </w:r>
      <w:r w:rsidR="00971C14">
        <w:t xml:space="preserve"> switching rates</w:t>
      </w:r>
      <w:r w:rsidR="00036BC9">
        <w:t xml:space="preserve">. This is </w:t>
      </w:r>
      <w:r w:rsidR="00971C14">
        <w:t xml:space="preserve">consistent </w:t>
      </w:r>
      <w:r w:rsidR="00EA4608">
        <w:t xml:space="preserve">with </w:t>
      </w:r>
      <w:r w:rsidR="00806D6E">
        <w:t xml:space="preserve">a mechanism whereby graduates </w:t>
      </w:r>
      <w:r w:rsidR="00971C14">
        <w:t>keep their part</w:t>
      </w:r>
      <w:r w:rsidR="006E4AC4">
        <w:noBreakHyphen/>
      </w:r>
      <w:r w:rsidR="00971C14">
        <w:t>time university job for longer</w:t>
      </w:r>
      <w:r w:rsidR="00806D6E">
        <w:t xml:space="preserve"> and the observed rise in the graduates since the GFC that are seeking</w:t>
      </w:r>
      <w:r w:rsidR="006E4AC4">
        <w:t xml:space="preserve"> — </w:t>
      </w:r>
      <w:r w:rsidR="00806D6E">
        <w:t>but not currently in</w:t>
      </w:r>
      <w:r w:rsidR="006E4AC4">
        <w:t xml:space="preserve"> — </w:t>
      </w:r>
      <w:r w:rsidR="00806D6E">
        <w:t>fulltime work (Dhillon and Cassidy, 2019)</w:t>
      </w:r>
      <w:r w:rsidR="00971C14">
        <w:t>. But over time, switching rates for this group rise relative to the control group</w:t>
      </w:r>
      <w:r w:rsidR="006E4AC4">
        <w:t xml:space="preserve"> — </w:t>
      </w:r>
      <w:r w:rsidR="00CD4032">
        <w:t>those that graduate in stronger economic times</w:t>
      </w:r>
      <w:r w:rsidR="006E4AC4">
        <w:t xml:space="preserve"> — </w:t>
      </w:r>
      <w:r w:rsidR="00971C14">
        <w:t xml:space="preserve">which allows such workers to move to higher productivity firms and better paying jobs. This is consistent with </w:t>
      </w:r>
      <w:r w:rsidR="00806D6E">
        <w:t xml:space="preserve">the idea </w:t>
      </w:r>
      <w:r w:rsidR="00971C14">
        <w:t>that job switching is</w:t>
      </w:r>
      <w:r w:rsidR="00CD4032">
        <w:t xml:space="preserve"> an important mechanism to un</w:t>
      </w:r>
      <w:r w:rsidR="00971C14">
        <w:t>do the damage of initial poor match quality</w:t>
      </w:r>
      <w:r w:rsidR="00806D6E">
        <w:t xml:space="preserve"> (</w:t>
      </w:r>
      <w:proofErr w:type="spellStart"/>
      <w:r w:rsidR="00806D6E">
        <w:t>Oreopolous</w:t>
      </w:r>
      <w:proofErr w:type="spellEnd"/>
      <w:r w:rsidR="00EA4608">
        <w:t xml:space="preserve"> et al</w:t>
      </w:r>
      <w:r w:rsidR="00806D6E">
        <w:t>, 2012)</w:t>
      </w:r>
      <w:r w:rsidR="00971C14">
        <w:t>.</w:t>
      </w:r>
      <w:r w:rsidR="007A7C13" w:rsidRPr="007A7C13">
        <w:t xml:space="preserve"> </w:t>
      </w:r>
      <w:r w:rsidR="007A7C13">
        <w:t xml:space="preserve">Women have less elevated switching rates in the years following entry into a weak labour market than men, which may </w:t>
      </w:r>
      <w:r w:rsidR="00FA7AEC">
        <w:t>keep the</w:t>
      </w:r>
      <w:r w:rsidR="00941BFF">
        <w:t>m</w:t>
      </w:r>
      <w:r w:rsidR="00FA7AEC">
        <w:t xml:space="preserve"> trapped in low productivity firms for longer and </w:t>
      </w:r>
      <w:r w:rsidR="007A7C13">
        <w:t>explain their more persistent scarring.</w:t>
      </w:r>
    </w:p>
    <w:p w14:paraId="1719F51C" w14:textId="77777777" w:rsidR="00971C14" w:rsidRDefault="009B446F" w:rsidP="0083665F">
      <w:pPr>
        <w:jc w:val="both"/>
      </w:pPr>
      <w:r>
        <w:t>Finally, we show that these scarring effects are more prominent and permanent for individuals who graduated in the post</w:t>
      </w:r>
      <w:r w:rsidR="006E4AC4">
        <w:noBreakHyphen/>
      </w:r>
      <w:r>
        <w:t xml:space="preserve">2000 period. </w:t>
      </w:r>
      <w:r w:rsidR="00971C14">
        <w:t>This is consistent with the decline in job switching</w:t>
      </w:r>
      <w:r w:rsidR="006E4AC4">
        <w:t xml:space="preserve"> — </w:t>
      </w:r>
      <w:r w:rsidR="00971C14">
        <w:t>which has been particularly apparent for young and highly educated groups</w:t>
      </w:r>
      <w:r w:rsidR="006E4AC4">
        <w:t xml:space="preserve"> — </w:t>
      </w:r>
      <w:r w:rsidR="00971C14">
        <w:t>wh</w:t>
      </w:r>
      <w:r w:rsidR="00EA4608">
        <w:t>ich provides less scope to un</w:t>
      </w:r>
      <w:r w:rsidR="00971C14">
        <w:t xml:space="preserve">do poor initial </w:t>
      </w:r>
      <w:r w:rsidR="00806D6E">
        <w:t xml:space="preserve">(firm) match </w:t>
      </w:r>
      <w:r w:rsidR="00971C14">
        <w:t>quality. One implication is that structural reforms that remove barriers to labour mobility are likely to reduce the consequences of graduating in a recession, suggesting an important complementarity between macroeconomic and structural policy</w:t>
      </w:r>
      <w:r w:rsidR="002146E2">
        <w:t xml:space="preserve"> in addressing the short</w:t>
      </w:r>
      <w:r w:rsidR="006E4AC4">
        <w:noBreakHyphen/>
      </w:r>
      <w:r w:rsidR="002146E2">
        <w:t xml:space="preserve"> and longer</w:t>
      </w:r>
      <w:r w:rsidR="006E4AC4">
        <w:noBreakHyphen/>
      </w:r>
      <w:r w:rsidR="0055789C">
        <w:t xml:space="preserve">run </w:t>
      </w:r>
      <w:r w:rsidR="00AD22C5">
        <w:t xml:space="preserve">impacts of labour market </w:t>
      </w:r>
      <w:r w:rsidR="00AD22C5" w:rsidRPr="0029420F">
        <w:t xml:space="preserve">shocks. </w:t>
      </w:r>
    </w:p>
    <w:p w14:paraId="59DCE201" w14:textId="77777777" w:rsidR="00657549" w:rsidRDefault="00971C14" w:rsidP="00FF1E1B">
      <w:pPr>
        <w:jc w:val="both"/>
      </w:pPr>
      <w:r>
        <w:t>The paper proceeds as follows. Section 2 discusses the macroeconomic context and existing literature. Section 3 describes the underlying data and Section 4 outlines the econometric framework. Section 5 then presents the baseline results and Section 6 explores the underlying mechanism</w:t>
      </w:r>
      <w:r w:rsidR="00F525B9">
        <w:t>s</w:t>
      </w:r>
      <w:r>
        <w:t>. The final section discusses the broader implications of the results and identifies avenues for future research.</w:t>
      </w:r>
    </w:p>
    <w:p w14:paraId="09D71380" w14:textId="77777777" w:rsidR="00742F4E" w:rsidRDefault="00350CDF" w:rsidP="00657549">
      <w:pPr>
        <w:pStyle w:val="Heading2"/>
      </w:pPr>
      <w:r>
        <w:lastRenderedPageBreak/>
        <w:t xml:space="preserve">2. </w:t>
      </w:r>
      <w:r w:rsidR="00A03AE4">
        <w:t xml:space="preserve">Macroeconomic </w:t>
      </w:r>
      <w:r w:rsidR="00A40286">
        <w:t>context</w:t>
      </w:r>
      <w:r w:rsidR="006D23A5">
        <w:t xml:space="preserve"> and literature</w:t>
      </w:r>
    </w:p>
    <w:p w14:paraId="1B13CA1A" w14:textId="77777777" w:rsidR="00662919" w:rsidRDefault="007A450B" w:rsidP="007519C1">
      <w:pPr>
        <w:jc w:val="both"/>
      </w:pPr>
      <w:r>
        <w:t>You</w:t>
      </w:r>
      <w:r w:rsidR="003166F7">
        <w:t>ng people in Australia and across other advanced economies are typically more subject to cyclical volatility in the labour market</w:t>
      </w:r>
      <w:r w:rsidR="00662919">
        <w:t xml:space="preserve"> (</w:t>
      </w:r>
      <w:r w:rsidR="00CB08CE">
        <w:t>Figure 1</w:t>
      </w:r>
      <w:r w:rsidR="00662919">
        <w:t>)</w:t>
      </w:r>
      <w:r w:rsidR="007519C1">
        <w:t>: y</w:t>
      </w:r>
      <w:r w:rsidR="00662919">
        <w:t xml:space="preserve">outh unemployment rates rise and fall more markedly in busts and booms than the aggregate unemployment rate. </w:t>
      </w:r>
      <w:r w:rsidR="0076592F">
        <w:t>The experien</w:t>
      </w:r>
      <w:r w:rsidR="00FE51FF">
        <w:t>ce of the Global Financial Crisi</w:t>
      </w:r>
      <w:r w:rsidR="0076592F">
        <w:t>s</w:t>
      </w:r>
      <w:r w:rsidR="001B4291">
        <w:t xml:space="preserve"> (GFC)</w:t>
      </w:r>
      <w:r w:rsidR="00FE51FF">
        <w:t xml:space="preserve"> </w:t>
      </w:r>
      <w:r w:rsidR="0076592F">
        <w:t xml:space="preserve">was no different, </w:t>
      </w:r>
      <w:r w:rsidR="001B4291">
        <w:t xml:space="preserve">with </w:t>
      </w:r>
      <w:r w:rsidR="0076592F">
        <w:t xml:space="preserve">youth unemployment </w:t>
      </w:r>
      <w:r w:rsidR="001B4291">
        <w:t>rising by around 3 percentage points in Australia and 5</w:t>
      </w:r>
      <w:r w:rsidR="006D23A5">
        <w:t> </w:t>
      </w:r>
      <w:r w:rsidR="001B4291">
        <w:t>percentage points across the OECD.</w:t>
      </w:r>
      <w:r w:rsidR="00FE51FF">
        <w:t xml:space="preserve"> Since then, the youth labour market has been relatively slow to recover, generating substantial concern among policymakers (OECD 2016).</w:t>
      </w:r>
    </w:p>
    <w:p w14:paraId="613D0E8D" w14:textId="77777777" w:rsidR="001B4291" w:rsidRDefault="00FE51FF" w:rsidP="007519C1">
      <w:pPr>
        <w:jc w:val="both"/>
      </w:pPr>
      <w:r>
        <w:t>In Australia,</w:t>
      </w:r>
      <w:r w:rsidR="00993C3E">
        <w:t xml:space="preserve"> while</w:t>
      </w:r>
      <w:r>
        <w:t xml:space="preserve"> the rise in youth unemployment </w:t>
      </w:r>
      <w:r w:rsidR="009154FD">
        <w:t>was less pronounced than the OECD as a whole</w:t>
      </w:r>
      <w:r w:rsidR="00993C3E">
        <w:t>, the youth labour market has remained a topic of substantial interest to policymakers. Dhillon and Cassidy (2018) document key trends</w:t>
      </w:r>
      <w:r w:rsidR="00F15153">
        <w:t xml:space="preserve"> that point to spare capacity in the youth labour market,</w:t>
      </w:r>
      <w:r w:rsidR="00993C3E">
        <w:t xml:space="preserve"> including </w:t>
      </w:r>
      <w:r w:rsidR="00F15153">
        <w:t>elevated levels of unemployment, underemployment and disengagement from the labour force.</w:t>
      </w:r>
      <w:r w:rsidR="00AC0DE2">
        <w:t xml:space="preserve"> This has been reflected in a widening earnings gap between young and old workers</w:t>
      </w:r>
      <w:r w:rsidR="006E4AC4">
        <w:t xml:space="preserve"> — </w:t>
      </w:r>
      <w:r w:rsidR="00FF1B82">
        <w:t xml:space="preserve">indeed a range of studies </w:t>
      </w:r>
      <w:r w:rsidR="006D23A5">
        <w:t>have highlighted that weak wage and income</w:t>
      </w:r>
      <w:r w:rsidR="00FF1B82">
        <w:t xml:space="preserve"> growth following the GFC ha</w:t>
      </w:r>
      <w:r w:rsidR="0025715F">
        <w:t>s</w:t>
      </w:r>
      <w:r w:rsidR="00FF1B82">
        <w:t xml:space="preserve"> been particularly pronounced for youth (Treasury 2017</w:t>
      </w:r>
      <w:r w:rsidR="00BD466B">
        <w:t>;</w:t>
      </w:r>
      <w:r w:rsidR="00BD466B" w:rsidRPr="00BD466B">
        <w:t xml:space="preserve"> </w:t>
      </w:r>
      <w:r w:rsidR="00BD466B">
        <w:t>PC 2018</w:t>
      </w:r>
      <w:r w:rsidR="00FF1B82">
        <w:t>)</w:t>
      </w:r>
      <w:r w:rsidR="006E4AC4">
        <w:t xml:space="preserve">. </w:t>
      </w:r>
      <w:r w:rsidR="008E5CB1">
        <w:t xml:space="preserve">As </w:t>
      </w:r>
      <w:r w:rsidR="00FF1B82">
        <w:t xml:space="preserve">Dhillon and Cassidy (2018) </w:t>
      </w:r>
      <w:r w:rsidR="00F15153">
        <w:t>note, there is the potential for both cyclical and structural factors to be at play</w:t>
      </w:r>
      <w:r w:rsidR="00FF1B82">
        <w:t xml:space="preserve"> in the youth labour market</w:t>
      </w:r>
      <w:r w:rsidR="00A67A9A">
        <w:t>;</w:t>
      </w:r>
      <w:r w:rsidR="00F15153">
        <w:t xml:space="preserve"> </w:t>
      </w:r>
      <w:r w:rsidR="00FF1B82">
        <w:t>with structural factors including</w:t>
      </w:r>
      <w:r w:rsidR="00F15153">
        <w:t xml:space="preserve"> mismatch between the skills youth have and those employers want, but also potential scarring from earlier labour market downturns.</w:t>
      </w:r>
    </w:p>
    <w:p w14:paraId="7E641F85" w14:textId="77777777" w:rsidR="00305E2C" w:rsidRPr="00305E2C" w:rsidRDefault="00CB08CE" w:rsidP="00BD4C27">
      <w:pPr>
        <w:pStyle w:val="CaptionHeading1"/>
        <w:spacing w:after="120"/>
      </w:pPr>
      <w:r w:rsidRPr="00CB08CE">
        <w:t>Figure 1</w:t>
      </w:r>
      <w:r w:rsidR="00662919" w:rsidRPr="00CB08CE">
        <w:t xml:space="preserve">:  </w:t>
      </w:r>
      <w:r w:rsidR="00C4492C">
        <w:t>Historical a</w:t>
      </w:r>
      <w:r w:rsidR="00662919" w:rsidRPr="00CB08CE">
        <w:t>ggregate and youth unemployment rates</w:t>
      </w:r>
      <w:r w:rsidR="006E4AC4">
        <w:t xml:space="preserve"> — </w:t>
      </w:r>
      <w:r w:rsidR="006D4EED">
        <w:t>annual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tblGrid>
      <w:tr w:rsidR="00305E2C" w14:paraId="483167EB" w14:textId="77777777" w:rsidTr="0089118A">
        <w:tc>
          <w:tcPr>
            <w:tcW w:w="4639" w:type="dxa"/>
          </w:tcPr>
          <w:p w14:paraId="621A2B86" w14:textId="77777777" w:rsidR="00305E2C" w:rsidRPr="00CB08CE" w:rsidRDefault="00CB08CE" w:rsidP="002A6D35">
            <w:pPr>
              <w:pStyle w:val="CaptionHeading2"/>
            </w:pPr>
            <w:r w:rsidRPr="00CB08CE">
              <w:t xml:space="preserve">Panel A: </w:t>
            </w:r>
            <w:r w:rsidR="00305E2C" w:rsidRPr="00CB08CE">
              <w:t>Australia</w:t>
            </w:r>
          </w:p>
        </w:tc>
        <w:tc>
          <w:tcPr>
            <w:tcW w:w="4659" w:type="dxa"/>
          </w:tcPr>
          <w:p w14:paraId="21049769" w14:textId="77777777" w:rsidR="00305E2C" w:rsidRPr="00CB08CE" w:rsidRDefault="00CB08CE" w:rsidP="002A6D35">
            <w:pPr>
              <w:pStyle w:val="CaptionHeading2"/>
            </w:pPr>
            <w:r w:rsidRPr="00CB08CE">
              <w:t xml:space="preserve">Panel B: </w:t>
            </w:r>
            <w:r w:rsidR="00305E2C" w:rsidRPr="00CB08CE">
              <w:t>OECD</w:t>
            </w:r>
            <w:r w:rsidR="008B08C4">
              <w:t xml:space="preserve"> Average</w:t>
            </w:r>
          </w:p>
        </w:tc>
      </w:tr>
      <w:tr w:rsidR="00305E2C" w14:paraId="400B67FD" w14:textId="77777777" w:rsidTr="0089118A">
        <w:tc>
          <w:tcPr>
            <w:tcW w:w="4639" w:type="dxa"/>
          </w:tcPr>
          <w:p w14:paraId="2A6C74DE" w14:textId="77777777" w:rsidR="00305E2C" w:rsidRDefault="0089118A" w:rsidP="002A6D35">
            <w:pPr>
              <w:pStyle w:val="Captiongraphic"/>
            </w:pPr>
            <w:r w:rsidRPr="0089118A">
              <w:rPr>
                <w:noProof/>
              </w:rPr>
              <w:drawing>
                <wp:inline distT="0" distB="0" distL="0" distR="0" wp14:anchorId="2CC34852" wp14:editId="5ABA4EC6">
                  <wp:extent cx="2867025" cy="286702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7025" cy="2867025"/>
                          </a:xfrm>
                          <a:prstGeom prst="rect">
                            <a:avLst/>
                          </a:prstGeom>
                          <a:noFill/>
                          <a:ln>
                            <a:noFill/>
                          </a:ln>
                        </pic:spPr>
                      </pic:pic>
                    </a:graphicData>
                  </a:graphic>
                </wp:inline>
              </w:drawing>
            </w:r>
          </w:p>
        </w:tc>
        <w:tc>
          <w:tcPr>
            <w:tcW w:w="4659" w:type="dxa"/>
          </w:tcPr>
          <w:p w14:paraId="1DCC41F7" w14:textId="77777777" w:rsidR="00305E2C" w:rsidRDefault="0089118A" w:rsidP="002A6D35">
            <w:pPr>
              <w:pStyle w:val="Captiongraphic"/>
            </w:pPr>
            <w:r w:rsidRPr="0089118A">
              <w:rPr>
                <w:noProof/>
              </w:rPr>
              <w:drawing>
                <wp:inline distT="0" distB="0" distL="0" distR="0" wp14:anchorId="386CEBBB" wp14:editId="459C2AB1">
                  <wp:extent cx="2867025" cy="286702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67025" cy="2867025"/>
                          </a:xfrm>
                          <a:prstGeom prst="rect">
                            <a:avLst/>
                          </a:prstGeom>
                          <a:noFill/>
                          <a:ln>
                            <a:noFill/>
                          </a:ln>
                        </pic:spPr>
                      </pic:pic>
                    </a:graphicData>
                  </a:graphic>
                </wp:inline>
              </w:drawing>
            </w:r>
          </w:p>
        </w:tc>
      </w:tr>
    </w:tbl>
    <w:p w14:paraId="10A124C9" w14:textId="77777777" w:rsidR="00662919" w:rsidRDefault="00662919" w:rsidP="002A6D35">
      <w:pPr>
        <w:pStyle w:val="Chartnote"/>
      </w:pPr>
      <w:r>
        <w:t>Note:  Presents the aggregate and youth (15</w:t>
      </w:r>
      <w:r w:rsidR="006E4AC4">
        <w:noBreakHyphen/>
      </w:r>
      <w:r>
        <w:t xml:space="preserve">24 years) unemployment </w:t>
      </w:r>
      <w:r w:rsidRPr="002A6D35">
        <w:t>ra</w:t>
      </w:r>
      <w:r w:rsidR="00706C22" w:rsidRPr="002A6D35">
        <w:t>te</w:t>
      </w:r>
      <w:r w:rsidR="00706C22">
        <w:t xml:space="preserve"> by calendar year</w:t>
      </w:r>
      <w:r w:rsidR="0089118A">
        <w:t xml:space="preserve"> </w:t>
      </w:r>
      <w:r w:rsidR="0089118A">
        <w:br/>
        <w:t xml:space="preserve">Source: </w:t>
      </w:r>
      <w:r w:rsidR="00706C22">
        <w:t>ABS Labo</w:t>
      </w:r>
      <w:r w:rsidR="0089118A">
        <w:t>ur Force Release Cat No. 6202.0; OECD</w:t>
      </w:r>
      <w:r w:rsidR="00C4492C">
        <w:t xml:space="preserve">. </w:t>
      </w:r>
    </w:p>
    <w:p w14:paraId="110CFEA0" w14:textId="77777777" w:rsidR="002A6D35" w:rsidRDefault="002A6D35" w:rsidP="002A6D35">
      <w:pPr>
        <w:pStyle w:val="SingleParagraph"/>
      </w:pPr>
    </w:p>
    <w:p w14:paraId="3A90FE2B" w14:textId="77777777" w:rsidR="0005239A" w:rsidRDefault="00224D4D" w:rsidP="00C11E02">
      <w:pPr>
        <w:jc w:val="both"/>
      </w:pPr>
      <w:r>
        <w:t>Given their greater sensitivity to changing economic conditions (</w:t>
      </w:r>
      <w:r w:rsidR="000E37AF">
        <w:t>Figure</w:t>
      </w:r>
      <w:r>
        <w:t xml:space="preserve"> 1), t</w:t>
      </w:r>
      <w:r w:rsidR="007519C1">
        <w:t xml:space="preserve">hose graduating in a recession </w:t>
      </w:r>
      <w:r w:rsidR="00A156F1">
        <w:t xml:space="preserve">likely </w:t>
      </w:r>
      <w:r w:rsidR="007519C1">
        <w:t>face worse</w:t>
      </w:r>
      <w:r w:rsidR="00A156F1">
        <w:t xml:space="preserve"> career prospects</w:t>
      </w:r>
      <w:r w:rsidR="007519C1">
        <w:t xml:space="preserve"> in the near term.</w:t>
      </w:r>
      <w:r w:rsidR="0025715F">
        <w:rPr>
          <w:rStyle w:val="FootnoteReference"/>
        </w:rPr>
        <w:footnoteReference w:id="5"/>
      </w:r>
      <w:r w:rsidR="007519C1">
        <w:t xml:space="preserve"> </w:t>
      </w:r>
      <w:r w:rsidR="00A156F1">
        <w:t xml:space="preserve">It is less clear whether this initial setback has lasting consequences, though there are a range of reasons to think that it might. </w:t>
      </w:r>
      <w:r w:rsidR="0005239A">
        <w:t>For example, t</w:t>
      </w:r>
      <w:r w:rsidR="00A156F1">
        <w:t>he</w:t>
      </w:r>
      <w:r w:rsidR="008466EB">
        <w:t xml:space="preserve"> human capital </w:t>
      </w:r>
      <w:r w:rsidR="00A156F1">
        <w:t xml:space="preserve">of recent graduates </w:t>
      </w:r>
      <w:r w:rsidR="008466EB">
        <w:t xml:space="preserve">may depreciate if </w:t>
      </w:r>
      <w:r w:rsidR="008137B7">
        <w:t>their</w:t>
      </w:r>
      <w:r w:rsidR="008466EB">
        <w:t xml:space="preserve"> skills </w:t>
      </w:r>
      <w:r w:rsidR="00F7482E">
        <w:t xml:space="preserve">become redundant or are lost while they </w:t>
      </w:r>
      <w:r w:rsidR="008466EB">
        <w:t xml:space="preserve">are not </w:t>
      </w:r>
      <w:r w:rsidR="00F7482E">
        <w:t>being</w:t>
      </w:r>
      <w:r w:rsidR="008466EB">
        <w:t xml:space="preserve"> put to use</w:t>
      </w:r>
      <w:r w:rsidR="00592271">
        <w:t xml:space="preserve"> in a well</w:t>
      </w:r>
      <w:r w:rsidR="006E4AC4">
        <w:noBreakHyphen/>
      </w:r>
      <w:r w:rsidR="00A156F1">
        <w:t>matched job</w:t>
      </w:r>
      <w:r w:rsidR="008137B7">
        <w:t>.</w:t>
      </w:r>
      <w:r w:rsidR="00C11E02">
        <w:t xml:space="preserve"> </w:t>
      </w:r>
      <w:r w:rsidR="00CA714F">
        <w:t>After an initial setback, c</w:t>
      </w:r>
      <w:r w:rsidR="00C11E02">
        <w:t xml:space="preserve">limbing </w:t>
      </w:r>
      <w:r w:rsidR="0005239A">
        <w:t xml:space="preserve">back up the career ladder will take </w:t>
      </w:r>
      <w:r w:rsidR="0005239A">
        <w:lastRenderedPageBreak/>
        <w:t>time, and may be difficult if employers</w:t>
      </w:r>
      <w:r w:rsidR="00C11E02">
        <w:t xml:space="preserve"> fail to recognise the role of bad luck in </w:t>
      </w:r>
      <w:r w:rsidR="0005239A">
        <w:t xml:space="preserve">early </w:t>
      </w:r>
      <w:r w:rsidR="00C11E02">
        <w:t xml:space="preserve">career </w:t>
      </w:r>
      <w:r w:rsidR="0005239A">
        <w:t>struggles</w:t>
      </w:r>
      <w:r w:rsidR="00C11E02">
        <w:t>.</w:t>
      </w:r>
      <w:r w:rsidR="0005239A">
        <w:t xml:space="preserve"> </w:t>
      </w:r>
      <w:r w:rsidR="00F7482E">
        <w:t>Th</w:t>
      </w:r>
      <w:r w:rsidR="0072430E">
        <w:t>e</w:t>
      </w:r>
      <w:r w:rsidR="00F7482E">
        <w:t>s</w:t>
      </w:r>
      <w:r w:rsidR="0072430E">
        <w:t xml:space="preserve">e initial setbacks </w:t>
      </w:r>
      <w:r w:rsidR="00EB5079">
        <w:t xml:space="preserve">may be particularly damaging given the critical role of </w:t>
      </w:r>
      <w:r w:rsidR="0072430E">
        <w:t>the early phase of the career</w:t>
      </w:r>
      <w:r w:rsidR="006E4AC4">
        <w:t xml:space="preserve"> — </w:t>
      </w:r>
      <w:r w:rsidR="0072430E">
        <w:t>with estimates that almost 80 per cent of lifetime wage increases occur within the first decade of an individual</w:t>
      </w:r>
      <w:r w:rsidR="006E4AC4">
        <w:t>’</w:t>
      </w:r>
      <w:r w:rsidR="0072430E">
        <w:t xml:space="preserve">s career </w:t>
      </w:r>
      <w:r w:rsidR="00EB5079">
        <w:t>(</w:t>
      </w:r>
      <w:r w:rsidR="0072430E">
        <w:t>Murphy and Welch 1990</w:t>
      </w:r>
      <w:r w:rsidR="00EB5079">
        <w:t xml:space="preserve">). </w:t>
      </w:r>
      <w:r w:rsidR="0005239A">
        <w:t xml:space="preserve">Finally, </w:t>
      </w:r>
      <w:r w:rsidR="0072430E">
        <w:t xml:space="preserve">there may be </w:t>
      </w:r>
      <w:r w:rsidR="006E4AC4">
        <w:t>‘</w:t>
      </w:r>
      <w:r w:rsidR="0072430E">
        <w:t>psychological</w:t>
      </w:r>
      <w:r w:rsidR="006E4AC4">
        <w:t>’</w:t>
      </w:r>
      <w:r w:rsidR="0072430E">
        <w:t xml:space="preserve"> scarring with </w:t>
      </w:r>
      <w:r w:rsidR="00C11E02">
        <w:t>graduates</w:t>
      </w:r>
      <w:r w:rsidR="0005239A">
        <w:t xml:space="preserve"> adjust</w:t>
      </w:r>
      <w:r w:rsidR="0072430E">
        <w:t>ing down their</w:t>
      </w:r>
      <w:r w:rsidR="0005239A">
        <w:t xml:space="preserve"> aspirations</w:t>
      </w:r>
      <w:r w:rsidR="00EB5079">
        <w:t xml:space="preserve"> when faced by a shock during a particularly formative period</w:t>
      </w:r>
      <w:r w:rsidR="0005239A">
        <w:t>.</w:t>
      </w:r>
      <w:r w:rsidR="0005239A">
        <w:rPr>
          <w:rStyle w:val="FootnoteReference"/>
        </w:rPr>
        <w:footnoteReference w:id="6"/>
      </w:r>
    </w:p>
    <w:p w14:paraId="67737A61" w14:textId="77777777" w:rsidR="000E4C3A" w:rsidRDefault="00B82B00" w:rsidP="00224D4D">
      <w:pPr>
        <w:jc w:val="both"/>
      </w:pPr>
      <w:r>
        <w:t>The international literature finds negative</w:t>
      </w:r>
      <w:r w:rsidR="00EA1CFF">
        <w:t xml:space="preserve"> and</w:t>
      </w:r>
      <w:r>
        <w:t xml:space="preserve"> </w:t>
      </w:r>
      <w:r w:rsidR="006F7FC1">
        <w:t>somewhat</w:t>
      </w:r>
      <w:r w:rsidR="00EA1CFF">
        <w:t xml:space="preserve"> persistent </w:t>
      </w:r>
      <w:r>
        <w:t>effects for those graduating in a bad labour market.</w:t>
      </w:r>
      <w:r w:rsidR="009952CD">
        <w:t xml:space="preserve"> </w:t>
      </w:r>
      <w:r w:rsidR="006F7FC1">
        <w:t xml:space="preserve">Those graduating in a recession </w:t>
      </w:r>
      <w:r w:rsidR="00A96CBD">
        <w:t xml:space="preserve">typically </w:t>
      </w:r>
      <w:r w:rsidR="006F7FC1">
        <w:t xml:space="preserve">earn less and </w:t>
      </w:r>
      <w:r w:rsidR="00A96CBD">
        <w:t>often</w:t>
      </w:r>
      <w:r w:rsidR="006F7FC1">
        <w:t xml:space="preserve"> work less than those graduating in better years</w:t>
      </w:r>
      <w:r w:rsidR="006D0C51">
        <w:t>, with these effects typically lasting up to ten years</w:t>
      </w:r>
      <w:r w:rsidR="006F7FC1">
        <w:t>. S</w:t>
      </w:r>
      <w:r w:rsidR="005A6BAC">
        <w:t>carring effects</w:t>
      </w:r>
      <w:r w:rsidR="006F7FC1">
        <w:t xml:space="preserve"> along these lines</w:t>
      </w:r>
      <w:r w:rsidR="005A6BAC">
        <w:t xml:space="preserve"> </w:t>
      </w:r>
      <w:r w:rsidR="009A5935">
        <w:t xml:space="preserve">have </w:t>
      </w:r>
      <w:r w:rsidR="005A6BAC">
        <w:t xml:space="preserve">been documented in </w:t>
      </w:r>
      <w:r w:rsidR="009A5935">
        <w:t xml:space="preserve">the United States (Kahn 2010; </w:t>
      </w:r>
      <w:proofErr w:type="spellStart"/>
      <w:r w:rsidR="009A5935">
        <w:t>Altonji</w:t>
      </w:r>
      <w:proofErr w:type="spellEnd"/>
      <w:r w:rsidR="009A5935">
        <w:t xml:space="preserve"> et al </w:t>
      </w:r>
      <w:r w:rsidR="00425B2E">
        <w:t>2016</w:t>
      </w:r>
      <w:r w:rsidR="00A33274">
        <w:t xml:space="preserve">; Schwandt and von </w:t>
      </w:r>
      <w:proofErr w:type="spellStart"/>
      <w:r w:rsidR="00A33274">
        <w:t>Wachter</w:t>
      </w:r>
      <w:proofErr w:type="spellEnd"/>
      <w:r w:rsidR="00A33274">
        <w:t xml:space="preserve"> 2019</w:t>
      </w:r>
      <w:r w:rsidR="009A5935">
        <w:t>)</w:t>
      </w:r>
      <w:r w:rsidR="00425B2E">
        <w:t>,</w:t>
      </w:r>
      <w:r w:rsidR="009A5935">
        <w:t xml:space="preserve"> Japan (</w:t>
      </w:r>
      <w:proofErr w:type="spellStart"/>
      <w:r w:rsidR="009A5935">
        <w:t>Genda</w:t>
      </w:r>
      <w:proofErr w:type="spellEnd"/>
      <w:r w:rsidR="009A5935">
        <w:t xml:space="preserve"> et al 2010), </w:t>
      </w:r>
      <w:r w:rsidR="005A6BAC">
        <w:t>Canada (</w:t>
      </w:r>
      <w:proofErr w:type="spellStart"/>
      <w:r w:rsidR="005A6BAC">
        <w:t>Oreopoulos</w:t>
      </w:r>
      <w:proofErr w:type="spellEnd"/>
      <w:r w:rsidR="005A6BAC">
        <w:t xml:space="preserve"> et al 2012), </w:t>
      </w:r>
      <w:r w:rsidR="00425B2E">
        <w:t>Austria (Brunner and Kuhn 201</w:t>
      </w:r>
      <w:r w:rsidR="0093396A">
        <w:t>4</w:t>
      </w:r>
      <w:r w:rsidR="00425B2E">
        <w:t>)</w:t>
      </w:r>
      <w:r w:rsidR="00026326">
        <w:t>, Sweden (Kwon et al 2010</w:t>
      </w:r>
      <w:r w:rsidR="00425B2E">
        <w:t>)</w:t>
      </w:r>
      <w:r w:rsidR="005A6BAC">
        <w:t xml:space="preserve"> </w:t>
      </w:r>
      <w:r w:rsidR="009A5935">
        <w:t xml:space="preserve">and </w:t>
      </w:r>
      <w:r w:rsidR="005A6BAC">
        <w:t>Norway (</w:t>
      </w:r>
      <w:proofErr w:type="spellStart"/>
      <w:r w:rsidR="005A6BAC">
        <w:t>Raaum</w:t>
      </w:r>
      <w:proofErr w:type="spellEnd"/>
      <w:r w:rsidR="005A6BAC">
        <w:t xml:space="preserve"> and </w:t>
      </w:r>
      <w:proofErr w:type="spellStart"/>
      <w:r w:rsidR="005A6BAC">
        <w:t>R</w:t>
      </w:r>
      <w:r w:rsidR="005A6BAC">
        <w:rPr>
          <w:rFonts w:cs="Calibri"/>
        </w:rPr>
        <w:t>ø</w:t>
      </w:r>
      <w:r w:rsidR="005A6BAC">
        <w:t>ed</w:t>
      </w:r>
      <w:proofErr w:type="spellEnd"/>
      <w:r w:rsidR="005A6BAC">
        <w:t xml:space="preserve"> 2006)</w:t>
      </w:r>
      <w:r w:rsidR="009A5935">
        <w:t xml:space="preserve">. </w:t>
      </w:r>
      <w:r w:rsidR="008E5CB1">
        <w:t>Those graduating in a recession typically end up in worse</w:t>
      </w:r>
      <w:r w:rsidR="006E4AC4">
        <w:noBreakHyphen/>
      </w:r>
      <w:r w:rsidR="008E5CB1">
        <w:t>performing firms, with the more advantaged graduates subsequently catching up through job switching (</w:t>
      </w:r>
      <w:proofErr w:type="spellStart"/>
      <w:r w:rsidR="00EB5079">
        <w:t>Oreopoulos</w:t>
      </w:r>
      <w:proofErr w:type="spellEnd"/>
      <w:r w:rsidR="00EB5079">
        <w:t xml:space="preserve"> et al 2012</w:t>
      </w:r>
      <w:r w:rsidR="008E5CB1">
        <w:t>)</w:t>
      </w:r>
      <w:r w:rsidR="00EB5079">
        <w:t>. More specialised studies highlight how labour market conditions at entry can shape workers in more fundamental ways</w:t>
      </w:r>
      <w:r w:rsidR="006E4AC4">
        <w:t xml:space="preserve"> — </w:t>
      </w:r>
      <w:r w:rsidR="00EB5079">
        <w:t xml:space="preserve">for example, managers who </w:t>
      </w:r>
      <w:r w:rsidR="000E37AF">
        <w:t>enter during recessions become</w:t>
      </w:r>
      <w:r w:rsidR="00EB5079">
        <w:t xml:space="preserve"> CEOs more quickly, but at smaller firms and with more conservative management styles (</w:t>
      </w:r>
      <w:proofErr w:type="spellStart"/>
      <w:r w:rsidR="00EB5079">
        <w:t>Schoar</w:t>
      </w:r>
      <w:proofErr w:type="spellEnd"/>
      <w:r w:rsidR="00EB5079">
        <w:t xml:space="preserve"> and </w:t>
      </w:r>
      <w:proofErr w:type="spellStart"/>
      <w:r w:rsidR="00EB5079">
        <w:t>Zuo</w:t>
      </w:r>
      <w:proofErr w:type="spellEnd"/>
      <w:r w:rsidR="00EB5079">
        <w:t xml:space="preserve"> 2017).</w:t>
      </w:r>
    </w:p>
    <w:p w14:paraId="542AD55F" w14:textId="77777777" w:rsidR="00224D4D" w:rsidRDefault="00224D4D" w:rsidP="006F7FC1">
      <w:pPr>
        <w:jc w:val="both"/>
      </w:pPr>
      <w:r>
        <w:t>Th</w:t>
      </w:r>
      <w:r w:rsidR="005B7C88">
        <w:t>ese studies</w:t>
      </w:r>
      <w:r>
        <w:t xml:space="preserve"> sit in the context of a longer </w:t>
      </w:r>
      <w:r w:rsidR="00781A2D">
        <w:t xml:space="preserve">and </w:t>
      </w:r>
      <w:r>
        <w:t>more general</w:t>
      </w:r>
      <w:r w:rsidR="00781A2D">
        <w:t>ised literature of</w:t>
      </w:r>
      <w:r>
        <w:t xml:space="preserve"> hysteresis in labour markets</w:t>
      </w:r>
      <w:r w:rsidR="00A46E2A">
        <w:t>, which explores</w:t>
      </w:r>
      <w:r>
        <w:t xml:space="preserve"> the tendency f</w:t>
      </w:r>
      <w:r w:rsidR="005B7C88">
        <w:t>or</w:t>
      </w:r>
      <w:r>
        <w:t xml:space="preserve"> </w:t>
      </w:r>
      <w:r w:rsidR="00781A2D">
        <w:t xml:space="preserve">transitory adverse shocks to the actual </w:t>
      </w:r>
      <w:r w:rsidR="000E4C3A">
        <w:t>un</w:t>
      </w:r>
      <w:r>
        <w:t xml:space="preserve">employment rates to </w:t>
      </w:r>
      <w:r w:rsidR="00781A2D">
        <w:t>be</w:t>
      </w:r>
      <w:r>
        <w:t xml:space="preserve"> reflect</w:t>
      </w:r>
      <w:r w:rsidR="00781A2D">
        <w:t>ed in a higher equilibrium unemployment rate</w:t>
      </w:r>
      <w:r>
        <w:t xml:space="preserve"> (Blanchard and Summers 1986</w:t>
      </w:r>
      <w:r w:rsidR="001244F6">
        <w:t xml:space="preserve">; Ball </w:t>
      </w:r>
      <w:r w:rsidR="00A46E2A">
        <w:t>2009</w:t>
      </w:r>
      <w:r>
        <w:t>).</w:t>
      </w:r>
      <w:r w:rsidR="000E4C3A">
        <w:t xml:space="preserve"> </w:t>
      </w:r>
      <w:r w:rsidR="00A46E2A">
        <w:t>While</w:t>
      </w:r>
      <w:r w:rsidR="00D134E6">
        <w:t xml:space="preserve"> </w:t>
      </w:r>
      <w:r w:rsidR="005731C8">
        <w:t>initial</w:t>
      </w:r>
      <w:r w:rsidR="00D134E6">
        <w:t xml:space="preserve"> historical accounts (e.g. Fernald et al 2017) dismiss the relevance of hysteresis for understanding</w:t>
      </w:r>
      <w:r w:rsidR="005B7C88">
        <w:t xml:space="preserve"> the</w:t>
      </w:r>
      <w:r w:rsidR="00D134E6">
        <w:t xml:space="preserve"> </w:t>
      </w:r>
      <w:r w:rsidR="00985506">
        <w:t>sluggish post</w:t>
      </w:r>
      <w:r w:rsidR="006E4AC4">
        <w:noBreakHyphen/>
      </w:r>
      <w:r w:rsidR="00985506">
        <w:t>2009</w:t>
      </w:r>
      <w:r w:rsidR="005B7C88">
        <w:t xml:space="preserve"> output</w:t>
      </w:r>
      <w:r w:rsidR="00985506">
        <w:t xml:space="preserve"> recovery in the United States,</w:t>
      </w:r>
      <w:r w:rsidR="005B7C88">
        <w:t xml:space="preserve"> this view has been challenged by m</w:t>
      </w:r>
      <w:r w:rsidR="005731C8">
        <w:t xml:space="preserve">ore recent granular studies, including some emphasising </w:t>
      </w:r>
      <w:r w:rsidR="005B7C88">
        <w:t>graduating in a recessio</w:t>
      </w:r>
      <w:r w:rsidR="005731C8">
        <w:t>n as an important mechanism (</w:t>
      </w:r>
      <w:proofErr w:type="spellStart"/>
      <w:r w:rsidR="005731C8">
        <w:t>Yagan</w:t>
      </w:r>
      <w:proofErr w:type="spellEnd"/>
      <w:r w:rsidR="005731C8">
        <w:t xml:space="preserve"> 2019; Rothstein</w:t>
      </w:r>
      <w:r w:rsidR="005B7C88">
        <w:t xml:space="preserve"> 2019).</w:t>
      </w:r>
    </w:p>
    <w:p w14:paraId="0A487A34" w14:textId="77777777" w:rsidR="00962427" w:rsidRDefault="007D195E" w:rsidP="0072430E">
      <w:pPr>
        <w:jc w:val="both"/>
      </w:pPr>
      <w:r>
        <w:t>Against this backdrop,</w:t>
      </w:r>
      <w:r w:rsidR="00425B2E">
        <w:t xml:space="preserve"> this paper provide</w:t>
      </w:r>
      <w:r>
        <w:t>s</w:t>
      </w:r>
      <w:r w:rsidR="00425B2E">
        <w:t xml:space="preserve"> an Australian </w:t>
      </w:r>
      <w:r w:rsidR="006F7FC1">
        <w:t xml:space="preserve">perspective </w:t>
      </w:r>
      <w:r w:rsidR="007030DA">
        <w:t xml:space="preserve">on hysteresis, through the lens of those graduating into </w:t>
      </w:r>
      <w:r w:rsidR="00A205E6">
        <w:t>weak youth labour markets</w:t>
      </w:r>
      <w:r w:rsidR="007030DA">
        <w:t>. This represents</w:t>
      </w:r>
      <w:r w:rsidR="006F7FC1">
        <w:t xml:space="preserve"> an important addition</w:t>
      </w:r>
      <w:r w:rsidR="008C1464">
        <w:t xml:space="preserve"> </w:t>
      </w:r>
      <w:r w:rsidR="007030DA">
        <w:t>to the literature</w:t>
      </w:r>
      <w:r w:rsidR="008C1464">
        <w:t xml:space="preserve"> for </w:t>
      </w:r>
      <w:r w:rsidR="00A96CBD">
        <w:t xml:space="preserve">local </w:t>
      </w:r>
      <w:r w:rsidR="008C1464">
        <w:t>policy</w:t>
      </w:r>
      <w:r w:rsidR="006F7FC1">
        <w:t>makers</w:t>
      </w:r>
      <w:r w:rsidR="007342DC">
        <w:t>, especially in light of the recent COVID</w:t>
      </w:r>
      <w:r w:rsidR="006E4AC4">
        <w:noBreakHyphen/>
      </w:r>
      <w:r w:rsidR="007342DC">
        <w:t>19 shock</w:t>
      </w:r>
      <w:r w:rsidR="007030DA">
        <w:t>. More generally, it contributes to the international literature by helping further our understanding of</w:t>
      </w:r>
      <w:r w:rsidR="006F7FC1">
        <w:t xml:space="preserve"> the extent to which</w:t>
      </w:r>
      <w:r w:rsidR="008C1464">
        <w:t xml:space="preserve"> experiences of</w:t>
      </w:r>
      <w:r w:rsidR="006F7FC1">
        <w:t xml:space="preserve"> </w:t>
      </w:r>
      <w:r w:rsidR="008C1464">
        <w:t>labour market scarring are universal versus a function of a country</w:t>
      </w:r>
      <w:r w:rsidR="006E4AC4">
        <w:t>’</w:t>
      </w:r>
      <w:r w:rsidR="008C1464">
        <w:t>s labour market institutions and structures.</w:t>
      </w:r>
    </w:p>
    <w:p w14:paraId="1984C475" w14:textId="77777777" w:rsidR="00F012EA" w:rsidRDefault="00B53A18" w:rsidP="004505DF">
      <w:pPr>
        <w:pStyle w:val="Heading2"/>
      </w:pPr>
      <w:r>
        <w:t xml:space="preserve">3. </w:t>
      </w:r>
      <w:r w:rsidR="004505DF">
        <w:t>Data</w:t>
      </w:r>
    </w:p>
    <w:p w14:paraId="15716C63" w14:textId="77777777" w:rsidR="00A14304" w:rsidRDefault="00670723" w:rsidP="008866EA">
      <w:pPr>
        <w:jc w:val="both"/>
      </w:pPr>
      <w:r>
        <w:t>We use custom aggregations of de</w:t>
      </w:r>
      <w:r w:rsidR="006E4AC4">
        <w:noBreakHyphen/>
      </w:r>
      <w:r>
        <w:t>identified tax data to identify the effect of labour market conditions at graduation on later career outcomes. The</w:t>
      </w:r>
      <w:r w:rsidR="002F446E">
        <w:t xml:space="preserve">se aggregations contain the average outcomes for </w:t>
      </w:r>
      <w:r>
        <w:t>individual</w:t>
      </w:r>
      <w:r w:rsidR="002F446E">
        <w:t xml:space="preserve">s by graduation </w:t>
      </w:r>
      <w:r w:rsidR="00CB422F">
        <w:t>cohort</w:t>
      </w:r>
      <w:r w:rsidR="002F446E">
        <w:t xml:space="preserve"> and state, for each of the first ten years of their subsequent working lives.</w:t>
      </w:r>
      <w:r w:rsidR="00E36E0D">
        <w:t xml:space="preserve"> </w:t>
      </w:r>
      <w:r w:rsidR="00A14304">
        <w:t>For most of the analysis, we use data from 1990</w:t>
      </w:r>
      <w:r w:rsidR="006E4AC4">
        <w:noBreakHyphen/>
      </w:r>
      <w:r w:rsidR="00A14304">
        <w:t>91 to 201</w:t>
      </w:r>
      <w:r w:rsidR="00CB422F">
        <w:t>7</w:t>
      </w:r>
      <w:r w:rsidR="006E4AC4">
        <w:noBreakHyphen/>
      </w:r>
      <w:r w:rsidR="00A14304">
        <w:t>1</w:t>
      </w:r>
      <w:r w:rsidR="00CB422F">
        <w:t>8</w:t>
      </w:r>
      <w:r w:rsidR="00A14304">
        <w:t>, focusing on cohort</w:t>
      </w:r>
      <w:r w:rsidR="00CB422F">
        <w:t>s</w:t>
      </w:r>
      <w:r w:rsidR="00A14304">
        <w:t xml:space="preserve"> </w:t>
      </w:r>
      <w:r w:rsidR="00CB422F">
        <w:t>that</w:t>
      </w:r>
      <w:r w:rsidR="00A14304">
        <w:t xml:space="preserve"> graduated between 198</w:t>
      </w:r>
      <w:r w:rsidR="00CB422F">
        <w:t>8</w:t>
      </w:r>
      <w:r w:rsidR="006E4AC4">
        <w:noBreakHyphen/>
      </w:r>
      <w:r w:rsidR="00CB422F">
        <w:t>89</w:t>
      </w:r>
      <w:r w:rsidR="00A14304">
        <w:t xml:space="preserve"> and 201</w:t>
      </w:r>
      <w:r w:rsidR="00CB422F">
        <w:t>2</w:t>
      </w:r>
      <w:r w:rsidR="006E4AC4">
        <w:noBreakHyphen/>
      </w:r>
      <w:r w:rsidR="00CB422F">
        <w:t>13</w:t>
      </w:r>
      <w:r w:rsidR="00A14304">
        <w:t>. Analysis using business related</w:t>
      </w:r>
      <w:r w:rsidR="006E4AC4">
        <w:noBreakHyphen/>
      </w:r>
      <w:r w:rsidR="00A14304">
        <w:t>outcomes, such as switching and labour productivity, uses data beginning in 2000</w:t>
      </w:r>
      <w:r w:rsidR="006E4AC4">
        <w:noBreakHyphen/>
      </w:r>
      <w:r w:rsidR="00A14304">
        <w:t>01.</w:t>
      </w:r>
    </w:p>
    <w:p w14:paraId="3B57C810" w14:textId="77777777" w:rsidR="00E36E0D" w:rsidRDefault="004505DF" w:rsidP="00E36E0D">
      <w:pPr>
        <w:jc w:val="both"/>
      </w:pPr>
      <w:r>
        <w:t>Th</w:t>
      </w:r>
      <w:r w:rsidR="008866EA">
        <w:t xml:space="preserve">e </w:t>
      </w:r>
      <w:r w:rsidR="00E36E0D">
        <w:t xml:space="preserve">underlying </w:t>
      </w:r>
      <w:r w:rsidR="00CB422F">
        <w:t>microdata</w:t>
      </w:r>
      <w:r w:rsidR="00E36E0D">
        <w:t xml:space="preserve"> </w:t>
      </w:r>
      <w:r w:rsidR="00CB422F">
        <w:t>are from</w:t>
      </w:r>
      <w:r w:rsidR="00E36E0D">
        <w:t xml:space="preserve"> a</w:t>
      </w:r>
      <w:r w:rsidR="008D3DCD">
        <w:t xml:space="preserve"> prototype</w:t>
      </w:r>
      <w:r w:rsidR="00E36E0D">
        <w:t xml:space="preserve"> </w:t>
      </w:r>
      <w:r w:rsidR="008D3DCD">
        <w:t xml:space="preserve">longitudinal </w:t>
      </w:r>
      <w:r w:rsidR="008866EA">
        <w:t>link</w:t>
      </w:r>
      <w:r>
        <w:t>ed employee</w:t>
      </w:r>
      <w:r w:rsidR="006E4AC4">
        <w:noBreakHyphen/>
      </w:r>
      <w:r>
        <w:t>employer data</w:t>
      </w:r>
      <w:r w:rsidR="00E36E0D">
        <w:t>set</w:t>
      </w:r>
      <w:r>
        <w:t xml:space="preserve"> </w:t>
      </w:r>
      <w:r w:rsidR="00E36E0D">
        <w:t>hel</w:t>
      </w:r>
      <w:r>
        <w:t>d by the Australian Taxation Office (ATO)</w:t>
      </w:r>
      <w:r w:rsidR="008D3DCD">
        <w:t>, built in collaboration with the Australian Treasury</w:t>
      </w:r>
      <w:r w:rsidR="00D64734">
        <w:t xml:space="preserve"> (see Andrews et al, 2019)</w:t>
      </w:r>
      <w:r>
        <w:t xml:space="preserve">. </w:t>
      </w:r>
      <w:r w:rsidR="00E36E0D">
        <w:t>This dataset</w:t>
      </w:r>
      <w:r>
        <w:t xml:space="preserve"> link</w:t>
      </w:r>
      <w:r w:rsidR="00E36E0D">
        <w:t>s</w:t>
      </w:r>
      <w:r>
        <w:t xml:space="preserve"> personal income tax data from the Australian Longitudinal File on Individuals </w:t>
      </w:r>
      <w:r>
        <w:lastRenderedPageBreak/>
        <w:t>(Alife), education loan data (HECS/HELP), payment summaries issued by businesses to their employees and Business Activity Statements (BAS)</w:t>
      </w:r>
      <w:r w:rsidR="006E4AC4">
        <w:t xml:space="preserve">. </w:t>
      </w:r>
    </w:p>
    <w:p w14:paraId="31A2ED33" w14:textId="77777777" w:rsidR="004505DF" w:rsidRPr="002A4218" w:rsidRDefault="004505DF" w:rsidP="00AF7F6A">
      <w:pPr>
        <w:pStyle w:val="Heading4"/>
        <w:tabs>
          <w:tab w:val="clear" w:pos="850"/>
        </w:tabs>
        <w:ind w:left="0" w:firstLine="0"/>
      </w:pPr>
      <w:r w:rsidRPr="002A4218">
        <w:t>Australian Longitudinal File on Individuals (Alife)</w:t>
      </w:r>
    </w:p>
    <w:p w14:paraId="527279C5" w14:textId="77777777" w:rsidR="00ED10C8" w:rsidRDefault="004505DF" w:rsidP="00E27CDB">
      <w:pPr>
        <w:jc w:val="both"/>
      </w:pPr>
      <w:r>
        <w:t>Alife spans the period 1990</w:t>
      </w:r>
      <w:r w:rsidR="006E4AC4">
        <w:noBreakHyphen/>
      </w:r>
      <w:r>
        <w:t>91 to 2017</w:t>
      </w:r>
      <w:r w:rsidR="006E4AC4">
        <w:noBreakHyphen/>
      </w:r>
      <w:r>
        <w:t>18 and covers all Australian taxpayers.</w:t>
      </w:r>
      <w:r w:rsidRPr="00670723">
        <w:rPr>
          <w:vertAlign w:val="superscript"/>
        </w:rPr>
        <w:footnoteReference w:id="7"/>
      </w:r>
      <w:r w:rsidRPr="00670723">
        <w:rPr>
          <w:vertAlign w:val="superscript"/>
        </w:rPr>
        <w:t xml:space="preserve"> </w:t>
      </w:r>
      <w:r>
        <w:t xml:space="preserve">It contains financial and demographic variables that appear on individual tax returns, such as personal income, and place of residence. To illustrate this coverage, </w:t>
      </w:r>
      <w:r w:rsidR="002F446E">
        <w:t>T</w:t>
      </w:r>
      <w:r>
        <w:t xml:space="preserve">able </w:t>
      </w:r>
      <w:r w:rsidR="00A14304">
        <w:t>A</w:t>
      </w:r>
      <w:r w:rsidR="002F446E">
        <w:t>1</w:t>
      </w:r>
      <w:r>
        <w:t xml:space="preserve"> </w:t>
      </w:r>
      <w:r w:rsidR="004142D2">
        <w:t xml:space="preserve">in </w:t>
      </w:r>
      <w:r w:rsidR="002F446E">
        <w:t xml:space="preserve">Appendix </w:t>
      </w:r>
      <w:r w:rsidR="00A14304">
        <w:t>A</w:t>
      </w:r>
      <w:r>
        <w:t xml:space="preserve"> shows the average of various summary statistics for personal income by state/territory over the period 199</w:t>
      </w:r>
      <w:r w:rsidR="00CB422F">
        <w:t>0</w:t>
      </w:r>
      <w:r w:rsidR="006E4AC4">
        <w:noBreakHyphen/>
      </w:r>
      <w:r w:rsidR="00CB422F">
        <w:t>9</w:t>
      </w:r>
      <w:r>
        <w:t>1 to 201</w:t>
      </w:r>
      <w:r w:rsidR="00CB422F">
        <w:t>6</w:t>
      </w:r>
      <w:r w:rsidR="006E4AC4">
        <w:noBreakHyphen/>
      </w:r>
      <w:r w:rsidR="00CB422F">
        <w:t>17</w:t>
      </w:r>
      <w:r w:rsidR="006E4AC4">
        <w:t xml:space="preserve">. </w:t>
      </w:r>
    </w:p>
    <w:p w14:paraId="0CB655E8" w14:textId="77777777" w:rsidR="004505DF" w:rsidRDefault="00B30D6C" w:rsidP="00E27CDB">
      <w:pPr>
        <w:jc w:val="both"/>
      </w:pPr>
      <w:r>
        <w:t xml:space="preserve">We use </w:t>
      </w:r>
      <w:r w:rsidR="00BC67B4">
        <w:t xml:space="preserve">salary and wage income </w:t>
      </w:r>
      <w:r>
        <w:t>from these retu</w:t>
      </w:r>
      <w:r w:rsidR="00962B75">
        <w:t>r</w:t>
      </w:r>
      <w:r>
        <w:t xml:space="preserve">ns as our measure of wages. </w:t>
      </w:r>
      <w:r w:rsidR="00E27CDB">
        <w:t>Since we have the population of graduates</w:t>
      </w:r>
      <w:r w:rsidR="00ED10C8">
        <w:t xml:space="preserve"> from the HECS</w:t>
      </w:r>
      <w:r w:rsidR="006E4AC4">
        <w:noBreakHyphen/>
      </w:r>
      <w:r w:rsidR="00ED10C8">
        <w:t xml:space="preserve">HELP data </w:t>
      </w:r>
      <w:r w:rsidR="00E27CDB">
        <w:t>irrespective of whether they file a tax return, we can calculate e</w:t>
      </w:r>
      <w:r>
        <w:t>mployment rates</w:t>
      </w:r>
      <w:r w:rsidR="00ED10C8">
        <w:t xml:space="preserve"> as the proportion of the graduating cohort who report non</w:t>
      </w:r>
      <w:r w:rsidR="006E4AC4">
        <w:noBreakHyphen/>
      </w:r>
      <w:r w:rsidR="00ED10C8">
        <w:t xml:space="preserve">zero salary and wages in a given year. </w:t>
      </w:r>
    </w:p>
    <w:p w14:paraId="4A0A68DE" w14:textId="77777777" w:rsidR="004505DF" w:rsidRPr="00E36E0D" w:rsidRDefault="004505DF" w:rsidP="00AF7F6A">
      <w:pPr>
        <w:pStyle w:val="Heading4"/>
        <w:tabs>
          <w:tab w:val="clear" w:pos="850"/>
        </w:tabs>
        <w:ind w:left="0" w:firstLine="0"/>
      </w:pPr>
      <w:r w:rsidRPr="002A4218">
        <w:t>HECS/HELP data</w:t>
      </w:r>
    </w:p>
    <w:p w14:paraId="0C65E059" w14:textId="77777777" w:rsidR="004505DF" w:rsidRDefault="004505DF" w:rsidP="004134EE">
      <w:pPr>
        <w:jc w:val="both"/>
      </w:pPr>
      <w:r>
        <w:t>In 198</w:t>
      </w:r>
      <w:r w:rsidR="00CB422F">
        <w:t>8</w:t>
      </w:r>
      <w:r w:rsidR="006E4AC4">
        <w:noBreakHyphen/>
      </w:r>
      <w:r w:rsidR="00CB422F">
        <w:t>8</w:t>
      </w:r>
      <w:r>
        <w:t>9, the Australian federal government introduced fees for university education, which if deferred resulted in a debt known as Higher Education Contribution Scheme (HECS) debt. Due to further higher education reforms, debt after 200</w:t>
      </w:r>
      <w:r w:rsidR="00CB422F">
        <w:t>4</w:t>
      </w:r>
      <w:r w:rsidR="006E4AC4">
        <w:noBreakHyphen/>
      </w:r>
      <w:r w:rsidR="00CB422F">
        <w:t>0</w:t>
      </w:r>
      <w:r>
        <w:t xml:space="preserve">5 was incurred through a different scheme: the Higher Education Loan Program (HELP). </w:t>
      </w:r>
    </w:p>
    <w:p w14:paraId="3B5C65B0" w14:textId="77777777" w:rsidR="00A14304" w:rsidRDefault="004505DF" w:rsidP="004134EE">
      <w:pPr>
        <w:jc w:val="both"/>
      </w:pPr>
      <w:r>
        <w:t xml:space="preserve">The ATO and Department of Education jointly administer </w:t>
      </w:r>
      <w:r w:rsidR="00A14304">
        <w:t>the HECS/HELP scheme</w:t>
      </w:r>
      <w:r>
        <w:t xml:space="preserve">, and so the ATO receives data relevant to tertiary debt transactions, such as course and provider codes, debt incurred each </w:t>
      </w:r>
      <w:r w:rsidR="00A14304">
        <w:t>semester and indexation payments</w:t>
      </w:r>
      <w:r w:rsidR="00CB422F">
        <w:t>,</w:t>
      </w:r>
      <w:r w:rsidR="00A14304">
        <w:t xml:space="preserve"> which they can match to their </w:t>
      </w:r>
      <w:r w:rsidR="00CB422F">
        <w:t>Alife</w:t>
      </w:r>
      <w:r w:rsidR="00A14304">
        <w:t xml:space="preserve"> database</w:t>
      </w:r>
      <w:r>
        <w:t>. Over 90 per cent of domestic students incur a HECS/HELP debt</w:t>
      </w:r>
      <w:r w:rsidR="00A14304">
        <w:t>, meaning that a very large share of graduates entering the Australian labour market are covered by this data.</w:t>
      </w:r>
      <w:r>
        <w:rPr>
          <w:rStyle w:val="FootnoteReference"/>
        </w:rPr>
        <w:footnoteReference w:id="8"/>
      </w:r>
      <w:r w:rsidR="00D567EC">
        <w:t xml:space="preserve"> Combining these data with the ALIFE data allows us to observe both where workers graduate, and where they end up working.</w:t>
      </w:r>
    </w:p>
    <w:p w14:paraId="62B5E2FB" w14:textId="77777777" w:rsidR="004505DF" w:rsidRDefault="00A14304" w:rsidP="004134EE">
      <w:pPr>
        <w:jc w:val="both"/>
      </w:pPr>
      <w:r>
        <w:t>For our analysis we need to be able to identify when workers graduated. U</w:t>
      </w:r>
      <w:r w:rsidR="004505DF">
        <w:t>ntil the introduction of the Higher Education Information Management System (HEIMS) in 200</w:t>
      </w:r>
      <w:r w:rsidR="00CB422F">
        <w:t>4</w:t>
      </w:r>
      <w:r w:rsidR="006E4AC4">
        <w:noBreakHyphen/>
      </w:r>
      <w:r w:rsidR="00CB422F">
        <w:t>0</w:t>
      </w:r>
      <w:r w:rsidR="004505DF">
        <w:t xml:space="preserve">5, no degree completion indicators are available in </w:t>
      </w:r>
      <w:r w:rsidR="004134EE">
        <w:t xml:space="preserve">the </w:t>
      </w:r>
      <w:r w:rsidR="004505DF">
        <w:t xml:space="preserve">administrative data. </w:t>
      </w:r>
      <w:r>
        <w:t>As such, we have to</w:t>
      </w:r>
      <w:r w:rsidR="004505DF">
        <w:t xml:space="preserve"> impute completion indicators by observing when students stop incurring new HECS/HELP debt for each degree level.</w:t>
      </w:r>
      <w:r w:rsidR="00F859DE">
        <w:t xml:space="preserve"> </w:t>
      </w:r>
      <w:r>
        <w:t>Some sample statistics on t</w:t>
      </w:r>
      <w:r w:rsidR="00CB422F">
        <w:t>h</w:t>
      </w:r>
      <w:r>
        <w:t xml:space="preserve">e number of graduates are included in Table A2 </w:t>
      </w:r>
      <w:r w:rsidR="004134EE">
        <w:t>of</w:t>
      </w:r>
      <w:r>
        <w:t xml:space="preserve"> Appendix A.</w:t>
      </w:r>
    </w:p>
    <w:p w14:paraId="76D1B369" w14:textId="77777777" w:rsidR="00A14304" w:rsidRDefault="00A14304" w:rsidP="004134EE">
      <w:pPr>
        <w:jc w:val="both"/>
        <w:rPr>
          <w:rFonts w:asciiTheme="minorHAnsi" w:hAnsiTheme="minorHAnsi"/>
          <w:color w:val="auto"/>
        </w:rPr>
      </w:pPr>
      <w:r>
        <w:t>In order to differentiate between different degree types and universities, we map the course and provider codes included in the data using a concordance provided by the Department of Education. Missing concordances are imputed by text mining the degree name.</w:t>
      </w:r>
    </w:p>
    <w:p w14:paraId="65DCC97D" w14:textId="77777777" w:rsidR="004505DF" w:rsidRPr="00E36E0D" w:rsidRDefault="004505DF" w:rsidP="00AF7F6A">
      <w:pPr>
        <w:pStyle w:val="Heading4"/>
        <w:tabs>
          <w:tab w:val="clear" w:pos="850"/>
        </w:tabs>
        <w:ind w:left="0" w:firstLine="0"/>
      </w:pPr>
      <w:r w:rsidRPr="00310116">
        <w:t>Pay</w:t>
      </w:r>
      <w:r w:rsidR="006E4AC4">
        <w:noBreakHyphen/>
      </w:r>
      <w:r w:rsidRPr="00310116">
        <w:t>As</w:t>
      </w:r>
      <w:r w:rsidR="006E4AC4">
        <w:noBreakHyphen/>
      </w:r>
      <w:r w:rsidRPr="00310116">
        <w:t>You</w:t>
      </w:r>
      <w:r w:rsidR="006E4AC4">
        <w:noBreakHyphen/>
      </w:r>
      <w:r w:rsidRPr="00310116">
        <w:t xml:space="preserve">Go </w:t>
      </w:r>
      <w:r>
        <w:t xml:space="preserve">(PAYG) </w:t>
      </w:r>
      <w:r w:rsidRPr="00310116">
        <w:t>Summary Statements</w:t>
      </w:r>
    </w:p>
    <w:p w14:paraId="622AB479" w14:textId="77777777" w:rsidR="004505DF" w:rsidRDefault="004505DF" w:rsidP="004134EE">
      <w:pPr>
        <w:jc w:val="both"/>
      </w:pPr>
      <w:r>
        <w:t>Since 2000</w:t>
      </w:r>
      <w:r w:rsidR="006E4AC4">
        <w:noBreakHyphen/>
      </w:r>
      <w:r w:rsidR="00CB422F">
        <w:t>01</w:t>
      </w:r>
      <w:r>
        <w:t xml:space="preserve">, all employers are required by law to issue annual payment summaries to their employees. These contain unique identifiers for both employees and employers, which serves as the spine for the linking of employee and employer </w:t>
      </w:r>
      <w:r w:rsidR="00CB422F">
        <w:t>data, such as Alife</w:t>
      </w:r>
      <w:r>
        <w:t xml:space="preserve"> and BAS. Further they permit us to calculate the number of employees for each business, which we use in our measure of</w:t>
      </w:r>
      <w:r w:rsidR="004134EE">
        <w:t xml:space="preserve"> labour</w:t>
      </w:r>
      <w:r>
        <w:t xml:space="preserve"> productivity, and the rate of job switching</w:t>
      </w:r>
      <w:r w:rsidR="004134EE">
        <w:t xml:space="preserve">, which </w:t>
      </w:r>
      <w:r>
        <w:t>we observe when employees change their main employer.</w:t>
      </w:r>
    </w:p>
    <w:p w14:paraId="1B5A6DA9" w14:textId="77777777" w:rsidR="004505DF" w:rsidRPr="00E36E0D" w:rsidRDefault="004505DF" w:rsidP="00AF7F6A">
      <w:pPr>
        <w:pStyle w:val="Heading4"/>
        <w:tabs>
          <w:tab w:val="clear" w:pos="850"/>
        </w:tabs>
        <w:ind w:left="0" w:firstLine="0"/>
      </w:pPr>
      <w:r w:rsidRPr="00E85B8F">
        <w:lastRenderedPageBreak/>
        <w:t>Business Activity Statements (BAS)</w:t>
      </w:r>
      <w:r>
        <w:t xml:space="preserve"> </w:t>
      </w:r>
    </w:p>
    <w:p w14:paraId="772DAEDA" w14:textId="77777777" w:rsidR="004505DF" w:rsidRDefault="004505DF" w:rsidP="004134EE">
      <w:pPr>
        <w:jc w:val="both"/>
      </w:pPr>
      <w:r>
        <w:t xml:space="preserve">All businesses registered for GST purposes must submit monthly, quarterly or annual BAS to the ATO. </w:t>
      </w:r>
      <w:r w:rsidR="00A14304">
        <w:t>W</w:t>
      </w:r>
      <w:r>
        <w:t>e use total sales and non</w:t>
      </w:r>
      <w:r w:rsidR="006E4AC4">
        <w:noBreakHyphen/>
      </w:r>
      <w:r>
        <w:t>capital purchases</w:t>
      </w:r>
      <w:r w:rsidR="00A14304">
        <w:t xml:space="preserve"> from these forms</w:t>
      </w:r>
      <w:r>
        <w:t xml:space="preserve"> to derive value</w:t>
      </w:r>
      <w:r w:rsidR="006E4AC4">
        <w:noBreakHyphen/>
      </w:r>
      <w:r>
        <w:t>added</w:t>
      </w:r>
      <w:r w:rsidR="00A14304">
        <w:t>, which we then use to</w:t>
      </w:r>
      <w:r>
        <w:t xml:space="preserve"> construct </w:t>
      </w:r>
      <w:r w:rsidR="00A14304">
        <w:t xml:space="preserve">measures of employer </w:t>
      </w:r>
      <w:r>
        <w:t>labour productivity: value</w:t>
      </w:r>
      <w:r w:rsidR="006E4AC4">
        <w:noBreakHyphen/>
      </w:r>
      <w:r>
        <w:t>added per employee.</w:t>
      </w:r>
    </w:p>
    <w:p w14:paraId="2E99E5D2" w14:textId="77777777" w:rsidR="004505DF" w:rsidRDefault="00B53A18" w:rsidP="004505DF">
      <w:pPr>
        <w:pStyle w:val="Heading2"/>
      </w:pPr>
      <w:r>
        <w:t xml:space="preserve">4. </w:t>
      </w:r>
      <w:r w:rsidR="00EE4F4E">
        <w:t>E</w:t>
      </w:r>
      <w:r w:rsidR="004505DF">
        <w:t>mpirical framework</w:t>
      </w:r>
    </w:p>
    <w:p w14:paraId="6112703F" w14:textId="77777777" w:rsidR="00E36E0D" w:rsidRDefault="00E36E0D" w:rsidP="00D738DD">
      <w:pPr>
        <w:jc w:val="both"/>
      </w:pPr>
      <w:r>
        <w:t>Th</w:t>
      </w:r>
      <w:r w:rsidR="00D554D8">
        <w:t>e aggregated data provides suggestive evidence for labour market scarring in the early years of an individual</w:t>
      </w:r>
      <w:r w:rsidR="006E4AC4">
        <w:t>’</w:t>
      </w:r>
      <w:r w:rsidR="00D554D8">
        <w:t xml:space="preserve">s career. In Figure </w:t>
      </w:r>
      <w:r w:rsidR="00CB08CE">
        <w:t>2</w:t>
      </w:r>
      <w:r w:rsidR="00D554D8">
        <w:t xml:space="preserve"> we show the mean earnings of graduation cohorts at various points in their </w:t>
      </w:r>
      <w:r w:rsidR="00D738DD">
        <w:t>working life</w:t>
      </w:r>
      <w:r w:rsidR="00D554D8">
        <w:t>, alongside the youth unemployment rate at the time of graduation. The three sharpest rises in youth unemployment</w:t>
      </w:r>
      <w:r w:rsidR="00D738DD">
        <w:t xml:space="preserve"> rates</w:t>
      </w:r>
      <w:r w:rsidR="006E4AC4">
        <w:t xml:space="preserve"> — </w:t>
      </w:r>
      <w:r w:rsidR="00D554D8">
        <w:t>in the early 1990s, and early and late 2000s</w:t>
      </w:r>
      <w:r w:rsidR="006E4AC4">
        <w:t xml:space="preserve"> — </w:t>
      </w:r>
      <w:r w:rsidR="00D554D8">
        <w:t xml:space="preserve">all coincide with flat </w:t>
      </w:r>
      <w:r w:rsidR="00D738DD">
        <w:t>growth in subsequent earnings. This is most apparent in initial graduate earnings, but there are suggestive echoes in later years.</w:t>
      </w:r>
      <w:r w:rsidR="008F4A0B">
        <w:t xml:space="preserve"> In particular, earning</w:t>
      </w:r>
      <w:r w:rsidR="00941BFF">
        <w:t>s</w:t>
      </w:r>
      <w:r w:rsidR="008F4A0B">
        <w:t xml:space="preserve"> for these same cohorts in 2 and 4 years</w:t>
      </w:r>
      <w:r w:rsidR="006E4AC4">
        <w:t>’</w:t>
      </w:r>
      <w:r w:rsidR="008F4A0B">
        <w:t xml:space="preserve"> time, indicated in the solid and dashed orange lines respectively, also appear to suffer relative to earlier cohorts.</w:t>
      </w:r>
    </w:p>
    <w:p w14:paraId="1B68FB41" w14:textId="77777777" w:rsidR="002A6D35" w:rsidRPr="00E9695E" w:rsidRDefault="002A6D35" w:rsidP="002A6D35">
      <w:pPr>
        <w:pStyle w:val="CaptionHeading1"/>
        <w:rPr>
          <w:rFonts w:cstheme="majorHAnsi"/>
          <w:sz w:val="20"/>
        </w:rPr>
      </w:pPr>
      <w:r>
        <w:t xml:space="preserve">Figure 2:  Youth unemployment and future wages outcomes </w:t>
      </w:r>
    </w:p>
    <w:p w14:paraId="257BA257" w14:textId="77777777" w:rsidR="002A6D35" w:rsidRDefault="002A6D35" w:rsidP="002A6D35">
      <w:pPr>
        <w:pStyle w:val="Captiongraphic"/>
      </w:pPr>
      <w:r>
        <w:rPr>
          <w:noProof/>
          <w:lang w:eastAsia="en-AU"/>
        </w:rPr>
        <w:drawing>
          <wp:inline distT="0" distB="0" distL="0" distR="0" wp14:anchorId="131EA644" wp14:editId="19DD29A4">
            <wp:extent cx="5261610" cy="326771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61610" cy="3267710"/>
                    </a:xfrm>
                    <a:prstGeom prst="rect">
                      <a:avLst/>
                    </a:prstGeom>
                    <a:noFill/>
                  </pic:spPr>
                </pic:pic>
              </a:graphicData>
            </a:graphic>
          </wp:inline>
        </w:drawing>
      </w:r>
    </w:p>
    <w:p w14:paraId="130FA027" w14:textId="77777777" w:rsidR="00E36E0D" w:rsidRDefault="00A532B0" w:rsidP="002A6D35">
      <w:pPr>
        <w:pStyle w:val="Chartnote"/>
      </w:pPr>
      <w:r>
        <w:t xml:space="preserve">Note:  </w:t>
      </w:r>
      <w:r w:rsidR="00FD1FD0">
        <w:t>The chart</w:t>
      </w:r>
      <w:r w:rsidR="00E9695E">
        <w:t xml:space="preserve"> s</w:t>
      </w:r>
      <w:r>
        <w:t>hows the mean earnings after 0, 2 and 4 years of potential experience, by graduation cohort</w:t>
      </w:r>
      <w:r w:rsidR="00D554D8">
        <w:t xml:space="preserve">, alongside the </w:t>
      </w:r>
      <w:r w:rsidR="00E9695E">
        <w:t xml:space="preserve">national </w:t>
      </w:r>
      <w:r w:rsidR="00D554D8">
        <w:t>youth unemployment rate at the time of graduation</w:t>
      </w:r>
      <w:r w:rsidR="006E4AC4">
        <w:t xml:space="preserve">. </w:t>
      </w:r>
      <w:r w:rsidR="00706C22">
        <w:t>Based on ALIFE micro</w:t>
      </w:r>
      <w:r w:rsidR="006E4AC4">
        <w:noBreakHyphen/>
      </w:r>
      <w:r w:rsidR="00706C22">
        <w:t xml:space="preserve">aggregates and ABS Labour Force Release Cat No. 6202.0. </w:t>
      </w:r>
    </w:p>
    <w:p w14:paraId="597FA2A7" w14:textId="77777777" w:rsidR="002A6D35" w:rsidRDefault="002A6D35" w:rsidP="002A6D35">
      <w:pPr>
        <w:pStyle w:val="SingleParagraph"/>
      </w:pPr>
    </w:p>
    <w:p w14:paraId="108FBA23" w14:textId="77777777" w:rsidR="0035744C" w:rsidRDefault="00540C47" w:rsidP="0035744C">
      <w:pPr>
        <w:jc w:val="both"/>
      </w:pPr>
      <w:r>
        <w:t xml:space="preserve">Ultimately, we are trying to identify the effect of changes in labour demand at graduation on labour market outcomes of workers. In doing so, we </w:t>
      </w:r>
      <w:r w:rsidR="00C64D8E">
        <w:t>need</w:t>
      </w:r>
      <w:r>
        <w:t xml:space="preserve"> to abstract from any cohort</w:t>
      </w:r>
      <w:r w:rsidR="006E4AC4">
        <w:noBreakHyphen/>
      </w:r>
      <w:r>
        <w:t>specific labour supply changes, such as those that might be associated with changes in the national higher education system.</w:t>
      </w:r>
    </w:p>
    <w:p w14:paraId="74E47F8B" w14:textId="77777777" w:rsidR="00540C47" w:rsidRDefault="00540C47" w:rsidP="0035744C">
      <w:pPr>
        <w:jc w:val="both"/>
        <w:rPr>
          <w:rFonts w:eastAsiaTheme="minorEastAsia" w:cs="Calibri"/>
        </w:rPr>
      </w:pPr>
      <w:r>
        <w:t>To do so</w:t>
      </w:r>
      <w:r w:rsidR="0035744C">
        <w:t xml:space="preserve">, we </w:t>
      </w:r>
      <w:r w:rsidR="00FC70D8">
        <w:t>follow</w:t>
      </w:r>
      <w:r w:rsidR="0035744C">
        <w:t xml:space="preserve"> some of the existing literature by </w:t>
      </w:r>
      <w:r w:rsidR="00B843A7">
        <w:t>exploit</w:t>
      </w:r>
      <w:r w:rsidR="0035744C">
        <w:t>ing</w:t>
      </w:r>
      <w:r w:rsidR="00B843A7">
        <w:t xml:space="preserve"> </w:t>
      </w:r>
      <w:r w:rsidR="0035744C">
        <w:t xml:space="preserve">variation in labour market strength over time and across regions </w:t>
      </w:r>
      <w:r w:rsidR="00B843A7">
        <w:t>(</w:t>
      </w:r>
      <w:proofErr w:type="spellStart"/>
      <w:r w:rsidR="00B843A7">
        <w:t>Oreopoulos</w:t>
      </w:r>
      <w:proofErr w:type="spellEnd"/>
      <w:r w:rsidR="00B843A7">
        <w:t xml:space="preserve"> et al 2012</w:t>
      </w:r>
      <w:r w:rsidR="00895232">
        <w:t>;</w:t>
      </w:r>
      <w:r w:rsidR="00B843A7">
        <w:t xml:space="preserve"> </w:t>
      </w:r>
      <w:proofErr w:type="spellStart"/>
      <w:r w:rsidR="00074662">
        <w:t>Yagan</w:t>
      </w:r>
      <w:proofErr w:type="spellEnd"/>
      <w:r w:rsidR="00074662">
        <w:t xml:space="preserve"> </w:t>
      </w:r>
      <w:r w:rsidR="00895232">
        <w:t>2019</w:t>
      </w:r>
      <w:r w:rsidR="00B843A7">
        <w:t xml:space="preserve">). </w:t>
      </w:r>
      <w:r w:rsidR="0035744C">
        <w:t xml:space="preserve">In particular, </w:t>
      </w:r>
      <w:r w:rsidR="00AC161A">
        <w:t xml:space="preserve">we </w:t>
      </w:r>
      <w:r w:rsidR="00074662">
        <w:t>us</w:t>
      </w:r>
      <w:r w:rsidR="0035744C">
        <w:t>e</w:t>
      </w:r>
      <w:r w:rsidR="00074662">
        <w:t xml:space="preserve"> state</w:t>
      </w:r>
      <w:r w:rsidR="006E4AC4">
        <w:noBreakHyphen/>
      </w:r>
      <w:r w:rsidR="00074662">
        <w:t xml:space="preserve">year level variation </w:t>
      </w:r>
      <w:r w:rsidR="00074662" w:rsidRPr="00F0076F">
        <w:rPr>
          <w:rFonts w:eastAsiaTheme="minorEastAsia" w:cs="Calibri"/>
        </w:rPr>
        <w:t>in youth une</w:t>
      </w:r>
      <w:r w:rsidR="00074662">
        <w:rPr>
          <w:rFonts w:eastAsiaTheme="minorEastAsia" w:cs="Calibri"/>
        </w:rPr>
        <w:t xml:space="preserve">mployment rates. In </w:t>
      </w:r>
      <w:r w:rsidR="00AC161A">
        <w:rPr>
          <w:rFonts w:eastAsiaTheme="minorEastAsia" w:cs="Calibri"/>
        </w:rPr>
        <w:t xml:space="preserve">doing this, we </w:t>
      </w:r>
      <w:r w:rsidR="00074662">
        <w:rPr>
          <w:rFonts w:eastAsiaTheme="minorEastAsia" w:cs="Calibri"/>
        </w:rPr>
        <w:t xml:space="preserve">ask whether those graduating in states </w:t>
      </w:r>
      <w:r w:rsidR="00F3125C">
        <w:rPr>
          <w:rFonts w:eastAsiaTheme="minorEastAsia" w:cs="Calibri"/>
        </w:rPr>
        <w:t xml:space="preserve">with </w:t>
      </w:r>
      <w:r w:rsidR="00074662">
        <w:rPr>
          <w:rFonts w:eastAsiaTheme="minorEastAsia" w:cs="Calibri"/>
        </w:rPr>
        <w:t xml:space="preserve">high youth unemployment relative to </w:t>
      </w:r>
      <w:r w:rsidR="00074662" w:rsidRPr="00892605">
        <w:rPr>
          <w:rFonts w:eastAsiaTheme="minorEastAsia" w:cs="Calibri"/>
        </w:rPr>
        <w:t>the national average in that year, and state average over time, do any worse in subsequent years</w:t>
      </w:r>
      <w:r w:rsidR="009F77EA" w:rsidRPr="00892605">
        <w:rPr>
          <w:rFonts w:eastAsiaTheme="minorEastAsia" w:cs="Calibri"/>
        </w:rPr>
        <w:t>.</w:t>
      </w:r>
      <w:r w:rsidR="00074662" w:rsidRPr="00892605">
        <w:rPr>
          <w:rFonts w:eastAsiaTheme="minorEastAsia" w:cs="Calibri"/>
        </w:rPr>
        <w:t xml:space="preserve"> </w:t>
      </w:r>
      <w:r w:rsidR="0035744C" w:rsidRPr="00892605">
        <w:rPr>
          <w:rFonts w:eastAsiaTheme="minorEastAsia" w:cs="Calibri"/>
        </w:rPr>
        <w:t xml:space="preserve">As shown in Appendix </w:t>
      </w:r>
      <w:proofErr w:type="gramStart"/>
      <w:r w:rsidR="00050954" w:rsidRPr="00892605">
        <w:rPr>
          <w:rFonts w:eastAsiaTheme="minorEastAsia" w:cs="Calibri"/>
        </w:rPr>
        <w:t>A</w:t>
      </w:r>
      <w:proofErr w:type="gramEnd"/>
      <w:r w:rsidR="00050954" w:rsidRPr="00892605">
        <w:rPr>
          <w:rFonts w:eastAsiaTheme="minorEastAsia" w:cs="Calibri"/>
        </w:rPr>
        <w:t xml:space="preserve"> </w:t>
      </w:r>
      <w:r w:rsidR="0035744C" w:rsidRPr="00892605">
        <w:rPr>
          <w:rFonts w:eastAsiaTheme="minorEastAsia" w:cs="Calibri"/>
        </w:rPr>
        <w:t xml:space="preserve">Figure </w:t>
      </w:r>
      <w:r w:rsidR="00050954" w:rsidRPr="00892605">
        <w:rPr>
          <w:rFonts w:eastAsiaTheme="minorEastAsia" w:cs="Calibri"/>
        </w:rPr>
        <w:t>A</w:t>
      </w:r>
      <w:r w:rsidR="0035744C" w:rsidRPr="00892605">
        <w:rPr>
          <w:rFonts w:eastAsiaTheme="minorEastAsia" w:cs="Calibri"/>
        </w:rPr>
        <w:t>2, there</w:t>
      </w:r>
      <w:r w:rsidR="0035744C">
        <w:rPr>
          <w:rFonts w:eastAsiaTheme="minorEastAsia" w:cs="Calibri"/>
        </w:rPr>
        <w:t xml:space="preserve"> have been substantial variations </w:t>
      </w:r>
      <w:r w:rsidR="0035744C">
        <w:rPr>
          <w:rFonts w:eastAsiaTheme="minorEastAsia" w:cs="Calibri"/>
        </w:rPr>
        <w:lastRenderedPageBreak/>
        <w:t xml:space="preserve">in youth unemployment rates over time </w:t>
      </w:r>
      <w:r w:rsidR="00D3728D">
        <w:rPr>
          <w:rFonts w:eastAsiaTheme="minorEastAsia" w:cs="Calibri"/>
        </w:rPr>
        <w:t>between</w:t>
      </w:r>
      <w:r w:rsidR="0035744C">
        <w:rPr>
          <w:rFonts w:eastAsiaTheme="minorEastAsia" w:cs="Calibri"/>
        </w:rPr>
        <w:t xml:space="preserve"> states.</w:t>
      </w:r>
      <w:r>
        <w:rPr>
          <w:rFonts w:eastAsiaTheme="minorEastAsia" w:cs="Calibri"/>
        </w:rPr>
        <w:t xml:space="preserve"> We use this variation to identify the effects of labour demand on outcomes, while abstracting from broader changes in cohort</w:t>
      </w:r>
      <w:r w:rsidR="006E4AC4">
        <w:rPr>
          <w:rFonts w:eastAsiaTheme="minorEastAsia" w:cs="Calibri"/>
        </w:rPr>
        <w:noBreakHyphen/>
      </w:r>
      <w:r>
        <w:rPr>
          <w:rFonts w:eastAsiaTheme="minorEastAsia" w:cs="Calibri"/>
        </w:rPr>
        <w:t>specific labour supply.</w:t>
      </w:r>
    </w:p>
    <w:p w14:paraId="7CFDE57D" w14:textId="77777777" w:rsidR="004505DF" w:rsidRPr="004505DF" w:rsidRDefault="00540C47" w:rsidP="004505DF">
      <w:r>
        <w:t xml:space="preserve">The particular regression we use as our baseline is based on </w:t>
      </w:r>
      <w:proofErr w:type="spellStart"/>
      <w:r w:rsidR="00074662">
        <w:t>Oreopoulos</w:t>
      </w:r>
      <w:proofErr w:type="spellEnd"/>
      <w:r w:rsidR="00074662">
        <w:t xml:space="preserve"> et al </w:t>
      </w:r>
      <w:r w:rsidR="00D64734">
        <w:t>(</w:t>
      </w:r>
      <w:r w:rsidR="00074662">
        <w:t>2012</w:t>
      </w:r>
      <w:r w:rsidR="00D64734">
        <w:t>)</w:t>
      </w:r>
      <w:r w:rsidR="003B50A2">
        <w:t>:</w:t>
      </w:r>
    </w:p>
    <w:p w14:paraId="3359DF20" w14:textId="77777777" w:rsidR="00466057" w:rsidRPr="00074662" w:rsidRDefault="003967B9" w:rsidP="00466057">
      <w:pPr>
        <w:pStyle w:val="Bullet"/>
        <w:numPr>
          <w:ilvl w:val="0"/>
          <w:numId w:val="0"/>
        </w:numPr>
        <w:ind w:left="614"/>
        <w:rPr>
          <w:rFonts w:cs="Calibri"/>
        </w:rPr>
      </w:pPr>
      <m:oMathPara>
        <m:oMathParaPr>
          <m:jc m:val="centerGroup"/>
        </m:oMathParaPr>
        <m:oMath>
          <m:sSub>
            <m:sSubPr>
              <m:ctrlPr>
                <w:rPr>
                  <w:rFonts w:ascii="Cambria Math" w:hAnsi="Cambria Math" w:cs="Calibri"/>
                  <w:i/>
                  <w:iCs/>
                </w:rPr>
              </m:ctrlPr>
            </m:sSubPr>
            <m:e>
              <m:acc>
                <m:accPr>
                  <m:chr m:val="̅"/>
                  <m:ctrlPr>
                    <w:rPr>
                      <w:rFonts w:ascii="Cambria Math" w:hAnsi="Cambria Math" w:cs="Calibri"/>
                      <w:i/>
                      <w:iCs/>
                    </w:rPr>
                  </m:ctrlPr>
                </m:accPr>
                <m:e>
                  <m:r>
                    <w:rPr>
                      <w:rFonts w:ascii="Cambria Math" w:hAnsi="Cambria Math" w:cs="Calibri"/>
                    </w:rPr>
                    <m:t>y</m:t>
                  </m:r>
                </m:e>
              </m:acc>
            </m:e>
            <m:sub>
              <m:r>
                <w:rPr>
                  <w:rFonts w:ascii="Cambria Math" w:hAnsi="Cambria Math" w:cs="Calibri"/>
                </w:rPr>
                <m:t>c,s,t</m:t>
              </m:r>
            </m:sub>
          </m:sSub>
          <m:r>
            <w:rPr>
              <w:rFonts w:ascii="Cambria Math" w:hAnsi="Cambria Math" w:cs="Calibri"/>
            </w:rPr>
            <m:t>=α+</m:t>
          </m:r>
          <m:sSub>
            <m:sSubPr>
              <m:ctrlPr>
                <w:rPr>
                  <w:rFonts w:ascii="Cambria Math" w:hAnsi="Cambria Math" w:cs="Calibri"/>
                  <w:i/>
                  <w:iCs/>
                </w:rPr>
              </m:ctrlPr>
            </m:sSubPr>
            <m:e>
              <m:r>
                <w:rPr>
                  <w:rFonts w:ascii="Cambria Math" w:hAnsi="Cambria Math" w:cs="Calibri"/>
                </w:rPr>
                <m:t>β</m:t>
              </m:r>
            </m:e>
            <m:sub>
              <m:r>
                <w:rPr>
                  <w:rFonts w:ascii="Cambria Math" w:hAnsi="Cambria Math" w:cs="Calibri"/>
                </w:rPr>
                <m:t>e</m:t>
              </m:r>
            </m:sub>
          </m:sSub>
          <m:r>
            <w:rPr>
              <w:rFonts w:ascii="Cambria Math" w:hAnsi="Cambria Math" w:cs="Calibri"/>
            </w:rPr>
            <m:t>*I</m:t>
          </m:r>
          <m:d>
            <m:dPr>
              <m:ctrlPr>
                <w:rPr>
                  <w:rFonts w:ascii="Cambria Math" w:hAnsi="Cambria Math" w:cs="Calibri"/>
                  <w:i/>
                  <w:iCs/>
                </w:rPr>
              </m:ctrlPr>
            </m:dPr>
            <m:e>
              <m:r>
                <w:rPr>
                  <w:rFonts w:ascii="Cambria Math" w:hAnsi="Cambria Math" w:cs="Calibri"/>
                </w:rPr>
                <m:t>t-c=e</m:t>
              </m:r>
            </m:e>
          </m:d>
          <m:r>
            <w:rPr>
              <w:rFonts w:ascii="Cambria Math" w:hAnsi="Cambria Math" w:cs="Calibri"/>
            </w:rPr>
            <m:t>*</m:t>
          </m:r>
          <m:sSub>
            <m:sSubPr>
              <m:ctrlPr>
                <w:rPr>
                  <w:rFonts w:ascii="Cambria Math" w:hAnsi="Cambria Math" w:cs="Calibri"/>
                  <w:i/>
                  <w:iCs/>
                </w:rPr>
              </m:ctrlPr>
            </m:sSubPr>
            <m:e>
              <m:r>
                <w:rPr>
                  <w:rFonts w:ascii="Cambria Math" w:hAnsi="Cambria Math" w:cs="Calibri"/>
                </w:rPr>
                <m:t>UR</m:t>
              </m:r>
            </m:e>
            <m:sub>
              <m:r>
                <w:rPr>
                  <w:rFonts w:ascii="Cambria Math" w:hAnsi="Cambria Math" w:cs="Calibri"/>
                </w:rPr>
                <m:t>c,s,0</m:t>
              </m:r>
            </m:sub>
          </m:sSub>
          <m:r>
            <w:rPr>
              <w:rFonts w:ascii="Cambria Math" w:hAnsi="Cambria Math" w:cs="Calibri"/>
            </w:rPr>
            <m:t>+</m:t>
          </m:r>
          <m:sSub>
            <m:sSubPr>
              <m:ctrlPr>
                <w:rPr>
                  <w:rFonts w:ascii="Cambria Math" w:hAnsi="Cambria Math" w:cs="Calibri"/>
                  <w:i/>
                  <w:iCs/>
                </w:rPr>
              </m:ctrlPr>
            </m:sSubPr>
            <m:e>
              <m:r>
                <w:rPr>
                  <w:rFonts w:ascii="Cambria Math" w:hAnsi="Cambria Math" w:cs="Calibri"/>
                </w:rPr>
                <m:t>ϕ</m:t>
              </m:r>
            </m:e>
            <m:sub>
              <m:r>
                <w:rPr>
                  <w:rFonts w:ascii="Cambria Math" w:hAnsi="Cambria Math" w:cs="Calibri"/>
                </w:rPr>
                <m:t>t</m:t>
              </m:r>
            </m:sub>
          </m:sSub>
          <m:r>
            <w:rPr>
              <w:rFonts w:ascii="Cambria Math" w:hAnsi="Cambria Math" w:cs="Calibri"/>
            </w:rPr>
            <m:t>+</m:t>
          </m:r>
          <m:sSub>
            <m:sSubPr>
              <m:ctrlPr>
                <w:rPr>
                  <w:rFonts w:ascii="Cambria Math" w:hAnsi="Cambria Math" w:cs="Calibri"/>
                  <w:i/>
                  <w:iCs/>
                </w:rPr>
              </m:ctrlPr>
            </m:sSubPr>
            <m:e>
              <m:r>
                <w:rPr>
                  <w:rFonts w:ascii="Cambria Math" w:hAnsi="Cambria Math" w:cs="Calibri"/>
                </w:rPr>
                <m:t>θ</m:t>
              </m:r>
            </m:e>
            <m:sub>
              <m:r>
                <w:rPr>
                  <w:rFonts w:ascii="Cambria Math" w:hAnsi="Cambria Math" w:cs="Calibri"/>
                </w:rPr>
                <m:t>s</m:t>
              </m:r>
            </m:sub>
          </m:sSub>
          <m:r>
            <w:rPr>
              <w:rFonts w:ascii="Cambria Math" w:hAnsi="Cambria Math" w:cs="Calibri"/>
            </w:rPr>
            <m:t>+</m:t>
          </m:r>
          <m:sSub>
            <m:sSubPr>
              <m:ctrlPr>
                <w:rPr>
                  <w:rFonts w:ascii="Cambria Math" w:hAnsi="Cambria Math" w:cs="Calibri"/>
                  <w:i/>
                  <w:iCs/>
                </w:rPr>
              </m:ctrlPr>
            </m:sSubPr>
            <m:e>
              <m:r>
                <w:rPr>
                  <w:rFonts w:ascii="Cambria Math" w:hAnsi="Cambria Math" w:cs="Calibri"/>
                </w:rPr>
                <m:t>γ</m:t>
              </m:r>
            </m:e>
            <m:sub>
              <m:r>
                <w:rPr>
                  <w:rFonts w:ascii="Cambria Math" w:hAnsi="Cambria Math" w:cs="Calibri"/>
                </w:rPr>
                <m:t>e</m:t>
              </m:r>
            </m:sub>
          </m:sSub>
          <m:r>
            <w:rPr>
              <w:rFonts w:ascii="Cambria Math" w:hAnsi="Cambria Math" w:cs="Calibri"/>
            </w:rPr>
            <m:t> +</m:t>
          </m:r>
          <m:sSub>
            <m:sSubPr>
              <m:ctrlPr>
                <w:rPr>
                  <w:rFonts w:ascii="Cambria Math" w:hAnsi="Cambria Math" w:cs="Calibri"/>
                  <w:i/>
                  <w:iCs/>
                </w:rPr>
              </m:ctrlPr>
            </m:sSubPr>
            <m:e>
              <m:r>
                <w:rPr>
                  <w:rFonts w:ascii="Cambria Math" w:hAnsi="Cambria Math" w:cs="Calibri"/>
                </w:rPr>
                <m:t>χ</m:t>
              </m:r>
            </m:e>
            <m:sub>
              <m:r>
                <w:rPr>
                  <w:rFonts w:ascii="Cambria Math" w:hAnsi="Cambria Math" w:cs="Calibri"/>
                </w:rPr>
                <m:t>c</m:t>
              </m:r>
            </m:sub>
          </m:sSub>
          <m:r>
            <w:rPr>
              <w:rFonts w:ascii="Cambria Math" w:hAnsi="Cambria Math" w:cs="Calibri"/>
            </w:rPr>
            <m:t xml:space="preserve">+ </m:t>
          </m:r>
          <m:sSub>
            <m:sSubPr>
              <m:ctrlPr>
                <w:rPr>
                  <w:rFonts w:ascii="Cambria Math" w:hAnsi="Cambria Math" w:cs="Calibri"/>
                  <w:i/>
                </w:rPr>
              </m:ctrlPr>
            </m:sSubPr>
            <m:e>
              <m:r>
                <w:rPr>
                  <w:rFonts w:ascii="Cambria Math" w:hAnsi="Cambria Math" w:cs="Calibri"/>
                </w:rPr>
                <m:t>X</m:t>
              </m:r>
            </m:e>
            <m:sub>
              <m:r>
                <w:rPr>
                  <w:rFonts w:ascii="Cambria Math" w:hAnsi="Cambria Math" w:cs="Calibri"/>
                </w:rPr>
                <m:t>ce</m:t>
              </m:r>
            </m:sub>
          </m:sSub>
          <m:r>
            <w:rPr>
              <w:rFonts w:ascii="Cambria Math" w:hAnsi="Cambria Math" w:cs="Calibri"/>
            </w:rPr>
            <m:t>+</m:t>
          </m:r>
          <m:sSub>
            <m:sSubPr>
              <m:ctrlPr>
                <w:rPr>
                  <w:rFonts w:ascii="Cambria Math" w:hAnsi="Cambria Math" w:cs="Calibri"/>
                  <w:i/>
                  <w:iCs/>
                </w:rPr>
              </m:ctrlPr>
            </m:sSubPr>
            <m:e>
              <m:r>
                <w:rPr>
                  <w:rFonts w:ascii="Cambria Math" w:hAnsi="Cambria Math" w:cs="Calibri"/>
                </w:rPr>
                <m:t>ε</m:t>
              </m:r>
            </m:e>
            <m:sub>
              <m:r>
                <w:rPr>
                  <w:rFonts w:ascii="Cambria Math" w:hAnsi="Cambria Math" w:cs="Calibri"/>
                </w:rPr>
                <m:t>cst</m:t>
              </m:r>
            </m:sub>
          </m:sSub>
        </m:oMath>
      </m:oMathPara>
    </w:p>
    <w:p w14:paraId="19D1AC10" w14:textId="77777777" w:rsidR="00466057" w:rsidRDefault="003B50A2" w:rsidP="0035744C">
      <w:pPr>
        <w:jc w:val="both"/>
        <w:rPr>
          <w:rFonts w:eastAsiaTheme="minorEastAsia"/>
          <w:iCs/>
        </w:rPr>
      </w:pPr>
      <w:proofErr w:type="gramStart"/>
      <w:r>
        <w:t>where</w:t>
      </w:r>
      <w:proofErr w:type="gramEnd"/>
      <w:r>
        <w:t xml:space="preserve"> </w:t>
      </w:r>
      <m:oMath>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cst</m:t>
            </m:r>
          </m:sub>
        </m:sSub>
      </m:oMath>
      <w:r w:rsidRPr="003B50A2">
        <w:t xml:space="preserve"> is the mean </w:t>
      </w:r>
      <w:r w:rsidR="00776A43">
        <w:t xml:space="preserve">log </w:t>
      </w:r>
      <w:r w:rsidR="00895232">
        <w:t>annual earnings</w:t>
      </w:r>
      <w:r w:rsidRPr="003B50A2">
        <w:t xml:space="preserve"> in year t for all those </w:t>
      </w:r>
      <w:r w:rsidR="00895232">
        <w:t>graduating in year</w:t>
      </w:r>
      <w:r w:rsidRPr="003B50A2">
        <w:t xml:space="preserve"> c</w:t>
      </w:r>
      <w:r w:rsidR="00895232">
        <w:t xml:space="preserve"> </w:t>
      </w:r>
      <w:r w:rsidRPr="003B50A2">
        <w:t xml:space="preserve">and </w:t>
      </w:r>
      <w:proofErr w:type="spellStart"/>
      <w:r w:rsidR="00895232">
        <w:t>state s</w:t>
      </w:r>
      <w:proofErr w:type="spellEnd"/>
      <w:r w:rsidRPr="003B50A2">
        <w:t>.</w:t>
      </w:r>
      <w:r w:rsidR="00895232">
        <w:t xml:space="preserve"> These graduates are defined as having potential experience e=t</w:t>
      </w:r>
      <w:r w:rsidR="006E4AC4">
        <w:noBreakHyphen/>
      </w:r>
      <w:r w:rsidR="00895232">
        <w:t>c</w:t>
      </w:r>
      <w:r w:rsidR="0075178D">
        <w:t>. We restrict attention to the first decade of the working life (e=0,…</w:t>
      </w:r>
      <w:proofErr w:type="gramStart"/>
      <w:r w:rsidR="0075178D">
        <w:t>,10</w:t>
      </w:r>
      <w:proofErr w:type="gramEnd"/>
      <w:r w:rsidR="0075178D">
        <w:t>)</w:t>
      </w:r>
      <w:r w:rsidR="00895232">
        <w:t>.</w:t>
      </w:r>
      <w:r w:rsidR="00FC70D8">
        <w:t xml:space="preserve"> </w:t>
      </w:r>
      <w:r>
        <w:t xml:space="preserve">The key </w:t>
      </w:r>
      <w:r w:rsidR="00074662">
        <w:t xml:space="preserve">independent variable is </w:t>
      </w:r>
      <m:oMath>
        <m:sSub>
          <m:sSubPr>
            <m:ctrlPr>
              <w:rPr>
                <w:rFonts w:ascii="Cambria Math" w:hAnsi="Cambria Math" w:cs="Calibri"/>
                <w:i/>
                <w:iCs/>
              </w:rPr>
            </m:ctrlPr>
          </m:sSubPr>
          <m:e>
            <m:r>
              <w:rPr>
                <w:rFonts w:ascii="Cambria Math" w:hAnsi="Cambria Math" w:cs="Calibri"/>
              </w:rPr>
              <m:t>UR</m:t>
            </m:r>
          </m:e>
          <m:sub>
            <m:r>
              <w:rPr>
                <w:rFonts w:ascii="Cambria Math" w:hAnsi="Cambria Math" w:cs="Calibri"/>
              </w:rPr>
              <m:t>c,s,0</m:t>
            </m:r>
          </m:sub>
        </m:sSub>
      </m:oMath>
      <w:r w:rsidR="006E4AC4">
        <w:rPr>
          <w:rFonts w:eastAsiaTheme="minorEastAsia"/>
          <w:iCs/>
        </w:rPr>
        <w:t xml:space="preserve"> — </w:t>
      </w:r>
      <w:r w:rsidR="00895232">
        <w:rPr>
          <w:rFonts w:eastAsiaTheme="minorEastAsia"/>
          <w:iCs/>
        </w:rPr>
        <w:t xml:space="preserve">the </w:t>
      </w:r>
      <w:r w:rsidR="00784C49">
        <w:rPr>
          <w:rFonts w:eastAsiaTheme="minorEastAsia"/>
          <w:iCs/>
        </w:rPr>
        <w:t xml:space="preserve">average </w:t>
      </w:r>
      <w:r w:rsidR="00895232">
        <w:rPr>
          <w:rFonts w:eastAsiaTheme="minorEastAsia"/>
          <w:iCs/>
        </w:rPr>
        <w:t>youth unemployment rate i</w:t>
      </w:r>
      <w:r w:rsidR="00FC70D8">
        <w:rPr>
          <w:rFonts w:eastAsiaTheme="minorEastAsia"/>
          <w:iCs/>
        </w:rPr>
        <w:t>n the year and state</w:t>
      </w:r>
      <w:r w:rsidR="00F3125C">
        <w:rPr>
          <w:rFonts w:eastAsiaTheme="minorEastAsia"/>
          <w:iCs/>
        </w:rPr>
        <w:t xml:space="preserve"> of graduation</w:t>
      </w:r>
      <w:r w:rsidR="00FC70D8">
        <w:rPr>
          <w:rFonts w:eastAsiaTheme="minorEastAsia"/>
          <w:iCs/>
        </w:rPr>
        <w:t>.</w:t>
      </w:r>
      <w:r w:rsidR="00784C49">
        <w:rPr>
          <w:rStyle w:val="FootnoteReference"/>
          <w:rFonts w:eastAsiaTheme="minorEastAsia"/>
          <w:iCs/>
        </w:rPr>
        <w:footnoteReference w:id="9"/>
      </w:r>
      <w:r w:rsidR="00FC70D8">
        <w:rPr>
          <w:rFonts w:eastAsiaTheme="minorEastAsia"/>
          <w:iCs/>
        </w:rPr>
        <w:t xml:space="preserve"> </w:t>
      </w:r>
      <m:oMath>
        <m:r>
          <w:rPr>
            <w:rFonts w:ascii="Cambria Math" w:hAnsi="Cambria Math" w:cs="Calibri"/>
          </w:rPr>
          <m:t>I</m:t>
        </m:r>
        <m:d>
          <m:dPr>
            <m:ctrlPr>
              <w:rPr>
                <w:rFonts w:ascii="Cambria Math" w:hAnsi="Cambria Math" w:cs="Calibri"/>
                <w:i/>
                <w:iCs/>
              </w:rPr>
            </m:ctrlPr>
          </m:dPr>
          <m:e>
            <m:r>
              <w:rPr>
                <w:rFonts w:ascii="Cambria Math" w:hAnsi="Cambria Math" w:cs="Calibri"/>
              </w:rPr>
              <m:t>t-c=e</m:t>
            </m:r>
          </m:e>
        </m:d>
      </m:oMath>
      <w:r w:rsidR="006D68C1">
        <w:rPr>
          <w:rFonts w:eastAsiaTheme="minorEastAsia"/>
          <w:iCs/>
        </w:rPr>
        <w:t xml:space="preserve"> </w:t>
      </w:r>
      <w:proofErr w:type="gramStart"/>
      <w:r w:rsidR="006D68C1">
        <w:rPr>
          <w:rFonts w:eastAsiaTheme="minorEastAsia"/>
          <w:iCs/>
        </w:rPr>
        <w:t>is</w:t>
      </w:r>
      <w:proofErr w:type="gramEnd"/>
      <w:r w:rsidR="006D68C1">
        <w:rPr>
          <w:rFonts w:eastAsiaTheme="minorEastAsia"/>
          <w:iCs/>
        </w:rPr>
        <w:t xml:space="preserve"> an indicator that takes on</w:t>
      </w:r>
      <w:r w:rsidR="0029296A">
        <w:rPr>
          <w:rFonts w:eastAsiaTheme="minorEastAsia"/>
          <w:iCs/>
        </w:rPr>
        <w:t xml:space="preserve"> </w:t>
      </w:r>
      <w:r w:rsidR="006D68C1">
        <w:rPr>
          <w:rFonts w:eastAsiaTheme="minorEastAsia"/>
          <w:iCs/>
        </w:rPr>
        <w:t xml:space="preserve">the value 1 if the worker is of experience </w:t>
      </w:r>
      <w:r w:rsidR="006D68C1" w:rsidRPr="006D68C1">
        <w:rPr>
          <w:rFonts w:eastAsiaTheme="minorEastAsia"/>
          <w:i/>
          <w:iCs/>
        </w:rPr>
        <w:t>e</w:t>
      </w:r>
      <w:r w:rsidR="006D68C1">
        <w:rPr>
          <w:rFonts w:eastAsiaTheme="minorEastAsia"/>
          <w:iCs/>
        </w:rPr>
        <w:t xml:space="preserve">, and 0 otherwise. </w:t>
      </w:r>
      <w:r w:rsidR="00895232">
        <w:rPr>
          <w:rFonts w:eastAsiaTheme="minorEastAsia"/>
          <w:iCs/>
        </w:rPr>
        <w:t>The coefficient</w:t>
      </w:r>
      <w:r w:rsidR="00CA7DCB">
        <w:rPr>
          <w:rFonts w:eastAsiaTheme="minorEastAsia"/>
          <w:iCs/>
        </w:rPr>
        <w:t>s</w:t>
      </w:r>
      <w:r w:rsidR="00D335AC">
        <w:rPr>
          <w:rFonts w:eastAsiaTheme="minorEastAsia"/>
          <w:iCs/>
        </w:rPr>
        <w:t xml:space="preserve"> of interest are the</w:t>
      </w:r>
      <w:r w:rsidR="00CA7DCB">
        <w:rPr>
          <w:rFonts w:eastAsiaTheme="minorEastAsia"/>
          <w:iCs/>
        </w:rPr>
        <w:t xml:space="preserve"> </w:t>
      </w:r>
      <m:oMath>
        <m:sSub>
          <m:sSubPr>
            <m:ctrlPr>
              <w:rPr>
                <w:rFonts w:ascii="Cambria Math" w:hAnsi="Cambria Math" w:cs="Calibri"/>
                <w:i/>
                <w:iCs/>
              </w:rPr>
            </m:ctrlPr>
          </m:sSubPr>
          <m:e>
            <m:r>
              <w:rPr>
                <w:rFonts w:ascii="Cambria Math" w:hAnsi="Cambria Math" w:cs="Calibri"/>
              </w:rPr>
              <m:t>β</m:t>
            </m:r>
          </m:e>
          <m:sub>
            <m:r>
              <w:rPr>
                <w:rFonts w:ascii="Cambria Math" w:hAnsi="Cambria Math" w:cs="Calibri"/>
              </w:rPr>
              <m:t>e</m:t>
            </m:r>
          </m:sub>
        </m:sSub>
      </m:oMath>
      <w:r w:rsidR="0075178D">
        <w:rPr>
          <w:rFonts w:eastAsiaTheme="minorEastAsia"/>
          <w:iCs/>
        </w:rPr>
        <w:t>; these are intended to</w:t>
      </w:r>
      <w:r w:rsidR="00FC70D8">
        <w:rPr>
          <w:rFonts w:eastAsiaTheme="minorEastAsia"/>
          <w:iCs/>
        </w:rPr>
        <w:t xml:space="preserve"> pick up any </w:t>
      </w:r>
      <w:r w:rsidR="00A07A83">
        <w:rPr>
          <w:rFonts w:eastAsiaTheme="minorEastAsia"/>
          <w:iCs/>
        </w:rPr>
        <w:t>scarring</w:t>
      </w:r>
      <w:r w:rsidR="00D335AC">
        <w:rPr>
          <w:rFonts w:eastAsiaTheme="minorEastAsia"/>
          <w:iCs/>
        </w:rPr>
        <w:t xml:space="preserve"> effects arising from </w:t>
      </w:r>
      <w:r w:rsidR="00A07A83">
        <w:rPr>
          <w:rFonts w:eastAsiaTheme="minorEastAsia"/>
          <w:iCs/>
        </w:rPr>
        <w:t>labour market conditions at graduation</w:t>
      </w:r>
      <w:r w:rsidR="0075178D">
        <w:rPr>
          <w:rFonts w:eastAsiaTheme="minorEastAsia"/>
          <w:iCs/>
        </w:rPr>
        <w:t xml:space="preserve"> and how they vary over the subsequent decade (</w:t>
      </w:r>
      <m:oMath>
        <m:sSub>
          <m:sSubPr>
            <m:ctrlPr>
              <w:rPr>
                <w:rFonts w:ascii="Cambria Math" w:hAnsi="Cambria Math" w:cs="Calibri"/>
                <w:i/>
                <w:iCs/>
              </w:rPr>
            </m:ctrlPr>
          </m:sSubPr>
          <m:e>
            <m:r>
              <w:rPr>
                <w:rFonts w:ascii="Cambria Math" w:hAnsi="Cambria Math" w:cs="Calibri"/>
              </w:rPr>
              <m:t>β</m:t>
            </m:r>
          </m:e>
          <m:sub>
            <m:r>
              <w:rPr>
                <w:rFonts w:ascii="Cambria Math" w:hAnsi="Cambria Math" w:cs="Calibri"/>
              </w:rPr>
              <m:t>0</m:t>
            </m:r>
          </m:sub>
        </m:sSub>
        <m:r>
          <w:rPr>
            <w:rFonts w:ascii="Cambria Math" w:hAnsi="Cambria Math" w:cs="Calibri"/>
          </w:rPr>
          <m:t>, …,</m:t>
        </m:r>
        <m:sSub>
          <m:sSubPr>
            <m:ctrlPr>
              <w:rPr>
                <w:rFonts w:ascii="Cambria Math" w:hAnsi="Cambria Math" w:cs="Calibri"/>
                <w:i/>
                <w:iCs/>
              </w:rPr>
            </m:ctrlPr>
          </m:sSubPr>
          <m:e>
            <m:r>
              <w:rPr>
                <w:rFonts w:ascii="Cambria Math" w:hAnsi="Cambria Math" w:cs="Calibri"/>
              </w:rPr>
              <m:t>β</m:t>
            </m:r>
          </m:e>
          <m:sub>
            <m:r>
              <w:rPr>
                <w:rFonts w:ascii="Cambria Math" w:hAnsi="Cambria Math" w:cs="Calibri"/>
              </w:rPr>
              <m:t>10</m:t>
            </m:r>
          </m:sub>
        </m:sSub>
      </m:oMath>
      <w:r w:rsidR="00A41D5A">
        <w:rPr>
          <w:rFonts w:eastAsiaTheme="minorEastAsia"/>
          <w:iCs/>
        </w:rPr>
        <w:t>)</w:t>
      </w:r>
      <w:r w:rsidR="00895232">
        <w:rPr>
          <w:rFonts w:eastAsiaTheme="minorEastAsia"/>
          <w:iCs/>
        </w:rPr>
        <w:t>.</w:t>
      </w:r>
      <w:r w:rsidR="00540C47">
        <w:rPr>
          <w:rFonts w:eastAsiaTheme="minorEastAsia"/>
          <w:iCs/>
        </w:rPr>
        <w:t xml:space="preserve"> They will capture variation in labour outcomes for the cohort that is correlated with the local labour </w:t>
      </w:r>
      <w:r w:rsidR="0057328C">
        <w:rPr>
          <w:rFonts w:eastAsiaTheme="minorEastAsia"/>
          <w:iCs/>
        </w:rPr>
        <w:t>strength on graduation</w:t>
      </w:r>
      <w:r w:rsidR="00540C47">
        <w:rPr>
          <w:rFonts w:eastAsiaTheme="minorEastAsia"/>
          <w:iCs/>
        </w:rPr>
        <w:t xml:space="preserve">. Each of the coefficients captures the relationship </w:t>
      </w:r>
      <w:r w:rsidR="00E9695E">
        <w:rPr>
          <w:rFonts w:eastAsiaTheme="minorEastAsia"/>
          <w:iCs/>
        </w:rPr>
        <w:t xml:space="preserve">with outcomes </w:t>
      </w:r>
      <w:r w:rsidR="00E9695E">
        <w:rPr>
          <w:rFonts w:eastAsiaTheme="minorEastAsia"/>
          <w:i/>
          <w:iCs/>
        </w:rPr>
        <w:t xml:space="preserve">e </w:t>
      </w:r>
      <w:r w:rsidR="00E9695E">
        <w:rPr>
          <w:rFonts w:eastAsiaTheme="minorEastAsia"/>
          <w:iCs/>
        </w:rPr>
        <w:t>years later, allowing us to trace out the effects over the first 10 years of workers</w:t>
      </w:r>
      <w:r w:rsidR="006E4AC4">
        <w:rPr>
          <w:rFonts w:eastAsiaTheme="minorEastAsia"/>
          <w:iCs/>
        </w:rPr>
        <w:t>’</w:t>
      </w:r>
      <w:r w:rsidR="00E9695E">
        <w:rPr>
          <w:rFonts w:eastAsiaTheme="minorEastAsia"/>
          <w:iCs/>
        </w:rPr>
        <w:t xml:space="preserve"> careers.</w:t>
      </w:r>
    </w:p>
    <w:p w14:paraId="1BC2A8B2" w14:textId="77777777" w:rsidR="00A41D5A" w:rsidRDefault="00A41D5A" w:rsidP="0035744C">
      <w:pPr>
        <w:jc w:val="both"/>
        <w:rPr>
          <w:rFonts w:eastAsiaTheme="minorEastAsia"/>
          <w:iCs/>
        </w:rPr>
      </w:pPr>
      <w:r>
        <w:rPr>
          <w:rFonts w:eastAsiaTheme="minorEastAsia"/>
          <w:iCs/>
        </w:rPr>
        <w:t>The intuition behind this specification</w:t>
      </w:r>
      <w:r w:rsidR="006E4AC4">
        <w:rPr>
          <w:rFonts w:eastAsiaTheme="minorEastAsia"/>
          <w:iCs/>
        </w:rPr>
        <w:t xml:space="preserve"> — </w:t>
      </w:r>
      <w:r w:rsidR="0000483C">
        <w:rPr>
          <w:rFonts w:eastAsiaTheme="minorEastAsia"/>
          <w:iCs/>
        </w:rPr>
        <w:t>that</w:t>
      </w:r>
      <w:r w:rsidR="00372D9C">
        <w:rPr>
          <w:rFonts w:eastAsiaTheme="minorEastAsia"/>
          <w:iCs/>
        </w:rPr>
        <w:t xml:space="preserve"> we use </w:t>
      </w:r>
      <w:r w:rsidR="00D25500">
        <w:rPr>
          <w:rFonts w:eastAsiaTheme="minorEastAsia"/>
          <w:iCs/>
        </w:rPr>
        <w:t xml:space="preserve">in </w:t>
      </w:r>
      <w:r w:rsidR="00372D9C">
        <w:rPr>
          <w:rFonts w:eastAsiaTheme="minorEastAsia"/>
          <w:iCs/>
        </w:rPr>
        <w:t>the stylised example in Figure 3</w:t>
      </w:r>
      <w:r w:rsidR="0000483C">
        <w:rPr>
          <w:rFonts w:eastAsiaTheme="minorEastAsia"/>
          <w:iCs/>
        </w:rPr>
        <w:t>, which is not based on real data</w:t>
      </w:r>
      <w:r w:rsidR="006E4AC4">
        <w:rPr>
          <w:rFonts w:eastAsiaTheme="minorEastAsia"/>
          <w:iCs/>
        </w:rPr>
        <w:t xml:space="preserve"> — </w:t>
      </w:r>
      <w:r>
        <w:rPr>
          <w:rFonts w:eastAsiaTheme="minorEastAsia"/>
          <w:iCs/>
        </w:rPr>
        <w:t xml:space="preserve">is as follows. We can think of the wages for a group of workers reflecting </w:t>
      </w:r>
      <w:r w:rsidR="00D64734">
        <w:rPr>
          <w:rFonts w:eastAsiaTheme="minorEastAsia"/>
          <w:iCs/>
        </w:rPr>
        <w:t>four</w:t>
      </w:r>
      <w:r>
        <w:rPr>
          <w:rFonts w:eastAsiaTheme="minorEastAsia"/>
          <w:iCs/>
        </w:rPr>
        <w:t xml:space="preserve"> factors. The first is the period or year. In any given year</w:t>
      </w:r>
      <w:r w:rsidR="00D64734">
        <w:rPr>
          <w:rFonts w:eastAsiaTheme="minorEastAsia"/>
          <w:iCs/>
        </w:rPr>
        <w:t>,</w:t>
      </w:r>
      <w:r>
        <w:rPr>
          <w:rFonts w:eastAsiaTheme="minorEastAsia"/>
          <w:iCs/>
        </w:rPr>
        <w:t xml:space="preserve"> wages for all workers might be higher or lower, reflecting national factors such as the business cycle or inflation. We account for these factors with the year </w:t>
      </w:r>
      <w:proofErr w:type="gramStart"/>
      <w:r>
        <w:rPr>
          <w:rFonts w:eastAsiaTheme="minorEastAsia"/>
          <w:iCs/>
        </w:rPr>
        <w:t xml:space="preserve">dummies </w:t>
      </w:r>
      <w:proofErr w:type="gramEnd"/>
      <m:oMath>
        <m:sSub>
          <m:sSubPr>
            <m:ctrlPr>
              <w:rPr>
                <w:rFonts w:ascii="Cambria Math" w:hAnsi="Cambria Math" w:cs="Calibri"/>
                <w:i/>
                <w:iCs/>
              </w:rPr>
            </m:ctrlPr>
          </m:sSubPr>
          <m:e>
            <m:r>
              <w:rPr>
                <w:rFonts w:ascii="Cambria Math" w:hAnsi="Cambria Math" w:cs="Calibri"/>
              </w:rPr>
              <m:t>ϕ</m:t>
            </m:r>
          </m:e>
          <m:sub>
            <m:r>
              <w:rPr>
                <w:rFonts w:ascii="Cambria Math" w:hAnsi="Cambria Math" w:cs="Calibri"/>
              </w:rPr>
              <m:t>t</m:t>
            </m:r>
          </m:sub>
        </m:sSub>
      </m:oMath>
      <w:r>
        <w:rPr>
          <w:rFonts w:eastAsiaTheme="minorEastAsia"/>
          <w:iCs/>
        </w:rPr>
        <w:t>.</w:t>
      </w:r>
      <w:r w:rsidR="00BD554E">
        <w:rPr>
          <w:rFonts w:eastAsiaTheme="minorEastAsia"/>
          <w:iCs/>
        </w:rPr>
        <w:t xml:space="preserve"> The second factor is the state</w:t>
      </w:r>
      <w:r w:rsidR="006E4AC4">
        <w:rPr>
          <w:rFonts w:eastAsiaTheme="minorEastAsia"/>
          <w:iCs/>
        </w:rPr>
        <w:t xml:space="preserve">. </w:t>
      </w:r>
      <w:r w:rsidR="00BD554E">
        <w:rPr>
          <w:rFonts w:eastAsiaTheme="minorEastAsia"/>
          <w:iCs/>
        </w:rPr>
        <w:t xml:space="preserve">Some states might have persistently higher or lower earnings and youth unemployment rates, which we account for with the state </w:t>
      </w:r>
      <w:proofErr w:type="gramStart"/>
      <w:r w:rsidR="00BD554E">
        <w:rPr>
          <w:rFonts w:eastAsiaTheme="minorEastAsia"/>
          <w:iCs/>
        </w:rPr>
        <w:t xml:space="preserve">dummies </w:t>
      </w:r>
      <w:proofErr w:type="gramEnd"/>
      <m:oMath>
        <m:sSub>
          <m:sSubPr>
            <m:ctrlPr>
              <w:rPr>
                <w:rFonts w:ascii="Cambria Math" w:hAnsi="Cambria Math" w:cs="Calibri"/>
                <w:i/>
                <w:iCs/>
              </w:rPr>
            </m:ctrlPr>
          </m:sSubPr>
          <m:e>
            <m:r>
              <w:rPr>
                <w:rFonts w:ascii="Cambria Math" w:hAnsi="Cambria Math" w:cs="Calibri"/>
              </w:rPr>
              <m:t>θ</m:t>
            </m:r>
          </m:e>
          <m:sub>
            <m:r>
              <w:rPr>
                <w:rFonts w:ascii="Cambria Math" w:hAnsi="Cambria Math" w:cs="Calibri"/>
              </w:rPr>
              <m:t>s</m:t>
            </m:r>
          </m:sub>
        </m:sSub>
      </m:oMath>
      <w:r w:rsidR="006E4AC4">
        <w:rPr>
          <w:rFonts w:eastAsiaTheme="minorEastAsia"/>
          <w:iCs/>
        </w:rPr>
        <w:t xml:space="preserve">. </w:t>
      </w:r>
      <w:r w:rsidR="00BD554E">
        <w:rPr>
          <w:rFonts w:eastAsiaTheme="minorEastAsia"/>
          <w:iCs/>
        </w:rPr>
        <w:t>The third</w:t>
      </w:r>
      <w:r>
        <w:rPr>
          <w:rFonts w:eastAsiaTheme="minorEastAsia"/>
          <w:iCs/>
        </w:rPr>
        <w:t xml:space="preserve"> factor is the worker</w:t>
      </w:r>
      <w:r w:rsidR="006E4AC4">
        <w:rPr>
          <w:rFonts w:eastAsiaTheme="minorEastAsia"/>
          <w:iCs/>
        </w:rPr>
        <w:t>’</w:t>
      </w:r>
      <w:r>
        <w:rPr>
          <w:rFonts w:eastAsiaTheme="minorEastAsia"/>
          <w:iCs/>
        </w:rPr>
        <w:t>s experience. Workers</w:t>
      </w:r>
      <w:r w:rsidR="006E4AC4">
        <w:rPr>
          <w:rFonts w:eastAsiaTheme="minorEastAsia"/>
          <w:iCs/>
        </w:rPr>
        <w:t>’</w:t>
      </w:r>
      <w:r>
        <w:rPr>
          <w:rFonts w:eastAsiaTheme="minorEastAsia"/>
          <w:iCs/>
        </w:rPr>
        <w:t xml:space="preserve"> wages tend to increase over their career</w:t>
      </w:r>
      <w:r w:rsidR="00540C47">
        <w:rPr>
          <w:rFonts w:eastAsiaTheme="minorEastAsia"/>
          <w:iCs/>
        </w:rPr>
        <w:t>s</w:t>
      </w:r>
      <w:r>
        <w:rPr>
          <w:rFonts w:eastAsiaTheme="minorEastAsia"/>
          <w:iCs/>
        </w:rPr>
        <w:t xml:space="preserve"> as they gain experience. As such, workers</w:t>
      </w:r>
      <w:r w:rsidR="006E4AC4">
        <w:rPr>
          <w:rFonts w:eastAsiaTheme="minorEastAsia"/>
          <w:iCs/>
        </w:rPr>
        <w:t>’</w:t>
      </w:r>
      <w:r>
        <w:rPr>
          <w:rFonts w:eastAsiaTheme="minorEastAsia"/>
          <w:iCs/>
        </w:rPr>
        <w:t xml:space="preserve"> wages tend to follow an experience profile, such as the stylised one shown in Figure </w:t>
      </w:r>
      <w:r w:rsidR="00CB08CE">
        <w:rPr>
          <w:rFonts w:eastAsiaTheme="minorEastAsia"/>
          <w:iCs/>
        </w:rPr>
        <w:t>3 Panel A</w:t>
      </w:r>
      <w:r>
        <w:rPr>
          <w:rFonts w:eastAsiaTheme="minorEastAsia"/>
          <w:iCs/>
        </w:rPr>
        <w:t xml:space="preserve">. We capture this experience profile </w:t>
      </w:r>
      <w:r w:rsidR="00540C47">
        <w:rPr>
          <w:rFonts w:eastAsiaTheme="minorEastAsia"/>
          <w:iCs/>
        </w:rPr>
        <w:t xml:space="preserve">in </w:t>
      </w:r>
      <w:r>
        <w:rPr>
          <w:rFonts w:eastAsiaTheme="minorEastAsia"/>
          <w:iCs/>
        </w:rPr>
        <w:t>the model by including dummies for the worker</w:t>
      </w:r>
      <w:r w:rsidR="006E4AC4">
        <w:rPr>
          <w:rFonts w:eastAsiaTheme="minorEastAsia"/>
          <w:iCs/>
        </w:rPr>
        <w:t>’</w:t>
      </w:r>
      <w:r>
        <w:rPr>
          <w:rFonts w:eastAsiaTheme="minorEastAsia"/>
          <w:iCs/>
        </w:rPr>
        <w:t xml:space="preserve">s </w:t>
      </w:r>
      <w:proofErr w:type="gramStart"/>
      <w:r>
        <w:rPr>
          <w:rFonts w:eastAsiaTheme="minorEastAsia"/>
          <w:iCs/>
        </w:rPr>
        <w:t xml:space="preserve">experience </w:t>
      </w:r>
      <w:proofErr w:type="gramEnd"/>
      <m:oMath>
        <m:sSub>
          <m:sSubPr>
            <m:ctrlPr>
              <w:rPr>
                <w:rFonts w:ascii="Cambria Math" w:hAnsi="Cambria Math" w:cs="Calibri"/>
                <w:i/>
                <w:iCs/>
              </w:rPr>
            </m:ctrlPr>
          </m:sSubPr>
          <m:e>
            <m:r>
              <w:rPr>
                <w:rFonts w:ascii="Cambria Math" w:hAnsi="Cambria Math" w:cs="Calibri"/>
              </w:rPr>
              <m:t>γ</m:t>
            </m:r>
          </m:e>
          <m:sub>
            <m:r>
              <w:rPr>
                <w:rFonts w:ascii="Cambria Math" w:hAnsi="Cambria Math" w:cs="Calibri"/>
              </w:rPr>
              <m:t>e</m:t>
            </m:r>
          </m:sub>
        </m:sSub>
      </m:oMath>
      <w:r>
        <w:rPr>
          <w:rFonts w:eastAsiaTheme="minorEastAsia"/>
          <w:iCs/>
        </w:rPr>
        <w:t>.</w:t>
      </w:r>
    </w:p>
    <w:p w14:paraId="15CE8810" w14:textId="77777777" w:rsidR="00E9695E" w:rsidRDefault="00E9695E" w:rsidP="00BD4C27">
      <w:pPr>
        <w:pStyle w:val="CaptionHeading1"/>
        <w:spacing w:after="120"/>
      </w:pPr>
      <w:r>
        <w:lastRenderedPageBreak/>
        <w:t xml:space="preserve">Figure </w:t>
      </w:r>
      <w:r w:rsidR="00CB08CE">
        <w:t>3</w:t>
      </w:r>
      <w:r w:rsidR="006E4AC4">
        <w:t xml:space="preserve">: </w:t>
      </w:r>
      <w:r>
        <w:t xml:space="preserve">Stylised example of experience </w:t>
      </w:r>
      <w:r w:rsidRPr="002A6D35">
        <w:t>profiles</w:t>
      </w:r>
      <w:r>
        <w:t xml:space="preserve">, wages by years of experience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tblGrid>
      <w:tr w:rsidR="00E9695E" w14:paraId="0890247B" w14:textId="77777777" w:rsidTr="00372D9C">
        <w:tc>
          <w:tcPr>
            <w:tcW w:w="4644" w:type="dxa"/>
          </w:tcPr>
          <w:p w14:paraId="2F4687A9" w14:textId="77777777" w:rsidR="00E9695E" w:rsidRPr="00E9695E" w:rsidRDefault="00E9695E" w:rsidP="002A6D35">
            <w:pPr>
              <w:pStyle w:val="CaptionHeading2"/>
            </w:pPr>
            <w:r w:rsidRPr="00E9695E">
              <w:t xml:space="preserve">Panel A: </w:t>
            </w:r>
            <w:r>
              <w:t>Stylised shift in national cohort</w:t>
            </w:r>
          </w:p>
          <w:p w14:paraId="3FCF1A90" w14:textId="77777777" w:rsidR="00E9695E" w:rsidRPr="00E9695E" w:rsidRDefault="00E9695E" w:rsidP="002A6D35">
            <w:pPr>
              <w:pStyle w:val="Captiongraphic"/>
            </w:pPr>
            <w:r w:rsidRPr="00E9695E">
              <w:rPr>
                <w:noProof/>
              </w:rPr>
              <w:drawing>
                <wp:inline distT="0" distB="0" distL="0" distR="0" wp14:anchorId="54932F20" wp14:editId="2D83C175">
                  <wp:extent cx="2867660" cy="2867660"/>
                  <wp:effectExtent l="0" t="0" r="889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67660" cy="2867660"/>
                          </a:xfrm>
                          <a:prstGeom prst="rect">
                            <a:avLst/>
                          </a:prstGeom>
                          <a:noFill/>
                          <a:ln>
                            <a:noFill/>
                          </a:ln>
                        </pic:spPr>
                      </pic:pic>
                    </a:graphicData>
                  </a:graphic>
                </wp:inline>
              </w:drawing>
            </w:r>
          </w:p>
        </w:tc>
        <w:tc>
          <w:tcPr>
            <w:tcW w:w="4644" w:type="dxa"/>
          </w:tcPr>
          <w:p w14:paraId="073ADAB0" w14:textId="77777777" w:rsidR="00E9695E" w:rsidRDefault="00E9695E" w:rsidP="002A6D35">
            <w:pPr>
              <w:pStyle w:val="CaptionHeading2"/>
            </w:pPr>
            <w:r w:rsidRPr="00E9695E">
              <w:t xml:space="preserve">Panel B: </w:t>
            </w:r>
            <w:r>
              <w:t>Stylised effect of local labour market</w:t>
            </w:r>
          </w:p>
          <w:p w14:paraId="77E43347" w14:textId="77777777" w:rsidR="00E9695E" w:rsidRDefault="00E9695E" w:rsidP="002A6D35">
            <w:pPr>
              <w:pStyle w:val="Captiongraphic"/>
            </w:pPr>
            <w:r w:rsidRPr="00E9695E">
              <w:rPr>
                <w:noProof/>
              </w:rPr>
              <w:drawing>
                <wp:inline distT="0" distB="0" distL="0" distR="0" wp14:anchorId="32A16F62" wp14:editId="763AE02F">
                  <wp:extent cx="2867660" cy="2867660"/>
                  <wp:effectExtent l="0" t="0" r="889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7660" cy="2867660"/>
                          </a:xfrm>
                          <a:prstGeom prst="rect">
                            <a:avLst/>
                          </a:prstGeom>
                          <a:noFill/>
                          <a:ln>
                            <a:noFill/>
                          </a:ln>
                        </pic:spPr>
                      </pic:pic>
                    </a:graphicData>
                  </a:graphic>
                </wp:inline>
              </w:drawing>
            </w:r>
          </w:p>
        </w:tc>
      </w:tr>
    </w:tbl>
    <w:p w14:paraId="1CD43590" w14:textId="77777777" w:rsidR="00E9695E" w:rsidRDefault="00E9695E" w:rsidP="002A6D35">
      <w:pPr>
        <w:pStyle w:val="Chartnote"/>
        <w:keepLines/>
      </w:pPr>
      <w:r>
        <w:t>Note:  Both panels show a stylised example of worker experience profiles by plotting expected wages for different years of working experience. Panel A demonstrates a change in the (national) cohort effects due, for example, to an expansion in the higher education system</w:t>
      </w:r>
      <w:r w:rsidR="00C64D8E">
        <w:t xml:space="preserve"> between 2010 and 2012</w:t>
      </w:r>
      <w:r>
        <w:t>. Panel B demonstrates variation in profiles within cohort, based on differential labour market strength across states.</w:t>
      </w:r>
    </w:p>
    <w:p w14:paraId="1417959B" w14:textId="77777777" w:rsidR="002A6D35" w:rsidRDefault="002A6D35" w:rsidP="002A6D35">
      <w:pPr>
        <w:pStyle w:val="SingleParagraph"/>
      </w:pPr>
    </w:p>
    <w:p w14:paraId="67D308F0" w14:textId="77777777" w:rsidR="00540C47" w:rsidRDefault="00A41D5A" w:rsidP="0035744C">
      <w:pPr>
        <w:jc w:val="both"/>
        <w:rPr>
          <w:rFonts w:eastAsiaTheme="minorEastAsia"/>
          <w:iCs/>
        </w:rPr>
      </w:pPr>
      <w:r>
        <w:rPr>
          <w:rFonts w:eastAsiaTheme="minorEastAsia"/>
          <w:iCs/>
        </w:rPr>
        <w:t>The final factor</w:t>
      </w:r>
      <w:r w:rsidR="00BD554E">
        <w:rPr>
          <w:rFonts w:eastAsiaTheme="minorEastAsia"/>
          <w:iCs/>
        </w:rPr>
        <w:t xml:space="preserve"> is the cohort</w:t>
      </w:r>
      <w:r>
        <w:rPr>
          <w:rFonts w:eastAsiaTheme="minorEastAsia"/>
          <w:iCs/>
        </w:rPr>
        <w:t>. There might be differences between groups of workers that enter the labour market at different times</w:t>
      </w:r>
      <w:r w:rsidR="00E9695E">
        <w:rPr>
          <w:rFonts w:eastAsiaTheme="minorEastAsia"/>
          <w:iCs/>
        </w:rPr>
        <w:t>, which cause t</w:t>
      </w:r>
      <w:r>
        <w:rPr>
          <w:rFonts w:eastAsiaTheme="minorEastAsia"/>
          <w:iCs/>
        </w:rPr>
        <w:t xml:space="preserve">he experience profile for these workers </w:t>
      </w:r>
      <w:r w:rsidR="004134EE">
        <w:rPr>
          <w:rFonts w:eastAsiaTheme="minorEastAsia"/>
          <w:iCs/>
        </w:rPr>
        <w:t xml:space="preserve">to </w:t>
      </w:r>
      <w:r>
        <w:rPr>
          <w:rFonts w:eastAsiaTheme="minorEastAsia"/>
          <w:iCs/>
        </w:rPr>
        <w:t xml:space="preserve">look different to </w:t>
      </w:r>
      <w:r w:rsidR="00E9695E">
        <w:rPr>
          <w:rFonts w:eastAsiaTheme="minorEastAsia"/>
          <w:iCs/>
        </w:rPr>
        <w:t>those</w:t>
      </w:r>
      <w:r>
        <w:rPr>
          <w:rFonts w:eastAsiaTheme="minorEastAsia"/>
          <w:iCs/>
        </w:rPr>
        <w:t xml:space="preserve"> </w:t>
      </w:r>
      <w:r w:rsidR="00E9695E">
        <w:rPr>
          <w:rFonts w:eastAsiaTheme="minorEastAsia"/>
          <w:iCs/>
        </w:rPr>
        <w:t>of</w:t>
      </w:r>
      <w:r>
        <w:rPr>
          <w:rFonts w:eastAsiaTheme="minorEastAsia"/>
          <w:iCs/>
        </w:rPr>
        <w:t xml:space="preserve"> other workers</w:t>
      </w:r>
      <w:r w:rsidR="00540C47">
        <w:rPr>
          <w:rFonts w:eastAsiaTheme="minorEastAsia"/>
          <w:iCs/>
        </w:rPr>
        <w:t>. Put more precisely, there might be cohort</w:t>
      </w:r>
      <w:r w:rsidR="006E4AC4">
        <w:rPr>
          <w:rFonts w:eastAsiaTheme="minorEastAsia"/>
          <w:iCs/>
        </w:rPr>
        <w:noBreakHyphen/>
      </w:r>
      <w:r w:rsidR="00540C47">
        <w:rPr>
          <w:rFonts w:eastAsiaTheme="minorEastAsia"/>
          <w:iCs/>
        </w:rPr>
        <w:t xml:space="preserve">specific labour supply differences that </w:t>
      </w:r>
      <w:r w:rsidR="00E9695E">
        <w:rPr>
          <w:rFonts w:eastAsiaTheme="minorEastAsia"/>
          <w:iCs/>
        </w:rPr>
        <w:t>affect</w:t>
      </w:r>
      <w:r w:rsidR="00540C47">
        <w:rPr>
          <w:rFonts w:eastAsiaTheme="minorEastAsia"/>
          <w:iCs/>
        </w:rPr>
        <w:t xml:space="preserve"> </w:t>
      </w:r>
      <w:r w:rsidR="00E9695E">
        <w:rPr>
          <w:rFonts w:eastAsiaTheme="minorEastAsia"/>
          <w:iCs/>
        </w:rPr>
        <w:t>cohort</w:t>
      </w:r>
      <w:r w:rsidR="00540C47">
        <w:rPr>
          <w:rFonts w:eastAsiaTheme="minorEastAsia"/>
          <w:iCs/>
        </w:rPr>
        <w:t xml:space="preserve"> experience profile</w:t>
      </w:r>
      <w:r w:rsidR="00E9695E">
        <w:rPr>
          <w:rFonts w:eastAsiaTheme="minorEastAsia"/>
          <w:iCs/>
        </w:rPr>
        <w:t>s</w:t>
      </w:r>
      <w:r>
        <w:rPr>
          <w:rFonts w:eastAsiaTheme="minorEastAsia"/>
          <w:iCs/>
        </w:rPr>
        <w:t xml:space="preserve">. </w:t>
      </w:r>
    </w:p>
    <w:p w14:paraId="260AD0C8" w14:textId="77777777" w:rsidR="00A41D5A" w:rsidRDefault="00540C47" w:rsidP="0035744C">
      <w:pPr>
        <w:jc w:val="both"/>
      </w:pPr>
      <w:r>
        <w:rPr>
          <w:rFonts w:eastAsiaTheme="minorEastAsia"/>
          <w:iCs/>
        </w:rPr>
        <w:t>We might be particularly concerned about nation</w:t>
      </w:r>
      <w:r w:rsidR="006E4AC4">
        <w:rPr>
          <w:rFonts w:eastAsiaTheme="minorEastAsia"/>
          <w:iCs/>
        </w:rPr>
        <w:noBreakHyphen/>
      </w:r>
      <w:r>
        <w:rPr>
          <w:rFonts w:eastAsiaTheme="minorEastAsia"/>
          <w:iCs/>
        </w:rPr>
        <w:t>wide factors associated with changes in the higher education system over time.</w:t>
      </w:r>
      <w:r w:rsidR="00011043">
        <w:rPr>
          <w:rStyle w:val="FootnoteReference"/>
          <w:rFonts w:eastAsiaTheme="minorEastAsia"/>
          <w:iCs/>
        </w:rPr>
        <w:footnoteReference w:id="10"/>
      </w:r>
      <w:r w:rsidR="007848C0">
        <w:rPr>
          <w:rFonts w:eastAsiaTheme="minorEastAsia"/>
          <w:iCs/>
        </w:rPr>
        <w:t xml:space="preserve"> </w:t>
      </w:r>
      <w:r w:rsidR="00A41D5A">
        <w:rPr>
          <w:rFonts w:eastAsiaTheme="minorEastAsia"/>
          <w:iCs/>
        </w:rPr>
        <w:t>For example, the expansion of the higher education system could mean that later graduate cohort</w:t>
      </w:r>
      <w:r w:rsidR="00551D17">
        <w:rPr>
          <w:rFonts w:eastAsiaTheme="minorEastAsia"/>
          <w:iCs/>
        </w:rPr>
        <w:t>s</w:t>
      </w:r>
      <w:r w:rsidR="00A41D5A">
        <w:rPr>
          <w:rFonts w:eastAsiaTheme="minorEastAsia"/>
          <w:iCs/>
        </w:rPr>
        <w:t xml:space="preserve"> are, all </w:t>
      </w:r>
      <w:r w:rsidR="007848C0">
        <w:rPr>
          <w:rFonts w:eastAsiaTheme="minorEastAsia"/>
          <w:iCs/>
        </w:rPr>
        <w:t>e</w:t>
      </w:r>
      <w:r w:rsidR="00A41D5A">
        <w:rPr>
          <w:rFonts w:eastAsiaTheme="minorEastAsia"/>
          <w:iCs/>
        </w:rPr>
        <w:t xml:space="preserve">lse equal, more likely to work in lower paying jobs. As such, the </w:t>
      </w:r>
      <w:r w:rsidR="007848C0">
        <w:rPr>
          <w:rFonts w:eastAsiaTheme="minorEastAsia"/>
          <w:iCs/>
        </w:rPr>
        <w:t>experience</w:t>
      </w:r>
      <w:r w:rsidR="00A41D5A">
        <w:rPr>
          <w:rFonts w:eastAsiaTheme="minorEastAsia"/>
          <w:iCs/>
        </w:rPr>
        <w:t xml:space="preserve"> profile for these workers might be</w:t>
      </w:r>
      <w:r w:rsidR="00DB78B6">
        <w:rPr>
          <w:rFonts w:eastAsiaTheme="minorEastAsia"/>
          <w:iCs/>
        </w:rPr>
        <w:t xml:space="preserve"> </w:t>
      </w:r>
      <w:r w:rsidR="000833A2">
        <w:rPr>
          <w:rFonts w:eastAsiaTheme="minorEastAsia"/>
          <w:iCs/>
        </w:rPr>
        <w:t>consistently</w:t>
      </w:r>
      <w:r w:rsidR="00A41D5A">
        <w:rPr>
          <w:rFonts w:eastAsiaTheme="minorEastAsia"/>
          <w:iCs/>
        </w:rPr>
        <w:t xml:space="preserve"> lower than earlier cohorts (Figure </w:t>
      </w:r>
      <w:r w:rsidR="00CB08CE">
        <w:rPr>
          <w:rFonts w:eastAsiaTheme="minorEastAsia"/>
          <w:iCs/>
        </w:rPr>
        <w:t xml:space="preserve">3 Panel </w:t>
      </w:r>
      <w:proofErr w:type="gramStart"/>
      <w:r w:rsidR="00CB08CE">
        <w:rPr>
          <w:rFonts w:eastAsiaTheme="minorEastAsia"/>
          <w:iCs/>
        </w:rPr>
        <w:t>A</w:t>
      </w:r>
      <w:proofErr w:type="gramEnd"/>
      <w:r w:rsidR="00CB08CE">
        <w:rPr>
          <w:rFonts w:eastAsiaTheme="minorEastAsia"/>
          <w:iCs/>
        </w:rPr>
        <w:t xml:space="preserve"> orange line</w:t>
      </w:r>
      <w:r w:rsidR="00A41D5A">
        <w:rPr>
          <w:rFonts w:eastAsiaTheme="minorEastAsia"/>
          <w:iCs/>
        </w:rPr>
        <w:t>). We can capture this through the cohort dummies</w:t>
      </w:r>
      <w:proofErr w:type="gramStart"/>
      <w:r w:rsidR="00A41D5A">
        <w:rPr>
          <w:rFonts w:eastAsiaTheme="minorEastAsia"/>
          <w:iCs/>
        </w:rPr>
        <w:t xml:space="preserve">, </w:t>
      </w:r>
      <w:proofErr w:type="gramEnd"/>
      <m:oMath>
        <m:sSub>
          <m:sSubPr>
            <m:ctrlPr>
              <w:rPr>
                <w:rFonts w:ascii="Cambria Math" w:hAnsi="Cambria Math" w:cs="Calibri"/>
                <w:i/>
                <w:iCs/>
              </w:rPr>
            </m:ctrlPr>
          </m:sSubPr>
          <m:e>
            <m:r>
              <w:rPr>
                <w:rFonts w:ascii="Cambria Math" w:hAnsi="Cambria Math" w:cs="Calibri"/>
              </w:rPr>
              <m:t>χ</m:t>
            </m:r>
          </m:e>
          <m:sub>
            <m:r>
              <w:rPr>
                <w:rFonts w:ascii="Cambria Math" w:hAnsi="Cambria Math" w:cs="Calibri"/>
              </w:rPr>
              <m:t>c</m:t>
            </m:r>
          </m:sub>
        </m:sSub>
      </m:oMath>
      <w:r w:rsidR="00A41D5A">
        <w:rPr>
          <w:rFonts w:eastAsiaTheme="minorEastAsia"/>
          <w:iCs/>
        </w:rPr>
        <w:t xml:space="preserve">. It is also possible that these factors could affect the shape and slope of the experience profile, rather than just the level </w:t>
      </w:r>
      <w:r w:rsidR="007848C0">
        <w:rPr>
          <w:rFonts w:eastAsiaTheme="minorEastAsia"/>
          <w:iCs/>
        </w:rPr>
        <w:t>(Fi</w:t>
      </w:r>
      <w:r w:rsidR="00A41D5A">
        <w:rPr>
          <w:rFonts w:eastAsiaTheme="minorEastAsia"/>
          <w:iCs/>
        </w:rPr>
        <w:t>g</w:t>
      </w:r>
      <w:r w:rsidR="007848C0">
        <w:rPr>
          <w:rFonts w:eastAsiaTheme="minorEastAsia"/>
          <w:iCs/>
        </w:rPr>
        <w:t>u</w:t>
      </w:r>
      <w:r w:rsidR="00A41D5A">
        <w:rPr>
          <w:rFonts w:eastAsiaTheme="minorEastAsia"/>
          <w:iCs/>
        </w:rPr>
        <w:t xml:space="preserve">re </w:t>
      </w:r>
      <w:r w:rsidR="00CB08CE">
        <w:rPr>
          <w:rFonts w:eastAsiaTheme="minorEastAsia"/>
          <w:iCs/>
        </w:rPr>
        <w:t>3 Panel A grey line</w:t>
      </w:r>
      <w:r w:rsidR="00A41D5A">
        <w:rPr>
          <w:rFonts w:eastAsiaTheme="minorEastAsia"/>
          <w:iCs/>
        </w:rPr>
        <w:t>), and we allow for this</w:t>
      </w:r>
      <w:r w:rsidR="00DB78B6">
        <w:rPr>
          <w:rFonts w:eastAsiaTheme="minorEastAsia"/>
          <w:iCs/>
        </w:rPr>
        <w:t xml:space="preserve"> using various controls interacting cohort and </w:t>
      </w:r>
      <w:proofErr w:type="gramStart"/>
      <w:r w:rsidR="00DB78B6">
        <w:rPr>
          <w:rFonts w:eastAsiaTheme="minorEastAsia"/>
          <w:iCs/>
        </w:rPr>
        <w:t>experience</w:t>
      </w:r>
      <w:r w:rsidR="00A41D5A">
        <w:rPr>
          <w:rFonts w:eastAsiaTheme="minorEastAsia"/>
          <w:iCs/>
        </w:rPr>
        <w:t xml:space="preserve"> </w:t>
      </w:r>
      <w:proofErr w:type="gramEnd"/>
      <m:oMath>
        <m:sSub>
          <m:sSubPr>
            <m:ctrlPr>
              <w:rPr>
                <w:rFonts w:ascii="Cambria Math" w:hAnsi="Cambria Math" w:cs="Calibri"/>
                <w:i/>
              </w:rPr>
            </m:ctrlPr>
          </m:sSubPr>
          <m:e>
            <m:r>
              <w:rPr>
                <w:rFonts w:ascii="Cambria Math" w:hAnsi="Cambria Math" w:cs="Calibri"/>
              </w:rPr>
              <m:t>X</m:t>
            </m:r>
          </m:e>
          <m:sub>
            <m:r>
              <w:rPr>
                <w:rFonts w:ascii="Cambria Math" w:hAnsi="Cambria Math" w:cs="Calibri"/>
              </w:rPr>
              <m:t>ce</m:t>
            </m:r>
          </m:sub>
        </m:sSub>
      </m:oMath>
      <w:r w:rsidR="00DB78B6">
        <w:rPr>
          <w:rFonts w:eastAsiaTheme="minorEastAsia"/>
          <w:iCs/>
        </w:rPr>
        <w:t>.</w:t>
      </w:r>
    </w:p>
    <w:p w14:paraId="07F84A39" w14:textId="77777777" w:rsidR="007848C0" w:rsidRDefault="00540C47" w:rsidP="0035744C">
      <w:pPr>
        <w:jc w:val="both"/>
        <w:rPr>
          <w:rFonts w:eastAsiaTheme="minorEastAsia"/>
          <w:iCs/>
        </w:rPr>
      </w:pPr>
      <w:r>
        <w:rPr>
          <w:rFonts w:eastAsiaTheme="minorEastAsia"/>
          <w:iCs/>
        </w:rPr>
        <w:t xml:space="preserve">Having controlled for all of these factors, </w:t>
      </w:r>
      <w:r w:rsidR="00E9695E">
        <w:rPr>
          <w:rFonts w:eastAsiaTheme="minorEastAsia"/>
          <w:iCs/>
        </w:rPr>
        <w:t>what</w:t>
      </w:r>
      <w:r>
        <w:rPr>
          <w:rFonts w:eastAsiaTheme="minorEastAsia"/>
          <w:iCs/>
        </w:rPr>
        <w:t xml:space="preserve"> is left are differences in </w:t>
      </w:r>
      <w:r w:rsidR="00E9695E">
        <w:rPr>
          <w:rFonts w:eastAsiaTheme="minorEastAsia"/>
          <w:iCs/>
        </w:rPr>
        <w:t xml:space="preserve">experience profiles </w:t>
      </w:r>
      <w:r>
        <w:rPr>
          <w:rFonts w:eastAsiaTheme="minorEastAsia"/>
          <w:iCs/>
        </w:rPr>
        <w:t>for given cohorts across states</w:t>
      </w:r>
      <w:r w:rsidR="00E9695E">
        <w:rPr>
          <w:rFonts w:eastAsiaTheme="minorEastAsia"/>
          <w:iCs/>
        </w:rPr>
        <w:t xml:space="preserve"> (Figure </w:t>
      </w:r>
      <w:r w:rsidR="00CB08CE">
        <w:rPr>
          <w:rFonts w:eastAsiaTheme="minorEastAsia"/>
          <w:iCs/>
        </w:rPr>
        <w:t>3 Panel B</w:t>
      </w:r>
      <w:r w:rsidR="00E9695E">
        <w:rPr>
          <w:rFonts w:eastAsiaTheme="minorEastAsia"/>
          <w:iCs/>
        </w:rPr>
        <w:t>)</w:t>
      </w:r>
      <w:r>
        <w:rPr>
          <w:rFonts w:eastAsiaTheme="minorEastAsia"/>
          <w:iCs/>
        </w:rPr>
        <w:t xml:space="preserve">. We identify those differences that are associated with initial labour demand using the local youth unemployment </w:t>
      </w:r>
      <w:proofErr w:type="gramStart"/>
      <w:r>
        <w:rPr>
          <w:rFonts w:eastAsiaTheme="minorEastAsia"/>
          <w:iCs/>
        </w:rPr>
        <w:t xml:space="preserve">rate </w:t>
      </w:r>
      <w:proofErr w:type="gramEnd"/>
      <m:oMath>
        <m:sSub>
          <m:sSubPr>
            <m:ctrlPr>
              <w:rPr>
                <w:rFonts w:ascii="Cambria Math" w:hAnsi="Cambria Math" w:cs="Calibri"/>
                <w:i/>
                <w:iCs/>
              </w:rPr>
            </m:ctrlPr>
          </m:sSubPr>
          <m:e>
            <m:r>
              <w:rPr>
                <w:rFonts w:ascii="Cambria Math" w:hAnsi="Cambria Math" w:cs="Calibri"/>
              </w:rPr>
              <m:t>UR</m:t>
            </m:r>
          </m:e>
          <m:sub>
            <m:r>
              <w:rPr>
                <w:rFonts w:ascii="Cambria Math" w:hAnsi="Cambria Math" w:cs="Calibri"/>
              </w:rPr>
              <m:t>cs0</m:t>
            </m:r>
          </m:sub>
        </m:sSub>
      </m:oMath>
      <w:r>
        <w:rPr>
          <w:rFonts w:eastAsiaTheme="minorEastAsia"/>
          <w:iCs/>
        </w:rPr>
        <w:t xml:space="preserve">. </w:t>
      </w:r>
      <w:r w:rsidR="00E9695E">
        <w:rPr>
          <w:rFonts w:eastAsiaTheme="minorEastAsia"/>
          <w:iCs/>
        </w:rPr>
        <w:t xml:space="preserve">The coefficients on these variables are our </w:t>
      </w:r>
      <w:r w:rsidR="00372D9C">
        <w:rPr>
          <w:rFonts w:eastAsiaTheme="minorEastAsia"/>
          <w:iCs/>
        </w:rPr>
        <w:t>para</w:t>
      </w:r>
      <w:r w:rsidR="00544D3A">
        <w:rPr>
          <w:rFonts w:eastAsiaTheme="minorEastAsia"/>
          <w:iCs/>
        </w:rPr>
        <w:t>m</w:t>
      </w:r>
      <w:r w:rsidR="00372D9C">
        <w:rPr>
          <w:rFonts w:eastAsiaTheme="minorEastAsia"/>
          <w:iCs/>
        </w:rPr>
        <w:t>eter</w:t>
      </w:r>
      <w:r w:rsidR="00E9695E">
        <w:rPr>
          <w:rFonts w:eastAsiaTheme="minorEastAsia"/>
          <w:iCs/>
        </w:rPr>
        <w:t xml:space="preserve">s of interest, as they capture the relationship between initial labour market strength and later labour market outcomes. </w:t>
      </w:r>
    </w:p>
    <w:p w14:paraId="5B441DB5" w14:textId="77777777" w:rsidR="007848C0" w:rsidRDefault="00E9695E" w:rsidP="0035744C">
      <w:pPr>
        <w:jc w:val="both"/>
        <w:rPr>
          <w:rFonts w:eastAsiaTheme="minorEastAsia"/>
          <w:iCs/>
        </w:rPr>
      </w:pPr>
      <w:r>
        <w:rPr>
          <w:rFonts w:eastAsiaTheme="minorEastAsia"/>
          <w:iCs/>
        </w:rPr>
        <w:t>As noted, our identification comes from differences in labour market conditions across states for given graduation cohorts. The main threat to this identification is that there are some unobserved cohort</w:t>
      </w:r>
      <w:r w:rsidR="006E4AC4">
        <w:rPr>
          <w:rFonts w:eastAsiaTheme="minorEastAsia"/>
          <w:iCs/>
        </w:rPr>
        <w:noBreakHyphen/>
      </w:r>
      <w:r>
        <w:rPr>
          <w:rFonts w:eastAsiaTheme="minorEastAsia"/>
          <w:iCs/>
        </w:rPr>
        <w:t>state</w:t>
      </w:r>
      <w:r w:rsidR="006E4AC4">
        <w:rPr>
          <w:rFonts w:eastAsiaTheme="minorEastAsia"/>
          <w:iCs/>
        </w:rPr>
        <w:noBreakHyphen/>
      </w:r>
      <w:r>
        <w:rPr>
          <w:rFonts w:eastAsiaTheme="minorEastAsia"/>
          <w:iCs/>
        </w:rPr>
        <w:t xml:space="preserve">specific unobserved characteristics correlated with local labour market conditions that affect </w:t>
      </w:r>
      <w:r w:rsidR="00372D9C">
        <w:rPr>
          <w:rFonts w:eastAsiaTheme="minorEastAsia"/>
          <w:iCs/>
        </w:rPr>
        <w:t>the earnings</w:t>
      </w:r>
      <w:r w:rsidR="006E4AC4">
        <w:rPr>
          <w:rFonts w:eastAsiaTheme="minorEastAsia"/>
          <w:iCs/>
        </w:rPr>
        <w:noBreakHyphen/>
      </w:r>
      <w:r>
        <w:rPr>
          <w:rFonts w:eastAsiaTheme="minorEastAsia"/>
          <w:iCs/>
        </w:rPr>
        <w:t>experience profile. For example, we might be concerned that worker</w:t>
      </w:r>
      <w:r w:rsidR="00D25500">
        <w:rPr>
          <w:rFonts w:eastAsiaTheme="minorEastAsia"/>
          <w:iCs/>
        </w:rPr>
        <w:t>s</w:t>
      </w:r>
      <w:r>
        <w:rPr>
          <w:rFonts w:eastAsiaTheme="minorEastAsia"/>
          <w:iCs/>
        </w:rPr>
        <w:t xml:space="preserve"> change their </w:t>
      </w:r>
      <w:r>
        <w:rPr>
          <w:rFonts w:eastAsiaTheme="minorEastAsia"/>
          <w:iCs/>
        </w:rPr>
        <w:lastRenderedPageBreak/>
        <w:t>labour supply decisions and stay in school longer if local labour market conditions are weaker. We consider th</w:t>
      </w:r>
      <w:r w:rsidR="00372D9C">
        <w:rPr>
          <w:rFonts w:eastAsiaTheme="minorEastAsia"/>
          <w:iCs/>
        </w:rPr>
        <w:t xml:space="preserve">ese threats </w:t>
      </w:r>
      <w:r w:rsidR="00D64734">
        <w:rPr>
          <w:rFonts w:eastAsiaTheme="minorEastAsia"/>
          <w:iCs/>
        </w:rPr>
        <w:t xml:space="preserve">to credible identification </w:t>
      </w:r>
      <w:r w:rsidR="00372D9C">
        <w:rPr>
          <w:rFonts w:eastAsiaTheme="minorEastAsia"/>
          <w:iCs/>
        </w:rPr>
        <w:t>in Section 5</w:t>
      </w:r>
      <w:r>
        <w:rPr>
          <w:rFonts w:eastAsiaTheme="minorEastAsia"/>
          <w:iCs/>
        </w:rPr>
        <w:t>.</w:t>
      </w:r>
    </w:p>
    <w:p w14:paraId="5F34A103" w14:textId="77777777" w:rsidR="00EE4F4E" w:rsidRPr="00EE4F4E" w:rsidRDefault="00B53A18" w:rsidP="00EE4F4E">
      <w:pPr>
        <w:pStyle w:val="Heading2"/>
      </w:pPr>
      <w:r>
        <w:t xml:space="preserve">5. </w:t>
      </w:r>
      <w:r w:rsidR="00EE4F4E" w:rsidRPr="00EE4F4E">
        <w:t>Results</w:t>
      </w:r>
    </w:p>
    <w:p w14:paraId="0111DE63" w14:textId="77777777" w:rsidR="00FF1E1B" w:rsidRDefault="00CB08CE" w:rsidP="0055789C">
      <w:pPr>
        <w:jc w:val="both"/>
      </w:pPr>
      <w:r>
        <w:rPr>
          <w:rFonts w:cs="Calibri"/>
        </w:rPr>
        <w:t>By way of introduction, Figure 4</w:t>
      </w:r>
      <w:r w:rsidR="005F5579">
        <w:t xml:space="preserve"> presents graphical evidence on the relationship between youth wages five years after </w:t>
      </w:r>
      <w:r w:rsidR="009C5DF3">
        <w:t>graduation</w:t>
      </w:r>
      <w:r w:rsidR="005F5579">
        <w:t xml:space="preserve"> (y</w:t>
      </w:r>
      <w:r w:rsidR="006E4AC4">
        <w:noBreakHyphen/>
      </w:r>
      <w:r w:rsidR="00D1520F">
        <w:t>axis</w:t>
      </w:r>
      <w:r w:rsidR="005F5579">
        <w:t>) and the state youth unemployment rate</w:t>
      </w:r>
      <w:r w:rsidR="00BA3B9D">
        <w:t xml:space="preserve"> at the time of graduation</w:t>
      </w:r>
      <w:r w:rsidR="005F5579">
        <w:t xml:space="preserve"> (x</w:t>
      </w:r>
      <w:r w:rsidR="006E4AC4">
        <w:noBreakHyphen/>
      </w:r>
      <w:r w:rsidR="00D1520F">
        <w:t>axis</w:t>
      </w:r>
      <w:r w:rsidR="005F5579">
        <w:t xml:space="preserve">). The red line is a linear regression fit of y on x, purged of national level cyclical shocks, cohort and experience effects. For ease of observation, we split the sample of the x variable </w:t>
      </w:r>
      <w:r w:rsidR="00706C22">
        <w:t>into 20</w:t>
      </w:r>
      <w:r w:rsidR="005F5579">
        <w:t xml:space="preserve"> bins of equal size, and each point in the scatter plot gives the sample mean of y for each bin.</w:t>
      </w:r>
    </w:p>
    <w:p w14:paraId="258D3DD4" w14:textId="77777777" w:rsidR="0076768D" w:rsidRDefault="005F5579" w:rsidP="00FF1E1B">
      <w:pPr>
        <w:jc w:val="both"/>
      </w:pPr>
      <w:r>
        <w:t xml:space="preserve">A strong negative relationship emerges, which we interpret as evidence that </w:t>
      </w:r>
      <w:r w:rsidR="00045AF7">
        <w:t xml:space="preserve">graduating in a weaker </w:t>
      </w:r>
      <w:r w:rsidR="00D1520F">
        <w:t>(stronger)</w:t>
      </w:r>
      <w:r w:rsidR="00045AF7">
        <w:t xml:space="preserve"> labour market carries persistent adverse </w:t>
      </w:r>
      <w:r w:rsidR="00D1520F">
        <w:t>(beneficial)</w:t>
      </w:r>
      <w:r w:rsidR="00045AF7">
        <w:t xml:space="preserve"> effects on earnings, at least five years on</w:t>
      </w:r>
      <w:r>
        <w:t>.</w:t>
      </w:r>
      <w:r w:rsidR="00D1520F">
        <w:t xml:space="preserve"> The relationship is also relatively linear: it is not driven purely by lower or higher than typical youth unemployment rates.</w:t>
      </w:r>
      <w:r w:rsidR="00EA3FB1">
        <w:t xml:space="preserve"> This suggests we will be identifying a general effect of labour market conditions at entry rather than the effect of graduating in a particular point of the cycle, be it a boom or a bust.</w:t>
      </w:r>
    </w:p>
    <w:p w14:paraId="3689BAE5" w14:textId="77777777" w:rsidR="00FD1FD0" w:rsidRDefault="00FD1FD0" w:rsidP="000E7CDB">
      <w:pPr>
        <w:pStyle w:val="CaptionHeading1"/>
        <w:rPr>
          <w:rFonts w:cs="Calibri"/>
        </w:rPr>
      </w:pPr>
      <w:r>
        <w:t xml:space="preserve">Figure </w:t>
      </w:r>
      <w:r w:rsidR="00CB08CE">
        <w:t>4</w:t>
      </w:r>
      <w:r>
        <w:t xml:space="preserve">: </w:t>
      </w:r>
      <w:r w:rsidRPr="00E9695E">
        <w:t>Local unemployment and future wages purged of cohort, experience and business cycle</w:t>
      </w:r>
    </w:p>
    <w:p w14:paraId="5CD3B01B" w14:textId="77777777" w:rsidR="00FD1FD0" w:rsidRDefault="00FD1FD0" w:rsidP="002A6D35">
      <w:pPr>
        <w:pStyle w:val="Captiongraphic"/>
        <w:rPr>
          <w:rFonts w:cs="Calibri"/>
        </w:rPr>
      </w:pPr>
      <w:r>
        <w:rPr>
          <w:noProof/>
          <w:lang w:eastAsia="en-AU"/>
        </w:rPr>
        <w:drawing>
          <wp:inline distT="0" distB="0" distL="0" distR="0" wp14:anchorId="4BB76642" wp14:editId="55DABD21">
            <wp:extent cx="2924175" cy="2838450"/>
            <wp:effectExtent l="0" t="0" r="9525" b="0"/>
            <wp:docPr id="9" name="Picture 9" descr="Binscatter_URex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scatter_URexp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24175" cy="2838450"/>
                    </a:xfrm>
                    <a:prstGeom prst="rect">
                      <a:avLst/>
                    </a:prstGeom>
                    <a:noFill/>
                    <a:ln>
                      <a:noFill/>
                    </a:ln>
                  </pic:spPr>
                </pic:pic>
              </a:graphicData>
            </a:graphic>
          </wp:inline>
        </w:drawing>
      </w:r>
    </w:p>
    <w:p w14:paraId="4017D3ED" w14:textId="77777777" w:rsidR="00FD1FD0" w:rsidRDefault="00FD1FD0" w:rsidP="002A6D35">
      <w:pPr>
        <w:pStyle w:val="Chartnote"/>
      </w:pPr>
      <w:r>
        <w:t>Note: The chart shows the state youth unemployment rates against wage outcomes five years later. Red line is line of best fit. Relationship purged of cohort, experience and business cycle effects.</w:t>
      </w:r>
      <w:r w:rsidR="00706C22">
        <w:t xml:space="preserve"> </w:t>
      </w:r>
      <w:r w:rsidR="00706C22" w:rsidRPr="002A6D35">
        <w:t>Based</w:t>
      </w:r>
      <w:r w:rsidR="00706C22">
        <w:t xml:space="preserve"> on ALIFE micro</w:t>
      </w:r>
      <w:r w:rsidR="006E4AC4">
        <w:noBreakHyphen/>
      </w:r>
      <w:r w:rsidR="00706C22">
        <w:t>aggregates.</w:t>
      </w:r>
    </w:p>
    <w:p w14:paraId="6D29F5F3" w14:textId="77777777" w:rsidR="002A6D35" w:rsidRDefault="002A6D35" w:rsidP="002A6D35">
      <w:pPr>
        <w:pStyle w:val="SingleParagraph"/>
      </w:pPr>
    </w:p>
    <w:p w14:paraId="7DCD56B9" w14:textId="77777777" w:rsidR="00784C49" w:rsidRDefault="00784C49" w:rsidP="00FF1E1B">
      <w:pPr>
        <w:spacing w:after="300"/>
        <w:jc w:val="both"/>
        <w:rPr>
          <w:rFonts w:cs="Calibri"/>
        </w:rPr>
      </w:pPr>
      <w:r>
        <w:rPr>
          <w:rFonts w:cs="Calibri"/>
        </w:rPr>
        <w:t>Table 1 Panel A shows the results from our baseline regression of wages on unemployment at graduation. Columns 1</w:t>
      </w:r>
      <w:r w:rsidR="006E4AC4">
        <w:rPr>
          <w:rFonts w:cs="Calibri"/>
        </w:rPr>
        <w:noBreakHyphen/>
      </w:r>
      <w:r>
        <w:rPr>
          <w:rFonts w:cs="Calibri"/>
        </w:rPr>
        <w:t xml:space="preserve">3 show the result from models using the state youth unemployment rate where we allow increasingly flexible differences between cohorts across time. Doing so tends to lead to slightly smaller and less persistent estimates of the effects initial labour market conditions on wages. </w:t>
      </w:r>
    </w:p>
    <w:p w14:paraId="4984E354" w14:textId="77777777" w:rsidR="00EE4F4E" w:rsidRDefault="00784C49" w:rsidP="00FF1E1B">
      <w:pPr>
        <w:spacing w:after="300"/>
        <w:jc w:val="both"/>
        <w:rPr>
          <w:rFonts w:cs="Calibri"/>
        </w:rPr>
      </w:pPr>
      <w:r>
        <w:rPr>
          <w:rFonts w:cs="Calibri"/>
        </w:rPr>
        <w:t>That said, even in our preferred specification (column 3), which allows the experience profile to differ flexibly year</w:t>
      </w:r>
      <w:r w:rsidR="006E4AC4">
        <w:rPr>
          <w:rFonts w:cs="Calibri"/>
        </w:rPr>
        <w:noBreakHyphen/>
      </w:r>
      <w:r>
        <w:rPr>
          <w:rFonts w:cs="Calibri"/>
        </w:rPr>
        <w:t>to</w:t>
      </w:r>
      <w:r w:rsidR="006E4AC4">
        <w:rPr>
          <w:rFonts w:cs="Calibri"/>
        </w:rPr>
        <w:noBreakHyphen/>
      </w:r>
      <w:r>
        <w:rPr>
          <w:rFonts w:cs="Calibri"/>
        </w:rPr>
        <w:t xml:space="preserve">year, there does appear to be a persistent effect of initial labour market conditions on wages. A one percentage point rise in the youth unemployment </w:t>
      </w:r>
      <w:r w:rsidR="00BC7623">
        <w:rPr>
          <w:rFonts w:cs="Calibri"/>
        </w:rPr>
        <w:t>rate at</w:t>
      </w:r>
      <w:r>
        <w:rPr>
          <w:rFonts w:cs="Calibri"/>
        </w:rPr>
        <w:t xml:space="preserve"> graduation is associated with wages that are 1½ per cent lower initially, but are still around ¾ </w:t>
      </w:r>
      <w:r w:rsidR="00AF7F6A">
        <w:rPr>
          <w:rFonts w:cs="Calibri"/>
        </w:rPr>
        <w:t>per cent lower</w:t>
      </w:r>
      <w:r>
        <w:rPr>
          <w:rFonts w:cs="Calibri"/>
        </w:rPr>
        <w:t xml:space="preserve"> five year</w:t>
      </w:r>
      <w:r w:rsidR="00AF7F6A">
        <w:rPr>
          <w:rFonts w:cs="Calibri"/>
        </w:rPr>
        <w:t>s</w:t>
      </w:r>
      <w:r>
        <w:rPr>
          <w:rFonts w:cs="Calibri"/>
        </w:rPr>
        <w:t xml:space="preserve"> later. Worker wages then catch up over the ensuing years to be about the same as other workers after 10 year</w:t>
      </w:r>
      <w:r w:rsidR="0076768D">
        <w:rPr>
          <w:rFonts w:cs="Calibri"/>
        </w:rPr>
        <w:t>s</w:t>
      </w:r>
      <w:r>
        <w:rPr>
          <w:rFonts w:cs="Calibri"/>
        </w:rPr>
        <w:t xml:space="preserve">. </w:t>
      </w:r>
    </w:p>
    <w:p w14:paraId="0A11EB8E" w14:textId="77777777" w:rsidR="00776A43" w:rsidRDefault="00784C49" w:rsidP="00FF1E1B">
      <w:pPr>
        <w:spacing w:after="300"/>
        <w:jc w:val="both"/>
        <w:rPr>
          <w:rFonts w:cs="Calibri"/>
        </w:rPr>
      </w:pPr>
      <w:r>
        <w:rPr>
          <w:rFonts w:cs="Calibri"/>
        </w:rPr>
        <w:lastRenderedPageBreak/>
        <w:t>Columns 4</w:t>
      </w:r>
      <w:r w:rsidR="006E4AC4">
        <w:rPr>
          <w:rFonts w:cs="Calibri"/>
        </w:rPr>
        <w:noBreakHyphen/>
      </w:r>
      <w:r>
        <w:rPr>
          <w:rFonts w:cs="Calibri"/>
        </w:rPr>
        <w:t xml:space="preserve">6 show similar results using the national </w:t>
      </w:r>
      <w:r w:rsidR="00420F2F">
        <w:rPr>
          <w:rFonts w:cs="Calibri"/>
        </w:rPr>
        <w:t xml:space="preserve">youth </w:t>
      </w:r>
      <w:r>
        <w:rPr>
          <w:rFonts w:cs="Calibri"/>
        </w:rPr>
        <w:t xml:space="preserve">unemployment rate, rather than the state </w:t>
      </w:r>
      <w:r w:rsidR="00420F2F">
        <w:rPr>
          <w:rFonts w:cs="Calibri"/>
        </w:rPr>
        <w:t xml:space="preserve">youth </w:t>
      </w:r>
      <w:r>
        <w:rPr>
          <w:rFonts w:cs="Calibri"/>
        </w:rPr>
        <w:t xml:space="preserve">unemployment rate. </w:t>
      </w:r>
      <w:r w:rsidR="00420F2F">
        <w:rPr>
          <w:rFonts w:cs="Calibri"/>
        </w:rPr>
        <w:t xml:space="preserve">In these models our key independent </w:t>
      </w:r>
      <w:r>
        <w:rPr>
          <w:rFonts w:cs="Calibri"/>
        </w:rPr>
        <w:t>variable</w:t>
      </w:r>
      <w:r w:rsidR="006E4AC4">
        <w:rPr>
          <w:rFonts w:cs="Calibri"/>
        </w:rPr>
        <w:t xml:space="preserve"> — </w:t>
      </w:r>
      <w:r w:rsidR="00565764">
        <w:rPr>
          <w:rFonts w:cs="Calibri"/>
        </w:rPr>
        <w:t>the</w:t>
      </w:r>
      <w:r w:rsidR="00420F2F">
        <w:rPr>
          <w:rFonts w:cs="Calibri"/>
        </w:rPr>
        <w:t xml:space="preserve"> youth unemployment</w:t>
      </w:r>
      <w:r w:rsidR="00565764">
        <w:rPr>
          <w:rFonts w:cs="Calibri"/>
        </w:rPr>
        <w:t xml:space="preserve"> rate</w:t>
      </w:r>
      <w:r w:rsidR="006E4AC4">
        <w:rPr>
          <w:rFonts w:cs="Calibri"/>
        </w:rPr>
        <w:t xml:space="preserve"> — </w:t>
      </w:r>
      <w:r w:rsidR="00565764">
        <w:rPr>
          <w:rFonts w:cs="Calibri"/>
        </w:rPr>
        <w:t xml:space="preserve">now varies only </w:t>
      </w:r>
      <w:r>
        <w:rPr>
          <w:rFonts w:cs="Calibri"/>
        </w:rPr>
        <w:t>by cohort.</w:t>
      </w:r>
      <w:r w:rsidR="00565764">
        <w:rPr>
          <w:rFonts w:cs="Calibri"/>
        </w:rPr>
        <w:t xml:space="preserve"> As a result, we are unable to include cohort fixed effects</w:t>
      </w:r>
      <w:r w:rsidR="00D33874">
        <w:rPr>
          <w:rFonts w:cs="Calibri"/>
        </w:rPr>
        <w:t xml:space="preserve"> to control flexibly for any changes in the earnings ability or trajectories of graduating cohorts over time. I</w:t>
      </w:r>
      <w:r w:rsidR="00565764">
        <w:rPr>
          <w:rFonts w:cs="Calibri"/>
        </w:rPr>
        <w:t>nstead</w:t>
      </w:r>
      <w:r w:rsidR="00D33874">
        <w:rPr>
          <w:rFonts w:cs="Calibri"/>
        </w:rPr>
        <w:t>, we</w:t>
      </w:r>
      <w:r w:rsidR="00565764">
        <w:rPr>
          <w:rFonts w:cs="Calibri"/>
        </w:rPr>
        <w:t xml:space="preserve"> </w:t>
      </w:r>
      <w:r w:rsidR="00D33874">
        <w:rPr>
          <w:rFonts w:cs="Calibri"/>
        </w:rPr>
        <w:t xml:space="preserve">now </w:t>
      </w:r>
      <w:r w:rsidR="00565764">
        <w:rPr>
          <w:rFonts w:cs="Calibri"/>
        </w:rPr>
        <w:t>use linear or quadratic cohort trends</w:t>
      </w:r>
      <w:r>
        <w:rPr>
          <w:rFonts w:cs="Calibri"/>
        </w:rPr>
        <w:t>.</w:t>
      </w:r>
      <w:r w:rsidR="00565764">
        <w:rPr>
          <w:rFonts w:cs="Calibri"/>
        </w:rPr>
        <w:t xml:space="preserve"> In the most flexible model we also allow a </w:t>
      </w:r>
      <w:r w:rsidR="00DD2790">
        <w:rPr>
          <w:rFonts w:cs="Calibri"/>
        </w:rPr>
        <w:t>quadratic</w:t>
      </w:r>
      <w:r w:rsidR="00565764">
        <w:rPr>
          <w:rFonts w:cs="Calibri"/>
        </w:rPr>
        <w:t xml:space="preserve"> cohort trend in experience </w:t>
      </w:r>
      <w:proofErr w:type="spellStart"/>
      <w:r w:rsidR="00565764">
        <w:rPr>
          <w:rFonts w:cs="Calibri"/>
        </w:rPr>
        <w:t>premia</w:t>
      </w:r>
      <w:proofErr w:type="spellEnd"/>
      <w:r w:rsidR="00565764">
        <w:rPr>
          <w:rFonts w:cs="Calibri"/>
        </w:rPr>
        <w:t xml:space="preserve"> that a</w:t>
      </w:r>
      <w:r w:rsidR="00D33874">
        <w:rPr>
          <w:rFonts w:cs="Calibri"/>
        </w:rPr>
        <w:t>llows cohorts to differ not just in their earnings level but their earnings</w:t>
      </w:r>
      <w:r w:rsidR="006E4AC4">
        <w:rPr>
          <w:rFonts w:cs="Calibri"/>
        </w:rPr>
        <w:noBreakHyphen/>
      </w:r>
      <w:r w:rsidR="00D33874">
        <w:rPr>
          <w:rFonts w:cs="Calibri"/>
        </w:rPr>
        <w:t>experience profiles. In this national model, w</w:t>
      </w:r>
      <w:r>
        <w:rPr>
          <w:rFonts w:cs="Calibri"/>
        </w:rPr>
        <w:t xml:space="preserve">e find that </w:t>
      </w:r>
      <w:r w:rsidR="00D33874">
        <w:rPr>
          <w:rFonts w:cs="Calibri"/>
        </w:rPr>
        <w:t>the unemployment rate at entry</w:t>
      </w:r>
      <w:r>
        <w:rPr>
          <w:rFonts w:cs="Calibri"/>
        </w:rPr>
        <w:t xml:space="preserve"> has a larger </w:t>
      </w:r>
      <w:r w:rsidR="00D33874">
        <w:rPr>
          <w:rFonts w:cs="Calibri"/>
        </w:rPr>
        <w:t xml:space="preserve">initial </w:t>
      </w:r>
      <w:r>
        <w:rPr>
          <w:rFonts w:cs="Calibri"/>
        </w:rPr>
        <w:t xml:space="preserve">effect, but the effect is less sustained. This is somewhat surprising, as we might expect the national business cycle to be more important than the local cycle, for example given </w:t>
      </w:r>
      <w:r w:rsidR="00D861E8">
        <w:rPr>
          <w:rFonts w:cs="Calibri"/>
        </w:rPr>
        <w:t xml:space="preserve">that </w:t>
      </w:r>
      <w:r w:rsidR="00D33874">
        <w:rPr>
          <w:rFonts w:cs="Calibri"/>
        </w:rPr>
        <w:t xml:space="preserve">people are not able to avoid </w:t>
      </w:r>
      <w:r w:rsidR="00D861E8">
        <w:rPr>
          <w:rFonts w:cs="Calibri"/>
        </w:rPr>
        <w:t xml:space="preserve">a national shock </w:t>
      </w:r>
      <w:r w:rsidR="00D33874">
        <w:rPr>
          <w:rFonts w:cs="Calibri"/>
        </w:rPr>
        <w:t>by simply moving interstate</w:t>
      </w:r>
      <w:r>
        <w:rPr>
          <w:rFonts w:cs="Calibri"/>
        </w:rPr>
        <w:t>.</w:t>
      </w:r>
    </w:p>
    <w:p w14:paraId="6C86587C" w14:textId="77777777" w:rsidR="00D913FD" w:rsidRDefault="00776A43" w:rsidP="00BD4C27">
      <w:pPr>
        <w:pStyle w:val="TableHeading1"/>
        <w:spacing w:after="60"/>
      </w:pPr>
      <w:r>
        <w:t xml:space="preserve">Table 1:  Effect of a 1 percentage point increase in the youth unemployment rate on annual earnings </w:t>
      </w:r>
      <w:r w:rsidR="00075501">
        <w:t>and employment</w:t>
      </w:r>
    </w:p>
    <w:p w14:paraId="78FD8C32" w14:textId="77777777" w:rsidR="00D913FD" w:rsidRDefault="00A81231" w:rsidP="002A6D35">
      <w:pPr>
        <w:pStyle w:val="Tablegraphic0"/>
      </w:pPr>
      <w:r w:rsidRPr="00A81231">
        <w:t xml:space="preserve"> </w:t>
      </w:r>
      <w:r w:rsidRPr="00A81231">
        <w:rPr>
          <w:noProof/>
          <w:lang w:eastAsia="en-AU"/>
        </w:rPr>
        <w:drawing>
          <wp:inline distT="0" distB="0" distL="0" distR="0" wp14:anchorId="76F351D0" wp14:editId="6F969A69">
            <wp:extent cx="5143500" cy="415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152900"/>
                    </a:xfrm>
                    <a:prstGeom prst="rect">
                      <a:avLst/>
                    </a:prstGeom>
                    <a:noFill/>
                    <a:ln>
                      <a:noFill/>
                    </a:ln>
                  </pic:spPr>
                </pic:pic>
              </a:graphicData>
            </a:graphic>
          </wp:inline>
        </w:drawing>
      </w:r>
    </w:p>
    <w:p w14:paraId="31F863CF" w14:textId="77777777" w:rsidR="00776A43" w:rsidRDefault="00776A43" w:rsidP="002A6D35">
      <w:pPr>
        <w:pStyle w:val="Chartnote"/>
      </w:pPr>
      <w:r>
        <w:t>Note:  Shows the coefficients on youth unemployment rate at graduation, a</w:t>
      </w:r>
      <w:r w:rsidR="00D913FD">
        <w:t xml:space="preserve">t zero, five and ten </w:t>
      </w:r>
      <w:proofErr w:type="gramStart"/>
      <w:r w:rsidR="00D913FD">
        <w:t>years</w:t>
      </w:r>
      <w:proofErr w:type="gramEnd"/>
      <w:r w:rsidR="00D913FD">
        <w:t xml:space="preserve"> post</w:t>
      </w:r>
      <w:r w:rsidR="006E4AC4">
        <w:noBreakHyphen/>
      </w:r>
      <w:r>
        <w:t xml:space="preserve">graduation. Based on a regression of mean log annual earnings </w:t>
      </w:r>
      <w:r w:rsidR="00784C49">
        <w:t xml:space="preserve">or </w:t>
      </w:r>
      <w:r w:rsidR="00784C49" w:rsidRPr="002A6D35">
        <w:t>prop</w:t>
      </w:r>
      <w:r w:rsidR="00087889" w:rsidRPr="002A6D35">
        <w:t>or</w:t>
      </w:r>
      <w:r w:rsidR="00784C49" w:rsidRPr="002A6D35">
        <w:t>tion</w:t>
      </w:r>
      <w:r w:rsidR="00784C49">
        <w:t xml:space="preserve"> of employed workers </w:t>
      </w:r>
      <w:r>
        <w:t xml:space="preserve">on the youth unemployment rate in the state and year of graduation, with year, state, experience and cohort fixed effects. In column (2) we interact experience fixed effects with the cohort, allowing for linear trends in experience </w:t>
      </w:r>
      <w:proofErr w:type="spellStart"/>
      <w:r>
        <w:t>premia</w:t>
      </w:r>
      <w:proofErr w:type="spellEnd"/>
      <w:r>
        <w:t>. In column (3) we have experience</w:t>
      </w:r>
      <w:r w:rsidR="006E4AC4">
        <w:noBreakHyphen/>
      </w:r>
      <w:r>
        <w:t xml:space="preserve">cohort fixed effects. </w:t>
      </w:r>
      <w:r w:rsidR="00D913FD">
        <w:t>Columns (4</w:t>
      </w:r>
      <w:proofErr w:type="gramStart"/>
      <w:r w:rsidR="00D913FD">
        <w:t>)</w:t>
      </w:r>
      <w:r w:rsidR="006E4AC4">
        <w:noBreakHyphen/>
      </w:r>
      <w:proofErr w:type="gramEnd"/>
      <w:r w:rsidR="00D913FD">
        <w:t>(6) present national models</w:t>
      </w:r>
      <w:r w:rsidR="006E4AC4">
        <w:t xml:space="preserve">. </w:t>
      </w:r>
      <w:r>
        <w:t>Standard errors, clustered at the state</w:t>
      </w:r>
      <w:r w:rsidR="006E4AC4">
        <w:noBreakHyphen/>
      </w:r>
      <w:r>
        <w:t>cohort level, are presented in brackets.</w:t>
      </w:r>
      <w:r w:rsidR="00740E1D">
        <w:t xml:space="preserve"> *</w:t>
      </w:r>
      <w:proofErr w:type="gramStart"/>
      <w:r w:rsidR="00740E1D">
        <w:t>,*</w:t>
      </w:r>
      <w:proofErr w:type="gramEnd"/>
      <w:r w:rsidR="00740E1D">
        <w:t>*,*** indicate statistical significance at the 10, 5 and 1 per cent level, respectively.</w:t>
      </w:r>
    </w:p>
    <w:p w14:paraId="2119C99A" w14:textId="77777777" w:rsidR="002A6D35" w:rsidRPr="00F0076F" w:rsidRDefault="002A6D35" w:rsidP="002A6D35">
      <w:pPr>
        <w:pStyle w:val="SingleParagraph"/>
        <w:rPr>
          <w:rFonts w:cs="Calibri"/>
        </w:rPr>
      </w:pPr>
    </w:p>
    <w:p w14:paraId="7557E4C5" w14:textId="77777777" w:rsidR="00784C49" w:rsidRDefault="00784C49" w:rsidP="0055789C">
      <w:pPr>
        <w:jc w:val="both"/>
        <w:rPr>
          <w:rFonts w:cs="Calibri"/>
        </w:rPr>
      </w:pPr>
      <w:r>
        <w:rPr>
          <w:rFonts w:cs="Calibri"/>
        </w:rPr>
        <w:t xml:space="preserve">So far we have focused on wage outcomes. One concern is that many workers may be unable to find jobs, or choose to remain outside of the labour force, in response to the weaker labour demand. This type of sample selection will lead to an understatement of the effects on unemployment on wage outcomes. </w:t>
      </w:r>
    </w:p>
    <w:p w14:paraId="47F052E0" w14:textId="77777777" w:rsidR="00784C49" w:rsidRDefault="00784C49" w:rsidP="0055789C">
      <w:pPr>
        <w:jc w:val="both"/>
        <w:rPr>
          <w:rFonts w:cs="Calibri"/>
        </w:rPr>
      </w:pPr>
      <w:r>
        <w:rPr>
          <w:rFonts w:cs="Calibri"/>
        </w:rPr>
        <w:t>To consider this, we run a similar mode</w:t>
      </w:r>
      <w:r w:rsidR="00AF7F6A">
        <w:rPr>
          <w:rFonts w:cs="Calibri"/>
        </w:rPr>
        <w:t>l</w:t>
      </w:r>
      <w:r>
        <w:rPr>
          <w:rFonts w:cs="Calibri"/>
        </w:rPr>
        <w:t xml:space="preserve"> but using the proportion of the </w:t>
      </w:r>
      <w:r w:rsidR="00296DAC">
        <w:rPr>
          <w:rFonts w:cs="Calibri"/>
        </w:rPr>
        <w:t>graduating population</w:t>
      </w:r>
      <w:r>
        <w:rPr>
          <w:rFonts w:cs="Calibri"/>
        </w:rPr>
        <w:t xml:space="preserve"> that are employed as the LHS variable. This approach will </w:t>
      </w:r>
      <w:r w:rsidR="00AF7F6A">
        <w:rPr>
          <w:rFonts w:cs="Calibri"/>
        </w:rPr>
        <w:t>allow</w:t>
      </w:r>
      <w:r>
        <w:rPr>
          <w:rFonts w:cs="Calibri"/>
        </w:rPr>
        <w:t xml:space="preserve"> us to understand the effect of labour market </w:t>
      </w:r>
      <w:r>
        <w:rPr>
          <w:rFonts w:cs="Calibri"/>
        </w:rPr>
        <w:lastRenderedPageBreak/>
        <w:t xml:space="preserve">strength on the extensive </w:t>
      </w:r>
      <w:r w:rsidR="00AF7F6A">
        <w:rPr>
          <w:rFonts w:cs="Calibri"/>
        </w:rPr>
        <w:t>employment</w:t>
      </w:r>
      <w:r>
        <w:rPr>
          <w:rFonts w:cs="Calibri"/>
        </w:rPr>
        <w:t xml:space="preserve"> margin. This is highly relevant, given unemployed workers may be more likely to have human capital depreciation, and given they may receive unemployment benefits. </w:t>
      </w:r>
    </w:p>
    <w:p w14:paraId="69A83835" w14:textId="77777777" w:rsidR="00776A43" w:rsidRDefault="00784C49" w:rsidP="0055789C">
      <w:pPr>
        <w:jc w:val="both"/>
        <w:rPr>
          <w:rFonts w:cs="Calibri"/>
        </w:rPr>
      </w:pPr>
      <w:r>
        <w:rPr>
          <w:rFonts w:cs="Calibri"/>
        </w:rPr>
        <w:t xml:space="preserve">The results are outlined in Table 1 panel </w:t>
      </w:r>
      <w:r w:rsidR="009D45A7">
        <w:rPr>
          <w:rFonts w:cs="Calibri"/>
        </w:rPr>
        <w:t>B</w:t>
      </w:r>
      <w:r>
        <w:rPr>
          <w:rFonts w:cs="Calibri"/>
        </w:rPr>
        <w:t xml:space="preserve">. Using our </w:t>
      </w:r>
      <w:r w:rsidR="00AF7F6A">
        <w:rPr>
          <w:rFonts w:cs="Calibri"/>
        </w:rPr>
        <w:t>preferred</w:t>
      </w:r>
      <w:r>
        <w:rPr>
          <w:rFonts w:cs="Calibri"/>
        </w:rPr>
        <w:t xml:space="preserve"> </w:t>
      </w:r>
      <w:r w:rsidR="00AF7F6A">
        <w:rPr>
          <w:rFonts w:cs="Calibri"/>
        </w:rPr>
        <w:t>specification</w:t>
      </w:r>
      <w:r>
        <w:rPr>
          <w:rFonts w:cs="Calibri"/>
        </w:rPr>
        <w:t xml:space="preserve"> (column 3), a </w:t>
      </w:r>
      <w:r w:rsidR="00087889">
        <w:rPr>
          <w:rFonts w:cs="Calibri"/>
        </w:rPr>
        <w:t>1</w:t>
      </w:r>
      <w:r>
        <w:rPr>
          <w:rFonts w:cs="Calibri"/>
        </w:rPr>
        <w:t xml:space="preserve"> percentage point increase in the state youth unemployment rate is associated with a ¾ percentage point decline in the employment</w:t>
      </w:r>
      <w:r w:rsidR="006E4AC4">
        <w:rPr>
          <w:rFonts w:cs="Calibri"/>
        </w:rPr>
        <w:noBreakHyphen/>
      </w:r>
      <w:r>
        <w:rPr>
          <w:rFonts w:cs="Calibri"/>
        </w:rPr>
        <w:t>t</w:t>
      </w:r>
      <w:r w:rsidR="00582740">
        <w:rPr>
          <w:rFonts w:cs="Calibri"/>
        </w:rPr>
        <w:t>o</w:t>
      </w:r>
      <w:r w:rsidR="006E4AC4">
        <w:rPr>
          <w:rFonts w:cs="Calibri"/>
        </w:rPr>
        <w:noBreakHyphen/>
      </w:r>
      <w:r>
        <w:rPr>
          <w:rFonts w:cs="Calibri"/>
        </w:rPr>
        <w:t xml:space="preserve">population ratio for the group. This effect is </w:t>
      </w:r>
      <w:r w:rsidR="00AF7F6A">
        <w:rPr>
          <w:rFonts w:cs="Calibri"/>
        </w:rPr>
        <w:t>again moderately persistent, with evidence of</w:t>
      </w:r>
      <w:r>
        <w:rPr>
          <w:rFonts w:cs="Calibri"/>
        </w:rPr>
        <w:t xml:space="preserve"> statistically significant declines in employment </w:t>
      </w:r>
      <w:r w:rsidR="00AF7F6A">
        <w:rPr>
          <w:rFonts w:cs="Calibri"/>
        </w:rPr>
        <w:t>again up to around 5 years after graduation</w:t>
      </w:r>
      <w:r>
        <w:rPr>
          <w:rFonts w:cs="Calibri"/>
        </w:rPr>
        <w:t>.</w:t>
      </w:r>
      <w:r w:rsidR="00A47FAE">
        <w:rPr>
          <w:rFonts w:cs="Calibri"/>
        </w:rPr>
        <w:t xml:space="preserve"> The finding with respect to employment is a bit more persistent than has been found in other papers, such as </w:t>
      </w:r>
      <w:proofErr w:type="spellStart"/>
      <w:r w:rsidR="00A47FAE">
        <w:rPr>
          <w:rFonts w:cs="Calibri"/>
        </w:rPr>
        <w:t>Oreopolous</w:t>
      </w:r>
      <w:proofErr w:type="spellEnd"/>
      <w:r w:rsidR="00A47FAE">
        <w:rPr>
          <w:rFonts w:cs="Calibri"/>
        </w:rPr>
        <w:t xml:space="preserve"> et al (2012) and </w:t>
      </w:r>
      <w:proofErr w:type="spellStart"/>
      <w:r w:rsidR="00A47FAE">
        <w:rPr>
          <w:rFonts w:cs="Calibri"/>
        </w:rPr>
        <w:t>Altonji</w:t>
      </w:r>
      <w:proofErr w:type="spellEnd"/>
      <w:r w:rsidR="00A47FAE">
        <w:rPr>
          <w:rFonts w:cs="Calibri"/>
        </w:rPr>
        <w:t xml:space="preserve"> et al (201</w:t>
      </w:r>
      <w:r w:rsidR="006E1E79">
        <w:rPr>
          <w:rFonts w:cs="Calibri"/>
        </w:rPr>
        <w:t>6</w:t>
      </w:r>
      <w:r w:rsidR="00A47FAE">
        <w:rPr>
          <w:rFonts w:cs="Calibri"/>
        </w:rPr>
        <w:t xml:space="preserve">). </w:t>
      </w:r>
    </w:p>
    <w:p w14:paraId="75814B7A" w14:textId="77777777" w:rsidR="00784C49" w:rsidRDefault="00784C49" w:rsidP="0055789C">
      <w:pPr>
        <w:jc w:val="both"/>
        <w:rPr>
          <w:rFonts w:cs="Calibri"/>
        </w:rPr>
      </w:pPr>
      <w:r>
        <w:rPr>
          <w:rFonts w:cs="Calibri"/>
        </w:rPr>
        <w:t xml:space="preserve">Interestingly, </w:t>
      </w:r>
      <w:r w:rsidR="00087889">
        <w:rPr>
          <w:rFonts w:cs="Calibri"/>
        </w:rPr>
        <w:t>using</w:t>
      </w:r>
      <w:r>
        <w:rPr>
          <w:rFonts w:cs="Calibri"/>
        </w:rPr>
        <w:t xml:space="preserve"> the national unemployment rate </w:t>
      </w:r>
      <w:r w:rsidR="00884FA4">
        <w:rPr>
          <w:rFonts w:cs="Calibri"/>
        </w:rPr>
        <w:t>yields a</w:t>
      </w:r>
      <w:r>
        <w:rPr>
          <w:rFonts w:cs="Calibri"/>
        </w:rPr>
        <w:t xml:space="preserve"> larger and potentially more persistent</w:t>
      </w:r>
      <w:r w:rsidR="00884FA4">
        <w:rPr>
          <w:rFonts w:cs="Calibri"/>
        </w:rPr>
        <w:t xml:space="preserve"> effect</w:t>
      </w:r>
      <w:r>
        <w:rPr>
          <w:rFonts w:cs="Calibri"/>
        </w:rPr>
        <w:t>. This contrast</w:t>
      </w:r>
      <w:r w:rsidR="00087889">
        <w:rPr>
          <w:rFonts w:cs="Calibri"/>
        </w:rPr>
        <w:t>s</w:t>
      </w:r>
      <w:r>
        <w:rPr>
          <w:rFonts w:cs="Calibri"/>
        </w:rPr>
        <w:t xml:space="preserve"> with the wages model. One explanation could be the relative persistence of local and national business cycles. In response to a more transient shock, firms may be less willing to adjust headcounts and may prefer to adjust wages and ho</w:t>
      </w:r>
      <w:r w:rsidR="00087889">
        <w:rPr>
          <w:rFonts w:cs="Calibri"/>
        </w:rPr>
        <w:t>u</w:t>
      </w:r>
      <w:r>
        <w:rPr>
          <w:rFonts w:cs="Calibri"/>
        </w:rPr>
        <w:t>rs for existing worker</w:t>
      </w:r>
      <w:r w:rsidR="00087889">
        <w:rPr>
          <w:rFonts w:cs="Calibri"/>
        </w:rPr>
        <w:t>s</w:t>
      </w:r>
      <w:r>
        <w:rPr>
          <w:rFonts w:cs="Calibri"/>
        </w:rPr>
        <w:t>, due to costs in hiring and firing. As such, if state cycles tend to be shorter and less persistent</w:t>
      </w:r>
      <w:r w:rsidR="00932B25">
        <w:rPr>
          <w:rFonts w:cs="Calibri"/>
        </w:rPr>
        <w:t xml:space="preserve">, as suggested by </w:t>
      </w:r>
      <w:r w:rsidR="00932B25" w:rsidRPr="00892605">
        <w:rPr>
          <w:rFonts w:eastAsiaTheme="minorEastAsia" w:cs="Calibri"/>
        </w:rPr>
        <w:t xml:space="preserve">in Appendix </w:t>
      </w:r>
      <w:proofErr w:type="gramStart"/>
      <w:r w:rsidR="00932B25" w:rsidRPr="00892605">
        <w:rPr>
          <w:rFonts w:eastAsiaTheme="minorEastAsia" w:cs="Calibri"/>
        </w:rPr>
        <w:t>A</w:t>
      </w:r>
      <w:proofErr w:type="gramEnd"/>
      <w:r w:rsidR="00932B25" w:rsidRPr="00892605">
        <w:rPr>
          <w:rFonts w:eastAsiaTheme="minorEastAsia" w:cs="Calibri"/>
        </w:rPr>
        <w:t xml:space="preserve"> Figure A2</w:t>
      </w:r>
      <w:r w:rsidR="00932B25">
        <w:rPr>
          <w:rFonts w:eastAsiaTheme="minorEastAsia" w:cs="Calibri"/>
        </w:rPr>
        <w:t>,</w:t>
      </w:r>
      <w:r>
        <w:rPr>
          <w:rFonts w:cs="Calibri"/>
        </w:rPr>
        <w:t xml:space="preserve"> we might expect a larger adjustment on the wage margin than on the employment margin in the s</w:t>
      </w:r>
      <w:r w:rsidR="00087889">
        <w:rPr>
          <w:rFonts w:cs="Calibri"/>
        </w:rPr>
        <w:t>ta</w:t>
      </w:r>
      <w:r>
        <w:rPr>
          <w:rFonts w:cs="Calibri"/>
        </w:rPr>
        <w:t xml:space="preserve">te models compared to the national model. </w:t>
      </w:r>
    </w:p>
    <w:p w14:paraId="7C397BAE" w14:textId="77777777" w:rsidR="007A2709" w:rsidRDefault="00AF7F6A" w:rsidP="002D20C2">
      <w:pPr>
        <w:spacing w:after="360"/>
        <w:jc w:val="both"/>
        <w:rPr>
          <w:rFonts w:cs="Calibri"/>
        </w:rPr>
      </w:pPr>
      <w:r>
        <w:rPr>
          <w:rFonts w:cs="Calibri"/>
        </w:rPr>
        <w:t>To put these metrics into context, from 2008 to 2015, Victoria</w:t>
      </w:r>
      <w:r w:rsidR="006E4AC4">
        <w:rPr>
          <w:rFonts w:cs="Calibri"/>
        </w:rPr>
        <w:t>’</w:t>
      </w:r>
      <w:r>
        <w:rPr>
          <w:rFonts w:cs="Calibri"/>
        </w:rPr>
        <w:t>s youth unemployment rate went from around 10 per cent to around 15 per cent. All else equal, this 5 percentage point increase would be associated with wages</w:t>
      </w:r>
      <w:r w:rsidR="00087889">
        <w:rPr>
          <w:rFonts w:cs="Calibri"/>
        </w:rPr>
        <w:t xml:space="preserve"> that were </w:t>
      </w:r>
      <w:r w:rsidR="00514815">
        <w:t>8</w:t>
      </w:r>
      <w:r w:rsidR="00296DAC">
        <w:t xml:space="preserve"> </w:t>
      </w:r>
      <w:r w:rsidR="00087889">
        <w:rPr>
          <w:rFonts w:cs="Calibri"/>
        </w:rPr>
        <w:t xml:space="preserve">per cent lower on impact, and around </w:t>
      </w:r>
      <w:r w:rsidR="00514815">
        <w:rPr>
          <w:rFonts w:cs="Calibri"/>
        </w:rPr>
        <w:t xml:space="preserve">3 ½ </w:t>
      </w:r>
      <w:r w:rsidR="00087889">
        <w:rPr>
          <w:rFonts w:cs="Calibri"/>
        </w:rPr>
        <w:t>per cent lower</w:t>
      </w:r>
      <w:r w:rsidR="00CB08CE">
        <w:rPr>
          <w:rFonts w:cs="Calibri"/>
        </w:rPr>
        <w:t xml:space="preserve"> after 5 years. (Figure 5</w:t>
      </w:r>
      <w:r w:rsidR="00087889">
        <w:rPr>
          <w:rFonts w:cs="Calibri"/>
        </w:rPr>
        <w:t xml:space="preserve"> Panel A). The employment rate would be around 3</w:t>
      </w:r>
      <w:r w:rsidR="00D54F70">
        <w:rPr>
          <w:rFonts w:cs="Calibri"/>
        </w:rPr>
        <w:t xml:space="preserve"> ½ </w:t>
      </w:r>
      <w:r w:rsidR="00087889">
        <w:rPr>
          <w:rFonts w:cs="Calibri"/>
        </w:rPr>
        <w:t xml:space="preserve">percentage points lower on impact, and still around </w:t>
      </w:r>
      <w:r w:rsidR="00514815">
        <w:rPr>
          <w:rFonts w:cs="Calibri"/>
        </w:rPr>
        <w:t xml:space="preserve">¾ </w:t>
      </w:r>
      <w:r w:rsidR="00087889">
        <w:rPr>
          <w:rFonts w:cs="Calibri"/>
        </w:rPr>
        <w:t xml:space="preserve">percentage point lower 5 years later (Figure </w:t>
      </w:r>
      <w:r w:rsidR="00CB08CE">
        <w:rPr>
          <w:rFonts w:cs="Calibri"/>
        </w:rPr>
        <w:t>5</w:t>
      </w:r>
      <w:r w:rsidR="00087889">
        <w:rPr>
          <w:rFonts w:cs="Calibri"/>
        </w:rPr>
        <w:t xml:space="preserve"> Panel B).</w:t>
      </w:r>
      <w:r>
        <w:rPr>
          <w:rFonts w:cs="Calibri"/>
        </w:rPr>
        <w:t xml:space="preserve"> </w:t>
      </w:r>
    </w:p>
    <w:p w14:paraId="444AC5DC" w14:textId="77777777" w:rsidR="00D36C1D" w:rsidRDefault="00D36C1D" w:rsidP="00BD4C27">
      <w:pPr>
        <w:pStyle w:val="CaptionHeading1"/>
        <w:spacing w:after="120"/>
      </w:pPr>
      <w:r>
        <w:t xml:space="preserve">Figure </w:t>
      </w:r>
      <w:r w:rsidR="00CB08CE">
        <w:t>5</w:t>
      </w:r>
      <w:r>
        <w:t xml:space="preserve">: Effect of a </w:t>
      </w:r>
      <w:r w:rsidR="00AF7F6A">
        <w:t>5</w:t>
      </w:r>
      <w:r>
        <w:t xml:space="preserve"> percentage point increase in the </w:t>
      </w:r>
      <w:r w:rsidR="00AF7F6A">
        <w:t xml:space="preserve">local </w:t>
      </w:r>
      <w:r>
        <w:t>youth unemployment rate by years since graduation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638"/>
      </w:tblGrid>
      <w:tr w:rsidR="00AF7F6A" w14:paraId="1464A635" w14:textId="77777777" w:rsidTr="00372D9C">
        <w:tc>
          <w:tcPr>
            <w:tcW w:w="4644" w:type="dxa"/>
          </w:tcPr>
          <w:p w14:paraId="0395684F" w14:textId="77777777" w:rsidR="00AF7F6A" w:rsidRPr="00E9695E" w:rsidRDefault="00AF7F6A" w:rsidP="002A6D35">
            <w:pPr>
              <w:pStyle w:val="CaptionHeading2"/>
            </w:pPr>
            <w:r w:rsidRPr="00E9695E">
              <w:t xml:space="preserve">Panel A: </w:t>
            </w:r>
            <w:r>
              <w:t>Effect on wages</w:t>
            </w:r>
          </w:p>
          <w:p w14:paraId="15CF5AF2" w14:textId="77777777" w:rsidR="00AF7F6A" w:rsidRPr="00E9695E" w:rsidRDefault="00AF7F6A" w:rsidP="002A6D35">
            <w:pPr>
              <w:pStyle w:val="Captiongraphic"/>
            </w:pPr>
            <w:r w:rsidRPr="00AF7F6A">
              <w:rPr>
                <w:noProof/>
              </w:rPr>
              <w:drawing>
                <wp:inline distT="0" distB="0" distL="0" distR="0" wp14:anchorId="7FAEA61A" wp14:editId="6A272C4D">
                  <wp:extent cx="2860040" cy="2867660"/>
                  <wp:effectExtent l="0" t="0" r="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60040" cy="2867660"/>
                          </a:xfrm>
                          <a:prstGeom prst="rect">
                            <a:avLst/>
                          </a:prstGeom>
                          <a:noFill/>
                          <a:ln>
                            <a:noFill/>
                          </a:ln>
                        </pic:spPr>
                      </pic:pic>
                    </a:graphicData>
                  </a:graphic>
                </wp:inline>
              </w:drawing>
            </w:r>
          </w:p>
        </w:tc>
        <w:tc>
          <w:tcPr>
            <w:tcW w:w="4644" w:type="dxa"/>
          </w:tcPr>
          <w:p w14:paraId="4EE0AAE3" w14:textId="77777777" w:rsidR="00AF7F6A" w:rsidRDefault="00AF7F6A" w:rsidP="002A6D35">
            <w:pPr>
              <w:pStyle w:val="CaptionHeading2"/>
            </w:pPr>
            <w:r w:rsidRPr="00E9695E">
              <w:t xml:space="preserve">Panel B: </w:t>
            </w:r>
            <w:r>
              <w:t>Effect on employment</w:t>
            </w:r>
            <w:r w:rsidR="006E4AC4">
              <w:noBreakHyphen/>
            </w:r>
            <w:r>
              <w:t>to</w:t>
            </w:r>
            <w:r w:rsidR="006E4AC4">
              <w:noBreakHyphen/>
            </w:r>
            <w:r>
              <w:t>population</w:t>
            </w:r>
          </w:p>
          <w:p w14:paraId="1C08B06A" w14:textId="77777777" w:rsidR="00AF7F6A" w:rsidRDefault="00AF7F6A" w:rsidP="002A6D35">
            <w:pPr>
              <w:pStyle w:val="Captiongraphic"/>
            </w:pPr>
            <w:r w:rsidRPr="00AF7F6A">
              <w:rPr>
                <w:noProof/>
              </w:rPr>
              <w:drawing>
                <wp:inline distT="0" distB="0" distL="0" distR="0" wp14:anchorId="7BDB85B9" wp14:editId="2FA5FECC">
                  <wp:extent cx="2845435" cy="2867660"/>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45435" cy="2867660"/>
                          </a:xfrm>
                          <a:prstGeom prst="rect">
                            <a:avLst/>
                          </a:prstGeom>
                          <a:noFill/>
                          <a:ln>
                            <a:noFill/>
                          </a:ln>
                        </pic:spPr>
                      </pic:pic>
                    </a:graphicData>
                  </a:graphic>
                </wp:inline>
              </w:drawing>
            </w:r>
          </w:p>
        </w:tc>
      </w:tr>
    </w:tbl>
    <w:p w14:paraId="7448EE9B" w14:textId="77777777" w:rsidR="007A2709" w:rsidRDefault="00D36C1D" w:rsidP="002A6D35">
      <w:pPr>
        <w:pStyle w:val="Chartnote"/>
      </w:pPr>
      <w:r>
        <w:t xml:space="preserve">Note:  Shows </w:t>
      </w:r>
      <w:r w:rsidR="00AF7F6A">
        <w:t>estimated effect of a 5 percentage point increase in the state</w:t>
      </w:r>
      <w:r w:rsidR="006E4AC4">
        <w:noBreakHyphen/>
      </w:r>
      <w:r w:rsidR="00AF7F6A">
        <w:t xml:space="preserve">youth unemployment rates, based on column 3 in Table 1. Dotted lines are 2 </w:t>
      </w:r>
      <w:proofErr w:type="spellStart"/>
      <w:proofErr w:type="gramStart"/>
      <w:r w:rsidR="00AF7F6A">
        <w:t>s.e</w:t>
      </w:r>
      <w:proofErr w:type="gramEnd"/>
      <w:r w:rsidR="00AF7F6A">
        <w:t>.</w:t>
      </w:r>
      <w:proofErr w:type="spellEnd"/>
      <w:r w:rsidR="00AF7F6A">
        <w:t xml:space="preserve"> confidence bands.</w:t>
      </w:r>
    </w:p>
    <w:p w14:paraId="2CF6A8B8" w14:textId="77777777" w:rsidR="002A6D35" w:rsidRPr="00F0076F" w:rsidRDefault="002A6D35" w:rsidP="002A6D35">
      <w:pPr>
        <w:pStyle w:val="SingleParagraph"/>
        <w:rPr>
          <w:rFonts w:cs="Calibri"/>
        </w:rPr>
      </w:pPr>
    </w:p>
    <w:p w14:paraId="0DB370CA" w14:textId="77777777" w:rsidR="00876B67" w:rsidRDefault="00087889" w:rsidP="0055789C">
      <w:pPr>
        <w:jc w:val="both"/>
      </w:pPr>
      <w:r w:rsidRPr="00432775">
        <w:rPr>
          <w:color w:val="auto"/>
        </w:rPr>
        <w:t>So</w:t>
      </w:r>
      <w:r w:rsidRPr="00432775">
        <w:t xml:space="preserve"> far we have focused on </w:t>
      </w:r>
      <w:r w:rsidR="00432775">
        <w:t>workers that graduate from university</w:t>
      </w:r>
      <w:r w:rsidR="00432775" w:rsidRPr="00432775">
        <w:t>, but a weak labour market is also likely to affect young workers without a university degree</w:t>
      </w:r>
      <w:r w:rsidR="00432775">
        <w:t xml:space="preserve">. To examine this we run similar regressions, but for a sample of young workers without university degrees, who we treat as having entered the labour market at </w:t>
      </w:r>
      <w:r w:rsidR="00BA3B9D">
        <w:t xml:space="preserve">the age of </w:t>
      </w:r>
      <w:r w:rsidR="00432775">
        <w:t>18</w:t>
      </w:r>
      <w:r w:rsidR="00BA3B9D">
        <w:t xml:space="preserve"> years</w:t>
      </w:r>
      <w:r w:rsidR="00432775">
        <w:t>.</w:t>
      </w:r>
      <w:r w:rsidR="00876B67">
        <w:t xml:space="preserve"> This sample includes all workers with no university degree that turned 18 in the </w:t>
      </w:r>
      <w:r w:rsidR="00876B67">
        <w:lastRenderedPageBreak/>
        <w:t>relevant year and state, and that have filed a tax return at some point and so enter the ALIFE dataset. Similar to the graduate analysis, workers with no salary or wages income are treated as not employed.</w:t>
      </w:r>
    </w:p>
    <w:p w14:paraId="37FAB5F9" w14:textId="77777777" w:rsidR="00087889" w:rsidRPr="00432775" w:rsidRDefault="00432775" w:rsidP="0055789C">
      <w:pPr>
        <w:jc w:val="both"/>
      </w:pPr>
      <w:r>
        <w:t>The results indicate that the effect on non</w:t>
      </w:r>
      <w:r w:rsidR="006E4AC4">
        <w:noBreakHyphen/>
      </w:r>
      <w:r>
        <w:t>graduates is smaller and less persistent</w:t>
      </w:r>
      <w:r w:rsidR="00A47FAE">
        <w:t xml:space="preserve">, consistent with the findings of </w:t>
      </w:r>
      <w:proofErr w:type="spellStart"/>
      <w:r w:rsidR="00A47FAE" w:rsidRPr="00D567EC">
        <w:t>Hershbein</w:t>
      </w:r>
      <w:proofErr w:type="spellEnd"/>
      <w:r w:rsidR="00A47FAE" w:rsidRPr="00D567EC">
        <w:t xml:space="preserve"> (2012)</w:t>
      </w:r>
      <w:r w:rsidR="00FE41B9">
        <w:t xml:space="preserve"> (Appendix B)</w:t>
      </w:r>
      <w:r>
        <w:t>. This might suggest that some of the mechanisms through which weak labour markets affect worker outcomes are less relevant for non</w:t>
      </w:r>
      <w:r w:rsidR="006E4AC4">
        <w:noBreakHyphen/>
      </w:r>
      <w:r>
        <w:t>graduates, such as bad matching (see below)</w:t>
      </w:r>
      <w:r w:rsidR="00AD4894">
        <w:t xml:space="preserve"> or human capital depreciation</w:t>
      </w:r>
      <w:r>
        <w:t xml:space="preserve">. </w:t>
      </w:r>
      <w:r w:rsidR="00BA3B9D">
        <w:t>But we cannot rule out that it may</w:t>
      </w:r>
      <w:r>
        <w:t xml:space="preserve"> also reflect the greater difficulty in defining labour market entry for non</w:t>
      </w:r>
      <w:r w:rsidR="006E4AC4">
        <w:noBreakHyphen/>
      </w:r>
      <w:r>
        <w:t>graduates.</w:t>
      </w:r>
    </w:p>
    <w:p w14:paraId="2823DAF7" w14:textId="77777777" w:rsidR="00432775" w:rsidRDefault="00432775" w:rsidP="00BC0C93">
      <w:pPr>
        <w:pStyle w:val="Heading3"/>
      </w:pPr>
      <w:r>
        <w:t xml:space="preserve">Threats to identification </w:t>
      </w:r>
    </w:p>
    <w:p w14:paraId="0293F07A" w14:textId="77777777" w:rsidR="00432775" w:rsidRDefault="00432775" w:rsidP="00432775">
      <w:pPr>
        <w:pStyle w:val="Heading4"/>
        <w:tabs>
          <w:tab w:val="clear" w:pos="850"/>
        </w:tabs>
        <w:ind w:left="0" w:firstLine="0"/>
        <w:rPr>
          <w:lang w:val="en-US" w:eastAsia="en-AU"/>
        </w:rPr>
      </w:pPr>
      <w:r>
        <w:rPr>
          <w:lang w:val="en-US" w:eastAsia="en-AU"/>
        </w:rPr>
        <w:t>Persistence in the unemployment rate</w:t>
      </w:r>
    </w:p>
    <w:p w14:paraId="007D3B63" w14:textId="77777777" w:rsidR="00432775" w:rsidRDefault="00432775" w:rsidP="0055789C">
      <w:pPr>
        <w:jc w:val="both"/>
        <w:rPr>
          <w:lang w:val="en-US" w:eastAsia="en-AU"/>
        </w:rPr>
      </w:pPr>
      <w:r>
        <w:rPr>
          <w:lang w:val="en-US" w:eastAsia="en-AU"/>
        </w:rPr>
        <w:t xml:space="preserve">As discussed in </w:t>
      </w:r>
      <w:proofErr w:type="spellStart"/>
      <w:r>
        <w:rPr>
          <w:lang w:val="en-US" w:eastAsia="en-AU"/>
        </w:rPr>
        <w:t>Oreopo</w:t>
      </w:r>
      <w:r w:rsidR="00210BB5">
        <w:rPr>
          <w:lang w:val="en-US" w:eastAsia="en-AU"/>
        </w:rPr>
        <w:t>ulo</w:t>
      </w:r>
      <w:r>
        <w:rPr>
          <w:lang w:val="en-US" w:eastAsia="en-AU"/>
        </w:rPr>
        <w:t>s</w:t>
      </w:r>
      <w:proofErr w:type="spellEnd"/>
      <w:r>
        <w:rPr>
          <w:lang w:val="en-US" w:eastAsia="en-AU"/>
        </w:rPr>
        <w:t xml:space="preserve"> et al (2012) the estimates from the baseline model capture </w:t>
      </w:r>
      <w:r w:rsidR="00210BB5">
        <w:rPr>
          <w:lang w:val="en-US" w:eastAsia="en-AU"/>
        </w:rPr>
        <w:t xml:space="preserve">the </w:t>
      </w:r>
      <w:r w:rsidRPr="00945F5A">
        <w:rPr>
          <w:lang w:val="en-US" w:eastAsia="en-AU"/>
        </w:rPr>
        <w:t xml:space="preserve">average change in earnings from graduating in a weak </w:t>
      </w:r>
      <w:proofErr w:type="spellStart"/>
      <w:r w:rsidRPr="00945F5A">
        <w:rPr>
          <w:lang w:val="en-US" w:eastAsia="en-AU"/>
        </w:rPr>
        <w:t>labour</w:t>
      </w:r>
      <w:proofErr w:type="spellEnd"/>
      <w:r w:rsidRPr="00945F5A">
        <w:rPr>
          <w:lang w:val="en-US" w:eastAsia="en-AU"/>
        </w:rPr>
        <w:t xml:space="preserve"> market, given the regular evolution of the regional unemployment rate faced afterwards.</w:t>
      </w:r>
      <w:r>
        <w:rPr>
          <w:lang w:val="en-US" w:eastAsia="en-AU"/>
        </w:rPr>
        <w:t xml:space="preserve"> Put another way, </w:t>
      </w:r>
      <w:r w:rsidR="00210BB5">
        <w:rPr>
          <w:lang w:val="en-US" w:eastAsia="en-AU"/>
        </w:rPr>
        <w:t>the estimates capture both</w:t>
      </w:r>
      <w:r>
        <w:rPr>
          <w:lang w:val="en-US" w:eastAsia="en-AU"/>
        </w:rPr>
        <w:t xml:space="preserve"> the direct effects of </w:t>
      </w:r>
      <w:proofErr w:type="spellStart"/>
      <w:r>
        <w:rPr>
          <w:lang w:val="en-US" w:eastAsia="en-AU"/>
        </w:rPr>
        <w:t>labour</w:t>
      </w:r>
      <w:proofErr w:type="spellEnd"/>
      <w:r>
        <w:rPr>
          <w:lang w:val="en-US" w:eastAsia="en-AU"/>
        </w:rPr>
        <w:t xml:space="preserve"> market conditions at entry, but also the fact </w:t>
      </w:r>
      <w:r w:rsidR="00210BB5">
        <w:rPr>
          <w:lang w:val="en-US" w:eastAsia="en-AU"/>
        </w:rPr>
        <w:t>that</w:t>
      </w:r>
      <w:r>
        <w:rPr>
          <w:lang w:val="en-US" w:eastAsia="en-AU"/>
        </w:rPr>
        <w:t xml:space="preserve"> if </w:t>
      </w:r>
      <w:r w:rsidR="00210BB5">
        <w:rPr>
          <w:lang w:val="en-US" w:eastAsia="en-AU"/>
        </w:rPr>
        <w:t>the youth</w:t>
      </w:r>
      <w:r>
        <w:rPr>
          <w:lang w:val="en-US" w:eastAsia="en-AU"/>
        </w:rPr>
        <w:t xml:space="preserve"> unemployment </w:t>
      </w:r>
      <w:r w:rsidR="00210BB5">
        <w:rPr>
          <w:lang w:val="en-US" w:eastAsia="en-AU"/>
        </w:rPr>
        <w:t>rate at entry</w:t>
      </w:r>
      <w:r>
        <w:rPr>
          <w:lang w:val="en-US" w:eastAsia="en-AU"/>
        </w:rPr>
        <w:t xml:space="preserve"> increases, it </w:t>
      </w:r>
      <w:r w:rsidR="00210BB5">
        <w:rPr>
          <w:lang w:val="en-US" w:eastAsia="en-AU"/>
        </w:rPr>
        <w:t xml:space="preserve">will </w:t>
      </w:r>
      <w:r>
        <w:rPr>
          <w:lang w:val="en-US" w:eastAsia="en-AU"/>
        </w:rPr>
        <w:t>tend to remain elevated for a period and this will weigh on outcomes</w:t>
      </w:r>
      <w:r w:rsidR="00210BB5">
        <w:rPr>
          <w:lang w:val="en-US" w:eastAsia="en-AU"/>
        </w:rPr>
        <w:t xml:space="preserve"> in its own right.</w:t>
      </w:r>
    </w:p>
    <w:p w14:paraId="5F5BE7E2" w14:textId="77777777" w:rsidR="00432775" w:rsidRDefault="00210BB5" w:rsidP="0055789C">
      <w:pPr>
        <w:jc w:val="both"/>
        <w:rPr>
          <w:lang w:val="en-US" w:eastAsia="en-AU"/>
        </w:rPr>
      </w:pPr>
      <w:r>
        <w:rPr>
          <w:lang w:val="en-US" w:eastAsia="en-AU"/>
        </w:rPr>
        <w:t>Any persistenc</w:t>
      </w:r>
      <w:r w:rsidR="00296DAC">
        <w:rPr>
          <w:lang w:val="en-US" w:eastAsia="en-AU"/>
        </w:rPr>
        <w:t>e</w:t>
      </w:r>
      <w:r>
        <w:rPr>
          <w:lang w:val="en-US" w:eastAsia="en-AU"/>
        </w:rPr>
        <w:t xml:space="preserve"> in the unemployment rate</w:t>
      </w:r>
      <w:r w:rsidR="00432775">
        <w:rPr>
          <w:lang w:val="en-US" w:eastAsia="en-AU"/>
        </w:rPr>
        <w:t xml:space="preserve"> is </w:t>
      </w:r>
      <w:r>
        <w:rPr>
          <w:lang w:val="en-US" w:eastAsia="en-AU"/>
        </w:rPr>
        <w:t xml:space="preserve">a legitimate </w:t>
      </w:r>
      <w:r w:rsidR="00432775">
        <w:rPr>
          <w:lang w:val="en-US" w:eastAsia="en-AU"/>
        </w:rPr>
        <w:t>part of the long</w:t>
      </w:r>
      <w:r w:rsidR="006E4AC4">
        <w:rPr>
          <w:lang w:val="en-US" w:eastAsia="en-AU"/>
        </w:rPr>
        <w:noBreakHyphen/>
      </w:r>
      <w:r>
        <w:rPr>
          <w:lang w:val="en-US" w:eastAsia="en-AU"/>
        </w:rPr>
        <w:t>run</w:t>
      </w:r>
      <w:r w:rsidR="00432775">
        <w:rPr>
          <w:lang w:val="en-US" w:eastAsia="en-AU"/>
        </w:rPr>
        <w:t xml:space="preserve"> effect of short</w:t>
      </w:r>
      <w:r w:rsidR="006E4AC4">
        <w:rPr>
          <w:lang w:val="en-US" w:eastAsia="en-AU"/>
        </w:rPr>
        <w:noBreakHyphen/>
      </w:r>
      <w:r>
        <w:rPr>
          <w:lang w:val="en-US" w:eastAsia="en-AU"/>
        </w:rPr>
        <w:t>run</w:t>
      </w:r>
      <w:r w:rsidR="00432775">
        <w:rPr>
          <w:lang w:val="en-US" w:eastAsia="en-AU"/>
        </w:rPr>
        <w:t xml:space="preserve"> </w:t>
      </w:r>
      <w:proofErr w:type="spellStart"/>
      <w:r w:rsidR="00432775">
        <w:rPr>
          <w:lang w:val="en-US" w:eastAsia="en-AU"/>
        </w:rPr>
        <w:t>labour</w:t>
      </w:r>
      <w:proofErr w:type="spellEnd"/>
      <w:r w:rsidR="00432775">
        <w:rPr>
          <w:lang w:val="en-US" w:eastAsia="en-AU"/>
        </w:rPr>
        <w:t xml:space="preserve"> market shocks, and so is of interest. But we might also be interested in isolating the direct effect of </w:t>
      </w:r>
      <w:proofErr w:type="spellStart"/>
      <w:r w:rsidR="00432775">
        <w:rPr>
          <w:lang w:val="en-US" w:eastAsia="en-AU"/>
        </w:rPr>
        <w:t>labour</w:t>
      </w:r>
      <w:proofErr w:type="spellEnd"/>
      <w:r w:rsidR="00432775">
        <w:rPr>
          <w:lang w:val="en-US" w:eastAsia="en-AU"/>
        </w:rPr>
        <w:t xml:space="preserve"> market conditions </w:t>
      </w:r>
      <w:r>
        <w:rPr>
          <w:lang w:val="en-US" w:eastAsia="en-AU"/>
        </w:rPr>
        <w:t>at</w:t>
      </w:r>
      <w:r w:rsidR="00432775">
        <w:rPr>
          <w:lang w:val="en-US" w:eastAsia="en-AU"/>
        </w:rPr>
        <w:t xml:space="preserve"> entry, as this can help us to understand the channels through which short</w:t>
      </w:r>
      <w:r w:rsidR="006E4AC4">
        <w:rPr>
          <w:lang w:val="en-US" w:eastAsia="en-AU"/>
        </w:rPr>
        <w:noBreakHyphen/>
      </w:r>
      <w:r w:rsidR="00432775">
        <w:rPr>
          <w:lang w:val="en-US" w:eastAsia="en-AU"/>
        </w:rPr>
        <w:t>run shocks propagate to the long</w:t>
      </w:r>
      <w:r w:rsidR="006E4AC4">
        <w:rPr>
          <w:lang w:val="en-US" w:eastAsia="en-AU"/>
        </w:rPr>
        <w:noBreakHyphen/>
      </w:r>
      <w:r w:rsidR="00432775">
        <w:rPr>
          <w:lang w:val="en-US" w:eastAsia="en-AU"/>
        </w:rPr>
        <w:t xml:space="preserve">run. Moreover, it can provide guidance for policy. If most of the effect comes through persistent weak </w:t>
      </w:r>
      <w:proofErr w:type="spellStart"/>
      <w:r w:rsidR="00432775">
        <w:rPr>
          <w:lang w:val="en-US" w:eastAsia="en-AU"/>
        </w:rPr>
        <w:t>labour</w:t>
      </w:r>
      <w:proofErr w:type="spellEnd"/>
      <w:r w:rsidR="00432775">
        <w:rPr>
          <w:lang w:val="en-US" w:eastAsia="en-AU"/>
        </w:rPr>
        <w:t xml:space="preserve"> market conditions, this would suggest </w:t>
      </w:r>
      <w:r>
        <w:rPr>
          <w:lang w:val="en-US" w:eastAsia="en-AU"/>
        </w:rPr>
        <w:t xml:space="preserve">subsequent </w:t>
      </w:r>
      <w:proofErr w:type="spellStart"/>
      <w:r w:rsidR="00432775">
        <w:rPr>
          <w:lang w:val="en-US" w:eastAsia="en-AU"/>
        </w:rPr>
        <w:t>stabili</w:t>
      </w:r>
      <w:r w:rsidR="00A937A9">
        <w:rPr>
          <w:lang w:val="en-US" w:eastAsia="en-AU"/>
        </w:rPr>
        <w:t>s</w:t>
      </w:r>
      <w:r w:rsidR="00432775">
        <w:rPr>
          <w:lang w:val="en-US" w:eastAsia="en-AU"/>
        </w:rPr>
        <w:t>ation</w:t>
      </w:r>
      <w:proofErr w:type="spellEnd"/>
      <w:r w:rsidR="00432775">
        <w:rPr>
          <w:lang w:val="en-US" w:eastAsia="en-AU"/>
        </w:rPr>
        <w:t xml:space="preserve"> polices should be highly effective in ameliorating long</w:t>
      </w:r>
      <w:r w:rsidR="006E4AC4">
        <w:rPr>
          <w:lang w:val="en-US" w:eastAsia="en-AU"/>
        </w:rPr>
        <w:noBreakHyphen/>
      </w:r>
      <w:r w:rsidR="00432775">
        <w:rPr>
          <w:lang w:val="en-US" w:eastAsia="en-AU"/>
        </w:rPr>
        <w:t>run effects. If most of the effect reflect the initial shock, other polices</w:t>
      </w:r>
      <w:r w:rsidR="00F811AF">
        <w:rPr>
          <w:lang w:val="en-US" w:eastAsia="en-AU"/>
        </w:rPr>
        <w:t xml:space="preserve"> around</w:t>
      </w:r>
      <w:r w:rsidR="00432775">
        <w:rPr>
          <w:lang w:val="en-US" w:eastAsia="en-AU"/>
        </w:rPr>
        <w:t xml:space="preserve"> skills</w:t>
      </w:r>
      <w:r w:rsidR="00F811AF">
        <w:rPr>
          <w:lang w:val="en-US" w:eastAsia="en-AU"/>
        </w:rPr>
        <w:t>,</w:t>
      </w:r>
      <w:r w:rsidR="00432775">
        <w:rPr>
          <w:lang w:val="en-US" w:eastAsia="en-AU"/>
        </w:rPr>
        <w:t xml:space="preserve"> re</w:t>
      </w:r>
      <w:r w:rsidR="006E4AC4">
        <w:rPr>
          <w:lang w:val="en-US" w:eastAsia="en-AU"/>
        </w:rPr>
        <w:noBreakHyphen/>
      </w:r>
      <w:r w:rsidR="00432775">
        <w:rPr>
          <w:lang w:val="en-US" w:eastAsia="en-AU"/>
        </w:rPr>
        <w:t>training</w:t>
      </w:r>
      <w:r w:rsidR="00F811AF">
        <w:rPr>
          <w:lang w:val="en-US" w:eastAsia="en-AU"/>
        </w:rPr>
        <w:t xml:space="preserve"> and efficient </w:t>
      </w:r>
      <w:proofErr w:type="spellStart"/>
      <w:r w:rsidR="00F811AF">
        <w:rPr>
          <w:lang w:val="en-US" w:eastAsia="en-AU"/>
        </w:rPr>
        <w:t>labour</w:t>
      </w:r>
      <w:proofErr w:type="spellEnd"/>
      <w:r w:rsidR="00F811AF">
        <w:rPr>
          <w:lang w:val="en-US" w:eastAsia="en-AU"/>
        </w:rPr>
        <w:t xml:space="preserve"> markets</w:t>
      </w:r>
      <w:r w:rsidR="00432775">
        <w:rPr>
          <w:lang w:val="en-US" w:eastAsia="en-AU"/>
        </w:rPr>
        <w:t>, might be more important.</w:t>
      </w:r>
    </w:p>
    <w:p w14:paraId="63DBAC4D" w14:textId="77777777" w:rsidR="00432775" w:rsidRDefault="00432775" w:rsidP="0055789C">
      <w:pPr>
        <w:jc w:val="both"/>
        <w:rPr>
          <w:lang w:val="en-US" w:eastAsia="en-AU"/>
        </w:rPr>
      </w:pPr>
      <w:r>
        <w:rPr>
          <w:lang w:val="en-US" w:eastAsia="en-AU"/>
        </w:rPr>
        <w:t xml:space="preserve">To test this, we adopt the dynamic model of </w:t>
      </w:r>
      <w:proofErr w:type="spellStart"/>
      <w:r>
        <w:rPr>
          <w:lang w:val="en-US" w:eastAsia="en-AU"/>
        </w:rPr>
        <w:t>Oreopo</w:t>
      </w:r>
      <w:r w:rsidR="00F811AF">
        <w:rPr>
          <w:lang w:val="en-US" w:eastAsia="en-AU"/>
        </w:rPr>
        <w:t>ulo</w:t>
      </w:r>
      <w:r>
        <w:rPr>
          <w:lang w:val="en-US" w:eastAsia="en-AU"/>
        </w:rPr>
        <w:t>s</w:t>
      </w:r>
      <w:proofErr w:type="spellEnd"/>
      <w:r>
        <w:rPr>
          <w:lang w:val="en-US" w:eastAsia="en-AU"/>
        </w:rPr>
        <w:t xml:space="preserve"> et al (2012). This model is similar to the baseline model. But instead of simply tracing out the effect of the initial state unemployment rate over time, we control for the full unemployment history faced by workers, allowing each to have persistent effects on wage and employment outcomes. In doing so, we allow for the possibility that workers may have moved interstate by using the current state of residence for all unemployment rates aside from those on graduation.</w:t>
      </w:r>
      <w:r>
        <w:rPr>
          <w:rStyle w:val="FootnoteReference"/>
          <w:lang w:val="en-US" w:eastAsia="en-AU"/>
        </w:rPr>
        <w:footnoteReference w:id="11"/>
      </w:r>
      <w:r>
        <w:rPr>
          <w:lang w:val="en-US" w:eastAsia="en-AU"/>
        </w:rPr>
        <w:t xml:space="preserve"> We also take the slightly simpler approach where we </w:t>
      </w:r>
      <w:r w:rsidR="00117063">
        <w:rPr>
          <w:lang w:val="en-US" w:eastAsia="en-AU"/>
        </w:rPr>
        <w:t>account for contemporaneous conditions using either state</w:t>
      </w:r>
      <w:r w:rsidR="006E4AC4">
        <w:rPr>
          <w:lang w:val="en-US" w:eastAsia="en-AU"/>
        </w:rPr>
        <w:noBreakHyphen/>
      </w:r>
      <w:r w:rsidR="00117063">
        <w:rPr>
          <w:lang w:val="en-US" w:eastAsia="en-AU"/>
        </w:rPr>
        <w:t>year fixed effects, or the contemporaneous unemployment rate interacted with years of experience.</w:t>
      </w:r>
    </w:p>
    <w:p w14:paraId="7D6DDF95" w14:textId="77777777" w:rsidR="00723C1D" w:rsidRDefault="00723C1D" w:rsidP="0055789C">
      <w:pPr>
        <w:jc w:val="both"/>
        <w:rPr>
          <w:lang w:val="en-US" w:eastAsia="en-AU"/>
        </w:rPr>
      </w:pPr>
      <w:r>
        <w:rPr>
          <w:lang w:val="en-US" w:eastAsia="en-AU"/>
        </w:rPr>
        <w:t xml:space="preserve">For both approaches, we also follow </w:t>
      </w:r>
      <w:proofErr w:type="spellStart"/>
      <w:r>
        <w:rPr>
          <w:lang w:val="en-US" w:eastAsia="en-AU"/>
        </w:rPr>
        <w:t>Oreopo</w:t>
      </w:r>
      <w:r w:rsidR="00F811AF">
        <w:rPr>
          <w:lang w:val="en-US" w:eastAsia="en-AU"/>
        </w:rPr>
        <w:t>ulo</w:t>
      </w:r>
      <w:r>
        <w:rPr>
          <w:lang w:val="en-US" w:eastAsia="en-AU"/>
        </w:rPr>
        <w:t>s</w:t>
      </w:r>
      <w:proofErr w:type="spellEnd"/>
      <w:r>
        <w:rPr>
          <w:lang w:val="en-US" w:eastAsia="en-AU"/>
        </w:rPr>
        <w:t xml:space="preserve"> et al (2012) and group unemploym</w:t>
      </w:r>
      <w:r w:rsidR="001D57FC">
        <w:rPr>
          <w:lang w:val="en-US" w:eastAsia="en-AU"/>
        </w:rPr>
        <w:t>ent rates over two </w:t>
      </w:r>
      <w:r>
        <w:rPr>
          <w:lang w:val="en-US" w:eastAsia="en-AU"/>
        </w:rPr>
        <w:t xml:space="preserve">year </w:t>
      </w:r>
      <w:r w:rsidR="007738A9">
        <w:rPr>
          <w:lang w:val="en-US" w:eastAsia="en-AU"/>
        </w:rPr>
        <w:t>period</w:t>
      </w:r>
      <w:r w:rsidR="00F811AF">
        <w:rPr>
          <w:lang w:val="en-US" w:eastAsia="en-AU"/>
        </w:rPr>
        <w:t>s</w:t>
      </w:r>
      <w:r>
        <w:rPr>
          <w:lang w:val="en-US" w:eastAsia="en-AU"/>
        </w:rPr>
        <w:t xml:space="preserve">. That is, we trace out the effects of </w:t>
      </w:r>
      <w:r w:rsidR="00F811AF">
        <w:rPr>
          <w:lang w:val="en-US" w:eastAsia="en-AU"/>
        </w:rPr>
        <w:t xml:space="preserve">the average youth </w:t>
      </w:r>
      <w:r>
        <w:rPr>
          <w:lang w:val="en-US" w:eastAsia="en-AU"/>
        </w:rPr>
        <w:t xml:space="preserve">unemployment </w:t>
      </w:r>
      <w:r w:rsidR="00F811AF">
        <w:rPr>
          <w:lang w:val="en-US" w:eastAsia="en-AU"/>
        </w:rPr>
        <w:t>rate</w:t>
      </w:r>
      <w:r>
        <w:rPr>
          <w:lang w:val="en-US" w:eastAsia="en-AU"/>
        </w:rPr>
        <w:t xml:space="preserve"> experienced over year 0 (entry) and 1 in the </w:t>
      </w:r>
      <w:proofErr w:type="spellStart"/>
      <w:r>
        <w:rPr>
          <w:lang w:val="en-US" w:eastAsia="en-AU"/>
        </w:rPr>
        <w:t>labour</w:t>
      </w:r>
      <w:proofErr w:type="spellEnd"/>
      <w:r>
        <w:rPr>
          <w:lang w:val="en-US" w:eastAsia="en-AU"/>
        </w:rPr>
        <w:t xml:space="preserve"> market. This helps to address the fact that unemployment rates in adjacent years are highly correlated, making it hard to identify the model results when including all years. That said, the results are fairly similar when we include yearly unemployment rates instead, with initial unemployment </w:t>
      </w:r>
      <w:r w:rsidR="00CE0D88">
        <w:rPr>
          <w:lang w:val="en-US" w:eastAsia="en-AU"/>
        </w:rPr>
        <w:t xml:space="preserve">rates </w:t>
      </w:r>
      <w:r>
        <w:rPr>
          <w:lang w:val="en-US" w:eastAsia="en-AU"/>
        </w:rPr>
        <w:t>estimate</w:t>
      </w:r>
      <w:r w:rsidR="00CE0D88">
        <w:rPr>
          <w:lang w:val="en-US" w:eastAsia="en-AU"/>
        </w:rPr>
        <w:t>d</w:t>
      </w:r>
      <w:r>
        <w:rPr>
          <w:lang w:val="en-US" w:eastAsia="en-AU"/>
        </w:rPr>
        <w:t xml:space="preserve"> to be a little less important.</w:t>
      </w:r>
      <w:r>
        <w:rPr>
          <w:rStyle w:val="FootnoteReference"/>
          <w:lang w:val="en-US" w:eastAsia="en-AU"/>
        </w:rPr>
        <w:footnoteReference w:id="12"/>
      </w:r>
    </w:p>
    <w:p w14:paraId="7B27609E" w14:textId="77777777" w:rsidR="00AA6B6D" w:rsidRPr="00740E1D" w:rsidRDefault="00AA6B6D" w:rsidP="00AA6B6D">
      <w:pPr>
        <w:jc w:val="both"/>
        <w:rPr>
          <w:lang w:val="en-US" w:eastAsia="en-AU"/>
        </w:rPr>
      </w:pPr>
      <w:r>
        <w:rPr>
          <w:lang w:val="en-US" w:eastAsia="en-AU"/>
        </w:rPr>
        <w:lastRenderedPageBreak/>
        <w:t xml:space="preserve">Figure 6 contains the key results of these models, while the more detailed results are in </w:t>
      </w:r>
      <w:r w:rsidRPr="0082768E">
        <w:rPr>
          <w:lang w:val="en-US" w:eastAsia="en-AU"/>
        </w:rPr>
        <w:t>Appendix C</w:t>
      </w:r>
      <w:r>
        <w:rPr>
          <w:lang w:val="en-US" w:eastAsia="en-AU"/>
        </w:rPr>
        <w:t xml:space="preserve">. Once we account for later conditions (blue line), the </w:t>
      </w:r>
      <w:r w:rsidRPr="00740E1D">
        <w:rPr>
          <w:lang w:val="en-US" w:eastAsia="en-AU"/>
        </w:rPr>
        <w:t xml:space="preserve">importance of the initial </w:t>
      </w:r>
      <w:r>
        <w:rPr>
          <w:lang w:val="en-US" w:eastAsia="en-AU"/>
        </w:rPr>
        <w:t xml:space="preserve">youth unemployment </w:t>
      </w:r>
      <w:r w:rsidRPr="00740E1D">
        <w:rPr>
          <w:lang w:val="en-US" w:eastAsia="en-AU"/>
        </w:rPr>
        <w:t xml:space="preserve">rate is diminished somewhat </w:t>
      </w:r>
      <w:r>
        <w:rPr>
          <w:lang w:val="en-US" w:eastAsia="en-AU"/>
        </w:rPr>
        <w:t xml:space="preserve">for </w:t>
      </w:r>
      <w:r w:rsidRPr="00740E1D">
        <w:rPr>
          <w:lang w:val="en-US" w:eastAsia="en-AU"/>
        </w:rPr>
        <w:t xml:space="preserve">both the wage and employment </w:t>
      </w:r>
      <w:r>
        <w:rPr>
          <w:lang w:val="en-US" w:eastAsia="en-AU"/>
        </w:rPr>
        <w:t>margins.</w:t>
      </w:r>
      <w:r w:rsidRPr="00740E1D">
        <w:rPr>
          <w:lang w:val="en-US" w:eastAsia="en-AU"/>
        </w:rPr>
        <w:t xml:space="preserve"> </w:t>
      </w:r>
      <w:r>
        <w:rPr>
          <w:lang w:val="en-US" w:eastAsia="en-AU"/>
        </w:rPr>
        <w:t>T</w:t>
      </w:r>
      <w:r w:rsidRPr="00740E1D">
        <w:rPr>
          <w:lang w:val="en-US" w:eastAsia="en-AU"/>
        </w:rPr>
        <w:t>he effect is reduced by about 1/3 in each of the first five years for wages, and by slightly less for employment</w:t>
      </w:r>
      <w:r>
        <w:rPr>
          <w:lang w:val="en-US" w:eastAsia="en-AU"/>
        </w:rPr>
        <w:t xml:space="preserve"> for year 2</w:t>
      </w:r>
      <w:r w:rsidR="006E4AC4">
        <w:rPr>
          <w:lang w:val="en-US" w:eastAsia="en-AU"/>
        </w:rPr>
        <w:noBreakHyphen/>
      </w:r>
      <w:r>
        <w:rPr>
          <w:lang w:val="en-US" w:eastAsia="en-AU"/>
        </w:rPr>
        <w:t>4</w:t>
      </w:r>
      <w:r w:rsidRPr="00740E1D">
        <w:rPr>
          <w:lang w:val="en-US" w:eastAsia="en-AU"/>
        </w:rPr>
        <w:t>. However, there still appears to be a significant and persistent effect of initial unemployment rates for around 4</w:t>
      </w:r>
      <w:r w:rsidR="006E4AC4">
        <w:rPr>
          <w:lang w:val="en-US" w:eastAsia="en-AU"/>
        </w:rPr>
        <w:noBreakHyphen/>
      </w:r>
      <w:r w:rsidRPr="00740E1D">
        <w:rPr>
          <w:lang w:val="en-US" w:eastAsia="en-AU"/>
        </w:rPr>
        <w:t xml:space="preserve">5 years </w:t>
      </w:r>
      <w:r>
        <w:rPr>
          <w:lang w:val="en-US" w:eastAsia="en-AU"/>
        </w:rPr>
        <w:t xml:space="preserve">following </w:t>
      </w:r>
      <w:r w:rsidRPr="00740E1D">
        <w:rPr>
          <w:lang w:val="en-US" w:eastAsia="en-AU"/>
        </w:rPr>
        <w:t>graduation</w:t>
      </w:r>
      <w:r>
        <w:rPr>
          <w:lang w:val="en-US" w:eastAsia="en-AU"/>
        </w:rPr>
        <w:t xml:space="preserve"> on both wages and employment</w:t>
      </w:r>
      <w:r w:rsidRPr="00740E1D">
        <w:rPr>
          <w:lang w:val="en-US" w:eastAsia="en-AU"/>
        </w:rPr>
        <w:t xml:space="preserve">. </w:t>
      </w:r>
    </w:p>
    <w:p w14:paraId="30B29997" w14:textId="77777777" w:rsidR="00D54F70" w:rsidRDefault="00AA6B6D" w:rsidP="003D6F69">
      <w:pPr>
        <w:spacing w:after="120"/>
        <w:jc w:val="both"/>
        <w:rPr>
          <w:lang w:val="en-US" w:eastAsia="en-AU"/>
        </w:rPr>
      </w:pPr>
      <w:r w:rsidRPr="00740E1D">
        <w:rPr>
          <w:lang w:val="en-US" w:eastAsia="en-AU"/>
        </w:rPr>
        <w:t xml:space="preserve">The </w:t>
      </w:r>
      <w:r w:rsidR="008F1321">
        <w:rPr>
          <w:lang w:val="en-US" w:eastAsia="en-AU"/>
        </w:rPr>
        <w:t>analysis also shows</w:t>
      </w:r>
      <w:r w:rsidRPr="00740E1D">
        <w:rPr>
          <w:lang w:val="en-US" w:eastAsia="en-AU"/>
        </w:rPr>
        <w:t xml:space="preserve"> that shocks </w:t>
      </w:r>
      <w:r w:rsidR="008F1321">
        <w:rPr>
          <w:lang w:val="en-US" w:eastAsia="en-AU"/>
        </w:rPr>
        <w:t>w</w:t>
      </w:r>
      <w:r w:rsidRPr="00740E1D">
        <w:rPr>
          <w:lang w:val="en-US" w:eastAsia="en-AU"/>
        </w:rPr>
        <w:t>h</w:t>
      </w:r>
      <w:r w:rsidR="008F1321">
        <w:rPr>
          <w:lang w:val="en-US" w:eastAsia="en-AU"/>
        </w:rPr>
        <w:t>ich</w:t>
      </w:r>
      <w:r w:rsidRPr="00740E1D">
        <w:rPr>
          <w:lang w:val="en-US" w:eastAsia="en-AU"/>
        </w:rPr>
        <w:t xml:space="preserve"> hit workers at the start of their careers are more important than those that hit a few years </w:t>
      </w:r>
      <w:r w:rsidR="008F1321">
        <w:rPr>
          <w:lang w:val="en-US" w:eastAsia="en-AU"/>
        </w:rPr>
        <w:t>later</w:t>
      </w:r>
      <w:r w:rsidRPr="00740E1D">
        <w:rPr>
          <w:lang w:val="en-US" w:eastAsia="en-AU"/>
        </w:rPr>
        <w:t xml:space="preserve">. This is evident </w:t>
      </w:r>
      <w:r w:rsidR="00A81231">
        <w:rPr>
          <w:lang w:val="en-US" w:eastAsia="en-AU"/>
        </w:rPr>
        <w:t>in</w:t>
      </w:r>
      <w:r w:rsidR="00A81231" w:rsidRPr="00740E1D">
        <w:rPr>
          <w:lang w:val="en-US" w:eastAsia="en-AU"/>
        </w:rPr>
        <w:t xml:space="preserve"> </w:t>
      </w:r>
      <w:r w:rsidRPr="00740E1D">
        <w:rPr>
          <w:lang w:val="en-US" w:eastAsia="en-AU"/>
        </w:rPr>
        <w:t>the smaller and less persistent effect of unemployment rates 4</w:t>
      </w:r>
      <w:r w:rsidR="006E4AC4">
        <w:rPr>
          <w:lang w:val="en-US" w:eastAsia="en-AU"/>
        </w:rPr>
        <w:noBreakHyphen/>
      </w:r>
      <w:r>
        <w:rPr>
          <w:lang w:val="en-US" w:eastAsia="en-AU"/>
        </w:rPr>
        <w:t>5</w:t>
      </w:r>
      <w:r w:rsidRPr="00740E1D">
        <w:rPr>
          <w:lang w:val="en-US" w:eastAsia="en-AU"/>
        </w:rPr>
        <w:t xml:space="preserve"> years later on both wages and employment</w:t>
      </w:r>
      <w:r>
        <w:rPr>
          <w:lang w:val="en-US" w:eastAsia="en-AU"/>
        </w:rPr>
        <w:t xml:space="preserve"> (Appendix C Figure C1)</w:t>
      </w:r>
      <w:r w:rsidRPr="00740E1D">
        <w:rPr>
          <w:lang w:val="en-US" w:eastAsia="en-AU"/>
        </w:rPr>
        <w:t>. It indicates that what we are identifying is not simply the fact that weak</w:t>
      </w:r>
      <w:r>
        <w:rPr>
          <w:lang w:val="en-US" w:eastAsia="en-AU"/>
        </w:rPr>
        <w:t xml:space="preserve"> </w:t>
      </w:r>
      <w:proofErr w:type="spellStart"/>
      <w:r>
        <w:rPr>
          <w:lang w:val="en-US" w:eastAsia="en-AU"/>
        </w:rPr>
        <w:t>labour</w:t>
      </w:r>
      <w:proofErr w:type="spellEnd"/>
      <w:r>
        <w:rPr>
          <w:lang w:val="en-US" w:eastAsia="en-AU"/>
        </w:rPr>
        <w:t xml:space="preserve"> markets are bad for all workers. Rather, what we are picking up is that they are particularly damaging for new graduates.</w:t>
      </w:r>
    </w:p>
    <w:p w14:paraId="4EBB0A00" w14:textId="77777777" w:rsidR="003D6F69" w:rsidRDefault="003D6F69" w:rsidP="003D6F69">
      <w:pPr>
        <w:jc w:val="both"/>
      </w:pPr>
      <w:r>
        <w:rPr>
          <w:lang w:val="en-US" w:eastAsia="en-AU"/>
        </w:rPr>
        <w:t xml:space="preserve">Overall then, the results suggest that at least part of the poor outcomes for graduates are associated with prolonged periods of weak </w:t>
      </w:r>
      <w:proofErr w:type="spellStart"/>
      <w:r>
        <w:rPr>
          <w:lang w:val="en-US" w:eastAsia="en-AU"/>
        </w:rPr>
        <w:t>labour</w:t>
      </w:r>
      <w:proofErr w:type="spellEnd"/>
      <w:r>
        <w:rPr>
          <w:lang w:val="en-US" w:eastAsia="en-AU"/>
        </w:rPr>
        <w:t xml:space="preserve"> markets, suggesting an important role for </w:t>
      </w:r>
      <w:proofErr w:type="spellStart"/>
      <w:r>
        <w:rPr>
          <w:lang w:val="en-US" w:eastAsia="en-AU"/>
        </w:rPr>
        <w:t>stabilisation</w:t>
      </w:r>
      <w:proofErr w:type="spellEnd"/>
      <w:r>
        <w:rPr>
          <w:lang w:val="en-US" w:eastAsia="en-AU"/>
        </w:rPr>
        <w:t xml:space="preserve"> policy. But there also appear to be some persistent effects from the initial weak </w:t>
      </w:r>
      <w:proofErr w:type="spellStart"/>
      <w:r>
        <w:rPr>
          <w:lang w:val="en-US" w:eastAsia="en-AU"/>
        </w:rPr>
        <w:t>labour</w:t>
      </w:r>
      <w:proofErr w:type="spellEnd"/>
      <w:r>
        <w:rPr>
          <w:lang w:val="en-US" w:eastAsia="en-AU"/>
        </w:rPr>
        <w:t xml:space="preserve"> market. We consider potential mechanisms for such a phenomena in section 6.</w:t>
      </w:r>
    </w:p>
    <w:p w14:paraId="787B7B29" w14:textId="77777777" w:rsidR="00723C1D" w:rsidRDefault="00723C1D" w:rsidP="00BD4C27">
      <w:pPr>
        <w:pStyle w:val="CaptionHeading1"/>
        <w:spacing w:after="120"/>
      </w:pPr>
      <w:r>
        <w:t xml:space="preserve">Figure </w:t>
      </w:r>
      <w:r w:rsidR="00CB08CE">
        <w:t>6</w:t>
      </w:r>
      <w:r>
        <w:t>:  Effect of a 1 percentage point increase in the local youth unemployment rate by years since graduation for different periods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656"/>
      </w:tblGrid>
      <w:tr w:rsidR="00723C1D" w14:paraId="51757517" w14:textId="77777777" w:rsidTr="00372D9C">
        <w:tc>
          <w:tcPr>
            <w:tcW w:w="4644" w:type="dxa"/>
          </w:tcPr>
          <w:p w14:paraId="3430D9F1" w14:textId="77777777" w:rsidR="00723C1D" w:rsidRPr="00E9695E" w:rsidRDefault="00723C1D" w:rsidP="002A6D35">
            <w:pPr>
              <w:pStyle w:val="CaptionHeading2"/>
            </w:pPr>
            <w:r w:rsidRPr="00E9695E">
              <w:t xml:space="preserve">Panel A: </w:t>
            </w:r>
            <w:r>
              <w:t xml:space="preserve">Effect on </w:t>
            </w:r>
            <w:r w:rsidR="000A2196">
              <w:t>wages</w:t>
            </w:r>
          </w:p>
          <w:p w14:paraId="5125CABE" w14:textId="77777777" w:rsidR="00723C1D" w:rsidRPr="00E9695E" w:rsidRDefault="003F4369" w:rsidP="002A6D35">
            <w:pPr>
              <w:pStyle w:val="Captiongraphic"/>
            </w:pPr>
            <w:r w:rsidRPr="003F4369">
              <w:rPr>
                <w:noProof/>
              </w:rPr>
              <w:drawing>
                <wp:inline distT="0" distB="0" distL="0" distR="0" wp14:anchorId="0E2CA3DE" wp14:editId="61972143">
                  <wp:extent cx="2867025" cy="28670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67025" cy="2867025"/>
                          </a:xfrm>
                          <a:prstGeom prst="rect">
                            <a:avLst/>
                          </a:prstGeom>
                          <a:noFill/>
                          <a:ln>
                            <a:noFill/>
                          </a:ln>
                        </pic:spPr>
                      </pic:pic>
                    </a:graphicData>
                  </a:graphic>
                </wp:inline>
              </w:drawing>
            </w:r>
          </w:p>
        </w:tc>
        <w:tc>
          <w:tcPr>
            <w:tcW w:w="4644" w:type="dxa"/>
          </w:tcPr>
          <w:p w14:paraId="31DFACD9" w14:textId="77777777" w:rsidR="00723C1D" w:rsidRDefault="00723C1D" w:rsidP="002A6D35">
            <w:pPr>
              <w:pStyle w:val="CaptionHeading2"/>
            </w:pPr>
            <w:r w:rsidRPr="00E9695E">
              <w:t xml:space="preserve">Panel B: </w:t>
            </w:r>
            <w:r>
              <w:t>Effect on employment</w:t>
            </w:r>
          </w:p>
          <w:p w14:paraId="6CF6C1CB" w14:textId="77777777" w:rsidR="00723C1D" w:rsidRDefault="007441E0" w:rsidP="002A6D35">
            <w:pPr>
              <w:pStyle w:val="Captiongraphic"/>
            </w:pPr>
            <w:r w:rsidRPr="007441E0">
              <w:rPr>
                <w:noProof/>
              </w:rPr>
              <w:drawing>
                <wp:inline distT="0" distB="0" distL="0" distR="0" wp14:anchorId="7DE3E838" wp14:editId="2B50A73A">
                  <wp:extent cx="2876550" cy="28765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a:ln>
                            <a:noFill/>
                          </a:ln>
                        </pic:spPr>
                      </pic:pic>
                    </a:graphicData>
                  </a:graphic>
                </wp:inline>
              </w:drawing>
            </w:r>
          </w:p>
        </w:tc>
      </w:tr>
    </w:tbl>
    <w:p w14:paraId="2219E65F" w14:textId="77777777" w:rsidR="00723C1D" w:rsidRDefault="00723C1D" w:rsidP="002A6D35">
      <w:pPr>
        <w:pStyle w:val="Chartnote"/>
      </w:pPr>
      <w:r>
        <w:t>Note:  Shows estimated effect of a 1 percentage point increase in the state</w:t>
      </w:r>
      <w:r w:rsidR="006E4AC4">
        <w:noBreakHyphen/>
      </w:r>
      <w:r>
        <w:t>youth unemployment rates on wag</w:t>
      </w:r>
      <w:r w:rsidR="00740E1D">
        <w:t xml:space="preserve">es and employment from various models. </w:t>
      </w:r>
      <w:r w:rsidR="006E4AC4">
        <w:t>‘</w:t>
      </w:r>
      <w:r w:rsidR="00D0080C">
        <w:t>Not controlling for later unemployment</w:t>
      </w:r>
      <w:r w:rsidR="006E4AC4">
        <w:t>’</w:t>
      </w:r>
      <w:r w:rsidR="00D0080C">
        <w:t xml:space="preserve"> series </w:t>
      </w:r>
      <w:r w:rsidR="00740E1D">
        <w:t xml:space="preserve">is taken from the </w:t>
      </w:r>
      <w:r w:rsidR="00D0080C">
        <w:t>static model</w:t>
      </w:r>
      <w:r w:rsidR="00740E1D">
        <w:t xml:space="preserve">, </w:t>
      </w:r>
      <w:r w:rsidR="00D0080C">
        <w:t>with</w:t>
      </w:r>
      <w:r w:rsidR="00740E1D">
        <w:t xml:space="preserve"> unemployment rate at graduation replaced with the rate over the initial and first subsequent year</w:t>
      </w:r>
      <w:r w:rsidR="00D0080C">
        <w:t xml:space="preserve">. </w:t>
      </w:r>
      <w:r w:rsidR="00CF5D8B">
        <w:t>This is analogous to the</w:t>
      </w:r>
      <w:r w:rsidR="00D0080C">
        <w:t xml:space="preserve"> </w:t>
      </w:r>
      <w:r w:rsidR="006E4AC4">
        <w:t>‘</w:t>
      </w:r>
      <w:r w:rsidR="00D0080C">
        <w:t>Group_01 (no history)</w:t>
      </w:r>
      <w:r w:rsidR="006E4AC4">
        <w:t>’</w:t>
      </w:r>
      <w:r w:rsidR="00D0080C">
        <w:t xml:space="preserve"> </w:t>
      </w:r>
      <w:r w:rsidR="00CF5D8B">
        <w:t xml:space="preserve">series </w:t>
      </w:r>
      <w:r w:rsidR="00D0080C">
        <w:t>in Figure C1</w:t>
      </w:r>
      <w:r w:rsidR="00CF5D8B">
        <w:t xml:space="preserve"> of Appendix C</w:t>
      </w:r>
      <w:r w:rsidR="00740E1D">
        <w:t xml:space="preserve">. </w:t>
      </w:r>
      <w:r w:rsidR="006E4AC4">
        <w:t>‘</w:t>
      </w:r>
      <w:r w:rsidR="0082768E">
        <w:t>Controlling for later unemployment</w:t>
      </w:r>
      <w:r w:rsidR="006E4AC4">
        <w:t>’</w:t>
      </w:r>
      <w:r w:rsidR="0082768E">
        <w:t xml:space="preserve"> series comes from</w:t>
      </w:r>
      <w:r w:rsidR="00740E1D">
        <w:t xml:space="preserve"> the full dynamic model, which incorporates the full labour market history of groups and allows these rates to have dynamic effects</w:t>
      </w:r>
      <w:r w:rsidR="00CF5D8B">
        <w:t xml:space="preserve"> (this is r</w:t>
      </w:r>
      <w:r w:rsidR="0082768E">
        <w:t>efe</w:t>
      </w:r>
      <w:r w:rsidR="00CF5D8B">
        <w:t>r</w:t>
      </w:r>
      <w:r w:rsidR="0082768E">
        <w:t xml:space="preserve">red to as </w:t>
      </w:r>
      <w:r w:rsidR="006E4AC4">
        <w:t>‘</w:t>
      </w:r>
      <w:r w:rsidR="0082768E">
        <w:t>Group_01</w:t>
      </w:r>
      <w:r w:rsidR="006E4AC4">
        <w:t>’’</w:t>
      </w:r>
      <w:r w:rsidR="0082768E">
        <w:t>in Figure C1</w:t>
      </w:r>
      <w:r w:rsidR="00CF5D8B">
        <w:t xml:space="preserve"> of Appendix C)</w:t>
      </w:r>
      <w:r w:rsidR="00740E1D">
        <w:t>.</w:t>
      </w:r>
    </w:p>
    <w:p w14:paraId="56A79D62" w14:textId="77777777" w:rsidR="002A6D35" w:rsidRDefault="002A6D35" w:rsidP="002A6D35">
      <w:pPr>
        <w:pStyle w:val="SingleParagraph"/>
      </w:pPr>
    </w:p>
    <w:p w14:paraId="774D8E64" w14:textId="77777777" w:rsidR="00432775" w:rsidRPr="00AF7F6A" w:rsidRDefault="00432775" w:rsidP="00432775">
      <w:pPr>
        <w:pStyle w:val="Heading4"/>
        <w:tabs>
          <w:tab w:val="clear" w:pos="850"/>
        </w:tabs>
        <w:ind w:left="0" w:firstLine="0"/>
        <w:rPr>
          <w:lang w:val="en-US" w:eastAsia="en-AU"/>
        </w:rPr>
      </w:pPr>
      <w:r>
        <w:rPr>
          <w:lang w:val="en-US" w:eastAsia="en-AU"/>
        </w:rPr>
        <w:t>Selection mechanisms</w:t>
      </w:r>
      <w:r w:rsidR="006E4AC4">
        <w:rPr>
          <w:lang w:val="en-US" w:eastAsia="en-AU"/>
        </w:rPr>
        <w:t xml:space="preserve"> — </w:t>
      </w:r>
      <w:r>
        <w:rPr>
          <w:lang w:val="en-US" w:eastAsia="en-AU"/>
        </w:rPr>
        <w:t>education and emigration</w:t>
      </w:r>
    </w:p>
    <w:p w14:paraId="755C91B4" w14:textId="77777777" w:rsidR="00432775" w:rsidRPr="009357F8" w:rsidRDefault="00432775" w:rsidP="00432775">
      <w:pPr>
        <w:jc w:val="both"/>
        <w:rPr>
          <w:lang w:val="en-US" w:eastAsia="en-AU"/>
        </w:rPr>
      </w:pPr>
      <w:r>
        <w:rPr>
          <w:lang w:val="en-US" w:eastAsia="en-AU"/>
        </w:rPr>
        <w:t xml:space="preserve">One way of framing the key assumption of our model is that there are no other factors that influence the </w:t>
      </w:r>
      <w:proofErr w:type="spellStart"/>
      <w:r>
        <w:rPr>
          <w:lang w:val="en-US" w:eastAsia="en-AU"/>
        </w:rPr>
        <w:t>labour</w:t>
      </w:r>
      <w:proofErr w:type="spellEnd"/>
      <w:r>
        <w:rPr>
          <w:lang w:val="en-US" w:eastAsia="en-AU"/>
        </w:rPr>
        <w:t xml:space="preserve"> market outcomes of those graduating in a given state and year, that are also correlated with the youth unemployment rate they faced at graduation. A standard concern in such settings is some kind of selection mechanism. </w:t>
      </w:r>
      <w:r w:rsidR="00AF3448">
        <w:rPr>
          <w:lang w:val="en-US" w:eastAsia="en-AU"/>
        </w:rPr>
        <w:t>For example</w:t>
      </w:r>
      <w:r>
        <w:rPr>
          <w:lang w:val="en-US" w:eastAsia="en-AU"/>
        </w:rPr>
        <w:t xml:space="preserve">, </w:t>
      </w:r>
      <w:r w:rsidR="00AF3448">
        <w:rPr>
          <w:lang w:val="en-US" w:eastAsia="en-AU"/>
        </w:rPr>
        <w:t>perhaps</w:t>
      </w:r>
      <w:r>
        <w:rPr>
          <w:lang w:val="en-US" w:eastAsia="en-AU"/>
        </w:rPr>
        <w:t xml:space="preserve"> </w:t>
      </w:r>
      <w:r w:rsidR="00F67F06">
        <w:rPr>
          <w:lang w:val="en-US" w:eastAsia="en-AU"/>
        </w:rPr>
        <w:t>when</w:t>
      </w:r>
      <w:r>
        <w:rPr>
          <w:lang w:val="en-US" w:eastAsia="en-AU"/>
        </w:rPr>
        <w:t xml:space="preserve"> faced with a high youth unemployment rate</w:t>
      </w:r>
      <w:r w:rsidR="00F67F06">
        <w:rPr>
          <w:lang w:val="en-US" w:eastAsia="en-AU"/>
        </w:rPr>
        <w:t>, individuals</w:t>
      </w:r>
      <w:r>
        <w:rPr>
          <w:lang w:val="en-US" w:eastAsia="en-AU"/>
        </w:rPr>
        <w:t xml:space="preserve"> may choose to extend their studies </w:t>
      </w:r>
      <w:r w:rsidR="00AF3448">
        <w:rPr>
          <w:lang w:val="en-US" w:eastAsia="en-AU"/>
        </w:rPr>
        <w:t>or</w:t>
      </w:r>
      <w:r>
        <w:rPr>
          <w:lang w:val="en-US" w:eastAsia="en-AU"/>
        </w:rPr>
        <w:t xml:space="preserve">, if they enter the </w:t>
      </w:r>
      <w:proofErr w:type="spellStart"/>
      <w:r>
        <w:rPr>
          <w:lang w:val="en-US" w:eastAsia="en-AU"/>
        </w:rPr>
        <w:t>labour</w:t>
      </w:r>
      <w:proofErr w:type="spellEnd"/>
      <w:r>
        <w:rPr>
          <w:lang w:val="en-US" w:eastAsia="en-AU"/>
        </w:rPr>
        <w:t xml:space="preserve"> market</w:t>
      </w:r>
      <w:r w:rsidR="00AF3448">
        <w:rPr>
          <w:lang w:val="en-US" w:eastAsia="en-AU"/>
        </w:rPr>
        <w:t>,</w:t>
      </w:r>
      <w:r>
        <w:rPr>
          <w:lang w:val="en-US" w:eastAsia="en-AU"/>
        </w:rPr>
        <w:t xml:space="preserve"> they may choose to </w:t>
      </w:r>
      <w:r>
        <w:rPr>
          <w:lang w:val="en-US" w:eastAsia="en-AU"/>
        </w:rPr>
        <w:lastRenderedPageBreak/>
        <w:t>emigrate.</w:t>
      </w:r>
      <w:r w:rsidR="009735F3">
        <w:rPr>
          <w:rStyle w:val="FootnoteReference"/>
          <w:lang w:val="en-US" w:eastAsia="en-AU"/>
        </w:rPr>
        <w:footnoteReference w:id="13"/>
      </w:r>
      <w:r>
        <w:rPr>
          <w:lang w:val="en-US" w:eastAsia="en-AU"/>
        </w:rPr>
        <w:t xml:space="preserve"> Both mechanisms could generate an association between the youth unemployment rate faced by a given group of graduates and their later </w:t>
      </w:r>
      <w:proofErr w:type="spellStart"/>
      <w:r>
        <w:rPr>
          <w:lang w:val="en-US" w:eastAsia="en-AU"/>
        </w:rPr>
        <w:t>labour</w:t>
      </w:r>
      <w:proofErr w:type="spellEnd"/>
      <w:r>
        <w:rPr>
          <w:lang w:val="en-US" w:eastAsia="en-AU"/>
        </w:rPr>
        <w:t xml:space="preserve"> market outcomes. </w:t>
      </w:r>
      <w:r w:rsidR="00AF3448">
        <w:rPr>
          <w:lang w:val="en-US" w:eastAsia="en-AU"/>
        </w:rPr>
        <w:t>In particular</w:t>
      </w:r>
      <w:r>
        <w:rPr>
          <w:lang w:val="en-US" w:eastAsia="en-AU"/>
        </w:rPr>
        <w:t>, if it is the potential high earners who are able to continue into further study or emigrate</w:t>
      </w:r>
      <w:r w:rsidR="00F67F06">
        <w:rPr>
          <w:lang w:val="en-US" w:eastAsia="en-AU"/>
        </w:rPr>
        <w:t>,</w:t>
      </w:r>
      <w:r>
        <w:rPr>
          <w:lang w:val="en-US" w:eastAsia="en-AU"/>
        </w:rPr>
        <w:t xml:space="preserve"> then this may </w:t>
      </w:r>
      <w:r w:rsidR="00F67F06">
        <w:rPr>
          <w:lang w:val="en-US" w:eastAsia="en-AU"/>
        </w:rPr>
        <w:t xml:space="preserve">lead to a compositional effect that </w:t>
      </w:r>
      <w:r>
        <w:rPr>
          <w:lang w:val="en-US" w:eastAsia="en-AU"/>
        </w:rPr>
        <w:t>drag</w:t>
      </w:r>
      <w:r w:rsidR="00F67F06">
        <w:rPr>
          <w:lang w:val="en-US" w:eastAsia="en-AU"/>
        </w:rPr>
        <w:t>s</w:t>
      </w:r>
      <w:r>
        <w:rPr>
          <w:lang w:val="en-US" w:eastAsia="en-AU"/>
        </w:rPr>
        <w:t xml:space="preserve"> down the observed outcomes of the graduation cohort in bad years.</w:t>
      </w:r>
    </w:p>
    <w:p w14:paraId="7B4E9E7F" w14:textId="77777777" w:rsidR="00432775" w:rsidRDefault="00432775" w:rsidP="0001151B">
      <w:pPr>
        <w:spacing w:after="360"/>
        <w:jc w:val="both"/>
        <w:rPr>
          <w:lang w:val="en-US" w:eastAsia="en-AU"/>
        </w:rPr>
      </w:pPr>
      <w:r>
        <w:rPr>
          <w:lang w:val="en-US" w:eastAsia="en-AU"/>
        </w:rPr>
        <w:t>In Table 2</w:t>
      </w:r>
      <w:r w:rsidR="004B7D43">
        <w:rPr>
          <w:lang w:val="en-US" w:eastAsia="en-AU"/>
        </w:rPr>
        <w:t>,</w:t>
      </w:r>
      <w:r>
        <w:rPr>
          <w:lang w:val="en-US" w:eastAsia="en-AU"/>
        </w:rPr>
        <w:t xml:space="preserve"> we examine the potential for these selection mechanisms to bias our results by testing whether the youth unemployment rate is associated with either outcome</w:t>
      </w:r>
      <w:r w:rsidR="006E4AC4">
        <w:rPr>
          <w:lang w:val="en-US" w:eastAsia="en-AU"/>
        </w:rPr>
        <w:t xml:space="preserve"> — </w:t>
      </w:r>
      <w:r>
        <w:rPr>
          <w:lang w:val="en-US" w:eastAsia="en-AU"/>
        </w:rPr>
        <w:t>further study or emigration. In particular, we re</w:t>
      </w:r>
      <w:r w:rsidR="006E4AC4">
        <w:rPr>
          <w:lang w:val="en-US" w:eastAsia="en-AU"/>
        </w:rPr>
        <w:noBreakHyphen/>
      </w:r>
      <w:r>
        <w:rPr>
          <w:lang w:val="en-US" w:eastAsia="en-AU"/>
        </w:rPr>
        <w:t>estimate the following variant of our baseline static model:</w:t>
      </w:r>
    </w:p>
    <w:p w14:paraId="122374F0" w14:textId="77777777" w:rsidR="00432775" w:rsidRPr="00581D69" w:rsidRDefault="003967B9" w:rsidP="00432775">
      <w:pPr>
        <w:jc w:val="both"/>
        <w:rPr>
          <w:rFonts w:eastAsiaTheme="minorEastAsia"/>
        </w:rPr>
      </w:pPr>
      <m:oMathPara>
        <m:oMath>
          <m:sSub>
            <m:sSubPr>
              <m:ctrlPr>
                <w:rPr>
                  <w:rFonts w:ascii="Cambria Math" w:hAnsi="Cambria Math" w:cs="Calibri"/>
                  <w:i/>
                  <w:iCs/>
                </w:rPr>
              </m:ctrlPr>
            </m:sSubPr>
            <m:e>
              <m:r>
                <w:rPr>
                  <w:rFonts w:ascii="Cambria Math" w:hAnsi="Cambria Math" w:cs="Calibri"/>
                </w:rPr>
                <m:t>y</m:t>
              </m:r>
            </m:e>
            <m:sub>
              <m:r>
                <w:rPr>
                  <w:rFonts w:ascii="Cambria Math" w:hAnsi="Cambria Math" w:cs="Calibri"/>
                </w:rPr>
                <m:t>st</m:t>
              </m:r>
            </m:sub>
          </m:sSub>
          <m:r>
            <w:rPr>
              <w:rFonts w:ascii="Cambria Math" w:hAnsi="Cambria Math" w:cs="Calibri"/>
            </w:rPr>
            <m:t>=α+</m:t>
          </m:r>
          <m:sSub>
            <m:sSubPr>
              <m:ctrlPr>
                <w:rPr>
                  <w:rFonts w:ascii="Cambria Math" w:hAnsi="Cambria Math" w:cs="Calibri"/>
                  <w:i/>
                  <w:iCs/>
                </w:rPr>
              </m:ctrlPr>
            </m:sSubPr>
            <m:e>
              <m:r>
                <w:rPr>
                  <w:rFonts w:ascii="Cambria Math" w:hAnsi="Cambria Math" w:cs="Calibri"/>
                </w:rPr>
                <m:t>β</m:t>
              </m:r>
            </m:e>
            <m:sub>
              <m:r>
                <w:rPr>
                  <w:rFonts w:ascii="Cambria Math" w:hAnsi="Cambria Math" w:cs="Calibri"/>
                </w:rPr>
                <m:t>0</m:t>
              </m:r>
            </m:sub>
          </m:sSub>
          <m:sSub>
            <m:sSubPr>
              <m:ctrlPr>
                <w:rPr>
                  <w:rFonts w:ascii="Cambria Math" w:hAnsi="Cambria Math" w:cs="Calibri"/>
                  <w:i/>
                  <w:iCs/>
                </w:rPr>
              </m:ctrlPr>
            </m:sSubPr>
            <m:e>
              <m:r>
                <w:rPr>
                  <w:rFonts w:ascii="Cambria Math" w:hAnsi="Cambria Math" w:cs="Calibri"/>
                </w:rPr>
                <m:t>UR</m:t>
              </m:r>
            </m:e>
            <m:sub>
              <m:r>
                <w:rPr>
                  <w:rFonts w:ascii="Cambria Math" w:hAnsi="Cambria Math" w:cs="Calibri"/>
                </w:rPr>
                <m:t>cs0</m:t>
              </m:r>
            </m:sub>
          </m:sSub>
          <m:r>
            <w:rPr>
              <w:rFonts w:ascii="Cambria Math" w:hAnsi="Cambria Math" w:cs="Calibri"/>
            </w:rPr>
            <m:t>+</m:t>
          </m:r>
          <m:sSub>
            <m:sSubPr>
              <m:ctrlPr>
                <w:rPr>
                  <w:rFonts w:ascii="Cambria Math" w:hAnsi="Cambria Math" w:cs="Calibri"/>
                  <w:i/>
                  <w:iCs/>
                </w:rPr>
              </m:ctrlPr>
            </m:sSubPr>
            <m:e>
              <m:r>
                <w:rPr>
                  <w:rFonts w:ascii="Cambria Math" w:hAnsi="Cambria Math" w:cs="Calibri"/>
                </w:rPr>
                <m:t>ϕ</m:t>
              </m:r>
            </m:e>
            <m:sub>
              <m:r>
                <w:rPr>
                  <w:rFonts w:ascii="Cambria Math" w:hAnsi="Cambria Math" w:cs="Calibri"/>
                </w:rPr>
                <m:t>t</m:t>
              </m:r>
            </m:sub>
          </m:sSub>
          <m:r>
            <w:rPr>
              <w:rFonts w:ascii="Cambria Math" w:hAnsi="Cambria Math" w:cs="Calibri"/>
            </w:rPr>
            <m:t>+</m:t>
          </m:r>
          <m:sSub>
            <m:sSubPr>
              <m:ctrlPr>
                <w:rPr>
                  <w:rFonts w:ascii="Cambria Math" w:hAnsi="Cambria Math" w:cs="Calibri"/>
                  <w:i/>
                  <w:iCs/>
                </w:rPr>
              </m:ctrlPr>
            </m:sSubPr>
            <m:e>
              <m:r>
                <w:rPr>
                  <w:rFonts w:ascii="Cambria Math" w:hAnsi="Cambria Math" w:cs="Calibri"/>
                </w:rPr>
                <m:t>θ</m:t>
              </m:r>
            </m:e>
            <m:sub>
              <m:r>
                <w:rPr>
                  <w:rFonts w:ascii="Cambria Math" w:hAnsi="Cambria Math" w:cs="Calibri"/>
                </w:rPr>
                <m:t>s</m:t>
              </m:r>
            </m:sub>
          </m:sSub>
          <m:r>
            <w:rPr>
              <w:rFonts w:ascii="Cambria Math" w:hAnsi="Cambria Math" w:cs="Calibri"/>
            </w:rPr>
            <m:t>+</m:t>
          </m:r>
          <m:sSub>
            <m:sSubPr>
              <m:ctrlPr>
                <w:rPr>
                  <w:rFonts w:ascii="Cambria Math" w:hAnsi="Cambria Math" w:cs="Calibri"/>
                  <w:i/>
                  <w:iCs/>
                </w:rPr>
              </m:ctrlPr>
            </m:sSubPr>
            <m:e>
              <m:r>
                <w:rPr>
                  <w:rFonts w:ascii="Cambria Math" w:hAnsi="Cambria Math" w:cs="Calibri"/>
                </w:rPr>
                <m:t>ε</m:t>
              </m:r>
            </m:e>
            <m:sub>
              <m:r>
                <w:rPr>
                  <w:rFonts w:ascii="Cambria Math" w:hAnsi="Cambria Math" w:cs="Calibri"/>
                </w:rPr>
                <m:t>st</m:t>
              </m:r>
            </m:sub>
          </m:sSub>
        </m:oMath>
      </m:oMathPara>
    </w:p>
    <w:p w14:paraId="7549C5F8" w14:textId="77777777" w:rsidR="00432775" w:rsidRDefault="00BC04CB" w:rsidP="0001151B">
      <w:pPr>
        <w:spacing w:before="120"/>
        <w:jc w:val="both"/>
        <w:rPr>
          <w:lang w:val="en-US" w:eastAsia="en-AU"/>
        </w:rPr>
      </w:pPr>
      <w:r>
        <w:rPr>
          <w:lang w:val="en-US" w:eastAsia="en-AU"/>
        </w:rPr>
        <w:t>where</w:t>
      </w:r>
      <w:r w:rsidR="00432775">
        <w:rPr>
          <w:lang w:val="en-US" w:eastAsia="en-AU"/>
        </w:rPr>
        <w:t xml:space="preserve"> the outcome variable in the given state and year </w:t>
      </w:r>
      <w:r w:rsidR="00AF3448">
        <w:rPr>
          <w:lang w:val="en-US" w:eastAsia="en-AU"/>
        </w:rPr>
        <w:t xml:space="preserve">is </w:t>
      </w:r>
      <w:r w:rsidR="00432775">
        <w:rPr>
          <w:lang w:val="en-US" w:eastAsia="en-AU"/>
        </w:rPr>
        <w:t>either the natural logarithm of postgraduate enrolments</w:t>
      </w:r>
      <w:r>
        <w:rPr>
          <w:lang w:val="en-US" w:eastAsia="en-AU"/>
        </w:rPr>
        <w:t>,</w:t>
      </w:r>
      <w:r w:rsidR="00432775">
        <w:rPr>
          <w:lang w:val="en-US" w:eastAsia="en-AU"/>
        </w:rPr>
        <w:t xml:space="preserve"> or the natural logarithm of the youth departures component of net overseas migration.</w:t>
      </w:r>
      <w:r w:rsidR="00432775">
        <w:rPr>
          <w:rStyle w:val="FootnoteReference"/>
          <w:lang w:val="en-US" w:eastAsia="en-AU"/>
        </w:rPr>
        <w:footnoteReference w:id="14"/>
      </w:r>
      <w:r w:rsidR="00432775" w:rsidRPr="00C314F4">
        <w:rPr>
          <w:vertAlign w:val="superscript"/>
          <w:lang w:val="en-US" w:eastAsia="en-AU"/>
        </w:rPr>
        <w:t>,</w:t>
      </w:r>
      <w:r w:rsidR="00432775">
        <w:rPr>
          <w:rStyle w:val="FootnoteReference"/>
          <w:lang w:val="en-US" w:eastAsia="en-AU"/>
        </w:rPr>
        <w:footnoteReference w:id="15"/>
      </w:r>
      <w:r w:rsidR="00432775">
        <w:rPr>
          <w:lang w:val="en-US" w:eastAsia="en-AU"/>
        </w:rPr>
        <w:t xml:space="preserve"> In both cases</w:t>
      </w:r>
      <w:r w:rsidR="00DE74F4">
        <w:rPr>
          <w:lang w:val="en-US" w:eastAsia="en-AU"/>
        </w:rPr>
        <w:t>,</w:t>
      </w:r>
      <w:r w:rsidR="00432775">
        <w:rPr>
          <w:lang w:val="en-US" w:eastAsia="en-AU"/>
        </w:rPr>
        <w:t xml:space="preserve"> the coefficient can be interpreted as a semi</w:t>
      </w:r>
      <w:r w:rsidR="006E4AC4">
        <w:rPr>
          <w:lang w:val="en-US" w:eastAsia="en-AU"/>
        </w:rPr>
        <w:noBreakHyphen/>
      </w:r>
      <w:r w:rsidR="00432775">
        <w:rPr>
          <w:lang w:val="en-US" w:eastAsia="en-AU"/>
        </w:rPr>
        <w:t>elasticity</w:t>
      </w:r>
      <w:r w:rsidR="006E4AC4">
        <w:rPr>
          <w:lang w:val="en-US" w:eastAsia="en-AU"/>
        </w:rPr>
        <w:t xml:space="preserve"> — </w:t>
      </w:r>
      <w:r w:rsidR="00432775">
        <w:rPr>
          <w:lang w:val="en-US" w:eastAsia="en-AU"/>
        </w:rPr>
        <w:t xml:space="preserve">the per cent response in the outcome variable to a one percentage point increase in the youth unemployment rate. </w:t>
      </w:r>
      <w:r w:rsidR="00560D0E">
        <w:rPr>
          <w:lang w:val="en-US" w:eastAsia="en-AU"/>
        </w:rPr>
        <w:t>To run a national variant of this model</w:t>
      </w:r>
      <w:r w:rsidR="00DE74F4">
        <w:rPr>
          <w:lang w:val="en-US" w:eastAsia="en-AU"/>
        </w:rPr>
        <w:t>,</w:t>
      </w:r>
      <w:r w:rsidR="00560D0E">
        <w:rPr>
          <w:lang w:val="en-US" w:eastAsia="en-AU"/>
        </w:rPr>
        <w:t xml:space="preserve"> we use the national youth unemployment rate</w:t>
      </w:r>
      <w:r w:rsidR="006229C6">
        <w:rPr>
          <w:lang w:val="en-US" w:eastAsia="en-AU"/>
        </w:rPr>
        <w:t xml:space="preserve"> and collapse the data to a national time series. As a result, we also drop the state and year fixed effects, but allow for a quadratic time trend.</w:t>
      </w:r>
    </w:p>
    <w:p w14:paraId="2A3CB06F" w14:textId="77777777" w:rsidR="00D54F70" w:rsidRDefault="00432775" w:rsidP="0001151B">
      <w:pPr>
        <w:spacing w:after="360"/>
        <w:jc w:val="both"/>
      </w:pPr>
      <w:r>
        <w:rPr>
          <w:lang w:val="en-US" w:eastAsia="en-AU"/>
        </w:rPr>
        <w:t>For the regional model</w:t>
      </w:r>
      <w:r w:rsidR="006E4AC4">
        <w:rPr>
          <w:lang w:val="en-US" w:eastAsia="en-AU"/>
        </w:rPr>
        <w:t xml:space="preserve"> — </w:t>
      </w:r>
      <w:r>
        <w:rPr>
          <w:lang w:val="en-US" w:eastAsia="en-AU"/>
        </w:rPr>
        <w:t xml:space="preserve">drawing on </w:t>
      </w:r>
      <w:r w:rsidR="00560D0E">
        <w:rPr>
          <w:lang w:val="en-US" w:eastAsia="en-AU"/>
        </w:rPr>
        <w:t>idiosyncratic</w:t>
      </w:r>
      <w:r>
        <w:rPr>
          <w:lang w:val="en-US" w:eastAsia="en-AU"/>
        </w:rPr>
        <w:t xml:space="preserve"> movements in state unemployment rates</w:t>
      </w:r>
      <w:r w:rsidR="006E4AC4">
        <w:rPr>
          <w:lang w:val="en-US" w:eastAsia="en-AU"/>
        </w:rPr>
        <w:t xml:space="preserve"> — </w:t>
      </w:r>
      <w:r>
        <w:rPr>
          <w:lang w:val="en-US" w:eastAsia="en-AU"/>
        </w:rPr>
        <w:t>there is no indication that either enrolments in postgraduate study or departures respond to the youth unemployment rate. In both cases</w:t>
      </w:r>
      <w:r w:rsidR="00DE74F4">
        <w:rPr>
          <w:lang w:val="en-US" w:eastAsia="en-AU"/>
        </w:rPr>
        <w:t>,</w:t>
      </w:r>
      <w:r>
        <w:rPr>
          <w:lang w:val="en-US" w:eastAsia="en-AU"/>
        </w:rPr>
        <w:t xml:space="preserve"> the coefficient is of the </w:t>
      </w:r>
      <w:r w:rsidR="006E4AC4">
        <w:rPr>
          <w:lang w:val="en-US" w:eastAsia="en-AU"/>
        </w:rPr>
        <w:t>‘</w:t>
      </w:r>
      <w:r>
        <w:rPr>
          <w:lang w:val="en-US" w:eastAsia="en-AU"/>
        </w:rPr>
        <w:t>wrong</w:t>
      </w:r>
      <w:r w:rsidR="006E4AC4">
        <w:rPr>
          <w:lang w:val="en-US" w:eastAsia="en-AU"/>
        </w:rPr>
        <w:t>’</w:t>
      </w:r>
      <w:r>
        <w:rPr>
          <w:lang w:val="en-US" w:eastAsia="en-AU"/>
        </w:rPr>
        <w:t xml:space="preserve"> sign and not statistically different from zero. In the national model</w:t>
      </w:r>
      <w:r w:rsidR="00DE74F4">
        <w:rPr>
          <w:lang w:val="en-US" w:eastAsia="en-AU"/>
        </w:rPr>
        <w:t>,</w:t>
      </w:r>
      <w:r>
        <w:rPr>
          <w:lang w:val="en-US" w:eastAsia="en-AU"/>
        </w:rPr>
        <w:t xml:space="preserve"> this is no longer the case</w:t>
      </w:r>
      <w:r w:rsidR="006E4AC4">
        <w:rPr>
          <w:lang w:val="en-US" w:eastAsia="en-AU"/>
        </w:rPr>
        <w:t xml:space="preserve"> — </w:t>
      </w:r>
      <w:r>
        <w:rPr>
          <w:lang w:val="en-US" w:eastAsia="en-AU"/>
        </w:rPr>
        <w:t xml:space="preserve">a higher youth unemployment rate is associated with </w:t>
      </w:r>
      <w:r w:rsidR="006A18FC">
        <w:rPr>
          <w:lang w:val="en-US" w:eastAsia="en-AU"/>
        </w:rPr>
        <w:t>a modest increase in</w:t>
      </w:r>
      <w:r>
        <w:rPr>
          <w:lang w:val="en-US" w:eastAsia="en-AU"/>
        </w:rPr>
        <w:t xml:space="preserve"> enrolments in postgraduate study and departures. </w:t>
      </w:r>
      <w:r w:rsidR="001D6D50">
        <w:rPr>
          <w:lang w:val="en-US" w:eastAsia="en-AU"/>
        </w:rPr>
        <w:t>However, given the modest effect and low base rates of postgraduate enrolment and departures</w:t>
      </w:r>
      <w:r w:rsidR="00B41260">
        <w:rPr>
          <w:lang w:val="en-US" w:eastAsia="en-AU"/>
        </w:rPr>
        <w:t>,</w:t>
      </w:r>
      <w:r w:rsidR="001D6D50">
        <w:rPr>
          <w:lang w:val="en-US" w:eastAsia="en-AU"/>
        </w:rPr>
        <w:t xml:space="preserve"> the bias introduced by these mechanisms is almost certainly negligible.</w:t>
      </w:r>
      <w:r w:rsidR="001D6D50">
        <w:rPr>
          <w:rStyle w:val="FootnoteReference"/>
          <w:lang w:val="en-US" w:eastAsia="en-AU"/>
        </w:rPr>
        <w:footnoteReference w:id="16"/>
      </w:r>
      <w:r w:rsidR="001D6D50">
        <w:rPr>
          <w:lang w:val="en-US" w:eastAsia="en-AU"/>
        </w:rPr>
        <w:t xml:space="preserve"> </w:t>
      </w:r>
    </w:p>
    <w:p w14:paraId="7549572E" w14:textId="77777777" w:rsidR="00CB7247" w:rsidRDefault="00432775" w:rsidP="00BD4C27">
      <w:pPr>
        <w:pStyle w:val="TableHeading1"/>
        <w:spacing w:after="120"/>
      </w:pPr>
      <w:r>
        <w:lastRenderedPageBreak/>
        <w:t xml:space="preserve">Table 2: Effect of a 1 percentage point increase in the </w:t>
      </w:r>
      <w:r w:rsidRPr="002A6D35">
        <w:t>youth</w:t>
      </w:r>
      <w:r>
        <w:t xml:space="preserve"> unemployment rate on postgr</w:t>
      </w:r>
      <w:r w:rsidR="00CB7247">
        <w:t>aduate enrolments and emigration</w:t>
      </w:r>
    </w:p>
    <w:p w14:paraId="19A27D25" w14:textId="77777777" w:rsidR="00432775" w:rsidRPr="00281FC1" w:rsidRDefault="00D54F70" w:rsidP="002A6D35">
      <w:pPr>
        <w:pStyle w:val="Tablegraphic0"/>
        <w:rPr>
          <w:rFonts w:ascii="Calibri" w:hAnsi="Calibri" w:cs="Calibri"/>
          <w:sz w:val="22"/>
        </w:rPr>
      </w:pPr>
      <w:bookmarkStart w:id="3" w:name="_1644142953"/>
      <w:bookmarkStart w:id="4" w:name="_1644146562"/>
      <w:bookmarkStart w:id="5" w:name="_1644148576"/>
      <w:bookmarkEnd w:id="3"/>
      <w:bookmarkEnd w:id="4"/>
      <w:bookmarkEnd w:id="5"/>
      <w:r w:rsidRPr="00D54F70">
        <w:rPr>
          <w:noProof/>
          <w:lang w:eastAsia="en-AU"/>
        </w:rPr>
        <w:drawing>
          <wp:inline distT="0" distB="0" distL="0" distR="0" wp14:anchorId="502C31B6" wp14:editId="4A7C048F">
            <wp:extent cx="4533900" cy="16478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33900" cy="1647825"/>
                    </a:xfrm>
                    <a:prstGeom prst="rect">
                      <a:avLst/>
                    </a:prstGeom>
                    <a:noFill/>
                    <a:ln>
                      <a:noFill/>
                    </a:ln>
                  </pic:spPr>
                </pic:pic>
              </a:graphicData>
            </a:graphic>
          </wp:inline>
        </w:drawing>
      </w:r>
    </w:p>
    <w:p w14:paraId="09A7AA9E" w14:textId="77777777" w:rsidR="00540646" w:rsidRPr="00F0076F" w:rsidRDefault="00432775" w:rsidP="00330C32">
      <w:pPr>
        <w:pStyle w:val="Chartnote"/>
        <w:jc w:val="both"/>
        <w:rPr>
          <w:rFonts w:cs="Calibri"/>
        </w:rPr>
      </w:pPr>
      <w:r>
        <w:t xml:space="preserve">Note:  Shows </w:t>
      </w:r>
      <w:r w:rsidR="00540646">
        <w:t>the coefficients on youth unemployment rate at graduation. Based on a regression of either the natural logarithm of postgraduate enrolments or of the youth departures component of net overseas migration on the youth unemployment rate in the given state and year</w:t>
      </w:r>
      <w:r w:rsidR="00C940F3">
        <w:t>,</w:t>
      </w:r>
      <w:r w:rsidR="00540646">
        <w:t xml:space="preserve"> and year and state fixed effects (Regional model, columns (1) and (3))</w:t>
      </w:r>
      <w:r w:rsidR="00C940F3">
        <w:t xml:space="preserve">; or at a national level on the youth unemployment rate in the given year and a quadratic in year. </w:t>
      </w:r>
      <w:r w:rsidR="00540646">
        <w:t>Standard errors</w:t>
      </w:r>
      <w:r w:rsidR="00C940F3">
        <w:t xml:space="preserve"> </w:t>
      </w:r>
      <w:r w:rsidR="00540646">
        <w:t>are presented in brackets. *</w:t>
      </w:r>
      <w:proofErr w:type="gramStart"/>
      <w:r w:rsidR="00540646">
        <w:t>,*</w:t>
      </w:r>
      <w:proofErr w:type="gramEnd"/>
      <w:r w:rsidR="00540646">
        <w:t>*,*** indicate statistical significance at the 10, 5 and 1 per cent level, respectively.</w:t>
      </w:r>
    </w:p>
    <w:p w14:paraId="00492F64" w14:textId="77777777" w:rsidR="00C56F51" w:rsidRDefault="00C56F51" w:rsidP="00BC0C93">
      <w:pPr>
        <w:pStyle w:val="Heading3"/>
      </w:pPr>
      <w:r>
        <w:t>Heterogeneity</w:t>
      </w:r>
    </w:p>
    <w:p w14:paraId="12ABC774" w14:textId="77777777" w:rsidR="00C56F51" w:rsidRDefault="00C56F51" w:rsidP="003D4D17">
      <w:pPr>
        <w:jc w:val="both"/>
        <w:rPr>
          <w:lang w:val="en-US" w:eastAsia="en-AU"/>
        </w:rPr>
      </w:pPr>
      <w:r>
        <w:rPr>
          <w:lang w:val="en-US" w:eastAsia="en-AU"/>
        </w:rPr>
        <w:t xml:space="preserve">An emerging theme from the international literature is that not all graduates experience </w:t>
      </w:r>
      <w:proofErr w:type="spellStart"/>
      <w:r>
        <w:rPr>
          <w:lang w:val="en-US" w:eastAsia="en-AU"/>
        </w:rPr>
        <w:t>labour</w:t>
      </w:r>
      <w:proofErr w:type="spellEnd"/>
      <w:r>
        <w:rPr>
          <w:lang w:val="en-US" w:eastAsia="en-AU"/>
        </w:rPr>
        <w:t xml:space="preserve"> market scarring to the same extent.</w:t>
      </w:r>
      <w:r w:rsidR="004718F8">
        <w:rPr>
          <w:lang w:val="en-US" w:eastAsia="en-AU"/>
        </w:rPr>
        <w:t xml:space="preserve"> </w:t>
      </w:r>
      <w:proofErr w:type="spellStart"/>
      <w:r w:rsidR="00945F5A">
        <w:rPr>
          <w:lang w:val="en-US" w:eastAsia="en-AU"/>
        </w:rPr>
        <w:t>Oreopolous</w:t>
      </w:r>
      <w:proofErr w:type="spellEnd"/>
      <w:r w:rsidR="00A965AF">
        <w:rPr>
          <w:lang w:val="en-US" w:eastAsia="en-AU"/>
        </w:rPr>
        <w:t xml:space="preserve"> et al (2012)</w:t>
      </w:r>
      <w:r w:rsidR="00945F5A">
        <w:rPr>
          <w:lang w:val="en-US" w:eastAsia="en-AU"/>
        </w:rPr>
        <w:t xml:space="preserve"> </w:t>
      </w:r>
      <w:r w:rsidR="007860C4">
        <w:rPr>
          <w:lang w:val="en-US" w:eastAsia="en-AU"/>
        </w:rPr>
        <w:t>show</w:t>
      </w:r>
      <w:r w:rsidR="00945F5A">
        <w:rPr>
          <w:lang w:val="en-US" w:eastAsia="en-AU"/>
        </w:rPr>
        <w:t xml:space="preserve"> that </w:t>
      </w:r>
      <w:r w:rsidR="003D4D17">
        <w:rPr>
          <w:lang w:val="en-US" w:eastAsia="en-AU"/>
        </w:rPr>
        <w:t xml:space="preserve">more advantaged </w:t>
      </w:r>
      <w:r w:rsidR="00945F5A">
        <w:rPr>
          <w:lang w:val="en-US" w:eastAsia="en-AU"/>
        </w:rPr>
        <w:t>graduates</w:t>
      </w:r>
      <w:r w:rsidR="006E4AC4">
        <w:rPr>
          <w:lang w:val="en-US" w:eastAsia="en-AU"/>
        </w:rPr>
        <w:t xml:space="preserve"> — </w:t>
      </w:r>
      <w:r w:rsidR="003D4D17">
        <w:rPr>
          <w:lang w:val="en-US" w:eastAsia="en-AU"/>
        </w:rPr>
        <w:t>those predicted to have higher earnings based on their university and program of study</w:t>
      </w:r>
      <w:r w:rsidR="006E4AC4">
        <w:rPr>
          <w:lang w:val="en-US" w:eastAsia="en-AU"/>
        </w:rPr>
        <w:t xml:space="preserve"> — </w:t>
      </w:r>
      <w:r w:rsidR="00B6656B">
        <w:rPr>
          <w:lang w:val="en-US" w:eastAsia="en-AU"/>
        </w:rPr>
        <w:t>initially</w:t>
      </w:r>
      <w:r w:rsidR="00945F5A">
        <w:rPr>
          <w:lang w:val="en-US" w:eastAsia="en-AU"/>
        </w:rPr>
        <w:t xml:space="preserve"> </w:t>
      </w:r>
      <w:r w:rsidR="0067211C">
        <w:rPr>
          <w:lang w:val="en-US" w:eastAsia="en-AU"/>
        </w:rPr>
        <w:t xml:space="preserve">suffer less from graduating into a weak </w:t>
      </w:r>
      <w:proofErr w:type="spellStart"/>
      <w:r w:rsidR="0067211C">
        <w:rPr>
          <w:lang w:val="en-US" w:eastAsia="en-AU"/>
        </w:rPr>
        <w:t>labour</w:t>
      </w:r>
      <w:proofErr w:type="spellEnd"/>
      <w:r w:rsidR="0067211C">
        <w:rPr>
          <w:lang w:val="en-US" w:eastAsia="en-AU"/>
        </w:rPr>
        <w:t xml:space="preserve"> market,</w:t>
      </w:r>
      <w:r w:rsidR="00945F5A">
        <w:rPr>
          <w:lang w:val="en-US" w:eastAsia="en-AU"/>
        </w:rPr>
        <w:t xml:space="preserve"> and </w:t>
      </w:r>
      <w:r w:rsidR="0067211C">
        <w:rPr>
          <w:lang w:val="en-US" w:eastAsia="en-AU"/>
        </w:rPr>
        <w:t>also recover</w:t>
      </w:r>
      <w:r w:rsidR="00945F5A">
        <w:rPr>
          <w:lang w:val="en-US" w:eastAsia="en-AU"/>
        </w:rPr>
        <w:t xml:space="preserve"> more </w:t>
      </w:r>
      <w:r w:rsidR="0067211C">
        <w:rPr>
          <w:lang w:val="en-US" w:eastAsia="en-AU"/>
        </w:rPr>
        <w:t>quickly by moving to better firms</w:t>
      </w:r>
      <w:r w:rsidR="00945F5A">
        <w:rPr>
          <w:lang w:val="en-US" w:eastAsia="en-AU"/>
        </w:rPr>
        <w:t>. S</w:t>
      </w:r>
      <w:r w:rsidR="00EC766D">
        <w:rPr>
          <w:lang w:val="en-US" w:eastAsia="en-AU"/>
        </w:rPr>
        <w:t xml:space="preserve">imilarly, </w:t>
      </w:r>
      <w:proofErr w:type="spellStart"/>
      <w:r w:rsidR="00EC766D">
        <w:rPr>
          <w:lang w:val="en-US" w:eastAsia="en-AU"/>
        </w:rPr>
        <w:t>Altonji</w:t>
      </w:r>
      <w:proofErr w:type="spellEnd"/>
      <w:r w:rsidR="00EC766D">
        <w:rPr>
          <w:lang w:val="en-US" w:eastAsia="en-AU"/>
        </w:rPr>
        <w:t xml:space="preserve"> et al (201</w:t>
      </w:r>
      <w:r w:rsidR="006E1E79">
        <w:rPr>
          <w:lang w:val="en-US" w:eastAsia="en-AU"/>
        </w:rPr>
        <w:t>6</w:t>
      </w:r>
      <w:r w:rsidR="00EC766D">
        <w:rPr>
          <w:lang w:val="en-US" w:eastAsia="en-AU"/>
        </w:rPr>
        <w:t xml:space="preserve">) </w:t>
      </w:r>
      <w:r w:rsidR="00945F5A">
        <w:rPr>
          <w:lang w:val="en-US" w:eastAsia="en-AU"/>
        </w:rPr>
        <w:t xml:space="preserve">find that </w:t>
      </w:r>
      <w:r w:rsidR="00B22D92">
        <w:rPr>
          <w:lang w:val="en-US" w:eastAsia="en-AU"/>
        </w:rPr>
        <w:t>graduates</w:t>
      </w:r>
      <w:r w:rsidR="00945F5A">
        <w:rPr>
          <w:lang w:val="en-US" w:eastAsia="en-AU"/>
        </w:rPr>
        <w:t xml:space="preserve"> in majors that typically have higher wages are less </w:t>
      </w:r>
      <w:r w:rsidR="0067211C">
        <w:rPr>
          <w:lang w:val="en-US" w:eastAsia="en-AU"/>
        </w:rPr>
        <w:t xml:space="preserve">sensitive to </w:t>
      </w:r>
      <w:proofErr w:type="spellStart"/>
      <w:r w:rsidR="0067211C">
        <w:rPr>
          <w:lang w:val="en-US" w:eastAsia="en-AU"/>
        </w:rPr>
        <w:t>labour</w:t>
      </w:r>
      <w:proofErr w:type="spellEnd"/>
      <w:r w:rsidR="0067211C">
        <w:rPr>
          <w:lang w:val="en-US" w:eastAsia="en-AU"/>
        </w:rPr>
        <w:t xml:space="preserve"> market conditions at graduation.</w:t>
      </w:r>
    </w:p>
    <w:p w14:paraId="630F627D" w14:textId="77777777" w:rsidR="008841AF" w:rsidRDefault="00C56F51" w:rsidP="008F185F">
      <w:pPr>
        <w:jc w:val="both"/>
        <w:rPr>
          <w:lang w:val="en-US" w:eastAsia="en-AU"/>
        </w:rPr>
      </w:pPr>
      <w:r>
        <w:rPr>
          <w:lang w:val="en-US" w:eastAsia="en-AU"/>
        </w:rPr>
        <w:t xml:space="preserve">In Figure </w:t>
      </w:r>
      <w:r w:rsidR="00CB08CE">
        <w:rPr>
          <w:lang w:val="en-US" w:eastAsia="en-AU"/>
        </w:rPr>
        <w:t>7</w:t>
      </w:r>
      <w:r w:rsidR="007E0EF8">
        <w:rPr>
          <w:lang w:val="en-US" w:eastAsia="en-AU"/>
        </w:rPr>
        <w:t xml:space="preserve"> and Appendix D</w:t>
      </w:r>
      <w:r w:rsidR="00C52A6A">
        <w:rPr>
          <w:lang w:val="en-US" w:eastAsia="en-AU"/>
        </w:rPr>
        <w:t xml:space="preserve"> (Table D1)</w:t>
      </w:r>
      <w:r w:rsidR="007E0EF8">
        <w:rPr>
          <w:lang w:val="en-US" w:eastAsia="en-AU"/>
        </w:rPr>
        <w:t>,</w:t>
      </w:r>
      <w:r>
        <w:rPr>
          <w:lang w:val="en-US" w:eastAsia="en-AU"/>
        </w:rPr>
        <w:t xml:space="preserve"> we explore heterogeneity in </w:t>
      </w:r>
      <w:proofErr w:type="spellStart"/>
      <w:r>
        <w:rPr>
          <w:lang w:val="en-US" w:eastAsia="en-AU"/>
        </w:rPr>
        <w:t>labour</w:t>
      </w:r>
      <w:proofErr w:type="spellEnd"/>
      <w:r>
        <w:rPr>
          <w:lang w:val="en-US" w:eastAsia="en-AU"/>
        </w:rPr>
        <w:t xml:space="preserve"> market scarring</w:t>
      </w:r>
      <w:r w:rsidR="0067211C">
        <w:rPr>
          <w:lang w:val="en-US" w:eastAsia="en-AU"/>
        </w:rPr>
        <w:t xml:space="preserve"> in the Australian context</w:t>
      </w:r>
      <w:r>
        <w:rPr>
          <w:lang w:val="en-US" w:eastAsia="en-AU"/>
        </w:rPr>
        <w:t>.</w:t>
      </w:r>
      <w:r w:rsidR="004718F8">
        <w:rPr>
          <w:lang w:val="en-US" w:eastAsia="en-AU"/>
        </w:rPr>
        <w:t xml:space="preserve"> </w:t>
      </w:r>
      <w:r w:rsidR="008841AF">
        <w:rPr>
          <w:lang w:val="en-US" w:eastAsia="en-AU"/>
        </w:rPr>
        <w:t>T</w:t>
      </w:r>
      <w:r w:rsidR="004718F8">
        <w:rPr>
          <w:lang w:val="en-US" w:eastAsia="en-AU"/>
        </w:rPr>
        <w:t>hose graduating</w:t>
      </w:r>
      <w:r w:rsidR="008841AF">
        <w:rPr>
          <w:lang w:val="en-US" w:eastAsia="en-AU"/>
        </w:rPr>
        <w:t xml:space="preserve"> </w:t>
      </w:r>
      <w:r w:rsidR="004718F8">
        <w:rPr>
          <w:lang w:val="en-US" w:eastAsia="en-AU"/>
        </w:rPr>
        <w:t>with a</w:t>
      </w:r>
      <w:r w:rsidR="008841AF">
        <w:rPr>
          <w:lang w:val="en-US" w:eastAsia="en-AU"/>
        </w:rPr>
        <w:t xml:space="preserve">n </w:t>
      </w:r>
      <w:proofErr w:type="spellStart"/>
      <w:r w:rsidR="008841AF">
        <w:rPr>
          <w:lang w:val="en-US" w:eastAsia="en-AU"/>
        </w:rPr>
        <w:t>honours</w:t>
      </w:r>
      <w:proofErr w:type="spellEnd"/>
      <w:r w:rsidR="008841AF">
        <w:rPr>
          <w:lang w:val="en-US" w:eastAsia="en-AU"/>
        </w:rPr>
        <w:t xml:space="preserve"> degree or higher</w:t>
      </w:r>
      <w:r w:rsidR="00173381">
        <w:rPr>
          <w:lang w:val="en-US" w:eastAsia="en-AU"/>
        </w:rPr>
        <w:t xml:space="preserve"> </w:t>
      </w:r>
      <w:r w:rsidR="009B492F">
        <w:rPr>
          <w:lang w:val="en-US" w:eastAsia="en-AU"/>
        </w:rPr>
        <w:t>(Panel A)</w:t>
      </w:r>
      <w:r w:rsidR="00173381">
        <w:rPr>
          <w:lang w:val="en-US" w:eastAsia="en-AU"/>
        </w:rPr>
        <w:t xml:space="preserve"> </w:t>
      </w:r>
      <w:r w:rsidR="009B492F">
        <w:rPr>
          <w:lang w:val="en-US" w:eastAsia="en-AU"/>
        </w:rPr>
        <w:t xml:space="preserve">or from Group of Eight universities (Panel B) </w:t>
      </w:r>
      <w:r w:rsidR="00173381">
        <w:rPr>
          <w:lang w:val="en-US" w:eastAsia="en-AU"/>
        </w:rPr>
        <w:t>appear</w:t>
      </w:r>
      <w:r w:rsidR="008841AF">
        <w:rPr>
          <w:lang w:val="en-US" w:eastAsia="en-AU"/>
        </w:rPr>
        <w:t xml:space="preserve"> less sensitive to </w:t>
      </w:r>
      <w:proofErr w:type="spellStart"/>
      <w:r w:rsidR="008841AF">
        <w:rPr>
          <w:lang w:val="en-US" w:eastAsia="en-AU"/>
        </w:rPr>
        <w:t>labour</w:t>
      </w:r>
      <w:proofErr w:type="spellEnd"/>
      <w:r w:rsidR="008841AF">
        <w:rPr>
          <w:lang w:val="en-US" w:eastAsia="en-AU"/>
        </w:rPr>
        <w:t xml:space="preserve"> market conditions at entry</w:t>
      </w:r>
      <w:r w:rsidR="006E4AC4">
        <w:rPr>
          <w:lang w:val="en-US" w:eastAsia="en-AU"/>
        </w:rPr>
        <w:t xml:space="preserve"> — </w:t>
      </w:r>
      <w:r w:rsidR="004718F8">
        <w:rPr>
          <w:lang w:val="en-US" w:eastAsia="en-AU"/>
        </w:rPr>
        <w:t xml:space="preserve">the earnings </w:t>
      </w:r>
      <w:r w:rsidR="0067211C">
        <w:rPr>
          <w:lang w:val="en-US" w:eastAsia="en-AU"/>
        </w:rPr>
        <w:t>effect</w:t>
      </w:r>
      <w:r w:rsidR="004718F8">
        <w:rPr>
          <w:lang w:val="en-US" w:eastAsia="en-AU"/>
        </w:rPr>
        <w:t xml:space="preserve"> is </w:t>
      </w:r>
      <w:r w:rsidR="008841AF">
        <w:rPr>
          <w:lang w:val="en-US" w:eastAsia="en-AU"/>
        </w:rPr>
        <w:t>smaller</w:t>
      </w:r>
      <w:r w:rsidR="004718F8">
        <w:rPr>
          <w:lang w:val="en-US" w:eastAsia="en-AU"/>
        </w:rPr>
        <w:t xml:space="preserve"> and </w:t>
      </w:r>
      <w:r w:rsidR="008841AF">
        <w:rPr>
          <w:lang w:val="en-US" w:eastAsia="en-AU"/>
        </w:rPr>
        <w:t>less</w:t>
      </w:r>
      <w:r w:rsidR="004718F8">
        <w:rPr>
          <w:lang w:val="en-US" w:eastAsia="en-AU"/>
        </w:rPr>
        <w:t xml:space="preserve"> persistent.</w:t>
      </w:r>
      <w:r w:rsidR="008841AF">
        <w:rPr>
          <w:lang w:val="en-US" w:eastAsia="en-AU"/>
        </w:rPr>
        <w:t xml:space="preserve"> This </w:t>
      </w:r>
      <w:r w:rsidR="009B492F">
        <w:rPr>
          <w:lang w:val="en-US" w:eastAsia="en-AU"/>
        </w:rPr>
        <w:t>pattern of results suggests</w:t>
      </w:r>
      <w:r w:rsidR="007738A9">
        <w:rPr>
          <w:lang w:val="en-US" w:eastAsia="en-AU"/>
        </w:rPr>
        <w:t xml:space="preserve"> these more </w:t>
      </w:r>
      <w:r w:rsidR="009B492F">
        <w:rPr>
          <w:lang w:val="en-US" w:eastAsia="en-AU"/>
        </w:rPr>
        <w:t>advantaged graduates are better</w:t>
      </w:r>
      <w:r w:rsidR="007738A9">
        <w:rPr>
          <w:lang w:val="en-US" w:eastAsia="en-AU"/>
        </w:rPr>
        <w:t xml:space="preserve"> able to avoid poor initial matches, </w:t>
      </w:r>
      <w:r w:rsidR="009B492F">
        <w:rPr>
          <w:lang w:val="en-US" w:eastAsia="en-AU"/>
        </w:rPr>
        <w:t>and</w:t>
      </w:r>
      <w:r w:rsidR="007738A9">
        <w:rPr>
          <w:lang w:val="en-US" w:eastAsia="en-AU"/>
        </w:rPr>
        <w:t xml:space="preserve"> recover from them more quickly</w:t>
      </w:r>
      <w:r w:rsidR="006E4AC4">
        <w:rPr>
          <w:lang w:val="en-US" w:eastAsia="en-AU"/>
        </w:rPr>
        <w:t xml:space="preserve"> — </w:t>
      </w:r>
      <w:r w:rsidR="009B492F">
        <w:rPr>
          <w:lang w:val="en-US" w:eastAsia="en-AU"/>
        </w:rPr>
        <w:t>consistent with the international literature discussed above.</w:t>
      </w:r>
      <w:r w:rsidR="007738A9">
        <w:rPr>
          <w:lang w:val="en-US" w:eastAsia="en-AU"/>
        </w:rPr>
        <w:t xml:space="preserve"> </w:t>
      </w:r>
      <w:r w:rsidR="00173381">
        <w:rPr>
          <w:lang w:val="en-US" w:eastAsia="en-AU"/>
        </w:rPr>
        <w:t>Similarly</w:t>
      </w:r>
      <w:r w:rsidR="00883972">
        <w:rPr>
          <w:lang w:val="en-US" w:eastAsia="en-AU"/>
        </w:rPr>
        <w:t>,</w:t>
      </w:r>
      <w:r w:rsidR="00173381">
        <w:rPr>
          <w:lang w:val="en-US" w:eastAsia="en-AU"/>
        </w:rPr>
        <w:t xml:space="preserve"> older graduates</w:t>
      </w:r>
      <w:r w:rsidR="006E4AC4">
        <w:rPr>
          <w:lang w:val="en-US" w:eastAsia="en-AU"/>
        </w:rPr>
        <w:t xml:space="preserve"> — </w:t>
      </w:r>
      <w:r w:rsidR="00173381">
        <w:rPr>
          <w:lang w:val="en-US" w:eastAsia="en-AU"/>
        </w:rPr>
        <w:t xml:space="preserve">who may already have a foothold in the </w:t>
      </w:r>
      <w:proofErr w:type="spellStart"/>
      <w:r w:rsidR="00173381">
        <w:rPr>
          <w:lang w:val="en-US" w:eastAsia="en-AU"/>
        </w:rPr>
        <w:t>labour</w:t>
      </w:r>
      <w:proofErr w:type="spellEnd"/>
      <w:r w:rsidR="00173381">
        <w:rPr>
          <w:lang w:val="en-US" w:eastAsia="en-AU"/>
        </w:rPr>
        <w:t xml:space="preserve"> market</w:t>
      </w:r>
      <w:r w:rsidR="006E4AC4">
        <w:rPr>
          <w:lang w:val="en-US" w:eastAsia="en-AU"/>
        </w:rPr>
        <w:t xml:space="preserve"> — </w:t>
      </w:r>
      <w:r w:rsidR="00173381">
        <w:rPr>
          <w:lang w:val="en-US" w:eastAsia="en-AU"/>
        </w:rPr>
        <w:t>experience a much smaller shock</w:t>
      </w:r>
      <w:r w:rsidR="009B492F">
        <w:rPr>
          <w:lang w:val="en-US" w:eastAsia="en-AU"/>
        </w:rPr>
        <w:t xml:space="preserve"> (Panel C)</w:t>
      </w:r>
      <w:r w:rsidR="00173381">
        <w:rPr>
          <w:lang w:val="en-US" w:eastAsia="en-AU"/>
        </w:rPr>
        <w:t>.</w:t>
      </w:r>
    </w:p>
    <w:p w14:paraId="60424A34" w14:textId="77777777" w:rsidR="004718F8" w:rsidRDefault="00173381" w:rsidP="008F185F">
      <w:pPr>
        <w:jc w:val="both"/>
        <w:rPr>
          <w:lang w:val="en-US" w:eastAsia="en-AU"/>
        </w:rPr>
      </w:pPr>
      <w:r>
        <w:rPr>
          <w:lang w:val="en-US" w:eastAsia="en-AU"/>
        </w:rPr>
        <w:t xml:space="preserve">Finally, female graduates experience more persistent </w:t>
      </w:r>
      <w:proofErr w:type="spellStart"/>
      <w:r>
        <w:rPr>
          <w:lang w:val="en-US" w:eastAsia="en-AU"/>
        </w:rPr>
        <w:t>labour</w:t>
      </w:r>
      <w:proofErr w:type="spellEnd"/>
      <w:r>
        <w:rPr>
          <w:lang w:val="en-US" w:eastAsia="en-AU"/>
        </w:rPr>
        <w:t xml:space="preserve"> market scarring</w:t>
      </w:r>
      <w:r w:rsidR="009B492F">
        <w:rPr>
          <w:lang w:val="en-US" w:eastAsia="en-AU"/>
        </w:rPr>
        <w:t xml:space="preserve"> (Panel D)</w:t>
      </w:r>
      <w:r w:rsidR="0043490C">
        <w:rPr>
          <w:lang w:val="en-US" w:eastAsia="en-AU"/>
        </w:rPr>
        <w:t xml:space="preserve">. </w:t>
      </w:r>
      <w:r>
        <w:rPr>
          <w:lang w:val="en-US" w:eastAsia="en-AU"/>
        </w:rPr>
        <w:t xml:space="preserve">While initial earnings for men and women appear similarly sensitive to </w:t>
      </w:r>
      <w:proofErr w:type="spellStart"/>
      <w:r>
        <w:rPr>
          <w:lang w:val="en-US" w:eastAsia="en-AU"/>
        </w:rPr>
        <w:t>labour</w:t>
      </w:r>
      <w:proofErr w:type="spellEnd"/>
      <w:r>
        <w:rPr>
          <w:lang w:val="en-US" w:eastAsia="en-AU"/>
        </w:rPr>
        <w:t xml:space="preserve"> market conditions at entry, earnings effect</w:t>
      </w:r>
      <w:r w:rsidR="009B492F">
        <w:rPr>
          <w:lang w:val="en-US" w:eastAsia="en-AU"/>
        </w:rPr>
        <w:t>s</w:t>
      </w:r>
      <w:r>
        <w:rPr>
          <w:lang w:val="en-US" w:eastAsia="en-AU"/>
        </w:rPr>
        <w:t xml:space="preserve"> ten years on are only apparent for women. </w:t>
      </w:r>
      <w:r w:rsidR="00DF523B">
        <w:rPr>
          <w:lang w:val="en-US" w:eastAsia="en-AU"/>
        </w:rPr>
        <w:t>Gender differences</w:t>
      </w:r>
      <w:r w:rsidR="0043490C">
        <w:rPr>
          <w:lang w:val="en-US" w:eastAsia="en-AU"/>
        </w:rPr>
        <w:t xml:space="preserve"> in </w:t>
      </w:r>
      <w:proofErr w:type="spellStart"/>
      <w:r w:rsidR="0043490C">
        <w:rPr>
          <w:lang w:val="en-US" w:eastAsia="en-AU"/>
        </w:rPr>
        <w:t>labour</w:t>
      </w:r>
      <w:proofErr w:type="spellEnd"/>
      <w:r w:rsidR="0043490C">
        <w:rPr>
          <w:lang w:val="en-US" w:eastAsia="en-AU"/>
        </w:rPr>
        <w:t xml:space="preserve"> market scarring</w:t>
      </w:r>
      <w:r w:rsidR="00DF523B">
        <w:rPr>
          <w:lang w:val="en-US" w:eastAsia="en-AU"/>
        </w:rPr>
        <w:t xml:space="preserve"> </w:t>
      </w:r>
      <w:r w:rsidR="0043490C">
        <w:rPr>
          <w:lang w:val="en-US" w:eastAsia="en-AU"/>
        </w:rPr>
        <w:t xml:space="preserve">have </w:t>
      </w:r>
      <w:r w:rsidR="00DF523B">
        <w:rPr>
          <w:lang w:val="en-US" w:eastAsia="en-AU"/>
        </w:rPr>
        <w:t>received</w:t>
      </w:r>
      <w:r w:rsidR="0043490C">
        <w:rPr>
          <w:lang w:val="en-US" w:eastAsia="en-AU"/>
        </w:rPr>
        <w:t xml:space="preserve"> little a</w:t>
      </w:r>
      <w:r w:rsidR="00DF523B">
        <w:rPr>
          <w:lang w:val="en-US" w:eastAsia="en-AU"/>
        </w:rPr>
        <w:t>tt</w:t>
      </w:r>
      <w:r w:rsidR="0043490C">
        <w:rPr>
          <w:lang w:val="en-US" w:eastAsia="en-AU"/>
        </w:rPr>
        <w:t>ention in the literature</w:t>
      </w:r>
      <w:r w:rsidR="006E4AC4">
        <w:rPr>
          <w:lang w:val="en-US" w:eastAsia="en-AU"/>
        </w:rPr>
        <w:t xml:space="preserve"> — </w:t>
      </w:r>
      <w:r w:rsidR="00DF523B">
        <w:rPr>
          <w:lang w:val="en-US" w:eastAsia="en-AU"/>
        </w:rPr>
        <w:t>indeed, many studies focus purely on male graduates.</w:t>
      </w:r>
      <w:r w:rsidR="00DF523B">
        <w:rPr>
          <w:rStyle w:val="FootnoteReference"/>
          <w:lang w:val="en-US" w:eastAsia="en-AU"/>
        </w:rPr>
        <w:footnoteReference w:id="17"/>
      </w:r>
      <w:r w:rsidR="00912C31">
        <w:rPr>
          <w:lang w:val="en-US" w:eastAsia="en-AU"/>
        </w:rPr>
        <w:t xml:space="preserve"> A notable exception is </w:t>
      </w:r>
      <w:proofErr w:type="spellStart"/>
      <w:r w:rsidR="00912C31">
        <w:rPr>
          <w:lang w:val="en-US" w:eastAsia="en-AU"/>
        </w:rPr>
        <w:t>Hershbein</w:t>
      </w:r>
      <w:proofErr w:type="spellEnd"/>
      <w:r w:rsidR="00912C31">
        <w:rPr>
          <w:lang w:val="en-US" w:eastAsia="en-AU"/>
        </w:rPr>
        <w:t xml:space="preserve"> (2012) </w:t>
      </w:r>
      <w:r w:rsidR="0043490C">
        <w:rPr>
          <w:lang w:val="en-US" w:eastAsia="en-AU"/>
        </w:rPr>
        <w:t>who finds that</w:t>
      </w:r>
      <w:r w:rsidR="004A385E">
        <w:rPr>
          <w:lang w:val="en-US" w:eastAsia="en-AU"/>
        </w:rPr>
        <w:t>,</w:t>
      </w:r>
      <w:r w:rsidR="0043490C">
        <w:rPr>
          <w:lang w:val="en-US" w:eastAsia="en-AU"/>
        </w:rPr>
        <w:t xml:space="preserve"> for high school students</w:t>
      </w:r>
      <w:r w:rsidR="004A385E">
        <w:rPr>
          <w:lang w:val="en-US" w:eastAsia="en-AU"/>
        </w:rPr>
        <w:t>,</w:t>
      </w:r>
      <w:r w:rsidR="0043490C">
        <w:rPr>
          <w:lang w:val="en-US" w:eastAsia="en-AU"/>
        </w:rPr>
        <w:t xml:space="preserve"> graduating into a weak </w:t>
      </w:r>
      <w:proofErr w:type="spellStart"/>
      <w:r w:rsidR="0043490C">
        <w:rPr>
          <w:lang w:val="en-US" w:eastAsia="en-AU"/>
        </w:rPr>
        <w:t>labour</w:t>
      </w:r>
      <w:proofErr w:type="spellEnd"/>
      <w:r w:rsidR="0043490C">
        <w:rPr>
          <w:lang w:val="en-US" w:eastAsia="en-AU"/>
        </w:rPr>
        <w:t xml:space="preserve"> market is associated with persistently worse e</w:t>
      </w:r>
      <w:r w:rsidR="00E8174F">
        <w:rPr>
          <w:lang w:val="en-US" w:eastAsia="en-AU"/>
        </w:rPr>
        <w:t>mployment</w:t>
      </w:r>
      <w:r w:rsidR="0043490C">
        <w:rPr>
          <w:lang w:val="en-US" w:eastAsia="en-AU"/>
        </w:rPr>
        <w:t xml:space="preserve"> outcomes for women, but not </w:t>
      </w:r>
      <w:r w:rsidR="00E8174F">
        <w:rPr>
          <w:lang w:val="en-US" w:eastAsia="en-AU"/>
        </w:rPr>
        <w:t xml:space="preserve">for </w:t>
      </w:r>
      <w:r w:rsidR="0043490C">
        <w:rPr>
          <w:lang w:val="en-US" w:eastAsia="en-AU"/>
        </w:rPr>
        <w:t xml:space="preserve">men. Whereas men are found to respond by enrolling in further study, women appear to temporarily substitute into home production. </w:t>
      </w:r>
      <w:r w:rsidR="00E8174F">
        <w:rPr>
          <w:lang w:val="en-US" w:eastAsia="en-AU"/>
        </w:rPr>
        <w:t>Household</w:t>
      </w:r>
      <w:r w:rsidR="006E4AC4">
        <w:rPr>
          <w:lang w:val="en-US" w:eastAsia="en-AU"/>
        </w:rPr>
        <w:noBreakHyphen/>
      </w:r>
      <w:r w:rsidR="004A385E">
        <w:rPr>
          <w:lang w:val="en-US" w:eastAsia="en-AU"/>
        </w:rPr>
        <w:t xml:space="preserve">level data would allow further examination of the role of </w:t>
      </w:r>
      <w:r w:rsidR="00E8174F">
        <w:rPr>
          <w:lang w:val="en-US" w:eastAsia="en-AU"/>
        </w:rPr>
        <w:t xml:space="preserve">household </w:t>
      </w:r>
      <w:r w:rsidR="004A385E">
        <w:rPr>
          <w:lang w:val="en-US" w:eastAsia="en-AU"/>
        </w:rPr>
        <w:t xml:space="preserve">gender dynamics in </w:t>
      </w:r>
      <w:r w:rsidR="00E8174F">
        <w:rPr>
          <w:lang w:val="en-US" w:eastAsia="en-AU"/>
        </w:rPr>
        <w:t>our</w:t>
      </w:r>
      <w:r w:rsidR="004A385E">
        <w:rPr>
          <w:lang w:val="en-US" w:eastAsia="en-AU"/>
        </w:rPr>
        <w:t xml:space="preserve"> results</w:t>
      </w:r>
      <w:r w:rsidR="00E8174F">
        <w:rPr>
          <w:lang w:val="en-US" w:eastAsia="en-AU"/>
        </w:rPr>
        <w:t xml:space="preserve">; </w:t>
      </w:r>
      <w:r w:rsidR="0063174E">
        <w:rPr>
          <w:lang w:val="en-US" w:eastAsia="en-AU"/>
        </w:rPr>
        <w:t xml:space="preserve">however, </w:t>
      </w:r>
      <w:r w:rsidR="00E8174F">
        <w:rPr>
          <w:lang w:val="en-US" w:eastAsia="en-AU"/>
        </w:rPr>
        <w:t>g</w:t>
      </w:r>
      <w:r w:rsidR="006711AD">
        <w:rPr>
          <w:lang w:val="en-US" w:eastAsia="en-AU"/>
        </w:rPr>
        <w:t>iven the aggregated data available, we can only observe the resulting gender differences in earnings, employment and firm</w:t>
      </w:r>
      <w:r w:rsidR="006E4AC4">
        <w:rPr>
          <w:lang w:val="en-US" w:eastAsia="en-AU"/>
        </w:rPr>
        <w:noBreakHyphen/>
      </w:r>
      <w:r w:rsidR="006711AD">
        <w:rPr>
          <w:lang w:val="en-US" w:eastAsia="en-AU"/>
        </w:rPr>
        <w:t>level characteristics</w:t>
      </w:r>
      <w:r w:rsidR="00DC0E8D">
        <w:rPr>
          <w:lang w:val="en-US" w:eastAsia="en-AU"/>
        </w:rPr>
        <w:t>.</w:t>
      </w:r>
      <w:r w:rsidR="00DC0E8D">
        <w:rPr>
          <w:rStyle w:val="FootnoteReference"/>
          <w:lang w:val="en-US" w:eastAsia="en-AU"/>
        </w:rPr>
        <w:footnoteReference w:id="18"/>
      </w:r>
      <w:r w:rsidR="00DC0E8D">
        <w:rPr>
          <w:lang w:val="en-US" w:eastAsia="en-AU"/>
        </w:rPr>
        <w:t xml:space="preserve">  As discussed </w:t>
      </w:r>
      <w:r w:rsidR="00DC0E8D">
        <w:rPr>
          <w:lang w:val="en-US" w:eastAsia="en-AU"/>
        </w:rPr>
        <w:lastRenderedPageBreak/>
        <w:t>below, job</w:t>
      </w:r>
      <w:r w:rsidR="006E4AC4">
        <w:rPr>
          <w:lang w:val="en-US" w:eastAsia="en-AU"/>
        </w:rPr>
        <w:noBreakHyphen/>
      </w:r>
      <w:r w:rsidR="00DC0E8D">
        <w:rPr>
          <w:lang w:val="en-US" w:eastAsia="en-AU"/>
        </w:rPr>
        <w:t>switching is a key means of recovering from a bad initial match, and differences in job</w:t>
      </w:r>
      <w:r w:rsidR="006E4AC4">
        <w:rPr>
          <w:lang w:val="en-US" w:eastAsia="en-AU"/>
        </w:rPr>
        <w:noBreakHyphen/>
      </w:r>
      <w:r w:rsidR="00DC0E8D">
        <w:rPr>
          <w:lang w:val="en-US" w:eastAsia="en-AU"/>
        </w:rPr>
        <w:t xml:space="preserve">switching between men and women are one potential explanation for differing experiences of </w:t>
      </w:r>
      <w:proofErr w:type="spellStart"/>
      <w:r w:rsidR="00DC0E8D">
        <w:rPr>
          <w:lang w:val="en-US" w:eastAsia="en-AU"/>
        </w:rPr>
        <w:t>labour</w:t>
      </w:r>
      <w:proofErr w:type="spellEnd"/>
      <w:r w:rsidR="00DC0E8D">
        <w:rPr>
          <w:lang w:val="en-US" w:eastAsia="en-AU"/>
        </w:rPr>
        <w:t xml:space="preserve"> market scarring.</w:t>
      </w:r>
    </w:p>
    <w:p w14:paraId="6A25956A" w14:textId="77777777" w:rsidR="00C56F51" w:rsidRDefault="00C56F51" w:rsidP="00BD4C27">
      <w:pPr>
        <w:pStyle w:val="CaptionHeading1"/>
        <w:spacing w:after="120"/>
      </w:pPr>
      <w:r>
        <w:t xml:space="preserve">Figure </w:t>
      </w:r>
      <w:r w:rsidR="00CB08CE">
        <w:t>7</w:t>
      </w:r>
      <w:r>
        <w:t>:  Effect of a 1 percentage point increase in the youth unemployment rate on annual earnings by years since graduation</w:t>
      </w:r>
      <w:r w:rsidR="006E4AC4">
        <w:t xml:space="preserve"> — </w:t>
      </w:r>
      <w:r w:rsidR="004718F8">
        <w:t>differing subpopulations</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tblGrid>
      <w:tr w:rsidR="007030DA" w14:paraId="10B95CFF" w14:textId="77777777" w:rsidTr="00AF7F6A">
        <w:tc>
          <w:tcPr>
            <w:tcW w:w="3839" w:type="dxa"/>
          </w:tcPr>
          <w:p w14:paraId="3EE1EC42" w14:textId="77777777" w:rsidR="007030DA" w:rsidRDefault="00AF7F6A" w:rsidP="002A6D35">
            <w:pPr>
              <w:pStyle w:val="CaptionHeading2"/>
            </w:pPr>
            <w:r>
              <w:t>Panel</w:t>
            </w:r>
            <w:r w:rsidR="00740E1D">
              <w:t xml:space="preserve"> A: Bachelors v Honours</w:t>
            </w:r>
            <w:r w:rsidR="00967D87" w:rsidRPr="00AF7F6A">
              <w:t>+</w:t>
            </w:r>
          </w:p>
        </w:tc>
        <w:tc>
          <w:tcPr>
            <w:tcW w:w="5449" w:type="dxa"/>
          </w:tcPr>
          <w:p w14:paraId="7C317744" w14:textId="77777777" w:rsidR="007030DA" w:rsidRPr="00740E1D" w:rsidRDefault="00740E1D" w:rsidP="002A6D35">
            <w:pPr>
              <w:pStyle w:val="CaptionHeading2"/>
            </w:pPr>
            <w:r w:rsidRPr="00740E1D">
              <w:t>Panel B:</w:t>
            </w:r>
            <w:r w:rsidR="00967D87" w:rsidRPr="00740E1D">
              <w:t xml:space="preserve"> G8 v non</w:t>
            </w:r>
            <w:r w:rsidR="006E4AC4">
              <w:noBreakHyphen/>
            </w:r>
            <w:r w:rsidR="00967D87" w:rsidRPr="00740E1D">
              <w:t>G8</w:t>
            </w:r>
          </w:p>
        </w:tc>
      </w:tr>
      <w:tr w:rsidR="007030DA" w14:paraId="45FF3EC8" w14:textId="77777777" w:rsidTr="00AF7F6A">
        <w:tc>
          <w:tcPr>
            <w:tcW w:w="3839" w:type="dxa"/>
          </w:tcPr>
          <w:p w14:paraId="32316EB1" w14:textId="77777777" w:rsidR="007030DA" w:rsidRPr="00740E1D" w:rsidRDefault="009B6AB5" w:rsidP="002A6D35">
            <w:pPr>
              <w:pStyle w:val="Captiongraphic"/>
            </w:pPr>
            <w:r w:rsidRPr="009B6AB5">
              <w:rPr>
                <w:noProof/>
              </w:rPr>
              <w:drawing>
                <wp:inline distT="0" distB="0" distL="0" distR="0" wp14:anchorId="12C7BBF1" wp14:editId="1381C5CD">
                  <wp:extent cx="2867025" cy="28670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67025" cy="2867025"/>
                          </a:xfrm>
                          <a:prstGeom prst="rect">
                            <a:avLst/>
                          </a:prstGeom>
                          <a:noFill/>
                          <a:ln>
                            <a:noFill/>
                          </a:ln>
                        </pic:spPr>
                      </pic:pic>
                    </a:graphicData>
                  </a:graphic>
                </wp:inline>
              </w:drawing>
            </w:r>
          </w:p>
        </w:tc>
        <w:tc>
          <w:tcPr>
            <w:tcW w:w="5449" w:type="dxa"/>
          </w:tcPr>
          <w:p w14:paraId="2D703DCA" w14:textId="77777777" w:rsidR="007030DA" w:rsidRPr="00740E1D" w:rsidRDefault="006D7F60" w:rsidP="002A6D35">
            <w:pPr>
              <w:pStyle w:val="Captiongraphic"/>
            </w:pPr>
            <w:r w:rsidRPr="006D7F60">
              <w:rPr>
                <w:noProof/>
              </w:rPr>
              <w:drawing>
                <wp:inline distT="0" distB="0" distL="0" distR="0" wp14:anchorId="748DF441" wp14:editId="04E056F4">
                  <wp:extent cx="2867025" cy="28670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67025" cy="2867025"/>
                          </a:xfrm>
                          <a:prstGeom prst="rect">
                            <a:avLst/>
                          </a:prstGeom>
                          <a:noFill/>
                          <a:ln>
                            <a:noFill/>
                          </a:ln>
                        </pic:spPr>
                      </pic:pic>
                    </a:graphicData>
                  </a:graphic>
                </wp:inline>
              </w:drawing>
            </w:r>
          </w:p>
        </w:tc>
      </w:tr>
      <w:tr w:rsidR="007030DA" w14:paraId="3801B33E" w14:textId="77777777" w:rsidTr="00AF7F6A">
        <w:tc>
          <w:tcPr>
            <w:tcW w:w="3839" w:type="dxa"/>
          </w:tcPr>
          <w:p w14:paraId="6C1854AC" w14:textId="77777777" w:rsidR="007030DA" w:rsidRPr="00740E1D" w:rsidRDefault="00740E1D" w:rsidP="002A6D35">
            <w:pPr>
              <w:pStyle w:val="CaptionHeading2"/>
            </w:pPr>
            <w:r>
              <w:t>Panel C:</w:t>
            </w:r>
            <w:r w:rsidR="009B492F">
              <w:t xml:space="preserve"> Above and below 25</w:t>
            </w:r>
            <w:r>
              <w:t xml:space="preserve"> </w:t>
            </w:r>
          </w:p>
        </w:tc>
        <w:tc>
          <w:tcPr>
            <w:tcW w:w="5449" w:type="dxa"/>
          </w:tcPr>
          <w:p w14:paraId="7C753867" w14:textId="77777777" w:rsidR="007030DA" w:rsidRPr="00740E1D" w:rsidRDefault="00740E1D" w:rsidP="002A6D35">
            <w:pPr>
              <w:pStyle w:val="CaptionHeading2"/>
            </w:pPr>
            <w:r>
              <w:t xml:space="preserve">Panel D: </w:t>
            </w:r>
            <w:r w:rsidR="009B492F">
              <w:t>Female v Male</w:t>
            </w:r>
          </w:p>
        </w:tc>
      </w:tr>
      <w:tr w:rsidR="00967D87" w14:paraId="3B688C72" w14:textId="77777777" w:rsidTr="00AF7F6A">
        <w:tc>
          <w:tcPr>
            <w:tcW w:w="3839" w:type="dxa"/>
          </w:tcPr>
          <w:p w14:paraId="344613B0" w14:textId="77777777" w:rsidR="00967D87" w:rsidRDefault="009B6AB5" w:rsidP="002A6D35">
            <w:pPr>
              <w:pStyle w:val="Captiongraphic"/>
            </w:pPr>
            <w:r w:rsidRPr="009B6AB5">
              <w:rPr>
                <w:noProof/>
              </w:rPr>
              <w:drawing>
                <wp:inline distT="0" distB="0" distL="0" distR="0" wp14:anchorId="2D749380" wp14:editId="6C4B6C90">
                  <wp:extent cx="2867025" cy="286702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7025" cy="2867025"/>
                          </a:xfrm>
                          <a:prstGeom prst="rect">
                            <a:avLst/>
                          </a:prstGeom>
                          <a:noFill/>
                          <a:ln>
                            <a:noFill/>
                          </a:ln>
                        </pic:spPr>
                      </pic:pic>
                    </a:graphicData>
                  </a:graphic>
                </wp:inline>
              </w:drawing>
            </w:r>
          </w:p>
        </w:tc>
        <w:tc>
          <w:tcPr>
            <w:tcW w:w="5449" w:type="dxa"/>
          </w:tcPr>
          <w:p w14:paraId="7F6E0952" w14:textId="77777777" w:rsidR="00967D87" w:rsidRDefault="009B6AB5" w:rsidP="002A6D35">
            <w:pPr>
              <w:pStyle w:val="Captiongraphic"/>
            </w:pPr>
            <w:r w:rsidRPr="009B6AB5">
              <w:rPr>
                <w:noProof/>
              </w:rPr>
              <w:drawing>
                <wp:inline distT="0" distB="0" distL="0" distR="0" wp14:anchorId="2490D310" wp14:editId="62FDE54D">
                  <wp:extent cx="2867025" cy="28670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67025" cy="2867025"/>
                          </a:xfrm>
                          <a:prstGeom prst="rect">
                            <a:avLst/>
                          </a:prstGeom>
                          <a:noFill/>
                          <a:ln>
                            <a:noFill/>
                          </a:ln>
                        </pic:spPr>
                      </pic:pic>
                    </a:graphicData>
                  </a:graphic>
                </wp:inline>
              </w:drawing>
            </w:r>
          </w:p>
        </w:tc>
      </w:tr>
    </w:tbl>
    <w:p w14:paraId="34E0BC6B" w14:textId="77777777" w:rsidR="00C56F51" w:rsidRDefault="00C56F51" w:rsidP="002A6D35">
      <w:pPr>
        <w:pStyle w:val="Chartnote"/>
      </w:pPr>
      <w:r>
        <w:t xml:space="preserve">Note:  </w:t>
      </w:r>
      <w:r w:rsidR="00740E1D">
        <w:t xml:space="preserve">Shows the estimated effect on wages of a 1 percentage point increase in the state youth unemployment rates on impact, and 5 and 10 years afterwards. These come from the static model outlined in Section 5, run over different subsamples. Standard errors, clustered </w:t>
      </w:r>
      <w:r w:rsidR="00740E1D" w:rsidRPr="002A6D35">
        <w:t>at</w:t>
      </w:r>
      <w:r w:rsidR="00740E1D">
        <w:t xml:space="preserve"> the state</w:t>
      </w:r>
      <w:r w:rsidR="006E4AC4">
        <w:noBreakHyphen/>
      </w:r>
      <w:r w:rsidR="00740E1D">
        <w:t>cohort level, are presented in brackets. *</w:t>
      </w:r>
      <w:proofErr w:type="gramStart"/>
      <w:r w:rsidR="00740E1D">
        <w:t>,*</w:t>
      </w:r>
      <w:proofErr w:type="gramEnd"/>
      <w:r w:rsidR="00740E1D">
        <w:t>*,*** indicate statistical significance at the 10, 5 and 1 per cent level, respectively.</w:t>
      </w:r>
    </w:p>
    <w:p w14:paraId="2CA927E5" w14:textId="77777777" w:rsidR="002A6D35" w:rsidRPr="00F0076F" w:rsidRDefault="002A6D35" w:rsidP="002A6D35">
      <w:pPr>
        <w:pStyle w:val="SingleParagraph"/>
        <w:rPr>
          <w:rFonts w:cs="Calibri"/>
        </w:rPr>
      </w:pPr>
    </w:p>
    <w:p w14:paraId="706C398E" w14:textId="77777777" w:rsidR="007158CA" w:rsidRDefault="007158CA" w:rsidP="007A79C3">
      <w:pPr>
        <w:jc w:val="both"/>
      </w:pPr>
      <w:r>
        <w:t xml:space="preserve">So far we have considered heterogeneity across different types of graduates. But we might also expect there to be differences in the effects of graduating into subdued labour markets across different periods, reflecting changes in labour markets and the education system. </w:t>
      </w:r>
    </w:p>
    <w:p w14:paraId="02E8F3BA" w14:textId="77777777" w:rsidR="00D913FD" w:rsidRDefault="007158CA" w:rsidP="00FD172D">
      <w:pPr>
        <w:pStyle w:val="Bullet"/>
        <w:numPr>
          <w:ilvl w:val="0"/>
          <w:numId w:val="0"/>
        </w:numPr>
        <w:spacing w:after="360"/>
        <w:jc w:val="both"/>
      </w:pPr>
      <w:r>
        <w:lastRenderedPageBreak/>
        <w:t>To examine this we re</w:t>
      </w:r>
      <w:r w:rsidR="006E4AC4">
        <w:noBreakHyphen/>
      </w:r>
      <w:r>
        <w:t xml:space="preserve">run the baseline model, but splitting the sample into </w:t>
      </w:r>
      <w:r w:rsidR="00A858BE">
        <w:t xml:space="preserve">those graduating in the </w:t>
      </w:r>
      <w:r>
        <w:t>1990s</w:t>
      </w:r>
      <w:r w:rsidR="00A858BE">
        <w:t xml:space="preserve"> versus those graduating in the 2000s.</w:t>
      </w:r>
      <w:r>
        <w:t xml:space="preserve"> The results are summarised in Figure </w:t>
      </w:r>
      <w:r w:rsidR="00CB08CE">
        <w:t>8</w:t>
      </w:r>
      <w:r w:rsidR="00870061">
        <w:t xml:space="preserve"> and Table D1 of Appendix</w:t>
      </w:r>
      <w:r w:rsidR="001D57FC">
        <w:t> </w:t>
      </w:r>
      <w:r w:rsidR="00870061">
        <w:t>D</w:t>
      </w:r>
      <w:r>
        <w:t xml:space="preserve">. </w:t>
      </w:r>
      <w:r w:rsidR="00A858BE">
        <w:t>L</w:t>
      </w:r>
      <w:r>
        <w:t xml:space="preserve">abour market </w:t>
      </w:r>
      <w:r w:rsidR="00A858BE">
        <w:t>conditions at graduation</w:t>
      </w:r>
      <w:r>
        <w:t xml:space="preserve"> appear to have had a substantially less persistent effect on wages </w:t>
      </w:r>
      <w:r w:rsidR="00A858BE">
        <w:t>in the 1990s compared</w:t>
      </w:r>
      <w:r>
        <w:t xml:space="preserve"> to the </w:t>
      </w:r>
      <w:r w:rsidR="00A858BE">
        <w:t>2000s</w:t>
      </w:r>
      <w:r>
        <w:t>. The effects on the probability of employment also appear to be a bit less persistent</w:t>
      </w:r>
      <w:r w:rsidR="00A858BE">
        <w:t xml:space="preserve"> in the medium</w:t>
      </w:r>
      <w:r w:rsidR="006E4AC4">
        <w:noBreakHyphen/>
      </w:r>
      <w:r w:rsidR="00A858BE">
        <w:t>term</w:t>
      </w:r>
      <w:r>
        <w:t>.</w:t>
      </w:r>
      <w:r w:rsidRPr="007158CA">
        <w:t xml:space="preserve"> </w:t>
      </w:r>
      <w:r>
        <w:t xml:space="preserve">This finding is somewhat concerning, as it suggests that the recent period of weakness in youth labour markets could have </w:t>
      </w:r>
      <w:r w:rsidR="00294DAA">
        <w:t>more</w:t>
      </w:r>
      <w:r>
        <w:t xml:space="preserve"> prolonged effects</w:t>
      </w:r>
      <w:r w:rsidR="00294DAA">
        <w:t xml:space="preserve"> than past episodes of labour market scarring</w:t>
      </w:r>
      <w:r>
        <w:t>.</w:t>
      </w:r>
      <w:r w:rsidR="007738A9">
        <w:rPr>
          <w:rStyle w:val="FootnoteReference"/>
        </w:rPr>
        <w:footnoteReference w:id="19"/>
      </w:r>
      <w:r w:rsidR="00294DAA">
        <w:t xml:space="preserve"> To understand why experiences of labour market scarring might have changed we need to understand the mechanisms through which labour market conditions at graduation may produce lasting effects on labour market outcomes. We </w:t>
      </w:r>
      <w:r w:rsidR="00870061">
        <w:t xml:space="preserve">now </w:t>
      </w:r>
      <w:r w:rsidR="00294DAA">
        <w:t>turn to this</w:t>
      </w:r>
      <w:r w:rsidR="00870061">
        <w:t xml:space="preserve"> question</w:t>
      </w:r>
      <w:r w:rsidR="00294DAA">
        <w:t xml:space="preserve">. </w:t>
      </w:r>
    </w:p>
    <w:p w14:paraId="3DDAD2DA" w14:textId="77777777" w:rsidR="007158CA" w:rsidRDefault="007158CA" w:rsidP="00BD4C27">
      <w:pPr>
        <w:pStyle w:val="CaptionHeading1"/>
        <w:spacing w:after="120"/>
      </w:pPr>
      <w:r>
        <w:t xml:space="preserve">Figure </w:t>
      </w:r>
      <w:r w:rsidR="00CB08CE">
        <w:t>8</w:t>
      </w:r>
      <w:r>
        <w:t>:  Effect of a 1 percentage point increase in the local youth unemployment rate by years since graduation for different periods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42"/>
      </w:tblGrid>
      <w:tr w:rsidR="007158CA" w14:paraId="676BB958" w14:textId="77777777" w:rsidTr="00372D9C">
        <w:tc>
          <w:tcPr>
            <w:tcW w:w="4644" w:type="dxa"/>
          </w:tcPr>
          <w:p w14:paraId="0ED7DC74" w14:textId="77777777" w:rsidR="007158CA" w:rsidRPr="00E9695E" w:rsidRDefault="007158CA" w:rsidP="002A6D35">
            <w:pPr>
              <w:pStyle w:val="CaptionHeading2"/>
            </w:pPr>
            <w:r w:rsidRPr="00E9695E">
              <w:t xml:space="preserve">Panel A: </w:t>
            </w:r>
            <w:r>
              <w:t xml:space="preserve">Effect on </w:t>
            </w:r>
            <w:r w:rsidR="000A2196">
              <w:t>wages</w:t>
            </w:r>
          </w:p>
          <w:p w14:paraId="0A30FDCC" w14:textId="77777777" w:rsidR="007158CA" w:rsidRPr="00E9695E" w:rsidRDefault="007158CA" w:rsidP="002A6D35">
            <w:pPr>
              <w:pStyle w:val="Captiongraphic"/>
            </w:pPr>
            <w:r w:rsidRPr="007158CA">
              <w:rPr>
                <w:noProof/>
              </w:rPr>
              <w:drawing>
                <wp:inline distT="0" distB="0" distL="0" distR="0" wp14:anchorId="4152A8AB" wp14:editId="1B1D7EF7">
                  <wp:extent cx="2867660" cy="2867660"/>
                  <wp:effectExtent l="0" t="0" r="8890" b="889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67660" cy="2867660"/>
                          </a:xfrm>
                          <a:prstGeom prst="rect">
                            <a:avLst/>
                          </a:prstGeom>
                          <a:noFill/>
                          <a:ln>
                            <a:noFill/>
                          </a:ln>
                        </pic:spPr>
                      </pic:pic>
                    </a:graphicData>
                  </a:graphic>
                </wp:inline>
              </w:drawing>
            </w:r>
          </w:p>
        </w:tc>
        <w:tc>
          <w:tcPr>
            <w:tcW w:w="4644" w:type="dxa"/>
          </w:tcPr>
          <w:p w14:paraId="148542AB" w14:textId="77777777" w:rsidR="007158CA" w:rsidRDefault="007158CA" w:rsidP="002A6D35">
            <w:pPr>
              <w:pStyle w:val="CaptionHeading2"/>
            </w:pPr>
            <w:r w:rsidRPr="00E9695E">
              <w:t xml:space="preserve">Panel B: </w:t>
            </w:r>
            <w:r>
              <w:t>Effect on employment</w:t>
            </w:r>
          </w:p>
          <w:p w14:paraId="575B5F81" w14:textId="77777777" w:rsidR="007158CA" w:rsidRDefault="007158CA" w:rsidP="002A6D35">
            <w:pPr>
              <w:pStyle w:val="Captiongraphic"/>
            </w:pPr>
            <w:r w:rsidRPr="007158CA">
              <w:rPr>
                <w:noProof/>
              </w:rPr>
              <w:drawing>
                <wp:inline distT="0" distB="0" distL="0" distR="0" wp14:anchorId="559C9136" wp14:editId="727BA965">
                  <wp:extent cx="2867660" cy="2867660"/>
                  <wp:effectExtent l="0" t="0" r="0" b="889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67660" cy="2867660"/>
                          </a:xfrm>
                          <a:prstGeom prst="rect">
                            <a:avLst/>
                          </a:prstGeom>
                          <a:noFill/>
                          <a:ln>
                            <a:noFill/>
                          </a:ln>
                        </pic:spPr>
                      </pic:pic>
                    </a:graphicData>
                  </a:graphic>
                </wp:inline>
              </w:drawing>
            </w:r>
          </w:p>
        </w:tc>
      </w:tr>
    </w:tbl>
    <w:p w14:paraId="2AB24ADF" w14:textId="77777777" w:rsidR="00BC0C93" w:rsidRDefault="007158CA" w:rsidP="0001151B">
      <w:pPr>
        <w:pStyle w:val="Chartnote"/>
        <w:spacing w:before="120"/>
      </w:pPr>
      <w:r>
        <w:t>Note:  Shows estimated effect of a 1 percentage point increase in the state</w:t>
      </w:r>
      <w:r w:rsidR="006E4AC4">
        <w:noBreakHyphen/>
      </w:r>
      <w:r>
        <w:t>youth unemployment rates on wages and employment for various sub</w:t>
      </w:r>
      <w:r w:rsidR="006E4AC4">
        <w:noBreakHyphen/>
      </w:r>
      <w:r>
        <w:t>samples.</w:t>
      </w:r>
      <w:r w:rsidR="00740E1D" w:rsidRPr="00740E1D">
        <w:t xml:space="preserve"> </w:t>
      </w:r>
      <w:r w:rsidR="00740E1D">
        <w:t>These come from the static model outlined in Section 5, run over different subsamples.</w:t>
      </w:r>
    </w:p>
    <w:p w14:paraId="14EF280D" w14:textId="77777777" w:rsidR="00BC0C93" w:rsidRDefault="00BC0C93">
      <w:pPr>
        <w:spacing w:after="200" w:line="276" w:lineRule="auto"/>
        <w:rPr>
          <w:rFonts w:cs="Times New Roman"/>
          <w:color w:val="auto"/>
          <w:sz w:val="18"/>
          <w:szCs w:val="20"/>
        </w:rPr>
      </w:pPr>
      <w:r>
        <w:br w:type="page"/>
      </w:r>
    </w:p>
    <w:p w14:paraId="35E048CD" w14:textId="77777777" w:rsidR="00F012EA" w:rsidRDefault="00B53A18" w:rsidP="007A79C3">
      <w:pPr>
        <w:pStyle w:val="Heading2"/>
        <w:jc w:val="both"/>
      </w:pPr>
      <w:r>
        <w:lastRenderedPageBreak/>
        <w:t xml:space="preserve">6. </w:t>
      </w:r>
      <w:r w:rsidR="00C56F51">
        <w:t>M</w:t>
      </w:r>
      <w:r w:rsidR="0067080D">
        <w:t>echanisms</w:t>
      </w:r>
    </w:p>
    <w:p w14:paraId="78559E49" w14:textId="77777777" w:rsidR="009357F8" w:rsidRDefault="00F970F3" w:rsidP="007A79C3">
      <w:pPr>
        <w:jc w:val="both"/>
      </w:pPr>
      <w:r>
        <w:t xml:space="preserve">The previous sections provided evidence that graduating into a weak local labour market can have fairly persistent effects on later </w:t>
      </w:r>
      <w:r w:rsidR="00294DAA">
        <w:t>labour market</w:t>
      </w:r>
      <w:r>
        <w:t xml:space="preserve"> outcomes, particularly for younger graduates, </w:t>
      </w:r>
      <w:r w:rsidR="00891BF8">
        <w:t xml:space="preserve">women </w:t>
      </w:r>
      <w:r>
        <w:t>and graduates that are likely to have lower earning capacity. There are a number of potential mechanisms that could explain this relatively persistent effect that have been considered in the literature:</w:t>
      </w:r>
    </w:p>
    <w:p w14:paraId="07A6511B" w14:textId="77777777" w:rsidR="00F970F3" w:rsidRDefault="00F970F3" w:rsidP="007A79C3">
      <w:pPr>
        <w:pStyle w:val="Bullet"/>
        <w:jc w:val="both"/>
      </w:pPr>
      <w:r w:rsidRPr="00F970F3">
        <w:rPr>
          <w:b/>
        </w:rPr>
        <w:t>Human capital destruction</w:t>
      </w:r>
      <w:r>
        <w:t>: Skills learnt at university could degrade relatively quickly if not used</w:t>
      </w:r>
      <w:r w:rsidR="002B661C">
        <w:t>,</w:t>
      </w:r>
      <w:r>
        <w:t xml:space="preserve"> leading </w:t>
      </w:r>
      <w:r w:rsidR="00A32109">
        <w:t xml:space="preserve">to </w:t>
      </w:r>
      <w:r>
        <w:t>lower human capital and persistently weaker earnings</w:t>
      </w:r>
      <w:r w:rsidR="00A32109">
        <w:t xml:space="preserve">. Similarly, time spent outside the labour force might mean workers lose time in which they could acquire valuable skills. </w:t>
      </w:r>
    </w:p>
    <w:p w14:paraId="12823295" w14:textId="77777777" w:rsidR="00F970F3" w:rsidRDefault="00F970F3" w:rsidP="007A79C3">
      <w:pPr>
        <w:pStyle w:val="Bullet"/>
        <w:jc w:val="both"/>
      </w:pPr>
      <w:r w:rsidRPr="00F970F3">
        <w:rPr>
          <w:b/>
        </w:rPr>
        <w:t>Psychosocial scarring and signalling effects</w:t>
      </w:r>
      <w:r>
        <w:t>: Workers that fail to get a job, or a good job</w:t>
      </w:r>
      <w:r w:rsidR="002B661C">
        <w:t>,</w:t>
      </w:r>
      <w:r>
        <w:t xml:space="preserve"> </w:t>
      </w:r>
      <w:r w:rsidR="001E10C8">
        <w:t>up</w:t>
      </w:r>
      <w:r>
        <w:t>on graduation may reassess their expectations o</w:t>
      </w:r>
      <w:r w:rsidR="002B661C">
        <w:t>f</w:t>
      </w:r>
      <w:r>
        <w:t xml:space="preserve"> their earning capacity, and therefore settle for lower paying jobs</w:t>
      </w:r>
      <w:r w:rsidR="00B30D6C">
        <w:t xml:space="preserve"> (e.g. Krueger and Mueller 2016)</w:t>
      </w:r>
      <w:r>
        <w:t>.</w:t>
      </w:r>
      <w:r w:rsidR="00CB08CE">
        <w:t xml:space="preserve"> </w:t>
      </w:r>
      <w:r>
        <w:t xml:space="preserve">Similarly, employers may take the fact that </w:t>
      </w:r>
      <w:r w:rsidR="00E44886">
        <w:t xml:space="preserve">a </w:t>
      </w:r>
      <w:r>
        <w:t>worker failed to get a job as a poor signal, and so may be less willing to hire them or pay them a high wage</w:t>
      </w:r>
      <w:r w:rsidR="00B30D6C">
        <w:t xml:space="preserve"> (e.g. Kroft et al 2013).</w:t>
      </w:r>
    </w:p>
    <w:p w14:paraId="27DB3354" w14:textId="77777777" w:rsidR="00F970F3" w:rsidRDefault="00A32109" w:rsidP="007A79C3">
      <w:pPr>
        <w:pStyle w:val="Bullet"/>
        <w:jc w:val="both"/>
      </w:pPr>
      <w:r>
        <w:rPr>
          <w:b/>
        </w:rPr>
        <w:t xml:space="preserve">Structural </w:t>
      </w:r>
      <w:r w:rsidR="00FF7321">
        <w:rPr>
          <w:b/>
        </w:rPr>
        <w:t>s</w:t>
      </w:r>
      <w:r w:rsidR="00F970F3">
        <w:rPr>
          <w:b/>
        </w:rPr>
        <w:t>kills mismatch</w:t>
      </w:r>
      <w:r w:rsidR="00F970F3" w:rsidRPr="00F970F3">
        <w:t>:</w:t>
      </w:r>
      <w:r w:rsidR="00F970F3">
        <w:t xml:space="preserve"> To the extent that the labour market downturn has an industry</w:t>
      </w:r>
      <w:r w:rsidR="006E4AC4">
        <w:noBreakHyphen/>
      </w:r>
      <w:r w:rsidR="00F970F3">
        <w:t>specific aspect, graduates who trained to work in that industry may not have the skills demanded by the labour market. This could be particularly important if graduates had selected into that industry due to a previous boom</w:t>
      </w:r>
      <w:r w:rsidR="00605681">
        <w:t xml:space="preserve"> (</w:t>
      </w:r>
      <w:proofErr w:type="spellStart"/>
      <w:r w:rsidR="00605681">
        <w:t>Hombert</w:t>
      </w:r>
      <w:proofErr w:type="spellEnd"/>
      <w:r w:rsidR="00605681">
        <w:t xml:space="preserve"> and </w:t>
      </w:r>
      <w:proofErr w:type="spellStart"/>
      <w:r w:rsidR="00605681">
        <w:t>Matray</w:t>
      </w:r>
      <w:proofErr w:type="spellEnd"/>
      <w:r w:rsidR="00605681">
        <w:t>, 2019)</w:t>
      </w:r>
      <w:r w:rsidR="00F970F3">
        <w:t>.</w:t>
      </w:r>
    </w:p>
    <w:p w14:paraId="1F4CF602" w14:textId="77777777" w:rsidR="00F970F3" w:rsidRPr="00F970F3" w:rsidRDefault="00F970F3" w:rsidP="007A79C3">
      <w:pPr>
        <w:pStyle w:val="Bullet"/>
        <w:jc w:val="both"/>
        <w:rPr>
          <w:b/>
        </w:rPr>
      </w:pPr>
      <w:r w:rsidRPr="00F970F3">
        <w:rPr>
          <w:b/>
        </w:rPr>
        <w:t xml:space="preserve">Bad matching: </w:t>
      </w:r>
      <w:r w:rsidR="00A32109" w:rsidRPr="00A32109">
        <w:t xml:space="preserve">During a downturn, it might be more difficult to find a job that is well suited </w:t>
      </w:r>
      <w:r w:rsidR="00A32109">
        <w:t>to</w:t>
      </w:r>
      <w:r w:rsidR="00A32109" w:rsidRPr="00A32109">
        <w:t xml:space="preserve"> the worker</w:t>
      </w:r>
      <w:r w:rsidR="00A32109">
        <w:t xml:space="preserve">. This could reflect the general weakness in the labour market, which lowers the number of </w:t>
      </w:r>
      <w:r w:rsidR="006E4AC4">
        <w:t>‘</w:t>
      </w:r>
      <w:r w:rsidR="00A32109">
        <w:t>good quality</w:t>
      </w:r>
      <w:r w:rsidR="006E4AC4">
        <w:t>’</w:t>
      </w:r>
      <w:r w:rsidR="00A32109">
        <w:t xml:space="preserve"> job</w:t>
      </w:r>
      <w:r w:rsidR="00605681">
        <w:t xml:space="preserve"> offer</w:t>
      </w:r>
      <w:r w:rsidR="00A32109">
        <w:t>s, but also potentially the pro</w:t>
      </w:r>
      <w:r w:rsidR="006E4AC4">
        <w:noBreakHyphen/>
      </w:r>
      <w:r w:rsidR="00A32109">
        <w:t xml:space="preserve">cyclicality of such jobs </w:t>
      </w:r>
      <w:r w:rsidR="00831186">
        <w:t xml:space="preserve">due to </w:t>
      </w:r>
      <w:r w:rsidR="00A32109">
        <w:t>differences across industries, and differences in the expected value and cost of training across the cycle (</w:t>
      </w:r>
      <w:r w:rsidR="00A32109" w:rsidRPr="006E1E79">
        <w:t xml:space="preserve">McLaughlin </w:t>
      </w:r>
      <w:r w:rsidR="00FF7321" w:rsidRPr="006E1E79">
        <w:t xml:space="preserve">and </w:t>
      </w:r>
      <w:proofErr w:type="spellStart"/>
      <w:r w:rsidR="00FF7321" w:rsidRPr="006E1E79">
        <w:t>Bils</w:t>
      </w:r>
      <w:proofErr w:type="spellEnd"/>
      <w:r w:rsidR="00A32109" w:rsidRPr="006E1E79">
        <w:t xml:space="preserve"> 2001</w:t>
      </w:r>
      <w:r w:rsidR="00A32109">
        <w:t>; Kahn 2010). If it is relatively easy for workers to change jobs when the labour market recovers, these effects could be relatively short</w:t>
      </w:r>
      <w:r w:rsidR="006E4AC4">
        <w:noBreakHyphen/>
      </w:r>
      <w:r w:rsidR="00A32109">
        <w:t xml:space="preserve">lived. But if there are </w:t>
      </w:r>
      <w:r w:rsidR="00605681">
        <w:t>structural</w:t>
      </w:r>
      <w:r w:rsidR="00A32109">
        <w:t xml:space="preserve"> impediments</w:t>
      </w:r>
      <w:r w:rsidR="006E4AC4">
        <w:t xml:space="preserve"> — </w:t>
      </w:r>
      <w:r w:rsidR="001E10C8">
        <w:t>such as barriers to labour adjustment, firm entry or competition</w:t>
      </w:r>
      <w:r w:rsidR="006E4AC4">
        <w:t xml:space="preserve"> — </w:t>
      </w:r>
      <w:r w:rsidR="001E10C8">
        <w:t xml:space="preserve">then </w:t>
      </w:r>
      <w:r w:rsidR="00223A50">
        <w:t>these</w:t>
      </w:r>
      <w:r w:rsidR="00A32109">
        <w:t xml:space="preserve"> effects could be relatively persistent.</w:t>
      </w:r>
    </w:p>
    <w:p w14:paraId="6686720E" w14:textId="77777777" w:rsidR="009357F8" w:rsidRDefault="00A32109" w:rsidP="007A79C3">
      <w:pPr>
        <w:jc w:val="both"/>
      </w:pPr>
      <w:r>
        <w:t xml:space="preserve">Previous papers have found that </w:t>
      </w:r>
      <w:r w:rsidR="001A5C1A">
        <w:t>bad</w:t>
      </w:r>
      <w:r>
        <w:t xml:space="preserve"> initial matching can explain a large portion of the earnings losses for </w:t>
      </w:r>
      <w:r w:rsidR="001A5C1A">
        <w:t>those graduating into a</w:t>
      </w:r>
      <w:r>
        <w:t xml:space="preserve"> downturns</w:t>
      </w:r>
      <w:r w:rsidR="00FF7321">
        <w:t xml:space="preserve"> (Brunner and Kuhn 2014; </w:t>
      </w:r>
      <w:proofErr w:type="spellStart"/>
      <w:r w:rsidR="00FF7321">
        <w:t>Oreopoulos</w:t>
      </w:r>
      <w:proofErr w:type="spellEnd"/>
      <w:r w:rsidR="00FF7321">
        <w:t xml:space="preserve"> et al 2012)</w:t>
      </w:r>
      <w:r w:rsidR="001A5C1A">
        <w:t>.</w:t>
      </w:r>
      <w:r>
        <w:t xml:space="preserve"> Moreover, job</w:t>
      </w:r>
      <w:r w:rsidR="006E4AC4">
        <w:noBreakHyphen/>
      </w:r>
      <w:r>
        <w:t>switching, and moving up the so</w:t>
      </w:r>
      <w:r w:rsidR="006E4AC4">
        <w:noBreakHyphen/>
      </w:r>
      <w:r>
        <w:t>called job ladder</w:t>
      </w:r>
      <w:r w:rsidR="001A5C1A">
        <w:t>,</w:t>
      </w:r>
      <w:r>
        <w:t xml:space="preserve"> </w:t>
      </w:r>
      <w:r w:rsidR="001A5C1A">
        <w:t>has been identified as</w:t>
      </w:r>
      <w:r>
        <w:t xml:space="preserve"> a key mechanism through which workers can undo the initial effects</w:t>
      </w:r>
      <w:r w:rsidR="001A5C1A">
        <w:t xml:space="preserve"> of a bad match</w:t>
      </w:r>
      <w:r>
        <w:t>, especially for workers with higher earnings potential (</w:t>
      </w:r>
      <w:proofErr w:type="spellStart"/>
      <w:r>
        <w:t>Oreop</w:t>
      </w:r>
      <w:r w:rsidR="001A5C1A">
        <w:t>ou</w:t>
      </w:r>
      <w:r>
        <w:t>los</w:t>
      </w:r>
      <w:proofErr w:type="spellEnd"/>
      <w:r>
        <w:t xml:space="preserve"> et al 2012).</w:t>
      </w:r>
    </w:p>
    <w:p w14:paraId="4ED2804A" w14:textId="77777777" w:rsidR="00A32109" w:rsidRDefault="00A32109" w:rsidP="007A79C3">
      <w:pPr>
        <w:jc w:val="both"/>
      </w:pPr>
      <w:r>
        <w:t>To examine the role of initial match</w:t>
      </w:r>
      <w:r w:rsidR="00E47DC7">
        <w:t xml:space="preserve"> quality</w:t>
      </w:r>
      <w:r>
        <w:t xml:space="preserve"> </w:t>
      </w:r>
      <w:r w:rsidR="00E47DC7">
        <w:t>(</w:t>
      </w:r>
      <w:r>
        <w:t>and job switching</w:t>
      </w:r>
      <w:r w:rsidR="00E47DC7">
        <w:t>)</w:t>
      </w:r>
      <w:r>
        <w:t>, we re</w:t>
      </w:r>
      <w:r w:rsidR="006E4AC4">
        <w:noBreakHyphen/>
      </w:r>
      <w:r>
        <w:t xml:space="preserve">run our baseline model, but replacing the </w:t>
      </w:r>
      <w:r w:rsidR="00D14C4F">
        <w:t>outcome</w:t>
      </w:r>
      <w:r>
        <w:t xml:space="preserve"> variable with either </w:t>
      </w:r>
      <w:r w:rsidR="00D80C4C">
        <w:t xml:space="preserve">the average labour productivity of firms that the graduates work for (or </w:t>
      </w:r>
      <w:r>
        <w:t>the proportion of graduates in a state</w:t>
      </w:r>
      <w:r w:rsidR="006E4AC4">
        <w:noBreakHyphen/>
      </w:r>
      <w:r>
        <w:t>cohort cell that switch jobs</w:t>
      </w:r>
      <w:r w:rsidR="00E47DC7">
        <w:t>)</w:t>
      </w:r>
      <w:r>
        <w:t>.</w:t>
      </w:r>
      <w:r>
        <w:rPr>
          <w:rStyle w:val="FootnoteReference"/>
        </w:rPr>
        <w:footnoteReference w:id="20"/>
      </w:r>
      <w:r w:rsidR="00D14C4F">
        <w:t xml:space="preserve"> In both cases, we are restricted to observing patterns over the 2000s</w:t>
      </w:r>
      <w:r w:rsidR="006E4AC4">
        <w:t xml:space="preserve"> — </w:t>
      </w:r>
      <w:r w:rsidR="00D14C4F">
        <w:t>the period for which workers can be linked to firms and hence job</w:t>
      </w:r>
      <w:r w:rsidR="006E4AC4">
        <w:noBreakHyphen/>
      </w:r>
      <w:r w:rsidR="00D14C4F">
        <w:t>switching behaviours and firm productivity can be observed.</w:t>
      </w:r>
    </w:p>
    <w:p w14:paraId="7C9084B9" w14:textId="77777777" w:rsidR="009357F8" w:rsidRDefault="00F10075" w:rsidP="00BC0C93">
      <w:pPr>
        <w:jc w:val="both"/>
      </w:pPr>
      <w:r>
        <w:t xml:space="preserve">As evident in Panel </w:t>
      </w:r>
      <w:proofErr w:type="gramStart"/>
      <w:r>
        <w:t>A</w:t>
      </w:r>
      <w:proofErr w:type="gramEnd"/>
      <w:r>
        <w:t xml:space="preserve"> </w:t>
      </w:r>
      <w:r w:rsidR="00D14C4F">
        <w:t>of</w:t>
      </w:r>
      <w:r>
        <w:t xml:space="preserve"> Figure </w:t>
      </w:r>
      <w:r w:rsidR="00CB08CE">
        <w:t>9</w:t>
      </w:r>
      <w:r>
        <w:t>, switching rates initially decline, likely reflecting the fact that graduates might find it harder to transition from their university jobs to new full time jobs</w:t>
      </w:r>
      <w:r w:rsidR="00740E1D">
        <w:t xml:space="preserve">. </w:t>
      </w:r>
      <w:r>
        <w:t>Switching rates then increa</w:t>
      </w:r>
      <w:r w:rsidR="002A79F2">
        <w:t>s</w:t>
      </w:r>
      <w:r>
        <w:t xml:space="preserve">e, relative to the </w:t>
      </w:r>
      <w:r w:rsidR="00D14C4F">
        <w:t>switching</w:t>
      </w:r>
      <w:r w:rsidR="006E4AC4">
        <w:noBreakHyphen/>
      </w:r>
      <w:r>
        <w:t>ex</w:t>
      </w:r>
      <w:r w:rsidR="002A79F2">
        <w:t>p</w:t>
      </w:r>
      <w:r>
        <w:t>er</w:t>
      </w:r>
      <w:r w:rsidR="002A79F2">
        <w:t>i</w:t>
      </w:r>
      <w:r>
        <w:t>ence profiles of other workers, as some of this in</w:t>
      </w:r>
      <w:r w:rsidR="002A79F2">
        <w:t>i</w:t>
      </w:r>
      <w:r>
        <w:t xml:space="preserve">tial poor matching is unwound. These results are qualitatively and quantitatively similar to those found in </w:t>
      </w:r>
      <w:proofErr w:type="spellStart"/>
      <w:r>
        <w:lastRenderedPageBreak/>
        <w:t>Oreopolous</w:t>
      </w:r>
      <w:proofErr w:type="spellEnd"/>
      <w:r>
        <w:t xml:space="preserve"> </w:t>
      </w:r>
      <w:r w:rsidR="009C2CAA">
        <w:t>et al</w:t>
      </w:r>
      <w:r>
        <w:t xml:space="preserve"> (2012). </w:t>
      </w:r>
      <w:r w:rsidR="001F50BD">
        <w:t xml:space="preserve">Consistent with the earlier analysis, graduates who enter labour markets during </w:t>
      </w:r>
      <w:proofErr w:type="spellStart"/>
      <w:r w:rsidR="001F50BD">
        <w:t>weak</w:t>
      </w:r>
      <w:proofErr w:type="spellEnd"/>
      <w:r w:rsidR="001F50BD">
        <w:t xml:space="preserve"> periods tend to work at less productive</w:t>
      </w:r>
      <w:r w:rsidR="006E4AC4">
        <w:t xml:space="preserve"> — </w:t>
      </w:r>
      <w:r w:rsidR="00223A50">
        <w:t>and thus lower paying</w:t>
      </w:r>
      <w:r w:rsidR="006E4AC4">
        <w:t xml:space="preserve"> — </w:t>
      </w:r>
      <w:r w:rsidR="001F50BD">
        <w:t xml:space="preserve">firms (Figure </w:t>
      </w:r>
      <w:r w:rsidR="00D80C4C">
        <w:t>9</w:t>
      </w:r>
      <w:r w:rsidR="001F50BD">
        <w:t>, Panel B)</w:t>
      </w:r>
      <w:r w:rsidR="00223A50">
        <w:t>, given the strong link between wages and firm productivity (Treasury 2017;</w:t>
      </w:r>
      <w:r w:rsidR="00305F7A" w:rsidRPr="00305F7A">
        <w:t xml:space="preserve"> </w:t>
      </w:r>
      <w:r w:rsidR="00305F7A">
        <w:t xml:space="preserve">Andrews </w:t>
      </w:r>
      <w:r w:rsidR="00D80C4C">
        <w:t>et al</w:t>
      </w:r>
      <w:r w:rsidR="00223A50">
        <w:t>, 2019)</w:t>
      </w:r>
      <w:r w:rsidR="001F50BD">
        <w:t xml:space="preserve">. This productivity </w:t>
      </w:r>
      <w:r w:rsidR="006E4AC4">
        <w:t>‘</w:t>
      </w:r>
      <w:r w:rsidR="001F50BD">
        <w:t>gap</w:t>
      </w:r>
      <w:r w:rsidR="006E4AC4">
        <w:t>’</w:t>
      </w:r>
      <w:r w:rsidR="001F50BD">
        <w:t xml:space="preserve"> closes over time, which may reflect graduates moving to more productive firms, </w:t>
      </w:r>
      <w:r w:rsidR="00223A50">
        <w:t>thereby</w:t>
      </w:r>
      <w:r w:rsidR="001F50BD">
        <w:t xml:space="preserve"> undoing initial </w:t>
      </w:r>
      <w:r w:rsidR="00223A50">
        <w:t>poor quality</w:t>
      </w:r>
      <w:r w:rsidR="001F50BD">
        <w:t xml:space="preserve"> matches.</w:t>
      </w:r>
    </w:p>
    <w:p w14:paraId="4F40B859" w14:textId="77777777" w:rsidR="00A32109" w:rsidRDefault="00A32109" w:rsidP="00BD4C27">
      <w:pPr>
        <w:pStyle w:val="CaptionHeading1"/>
        <w:spacing w:after="120"/>
      </w:pPr>
      <w:r>
        <w:t xml:space="preserve">Figure </w:t>
      </w:r>
      <w:r w:rsidR="00CB08CE">
        <w:t>9</w:t>
      </w:r>
      <w:r>
        <w:t>:  Effect of a 1 percentage point increase in the local youth unemployment rate by years since graduation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tblGrid>
      <w:tr w:rsidR="00A32109" w14:paraId="149FD713" w14:textId="77777777" w:rsidTr="00372D9C">
        <w:tc>
          <w:tcPr>
            <w:tcW w:w="4644" w:type="dxa"/>
          </w:tcPr>
          <w:p w14:paraId="00ED1404" w14:textId="77777777" w:rsidR="00A32109" w:rsidRPr="00E9695E" w:rsidRDefault="00A32109" w:rsidP="000E7CDB">
            <w:pPr>
              <w:pStyle w:val="CaptionHeading2"/>
            </w:pPr>
            <w:r w:rsidRPr="00E9695E">
              <w:t xml:space="preserve">Panel A: </w:t>
            </w:r>
            <w:r>
              <w:t>Effect on switching rates</w:t>
            </w:r>
          </w:p>
          <w:p w14:paraId="22257D3A" w14:textId="77777777" w:rsidR="00A32109" w:rsidRPr="00E9695E" w:rsidRDefault="00740E1D" w:rsidP="000E7CDB">
            <w:pPr>
              <w:pStyle w:val="Captiongraphic"/>
            </w:pPr>
            <w:r w:rsidRPr="00740E1D">
              <w:rPr>
                <w:noProof/>
              </w:rPr>
              <w:drawing>
                <wp:inline distT="0" distB="0" distL="0" distR="0" wp14:anchorId="0D1E6D4C" wp14:editId="6353BBC6">
                  <wp:extent cx="2860040" cy="2867660"/>
                  <wp:effectExtent l="0" t="0" r="0" b="889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60040" cy="2867660"/>
                          </a:xfrm>
                          <a:prstGeom prst="rect">
                            <a:avLst/>
                          </a:prstGeom>
                          <a:noFill/>
                          <a:ln>
                            <a:noFill/>
                          </a:ln>
                        </pic:spPr>
                      </pic:pic>
                    </a:graphicData>
                  </a:graphic>
                </wp:inline>
              </w:drawing>
            </w:r>
          </w:p>
        </w:tc>
        <w:tc>
          <w:tcPr>
            <w:tcW w:w="4644" w:type="dxa"/>
          </w:tcPr>
          <w:p w14:paraId="1341CE26" w14:textId="77777777" w:rsidR="00A32109" w:rsidRDefault="00A32109" w:rsidP="000E7CDB">
            <w:pPr>
              <w:pStyle w:val="CaptionHeading2"/>
            </w:pPr>
            <w:r w:rsidRPr="00E9695E">
              <w:t xml:space="preserve">Panel B: </w:t>
            </w:r>
            <w:r>
              <w:t>Effect on employer productivity</w:t>
            </w:r>
          </w:p>
          <w:p w14:paraId="5E8E4FFF" w14:textId="77777777" w:rsidR="00A32109" w:rsidRDefault="00740E1D" w:rsidP="000E7CDB">
            <w:pPr>
              <w:pStyle w:val="Captiongraphic"/>
            </w:pPr>
            <w:r w:rsidRPr="00740E1D">
              <w:rPr>
                <w:noProof/>
              </w:rPr>
              <w:drawing>
                <wp:inline distT="0" distB="0" distL="0" distR="0" wp14:anchorId="1E57797E" wp14:editId="1CDC9318">
                  <wp:extent cx="2860040" cy="2867660"/>
                  <wp:effectExtent l="0" t="0" r="0" b="889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60040" cy="2867660"/>
                          </a:xfrm>
                          <a:prstGeom prst="rect">
                            <a:avLst/>
                          </a:prstGeom>
                          <a:noFill/>
                          <a:ln>
                            <a:noFill/>
                          </a:ln>
                        </pic:spPr>
                      </pic:pic>
                    </a:graphicData>
                  </a:graphic>
                </wp:inline>
              </w:drawing>
            </w:r>
          </w:p>
        </w:tc>
      </w:tr>
    </w:tbl>
    <w:p w14:paraId="530A9F36" w14:textId="77777777" w:rsidR="00A32109" w:rsidRDefault="00A32109" w:rsidP="002A6D35">
      <w:pPr>
        <w:pStyle w:val="Chartnote"/>
      </w:pPr>
      <w:r w:rsidRPr="002A6D35">
        <w:t>Note:  Shows estimated effect of a 1 percentage point increase in the state</w:t>
      </w:r>
      <w:r w:rsidR="006E4AC4" w:rsidRPr="002A6D35">
        <w:noBreakHyphen/>
      </w:r>
      <w:r w:rsidRPr="002A6D35">
        <w:t>youth unemployment rates, on switching rates and the productivity of employers, for various sub</w:t>
      </w:r>
      <w:r w:rsidR="006E4AC4" w:rsidRPr="002A6D35">
        <w:noBreakHyphen/>
      </w:r>
      <w:r w:rsidRPr="002A6D35">
        <w:t>samples.</w:t>
      </w:r>
      <w:r w:rsidR="000A2196" w:rsidRPr="002A6D35">
        <w:t xml:space="preserve"> These come from the static model outlined in Section 5. Young are graduates under 25 years old. Older are graduates over 25.</w:t>
      </w:r>
      <w:r w:rsidR="00740E1D" w:rsidRPr="002A6D35">
        <w:t xml:space="preserve"> </w:t>
      </w:r>
    </w:p>
    <w:p w14:paraId="598AB401" w14:textId="77777777" w:rsidR="002A6D35" w:rsidRPr="002A6D35" w:rsidRDefault="002A6D35" w:rsidP="002A6D35">
      <w:pPr>
        <w:pStyle w:val="SingleParagraph"/>
      </w:pPr>
    </w:p>
    <w:p w14:paraId="39287EF4" w14:textId="77777777" w:rsidR="00A50957" w:rsidRDefault="009C2CAA" w:rsidP="007A79C3">
      <w:pPr>
        <w:jc w:val="both"/>
      </w:pPr>
      <w:r>
        <w:t xml:space="preserve">Interestingly, there also appear to be gender differences in these underlying mechanisms, which may explain the different experiences of labour market scarring. Women typically switch jobs less </w:t>
      </w:r>
      <w:r w:rsidR="00D80C4C">
        <w:t>frequently</w:t>
      </w:r>
      <w:r>
        <w:t xml:space="preserve"> than men, a fact previously observed in the tax data (Deutscher 2019). They also appear to switch less often than men in the aftermath of graduating into bad labour market (Figure </w:t>
      </w:r>
      <w:r w:rsidR="00CB08CE">
        <w:t>10</w:t>
      </w:r>
      <w:r>
        <w:t>, Panel A)</w:t>
      </w:r>
      <w:r w:rsidR="00605681">
        <w:t xml:space="preserve"> and initially receive a poorer quality initial match as indicated by the lower productivity of the firm they join (Figure 10, Panel B)</w:t>
      </w:r>
      <w:r>
        <w:t>.</w:t>
      </w:r>
      <w:r w:rsidR="001F50BD">
        <w:t xml:space="preserve"> While they appear to recover in terms of the labour productivity of the firm they are matched to, it may be their reduced tendency to switch (which could reflect a wide variety of constraints) </w:t>
      </w:r>
      <w:r w:rsidR="000A7C46">
        <w:t xml:space="preserve">that </w:t>
      </w:r>
      <w:r w:rsidR="001F50BD">
        <w:t xml:space="preserve">leads </w:t>
      </w:r>
      <w:r w:rsidR="00605681">
        <w:t xml:space="preserve">them to be trapped in a lower productivity firm for longer, thus leading </w:t>
      </w:r>
      <w:r w:rsidR="001F50BD">
        <w:t>to more persistent scarring.</w:t>
      </w:r>
    </w:p>
    <w:p w14:paraId="619B2264" w14:textId="77777777" w:rsidR="00740E1D" w:rsidRDefault="00740E1D" w:rsidP="00BD4C27">
      <w:pPr>
        <w:pStyle w:val="CaptionHeading1"/>
        <w:spacing w:after="120"/>
      </w:pPr>
      <w:r>
        <w:lastRenderedPageBreak/>
        <w:t xml:space="preserve">Figure </w:t>
      </w:r>
      <w:r w:rsidR="00CB08CE">
        <w:t>10</w:t>
      </w:r>
      <w:r>
        <w:t>:  Effect of a 1 percentage point increase in the local youth unemployment rate by years since graduation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42"/>
      </w:tblGrid>
      <w:tr w:rsidR="00740E1D" w14:paraId="35230877" w14:textId="77777777" w:rsidTr="00372D9C">
        <w:tc>
          <w:tcPr>
            <w:tcW w:w="4644" w:type="dxa"/>
          </w:tcPr>
          <w:p w14:paraId="178348AC" w14:textId="77777777" w:rsidR="00740E1D" w:rsidRPr="00E9695E" w:rsidRDefault="00740E1D" w:rsidP="000E7CDB">
            <w:pPr>
              <w:pStyle w:val="CaptionHeading2"/>
            </w:pPr>
            <w:r w:rsidRPr="00E9695E">
              <w:t xml:space="preserve">Panel A: </w:t>
            </w:r>
            <w:r>
              <w:t>Effect on switching rates</w:t>
            </w:r>
          </w:p>
          <w:p w14:paraId="2287A901" w14:textId="77777777" w:rsidR="00740E1D" w:rsidRPr="00E9695E" w:rsidRDefault="00302EC6" w:rsidP="000E7CDB">
            <w:pPr>
              <w:pStyle w:val="Captiongraphic"/>
            </w:pPr>
            <w:r w:rsidRPr="00302EC6">
              <w:rPr>
                <w:noProof/>
              </w:rPr>
              <w:drawing>
                <wp:inline distT="0" distB="0" distL="0" distR="0" wp14:anchorId="5503BBA9" wp14:editId="0B43283A">
                  <wp:extent cx="2867025" cy="28670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67025" cy="2867025"/>
                          </a:xfrm>
                          <a:prstGeom prst="rect">
                            <a:avLst/>
                          </a:prstGeom>
                          <a:noFill/>
                          <a:ln>
                            <a:noFill/>
                          </a:ln>
                        </pic:spPr>
                      </pic:pic>
                    </a:graphicData>
                  </a:graphic>
                </wp:inline>
              </w:drawing>
            </w:r>
          </w:p>
        </w:tc>
        <w:tc>
          <w:tcPr>
            <w:tcW w:w="4644" w:type="dxa"/>
          </w:tcPr>
          <w:p w14:paraId="496B5FE2" w14:textId="77777777" w:rsidR="00740E1D" w:rsidRDefault="00740E1D" w:rsidP="000E7CDB">
            <w:pPr>
              <w:pStyle w:val="CaptionHeading2"/>
            </w:pPr>
            <w:r w:rsidRPr="00E9695E">
              <w:t xml:space="preserve">Panel B: </w:t>
            </w:r>
            <w:r>
              <w:t>Effect on employer productivity</w:t>
            </w:r>
          </w:p>
          <w:p w14:paraId="374A36BF" w14:textId="77777777" w:rsidR="00740E1D" w:rsidRDefault="00740E1D" w:rsidP="000E7CDB">
            <w:pPr>
              <w:pStyle w:val="Captiongraphic"/>
            </w:pPr>
            <w:r w:rsidRPr="00740E1D">
              <w:rPr>
                <w:noProof/>
              </w:rPr>
              <w:drawing>
                <wp:inline distT="0" distB="0" distL="0" distR="0" wp14:anchorId="2A6AE6C7" wp14:editId="6224327D">
                  <wp:extent cx="2867660" cy="2867660"/>
                  <wp:effectExtent l="0" t="0" r="0" b="889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67660" cy="2867660"/>
                          </a:xfrm>
                          <a:prstGeom prst="rect">
                            <a:avLst/>
                          </a:prstGeom>
                          <a:noFill/>
                          <a:ln>
                            <a:noFill/>
                          </a:ln>
                        </pic:spPr>
                      </pic:pic>
                    </a:graphicData>
                  </a:graphic>
                </wp:inline>
              </w:drawing>
            </w:r>
          </w:p>
        </w:tc>
      </w:tr>
    </w:tbl>
    <w:p w14:paraId="1C089739" w14:textId="77777777" w:rsidR="00740E1D" w:rsidRDefault="00740E1D" w:rsidP="00740E1D">
      <w:pPr>
        <w:pStyle w:val="Chartnote"/>
      </w:pPr>
      <w:r>
        <w:t>Note:  Shows estimated effect of a 1 percentage point increase in the state</w:t>
      </w:r>
      <w:r w:rsidR="006E4AC4">
        <w:noBreakHyphen/>
      </w:r>
      <w:r>
        <w:t>youth unemployment rates, on switching rates and the productivity of employers, for various sub</w:t>
      </w:r>
      <w:r w:rsidR="006E4AC4">
        <w:noBreakHyphen/>
      </w:r>
      <w:r>
        <w:t>samples. These come from the static model outlined in Section 5.</w:t>
      </w:r>
    </w:p>
    <w:p w14:paraId="109E1EF5" w14:textId="77777777" w:rsidR="001A43BA" w:rsidRDefault="001A43BA" w:rsidP="00FD172D">
      <w:pPr>
        <w:pStyle w:val="Heading3"/>
        <w:spacing w:before="240"/>
      </w:pPr>
      <w:r>
        <w:t>Are job ladders harder to find?</w:t>
      </w:r>
    </w:p>
    <w:p w14:paraId="1D1647CA" w14:textId="77777777" w:rsidR="00056119" w:rsidRDefault="00056119" w:rsidP="00BC0C93">
      <w:pPr>
        <w:jc w:val="both"/>
      </w:pPr>
      <w:r>
        <w:t>F</w:t>
      </w:r>
      <w:r w:rsidR="00A50957">
        <w:t>irm</w:t>
      </w:r>
      <w:r w:rsidR="006E4AC4">
        <w:noBreakHyphen/>
      </w:r>
      <w:r w:rsidR="00A50957">
        <w:t>worker match</w:t>
      </w:r>
      <w:r w:rsidR="00BA1819">
        <w:t>es</w:t>
      </w:r>
      <w:r w:rsidR="00A50957">
        <w:t xml:space="preserve"> seem to play an important role in both the </w:t>
      </w:r>
      <w:r>
        <w:t xml:space="preserve">initial hit to earnings for those </w:t>
      </w:r>
      <w:r w:rsidR="00A50957">
        <w:t>graduat</w:t>
      </w:r>
      <w:r>
        <w:t>ing</w:t>
      </w:r>
      <w:r w:rsidR="00A50957">
        <w:t xml:space="preserve"> into weaker labour markets, </w:t>
      </w:r>
      <w:r>
        <w:t>and</w:t>
      </w:r>
      <w:r w:rsidR="00A50957">
        <w:t xml:space="preserve"> also in </w:t>
      </w:r>
      <w:r>
        <w:t>the recovery process</w:t>
      </w:r>
      <w:r w:rsidR="00A50957">
        <w:t>.</w:t>
      </w:r>
      <w:r>
        <w:t xml:space="preserve"> As noted earlier, this recovery process seems less robust for graduates of the 2000s than it was for those for those of the 1990s, with labour market scarring more persistent for more recent graduates.</w:t>
      </w:r>
      <w:r w:rsidR="00A50957">
        <w:t xml:space="preserve"> </w:t>
      </w:r>
      <w:r>
        <w:t xml:space="preserve">A natural place to look for an explanation is in the </w:t>
      </w:r>
      <w:r w:rsidR="005D389C">
        <w:t>ease and efficiency</w:t>
      </w:r>
      <w:r>
        <w:t xml:space="preserve"> </w:t>
      </w:r>
      <w:r w:rsidR="005D389C">
        <w:t>with which workers are able to switch jobs.</w:t>
      </w:r>
    </w:p>
    <w:p w14:paraId="7ACCDF5B" w14:textId="77777777" w:rsidR="00A50957" w:rsidRDefault="005D389C" w:rsidP="007A79C3">
      <w:pPr>
        <w:jc w:val="both"/>
      </w:pPr>
      <w:r>
        <w:t>A</w:t>
      </w:r>
      <w:r w:rsidR="00A50957">
        <w:t xml:space="preserve"> number of recent pieces have highlighted that measures of job</w:t>
      </w:r>
      <w:r w:rsidR="006E4AC4">
        <w:noBreakHyphen/>
      </w:r>
      <w:r w:rsidR="00A50957">
        <w:t>switching and labour market dynamism have declined over recent decades in Australia</w:t>
      </w:r>
      <w:r w:rsidR="007A79C3">
        <w:t>, with implications for productivity (</w:t>
      </w:r>
      <w:r w:rsidR="008E7718">
        <w:t>Andrews and Hansell 2019</w:t>
      </w:r>
      <w:r w:rsidR="007A79C3">
        <w:t>) and wages</w:t>
      </w:r>
      <w:r w:rsidR="008E7718">
        <w:t xml:space="preserve"> </w:t>
      </w:r>
      <w:r w:rsidR="007A79C3">
        <w:t>(</w:t>
      </w:r>
      <w:r w:rsidR="008E7718" w:rsidRPr="001548E1">
        <w:t>Deutscher 2019)</w:t>
      </w:r>
      <w:r w:rsidR="00A50957" w:rsidRPr="001548E1">
        <w:t xml:space="preserve">. </w:t>
      </w:r>
      <w:r w:rsidR="008E7718" w:rsidRPr="001548E1">
        <w:t xml:space="preserve">Moreover, these declines appear to be </w:t>
      </w:r>
      <w:r w:rsidR="001A43BA" w:rsidRPr="001548E1">
        <w:t>particularly</w:t>
      </w:r>
      <w:r w:rsidR="008E7718" w:rsidRPr="001548E1">
        <w:t xml:space="preserve"> large for young, highly educated workers (Montaigne forthcoming; Figure </w:t>
      </w:r>
      <w:r w:rsidR="00CB08CE" w:rsidRPr="001548E1">
        <w:t>11</w:t>
      </w:r>
      <w:r w:rsidR="008E7718" w:rsidRPr="001548E1">
        <w:t>)</w:t>
      </w:r>
      <w:r w:rsidR="001A43BA" w:rsidRPr="001548E1">
        <w:t xml:space="preserve">, </w:t>
      </w:r>
      <w:r w:rsidRPr="001548E1">
        <w:t>consistent with the idea</w:t>
      </w:r>
      <w:r w:rsidR="001A43BA" w:rsidRPr="001548E1">
        <w:t xml:space="preserve"> that the ability of university graduates to undo poor initial matches </w:t>
      </w:r>
      <w:r w:rsidR="00554FD1">
        <w:t>may</w:t>
      </w:r>
      <w:r w:rsidR="001A43BA">
        <w:t xml:space="preserve"> have declined.</w:t>
      </w:r>
    </w:p>
    <w:p w14:paraId="20A19122" w14:textId="77777777" w:rsidR="00BC0C93" w:rsidRPr="001548E1" w:rsidRDefault="00BC0C93" w:rsidP="00BC0C93">
      <w:pPr>
        <w:jc w:val="both"/>
      </w:pPr>
      <w:r>
        <w:t xml:space="preserve">This further highlights </w:t>
      </w:r>
      <w:r w:rsidRPr="001548E1">
        <w:t>the importance in trying to understand the decline in labour market dynamism documented in Australia. Ongoing Treasury research examines a range of explanations, such as demographic change (Montaigne forthcoming) and better matching that lowers the need to switch jobs (Bradshaw forthcoming). Future research that examines other explanations, such as product and labour market competition and firm dynamism, could yield valuable insights for a number of reasons:</w:t>
      </w:r>
    </w:p>
    <w:p w14:paraId="71498E8E" w14:textId="77777777" w:rsidR="00BC0C93" w:rsidRPr="001548E1" w:rsidRDefault="00BC0C93" w:rsidP="00BC0C93">
      <w:pPr>
        <w:pStyle w:val="Bullet"/>
        <w:spacing w:after="120"/>
        <w:ind w:left="612" w:hanging="612"/>
      </w:pPr>
      <w:r w:rsidRPr="001548E1">
        <w:lastRenderedPageBreak/>
        <w:t xml:space="preserve">First, new firms create scope for job switching by providing workers with new outside options but there has been a structural decline in the firm entry rates and young firm employment share. </w:t>
      </w:r>
    </w:p>
    <w:p w14:paraId="2DEEC92F" w14:textId="77777777" w:rsidR="00BC0C93" w:rsidRPr="001548E1" w:rsidRDefault="00BC0C93" w:rsidP="00BC0C93">
      <w:pPr>
        <w:pStyle w:val="Bullet"/>
        <w:spacing w:after="120"/>
        <w:ind w:left="612" w:hanging="612"/>
      </w:pPr>
      <w:r w:rsidRPr="001548E1">
        <w:t xml:space="preserve">Second, young workers are more likely to be employed at young firms (Andrews 2019; </w:t>
      </w:r>
      <w:proofErr w:type="spellStart"/>
      <w:r w:rsidRPr="001548E1">
        <w:t>Ouimet</w:t>
      </w:r>
      <w:proofErr w:type="spellEnd"/>
      <w:r w:rsidRPr="001548E1">
        <w:t xml:space="preserve"> and </w:t>
      </w:r>
      <w:proofErr w:type="spellStart"/>
      <w:r w:rsidRPr="001548E1">
        <w:t>Zarutskie</w:t>
      </w:r>
      <w:proofErr w:type="spellEnd"/>
      <w:r w:rsidRPr="001548E1">
        <w:t xml:space="preserve"> 2014).</w:t>
      </w:r>
    </w:p>
    <w:p w14:paraId="3CA8E39F" w14:textId="77777777" w:rsidR="00BC0C93" w:rsidRPr="001548E1" w:rsidRDefault="00BC0C93" w:rsidP="00BC0C93">
      <w:pPr>
        <w:pStyle w:val="Bullet"/>
        <w:spacing w:after="120"/>
        <w:ind w:left="612" w:hanging="612"/>
      </w:pPr>
      <w:r w:rsidRPr="001548E1">
        <w:t>Third, much of the decline in the aggregate job switching rate in Australia appears to reflect a reduction in worker transitions from mature firms to young firms (Quinn, 2019)</w:t>
      </w:r>
      <w:r>
        <w:t>.</w:t>
      </w:r>
    </w:p>
    <w:p w14:paraId="3631128B" w14:textId="77777777" w:rsidR="00BC0C93" w:rsidRDefault="00BC0C93" w:rsidP="00937C87">
      <w:pPr>
        <w:spacing w:after="360"/>
        <w:jc w:val="both"/>
      </w:pPr>
      <w:r w:rsidRPr="00BC0C93">
        <w:t xml:space="preserve">But it is also possible that heightened risk aversion and uncertainty could be relevant to the decline in job switching (Lowe, 2018; Foster and </w:t>
      </w:r>
      <w:proofErr w:type="spellStart"/>
      <w:r w:rsidRPr="00BC0C93">
        <w:t>Guttman</w:t>
      </w:r>
      <w:proofErr w:type="spellEnd"/>
      <w:r w:rsidRPr="00BC0C93">
        <w:t>, 2018), suggesting further research on this area could be relevant for understanding the longer run effects of short run shocks.</w:t>
      </w:r>
    </w:p>
    <w:p w14:paraId="13A138CA" w14:textId="77777777" w:rsidR="007F7B77" w:rsidRDefault="00CB08CE" w:rsidP="000E7CDB">
      <w:pPr>
        <w:pStyle w:val="CaptionHeading1"/>
      </w:pPr>
      <w:r>
        <w:t>Figure 11</w:t>
      </w:r>
      <w:r w:rsidR="007F7B77">
        <w:t>: Job</w:t>
      </w:r>
      <w:r w:rsidR="006E4AC4">
        <w:noBreakHyphen/>
      </w:r>
      <w:r w:rsidR="007F7B77">
        <w:t>switching rates by age group and educational attainment</w:t>
      </w:r>
    </w:p>
    <w:p w14:paraId="2B0C4C24" w14:textId="77777777" w:rsidR="0077428F" w:rsidRDefault="0077428F" w:rsidP="000E7CDB">
      <w:pPr>
        <w:pStyle w:val="Captiongraphic"/>
      </w:pPr>
      <w:r w:rsidRPr="0077428F">
        <w:rPr>
          <w:noProof/>
          <w:lang w:eastAsia="en-AU"/>
        </w:rPr>
        <w:drawing>
          <wp:inline distT="0" distB="0" distL="0" distR="0" wp14:anchorId="21B1C938" wp14:editId="3C811AB9">
            <wp:extent cx="5210175" cy="24193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210175" cy="2419350"/>
                    </a:xfrm>
                    <a:prstGeom prst="rect">
                      <a:avLst/>
                    </a:prstGeom>
                    <a:noFill/>
                    <a:ln>
                      <a:noFill/>
                    </a:ln>
                  </pic:spPr>
                </pic:pic>
              </a:graphicData>
            </a:graphic>
          </wp:inline>
        </w:drawing>
      </w:r>
    </w:p>
    <w:p w14:paraId="11D1C1BF" w14:textId="77777777" w:rsidR="007F7B77" w:rsidRDefault="007F7B77" w:rsidP="007F7B77">
      <w:pPr>
        <w:pStyle w:val="Chartnote"/>
      </w:pPr>
      <w:r>
        <w:t xml:space="preserve">Source: </w:t>
      </w:r>
      <w:r w:rsidR="00E16CD9">
        <w:t>Treasury analysis of ABS Participation, Job Search and Mobility, Australia (cat. No. 6226.0), various years</w:t>
      </w:r>
      <w:r w:rsidR="00A81231">
        <w:t>; Montaigne (forthcoming)</w:t>
      </w:r>
      <w:r w:rsidR="00E16CD9">
        <w:t xml:space="preserve">. </w:t>
      </w:r>
    </w:p>
    <w:p w14:paraId="3702667F" w14:textId="77777777" w:rsidR="00F012EA" w:rsidRDefault="00B53A18" w:rsidP="00A57848">
      <w:pPr>
        <w:pStyle w:val="Heading2"/>
      </w:pPr>
      <w:r>
        <w:t xml:space="preserve">7. </w:t>
      </w:r>
      <w:r w:rsidR="00562F61">
        <w:t>Conclusion</w:t>
      </w:r>
    </w:p>
    <w:p w14:paraId="7222F31F" w14:textId="77777777" w:rsidR="007E2D92" w:rsidRDefault="007E2D92" w:rsidP="007E2D92">
      <w:pPr>
        <w:jc w:val="both"/>
        <w:rPr>
          <w:rFonts w:asciiTheme="minorHAnsi" w:hAnsiTheme="minorHAnsi"/>
          <w:color w:val="auto"/>
        </w:rPr>
      </w:pPr>
      <w:r>
        <w:t xml:space="preserve">Recent empirical studies spanning North America, Japan, United Kingdom and Europe show that individuals who enter the </w:t>
      </w:r>
      <w:r w:rsidRPr="000A7C46">
        <w:t xml:space="preserve">labour market during downturns experience scarring effects that can reduce their earnings for up to ten years after graduation. </w:t>
      </w:r>
      <w:r w:rsidR="00DC06BD" w:rsidRPr="000A7C46">
        <w:t>The global economic fallout from the COVID</w:t>
      </w:r>
      <w:r w:rsidR="006E4AC4">
        <w:noBreakHyphen/>
      </w:r>
      <w:r w:rsidR="00DC06BD" w:rsidRPr="000A7C46">
        <w:t>19 pandemic, with associated sharp rise in unemployment rates, makes such findings particularly pertinent</w:t>
      </w:r>
      <w:r w:rsidR="006E4AC4">
        <w:t xml:space="preserve">. </w:t>
      </w:r>
      <w:r w:rsidRPr="000A7C46">
        <w:t>In this paper, we find evidence for this phenomenon in the Australian setting. Our baseline results that imply that a 5 percentage point</w:t>
      </w:r>
      <w:r>
        <w:t xml:space="preserve"> rise in the state youth unemployment rate</w:t>
      </w:r>
      <w:r w:rsidR="006E4AC4">
        <w:t xml:space="preserve"> — </w:t>
      </w:r>
      <w:r>
        <w:t xml:space="preserve">a typical contractionary episode in </w:t>
      </w:r>
      <w:r w:rsidR="00E44886">
        <w:t>our data</w:t>
      </w:r>
      <w:r w:rsidR="006E4AC4">
        <w:t xml:space="preserve"> — </w:t>
      </w:r>
      <w:r w:rsidR="00E44886">
        <w:t xml:space="preserve">is associated with </w:t>
      </w:r>
      <w:r>
        <w:t>declines in earnings and the employment</w:t>
      </w:r>
      <w:r w:rsidR="006E4AC4">
        <w:noBreakHyphen/>
      </w:r>
      <w:r>
        <w:t>to</w:t>
      </w:r>
      <w:r w:rsidR="006E4AC4">
        <w:noBreakHyphen/>
      </w:r>
      <w:r>
        <w:t xml:space="preserve">population ratio of an </w:t>
      </w:r>
      <w:r w:rsidR="00514815">
        <w:t>8</w:t>
      </w:r>
      <w:r>
        <w:t xml:space="preserve"> and 3½ per cent respectively in the initial year. The implied loss th</w:t>
      </w:r>
      <w:r w:rsidR="00176EAD">
        <w:t>e</w:t>
      </w:r>
      <w:r>
        <w:t>n declines to 3</w:t>
      </w:r>
      <w:r w:rsidR="00A00042">
        <w:t xml:space="preserve">½ </w:t>
      </w:r>
      <w:r>
        <w:t xml:space="preserve">and </w:t>
      </w:r>
      <w:r w:rsidR="00A00042">
        <w:t xml:space="preserve">¾ </w:t>
      </w:r>
      <w:r>
        <w:t xml:space="preserve">per cent respectively after five years, before fading to around zero ten years on. Importantly, </w:t>
      </w:r>
      <w:r w:rsidR="00200DB7">
        <w:t xml:space="preserve">we show that these results </w:t>
      </w:r>
      <w:r w:rsidR="007364AA">
        <w:t xml:space="preserve">cannot be explained away by: </w:t>
      </w:r>
      <w:proofErr w:type="spellStart"/>
      <w:r w:rsidR="007364AA" w:rsidRPr="007364AA">
        <w:rPr>
          <w:i/>
        </w:rPr>
        <w:t>i</w:t>
      </w:r>
      <w:proofErr w:type="spellEnd"/>
      <w:r w:rsidR="007364AA">
        <w:t>)</w:t>
      </w:r>
      <w:r w:rsidR="00200DB7">
        <w:t xml:space="preserve"> selection </w:t>
      </w:r>
      <w:r w:rsidR="0002559B">
        <w:t xml:space="preserve">effects which induce further education or migration </w:t>
      </w:r>
      <w:r w:rsidR="00200DB7">
        <w:t>due to the state of the business cycle</w:t>
      </w:r>
      <w:r w:rsidR="007364AA">
        <w:t>;</w:t>
      </w:r>
      <w:r w:rsidR="0002559B">
        <w:t xml:space="preserve"> and </w:t>
      </w:r>
      <w:r w:rsidR="007364AA" w:rsidRPr="007364AA">
        <w:rPr>
          <w:i/>
        </w:rPr>
        <w:t>ii</w:t>
      </w:r>
      <w:r w:rsidR="007364AA">
        <w:t>) controlling for the future path of the unemployment rate.</w:t>
      </w:r>
    </w:p>
    <w:p w14:paraId="41D5D610" w14:textId="77777777" w:rsidR="007E2D92" w:rsidRDefault="007E2D92" w:rsidP="007E2D92">
      <w:pPr>
        <w:jc w:val="both"/>
      </w:pPr>
      <w:r>
        <w:t>Overall, a picture emerges whereby shocks that</w:t>
      </w:r>
      <w:r>
        <w:rPr>
          <w:lang w:val="en-US" w:eastAsia="en-AU"/>
        </w:rPr>
        <w:t xml:space="preserve"> hit workers at the start of their careers are more important than those that hit later. But </w:t>
      </w:r>
      <w:r w:rsidR="007364AA">
        <w:rPr>
          <w:lang w:val="en-US" w:eastAsia="en-AU"/>
        </w:rPr>
        <w:t xml:space="preserve">we also uncover </w:t>
      </w:r>
      <w:r>
        <w:rPr>
          <w:lang w:val="en-US" w:eastAsia="en-AU"/>
        </w:rPr>
        <w:t>h</w:t>
      </w:r>
      <w:proofErr w:type="spellStart"/>
      <w:r>
        <w:t>eterogeneous</w:t>
      </w:r>
      <w:proofErr w:type="spellEnd"/>
      <w:r>
        <w:t xml:space="preserve"> effects. First, scarring is less prevalent for </w:t>
      </w:r>
      <w:r w:rsidR="00C416DB">
        <w:t xml:space="preserve">graduates </w:t>
      </w:r>
      <w:r>
        <w:t xml:space="preserve">with Honours/Postgraduate degrees </w:t>
      </w:r>
      <w:r w:rsidR="00225632">
        <w:t xml:space="preserve">(than </w:t>
      </w:r>
      <w:r w:rsidR="00FD6CB9">
        <w:t>a b</w:t>
      </w:r>
      <w:r>
        <w:t>achelor</w:t>
      </w:r>
      <w:r w:rsidR="006E4AC4">
        <w:t>’</w:t>
      </w:r>
      <w:r>
        <w:t>s degree</w:t>
      </w:r>
      <w:r w:rsidR="00225632">
        <w:t>)</w:t>
      </w:r>
      <w:r>
        <w:t xml:space="preserve"> and </w:t>
      </w:r>
      <w:r w:rsidR="00C416DB">
        <w:t>from</w:t>
      </w:r>
      <w:r>
        <w:t xml:space="preserve"> Group of Eight universities </w:t>
      </w:r>
      <w:r w:rsidR="00225632">
        <w:t xml:space="preserve">(than </w:t>
      </w:r>
      <w:r>
        <w:t>from other universities</w:t>
      </w:r>
      <w:r w:rsidR="00225632">
        <w:t>)</w:t>
      </w:r>
      <w:r>
        <w:t xml:space="preserve">. This is </w:t>
      </w:r>
      <w:r>
        <w:rPr>
          <w:lang w:val="en-US" w:eastAsia="en-AU"/>
        </w:rPr>
        <w:t xml:space="preserve">consistent with international evidence which shows that those with higher expected earnings are less vulnerable to shocks. Second, older graduates, who may already have a foothold in the </w:t>
      </w:r>
      <w:proofErr w:type="spellStart"/>
      <w:r>
        <w:rPr>
          <w:lang w:val="en-US" w:eastAsia="en-AU"/>
        </w:rPr>
        <w:t>labour</w:t>
      </w:r>
      <w:proofErr w:type="spellEnd"/>
      <w:r>
        <w:rPr>
          <w:lang w:val="en-US" w:eastAsia="en-AU"/>
        </w:rPr>
        <w:t xml:space="preserve"> market, </w:t>
      </w:r>
      <w:r w:rsidR="00D33888">
        <w:rPr>
          <w:lang w:val="en-US" w:eastAsia="en-AU"/>
        </w:rPr>
        <w:t>are less affected by scarring</w:t>
      </w:r>
      <w:r>
        <w:rPr>
          <w:lang w:val="en-US" w:eastAsia="en-AU"/>
        </w:rPr>
        <w:t xml:space="preserve">. </w:t>
      </w:r>
      <w:r w:rsidR="00D33888">
        <w:rPr>
          <w:lang w:val="en-US" w:eastAsia="en-AU"/>
        </w:rPr>
        <w:t>Third</w:t>
      </w:r>
      <w:r>
        <w:rPr>
          <w:lang w:val="en-US" w:eastAsia="en-AU"/>
        </w:rPr>
        <w:t xml:space="preserve">, </w:t>
      </w:r>
      <w:r w:rsidR="00DD23D8">
        <w:t>scarring is more modest for young individuals who do not attend university</w:t>
      </w:r>
      <w:r w:rsidR="00D12738">
        <w:t xml:space="preserve"> (compared to </w:t>
      </w:r>
      <w:r w:rsidR="00DD23D8">
        <w:t>university graduates</w:t>
      </w:r>
      <w:r w:rsidR="00D12738">
        <w:t xml:space="preserve">), </w:t>
      </w:r>
      <w:r w:rsidR="00975799">
        <w:lastRenderedPageBreak/>
        <w:t xml:space="preserve">which </w:t>
      </w:r>
      <w:r w:rsidR="00D12738">
        <w:t>s</w:t>
      </w:r>
      <w:r w:rsidR="00DD23D8">
        <w:t xml:space="preserve">uggests that the scarring mechanism underlying our results relates to </w:t>
      </w:r>
      <w:r w:rsidR="003436D5">
        <w:t xml:space="preserve">poor </w:t>
      </w:r>
      <w:r w:rsidR="00DD23D8">
        <w:t>match quality and/or human capital depreciation</w:t>
      </w:r>
      <w:r w:rsidR="00DD23D8">
        <w:rPr>
          <w:lang w:val="en-US" w:eastAsia="en-AU"/>
        </w:rPr>
        <w:t xml:space="preserve">. </w:t>
      </w:r>
      <w:r w:rsidR="00B328ED">
        <w:rPr>
          <w:lang w:val="en-US" w:eastAsia="en-AU"/>
        </w:rPr>
        <w:t>Fourth</w:t>
      </w:r>
      <w:r w:rsidR="00DD23D8">
        <w:rPr>
          <w:lang w:val="en-US" w:eastAsia="en-AU"/>
        </w:rPr>
        <w:t xml:space="preserve">, </w:t>
      </w:r>
      <w:r>
        <w:rPr>
          <w:lang w:val="en-US" w:eastAsia="en-AU"/>
        </w:rPr>
        <w:t xml:space="preserve">female graduates experience more persistent </w:t>
      </w:r>
      <w:proofErr w:type="spellStart"/>
      <w:r>
        <w:rPr>
          <w:lang w:val="en-US" w:eastAsia="en-AU"/>
        </w:rPr>
        <w:t>labour</w:t>
      </w:r>
      <w:proofErr w:type="spellEnd"/>
      <w:r>
        <w:rPr>
          <w:lang w:val="en-US" w:eastAsia="en-AU"/>
        </w:rPr>
        <w:t xml:space="preserve"> market scarring. </w:t>
      </w:r>
      <w:r w:rsidR="003F5C9F">
        <w:t xml:space="preserve">Finally, scarring effects are more prominent and permanent for individuals who graduated </w:t>
      </w:r>
      <w:r w:rsidR="00F3008E">
        <w:t xml:space="preserve">after </w:t>
      </w:r>
      <w:r w:rsidR="003F5C9F">
        <w:t>2000.</w:t>
      </w:r>
    </w:p>
    <w:p w14:paraId="4381E992" w14:textId="77777777" w:rsidR="007465DF" w:rsidRDefault="007125E9" w:rsidP="007E2D92">
      <w:pPr>
        <w:jc w:val="both"/>
      </w:pPr>
      <w:r>
        <w:t>A</w:t>
      </w:r>
      <w:r w:rsidR="0051263E">
        <w:t xml:space="preserve"> key </w:t>
      </w:r>
      <w:r>
        <w:t>channel</w:t>
      </w:r>
      <w:r w:rsidR="0051263E">
        <w:t xml:space="preserve"> underpinning our results is the propensity for a</w:t>
      </w:r>
      <w:r w:rsidR="007E2D92">
        <w:t>dverse cyclical shocks to disrupt the efficien</w:t>
      </w:r>
      <w:r w:rsidR="00975799">
        <w:t xml:space="preserve">cy of </w:t>
      </w:r>
      <w:r w:rsidR="007E2D92">
        <w:t>t</w:t>
      </w:r>
      <w:r w:rsidR="00975799">
        <w:t>he</w:t>
      </w:r>
      <w:r w:rsidR="007E2D92">
        <w:t xml:space="preserve"> matching process. We show that graduates</w:t>
      </w:r>
      <w:r w:rsidR="0051263E">
        <w:t>, especially young women, wh</w:t>
      </w:r>
      <w:r w:rsidR="00176EAD">
        <w:t>o</w:t>
      </w:r>
      <w:r w:rsidR="007E2D92">
        <w:t xml:space="preserve"> enter the labour market during downturns initially find work </w:t>
      </w:r>
      <w:r w:rsidR="00340525">
        <w:t xml:space="preserve">(or remain in work) </w:t>
      </w:r>
      <w:r w:rsidR="007E2D92">
        <w:t>at lower productivity</w:t>
      </w:r>
      <w:r w:rsidR="006E4AC4">
        <w:t xml:space="preserve"> — </w:t>
      </w:r>
      <w:r w:rsidR="007E2D92">
        <w:t>and thus lower paying</w:t>
      </w:r>
      <w:r w:rsidR="006E4AC4">
        <w:t xml:space="preserve"> — </w:t>
      </w:r>
      <w:r w:rsidR="007E2D92">
        <w:t xml:space="preserve">firms. Over time, however, this negative firm productivity differential shrinks, which underpins the process of earnings recovery, given the strong link </w:t>
      </w:r>
      <w:r w:rsidR="007A79C3">
        <w:t xml:space="preserve">between </w:t>
      </w:r>
      <w:r w:rsidR="007E2D92">
        <w:t xml:space="preserve">worker wages and firm productivity (Treasury 2017; </w:t>
      </w:r>
      <w:r w:rsidR="00305F7A">
        <w:t xml:space="preserve">Andrews </w:t>
      </w:r>
      <w:r w:rsidR="00AE543B">
        <w:t>et al</w:t>
      </w:r>
      <w:r w:rsidR="007E2D92">
        <w:t>, 2019).</w:t>
      </w:r>
    </w:p>
    <w:p w14:paraId="69EA63FF" w14:textId="77777777" w:rsidR="007125E9" w:rsidRDefault="007E2D92" w:rsidP="007E2D92">
      <w:pPr>
        <w:jc w:val="both"/>
      </w:pPr>
      <w:r>
        <w:t xml:space="preserve">Labour </w:t>
      </w:r>
      <w:r w:rsidR="000443CD">
        <w:t>market dynamism</w:t>
      </w:r>
      <w:r>
        <w:t xml:space="preserve"> </w:t>
      </w:r>
      <w:r w:rsidR="00F3008E">
        <w:t>i</w:t>
      </w:r>
      <w:r>
        <w:t>s a key mechanism under</w:t>
      </w:r>
      <w:r w:rsidR="004F6EAD">
        <w:t>ly</w:t>
      </w:r>
      <w:r>
        <w:t>ing this catch</w:t>
      </w:r>
      <w:r w:rsidR="006E4AC4">
        <w:noBreakHyphen/>
      </w:r>
      <w:r>
        <w:t>up process</w:t>
      </w:r>
      <w:r w:rsidR="0049120E">
        <w:t xml:space="preserve">. While </w:t>
      </w:r>
      <w:r w:rsidR="007125E9">
        <w:t>individuals that graduate in weaker economic times initially have lower job switching rates</w:t>
      </w:r>
      <w:r w:rsidR="0049120E">
        <w:t xml:space="preserve">, switching rates </w:t>
      </w:r>
      <w:r w:rsidR="00C70150">
        <w:t xml:space="preserve">eventually </w:t>
      </w:r>
      <w:r w:rsidR="0049120E">
        <w:t>rise relative to the control group, which allows such workers to move to higher productivity firms and better paying jobs</w:t>
      </w:r>
      <w:r w:rsidR="00975799">
        <w:t xml:space="preserve">. </w:t>
      </w:r>
      <w:r w:rsidR="003F5C9F">
        <w:t xml:space="preserve">A key implication is that </w:t>
      </w:r>
      <w:r w:rsidR="004F6EAD">
        <w:t>factors which supress</w:t>
      </w:r>
      <w:r w:rsidR="003F5C9F">
        <w:t xml:space="preserve"> </w:t>
      </w:r>
      <w:r w:rsidR="00A82F7A">
        <w:t xml:space="preserve">labour market </w:t>
      </w:r>
      <w:r w:rsidR="000443CD">
        <w:t>dynamism</w:t>
      </w:r>
      <w:r w:rsidR="003F5C9F">
        <w:t xml:space="preserve"> will make it more difficult to underdo the damage of initial poor match quality</w:t>
      </w:r>
      <w:r w:rsidR="00A82F7A">
        <w:t xml:space="preserve"> and thus exacerbate scarring effects, potentially explaining two sources of heterogeneity. First,</w:t>
      </w:r>
      <w:r w:rsidR="00A755F0">
        <w:t xml:space="preserve"> in the aftermath of graduating into weak labour market, women switch jobs less frequently than men, which </w:t>
      </w:r>
      <w:r w:rsidR="00A82F7A">
        <w:t>may</w:t>
      </w:r>
      <w:r w:rsidR="00A755F0">
        <w:t xml:space="preserve"> explain why </w:t>
      </w:r>
      <w:r w:rsidR="004F6EAD">
        <w:rPr>
          <w:lang w:val="en-US" w:eastAsia="en-AU"/>
        </w:rPr>
        <w:t>scarring effects are m</w:t>
      </w:r>
      <w:r w:rsidR="00A755F0">
        <w:rPr>
          <w:lang w:val="en-US" w:eastAsia="en-AU"/>
        </w:rPr>
        <w:t xml:space="preserve">ore persistent </w:t>
      </w:r>
      <w:r w:rsidR="004F6EAD">
        <w:rPr>
          <w:lang w:val="en-US" w:eastAsia="en-AU"/>
        </w:rPr>
        <w:t>for women</w:t>
      </w:r>
      <w:r w:rsidR="00A755F0">
        <w:rPr>
          <w:lang w:val="en-US" w:eastAsia="en-AU"/>
        </w:rPr>
        <w:t>.</w:t>
      </w:r>
      <w:r w:rsidR="007465DF">
        <w:t xml:space="preserve"> </w:t>
      </w:r>
      <w:r w:rsidR="00A82F7A">
        <w:t>Second, there has been a structural decline in job switching rates over the past 30</w:t>
      </w:r>
      <w:r w:rsidR="00340525">
        <w:t> </w:t>
      </w:r>
      <w:r w:rsidR="00A82F7A">
        <w:t>years, which may explain why scarring effects are more prominent since 2000.</w:t>
      </w:r>
    </w:p>
    <w:p w14:paraId="600B254C" w14:textId="77777777" w:rsidR="008D2F3B" w:rsidRDefault="008D2F3B" w:rsidP="00731B90">
      <w:pPr>
        <w:jc w:val="both"/>
      </w:pPr>
      <w:r>
        <w:t>To the extent that we have provided a credible account of the scarring process, then what are the policy implications of our work?</w:t>
      </w:r>
    </w:p>
    <w:p w14:paraId="26A2B186" w14:textId="77777777" w:rsidR="00524222" w:rsidRDefault="00524222" w:rsidP="00731B90">
      <w:pPr>
        <w:jc w:val="both"/>
      </w:pPr>
      <w:r>
        <w:t>First,</w:t>
      </w:r>
      <w:r w:rsidR="00764455">
        <w:t xml:space="preserve"> our results</w:t>
      </w:r>
      <w:r w:rsidR="006E4AC4">
        <w:t xml:space="preserve"> — </w:t>
      </w:r>
      <w:r w:rsidR="00764455">
        <w:t>w</w:t>
      </w:r>
      <w:r>
        <w:t>hile only focuse</w:t>
      </w:r>
      <w:r w:rsidR="00764455">
        <w:t>d</w:t>
      </w:r>
      <w:r>
        <w:t xml:space="preserve"> on a subset of the workforce</w:t>
      </w:r>
      <w:r w:rsidR="006E4AC4">
        <w:t xml:space="preserve"> — </w:t>
      </w:r>
      <w:r w:rsidR="00A56238">
        <w:t>lend</w:t>
      </w:r>
      <w:r>
        <w:t xml:space="preserve"> further support for the notion that structural factors may have weighed on wage growth in Australia (</w:t>
      </w:r>
      <w:r w:rsidR="00305F7A">
        <w:t xml:space="preserve">Andrews </w:t>
      </w:r>
      <w:r w:rsidR="00AE543B">
        <w:t>et al,</w:t>
      </w:r>
      <w:r>
        <w:t xml:space="preserve"> 2019)</w:t>
      </w:r>
      <w:r w:rsidR="00340525">
        <w:t xml:space="preserve">. </w:t>
      </w:r>
      <w:r w:rsidR="00783DD9">
        <w:t>One consequence of lower</w:t>
      </w:r>
      <w:r w:rsidR="00340525">
        <w:t xml:space="preserve"> labour market</w:t>
      </w:r>
      <w:r w:rsidR="00F609F6">
        <w:t xml:space="preserve"> dynamism</w:t>
      </w:r>
      <w:r w:rsidR="00340525">
        <w:t xml:space="preserve"> </w:t>
      </w:r>
      <w:r w:rsidR="00C74E9F">
        <w:t xml:space="preserve">is that </w:t>
      </w:r>
      <w:r w:rsidR="00340525">
        <w:t>young workers that</w:t>
      </w:r>
      <w:r w:rsidR="00087D13">
        <w:t xml:space="preserve"> </w:t>
      </w:r>
      <w:r w:rsidR="00340525">
        <w:t xml:space="preserve">graduated into the </w:t>
      </w:r>
      <w:r w:rsidR="00F609F6">
        <w:t>softer</w:t>
      </w:r>
      <w:r w:rsidR="00340525">
        <w:t xml:space="preserve"> youth labour markets evident during and </w:t>
      </w:r>
      <w:r w:rsidR="00087D13">
        <w:t>after</w:t>
      </w:r>
      <w:r w:rsidR="00340525">
        <w:t xml:space="preserve"> the GFC</w:t>
      </w:r>
      <w:r w:rsidR="0075534F">
        <w:t xml:space="preserve"> </w:t>
      </w:r>
      <w:r w:rsidR="00C74E9F">
        <w:t>may</w:t>
      </w:r>
      <w:r w:rsidR="00F609F6">
        <w:t xml:space="preserve"> have remained in lower productivity, lower wage jobs for longe</w:t>
      </w:r>
      <w:r w:rsidR="00413EA9">
        <w:t>r. This would have weighted on wages and productivity growth, and would be</w:t>
      </w:r>
      <w:r>
        <w:t xml:space="preserve"> consistent with the idea that the response of wages to improved labour market conditions has been slower and more muted than in past cycles (MYEFO, 2018</w:t>
      </w:r>
      <w:r w:rsidR="00413EA9">
        <w:t xml:space="preserve">). Given the relatively persistent effects on wages, this is therefore </w:t>
      </w:r>
      <w:r w:rsidR="00A56238">
        <w:t xml:space="preserve">relevant from </w:t>
      </w:r>
      <w:r w:rsidR="00897DC1">
        <w:t xml:space="preserve">a </w:t>
      </w:r>
      <w:r w:rsidR="00A56238">
        <w:t>macroeconomic forecasting perspective</w:t>
      </w:r>
      <w:r w:rsidR="007E2D92">
        <w:t>.</w:t>
      </w:r>
      <w:r w:rsidR="008D2F3B">
        <w:t xml:space="preserve"> </w:t>
      </w:r>
      <w:r w:rsidR="0027368E">
        <w:t xml:space="preserve">The results </w:t>
      </w:r>
      <w:r w:rsidR="00373C34">
        <w:t xml:space="preserve">may also provide an argument in support of </w:t>
      </w:r>
      <w:r w:rsidR="00C90813">
        <w:t>timely and</w:t>
      </w:r>
      <w:r w:rsidR="00373C34">
        <w:t xml:space="preserve"> well</w:t>
      </w:r>
      <w:r w:rsidR="006E4AC4">
        <w:noBreakHyphen/>
      </w:r>
      <w:r w:rsidR="00373C34">
        <w:t xml:space="preserve">designed </w:t>
      </w:r>
      <w:r w:rsidR="008D2F3B">
        <w:t>counter</w:t>
      </w:r>
      <w:r w:rsidR="006E4AC4">
        <w:noBreakHyphen/>
      </w:r>
      <w:r w:rsidR="008D2F3B">
        <w:t xml:space="preserve">cyclical macroeconomic </w:t>
      </w:r>
      <w:r w:rsidR="00373C34">
        <w:t xml:space="preserve">policies </w:t>
      </w:r>
      <w:r w:rsidR="0005695B">
        <w:t xml:space="preserve">to cushion the effect on workers (Rothstein 2019) </w:t>
      </w:r>
      <w:r w:rsidR="005B76E0">
        <w:t>which is</w:t>
      </w:r>
      <w:r w:rsidR="0005695B">
        <w:t xml:space="preserve"> particularly</w:t>
      </w:r>
      <w:r w:rsidR="00C90813">
        <w:t xml:space="preserve"> relevant given the COVID</w:t>
      </w:r>
      <w:r w:rsidR="006E4AC4">
        <w:noBreakHyphen/>
      </w:r>
      <w:r w:rsidR="00C90813">
        <w:t>19 shock that is currently propagating onto the Australian economy</w:t>
      </w:r>
      <w:r w:rsidR="0005695B">
        <w:t>.</w:t>
      </w:r>
    </w:p>
    <w:p w14:paraId="4A811E26" w14:textId="77777777" w:rsidR="009C09AE" w:rsidRDefault="007E2D92" w:rsidP="009C09AE">
      <w:pPr>
        <w:jc w:val="both"/>
      </w:pPr>
      <w:r>
        <w:t xml:space="preserve">Second, </w:t>
      </w:r>
      <w:r w:rsidR="009C09AE">
        <w:t xml:space="preserve">while the decline in labour market </w:t>
      </w:r>
      <w:r w:rsidR="000443CD">
        <w:t>dynamism</w:t>
      </w:r>
      <w:r w:rsidR="009C09AE">
        <w:t xml:space="preserve"> is likely to exacerbate the scarring effects from graduating in a downturn, it is also relevant for understanding </w:t>
      </w:r>
      <w:r w:rsidR="00774338">
        <w:t>why productivity growth has slowed in Australia</w:t>
      </w:r>
      <w:r w:rsidR="009C09AE">
        <w:t>. In this regard, perhaps one</w:t>
      </w:r>
      <w:r w:rsidR="006E4AC4">
        <w:noBreakHyphen/>
      </w:r>
      <w:r w:rsidR="009C09AE">
        <w:t xml:space="preserve">quarter of the slowdown in market sector labour productivity growth since 2012 </w:t>
      </w:r>
      <w:r w:rsidR="002732CF">
        <w:t>reflects the declining likelihood</w:t>
      </w:r>
      <w:r w:rsidR="009C09AE">
        <w:t xml:space="preserve"> that more productive firms expand and less productive firms </w:t>
      </w:r>
      <w:r w:rsidR="000443CD">
        <w:t>shed labour</w:t>
      </w:r>
      <w:r w:rsidR="009C09AE">
        <w:t xml:space="preserve"> or exit</w:t>
      </w:r>
      <w:r w:rsidR="000443CD">
        <w:t xml:space="preserve"> (Andrews and Hansell, 2019)</w:t>
      </w:r>
      <w:r w:rsidR="009C09AE">
        <w:t>.</w:t>
      </w:r>
      <w:r w:rsidR="000443CD">
        <w:t xml:space="preserve"> While there are plausible reasons for why declin</w:t>
      </w:r>
      <w:r w:rsidR="00192E78">
        <w:t>ing</w:t>
      </w:r>
      <w:r w:rsidR="000443CD">
        <w:t xml:space="preserve"> market dynamism may be innocuous, it is also consistent with a rise in adjustment frictions</w:t>
      </w:r>
      <w:r w:rsidR="006E4AC4">
        <w:t xml:space="preserve"> — </w:t>
      </w:r>
      <w:r w:rsidR="000443CD">
        <w:t>including barriers to labour mobility and competition</w:t>
      </w:r>
      <w:r w:rsidR="006E4AC4">
        <w:t xml:space="preserve"> — </w:t>
      </w:r>
      <w:r w:rsidR="000443CD">
        <w:t>that slow</w:t>
      </w:r>
      <w:r w:rsidR="0075534F">
        <w:t xml:space="preserve"> </w:t>
      </w:r>
      <w:r w:rsidR="000443CD">
        <w:t>down firm responsiveness</w:t>
      </w:r>
      <w:r w:rsidR="009C09AE">
        <w:t>.</w:t>
      </w:r>
      <w:r w:rsidR="00192E78">
        <w:t xml:space="preserve"> High priority should be placed on investigating these potential frictions as the decline in reallocation from less productive to more productive firms is holding down overall productivity growth</w:t>
      </w:r>
      <w:r w:rsidR="007E4F9A">
        <w:t>. It also</w:t>
      </w:r>
      <w:r w:rsidR="00192E78">
        <w:t xml:space="preserve"> implies</w:t>
      </w:r>
      <w:r w:rsidR="007E4F9A">
        <w:t xml:space="preserve"> that</w:t>
      </w:r>
      <w:r w:rsidR="00192E78">
        <w:t xml:space="preserve"> fewer high paying jobs are being created than otherwise, given that high</w:t>
      </w:r>
      <w:r w:rsidR="006E4AC4">
        <w:noBreakHyphen/>
      </w:r>
      <w:r w:rsidR="00192E78">
        <w:t>productivity firms pay higher wages</w:t>
      </w:r>
      <w:r w:rsidR="00AD2375">
        <w:t>.</w:t>
      </w:r>
    </w:p>
    <w:p w14:paraId="566E61AF" w14:textId="77777777" w:rsidR="00F012EA" w:rsidRDefault="004765C5" w:rsidP="006E1E79">
      <w:pPr>
        <w:jc w:val="both"/>
        <w:sectPr w:rsidR="00F012EA" w:rsidSect="00C01C3B">
          <w:headerReference w:type="first" r:id="rId46"/>
          <w:footerReference w:type="first" r:id="rId47"/>
          <w:type w:val="continuous"/>
          <w:pgSz w:w="11906" w:h="16838" w:code="9"/>
          <w:pgMar w:top="1418" w:right="1304" w:bottom="1418" w:left="1304" w:header="567" w:footer="567" w:gutter="0"/>
          <w:cols w:space="708"/>
          <w:titlePg/>
          <w:docGrid w:linePitch="360"/>
        </w:sectPr>
      </w:pPr>
      <w:r>
        <w:t>Finally, our work</w:t>
      </w:r>
      <w:r w:rsidR="007E2D92">
        <w:t xml:space="preserve"> highlight</w:t>
      </w:r>
      <w:r>
        <w:t>s</w:t>
      </w:r>
      <w:r w:rsidR="007B4B80">
        <w:t xml:space="preserve"> the potential for structural reforms that re</w:t>
      </w:r>
      <w:r w:rsidR="00D14DA0">
        <w:t>duc</w:t>
      </w:r>
      <w:r w:rsidR="007B4B80">
        <w:t xml:space="preserve">e barriers to labour mobility and competition to enhance the </w:t>
      </w:r>
      <w:r>
        <w:t>labour market</w:t>
      </w:r>
      <w:r w:rsidR="006E4AC4">
        <w:t>’</w:t>
      </w:r>
      <w:r>
        <w:t>s</w:t>
      </w:r>
      <w:r w:rsidR="00A37256">
        <w:t xml:space="preserve"> capacity </w:t>
      </w:r>
      <w:r>
        <w:t>to absorb shocks</w:t>
      </w:r>
      <w:r w:rsidR="007B4B80">
        <w:t>, thereby enhancing macroeconomic resilience.</w:t>
      </w:r>
      <w:r w:rsidR="00A37256">
        <w:t xml:space="preserve"> This suggests a</w:t>
      </w:r>
      <w:r w:rsidR="007E4F9A">
        <w:t xml:space="preserve"> powerful</w:t>
      </w:r>
      <w:r w:rsidR="00A37256">
        <w:t xml:space="preserve"> complementarity between macroeconomic and structural policy in ameliorating the short</w:t>
      </w:r>
      <w:r w:rsidR="006E4AC4">
        <w:noBreakHyphen/>
      </w:r>
      <w:r w:rsidR="00A37256">
        <w:t xml:space="preserve"> and longer</w:t>
      </w:r>
      <w:r w:rsidR="006E4AC4">
        <w:noBreakHyphen/>
      </w:r>
      <w:r w:rsidR="00A37256">
        <w:t xml:space="preserve">run impacts of </w:t>
      </w:r>
      <w:r w:rsidR="007E4F9A">
        <w:t>macroeconomic</w:t>
      </w:r>
      <w:r w:rsidR="007E2D92">
        <w:t xml:space="preserve"> shocks</w:t>
      </w:r>
      <w:r>
        <w:t xml:space="preserve"> on workers.</w:t>
      </w:r>
    </w:p>
    <w:p w14:paraId="63A65428" w14:textId="77777777" w:rsidR="00F012EA" w:rsidRDefault="00576724" w:rsidP="00BC0C93">
      <w:pPr>
        <w:pStyle w:val="AppendixHeadingLevel2NotNumbered"/>
        <w:spacing w:before="0"/>
      </w:pPr>
      <w:r>
        <w:lastRenderedPageBreak/>
        <w:t>References</w:t>
      </w:r>
    </w:p>
    <w:p w14:paraId="7EF77DB6" w14:textId="77777777" w:rsidR="00E8659A" w:rsidRDefault="00E8659A" w:rsidP="008627B1">
      <w:pPr>
        <w:rPr>
          <w:color w:val="222222"/>
        </w:rPr>
      </w:pPr>
      <w:proofErr w:type="spellStart"/>
      <w:r>
        <w:rPr>
          <w:color w:val="222222"/>
        </w:rPr>
        <w:t>Altonji</w:t>
      </w:r>
      <w:proofErr w:type="spellEnd"/>
      <w:r>
        <w:rPr>
          <w:color w:val="222222"/>
        </w:rPr>
        <w:t xml:space="preserve">, J.G., Kahn, L.B. and Speer, J.D., 2016. Cashier or consultant? Entry </w:t>
      </w:r>
      <w:proofErr w:type="spellStart"/>
      <w:r>
        <w:rPr>
          <w:color w:val="222222"/>
        </w:rPr>
        <w:t>labor</w:t>
      </w:r>
      <w:proofErr w:type="spellEnd"/>
      <w:r>
        <w:rPr>
          <w:color w:val="222222"/>
        </w:rPr>
        <w:t xml:space="preserve"> market conditions, field of study, and career success. </w:t>
      </w:r>
      <w:r>
        <w:rPr>
          <w:i/>
          <w:iCs/>
          <w:color w:val="222222"/>
        </w:rPr>
        <w:t xml:space="preserve">Journal of </w:t>
      </w:r>
      <w:proofErr w:type="spellStart"/>
      <w:r>
        <w:rPr>
          <w:i/>
          <w:iCs/>
          <w:color w:val="222222"/>
        </w:rPr>
        <w:t>Labor</w:t>
      </w:r>
      <w:proofErr w:type="spellEnd"/>
      <w:r>
        <w:rPr>
          <w:i/>
          <w:iCs/>
          <w:color w:val="222222"/>
        </w:rPr>
        <w:t xml:space="preserve"> Economics</w:t>
      </w:r>
      <w:r>
        <w:rPr>
          <w:color w:val="222222"/>
        </w:rPr>
        <w:t xml:space="preserve">, </w:t>
      </w:r>
      <w:r>
        <w:rPr>
          <w:i/>
          <w:iCs/>
          <w:color w:val="222222"/>
        </w:rPr>
        <w:t>34</w:t>
      </w:r>
      <w:r>
        <w:rPr>
          <w:color w:val="222222"/>
        </w:rPr>
        <w:t>(S1), pp.S361</w:t>
      </w:r>
      <w:r w:rsidR="006E4AC4">
        <w:rPr>
          <w:color w:val="222222"/>
        </w:rPr>
        <w:noBreakHyphen/>
      </w:r>
      <w:r>
        <w:rPr>
          <w:color w:val="222222"/>
        </w:rPr>
        <w:t>S401.</w:t>
      </w:r>
    </w:p>
    <w:p w14:paraId="779EA0A1" w14:textId="77777777" w:rsidR="0073324B" w:rsidRDefault="00B30D6C" w:rsidP="008627B1">
      <w:pPr>
        <w:rPr>
          <w:color w:val="222222"/>
        </w:rPr>
      </w:pPr>
      <w:r>
        <w:rPr>
          <w:color w:val="222222"/>
        </w:rPr>
        <w:t>Andrews</w:t>
      </w:r>
      <w:r w:rsidR="0073324B">
        <w:rPr>
          <w:color w:val="222222"/>
        </w:rPr>
        <w:t>,</w:t>
      </w:r>
      <w:r>
        <w:rPr>
          <w:color w:val="222222"/>
        </w:rPr>
        <w:t xml:space="preserve"> D., 2019</w:t>
      </w:r>
      <w:r w:rsidR="006E4AC4">
        <w:rPr>
          <w:color w:val="222222"/>
        </w:rPr>
        <w:t xml:space="preserve">. </w:t>
      </w:r>
      <w:r>
        <w:rPr>
          <w:color w:val="222222"/>
        </w:rPr>
        <w:t xml:space="preserve">Comments on </w:t>
      </w:r>
      <w:r w:rsidR="006E4AC4">
        <w:rPr>
          <w:color w:val="222222"/>
        </w:rPr>
        <w:t>‘</w:t>
      </w:r>
      <w:r>
        <w:rPr>
          <w:color w:val="222222"/>
        </w:rPr>
        <w:t>Dynamism diminished: The role of housing markets and credit conditions</w:t>
      </w:r>
      <w:r w:rsidR="006E4AC4">
        <w:rPr>
          <w:color w:val="222222"/>
        </w:rPr>
        <w:t>’</w:t>
      </w:r>
      <w:r>
        <w:rPr>
          <w:color w:val="222222"/>
        </w:rPr>
        <w:t xml:space="preserve">, </w:t>
      </w:r>
      <w:r w:rsidRPr="0075534F">
        <w:rPr>
          <w:i/>
          <w:color w:val="222222"/>
        </w:rPr>
        <w:t>Remarks at OECD Global Forum on Productivity</w:t>
      </w:r>
      <w:r>
        <w:rPr>
          <w:color w:val="222222"/>
        </w:rPr>
        <w:t>, Sydney, 20</w:t>
      </w:r>
      <w:r w:rsidR="006E4AC4">
        <w:rPr>
          <w:color w:val="222222"/>
        </w:rPr>
        <w:noBreakHyphen/>
      </w:r>
      <w:r>
        <w:rPr>
          <w:color w:val="222222"/>
        </w:rPr>
        <w:t xml:space="preserve">21 June 2019 </w:t>
      </w:r>
    </w:p>
    <w:p w14:paraId="1B8547E3" w14:textId="77777777" w:rsidR="00B30D6C" w:rsidRDefault="0073324B" w:rsidP="008627B1">
      <w:pPr>
        <w:rPr>
          <w:color w:val="222222"/>
        </w:rPr>
      </w:pPr>
      <w:r>
        <w:rPr>
          <w:color w:val="222222"/>
        </w:rPr>
        <w:t xml:space="preserve">Andrews, D., Deutscher, D., Hambur, J. and Hansell, D., 2019, Wage Growth in Australia: Lessons from Longitudinal Microdata, </w:t>
      </w:r>
      <w:r>
        <w:rPr>
          <w:i/>
          <w:color w:val="222222"/>
        </w:rPr>
        <w:t>Treasury Working Paper No. 2019</w:t>
      </w:r>
      <w:r w:rsidR="006E4AC4">
        <w:rPr>
          <w:i/>
          <w:color w:val="222222"/>
        </w:rPr>
        <w:noBreakHyphen/>
      </w:r>
      <w:r>
        <w:rPr>
          <w:i/>
          <w:color w:val="222222"/>
        </w:rPr>
        <w:t>04,</w:t>
      </w:r>
      <w:r>
        <w:rPr>
          <w:color w:val="222222"/>
        </w:rPr>
        <w:t xml:space="preserve"> </w:t>
      </w:r>
      <w:proofErr w:type="gramStart"/>
      <w:r>
        <w:rPr>
          <w:color w:val="222222"/>
        </w:rPr>
        <w:t>The</w:t>
      </w:r>
      <w:proofErr w:type="gramEnd"/>
      <w:r>
        <w:rPr>
          <w:color w:val="222222"/>
        </w:rPr>
        <w:t xml:space="preserve"> Treasury, Australian Government.</w:t>
      </w:r>
    </w:p>
    <w:p w14:paraId="63238BA1" w14:textId="77777777" w:rsidR="00077DAD" w:rsidRDefault="00077DAD" w:rsidP="008627B1">
      <w:pPr>
        <w:rPr>
          <w:color w:val="222222"/>
        </w:rPr>
      </w:pPr>
      <w:r>
        <w:rPr>
          <w:color w:val="222222"/>
        </w:rPr>
        <w:t xml:space="preserve">Andrews, D. and Hansell, D., 2019. </w:t>
      </w:r>
      <w:r w:rsidRPr="0075534F">
        <w:rPr>
          <w:iCs/>
          <w:color w:val="222222"/>
        </w:rPr>
        <w:t>Productivity</w:t>
      </w:r>
      <w:r w:rsidR="006E4AC4">
        <w:rPr>
          <w:iCs/>
          <w:color w:val="222222"/>
        </w:rPr>
        <w:noBreakHyphen/>
      </w:r>
      <w:r w:rsidRPr="0075534F">
        <w:rPr>
          <w:iCs/>
          <w:color w:val="222222"/>
        </w:rPr>
        <w:t>enhancing labour reallocation in Australia</w:t>
      </w:r>
      <w:r>
        <w:rPr>
          <w:iCs/>
          <w:color w:val="222222"/>
        </w:rPr>
        <w:t xml:space="preserve">. Treasury </w:t>
      </w:r>
      <w:r w:rsidRPr="0075534F">
        <w:rPr>
          <w:i/>
          <w:iCs/>
          <w:color w:val="222222"/>
        </w:rPr>
        <w:t>Working Paper</w:t>
      </w:r>
      <w:r w:rsidRPr="0075534F">
        <w:rPr>
          <w:i/>
          <w:color w:val="222222"/>
        </w:rPr>
        <w:t xml:space="preserve"> No. 2019</w:t>
      </w:r>
      <w:r w:rsidR="006E4AC4">
        <w:rPr>
          <w:i/>
          <w:color w:val="222222"/>
        </w:rPr>
        <w:noBreakHyphen/>
      </w:r>
      <w:r w:rsidRPr="0075534F">
        <w:rPr>
          <w:i/>
          <w:color w:val="222222"/>
        </w:rPr>
        <w:t>06</w:t>
      </w:r>
      <w:r>
        <w:rPr>
          <w:color w:val="222222"/>
        </w:rPr>
        <w:t>. The Treasury, Australian Government.</w:t>
      </w:r>
    </w:p>
    <w:p w14:paraId="65B09A38" w14:textId="77777777" w:rsidR="00C314F4" w:rsidRDefault="00960F09" w:rsidP="008627B1">
      <w:pPr>
        <w:rPr>
          <w:color w:val="222222"/>
        </w:rPr>
      </w:pPr>
      <w:r>
        <w:rPr>
          <w:color w:val="222222"/>
        </w:rPr>
        <w:t xml:space="preserve">ABS (Australian Bureau of Statistics), 2019, </w:t>
      </w:r>
      <w:r w:rsidRPr="00960F09">
        <w:rPr>
          <w:i/>
          <w:color w:val="222222"/>
        </w:rPr>
        <w:t>Migration, Australia, 2017</w:t>
      </w:r>
      <w:r w:rsidR="006E4AC4">
        <w:rPr>
          <w:i/>
          <w:color w:val="222222"/>
        </w:rPr>
        <w:noBreakHyphen/>
      </w:r>
      <w:r w:rsidRPr="00960F09">
        <w:rPr>
          <w:i/>
          <w:color w:val="222222"/>
        </w:rPr>
        <w:t>18</w:t>
      </w:r>
      <w:r>
        <w:rPr>
          <w:color w:val="222222"/>
        </w:rPr>
        <w:t xml:space="preserve">, </w:t>
      </w:r>
      <w:r w:rsidR="006E4AC4">
        <w:rPr>
          <w:color w:val="222222"/>
        </w:rPr>
        <w:t>‘</w:t>
      </w:r>
      <w:r w:rsidRPr="00960F09">
        <w:rPr>
          <w:color w:val="222222"/>
        </w:rPr>
        <w:t>Net overseas</w:t>
      </w:r>
      <w:r w:rsidRPr="00960F09">
        <w:t xml:space="preserve"> migration, Arrivals, departures and net, State/territory, Age and sex</w:t>
      </w:r>
      <w:r w:rsidR="006E4AC4">
        <w:t xml:space="preserve"> — </w:t>
      </w:r>
      <w:r w:rsidRPr="00960F09">
        <w:t>Calendar years, 2004 onwards</w:t>
      </w:r>
      <w:r w:rsidR="006E4AC4">
        <w:t>’</w:t>
      </w:r>
      <w:r>
        <w:t xml:space="preserve">, cat. </w:t>
      </w:r>
      <w:proofErr w:type="gramStart"/>
      <w:r>
        <w:t>no</w:t>
      </w:r>
      <w:proofErr w:type="gramEnd"/>
      <w:r>
        <w:t>. 3412.0, accessed 24 February 2020, &lt;</w:t>
      </w:r>
      <w:r w:rsidRPr="00960F09">
        <w:t>http://stat.data.abs.gov.au/</w:t>
      </w:r>
      <w:r>
        <w:t>&gt;</w:t>
      </w:r>
      <w:r w:rsidR="006E4AC4">
        <w:t xml:space="preserve">. </w:t>
      </w:r>
      <w:r>
        <w:t xml:space="preserve">   </w:t>
      </w:r>
    </w:p>
    <w:p w14:paraId="4319446A" w14:textId="77777777" w:rsidR="000E37AF" w:rsidRDefault="000E37AF" w:rsidP="008627B1">
      <w:pPr>
        <w:rPr>
          <w:color w:val="222222"/>
        </w:rPr>
      </w:pPr>
      <w:r>
        <w:rPr>
          <w:color w:val="222222"/>
        </w:rPr>
        <w:t xml:space="preserve">Ball, L.M., 2009. </w:t>
      </w:r>
      <w:r w:rsidRPr="0075534F">
        <w:rPr>
          <w:iCs/>
          <w:color w:val="222222"/>
        </w:rPr>
        <w:t>Hysteresis in unemployment: old and new evidence</w:t>
      </w:r>
      <w:r w:rsidRPr="00FD7EB5">
        <w:rPr>
          <w:color w:val="222222"/>
        </w:rPr>
        <w:t>.</w:t>
      </w:r>
      <w:r>
        <w:rPr>
          <w:color w:val="222222"/>
        </w:rPr>
        <w:t xml:space="preserve"> </w:t>
      </w:r>
      <w:r w:rsidR="00F032D2" w:rsidRPr="0075534F">
        <w:rPr>
          <w:i/>
          <w:color w:val="222222"/>
        </w:rPr>
        <w:t xml:space="preserve">NBER Working Paper No. </w:t>
      </w:r>
      <w:r w:rsidRPr="0075534F">
        <w:rPr>
          <w:i/>
          <w:color w:val="222222"/>
        </w:rPr>
        <w:t>14818</w:t>
      </w:r>
      <w:r w:rsidR="00F032D2">
        <w:rPr>
          <w:color w:val="222222"/>
        </w:rPr>
        <w:t xml:space="preserve">, </w:t>
      </w:r>
      <w:r>
        <w:rPr>
          <w:color w:val="222222"/>
        </w:rPr>
        <w:t>National Bureau of Economic Research.</w:t>
      </w:r>
    </w:p>
    <w:p w14:paraId="3B6269D4" w14:textId="77777777" w:rsidR="00E24332" w:rsidRDefault="00E24332" w:rsidP="008627B1">
      <w:pPr>
        <w:rPr>
          <w:color w:val="222222"/>
        </w:rPr>
      </w:pPr>
      <w:r>
        <w:rPr>
          <w:color w:val="222222"/>
        </w:rPr>
        <w:t xml:space="preserve">Blanchard, O. and </w:t>
      </w:r>
      <w:proofErr w:type="spellStart"/>
      <w:proofErr w:type="gramStart"/>
      <w:r>
        <w:rPr>
          <w:color w:val="222222"/>
        </w:rPr>
        <w:t>Summers.</w:t>
      </w:r>
      <w:r w:rsidR="00305F7A">
        <w:rPr>
          <w:color w:val="222222"/>
        </w:rPr>
        <w:t>L</w:t>
      </w:r>
      <w:proofErr w:type="spellEnd"/>
      <w:r w:rsidR="008F28BA">
        <w:rPr>
          <w:color w:val="222222"/>
        </w:rPr>
        <w:t>.</w:t>
      </w:r>
      <w:r w:rsidR="00FD7EB5">
        <w:rPr>
          <w:color w:val="222222"/>
        </w:rPr>
        <w:t>,</w:t>
      </w:r>
      <w:proofErr w:type="gramEnd"/>
      <w:r w:rsidR="00FD7EB5">
        <w:rPr>
          <w:color w:val="222222"/>
        </w:rPr>
        <w:t xml:space="preserve"> 1986.</w:t>
      </w:r>
      <w:r w:rsidRPr="0075534F">
        <w:rPr>
          <w:color w:val="222222"/>
        </w:rPr>
        <w:t xml:space="preserve"> </w:t>
      </w:r>
      <w:r w:rsidRPr="0075534F">
        <w:rPr>
          <w:i/>
          <w:color w:val="222222"/>
        </w:rPr>
        <w:t>Hysteresis and the European Unemployment Problem</w:t>
      </w:r>
      <w:r>
        <w:rPr>
          <w:color w:val="222222"/>
        </w:rPr>
        <w:t>,</w:t>
      </w:r>
      <w:r w:rsidRPr="0075534F">
        <w:rPr>
          <w:color w:val="222222"/>
        </w:rPr>
        <w:t xml:space="preserve"> NBER Macr</w:t>
      </w:r>
      <w:r>
        <w:rPr>
          <w:color w:val="222222"/>
        </w:rPr>
        <w:t>oeconomics Annual 1986(1)</w:t>
      </w:r>
      <w:r w:rsidRPr="0075534F">
        <w:rPr>
          <w:color w:val="222222"/>
        </w:rPr>
        <w:t xml:space="preserve">, </w:t>
      </w:r>
      <w:r w:rsidRPr="00B4591C">
        <w:rPr>
          <w:color w:val="222222"/>
        </w:rPr>
        <w:t>p</w:t>
      </w:r>
      <w:r>
        <w:rPr>
          <w:color w:val="222222"/>
        </w:rPr>
        <w:t>p</w:t>
      </w:r>
      <w:r w:rsidR="00FD7EB5">
        <w:rPr>
          <w:color w:val="222222"/>
        </w:rPr>
        <w:t>.</w:t>
      </w:r>
      <w:r w:rsidRPr="00B4591C">
        <w:rPr>
          <w:color w:val="222222"/>
        </w:rPr>
        <w:t>15</w:t>
      </w:r>
      <w:r w:rsidR="006E4AC4">
        <w:rPr>
          <w:color w:val="222222"/>
        </w:rPr>
        <w:noBreakHyphen/>
      </w:r>
      <w:r w:rsidRPr="00B4591C">
        <w:rPr>
          <w:color w:val="222222"/>
        </w:rPr>
        <w:t>90</w:t>
      </w:r>
      <w:r>
        <w:rPr>
          <w:color w:val="222222"/>
        </w:rPr>
        <w:t>.</w:t>
      </w:r>
    </w:p>
    <w:p w14:paraId="4982C341" w14:textId="77777777" w:rsidR="0025186E" w:rsidRDefault="0025186E" w:rsidP="008627B1">
      <w:pPr>
        <w:rPr>
          <w:color w:val="222222"/>
        </w:rPr>
      </w:pPr>
      <w:proofErr w:type="spellStart"/>
      <w:r>
        <w:rPr>
          <w:color w:val="222222"/>
        </w:rPr>
        <w:t>Brell</w:t>
      </w:r>
      <w:proofErr w:type="spellEnd"/>
      <w:r>
        <w:rPr>
          <w:color w:val="222222"/>
        </w:rPr>
        <w:t xml:space="preserve">, C. and </w:t>
      </w:r>
      <w:proofErr w:type="spellStart"/>
      <w:r>
        <w:rPr>
          <w:color w:val="222222"/>
        </w:rPr>
        <w:t>Dustmann</w:t>
      </w:r>
      <w:proofErr w:type="spellEnd"/>
      <w:r>
        <w:rPr>
          <w:color w:val="222222"/>
        </w:rPr>
        <w:t xml:space="preserve">, C., 2019, July. Immigration and wage growth: The case of </w:t>
      </w:r>
      <w:r w:rsidR="00BE41AC">
        <w:rPr>
          <w:color w:val="222222"/>
        </w:rPr>
        <w:t>A</w:t>
      </w:r>
      <w:r>
        <w:rPr>
          <w:color w:val="222222"/>
        </w:rPr>
        <w:t xml:space="preserve">ustralia. In </w:t>
      </w:r>
      <w:r>
        <w:rPr>
          <w:i/>
          <w:iCs/>
          <w:color w:val="222222"/>
        </w:rPr>
        <w:t>Paper for the RBA</w:t>
      </w:r>
      <w:r w:rsidR="006E4AC4">
        <w:rPr>
          <w:i/>
          <w:iCs/>
          <w:color w:val="222222"/>
        </w:rPr>
        <w:t>’</w:t>
      </w:r>
      <w:r>
        <w:rPr>
          <w:i/>
          <w:iCs/>
          <w:color w:val="222222"/>
        </w:rPr>
        <w:t>s Low Wage Growth Conference, Sydney</w:t>
      </w:r>
      <w:r>
        <w:rPr>
          <w:color w:val="222222"/>
        </w:rPr>
        <w:t>.</w:t>
      </w:r>
    </w:p>
    <w:p w14:paraId="38897B44" w14:textId="77777777" w:rsidR="004D64C2" w:rsidRDefault="004D64C2" w:rsidP="008627B1">
      <w:pPr>
        <w:rPr>
          <w:color w:val="222222"/>
        </w:rPr>
      </w:pPr>
      <w:r>
        <w:rPr>
          <w:color w:val="222222"/>
        </w:rPr>
        <w:t xml:space="preserve">Borland, J. and </w:t>
      </w:r>
      <w:proofErr w:type="spellStart"/>
      <w:r>
        <w:rPr>
          <w:color w:val="222222"/>
        </w:rPr>
        <w:t>Coelli</w:t>
      </w:r>
      <w:proofErr w:type="spellEnd"/>
      <w:r>
        <w:rPr>
          <w:color w:val="222222"/>
        </w:rPr>
        <w:t>, M.</w:t>
      </w:r>
      <w:r w:rsidR="00FD7EB5">
        <w:rPr>
          <w:color w:val="222222"/>
        </w:rPr>
        <w:t>,</w:t>
      </w:r>
      <w:r>
        <w:rPr>
          <w:color w:val="222222"/>
        </w:rPr>
        <w:t xml:space="preserve"> 2020</w:t>
      </w:r>
      <w:r w:rsidR="00FD7EB5">
        <w:rPr>
          <w:color w:val="222222"/>
        </w:rPr>
        <w:t>.</w:t>
      </w:r>
      <w:r>
        <w:rPr>
          <w:color w:val="222222"/>
        </w:rPr>
        <w:t xml:space="preserve"> </w:t>
      </w:r>
      <w:r w:rsidRPr="0075534F">
        <w:rPr>
          <w:color w:val="222222"/>
        </w:rPr>
        <w:t xml:space="preserve">Is it </w:t>
      </w:r>
      <w:r w:rsidR="006E4AC4">
        <w:rPr>
          <w:color w:val="222222"/>
        </w:rPr>
        <w:t>‘</w:t>
      </w:r>
      <w:r w:rsidRPr="0075534F">
        <w:rPr>
          <w:color w:val="222222"/>
        </w:rPr>
        <w:t>dog days</w:t>
      </w:r>
      <w:r w:rsidR="006E4AC4">
        <w:rPr>
          <w:color w:val="222222"/>
        </w:rPr>
        <w:t>’</w:t>
      </w:r>
      <w:r w:rsidRPr="0075534F">
        <w:rPr>
          <w:color w:val="222222"/>
        </w:rPr>
        <w:t xml:space="preserve"> for the young in the Australian labour market</w:t>
      </w:r>
      <w:r>
        <w:rPr>
          <w:color w:val="222222"/>
        </w:rPr>
        <w:t xml:space="preserve">, </w:t>
      </w:r>
      <w:r w:rsidRPr="0075534F">
        <w:rPr>
          <w:i/>
          <w:color w:val="222222"/>
        </w:rPr>
        <w:t>unpublished manuscript</w:t>
      </w:r>
      <w:r>
        <w:rPr>
          <w:color w:val="222222"/>
        </w:rPr>
        <w:t>.</w:t>
      </w:r>
      <w:r w:rsidRPr="004D64C2">
        <w:rPr>
          <w:i/>
          <w:color w:val="222222"/>
        </w:rPr>
        <w:t xml:space="preserve"> </w:t>
      </w:r>
    </w:p>
    <w:p w14:paraId="0D4AB3B3" w14:textId="77777777" w:rsidR="00C52064" w:rsidRDefault="00C52064" w:rsidP="008627B1">
      <w:pPr>
        <w:rPr>
          <w:color w:val="222222"/>
        </w:rPr>
      </w:pPr>
      <w:r>
        <w:rPr>
          <w:color w:val="222222"/>
        </w:rPr>
        <w:t>Borland, J. 2020</w:t>
      </w:r>
      <w:r w:rsidR="00BE41AC">
        <w:rPr>
          <w:color w:val="222222"/>
        </w:rPr>
        <w:t>.</w:t>
      </w:r>
      <w:r>
        <w:rPr>
          <w:color w:val="222222"/>
        </w:rPr>
        <w:t xml:space="preserve"> </w:t>
      </w:r>
      <w:r w:rsidRPr="0075534F">
        <w:rPr>
          <w:color w:val="222222"/>
        </w:rPr>
        <w:t>Scarring effects</w:t>
      </w:r>
      <w:r w:rsidRPr="00C52064">
        <w:rPr>
          <w:i/>
          <w:color w:val="222222"/>
        </w:rPr>
        <w:t xml:space="preserve">: </w:t>
      </w:r>
      <w:r w:rsidRPr="0075534F">
        <w:rPr>
          <w:color w:val="222222"/>
        </w:rPr>
        <w:t>A small piece of Australian evidence and a review of some main literature</w:t>
      </w:r>
      <w:r>
        <w:rPr>
          <w:color w:val="222222"/>
        </w:rPr>
        <w:t xml:space="preserve">, </w:t>
      </w:r>
      <w:r w:rsidRPr="0075534F">
        <w:rPr>
          <w:i/>
          <w:color w:val="222222"/>
        </w:rPr>
        <w:t>Labour market snapshot #58</w:t>
      </w:r>
      <w:r>
        <w:rPr>
          <w:color w:val="222222"/>
        </w:rPr>
        <w:t>, 20 April 2020, unpublished.</w:t>
      </w:r>
    </w:p>
    <w:p w14:paraId="05DCA542" w14:textId="77777777" w:rsidR="00780421" w:rsidRDefault="00780421" w:rsidP="008627B1">
      <w:pPr>
        <w:rPr>
          <w:color w:val="222222"/>
        </w:rPr>
      </w:pPr>
      <w:r>
        <w:rPr>
          <w:color w:val="222222"/>
        </w:rPr>
        <w:t xml:space="preserve">Brunner, B. and Kuhn, A., 2014. The impact of </w:t>
      </w:r>
      <w:proofErr w:type="spellStart"/>
      <w:r>
        <w:rPr>
          <w:color w:val="222222"/>
        </w:rPr>
        <w:t>labor</w:t>
      </w:r>
      <w:proofErr w:type="spellEnd"/>
      <w:r>
        <w:rPr>
          <w:color w:val="222222"/>
        </w:rPr>
        <w:t xml:space="preserve"> market entry conditions on initial job assignment and wages. </w:t>
      </w:r>
      <w:r>
        <w:rPr>
          <w:i/>
          <w:iCs/>
          <w:color w:val="222222"/>
        </w:rPr>
        <w:t>Journal of Population Economics</w:t>
      </w:r>
      <w:r>
        <w:rPr>
          <w:color w:val="222222"/>
        </w:rPr>
        <w:t xml:space="preserve">, </w:t>
      </w:r>
      <w:r>
        <w:rPr>
          <w:i/>
          <w:iCs/>
          <w:color w:val="222222"/>
        </w:rPr>
        <w:t>27</w:t>
      </w:r>
      <w:r>
        <w:rPr>
          <w:color w:val="222222"/>
        </w:rPr>
        <w:t>(3), pp.705</w:t>
      </w:r>
      <w:r w:rsidR="006E4AC4">
        <w:rPr>
          <w:color w:val="222222"/>
        </w:rPr>
        <w:noBreakHyphen/>
      </w:r>
      <w:r>
        <w:rPr>
          <w:color w:val="222222"/>
        </w:rPr>
        <w:t>738.</w:t>
      </w:r>
    </w:p>
    <w:p w14:paraId="7CBC9689" w14:textId="77777777" w:rsidR="006E1E79" w:rsidRDefault="006E1E79" w:rsidP="008627B1">
      <w:pPr>
        <w:rPr>
          <w:color w:val="222222"/>
        </w:rPr>
      </w:pPr>
      <w:r>
        <w:rPr>
          <w:color w:val="222222"/>
        </w:rPr>
        <w:t xml:space="preserve">Davis S.J. and </w:t>
      </w:r>
      <w:proofErr w:type="spellStart"/>
      <w:r>
        <w:rPr>
          <w:color w:val="222222"/>
        </w:rPr>
        <w:t>Haltiwanger</w:t>
      </w:r>
      <w:proofErr w:type="spellEnd"/>
      <w:r>
        <w:rPr>
          <w:color w:val="222222"/>
        </w:rPr>
        <w:t xml:space="preserve"> J.C., 2019. </w:t>
      </w:r>
      <w:r w:rsidRPr="0075534F">
        <w:rPr>
          <w:color w:val="222222"/>
        </w:rPr>
        <w:t>Dynamism diminished: The role of housing markets and credit conditions</w:t>
      </w:r>
      <w:r w:rsidR="00F032D2">
        <w:rPr>
          <w:color w:val="222222"/>
        </w:rPr>
        <w:t xml:space="preserve">, </w:t>
      </w:r>
      <w:r w:rsidR="00F032D2" w:rsidRPr="0075534F">
        <w:rPr>
          <w:i/>
          <w:color w:val="222222"/>
        </w:rPr>
        <w:t>NBER Working Paper No. 25466</w:t>
      </w:r>
      <w:r w:rsidR="00F032D2">
        <w:rPr>
          <w:color w:val="222222"/>
        </w:rPr>
        <w:t>, National Bureau of Economic Research.</w:t>
      </w:r>
    </w:p>
    <w:p w14:paraId="69E8037F" w14:textId="77777777" w:rsidR="00577E3C" w:rsidRDefault="00577E3C" w:rsidP="008627B1">
      <w:pPr>
        <w:rPr>
          <w:color w:val="222222"/>
        </w:rPr>
      </w:pPr>
      <w:r>
        <w:rPr>
          <w:color w:val="222222"/>
        </w:rPr>
        <w:t xml:space="preserve">Deutscher, N., 2019. </w:t>
      </w:r>
      <w:r w:rsidRPr="0075534F">
        <w:rPr>
          <w:color w:val="222222"/>
        </w:rPr>
        <w:t>Job</w:t>
      </w:r>
      <w:r w:rsidR="006E4AC4">
        <w:rPr>
          <w:color w:val="222222"/>
        </w:rPr>
        <w:noBreakHyphen/>
      </w:r>
      <w:r w:rsidRPr="0075534F">
        <w:rPr>
          <w:color w:val="222222"/>
        </w:rPr>
        <w:t>to</w:t>
      </w:r>
      <w:r w:rsidR="006E4AC4">
        <w:rPr>
          <w:color w:val="222222"/>
        </w:rPr>
        <w:noBreakHyphen/>
      </w:r>
      <w:r w:rsidRPr="0075534F">
        <w:rPr>
          <w:color w:val="222222"/>
        </w:rPr>
        <w:t>job transitions and the wages of Australian worker</w:t>
      </w:r>
      <w:r w:rsidRPr="00FD7EB5">
        <w:rPr>
          <w:color w:val="222222"/>
        </w:rPr>
        <w:t>.</w:t>
      </w:r>
      <w:r w:rsidRPr="0075534F">
        <w:rPr>
          <w:i/>
          <w:color w:val="222222"/>
        </w:rPr>
        <w:t xml:space="preserve"> Treasury Working Paper</w:t>
      </w:r>
      <w:r w:rsidR="00077DAD" w:rsidRPr="0075534F">
        <w:rPr>
          <w:i/>
          <w:color w:val="222222"/>
        </w:rPr>
        <w:t xml:space="preserve"> No. 2019</w:t>
      </w:r>
      <w:r w:rsidR="006E4AC4">
        <w:rPr>
          <w:i/>
          <w:color w:val="222222"/>
        </w:rPr>
        <w:noBreakHyphen/>
      </w:r>
      <w:r w:rsidR="00077DAD" w:rsidRPr="0075534F">
        <w:rPr>
          <w:i/>
          <w:color w:val="222222"/>
        </w:rPr>
        <w:t>07</w:t>
      </w:r>
      <w:r w:rsidRPr="00577E3C">
        <w:rPr>
          <w:color w:val="222222"/>
        </w:rPr>
        <w:t>,</w:t>
      </w:r>
      <w:r>
        <w:rPr>
          <w:color w:val="222222"/>
        </w:rPr>
        <w:t xml:space="preserve"> The Treasury, Australian Government.</w:t>
      </w:r>
    </w:p>
    <w:p w14:paraId="04DB178D" w14:textId="77777777" w:rsidR="006E520D" w:rsidRDefault="006E520D" w:rsidP="008627B1">
      <w:pPr>
        <w:rPr>
          <w:color w:val="222222"/>
        </w:rPr>
      </w:pPr>
      <w:r>
        <w:rPr>
          <w:color w:val="222222"/>
        </w:rPr>
        <w:t xml:space="preserve">Dhillon, Z. and Cassidy, N., 2018. Labour Market Outcomes for Younger People. </w:t>
      </w:r>
      <w:r>
        <w:rPr>
          <w:i/>
          <w:iCs/>
          <w:color w:val="222222"/>
        </w:rPr>
        <w:t>RBA Bulletin, June</w:t>
      </w:r>
      <w:r>
        <w:rPr>
          <w:color w:val="222222"/>
        </w:rPr>
        <w:t>.</w:t>
      </w:r>
    </w:p>
    <w:p w14:paraId="64232BBA" w14:textId="77777777" w:rsidR="001244F6" w:rsidRDefault="001244F6" w:rsidP="006E520D">
      <w:pPr>
        <w:rPr>
          <w:color w:val="222222"/>
        </w:rPr>
      </w:pPr>
      <w:r>
        <w:rPr>
          <w:color w:val="222222"/>
        </w:rPr>
        <w:t xml:space="preserve">Fernald, J.G., Hall, R.E., Stock, J.H. and Watson, M.W., 2017. </w:t>
      </w:r>
      <w:r w:rsidRPr="0075534F">
        <w:rPr>
          <w:iCs/>
          <w:color w:val="222222"/>
        </w:rPr>
        <w:t>The disappointing recovery of output after 2009</w:t>
      </w:r>
      <w:r w:rsidRPr="00FD7EB5">
        <w:rPr>
          <w:iCs/>
          <w:color w:val="222222"/>
        </w:rPr>
        <w:t>.</w:t>
      </w:r>
      <w:r>
        <w:rPr>
          <w:color w:val="222222"/>
        </w:rPr>
        <w:t xml:space="preserve"> </w:t>
      </w:r>
      <w:r w:rsidRPr="0075534F">
        <w:rPr>
          <w:i/>
          <w:color w:val="222222"/>
        </w:rPr>
        <w:t>NBER Working Paper No. 23543</w:t>
      </w:r>
      <w:r>
        <w:rPr>
          <w:color w:val="222222"/>
        </w:rPr>
        <w:t>, National Bureau of Economic Research.</w:t>
      </w:r>
    </w:p>
    <w:p w14:paraId="34515E8E" w14:textId="77777777" w:rsidR="0043490C" w:rsidRDefault="00591802" w:rsidP="006E520D">
      <w:pPr>
        <w:rPr>
          <w:color w:val="222222"/>
        </w:rPr>
      </w:pPr>
      <w:r>
        <w:rPr>
          <w:color w:val="222222"/>
        </w:rPr>
        <w:t xml:space="preserve">Foster, G. and Stratton, L.S., 2018. Do significant </w:t>
      </w:r>
      <w:proofErr w:type="spellStart"/>
      <w:r>
        <w:rPr>
          <w:color w:val="222222"/>
        </w:rPr>
        <w:t>labor</w:t>
      </w:r>
      <w:proofErr w:type="spellEnd"/>
      <w:r>
        <w:rPr>
          <w:color w:val="222222"/>
        </w:rPr>
        <w:t xml:space="preserve"> market events change who does the chores? Paid work, housework, and power in mixed</w:t>
      </w:r>
      <w:r w:rsidR="006E4AC4">
        <w:rPr>
          <w:color w:val="222222"/>
        </w:rPr>
        <w:noBreakHyphen/>
      </w:r>
      <w:r>
        <w:rPr>
          <w:color w:val="222222"/>
        </w:rPr>
        <w:t xml:space="preserve">gender Australian households. </w:t>
      </w:r>
      <w:r>
        <w:rPr>
          <w:i/>
          <w:iCs/>
          <w:color w:val="222222"/>
        </w:rPr>
        <w:t>Journal of Population Economics</w:t>
      </w:r>
      <w:r>
        <w:rPr>
          <w:color w:val="222222"/>
        </w:rPr>
        <w:t xml:space="preserve">, </w:t>
      </w:r>
      <w:r>
        <w:rPr>
          <w:i/>
          <w:iCs/>
          <w:color w:val="222222"/>
        </w:rPr>
        <w:t>31</w:t>
      </w:r>
      <w:r>
        <w:rPr>
          <w:color w:val="222222"/>
        </w:rPr>
        <w:t>(2), pp.483</w:t>
      </w:r>
      <w:r w:rsidR="006E4AC4">
        <w:rPr>
          <w:color w:val="222222"/>
        </w:rPr>
        <w:noBreakHyphen/>
      </w:r>
      <w:r>
        <w:rPr>
          <w:color w:val="222222"/>
        </w:rPr>
        <w:t>519.</w:t>
      </w:r>
    </w:p>
    <w:p w14:paraId="30A53B37" w14:textId="77777777" w:rsidR="001A6380" w:rsidRDefault="001A6380" w:rsidP="001A6380">
      <w:pPr>
        <w:spacing w:after="120"/>
      </w:pPr>
      <w:r w:rsidRPr="001A6380">
        <w:t>Foster</w:t>
      </w:r>
      <w:r w:rsidR="001244F6">
        <w:t>,</w:t>
      </w:r>
      <w:r w:rsidRPr="001A6380">
        <w:t xml:space="preserve"> J and Guttmann</w:t>
      </w:r>
      <w:r w:rsidR="001244F6">
        <w:t>, R.</w:t>
      </w:r>
      <w:r w:rsidRPr="001A6380">
        <w:t xml:space="preserve"> 2018,</w:t>
      </w:r>
      <w:r>
        <w:t xml:space="preserve"> </w:t>
      </w:r>
      <w:r w:rsidR="006E4AC4">
        <w:t>‘</w:t>
      </w:r>
      <w:r>
        <w:t>Perceptions of Job Security in Australia</w:t>
      </w:r>
      <w:r w:rsidR="006E4AC4">
        <w:t>’</w:t>
      </w:r>
      <w:r>
        <w:t xml:space="preserve">, RBA </w:t>
      </w:r>
      <w:r w:rsidRPr="00477D61">
        <w:rPr>
          <w:i/>
        </w:rPr>
        <w:t>Bulletin</w:t>
      </w:r>
      <w:r>
        <w:t>, March 2018</w:t>
      </w:r>
    </w:p>
    <w:p w14:paraId="4DDD6759" w14:textId="77777777" w:rsidR="006E520D" w:rsidRDefault="006E520D" w:rsidP="006E520D">
      <w:pPr>
        <w:rPr>
          <w:color w:val="222222"/>
        </w:rPr>
      </w:pPr>
      <w:proofErr w:type="spellStart"/>
      <w:r>
        <w:rPr>
          <w:color w:val="222222"/>
        </w:rPr>
        <w:t>Genda</w:t>
      </w:r>
      <w:proofErr w:type="spellEnd"/>
      <w:r>
        <w:rPr>
          <w:color w:val="222222"/>
        </w:rPr>
        <w:t xml:space="preserve">, Y., Kondo, A. and </w:t>
      </w:r>
      <w:proofErr w:type="spellStart"/>
      <w:r>
        <w:rPr>
          <w:color w:val="222222"/>
        </w:rPr>
        <w:t>Ohta</w:t>
      </w:r>
      <w:proofErr w:type="spellEnd"/>
      <w:r>
        <w:rPr>
          <w:color w:val="222222"/>
        </w:rPr>
        <w:t>, S., 2010. Long</w:t>
      </w:r>
      <w:r w:rsidR="006E4AC4">
        <w:rPr>
          <w:color w:val="222222"/>
        </w:rPr>
        <w:noBreakHyphen/>
      </w:r>
      <w:r>
        <w:rPr>
          <w:color w:val="222222"/>
        </w:rPr>
        <w:t xml:space="preserve">term effects of a recession at </w:t>
      </w:r>
      <w:proofErr w:type="spellStart"/>
      <w:r>
        <w:rPr>
          <w:color w:val="222222"/>
        </w:rPr>
        <w:t>labor</w:t>
      </w:r>
      <w:proofErr w:type="spellEnd"/>
      <w:r>
        <w:rPr>
          <w:color w:val="222222"/>
        </w:rPr>
        <w:t xml:space="preserve"> market entry in Japan and the United States. </w:t>
      </w:r>
      <w:r>
        <w:rPr>
          <w:i/>
          <w:iCs/>
          <w:color w:val="222222"/>
        </w:rPr>
        <w:t>Journal of Human resources</w:t>
      </w:r>
      <w:r>
        <w:rPr>
          <w:color w:val="222222"/>
        </w:rPr>
        <w:t xml:space="preserve">, </w:t>
      </w:r>
      <w:r>
        <w:rPr>
          <w:i/>
          <w:iCs/>
          <w:color w:val="222222"/>
        </w:rPr>
        <w:t>45</w:t>
      </w:r>
      <w:r>
        <w:rPr>
          <w:color w:val="222222"/>
        </w:rPr>
        <w:t>(1), pp.157</w:t>
      </w:r>
      <w:r w:rsidR="006E4AC4">
        <w:rPr>
          <w:color w:val="222222"/>
        </w:rPr>
        <w:noBreakHyphen/>
      </w:r>
      <w:r>
        <w:rPr>
          <w:color w:val="222222"/>
        </w:rPr>
        <w:t>196.</w:t>
      </w:r>
    </w:p>
    <w:p w14:paraId="41D2AE47" w14:textId="77777777" w:rsidR="00BE41AC" w:rsidRPr="0075534F" w:rsidRDefault="00E32E74" w:rsidP="009B6248">
      <w:pPr>
        <w:rPr>
          <w:rFonts w:ascii="Times New Roman" w:hAnsi="Times New Roman"/>
          <w:color w:val="auto"/>
          <w:lang w:val="en"/>
        </w:rPr>
      </w:pPr>
      <w:proofErr w:type="spellStart"/>
      <w:r>
        <w:rPr>
          <w:lang w:val="en"/>
        </w:rPr>
        <w:lastRenderedPageBreak/>
        <w:t>Hershbein</w:t>
      </w:r>
      <w:proofErr w:type="spellEnd"/>
      <w:r>
        <w:rPr>
          <w:lang w:val="en"/>
        </w:rPr>
        <w:t xml:space="preserve"> B.</w:t>
      </w:r>
      <w:r w:rsidR="00BE41AC">
        <w:rPr>
          <w:lang w:val="en"/>
        </w:rPr>
        <w:t xml:space="preserve">J., 2012. </w:t>
      </w:r>
      <w:hyperlink r:id="rId48" w:history="1">
        <w:r w:rsidRPr="0075534F">
          <w:t>Graduating High School in a Recession: Work, Education, and Home Production</w:t>
        </w:r>
      </w:hyperlink>
      <w:r w:rsidR="00BE41AC">
        <w:rPr>
          <w:lang w:val="en"/>
        </w:rPr>
        <w:t>,</w:t>
      </w:r>
      <w:r w:rsidRPr="0075534F">
        <w:rPr>
          <w:lang w:val="en"/>
        </w:rPr>
        <w:t xml:space="preserve"> </w:t>
      </w:r>
      <w:hyperlink r:id="rId49" w:history="1">
        <w:r w:rsidRPr="0075534F">
          <w:rPr>
            <w:i/>
          </w:rPr>
          <w:t>The B.E. Journal of Economic Analysis &amp; Policy</w:t>
        </w:r>
      </w:hyperlink>
      <w:r w:rsidRPr="0075534F">
        <w:rPr>
          <w:i/>
          <w:lang w:val="en"/>
        </w:rPr>
        <w:t xml:space="preserve"> 12</w:t>
      </w:r>
      <w:r>
        <w:rPr>
          <w:lang w:val="en"/>
        </w:rPr>
        <w:t>(1), pp.</w:t>
      </w:r>
      <w:r w:rsidRPr="0075534F">
        <w:rPr>
          <w:lang w:val="en"/>
        </w:rPr>
        <w:t xml:space="preserve"> 1</w:t>
      </w:r>
      <w:r w:rsidR="006E4AC4">
        <w:rPr>
          <w:lang w:val="en"/>
        </w:rPr>
        <w:noBreakHyphen/>
      </w:r>
      <w:r w:rsidRPr="0075534F">
        <w:rPr>
          <w:lang w:val="en"/>
        </w:rPr>
        <w:t>32</w:t>
      </w:r>
      <w:r>
        <w:rPr>
          <w:lang w:val="en"/>
        </w:rPr>
        <w:t>.</w:t>
      </w:r>
    </w:p>
    <w:p w14:paraId="4A74B7AE" w14:textId="77777777" w:rsidR="00076F17" w:rsidRDefault="00076F17" w:rsidP="009B6248">
      <w:pPr>
        <w:rPr>
          <w:rFonts w:ascii="Times New Roman" w:hAnsi="Times New Roman"/>
          <w:color w:val="auto"/>
          <w:lang w:val="en"/>
        </w:rPr>
      </w:pPr>
      <w:proofErr w:type="spellStart"/>
      <w:r>
        <w:rPr>
          <w:lang w:val="en"/>
        </w:rPr>
        <w:t>Hombert</w:t>
      </w:r>
      <w:proofErr w:type="spellEnd"/>
      <w:r>
        <w:rPr>
          <w:lang w:val="en"/>
        </w:rPr>
        <w:t>, J</w:t>
      </w:r>
      <w:r w:rsidR="001244F6">
        <w:rPr>
          <w:lang w:val="en"/>
        </w:rPr>
        <w:t>.</w:t>
      </w:r>
      <w:r>
        <w:rPr>
          <w:lang w:val="en"/>
        </w:rPr>
        <w:t xml:space="preserve"> and </w:t>
      </w:r>
      <w:proofErr w:type="spellStart"/>
      <w:r>
        <w:rPr>
          <w:lang w:val="en"/>
        </w:rPr>
        <w:t>Matray</w:t>
      </w:r>
      <w:proofErr w:type="spellEnd"/>
      <w:r>
        <w:rPr>
          <w:lang w:val="en"/>
        </w:rPr>
        <w:t>, A</w:t>
      </w:r>
      <w:r w:rsidR="001244F6">
        <w:rPr>
          <w:lang w:val="en"/>
        </w:rPr>
        <w:t xml:space="preserve">. </w:t>
      </w:r>
      <w:r>
        <w:rPr>
          <w:lang w:val="en"/>
        </w:rPr>
        <w:t>2019, Technology Boom, Labor Reallocation, and Human Capital Depreciation</w:t>
      </w:r>
      <w:r w:rsidR="00BE41AC">
        <w:rPr>
          <w:lang w:val="en"/>
        </w:rPr>
        <w:t>,</w:t>
      </w:r>
      <w:r>
        <w:rPr>
          <w:lang w:val="en"/>
        </w:rPr>
        <w:t xml:space="preserve"> </w:t>
      </w:r>
      <w:r w:rsidR="00BE41AC" w:rsidRPr="0075534F">
        <w:rPr>
          <w:i/>
          <w:lang w:val="en"/>
        </w:rPr>
        <w:t>HEC Paris Research Paper No. FIN</w:t>
      </w:r>
      <w:r w:rsidR="006E4AC4">
        <w:rPr>
          <w:i/>
          <w:lang w:val="en"/>
        </w:rPr>
        <w:noBreakHyphen/>
      </w:r>
      <w:r w:rsidR="00BE41AC" w:rsidRPr="0075534F">
        <w:rPr>
          <w:i/>
          <w:lang w:val="en"/>
        </w:rPr>
        <w:t>2018</w:t>
      </w:r>
      <w:r w:rsidR="006E4AC4">
        <w:rPr>
          <w:i/>
          <w:lang w:val="en"/>
        </w:rPr>
        <w:noBreakHyphen/>
      </w:r>
      <w:r w:rsidR="00BE41AC" w:rsidRPr="0075534F">
        <w:rPr>
          <w:i/>
          <w:lang w:val="en"/>
        </w:rPr>
        <w:t>1294</w:t>
      </w:r>
      <w:r w:rsidR="009B6248">
        <w:rPr>
          <w:i/>
          <w:lang w:val="en"/>
        </w:rPr>
        <w:t>.</w:t>
      </w:r>
    </w:p>
    <w:p w14:paraId="7AB75889" w14:textId="77777777" w:rsidR="006E520D" w:rsidRDefault="006E520D" w:rsidP="009B6248">
      <w:pPr>
        <w:rPr>
          <w:color w:val="222222"/>
        </w:rPr>
      </w:pPr>
      <w:r>
        <w:rPr>
          <w:color w:val="222222"/>
        </w:rPr>
        <w:t>Kahn, L.B., 2010. The long</w:t>
      </w:r>
      <w:r w:rsidR="006E4AC4">
        <w:rPr>
          <w:color w:val="222222"/>
        </w:rPr>
        <w:noBreakHyphen/>
      </w:r>
      <w:r>
        <w:rPr>
          <w:color w:val="222222"/>
        </w:rPr>
        <w:t xml:space="preserve">term </w:t>
      </w:r>
      <w:proofErr w:type="spellStart"/>
      <w:r>
        <w:rPr>
          <w:color w:val="222222"/>
        </w:rPr>
        <w:t>labor</w:t>
      </w:r>
      <w:proofErr w:type="spellEnd"/>
      <w:r>
        <w:rPr>
          <w:color w:val="222222"/>
        </w:rPr>
        <w:t xml:space="preserve"> market consequences of graduating from college in a bad economy. </w:t>
      </w:r>
      <w:r>
        <w:rPr>
          <w:i/>
          <w:iCs/>
          <w:color w:val="222222"/>
        </w:rPr>
        <w:t>Labour economics</w:t>
      </w:r>
      <w:r>
        <w:rPr>
          <w:color w:val="222222"/>
        </w:rPr>
        <w:t xml:space="preserve">, </w:t>
      </w:r>
      <w:r>
        <w:rPr>
          <w:i/>
          <w:iCs/>
          <w:color w:val="222222"/>
        </w:rPr>
        <w:t>17</w:t>
      </w:r>
      <w:r>
        <w:rPr>
          <w:color w:val="222222"/>
        </w:rPr>
        <w:t>(2), pp.303</w:t>
      </w:r>
      <w:r w:rsidR="006E4AC4">
        <w:rPr>
          <w:color w:val="222222"/>
        </w:rPr>
        <w:noBreakHyphen/>
      </w:r>
      <w:r>
        <w:rPr>
          <w:color w:val="222222"/>
        </w:rPr>
        <w:t>316.</w:t>
      </w:r>
    </w:p>
    <w:p w14:paraId="66CC872A" w14:textId="77777777" w:rsidR="006E520D" w:rsidRDefault="006E520D" w:rsidP="008627B1">
      <w:pPr>
        <w:rPr>
          <w:color w:val="222222"/>
        </w:rPr>
      </w:pPr>
      <w:r>
        <w:rPr>
          <w:color w:val="222222"/>
        </w:rPr>
        <w:t xml:space="preserve">Kawaguchi, D. and Kondo, A., 2020. The Effects of Graduating from College during a Recession on Living Standards. </w:t>
      </w:r>
      <w:r>
        <w:rPr>
          <w:i/>
          <w:iCs/>
          <w:color w:val="222222"/>
        </w:rPr>
        <w:t>Economic Inquiry</w:t>
      </w:r>
      <w:r>
        <w:rPr>
          <w:color w:val="222222"/>
        </w:rPr>
        <w:t xml:space="preserve">, </w:t>
      </w:r>
      <w:r>
        <w:rPr>
          <w:i/>
          <w:iCs/>
          <w:color w:val="222222"/>
        </w:rPr>
        <w:t>58</w:t>
      </w:r>
      <w:r>
        <w:rPr>
          <w:color w:val="222222"/>
        </w:rPr>
        <w:t>(1), pp.283</w:t>
      </w:r>
      <w:r w:rsidR="006E4AC4">
        <w:rPr>
          <w:color w:val="222222"/>
        </w:rPr>
        <w:noBreakHyphen/>
      </w:r>
      <w:r>
        <w:rPr>
          <w:color w:val="222222"/>
        </w:rPr>
        <w:t>293.</w:t>
      </w:r>
    </w:p>
    <w:p w14:paraId="4F6A38CA" w14:textId="77777777" w:rsidR="00B30D6C" w:rsidRDefault="00B30D6C" w:rsidP="008627B1">
      <w:pPr>
        <w:rPr>
          <w:color w:val="222222"/>
        </w:rPr>
      </w:pPr>
      <w:r>
        <w:rPr>
          <w:color w:val="222222"/>
        </w:rPr>
        <w:t xml:space="preserve">Kroft K, Lange F and </w:t>
      </w:r>
      <w:proofErr w:type="spellStart"/>
      <w:r>
        <w:rPr>
          <w:color w:val="222222"/>
        </w:rPr>
        <w:t>Notowidigdo</w:t>
      </w:r>
      <w:proofErr w:type="spellEnd"/>
      <w:r>
        <w:rPr>
          <w:color w:val="222222"/>
        </w:rPr>
        <w:t xml:space="preserve"> M.J. 2013. Duration dependence and labour market conditions: Evidence from a field experiment, </w:t>
      </w:r>
      <w:r w:rsidRPr="00B30D6C">
        <w:rPr>
          <w:i/>
          <w:color w:val="222222"/>
        </w:rPr>
        <w:t>The Quarterly Journal of Economics</w:t>
      </w:r>
      <w:r>
        <w:rPr>
          <w:color w:val="222222"/>
        </w:rPr>
        <w:t>, 128(3), pp.1123</w:t>
      </w:r>
      <w:r w:rsidR="006E4AC4">
        <w:rPr>
          <w:color w:val="222222"/>
        </w:rPr>
        <w:noBreakHyphen/>
      </w:r>
      <w:r>
        <w:rPr>
          <w:color w:val="222222"/>
        </w:rPr>
        <w:t>1167.</w:t>
      </w:r>
    </w:p>
    <w:p w14:paraId="391171C1" w14:textId="77777777" w:rsidR="00B30D6C" w:rsidRDefault="00B30D6C" w:rsidP="008627B1">
      <w:pPr>
        <w:rPr>
          <w:color w:val="222222"/>
        </w:rPr>
      </w:pPr>
      <w:r>
        <w:rPr>
          <w:color w:val="222222"/>
        </w:rPr>
        <w:t xml:space="preserve">Krueger A.B. and Mueller A.I. 2016. A contribution on the empirics of reservation wages, </w:t>
      </w:r>
      <w:r>
        <w:rPr>
          <w:i/>
          <w:color w:val="222222"/>
        </w:rPr>
        <w:t>American Economic Journal: Economic Policy</w:t>
      </w:r>
      <w:r>
        <w:rPr>
          <w:color w:val="222222"/>
        </w:rPr>
        <w:t>, 8(1), pp.142</w:t>
      </w:r>
      <w:r w:rsidR="006E4AC4">
        <w:rPr>
          <w:color w:val="222222"/>
        </w:rPr>
        <w:noBreakHyphen/>
      </w:r>
      <w:r>
        <w:rPr>
          <w:color w:val="222222"/>
        </w:rPr>
        <w:t>179.</w:t>
      </w:r>
    </w:p>
    <w:p w14:paraId="6D45C0D1" w14:textId="77777777" w:rsidR="00D87575" w:rsidRDefault="00D87575" w:rsidP="008627B1">
      <w:pPr>
        <w:rPr>
          <w:color w:val="222222"/>
        </w:rPr>
      </w:pPr>
      <w:r>
        <w:rPr>
          <w:color w:val="222222"/>
        </w:rPr>
        <w:t xml:space="preserve">Kwon, I., </w:t>
      </w:r>
      <w:proofErr w:type="spellStart"/>
      <w:r>
        <w:rPr>
          <w:color w:val="222222"/>
        </w:rPr>
        <w:t>Milgrom</w:t>
      </w:r>
      <w:proofErr w:type="spellEnd"/>
      <w:r>
        <w:rPr>
          <w:color w:val="222222"/>
        </w:rPr>
        <w:t xml:space="preserve">, E.M. and Hwang, S., 2010. Cohort effects in promotions and wages evidence from Sweden and the United States. </w:t>
      </w:r>
      <w:r>
        <w:rPr>
          <w:i/>
          <w:iCs/>
          <w:color w:val="222222"/>
        </w:rPr>
        <w:t>Journal of Human Resources</w:t>
      </w:r>
      <w:r>
        <w:rPr>
          <w:color w:val="222222"/>
        </w:rPr>
        <w:t xml:space="preserve">, </w:t>
      </w:r>
      <w:r>
        <w:rPr>
          <w:i/>
          <w:iCs/>
          <w:color w:val="222222"/>
        </w:rPr>
        <w:t>45</w:t>
      </w:r>
      <w:r>
        <w:rPr>
          <w:color w:val="222222"/>
        </w:rPr>
        <w:t>(3), pp.772</w:t>
      </w:r>
      <w:r w:rsidR="006E4AC4">
        <w:rPr>
          <w:color w:val="222222"/>
        </w:rPr>
        <w:noBreakHyphen/>
      </w:r>
      <w:r>
        <w:rPr>
          <w:color w:val="222222"/>
        </w:rPr>
        <w:t>808.</w:t>
      </w:r>
    </w:p>
    <w:p w14:paraId="28030B9C" w14:textId="77777777" w:rsidR="001A6380" w:rsidRDefault="001A6380" w:rsidP="001A6380">
      <w:pPr>
        <w:spacing w:after="120"/>
        <w:rPr>
          <w:rFonts w:cs="Arial"/>
          <w:color w:val="222222"/>
          <w:shd w:val="clear" w:color="auto" w:fill="FFFFFF"/>
        </w:rPr>
      </w:pPr>
      <w:r w:rsidRPr="001A6380">
        <w:rPr>
          <w:rFonts w:cs="Arial"/>
          <w:color w:val="222222"/>
          <w:shd w:val="clear" w:color="auto" w:fill="FFFFFF"/>
        </w:rPr>
        <w:t>Lowe P</w:t>
      </w:r>
      <w:r w:rsidR="00E37305">
        <w:rPr>
          <w:rFonts w:cs="Arial"/>
          <w:color w:val="222222"/>
          <w:shd w:val="clear" w:color="auto" w:fill="FFFFFF"/>
        </w:rPr>
        <w:t>.,</w:t>
      </w:r>
      <w:r w:rsidRPr="001A6380">
        <w:rPr>
          <w:rFonts w:cs="Arial"/>
          <w:color w:val="222222"/>
          <w:shd w:val="clear" w:color="auto" w:fill="FFFFFF"/>
        </w:rPr>
        <w:t xml:space="preserve"> 2018,</w:t>
      </w:r>
      <w:r>
        <w:rPr>
          <w:rFonts w:cs="Arial"/>
          <w:color w:val="222222"/>
          <w:shd w:val="clear" w:color="auto" w:fill="FFFFFF"/>
        </w:rPr>
        <w:t xml:space="preserve"> </w:t>
      </w:r>
      <w:r w:rsidR="006E4AC4">
        <w:rPr>
          <w:rFonts w:cs="Arial"/>
          <w:color w:val="222222"/>
          <w:shd w:val="clear" w:color="auto" w:fill="FFFFFF"/>
        </w:rPr>
        <w:t>‘</w:t>
      </w:r>
      <w:r>
        <w:rPr>
          <w:rFonts w:cs="Arial"/>
          <w:color w:val="222222"/>
          <w:shd w:val="clear" w:color="auto" w:fill="FFFFFF"/>
        </w:rPr>
        <w:t>Productivity, Wages and Prosperity</w:t>
      </w:r>
      <w:r w:rsidR="006E4AC4">
        <w:rPr>
          <w:rFonts w:cs="Arial"/>
          <w:color w:val="222222"/>
          <w:shd w:val="clear" w:color="auto" w:fill="FFFFFF"/>
        </w:rPr>
        <w:t>’</w:t>
      </w:r>
      <w:r>
        <w:rPr>
          <w:rFonts w:cs="Arial"/>
          <w:color w:val="222222"/>
          <w:shd w:val="clear" w:color="auto" w:fill="FFFFFF"/>
        </w:rPr>
        <w:t xml:space="preserve">, </w:t>
      </w:r>
      <w:r w:rsidRPr="0075534F">
        <w:rPr>
          <w:rFonts w:cs="Arial"/>
          <w:i/>
          <w:color w:val="222222"/>
          <w:shd w:val="clear" w:color="auto" w:fill="FFFFFF"/>
        </w:rPr>
        <w:t>Address to Australian Industry Group</w:t>
      </w:r>
      <w:r>
        <w:rPr>
          <w:rFonts w:cs="Arial"/>
          <w:i/>
          <w:color w:val="222222"/>
          <w:shd w:val="clear" w:color="auto" w:fill="FFFFFF"/>
        </w:rPr>
        <w:t xml:space="preserve">, </w:t>
      </w:r>
      <w:r>
        <w:rPr>
          <w:rFonts w:cs="Arial"/>
          <w:color w:val="222222"/>
          <w:shd w:val="clear" w:color="auto" w:fill="FFFFFF"/>
        </w:rPr>
        <w:t>Melbourne, 13 June 2018</w:t>
      </w:r>
    </w:p>
    <w:p w14:paraId="17E138EA" w14:textId="77777777" w:rsidR="00F7585B" w:rsidRDefault="00F7585B" w:rsidP="008627B1">
      <w:pPr>
        <w:rPr>
          <w:color w:val="222222"/>
        </w:rPr>
      </w:pPr>
      <w:proofErr w:type="spellStart"/>
      <w:r>
        <w:rPr>
          <w:color w:val="222222"/>
        </w:rPr>
        <w:t>Malmendier</w:t>
      </w:r>
      <w:proofErr w:type="spellEnd"/>
      <w:r>
        <w:rPr>
          <w:color w:val="222222"/>
        </w:rPr>
        <w:t xml:space="preserve"> U. and Nagel S., 2011. Depression babies: Do macroeconomic experiences affect risk taking</w:t>
      </w:r>
      <w:proofErr w:type="gramStart"/>
      <w:r>
        <w:rPr>
          <w:color w:val="222222"/>
        </w:rPr>
        <w:t>?,</w:t>
      </w:r>
      <w:proofErr w:type="gramEnd"/>
      <w:r>
        <w:rPr>
          <w:color w:val="222222"/>
        </w:rPr>
        <w:t xml:space="preserve"> </w:t>
      </w:r>
      <w:r>
        <w:rPr>
          <w:i/>
          <w:color w:val="222222"/>
        </w:rPr>
        <w:t>The Quarterly Journal of Economics</w:t>
      </w:r>
      <w:r>
        <w:rPr>
          <w:color w:val="222222"/>
        </w:rPr>
        <w:t>, 126(1),pp.373</w:t>
      </w:r>
      <w:r w:rsidR="006E4AC4">
        <w:rPr>
          <w:color w:val="222222"/>
        </w:rPr>
        <w:noBreakHyphen/>
      </w:r>
      <w:r>
        <w:rPr>
          <w:color w:val="222222"/>
        </w:rPr>
        <w:t>416.</w:t>
      </w:r>
    </w:p>
    <w:p w14:paraId="3651294C" w14:textId="77777777" w:rsidR="00FF7321" w:rsidRDefault="00FF7321" w:rsidP="008627B1">
      <w:pPr>
        <w:rPr>
          <w:color w:val="222222"/>
        </w:rPr>
      </w:pPr>
      <w:r>
        <w:rPr>
          <w:color w:val="222222"/>
        </w:rPr>
        <w:t xml:space="preserve">McLaughlin, K.J. and </w:t>
      </w:r>
      <w:proofErr w:type="spellStart"/>
      <w:r>
        <w:rPr>
          <w:color w:val="222222"/>
        </w:rPr>
        <w:t>Bils</w:t>
      </w:r>
      <w:proofErr w:type="spellEnd"/>
      <w:r>
        <w:rPr>
          <w:color w:val="222222"/>
        </w:rPr>
        <w:t>, M., 2001. Inter</w:t>
      </w:r>
      <w:r w:rsidR="006E4AC4">
        <w:rPr>
          <w:color w:val="222222"/>
        </w:rPr>
        <w:noBreakHyphen/>
      </w:r>
      <w:r>
        <w:rPr>
          <w:color w:val="222222"/>
        </w:rPr>
        <w:t xml:space="preserve">industry mobility and the cyclical upgrading of </w:t>
      </w:r>
      <w:proofErr w:type="spellStart"/>
      <w:r>
        <w:rPr>
          <w:color w:val="222222"/>
        </w:rPr>
        <w:t>labor</w:t>
      </w:r>
      <w:proofErr w:type="spellEnd"/>
      <w:r>
        <w:rPr>
          <w:color w:val="222222"/>
        </w:rPr>
        <w:t xml:space="preserve">. </w:t>
      </w:r>
      <w:r>
        <w:rPr>
          <w:i/>
          <w:iCs/>
          <w:color w:val="222222"/>
        </w:rPr>
        <w:t xml:space="preserve">Journal of </w:t>
      </w:r>
      <w:proofErr w:type="spellStart"/>
      <w:r>
        <w:rPr>
          <w:i/>
          <w:iCs/>
          <w:color w:val="222222"/>
        </w:rPr>
        <w:t>Labor</w:t>
      </w:r>
      <w:proofErr w:type="spellEnd"/>
      <w:r>
        <w:rPr>
          <w:i/>
          <w:iCs/>
          <w:color w:val="222222"/>
        </w:rPr>
        <w:t xml:space="preserve"> Economics</w:t>
      </w:r>
      <w:r>
        <w:rPr>
          <w:color w:val="222222"/>
        </w:rPr>
        <w:t xml:space="preserve">, </w:t>
      </w:r>
      <w:r>
        <w:rPr>
          <w:i/>
          <w:iCs/>
          <w:color w:val="222222"/>
        </w:rPr>
        <w:t>19</w:t>
      </w:r>
      <w:r>
        <w:rPr>
          <w:color w:val="222222"/>
        </w:rPr>
        <w:t>(1), pp.94</w:t>
      </w:r>
      <w:r w:rsidR="006E4AC4">
        <w:rPr>
          <w:color w:val="222222"/>
        </w:rPr>
        <w:noBreakHyphen/>
      </w:r>
      <w:r>
        <w:rPr>
          <w:color w:val="222222"/>
        </w:rPr>
        <w:t>135.</w:t>
      </w:r>
    </w:p>
    <w:p w14:paraId="62AA1C9A" w14:textId="77777777" w:rsidR="00D209BA" w:rsidRDefault="00D209BA" w:rsidP="009B6248">
      <w:pPr>
        <w:rPr>
          <w:color w:val="222222"/>
        </w:rPr>
      </w:pPr>
      <w:r>
        <w:rPr>
          <w:color w:val="222222"/>
        </w:rPr>
        <w:t xml:space="preserve">Murphy, K.M and Welch, </w:t>
      </w:r>
      <w:r w:rsidR="00F10CFA">
        <w:rPr>
          <w:color w:val="222222"/>
        </w:rPr>
        <w:t>F., 1990</w:t>
      </w:r>
      <w:r>
        <w:rPr>
          <w:color w:val="222222"/>
        </w:rPr>
        <w:t>. Empirical Age</w:t>
      </w:r>
      <w:r w:rsidR="006E4AC4">
        <w:rPr>
          <w:color w:val="222222"/>
        </w:rPr>
        <w:noBreakHyphen/>
      </w:r>
      <w:r>
        <w:rPr>
          <w:color w:val="222222"/>
        </w:rPr>
        <w:t xml:space="preserve">Earnings Profiles, </w:t>
      </w:r>
      <w:r w:rsidRPr="0075534F">
        <w:rPr>
          <w:i/>
          <w:color w:val="222222"/>
        </w:rPr>
        <w:t xml:space="preserve">Journal of </w:t>
      </w:r>
      <w:proofErr w:type="spellStart"/>
      <w:r w:rsidR="00F10CFA" w:rsidRPr="0075534F">
        <w:rPr>
          <w:i/>
          <w:color w:val="222222"/>
        </w:rPr>
        <w:t>Labor</w:t>
      </w:r>
      <w:proofErr w:type="spellEnd"/>
      <w:r w:rsidR="00F10CFA" w:rsidRPr="0075534F">
        <w:rPr>
          <w:i/>
          <w:color w:val="222222"/>
        </w:rPr>
        <w:t xml:space="preserve"> Economics 8</w:t>
      </w:r>
      <w:r w:rsidR="00F10CFA">
        <w:rPr>
          <w:color w:val="222222"/>
        </w:rPr>
        <w:t>(2), pp. 202</w:t>
      </w:r>
      <w:r w:rsidR="006E4AC4">
        <w:rPr>
          <w:color w:val="222222"/>
        </w:rPr>
        <w:noBreakHyphen/>
      </w:r>
      <w:r w:rsidR="00F10CFA">
        <w:rPr>
          <w:color w:val="222222"/>
        </w:rPr>
        <w:t>229.</w:t>
      </w:r>
    </w:p>
    <w:p w14:paraId="3318318A" w14:textId="77777777" w:rsidR="00780421" w:rsidRDefault="009154FD" w:rsidP="008627B1">
      <w:pPr>
        <w:rPr>
          <w:color w:val="222222"/>
        </w:rPr>
      </w:pPr>
      <w:r>
        <w:rPr>
          <w:color w:val="222222"/>
        </w:rPr>
        <w:t xml:space="preserve">OECD (Organisation for Economic Co‐operation and Development), 2016. </w:t>
      </w:r>
      <w:r w:rsidRPr="0075534F">
        <w:rPr>
          <w:i/>
          <w:color w:val="222222"/>
        </w:rPr>
        <w:t>Society at a glance</w:t>
      </w:r>
      <w:r>
        <w:rPr>
          <w:color w:val="222222"/>
        </w:rPr>
        <w:t xml:space="preserve"> 2016.</w:t>
      </w:r>
    </w:p>
    <w:p w14:paraId="42313CB2" w14:textId="77777777" w:rsidR="00F012EA" w:rsidRDefault="00E8659A" w:rsidP="008627B1">
      <w:pPr>
        <w:rPr>
          <w:color w:val="222222"/>
        </w:rPr>
      </w:pPr>
      <w:proofErr w:type="spellStart"/>
      <w:r>
        <w:rPr>
          <w:color w:val="222222"/>
        </w:rPr>
        <w:t>Oreopoulos</w:t>
      </w:r>
      <w:proofErr w:type="spellEnd"/>
      <w:r>
        <w:rPr>
          <w:color w:val="222222"/>
        </w:rPr>
        <w:t xml:space="preserve">, P., Von </w:t>
      </w:r>
      <w:proofErr w:type="spellStart"/>
      <w:r>
        <w:rPr>
          <w:color w:val="222222"/>
        </w:rPr>
        <w:t>Wachter</w:t>
      </w:r>
      <w:proofErr w:type="spellEnd"/>
      <w:r>
        <w:rPr>
          <w:color w:val="222222"/>
        </w:rPr>
        <w:t xml:space="preserve">, T. and </w:t>
      </w:r>
      <w:proofErr w:type="spellStart"/>
      <w:r>
        <w:rPr>
          <w:color w:val="222222"/>
        </w:rPr>
        <w:t>Heisz</w:t>
      </w:r>
      <w:proofErr w:type="spellEnd"/>
      <w:r>
        <w:rPr>
          <w:color w:val="222222"/>
        </w:rPr>
        <w:t>, A., 2012. The short</w:t>
      </w:r>
      <w:r w:rsidR="006E4AC4">
        <w:rPr>
          <w:color w:val="222222"/>
        </w:rPr>
        <w:noBreakHyphen/>
      </w:r>
      <w:r>
        <w:rPr>
          <w:color w:val="222222"/>
        </w:rPr>
        <w:t>and long</w:t>
      </w:r>
      <w:r w:rsidR="006E4AC4">
        <w:rPr>
          <w:color w:val="222222"/>
        </w:rPr>
        <w:noBreakHyphen/>
      </w:r>
      <w:r>
        <w:rPr>
          <w:color w:val="222222"/>
        </w:rPr>
        <w:t xml:space="preserve">term career effects of graduating in a recession. </w:t>
      </w:r>
      <w:r>
        <w:rPr>
          <w:i/>
          <w:iCs/>
          <w:color w:val="222222"/>
        </w:rPr>
        <w:t>American Economic Journal: Applied Economics</w:t>
      </w:r>
      <w:r>
        <w:rPr>
          <w:color w:val="222222"/>
        </w:rPr>
        <w:t xml:space="preserve">, </w:t>
      </w:r>
      <w:r>
        <w:rPr>
          <w:i/>
          <w:iCs/>
          <w:color w:val="222222"/>
        </w:rPr>
        <w:t>4</w:t>
      </w:r>
      <w:r>
        <w:rPr>
          <w:color w:val="222222"/>
        </w:rPr>
        <w:t>(1), pp.1</w:t>
      </w:r>
      <w:r w:rsidR="006E4AC4">
        <w:rPr>
          <w:color w:val="222222"/>
        </w:rPr>
        <w:noBreakHyphen/>
      </w:r>
      <w:r>
        <w:rPr>
          <w:color w:val="222222"/>
        </w:rPr>
        <w:t>29.</w:t>
      </w:r>
    </w:p>
    <w:p w14:paraId="75F25007" w14:textId="77777777" w:rsidR="0074143B" w:rsidRDefault="0074143B" w:rsidP="008627B1">
      <w:pPr>
        <w:rPr>
          <w:color w:val="222222"/>
        </w:rPr>
      </w:pPr>
      <w:proofErr w:type="spellStart"/>
      <w:r>
        <w:rPr>
          <w:color w:val="222222"/>
        </w:rPr>
        <w:t>Ouimet</w:t>
      </w:r>
      <w:proofErr w:type="spellEnd"/>
      <w:r>
        <w:rPr>
          <w:color w:val="222222"/>
        </w:rPr>
        <w:t xml:space="preserve">, P. and </w:t>
      </w:r>
      <w:proofErr w:type="spellStart"/>
      <w:r>
        <w:rPr>
          <w:color w:val="222222"/>
        </w:rPr>
        <w:t>Zarutskie</w:t>
      </w:r>
      <w:proofErr w:type="spellEnd"/>
      <w:r>
        <w:rPr>
          <w:color w:val="222222"/>
        </w:rPr>
        <w:t xml:space="preserve">, R., 2014. Who works for </w:t>
      </w:r>
      <w:proofErr w:type="spellStart"/>
      <w:r>
        <w:rPr>
          <w:color w:val="222222"/>
        </w:rPr>
        <w:t>startups</w:t>
      </w:r>
      <w:proofErr w:type="spellEnd"/>
      <w:r>
        <w:rPr>
          <w:color w:val="222222"/>
        </w:rPr>
        <w:t xml:space="preserve">? The relation between firm age, employee age, and growth. </w:t>
      </w:r>
      <w:r>
        <w:rPr>
          <w:i/>
          <w:iCs/>
          <w:color w:val="222222"/>
        </w:rPr>
        <w:t>Journal of financial Economics</w:t>
      </w:r>
      <w:r>
        <w:rPr>
          <w:color w:val="222222"/>
        </w:rPr>
        <w:t xml:space="preserve">, </w:t>
      </w:r>
      <w:r>
        <w:rPr>
          <w:i/>
          <w:iCs/>
          <w:color w:val="222222"/>
        </w:rPr>
        <w:t>112</w:t>
      </w:r>
      <w:r>
        <w:rPr>
          <w:color w:val="222222"/>
        </w:rPr>
        <w:t>(3), pp.386</w:t>
      </w:r>
      <w:r w:rsidR="006E4AC4">
        <w:rPr>
          <w:color w:val="222222"/>
        </w:rPr>
        <w:noBreakHyphen/>
      </w:r>
      <w:r>
        <w:rPr>
          <w:color w:val="222222"/>
        </w:rPr>
        <w:t>407.</w:t>
      </w:r>
    </w:p>
    <w:p w14:paraId="6BF514CD" w14:textId="77777777" w:rsidR="00FF1B82" w:rsidRDefault="00FF1B82" w:rsidP="008627B1">
      <w:pPr>
        <w:rPr>
          <w:color w:val="222222"/>
        </w:rPr>
      </w:pPr>
      <w:r>
        <w:rPr>
          <w:color w:val="222222"/>
        </w:rPr>
        <w:t xml:space="preserve">PC (Productivity Commission), 2018. </w:t>
      </w:r>
      <w:r w:rsidRPr="0075534F">
        <w:rPr>
          <w:iCs/>
          <w:color w:val="222222"/>
        </w:rPr>
        <w:t>Rising inequality? A stocktake of the evidence</w:t>
      </w:r>
      <w:r w:rsidRPr="00D504D9">
        <w:rPr>
          <w:color w:val="222222"/>
        </w:rPr>
        <w:t>.</w:t>
      </w:r>
      <w:r>
        <w:rPr>
          <w:color w:val="222222"/>
        </w:rPr>
        <w:t xml:space="preserve"> </w:t>
      </w:r>
      <w:r w:rsidRPr="0075534F">
        <w:rPr>
          <w:i/>
          <w:color w:val="222222"/>
        </w:rPr>
        <w:t>Productivity Commission Research Paper</w:t>
      </w:r>
      <w:r>
        <w:rPr>
          <w:color w:val="222222"/>
        </w:rPr>
        <w:t>, Productivity Commission, Australian Government.</w:t>
      </w:r>
    </w:p>
    <w:p w14:paraId="342BEAD8" w14:textId="77777777" w:rsidR="00D504D9" w:rsidRPr="0075534F" w:rsidRDefault="00D504D9" w:rsidP="008627B1">
      <w:pPr>
        <w:rPr>
          <w:color w:val="auto"/>
        </w:rPr>
      </w:pPr>
      <w:r w:rsidRPr="00971250">
        <w:rPr>
          <w:color w:val="auto"/>
        </w:rPr>
        <w:t>Quinn, M. 2019. What</w:t>
      </w:r>
      <w:r w:rsidR="006E4AC4">
        <w:rPr>
          <w:color w:val="auto"/>
        </w:rPr>
        <w:t>’</w:t>
      </w:r>
      <w:r w:rsidRPr="00971250">
        <w:rPr>
          <w:color w:val="auto"/>
        </w:rPr>
        <w:t xml:space="preserve">s driving low wages growth in Australia? </w:t>
      </w:r>
      <w:r w:rsidRPr="00971250">
        <w:rPr>
          <w:i/>
          <w:color w:val="auto"/>
        </w:rPr>
        <w:t>Speech to the Australian Conference of Economists</w:t>
      </w:r>
      <w:r w:rsidRPr="00971250">
        <w:rPr>
          <w:color w:val="auto"/>
        </w:rPr>
        <w:t>, Melbourne, 16 July 2019.</w:t>
      </w:r>
    </w:p>
    <w:p w14:paraId="13DD2961" w14:textId="77777777" w:rsidR="00780421" w:rsidRDefault="00780421" w:rsidP="008627B1">
      <w:pPr>
        <w:rPr>
          <w:color w:val="222222"/>
        </w:rPr>
      </w:pPr>
      <w:proofErr w:type="spellStart"/>
      <w:r>
        <w:rPr>
          <w:color w:val="222222"/>
        </w:rPr>
        <w:t>Raaum</w:t>
      </w:r>
      <w:proofErr w:type="spellEnd"/>
      <w:r>
        <w:rPr>
          <w:color w:val="222222"/>
        </w:rPr>
        <w:t xml:space="preserve">, O. and </w:t>
      </w:r>
      <w:proofErr w:type="spellStart"/>
      <w:r>
        <w:rPr>
          <w:color w:val="222222"/>
        </w:rPr>
        <w:t>Røed</w:t>
      </w:r>
      <w:proofErr w:type="spellEnd"/>
      <w:r>
        <w:rPr>
          <w:color w:val="222222"/>
        </w:rPr>
        <w:t xml:space="preserve">, K., 2006. Do business cycle conditions at the time of </w:t>
      </w:r>
      <w:proofErr w:type="spellStart"/>
      <w:r>
        <w:rPr>
          <w:color w:val="222222"/>
        </w:rPr>
        <w:t>labor</w:t>
      </w:r>
      <w:proofErr w:type="spellEnd"/>
      <w:r>
        <w:rPr>
          <w:color w:val="222222"/>
        </w:rPr>
        <w:t xml:space="preserve"> market entry affect future employment prospects? </w:t>
      </w:r>
      <w:r>
        <w:rPr>
          <w:i/>
          <w:iCs/>
          <w:color w:val="222222"/>
        </w:rPr>
        <w:t>The Review of Economics and Statistics</w:t>
      </w:r>
      <w:r>
        <w:rPr>
          <w:color w:val="222222"/>
        </w:rPr>
        <w:t xml:space="preserve">, </w:t>
      </w:r>
      <w:r>
        <w:rPr>
          <w:i/>
          <w:iCs/>
          <w:color w:val="222222"/>
        </w:rPr>
        <w:t>88</w:t>
      </w:r>
      <w:r>
        <w:rPr>
          <w:color w:val="222222"/>
        </w:rPr>
        <w:t>(2), pp.193</w:t>
      </w:r>
      <w:r w:rsidR="006E4AC4">
        <w:rPr>
          <w:color w:val="222222"/>
        </w:rPr>
        <w:noBreakHyphen/>
      </w:r>
      <w:r>
        <w:rPr>
          <w:color w:val="222222"/>
        </w:rPr>
        <w:t>210.</w:t>
      </w:r>
    </w:p>
    <w:p w14:paraId="2689179A" w14:textId="77777777" w:rsidR="005731C8" w:rsidRDefault="005731C8" w:rsidP="008627B1">
      <w:pPr>
        <w:rPr>
          <w:color w:val="222222"/>
        </w:rPr>
      </w:pPr>
      <w:r>
        <w:rPr>
          <w:color w:val="222222"/>
        </w:rPr>
        <w:t>Rothstein</w:t>
      </w:r>
      <w:r w:rsidR="00E92255">
        <w:rPr>
          <w:color w:val="222222"/>
        </w:rPr>
        <w:t xml:space="preserve">, J. 2019 </w:t>
      </w:r>
      <w:proofErr w:type="gramStart"/>
      <w:r w:rsidR="00E92255" w:rsidRPr="0075534F">
        <w:rPr>
          <w:color w:val="222222"/>
        </w:rPr>
        <w:t>The</w:t>
      </w:r>
      <w:proofErr w:type="gramEnd"/>
      <w:r w:rsidR="00E92255" w:rsidRPr="0075534F">
        <w:rPr>
          <w:color w:val="222222"/>
        </w:rPr>
        <w:t xml:space="preserve"> Lost Generation? Scarring after the Great Recession</w:t>
      </w:r>
      <w:r w:rsidR="00E92255">
        <w:rPr>
          <w:color w:val="222222"/>
        </w:rPr>
        <w:t xml:space="preserve">. </w:t>
      </w:r>
      <w:r w:rsidR="00E92255" w:rsidRPr="0075534F">
        <w:rPr>
          <w:i/>
          <w:color w:val="222222"/>
        </w:rPr>
        <w:t>Unpublished manuscript.</w:t>
      </w:r>
    </w:p>
    <w:p w14:paraId="745B2C9C" w14:textId="77777777" w:rsidR="00780421" w:rsidRDefault="00A6172E" w:rsidP="008627B1">
      <w:pPr>
        <w:rPr>
          <w:color w:val="222222"/>
        </w:rPr>
      </w:pPr>
      <w:proofErr w:type="spellStart"/>
      <w:r>
        <w:rPr>
          <w:color w:val="222222"/>
        </w:rPr>
        <w:t>Schoar</w:t>
      </w:r>
      <w:proofErr w:type="spellEnd"/>
      <w:r>
        <w:rPr>
          <w:color w:val="222222"/>
        </w:rPr>
        <w:t xml:space="preserve">, A. and </w:t>
      </w:r>
      <w:proofErr w:type="spellStart"/>
      <w:r>
        <w:rPr>
          <w:color w:val="222222"/>
        </w:rPr>
        <w:t>Zuo</w:t>
      </w:r>
      <w:proofErr w:type="spellEnd"/>
      <w:r>
        <w:rPr>
          <w:color w:val="222222"/>
        </w:rPr>
        <w:t xml:space="preserve">, L., 2017. Shaped by booms and busts: How the economy impacts CEO careers and management styles. </w:t>
      </w:r>
      <w:r>
        <w:rPr>
          <w:i/>
          <w:iCs/>
          <w:color w:val="222222"/>
        </w:rPr>
        <w:t>The Review of Financial Studies</w:t>
      </w:r>
      <w:r>
        <w:rPr>
          <w:color w:val="222222"/>
        </w:rPr>
        <w:t xml:space="preserve">, </w:t>
      </w:r>
      <w:r>
        <w:rPr>
          <w:i/>
          <w:iCs/>
          <w:color w:val="222222"/>
        </w:rPr>
        <w:t>30</w:t>
      </w:r>
      <w:r>
        <w:rPr>
          <w:color w:val="222222"/>
        </w:rPr>
        <w:t>(5), pp.1425</w:t>
      </w:r>
      <w:r w:rsidR="006E4AC4">
        <w:rPr>
          <w:color w:val="222222"/>
        </w:rPr>
        <w:noBreakHyphen/>
      </w:r>
      <w:r>
        <w:rPr>
          <w:color w:val="222222"/>
        </w:rPr>
        <w:t>1456.</w:t>
      </w:r>
    </w:p>
    <w:p w14:paraId="68CB4951" w14:textId="77777777" w:rsidR="00A33274" w:rsidRDefault="00A33274" w:rsidP="008627B1">
      <w:pPr>
        <w:rPr>
          <w:color w:val="222222"/>
        </w:rPr>
      </w:pPr>
      <w:r>
        <w:rPr>
          <w:color w:val="222222"/>
        </w:rPr>
        <w:lastRenderedPageBreak/>
        <w:t xml:space="preserve">Schwandt, H. and von </w:t>
      </w:r>
      <w:proofErr w:type="spellStart"/>
      <w:r>
        <w:rPr>
          <w:color w:val="222222"/>
        </w:rPr>
        <w:t>Wachter</w:t>
      </w:r>
      <w:proofErr w:type="spellEnd"/>
      <w:r>
        <w:rPr>
          <w:color w:val="222222"/>
        </w:rPr>
        <w:t xml:space="preserve"> T., 2019, Unlucky cohorts: Estimating the long</w:t>
      </w:r>
      <w:r w:rsidR="006E4AC4">
        <w:rPr>
          <w:color w:val="222222"/>
        </w:rPr>
        <w:noBreakHyphen/>
      </w:r>
      <w:r>
        <w:rPr>
          <w:color w:val="222222"/>
        </w:rPr>
        <w:t xml:space="preserve">term effect of entering the </w:t>
      </w:r>
      <w:proofErr w:type="spellStart"/>
      <w:r>
        <w:rPr>
          <w:color w:val="222222"/>
        </w:rPr>
        <w:t>labor</w:t>
      </w:r>
      <w:proofErr w:type="spellEnd"/>
      <w:r>
        <w:rPr>
          <w:color w:val="222222"/>
        </w:rPr>
        <w:t xml:space="preserve"> market in a recession in large cross</w:t>
      </w:r>
      <w:r w:rsidR="006E4AC4">
        <w:rPr>
          <w:color w:val="222222"/>
        </w:rPr>
        <w:noBreakHyphen/>
      </w:r>
      <w:r>
        <w:rPr>
          <w:color w:val="222222"/>
        </w:rPr>
        <w:t xml:space="preserve">section datasets, </w:t>
      </w:r>
      <w:r>
        <w:rPr>
          <w:i/>
          <w:color w:val="222222"/>
        </w:rPr>
        <w:t xml:space="preserve">Journal of </w:t>
      </w:r>
      <w:proofErr w:type="spellStart"/>
      <w:r>
        <w:rPr>
          <w:i/>
          <w:color w:val="222222"/>
        </w:rPr>
        <w:t>Labor</w:t>
      </w:r>
      <w:proofErr w:type="spellEnd"/>
      <w:r>
        <w:rPr>
          <w:i/>
          <w:color w:val="222222"/>
        </w:rPr>
        <w:t xml:space="preserve"> Economics</w:t>
      </w:r>
      <w:r>
        <w:rPr>
          <w:color w:val="222222"/>
        </w:rPr>
        <w:t xml:space="preserve">, </w:t>
      </w:r>
      <w:r>
        <w:rPr>
          <w:i/>
          <w:color w:val="222222"/>
        </w:rPr>
        <w:t>37</w:t>
      </w:r>
      <w:r>
        <w:rPr>
          <w:color w:val="222222"/>
        </w:rPr>
        <w:t>(S1), pp.161</w:t>
      </w:r>
      <w:r w:rsidR="006E4AC4">
        <w:rPr>
          <w:color w:val="222222"/>
        </w:rPr>
        <w:noBreakHyphen/>
      </w:r>
      <w:r>
        <w:rPr>
          <w:color w:val="222222"/>
        </w:rPr>
        <w:t xml:space="preserve">198. </w:t>
      </w:r>
    </w:p>
    <w:p w14:paraId="59C890F3" w14:textId="77777777" w:rsidR="00C65AA1" w:rsidRPr="0075534F" w:rsidRDefault="00C65AA1" w:rsidP="008627B1">
      <w:proofErr w:type="spellStart"/>
      <w:r w:rsidRPr="00971250">
        <w:rPr>
          <w:color w:val="auto"/>
        </w:rPr>
        <w:t>Topel</w:t>
      </w:r>
      <w:proofErr w:type="spellEnd"/>
      <w:r w:rsidRPr="00971250">
        <w:rPr>
          <w:color w:val="auto"/>
        </w:rPr>
        <w:t xml:space="preserve">, R.H. and Ward, M.P., 1992. Job mobility and the careers of young men. </w:t>
      </w:r>
      <w:r w:rsidRPr="00971250">
        <w:rPr>
          <w:i/>
          <w:iCs/>
          <w:color w:val="auto"/>
        </w:rPr>
        <w:t>The Quarterly Journal of Economics</w:t>
      </w:r>
      <w:r w:rsidRPr="00971250">
        <w:rPr>
          <w:color w:val="auto"/>
        </w:rPr>
        <w:t xml:space="preserve">, </w:t>
      </w:r>
      <w:r w:rsidRPr="00971250">
        <w:rPr>
          <w:i/>
          <w:iCs/>
          <w:color w:val="auto"/>
        </w:rPr>
        <w:t>107</w:t>
      </w:r>
      <w:r w:rsidRPr="00971250">
        <w:rPr>
          <w:color w:val="auto"/>
        </w:rPr>
        <w:t>(2), pp.439</w:t>
      </w:r>
      <w:r w:rsidR="006E4AC4">
        <w:rPr>
          <w:color w:val="auto"/>
        </w:rPr>
        <w:noBreakHyphen/>
      </w:r>
      <w:r w:rsidRPr="00971250">
        <w:rPr>
          <w:color w:val="auto"/>
        </w:rPr>
        <w:t>79.</w:t>
      </w:r>
    </w:p>
    <w:p w14:paraId="7E6DA306" w14:textId="77777777" w:rsidR="00BD466B" w:rsidRDefault="00BD466B" w:rsidP="008627B1">
      <w:pPr>
        <w:rPr>
          <w:color w:val="222222"/>
        </w:rPr>
      </w:pPr>
      <w:r>
        <w:rPr>
          <w:color w:val="222222"/>
        </w:rPr>
        <w:t xml:space="preserve">Treasury, 2017. </w:t>
      </w:r>
      <w:r w:rsidRPr="0075534F">
        <w:rPr>
          <w:color w:val="222222"/>
        </w:rPr>
        <w:t>Analysis of Wage Growth</w:t>
      </w:r>
      <w:r>
        <w:rPr>
          <w:color w:val="222222"/>
        </w:rPr>
        <w:t xml:space="preserve">, </w:t>
      </w:r>
      <w:r w:rsidRPr="0075534F">
        <w:rPr>
          <w:i/>
          <w:color w:val="222222"/>
        </w:rPr>
        <w:t>Department of the Treasury</w:t>
      </w:r>
      <w:r>
        <w:rPr>
          <w:color w:val="222222"/>
        </w:rPr>
        <w:t xml:space="preserve">, Australian Government. </w:t>
      </w:r>
    </w:p>
    <w:p w14:paraId="4F141AD5" w14:textId="77777777" w:rsidR="00F811AF" w:rsidRDefault="00F811AF" w:rsidP="008627B1">
      <w:pPr>
        <w:rPr>
          <w:color w:val="222222"/>
        </w:rPr>
      </w:pPr>
      <w:r>
        <w:rPr>
          <w:color w:val="222222"/>
        </w:rPr>
        <w:t xml:space="preserve">Wozniak, A., 2010. Are college graduates more responsive to distant </w:t>
      </w:r>
      <w:proofErr w:type="spellStart"/>
      <w:r>
        <w:rPr>
          <w:color w:val="222222"/>
        </w:rPr>
        <w:t>labor</w:t>
      </w:r>
      <w:proofErr w:type="spellEnd"/>
      <w:r>
        <w:rPr>
          <w:color w:val="222222"/>
        </w:rPr>
        <w:t xml:space="preserve"> market opportunities? </w:t>
      </w:r>
      <w:r>
        <w:rPr>
          <w:i/>
          <w:iCs/>
          <w:color w:val="222222"/>
        </w:rPr>
        <w:t>Journal of Human Resources</w:t>
      </w:r>
      <w:r>
        <w:rPr>
          <w:color w:val="222222"/>
        </w:rPr>
        <w:t xml:space="preserve">, </w:t>
      </w:r>
      <w:r>
        <w:rPr>
          <w:i/>
          <w:iCs/>
          <w:color w:val="222222"/>
        </w:rPr>
        <w:t>45</w:t>
      </w:r>
      <w:r>
        <w:rPr>
          <w:color w:val="222222"/>
        </w:rPr>
        <w:t>(4), pp.944</w:t>
      </w:r>
      <w:r w:rsidR="006E4AC4">
        <w:rPr>
          <w:color w:val="222222"/>
        </w:rPr>
        <w:noBreakHyphen/>
      </w:r>
      <w:r>
        <w:rPr>
          <w:color w:val="222222"/>
        </w:rPr>
        <w:t>970.</w:t>
      </w:r>
    </w:p>
    <w:p w14:paraId="51564EBF" w14:textId="77777777" w:rsidR="00EF1EFA" w:rsidRDefault="00074662" w:rsidP="008627B1">
      <w:proofErr w:type="spellStart"/>
      <w:r>
        <w:rPr>
          <w:color w:val="222222"/>
        </w:rPr>
        <w:t>Yagan</w:t>
      </w:r>
      <w:proofErr w:type="spellEnd"/>
      <w:r>
        <w:rPr>
          <w:color w:val="222222"/>
        </w:rPr>
        <w:t xml:space="preserve">, D., 2019. Employment hysteresis from the great recession. </w:t>
      </w:r>
      <w:r>
        <w:rPr>
          <w:i/>
          <w:iCs/>
          <w:color w:val="222222"/>
        </w:rPr>
        <w:t>Journal of Political Economy</w:t>
      </w:r>
      <w:r>
        <w:rPr>
          <w:color w:val="222222"/>
        </w:rPr>
        <w:t xml:space="preserve">, </w:t>
      </w:r>
      <w:r>
        <w:rPr>
          <w:i/>
          <w:iCs/>
          <w:color w:val="222222"/>
        </w:rPr>
        <w:t>127</w:t>
      </w:r>
      <w:r>
        <w:rPr>
          <w:color w:val="222222"/>
        </w:rPr>
        <w:t>(5), pp.2505</w:t>
      </w:r>
      <w:r w:rsidR="006E4AC4">
        <w:rPr>
          <w:color w:val="222222"/>
        </w:rPr>
        <w:noBreakHyphen/>
      </w:r>
      <w:r>
        <w:rPr>
          <w:color w:val="222222"/>
        </w:rPr>
        <w:t>2558.</w:t>
      </w:r>
    </w:p>
    <w:p w14:paraId="7717C867" w14:textId="77777777" w:rsidR="00C15DD3" w:rsidRDefault="00C15DD3" w:rsidP="008627B1"/>
    <w:p w14:paraId="66702182" w14:textId="77777777" w:rsidR="00C15DD3" w:rsidRDefault="00C15DD3" w:rsidP="008627B1">
      <w:pPr>
        <w:sectPr w:rsidR="00C15DD3" w:rsidSect="008C0793">
          <w:pgSz w:w="11906" w:h="16838" w:code="9"/>
          <w:pgMar w:top="1418" w:right="1304" w:bottom="1418" w:left="1304" w:header="567" w:footer="567" w:gutter="0"/>
          <w:cols w:space="708"/>
          <w:titlePg/>
          <w:docGrid w:linePitch="360"/>
        </w:sectPr>
      </w:pPr>
    </w:p>
    <w:p w14:paraId="76C26F6F" w14:textId="77777777" w:rsidR="00F012EA" w:rsidRDefault="00AC161A" w:rsidP="00F012EA">
      <w:pPr>
        <w:pStyle w:val="AppendixHeadingLevel2NotNumbered"/>
      </w:pPr>
      <w:r>
        <w:lastRenderedPageBreak/>
        <w:t xml:space="preserve">Appendix A: </w:t>
      </w:r>
      <w:r w:rsidR="00A14304">
        <w:t>Summary Statistics</w:t>
      </w:r>
    </w:p>
    <w:p w14:paraId="1C39F528" w14:textId="77777777" w:rsidR="002F446E" w:rsidRPr="0080316F" w:rsidRDefault="002F446E" w:rsidP="00BD4C27">
      <w:pPr>
        <w:pStyle w:val="TableHeading1"/>
        <w:spacing w:after="120"/>
      </w:pPr>
      <w:r w:rsidRPr="0080316F">
        <w:t xml:space="preserve">Table </w:t>
      </w:r>
      <w:r w:rsidR="00A14304">
        <w:t>A1</w:t>
      </w:r>
      <w:r w:rsidRPr="0080316F">
        <w:t xml:space="preserve">: Average summary statistics for </w:t>
      </w:r>
      <w:r w:rsidR="00DD0FE6">
        <w:t>wage and salary</w:t>
      </w:r>
      <w:r w:rsidRPr="0080316F">
        <w:t xml:space="preserve"> income by state, 1991</w:t>
      </w:r>
      <w:r w:rsidR="006E4AC4">
        <w:noBreakHyphen/>
      </w:r>
      <w:r w:rsidRPr="0080316F">
        <w:t>2017.</w:t>
      </w:r>
    </w:p>
    <w:p w14:paraId="767EAE82" w14:textId="77777777" w:rsidR="002F446E" w:rsidRDefault="00E36707" w:rsidP="000E7CDB">
      <w:pPr>
        <w:pStyle w:val="Tablegraphic0"/>
      </w:pPr>
      <w:r>
        <w:rPr>
          <w:noProof/>
          <w:lang w:eastAsia="en-AU"/>
        </w:rPr>
        <w:drawing>
          <wp:inline distT="0" distB="0" distL="0" distR="0" wp14:anchorId="3FEAF995" wp14:editId="3475A2D2">
            <wp:extent cx="3803650" cy="2905713"/>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826940" cy="2923505"/>
                    </a:xfrm>
                    <a:prstGeom prst="rect">
                      <a:avLst/>
                    </a:prstGeom>
                  </pic:spPr>
                </pic:pic>
              </a:graphicData>
            </a:graphic>
          </wp:inline>
        </w:drawing>
      </w:r>
    </w:p>
    <w:p w14:paraId="74F9AD28" w14:textId="77777777" w:rsidR="00A14304" w:rsidRDefault="00A14304" w:rsidP="00A14304">
      <w:pPr>
        <w:pStyle w:val="Chartnote"/>
      </w:pPr>
      <w:r>
        <w:t>Source: ALIFE tax data.</w:t>
      </w:r>
    </w:p>
    <w:p w14:paraId="2974C228" w14:textId="77777777" w:rsidR="00E25892" w:rsidRDefault="00E25892" w:rsidP="001D57FC">
      <w:pPr>
        <w:pStyle w:val="SingleParagraph"/>
      </w:pPr>
    </w:p>
    <w:p w14:paraId="7F493E49" w14:textId="77777777" w:rsidR="00A14304" w:rsidRDefault="00A14304" w:rsidP="00BD4C27">
      <w:pPr>
        <w:pStyle w:val="TableHeading1"/>
        <w:spacing w:after="120"/>
        <w:rPr>
          <w:rFonts w:asciiTheme="minorHAnsi" w:hAnsiTheme="minorHAnsi"/>
          <w:color w:val="auto"/>
        </w:rPr>
      </w:pPr>
      <w:r>
        <w:t>Table A2: Average number of graduates by gender and state, 1991 to 2017</w:t>
      </w:r>
    </w:p>
    <w:p w14:paraId="37E77AD8" w14:textId="77777777" w:rsidR="000E7CDB" w:rsidRDefault="00E36707" w:rsidP="000E7CDB">
      <w:pPr>
        <w:pStyle w:val="Tablegraphic0"/>
      </w:pPr>
      <w:r>
        <w:rPr>
          <w:noProof/>
          <w:lang w:eastAsia="en-AU"/>
        </w:rPr>
        <w:drawing>
          <wp:inline distT="0" distB="0" distL="0" distR="0" wp14:anchorId="1FF41607" wp14:editId="71FDC5CF">
            <wp:extent cx="5904230" cy="1096010"/>
            <wp:effectExtent l="0" t="0" r="127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904230" cy="1096010"/>
                    </a:xfrm>
                    <a:prstGeom prst="rect">
                      <a:avLst/>
                    </a:prstGeom>
                  </pic:spPr>
                </pic:pic>
              </a:graphicData>
            </a:graphic>
          </wp:inline>
        </w:drawing>
      </w:r>
    </w:p>
    <w:p w14:paraId="466081EA" w14:textId="77777777" w:rsidR="00A14304" w:rsidRDefault="00A14304" w:rsidP="000E7CDB">
      <w:pPr>
        <w:pStyle w:val="Chartnote"/>
      </w:pPr>
      <w:r>
        <w:t>Source: ALIFE tax data merged with HECS/HELP data; Treasury calculations</w:t>
      </w:r>
    </w:p>
    <w:p w14:paraId="7F64D8DA" w14:textId="77777777" w:rsidR="00D01228" w:rsidRDefault="00050954" w:rsidP="00C501A8">
      <w:pPr>
        <w:pStyle w:val="CaptionHeading1"/>
        <w:spacing w:after="120"/>
      </w:pPr>
      <w:r>
        <w:lastRenderedPageBreak/>
        <w:t>Figure A1</w:t>
      </w:r>
      <w:r w:rsidR="00D01228">
        <w:t xml:space="preserve">: Number of Graduates: </w:t>
      </w:r>
      <w:r w:rsidR="00712EA2">
        <w:t>T</w:t>
      </w:r>
      <w:r w:rsidR="00DD0FE6">
        <w:t xml:space="preserve">ax </w:t>
      </w:r>
      <w:r w:rsidR="00D01228">
        <w:t xml:space="preserve">data versus </w:t>
      </w:r>
      <w:r w:rsidR="00DD0FE6">
        <w:t>Department of E</w:t>
      </w:r>
      <w:r w:rsidR="00D01228">
        <w:t xml:space="preserve">ducation </w:t>
      </w:r>
      <w:r w:rsidR="00DD0FE6">
        <w:t>data</w:t>
      </w:r>
    </w:p>
    <w:p w14:paraId="5AE02425" w14:textId="77777777" w:rsidR="00D01228" w:rsidRPr="000E7CDB" w:rsidRDefault="00394397" w:rsidP="000E7CDB">
      <w:pPr>
        <w:pStyle w:val="Captiongraphic"/>
      </w:pPr>
      <w:r>
        <w:rPr>
          <w:noProof/>
          <w:lang w:eastAsia="en-AU"/>
        </w:rPr>
        <w:drawing>
          <wp:inline distT="0" distB="0" distL="0" distR="0" wp14:anchorId="2F9A8A0A" wp14:editId="56AE7494">
            <wp:extent cx="5492750" cy="3606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d_rates_compare_gender_cohort.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5494633" cy="3607736"/>
                    </a:xfrm>
                    <a:prstGeom prst="rect">
                      <a:avLst/>
                    </a:prstGeom>
                  </pic:spPr>
                </pic:pic>
              </a:graphicData>
            </a:graphic>
          </wp:inline>
        </w:drawing>
      </w:r>
    </w:p>
    <w:p w14:paraId="63D79082" w14:textId="77777777" w:rsidR="00D01228" w:rsidRDefault="00D01228" w:rsidP="00D01228">
      <w:pPr>
        <w:pStyle w:val="Chartnote"/>
        <w:rPr>
          <w:rFonts w:asciiTheme="minorHAnsi" w:hAnsiTheme="minorHAnsi"/>
        </w:rPr>
      </w:pPr>
      <w:r w:rsidRPr="00B30D6C">
        <w:t xml:space="preserve">Note: </w:t>
      </w:r>
      <w:r w:rsidR="006E4AC4">
        <w:t>‘</w:t>
      </w:r>
      <w:r w:rsidRPr="00B30D6C">
        <w:t>HECS</w:t>
      </w:r>
      <w:r w:rsidR="006E4AC4">
        <w:t xml:space="preserve"> — </w:t>
      </w:r>
      <w:proofErr w:type="gramStart"/>
      <w:r w:rsidRPr="00B30D6C">
        <w:t>Imputed</w:t>
      </w:r>
      <w:proofErr w:type="gramEnd"/>
      <w:r w:rsidR="006E4AC4">
        <w:t>’</w:t>
      </w:r>
      <w:r w:rsidRPr="00B30D6C">
        <w:t xml:space="preserve"> series show the number of graduates based on the imputed tax microdata. </w:t>
      </w:r>
      <w:r w:rsidR="006E4AC4">
        <w:t>‘</w:t>
      </w:r>
      <w:r w:rsidRPr="00B30D6C">
        <w:t>DET</w:t>
      </w:r>
      <w:r w:rsidR="006E4AC4">
        <w:t xml:space="preserve"> — </w:t>
      </w:r>
      <w:proofErr w:type="gramStart"/>
      <w:r w:rsidRPr="00B30D6C">
        <w:t>Official</w:t>
      </w:r>
      <w:proofErr w:type="gramEnd"/>
      <w:r w:rsidR="006E4AC4">
        <w:t>’</w:t>
      </w:r>
      <w:r w:rsidRPr="00B30D6C">
        <w:t xml:space="preserve"> show the total number of domestic student graduation in each year, </w:t>
      </w:r>
      <w:r w:rsidR="00E25892" w:rsidRPr="00B30D6C">
        <w:t>based on the Department of Education data:</w:t>
      </w:r>
      <w:r w:rsidR="00E25892" w:rsidRPr="00E25892">
        <w:rPr>
          <w:color w:val="0000FF"/>
          <w:u w:val="single"/>
        </w:rPr>
        <w:t xml:space="preserve"> </w:t>
      </w:r>
      <w:r w:rsidR="00E25892">
        <w:rPr>
          <w:color w:val="0000FF"/>
          <w:u w:val="single"/>
        </w:rPr>
        <w:t>https://docs.education.gov.au/documents/2017</w:t>
      </w:r>
      <w:r w:rsidR="006E4AC4">
        <w:rPr>
          <w:color w:val="0000FF"/>
          <w:u w:val="single"/>
        </w:rPr>
        <w:noBreakHyphen/>
      </w:r>
      <w:r w:rsidR="00E25892">
        <w:rPr>
          <w:color w:val="0000FF"/>
          <w:u w:val="single"/>
        </w:rPr>
        <w:t>section</w:t>
      </w:r>
      <w:r w:rsidR="006E4AC4">
        <w:rPr>
          <w:color w:val="0000FF"/>
          <w:u w:val="single"/>
        </w:rPr>
        <w:noBreakHyphen/>
      </w:r>
      <w:r w:rsidR="00E25892">
        <w:rPr>
          <w:color w:val="0000FF"/>
          <w:u w:val="single"/>
        </w:rPr>
        <w:t>14</w:t>
      </w:r>
      <w:r w:rsidR="006E4AC4">
        <w:rPr>
          <w:color w:val="0000FF"/>
          <w:u w:val="single"/>
        </w:rPr>
        <w:noBreakHyphen/>
      </w:r>
      <w:r w:rsidR="00E25892">
        <w:rPr>
          <w:color w:val="0000FF"/>
          <w:u w:val="single"/>
        </w:rPr>
        <w:t>award</w:t>
      </w:r>
      <w:r w:rsidR="006E4AC4">
        <w:rPr>
          <w:color w:val="0000FF"/>
          <w:u w:val="single"/>
        </w:rPr>
        <w:noBreakHyphen/>
      </w:r>
      <w:r w:rsidR="00E25892">
        <w:rPr>
          <w:color w:val="0000FF"/>
          <w:u w:val="single"/>
        </w:rPr>
        <w:t>course</w:t>
      </w:r>
      <w:r w:rsidR="006E4AC4">
        <w:rPr>
          <w:color w:val="0000FF"/>
          <w:u w:val="single"/>
        </w:rPr>
        <w:noBreakHyphen/>
      </w:r>
      <w:r w:rsidR="00E25892">
        <w:rPr>
          <w:color w:val="0000FF"/>
          <w:u w:val="single"/>
        </w:rPr>
        <w:t>completions</w:t>
      </w:r>
      <w:r w:rsidR="00E25892">
        <w:rPr>
          <w:rFonts w:asciiTheme="minorHAnsi" w:hAnsiTheme="minorHAnsi"/>
        </w:rPr>
        <w:t>.</w:t>
      </w:r>
      <w:r>
        <w:rPr>
          <w:rFonts w:asciiTheme="minorHAnsi" w:hAnsiTheme="minorHAnsi"/>
        </w:rPr>
        <w:t xml:space="preserve"> </w:t>
      </w:r>
    </w:p>
    <w:p w14:paraId="5FCFA8BC" w14:textId="77777777" w:rsidR="000E7CDB" w:rsidRDefault="000E7CDB" w:rsidP="000E7CDB">
      <w:pPr>
        <w:pStyle w:val="SingleParagraph"/>
      </w:pPr>
    </w:p>
    <w:p w14:paraId="3C892883" w14:textId="77777777" w:rsidR="00050954" w:rsidRDefault="00050954" w:rsidP="00C501A8">
      <w:pPr>
        <w:pStyle w:val="CaptionHeading1"/>
        <w:spacing w:after="120"/>
      </w:pPr>
      <w:r>
        <w:t xml:space="preserve">Figure A2: Deviation of state youth unemployment rate from national rate </w:t>
      </w:r>
      <w:r w:rsidR="00A81231">
        <w:br/>
        <w:t>D</w:t>
      </w:r>
      <w:r>
        <w:t>e</w:t>
      </w:r>
      <w:r w:rsidR="006E4AC4">
        <w:noBreakHyphen/>
      </w:r>
      <w:proofErr w:type="spellStart"/>
      <w:r>
        <w:t>meaned</w:t>
      </w:r>
      <w:proofErr w:type="spellEnd"/>
      <w:r w:rsidR="00A81231">
        <w:t>; percentage point deviation</w:t>
      </w:r>
    </w:p>
    <w:p w14:paraId="74E3F8DC" w14:textId="77777777" w:rsidR="00050954" w:rsidRPr="000E7CDB" w:rsidRDefault="00050954" w:rsidP="000E7CDB">
      <w:pPr>
        <w:pStyle w:val="Captiongraphic"/>
      </w:pPr>
      <w:r w:rsidRPr="00050954">
        <w:rPr>
          <w:noProof/>
          <w:lang w:eastAsia="en-AU"/>
        </w:rPr>
        <w:drawing>
          <wp:inline distT="0" distB="0" distL="0" distR="0" wp14:anchorId="7DBB2E86" wp14:editId="10F4C5F1">
            <wp:extent cx="5779135" cy="30949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3">
                      <a:extLst>
                        <a:ext uri="{28A0092B-C50C-407E-A947-70E740481C1C}">
                          <a14:useLocalDpi xmlns:a14="http://schemas.microsoft.com/office/drawing/2010/main" val="0"/>
                        </a:ext>
                      </a:extLst>
                    </a:blip>
                    <a:srcRect t="3848"/>
                    <a:stretch/>
                  </pic:blipFill>
                  <pic:spPr bwMode="auto">
                    <a:xfrm>
                      <a:off x="0" y="0"/>
                      <a:ext cx="5779135" cy="3094990"/>
                    </a:xfrm>
                    <a:prstGeom prst="rect">
                      <a:avLst/>
                    </a:prstGeom>
                    <a:noFill/>
                    <a:ln>
                      <a:noFill/>
                    </a:ln>
                    <a:extLst>
                      <a:ext uri="{53640926-AAD7-44D8-BBD7-CCE9431645EC}">
                        <a14:shadowObscured xmlns:a14="http://schemas.microsoft.com/office/drawing/2010/main"/>
                      </a:ext>
                    </a:extLst>
                  </pic:spPr>
                </pic:pic>
              </a:graphicData>
            </a:graphic>
          </wp:inline>
        </w:drawing>
      </w:r>
    </w:p>
    <w:p w14:paraId="68CF16DE" w14:textId="77777777" w:rsidR="00050954" w:rsidRDefault="00050954" w:rsidP="00050954">
      <w:pPr>
        <w:pStyle w:val="Chartnote"/>
      </w:pPr>
      <w:r>
        <w:t>Source: ABS Labour Force Release Cat No. 6202.0.</w:t>
      </w:r>
    </w:p>
    <w:p w14:paraId="6BAD21BB" w14:textId="77777777" w:rsidR="00050954" w:rsidRPr="00CE79A0" w:rsidRDefault="00050954" w:rsidP="00F012EA"/>
    <w:p w14:paraId="6BF3F007" w14:textId="77777777" w:rsidR="00F81F92" w:rsidRPr="00F81F92" w:rsidRDefault="00F81F92" w:rsidP="00C501A8">
      <w:pPr>
        <w:pStyle w:val="CaptionHeading1"/>
        <w:spacing w:after="120"/>
        <w:rPr>
          <w:lang w:eastAsia="en-AU"/>
        </w:rPr>
      </w:pPr>
      <w:r w:rsidRPr="00F81F92">
        <w:rPr>
          <w:lang w:eastAsia="en-AU"/>
        </w:rPr>
        <w:lastRenderedPageBreak/>
        <w:t>Figure A</w:t>
      </w:r>
      <w:r>
        <w:rPr>
          <w:lang w:eastAsia="en-AU"/>
        </w:rPr>
        <w:t>3</w:t>
      </w:r>
      <w:r w:rsidRPr="00F81F92">
        <w:rPr>
          <w:lang w:eastAsia="en-AU"/>
        </w:rPr>
        <w:t>:</w:t>
      </w:r>
      <w:r>
        <w:rPr>
          <w:lang w:eastAsia="en-AU"/>
        </w:rPr>
        <w:t xml:space="preserve"> Young Workers</w:t>
      </w:r>
      <w:r w:rsidR="008C053E">
        <w:rPr>
          <w:lang w:eastAsia="en-AU"/>
        </w:rPr>
        <w:t xml:space="preserve"> Share of Workforce by Firm Age</w:t>
      </w:r>
    </w:p>
    <w:p w14:paraId="084C285E" w14:textId="77777777" w:rsidR="000E7CDB" w:rsidRDefault="00F81F92" w:rsidP="000E7CDB">
      <w:pPr>
        <w:pStyle w:val="Captiongraphic"/>
      </w:pPr>
      <w:r w:rsidRPr="00F81F92">
        <w:rPr>
          <w:noProof/>
          <w:lang w:eastAsia="en-AU"/>
        </w:rPr>
        <w:drawing>
          <wp:inline distT="0" distB="0" distL="0" distR="0" wp14:anchorId="195A5A63" wp14:editId="3A4A4568">
            <wp:extent cx="5572125" cy="25146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572125" cy="2514600"/>
                    </a:xfrm>
                    <a:prstGeom prst="rect">
                      <a:avLst/>
                    </a:prstGeom>
                    <a:noFill/>
                    <a:ln>
                      <a:noFill/>
                    </a:ln>
                  </pic:spPr>
                </pic:pic>
              </a:graphicData>
            </a:graphic>
          </wp:inline>
        </w:drawing>
      </w:r>
    </w:p>
    <w:p w14:paraId="6CB5604F" w14:textId="77777777" w:rsidR="00AC161A" w:rsidRPr="008C053E" w:rsidRDefault="008C053E" w:rsidP="001D57FC">
      <w:pPr>
        <w:pStyle w:val="Chartnote"/>
      </w:pPr>
      <w:r>
        <w:t>Note: Young Workers defined as those 30 years or less.</w:t>
      </w:r>
      <w:r>
        <w:br/>
        <w:t>Source: Andrews (2019)</w:t>
      </w:r>
      <w:r w:rsidR="00AC161A">
        <w:br w:type="page"/>
      </w:r>
    </w:p>
    <w:p w14:paraId="053C9F74" w14:textId="77777777" w:rsidR="00F012EA" w:rsidRDefault="00AC161A" w:rsidP="009357F8">
      <w:pPr>
        <w:pStyle w:val="AppendixHeadingLevel2NotNumbered"/>
      </w:pPr>
      <w:r>
        <w:lastRenderedPageBreak/>
        <w:t xml:space="preserve">Appendix B: </w:t>
      </w:r>
      <w:r w:rsidR="00A14304">
        <w:t>Non</w:t>
      </w:r>
      <w:r w:rsidR="006E4AC4">
        <w:noBreakHyphen/>
      </w:r>
      <w:r w:rsidR="00A14304">
        <w:t>graduate results</w:t>
      </w:r>
    </w:p>
    <w:p w14:paraId="01BDD639" w14:textId="77777777" w:rsidR="00432775" w:rsidRDefault="00432775" w:rsidP="00C501A8">
      <w:pPr>
        <w:pStyle w:val="TableHeading1"/>
        <w:spacing w:after="120"/>
      </w:pPr>
      <w:r>
        <w:t xml:space="preserve">Table </w:t>
      </w:r>
      <w:r w:rsidR="003F2FED">
        <w:t>A</w:t>
      </w:r>
      <w:r>
        <w:t>1:  Effect of a 1 percentage point increase in the youth unemployment rate on annual earnings and employment for graduates and non</w:t>
      </w:r>
      <w:r w:rsidR="006E4AC4">
        <w:noBreakHyphen/>
      </w:r>
      <w:r>
        <w:t>graduates</w:t>
      </w:r>
    </w:p>
    <w:p w14:paraId="6ACFFB35" w14:textId="77777777" w:rsidR="00432775" w:rsidRPr="000E7CDB" w:rsidRDefault="00432775" w:rsidP="000E7CDB">
      <w:pPr>
        <w:pStyle w:val="Tablegraphic0"/>
      </w:pPr>
      <w:r w:rsidRPr="00630D0B">
        <w:rPr>
          <w:noProof/>
          <w:lang w:eastAsia="en-AU"/>
        </w:rPr>
        <w:drawing>
          <wp:inline distT="0" distB="0" distL="0" distR="0" wp14:anchorId="4E557E86" wp14:editId="40E3A90E">
            <wp:extent cx="4813300" cy="2296795"/>
            <wp:effectExtent l="0" t="0" r="6350" b="825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813300" cy="2296795"/>
                    </a:xfrm>
                    <a:prstGeom prst="rect">
                      <a:avLst/>
                    </a:prstGeom>
                    <a:noFill/>
                    <a:ln>
                      <a:noFill/>
                    </a:ln>
                  </pic:spPr>
                </pic:pic>
              </a:graphicData>
            </a:graphic>
          </wp:inline>
        </w:drawing>
      </w:r>
    </w:p>
    <w:p w14:paraId="47E50A6E" w14:textId="77777777" w:rsidR="00432775" w:rsidRDefault="00432775" w:rsidP="00432775">
      <w:pPr>
        <w:pStyle w:val="Chartnote"/>
      </w:pPr>
      <w:r>
        <w:t xml:space="preserve">Note:  Shows the coefficients on youth unemployment rate at graduation, at zero, five and ten </w:t>
      </w:r>
      <w:proofErr w:type="gramStart"/>
      <w:r>
        <w:t>years</w:t>
      </w:r>
      <w:proofErr w:type="gramEnd"/>
      <w:r>
        <w:t xml:space="preserve"> post</w:t>
      </w:r>
      <w:r w:rsidR="006E4AC4">
        <w:noBreakHyphen/>
      </w:r>
      <w:r>
        <w:t>graduation. Based on a regression of mean log annual earnings or proportion of employed workers on the youth unemployment rate in the state and year of graduation, with year, state, experience and experience</w:t>
      </w:r>
      <w:r w:rsidR="006E4AC4">
        <w:noBreakHyphen/>
      </w:r>
      <w:r>
        <w:t>cohort fixed effects</w:t>
      </w:r>
      <w:r w:rsidR="006E4AC4">
        <w:t xml:space="preserve">. </w:t>
      </w:r>
      <w:r>
        <w:t>Standard errors, clustered at the state</w:t>
      </w:r>
      <w:r w:rsidR="006E4AC4">
        <w:noBreakHyphen/>
      </w:r>
      <w:r>
        <w:t>cohort level, are presented in brackets.</w:t>
      </w:r>
    </w:p>
    <w:p w14:paraId="38CDF734" w14:textId="77777777" w:rsidR="001D57FC" w:rsidRPr="00F0076F" w:rsidRDefault="001D57FC" w:rsidP="001D57FC">
      <w:pPr>
        <w:pStyle w:val="SingleParagraph"/>
        <w:rPr>
          <w:rFonts w:cs="Calibri"/>
        </w:rPr>
      </w:pPr>
    </w:p>
    <w:p w14:paraId="5091462E" w14:textId="77777777" w:rsidR="006F577A" w:rsidRDefault="00D31990" w:rsidP="00F32033">
      <w:pPr>
        <w:pStyle w:val="Chartnote"/>
        <w:jc w:val="both"/>
        <w:rPr>
          <w:rFonts w:cs="Calibri"/>
          <w:sz w:val="22"/>
          <w:szCs w:val="22"/>
        </w:rPr>
      </w:pPr>
      <w:r>
        <w:rPr>
          <w:rFonts w:cs="Calibri"/>
          <w:sz w:val="22"/>
          <w:szCs w:val="22"/>
        </w:rPr>
        <w:t>Comparing wage outcomes for graduates and non</w:t>
      </w:r>
      <w:r w:rsidR="006E4AC4">
        <w:rPr>
          <w:rFonts w:cs="Calibri"/>
          <w:sz w:val="22"/>
          <w:szCs w:val="22"/>
        </w:rPr>
        <w:noBreakHyphen/>
      </w:r>
      <w:r>
        <w:rPr>
          <w:rFonts w:cs="Calibri"/>
          <w:sz w:val="22"/>
          <w:szCs w:val="22"/>
        </w:rPr>
        <w:t xml:space="preserve">graduates (columns one and two of table A1) the initial effect of entering </w:t>
      </w:r>
      <w:r w:rsidR="00BE7D08">
        <w:rPr>
          <w:rFonts w:cs="Calibri"/>
          <w:sz w:val="22"/>
          <w:szCs w:val="22"/>
        </w:rPr>
        <w:t>a weak</w:t>
      </w:r>
      <w:r>
        <w:rPr>
          <w:rFonts w:cs="Calibri"/>
          <w:sz w:val="22"/>
          <w:szCs w:val="22"/>
        </w:rPr>
        <w:t xml:space="preserve"> labour market</w:t>
      </w:r>
      <w:r w:rsidR="00BE7D08">
        <w:rPr>
          <w:rFonts w:cs="Calibri"/>
          <w:sz w:val="22"/>
          <w:szCs w:val="22"/>
        </w:rPr>
        <w:t xml:space="preserve"> on wages is roughly equivalent:</w:t>
      </w:r>
      <w:r>
        <w:rPr>
          <w:rFonts w:cs="Calibri"/>
          <w:sz w:val="22"/>
          <w:szCs w:val="22"/>
        </w:rPr>
        <w:t xml:space="preserve"> </w:t>
      </w:r>
      <w:r w:rsidR="006E4AC4">
        <w:rPr>
          <w:rFonts w:cs="Calibri"/>
          <w:sz w:val="22"/>
          <w:szCs w:val="22"/>
        </w:rPr>
        <w:noBreakHyphen/>
      </w:r>
      <w:r>
        <w:rPr>
          <w:rFonts w:cs="Calibri"/>
          <w:sz w:val="22"/>
          <w:szCs w:val="22"/>
        </w:rPr>
        <w:t xml:space="preserve">1.6 and </w:t>
      </w:r>
      <w:r w:rsidR="006E4AC4">
        <w:rPr>
          <w:rFonts w:cs="Calibri"/>
          <w:sz w:val="22"/>
          <w:szCs w:val="22"/>
        </w:rPr>
        <w:noBreakHyphen/>
      </w:r>
      <w:r>
        <w:rPr>
          <w:rFonts w:cs="Calibri"/>
          <w:sz w:val="22"/>
          <w:szCs w:val="22"/>
        </w:rPr>
        <w:t>1.7 per cent</w:t>
      </w:r>
      <w:r w:rsidR="006E1E79">
        <w:rPr>
          <w:rFonts w:cs="Calibri"/>
          <w:sz w:val="22"/>
          <w:szCs w:val="22"/>
        </w:rPr>
        <w:t>,</w:t>
      </w:r>
      <w:r>
        <w:rPr>
          <w:rFonts w:cs="Calibri"/>
          <w:sz w:val="22"/>
          <w:szCs w:val="22"/>
        </w:rPr>
        <w:t xml:space="preserve"> respectively</w:t>
      </w:r>
      <w:r w:rsidR="006E1E79">
        <w:rPr>
          <w:rFonts w:cs="Calibri"/>
          <w:sz w:val="22"/>
          <w:szCs w:val="22"/>
        </w:rPr>
        <w:t>,</w:t>
      </w:r>
      <w:r w:rsidR="00BE7D08">
        <w:rPr>
          <w:rFonts w:cs="Calibri"/>
          <w:sz w:val="22"/>
          <w:szCs w:val="22"/>
        </w:rPr>
        <w:t xml:space="preserve"> for a one percentage point increase in the youth unemployment rate</w:t>
      </w:r>
      <w:r>
        <w:rPr>
          <w:rFonts w:cs="Calibri"/>
          <w:sz w:val="22"/>
          <w:szCs w:val="22"/>
        </w:rPr>
        <w:t xml:space="preserve">. </w:t>
      </w:r>
      <w:r w:rsidR="006F577A">
        <w:rPr>
          <w:rFonts w:cs="Calibri"/>
          <w:sz w:val="22"/>
          <w:szCs w:val="22"/>
        </w:rPr>
        <w:t>However, the initial impact on the probability of employment (columns three and four) is more muted for non</w:t>
      </w:r>
      <w:r w:rsidR="006E4AC4">
        <w:rPr>
          <w:rFonts w:cs="Calibri"/>
          <w:sz w:val="22"/>
          <w:szCs w:val="22"/>
        </w:rPr>
        <w:noBreakHyphen/>
      </w:r>
      <w:r w:rsidR="006F577A">
        <w:rPr>
          <w:rFonts w:cs="Calibri"/>
          <w:sz w:val="22"/>
          <w:szCs w:val="22"/>
        </w:rPr>
        <w:t>graduates relative to graduates.</w:t>
      </w:r>
    </w:p>
    <w:p w14:paraId="703E26B4" w14:textId="77777777" w:rsidR="006E1E79" w:rsidRDefault="006F577A" w:rsidP="00F32033">
      <w:pPr>
        <w:pStyle w:val="Chartnote"/>
        <w:jc w:val="both"/>
        <w:rPr>
          <w:rFonts w:cs="Calibri"/>
          <w:sz w:val="22"/>
          <w:szCs w:val="22"/>
        </w:rPr>
      </w:pPr>
      <w:r>
        <w:rPr>
          <w:rFonts w:cs="Calibri"/>
          <w:sz w:val="22"/>
          <w:szCs w:val="22"/>
        </w:rPr>
        <w:t xml:space="preserve">While the </w:t>
      </w:r>
      <w:r w:rsidR="006E1E79">
        <w:rPr>
          <w:rFonts w:cs="Calibri"/>
          <w:sz w:val="22"/>
          <w:szCs w:val="22"/>
        </w:rPr>
        <w:t>graduates</w:t>
      </w:r>
      <w:r w:rsidR="006E4AC4">
        <w:rPr>
          <w:rFonts w:cs="Calibri"/>
          <w:sz w:val="22"/>
          <w:szCs w:val="22"/>
        </w:rPr>
        <w:t>’</w:t>
      </w:r>
      <w:r w:rsidR="006E1E79">
        <w:rPr>
          <w:rFonts w:cs="Calibri"/>
          <w:sz w:val="22"/>
          <w:szCs w:val="22"/>
        </w:rPr>
        <w:t xml:space="preserve"> </w:t>
      </w:r>
      <w:r>
        <w:rPr>
          <w:rFonts w:cs="Calibri"/>
          <w:sz w:val="22"/>
          <w:szCs w:val="22"/>
        </w:rPr>
        <w:t>wage and employment outcomes</w:t>
      </w:r>
      <w:r w:rsidR="006E1E79">
        <w:rPr>
          <w:rFonts w:cs="Calibri"/>
          <w:sz w:val="22"/>
          <w:szCs w:val="22"/>
        </w:rPr>
        <w:t xml:space="preserve"> are still statistically significantly lower</w:t>
      </w:r>
      <w:r>
        <w:rPr>
          <w:rFonts w:cs="Calibri"/>
          <w:sz w:val="22"/>
          <w:szCs w:val="22"/>
        </w:rPr>
        <w:t xml:space="preserve"> five </w:t>
      </w:r>
      <w:r w:rsidR="00BE7D08">
        <w:rPr>
          <w:rFonts w:cs="Calibri"/>
          <w:sz w:val="22"/>
          <w:szCs w:val="22"/>
        </w:rPr>
        <w:t>years</w:t>
      </w:r>
      <w:r>
        <w:rPr>
          <w:rFonts w:cs="Calibri"/>
          <w:sz w:val="22"/>
          <w:szCs w:val="22"/>
        </w:rPr>
        <w:t xml:space="preserve"> post</w:t>
      </w:r>
      <w:r w:rsidR="006E4AC4">
        <w:rPr>
          <w:rFonts w:cs="Calibri"/>
          <w:sz w:val="22"/>
          <w:szCs w:val="22"/>
        </w:rPr>
        <w:noBreakHyphen/>
      </w:r>
      <w:r>
        <w:rPr>
          <w:rFonts w:cs="Calibri"/>
          <w:sz w:val="22"/>
          <w:szCs w:val="22"/>
        </w:rPr>
        <w:t xml:space="preserve">graduation, </w:t>
      </w:r>
      <w:r w:rsidR="006E1E79">
        <w:rPr>
          <w:rFonts w:cs="Calibri"/>
          <w:sz w:val="22"/>
          <w:szCs w:val="22"/>
        </w:rPr>
        <w:t>there is no such evidence for non</w:t>
      </w:r>
      <w:r w:rsidR="006E4AC4">
        <w:rPr>
          <w:rFonts w:cs="Calibri"/>
          <w:sz w:val="22"/>
          <w:szCs w:val="22"/>
        </w:rPr>
        <w:noBreakHyphen/>
      </w:r>
      <w:r w:rsidR="006E1E79">
        <w:rPr>
          <w:rFonts w:cs="Calibri"/>
          <w:sz w:val="22"/>
          <w:szCs w:val="22"/>
        </w:rPr>
        <w:t>graduates</w:t>
      </w:r>
      <w:r w:rsidR="002A44E0">
        <w:rPr>
          <w:rFonts w:cs="Calibri"/>
          <w:sz w:val="22"/>
          <w:szCs w:val="22"/>
        </w:rPr>
        <w:t>.</w:t>
      </w:r>
      <w:r>
        <w:rPr>
          <w:rFonts w:cs="Calibri"/>
          <w:sz w:val="22"/>
          <w:szCs w:val="22"/>
        </w:rPr>
        <w:t xml:space="preserve"> </w:t>
      </w:r>
      <w:r w:rsidR="006E1E79" w:rsidRPr="006E1E79">
        <w:rPr>
          <w:rFonts w:cs="Calibri"/>
          <w:sz w:val="22"/>
          <w:szCs w:val="22"/>
        </w:rPr>
        <w:t>This might suggest that some of the mechanisms through which weak labour markets affect worker outcomes are less relevant for non</w:t>
      </w:r>
      <w:r w:rsidR="006E4AC4">
        <w:rPr>
          <w:rFonts w:cs="Calibri"/>
          <w:sz w:val="22"/>
          <w:szCs w:val="22"/>
        </w:rPr>
        <w:noBreakHyphen/>
      </w:r>
      <w:r w:rsidR="006E1E79" w:rsidRPr="006E1E79">
        <w:rPr>
          <w:rFonts w:cs="Calibri"/>
          <w:sz w:val="22"/>
          <w:szCs w:val="22"/>
        </w:rPr>
        <w:t>graduates</w:t>
      </w:r>
      <w:r w:rsidR="006E1E79">
        <w:rPr>
          <w:rFonts w:cs="Calibri"/>
          <w:sz w:val="22"/>
          <w:szCs w:val="22"/>
        </w:rPr>
        <w:t>. For example, they may be less likely to lose out from a bad initial match. This could reflect non</w:t>
      </w:r>
      <w:r w:rsidR="006E4AC4">
        <w:rPr>
          <w:rFonts w:cs="Calibri"/>
          <w:sz w:val="22"/>
          <w:szCs w:val="22"/>
        </w:rPr>
        <w:noBreakHyphen/>
      </w:r>
      <w:r w:rsidR="006E1E79">
        <w:rPr>
          <w:rFonts w:cs="Calibri"/>
          <w:sz w:val="22"/>
          <w:szCs w:val="22"/>
        </w:rPr>
        <w:t xml:space="preserve">graduates being more likely to work in less cyclical industries, meaning they may not may not experience any </w:t>
      </w:r>
      <w:r w:rsidR="006E4AC4">
        <w:rPr>
          <w:rFonts w:cs="Calibri"/>
          <w:sz w:val="22"/>
          <w:szCs w:val="22"/>
        </w:rPr>
        <w:t>‘</w:t>
      </w:r>
      <w:r w:rsidR="006E1E79">
        <w:rPr>
          <w:rFonts w:cs="Calibri"/>
          <w:sz w:val="22"/>
          <w:szCs w:val="22"/>
        </w:rPr>
        <w:t>cyclical downgrading</w:t>
      </w:r>
      <w:r w:rsidR="006E4AC4">
        <w:rPr>
          <w:rFonts w:cs="Calibri"/>
          <w:sz w:val="22"/>
          <w:szCs w:val="22"/>
        </w:rPr>
        <w:t>’</w:t>
      </w:r>
      <w:r w:rsidR="006E1E79">
        <w:rPr>
          <w:rFonts w:cs="Calibri"/>
          <w:sz w:val="22"/>
          <w:szCs w:val="22"/>
        </w:rPr>
        <w:t xml:space="preserve"> in their employment, or more generally matching being less important in these industries. Alternatively, if the degree field chosen was closely related to the structure of the economy years prior to the downturn, graduates might be more prone to skills mismatches during downturn.</w:t>
      </w:r>
    </w:p>
    <w:p w14:paraId="1B5FB8FC" w14:textId="77777777" w:rsidR="00707B11" w:rsidRDefault="00665564" w:rsidP="006D7AB7">
      <w:pPr>
        <w:pStyle w:val="Chartnote"/>
        <w:jc w:val="both"/>
      </w:pPr>
      <w:r>
        <w:rPr>
          <w:rFonts w:cs="Calibri"/>
          <w:sz w:val="22"/>
          <w:szCs w:val="22"/>
        </w:rPr>
        <w:t xml:space="preserve">That said, </w:t>
      </w:r>
      <w:r w:rsidR="006E1E79">
        <w:rPr>
          <w:rFonts w:cs="Calibri"/>
          <w:sz w:val="22"/>
          <w:szCs w:val="22"/>
        </w:rPr>
        <w:t xml:space="preserve">the results could also </w:t>
      </w:r>
      <w:r w:rsidR="006E1E79" w:rsidRPr="006E1E79">
        <w:rPr>
          <w:rFonts w:cs="Calibri"/>
          <w:sz w:val="22"/>
          <w:szCs w:val="22"/>
        </w:rPr>
        <w:t>reflect the greater difficulty in defining labour market entry for non</w:t>
      </w:r>
      <w:r w:rsidR="006E4AC4">
        <w:rPr>
          <w:rFonts w:cs="Calibri"/>
          <w:sz w:val="22"/>
          <w:szCs w:val="22"/>
        </w:rPr>
        <w:noBreakHyphen/>
      </w:r>
      <w:r w:rsidR="006E1E79" w:rsidRPr="006E1E79">
        <w:rPr>
          <w:rFonts w:cs="Calibri"/>
          <w:sz w:val="22"/>
          <w:szCs w:val="22"/>
        </w:rPr>
        <w:t>graduates.</w:t>
      </w:r>
      <w:r w:rsidR="006E1E79">
        <w:rPr>
          <w:rFonts w:cs="Calibri"/>
          <w:sz w:val="22"/>
          <w:szCs w:val="22"/>
        </w:rPr>
        <w:t xml:space="preserve"> To the extent that our assumptions around labour market entry are off, this could introduce noise and bias the coefficients towards zero.</w:t>
      </w:r>
    </w:p>
    <w:p w14:paraId="42485D1C" w14:textId="77777777" w:rsidR="006D7AB7" w:rsidRDefault="006D7AB7">
      <w:pPr>
        <w:spacing w:after="200" w:line="276" w:lineRule="auto"/>
        <w:rPr>
          <w:rFonts w:ascii="Arial Bold" w:hAnsi="Arial Bold" w:cs="Arial"/>
          <w:b/>
          <w:smallCaps/>
          <w:color w:val="003157"/>
          <w:sz w:val="32"/>
          <w:szCs w:val="32"/>
        </w:rPr>
      </w:pPr>
      <w:r>
        <w:br w:type="page"/>
      </w:r>
    </w:p>
    <w:p w14:paraId="6D28D289" w14:textId="77777777" w:rsidR="007E0EF8" w:rsidRDefault="007E0EF8" w:rsidP="007E0EF8">
      <w:pPr>
        <w:pStyle w:val="AppendixHeadingLevel2NotNumbered"/>
      </w:pPr>
      <w:r>
        <w:lastRenderedPageBreak/>
        <w:t>Appendix C: Dynamic Model</w:t>
      </w:r>
    </w:p>
    <w:p w14:paraId="5221CA07" w14:textId="77777777" w:rsidR="007E0EF8" w:rsidRDefault="007E0EF8" w:rsidP="007E0EF8">
      <w:pPr>
        <w:jc w:val="both"/>
        <w:rPr>
          <w:lang w:val="en-US" w:eastAsia="en-AU"/>
        </w:rPr>
      </w:pPr>
      <w:r>
        <w:rPr>
          <w:lang w:val="en-US" w:eastAsia="en-AU"/>
        </w:rPr>
        <w:t xml:space="preserve">Figure C1 contains the results of the dynamic models that account for future unemployment rates. The </w:t>
      </w:r>
      <w:r w:rsidR="006E4AC4">
        <w:rPr>
          <w:lang w:val="en-US" w:eastAsia="en-AU"/>
        </w:rPr>
        <w:t>‘</w:t>
      </w:r>
      <w:r>
        <w:rPr>
          <w:lang w:val="en-US" w:eastAsia="en-AU"/>
        </w:rPr>
        <w:t>Baseline</w:t>
      </w:r>
      <w:r w:rsidR="006E4AC4">
        <w:rPr>
          <w:lang w:val="en-US" w:eastAsia="en-AU"/>
        </w:rPr>
        <w:t>’</w:t>
      </w:r>
      <w:r>
        <w:rPr>
          <w:lang w:val="en-US" w:eastAsia="en-AU"/>
        </w:rPr>
        <w:t xml:space="preserve"> line uses the static model, while </w:t>
      </w:r>
      <w:r w:rsidR="006E4AC4">
        <w:rPr>
          <w:lang w:val="en-US" w:eastAsia="en-AU"/>
        </w:rPr>
        <w:t>‘</w:t>
      </w:r>
      <w:r>
        <w:rPr>
          <w:lang w:val="en-US" w:eastAsia="en-AU"/>
        </w:rPr>
        <w:t>Group_01 (no history)</w:t>
      </w:r>
      <w:r w:rsidR="006E4AC4">
        <w:rPr>
          <w:lang w:val="en-US" w:eastAsia="en-AU"/>
        </w:rPr>
        <w:t>’</w:t>
      </w:r>
      <w:r>
        <w:rPr>
          <w:lang w:val="en-US" w:eastAsia="en-AU"/>
        </w:rPr>
        <w:t xml:space="preserve"> uses the same model, but with the average youth unemployment rate over years 0 and 1 to be more consistent with the groupings used in the dynamic models.</w:t>
      </w:r>
      <w:r w:rsidR="00D0080C">
        <w:rPr>
          <w:lang w:val="en-US" w:eastAsia="en-AU"/>
        </w:rPr>
        <w:t xml:space="preserve"> This is the </w:t>
      </w:r>
      <w:r w:rsidR="006E4AC4">
        <w:rPr>
          <w:lang w:val="en-US" w:eastAsia="en-AU"/>
        </w:rPr>
        <w:t>‘“</w:t>
      </w:r>
      <w:r w:rsidR="00D0080C">
        <w:rPr>
          <w:lang w:val="en-US" w:eastAsia="en-AU"/>
        </w:rPr>
        <w:t>Not controlling for later unemployment</w:t>
      </w:r>
      <w:r w:rsidR="006E4AC4">
        <w:rPr>
          <w:lang w:val="en-US" w:eastAsia="en-AU"/>
        </w:rPr>
        <w:t>’</w:t>
      </w:r>
      <w:r w:rsidR="00D0080C">
        <w:rPr>
          <w:lang w:val="en-US" w:eastAsia="en-AU"/>
        </w:rPr>
        <w:t xml:space="preserve"> series shown in the body of the paper</w:t>
      </w:r>
      <w:r w:rsidR="006E4AC4">
        <w:rPr>
          <w:lang w:val="en-US" w:eastAsia="en-AU"/>
        </w:rPr>
        <w:t xml:space="preserve">’. </w:t>
      </w:r>
      <w:r>
        <w:rPr>
          <w:lang w:val="en-US" w:eastAsia="en-AU"/>
        </w:rPr>
        <w:t xml:space="preserve">Comfortingly, this shift to averaging youth unemployment rates over the first two years has no meaningful effect on the results. The </w:t>
      </w:r>
      <w:r w:rsidR="006E4AC4">
        <w:rPr>
          <w:lang w:val="en-US" w:eastAsia="en-AU"/>
        </w:rPr>
        <w:t>‘</w:t>
      </w:r>
      <w:r>
        <w:rPr>
          <w:lang w:val="en-US" w:eastAsia="en-AU"/>
        </w:rPr>
        <w:t>Group_01 (state*year)</w:t>
      </w:r>
      <w:r w:rsidR="006E4AC4">
        <w:rPr>
          <w:lang w:val="en-US" w:eastAsia="en-AU"/>
        </w:rPr>
        <w:t>’</w:t>
      </w:r>
      <w:r>
        <w:rPr>
          <w:lang w:val="en-US" w:eastAsia="en-AU"/>
        </w:rPr>
        <w:t xml:space="preserve">  series comes from the model including state*time fixed effects to capture contemporaneous conditions, while Group_01 and Group_45 come from the full dynamic model, and trace out the effects of initial unemployment rates, and unemployment rates 4</w:t>
      </w:r>
      <w:r w:rsidR="006E4AC4">
        <w:rPr>
          <w:lang w:val="en-US" w:eastAsia="en-AU"/>
        </w:rPr>
        <w:noBreakHyphen/>
      </w:r>
      <w:r>
        <w:rPr>
          <w:lang w:val="en-US" w:eastAsia="en-AU"/>
        </w:rPr>
        <w:t>5 years into a career.</w:t>
      </w:r>
      <w:r w:rsidR="00D0080C">
        <w:rPr>
          <w:lang w:val="en-US" w:eastAsia="en-AU"/>
        </w:rPr>
        <w:t xml:space="preserve"> The former is the </w:t>
      </w:r>
      <w:r w:rsidR="006E4AC4">
        <w:rPr>
          <w:lang w:val="en-US" w:eastAsia="en-AU"/>
        </w:rPr>
        <w:t>‘</w:t>
      </w:r>
      <w:r w:rsidR="00D0080C">
        <w:rPr>
          <w:lang w:val="en-US" w:eastAsia="en-AU"/>
        </w:rPr>
        <w:t>Controlling for later unemployment</w:t>
      </w:r>
      <w:r w:rsidR="006E4AC4">
        <w:rPr>
          <w:lang w:val="en-US" w:eastAsia="en-AU"/>
        </w:rPr>
        <w:t>’</w:t>
      </w:r>
      <w:r w:rsidR="00D0080C">
        <w:rPr>
          <w:lang w:val="en-US" w:eastAsia="en-AU"/>
        </w:rPr>
        <w:t xml:space="preserve"> series in the paper.</w:t>
      </w:r>
    </w:p>
    <w:p w14:paraId="75505CE9" w14:textId="77777777" w:rsidR="009A3E66" w:rsidRDefault="009A3E66" w:rsidP="00C501A8">
      <w:pPr>
        <w:pStyle w:val="CaptionHeading1"/>
        <w:spacing w:after="120"/>
      </w:pPr>
      <w:r>
        <w:t xml:space="preserve">Figure </w:t>
      </w:r>
      <w:r w:rsidR="00E149B7">
        <w:t>C1</w:t>
      </w:r>
      <w:r>
        <w:t xml:space="preserve">:  Effect of a 1 percentage point increase in the local youth unemployment rate by years since graduation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656"/>
      </w:tblGrid>
      <w:tr w:rsidR="009A3E66" w14:paraId="7FE68C18" w14:textId="77777777" w:rsidTr="009A3E66">
        <w:tc>
          <w:tcPr>
            <w:tcW w:w="4644" w:type="dxa"/>
          </w:tcPr>
          <w:p w14:paraId="270945D7" w14:textId="77777777" w:rsidR="009A3E66" w:rsidRPr="00E9695E" w:rsidRDefault="009A3E66" w:rsidP="000E7CDB">
            <w:pPr>
              <w:pStyle w:val="CaptionHeading2"/>
            </w:pPr>
            <w:r w:rsidRPr="00E9695E">
              <w:t xml:space="preserve">Panel A: </w:t>
            </w:r>
            <w:r>
              <w:t>Effect on wages</w:t>
            </w:r>
          </w:p>
          <w:p w14:paraId="29C911DD" w14:textId="77777777" w:rsidR="009A3E66" w:rsidRPr="00E9695E" w:rsidRDefault="009A3E66" w:rsidP="000E7CDB">
            <w:pPr>
              <w:pStyle w:val="Captiongraphic"/>
            </w:pPr>
            <w:r w:rsidRPr="00723C1D">
              <w:rPr>
                <w:noProof/>
              </w:rPr>
              <w:drawing>
                <wp:inline distT="0" distB="0" distL="0" distR="0" wp14:anchorId="6F35E7A2" wp14:editId="02042459">
                  <wp:extent cx="2867660" cy="2874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67660" cy="2874645"/>
                          </a:xfrm>
                          <a:prstGeom prst="rect">
                            <a:avLst/>
                          </a:prstGeom>
                          <a:noFill/>
                          <a:ln>
                            <a:noFill/>
                          </a:ln>
                        </pic:spPr>
                      </pic:pic>
                    </a:graphicData>
                  </a:graphic>
                </wp:inline>
              </w:drawing>
            </w:r>
          </w:p>
        </w:tc>
        <w:tc>
          <w:tcPr>
            <w:tcW w:w="4644" w:type="dxa"/>
          </w:tcPr>
          <w:p w14:paraId="21BF0D13" w14:textId="77777777" w:rsidR="009A3E66" w:rsidRDefault="009A3E66" w:rsidP="000E7CDB">
            <w:pPr>
              <w:pStyle w:val="CaptionHeading2"/>
            </w:pPr>
            <w:r w:rsidRPr="00E9695E">
              <w:t xml:space="preserve">Panel B: </w:t>
            </w:r>
            <w:r>
              <w:t>Effect on employment</w:t>
            </w:r>
          </w:p>
          <w:p w14:paraId="396557D0" w14:textId="77777777" w:rsidR="009A3E66" w:rsidRDefault="007441E0" w:rsidP="000E7CDB">
            <w:pPr>
              <w:pStyle w:val="Captiongraphic"/>
            </w:pPr>
            <w:r w:rsidRPr="007441E0">
              <w:rPr>
                <w:noProof/>
              </w:rPr>
              <w:drawing>
                <wp:inline distT="0" distB="0" distL="0" distR="0" wp14:anchorId="73F30C6C" wp14:editId="4E307DE0">
                  <wp:extent cx="2867025" cy="2867025"/>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867025" cy="2867025"/>
                          </a:xfrm>
                          <a:prstGeom prst="rect">
                            <a:avLst/>
                          </a:prstGeom>
                          <a:noFill/>
                          <a:ln>
                            <a:noFill/>
                          </a:ln>
                        </pic:spPr>
                      </pic:pic>
                    </a:graphicData>
                  </a:graphic>
                </wp:inline>
              </w:drawing>
            </w:r>
          </w:p>
        </w:tc>
      </w:tr>
    </w:tbl>
    <w:p w14:paraId="4A996423" w14:textId="77777777" w:rsidR="009A3E66" w:rsidRDefault="009A3E66" w:rsidP="009A3E66">
      <w:pPr>
        <w:pStyle w:val="Chartnote"/>
        <w:jc w:val="both"/>
      </w:pPr>
      <w:r>
        <w:t>Note:  Shows estimated effect of a 1 percentage point increase in the state</w:t>
      </w:r>
      <w:r w:rsidR="006E4AC4">
        <w:noBreakHyphen/>
      </w:r>
      <w:r>
        <w:t>youth unemployment rates on wages and employment from various models. Baseline is taken from the baseline static model outlined in section 5. Group_01 (no history) is taken from the same model, where the unemployment rate at graduation is replaced with the rate over the initial and first subsequent year. Group_01 (state*year) is from the same model, but including state*year fixed effects to capture the effects of later local economic conditions. Group_01 and Group_45 come from the full dynamic model, which incorporates the full labour market history of groups and allows these rates to have dynamic effects. Group_01 traces out the effect of the unemployment rate experienced in year 0 and 1. Group_45 traces out the effect of the unemployment rate experience in year 4 and 5.</w:t>
      </w:r>
    </w:p>
    <w:p w14:paraId="79A37072" w14:textId="77777777" w:rsidR="001D57FC" w:rsidRDefault="001D57FC" w:rsidP="001D57FC">
      <w:pPr>
        <w:pStyle w:val="SingleParagraph"/>
      </w:pPr>
    </w:p>
    <w:p w14:paraId="0E1DCE89" w14:textId="77777777" w:rsidR="009A3E66" w:rsidRPr="00740E1D" w:rsidRDefault="009A3E66" w:rsidP="009A3E66">
      <w:pPr>
        <w:jc w:val="both"/>
        <w:rPr>
          <w:lang w:val="en-US" w:eastAsia="en-AU"/>
        </w:rPr>
      </w:pPr>
      <w:r>
        <w:rPr>
          <w:lang w:val="en-US" w:eastAsia="en-AU"/>
        </w:rPr>
        <w:t xml:space="preserve">The key takeaways from the dynamic models are as follows. Once we account for later conditions, the </w:t>
      </w:r>
      <w:r w:rsidRPr="00740E1D">
        <w:rPr>
          <w:lang w:val="en-US" w:eastAsia="en-AU"/>
        </w:rPr>
        <w:t xml:space="preserve">importance of the initial </w:t>
      </w:r>
      <w:r>
        <w:rPr>
          <w:lang w:val="en-US" w:eastAsia="en-AU"/>
        </w:rPr>
        <w:t xml:space="preserve">youth unemployment </w:t>
      </w:r>
      <w:r w:rsidRPr="00740E1D">
        <w:rPr>
          <w:lang w:val="en-US" w:eastAsia="en-AU"/>
        </w:rPr>
        <w:t xml:space="preserve">rate is diminished somewhat </w:t>
      </w:r>
      <w:r>
        <w:rPr>
          <w:lang w:val="en-US" w:eastAsia="en-AU"/>
        </w:rPr>
        <w:t xml:space="preserve">for </w:t>
      </w:r>
      <w:r w:rsidRPr="00740E1D">
        <w:rPr>
          <w:lang w:val="en-US" w:eastAsia="en-AU"/>
        </w:rPr>
        <w:t xml:space="preserve">both the wage and employment </w:t>
      </w:r>
      <w:r>
        <w:rPr>
          <w:lang w:val="en-US" w:eastAsia="en-AU"/>
        </w:rPr>
        <w:t>margins.</w:t>
      </w:r>
      <w:r w:rsidRPr="00740E1D">
        <w:rPr>
          <w:lang w:val="en-US" w:eastAsia="en-AU"/>
        </w:rPr>
        <w:t xml:space="preserve"> In our preferred specification (Group_01), which is similar to the one used in </w:t>
      </w:r>
      <w:proofErr w:type="spellStart"/>
      <w:r w:rsidRPr="00740E1D">
        <w:rPr>
          <w:lang w:val="en-US" w:eastAsia="en-AU"/>
        </w:rPr>
        <w:t>Oreopolos</w:t>
      </w:r>
      <w:proofErr w:type="spellEnd"/>
      <w:r w:rsidRPr="00740E1D">
        <w:rPr>
          <w:lang w:val="en-US" w:eastAsia="en-AU"/>
        </w:rPr>
        <w:t xml:space="preserve"> et al (2012), the effect is reduced by about 1/3 in each of the first five years for wages, and by slightly less for employment. However, there still appears to be a significant and persistent effect of initial unemployment rates for around 4</w:t>
      </w:r>
      <w:r w:rsidR="006E4AC4">
        <w:rPr>
          <w:lang w:val="en-US" w:eastAsia="en-AU"/>
        </w:rPr>
        <w:noBreakHyphen/>
      </w:r>
      <w:r w:rsidRPr="00740E1D">
        <w:rPr>
          <w:lang w:val="en-US" w:eastAsia="en-AU"/>
        </w:rPr>
        <w:t xml:space="preserve">5 years </w:t>
      </w:r>
      <w:r>
        <w:rPr>
          <w:lang w:val="en-US" w:eastAsia="en-AU"/>
        </w:rPr>
        <w:t xml:space="preserve">following </w:t>
      </w:r>
      <w:r w:rsidRPr="00740E1D">
        <w:rPr>
          <w:lang w:val="en-US" w:eastAsia="en-AU"/>
        </w:rPr>
        <w:t xml:space="preserve">graduation. </w:t>
      </w:r>
    </w:p>
    <w:p w14:paraId="288920D5" w14:textId="77777777" w:rsidR="00E149B7" w:rsidRDefault="009A3E66" w:rsidP="009A3E66">
      <w:pPr>
        <w:jc w:val="both"/>
        <w:rPr>
          <w:lang w:val="en-US" w:eastAsia="en-AU"/>
        </w:rPr>
        <w:sectPr w:rsidR="00E149B7" w:rsidSect="008C0793">
          <w:pgSz w:w="11906" w:h="16838" w:code="9"/>
          <w:pgMar w:top="1418" w:right="1304" w:bottom="1418" w:left="1304" w:header="567" w:footer="567" w:gutter="0"/>
          <w:cols w:space="720"/>
          <w:titlePg/>
          <w:docGrid w:linePitch="360"/>
        </w:sectPr>
      </w:pPr>
      <w:r w:rsidRPr="00740E1D">
        <w:rPr>
          <w:lang w:val="en-US" w:eastAsia="en-AU"/>
        </w:rPr>
        <w:t>The other main takeaway is that shocks that hit workers at the start of their careers are more important than those that hit a few years into the career. This is evident by the smaller and less persistent effect of unemployment rates 4</w:t>
      </w:r>
      <w:r w:rsidR="006E4AC4">
        <w:rPr>
          <w:lang w:val="en-US" w:eastAsia="en-AU"/>
        </w:rPr>
        <w:noBreakHyphen/>
      </w:r>
      <w:r>
        <w:rPr>
          <w:lang w:val="en-US" w:eastAsia="en-AU"/>
        </w:rPr>
        <w:t>5</w:t>
      </w:r>
      <w:r w:rsidRPr="00740E1D">
        <w:rPr>
          <w:lang w:val="en-US" w:eastAsia="en-AU"/>
        </w:rPr>
        <w:t xml:space="preserve"> years later (Group_45) on both wages and employment. It indicates that what we are identifying is not simply the fact that weak</w:t>
      </w:r>
      <w:r>
        <w:rPr>
          <w:lang w:val="en-US" w:eastAsia="en-AU"/>
        </w:rPr>
        <w:t xml:space="preserve"> </w:t>
      </w:r>
      <w:proofErr w:type="spellStart"/>
      <w:r>
        <w:rPr>
          <w:lang w:val="en-US" w:eastAsia="en-AU"/>
        </w:rPr>
        <w:t>labour</w:t>
      </w:r>
      <w:proofErr w:type="spellEnd"/>
      <w:r>
        <w:rPr>
          <w:lang w:val="en-US" w:eastAsia="en-AU"/>
        </w:rPr>
        <w:t xml:space="preserve"> markets are bad for all workers. Rather, what we are picking up is that they are particularly damaging for new graduates</w:t>
      </w:r>
      <w:r w:rsidR="006E4AC4">
        <w:rPr>
          <w:lang w:val="en-US" w:eastAsia="en-AU"/>
        </w:rPr>
        <w:t xml:space="preserve">. </w:t>
      </w:r>
      <w:r>
        <w:rPr>
          <w:lang w:val="en-US" w:eastAsia="en-AU"/>
        </w:rPr>
        <w:t xml:space="preserve"> </w:t>
      </w:r>
    </w:p>
    <w:p w14:paraId="2FBD54A9" w14:textId="77777777" w:rsidR="007E0EF8" w:rsidRDefault="007E0EF8" w:rsidP="007E0EF8">
      <w:pPr>
        <w:pStyle w:val="AppendixHeadingLevel2NotNumbered"/>
      </w:pPr>
      <w:r>
        <w:lastRenderedPageBreak/>
        <w:t xml:space="preserve">Appendix </w:t>
      </w:r>
      <w:r w:rsidR="00E149B7">
        <w:t>D</w:t>
      </w:r>
      <w:r>
        <w:t>: Heterogeneous Effects</w:t>
      </w:r>
    </w:p>
    <w:p w14:paraId="0D65A39A" w14:textId="77777777" w:rsidR="00AA03F4" w:rsidRDefault="00AA03F4" w:rsidP="00C501A8">
      <w:pPr>
        <w:pStyle w:val="TableHeading1"/>
        <w:spacing w:after="120"/>
      </w:pPr>
      <w:r>
        <w:t xml:space="preserve">Table </w:t>
      </w:r>
      <w:r w:rsidR="00C52A6A">
        <w:t>D</w:t>
      </w:r>
      <w:r>
        <w:t xml:space="preserve">1:  Effect of a 1 </w:t>
      </w:r>
      <w:r w:rsidRPr="001D57FC">
        <w:t>percentage</w:t>
      </w:r>
      <w:r>
        <w:t xml:space="preserve"> point increase in the youth unemployment rate on annual earnings for different groups</w:t>
      </w:r>
      <w:r w:rsidR="00302EC6">
        <w:t xml:space="preserve"> (%)</w:t>
      </w:r>
    </w:p>
    <w:p w14:paraId="0F41F402" w14:textId="77777777" w:rsidR="000E7CDB" w:rsidRDefault="00AA03F4" w:rsidP="000E7CDB">
      <w:pPr>
        <w:pStyle w:val="Tablegraphic0"/>
      </w:pPr>
      <w:r w:rsidRPr="00AA03F4">
        <w:rPr>
          <w:noProof/>
          <w:lang w:eastAsia="en-AU"/>
        </w:rPr>
        <w:drawing>
          <wp:inline distT="0" distB="0" distL="0" distR="0" wp14:anchorId="3559E7D9" wp14:editId="552031C5">
            <wp:extent cx="8891270" cy="2366841"/>
            <wp:effectExtent l="0" t="0" r="508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891270" cy="2366841"/>
                    </a:xfrm>
                    <a:prstGeom prst="rect">
                      <a:avLst/>
                    </a:prstGeom>
                    <a:noFill/>
                    <a:ln>
                      <a:noFill/>
                    </a:ln>
                  </pic:spPr>
                </pic:pic>
              </a:graphicData>
            </a:graphic>
          </wp:inline>
        </w:drawing>
      </w:r>
    </w:p>
    <w:p w14:paraId="703AB8E1" w14:textId="77777777" w:rsidR="00CE353A" w:rsidRPr="008627B1" w:rsidRDefault="007E0EF8" w:rsidP="006D7AB7">
      <w:pPr>
        <w:pStyle w:val="Chartnote"/>
      </w:pPr>
      <w:r>
        <w:t xml:space="preserve">Note:  Shows the coefficients on youth unemployment rate at graduation, at zero, five and ten </w:t>
      </w:r>
      <w:proofErr w:type="gramStart"/>
      <w:r>
        <w:t>years</w:t>
      </w:r>
      <w:proofErr w:type="gramEnd"/>
      <w:r>
        <w:t xml:space="preserve"> post</w:t>
      </w:r>
      <w:r w:rsidR="006E4AC4">
        <w:noBreakHyphen/>
      </w:r>
      <w:r>
        <w:t>graduation. Based on a regression of mean log annual earnings on the youth unemployment rate in the state and year of graduation, with year, state, experience and cohort fixed effects. Estimated over different sub</w:t>
      </w:r>
      <w:r w:rsidR="006E4AC4">
        <w:noBreakHyphen/>
      </w:r>
      <w:r>
        <w:t>samples of the population</w:t>
      </w:r>
      <w:r w:rsidR="006E4AC4">
        <w:t xml:space="preserve">. </w:t>
      </w:r>
      <w:r>
        <w:t>Standard errors, clustered at the state</w:t>
      </w:r>
      <w:r w:rsidR="006E4AC4">
        <w:noBreakHyphen/>
      </w:r>
      <w:r>
        <w:t>cohort level, are presented in brackets. *</w:t>
      </w:r>
      <w:proofErr w:type="gramStart"/>
      <w:r>
        <w:t>,*</w:t>
      </w:r>
      <w:proofErr w:type="gramEnd"/>
      <w:r>
        <w:t>*,*** indicate statistical significance at the 10, 5 and 1 per cent level, respectively.</w:t>
      </w:r>
    </w:p>
    <w:sectPr w:rsidR="00CE353A" w:rsidRPr="008627B1" w:rsidSect="00E149B7">
      <w:pgSz w:w="16838" w:h="11906" w:orient="landscape" w:code="9"/>
      <w:pgMar w:top="1304" w:right="1418" w:bottom="130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4AE15" w14:textId="77777777" w:rsidR="009C1554" w:rsidRDefault="009C1554" w:rsidP="005F100C">
      <w:pPr>
        <w:spacing w:after="0"/>
      </w:pPr>
      <w:r>
        <w:separator/>
      </w:r>
    </w:p>
  </w:endnote>
  <w:endnote w:type="continuationSeparator" w:id="0">
    <w:p w14:paraId="64963CE1" w14:textId="77777777" w:rsidR="009C1554" w:rsidRDefault="009C1554" w:rsidP="005F100C">
      <w:pPr>
        <w:spacing w:after="0"/>
      </w:pPr>
      <w:r>
        <w:continuationSeparator/>
      </w:r>
    </w:p>
  </w:endnote>
  <w:endnote w:type="continuationNotice" w:id="1">
    <w:p w14:paraId="0D8FA009" w14:textId="77777777" w:rsidR="009C1554" w:rsidRDefault="009C15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BEC8B" w14:textId="77777777" w:rsidR="003E00C3" w:rsidRDefault="003E00C3"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2</w:t>
    </w:r>
    <w:r w:rsidRPr="00365C6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89425" w14:textId="4FFE7538" w:rsidR="003E00C3" w:rsidRDefault="003E00C3"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3967B9">
      <w:rPr>
        <w:rStyle w:val="PageNumber"/>
        <w:noProof/>
      </w:rPr>
      <w:t>21</w:t>
    </w:r>
    <w:r w:rsidRPr="00365C6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2CD3A" w14:textId="2594AA84" w:rsidR="003E00C3" w:rsidRDefault="003E00C3"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3967B9">
      <w:rPr>
        <w:rStyle w:val="PageNumber"/>
        <w:noProof/>
      </w:rPr>
      <w:t>34</w:t>
    </w:r>
    <w:r w:rsidRPr="00365C6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957C6" w14:textId="77777777" w:rsidR="009C1554" w:rsidRDefault="009C1554" w:rsidP="005F100C">
      <w:pPr>
        <w:spacing w:after="0"/>
      </w:pPr>
      <w:r>
        <w:separator/>
      </w:r>
    </w:p>
  </w:footnote>
  <w:footnote w:type="continuationSeparator" w:id="0">
    <w:p w14:paraId="0CAABB2E" w14:textId="77777777" w:rsidR="009C1554" w:rsidRDefault="009C1554" w:rsidP="005F100C">
      <w:pPr>
        <w:spacing w:after="0"/>
      </w:pPr>
      <w:r>
        <w:continuationSeparator/>
      </w:r>
    </w:p>
  </w:footnote>
  <w:footnote w:type="continuationNotice" w:id="1">
    <w:p w14:paraId="5B03C372" w14:textId="77777777" w:rsidR="009C1554" w:rsidRDefault="009C1554">
      <w:pPr>
        <w:spacing w:after="0"/>
      </w:pPr>
    </w:p>
  </w:footnote>
  <w:footnote w:id="2">
    <w:p w14:paraId="1B4E2DFB" w14:textId="77777777" w:rsidR="003E00C3" w:rsidRPr="000D079B" w:rsidRDefault="003E00C3" w:rsidP="006E4AC4">
      <w:pPr>
        <w:pStyle w:val="FootnoteText"/>
      </w:pPr>
      <w:r w:rsidRPr="006E4AC4">
        <w:rPr>
          <w:rStyle w:val="FootnoteReference"/>
          <w:vertAlign w:val="baseline"/>
        </w:rPr>
        <w:footnoteRef/>
      </w:r>
      <w:r w:rsidRPr="000464B6">
        <w:t xml:space="preserve"> </w:t>
      </w:r>
      <w:r>
        <w:tab/>
      </w:r>
      <w:r w:rsidRPr="000D079B">
        <w:t xml:space="preserve">The authors work in the Macroeconomic Modelling and Policy Division, Macroeconomic Group, The Treasury, Langton Crescent, Parkes ACT 2600, Australia. Correspondence: </w:t>
      </w:r>
      <w:hyperlink r:id="rId1" w:history="1">
        <w:r w:rsidRPr="003E1B61">
          <w:rPr>
            <w:rStyle w:val="Hyperlink"/>
          </w:rPr>
          <w:t>Dan.Andrews@treasury.gov.au</w:t>
        </w:r>
      </w:hyperlink>
      <w:r w:rsidRPr="000D079B">
        <w:rPr>
          <w:rStyle w:val="Hyperlink"/>
        </w:rPr>
        <w:t>,</w:t>
      </w:r>
      <w:r w:rsidRPr="000D079B">
        <w:t xml:space="preserve"> </w:t>
      </w:r>
      <w:hyperlink r:id="rId2" w:history="1">
        <w:r w:rsidRPr="000D079B">
          <w:rPr>
            <w:rStyle w:val="Hyperlink"/>
          </w:rPr>
          <w:t>Nathan.Deutscher@treasury.gov.au</w:t>
        </w:r>
      </w:hyperlink>
      <w:r w:rsidRPr="000D079B">
        <w:t>,</w:t>
      </w:r>
      <w:r>
        <w:t xml:space="preserve"> </w:t>
      </w:r>
      <w:hyperlink r:id="rId3" w:history="1">
        <w:r w:rsidRPr="000D079B">
          <w:rPr>
            <w:rStyle w:val="Hyperlink"/>
          </w:rPr>
          <w:t>Jonathan.Hambur@treasury.gov.au</w:t>
        </w:r>
      </w:hyperlink>
      <w:r w:rsidRPr="000D079B">
        <w:t>,</w:t>
      </w:r>
      <w:r>
        <w:t xml:space="preserve"> </w:t>
      </w:r>
      <w:hyperlink r:id="rId4" w:history="1">
        <w:r w:rsidRPr="000D079B">
          <w:rPr>
            <w:rStyle w:val="Hyperlink"/>
          </w:rPr>
          <w:t>David.Hansell@treasury.gov.au</w:t>
        </w:r>
      </w:hyperlink>
      <w:r w:rsidRPr="000D079B">
        <w:t xml:space="preserve">. The authors thank Robert </w:t>
      </w:r>
      <w:proofErr w:type="spellStart"/>
      <w:r w:rsidRPr="000D079B">
        <w:t>Breunig</w:t>
      </w:r>
      <w:proofErr w:type="spellEnd"/>
      <w:r w:rsidRPr="000D079B">
        <w:t>,</w:t>
      </w:r>
      <w:r w:rsidR="00450C1E">
        <w:t xml:space="preserve"> Jeff Borland,</w:t>
      </w:r>
      <w:r w:rsidRPr="000D079B">
        <w:t xml:space="preserve"> Jessica Hua, David Lowe, Megha</w:t>
      </w:r>
      <w:r>
        <w:t xml:space="preserve">n Quinn, Tomoko </w:t>
      </w:r>
      <w:proofErr w:type="spellStart"/>
      <w:r>
        <w:t>Hashizume</w:t>
      </w:r>
      <w:proofErr w:type="spellEnd"/>
      <w:r>
        <w:t>, Nick </w:t>
      </w:r>
      <w:r w:rsidRPr="000D079B">
        <w:t xml:space="preserve">Stoney, Nicholas Twaddle, </w:t>
      </w:r>
      <w:proofErr w:type="gramStart"/>
      <w:r w:rsidRPr="000D079B">
        <w:t>Luke</w:t>
      </w:r>
      <w:proofErr w:type="gramEnd"/>
      <w:r w:rsidRPr="000D079B">
        <w:t xml:space="preserve"> Willard for helpful advice, comments and suggestions. The support of Andrew Carter, Justin Holland,</w:t>
      </w:r>
      <w:r w:rsidR="003137A0">
        <w:t xml:space="preserve"> </w:t>
      </w:r>
      <w:r w:rsidR="003137A0" w:rsidRPr="003137A0">
        <w:t xml:space="preserve">Logan </w:t>
      </w:r>
      <w:proofErr w:type="spellStart"/>
      <w:r w:rsidR="003137A0" w:rsidRPr="003137A0">
        <w:t>McLintock</w:t>
      </w:r>
      <w:proofErr w:type="spellEnd"/>
      <w:r w:rsidR="003137A0">
        <w:t>,</w:t>
      </w:r>
      <w:r w:rsidRPr="000D079B">
        <w:t xml:space="preserve"> Matt Power and Julia </w:t>
      </w:r>
      <w:proofErr w:type="spellStart"/>
      <w:r w:rsidRPr="000D079B">
        <w:t>Rymasz</w:t>
      </w:r>
      <w:proofErr w:type="spellEnd"/>
      <w:r w:rsidRPr="000D079B">
        <w:t xml:space="preserve"> in the curation, clearance and provision of the aggregated data on which this paper</w:t>
      </w:r>
      <w:r>
        <w:t>’</w:t>
      </w:r>
      <w:r w:rsidRPr="000D079B">
        <w:t xml:space="preserve">s analysis is based is greatly appreciated. </w:t>
      </w:r>
    </w:p>
  </w:footnote>
  <w:footnote w:id="3">
    <w:p w14:paraId="2146B02E" w14:textId="77777777" w:rsidR="003E00C3" w:rsidRDefault="003E00C3" w:rsidP="002A6D35">
      <w:pPr>
        <w:pStyle w:val="FootnoteText"/>
      </w:pPr>
      <w:r w:rsidRPr="006E4AC4">
        <w:rPr>
          <w:rStyle w:val="FootnoteReference"/>
          <w:vertAlign w:val="baseline"/>
        </w:rPr>
        <w:footnoteRef/>
      </w:r>
      <w:r w:rsidRPr="000D079B">
        <w:t xml:space="preserve"> </w:t>
      </w:r>
      <w:r w:rsidRPr="000D079B">
        <w:tab/>
        <w:t>The views expressed in this paper are those of the authors and do not necessarily reflect those of The Australian Treasury or the Australian Government.</w:t>
      </w:r>
    </w:p>
  </w:footnote>
  <w:footnote w:id="4">
    <w:p w14:paraId="2FE19ED1" w14:textId="77777777" w:rsidR="003E00C3" w:rsidRPr="006E4AC4" w:rsidRDefault="003E00C3" w:rsidP="006E4AC4">
      <w:pPr>
        <w:pStyle w:val="FootnoteText"/>
      </w:pPr>
      <w:r w:rsidRPr="006E4AC4">
        <w:rPr>
          <w:rStyle w:val="FootnoteReference"/>
          <w:vertAlign w:val="baseline"/>
        </w:rPr>
        <w:footnoteRef/>
      </w:r>
      <w:r w:rsidRPr="00BC0C93">
        <w:t xml:space="preserve"> </w:t>
      </w:r>
      <w:r>
        <w:tab/>
      </w:r>
      <w:r w:rsidRPr="006E4AC4">
        <w:t>In a recent contribution, Borland (2020) provides evidence from HILDA data showing a strong association between the unemployment rate at the time at which a cohort of young people complete full</w:t>
      </w:r>
      <w:r w:rsidRPr="006E4AC4">
        <w:noBreakHyphen/>
        <w:t>time education and the employment</w:t>
      </w:r>
      <w:r w:rsidRPr="006E4AC4">
        <w:noBreakHyphen/>
        <w:t>to</w:t>
      </w:r>
      <w:r w:rsidRPr="006E4AC4">
        <w:noBreakHyphen/>
        <w:t>population rate of that cohort in the following three years.</w:t>
      </w:r>
    </w:p>
  </w:footnote>
  <w:footnote w:id="5">
    <w:p w14:paraId="7D96840D" w14:textId="77777777" w:rsidR="003E00C3" w:rsidRPr="00BC0C93" w:rsidRDefault="003E00C3" w:rsidP="006E4AC4">
      <w:pPr>
        <w:pStyle w:val="FootnoteText"/>
      </w:pPr>
      <w:r w:rsidRPr="006E4AC4">
        <w:rPr>
          <w:rStyle w:val="FootnoteReference"/>
          <w:vertAlign w:val="baseline"/>
        </w:rPr>
        <w:footnoteRef/>
      </w:r>
      <w:r w:rsidRPr="00BC0C93">
        <w:t xml:space="preserve"> </w:t>
      </w:r>
      <w:r>
        <w:tab/>
      </w:r>
      <w:r w:rsidRPr="00BC0C93">
        <w:t xml:space="preserve">There are a number of factors that can explain why youth are particularly vulnerable to labour market downturns. New entrants to the labour market do not have an existing job to shelter in, and those who have only recently taken a job may be among the first to lose them. </w:t>
      </w:r>
    </w:p>
  </w:footnote>
  <w:footnote w:id="6">
    <w:p w14:paraId="1254D58B" w14:textId="77777777" w:rsidR="003E00C3" w:rsidRPr="00BC0C93" w:rsidRDefault="003E00C3" w:rsidP="006E4AC4">
      <w:pPr>
        <w:pStyle w:val="FootnoteText"/>
      </w:pPr>
      <w:r w:rsidRPr="006E4AC4">
        <w:rPr>
          <w:rStyle w:val="FootnoteReference"/>
          <w:vertAlign w:val="baseline"/>
        </w:rPr>
        <w:footnoteRef/>
      </w:r>
      <w:r w:rsidRPr="00BC0C93">
        <w:t xml:space="preserve"> </w:t>
      </w:r>
      <w:r>
        <w:tab/>
      </w:r>
      <w:r w:rsidRPr="00BC0C93">
        <w:t>A growing literature on habit formation finds that experiences in formative years can have a lasting effect on later life outcomes</w:t>
      </w:r>
      <w:r>
        <w:t xml:space="preserve">. </w:t>
      </w:r>
      <w:r w:rsidRPr="00BC0C93">
        <w:t>For example, workers who live through stock market downturns tend to be less willing to take on financial risk (</w:t>
      </w:r>
      <w:proofErr w:type="spellStart"/>
      <w:r w:rsidRPr="00BC0C93">
        <w:t>Malmendier</w:t>
      </w:r>
      <w:proofErr w:type="spellEnd"/>
      <w:r w:rsidRPr="00BC0C93">
        <w:t xml:space="preserve"> and Nagel 2011),</w:t>
      </w:r>
    </w:p>
  </w:footnote>
  <w:footnote w:id="7">
    <w:p w14:paraId="5B9101D9" w14:textId="77777777" w:rsidR="003E00C3" w:rsidRPr="00BC0C93" w:rsidRDefault="003E00C3" w:rsidP="006E4AC4">
      <w:pPr>
        <w:pStyle w:val="FootnoteText"/>
      </w:pPr>
      <w:r w:rsidRPr="006E4AC4">
        <w:rPr>
          <w:rStyle w:val="FootnoteReference"/>
          <w:vertAlign w:val="baseline"/>
        </w:rPr>
        <w:footnoteRef/>
      </w:r>
      <w:r w:rsidRPr="00BC0C93">
        <w:t xml:space="preserve"> </w:t>
      </w:r>
      <w:r>
        <w:tab/>
      </w:r>
      <w:r w:rsidRPr="00BC0C93">
        <w:t>A small number of individuals, such as well</w:t>
      </w:r>
      <w:r>
        <w:noBreakHyphen/>
      </w:r>
      <w:r w:rsidRPr="00BC0C93">
        <w:t>known individuals who requested anonymity and defence force members are excluded; however these exclusions do not limit the representatives of the sample.</w:t>
      </w:r>
    </w:p>
  </w:footnote>
  <w:footnote w:id="8">
    <w:p w14:paraId="6500BF31" w14:textId="77777777" w:rsidR="003E00C3" w:rsidRPr="00BC0C93" w:rsidRDefault="003E00C3" w:rsidP="006E4AC4">
      <w:pPr>
        <w:pStyle w:val="FootnoteText"/>
        <w:jc w:val="left"/>
      </w:pPr>
      <w:r w:rsidRPr="006E4AC4">
        <w:rPr>
          <w:rStyle w:val="FootnoteReference"/>
          <w:vertAlign w:val="baseline"/>
        </w:rPr>
        <w:footnoteRef/>
      </w:r>
      <w:r w:rsidRPr="00BC0C93">
        <w:t xml:space="preserve"> </w:t>
      </w:r>
      <w:r>
        <w:tab/>
      </w:r>
      <w:r w:rsidRPr="00BC0C93">
        <w:t>See for example: https://docs.education.gov.au/system/files/doc/other/2018_section_5_</w:t>
      </w:r>
      <w:r>
        <w:noBreakHyphen/>
      </w:r>
      <w:r w:rsidRPr="00BC0C93">
        <w:t>_liability_status_categories_0.pdf)</w:t>
      </w:r>
    </w:p>
  </w:footnote>
  <w:footnote w:id="9">
    <w:p w14:paraId="68B3A113" w14:textId="77777777" w:rsidR="003E00C3" w:rsidRPr="00BC0C93" w:rsidRDefault="003E00C3" w:rsidP="006E4AC4">
      <w:pPr>
        <w:pStyle w:val="FootnoteText"/>
      </w:pPr>
      <w:r w:rsidRPr="006E4AC4">
        <w:rPr>
          <w:rStyle w:val="FootnoteReference"/>
          <w:vertAlign w:val="baseline"/>
        </w:rPr>
        <w:footnoteRef/>
      </w:r>
      <w:r w:rsidRPr="00BC0C93">
        <w:t xml:space="preserve"> </w:t>
      </w:r>
      <w:r>
        <w:tab/>
      </w:r>
      <w:r w:rsidRPr="00BC0C93">
        <w:t>While youth unemployment rates are available at higher frequencies and finer geographies, we use the average at a state</w:t>
      </w:r>
      <w:r>
        <w:noBreakHyphen/>
      </w:r>
      <w:r w:rsidRPr="00BC0C93">
        <w:t>year level given uncertainty in the timing of when graduates will search for a job. Tests with a variety of alternate unemployment rates all yielded fairly consistent results.</w:t>
      </w:r>
    </w:p>
  </w:footnote>
  <w:footnote w:id="10">
    <w:p w14:paraId="4E3753C8" w14:textId="77777777" w:rsidR="003E00C3" w:rsidRPr="00BC0C93" w:rsidRDefault="003E00C3" w:rsidP="006E4AC4">
      <w:pPr>
        <w:pStyle w:val="FootnoteText"/>
      </w:pPr>
      <w:r w:rsidRPr="006E4AC4">
        <w:rPr>
          <w:rStyle w:val="FootnoteReference"/>
          <w:vertAlign w:val="baseline"/>
        </w:rPr>
        <w:footnoteRef/>
      </w:r>
      <w:r w:rsidRPr="00BC0C93">
        <w:t xml:space="preserve"> </w:t>
      </w:r>
      <w:r w:rsidRPr="00BC0C93">
        <w:tab/>
        <w:t>For example, between 2010 and 2012, the Australian Government removed the caps on undergraduate university places by introducing a demand</w:t>
      </w:r>
      <w:r>
        <w:noBreakHyphen/>
      </w:r>
      <w:r w:rsidRPr="00BC0C93">
        <w:t>driven system for domestic students. The series of changes to the system led to a pick</w:t>
      </w:r>
      <w:r>
        <w:noBreakHyphen/>
      </w:r>
      <w:r w:rsidRPr="00BC0C93">
        <w:t>up in university enrolments rates for younger people. For other related changes to the education system, see Dhillon and Cassidy (2018).</w:t>
      </w:r>
    </w:p>
  </w:footnote>
  <w:footnote w:id="11">
    <w:p w14:paraId="3B95FF7D" w14:textId="77777777" w:rsidR="003E00C3" w:rsidRPr="00BC0C93" w:rsidRDefault="003E00C3" w:rsidP="006E4AC4">
      <w:pPr>
        <w:pStyle w:val="FootnoteText"/>
      </w:pPr>
      <w:r w:rsidRPr="006E4AC4">
        <w:rPr>
          <w:rStyle w:val="FootnoteReference"/>
          <w:vertAlign w:val="baseline"/>
        </w:rPr>
        <w:footnoteRef/>
      </w:r>
      <w:r w:rsidRPr="00BC0C93">
        <w:t xml:space="preserve"> </w:t>
      </w:r>
      <w:r>
        <w:tab/>
      </w:r>
      <w:r w:rsidRPr="00BC0C93">
        <w:t>This will accurately capture the labour market conditions faced by graduates if they move at most once, and that move immediately follows graduation. Graduation is indeed a point in the lifecycle when individuals are particularly mobile and responsive to distant labour market opportunities (Wozniak 2010)</w:t>
      </w:r>
      <w:r>
        <w:t xml:space="preserve">. </w:t>
      </w:r>
      <w:r w:rsidRPr="00BC0C93">
        <w:t>While ideally we would trace the entire geographic history of each worker we are limited by the need to have sufficiently large micro</w:t>
      </w:r>
      <w:r>
        <w:noBreakHyphen/>
      </w:r>
      <w:r w:rsidRPr="00BC0C93">
        <w:t xml:space="preserve">aggregates to avoid the potential for recognition. </w:t>
      </w:r>
    </w:p>
  </w:footnote>
  <w:footnote w:id="12">
    <w:p w14:paraId="04774477" w14:textId="77777777" w:rsidR="003E00C3" w:rsidRPr="00BC0C93" w:rsidRDefault="003E00C3" w:rsidP="006E4AC4">
      <w:pPr>
        <w:pStyle w:val="FootnoteText"/>
      </w:pPr>
      <w:r w:rsidRPr="006E4AC4">
        <w:rPr>
          <w:rStyle w:val="FootnoteReference"/>
          <w:vertAlign w:val="baseline"/>
        </w:rPr>
        <w:footnoteRef/>
      </w:r>
      <w:r w:rsidRPr="00BC0C93">
        <w:t xml:space="preserve"> </w:t>
      </w:r>
      <w:r>
        <w:tab/>
      </w:r>
      <w:r w:rsidRPr="00BC0C93">
        <w:t>As robustness, we also used the aggregate, rather than youth, unemployment rate as it may be more relevant in later years, and tried excluding students that were over 25 on graduation. The key conclusions are robust to these choices, though the exact magnitudes and dynamics can vary.</w:t>
      </w:r>
    </w:p>
  </w:footnote>
  <w:footnote w:id="13">
    <w:p w14:paraId="6E8A4BD7" w14:textId="77777777" w:rsidR="003E00C3" w:rsidRPr="00BC0C93" w:rsidRDefault="003E00C3" w:rsidP="006E4AC4">
      <w:pPr>
        <w:pStyle w:val="FootnoteText"/>
      </w:pPr>
      <w:r w:rsidRPr="006E4AC4">
        <w:rPr>
          <w:rStyle w:val="FootnoteReference"/>
          <w:vertAlign w:val="baseline"/>
        </w:rPr>
        <w:footnoteRef/>
      </w:r>
      <w:r w:rsidRPr="00BC0C93">
        <w:t xml:space="preserve"> </w:t>
      </w:r>
      <w:r>
        <w:tab/>
      </w:r>
      <w:r w:rsidRPr="00BC0C93">
        <w:t>Of course, immigration may also respond to youth unemployment rates. If anything this would bias our estimates towards finding no scarring effect, to the extent that a higher youth unemployment rate in a given state and year results in less competition from immigrants for those graduating. Further, existing Australian evidence finds little evidence of an impact of immigration on the labour market outcomes of local workers, suggesting such bias is negligible (</w:t>
      </w:r>
      <w:proofErr w:type="spellStart"/>
      <w:r w:rsidRPr="00BC0C93">
        <w:t>Brell</w:t>
      </w:r>
      <w:proofErr w:type="spellEnd"/>
      <w:r w:rsidRPr="00BC0C93">
        <w:t xml:space="preserve"> and </w:t>
      </w:r>
      <w:proofErr w:type="spellStart"/>
      <w:r w:rsidRPr="00BC0C93">
        <w:t>Dustmann</w:t>
      </w:r>
      <w:proofErr w:type="spellEnd"/>
      <w:r w:rsidRPr="00BC0C93">
        <w:t xml:space="preserve"> 2019).</w:t>
      </w:r>
    </w:p>
  </w:footnote>
  <w:footnote w:id="14">
    <w:p w14:paraId="4A8C634D" w14:textId="77777777" w:rsidR="003E00C3" w:rsidRPr="00BC0C93" w:rsidRDefault="003E00C3" w:rsidP="006E4AC4">
      <w:pPr>
        <w:pStyle w:val="FootnoteText"/>
      </w:pPr>
      <w:r w:rsidRPr="006E4AC4">
        <w:rPr>
          <w:rStyle w:val="FootnoteReference"/>
          <w:vertAlign w:val="baseline"/>
        </w:rPr>
        <w:footnoteRef/>
      </w:r>
      <w:r w:rsidRPr="00BC0C93">
        <w:t xml:space="preserve"> </w:t>
      </w:r>
      <w:r>
        <w:tab/>
      </w:r>
      <w:r w:rsidRPr="00BC0C93">
        <w:t>This is simply the baseline model for an outcome observed only in the initial year, when potential experience equals zero.</w:t>
      </w:r>
    </w:p>
  </w:footnote>
  <w:footnote w:id="15">
    <w:p w14:paraId="06CA65E8" w14:textId="77777777" w:rsidR="003E00C3" w:rsidRPr="00BC0C93" w:rsidRDefault="003E00C3" w:rsidP="006E4AC4">
      <w:pPr>
        <w:pStyle w:val="FootnoteText"/>
      </w:pPr>
      <w:r w:rsidRPr="006E4AC4">
        <w:rPr>
          <w:rStyle w:val="FootnoteReference"/>
          <w:vertAlign w:val="baseline"/>
        </w:rPr>
        <w:footnoteRef/>
      </w:r>
      <w:r w:rsidRPr="00BC0C93">
        <w:t xml:space="preserve"> </w:t>
      </w:r>
      <w:r>
        <w:tab/>
      </w:r>
      <w:r w:rsidRPr="00BC0C93">
        <w:t>We take the postgraduate enrolments from the higher education statistics collection maintained by the Department of Education, Skills and Employment (2020) and emigration from population statistics collected by ABS (2019).</w:t>
      </w:r>
    </w:p>
  </w:footnote>
  <w:footnote w:id="16">
    <w:p w14:paraId="1DB41C19" w14:textId="77777777" w:rsidR="003E00C3" w:rsidRPr="00BC0C93" w:rsidRDefault="003E00C3" w:rsidP="006E4AC4">
      <w:pPr>
        <w:pStyle w:val="FootnoteText"/>
      </w:pPr>
      <w:r w:rsidRPr="006E4AC4">
        <w:rPr>
          <w:rStyle w:val="FootnoteReference"/>
          <w:vertAlign w:val="baseline"/>
        </w:rPr>
        <w:footnoteRef/>
      </w:r>
      <w:r w:rsidRPr="00BC0C93">
        <w:t xml:space="preserve"> </w:t>
      </w:r>
      <w:r>
        <w:tab/>
      </w:r>
      <w:r w:rsidRPr="00BC0C93">
        <w:t xml:space="preserve">For example, suppose that 10 per cent of graduate cohort selects into further study/emigration. Then if a 1 percentage point rise in the youth unemployment rate lifted this by 2 per cent (to 10.2 per cent) and those newly selecting into further study/emigration would have earned twice as much as the average member of the cohort, then average earnings for the cohort would fall by only 0.2 per cent. This is much smaller than the initial earnings impact of 1 ½ per cent shown in Table 1, column (3). </w:t>
      </w:r>
    </w:p>
  </w:footnote>
  <w:footnote w:id="17">
    <w:p w14:paraId="21A6A202" w14:textId="77777777" w:rsidR="003E00C3" w:rsidRPr="00BC0C93" w:rsidRDefault="003E00C3" w:rsidP="006E4AC4">
      <w:pPr>
        <w:pStyle w:val="FootnoteText"/>
      </w:pPr>
      <w:r w:rsidRPr="006E4AC4">
        <w:rPr>
          <w:rStyle w:val="FootnoteReference"/>
          <w:vertAlign w:val="baseline"/>
        </w:rPr>
        <w:footnoteRef/>
      </w:r>
      <w:r w:rsidRPr="00BC0C93">
        <w:t xml:space="preserve"> </w:t>
      </w:r>
      <w:r>
        <w:tab/>
      </w:r>
      <w:r w:rsidRPr="00BC0C93">
        <w:t xml:space="preserve">For example, male graduates are the focus of Kahn (2010) (United States), </w:t>
      </w:r>
      <w:proofErr w:type="spellStart"/>
      <w:r w:rsidRPr="00BC0C93">
        <w:t>Genda</w:t>
      </w:r>
      <w:proofErr w:type="spellEnd"/>
      <w:r w:rsidRPr="00BC0C93">
        <w:t xml:space="preserve"> et al (2010) (United States and Japan), </w:t>
      </w:r>
      <w:proofErr w:type="spellStart"/>
      <w:r w:rsidRPr="00BC0C93">
        <w:t>Oreopoulos</w:t>
      </w:r>
      <w:proofErr w:type="spellEnd"/>
      <w:r w:rsidRPr="00BC0C93">
        <w:t xml:space="preserve"> et al (2012) (Canada), Brunner and Kuhn (2014) (Austria).</w:t>
      </w:r>
    </w:p>
  </w:footnote>
  <w:footnote w:id="18">
    <w:p w14:paraId="10A1DFAD" w14:textId="77777777" w:rsidR="003E00C3" w:rsidRPr="00BC0C93" w:rsidRDefault="003E00C3" w:rsidP="006E4AC4">
      <w:pPr>
        <w:pStyle w:val="FootnoteText"/>
      </w:pPr>
      <w:r w:rsidRPr="006E4AC4">
        <w:rPr>
          <w:rStyle w:val="FootnoteReference"/>
          <w:vertAlign w:val="baseline"/>
        </w:rPr>
        <w:footnoteRef/>
      </w:r>
      <w:r w:rsidRPr="00BC0C93">
        <w:t xml:space="preserve"> </w:t>
      </w:r>
      <w:r>
        <w:tab/>
      </w:r>
      <w:r w:rsidRPr="00BC0C93">
        <w:rPr>
          <w:lang w:val="en-US" w:eastAsia="en-AU"/>
        </w:rPr>
        <w:t xml:space="preserve">A number of studies highlight asymmetric responses by gender to more general </w:t>
      </w:r>
      <w:proofErr w:type="spellStart"/>
      <w:r w:rsidRPr="00BC0C93">
        <w:rPr>
          <w:lang w:val="en-US" w:eastAsia="en-AU"/>
        </w:rPr>
        <w:t>labour</w:t>
      </w:r>
      <w:proofErr w:type="spellEnd"/>
      <w:r w:rsidRPr="00BC0C93">
        <w:rPr>
          <w:lang w:val="en-US" w:eastAsia="en-AU"/>
        </w:rPr>
        <w:t xml:space="preserve"> market shocks that in part appear to stem from gender dynamics within the household</w:t>
      </w:r>
      <w:r>
        <w:rPr>
          <w:lang w:val="en-US" w:eastAsia="en-AU"/>
        </w:rPr>
        <w:t xml:space="preserve"> — </w:t>
      </w:r>
      <w:r w:rsidRPr="00BC0C93">
        <w:rPr>
          <w:lang w:val="en-US" w:eastAsia="en-AU"/>
        </w:rPr>
        <w:t xml:space="preserve">for example, in the Australian context, Foster and Stratton (2018) find that in households with more traditional gender role attitudes, men do </w:t>
      </w:r>
      <w:r w:rsidRPr="00BC0C93">
        <w:rPr>
          <w:i/>
          <w:lang w:val="en-US" w:eastAsia="en-AU"/>
        </w:rPr>
        <w:t>less</w:t>
      </w:r>
      <w:r w:rsidRPr="00BC0C93">
        <w:rPr>
          <w:lang w:val="en-US" w:eastAsia="en-AU"/>
        </w:rPr>
        <w:t xml:space="preserve"> housework after losing their job, while their female partners do more. </w:t>
      </w:r>
    </w:p>
  </w:footnote>
  <w:footnote w:id="19">
    <w:p w14:paraId="2D0EA520" w14:textId="77777777" w:rsidR="003E00C3" w:rsidRPr="00BC0C93" w:rsidRDefault="003E00C3" w:rsidP="006E4AC4">
      <w:pPr>
        <w:pStyle w:val="FootnoteText"/>
      </w:pPr>
      <w:r w:rsidRPr="006E4AC4">
        <w:rPr>
          <w:rStyle w:val="FootnoteReference"/>
          <w:vertAlign w:val="baseline"/>
        </w:rPr>
        <w:footnoteRef/>
      </w:r>
      <w:r w:rsidRPr="00BC0C93">
        <w:t xml:space="preserve"> </w:t>
      </w:r>
      <w:r>
        <w:tab/>
      </w:r>
      <w:r w:rsidRPr="00BC0C93">
        <w:t>Models accounting for later labour market conditions also show this difference across samples, indicating we are not simply picking up a change in the persistence of the unemployment rate. Moreover, there is relatively little evidence that local business cycles have become more persistent since 2000.</w:t>
      </w:r>
    </w:p>
  </w:footnote>
  <w:footnote w:id="20">
    <w:p w14:paraId="25E175B9" w14:textId="77777777" w:rsidR="003E00C3" w:rsidRPr="00BC0C93" w:rsidRDefault="003E00C3" w:rsidP="006E4AC4">
      <w:pPr>
        <w:pStyle w:val="FootnoteText"/>
      </w:pPr>
      <w:r w:rsidRPr="006E4AC4">
        <w:rPr>
          <w:rStyle w:val="FootnoteReference"/>
          <w:vertAlign w:val="baseline"/>
        </w:rPr>
        <w:footnoteRef/>
      </w:r>
      <w:r w:rsidRPr="00BC0C93">
        <w:t xml:space="preserve"> </w:t>
      </w:r>
      <w:r>
        <w:tab/>
      </w:r>
      <w:r w:rsidRPr="00BC0C93">
        <w:t>We augment the latter model with state*year fixed effects to capture the effect of the business cycle on firm productivity. As discussed with the dynamic model, including such a control has relatively minor effects on the dynamics of wages, and employment, and similarly does not influence the switching results. But it appears important for the productivity regression, likely reflecting the fact that there it will partly be affected by the cyclicality of firm productivity which is not directly related to the worker</w:t>
      </w:r>
      <w:r>
        <w:noBreakHyphen/>
      </w:r>
      <w:r w:rsidRPr="00BC0C93">
        <w:t>experience profile.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B175" w14:textId="77777777" w:rsidR="003E00C3" w:rsidRDefault="003E00C3">
    <w:pPr>
      <w:pStyle w:val="Header"/>
    </w:pPr>
    <w:r>
      <w:rPr>
        <w:noProof/>
        <w:lang w:eastAsia="en-AU"/>
      </w:rPr>
      <w:drawing>
        <wp:anchor distT="0" distB="0" distL="114300" distR="114300" simplePos="0" relativeHeight="251658240" behindDoc="1" locked="0" layoutInCell="1" allowOverlap="1" wp14:anchorId="17C0D710" wp14:editId="5C073376">
          <wp:simplePos x="828136" y="612475"/>
          <wp:positionH relativeFrom="page">
            <wp:align>center</wp:align>
          </wp:positionH>
          <wp:positionV relativeFrom="page">
            <wp:posOffset>180340</wp:posOffset>
          </wp:positionV>
          <wp:extent cx="7200000" cy="99972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999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87DC4" w14:textId="77777777" w:rsidR="003E00C3" w:rsidRPr="00F012EA" w:rsidRDefault="003E00C3" w:rsidP="00F01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8C7D7" w14:textId="77777777" w:rsidR="003E00C3" w:rsidRPr="00EF7C58" w:rsidRDefault="003E00C3" w:rsidP="00EF7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8963D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6E44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2C3F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32D9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CC9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1476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440C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DE8D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A0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968B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43FD5"/>
    <w:multiLevelType w:val="hybridMultilevel"/>
    <w:tmpl w:val="014AAA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2" w15:restartNumberingAfterBreak="0">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CC4E5D"/>
    <w:multiLevelType w:val="multilevel"/>
    <w:tmpl w:val="D10E9CF6"/>
    <w:numStyleLink w:val="OneLevelList"/>
  </w:abstractNum>
  <w:abstractNum w:abstractNumId="16" w15:restartNumberingAfterBreak="0">
    <w:nsid w:val="18732D10"/>
    <w:multiLevelType w:val="hybridMultilevel"/>
    <w:tmpl w:val="E99204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21A02AF"/>
    <w:multiLevelType w:val="hybridMultilevel"/>
    <w:tmpl w:val="68C6E3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22B11250"/>
    <w:multiLevelType w:val="hybridMultilevel"/>
    <w:tmpl w:val="56D6A5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15:restartNumberingAfterBreak="0">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15:restartNumberingAfterBreak="0">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74A510B"/>
    <w:multiLevelType w:val="hybridMultilevel"/>
    <w:tmpl w:val="CA9EB0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28"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43AB3E1E"/>
    <w:multiLevelType w:val="hybridMultilevel"/>
    <w:tmpl w:val="3EE2E21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445B0A7E"/>
    <w:multiLevelType w:val="multilevel"/>
    <w:tmpl w:val="EDEE4FB6"/>
    <w:numStyleLink w:val="RecommendationBulletList"/>
  </w:abstractNum>
  <w:abstractNum w:abstractNumId="31" w15:restartNumberingAfterBreak="0">
    <w:nsid w:val="44D7362E"/>
    <w:multiLevelType w:val="multilevel"/>
    <w:tmpl w:val="F4DC1EF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F31631A"/>
    <w:multiLevelType w:val="hybridMultilevel"/>
    <w:tmpl w:val="3418D57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510D2021"/>
    <w:multiLevelType w:val="multilevel"/>
    <w:tmpl w:val="72F8140E"/>
    <w:numStyleLink w:val="OutlineList"/>
  </w:abstractNum>
  <w:abstractNum w:abstractNumId="35" w15:restartNumberingAfterBreak="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5F73129"/>
    <w:multiLevelType w:val="multilevel"/>
    <w:tmpl w:val="D9A8A212"/>
    <w:numStyleLink w:val="RomanNumeralList"/>
  </w:abstractNum>
  <w:abstractNum w:abstractNumId="37" w15:restartNumberingAfterBreak="0">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38" w15:restartNumberingAfterBreak="0">
    <w:nsid w:val="6A5F7B24"/>
    <w:multiLevelType w:val="multilevel"/>
    <w:tmpl w:val="06F085DA"/>
    <w:lvl w:ilvl="0">
      <w:start w:val="1"/>
      <w:numFmt w:val="decimal"/>
      <w:lvlRestart w:val="0"/>
      <w:lvlText w:val="%1."/>
      <w:lvlJc w:val="left"/>
      <w:pPr>
        <w:tabs>
          <w:tab w:val="num" w:pos="850"/>
        </w:tabs>
        <w:ind w:left="0" w:firstLine="0"/>
      </w:pPr>
      <w:rPr>
        <w:rFonts w:ascii="Arial Bold" w:hAnsi="Arial Bold" w:cs="Arial" w:hint="default"/>
        <w:b/>
        <w:i w:val="0"/>
        <w:color w:val="003157"/>
      </w:rPr>
    </w:lvl>
    <w:lvl w:ilvl="1">
      <w:start w:val="1"/>
      <w:numFmt w:val="decimal"/>
      <w:lvlText w:val="%1.%2"/>
      <w:lvlJc w:val="left"/>
      <w:pPr>
        <w:tabs>
          <w:tab w:val="num" w:pos="-1702"/>
        </w:tabs>
        <w:ind w:left="-2552" w:firstLine="0"/>
      </w:pPr>
      <w:rPr>
        <w:rFonts w:ascii="Arial Bold" w:hAnsi="Arial Bold" w:cs="Arial" w:hint="default"/>
        <w:b/>
        <w:i w:val="0"/>
        <w:color w:val="003157"/>
      </w:rPr>
    </w:lvl>
    <w:lvl w:ilvl="2">
      <w:start w:val="1"/>
      <w:numFmt w:val="none"/>
      <w:lvlText w:val=""/>
      <w:lvlJc w:val="left"/>
      <w:pPr>
        <w:tabs>
          <w:tab w:val="num" w:pos="-2552"/>
        </w:tabs>
        <w:ind w:left="-2552" w:firstLine="0"/>
      </w:pPr>
      <w:rPr>
        <w:rFonts w:ascii="Arial" w:hAnsi="Arial" w:cs="Arial" w:hint="default"/>
        <w:b w:val="0"/>
        <w:i w:val="0"/>
        <w:color w:val="003157"/>
      </w:rPr>
    </w:lvl>
    <w:lvl w:ilvl="3">
      <w:start w:val="1"/>
      <w:numFmt w:val="decimal"/>
      <w:lvlText w:val="%4"/>
      <w:lvlJc w:val="left"/>
      <w:pPr>
        <w:tabs>
          <w:tab w:val="num" w:pos="-284"/>
        </w:tabs>
        <w:ind w:left="-284" w:hanging="567"/>
      </w:pPr>
      <w:rPr>
        <w:rFonts w:hint="default"/>
        <w:b w:val="0"/>
        <w:i w:val="0"/>
        <w:color w:val="000000"/>
      </w:rPr>
    </w:lvl>
    <w:lvl w:ilvl="4">
      <w:start w:val="1"/>
      <w:numFmt w:val="decimal"/>
      <w:lvlText w:val="%5"/>
      <w:lvlJc w:val="left"/>
      <w:pPr>
        <w:tabs>
          <w:tab w:val="num" w:pos="283"/>
        </w:tabs>
        <w:ind w:left="283" w:hanging="567"/>
      </w:pPr>
      <w:rPr>
        <w:rFonts w:hint="default"/>
        <w:b w:val="0"/>
        <w:i w:val="0"/>
        <w:color w:val="000000"/>
      </w:rPr>
    </w:lvl>
    <w:lvl w:ilvl="5">
      <w:start w:val="1"/>
      <w:numFmt w:val="decimal"/>
      <w:lvlText w:val="%6"/>
      <w:lvlJc w:val="left"/>
      <w:pPr>
        <w:tabs>
          <w:tab w:val="num" w:pos="850"/>
        </w:tabs>
        <w:ind w:left="850" w:hanging="567"/>
      </w:pPr>
      <w:rPr>
        <w:rFonts w:hint="default"/>
        <w:b w:val="0"/>
        <w:i w:val="0"/>
        <w:color w:val="000000"/>
      </w:rPr>
    </w:lvl>
    <w:lvl w:ilvl="6">
      <w:start w:val="1"/>
      <w:numFmt w:val="decimal"/>
      <w:lvlText w:val="%7"/>
      <w:lvlJc w:val="left"/>
      <w:pPr>
        <w:tabs>
          <w:tab w:val="num" w:pos="1417"/>
        </w:tabs>
        <w:ind w:left="1417" w:hanging="567"/>
      </w:pPr>
      <w:rPr>
        <w:rFonts w:hint="default"/>
        <w:b w:val="0"/>
        <w:i w:val="0"/>
        <w:color w:val="000000"/>
      </w:rPr>
    </w:lvl>
    <w:lvl w:ilvl="7">
      <w:start w:val="1"/>
      <w:numFmt w:val="decimal"/>
      <w:lvlText w:val="%8"/>
      <w:lvlJc w:val="left"/>
      <w:pPr>
        <w:tabs>
          <w:tab w:val="num" w:pos="1984"/>
        </w:tabs>
        <w:ind w:left="1984" w:hanging="567"/>
      </w:pPr>
      <w:rPr>
        <w:rFonts w:hint="default"/>
        <w:b w:val="0"/>
        <w:i w:val="0"/>
        <w:color w:val="000000"/>
      </w:rPr>
    </w:lvl>
    <w:lvl w:ilvl="8">
      <w:start w:val="1"/>
      <w:numFmt w:val="decimal"/>
      <w:lvlText w:val="%9"/>
      <w:lvlJc w:val="left"/>
      <w:pPr>
        <w:tabs>
          <w:tab w:val="num" w:pos="2551"/>
        </w:tabs>
        <w:ind w:left="2551" w:hanging="567"/>
      </w:pPr>
      <w:rPr>
        <w:rFonts w:hint="default"/>
        <w:b w:val="0"/>
        <w:i w:val="0"/>
        <w:color w:val="000000"/>
      </w:rPr>
    </w:lvl>
  </w:abstractNum>
  <w:abstractNum w:abstractNumId="39"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7C04119"/>
    <w:multiLevelType w:val="hybridMultilevel"/>
    <w:tmpl w:val="85904E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12"/>
  </w:num>
  <w:num w:numId="3">
    <w:abstractNumId w:val="32"/>
  </w:num>
  <w:num w:numId="4">
    <w:abstractNumId w:val="25"/>
  </w:num>
  <w:num w:numId="5">
    <w:abstractNumId w:val="14"/>
  </w:num>
  <w:num w:numId="6">
    <w:abstractNumId w:val="17"/>
  </w:num>
  <w:num w:numId="7">
    <w:abstractNumId w:val="13"/>
  </w:num>
  <w:num w:numId="8">
    <w:abstractNumId w:val="15"/>
  </w:num>
  <w:num w:numId="9">
    <w:abstractNumId w:val="34"/>
  </w:num>
  <w:num w:numId="10">
    <w:abstractNumId w:val="30"/>
  </w:num>
  <w:num w:numId="11">
    <w:abstractNumId w:val="36"/>
  </w:num>
  <w:num w:numId="12">
    <w:abstractNumId w:val="24"/>
  </w:num>
  <w:num w:numId="13">
    <w:abstractNumId w:val="35"/>
  </w:num>
  <w:num w:numId="14">
    <w:abstractNumId w:val="20"/>
  </w:num>
  <w:num w:numId="15">
    <w:abstractNumId w:val="20"/>
  </w:num>
  <w:num w:numId="16">
    <w:abstractNumId w:val="28"/>
  </w:num>
  <w:num w:numId="17">
    <w:abstractNumId w:val="11"/>
  </w:num>
  <w:num w:numId="18">
    <w:abstractNumId w:val="37"/>
  </w:num>
  <w:num w:numId="19">
    <w:abstractNumId w:val="22"/>
  </w:num>
  <w:num w:numId="20">
    <w:abstractNumId w:val="27"/>
  </w:num>
  <w:num w:numId="21">
    <w:abstractNumId w:val="38"/>
  </w:num>
  <w:num w:numId="22">
    <w:abstractNumId w:val="39"/>
  </w:num>
  <w:num w:numId="23">
    <w:abstractNumId w:val="31"/>
  </w:num>
  <w:num w:numId="24">
    <w:abstractNumId w:val="38"/>
  </w:num>
  <w:num w:numId="25">
    <w:abstractNumId w:val="38"/>
  </w:num>
  <w:num w:numId="26">
    <w:abstractNumId w:val="38"/>
  </w:num>
  <w:num w:numId="27">
    <w:abstractNumId w:val="38"/>
  </w:num>
  <w:num w:numId="28">
    <w:abstractNumId w:val="38"/>
  </w:num>
  <w:num w:numId="29">
    <w:abstractNumId w:val="38"/>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IClassificationInHeader" w:val="False"/>
    <w:docVar w:name="SecurityClassificationInHeader" w:val="False"/>
    <w:docVar w:name="SecurityDLMInHeader" w:val="False"/>
  </w:docVars>
  <w:rsids>
    <w:rsidRoot w:val="00A03AE4"/>
    <w:rsid w:val="00003ACD"/>
    <w:rsid w:val="0000483C"/>
    <w:rsid w:val="00007CDE"/>
    <w:rsid w:val="00011043"/>
    <w:rsid w:val="0001151B"/>
    <w:rsid w:val="00012004"/>
    <w:rsid w:val="000167A9"/>
    <w:rsid w:val="00016FB3"/>
    <w:rsid w:val="000202D9"/>
    <w:rsid w:val="000252D8"/>
    <w:rsid w:val="0002559B"/>
    <w:rsid w:val="00026326"/>
    <w:rsid w:val="00032D6D"/>
    <w:rsid w:val="00036BC9"/>
    <w:rsid w:val="000443CD"/>
    <w:rsid w:val="00045AF7"/>
    <w:rsid w:val="000464B6"/>
    <w:rsid w:val="00050954"/>
    <w:rsid w:val="0005155C"/>
    <w:rsid w:val="00051C46"/>
    <w:rsid w:val="0005239A"/>
    <w:rsid w:val="00052AFF"/>
    <w:rsid w:val="00054772"/>
    <w:rsid w:val="0005520B"/>
    <w:rsid w:val="00056119"/>
    <w:rsid w:val="0005695B"/>
    <w:rsid w:val="000608A9"/>
    <w:rsid w:val="000622B2"/>
    <w:rsid w:val="0006353F"/>
    <w:rsid w:val="00064904"/>
    <w:rsid w:val="0006557B"/>
    <w:rsid w:val="000656AA"/>
    <w:rsid w:val="00070C82"/>
    <w:rsid w:val="000714FF"/>
    <w:rsid w:val="00071C9C"/>
    <w:rsid w:val="00071E26"/>
    <w:rsid w:val="00074662"/>
    <w:rsid w:val="00075501"/>
    <w:rsid w:val="00076F17"/>
    <w:rsid w:val="00077D52"/>
    <w:rsid w:val="00077DAD"/>
    <w:rsid w:val="00081F25"/>
    <w:rsid w:val="000833A2"/>
    <w:rsid w:val="00087889"/>
    <w:rsid w:val="00087D13"/>
    <w:rsid w:val="00091054"/>
    <w:rsid w:val="00091E02"/>
    <w:rsid w:val="000928A1"/>
    <w:rsid w:val="00095422"/>
    <w:rsid w:val="00095C3F"/>
    <w:rsid w:val="00095C8A"/>
    <w:rsid w:val="000A04E1"/>
    <w:rsid w:val="000A2196"/>
    <w:rsid w:val="000A376C"/>
    <w:rsid w:val="000A7901"/>
    <w:rsid w:val="000A7C46"/>
    <w:rsid w:val="000B2360"/>
    <w:rsid w:val="000B55D5"/>
    <w:rsid w:val="000D079B"/>
    <w:rsid w:val="000D7E85"/>
    <w:rsid w:val="000E1CA1"/>
    <w:rsid w:val="000E37AF"/>
    <w:rsid w:val="000E47CD"/>
    <w:rsid w:val="000E4C3A"/>
    <w:rsid w:val="000E52A1"/>
    <w:rsid w:val="000E64D8"/>
    <w:rsid w:val="000E7CDB"/>
    <w:rsid w:val="000F1C95"/>
    <w:rsid w:val="000F562F"/>
    <w:rsid w:val="000F5FD3"/>
    <w:rsid w:val="0010021B"/>
    <w:rsid w:val="00100669"/>
    <w:rsid w:val="00104709"/>
    <w:rsid w:val="00111884"/>
    <w:rsid w:val="00112039"/>
    <w:rsid w:val="00113144"/>
    <w:rsid w:val="00116381"/>
    <w:rsid w:val="00117063"/>
    <w:rsid w:val="001216A5"/>
    <w:rsid w:val="001244F6"/>
    <w:rsid w:val="0012466A"/>
    <w:rsid w:val="00133B35"/>
    <w:rsid w:val="001404B3"/>
    <w:rsid w:val="00140894"/>
    <w:rsid w:val="00143C3B"/>
    <w:rsid w:val="00144CB7"/>
    <w:rsid w:val="00147046"/>
    <w:rsid w:val="0015360E"/>
    <w:rsid w:val="001548E1"/>
    <w:rsid w:val="00155E87"/>
    <w:rsid w:val="0015691F"/>
    <w:rsid w:val="001615F6"/>
    <w:rsid w:val="0016170E"/>
    <w:rsid w:val="00162FD9"/>
    <w:rsid w:val="00165A42"/>
    <w:rsid w:val="00165B2D"/>
    <w:rsid w:val="00166B2E"/>
    <w:rsid w:val="00170937"/>
    <w:rsid w:val="001710B5"/>
    <w:rsid w:val="00172E15"/>
    <w:rsid w:val="00173381"/>
    <w:rsid w:val="001759E9"/>
    <w:rsid w:val="00175D50"/>
    <w:rsid w:val="001766F0"/>
    <w:rsid w:val="00176EAD"/>
    <w:rsid w:val="001925A2"/>
    <w:rsid w:val="00192E78"/>
    <w:rsid w:val="001A04F0"/>
    <w:rsid w:val="001A2F2E"/>
    <w:rsid w:val="001A420D"/>
    <w:rsid w:val="001A43BA"/>
    <w:rsid w:val="001A5C1A"/>
    <w:rsid w:val="001A6380"/>
    <w:rsid w:val="001B0303"/>
    <w:rsid w:val="001B0AEB"/>
    <w:rsid w:val="001B1FA2"/>
    <w:rsid w:val="001B2F65"/>
    <w:rsid w:val="001B4291"/>
    <w:rsid w:val="001B54B0"/>
    <w:rsid w:val="001C1BF1"/>
    <w:rsid w:val="001D36C6"/>
    <w:rsid w:val="001D57FC"/>
    <w:rsid w:val="001D6C53"/>
    <w:rsid w:val="001D6D50"/>
    <w:rsid w:val="001E10C8"/>
    <w:rsid w:val="001E1D66"/>
    <w:rsid w:val="001E2059"/>
    <w:rsid w:val="001E5B75"/>
    <w:rsid w:val="001E664D"/>
    <w:rsid w:val="001F1F54"/>
    <w:rsid w:val="001F50BD"/>
    <w:rsid w:val="001F65B3"/>
    <w:rsid w:val="00200DB7"/>
    <w:rsid w:val="002015AB"/>
    <w:rsid w:val="002029B3"/>
    <w:rsid w:val="002053D9"/>
    <w:rsid w:val="00210BB5"/>
    <w:rsid w:val="00211545"/>
    <w:rsid w:val="00212E2B"/>
    <w:rsid w:val="002146E2"/>
    <w:rsid w:val="00223A50"/>
    <w:rsid w:val="002249D2"/>
    <w:rsid w:val="00224D4D"/>
    <w:rsid w:val="00225632"/>
    <w:rsid w:val="002271BB"/>
    <w:rsid w:val="0023202F"/>
    <w:rsid w:val="002330AC"/>
    <w:rsid w:val="00236152"/>
    <w:rsid w:val="00241170"/>
    <w:rsid w:val="0024290A"/>
    <w:rsid w:val="0025186E"/>
    <w:rsid w:val="002547FA"/>
    <w:rsid w:val="002553E7"/>
    <w:rsid w:val="0025715F"/>
    <w:rsid w:val="00257A2D"/>
    <w:rsid w:val="00267CA9"/>
    <w:rsid w:val="002703A5"/>
    <w:rsid w:val="0027325D"/>
    <w:rsid w:val="002732CF"/>
    <w:rsid w:val="0027368E"/>
    <w:rsid w:val="00276288"/>
    <w:rsid w:val="002768B3"/>
    <w:rsid w:val="00280D28"/>
    <w:rsid w:val="00281134"/>
    <w:rsid w:val="00281FC1"/>
    <w:rsid w:val="00287C0F"/>
    <w:rsid w:val="00290DFF"/>
    <w:rsid w:val="00291937"/>
    <w:rsid w:val="00291E2B"/>
    <w:rsid w:val="0029296A"/>
    <w:rsid w:val="0029420F"/>
    <w:rsid w:val="0029461D"/>
    <w:rsid w:val="00294DAA"/>
    <w:rsid w:val="00296DAC"/>
    <w:rsid w:val="00297C46"/>
    <w:rsid w:val="002A41BB"/>
    <w:rsid w:val="002A44E0"/>
    <w:rsid w:val="002A6D35"/>
    <w:rsid w:val="002A79F2"/>
    <w:rsid w:val="002B0546"/>
    <w:rsid w:val="002B22AE"/>
    <w:rsid w:val="002B53E2"/>
    <w:rsid w:val="002B661C"/>
    <w:rsid w:val="002B6839"/>
    <w:rsid w:val="002C177F"/>
    <w:rsid w:val="002C2B67"/>
    <w:rsid w:val="002C3075"/>
    <w:rsid w:val="002C3379"/>
    <w:rsid w:val="002C5398"/>
    <w:rsid w:val="002C591E"/>
    <w:rsid w:val="002C7E0D"/>
    <w:rsid w:val="002D1A58"/>
    <w:rsid w:val="002D20C2"/>
    <w:rsid w:val="002D2E41"/>
    <w:rsid w:val="002D316D"/>
    <w:rsid w:val="002E4775"/>
    <w:rsid w:val="002E4A27"/>
    <w:rsid w:val="002E5F5C"/>
    <w:rsid w:val="002E7527"/>
    <w:rsid w:val="002E7BDD"/>
    <w:rsid w:val="002F09B8"/>
    <w:rsid w:val="002F318A"/>
    <w:rsid w:val="002F3DFC"/>
    <w:rsid w:val="002F446E"/>
    <w:rsid w:val="002F4E79"/>
    <w:rsid w:val="002F73DF"/>
    <w:rsid w:val="00301A52"/>
    <w:rsid w:val="00302EC6"/>
    <w:rsid w:val="0030558F"/>
    <w:rsid w:val="00305E2C"/>
    <w:rsid w:val="00305F7A"/>
    <w:rsid w:val="003137A0"/>
    <w:rsid w:val="00315DBF"/>
    <w:rsid w:val="003166F7"/>
    <w:rsid w:val="00320849"/>
    <w:rsid w:val="0032466E"/>
    <w:rsid w:val="0032549B"/>
    <w:rsid w:val="00330C32"/>
    <w:rsid w:val="003310E8"/>
    <w:rsid w:val="003326C6"/>
    <w:rsid w:val="003328CF"/>
    <w:rsid w:val="00334335"/>
    <w:rsid w:val="00340525"/>
    <w:rsid w:val="003406DF"/>
    <w:rsid w:val="00340AEF"/>
    <w:rsid w:val="003413FB"/>
    <w:rsid w:val="003431D3"/>
    <w:rsid w:val="003436D5"/>
    <w:rsid w:val="00343FD1"/>
    <w:rsid w:val="00346095"/>
    <w:rsid w:val="0035010D"/>
    <w:rsid w:val="00350CDF"/>
    <w:rsid w:val="0035141D"/>
    <w:rsid w:val="0035417C"/>
    <w:rsid w:val="0035687D"/>
    <w:rsid w:val="00357404"/>
    <w:rsid w:val="0035744C"/>
    <w:rsid w:val="003641BA"/>
    <w:rsid w:val="00365C6D"/>
    <w:rsid w:val="00365F5F"/>
    <w:rsid w:val="003709DB"/>
    <w:rsid w:val="00372C0C"/>
    <w:rsid w:val="00372D9C"/>
    <w:rsid w:val="00373C34"/>
    <w:rsid w:val="003763C3"/>
    <w:rsid w:val="003809EA"/>
    <w:rsid w:val="00381B88"/>
    <w:rsid w:val="00382ED6"/>
    <w:rsid w:val="00390529"/>
    <w:rsid w:val="00392485"/>
    <w:rsid w:val="00394397"/>
    <w:rsid w:val="003967B9"/>
    <w:rsid w:val="003A1379"/>
    <w:rsid w:val="003A1A88"/>
    <w:rsid w:val="003A26A5"/>
    <w:rsid w:val="003A6F68"/>
    <w:rsid w:val="003A714B"/>
    <w:rsid w:val="003B0501"/>
    <w:rsid w:val="003B3F46"/>
    <w:rsid w:val="003B50A2"/>
    <w:rsid w:val="003B59B9"/>
    <w:rsid w:val="003C36A2"/>
    <w:rsid w:val="003C5145"/>
    <w:rsid w:val="003C5BAE"/>
    <w:rsid w:val="003C720F"/>
    <w:rsid w:val="003D27B3"/>
    <w:rsid w:val="003D296C"/>
    <w:rsid w:val="003D3DC9"/>
    <w:rsid w:val="003D4D17"/>
    <w:rsid w:val="003D6F69"/>
    <w:rsid w:val="003E00C3"/>
    <w:rsid w:val="003E0E7B"/>
    <w:rsid w:val="003E3374"/>
    <w:rsid w:val="003E64DF"/>
    <w:rsid w:val="003E6B90"/>
    <w:rsid w:val="003F2FED"/>
    <w:rsid w:val="003F4369"/>
    <w:rsid w:val="003F5C9F"/>
    <w:rsid w:val="003F63A0"/>
    <w:rsid w:val="004013EC"/>
    <w:rsid w:val="00406016"/>
    <w:rsid w:val="00410E7E"/>
    <w:rsid w:val="004134EE"/>
    <w:rsid w:val="00413EA9"/>
    <w:rsid w:val="004142D2"/>
    <w:rsid w:val="00416E7C"/>
    <w:rsid w:val="004177BE"/>
    <w:rsid w:val="00420F2F"/>
    <w:rsid w:val="00425A49"/>
    <w:rsid w:val="00425B2E"/>
    <w:rsid w:val="00426CC1"/>
    <w:rsid w:val="004301EE"/>
    <w:rsid w:val="00432775"/>
    <w:rsid w:val="00432E5C"/>
    <w:rsid w:val="0043490C"/>
    <w:rsid w:val="004370F4"/>
    <w:rsid w:val="0044035D"/>
    <w:rsid w:val="00440A14"/>
    <w:rsid w:val="004418D7"/>
    <w:rsid w:val="00441BBB"/>
    <w:rsid w:val="00443173"/>
    <w:rsid w:val="00445925"/>
    <w:rsid w:val="00445CA3"/>
    <w:rsid w:val="004465EB"/>
    <w:rsid w:val="00447D5E"/>
    <w:rsid w:val="004505DF"/>
    <w:rsid w:val="00450C1E"/>
    <w:rsid w:val="00457AC1"/>
    <w:rsid w:val="00460338"/>
    <w:rsid w:val="00460A29"/>
    <w:rsid w:val="00460C65"/>
    <w:rsid w:val="004644F0"/>
    <w:rsid w:val="00466057"/>
    <w:rsid w:val="004704A7"/>
    <w:rsid w:val="004718F8"/>
    <w:rsid w:val="00472957"/>
    <w:rsid w:val="00475155"/>
    <w:rsid w:val="00475BD8"/>
    <w:rsid w:val="004765C5"/>
    <w:rsid w:val="004835AE"/>
    <w:rsid w:val="00487792"/>
    <w:rsid w:val="0049120E"/>
    <w:rsid w:val="0049198C"/>
    <w:rsid w:val="00491CDB"/>
    <w:rsid w:val="00492EF2"/>
    <w:rsid w:val="0049341B"/>
    <w:rsid w:val="004942A1"/>
    <w:rsid w:val="00494DE6"/>
    <w:rsid w:val="0049526F"/>
    <w:rsid w:val="00495824"/>
    <w:rsid w:val="00495F15"/>
    <w:rsid w:val="004A1177"/>
    <w:rsid w:val="004A385E"/>
    <w:rsid w:val="004B07A5"/>
    <w:rsid w:val="004B2374"/>
    <w:rsid w:val="004B7474"/>
    <w:rsid w:val="004B7D43"/>
    <w:rsid w:val="004C03F1"/>
    <w:rsid w:val="004C167F"/>
    <w:rsid w:val="004C52BC"/>
    <w:rsid w:val="004D2014"/>
    <w:rsid w:val="004D3EEC"/>
    <w:rsid w:val="004D64C2"/>
    <w:rsid w:val="004D6A3A"/>
    <w:rsid w:val="004E2AE0"/>
    <w:rsid w:val="004E3A33"/>
    <w:rsid w:val="004E5CC0"/>
    <w:rsid w:val="004F4EE7"/>
    <w:rsid w:val="004F570F"/>
    <w:rsid w:val="004F5A19"/>
    <w:rsid w:val="004F64EC"/>
    <w:rsid w:val="004F6EAD"/>
    <w:rsid w:val="00500704"/>
    <w:rsid w:val="00502D20"/>
    <w:rsid w:val="00505745"/>
    <w:rsid w:val="00506954"/>
    <w:rsid w:val="00506AD4"/>
    <w:rsid w:val="00507129"/>
    <w:rsid w:val="0051251F"/>
    <w:rsid w:val="0051263E"/>
    <w:rsid w:val="0051306B"/>
    <w:rsid w:val="00514815"/>
    <w:rsid w:val="00516CDA"/>
    <w:rsid w:val="00524222"/>
    <w:rsid w:val="00540646"/>
    <w:rsid w:val="00540C47"/>
    <w:rsid w:val="00541ADB"/>
    <w:rsid w:val="0054483D"/>
    <w:rsid w:val="0054492E"/>
    <w:rsid w:val="00544D3A"/>
    <w:rsid w:val="0054638C"/>
    <w:rsid w:val="0054758F"/>
    <w:rsid w:val="00550478"/>
    <w:rsid w:val="00551D17"/>
    <w:rsid w:val="00554135"/>
    <w:rsid w:val="00554FD1"/>
    <w:rsid w:val="005555C1"/>
    <w:rsid w:val="00555B0A"/>
    <w:rsid w:val="0055789C"/>
    <w:rsid w:val="00560D0E"/>
    <w:rsid w:val="00562EFB"/>
    <w:rsid w:val="00562F61"/>
    <w:rsid w:val="00564002"/>
    <w:rsid w:val="00564A3D"/>
    <w:rsid w:val="00565764"/>
    <w:rsid w:val="00566E99"/>
    <w:rsid w:val="0057074A"/>
    <w:rsid w:val="00570A60"/>
    <w:rsid w:val="0057142A"/>
    <w:rsid w:val="005731C8"/>
    <w:rsid w:val="0057328C"/>
    <w:rsid w:val="0057655D"/>
    <w:rsid w:val="00576724"/>
    <w:rsid w:val="005770D4"/>
    <w:rsid w:val="00577E3C"/>
    <w:rsid w:val="00580A86"/>
    <w:rsid w:val="00581D69"/>
    <w:rsid w:val="00582740"/>
    <w:rsid w:val="005904CD"/>
    <w:rsid w:val="0059095F"/>
    <w:rsid w:val="00591802"/>
    <w:rsid w:val="00591904"/>
    <w:rsid w:val="00592271"/>
    <w:rsid w:val="005A02D6"/>
    <w:rsid w:val="005A0BE6"/>
    <w:rsid w:val="005A205E"/>
    <w:rsid w:val="005A31A0"/>
    <w:rsid w:val="005A578D"/>
    <w:rsid w:val="005A6BAC"/>
    <w:rsid w:val="005A7876"/>
    <w:rsid w:val="005B52C6"/>
    <w:rsid w:val="005B657F"/>
    <w:rsid w:val="005B76E0"/>
    <w:rsid w:val="005B7C88"/>
    <w:rsid w:val="005C2AE4"/>
    <w:rsid w:val="005C2B94"/>
    <w:rsid w:val="005C7CED"/>
    <w:rsid w:val="005D0B73"/>
    <w:rsid w:val="005D389C"/>
    <w:rsid w:val="005D3BCB"/>
    <w:rsid w:val="005D4E50"/>
    <w:rsid w:val="005D5C0D"/>
    <w:rsid w:val="005E16D6"/>
    <w:rsid w:val="005F05C4"/>
    <w:rsid w:val="005F100C"/>
    <w:rsid w:val="005F1117"/>
    <w:rsid w:val="005F3390"/>
    <w:rsid w:val="005F5579"/>
    <w:rsid w:val="005F5653"/>
    <w:rsid w:val="005F66EC"/>
    <w:rsid w:val="005F6829"/>
    <w:rsid w:val="005F6EA2"/>
    <w:rsid w:val="00601EAF"/>
    <w:rsid w:val="00605681"/>
    <w:rsid w:val="006076A3"/>
    <w:rsid w:val="00607AF0"/>
    <w:rsid w:val="00611DCD"/>
    <w:rsid w:val="006145CE"/>
    <w:rsid w:val="00614BAC"/>
    <w:rsid w:val="00615677"/>
    <w:rsid w:val="006159B1"/>
    <w:rsid w:val="0061618A"/>
    <w:rsid w:val="006229C6"/>
    <w:rsid w:val="00626D75"/>
    <w:rsid w:val="00630D0B"/>
    <w:rsid w:val="00630D50"/>
    <w:rsid w:val="0063174E"/>
    <w:rsid w:val="00632F8C"/>
    <w:rsid w:val="00636AE2"/>
    <w:rsid w:val="00643ABD"/>
    <w:rsid w:val="006457CC"/>
    <w:rsid w:val="00650B3A"/>
    <w:rsid w:val="006514CE"/>
    <w:rsid w:val="0065303C"/>
    <w:rsid w:val="0065451F"/>
    <w:rsid w:val="00654D44"/>
    <w:rsid w:val="00657549"/>
    <w:rsid w:val="006628EE"/>
    <w:rsid w:val="00662919"/>
    <w:rsid w:val="00665564"/>
    <w:rsid w:val="00670723"/>
    <w:rsid w:val="0067080D"/>
    <w:rsid w:val="006711AD"/>
    <w:rsid w:val="00671631"/>
    <w:rsid w:val="00671C7D"/>
    <w:rsid w:val="0067211C"/>
    <w:rsid w:val="00672387"/>
    <w:rsid w:val="00676B7F"/>
    <w:rsid w:val="00684591"/>
    <w:rsid w:val="0068768C"/>
    <w:rsid w:val="00692290"/>
    <w:rsid w:val="006941A6"/>
    <w:rsid w:val="006A09B8"/>
    <w:rsid w:val="006A18FC"/>
    <w:rsid w:val="006A19B1"/>
    <w:rsid w:val="006A30A5"/>
    <w:rsid w:val="006A5E0B"/>
    <w:rsid w:val="006A75DE"/>
    <w:rsid w:val="006B1AA1"/>
    <w:rsid w:val="006B1D5B"/>
    <w:rsid w:val="006C1628"/>
    <w:rsid w:val="006C2C2B"/>
    <w:rsid w:val="006C4EA8"/>
    <w:rsid w:val="006C6821"/>
    <w:rsid w:val="006D0C51"/>
    <w:rsid w:val="006D23A5"/>
    <w:rsid w:val="006D4EED"/>
    <w:rsid w:val="006D6023"/>
    <w:rsid w:val="006D68C1"/>
    <w:rsid w:val="006D7AB7"/>
    <w:rsid w:val="006D7F60"/>
    <w:rsid w:val="006E1E79"/>
    <w:rsid w:val="006E32BC"/>
    <w:rsid w:val="006E4318"/>
    <w:rsid w:val="006E4AC4"/>
    <w:rsid w:val="006E520D"/>
    <w:rsid w:val="006E5658"/>
    <w:rsid w:val="006E6EF9"/>
    <w:rsid w:val="006F2DF9"/>
    <w:rsid w:val="006F3E0E"/>
    <w:rsid w:val="006F577A"/>
    <w:rsid w:val="006F6AD6"/>
    <w:rsid w:val="006F7548"/>
    <w:rsid w:val="006F7944"/>
    <w:rsid w:val="006F7BD4"/>
    <w:rsid w:val="006F7FC1"/>
    <w:rsid w:val="00700836"/>
    <w:rsid w:val="007030DA"/>
    <w:rsid w:val="00704F15"/>
    <w:rsid w:val="00706C22"/>
    <w:rsid w:val="00707B11"/>
    <w:rsid w:val="00707C13"/>
    <w:rsid w:val="007125E9"/>
    <w:rsid w:val="00712D20"/>
    <w:rsid w:val="00712EA2"/>
    <w:rsid w:val="00714153"/>
    <w:rsid w:val="007158CA"/>
    <w:rsid w:val="007167A6"/>
    <w:rsid w:val="00716B95"/>
    <w:rsid w:val="00720631"/>
    <w:rsid w:val="00720B6F"/>
    <w:rsid w:val="00723C1D"/>
    <w:rsid w:val="0072430E"/>
    <w:rsid w:val="00727349"/>
    <w:rsid w:val="00731B90"/>
    <w:rsid w:val="0073324B"/>
    <w:rsid w:val="00733B20"/>
    <w:rsid w:val="00733B54"/>
    <w:rsid w:val="007342DC"/>
    <w:rsid w:val="007364AA"/>
    <w:rsid w:val="00737251"/>
    <w:rsid w:val="00740E1D"/>
    <w:rsid w:val="0074143B"/>
    <w:rsid w:val="00742F4E"/>
    <w:rsid w:val="00743023"/>
    <w:rsid w:val="007441E0"/>
    <w:rsid w:val="00745767"/>
    <w:rsid w:val="007465DF"/>
    <w:rsid w:val="007505FE"/>
    <w:rsid w:val="00750738"/>
    <w:rsid w:val="0075178D"/>
    <w:rsid w:val="007519C1"/>
    <w:rsid w:val="007519F5"/>
    <w:rsid w:val="0075534F"/>
    <w:rsid w:val="00764455"/>
    <w:rsid w:val="007652D2"/>
    <w:rsid w:val="0076592F"/>
    <w:rsid w:val="007673A9"/>
    <w:rsid w:val="0076768D"/>
    <w:rsid w:val="0076786E"/>
    <w:rsid w:val="00767F36"/>
    <w:rsid w:val="007738A9"/>
    <w:rsid w:val="00773C6B"/>
    <w:rsid w:val="0077428F"/>
    <w:rsid w:val="00774338"/>
    <w:rsid w:val="00774B09"/>
    <w:rsid w:val="0077606A"/>
    <w:rsid w:val="00776A43"/>
    <w:rsid w:val="00780421"/>
    <w:rsid w:val="00781A2D"/>
    <w:rsid w:val="0078304B"/>
    <w:rsid w:val="007834A7"/>
    <w:rsid w:val="00783AD8"/>
    <w:rsid w:val="00783DD9"/>
    <w:rsid w:val="007848C0"/>
    <w:rsid w:val="00784C49"/>
    <w:rsid w:val="007860C4"/>
    <w:rsid w:val="00791552"/>
    <w:rsid w:val="0079647B"/>
    <w:rsid w:val="0079690B"/>
    <w:rsid w:val="007A098F"/>
    <w:rsid w:val="007A2709"/>
    <w:rsid w:val="007A2ACB"/>
    <w:rsid w:val="007A450B"/>
    <w:rsid w:val="007A5247"/>
    <w:rsid w:val="007A79C3"/>
    <w:rsid w:val="007A7C13"/>
    <w:rsid w:val="007B02CD"/>
    <w:rsid w:val="007B0C23"/>
    <w:rsid w:val="007B1E3C"/>
    <w:rsid w:val="007B3290"/>
    <w:rsid w:val="007B4B80"/>
    <w:rsid w:val="007B5A48"/>
    <w:rsid w:val="007C48F0"/>
    <w:rsid w:val="007D1736"/>
    <w:rsid w:val="007D195E"/>
    <w:rsid w:val="007D6604"/>
    <w:rsid w:val="007E0426"/>
    <w:rsid w:val="007E0EF8"/>
    <w:rsid w:val="007E10B9"/>
    <w:rsid w:val="007E28A1"/>
    <w:rsid w:val="007E2D92"/>
    <w:rsid w:val="007E309D"/>
    <w:rsid w:val="007E4F9A"/>
    <w:rsid w:val="007E6786"/>
    <w:rsid w:val="007F30FA"/>
    <w:rsid w:val="007F4A48"/>
    <w:rsid w:val="007F6B62"/>
    <w:rsid w:val="007F7B77"/>
    <w:rsid w:val="00803369"/>
    <w:rsid w:val="00803B2A"/>
    <w:rsid w:val="00805124"/>
    <w:rsid w:val="00806D6E"/>
    <w:rsid w:val="00812433"/>
    <w:rsid w:val="008137B7"/>
    <w:rsid w:val="008142D6"/>
    <w:rsid w:val="0081729F"/>
    <w:rsid w:val="0082097D"/>
    <w:rsid w:val="00821452"/>
    <w:rsid w:val="008227BE"/>
    <w:rsid w:val="008252B6"/>
    <w:rsid w:val="0082768E"/>
    <w:rsid w:val="00831186"/>
    <w:rsid w:val="00833945"/>
    <w:rsid w:val="00835ED7"/>
    <w:rsid w:val="008362C9"/>
    <w:rsid w:val="0083665F"/>
    <w:rsid w:val="00837693"/>
    <w:rsid w:val="008466EB"/>
    <w:rsid w:val="00854CE6"/>
    <w:rsid w:val="008624C5"/>
    <w:rsid w:val="008627B1"/>
    <w:rsid w:val="00863CF6"/>
    <w:rsid w:val="00864D1D"/>
    <w:rsid w:val="00870061"/>
    <w:rsid w:val="008756BD"/>
    <w:rsid w:val="00876B67"/>
    <w:rsid w:val="0088014E"/>
    <w:rsid w:val="00880ADB"/>
    <w:rsid w:val="0088267B"/>
    <w:rsid w:val="00883972"/>
    <w:rsid w:val="008841AF"/>
    <w:rsid w:val="008847CC"/>
    <w:rsid w:val="00884FA4"/>
    <w:rsid w:val="008866EA"/>
    <w:rsid w:val="0089051D"/>
    <w:rsid w:val="0089118A"/>
    <w:rsid w:val="00891BF8"/>
    <w:rsid w:val="00892605"/>
    <w:rsid w:val="008937DE"/>
    <w:rsid w:val="00895232"/>
    <w:rsid w:val="00897DC1"/>
    <w:rsid w:val="008A2597"/>
    <w:rsid w:val="008A74EA"/>
    <w:rsid w:val="008A7EDB"/>
    <w:rsid w:val="008B08C4"/>
    <w:rsid w:val="008B6A30"/>
    <w:rsid w:val="008C053E"/>
    <w:rsid w:val="008C0793"/>
    <w:rsid w:val="008C0FA1"/>
    <w:rsid w:val="008C1101"/>
    <w:rsid w:val="008C1464"/>
    <w:rsid w:val="008C49D9"/>
    <w:rsid w:val="008C693B"/>
    <w:rsid w:val="008C6A84"/>
    <w:rsid w:val="008C72F9"/>
    <w:rsid w:val="008D08BE"/>
    <w:rsid w:val="008D1814"/>
    <w:rsid w:val="008D2E50"/>
    <w:rsid w:val="008D2F3B"/>
    <w:rsid w:val="008D3DCD"/>
    <w:rsid w:val="008D4050"/>
    <w:rsid w:val="008D4526"/>
    <w:rsid w:val="008D6451"/>
    <w:rsid w:val="008D784F"/>
    <w:rsid w:val="008D7E1F"/>
    <w:rsid w:val="008E0AD4"/>
    <w:rsid w:val="008E10A7"/>
    <w:rsid w:val="008E528A"/>
    <w:rsid w:val="008E5CB1"/>
    <w:rsid w:val="008E7718"/>
    <w:rsid w:val="008F0F95"/>
    <w:rsid w:val="008F1321"/>
    <w:rsid w:val="008F185F"/>
    <w:rsid w:val="008F1ACC"/>
    <w:rsid w:val="008F28BA"/>
    <w:rsid w:val="008F373B"/>
    <w:rsid w:val="008F4A0B"/>
    <w:rsid w:val="008F6F32"/>
    <w:rsid w:val="008F71D2"/>
    <w:rsid w:val="0090339D"/>
    <w:rsid w:val="009073CF"/>
    <w:rsid w:val="00907EA6"/>
    <w:rsid w:val="00912C31"/>
    <w:rsid w:val="009154FD"/>
    <w:rsid w:val="0092269E"/>
    <w:rsid w:val="00922F73"/>
    <w:rsid w:val="009234A0"/>
    <w:rsid w:val="0092354D"/>
    <w:rsid w:val="009235A2"/>
    <w:rsid w:val="009249C3"/>
    <w:rsid w:val="00924F0B"/>
    <w:rsid w:val="00927F4A"/>
    <w:rsid w:val="0093008A"/>
    <w:rsid w:val="00932B25"/>
    <w:rsid w:val="00932F9B"/>
    <w:rsid w:val="0093396A"/>
    <w:rsid w:val="009357F8"/>
    <w:rsid w:val="00936238"/>
    <w:rsid w:val="0093654D"/>
    <w:rsid w:val="00936E35"/>
    <w:rsid w:val="009376BD"/>
    <w:rsid w:val="00937C87"/>
    <w:rsid w:val="00941BDF"/>
    <w:rsid w:val="00941BFF"/>
    <w:rsid w:val="00945107"/>
    <w:rsid w:val="00945F5A"/>
    <w:rsid w:val="00946094"/>
    <w:rsid w:val="00950145"/>
    <w:rsid w:val="00953D89"/>
    <w:rsid w:val="00954809"/>
    <w:rsid w:val="0095562B"/>
    <w:rsid w:val="00955F84"/>
    <w:rsid w:val="00960F09"/>
    <w:rsid w:val="00962427"/>
    <w:rsid w:val="00962B75"/>
    <w:rsid w:val="00965FD6"/>
    <w:rsid w:val="00967D87"/>
    <w:rsid w:val="0097145F"/>
    <w:rsid w:val="00971C14"/>
    <w:rsid w:val="0097280B"/>
    <w:rsid w:val="009735F3"/>
    <w:rsid w:val="00975799"/>
    <w:rsid w:val="0098068B"/>
    <w:rsid w:val="0098125B"/>
    <w:rsid w:val="00981533"/>
    <w:rsid w:val="00985506"/>
    <w:rsid w:val="009862D1"/>
    <w:rsid w:val="00986C3E"/>
    <w:rsid w:val="00993C3E"/>
    <w:rsid w:val="009952CD"/>
    <w:rsid w:val="009A3B44"/>
    <w:rsid w:val="009A3E66"/>
    <w:rsid w:val="009A4533"/>
    <w:rsid w:val="009A5935"/>
    <w:rsid w:val="009A73FA"/>
    <w:rsid w:val="009B16AC"/>
    <w:rsid w:val="009B1AEF"/>
    <w:rsid w:val="009B2F82"/>
    <w:rsid w:val="009B446F"/>
    <w:rsid w:val="009B492F"/>
    <w:rsid w:val="009B5AFE"/>
    <w:rsid w:val="009B6248"/>
    <w:rsid w:val="009B6AB5"/>
    <w:rsid w:val="009C09AE"/>
    <w:rsid w:val="009C1116"/>
    <w:rsid w:val="009C1554"/>
    <w:rsid w:val="009C2CAA"/>
    <w:rsid w:val="009C57C2"/>
    <w:rsid w:val="009C5DF3"/>
    <w:rsid w:val="009C7E17"/>
    <w:rsid w:val="009D0114"/>
    <w:rsid w:val="009D0790"/>
    <w:rsid w:val="009D45A7"/>
    <w:rsid w:val="009D5F18"/>
    <w:rsid w:val="009D75ED"/>
    <w:rsid w:val="009E0D64"/>
    <w:rsid w:val="009F77EA"/>
    <w:rsid w:val="00A00042"/>
    <w:rsid w:val="00A031AE"/>
    <w:rsid w:val="00A036EC"/>
    <w:rsid w:val="00A03AE4"/>
    <w:rsid w:val="00A05D29"/>
    <w:rsid w:val="00A07A83"/>
    <w:rsid w:val="00A103AB"/>
    <w:rsid w:val="00A14304"/>
    <w:rsid w:val="00A14CD9"/>
    <w:rsid w:val="00A156F1"/>
    <w:rsid w:val="00A1658C"/>
    <w:rsid w:val="00A16D2E"/>
    <w:rsid w:val="00A17F5C"/>
    <w:rsid w:val="00A205E6"/>
    <w:rsid w:val="00A2599E"/>
    <w:rsid w:val="00A274B3"/>
    <w:rsid w:val="00A32109"/>
    <w:rsid w:val="00A33274"/>
    <w:rsid w:val="00A3513E"/>
    <w:rsid w:val="00A36567"/>
    <w:rsid w:val="00A37256"/>
    <w:rsid w:val="00A40286"/>
    <w:rsid w:val="00A40BA2"/>
    <w:rsid w:val="00A41D5A"/>
    <w:rsid w:val="00A42F49"/>
    <w:rsid w:val="00A44201"/>
    <w:rsid w:val="00A46E2A"/>
    <w:rsid w:val="00A47E5A"/>
    <w:rsid w:val="00A47FAE"/>
    <w:rsid w:val="00A50957"/>
    <w:rsid w:val="00A522D5"/>
    <w:rsid w:val="00A532B0"/>
    <w:rsid w:val="00A537E0"/>
    <w:rsid w:val="00A555F0"/>
    <w:rsid w:val="00A56238"/>
    <w:rsid w:val="00A57848"/>
    <w:rsid w:val="00A57BDF"/>
    <w:rsid w:val="00A60345"/>
    <w:rsid w:val="00A60DE2"/>
    <w:rsid w:val="00A6172E"/>
    <w:rsid w:val="00A633A0"/>
    <w:rsid w:val="00A65C5E"/>
    <w:rsid w:val="00A67A9A"/>
    <w:rsid w:val="00A73D69"/>
    <w:rsid w:val="00A755F0"/>
    <w:rsid w:val="00A75F04"/>
    <w:rsid w:val="00A775CD"/>
    <w:rsid w:val="00A81231"/>
    <w:rsid w:val="00A818D0"/>
    <w:rsid w:val="00A82F7A"/>
    <w:rsid w:val="00A83447"/>
    <w:rsid w:val="00A83D99"/>
    <w:rsid w:val="00A858BE"/>
    <w:rsid w:val="00A90780"/>
    <w:rsid w:val="00A937A9"/>
    <w:rsid w:val="00A9572D"/>
    <w:rsid w:val="00A95FD5"/>
    <w:rsid w:val="00A965AF"/>
    <w:rsid w:val="00A96CBD"/>
    <w:rsid w:val="00AA03F4"/>
    <w:rsid w:val="00AA12D2"/>
    <w:rsid w:val="00AA2D91"/>
    <w:rsid w:val="00AA2FFF"/>
    <w:rsid w:val="00AA4528"/>
    <w:rsid w:val="00AA504B"/>
    <w:rsid w:val="00AA66C7"/>
    <w:rsid w:val="00AA6B6D"/>
    <w:rsid w:val="00AB097D"/>
    <w:rsid w:val="00AB4B1B"/>
    <w:rsid w:val="00AB525B"/>
    <w:rsid w:val="00AB7E44"/>
    <w:rsid w:val="00AC0DE2"/>
    <w:rsid w:val="00AC161A"/>
    <w:rsid w:val="00AC16FB"/>
    <w:rsid w:val="00AC614F"/>
    <w:rsid w:val="00AC7DE1"/>
    <w:rsid w:val="00AD22C5"/>
    <w:rsid w:val="00AD2375"/>
    <w:rsid w:val="00AD27DF"/>
    <w:rsid w:val="00AD4894"/>
    <w:rsid w:val="00AD67D4"/>
    <w:rsid w:val="00AD6ACF"/>
    <w:rsid w:val="00AD78E4"/>
    <w:rsid w:val="00AE2318"/>
    <w:rsid w:val="00AE5254"/>
    <w:rsid w:val="00AE543B"/>
    <w:rsid w:val="00AE757B"/>
    <w:rsid w:val="00AE7B5A"/>
    <w:rsid w:val="00AE7F86"/>
    <w:rsid w:val="00AF1EC9"/>
    <w:rsid w:val="00AF1F3F"/>
    <w:rsid w:val="00AF3448"/>
    <w:rsid w:val="00AF7F6A"/>
    <w:rsid w:val="00B00A45"/>
    <w:rsid w:val="00B03947"/>
    <w:rsid w:val="00B071B2"/>
    <w:rsid w:val="00B14914"/>
    <w:rsid w:val="00B155E0"/>
    <w:rsid w:val="00B164D5"/>
    <w:rsid w:val="00B22D92"/>
    <w:rsid w:val="00B26506"/>
    <w:rsid w:val="00B30D6C"/>
    <w:rsid w:val="00B328ED"/>
    <w:rsid w:val="00B3630D"/>
    <w:rsid w:val="00B402C1"/>
    <w:rsid w:val="00B41260"/>
    <w:rsid w:val="00B4288D"/>
    <w:rsid w:val="00B46B94"/>
    <w:rsid w:val="00B52FE8"/>
    <w:rsid w:val="00B53A18"/>
    <w:rsid w:val="00B55137"/>
    <w:rsid w:val="00B55C42"/>
    <w:rsid w:val="00B62DCA"/>
    <w:rsid w:val="00B6454A"/>
    <w:rsid w:val="00B6656B"/>
    <w:rsid w:val="00B6781B"/>
    <w:rsid w:val="00B705A5"/>
    <w:rsid w:val="00B73A18"/>
    <w:rsid w:val="00B74143"/>
    <w:rsid w:val="00B760BC"/>
    <w:rsid w:val="00B76184"/>
    <w:rsid w:val="00B76CF8"/>
    <w:rsid w:val="00B77251"/>
    <w:rsid w:val="00B804EF"/>
    <w:rsid w:val="00B81D9E"/>
    <w:rsid w:val="00B81DDA"/>
    <w:rsid w:val="00B81FA6"/>
    <w:rsid w:val="00B82B00"/>
    <w:rsid w:val="00B843A7"/>
    <w:rsid w:val="00B866D9"/>
    <w:rsid w:val="00B92BA0"/>
    <w:rsid w:val="00B96246"/>
    <w:rsid w:val="00B968DF"/>
    <w:rsid w:val="00BA160F"/>
    <w:rsid w:val="00BA1819"/>
    <w:rsid w:val="00BA3B9D"/>
    <w:rsid w:val="00BA4F42"/>
    <w:rsid w:val="00BA6BF3"/>
    <w:rsid w:val="00BA750F"/>
    <w:rsid w:val="00BB13AA"/>
    <w:rsid w:val="00BB27F0"/>
    <w:rsid w:val="00BB3278"/>
    <w:rsid w:val="00BB5B0F"/>
    <w:rsid w:val="00BC04CB"/>
    <w:rsid w:val="00BC0C93"/>
    <w:rsid w:val="00BC1DEC"/>
    <w:rsid w:val="00BC1EA0"/>
    <w:rsid w:val="00BC4ADF"/>
    <w:rsid w:val="00BC5A10"/>
    <w:rsid w:val="00BC6527"/>
    <w:rsid w:val="00BC67B4"/>
    <w:rsid w:val="00BC7623"/>
    <w:rsid w:val="00BD0E36"/>
    <w:rsid w:val="00BD466B"/>
    <w:rsid w:val="00BD491D"/>
    <w:rsid w:val="00BD4C27"/>
    <w:rsid w:val="00BD5371"/>
    <w:rsid w:val="00BD554E"/>
    <w:rsid w:val="00BD60BB"/>
    <w:rsid w:val="00BE1D95"/>
    <w:rsid w:val="00BE41AC"/>
    <w:rsid w:val="00BE59DB"/>
    <w:rsid w:val="00BE6E79"/>
    <w:rsid w:val="00BE7D08"/>
    <w:rsid w:val="00BF2A3C"/>
    <w:rsid w:val="00BF63AC"/>
    <w:rsid w:val="00BF70D7"/>
    <w:rsid w:val="00C00DB8"/>
    <w:rsid w:val="00C01C3B"/>
    <w:rsid w:val="00C04AB7"/>
    <w:rsid w:val="00C055EA"/>
    <w:rsid w:val="00C057FF"/>
    <w:rsid w:val="00C07F94"/>
    <w:rsid w:val="00C11E02"/>
    <w:rsid w:val="00C1231D"/>
    <w:rsid w:val="00C1395C"/>
    <w:rsid w:val="00C159E8"/>
    <w:rsid w:val="00C15DD3"/>
    <w:rsid w:val="00C16ABB"/>
    <w:rsid w:val="00C21172"/>
    <w:rsid w:val="00C216FF"/>
    <w:rsid w:val="00C26351"/>
    <w:rsid w:val="00C30C79"/>
    <w:rsid w:val="00C314F4"/>
    <w:rsid w:val="00C31565"/>
    <w:rsid w:val="00C31838"/>
    <w:rsid w:val="00C37E8E"/>
    <w:rsid w:val="00C406A4"/>
    <w:rsid w:val="00C40F12"/>
    <w:rsid w:val="00C41482"/>
    <w:rsid w:val="00C416DB"/>
    <w:rsid w:val="00C42005"/>
    <w:rsid w:val="00C4492C"/>
    <w:rsid w:val="00C501A8"/>
    <w:rsid w:val="00C52064"/>
    <w:rsid w:val="00C52A6A"/>
    <w:rsid w:val="00C53BA5"/>
    <w:rsid w:val="00C53DA6"/>
    <w:rsid w:val="00C56F51"/>
    <w:rsid w:val="00C57C87"/>
    <w:rsid w:val="00C6185A"/>
    <w:rsid w:val="00C63763"/>
    <w:rsid w:val="00C64D8E"/>
    <w:rsid w:val="00C65AA1"/>
    <w:rsid w:val="00C70150"/>
    <w:rsid w:val="00C71C3A"/>
    <w:rsid w:val="00C74E9F"/>
    <w:rsid w:val="00C75284"/>
    <w:rsid w:val="00C80294"/>
    <w:rsid w:val="00C82146"/>
    <w:rsid w:val="00C821E2"/>
    <w:rsid w:val="00C82E2D"/>
    <w:rsid w:val="00C84EA0"/>
    <w:rsid w:val="00C86465"/>
    <w:rsid w:val="00C8767F"/>
    <w:rsid w:val="00C90813"/>
    <w:rsid w:val="00C911C1"/>
    <w:rsid w:val="00C9367D"/>
    <w:rsid w:val="00C940F3"/>
    <w:rsid w:val="00C94849"/>
    <w:rsid w:val="00CA1523"/>
    <w:rsid w:val="00CA181C"/>
    <w:rsid w:val="00CA35E5"/>
    <w:rsid w:val="00CA5E00"/>
    <w:rsid w:val="00CA714F"/>
    <w:rsid w:val="00CA7DCB"/>
    <w:rsid w:val="00CB08CE"/>
    <w:rsid w:val="00CB1808"/>
    <w:rsid w:val="00CB1E5D"/>
    <w:rsid w:val="00CB2127"/>
    <w:rsid w:val="00CB224A"/>
    <w:rsid w:val="00CB422F"/>
    <w:rsid w:val="00CB4427"/>
    <w:rsid w:val="00CB624D"/>
    <w:rsid w:val="00CB6AA7"/>
    <w:rsid w:val="00CB7247"/>
    <w:rsid w:val="00CC086B"/>
    <w:rsid w:val="00CC1A8A"/>
    <w:rsid w:val="00CC4282"/>
    <w:rsid w:val="00CC67EF"/>
    <w:rsid w:val="00CC755F"/>
    <w:rsid w:val="00CD4032"/>
    <w:rsid w:val="00CE00D6"/>
    <w:rsid w:val="00CE0D88"/>
    <w:rsid w:val="00CE2EC4"/>
    <w:rsid w:val="00CE30E6"/>
    <w:rsid w:val="00CE353A"/>
    <w:rsid w:val="00CF0660"/>
    <w:rsid w:val="00CF4C2D"/>
    <w:rsid w:val="00CF4F46"/>
    <w:rsid w:val="00CF5D8B"/>
    <w:rsid w:val="00CF6F15"/>
    <w:rsid w:val="00D0080C"/>
    <w:rsid w:val="00D01228"/>
    <w:rsid w:val="00D0407F"/>
    <w:rsid w:val="00D11517"/>
    <w:rsid w:val="00D12738"/>
    <w:rsid w:val="00D134E6"/>
    <w:rsid w:val="00D14B05"/>
    <w:rsid w:val="00D14C4F"/>
    <w:rsid w:val="00D14DA0"/>
    <w:rsid w:val="00D1520F"/>
    <w:rsid w:val="00D15FB8"/>
    <w:rsid w:val="00D209BA"/>
    <w:rsid w:val="00D2380E"/>
    <w:rsid w:val="00D25500"/>
    <w:rsid w:val="00D31990"/>
    <w:rsid w:val="00D335AC"/>
    <w:rsid w:val="00D33686"/>
    <w:rsid w:val="00D33874"/>
    <w:rsid w:val="00D33888"/>
    <w:rsid w:val="00D3671B"/>
    <w:rsid w:val="00D36C1D"/>
    <w:rsid w:val="00D37166"/>
    <w:rsid w:val="00D3728D"/>
    <w:rsid w:val="00D4005D"/>
    <w:rsid w:val="00D4285C"/>
    <w:rsid w:val="00D43522"/>
    <w:rsid w:val="00D44C43"/>
    <w:rsid w:val="00D44FF4"/>
    <w:rsid w:val="00D459E7"/>
    <w:rsid w:val="00D46334"/>
    <w:rsid w:val="00D504D9"/>
    <w:rsid w:val="00D530C1"/>
    <w:rsid w:val="00D544FC"/>
    <w:rsid w:val="00D54F70"/>
    <w:rsid w:val="00D554D8"/>
    <w:rsid w:val="00D55535"/>
    <w:rsid w:val="00D563DB"/>
    <w:rsid w:val="00D567EC"/>
    <w:rsid w:val="00D60A61"/>
    <w:rsid w:val="00D6257B"/>
    <w:rsid w:val="00D643E0"/>
    <w:rsid w:val="00D64734"/>
    <w:rsid w:val="00D66F1F"/>
    <w:rsid w:val="00D70526"/>
    <w:rsid w:val="00D708C1"/>
    <w:rsid w:val="00D73778"/>
    <w:rsid w:val="00D738DD"/>
    <w:rsid w:val="00D75B39"/>
    <w:rsid w:val="00D76C55"/>
    <w:rsid w:val="00D80C4C"/>
    <w:rsid w:val="00D83627"/>
    <w:rsid w:val="00D861E8"/>
    <w:rsid w:val="00D87575"/>
    <w:rsid w:val="00D913FD"/>
    <w:rsid w:val="00D94753"/>
    <w:rsid w:val="00D96E98"/>
    <w:rsid w:val="00DA4A37"/>
    <w:rsid w:val="00DA4F80"/>
    <w:rsid w:val="00DA6CD2"/>
    <w:rsid w:val="00DB073D"/>
    <w:rsid w:val="00DB26E7"/>
    <w:rsid w:val="00DB78B6"/>
    <w:rsid w:val="00DC06BD"/>
    <w:rsid w:val="00DC0E8D"/>
    <w:rsid w:val="00DC5261"/>
    <w:rsid w:val="00DC59C2"/>
    <w:rsid w:val="00DC6201"/>
    <w:rsid w:val="00DD0FE6"/>
    <w:rsid w:val="00DD23D8"/>
    <w:rsid w:val="00DD2790"/>
    <w:rsid w:val="00DD7275"/>
    <w:rsid w:val="00DE1E7E"/>
    <w:rsid w:val="00DE2B14"/>
    <w:rsid w:val="00DE74F4"/>
    <w:rsid w:val="00DF141B"/>
    <w:rsid w:val="00DF38BF"/>
    <w:rsid w:val="00DF4F94"/>
    <w:rsid w:val="00DF523B"/>
    <w:rsid w:val="00DF5557"/>
    <w:rsid w:val="00E017C4"/>
    <w:rsid w:val="00E07711"/>
    <w:rsid w:val="00E1323F"/>
    <w:rsid w:val="00E13B71"/>
    <w:rsid w:val="00E149B7"/>
    <w:rsid w:val="00E16CD9"/>
    <w:rsid w:val="00E172A2"/>
    <w:rsid w:val="00E177C9"/>
    <w:rsid w:val="00E2425F"/>
    <w:rsid w:val="00E24332"/>
    <w:rsid w:val="00E25892"/>
    <w:rsid w:val="00E27CDB"/>
    <w:rsid w:val="00E3039B"/>
    <w:rsid w:val="00E31E7E"/>
    <w:rsid w:val="00E32461"/>
    <w:rsid w:val="00E32E74"/>
    <w:rsid w:val="00E336E6"/>
    <w:rsid w:val="00E36707"/>
    <w:rsid w:val="00E36E0D"/>
    <w:rsid w:val="00E37305"/>
    <w:rsid w:val="00E4280D"/>
    <w:rsid w:val="00E44260"/>
    <w:rsid w:val="00E44886"/>
    <w:rsid w:val="00E463ED"/>
    <w:rsid w:val="00E47DC7"/>
    <w:rsid w:val="00E54BA2"/>
    <w:rsid w:val="00E54DB4"/>
    <w:rsid w:val="00E56780"/>
    <w:rsid w:val="00E62739"/>
    <w:rsid w:val="00E64851"/>
    <w:rsid w:val="00E71A65"/>
    <w:rsid w:val="00E722B9"/>
    <w:rsid w:val="00E8174F"/>
    <w:rsid w:val="00E852D8"/>
    <w:rsid w:val="00E8659A"/>
    <w:rsid w:val="00E92255"/>
    <w:rsid w:val="00E9472C"/>
    <w:rsid w:val="00E9695E"/>
    <w:rsid w:val="00E96C21"/>
    <w:rsid w:val="00E97758"/>
    <w:rsid w:val="00EA1CFF"/>
    <w:rsid w:val="00EA3FB1"/>
    <w:rsid w:val="00EA4608"/>
    <w:rsid w:val="00EA666C"/>
    <w:rsid w:val="00EB0DBB"/>
    <w:rsid w:val="00EB0DD6"/>
    <w:rsid w:val="00EB0F34"/>
    <w:rsid w:val="00EB169C"/>
    <w:rsid w:val="00EB2665"/>
    <w:rsid w:val="00EB3B23"/>
    <w:rsid w:val="00EB5079"/>
    <w:rsid w:val="00EB6FB1"/>
    <w:rsid w:val="00EB7353"/>
    <w:rsid w:val="00EC1E72"/>
    <w:rsid w:val="00EC2338"/>
    <w:rsid w:val="00EC3B93"/>
    <w:rsid w:val="00EC766D"/>
    <w:rsid w:val="00EC7E00"/>
    <w:rsid w:val="00ED10C8"/>
    <w:rsid w:val="00ED3151"/>
    <w:rsid w:val="00ED41C5"/>
    <w:rsid w:val="00ED4D75"/>
    <w:rsid w:val="00ED6012"/>
    <w:rsid w:val="00EE057C"/>
    <w:rsid w:val="00EE0D6C"/>
    <w:rsid w:val="00EE2614"/>
    <w:rsid w:val="00EE47D0"/>
    <w:rsid w:val="00EE4F4E"/>
    <w:rsid w:val="00EE6F94"/>
    <w:rsid w:val="00EF1EFA"/>
    <w:rsid w:val="00EF3E90"/>
    <w:rsid w:val="00EF5D56"/>
    <w:rsid w:val="00EF6D53"/>
    <w:rsid w:val="00EF7C58"/>
    <w:rsid w:val="00F00414"/>
    <w:rsid w:val="00F0076F"/>
    <w:rsid w:val="00F012EA"/>
    <w:rsid w:val="00F026D5"/>
    <w:rsid w:val="00F032D2"/>
    <w:rsid w:val="00F036EF"/>
    <w:rsid w:val="00F045FD"/>
    <w:rsid w:val="00F07E2A"/>
    <w:rsid w:val="00F10075"/>
    <w:rsid w:val="00F1068E"/>
    <w:rsid w:val="00F10822"/>
    <w:rsid w:val="00F10CFA"/>
    <w:rsid w:val="00F15153"/>
    <w:rsid w:val="00F15192"/>
    <w:rsid w:val="00F17857"/>
    <w:rsid w:val="00F22AC7"/>
    <w:rsid w:val="00F264DD"/>
    <w:rsid w:val="00F3008E"/>
    <w:rsid w:val="00F3125C"/>
    <w:rsid w:val="00F32033"/>
    <w:rsid w:val="00F33A6A"/>
    <w:rsid w:val="00F4084F"/>
    <w:rsid w:val="00F40A7B"/>
    <w:rsid w:val="00F41E30"/>
    <w:rsid w:val="00F44B32"/>
    <w:rsid w:val="00F52285"/>
    <w:rsid w:val="00F525B9"/>
    <w:rsid w:val="00F576B5"/>
    <w:rsid w:val="00F60530"/>
    <w:rsid w:val="00F609F6"/>
    <w:rsid w:val="00F66A27"/>
    <w:rsid w:val="00F67F06"/>
    <w:rsid w:val="00F703DE"/>
    <w:rsid w:val="00F73064"/>
    <w:rsid w:val="00F7400E"/>
    <w:rsid w:val="00F74714"/>
    <w:rsid w:val="00F7482E"/>
    <w:rsid w:val="00F7585B"/>
    <w:rsid w:val="00F7750C"/>
    <w:rsid w:val="00F805AB"/>
    <w:rsid w:val="00F81046"/>
    <w:rsid w:val="00F811AF"/>
    <w:rsid w:val="00F81F92"/>
    <w:rsid w:val="00F839E8"/>
    <w:rsid w:val="00F83E2C"/>
    <w:rsid w:val="00F84359"/>
    <w:rsid w:val="00F8571F"/>
    <w:rsid w:val="00F859DE"/>
    <w:rsid w:val="00F8675B"/>
    <w:rsid w:val="00F86F4A"/>
    <w:rsid w:val="00F87048"/>
    <w:rsid w:val="00F9017E"/>
    <w:rsid w:val="00F90417"/>
    <w:rsid w:val="00F913A3"/>
    <w:rsid w:val="00F937B5"/>
    <w:rsid w:val="00F94269"/>
    <w:rsid w:val="00F95306"/>
    <w:rsid w:val="00F967F6"/>
    <w:rsid w:val="00F96F93"/>
    <w:rsid w:val="00F970F3"/>
    <w:rsid w:val="00FA0D2B"/>
    <w:rsid w:val="00FA33D7"/>
    <w:rsid w:val="00FA4E37"/>
    <w:rsid w:val="00FA767B"/>
    <w:rsid w:val="00FA7AEC"/>
    <w:rsid w:val="00FB014A"/>
    <w:rsid w:val="00FB2250"/>
    <w:rsid w:val="00FB251B"/>
    <w:rsid w:val="00FB3FED"/>
    <w:rsid w:val="00FB59AE"/>
    <w:rsid w:val="00FC2366"/>
    <w:rsid w:val="00FC4915"/>
    <w:rsid w:val="00FC57F6"/>
    <w:rsid w:val="00FC60BA"/>
    <w:rsid w:val="00FC70D8"/>
    <w:rsid w:val="00FD0285"/>
    <w:rsid w:val="00FD172D"/>
    <w:rsid w:val="00FD1CFB"/>
    <w:rsid w:val="00FD1FD0"/>
    <w:rsid w:val="00FD2B0C"/>
    <w:rsid w:val="00FD63BA"/>
    <w:rsid w:val="00FD6CB9"/>
    <w:rsid w:val="00FD7EB5"/>
    <w:rsid w:val="00FE41B9"/>
    <w:rsid w:val="00FE51FF"/>
    <w:rsid w:val="00FE69EC"/>
    <w:rsid w:val="00FE6F61"/>
    <w:rsid w:val="00FE7949"/>
    <w:rsid w:val="00FE7D6E"/>
    <w:rsid w:val="00FF08E7"/>
    <w:rsid w:val="00FF0976"/>
    <w:rsid w:val="00FF1B82"/>
    <w:rsid w:val="00FF1E1B"/>
    <w:rsid w:val="00FF24F2"/>
    <w:rsid w:val="00FF33AF"/>
    <w:rsid w:val="00FF4FD6"/>
    <w:rsid w:val="00FF73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B9C25D"/>
  <w15:docId w15:val="{EF5DE538-CD39-4E14-979B-69CB7755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F73064"/>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A57848"/>
    <w:pPr>
      <w:widowControl w:val="0"/>
      <w:tabs>
        <w:tab w:val="left" w:pos="426"/>
        <w:tab w:val="num" w:pos="850"/>
      </w:tabs>
      <w:adjustRightInd w:val="0"/>
      <w:spacing w:before="360" w:after="24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BC0C93"/>
    <w:pPr>
      <w:keepNext/>
      <w:widowControl w:val="0"/>
      <w:tabs>
        <w:tab w:val="left" w:pos="0"/>
      </w:tabs>
      <w:adjustRightInd w:val="0"/>
      <w:spacing w:before="36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AF7F6A"/>
    <w:pPr>
      <w:tabs>
        <w:tab w:val="left" w:pos="680"/>
        <w:tab w:val="num" w:pos="850"/>
      </w:tabs>
      <w:spacing w:after="120"/>
      <w:ind w:left="850" w:hanging="567"/>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F73064"/>
    <w:rPr>
      <w:rFonts w:ascii="Arial Bold" w:hAnsi="Arial Bold"/>
      <w:b/>
      <w:smallCaps/>
      <w:color w:val="003157"/>
      <w:sz w:val="36"/>
    </w:rPr>
  </w:style>
  <w:style w:type="character" w:customStyle="1" w:styleId="Heading2Char">
    <w:name w:val="Heading 2 Char"/>
    <w:basedOn w:val="DefaultParagraphFont"/>
    <w:link w:val="Heading2"/>
    <w:rsid w:val="00A57848"/>
    <w:rPr>
      <w:rFonts w:ascii="Arial Bold" w:hAnsi="Arial Bold"/>
      <w:b/>
      <w:smallCaps/>
      <w:color w:val="003157"/>
      <w:sz w:val="32"/>
    </w:rPr>
  </w:style>
  <w:style w:type="character" w:customStyle="1" w:styleId="Heading3Char">
    <w:name w:val="Heading 3 Char"/>
    <w:basedOn w:val="DefaultParagraphFont"/>
    <w:link w:val="Heading3"/>
    <w:rsid w:val="00BC0C93"/>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AF7F6A"/>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3"/>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2"/>
      </w:numPr>
    </w:pPr>
  </w:style>
  <w:style w:type="paragraph" w:customStyle="1" w:styleId="BoxDash">
    <w:name w:val="Box Dash"/>
    <w:basedOn w:val="Normal"/>
    <w:rsid w:val="005F5653"/>
    <w:pPr>
      <w:numPr>
        <w:ilvl w:val="1"/>
        <w:numId w:val="2"/>
      </w:numPr>
    </w:pPr>
  </w:style>
  <w:style w:type="paragraph" w:customStyle="1" w:styleId="BoxDoubleDot">
    <w:name w:val="Box Double Dot"/>
    <w:basedOn w:val="BoxTextBase"/>
    <w:rsid w:val="005F5653"/>
    <w:pPr>
      <w:numPr>
        <w:ilvl w:val="2"/>
        <w:numId w:val="2"/>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link w:val="BulletChar"/>
    <w:rsid w:val="00F73064"/>
    <w:pPr>
      <w:keepNext/>
      <w:numPr>
        <w:numId w:val="19"/>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link w:val="DashChar"/>
    <w:rsid w:val="00F73064"/>
    <w:pPr>
      <w:numPr>
        <w:ilvl w:val="1"/>
        <w:numId w:val="19"/>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style>
  <w:style w:type="character" w:styleId="FootnoteReference">
    <w:name w:val="footnote reference"/>
    <w:basedOn w:val="DefaultParagraphFont"/>
    <w:uiPriority w:val="99"/>
    <w:rsid w:val="00F73064"/>
    <w:rPr>
      <w:vertAlign w:val="superscript"/>
    </w:rPr>
  </w:style>
  <w:style w:type="paragraph" w:styleId="FootnoteText">
    <w:name w:val="footnote text"/>
    <w:basedOn w:val="Normal"/>
    <w:link w:val="FootnoteTextChar"/>
    <w:uiPriority w:val="99"/>
    <w:rsid w:val="006E4AC4"/>
    <w:pPr>
      <w:tabs>
        <w:tab w:val="left" w:pos="567"/>
      </w:tabs>
      <w:spacing w:after="0"/>
      <w:ind w:left="340" w:hanging="340"/>
      <w:jc w:val="both"/>
    </w:pPr>
    <w:rPr>
      <w:sz w:val="20"/>
      <w:szCs w:val="20"/>
    </w:rPr>
  </w:style>
  <w:style w:type="character" w:customStyle="1" w:styleId="FootnoteTextChar">
    <w:name w:val="Footnote Text Char"/>
    <w:basedOn w:val="DefaultParagraphFont"/>
    <w:link w:val="FootnoteText"/>
    <w:uiPriority w:val="99"/>
    <w:rsid w:val="006E4AC4"/>
    <w:rPr>
      <w:rFonts w:ascii="Calibri" w:hAnsi="Calibri"/>
      <w:color w:val="000000" w:themeColor="text1"/>
      <w:sz w:val="20"/>
      <w:szCs w:val="20"/>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uiPriority w:val="99"/>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9"/>
      </w:numPr>
    </w:pPr>
  </w:style>
  <w:style w:type="paragraph" w:customStyle="1" w:styleId="OneLevelNumberedParagraph">
    <w:name w:val="One Level Numbered Paragraph"/>
    <w:basedOn w:val="Normal"/>
    <w:rsid w:val="003E0E7B"/>
    <w:pPr>
      <w:numPr>
        <w:numId w:val="8"/>
      </w:numPr>
    </w:pPr>
  </w:style>
  <w:style w:type="paragraph" w:customStyle="1" w:styleId="OutlineNumbered2">
    <w:name w:val="Outline Numbered 2"/>
    <w:basedOn w:val="Normal"/>
    <w:rsid w:val="003E0E7B"/>
    <w:pPr>
      <w:numPr>
        <w:ilvl w:val="1"/>
        <w:numId w:val="9"/>
      </w:numPr>
    </w:pPr>
  </w:style>
  <w:style w:type="paragraph" w:customStyle="1" w:styleId="OutlineNumbered3">
    <w:name w:val="Outline Numbered 3"/>
    <w:basedOn w:val="Normal"/>
    <w:rsid w:val="003E0E7B"/>
    <w:pPr>
      <w:numPr>
        <w:ilvl w:val="2"/>
        <w:numId w:val="9"/>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10"/>
      </w:numPr>
    </w:pPr>
  </w:style>
  <w:style w:type="paragraph" w:customStyle="1" w:styleId="RecommendationDash">
    <w:name w:val="Recommendation Dash"/>
    <w:basedOn w:val="RecommendationTextBase"/>
    <w:rsid w:val="00301A52"/>
    <w:pPr>
      <w:numPr>
        <w:ilvl w:val="1"/>
        <w:numId w:val="10"/>
      </w:numPr>
    </w:pPr>
  </w:style>
  <w:style w:type="paragraph" w:customStyle="1" w:styleId="RecommendationDoubleDot">
    <w:name w:val="Recommendation Double Dot"/>
    <w:basedOn w:val="RecommendationTextBase"/>
    <w:rsid w:val="00301A52"/>
    <w:pPr>
      <w:numPr>
        <w:ilvl w:val="2"/>
        <w:numId w:val="10"/>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11"/>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2"/>
      </w:numPr>
    </w:pPr>
  </w:style>
  <w:style w:type="numbering" w:customStyle="1" w:styleId="AlphaParagraphList">
    <w:name w:val="Alpha Paragraph List"/>
    <w:uiPriority w:val="99"/>
    <w:rsid w:val="009D0790"/>
    <w:pPr>
      <w:numPr>
        <w:numId w:val="3"/>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12"/>
      </w:numPr>
    </w:pPr>
  </w:style>
  <w:style w:type="paragraph" w:customStyle="1" w:styleId="TableTextBullet">
    <w:name w:val="Table Text Bullet"/>
    <w:basedOn w:val="TableTextBase"/>
    <w:rsid w:val="002271BB"/>
    <w:pPr>
      <w:numPr>
        <w:numId w:val="15"/>
      </w:numPr>
    </w:pPr>
  </w:style>
  <w:style w:type="numbering" w:customStyle="1" w:styleId="TableTestBulletList">
    <w:name w:val="Table Test Bullet List"/>
    <w:uiPriority w:val="99"/>
    <w:rsid w:val="00E177C9"/>
    <w:pPr>
      <w:numPr>
        <w:numId w:val="13"/>
      </w:numPr>
    </w:pPr>
  </w:style>
  <w:style w:type="numbering" w:customStyle="1" w:styleId="TableTextBulletList">
    <w:name w:val="Table Text Bullet List"/>
    <w:uiPriority w:val="99"/>
    <w:rsid w:val="005F3390"/>
    <w:pPr>
      <w:numPr>
        <w:numId w:val="14"/>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457AC1"/>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457AC1"/>
    <w:rPr>
      <w:rFonts w:ascii="Arial Bold" w:hAnsi="Arial Bold"/>
      <w:b/>
      <w:smallCaps/>
      <w:color w:val="003157"/>
      <w:kern w:val="28"/>
      <w:sz w:val="56"/>
    </w:rPr>
  </w:style>
  <w:style w:type="paragraph" w:styleId="Subtitle">
    <w:name w:val="Subtitle"/>
    <w:basedOn w:val="HeadingBaseStyle"/>
    <w:link w:val="SubtitleChar"/>
    <w:qFormat/>
    <w:rsid w:val="00F73064"/>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F73064"/>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6"/>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17"/>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17"/>
      </w:numPr>
    </w:pPr>
  </w:style>
  <w:style w:type="paragraph" w:customStyle="1" w:styleId="AppendixHeadingLevel4">
    <w:name w:val="Appendix Heading Level 4"/>
    <w:basedOn w:val="Heading4"/>
    <w:next w:val="Normal"/>
    <w:rsid w:val="00F73064"/>
    <w:pPr>
      <w:numPr>
        <w:ilvl w:val="3"/>
        <w:numId w:val="17"/>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18"/>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20"/>
      </w:numPr>
      <w:spacing w:before="40" w:after="40"/>
    </w:pPr>
    <w:rPr>
      <w:rFonts w:ascii="Arial" w:hAnsi="Arial"/>
      <w:sz w:val="18"/>
    </w:rPr>
  </w:style>
  <w:style w:type="paragraph" w:customStyle="1" w:styleId="Heading2NotNumbered">
    <w:name w:val="Heading 2 Not Numbered"/>
    <w:basedOn w:val="Heading2"/>
    <w:rsid w:val="00F73064"/>
    <w:pPr>
      <w:tabs>
        <w:tab w:val="clear" w:pos="850"/>
      </w:tabs>
    </w:pPr>
  </w:style>
  <w:style w:type="paragraph" w:customStyle="1" w:styleId="Heading3NotNumbered">
    <w:name w:val="Heading 3 Not Numbered"/>
    <w:basedOn w:val="Heading4"/>
    <w:rsid w:val="00F73064"/>
    <w:pPr>
      <w:tabs>
        <w:tab w:val="clear" w:pos="850"/>
      </w:tabs>
      <w:ind w:left="0" w:firstLine="0"/>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22"/>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0E7CDB"/>
    <w:pPr>
      <w:spacing w:after="20"/>
      <w:ind w:right="-113"/>
      <w:jc w:val="center"/>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character" w:customStyle="1" w:styleId="BulletChar">
    <w:name w:val="Bullet Char"/>
    <w:basedOn w:val="DefaultParagraphFont"/>
    <w:link w:val="Bullet"/>
    <w:rsid w:val="00FF0976"/>
    <w:rPr>
      <w:rFonts w:ascii="Calibri" w:hAnsi="Calibri"/>
      <w:color w:val="000000" w:themeColor="text1"/>
    </w:rPr>
  </w:style>
  <w:style w:type="character" w:customStyle="1" w:styleId="DashChar">
    <w:name w:val="Dash Char"/>
    <w:basedOn w:val="DefaultParagraphFont"/>
    <w:link w:val="Dash"/>
    <w:rsid w:val="00FF0976"/>
    <w:rPr>
      <w:rFonts w:ascii="Calibri" w:hAnsi="Calibri"/>
      <w:color w:val="000000" w:themeColor="text1"/>
    </w:rPr>
  </w:style>
  <w:style w:type="paragraph" w:customStyle="1" w:styleId="Chartheading">
    <w:name w:val="Chart heading"/>
    <w:basedOn w:val="Normal"/>
    <w:qFormat/>
    <w:rsid w:val="007F7B77"/>
    <w:pPr>
      <w:spacing w:after="120"/>
    </w:pPr>
    <w:rPr>
      <w:rFonts w:ascii="Rockwell" w:hAnsi="Rockwell" w:cs="Times New Roman"/>
      <w:color w:val="1F497D" w:themeColor="text2"/>
      <w:sz w:val="24"/>
      <w:szCs w:val="20"/>
    </w:rPr>
  </w:style>
  <w:style w:type="paragraph" w:customStyle="1" w:styleId="Chartnote">
    <w:name w:val="Chart note"/>
    <w:basedOn w:val="Normal"/>
    <w:qFormat/>
    <w:rsid w:val="007F7B77"/>
    <w:pPr>
      <w:spacing w:after="120"/>
    </w:pPr>
    <w:rPr>
      <w:rFonts w:cs="Times New Roman"/>
      <w:color w:val="auto"/>
      <w:sz w:val="18"/>
      <w:szCs w:val="20"/>
    </w:rPr>
  </w:style>
  <w:style w:type="paragraph" w:styleId="ListParagraph">
    <w:name w:val="List Paragraph"/>
    <w:basedOn w:val="Normal"/>
    <w:uiPriority w:val="34"/>
    <w:qFormat/>
    <w:rsid w:val="004B2374"/>
    <w:pPr>
      <w:spacing w:after="0"/>
      <w:ind w:left="720"/>
    </w:pPr>
    <w:rPr>
      <w:rFonts w:cs="Calibri"/>
      <w:color w:val="auto"/>
    </w:rPr>
  </w:style>
  <w:style w:type="paragraph" w:styleId="Revision">
    <w:name w:val="Revision"/>
    <w:hidden/>
    <w:uiPriority w:val="99"/>
    <w:semiHidden/>
    <w:rsid w:val="00C159E8"/>
    <w:pPr>
      <w:spacing w:after="0" w:line="240" w:lineRule="auto"/>
    </w:pPr>
    <w:rPr>
      <w:rFonts w:ascii="Calibri" w:hAnsi="Calibri"/>
      <w:color w:val="000000" w:themeColor="text1"/>
    </w:rPr>
  </w:style>
  <w:style w:type="character" w:styleId="HTMLCite">
    <w:name w:val="HTML Cite"/>
    <w:basedOn w:val="DefaultParagraphFont"/>
    <w:uiPriority w:val="99"/>
    <w:semiHidden/>
    <w:unhideWhenUsed/>
    <w:rsid w:val="00D209BA"/>
    <w:rPr>
      <w:i/>
      <w:iCs/>
      <w:vanish w:val="0"/>
      <w:webHidden w:val="0"/>
      <w:color w:val="696969"/>
      <w:specVanish w:val="0"/>
    </w:rPr>
  </w:style>
  <w:style w:type="paragraph" w:customStyle="1" w:styleId="Chartgraphi">
    <w:name w:val="Chart graphi"/>
    <w:basedOn w:val="Chartnote"/>
    <w:rsid w:val="000E7CDB"/>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34118">
      <w:bodyDiv w:val="1"/>
      <w:marLeft w:val="0"/>
      <w:marRight w:val="0"/>
      <w:marTop w:val="0"/>
      <w:marBottom w:val="0"/>
      <w:divBdr>
        <w:top w:val="none" w:sz="0" w:space="0" w:color="auto"/>
        <w:left w:val="none" w:sz="0" w:space="0" w:color="auto"/>
        <w:bottom w:val="none" w:sz="0" w:space="0" w:color="auto"/>
        <w:right w:val="none" w:sz="0" w:space="0" w:color="auto"/>
      </w:divBdr>
    </w:div>
    <w:div w:id="440686153">
      <w:bodyDiv w:val="1"/>
      <w:marLeft w:val="0"/>
      <w:marRight w:val="0"/>
      <w:marTop w:val="0"/>
      <w:marBottom w:val="0"/>
      <w:divBdr>
        <w:top w:val="none" w:sz="0" w:space="0" w:color="auto"/>
        <w:left w:val="none" w:sz="0" w:space="0" w:color="auto"/>
        <w:bottom w:val="none" w:sz="0" w:space="0" w:color="auto"/>
        <w:right w:val="none" w:sz="0" w:space="0" w:color="auto"/>
      </w:divBdr>
      <w:divsChild>
        <w:div w:id="1935822514">
          <w:marLeft w:val="0"/>
          <w:marRight w:val="0"/>
          <w:marTop w:val="0"/>
          <w:marBottom w:val="0"/>
          <w:divBdr>
            <w:top w:val="none" w:sz="0" w:space="0" w:color="auto"/>
            <w:left w:val="none" w:sz="0" w:space="0" w:color="auto"/>
            <w:bottom w:val="none" w:sz="0" w:space="0" w:color="auto"/>
            <w:right w:val="none" w:sz="0" w:space="0" w:color="auto"/>
          </w:divBdr>
          <w:divsChild>
            <w:div w:id="1216313349">
              <w:marLeft w:val="0"/>
              <w:marRight w:val="0"/>
              <w:marTop w:val="0"/>
              <w:marBottom w:val="0"/>
              <w:divBdr>
                <w:top w:val="none" w:sz="0" w:space="0" w:color="auto"/>
                <w:left w:val="none" w:sz="0" w:space="0" w:color="auto"/>
                <w:bottom w:val="none" w:sz="0" w:space="0" w:color="auto"/>
                <w:right w:val="none" w:sz="0" w:space="0" w:color="auto"/>
              </w:divBdr>
              <w:divsChild>
                <w:div w:id="1198422480">
                  <w:marLeft w:val="0"/>
                  <w:marRight w:val="0"/>
                  <w:marTop w:val="0"/>
                  <w:marBottom w:val="0"/>
                  <w:divBdr>
                    <w:top w:val="none" w:sz="0" w:space="0" w:color="auto"/>
                    <w:left w:val="none" w:sz="0" w:space="0" w:color="auto"/>
                    <w:bottom w:val="none" w:sz="0" w:space="0" w:color="auto"/>
                    <w:right w:val="none" w:sz="0" w:space="0" w:color="auto"/>
                  </w:divBdr>
                  <w:divsChild>
                    <w:div w:id="714425671">
                      <w:marLeft w:val="0"/>
                      <w:marRight w:val="0"/>
                      <w:marTop w:val="0"/>
                      <w:marBottom w:val="0"/>
                      <w:divBdr>
                        <w:top w:val="none" w:sz="0" w:space="0" w:color="auto"/>
                        <w:left w:val="none" w:sz="0" w:space="0" w:color="auto"/>
                        <w:bottom w:val="none" w:sz="0" w:space="0" w:color="auto"/>
                        <w:right w:val="none" w:sz="0" w:space="0" w:color="auto"/>
                      </w:divBdr>
                      <w:divsChild>
                        <w:div w:id="12965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769550">
      <w:bodyDiv w:val="1"/>
      <w:marLeft w:val="0"/>
      <w:marRight w:val="0"/>
      <w:marTop w:val="0"/>
      <w:marBottom w:val="0"/>
      <w:divBdr>
        <w:top w:val="none" w:sz="0" w:space="0" w:color="auto"/>
        <w:left w:val="none" w:sz="0" w:space="0" w:color="auto"/>
        <w:bottom w:val="none" w:sz="0" w:space="0" w:color="auto"/>
        <w:right w:val="none" w:sz="0" w:space="0" w:color="auto"/>
      </w:divBdr>
    </w:div>
    <w:div w:id="702825999">
      <w:bodyDiv w:val="1"/>
      <w:marLeft w:val="0"/>
      <w:marRight w:val="0"/>
      <w:marTop w:val="0"/>
      <w:marBottom w:val="0"/>
      <w:divBdr>
        <w:top w:val="none" w:sz="0" w:space="0" w:color="auto"/>
        <w:left w:val="none" w:sz="0" w:space="0" w:color="auto"/>
        <w:bottom w:val="none" w:sz="0" w:space="0" w:color="auto"/>
        <w:right w:val="none" w:sz="0" w:space="0" w:color="auto"/>
      </w:divBdr>
    </w:div>
    <w:div w:id="902907415">
      <w:bodyDiv w:val="1"/>
      <w:marLeft w:val="0"/>
      <w:marRight w:val="0"/>
      <w:marTop w:val="0"/>
      <w:marBottom w:val="0"/>
      <w:divBdr>
        <w:top w:val="none" w:sz="0" w:space="0" w:color="auto"/>
        <w:left w:val="none" w:sz="0" w:space="0" w:color="auto"/>
        <w:bottom w:val="none" w:sz="0" w:space="0" w:color="auto"/>
        <w:right w:val="none" w:sz="0" w:space="0" w:color="auto"/>
      </w:divBdr>
      <w:divsChild>
        <w:div w:id="136803681">
          <w:marLeft w:val="0"/>
          <w:marRight w:val="0"/>
          <w:marTop w:val="0"/>
          <w:marBottom w:val="0"/>
          <w:divBdr>
            <w:top w:val="none" w:sz="0" w:space="0" w:color="auto"/>
            <w:left w:val="none" w:sz="0" w:space="0" w:color="auto"/>
            <w:bottom w:val="none" w:sz="0" w:space="0" w:color="auto"/>
            <w:right w:val="none" w:sz="0" w:space="0" w:color="auto"/>
          </w:divBdr>
          <w:divsChild>
            <w:div w:id="1565291425">
              <w:marLeft w:val="0"/>
              <w:marRight w:val="0"/>
              <w:marTop w:val="0"/>
              <w:marBottom w:val="0"/>
              <w:divBdr>
                <w:top w:val="none" w:sz="0" w:space="0" w:color="auto"/>
                <w:left w:val="none" w:sz="0" w:space="0" w:color="auto"/>
                <w:bottom w:val="none" w:sz="0" w:space="0" w:color="auto"/>
                <w:right w:val="none" w:sz="0" w:space="0" w:color="auto"/>
              </w:divBdr>
              <w:divsChild>
                <w:div w:id="1007946401">
                  <w:marLeft w:val="0"/>
                  <w:marRight w:val="0"/>
                  <w:marTop w:val="0"/>
                  <w:marBottom w:val="0"/>
                  <w:divBdr>
                    <w:top w:val="none" w:sz="0" w:space="0" w:color="auto"/>
                    <w:left w:val="none" w:sz="0" w:space="0" w:color="auto"/>
                    <w:bottom w:val="none" w:sz="0" w:space="0" w:color="auto"/>
                    <w:right w:val="none" w:sz="0" w:space="0" w:color="auto"/>
                  </w:divBdr>
                  <w:divsChild>
                    <w:div w:id="182326678">
                      <w:marLeft w:val="0"/>
                      <w:marRight w:val="0"/>
                      <w:marTop w:val="0"/>
                      <w:marBottom w:val="0"/>
                      <w:divBdr>
                        <w:top w:val="none" w:sz="0" w:space="0" w:color="auto"/>
                        <w:left w:val="none" w:sz="0" w:space="0" w:color="auto"/>
                        <w:bottom w:val="none" w:sz="0" w:space="0" w:color="auto"/>
                        <w:right w:val="none" w:sz="0" w:space="0" w:color="auto"/>
                      </w:divBdr>
                      <w:divsChild>
                        <w:div w:id="7460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252698">
      <w:bodyDiv w:val="1"/>
      <w:marLeft w:val="0"/>
      <w:marRight w:val="0"/>
      <w:marTop w:val="0"/>
      <w:marBottom w:val="0"/>
      <w:divBdr>
        <w:top w:val="none" w:sz="0" w:space="0" w:color="auto"/>
        <w:left w:val="none" w:sz="0" w:space="0" w:color="auto"/>
        <w:bottom w:val="none" w:sz="0" w:space="0" w:color="auto"/>
        <w:right w:val="none" w:sz="0" w:space="0" w:color="auto"/>
      </w:divBdr>
    </w:div>
    <w:div w:id="959532445">
      <w:bodyDiv w:val="1"/>
      <w:marLeft w:val="0"/>
      <w:marRight w:val="0"/>
      <w:marTop w:val="0"/>
      <w:marBottom w:val="0"/>
      <w:divBdr>
        <w:top w:val="none" w:sz="0" w:space="0" w:color="auto"/>
        <w:left w:val="none" w:sz="0" w:space="0" w:color="auto"/>
        <w:bottom w:val="none" w:sz="0" w:space="0" w:color="auto"/>
        <w:right w:val="none" w:sz="0" w:space="0" w:color="auto"/>
      </w:divBdr>
    </w:div>
    <w:div w:id="1022516633">
      <w:bodyDiv w:val="1"/>
      <w:marLeft w:val="0"/>
      <w:marRight w:val="0"/>
      <w:marTop w:val="0"/>
      <w:marBottom w:val="0"/>
      <w:divBdr>
        <w:top w:val="none" w:sz="0" w:space="0" w:color="auto"/>
        <w:left w:val="none" w:sz="0" w:space="0" w:color="auto"/>
        <w:bottom w:val="none" w:sz="0" w:space="0" w:color="auto"/>
        <w:right w:val="none" w:sz="0" w:space="0" w:color="auto"/>
      </w:divBdr>
    </w:div>
    <w:div w:id="1259096846">
      <w:bodyDiv w:val="1"/>
      <w:marLeft w:val="0"/>
      <w:marRight w:val="0"/>
      <w:marTop w:val="0"/>
      <w:marBottom w:val="0"/>
      <w:divBdr>
        <w:top w:val="none" w:sz="0" w:space="0" w:color="auto"/>
        <w:left w:val="none" w:sz="0" w:space="0" w:color="auto"/>
        <w:bottom w:val="none" w:sz="0" w:space="0" w:color="auto"/>
        <w:right w:val="none" w:sz="0" w:space="0" w:color="auto"/>
      </w:divBdr>
      <w:divsChild>
        <w:div w:id="197476021">
          <w:marLeft w:val="0"/>
          <w:marRight w:val="0"/>
          <w:marTop w:val="0"/>
          <w:marBottom w:val="0"/>
          <w:divBdr>
            <w:top w:val="none" w:sz="0" w:space="0" w:color="auto"/>
            <w:left w:val="none" w:sz="0" w:space="0" w:color="auto"/>
            <w:bottom w:val="none" w:sz="0" w:space="0" w:color="auto"/>
            <w:right w:val="none" w:sz="0" w:space="0" w:color="auto"/>
          </w:divBdr>
          <w:divsChild>
            <w:div w:id="1329364604">
              <w:marLeft w:val="0"/>
              <w:marRight w:val="0"/>
              <w:marTop w:val="0"/>
              <w:marBottom w:val="0"/>
              <w:divBdr>
                <w:top w:val="none" w:sz="0" w:space="0" w:color="auto"/>
                <w:left w:val="none" w:sz="0" w:space="0" w:color="auto"/>
                <w:bottom w:val="none" w:sz="0" w:space="0" w:color="auto"/>
                <w:right w:val="none" w:sz="0" w:space="0" w:color="auto"/>
              </w:divBdr>
              <w:divsChild>
                <w:div w:id="601255839">
                  <w:marLeft w:val="0"/>
                  <w:marRight w:val="0"/>
                  <w:marTop w:val="0"/>
                  <w:marBottom w:val="0"/>
                  <w:divBdr>
                    <w:top w:val="none" w:sz="0" w:space="0" w:color="auto"/>
                    <w:left w:val="none" w:sz="0" w:space="0" w:color="auto"/>
                    <w:bottom w:val="none" w:sz="0" w:space="0" w:color="auto"/>
                    <w:right w:val="none" w:sz="0" w:space="0" w:color="auto"/>
                  </w:divBdr>
                  <w:divsChild>
                    <w:div w:id="1875577167">
                      <w:marLeft w:val="0"/>
                      <w:marRight w:val="0"/>
                      <w:marTop w:val="0"/>
                      <w:marBottom w:val="0"/>
                      <w:divBdr>
                        <w:top w:val="none" w:sz="0" w:space="0" w:color="auto"/>
                        <w:left w:val="none" w:sz="0" w:space="0" w:color="auto"/>
                        <w:bottom w:val="none" w:sz="0" w:space="0" w:color="auto"/>
                        <w:right w:val="none" w:sz="0" w:space="0" w:color="auto"/>
                      </w:divBdr>
                      <w:divsChild>
                        <w:div w:id="1817725186">
                          <w:marLeft w:val="0"/>
                          <w:marRight w:val="0"/>
                          <w:marTop w:val="0"/>
                          <w:marBottom w:val="0"/>
                          <w:divBdr>
                            <w:top w:val="none" w:sz="0" w:space="0" w:color="auto"/>
                            <w:left w:val="none" w:sz="0" w:space="0" w:color="auto"/>
                            <w:bottom w:val="none" w:sz="0" w:space="0" w:color="auto"/>
                            <w:right w:val="none" w:sz="0" w:space="0" w:color="auto"/>
                          </w:divBdr>
                          <w:divsChild>
                            <w:div w:id="1691177979">
                              <w:marLeft w:val="0"/>
                              <w:marRight w:val="0"/>
                              <w:marTop w:val="0"/>
                              <w:marBottom w:val="0"/>
                              <w:divBdr>
                                <w:top w:val="none" w:sz="0" w:space="0" w:color="auto"/>
                                <w:left w:val="none" w:sz="0" w:space="0" w:color="auto"/>
                                <w:bottom w:val="none" w:sz="0" w:space="0" w:color="auto"/>
                                <w:right w:val="none" w:sz="0" w:space="0" w:color="auto"/>
                              </w:divBdr>
                              <w:divsChild>
                                <w:div w:id="1603686742">
                                  <w:marLeft w:val="0"/>
                                  <w:marRight w:val="0"/>
                                  <w:marTop w:val="0"/>
                                  <w:marBottom w:val="0"/>
                                  <w:divBdr>
                                    <w:top w:val="none" w:sz="0" w:space="0" w:color="auto"/>
                                    <w:left w:val="none" w:sz="0" w:space="0" w:color="auto"/>
                                    <w:bottom w:val="none" w:sz="0" w:space="0" w:color="auto"/>
                                    <w:right w:val="none" w:sz="0" w:space="0" w:color="auto"/>
                                  </w:divBdr>
                                  <w:divsChild>
                                    <w:div w:id="491944150">
                                      <w:marLeft w:val="0"/>
                                      <w:marRight w:val="0"/>
                                      <w:marTop w:val="0"/>
                                      <w:marBottom w:val="0"/>
                                      <w:divBdr>
                                        <w:top w:val="none" w:sz="0" w:space="0" w:color="auto"/>
                                        <w:left w:val="none" w:sz="0" w:space="0" w:color="auto"/>
                                        <w:bottom w:val="none" w:sz="0" w:space="0" w:color="auto"/>
                                        <w:right w:val="none" w:sz="0" w:space="0" w:color="auto"/>
                                      </w:divBdr>
                                      <w:divsChild>
                                        <w:div w:id="1292401097">
                                          <w:marLeft w:val="0"/>
                                          <w:marRight w:val="0"/>
                                          <w:marTop w:val="0"/>
                                          <w:marBottom w:val="0"/>
                                          <w:divBdr>
                                            <w:top w:val="none" w:sz="0" w:space="0" w:color="auto"/>
                                            <w:left w:val="none" w:sz="0" w:space="0" w:color="auto"/>
                                            <w:bottom w:val="none" w:sz="0" w:space="0" w:color="auto"/>
                                            <w:right w:val="none" w:sz="0" w:space="0" w:color="auto"/>
                                          </w:divBdr>
                                        </w:div>
                                        <w:div w:id="909079735">
                                          <w:marLeft w:val="0"/>
                                          <w:marRight w:val="0"/>
                                          <w:marTop w:val="0"/>
                                          <w:marBottom w:val="0"/>
                                          <w:divBdr>
                                            <w:top w:val="none" w:sz="0" w:space="0" w:color="auto"/>
                                            <w:left w:val="none" w:sz="0" w:space="0" w:color="auto"/>
                                            <w:bottom w:val="none" w:sz="0" w:space="0" w:color="auto"/>
                                            <w:right w:val="none" w:sz="0" w:space="0" w:color="auto"/>
                                          </w:divBdr>
                                        </w:div>
                                        <w:div w:id="8201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397436">
      <w:bodyDiv w:val="1"/>
      <w:marLeft w:val="0"/>
      <w:marRight w:val="0"/>
      <w:marTop w:val="0"/>
      <w:marBottom w:val="0"/>
      <w:divBdr>
        <w:top w:val="none" w:sz="0" w:space="0" w:color="auto"/>
        <w:left w:val="none" w:sz="0" w:space="0" w:color="auto"/>
        <w:bottom w:val="none" w:sz="0" w:space="0" w:color="auto"/>
        <w:right w:val="none" w:sz="0" w:space="0" w:color="auto"/>
      </w:divBdr>
    </w:div>
    <w:div w:id="1361860779">
      <w:bodyDiv w:val="1"/>
      <w:marLeft w:val="0"/>
      <w:marRight w:val="0"/>
      <w:marTop w:val="0"/>
      <w:marBottom w:val="0"/>
      <w:divBdr>
        <w:top w:val="none" w:sz="0" w:space="0" w:color="auto"/>
        <w:left w:val="none" w:sz="0" w:space="0" w:color="auto"/>
        <w:bottom w:val="none" w:sz="0" w:space="0" w:color="auto"/>
        <w:right w:val="none" w:sz="0" w:space="0" w:color="auto"/>
      </w:divBdr>
    </w:div>
    <w:div w:id="1446001891">
      <w:bodyDiv w:val="1"/>
      <w:marLeft w:val="0"/>
      <w:marRight w:val="0"/>
      <w:marTop w:val="0"/>
      <w:marBottom w:val="0"/>
      <w:divBdr>
        <w:top w:val="none" w:sz="0" w:space="0" w:color="auto"/>
        <w:left w:val="none" w:sz="0" w:space="0" w:color="auto"/>
        <w:bottom w:val="none" w:sz="0" w:space="0" w:color="auto"/>
        <w:right w:val="none" w:sz="0" w:space="0" w:color="auto"/>
      </w:divBdr>
    </w:div>
    <w:div w:id="1759406594">
      <w:bodyDiv w:val="1"/>
      <w:marLeft w:val="0"/>
      <w:marRight w:val="0"/>
      <w:marTop w:val="0"/>
      <w:marBottom w:val="0"/>
      <w:divBdr>
        <w:top w:val="none" w:sz="0" w:space="0" w:color="auto"/>
        <w:left w:val="none" w:sz="0" w:space="0" w:color="auto"/>
        <w:bottom w:val="none" w:sz="0" w:space="0" w:color="auto"/>
        <w:right w:val="none" w:sz="0" w:space="0" w:color="auto"/>
      </w:divBdr>
    </w:div>
    <w:div w:id="183876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wmf"/><Relationship Id="rId26" Type="http://schemas.openxmlformats.org/officeDocument/2006/relationships/image" Target="media/image6.emf"/><Relationship Id="rId39" Type="http://schemas.openxmlformats.org/officeDocument/2006/relationships/image" Target="media/image19.emf"/><Relationship Id="rId21" Type="http://schemas.openxmlformats.org/officeDocument/2006/relationships/hyperlink" Target="mailto:media@treasury.gov.au" TargetMode="External"/><Relationship Id="rId34" Type="http://schemas.openxmlformats.org/officeDocument/2006/relationships/image" Target="media/image14.emf"/><Relationship Id="rId42" Type="http://schemas.openxmlformats.org/officeDocument/2006/relationships/image" Target="media/image22.emf"/><Relationship Id="rId47" Type="http://schemas.openxmlformats.org/officeDocument/2006/relationships/footer" Target="footer3.xml"/><Relationship Id="rId50" Type="http://schemas.openxmlformats.org/officeDocument/2006/relationships/image" Target="media/image26.png"/><Relationship Id="rId55" Type="http://schemas.openxmlformats.org/officeDocument/2006/relationships/image" Target="media/image3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reativecommons.org/licenses/by/3.0/au/legalcode" TargetMode="External"/><Relationship Id="rId25" Type="http://schemas.openxmlformats.org/officeDocument/2006/relationships/image" Target="media/image5.png"/><Relationship Id="rId33" Type="http://schemas.openxmlformats.org/officeDocument/2006/relationships/image" Target="media/image13.emf"/><Relationship Id="rId38" Type="http://schemas.openxmlformats.org/officeDocument/2006/relationships/image" Target="media/image18.emf"/><Relationship Id="rId46" Type="http://schemas.openxmlformats.org/officeDocument/2006/relationships/header" Target="header3.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pmc.gov.au/government/commonwealth-coat-arms" TargetMode="External"/><Relationship Id="rId29" Type="http://schemas.openxmlformats.org/officeDocument/2006/relationships/image" Target="media/image9.emf"/><Relationship Id="rId41" Type="http://schemas.openxmlformats.org/officeDocument/2006/relationships/image" Target="media/image21.emf"/><Relationship Id="rId54" Type="http://schemas.openxmlformats.org/officeDocument/2006/relationships/image" Target="media/image3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image" Target="media/image12.emf"/><Relationship Id="rId37" Type="http://schemas.openxmlformats.org/officeDocument/2006/relationships/image" Target="media/image17.emf"/><Relationship Id="rId40" Type="http://schemas.openxmlformats.org/officeDocument/2006/relationships/image" Target="media/image20.emf"/><Relationship Id="rId45" Type="http://schemas.openxmlformats.org/officeDocument/2006/relationships/image" Target="media/image25.emf"/><Relationship Id="rId53" Type="http://schemas.openxmlformats.org/officeDocument/2006/relationships/image" Target="media/image29.emf"/><Relationship Id="rId58" Type="http://schemas.openxmlformats.org/officeDocument/2006/relationships/image" Target="media/image34.emf"/><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image" Target="media/image16.emf"/><Relationship Id="rId49" Type="http://schemas.openxmlformats.org/officeDocument/2006/relationships/hyperlink" Target="https://ideas.repec.org/s/bpj/bejeap.html" TargetMode="External"/><Relationship Id="rId57" Type="http://schemas.openxmlformats.org/officeDocument/2006/relationships/image" Target="media/image33.emf"/><Relationship Id="rId10" Type="http://schemas.openxmlformats.org/officeDocument/2006/relationships/webSettings" Target="webSettings.xml"/><Relationship Id="rId19" Type="http://schemas.openxmlformats.org/officeDocument/2006/relationships/hyperlink" Target="http://creativecommons.org/licenses/by/3.0/au/deed.en" TargetMode="External"/><Relationship Id="rId31" Type="http://schemas.openxmlformats.org/officeDocument/2006/relationships/image" Target="media/image11.emf"/><Relationship Id="rId44" Type="http://schemas.openxmlformats.org/officeDocument/2006/relationships/image" Target="media/image24.emf"/><Relationship Id="rId52" Type="http://schemas.openxmlformats.org/officeDocument/2006/relationships/image" Target="media/image28.png"/><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image" Target="media/image15.emf"/><Relationship Id="rId43" Type="http://schemas.openxmlformats.org/officeDocument/2006/relationships/image" Target="media/image23.emf"/><Relationship Id="rId48" Type="http://schemas.openxmlformats.org/officeDocument/2006/relationships/hyperlink" Target="https://ideas.repec.org/a/bpj/bejeap/v12y2012i1n3.html" TargetMode="External"/><Relationship Id="rId56" Type="http://schemas.openxmlformats.org/officeDocument/2006/relationships/image" Target="media/image32.emf"/><Relationship Id="rId8" Type="http://schemas.openxmlformats.org/officeDocument/2006/relationships/styles" Target="styles.xml"/><Relationship Id="rId51" Type="http://schemas.openxmlformats.org/officeDocument/2006/relationships/image" Target="media/image27.png"/><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mailto:Jonathan.Hambur@treasury.gov.au" TargetMode="External"/><Relationship Id="rId2" Type="http://schemas.openxmlformats.org/officeDocument/2006/relationships/hyperlink" Target="mailto:Nathan.Deutscher@treasury.gov.au" TargetMode="External"/><Relationship Id="rId1" Type="http://schemas.openxmlformats.org/officeDocument/2006/relationships/hyperlink" Target="mailto:Dan.Andrews@treasury.gov.au" TargetMode="External"/><Relationship Id="rId4" Type="http://schemas.openxmlformats.org/officeDocument/2006/relationships/hyperlink" Target="mailto:David.Hansell@treasury.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Working%20Paper.dotm" TargetMode="External"/></Relationship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2D77FC5E78371044AD6489ADEA6DAB9B|1757814118" UniqueId="907908e7-fe2a-4e3a-8319-ed1139c39beb">
      <p:Name>Auditing</p:Name>
      <p:Description>Audits user actions on documents and list items to the Audit Log.</p:Description>
      <p:CustomData>
        <Audit>
          <Update/>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reasury Document" ma:contentTypeID="0x0101002D77FC5E78371044AD6489ADEA6DAB9B00981EA75B1522D743B4BB87D5663E94D4" ma:contentTypeVersion="29861" ma:contentTypeDescription="" ma:contentTypeScope="" ma:versionID="6fd0d800c212dddb9afc76918fd58e35">
  <xsd:schema xmlns:xsd="http://www.w3.org/2001/XMLSchema" xmlns:xs="http://www.w3.org/2001/XMLSchema" xmlns:p="http://schemas.microsoft.com/office/2006/metadata/properties" xmlns:ns1="http://schemas.microsoft.com/sharepoint/v3" xmlns:ns2="0f563589-9cf9-4143-b1eb-fb0534803d38" xmlns:ns3="54bb81cf-96ba-41ce-8a26-ccbc5a57d34e" xmlns:ns4="8dcdc8b8-671d-4bfa-817e-1b9a8e3626f7" targetNamespace="http://schemas.microsoft.com/office/2006/metadata/properties" ma:root="true" ma:fieldsID="3c7c7f3fe9ec2b1ec310411358abb27b" ns1:_="" ns2:_="" ns3:_="" ns4:_="">
    <xsd:import namespace="http://schemas.microsoft.com/sharepoint/v3"/>
    <xsd:import namespace="0f563589-9cf9-4143-b1eb-fb0534803d38"/>
    <xsd:import namespace="54bb81cf-96ba-41ce-8a26-ccbc5a57d34e"/>
    <xsd:import namespace="8dcdc8b8-671d-4bfa-817e-1b9a8e3626f7"/>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Project" minOccurs="0"/>
                <xsd:element ref="ns4:Project_x0020_number" minOccurs="0"/>
                <xsd:element ref="ns4:Content_x0020_type" minOccurs="0"/>
                <xsd:element ref="ns4:Work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c05f6137-831b-4cf2-ae58-d88291490615}" ma:internalName="TaxCatchAll" ma:showField="CatchAllData" ma:web="54bb81cf-96ba-41ce-8a26-ccbc5a57d34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05f6137-831b-4cf2-ae58-d88291490615}" ma:internalName="TaxCatchAllLabel" ma:readOnly="true" ma:showField="CatchAllDataLabel" ma:web="54bb81cf-96ba-41ce-8a26-ccbc5a57d3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bb81cf-96ba-41ce-8a26-ccbc5a57d34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34;#TSY RA-8987 - Destroy 10 years after action completed|aa4c4d2b-02af-48f1-b3d4-3e2cb25f55bf"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cdc8b8-671d-4bfa-817e-1b9a8e3626f7" elementFormDefault="qualified">
    <xsd:import namespace="http://schemas.microsoft.com/office/2006/documentManagement/types"/>
    <xsd:import namespace="http://schemas.microsoft.com/office/infopath/2007/PartnerControls"/>
    <xsd:element name="Project" ma:index="17" nillable="true" ma:displayName="Project" ma:format="Dropdown" ma:internalName="Project">
      <xsd:simpleType>
        <xsd:union memberTypes="dms:Text">
          <xsd:simpleType>
            <xsd:restriction base="dms:Choice">
              <xsd:enumeration value="Energy"/>
            </xsd:restriction>
          </xsd:simpleType>
        </xsd:union>
      </xsd:simpleType>
    </xsd:element>
    <xsd:element name="Project_x0020_number" ma:index="18" nillable="true" ma:displayName="Project number" ma:internalName="Project_x0020_number">
      <xsd:simpleType>
        <xsd:restriction base="dms:Text">
          <xsd:maxLength value="255"/>
        </xsd:restriction>
      </xsd:simpleType>
    </xsd:element>
    <xsd:element name="Content_x0020_type" ma:index="19" nillable="true" ma:displayName="Content type" ma:internalName="Content_x0020_type">
      <xsd:simpleType>
        <xsd:restriction base="dms:Text">
          <xsd:maxLength value="255"/>
        </xsd:restriction>
      </xsd:simpleType>
    </xsd:element>
    <xsd:element name="Workstream" ma:index="20" nillable="true" ma:displayName="Workstream" ma:internalName="Workstrea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54bb81cf-96ba-41ce-8a26-ccbc5a57d34e">
      <Terms xmlns="http://schemas.microsoft.com/office/infopath/2007/PartnerControls">
        <TermInfo xmlns="http://schemas.microsoft.com/office/infopath/2007/PartnerControls">
          <TermName xmlns="http://schemas.microsoft.com/office/infopath/2007/PartnerControls">TSY RA-8987 - Destroy 10 years after action completed</TermName>
          <TermId xmlns="http://schemas.microsoft.com/office/infopath/2007/PartnerControls">aa4c4d2b-02af-48f1-b3d4-3e2cb25f55bf</TermId>
        </TermInfo>
      </Terms>
    </lb508a4dc5e84436a0fe496b536466aa>
    <TaxCatchAll xmlns="0f563589-9cf9-4143-b1eb-fb0534803d38">
      <Value>34</Value>
    </TaxCatchAll>
    <_dlc_DocId xmlns="0f563589-9cf9-4143-b1eb-fb0534803d38">2020MEG-1983304628-3250</_dlc_DocId>
    <_dlc_DocIdUrl xmlns="0f563589-9cf9-4143-b1eb-fb0534803d38">
      <Url>http://tweb/sites/meg/mmpd/_layouts/15/DocIdRedir.aspx?ID=2020MEG-1983304628-3250</Url>
      <Description>2020MEG-1983304628-3250</Description>
    </_dlc_DocIdUrl>
    <Project_x0020_number xmlns="8dcdc8b8-671d-4bfa-817e-1b9a8e3626f7">221</Project_x0020_number>
    <Workstream xmlns="8dcdc8b8-671d-4bfa-817e-1b9a8e3626f7" xsi:nil="true"/>
    <Content_x0020_type xmlns="8dcdc8b8-671d-4bfa-817e-1b9a8e3626f7" xsi:nil="true"/>
    <Project xmlns="8dcdc8b8-671d-4bfa-817e-1b9a8e3626f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5A2D3-81EF-44F3-861E-AFD5D687F7D1}">
  <ds:schemaRefs>
    <ds:schemaRef ds:uri="http://schemas.microsoft.com/sharepoint/events"/>
  </ds:schemaRefs>
</ds:datastoreItem>
</file>

<file path=customXml/itemProps2.xml><?xml version="1.0" encoding="utf-8"?>
<ds:datastoreItem xmlns:ds="http://schemas.openxmlformats.org/officeDocument/2006/customXml" ds:itemID="{2265F80D-2276-4737-B64D-370117402DDD}">
  <ds:schemaRefs>
    <ds:schemaRef ds:uri="office.server.policy"/>
  </ds:schemaRefs>
</ds:datastoreItem>
</file>

<file path=customXml/itemProps3.xml><?xml version="1.0" encoding="utf-8"?>
<ds:datastoreItem xmlns:ds="http://schemas.openxmlformats.org/officeDocument/2006/customXml" ds:itemID="{AB6304DD-F463-4941-A7F1-950A14C39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54bb81cf-96ba-41ce-8a26-ccbc5a57d34e"/>
    <ds:schemaRef ds:uri="8dcdc8b8-671d-4bfa-817e-1b9a8e362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35E7C-66CE-451F-B839-2511D8BD7220}">
  <ds:schemaRefs>
    <ds:schemaRef ds:uri="http://purl.org/dc/elements/1.1/"/>
    <ds:schemaRef ds:uri="http://schemas.microsoft.com/office/2006/metadata/properties"/>
    <ds:schemaRef ds:uri="54bb81cf-96ba-41ce-8a26-ccbc5a57d34e"/>
    <ds:schemaRef ds:uri="http://schemas.microsoft.com/sharepoint/v3"/>
    <ds:schemaRef ds:uri="http://purl.org/dc/terms/"/>
    <ds:schemaRef ds:uri="http://schemas.openxmlformats.org/package/2006/metadata/core-properties"/>
    <ds:schemaRef ds:uri="http://schemas.microsoft.com/office/2006/documentManagement/types"/>
    <ds:schemaRef ds:uri="8dcdc8b8-671d-4bfa-817e-1b9a8e3626f7"/>
    <ds:schemaRef ds:uri="0f563589-9cf9-4143-b1eb-fb0534803d38"/>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5CE0CF7E-3EE9-46F0-8ACB-B699B27D7BCE}">
  <ds:schemaRefs>
    <ds:schemaRef ds:uri="http://schemas.microsoft.com/sharepoint/v3/contenttype/forms"/>
  </ds:schemaRefs>
</ds:datastoreItem>
</file>

<file path=customXml/itemProps6.xml><?xml version="1.0" encoding="utf-8"?>
<ds:datastoreItem xmlns:ds="http://schemas.openxmlformats.org/officeDocument/2006/customXml" ds:itemID="{093A959F-706A-4B43-A7B9-C6BE971EF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Treasury Working Paper.dotm</Template>
  <TotalTime>1</TotalTime>
  <Pages>34</Pages>
  <Words>11961</Words>
  <Characters>65023</Characters>
  <Application>Microsoft Office Word</Application>
  <DocSecurity>0</DocSecurity>
  <Lines>938</Lines>
  <Paragraphs>259</Paragraphs>
  <ScaleCrop>false</ScaleCrop>
  <HeadingPairs>
    <vt:vector size="2" baseType="variant">
      <vt:variant>
        <vt:lpstr>Title</vt:lpstr>
      </vt:variant>
      <vt:variant>
        <vt:i4>1</vt:i4>
      </vt:variant>
    </vt:vector>
  </HeadingPairs>
  <TitlesOfParts>
    <vt:vector size="1" baseType="lpstr">
      <vt:lpstr>The career effects of labour market conditions at entry</vt:lpstr>
    </vt:vector>
  </TitlesOfParts>
  <Company>Australian Government - The Treasury</Company>
  <LinksUpToDate>false</LinksUpToDate>
  <CharactersWithSpaces>76868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career effects of labour market conditions at entry</dc:title>
  <dc:subject>Working paper</dc:subject>
  <dc:creator>Dan Andrews, Nathan Deutscher, Jonathan Hambur and David Hansell</dc:creator>
  <cp:keywords/>
  <dc:description/>
  <cp:lastModifiedBy>Hill, Christine</cp:lastModifiedBy>
  <cp:revision>3</cp:revision>
  <cp:lastPrinted>2010-11-12T05:15:00Z</cp:lastPrinted>
  <dcterms:created xsi:type="dcterms:W3CDTF">2020-06-17T00:27:00Z</dcterms:created>
  <dcterms:modified xsi:type="dcterms:W3CDTF">2020-06-17T01:30:00Z</dcterms:modified>
  <cp:category/>
</cp:coreProperties>
</file>