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0491D" w14:textId="77777777" w:rsidR="00FC7A0F" w:rsidRDefault="00FC7A0F" w:rsidP="00FC7A0F">
      <w:pPr>
        <w:pStyle w:val="Baseparagraphcentred"/>
      </w:pPr>
      <w:r>
        <w:t>2010-2011-2012</w:t>
      </w:r>
    </w:p>
    <w:p w14:paraId="2415F128" w14:textId="77777777" w:rsidR="00EF2AEE" w:rsidRDefault="00EF2AEE" w:rsidP="00EF2AEE">
      <w:pPr>
        <w:pStyle w:val="Baseparagraphcentred"/>
      </w:pPr>
    </w:p>
    <w:p w14:paraId="78D16451" w14:textId="77777777" w:rsidR="00EF2AEE" w:rsidRDefault="00EF2AEE" w:rsidP="00EF2AEE">
      <w:pPr>
        <w:pStyle w:val="Baseparagraphcentred"/>
      </w:pPr>
      <w:r>
        <w:t>THE PARLIAMENT OF THE COMMONWEALTH OF AUSTRALIA</w:t>
      </w:r>
    </w:p>
    <w:p w14:paraId="140280FF" w14:textId="77777777" w:rsidR="00EF2AEE" w:rsidRDefault="00EF2AEE" w:rsidP="00EF2AEE">
      <w:pPr>
        <w:pStyle w:val="Baseparagraphcentred"/>
      </w:pPr>
    </w:p>
    <w:p w14:paraId="3F1B7CFF" w14:textId="77777777" w:rsidR="00EF2AEE" w:rsidRDefault="00EF2AEE" w:rsidP="00EF2AEE">
      <w:pPr>
        <w:pStyle w:val="Baseparagraphcentred"/>
      </w:pPr>
    </w:p>
    <w:p w14:paraId="1C970B9F" w14:textId="77777777" w:rsidR="00EF2AEE" w:rsidRDefault="00EF2AEE" w:rsidP="00EF2AEE">
      <w:pPr>
        <w:pStyle w:val="Baseparagraphcentred"/>
      </w:pPr>
    </w:p>
    <w:p w14:paraId="69A58317" w14:textId="344CF44A" w:rsidR="00EF2AEE" w:rsidRDefault="004653F2" w:rsidP="00EF2AEE">
      <w:pPr>
        <w:pStyle w:val="Baseparagraphcentred"/>
      </w:pPr>
      <w:r>
        <w:t>SENATE</w:t>
      </w:r>
    </w:p>
    <w:p w14:paraId="0DA2E944" w14:textId="77777777" w:rsidR="00EF2AEE" w:rsidRDefault="00EF2AEE" w:rsidP="00EF2AEE">
      <w:pPr>
        <w:pStyle w:val="Baseparagraphcentred"/>
      </w:pPr>
    </w:p>
    <w:p w14:paraId="3DDB9C5C" w14:textId="77777777" w:rsidR="00EF2AEE" w:rsidRDefault="00EF2AEE" w:rsidP="00EF2AEE">
      <w:pPr>
        <w:pStyle w:val="Baseparagraphcentred"/>
      </w:pPr>
    </w:p>
    <w:p w14:paraId="2D0A5A47" w14:textId="77777777" w:rsidR="00EF2AEE" w:rsidRDefault="00EF2AEE" w:rsidP="00EF2AEE">
      <w:pPr>
        <w:pStyle w:val="Baseparagraphcentred"/>
      </w:pPr>
    </w:p>
    <w:p w14:paraId="01361C01" w14:textId="77777777" w:rsidR="00EF2AEE" w:rsidRDefault="00EF2AEE" w:rsidP="00EF2AEE">
      <w:pPr>
        <w:pStyle w:val="BillName"/>
      </w:pPr>
      <w:r>
        <w:t>Corporations Amendment (Further Future of Financial Advice Measures) Bill 2011</w:t>
      </w:r>
    </w:p>
    <w:p w14:paraId="13DD0D69" w14:textId="77777777" w:rsidR="00EF2AEE" w:rsidRDefault="00EF2AEE" w:rsidP="00EF2AEE">
      <w:pPr>
        <w:pStyle w:val="Baseparagraphcentred"/>
      </w:pPr>
    </w:p>
    <w:p w14:paraId="22582DB8" w14:textId="77777777" w:rsidR="00EF2AEE" w:rsidRDefault="00EF2AEE" w:rsidP="00EF2AEE">
      <w:pPr>
        <w:pStyle w:val="Baseparagraphcentred"/>
      </w:pPr>
    </w:p>
    <w:p w14:paraId="2BDEB024" w14:textId="77777777" w:rsidR="00EF2AEE" w:rsidRDefault="00EF2AEE" w:rsidP="00EF2AEE">
      <w:pPr>
        <w:pStyle w:val="Baseparagraphcentred"/>
      </w:pPr>
    </w:p>
    <w:p w14:paraId="1918316E" w14:textId="77777777" w:rsidR="00EF2AEE" w:rsidRDefault="00EF2AEE" w:rsidP="00EF2AEE">
      <w:pPr>
        <w:pStyle w:val="Baseparagraphcentred"/>
      </w:pPr>
    </w:p>
    <w:p w14:paraId="502D0AB6" w14:textId="3FD19616" w:rsidR="00EF2AEE" w:rsidRDefault="00B55BC9" w:rsidP="00EF2AEE">
      <w:pPr>
        <w:pStyle w:val="Baseparagraphcentred"/>
      </w:pPr>
      <w:r>
        <w:t xml:space="preserve">DRAFT </w:t>
      </w:r>
      <w:r w:rsidR="00EF2AEE">
        <w:t>SUPPLEMENTARY EXPLANATORY MEMORANDUM</w:t>
      </w:r>
    </w:p>
    <w:p w14:paraId="6B00BDB8" w14:textId="77777777" w:rsidR="00EF2AEE" w:rsidRDefault="00EF2AEE" w:rsidP="00EF2AEE">
      <w:pPr>
        <w:pStyle w:val="Baseparagraphcentred"/>
      </w:pPr>
    </w:p>
    <w:p w14:paraId="167B3D06" w14:textId="77777777" w:rsidR="00EF2AEE" w:rsidRDefault="00EF2AEE" w:rsidP="00EF2AEE">
      <w:pPr>
        <w:pStyle w:val="Baseparagraphcentred"/>
      </w:pPr>
      <w:r>
        <w:t>Amendments moved on behalf of the Government</w:t>
      </w:r>
    </w:p>
    <w:p w14:paraId="10E0C85A" w14:textId="77777777" w:rsidR="00EF2AEE" w:rsidRDefault="00EF2AEE" w:rsidP="00EF2AEE">
      <w:pPr>
        <w:pStyle w:val="Baseparagraphcentred"/>
      </w:pPr>
    </w:p>
    <w:p w14:paraId="1A72EEE0" w14:textId="77777777" w:rsidR="00EF2AEE" w:rsidRDefault="00EF2AEE" w:rsidP="00EF2AEE">
      <w:pPr>
        <w:pStyle w:val="Baseparagraphcentred"/>
      </w:pPr>
    </w:p>
    <w:p w14:paraId="4642DA78" w14:textId="77777777" w:rsidR="00EF2AEE" w:rsidRDefault="00EF2AEE" w:rsidP="00EF2AEE">
      <w:pPr>
        <w:pStyle w:val="Baseparagraphcentred"/>
      </w:pPr>
      <w:r>
        <w:t>(Circulated by the authority of the Minister for Financial Services</w:t>
      </w:r>
      <w:r>
        <w:br/>
        <w:t>and Superannuation, the Hon Bill Shorten MP)</w:t>
      </w:r>
    </w:p>
    <w:p w14:paraId="0DC4184C" w14:textId="77777777" w:rsidR="00EF2AEE" w:rsidRDefault="00EF2AEE" w:rsidP="00EF2AEE"/>
    <w:p w14:paraId="36E4C1E6" w14:textId="77777777" w:rsidR="00EF2AEE" w:rsidRDefault="00EF2AEE" w:rsidP="00EF2AEE">
      <w:pPr>
        <w:sectPr w:rsidR="00EF2AEE" w:rsidSect="0081136B">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2466" w:right="2098" w:bottom="2466" w:left="2098" w:header="1559" w:footer="1899" w:gutter="0"/>
          <w:cols w:space="708"/>
          <w:titlePg/>
          <w:docGrid w:linePitch="360"/>
        </w:sectPr>
      </w:pPr>
    </w:p>
    <w:p w14:paraId="00EF676E" w14:textId="77777777" w:rsidR="00EF2AEE" w:rsidRPr="003E0794" w:rsidRDefault="00EF2AEE" w:rsidP="00EF2AEE">
      <w:pPr>
        <w:pStyle w:val="TOCHeading"/>
      </w:pPr>
      <w:r w:rsidRPr="003E0794">
        <w:lastRenderedPageBreak/>
        <w:t>Table of contents</w:t>
      </w:r>
    </w:p>
    <w:p w14:paraId="6651D070" w14:textId="77777777" w:rsidR="00D55664" w:rsidRDefault="00EF2AEE">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D55664">
        <w:t>Glossary</w:t>
      </w:r>
      <w:r w:rsidR="00D55664">
        <w:tab/>
      </w:r>
      <w:r w:rsidR="00D55664">
        <w:fldChar w:fldCharType="begin"/>
      </w:r>
      <w:r w:rsidR="00D55664">
        <w:instrText xml:space="preserve"> PAGEREF _Toc321132301 \h </w:instrText>
      </w:r>
      <w:r w:rsidR="00D55664">
        <w:fldChar w:fldCharType="separate"/>
      </w:r>
      <w:r w:rsidR="0015680F">
        <w:t>1</w:t>
      </w:r>
      <w:r w:rsidR="00D55664">
        <w:fldChar w:fldCharType="end"/>
      </w:r>
    </w:p>
    <w:p w14:paraId="6BB64362" w14:textId="77777777" w:rsidR="00D55664" w:rsidRDefault="00D55664">
      <w:pPr>
        <w:pStyle w:val="TOC2"/>
        <w:rPr>
          <w:rFonts w:asciiTheme="minorHAnsi" w:eastAsiaTheme="minorEastAsia" w:hAnsiTheme="minorHAnsi" w:cstheme="minorBidi"/>
          <w:sz w:val="22"/>
          <w:szCs w:val="22"/>
        </w:rPr>
      </w:pPr>
      <w:r>
        <w:t>General outline and financial impact</w:t>
      </w:r>
      <w:r>
        <w:tab/>
      </w:r>
      <w:r>
        <w:fldChar w:fldCharType="begin"/>
      </w:r>
      <w:r>
        <w:instrText xml:space="preserve"> PAGEREF _Toc321132302 \h </w:instrText>
      </w:r>
      <w:r>
        <w:fldChar w:fldCharType="separate"/>
      </w:r>
      <w:r w:rsidR="0015680F">
        <w:t>3</w:t>
      </w:r>
      <w:r>
        <w:fldChar w:fldCharType="end"/>
      </w:r>
    </w:p>
    <w:p w14:paraId="4A43F99E" w14:textId="77777777" w:rsidR="00D55664" w:rsidRDefault="00D55664">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Explanation of amendments</w:t>
      </w:r>
      <w:r>
        <w:rPr>
          <w:noProof/>
        </w:rPr>
        <w:tab/>
      </w:r>
      <w:r>
        <w:rPr>
          <w:noProof/>
        </w:rPr>
        <w:fldChar w:fldCharType="begin"/>
      </w:r>
      <w:r>
        <w:rPr>
          <w:noProof/>
        </w:rPr>
        <w:instrText xml:space="preserve"> PAGEREF _Toc321132303 \h </w:instrText>
      </w:r>
      <w:r>
        <w:rPr>
          <w:noProof/>
        </w:rPr>
      </w:r>
      <w:r>
        <w:rPr>
          <w:noProof/>
        </w:rPr>
        <w:fldChar w:fldCharType="separate"/>
      </w:r>
      <w:r w:rsidR="0015680F">
        <w:rPr>
          <w:noProof/>
        </w:rPr>
        <w:t>5</w:t>
      </w:r>
      <w:r>
        <w:rPr>
          <w:noProof/>
        </w:rPr>
        <w:fldChar w:fldCharType="end"/>
      </w:r>
    </w:p>
    <w:p w14:paraId="49A480EC" w14:textId="77777777" w:rsidR="00EF2AEE" w:rsidRDefault="00EF2AEE" w:rsidP="00EF2AEE">
      <w:pPr>
        <w:pStyle w:val="base-text-paragraphnonumbers"/>
      </w:pPr>
      <w:r>
        <w:rPr>
          <w:b/>
          <w:bCs/>
          <w:noProof/>
          <w:lang w:val="en-US"/>
        </w:rPr>
        <w:fldChar w:fldCharType="end"/>
      </w:r>
    </w:p>
    <w:p w14:paraId="46F2B95F" w14:textId="44552D4E" w:rsidR="00EF2AEE" w:rsidRDefault="00EF2AEE" w:rsidP="00EF2AEE">
      <w:pPr>
        <w:pStyle w:val="Hiddentext"/>
      </w:pPr>
      <w:bookmarkStart w:id="0" w:name="_GoBack"/>
      <w:bookmarkEnd w:id="0"/>
    </w:p>
    <w:p w14:paraId="68BE50F8" w14:textId="77777777" w:rsidR="00EF2AEE" w:rsidRDefault="00EF2AEE" w:rsidP="00EF2AEE">
      <w:pPr>
        <w:pStyle w:val="base-text-paragraphnonumbers"/>
        <w:sectPr w:rsidR="00EF2AEE" w:rsidSect="0081136B">
          <w:headerReference w:type="even" r:id="rId18"/>
          <w:headerReference w:type="default" r:id="rId19"/>
          <w:footerReference w:type="even" r:id="rId20"/>
          <w:footerReference w:type="default" r:id="rId21"/>
          <w:headerReference w:type="first" r:id="rId22"/>
          <w:footerReference w:type="first" r:id="rId23"/>
          <w:type w:val="oddPage"/>
          <w:pgSz w:w="11906" w:h="16838" w:code="9"/>
          <w:pgMar w:top="2466" w:right="2098" w:bottom="2466" w:left="2098" w:header="1559" w:footer="1899" w:gutter="0"/>
          <w:cols w:space="708"/>
          <w:titlePg/>
          <w:docGrid w:linePitch="360"/>
        </w:sectPr>
      </w:pPr>
    </w:p>
    <w:p w14:paraId="683523AA" w14:textId="77777777" w:rsidR="00EF2AEE" w:rsidRPr="00D67ADC" w:rsidRDefault="00EF2AEE" w:rsidP="00EF2AEE">
      <w:pPr>
        <w:pStyle w:val="Chapterheadingsubdocument"/>
      </w:pPr>
      <w:bookmarkStart w:id="1" w:name="_Toc321132301"/>
      <w:r w:rsidRPr="00D67ADC">
        <w:lastRenderedPageBreak/>
        <w:t>Glossary</w:t>
      </w:r>
      <w:bookmarkEnd w:id="1"/>
    </w:p>
    <w:p w14:paraId="59A62E56" w14:textId="77777777" w:rsidR="00EF2AEE" w:rsidRDefault="00EF2AEE" w:rsidP="00EF2AEE">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EF2AEE" w:rsidRPr="00123D96" w14:paraId="5BFF694E" w14:textId="77777777" w:rsidTr="00412C40">
        <w:tc>
          <w:tcPr>
            <w:tcW w:w="2721" w:type="dxa"/>
          </w:tcPr>
          <w:p w14:paraId="574C8390" w14:textId="77777777" w:rsidR="00EF2AEE" w:rsidRPr="00123D96" w:rsidRDefault="00EF2AEE" w:rsidP="00412C40">
            <w:pPr>
              <w:pStyle w:val="tableheaderwithintable"/>
            </w:pPr>
            <w:r w:rsidRPr="00123D96">
              <w:t>Abbreviation</w:t>
            </w:r>
          </w:p>
        </w:tc>
        <w:tc>
          <w:tcPr>
            <w:tcW w:w="3885" w:type="dxa"/>
          </w:tcPr>
          <w:p w14:paraId="2D6021DA" w14:textId="77777777" w:rsidR="00EF2AEE" w:rsidRPr="00123D96" w:rsidRDefault="00EF2AEE" w:rsidP="00412C40">
            <w:pPr>
              <w:pStyle w:val="tableheaderwithintable"/>
            </w:pPr>
            <w:r w:rsidRPr="00123D96">
              <w:t>Definition</w:t>
            </w:r>
          </w:p>
        </w:tc>
      </w:tr>
      <w:tr w:rsidR="00EF2AEE" w:rsidRPr="002C43E8" w14:paraId="18CD6AF1" w14:textId="77777777" w:rsidTr="00412C40">
        <w:tc>
          <w:tcPr>
            <w:tcW w:w="2721" w:type="dxa"/>
          </w:tcPr>
          <w:p w14:paraId="7077CF9E" w14:textId="77777777" w:rsidR="00EF2AEE" w:rsidRDefault="00EF2AEE" w:rsidP="00412C40">
            <w:pPr>
              <w:pStyle w:val="Glossarytabletext"/>
              <w:rPr>
                <w:lang w:val="en-US" w:eastAsia="en-US"/>
              </w:rPr>
            </w:pPr>
            <w:r>
              <w:rPr>
                <w:lang w:val="en-US" w:eastAsia="en-US"/>
              </w:rPr>
              <w:t>Act</w:t>
            </w:r>
          </w:p>
        </w:tc>
        <w:tc>
          <w:tcPr>
            <w:tcW w:w="3885" w:type="dxa"/>
          </w:tcPr>
          <w:p w14:paraId="3F64CB06" w14:textId="77777777" w:rsidR="00EF2AEE" w:rsidRPr="00BD5ADA" w:rsidRDefault="00EF2AEE" w:rsidP="00412C40">
            <w:pPr>
              <w:pStyle w:val="Glossarytabletext"/>
              <w:rPr>
                <w:i/>
                <w:lang w:val="en-US" w:eastAsia="en-US"/>
              </w:rPr>
            </w:pPr>
            <w:r>
              <w:rPr>
                <w:i/>
                <w:lang w:val="en-US" w:eastAsia="en-US"/>
              </w:rPr>
              <w:t>Corporations Act 2001</w:t>
            </w:r>
          </w:p>
        </w:tc>
      </w:tr>
      <w:tr w:rsidR="00097886" w:rsidRPr="002C43E8" w14:paraId="45D64210" w14:textId="77777777" w:rsidTr="00412C40">
        <w:tc>
          <w:tcPr>
            <w:tcW w:w="2721" w:type="dxa"/>
          </w:tcPr>
          <w:p w14:paraId="416F8B2D" w14:textId="47B133F5" w:rsidR="00097886" w:rsidRDefault="00097886" w:rsidP="00412C40">
            <w:pPr>
              <w:pStyle w:val="Glossarytabletext"/>
              <w:rPr>
                <w:lang w:val="en-US" w:eastAsia="en-US"/>
              </w:rPr>
            </w:pPr>
            <w:r>
              <w:rPr>
                <w:lang w:val="en-US" w:eastAsia="en-US"/>
              </w:rPr>
              <w:t>ASIC</w:t>
            </w:r>
          </w:p>
        </w:tc>
        <w:tc>
          <w:tcPr>
            <w:tcW w:w="3885" w:type="dxa"/>
          </w:tcPr>
          <w:p w14:paraId="6F3B025B" w14:textId="7423172A" w:rsidR="00097886" w:rsidRDefault="00097886" w:rsidP="00412C40">
            <w:pPr>
              <w:pStyle w:val="Glossarytabletext"/>
              <w:rPr>
                <w:lang w:val="en-US" w:eastAsia="en-US"/>
              </w:rPr>
            </w:pPr>
            <w:r>
              <w:rPr>
                <w:lang w:val="en-US" w:eastAsia="en-US"/>
              </w:rPr>
              <w:t>Australian Securities and Investments Commissions</w:t>
            </w:r>
          </w:p>
        </w:tc>
      </w:tr>
      <w:tr w:rsidR="00EF2AEE" w:rsidRPr="002C43E8" w14:paraId="56A7A85B" w14:textId="77777777" w:rsidTr="00412C40">
        <w:tc>
          <w:tcPr>
            <w:tcW w:w="2721" w:type="dxa"/>
          </w:tcPr>
          <w:p w14:paraId="1B8C5726" w14:textId="77777777" w:rsidR="00EF2AEE" w:rsidRPr="002C43E8" w:rsidRDefault="00EF2AEE" w:rsidP="00412C40">
            <w:pPr>
              <w:pStyle w:val="Glossarytabletext"/>
              <w:rPr>
                <w:lang w:val="en-US" w:eastAsia="en-US"/>
              </w:rPr>
            </w:pPr>
            <w:r>
              <w:rPr>
                <w:lang w:val="en-US" w:eastAsia="en-US"/>
              </w:rPr>
              <w:t>Bill</w:t>
            </w:r>
          </w:p>
        </w:tc>
        <w:tc>
          <w:tcPr>
            <w:tcW w:w="3885" w:type="dxa"/>
          </w:tcPr>
          <w:p w14:paraId="71F81E19" w14:textId="77777777" w:rsidR="00EF2AEE" w:rsidRPr="002C43E8" w:rsidRDefault="00EF2AEE" w:rsidP="00412C40">
            <w:pPr>
              <w:pStyle w:val="Glossarytabletext"/>
              <w:rPr>
                <w:lang w:val="en-US" w:eastAsia="en-US"/>
              </w:rPr>
            </w:pPr>
            <w:r>
              <w:rPr>
                <w:lang w:val="en-US" w:eastAsia="en-US"/>
              </w:rPr>
              <w:t>Corporations Amendment (Further Future of Financial Advice Measures) Bill 2011</w:t>
            </w:r>
          </w:p>
        </w:tc>
      </w:tr>
      <w:tr w:rsidR="00EF2AEE" w:rsidRPr="002C43E8" w14:paraId="2EF85657" w14:textId="77777777" w:rsidTr="00412C40">
        <w:tc>
          <w:tcPr>
            <w:tcW w:w="2721" w:type="dxa"/>
          </w:tcPr>
          <w:p w14:paraId="78F28DE3" w14:textId="77777777" w:rsidR="00EF2AEE" w:rsidRPr="002C43E8" w:rsidRDefault="00EF2AEE" w:rsidP="00412C40">
            <w:pPr>
              <w:pStyle w:val="Glossarytabletext"/>
              <w:rPr>
                <w:lang w:val="en-US" w:eastAsia="en-US"/>
              </w:rPr>
            </w:pPr>
            <w:r>
              <w:rPr>
                <w:lang w:val="en-US" w:eastAsia="en-US"/>
              </w:rPr>
              <w:t>FOFA</w:t>
            </w:r>
          </w:p>
        </w:tc>
        <w:tc>
          <w:tcPr>
            <w:tcW w:w="3885" w:type="dxa"/>
          </w:tcPr>
          <w:p w14:paraId="0C3A2DB6" w14:textId="77777777" w:rsidR="00EF2AEE" w:rsidRPr="002C43E8" w:rsidRDefault="00EF2AEE" w:rsidP="00412C40">
            <w:pPr>
              <w:pStyle w:val="Glossarytabletext"/>
              <w:rPr>
                <w:lang w:val="en-US" w:eastAsia="en-US"/>
              </w:rPr>
            </w:pPr>
            <w:r>
              <w:rPr>
                <w:lang w:val="en-US" w:eastAsia="en-US"/>
              </w:rPr>
              <w:t>Future of Financial Advice</w:t>
            </w:r>
          </w:p>
        </w:tc>
      </w:tr>
      <w:tr w:rsidR="00EF2AEE" w:rsidRPr="002C43E8" w14:paraId="19BD42B6" w14:textId="77777777" w:rsidTr="00412C40">
        <w:tc>
          <w:tcPr>
            <w:tcW w:w="2721" w:type="dxa"/>
          </w:tcPr>
          <w:p w14:paraId="08151C6E" w14:textId="46F9FDCB" w:rsidR="00EF2AEE" w:rsidRPr="002C43E8" w:rsidRDefault="00097886" w:rsidP="00412C40">
            <w:pPr>
              <w:pStyle w:val="Glossarytabletext"/>
              <w:rPr>
                <w:lang w:val="en-US" w:eastAsia="en-US"/>
              </w:rPr>
            </w:pPr>
            <w:proofErr w:type="spellStart"/>
            <w:r>
              <w:rPr>
                <w:lang w:val="en-US" w:eastAsia="en-US"/>
              </w:rPr>
              <w:t>Licence</w:t>
            </w:r>
            <w:proofErr w:type="spellEnd"/>
          </w:p>
        </w:tc>
        <w:tc>
          <w:tcPr>
            <w:tcW w:w="3885" w:type="dxa"/>
          </w:tcPr>
          <w:p w14:paraId="2CF04CC1" w14:textId="3FC339E4" w:rsidR="00EF2AEE" w:rsidRPr="002C43E8" w:rsidRDefault="00097886" w:rsidP="00412C40">
            <w:pPr>
              <w:pStyle w:val="Glossarytabletext"/>
              <w:rPr>
                <w:lang w:val="en-US" w:eastAsia="en-US"/>
              </w:rPr>
            </w:pPr>
            <w:r w:rsidRPr="00561B4A">
              <w:rPr>
                <w:lang w:val="en-US" w:eastAsia="en-US"/>
              </w:rPr>
              <w:t>Austral</w:t>
            </w:r>
            <w:r>
              <w:rPr>
                <w:lang w:val="en-US" w:eastAsia="en-US"/>
              </w:rPr>
              <w:t xml:space="preserve">ian Financial Services </w:t>
            </w:r>
            <w:proofErr w:type="spellStart"/>
            <w:r>
              <w:rPr>
                <w:lang w:val="en-US" w:eastAsia="en-US"/>
              </w:rPr>
              <w:t>Licence</w:t>
            </w:r>
            <w:proofErr w:type="spellEnd"/>
          </w:p>
        </w:tc>
      </w:tr>
    </w:tbl>
    <w:p w14:paraId="0CB4F53F" w14:textId="77777777" w:rsidR="00EF2AEE" w:rsidRDefault="00EF2AEE" w:rsidP="00EF2AEE">
      <w:pPr>
        <w:sectPr w:rsidR="00EF2AEE" w:rsidSect="0081136B">
          <w:headerReference w:type="even" r:id="rId24"/>
          <w:headerReference w:type="default" r:id="rId25"/>
          <w:footerReference w:type="even" r:id="rId26"/>
          <w:footerReference w:type="default" r:id="rId27"/>
          <w:footerReference w:type="first" r:id="rId28"/>
          <w:type w:val="oddPage"/>
          <w:pgSz w:w="11906" w:h="16838" w:code="9"/>
          <w:pgMar w:top="2466" w:right="2098" w:bottom="2466" w:left="2098" w:header="1559" w:footer="1899" w:gutter="0"/>
          <w:pgNumType w:start="1"/>
          <w:cols w:space="708"/>
          <w:titlePg/>
          <w:docGrid w:linePitch="360"/>
        </w:sectPr>
      </w:pPr>
    </w:p>
    <w:p w14:paraId="15311D0C" w14:textId="77777777" w:rsidR="00EF2AEE" w:rsidRPr="00433FD9" w:rsidRDefault="00EF2AEE" w:rsidP="00EF2AEE"/>
    <w:p w14:paraId="183420D1" w14:textId="77777777" w:rsidR="00EF2AEE" w:rsidRPr="00D67ADC" w:rsidRDefault="00EF2AEE" w:rsidP="00EF2AEE">
      <w:pPr>
        <w:pStyle w:val="Chapterheadingsubdocument"/>
      </w:pPr>
      <w:bookmarkStart w:id="2" w:name="_Toc321132302"/>
      <w:r w:rsidRPr="00D67ADC">
        <w:t>General outline and financial impact</w:t>
      </w:r>
      <w:bookmarkEnd w:id="2"/>
    </w:p>
    <w:p w14:paraId="22DBA208" w14:textId="77777777" w:rsidR="00EF2AEE" w:rsidRDefault="00EF2AEE" w:rsidP="00EF2AEE">
      <w:pPr>
        <w:pStyle w:val="Heading2"/>
      </w:pPr>
      <w:r>
        <w:t>Outline of amendments</w:t>
      </w:r>
    </w:p>
    <w:p w14:paraId="5EE3D7E8" w14:textId="77777777" w:rsidR="00EF2AEE" w:rsidRDefault="00EF2AEE" w:rsidP="00EF2AEE">
      <w:pPr>
        <w:pStyle w:val="base-text-paragraphnonumbers"/>
      </w:pPr>
      <w:r>
        <w:t>On 24 November 2011, the Australian Government introduced the Corporations Amendment (Further Future of Financial Advice Measures) Bill 2011 (‘the Bill’).  Together with the Corporations Amendment (Future of Financial Advice) Bill 2011, the Bill implements the Government’s Future of Financial Advice (‘FOFA’) reforms.</w:t>
      </w:r>
    </w:p>
    <w:p w14:paraId="7EBE2250" w14:textId="31ECA8C5" w:rsidR="00EF2AEE" w:rsidRDefault="00EF2AEE" w:rsidP="008D0F2F">
      <w:pPr>
        <w:pStyle w:val="base-text-paragraphnonumbers"/>
      </w:pPr>
      <w:r>
        <w:t xml:space="preserve">The amendments to the Bill </w:t>
      </w:r>
      <w:r w:rsidR="00C975E9">
        <w:t xml:space="preserve">make a number of changes to the application arrangements for the reforms.  Under the revised arrangements, compliance with the </w:t>
      </w:r>
      <w:r w:rsidR="004D4770">
        <w:t>FOFA reforms will be voluntary</w:t>
      </w:r>
      <w:r w:rsidR="00C975E9">
        <w:t xml:space="preserve"> from 1 July 2012 and mandatory from 1 July 2013. </w:t>
      </w:r>
      <w:r w:rsidR="00C975E9">
        <w:tab/>
      </w:r>
    </w:p>
    <w:p w14:paraId="5F374D4C" w14:textId="5DF93EF2" w:rsidR="00EF2AEE" w:rsidRDefault="00EF2AEE" w:rsidP="00EF2AEE">
      <w:pPr>
        <w:pStyle w:val="base-text-paragraphnonumbers"/>
      </w:pPr>
      <w:r w:rsidRPr="0088195E">
        <w:rPr>
          <w:rStyle w:val="BoldItalic"/>
        </w:rPr>
        <w:t>Date of effect</w:t>
      </w:r>
      <w:r w:rsidRPr="00266048">
        <w:rPr>
          <w:rStyle w:val="base-text-paragraphChar"/>
        </w:rPr>
        <w:t xml:space="preserve">:  </w:t>
      </w:r>
      <w:r>
        <w:t xml:space="preserve">The amendments to the Bill commence at the same time as the remainder of the Bill on 1 July 2012.  </w:t>
      </w:r>
    </w:p>
    <w:p w14:paraId="679D4E93" w14:textId="7DB4956D" w:rsidR="00EF2AEE" w:rsidRDefault="00EF2AEE" w:rsidP="00EF2AEE">
      <w:pPr>
        <w:pStyle w:val="base-text-paragraphnonumbers"/>
      </w:pPr>
      <w:r w:rsidRPr="0088195E">
        <w:rPr>
          <w:rStyle w:val="BoldItalic"/>
        </w:rPr>
        <w:t>Proposal announced</w:t>
      </w:r>
      <w:r w:rsidRPr="00266048">
        <w:rPr>
          <w:rStyle w:val="base-text-paragraphChar"/>
        </w:rPr>
        <w:t xml:space="preserve">:  </w:t>
      </w:r>
      <w:r w:rsidR="00C975E9">
        <w:rPr>
          <w:rStyle w:val="base-text-paragraphChar"/>
        </w:rPr>
        <w:t xml:space="preserve">The Government announced details of the revised application arrangements on 15 March 2012.  </w:t>
      </w:r>
    </w:p>
    <w:p w14:paraId="54D564F6" w14:textId="77777777" w:rsidR="00EF2AEE" w:rsidRDefault="00EF2AEE" w:rsidP="00EF2AEE">
      <w:pPr>
        <w:pStyle w:val="base-text-paragraphnonumbers"/>
      </w:pPr>
      <w:r w:rsidRPr="0088195E">
        <w:rPr>
          <w:rStyle w:val="BoldItalic"/>
        </w:rPr>
        <w:t>Financial impact</w:t>
      </w:r>
      <w:r w:rsidRPr="00266048">
        <w:rPr>
          <w:rStyle w:val="base-text-paragraphChar"/>
        </w:rPr>
        <w:t xml:space="preserve">:  </w:t>
      </w:r>
      <w:r>
        <w:t>This Bill has no significant financial impact on Commonwealth expenditure or revenue.</w:t>
      </w:r>
    </w:p>
    <w:p w14:paraId="198F0524" w14:textId="17BDD7F7" w:rsidR="00EF2AEE" w:rsidRDefault="00EF2AEE" w:rsidP="00EF2AEE">
      <w:pPr>
        <w:pStyle w:val="Hiddentext"/>
      </w:pPr>
    </w:p>
    <w:p w14:paraId="1EC4EC67" w14:textId="77777777" w:rsidR="00EF2AEE" w:rsidRDefault="00EF2AEE" w:rsidP="00EF2AEE">
      <w:pPr>
        <w:sectPr w:rsidR="00EF2AEE" w:rsidSect="0081136B">
          <w:headerReference w:type="even" r:id="rId29"/>
          <w:headerReference w:type="default" r:id="rId30"/>
          <w:footerReference w:type="even" r:id="rId31"/>
          <w:footerReference w:type="default" r:id="rId32"/>
          <w:footerReference w:type="first" r:id="rId33"/>
          <w:type w:val="oddPage"/>
          <w:pgSz w:w="11906" w:h="16838" w:code="9"/>
          <w:pgMar w:top="2466" w:right="2098" w:bottom="2466" w:left="2098" w:header="1559" w:footer="1899" w:gutter="0"/>
          <w:cols w:space="708"/>
          <w:titlePg/>
          <w:docGrid w:linePitch="360"/>
        </w:sectPr>
      </w:pPr>
    </w:p>
    <w:p w14:paraId="03ADF959" w14:textId="77777777" w:rsidR="00EF2AEE" w:rsidRPr="00F51A71" w:rsidRDefault="00EF2AEE" w:rsidP="00EF2AEE">
      <w:pPr>
        <w:pStyle w:val="ChapterHeading"/>
      </w:pPr>
      <w:r w:rsidRPr="00F51A71">
        <w:lastRenderedPageBreak/>
        <w:br/>
      </w:r>
      <w:bookmarkStart w:id="3" w:name="_Toc321132303"/>
      <w:r>
        <w:t>Explanation of amendments</w:t>
      </w:r>
      <w:bookmarkEnd w:id="3"/>
    </w:p>
    <w:p w14:paraId="44437B36" w14:textId="77777777" w:rsidR="00EF2AEE" w:rsidRDefault="00EF2AEE" w:rsidP="00EF2AEE">
      <w:pPr>
        <w:pStyle w:val="Heading2"/>
      </w:pPr>
      <w:r>
        <w:t>Outline of chapter</w:t>
      </w:r>
    </w:p>
    <w:p w14:paraId="3DF0AFBE" w14:textId="7EABCAE9" w:rsidR="00FA43D3" w:rsidRDefault="00C975E9" w:rsidP="00EF2AEE">
      <w:pPr>
        <w:pStyle w:val="base-text-paragraph"/>
      </w:pPr>
      <w:r>
        <w:t>These amendments modify the application of the measures contained in Schedule 1 to the Corporations Amendment (Further Future of Financial Advice Measures) Bill 2011</w:t>
      </w:r>
      <w:r w:rsidR="00FA43D3">
        <w:t xml:space="preserve"> (the Bill)</w:t>
      </w:r>
      <w:r>
        <w:t xml:space="preserve">.  </w:t>
      </w:r>
    </w:p>
    <w:p w14:paraId="117CC1CF" w14:textId="01B30E0E" w:rsidR="00F02E6C" w:rsidRDefault="00C975E9" w:rsidP="0057221F">
      <w:pPr>
        <w:pStyle w:val="base-text-paragraph"/>
      </w:pPr>
      <w:r>
        <w:t xml:space="preserve">Under the revised application arrangements, compliance with the requirements relating to </w:t>
      </w:r>
      <w:r w:rsidR="00D41740">
        <w:t>the best interests obligation</w:t>
      </w:r>
      <w:r w:rsidR="002A6F2D">
        <w:t xml:space="preserve"> and</w:t>
      </w:r>
      <w:r w:rsidR="00D41740">
        <w:t xml:space="preserve"> the ban on conflicted remuneration</w:t>
      </w:r>
      <w:r>
        <w:t xml:space="preserve"> will be </w:t>
      </w:r>
      <w:r w:rsidR="001318E4" w:rsidRPr="001318E4">
        <w:t>voluntar</w:t>
      </w:r>
      <w:r w:rsidR="00436FA8">
        <w:t>y</w:t>
      </w:r>
      <w:r w:rsidR="001318E4" w:rsidRPr="001318E4">
        <w:t xml:space="preserve"> from 1 July 2012</w:t>
      </w:r>
      <w:r w:rsidR="00F366EB">
        <w:t xml:space="preserve"> (</w:t>
      </w:r>
      <w:r w:rsidR="00436FA8">
        <w:t xml:space="preserve">but </w:t>
      </w:r>
      <w:r w:rsidR="00F366EB">
        <w:t>mandatory</w:t>
      </w:r>
      <w:r w:rsidR="001318E4" w:rsidRPr="001318E4">
        <w:t xml:space="preserve"> </w:t>
      </w:r>
      <w:r w:rsidR="0057221F">
        <w:t>for those who elect to comply with FOFA</w:t>
      </w:r>
      <w:r w:rsidR="00F366EB">
        <w:t xml:space="preserve"> during the transition period)</w:t>
      </w:r>
      <w:r w:rsidR="0057221F">
        <w:t xml:space="preserve">, </w:t>
      </w:r>
      <w:r w:rsidR="001318E4" w:rsidRPr="001318E4">
        <w:t>and mandatory from 1 July 2013</w:t>
      </w:r>
      <w:r w:rsidR="0057221F">
        <w:t xml:space="preserve"> for the remainder of the industry.</w:t>
      </w:r>
    </w:p>
    <w:p w14:paraId="55EF38D8" w14:textId="4D2ED8D2" w:rsidR="0057221F" w:rsidRDefault="00F02E6C" w:rsidP="0057221F">
      <w:pPr>
        <w:pStyle w:val="base-text-paragraph"/>
      </w:pPr>
      <w:r>
        <w:t>A</w:t>
      </w:r>
      <w:r w:rsidR="0057221F">
        <w:t xml:space="preserve"> person </w:t>
      </w:r>
      <w:r>
        <w:t>can voluntar</w:t>
      </w:r>
      <w:r w:rsidR="00816539">
        <w:t>il</w:t>
      </w:r>
      <w:r>
        <w:t xml:space="preserve">y </w:t>
      </w:r>
      <w:r w:rsidR="0057221F">
        <w:t xml:space="preserve">elect to </w:t>
      </w:r>
      <w:r>
        <w:t>comply with the reforms from 1</w:t>
      </w:r>
      <w:r w:rsidR="00436FA8">
        <w:t> </w:t>
      </w:r>
      <w:r>
        <w:t xml:space="preserve">July 2012 by </w:t>
      </w:r>
      <w:r w:rsidR="0057221F">
        <w:t>lodg</w:t>
      </w:r>
      <w:r>
        <w:t>ing</w:t>
      </w:r>
      <w:r w:rsidR="0057221F">
        <w:t xml:space="preserve"> a notice with ASIC</w:t>
      </w:r>
      <w:r>
        <w:t>.  Once a notice is lodged</w:t>
      </w:r>
      <w:r w:rsidR="0057221F">
        <w:t xml:space="preserve">, all the prohibitions and obligations under Part 7.7A will apply to the licensee and all of the licensee’s representatives.  It is not possible for a licensee to elect to apply only a subset of Part 7.7A or only have Part 7.7A apply to a subset of its representatives.  </w:t>
      </w:r>
    </w:p>
    <w:p w14:paraId="4B83ACA9" w14:textId="1321AE0F" w:rsidR="00EF2AEE" w:rsidRDefault="009710FB" w:rsidP="00EF2AEE">
      <w:pPr>
        <w:pStyle w:val="Heading2"/>
      </w:pPr>
      <w:r>
        <w:t xml:space="preserve">Application of </w:t>
      </w:r>
      <w:r w:rsidR="00CC059A">
        <w:t>the best interests obligation</w:t>
      </w:r>
      <w:r>
        <w:t xml:space="preserve"> </w:t>
      </w:r>
    </w:p>
    <w:p w14:paraId="1583A27E" w14:textId="0EE10005" w:rsidR="00EF2AEE" w:rsidRDefault="00EF2AEE" w:rsidP="00EF2AEE">
      <w:pPr>
        <w:pStyle w:val="base-text-paragraph"/>
      </w:pPr>
      <w:r>
        <w:t xml:space="preserve">The Bill proposes a new Division 2 in Part 7.7A of the </w:t>
      </w:r>
      <w:r>
        <w:rPr>
          <w:i/>
        </w:rPr>
        <w:t>Corporations Act 2001</w:t>
      </w:r>
      <w:r>
        <w:t xml:space="preserve"> (‘the Act’), introducing an obligation on providers of personal financial advice to retail clients to act in the best interests of the client in relation to the advice.</w:t>
      </w:r>
    </w:p>
    <w:p w14:paraId="14170208" w14:textId="42474431" w:rsidR="007A1A00" w:rsidRDefault="007A1A00" w:rsidP="001318E4">
      <w:pPr>
        <w:pStyle w:val="base-text-paragraph"/>
      </w:pPr>
      <w:r>
        <w:t xml:space="preserve">The amendments propose changes to the application of the best </w:t>
      </w:r>
      <w:proofErr w:type="gramStart"/>
      <w:r>
        <w:t>interests</w:t>
      </w:r>
      <w:proofErr w:type="gramEnd"/>
      <w:r>
        <w:t xml:space="preserve"> obligation</w:t>
      </w:r>
      <w:r w:rsidR="00D41740">
        <w:t xml:space="preserve"> so that the requirements are </w:t>
      </w:r>
      <w:r w:rsidR="00F366EB">
        <w:t xml:space="preserve">mandatory for those who elect to comply with FOFA during the transition period and then </w:t>
      </w:r>
      <w:r w:rsidR="001318E4" w:rsidRPr="001318E4">
        <w:t>mandatory from 1 July 2013</w:t>
      </w:r>
      <w:r w:rsidR="00F366EB">
        <w:t xml:space="preserve"> for the remainder of the industry</w:t>
      </w:r>
      <w:r w:rsidR="00D41740">
        <w:t>.</w:t>
      </w:r>
    </w:p>
    <w:p w14:paraId="672FA0E4" w14:textId="7F210C17" w:rsidR="006729EB" w:rsidRDefault="00463988" w:rsidP="002A6F2D">
      <w:pPr>
        <w:pStyle w:val="base-text-paragraph"/>
      </w:pPr>
      <w:r w:rsidRPr="00463988">
        <w:t xml:space="preserve">The amendments </w:t>
      </w:r>
      <w:r w:rsidR="006729EB">
        <w:t xml:space="preserve">omit proposed section 1527 in the Bill and substitutes with a new section 1527 stating that when personal advice is provided to a retail client on or after the application day, proposed Division 2 of Part 7.7A will apply and the current Subdivision B of Division 3 of Part 7.7 of the Act will not apply.  The application day is defined as either (a) the day specified in a notice lodged with ASIC by a </w:t>
      </w:r>
      <w:r w:rsidR="006729EB">
        <w:lastRenderedPageBreak/>
        <w:t>financial services licensee</w:t>
      </w:r>
      <w:r w:rsidR="00FD4A7D">
        <w:t xml:space="preserve"> under subsection 967(1)</w:t>
      </w:r>
      <w:r w:rsidR="006729EB">
        <w:t>, or (b) if no notice is lodged</w:t>
      </w:r>
      <w:r w:rsidR="00213508">
        <w:t xml:space="preserve">, </w:t>
      </w:r>
      <w:r w:rsidR="006729EB">
        <w:t>1 July 2013.</w:t>
      </w:r>
    </w:p>
    <w:p w14:paraId="7EBE4919" w14:textId="65073EAA" w:rsidR="00463988" w:rsidRDefault="00463988" w:rsidP="002A6F2D">
      <w:pPr>
        <w:pStyle w:val="Heading2"/>
      </w:pPr>
      <w:r>
        <w:t>Application of the ban on conflicted remuneration</w:t>
      </w:r>
    </w:p>
    <w:p w14:paraId="1C96E377" w14:textId="422B91EB" w:rsidR="005D5CF6" w:rsidRDefault="00463988" w:rsidP="002A6F2D">
      <w:pPr>
        <w:pStyle w:val="base-text-paragraph"/>
        <w:numPr>
          <w:ilvl w:val="1"/>
          <w:numId w:val="33"/>
        </w:numPr>
      </w:pPr>
      <w:r>
        <w:t>The Bill proposes a new Division </w:t>
      </w:r>
      <w:r w:rsidR="000B042E">
        <w:t>4</w:t>
      </w:r>
      <w:r>
        <w:t xml:space="preserve"> in Part 7.7A of the</w:t>
      </w:r>
      <w:r w:rsidR="007F08D8">
        <w:t xml:space="preserve"> Act</w:t>
      </w:r>
      <w:r>
        <w:t xml:space="preserve">, introducing </w:t>
      </w:r>
      <w:r w:rsidR="005D5CF6">
        <w:t xml:space="preserve">a ban on the payment and receipt of certain remuneration which has the potential to influence the advice financial services licensees provide to retail clients in respect of financial product advice. </w:t>
      </w:r>
    </w:p>
    <w:p w14:paraId="7A4AFB3F" w14:textId="79C50372" w:rsidR="00463988" w:rsidRDefault="00463988" w:rsidP="001318E4">
      <w:pPr>
        <w:pStyle w:val="base-text-paragraph"/>
      </w:pPr>
      <w:r>
        <w:t xml:space="preserve">The amendments propose changes to the application of the </w:t>
      </w:r>
      <w:r w:rsidR="000B042E">
        <w:t>ban on conflicted remuneration</w:t>
      </w:r>
      <w:r>
        <w:t xml:space="preserve"> so that the requirements are </w:t>
      </w:r>
      <w:r w:rsidR="00F366EB">
        <w:t xml:space="preserve">mandatory for those who elect to comply with FOFA during the transition period and then </w:t>
      </w:r>
      <w:r w:rsidR="00F366EB" w:rsidRPr="001318E4">
        <w:t>mandatory from 1 July 2013</w:t>
      </w:r>
      <w:r w:rsidR="00F366EB">
        <w:t xml:space="preserve"> for the remainder of the industry.</w:t>
      </w:r>
    </w:p>
    <w:p w14:paraId="099CEECF" w14:textId="131EBD6D" w:rsidR="00FA43D3" w:rsidRDefault="00463988" w:rsidP="005D5CF6">
      <w:pPr>
        <w:pStyle w:val="base-text-paragraph"/>
      </w:pPr>
      <w:r>
        <w:t xml:space="preserve">The amendments modify </w:t>
      </w:r>
      <w:r w:rsidR="00FA43D3">
        <w:t xml:space="preserve">proposed </w:t>
      </w:r>
      <w:r w:rsidR="00BB533F" w:rsidRPr="00463988">
        <w:t xml:space="preserve">section 1528 </w:t>
      </w:r>
      <w:r w:rsidR="00FA43D3">
        <w:t xml:space="preserve">in the Bill </w:t>
      </w:r>
      <w:r w:rsidR="00BB533F" w:rsidRPr="00463988">
        <w:t>by omitting ‘the day on which that item commences’ and substituting ‘the application day’</w:t>
      </w:r>
      <w:r w:rsidR="00FA43D3">
        <w:t xml:space="preserve">.  The application day is defined as </w:t>
      </w:r>
      <w:r w:rsidR="00FA43D3" w:rsidRPr="00463988">
        <w:t>either (a) the day specified in a notice lodged with ASIC by a financial services licensee</w:t>
      </w:r>
      <w:r w:rsidR="00FD4A7D">
        <w:t xml:space="preserve"> under subsection 967(1)</w:t>
      </w:r>
      <w:r w:rsidR="00FA43D3" w:rsidRPr="00463988">
        <w:t>,</w:t>
      </w:r>
      <w:r w:rsidR="00FA43D3" w:rsidRPr="002A6F2D">
        <w:t xml:space="preserve"> or (b) if no notice is lodged</w:t>
      </w:r>
      <w:r w:rsidR="00213508">
        <w:t xml:space="preserve">, </w:t>
      </w:r>
      <w:r w:rsidR="00FA43D3" w:rsidRPr="002A6F2D">
        <w:t>1 July 2013.</w:t>
      </w:r>
      <w:r w:rsidR="00BB533F" w:rsidRPr="008C2298">
        <w:t xml:space="preserve"> </w:t>
      </w:r>
    </w:p>
    <w:p w14:paraId="2C4253F0" w14:textId="4C6C95E7" w:rsidR="00BB533F" w:rsidRDefault="00BB533F" w:rsidP="005D5CF6">
      <w:pPr>
        <w:pStyle w:val="base-text-paragraph"/>
      </w:pPr>
      <w:r w:rsidRPr="008C2298">
        <w:t>For any other person who would be subject to the ban on conflicted remuneration</w:t>
      </w:r>
      <w:r w:rsidR="00FA43D3">
        <w:t xml:space="preserve"> (for example, product issuers)</w:t>
      </w:r>
      <w:r w:rsidRPr="008C2298">
        <w:t>, the application day is either (</w:t>
      </w:r>
      <w:proofErr w:type="spellStart"/>
      <w:r w:rsidRPr="008C2298">
        <w:t>i</w:t>
      </w:r>
      <w:proofErr w:type="spellEnd"/>
      <w:r w:rsidRPr="008C2298">
        <w:t>) the day specified in a notice lodged with ASIC by t</w:t>
      </w:r>
      <w:r w:rsidRPr="005D5CF6">
        <w:t>he person</w:t>
      </w:r>
      <w:r w:rsidR="00FD4A7D">
        <w:t xml:space="preserve"> under subsection 967(3)</w:t>
      </w:r>
      <w:r w:rsidRPr="005D5CF6">
        <w:t>, or (ii) if no notice is lodged, 1 July 2013.</w:t>
      </w:r>
    </w:p>
    <w:p w14:paraId="7C82ACD9" w14:textId="18A5DE4D" w:rsidR="009A4E5F" w:rsidRPr="005D5CF6" w:rsidRDefault="00F02E6C" w:rsidP="00436FA8">
      <w:pPr>
        <w:pStyle w:val="base-text-paragraph"/>
      </w:pPr>
      <w:r>
        <w:t xml:space="preserve">A </w:t>
      </w:r>
      <w:r w:rsidR="009A4E5F">
        <w:t xml:space="preserve">situation </w:t>
      </w:r>
      <w:r>
        <w:t xml:space="preserve">may </w:t>
      </w:r>
      <w:r w:rsidR="009A4E5F">
        <w:t xml:space="preserve">arise where one party </w:t>
      </w:r>
      <w:r w:rsidR="009F3EE6">
        <w:t xml:space="preserve">(the electing party) </w:t>
      </w:r>
      <w:r w:rsidR="009A4E5F">
        <w:t xml:space="preserve">to a </w:t>
      </w:r>
      <w:r w:rsidR="00436FA8">
        <w:t xml:space="preserve">proposed </w:t>
      </w:r>
      <w:r w:rsidR="009A4E5F">
        <w:t xml:space="preserve">transaction </w:t>
      </w:r>
      <w:r w:rsidR="00436FA8">
        <w:t xml:space="preserve">during the transition period </w:t>
      </w:r>
      <w:r w:rsidR="009A4E5F">
        <w:t xml:space="preserve">wishes to elect to comply with FOFA, and the other party </w:t>
      </w:r>
      <w:r w:rsidR="009F3EE6">
        <w:t xml:space="preserve">(the non-electing party) </w:t>
      </w:r>
      <w:r w:rsidR="009A4E5F">
        <w:t>does not.  In these circumstances, it is</w:t>
      </w:r>
      <w:r w:rsidR="00C55BB1">
        <w:t xml:space="preserve"> up to</w:t>
      </w:r>
      <w:r w:rsidR="009A4E5F">
        <w:t xml:space="preserve"> the </w:t>
      </w:r>
      <w:r w:rsidR="009F3EE6">
        <w:t xml:space="preserve">electing </w:t>
      </w:r>
      <w:r w:rsidR="009A4E5F">
        <w:t xml:space="preserve">party </w:t>
      </w:r>
      <w:r w:rsidR="009F3EE6">
        <w:t xml:space="preserve">to avoid </w:t>
      </w:r>
      <w:r>
        <w:t>enter</w:t>
      </w:r>
      <w:r w:rsidR="009F3EE6">
        <w:t>ing</w:t>
      </w:r>
      <w:r>
        <w:t xml:space="preserve"> into any </w:t>
      </w:r>
      <w:r w:rsidR="009F3EE6">
        <w:t xml:space="preserve">subsequent </w:t>
      </w:r>
      <w:r>
        <w:t xml:space="preserve">arrangements </w:t>
      </w:r>
      <w:r w:rsidR="009F3EE6">
        <w:t xml:space="preserve">(including with non-electing parties) </w:t>
      </w:r>
      <w:r>
        <w:t xml:space="preserve">that would result in them breaching their </w:t>
      </w:r>
      <w:r w:rsidR="009F3EE6">
        <w:t xml:space="preserve">FOFA </w:t>
      </w:r>
      <w:r>
        <w:t>obligations</w:t>
      </w:r>
      <w:r w:rsidR="009727DC">
        <w:t xml:space="preserve">. </w:t>
      </w:r>
      <w:r w:rsidR="009F3EE6">
        <w:t xml:space="preserve"> Broadly, the FOFA rules apply prospectively, so that arrangements already in place before an election was made are unaffected.  </w:t>
      </w:r>
    </w:p>
    <w:p w14:paraId="079AE35A" w14:textId="58F7FC89" w:rsidR="00BB533F" w:rsidRDefault="00463988" w:rsidP="008C2298">
      <w:pPr>
        <w:pStyle w:val="Heading2"/>
      </w:pPr>
      <w:r>
        <w:t>Application of the ban on volume-based shelf-space fees</w:t>
      </w:r>
      <w:r w:rsidR="000B042E">
        <w:t xml:space="preserve"> and asset-based fees on borrowed amounts</w:t>
      </w:r>
    </w:p>
    <w:p w14:paraId="6FECE5EA" w14:textId="272643BF" w:rsidR="00463988" w:rsidRDefault="00463988" w:rsidP="00463988">
      <w:pPr>
        <w:pStyle w:val="base-text-paragraph"/>
      </w:pPr>
      <w:r>
        <w:t>The Bill proposes a new Division </w:t>
      </w:r>
      <w:r w:rsidR="000B042E">
        <w:t>5</w:t>
      </w:r>
      <w:r>
        <w:t xml:space="preserve"> in Part 7.7A of the </w:t>
      </w:r>
      <w:r w:rsidR="007F08D8">
        <w:t>Act</w:t>
      </w:r>
      <w:r w:rsidR="00671FA1" w:rsidRPr="00671FA1">
        <w:t>,</w:t>
      </w:r>
      <w:r>
        <w:t xml:space="preserve"> introducing a </w:t>
      </w:r>
      <w:r w:rsidR="000B042E">
        <w:t>ban on the receipt of volume-based shelf-space fees by a platform operator</w:t>
      </w:r>
      <w:r w:rsidR="008C2298">
        <w:t xml:space="preserve"> and the receipt of asset-based fees on borrowed amounts by a financial services licensee</w:t>
      </w:r>
      <w:r w:rsidR="00D57E6B">
        <w:t>.</w:t>
      </w:r>
      <w:r w:rsidR="008C2298">
        <w:t xml:space="preserve"> </w:t>
      </w:r>
    </w:p>
    <w:p w14:paraId="6E3D34CC" w14:textId="735E394F" w:rsidR="00463988" w:rsidRDefault="00463988" w:rsidP="001318E4">
      <w:pPr>
        <w:pStyle w:val="base-text-paragraph"/>
      </w:pPr>
      <w:r>
        <w:lastRenderedPageBreak/>
        <w:t>The amendments propose changes to the application of the</w:t>
      </w:r>
      <w:r w:rsidR="008C2298">
        <w:t xml:space="preserve"> ban on volume-based shelf-space fees and the ban on asset-based fees on borrowed amounts</w:t>
      </w:r>
      <w:r>
        <w:t xml:space="preserve"> </w:t>
      </w:r>
      <w:r w:rsidR="00213508">
        <w:t xml:space="preserve">to make </w:t>
      </w:r>
      <w:r>
        <w:t>th</w:t>
      </w:r>
      <w:r w:rsidR="00213508">
        <w:t>e requirements</w:t>
      </w:r>
      <w:r>
        <w:t xml:space="preserve"> </w:t>
      </w:r>
      <w:r w:rsidR="00F366EB">
        <w:t xml:space="preserve">mandatory for those who elect to comply with FOFA during the transition period and then </w:t>
      </w:r>
      <w:r w:rsidR="00F366EB" w:rsidRPr="001318E4">
        <w:t>mandatory from 1 July 2013</w:t>
      </w:r>
      <w:r w:rsidR="00F366EB">
        <w:t xml:space="preserve"> for the remainder of the industry</w:t>
      </w:r>
      <w:r>
        <w:t>.</w:t>
      </w:r>
    </w:p>
    <w:p w14:paraId="3FBA0ED5" w14:textId="77777777" w:rsidR="008C2298" w:rsidRDefault="00463988" w:rsidP="008C2298">
      <w:pPr>
        <w:pStyle w:val="base-text-paragraph"/>
      </w:pPr>
      <w:r>
        <w:t>The amendments modify</w:t>
      </w:r>
      <w:r w:rsidR="008C2298">
        <w:t>:</w:t>
      </w:r>
      <w:r>
        <w:t xml:space="preserve"> </w:t>
      </w:r>
    </w:p>
    <w:p w14:paraId="605F884F" w14:textId="5F902269" w:rsidR="00E7588B" w:rsidRPr="008C2298" w:rsidRDefault="00E7588B" w:rsidP="00E7588B">
      <w:pPr>
        <w:pStyle w:val="Diagram"/>
        <w:keepNext w:val="0"/>
        <w:widowControl w:val="0"/>
        <w:numPr>
          <w:ilvl w:val="5"/>
          <w:numId w:val="30"/>
        </w:numPr>
        <w:ind w:left="2154" w:hanging="357"/>
        <w:rPr>
          <w:b w:val="0"/>
        </w:rPr>
      </w:pPr>
      <w:proofErr w:type="gramStart"/>
      <w:r>
        <w:rPr>
          <w:b w:val="0"/>
        </w:rPr>
        <w:t>proposed</w:t>
      </w:r>
      <w:proofErr w:type="gramEnd"/>
      <w:r>
        <w:rPr>
          <w:b w:val="0"/>
        </w:rPr>
        <w:t xml:space="preserve"> </w:t>
      </w:r>
      <w:r w:rsidRPr="008C2298">
        <w:rPr>
          <w:b w:val="0"/>
        </w:rPr>
        <w:t xml:space="preserve">section 1529 </w:t>
      </w:r>
      <w:r>
        <w:rPr>
          <w:b w:val="0"/>
        </w:rPr>
        <w:t xml:space="preserve">in the Bill </w:t>
      </w:r>
      <w:r w:rsidRPr="008C2298">
        <w:rPr>
          <w:b w:val="0"/>
        </w:rPr>
        <w:t>by omitting ‘the day on which that item commences’ and substituting ‘the application day’</w:t>
      </w:r>
      <w:r>
        <w:rPr>
          <w:b w:val="0"/>
        </w:rPr>
        <w:t xml:space="preserve">.  The application day is defined as either </w:t>
      </w:r>
      <w:r w:rsidRPr="008C2298">
        <w:rPr>
          <w:b w:val="0"/>
        </w:rPr>
        <w:t>(a) the day specified in a notice lodged with ASIC by a financial services licensee</w:t>
      </w:r>
      <w:r w:rsidR="00FD4A7D">
        <w:rPr>
          <w:b w:val="0"/>
        </w:rPr>
        <w:t xml:space="preserve"> under subsection 967(1)</w:t>
      </w:r>
      <w:r w:rsidRPr="008C2298">
        <w:rPr>
          <w:b w:val="0"/>
        </w:rPr>
        <w:t>, or (b) if no notice is lodged, 1 July 2013.  For any other person who would be subject to the ban on volume-based shelf-space fees, the application day is either (</w:t>
      </w:r>
      <w:proofErr w:type="spellStart"/>
      <w:r w:rsidRPr="008C2298">
        <w:rPr>
          <w:b w:val="0"/>
        </w:rPr>
        <w:t>i</w:t>
      </w:r>
      <w:proofErr w:type="spellEnd"/>
      <w:r w:rsidRPr="008C2298">
        <w:rPr>
          <w:b w:val="0"/>
        </w:rPr>
        <w:t>) the day specified in a notice lodged with ASIC by the person</w:t>
      </w:r>
      <w:r w:rsidR="00FD4A7D">
        <w:rPr>
          <w:b w:val="0"/>
        </w:rPr>
        <w:t xml:space="preserve"> under subsection 967(3)</w:t>
      </w:r>
      <w:r w:rsidRPr="008C2298">
        <w:rPr>
          <w:b w:val="0"/>
        </w:rPr>
        <w:t>, or (ii) if no notice is lodged, 1 July 2013</w:t>
      </w:r>
      <w:r>
        <w:rPr>
          <w:b w:val="0"/>
        </w:rPr>
        <w:t>; and</w:t>
      </w:r>
      <w:r>
        <w:rPr>
          <w:b w:val="0"/>
        </w:rPr>
        <w:br/>
      </w:r>
    </w:p>
    <w:p w14:paraId="4BFD27F9" w14:textId="37850783" w:rsidR="00E7588B" w:rsidRDefault="00E7588B" w:rsidP="00E7588B">
      <w:pPr>
        <w:pStyle w:val="Diagram"/>
        <w:keepNext w:val="0"/>
        <w:widowControl w:val="0"/>
        <w:numPr>
          <w:ilvl w:val="5"/>
          <w:numId w:val="30"/>
        </w:numPr>
        <w:ind w:left="2154" w:hanging="357"/>
        <w:rPr>
          <w:b w:val="0"/>
        </w:rPr>
      </w:pPr>
      <w:proofErr w:type="gramStart"/>
      <w:r>
        <w:rPr>
          <w:b w:val="0"/>
        </w:rPr>
        <w:t>proposed</w:t>
      </w:r>
      <w:proofErr w:type="gramEnd"/>
      <w:r>
        <w:rPr>
          <w:b w:val="0"/>
        </w:rPr>
        <w:t xml:space="preserve"> </w:t>
      </w:r>
      <w:r w:rsidRPr="008C2298">
        <w:rPr>
          <w:b w:val="0"/>
        </w:rPr>
        <w:t xml:space="preserve">section 1531 </w:t>
      </w:r>
      <w:r>
        <w:rPr>
          <w:b w:val="0"/>
        </w:rPr>
        <w:t xml:space="preserve">in the Bill </w:t>
      </w:r>
      <w:r w:rsidRPr="008C2298">
        <w:rPr>
          <w:b w:val="0"/>
        </w:rPr>
        <w:t>by omitting ‘the day on which that item commences’ and substituting ‘the application day’</w:t>
      </w:r>
      <w:r>
        <w:rPr>
          <w:b w:val="0"/>
        </w:rPr>
        <w:t xml:space="preserve">.  The application day is defined as either </w:t>
      </w:r>
      <w:r w:rsidRPr="008C2298">
        <w:rPr>
          <w:b w:val="0"/>
        </w:rPr>
        <w:t>(a) the day specified in a notice lodged with ASIC by a financial services licensee</w:t>
      </w:r>
      <w:r w:rsidR="00FD4A7D">
        <w:rPr>
          <w:b w:val="0"/>
        </w:rPr>
        <w:t xml:space="preserve"> under subsection 967(1)</w:t>
      </w:r>
      <w:r w:rsidRPr="008C2298">
        <w:rPr>
          <w:b w:val="0"/>
        </w:rPr>
        <w:t>, or (b) if no notice is lodged, 1 July 2013.</w:t>
      </w:r>
    </w:p>
    <w:p w14:paraId="2AD424FF" w14:textId="24F26B18" w:rsidR="009F3EE6" w:rsidRPr="005D5CF6" w:rsidRDefault="00436FA8" w:rsidP="009F3EE6">
      <w:pPr>
        <w:pStyle w:val="base-text-paragraph"/>
      </w:pPr>
      <w:r>
        <w:t xml:space="preserve">As noted with the ban on conflicted remuneration above, </w:t>
      </w:r>
      <w:r w:rsidR="009F3EE6">
        <w:t xml:space="preserve">a situation may arise where one party to a proposed transaction during the transition period wishes to elect to comply with FOFA, and the other party does not.  In these circumstances, it is up to the electing party to avoid entering into any subsequent arrangements (including with non-electing parties) that would result in them breaching their FOFA obligations.  Broadly, the FOFA rules apply prospectively, so that arrangements already in place before an election was made are unaffected.  </w:t>
      </w:r>
    </w:p>
    <w:p w14:paraId="137F9449" w14:textId="1A15C14C" w:rsidR="00D55664" w:rsidRDefault="00D55664" w:rsidP="00D55664">
      <w:pPr>
        <w:pStyle w:val="Heading2"/>
      </w:pPr>
      <w:r>
        <w:t>Lodging notice with ASIC</w:t>
      </w:r>
    </w:p>
    <w:p w14:paraId="4A5EC307" w14:textId="295D8420" w:rsidR="00AB0D27" w:rsidRDefault="00D55664" w:rsidP="00D55664">
      <w:pPr>
        <w:pStyle w:val="base-text-paragraph"/>
      </w:pPr>
      <w:r>
        <w:t xml:space="preserve">The amendments to the </w:t>
      </w:r>
      <w:r w:rsidR="00213508">
        <w:t xml:space="preserve">Bill </w:t>
      </w:r>
      <w:r w:rsidR="00AB0D27">
        <w:t>prop</w:t>
      </w:r>
      <w:r w:rsidR="00D414F9">
        <w:t>ose</w:t>
      </w:r>
      <w:r w:rsidR="00AB0D27">
        <w:t xml:space="preserve"> a new</w:t>
      </w:r>
      <w:r w:rsidR="007F08D8">
        <w:t xml:space="preserve"> Division 7 to Part 7.7A of the Act</w:t>
      </w:r>
      <w:r w:rsidR="00AB0D27">
        <w:t xml:space="preserve">, introducing </w:t>
      </w:r>
      <w:r w:rsidR="004264AC">
        <w:t>additional</w:t>
      </w:r>
      <w:r w:rsidR="00AB0D27">
        <w:t xml:space="preserve"> arrangements during the transition period. </w:t>
      </w:r>
    </w:p>
    <w:p w14:paraId="2A5A2A61" w14:textId="4F3AD0EA" w:rsidR="00C36F90" w:rsidRDefault="00D414F9" w:rsidP="00D55664">
      <w:pPr>
        <w:pStyle w:val="base-text-paragraph"/>
      </w:pPr>
      <w:r>
        <w:t>These</w:t>
      </w:r>
      <w:r w:rsidR="00A03526">
        <w:t xml:space="preserve"> amendments modify</w:t>
      </w:r>
      <w:r w:rsidR="00C2393B">
        <w:t>:</w:t>
      </w:r>
      <w:r w:rsidR="00A03526">
        <w:t xml:space="preserve"> </w:t>
      </w:r>
    </w:p>
    <w:p w14:paraId="72D13639" w14:textId="184CEBBE" w:rsidR="00C36F90" w:rsidRDefault="00C36F90" w:rsidP="00C36F90">
      <w:pPr>
        <w:pStyle w:val="Diagram"/>
        <w:numPr>
          <w:ilvl w:val="5"/>
          <w:numId w:val="30"/>
        </w:numPr>
        <w:rPr>
          <w:b w:val="0"/>
        </w:rPr>
      </w:pPr>
      <w:r>
        <w:rPr>
          <w:b w:val="0"/>
        </w:rPr>
        <w:t xml:space="preserve">proposed </w:t>
      </w:r>
      <w:r w:rsidRPr="00C36F90">
        <w:rPr>
          <w:b w:val="0"/>
        </w:rPr>
        <w:t>paragraph 967(3</w:t>
      </w:r>
      <w:proofErr w:type="gramStart"/>
      <w:r w:rsidRPr="00C36F90">
        <w:rPr>
          <w:b w:val="0"/>
        </w:rPr>
        <w:t>)(</w:t>
      </w:r>
      <w:proofErr w:type="gramEnd"/>
      <w:r w:rsidRPr="00C36F90">
        <w:rPr>
          <w:b w:val="0"/>
        </w:rPr>
        <w:t>a)</w:t>
      </w:r>
      <w:r w:rsidR="00D414F9" w:rsidRPr="00C36F90">
        <w:rPr>
          <w:b w:val="0"/>
        </w:rPr>
        <w:t xml:space="preserve"> </w:t>
      </w:r>
      <w:r w:rsidRPr="00C36F90">
        <w:rPr>
          <w:b w:val="0"/>
        </w:rPr>
        <w:t xml:space="preserve">by inserting Divisions ‘4 or 5’ after ‘Division 3’ </w:t>
      </w:r>
      <w:r w:rsidR="004264AC" w:rsidRPr="00C36F90">
        <w:rPr>
          <w:b w:val="0"/>
        </w:rPr>
        <w:t xml:space="preserve">to allow persons who </w:t>
      </w:r>
      <w:r w:rsidR="007112F3" w:rsidRPr="00C36F90">
        <w:rPr>
          <w:b w:val="0"/>
        </w:rPr>
        <w:t xml:space="preserve">would be subject to the requirements under Division 4 or 5 but would not be subject to the requirements as a financial services licensee or a </w:t>
      </w:r>
      <w:r w:rsidR="007112F3" w:rsidRPr="00C36F90">
        <w:rPr>
          <w:b w:val="0"/>
        </w:rPr>
        <w:lastRenderedPageBreak/>
        <w:t>representative of the licensee</w:t>
      </w:r>
      <w:r w:rsidR="009A4E5F" w:rsidRPr="00C36F90">
        <w:rPr>
          <w:b w:val="0"/>
        </w:rPr>
        <w:t xml:space="preserve"> (for example, product issuers)</w:t>
      </w:r>
      <w:r w:rsidR="007112F3" w:rsidRPr="00C36F90">
        <w:rPr>
          <w:b w:val="0"/>
        </w:rPr>
        <w:t xml:space="preserve"> </w:t>
      </w:r>
      <w:r w:rsidR="004264AC" w:rsidRPr="00C36F90">
        <w:rPr>
          <w:b w:val="0"/>
        </w:rPr>
        <w:t xml:space="preserve">to lodge notice with ASIC that Part 7.7A is to apply to them from a specified day during the transition period.  If such notice is lodged, ASIC must publish a copy of the notice in the </w:t>
      </w:r>
      <w:r w:rsidR="004264AC" w:rsidRPr="00C36F90">
        <w:rPr>
          <w:b w:val="0"/>
          <w:i/>
        </w:rPr>
        <w:t>Gazette</w:t>
      </w:r>
      <w:r>
        <w:rPr>
          <w:b w:val="0"/>
        </w:rPr>
        <w:t>;</w:t>
      </w:r>
      <w:r w:rsidR="00C2393B">
        <w:rPr>
          <w:b w:val="0"/>
        </w:rPr>
        <w:br/>
      </w:r>
    </w:p>
    <w:p w14:paraId="39CFD5A3" w14:textId="41415C05" w:rsidR="00C2393B" w:rsidRPr="00C2393B" w:rsidRDefault="00C2393B" w:rsidP="00C2393B">
      <w:pPr>
        <w:pStyle w:val="Diagram"/>
        <w:numPr>
          <w:ilvl w:val="5"/>
          <w:numId w:val="30"/>
        </w:numPr>
        <w:rPr>
          <w:b w:val="0"/>
        </w:rPr>
      </w:pPr>
      <w:r>
        <w:rPr>
          <w:b w:val="0"/>
        </w:rPr>
        <w:t>proposed subsection 968(1) by omitting ‘Division 3’ and substituting ‘Division 2, Division 3 or Subdivision B of Division 5’ to require a financial services licensee who lodges a notice with ASIC under subsection 967(1) to notify certain clients of the licensee’s obligations under these provisions during the transition period</w:t>
      </w:r>
      <w:r w:rsidR="00AD19D0">
        <w:rPr>
          <w:b w:val="0"/>
        </w:rPr>
        <w:t>; and</w:t>
      </w:r>
    </w:p>
    <w:p w14:paraId="07FBD4B4" w14:textId="77777777" w:rsidR="00C2393B" w:rsidRDefault="00C2393B" w:rsidP="0065136D">
      <w:pPr>
        <w:pStyle w:val="Diagram"/>
        <w:numPr>
          <w:ilvl w:val="0"/>
          <w:numId w:val="0"/>
        </w:numPr>
        <w:ind w:left="1800"/>
        <w:rPr>
          <w:b w:val="0"/>
        </w:rPr>
      </w:pPr>
    </w:p>
    <w:p w14:paraId="66C3FCD3" w14:textId="33C06BD0" w:rsidR="00C2393B" w:rsidRPr="00C2393B" w:rsidRDefault="00C2393B" w:rsidP="00C2393B">
      <w:pPr>
        <w:pStyle w:val="Diagram"/>
        <w:numPr>
          <w:ilvl w:val="5"/>
          <w:numId w:val="30"/>
        </w:numPr>
        <w:rPr>
          <w:b w:val="0"/>
        </w:rPr>
      </w:pPr>
      <w:r>
        <w:rPr>
          <w:b w:val="0"/>
        </w:rPr>
        <w:t xml:space="preserve"> </w:t>
      </w:r>
      <w:proofErr w:type="gramStart"/>
      <w:r>
        <w:rPr>
          <w:b w:val="0"/>
        </w:rPr>
        <w:t>proposed</w:t>
      </w:r>
      <w:proofErr w:type="gramEnd"/>
      <w:r>
        <w:rPr>
          <w:b w:val="0"/>
        </w:rPr>
        <w:t xml:space="preserve"> subsection 968(2) by omitting the subsection and substituting with a new subsection 968(2) </w:t>
      </w:r>
      <w:r w:rsidR="00AD19D0">
        <w:rPr>
          <w:b w:val="0"/>
        </w:rPr>
        <w:t>to define the ‘notice day’</w:t>
      </w:r>
      <w:r w:rsidR="00D73EB6">
        <w:rPr>
          <w:b w:val="0"/>
        </w:rPr>
        <w:t xml:space="preserve"> for the purposes of subsection 968(1).  </w:t>
      </w:r>
    </w:p>
    <w:p w14:paraId="63017C1F" w14:textId="499BA828" w:rsidR="0057221F" w:rsidRDefault="0057221F" w:rsidP="0057221F">
      <w:pPr>
        <w:pStyle w:val="base-text-paragraph"/>
      </w:pPr>
      <w:r>
        <w:t xml:space="preserve">If a person elects to lodge a notice with ASIC, all the prohibitions and obligations under Part 7.7A will apply.  It is not possible for </w:t>
      </w:r>
      <w:r w:rsidR="0019688A">
        <w:t>a person</w:t>
      </w:r>
      <w:r>
        <w:t xml:space="preserve"> to elect to apply only a subset of Part 7.7A</w:t>
      </w:r>
      <w:r w:rsidR="0019688A">
        <w:t>.</w:t>
      </w:r>
      <w:r>
        <w:t xml:space="preserve"> </w:t>
      </w:r>
    </w:p>
    <w:p w14:paraId="255AF62E" w14:textId="77777777" w:rsidR="0057221F" w:rsidRPr="00D55664" w:rsidRDefault="0057221F" w:rsidP="0057221F">
      <w:pPr>
        <w:pStyle w:val="base-text-paragraph"/>
        <w:numPr>
          <w:ilvl w:val="0"/>
          <w:numId w:val="0"/>
        </w:numPr>
        <w:ind w:left="1134"/>
      </w:pPr>
    </w:p>
    <w:sectPr w:rsidR="0057221F" w:rsidRPr="00D55664" w:rsidSect="00821379">
      <w:headerReference w:type="even" r:id="rId34"/>
      <w:headerReference w:type="default" r:id="rId35"/>
      <w:footerReference w:type="even" r:id="rId36"/>
      <w:footerReference w:type="default" r:id="rId37"/>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C1463" w14:textId="77777777" w:rsidR="009F3EE6" w:rsidRDefault="009F3EE6">
      <w:r>
        <w:separator/>
      </w:r>
    </w:p>
  </w:endnote>
  <w:endnote w:type="continuationSeparator" w:id="0">
    <w:p w14:paraId="437C1464" w14:textId="77777777" w:rsidR="009F3EE6" w:rsidRDefault="009F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51299" w14:textId="77777777" w:rsidR="009F3EE6" w:rsidRDefault="009F3EE6" w:rsidP="0081136B">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64D82" w14:textId="77777777" w:rsidR="009F3EE6" w:rsidRDefault="009F3EE6" w:rsidP="0081136B">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B5CB8" w14:textId="77777777" w:rsidR="009F3EE6" w:rsidRDefault="009F3EE6" w:rsidP="0081136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D2F00" w14:textId="77777777" w:rsidR="009F3EE6" w:rsidRDefault="009F3EE6" w:rsidP="0081136B">
    <w:pPr>
      <w:pStyle w:val="rightfooter"/>
    </w:pPr>
    <w:r>
      <w:fldChar w:fldCharType="begin"/>
    </w:r>
    <w:r>
      <w:instrText xml:space="preserve"> PAGE  \* Arabic  \* MERGEFORMAT </w:instrText>
    </w:r>
    <w:r>
      <w:fldChar w:fldCharType="separate"/>
    </w:r>
    <w:r w:rsidR="00B55BC9">
      <w:rPr>
        <w:noProof/>
      </w:rPr>
      <w:t>5</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C1486" w14:textId="77777777" w:rsidR="009F3EE6" w:rsidRDefault="009F3EE6" w:rsidP="005A76CC">
    <w:pPr>
      <w:pStyle w:val="leftfooter"/>
    </w:pPr>
    <w:r>
      <w:fldChar w:fldCharType="begin"/>
    </w:r>
    <w:r>
      <w:instrText xml:space="preserve"> PAGE   \* MERGEFORMAT </w:instrText>
    </w:r>
    <w:r>
      <w:fldChar w:fldCharType="separate"/>
    </w:r>
    <w:r w:rsidR="00B55BC9">
      <w:rPr>
        <w:noProof/>
      </w:rPr>
      <w:t>8</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C1487" w14:textId="77777777" w:rsidR="009F3EE6" w:rsidRDefault="009F3EE6" w:rsidP="005A76CC">
    <w:pPr>
      <w:pStyle w:val="rightfooter"/>
    </w:pPr>
    <w:r>
      <w:fldChar w:fldCharType="begin"/>
    </w:r>
    <w:r>
      <w:instrText xml:space="preserve"> PAGE   \* MERGEFORMAT </w:instrText>
    </w:r>
    <w:r>
      <w:fldChar w:fldCharType="separate"/>
    </w:r>
    <w:r w:rsidR="00B55BC9">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8A4BD" w14:textId="77777777" w:rsidR="009F3EE6" w:rsidRDefault="009F3EE6" w:rsidP="0081136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EA7D6" w14:textId="77777777" w:rsidR="009F3EE6" w:rsidRDefault="009F3E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3C7DF" w14:textId="77777777" w:rsidR="009F3EE6" w:rsidRDefault="009F3EE6" w:rsidP="0081136B">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28CD6" w14:textId="77777777" w:rsidR="009F3EE6" w:rsidRDefault="009F3EE6" w:rsidP="0081136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1AEC7" w14:textId="77777777" w:rsidR="009F3EE6" w:rsidRPr="00B2068E" w:rsidRDefault="009F3EE6" w:rsidP="0081136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7DC28" w14:textId="77777777" w:rsidR="009F3EE6" w:rsidRDefault="009F3EE6" w:rsidP="0081136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2ED4A" w14:textId="77777777" w:rsidR="009F3EE6" w:rsidRDefault="009F3EE6" w:rsidP="0081136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D6C63" w14:textId="77777777" w:rsidR="009F3EE6" w:rsidRDefault="009F3EE6" w:rsidP="0081136B">
    <w:pPr>
      <w:pStyle w:val="rightfooter"/>
    </w:pPr>
    <w:r>
      <w:fldChar w:fldCharType="begin"/>
    </w:r>
    <w:r>
      <w:instrText xml:space="preserve"> PAGE  \* Arabic  \* MERGEFORMAT </w:instrText>
    </w:r>
    <w:r>
      <w:fldChar w:fldCharType="separate"/>
    </w:r>
    <w:r w:rsidR="00B55BC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C1461" w14:textId="77777777" w:rsidR="009F3EE6" w:rsidRDefault="009F3EE6">
      <w:r>
        <w:separator/>
      </w:r>
    </w:p>
  </w:footnote>
  <w:footnote w:type="continuationSeparator" w:id="0">
    <w:p w14:paraId="437C1462" w14:textId="77777777" w:rsidR="009F3EE6" w:rsidRDefault="009F3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A389F" w14:textId="77777777" w:rsidR="009F3EE6" w:rsidRDefault="009F3EE6" w:rsidP="0081136B">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DDFBF" w14:textId="77777777" w:rsidR="009F3EE6" w:rsidRDefault="009F3EE6" w:rsidP="0081136B">
    <w:pPr>
      <w:pStyle w:val="rightheader"/>
    </w:pPr>
    <w:r>
      <w:fldChar w:fldCharType="begin"/>
    </w:r>
    <w:r>
      <w:instrText xml:space="preserve"> macrobutton nomacro [Click here and enter the name of the Chapter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C1484" w14:textId="7A8B1297" w:rsidR="009F3EE6" w:rsidRDefault="009F3EE6" w:rsidP="005A76CC">
    <w:pPr>
      <w:pStyle w:val="leftheader"/>
    </w:pPr>
    <w:r>
      <w:t>Corporations Amendment (Further Future of Financial Advice Measures) Bill 2011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C1485" w14:textId="30F53147" w:rsidR="009F3EE6" w:rsidRDefault="009F3EE6" w:rsidP="005A76CC">
    <w:pPr>
      <w:pStyle w:val="rightheader"/>
    </w:pPr>
    <w:r>
      <w:t>Explanation of amendments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41B34" w14:textId="77777777" w:rsidR="009F3EE6" w:rsidRDefault="009F3EE6" w:rsidP="0081136B">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E9EFE" w14:textId="77777777" w:rsidR="009F3EE6" w:rsidRDefault="009F3E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6D5CBC" w14:textId="77777777" w:rsidR="009F3EE6" w:rsidRDefault="009F3EE6" w:rsidP="0081136B">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6D5A8" w14:textId="77777777" w:rsidR="009F3EE6" w:rsidRDefault="009F3EE6" w:rsidP="0081136B">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D2D70" w14:textId="77777777" w:rsidR="009F3EE6" w:rsidRDefault="009F3EE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BF197" w14:textId="77777777" w:rsidR="009F3EE6" w:rsidRDefault="009F3EE6" w:rsidP="0081136B">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A8185" w14:textId="77777777" w:rsidR="009F3EE6" w:rsidRDefault="009F3EE6" w:rsidP="0081136B">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B69AF" w14:textId="640F9336" w:rsidR="009F3EE6" w:rsidRDefault="009F3EE6" w:rsidP="0081136B">
    <w:pPr>
      <w:pStyle w:val="leftheader"/>
    </w:pPr>
    <w:r>
      <w:t>Corporations Amendment (Further Future of Financial Advice Measures) Bill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67A33F6"/>
    <w:multiLevelType w:val="multilevel"/>
    <w:tmpl w:val="5BC4094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7B019E2"/>
    <w:multiLevelType w:val="multilevel"/>
    <w:tmpl w:val="A316FE50"/>
    <w:numStyleLink w:val="ChapterList"/>
  </w:abstractNum>
  <w:abstractNum w:abstractNumId="13">
    <w:nsid w:val="0F5B5BBF"/>
    <w:multiLevelType w:val="multilevel"/>
    <w:tmpl w:val="A316FE50"/>
    <w:numStyleLink w:val="ChapterList"/>
  </w:abstractNum>
  <w:abstractNum w:abstractNumId="14">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19922366"/>
    <w:multiLevelType w:val="multilevel"/>
    <w:tmpl w:val="0C42A08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7320" w:hanging="360"/>
      </w:pPr>
    </w:lvl>
    <w:lvl w:ilvl="4">
      <w:start w:val="1"/>
      <w:numFmt w:val="lowerLetter"/>
      <w:lvlText w:val="(%5)"/>
      <w:lvlJc w:val="left"/>
      <w:pPr>
        <w:ind w:left="7680" w:hanging="360"/>
      </w:pPr>
    </w:lvl>
    <w:lvl w:ilvl="5">
      <w:start w:val="1"/>
      <w:numFmt w:val="lowerRoman"/>
      <w:lvlText w:val="(%6)"/>
      <w:lvlJc w:val="left"/>
      <w:pPr>
        <w:ind w:left="8040" w:hanging="360"/>
      </w:pPr>
    </w:lvl>
    <w:lvl w:ilvl="6">
      <w:start w:val="1"/>
      <w:numFmt w:val="decimal"/>
      <w:lvlText w:val="%7."/>
      <w:lvlJc w:val="left"/>
      <w:pPr>
        <w:ind w:left="8400" w:hanging="360"/>
      </w:pPr>
    </w:lvl>
    <w:lvl w:ilvl="7">
      <w:start w:val="1"/>
      <w:numFmt w:val="lowerLetter"/>
      <w:lvlText w:val="%8."/>
      <w:lvlJc w:val="left"/>
      <w:pPr>
        <w:ind w:left="8760" w:hanging="360"/>
      </w:pPr>
    </w:lvl>
    <w:lvl w:ilvl="8">
      <w:start w:val="1"/>
      <w:numFmt w:val="lowerRoman"/>
      <w:lvlText w:val="%9."/>
      <w:lvlJc w:val="left"/>
      <w:pPr>
        <w:ind w:left="9120" w:hanging="360"/>
      </w:pPr>
    </w:lvl>
  </w:abstractNum>
  <w:abstractNum w:abstractNumId="17">
    <w:nsid w:val="1BEB4EC5"/>
    <w:multiLevelType w:val="multilevel"/>
    <w:tmpl w:val="6D98FC9A"/>
    <w:numStyleLink w:val="TableDotPointList"/>
  </w:abstractNum>
  <w:abstractNum w:abstractNumId="18">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F950960"/>
    <w:multiLevelType w:val="multilevel"/>
    <w:tmpl w:val="D706BA9E"/>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nsid w:val="43FB3E18"/>
    <w:multiLevelType w:val="multilevel"/>
    <w:tmpl w:val="A316FE50"/>
    <w:numStyleLink w:val="ChapterList"/>
  </w:abstractNum>
  <w:abstractNum w:abstractNumId="24">
    <w:nsid w:val="478D416D"/>
    <w:multiLevelType w:val="multilevel"/>
    <w:tmpl w:val="469EAFC0"/>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4281CEB"/>
    <w:multiLevelType w:val="multilevel"/>
    <w:tmpl w:val="A316FE50"/>
    <w:numStyleLink w:val="ChapterList"/>
  </w:abstractNum>
  <w:abstractNum w:abstractNumId="27">
    <w:nsid w:val="65DF6494"/>
    <w:multiLevelType w:val="multilevel"/>
    <w:tmpl w:val="A316FE50"/>
    <w:numStyleLink w:val="ChapterList"/>
  </w:abstractNum>
  <w:abstractNum w:abstractNumId="28">
    <w:nsid w:val="6D302C09"/>
    <w:multiLevelType w:val="multilevel"/>
    <w:tmpl w:val="A316FE50"/>
    <w:numStyleLink w:val="ChapterList"/>
  </w:abstractNum>
  <w:abstractNum w:abstractNumId="29">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7CAC208D"/>
    <w:multiLevelType w:val="multilevel"/>
    <w:tmpl w:val="A316FE50"/>
    <w:numStyleLink w:val="ChapterList"/>
  </w:abstractNum>
  <w:num w:numId="1">
    <w:abstractNumId w:val="22"/>
  </w:num>
  <w:num w:numId="2">
    <w:abstractNumId w:val="21"/>
  </w:num>
  <w:num w:numId="3">
    <w:abstractNumId w:val="18"/>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9"/>
  </w:num>
  <w:num w:numId="17">
    <w:abstractNumId w:val="30"/>
  </w:num>
  <w:num w:numId="18">
    <w:abstractNumId w:val="10"/>
  </w:num>
  <w:num w:numId="19">
    <w:abstractNumId w:val="20"/>
  </w:num>
  <w:num w:numId="20">
    <w:abstractNumId w:val="24"/>
  </w:num>
  <w:num w:numId="21">
    <w:abstractNumId w:val="25"/>
  </w:num>
  <w:num w:numId="22">
    <w:abstractNumId w:val="14"/>
  </w:num>
  <w:num w:numId="23">
    <w:abstractNumId w:val="17"/>
  </w:num>
  <w:num w:numId="24">
    <w:abstractNumId w:val="28"/>
  </w:num>
  <w:num w:numId="25">
    <w:abstractNumId w:val="31"/>
  </w:num>
  <w:num w:numId="26">
    <w:abstractNumId w:val="26"/>
  </w:num>
  <w:num w:numId="27">
    <w:abstractNumId w:val="12"/>
  </w:num>
  <w:num w:numId="28">
    <w:abstractNumId w:val="23"/>
  </w:num>
  <w:num w:numId="29">
    <w:abstractNumId w:val="13"/>
  </w:num>
  <w:num w:numId="30">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1"/>
  </w:num>
  <w:num w:numId="32">
    <w:abstractNumId w:val="16"/>
  </w:num>
  <w:num w:numId="33">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40964"/>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10"/>
    <w:rsid w:val="00012F66"/>
    <w:rsid w:val="0002533C"/>
    <w:rsid w:val="000327A2"/>
    <w:rsid w:val="000328F1"/>
    <w:rsid w:val="0003305A"/>
    <w:rsid w:val="00034BE8"/>
    <w:rsid w:val="00050170"/>
    <w:rsid w:val="000540C7"/>
    <w:rsid w:val="0005600E"/>
    <w:rsid w:val="00067E1D"/>
    <w:rsid w:val="000705A5"/>
    <w:rsid w:val="000725C0"/>
    <w:rsid w:val="00075250"/>
    <w:rsid w:val="00076543"/>
    <w:rsid w:val="000835C7"/>
    <w:rsid w:val="00085C5D"/>
    <w:rsid w:val="0009055D"/>
    <w:rsid w:val="000960B7"/>
    <w:rsid w:val="00097886"/>
    <w:rsid w:val="000A0AFD"/>
    <w:rsid w:val="000A2094"/>
    <w:rsid w:val="000A5B26"/>
    <w:rsid w:val="000A6DBE"/>
    <w:rsid w:val="000B042E"/>
    <w:rsid w:val="000B7FBA"/>
    <w:rsid w:val="000C06D9"/>
    <w:rsid w:val="000D54A6"/>
    <w:rsid w:val="000E089D"/>
    <w:rsid w:val="000E5B9A"/>
    <w:rsid w:val="001055D6"/>
    <w:rsid w:val="001114E6"/>
    <w:rsid w:val="00121EB0"/>
    <w:rsid w:val="00123D96"/>
    <w:rsid w:val="001263AC"/>
    <w:rsid w:val="001318E4"/>
    <w:rsid w:val="00131E0C"/>
    <w:rsid w:val="0014197C"/>
    <w:rsid w:val="00147843"/>
    <w:rsid w:val="0015680F"/>
    <w:rsid w:val="00160A20"/>
    <w:rsid w:val="00162B80"/>
    <w:rsid w:val="00171034"/>
    <w:rsid w:val="00174A29"/>
    <w:rsid w:val="001835EF"/>
    <w:rsid w:val="0019688A"/>
    <w:rsid w:val="001A1BD7"/>
    <w:rsid w:val="001E6545"/>
    <w:rsid w:val="00200E96"/>
    <w:rsid w:val="00201B36"/>
    <w:rsid w:val="00213508"/>
    <w:rsid w:val="00220D6C"/>
    <w:rsid w:val="00222D57"/>
    <w:rsid w:val="00231CBA"/>
    <w:rsid w:val="00236A1C"/>
    <w:rsid w:val="00247042"/>
    <w:rsid w:val="00250154"/>
    <w:rsid w:val="0026399E"/>
    <w:rsid w:val="00266048"/>
    <w:rsid w:val="00272FD3"/>
    <w:rsid w:val="002837F2"/>
    <w:rsid w:val="002857E2"/>
    <w:rsid w:val="002A4F1C"/>
    <w:rsid w:val="002A64A2"/>
    <w:rsid w:val="002A6F2D"/>
    <w:rsid w:val="002C43E8"/>
    <w:rsid w:val="002D0B20"/>
    <w:rsid w:val="002D2436"/>
    <w:rsid w:val="002D6555"/>
    <w:rsid w:val="002E3A4D"/>
    <w:rsid w:val="002E5FD3"/>
    <w:rsid w:val="002F2244"/>
    <w:rsid w:val="002F3991"/>
    <w:rsid w:val="002F75B0"/>
    <w:rsid w:val="003141C6"/>
    <w:rsid w:val="00320374"/>
    <w:rsid w:val="003221ED"/>
    <w:rsid w:val="00323332"/>
    <w:rsid w:val="00345CCB"/>
    <w:rsid w:val="00346BEB"/>
    <w:rsid w:val="003505E3"/>
    <w:rsid w:val="00370AE1"/>
    <w:rsid w:val="00370CF4"/>
    <w:rsid w:val="003719A4"/>
    <w:rsid w:val="00376FAF"/>
    <w:rsid w:val="00377CD4"/>
    <w:rsid w:val="00380DBA"/>
    <w:rsid w:val="00386001"/>
    <w:rsid w:val="00387BAB"/>
    <w:rsid w:val="0039400F"/>
    <w:rsid w:val="003A311E"/>
    <w:rsid w:val="003A5D7E"/>
    <w:rsid w:val="003B2C77"/>
    <w:rsid w:val="003B550D"/>
    <w:rsid w:val="003B7135"/>
    <w:rsid w:val="003C1301"/>
    <w:rsid w:val="003C5BA3"/>
    <w:rsid w:val="003D6FD9"/>
    <w:rsid w:val="003D7F02"/>
    <w:rsid w:val="003E0794"/>
    <w:rsid w:val="003E68F7"/>
    <w:rsid w:val="003F096C"/>
    <w:rsid w:val="003F1667"/>
    <w:rsid w:val="003F61A8"/>
    <w:rsid w:val="00412C40"/>
    <w:rsid w:val="00424BCE"/>
    <w:rsid w:val="004264AC"/>
    <w:rsid w:val="0043366C"/>
    <w:rsid w:val="00433B1D"/>
    <w:rsid w:val="00433FD9"/>
    <w:rsid w:val="00436054"/>
    <w:rsid w:val="00436FA8"/>
    <w:rsid w:val="00441D38"/>
    <w:rsid w:val="00442FB9"/>
    <w:rsid w:val="0044391B"/>
    <w:rsid w:val="004551DB"/>
    <w:rsid w:val="00457BC3"/>
    <w:rsid w:val="00460019"/>
    <w:rsid w:val="00463988"/>
    <w:rsid w:val="004653F2"/>
    <w:rsid w:val="00465A34"/>
    <w:rsid w:val="00466B03"/>
    <w:rsid w:val="00470181"/>
    <w:rsid w:val="004710EB"/>
    <w:rsid w:val="00475D9F"/>
    <w:rsid w:val="00480C91"/>
    <w:rsid w:val="004836D2"/>
    <w:rsid w:val="00493D2F"/>
    <w:rsid w:val="004956B7"/>
    <w:rsid w:val="004B1460"/>
    <w:rsid w:val="004B755A"/>
    <w:rsid w:val="004C1468"/>
    <w:rsid w:val="004C5716"/>
    <w:rsid w:val="004D3F61"/>
    <w:rsid w:val="004D4770"/>
    <w:rsid w:val="004D6B85"/>
    <w:rsid w:val="004E076F"/>
    <w:rsid w:val="004E161F"/>
    <w:rsid w:val="00502551"/>
    <w:rsid w:val="005052B0"/>
    <w:rsid w:val="0050652E"/>
    <w:rsid w:val="00515B47"/>
    <w:rsid w:val="00515E69"/>
    <w:rsid w:val="005177DF"/>
    <w:rsid w:val="00517B68"/>
    <w:rsid w:val="00523617"/>
    <w:rsid w:val="005408E6"/>
    <w:rsid w:val="0054284D"/>
    <w:rsid w:val="0055446F"/>
    <w:rsid w:val="00555D38"/>
    <w:rsid w:val="0057221F"/>
    <w:rsid w:val="00580C19"/>
    <w:rsid w:val="00584210"/>
    <w:rsid w:val="00585AFF"/>
    <w:rsid w:val="005A5BB3"/>
    <w:rsid w:val="005A76CC"/>
    <w:rsid w:val="005B1410"/>
    <w:rsid w:val="005B22C7"/>
    <w:rsid w:val="005B546F"/>
    <w:rsid w:val="005C0475"/>
    <w:rsid w:val="005C2B1A"/>
    <w:rsid w:val="005C6FB4"/>
    <w:rsid w:val="005D0F90"/>
    <w:rsid w:val="005D5CF6"/>
    <w:rsid w:val="005E77E1"/>
    <w:rsid w:val="0060211C"/>
    <w:rsid w:val="006071CA"/>
    <w:rsid w:val="006071E9"/>
    <w:rsid w:val="00621923"/>
    <w:rsid w:val="006412C3"/>
    <w:rsid w:val="0065136D"/>
    <w:rsid w:val="00653DA2"/>
    <w:rsid w:val="006545EF"/>
    <w:rsid w:val="006655F9"/>
    <w:rsid w:val="006663E6"/>
    <w:rsid w:val="006712FD"/>
    <w:rsid w:val="00671FA1"/>
    <w:rsid w:val="006729EB"/>
    <w:rsid w:val="0067306A"/>
    <w:rsid w:val="00676AC8"/>
    <w:rsid w:val="006857AE"/>
    <w:rsid w:val="006862A3"/>
    <w:rsid w:val="006916A8"/>
    <w:rsid w:val="006A62F7"/>
    <w:rsid w:val="006C3CEB"/>
    <w:rsid w:val="006D4184"/>
    <w:rsid w:val="006E01A2"/>
    <w:rsid w:val="006E08FB"/>
    <w:rsid w:val="006E0F8A"/>
    <w:rsid w:val="006E1C21"/>
    <w:rsid w:val="006E7752"/>
    <w:rsid w:val="006F7AFB"/>
    <w:rsid w:val="007001D0"/>
    <w:rsid w:val="00703C25"/>
    <w:rsid w:val="00707039"/>
    <w:rsid w:val="00707D39"/>
    <w:rsid w:val="007112F3"/>
    <w:rsid w:val="007155B4"/>
    <w:rsid w:val="00725991"/>
    <w:rsid w:val="00725B4F"/>
    <w:rsid w:val="007329C5"/>
    <w:rsid w:val="00736240"/>
    <w:rsid w:val="007439D0"/>
    <w:rsid w:val="007454F8"/>
    <w:rsid w:val="00753239"/>
    <w:rsid w:val="00762400"/>
    <w:rsid w:val="007652BC"/>
    <w:rsid w:val="00774214"/>
    <w:rsid w:val="007777F6"/>
    <w:rsid w:val="00785F3F"/>
    <w:rsid w:val="007871CD"/>
    <w:rsid w:val="00790795"/>
    <w:rsid w:val="00792ECD"/>
    <w:rsid w:val="00793F75"/>
    <w:rsid w:val="007966EF"/>
    <w:rsid w:val="007A1A00"/>
    <w:rsid w:val="007A1BCB"/>
    <w:rsid w:val="007A4C99"/>
    <w:rsid w:val="007B23EE"/>
    <w:rsid w:val="007D1821"/>
    <w:rsid w:val="007E25E0"/>
    <w:rsid w:val="007E3C31"/>
    <w:rsid w:val="007F08D8"/>
    <w:rsid w:val="0081136B"/>
    <w:rsid w:val="00813210"/>
    <w:rsid w:val="008147F1"/>
    <w:rsid w:val="00816539"/>
    <w:rsid w:val="008212B5"/>
    <w:rsid w:val="00821379"/>
    <w:rsid w:val="00822711"/>
    <w:rsid w:val="00827930"/>
    <w:rsid w:val="00830A28"/>
    <w:rsid w:val="00832743"/>
    <w:rsid w:val="00835001"/>
    <w:rsid w:val="00836A7E"/>
    <w:rsid w:val="00844687"/>
    <w:rsid w:val="00855D57"/>
    <w:rsid w:val="00867F0F"/>
    <w:rsid w:val="008752F1"/>
    <w:rsid w:val="00885BE8"/>
    <w:rsid w:val="00890245"/>
    <w:rsid w:val="008923A4"/>
    <w:rsid w:val="008B0747"/>
    <w:rsid w:val="008B095D"/>
    <w:rsid w:val="008B31CE"/>
    <w:rsid w:val="008B56B5"/>
    <w:rsid w:val="008C2298"/>
    <w:rsid w:val="008C359D"/>
    <w:rsid w:val="008C51F4"/>
    <w:rsid w:val="008C68A9"/>
    <w:rsid w:val="008D0AE4"/>
    <w:rsid w:val="008D0F2F"/>
    <w:rsid w:val="008D75E9"/>
    <w:rsid w:val="008F1A67"/>
    <w:rsid w:val="008F726E"/>
    <w:rsid w:val="00901ED2"/>
    <w:rsid w:val="00917DED"/>
    <w:rsid w:val="00922787"/>
    <w:rsid w:val="00926E36"/>
    <w:rsid w:val="00935C6B"/>
    <w:rsid w:val="00937B71"/>
    <w:rsid w:val="0095290C"/>
    <w:rsid w:val="009530DE"/>
    <w:rsid w:val="00953F17"/>
    <w:rsid w:val="009615B2"/>
    <w:rsid w:val="0096411E"/>
    <w:rsid w:val="009710FB"/>
    <w:rsid w:val="009727DC"/>
    <w:rsid w:val="00973550"/>
    <w:rsid w:val="009759C8"/>
    <w:rsid w:val="009977B4"/>
    <w:rsid w:val="00997812"/>
    <w:rsid w:val="009A2B11"/>
    <w:rsid w:val="009A34A4"/>
    <w:rsid w:val="009A4E5F"/>
    <w:rsid w:val="009B2AD6"/>
    <w:rsid w:val="009B3657"/>
    <w:rsid w:val="009C275B"/>
    <w:rsid w:val="009C380E"/>
    <w:rsid w:val="009E6C76"/>
    <w:rsid w:val="009F3EE6"/>
    <w:rsid w:val="009F49D3"/>
    <w:rsid w:val="009F62B8"/>
    <w:rsid w:val="00A01492"/>
    <w:rsid w:val="00A03526"/>
    <w:rsid w:val="00A04A9F"/>
    <w:rsid w:val="00A07DDF"/>
    <w:rsid w:val="00A22C72"/>
    <w:rsid w:val="00A249BA"/>
    <w:rsid w:val="00A27B13"/>
    <w:rsid w:val="00A27B94"/>
    <w:rsid w:val="00A32143"/>
    <w:rsid w:val="00A332EA"/>
    <w:rsid w:val="00A37F77"/>
    <w:rsid w:val="00A44E9C"/>
    <w:rsid w:val="00A516CB"/>
    <w:rsid w:val="00A53EB2"/>
    <w:rsid w:val="00A54CD3"/>
    <w:rsid w:val="00A575AE"/>
    <w:rsid w:val="00A65D09"/>
    <w:rsid w:val="00A722B0"/>
    <w:rsid w:val="00A736AF"/>
    <w:rsid w:val="00A834B8"/>
    <w:rsid w:val="00A86F1A"/>
    <w:rsid w:val="00A9275F"/>
    <w:rsid w:val="00A93921"/>
    <w:rsid w:val="00A96322"/>
    <w:rsid w:val="00AA20C9"/>
    <w:rsid w:val="00AA2141"/>
    <w:rsid w:val="00AA50D8"/>
    <w:rsid w:val="00AA5524"/>
    <w:rsid w:val="00AB0D27"/>
    <w:rsid w:val="00AB1C9F"/>
    <w:rsid w:val="00AD19D0"/>
    <w:rsid w:val="00AD1AAD"/>
    <w:rsid w:val="00AD4ABE"/>
    <w:rsid w:val="00AD6DC4"/>
    <w:rsid w:val="00AD6E17"/>
    <w:rsid w:val="00AE23F9"/>
    <w:rsid w:val="00AF0EB2"/>
    <w:rsid w:val="00AF3340"/>
    <w:rsid w:val="00B00C37"/>
    <w:rsid w:val="00B07898"/>
    <w:rsid w:val="00B206C1"/>
    <w:rsid w:val="00B27CFF"/>
    <w:rsid w:val="00B31641"/>
    <w:rsid w:val="00B55BC9"/>
    <w:rsid w:val="00B6273D"/>
    <w:rsid w:val="00B64794"/>
    <w:rsid w:val="00B654ED"/>
    <w:rsid w:val="00B67600"/>
    <w:rsid w:val="00B725B1"/>
    <w:rsid w:val="00B7388C"/>
    <w:rsid w:val="00B7408F"/>
    <w:rsid w:val="00B75DB6"/>
    <w:rsid w:val="00B93631"/>
    <w:rsid w:val="00B94871"/>
    <w:rsid w:val="00B94FB4"/>
    <w:rsid w:val="00B9696F"/>
    <w:rsid w:val="00BA2235"/>
    <w:rsid w:val="00BA2903"/>
    <w:rsid w:val="00BA728F"/>
    <w:rsid w:val="00BA79FB"/>
    <w:rsid w:val="00BB19FD"/>
    <w:rsid w:val="00BB533F"/>
    <w:rsid w:val="00BC3DB1"/>
    <w:rsid w:val="00BD5ADA"/>
    <w:rsid w:val="00BE1D37"/>
    <w:rsid w:val="00BE681A"/>
    <w:rsid w:val="00BF1C09"/>
    <w:rsid w:val="00BF1C59"/>
    <w:rsid w:val="00C03AF3"/>
    <w:rsid w:val="00C05595"/>
    <w:rsid w:val="00C1738A"/>
    <w:rsid w:val="00C174E0"/>
    <w:rsid w:val="00C2393B"/>
    <w:rsid w:val="00C24537"/>
    <w:rsid w:val="00C259C0"/>
    <w:rsid w:val="00C26CB0"/>
    <w:rsid w:val="00C27414"/>
    <w:rsid w:val="00C32240"/>
    <w:rsid w:val="00C36F90"/>
    <w:rsid w:val="00C44D85"/>
    <w:rsid w:val="00C55BB1"/>
    <w:rsid w:val="00C55D39"/>
    <w:rsid w:val="00C643DF"/>
    <w:rsid w:val="00C6719D"/>
    <w:rsid w:val="00C744BC"/>
    <w:rsid w:val="00C8648B"/>
    <w:rsid w:val="00C920CF"/>
    <w:rsid w:val="00C975E9"/>
    <w:rsid w:val="00C978EF"/>
    <w:rsid w:val="00CA2367"/>
    <w:rsid w:val="00CA5F63"/>
    <w:rsid w:val="00CA7CDA"/>
    <w:rsid w:val="00CB007F"/>
    <w:rsid w:val="00CB6473"/>
    <w:rsid w:val="00CC059A"/>
    <w:rsid w:val="00CC09C5"/>
    <w:rsid w:val="00CC5A10"/>
    <w:rsid w:val="00CD1FA8"/>
    <w:rsid w:val="00CE1CB4"/>
    <w:rsid w:val="00CE219D"/>
    <w:rsid w:val="00CE4136"/>
    <w:rsid w:val="00CE5590"/>
    <w:rsid w:val="00CE7BAB"/>
    <w:rsid w:val="00CF3913"/>
    <w:rsid w:val="00CF5226"/>
    <w:rsid w:val="00CF5EE9"/>
    <w:rsid w:val="00CF670E"/>
    <w:rsid w:val="00CF79CB"/>
    <w:rsid w:val="00D01826"/>
    <w:rsid w:val="00D01E95"/>
    <w:rsid w:val="00D15430"/>
    <w:rsid w:val="00D22699"/>
    <w:rsid w:val="00D363E1"/>
    <w:rsid w:val="00D372B4"/>
    <w:rsid w:val="00D4029F"/>
    <w:rsid w:val="00D414F9"/>
    <w:rsid w:val="00D41740"/>
    <w:rsid w:val="00D522E9"/>
    <w:rsid w:val="00D55664"/>
    <w:rsid w:val="00D57E6B"/>
    <w:rsid w:val="00D66F0C"/>
    <w:rsid w:val="00D67ADC"/>
    <w:rsid w:val="00D73EB6"/>
    <w:rsid w:val="00D75FB3"/>
    <w:rsid w:val="00D85B38"/>
    <w:rsid w:val="00D90D9C"/>
    <w:rsid w:val="00D90EC1"/>
    <w:rsid w:val="00D93657"/>
    <w:rsid w:val="00D9526D"/>
    <w:rsid w:val="00D963F2"/>
    <w:rsid w:val="00D96930"/>
    <w:rsid w:val="00DA72C6"/>
    <w:rsid w:val="00DB1F26"/>
    <w:rsid w:val="00DB36FF"/>
    <w:rsid w:val="00DD252E"/>
    <w:rsid w:val="00DD2EC4"/>
    <w:rsid w:val="00DD6306"/>
    <w:rsid w:val="00DE2E40"/>
    <w:rsid w:val="00DE708D"/>
    <w:rsid w:val="00E01A29"/>
    <w:rsid w:val="00E035B0"/>
    <w:rsid w:val="00E110EE"/>
    <w:rsid w:val="00E2061C"/>
    <w:rsid w:val="00E31B34"/>
    <w:rsid w:val="00E47DF5"/>
    <w:rsid w:val="00E509B6"/>
    <w:rsid w:val="00E54185"/>
    <w:rsid w:val="00E7365D"/>
    <w:rsid w:val="00E74BDE"/>
    <w:rsid w:val="00E7588B"/>
    <w:rsid w:val="00E80C57"/>
    <w:rsid w:val="00E855F2"/>
    <w:rsid w:val="00E85785"/>
    <w:rsid w:val="00E87729"/>
    <w:rsid w:val="00E91A7C"/>
    <w:rsid w:val="00ED50A3"/>
    <w:rsid w:val="00EE655C"/>
    <w:rsid w:val="00EE7884"/>
    <w:rsid w:val="00EF2AEE"/>
    <w:rsid w:val="00EF521D"/>
    <w:rsid w:val="00EF5C7B"/>
    <w:rsid w:val="00EF789C"/>
    <w:rsid w:val="00F02E6C"/>
    <w:rsid w:val="00F05754"/>
    <w:rsid w:val="00F1601D"/>
    <w:rsid w:val="00F366EB"/>
    <w:rsid w:val="00F51A71"/>
    <w:rsid w:val="00F605D2"/>
    <w:rsid w:val="00F853D1"/>
    <w:rsid w:val="00F87253"/>
    <w:rsid w:val="00F918CE"/>
    <w:rsid w:val="00F920EE"/>
    <w:rsid w:val="00F92FE2"/>
    <w:rsid w:val="00F95B90"/>
    <w:rsid w:val="00FA129E"/>
    <w:rsid w:val="00FA33BB"/>
    <w:rsid w:val="00FA3792"/>
    <w:rsid w:val="00FA43D3"/>
    <w:rsid w:val="00FB147F"/>
    <w:rsid w:val="00FB53AE"/>
    <w:rsid w:val="00FC604E"/>
    <w:rsid w:val="00FC7A0F"/>
    <w:rsid w:val="00FD4A7D"/>
    <w:rsid w:val="00FD4B5C"/>
    <w:rsid w:val="00FE2ED4"/>
    <w:rsid w:val="00FE4340"/>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4"/>
    <o:shapelayout v:ext="edit">
      <o:idmap v:ext="edit" data="1"/>
    </o:shapelayout>
  </w:shapeDefaults>
  <w:decimalSymbol w:val="."/>
  <w:listSeparator w:val=","/>
  <w14:docId w14:val="437C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621923"/>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Normal"/>
    <w:qFormat/>
    <w:rsid w:val="00231CBA"/>
    <w:pPr>
      <w:spacing w:after="60"/>
      <w:outlineLvl w:val="4"/>
    </w:pPr>
    <w:rPr>
      <w:b w:val="0"/>
      <w:bCs/>
      <w:iCs/>
      <w:szCs w:val="26"/>
    </w:rPr>
  </w:style>
  <w:style w:type="paragraph" w:styleId="Heading6">
    <w:name w:val="heading 6"/>
    <w:basedOn w:val="Heading5"/>
    <w:next w:val="Normal"/>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7966EF"/>
    <w:pPr>
      <w:numPr>
        <w:ilvl w:val="1"/>
        <w:numId w:val="30"/>
      </w:numPr>
    </w:pPr>
  </w:style>
  <w:style w:type="paragraph" w:customStyle="1" w:styleId="base-text-paragraphnonumbers">
    <w:name w:val="base-text-paragraph no numbers"/>
    <w:basedOn w:val="Normal"/>
    <w:link w:val="base-text-paragraphnonumbersChar"/>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A54CD3"/>
    <w:pPr>
      <w:keepNext/>
      <w:numPr>
        <w:ilvl w:val="3"/>
        <w:numId w:val="30"/>
      </w:numPr>
      <w:tabs>
        <w:tab w:val="num" w:pos="360"/>
      </w:tabs>
    </w:pPr>
    <w:rPr>
      <w:b/>
    </w:rPr>
  </w:style>
  <w:style w:type="paragraph" w:customStyle="1" w:styleId="Diagram">
    <w:name w:val="Diagram"/>
    <w:basedOn w:val="Normal"/>
    <w:next w:val="base-text-paragraphnonumbers"/>
    <w:rsid w:val="007966EF"/>
    <w:pPr>
      <w:keepNext/>
      <w:numPr>
        <w:ilvl w:val="2"/>
        <w:numId w:val="30"/>
      </w:numPr>
      <w:spacing w:before="0" w:after="0"/>
    </w:pPr>
    <w:rPr>
      <w:b/>
    </w:rPr>
  </w:style>
  <w:style w:type="paragraph" w:customStyle="1" w:styleId="dotpoint">
    <w:name w:val="dot point"/>
    <w:basedOn w:val="Normal"/>
    <w:rsid w:val="008C51F4"/>
    <w:pPr>
      <w:numPr>
        <w:numId w:val="20"/>
      </w:numPr>
    </w:pPr>
  </w:style>
  <w:style w:type="paragraph" w:customStyle="1" w:styleId="dotpoint2">
    <w:name w:val="dot point 2"/>
    <w:basedOn w:val="Normal"/>
    <w:rsid w:val="008C51F4"/>
    <w:pPr>
      <w:numPr>
        <w:ilvl w:val="1"/>
        <w:numId w:val="20"/>
      </w:numPr>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link w:val="BaseparagraphcentredChar"/>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7966E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paragraph" w:customStyle="1" w:styleId="Bullet">
    <w:name w:val="Bullet"/>
    <w:basedOn w:val="Normal"/>
    <w:link w:val="BulletChar"/>
    <w:rsid w:val="00424BCE"/>
    <w:pPr>
      <w:numPr>
        <w:numId w:val="31"/>
      </w:numPr>
    </w:pPr>
  </w:style>
  <w:style w:type="character" w:customStyle="1" w:styleId="base-text-paragraphnonumbersChar">
    <w:name w:val="base-text-paragraph no numbers Char"/>
    <w:basedOn w:val="DefaultParagraphFont"/>
    <w:link w:val="base-text-paragraphnonumbers"/>
    <w:rsid w:val="00424BCE"/>
    <w:rPr>
      <w:sz w:val="22"/>
    </w:rPr>
  </w:style>
  <w:style w:type="character" w:customStyle="1" w:styleId="BulletChar">
    <w:name w:val="Bullet Char"/>
    <w:basedOn w:val="base-text-paragraphnonumbersChar"/>
    <w:link w:val="Bullet"/>
    <w:rsid w:val="00424BCE"/>
    <w:rPr>
      <w:sz w:val="22"/>
    </w:rPr>
  </w:style>
  <w:style w:type="paragraph" w:customStyle="1" w:styleId="Dash">
    <w:name w:val="Dash"/>
    <w:basedOn w:val="Normal"/>
    <w:link w:val="DashChar"/>
    <w:rsid w:val="00424BCE"/>
    <w:pPr>
      <w:numPr>
        <w:ilvl w:val="1"/>
        <w:numId w:val="31"/>
      </w:numPr>
    </w:pPr>
  </w:style>
  <w:style w:type="character" w:customStyle="1" w:styleId="DashChar">
    <w:name w:val="Dash Char"/>
    <w:basedOn w:val="base-text-paragraphnonumbersChar"/>
    <w:link w:val="Dash"/>
    <w:rsid w:val="00424BCE"/>
    <w:rPr>
      <w:sz w:val="22"/>
    </w:rPr>
  </w:style>
  <w:style w:type="paragraph" w:customStyle="1" w:styleId="DoubleDot">
    <w:name w:val="Double Dot"/>
    <w:basedOn w:val="Normal"/>
    <w:link w:val="DoubleDotChar"/>
    <w:rsid w:val="00424BCE"/>
    <w:pPr>
      <w:numPr>
        <w:ilvl w:val="2"/>
        <w:numId w:val="31"/>
      </w:numPr>
    </w:pPr>
  </w:style>
  <w:style w:type="character" w:customStyle="1" w:styleId="DoubleDotChar">
    <w:name w:val="Double Dot Char"/>
    <w:basedOn w:val="base-text-paragraphnonumbersChar"/>
    <w:link w:val="DoubleDot"/>
    <w:rsid w:val="00424BCE"/>
    <w:rPr>
      <w:sz w:val="22"/>
    </w:rPr>
  </w:style>
  <w:style w:type="paragraph" w:styleId="BalloonText">
    <w:name w:val="Balloon Text"/>
    <w:basedOn w:val="Normal"/>
    <w:link w:val="BalloonTextChar"/>
    <w:rsid w:val="009F62B8"/>
    <w:pPr>
      <w:spacing w:before="0" w:after="0"/>
    </w:pPr>
    <w:rPr>
      <w:rFonts w:ascii="Tahoma" w:hAnsi="Tahoma" w:cs="Tahoma"/>
      <w:sz w:val="16"/>
      <w:szCs w:val="16"/>
    </w:rPr>
  </w:style>
  <w:style w:type="character" w:customStyle="1" w:styleId="BalloonTextChar">
    <w:name w:val="Balloon Text Char"/>
    <w:basedOn w:val="DefaultParagraphFont"/>
    <w:link w:val="BalloonText"/>
    <w:rsid w:val="009F62B8"/>
    <w:rPr>
      <w:rFonts w:ascii="Tahoma" w:hAnsi="Tahoma" w:cs="Tahoma"/>
      <w:sz w:val="16"/>
      <w:szCs w:val="16"/>
    </w:rPr>
  </w:style>
  <w:style w:type="character" w:customStyle="1" w:styleId="BaseparagraphcentredChar">
    <w:name w:val="Base paragraph centred Char"/>
    <w:basedOn w:val="DefaultParagraphFont"/>
    <w:link w:val="Baseparagraphcentred"/>
    <w:locked/>
    <w:rsid w:val="00FC7A0F"/>
    <w:rPr>
      <w:sz w:val="22"/>
    </w:rPr>
  </w:style>
  <w:style w:type="character" w:styleId="CommentReference">
    <w:name w:val="annotation reference"/>
    <w:basedOn w:val="DefaultParagraphFont"/>
    <w:uiPriority w:val="99"/>
    <w:rsid w:val="00463988"/>
    <w:rPr>
      <w:sz w:val="16"/>
      <w:szCs w:val="16"/>
    </w:rPr>
  </w:style>
  <w:style w:type="paragraph" w:styleId="CommentText">
    <w:name w:val="annotation text"/>
    <w:basedOn w:val="Normal"/>
    <w:link w:val="CommentTextChar"/>
    <w:uiPriority w:val="99"/>
    <w:rsid w:val="00463988"/>
    <w:rPr>
      <w:sz w:val="20"/>
    </w:rPr>
  </w:style>
  <w:style w:type="character" w:customStyle="1" w:styleId="CommentTextChar">
    <w:name w:val="Comment Text Char"/>
    <w:basedOn w:val="DefaultParagraphFont"/>
    <w:link w:val="CommentText"/>
    <w:uiPriority w:val="99"/>
    <w:rsid w:val="00463988"/>
  </w:style>
  <w:style w:type="paragraph" w:styleId="CommentSubject">
    <w:name w:val="annotation subject"/>
    <w:basedOn w:val="CommentText"/>
    <w:next w:val="CommentText"/>
    <w:link w:val="CommentSubjectChar"/>
    <w:rsid w:val="00463988"/>
    <w:rPr>
      <w:b/>
      <w:bCs/>
    </w:rPr>
  </w:style>
  <w:style w:type="character" w:customStyle="1" w:styleId="CommentSubjectChar">
    <w:name w:val="Comment Subject Char"/>
    <w:basedOn w:val="CommentTextChar"/>
    <w:link w:val="CommentSubject"/>
    <w:rsid w:val="004639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621923"/>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Normal"/>
    <w:qFormat/>
    <w:rsid w:val="00231CBA"/>
    <w:pPr>
      <w:spacing w:after="60"/>
      <w:outlineLvl w:val="4"/>
    </w:pPr>
    <w:rPr>
      <w:b w:val="0"/>
      <w:bCs/>
      <w:iCs/>
      <w:szCs w:val="26"/>
    </w:rPr>
  </w:style>
  <w:style w:type="paragraph" w:styleId="Heading6">
    <w:name w:val="heading 6"/>
    <w:basedOn w:val="Heading5"/>
    <w:next w:val="Normal"/>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7966EF"/>
    <w:pPr>
      <w:numPr>
        <w:ilvl w:val="1"/>
        <w:numId w:val="30"/>
      </w:numPr>
    </w:pPr>
  </w:style>
  <w:style w:type="paragraph" w:customStyle="1" w:styleId="base-text-paragraphnonumbers">
    <w:name w:val="base-text-paragraph no numbers"/>
    <w:basedOn w:val="Normal"/>
    <w:link w:val="base-text-paragraphnonumbersChar"/>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A54CD3"/>
    <w:pPr>
      <w:keepNext/>
      <w:numPr>
        <w:ilvl w:val="3"/>
        <w:numId w:val="30"/>
      </w:numPr>
      <w:tabs>
        <w:tab w:val="num" w:pos="360"/>
      </w:tabs>
    </w:pPr>
    <w:rPr>
      <w:b/>
    </w:rPr>
  </w:style>
  <w:style w:type="paragraph" w:customStyle="1" w:styleId="Diagram">
    <w:name w:val="Diagram"/>
    <w:basedOn w:val="Normal"/>
    <w:next w:val="base-text-paragraphnonumbers"/>
    <w:rsid w:val="007966EF"/>
    <w:pPr>
      <w:keepNext/>
      <w:numPr>
        <w:ilvl w:val="2"/>
        <w:numId w:val="30"/>
      </w:numPr>
      <w:spacing w:before="0" w:after="0"/>
    </w:pPr>
    <w:rPr>
      <w:b/>
    </w:rPr>
  </w:style>
  <w:style w:type="paragraph" w:customStyle="1" w:styleId="dotpoint">
    <w:name w:val="dot point"/>
    <w:basedOn w:val="Normal"/>
    <w:rsid w:val="008C51F4"/>
    <w:pPr>
      <w:numPr>
        <w:numId w:val="20"/>
      </w:numPr>
    </w:pPr>
  </w:style>
  <w:style w:type="paragraph" w:customStyle="1" w:styleId="dotpoint2">
    <w:name w:val="dot point 2"/>
    <w:basedOn w:val="Normal"/>
    <w:rsid w:val="008C51F4"/>
    <w:pPr>
      <w:numPr>
        <w:ilvl w:val="1"/>
        <w:numId w:val="20"/>
      </w:numPr>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link w:val="BaseparagraphcentredChar"/>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7966E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paragraph" w:customStyle="1" w:styleId="Bullet">
    <w:name w:val="Bullet"/>
    <w:basedOn w:val="Normal"/>
    <w:link w:val="BulletChar"/>
    <w:rsid w:val="00424BCE"/>
    <w:pPr>
      <w:numPr>
        <w:numId w:val="31"/>
      </w:numPr>
    </w:pPr>
  </w:style>
  <w:style w:type="character" w:customStyle="1" w:styleId="base-text-paragraphnonumbersChar">
    <w:name w:val="base-text-paragraph no numbers Char"/>
    <w:basedOn w:val="DefaultParagraphFont"/>
    <w:link w:val="base-text-paragraphnonumbers"/>
    <w:rsid w:val="00424BCE"/>
    <w:rPr>
      <w:sz w:val="22"/>
    </w:rPr>
  </w:style>
  <w:style w:type="character" w:customStyle="1" w:styleId="BulletChar">
    <w:name w:val="Bullet Char"/>
    <w:basedOn w:val="base-text-paragraphnonumbersChar"/>
    <w:link w:val="Bullet"/>
    <w:rsid w:val="00424BCE"/>
    <w:rPr>
      <w:sz w:val="22"/>
    </w:rPr>
  </w:style>
  <w:style w:type="paragraph" w:customStyle="1" w:styleId="Dash">
    <w:name w:val="Dash"/>
    <w:basedOn w:val="Normal"/>
    <w:link w:val="DashChar"/>
    <w:rsid w:val="00424BCE"/>
    <w:pPr>
      <w:numPr>
        <w:ilvl w:val="1"/>
        <w:numId w:val="31"/>
      </w:numPr>
    </w:pPr>
  </w:style>
  <w:style w:type="character" w:customStyle="1" w:styleId="DashChar">
    <w:name w:val="Dash Char"/>
    <w:basedOn w:val="base-text-paragraphnonumbersChar"/>
    <w:link w:val="Dash"/>
    <w:rsid w:val="00424BCE"/>
    <w:rPr>
      <w:sz w:val="22"/>
    </w:rPr>
  </w:style>
  <w:style w:type="paragraph" w:customStyle="1" w:styleId="DoubleDot">
    <w:name w:val="Double Dot"/>
    <w:basedOn w:val="Normal"/>
    <w:link w:val="DoubleDotChar"/>
    <w:rsid w:val="00424BCE"/>
    <w:pPr>
      <w:numPr>
        <w:ilvl w:val="2"/>
        <w:numId w:val="31"/>
      </w:numPr>
    </w:pPr>
  </w:style>
  <w:style w:type="character" w:customStyle="1" w:styleId="DoubleDotChar">
    <w:name w:val="Double Dot Char"/>
    <w:basedOn w:val="base-text-paragraphnonumbersChar"/>
    <w:link w:val="DoubleDot"/>
    <w:rsid w:val="00424BCE"/>
    <w:rPr>
      <w:sz w:val="22"/>
    </w:rPr>
  </w:style>
  <w:style w:type="paragraph" w:styleId="BalloonText">
    <w:name w:val="Balloon Text"/>
    <w:basedOn w:val="Normal"/>
    <w:link w:val="BalloonTextChar"/>
    <w:rsid w:val="009F62B8"/>
    <w:pPr>
      <w:spacing w:before="0" w:after="0"/>
    </w:pPr>
    <w:rPr>
      <w:rFonts w:ascii="Tahoma" w:hAnsi="Tahoma" w:cs="Tahoma"/>
      <w:sz w:val="16"/>
      <w:szCs w:val="16"/>
    </w:rPr>
  </w:style>
  <w:style w:type="character" w:customStyle="1" w:styleId="BalloonTextChar">
    <w:name w:val="Balloon Text Char"/>
    <w:basedOn w:val="DefaultParagraphFont"/>
    <w:link w:val="BalloonText"/>
    <w:rsid w:val="009F62B8"/>
    <w:rPr>
      <w:rFonts w:ascii="Tahoma" w:hAnsi="Tahoma" w:cs="Tahoma"/>
      <w:sz w:val="16"/>
      <w:szCs w:val="16"/>
    </w:rPr>
  </w:style>
  <w:style w:type="character" w:customStyle="1" w:styleId="BaseparagraphcentredChar">
    <w:name w:val="Base paragraph centred Char"/>
    <w:basedOn w:val="DefaultParagraphFont"/>
    <w:link w:val="Baseparagraphcentred"/>
    <w:locked/>
    <w:rsid w:val="00FC7A0F"/>
    <w:rPr>
      <w:sz w:val="22"/>
    </w:rPr>
  </w:style>
  <w:style w:type="character" w:styleId="CommentReference">
    <w:name w:val="annotation reference"/>
    <w:basedOn w:val="DefaultParagraphFont"/>
    <w:uiPriority w:val="99"/>
    <w:rsid w:val="00463988"/>
    <w:rPr>
      <w:sz w:val="16"/>
      <w:szCs w:val="16"/>
    </w:rPr>
  </w:style>
  <w:style w:type="paragraph" w:styleId="CommentText">
    <w:name w:val="annotation text"/>
    <w:basedOn w:val="Normal"/>
    <w:link w:val="CommentTextChar"/>
    <w:uiPriority w:val="99"/>
    <w:rsid w:val="00463988"/>
    <w:rPr>
      <w:sz w:val="20"/>
    </w:rPr>
  </w:style>
  <w:style w:type="character" w:customStyle="1" w:styleId="CommentTextChar">
    <w:name w:val="Comment Text Char"/>
    <w:basedOn w:val="DefaultParagraphFont"/>
    <w:link w:val="CommentText"/>
    <w:uiPriority w:val="99"/>
    <w:rsid w:val="00463988"/>
  </w:style>
  <w:style w:type="paragraph" w:styleId="CommentSubject">
    <w:name w:val="annotation subject"/>
    <w:basedOn w:val="CommentText"/>
    <w:next w:val="CommentText"/>
    <w:link w:val="CommentSubjectChar"/>
    <w:rsid w:val="00463988"/>
    <w:rPr>
      <w:b/>
      <w:bCs/>
    </w:rPr>
  </w:style>
  <w:style w:type="character" w:customStyle="1" w:styleId="CommentSubjectChar">
    <w:name w:val="Comment Subject Char"/>
    <w:basedOn w:val="CommentTextChar"/>
    <w:link w:val="CommentSubject"/>
    <w:rsid w:val="00463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16578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11.xml"/><Relationship Id="rId37"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Explanatory%20Memorandu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BCAED125CEB43B39DAD94BDEC00A1" ma:contentTypeVersion="1" ma:contentTypeDescription="Create a new document." ma:contentTypeScope="" ma:versionID="a68b2f8c34644249b9bbcff9507eca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8685-AE6C-4D3B-BB2D-98D3B564E902}">
  <ds:schemaRefs>
    <ds:schemaRef ds:uri="http://schemas.microsoft.com/sharepoint/v3/contenttype/forms"/>
  </ds:schemaRefs>
</ds:datastoreItem>
</file>

<file path=customXml/itemProps2.xml><?xml version="1.0" encoding="utf-8"?>
<ds:datastoreItem xmlns:ds="http://schemas.openxmlformats.org/officeDocument/2006/customXml" ds:itemID="{090973A8-F213-4883-A0A6-02262164D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B9D3B0-7AE2-4C59-9422-2C0A901D6987}">
  <ds:schemaRefs>
    <ds:schemaRef ds:uri="http://purl.org/dc/dcmitype/"/>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97CF452-C65C-4C04-B38C-7AD80BA4F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 Memorandum.dotm</Template>
  <TotalTime>1761</TotalTime>
  <Pages>12</Pages>
  <Words>1489</Words>
  <Characters>7778</Characters>
  <Application>Microsoft Office Word</Application>
  <DocSecurity>0</DocSecurity>
  <Lines>648</Lines>
  <Paragraphs>289</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Hally Burton, Stephen</dc:creator>
  <cp:lastModifiedBy>spj</cp:lastModifiedBy>
  <cp:revision>60</cp:revision>
  <cp:lastPrinted>2012-04-02T23:11:00Z</cp:lastPrinted>
  <dcterms:created xsi:type="dcterms:W3CDTF">2012-03-14T01:06:00Z</dcterms:created>
  <dcterms:modified xsi:type="dcterms:W3CDTF">2012-04-05T01:38:00Z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-2062529809</vt:i4>
  </property>
  <property fmtid="{D5CDD505-2E9C-101B-9397-08002B2CF9AE}" pid="3" name="_NewReviewCycle">
    <vt:lpwstr/>
  </property>
  <property fmtid="{D5CDD505-2E9C-101B-9397-08002B2CF9AE}" pid="4" name="_EmailSubject">
    <vt:lpwstr>Commencement [SEC=IN-CONFIDENCE]</vt:lpwstr>
  </property>
  <property fmtid="{D5CDD505-2E9C-101B-9397-08002B2CF9AE}" pid="5" name="_AuthorEmail">
    <vt:lpwstr>Xenia.Stathopoulos@TREASURY.GOV.AU</vt:lpwstr>
  </property>
  <property fmtid="{D5CDD505-2E9C-101B-9397-08002B2CF9AE}" pid="6" name="_AuthorEmailDisplayName">
    <vt:lpwstr>Stathopoulos, Xenia</vt:lpwstr>
  </property>
  <property fmtid="{D5CDD505-2E9C-101B-9397-08002B2CF9AE}" pid="7" name="_PreviousAdHocReviewCycleID">
    <vt:i4>-2062529809</vt:i4>
  </property>
  <property fmtid="{D5CDD505-2E9C-101B-9397-08002B2CF9AE}" pid="8" name="ContentTypeId">
    <vt:lpwstr>0x010100D5EBCAED125CEB43B39DAD94BDEC00A1</vt:lpwstr>
  </property>
</Properties>
</file>