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3D73" w14:textId="4B3D6B41" w:rsidR="00F109D4" w:rsidRPr="00731FEA" w:rsidRDefault="00D63D3F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DRAFT </w:t>
      </w:r>
      <w:bookmarkStart w:id="0" w:name="_GoBack"/>
      <w:bookmarkEnd w:id="0"/>
      <w:r w:rsidR="00F109D4" w:rsidRPr="00731FEA">
        <w:rPr>
          <w:rFonts w:ascii="Times New Roman" w:hAnsi="Times New Roman"/>
          <w:sz w:val="24"/>
          <w:szCs w:val="24"/>
        </w:rPr>
        <w:t>EXPLANATORY STATEMENT</w:t>
      </w:r>
    </w:p>
    <w:p w14:paraId="445A4C41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D2951895A79A4C58951E7F1CF8A90E7E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 w:rsidR="007112F6">
            <w:rPr>
              <w:sz w:val="24"/>
              <w:szCs w:val="24"/>
            </w:rPr>
            <w:t>Treasurer</w:t>
          </w:r>
        </w:sdtContent>
      </w:sdt>
    </w:p>
    <w:p w14:paraId="572C2D9B" w14:textId="77777777" w:rsidR="00F109D4" w:rsidRDefault="007112F6" w:rsidP="003C7907">
      <w:pPr>
        <w:spacing w:before="240" w:after="240"/>
        <w:jc w:val="center"/>
        <w:rPr>
          <w:i/>
        </w:rPr>
      </w:pPr>
      <w:r>
        <w:rPr>
          <w:i/>
        </w:rPr>
        <w:t>Corporations Act 2001</w:t>
      </w:r>
    </w:p>
    <w:p w14:paraId="54DE84E6" w14:textId="77777777" w:rsidR="00F109D4" w:rsidRPr="00503E44" w:rsidRDefault="007112F6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Financial Sector </w:t>
      </w:r>
      <w:r w:rsidR="00F07E40">
        <w:rPr>
          <w:i/>
        </w:rPr>
        <w:t>Reform</w:t>
      </w:r>
      <w:r>
        <w:rPr>
          <w:i/>
        </w:rPr>
        <w:t xml:space="preserve"> (Hayne Royal Commission Response – Protecting Consumers) (Ongoing Fee Arrangements) Regulations 2020</w:t>
      </w:r>
    </w:p>
    <w:p w14:paraId="779D537A" w14:textId="77777777" w:rsidR="00F109D4" w:rsidRDefault="00C55D29" w:rsidP="00647BB7">
      <w:pPr>
        <w:spacing w:before="240"/>
      </w:pPr>
      <w:r w:rsidRPr="00503E44">
        <w:t xml:space="preserve">Section </w:t>
      </w:r>
      <w:r w:rsidR="007112F6">
        <w:t>1364</w:t>
      </w:r>
      <w:r w:rsidR="005E4BAC">
        <w:t xml:space="preserve"> </w:t>
      </w:r>
      <w:r w:rsidR="00F109D4" w:rsidRPr="00503E44">
        <w:t xml:space="preserve">of the </w:t>
      </w:r>
      <w:r w:rsidR="007112F6" w:rsidRPr="007112F6">
        <w:rPr>
          <w:i/>
        </w:rPr>
        <w:t>Corporations Act 2001</w:t>
      </w:r>
      <w:r w:rsidR="00F109D4" w:rsidRPr="00503E44">
        <w:t xml:space="preserve"> (the </w:t>
      </w:r>
      <w:r w:rsidR="0089673E">
        <w:t xml:space="preserve">Corporations </w:t>
      </w:r>
      <w:r w:rsidR="00F109D4" w:rsidRPr="00503E44">
        <w:t xml:space="preserve">Act) provides that the Governor-General may make regulations prescribing matters required or permitted by the </w:t>
      </w:r>
      <w:r w:rsidR="0089673E">
        <w:t xml:space="preserve">Corporations </w:t>
      </w:r>
      <w:r w:rsidR="00F109D4" w:rsidRPr="00503E44">
        <w:t xml:space="preserve">Act to be prescribed, or necessary or convenient to be prescribed for carrying out or giving effect to the </w:t>
      </w:r>
      <w:r w:rsidR="0089673E">
        <w:t xml:space="preserve">Corporations </w:t>
      </w:r>
      <w:r w:rsidR="00F109D4" w:rsidRPr="00503E44">
        <w:t>Act.</w:t>
      </w:r>
    </w:p>
    <w:p w14:paraId="09992B66" w14:textId="77777777" w:rsidR="00D16E95" w:rsidRDefault="007112F6" w:rsidP="00647BB7">
      <w:pPr>
        <w:spacing w:before="240"/>
      </w:pPr>
      <w:r>
        <w:t xml:space="preserve">These regulations </w:t>
      </w:r>
      <w:r w:rsidR="00F07E40">
        <w:t>support the operation of the</w:t>
      </w:r>
      <w:r w:rsidR="00F07E40">
        <w:rPr>
          <w:i/>
        </w:rPr>
        <w:t xml:space="preserve"> Financial Sector Reform (Hayne Royal Commission Response – Protecting Consumers (2020 Measures)) Act 2020</w:t>
      </w:r>
      <w:r w:rsidR="0089673E">
        <w:t xml:space="preserve"> (the Act) </w:t>
      </w:r>
      <w:r w:rsidR="0019289A">
        <w:t>by providing the record keeping compliance requirements for fee recipients. T</w:t>
      </w:r>
    </w:p>
    <w:p w14:paraId="69986D0C" w14:textId="517E7413" w:rsidR="00F109D4" w:rsidRPr="0089673E" w:rsidRDefault="00D16E95" w:rsidP="00647BB7">
      <w:pPr>
        <w:spacing w:before="240"/>
      </w:pPr>
      <w:r>
        <w:t>T</w:t>
      </w:r>
      <w:r w:rsidR="0019289A">
        <w:t xml:space="preserve">he Act </w:t>
      </w:r>
      <w:r w:rsidR="00DF399E">
        <w:t>implements Recommendation 2.1 of the Final Repor</w:t>
      </w:r>
      <w:r>
        <w:t>t of the Royal Commission into M</w:t>
      </w:r>
      <w:r w:rsidR="00DF399E">
        <w:t>isconduct</w:t>
      </w:r>
      <w:r>
        <w:t xml:space="preserve"> in the Banking, Superannuation and Financial Services I</w:t>
      </w:r>
      <w:r w:rsidR="00E21601">
        <w:t>ndustry</w:t>
      </w:r>
      <w:r w:rsidR="00DF399E">
        <w:t xml:space="preserve"> </w:t>
      </w:r>
      <w:r>
        <w:t xml:space="preserve">which </w:t>
      </w:r>
      <w:r w:rsidR="00DF399E">
        <w:t>requires ongoing fee arrangements</w:t>
      </w:r>
      <w:r>
        <w:t xml:space="preserve"> </w:t>
      </w:r>
      <w:r w:rsidR="00DF399E">
        <w:t>to be re</w:t>
      </w:r>
      <w:r w:rsidR="00E21601">
        <w:t xml:space="preserve">newed annually by clients, provides for </w:t>
      </w:r>
      <w:r w:rsidR="00B5716D">
        <w:t>an enhanced fee disclosure regime and require</w:t>
      </w:r>
      <w:r>
        <w:t>s</w:t>
      </w:r>
      <w:r w:rsidR="00B5716D">
        <w:t xml:space="preserve"> written consent from clients</w:t>
      </w:r>
      <w:r>
        <w:t xml:space="preserve"> to be renewed annually for ongoing fee arrangements</w:t>
      </w:r>
      <w:r w:rsidR="00B5716D">
        <w:t>.</w:t>
      </w:r>
    </w:p>
    <w:p w14:paraId="179C5DC6" w14:textId="77777777" w:rsidR="002C226C" w:rsidRDefault="002C226C" w:rsidP="002C226C">
      <w:pPr>
        <w:spacing w:before="240"/>
      </w:pPr>
      <w:r>
        <w:t xml:space="preserve">Details of the </w:t>
      </w:r>
      <w:r w:rsidR="00EB2AEF">
        <w:t>Regulations are set out in</w:t>
      </w:r>
      <w:r>
        <w:t xml:space="preserve"> </w:t>
      </w:r>
      <w:r w:rsidRPr="00317816">
        <w:rPr>
          <w:u w:val="single"/>
        </w:rPr>
        <w:t>Attachment</w:t>
      </w:r>
      <w:r w:rsidR="00EB2AEF">
        <w:rPr>
          <w:u w:val="single"/>
        </w:rPr>
        <w:t xml:space="preserve"> </w:t>
      </w:r>
      <w:r w:rsidR="00013390" w:rsidRPr="00013390">
        <w:rPr>
          <w:u w:val="single"/>
        </w:rPr>
        <w:fldChar w:fldCharType="begin"/>
      </w:r>
      <w:r w:rsidR="00013390" w:rsidRPr="00013390">
        <w:rPr>
          <w:u w:val="single"/>
        </w:rPr>
        <w:instrText xml:space="preserve"> MACROBUTTON  AcceptAllChangesInDoc [#]</w:instrText>
      </w:r>
      <w:r w:rsidR="00013390" w:rsidRPr="00013390">
        <w:rPr>
          <w:u w:val="single"/>
        </w:rPr>
        <w:fldChar w:fldCharType="end"/>
      </w:r>
    </w:p>
    <w:p w14:paraId="2070964F" w14:textId="77777777" w:rsidR="002C226C" w:rsidRDefault="002C226C" w:rsidP="00647BB7">
      <w:pPr>
        <w:spacing w:before="240"/>
      </w:pPr>
      <w:r>
        <w:t>The</w:t>
      </w:r>
      <w:r w:rsidRPr="00D3322F">
        <w:t xml:space="preserve"> Regulation</w:t>
      </w:r>
      <w:r>
        <w:t>s 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1A432254" w14:textId="77777777" w:rsidR="009143A0" w:rsidRPr="00647BB7" w:rsidRDefault="00F109D4" w:rsidP="00647BB7">
      <w:pPr>
        <w:spacing w:before="240"/>
        <w:rPr>
          <w:i/>
        </w:rPr>
      </w:pPr>
      <w:r w:rsidRPr="00503E44">
        <w:t xml:space="preserve">The Regulations commenced on </w:t>
      </w:r>
      <w:r w:rsidR="00F07E40">
        <w:t>1 July 2020.</w:t>
      </w:r>
    </w:p>
    <w:p w14:paraId="1C88AAE3" w14:textId="77777777" w:rsidR="00EA4DD8" w:rsidRDefault="00EA4DD8" w:rsidP="00EA4DD8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Pr="00013390">
        <w:rPr>
          <w:b/>
          <w:u w:val="single"/>
        </w:rPr>
        <w:fldChar w:fldCharType="begin"/>
      </w:r>
      <w:r w:rsidRPr="00013390">
        <w:rPr>
          <w:b/>
          <w:u w:val="single"/>
        </w:rPr>
        <w:instrText xml:space="preserve"> MACROBUTTON  AcceptAllChangesInDoc [#]</w:instrText>
      </w:r>
      <w:r w:rsidRPr="00013390">
        <w:rPr>
          <w:b/>
          <w:u w:val="single"/>
        </w:rPr>
        <w:fldChar w:fldCharType="end"/>
      </w:r>
    </w:p>
    <w:p w14:paraId="42108D0C" w14:textId="77777777" w:rsidR="00EA4DD8" w:rsidRDefault="00EA4DD8" w:rsidP="00EA4DD8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the </w:t>
      </w:r>
      <w:r w:rsidR="00B5716D" w:rsidRPr="00B5716D">
        <w:rPr>
          <w:b/>
          <w:i/>
          <w:u w:val="single"/>
        </w:rPr>
        <w:t>Financial Sector Reform (Hayne Royal Commission Response—Protecting Consumers) (Ongoing Fee Arrangements) Regulations 2020</w:t>
      </w:r>
      <w:r>
        <w:rPr>
          <w:b/>
          <w:bCs/>
          <w:u w:val="single"/>
        </w:rPr>
        <w:t xml:space="preserve"> </w:t>
      </w:r>
    </w:p>
    <w:p w14:paraId="0FFFE33F" w14:textId="77777777" w:rsidR="00EA4DD8" w:rsidRDefault="00EA4DD8" w:rsidP="00EA4DD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u w:val="single"/>
        </w:rPr>
        <w:t>Section 1 – Name of the Regulations</w:t>
      </w:r>
    </w:p>
    <w:p w14:paraId="66BDB237" w14:textId="64F38DAB" w:rsidR="00EA4DD8" w:rsidRDefault="00EA4DD8" w:rsidP="00EA4DD8">
      <w:pPr>
        <w:spacing w:before="240"/>
      </w:pPr>
      <w:r>
        <w:t xml:space="preserve">This section provides that the name of the Regulations is the </w:t>
      </w:r>
      <w:r w:rsidR="00B5716D" w:rsidRPr="00B5716D">
        <w:rPr>
          <w:i/>
        </w:rPr>
        <w:t>Financial Sector Reform (Hayne Royal Commission Response—Protecting Consumers) (Ongoing Fee Arrangements) Regulations 2020</w:t>
      </w:r>
      <w:r>
        <w:t xml:space="preserve"> (the Regulations).</w:t>
      </w:r>
    </w:p>
    <w:p w14:paraId="166AC904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2 – Commencement</w:t>
      </w:r>
    </w:p>
    <w:p w14:paraId="19AE5A8C" w14:textId="6450BA09" w:rsidR="00EA4DD8" w:rsidRDefault="00EA4DD8" w:rsidP="00EA4DD8">
      <w:pPr>
        <w:spacing w:before="240"/>
        <w:ind w:right="91"/>
      </w:pPr>
      <w:r>
        <w:t>Schedule 1</w:t>
      </w:r>
      <w:r w:rsidR="00D16E95">
        <w:t xml:space="preserve"> to the Regulations commence </w:t>
      </w:r>
      <w:r w:rsidR="00B5716D">
        <w:t>immediately after the commencement of Schedule</w:t>
      </w:r>
      <w:r w:rsidR="00D16E95">
        <w:t xml:space="preserve"> #</w:t>
      </w:r>
      <w:r w:rsidR="00B5716D">
        <w:t xml:space="preserve"> to </w:t>
      </w:r>
      <w:r w:rsidR="00B5716D" w:rsidRPr="00BD780B">
        <w:t xml:space="preserve">the </w:t>
      </w:r>
      <w:r w:rsidR="00B5716D" w:rsidRPr="00BD780B">
        <w:rPr>
          <w:i/>
        </w:rPr>
        <w:t>Financial Sector Reform (Hayne Royal Commission Response—Protecting Consumers (2020 Measures)) Act 2020</w:t>
      </w:r>
      <w:bookmarkStart w:id="1" w:name="BK_S1P1L19C26"/>
      <w:bookmarkEnd w:id="1"/>
      <w:r w:rsidR="00B5716D" w:rsidRPr="00BD780B">
        <w:t>.</w:t>
      </w:r>
    </w:p>
    <w:p w14:paraId="50D47A42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3 – Authority</w:t>
      </w:r>
    </w:p>
    <w:p w14:paraId="0263282C" w14:textId="77777777" w:rsidR="00EA4DD8" w:rsidRDefault="00EA4DD8" w:rsidP="00EA4DD8">
      <w:pPr>
        <w:spacing w:before="240"/>
        <w:ind w:right="91"/>
      </w:pPr>
      <w:r>
        <w:t xml:space="preserve">The Regulations are made under the </w:t>
      </w:r>
      <w:r w:rsidR="00B5716D">
        <w:rPr>
          <w:i/>
        </w:rPr>
        <w:t>Corporations Act 2001</w:t>
      </w:r>
      <w:r>
        <w:t xml:space="preserve"> (the Act).</w:t>
      </w:r>
    </w:p>
    <w:p w14:paraId="3108CC91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4 – Schedule</w:t>
      </w:r>
    </w:p>
    <w:p w14:paraId="399CB371" w14:textId="17A1A467" w:rsidR="00EA4DD8" w:rsidRDefault="00EA4DD8" w:rsidP="00EA4DD8">
      <w:pPr>
        <w:spacing w:before="240" w:after="200"/>
        <w:ind w:right="91"/>
        <w:rPr>
          <w:u w:val="single"/>
        </w:rPr>
      </w:pPr>
      <w:r>
        <w:t>This section provides that each instrument that is specified in the Schedule to this instrument will be amended or repealed as set out in the a</w:t>
      </w:r>
      <w:r w:rsidR="00D16E95">
        <w:t>pplicable items in the Schedule</w:t>
      </w:r>
      <w:r>
        <w:t>, and</w:t>
      </w:r>
      <w:r w:rsidR="00D16E95">
        <w:t xml:space="preserve"> any other item in the Schedule</w:t>
      </w:r>
      <w:r>
        <w:t xml:space="preserve"> to this instrument has effect according to its terms.</w:t>
      </w:r>
    </w:p>
    <w:p w14:paraId="4B9CBB95" w14:textId="77777777" w:rsidR="007231A7" w:rsidRDefault="00EA4DD8" w:rsidP="00EA4DD8">
      <w:pPr>
        <w:spacing w:after="0"/>
        <w:ind w:right="91"/>
        <w:rPr>
          <w:u w:val="single"/>
        </w:rPr>
      </w:pPr>
      <w:r>
        <w:rPr>
          <w:u w:val="single"/>
        </w:rPr>
        <w:t xml:space="preserve">Schedule 1 – Amendments </w:t>
      </w:r>
      <w:r w:rsidR="007231A7" w:rsidRPr="007231A7">
        <w:rPr>
          <w:i/>
          <w:u w:val="single"/>
        </w:rPr>
        <w:t>Financial Sector Reform (Hayne Royal Commission Response—Protecting Consumers) (Ongoing Fee Arrangements) Regulations 2020</w:t>
      </w:r>
    </w:p>
    <w:p w14:paraId="56D5328C" w14:textId="77777777" w:rsidR="00482B81" w:rsidRDefault="00482B81" w:rsidP="00EA4DD8">
      <w:pPr>
        <w:spacing w:before="0" w:after="0"/>
      </w:pPr>
    </w:p>
    <w:p w14:paraId="4C010285" w14:textId="3932849B" w:rsidR="007231A7" w:rsidRDefault="00D16E95" w:rsidP="00EA4DD8">
      <w:pPr>
        <w:spacing w:before="0" w:after="0"/>
        <w:rPr>
          <w:b/>
          <w:kern w:val="28"/>
        </w:rPr>
      </w:pPr>
      <w:r>
        <w:rPr>
          <w:b/>
          <w:kern w:val="28"/>
        </w:rPr>
        <w:t>Item 1</w:t>
      </w:r>
    </w:p>
    <w:p w14:paraId="5DCA841A" w14:textId="77777777" w:rsidR="007231A7" w:rsidRDefault="007231A7" w:rsidP="00EA4DD8">
      <w:pPr>
        <w:spacing w:before="0" w:after="0"/>
        <w:rPr>
          <w:b/>
          <w:kern w:val="28"/>
        </w:rPr>
      </w:pPr>
    </w:p>
    <w:p w14:paraId="3D3AC6D7" w14:textId="7338DF20" w:rsidR="007231A7" w:rsidRDefault="007231A7" w:rsidP="00EA4DD8">
      <w:pPr>
        <w:spacing w:before="0" w:after="0"/>
        <w:rPr>
          <w:kern w:val="28"/>
        </w:rPr>
      </w:pPr>
      <w:r>
        <w:rPr>
          <w:kern w:val="28"/>
        </w:rPr>
        <w:t>This item amend</w:t>
      </w:r>
      <w:r w:rsidR="00D16E95">
        <w:rPr>
          <w:kern w:val="28"/>
        </w:rPr>
        <w:t>s</w:t>
      </w:r>
      <w:r>
        <w:rPr>
          <w:kern w:val="28"/>
        </w:rPr>
        <w:t xml:space="preserve"> subregulation 7.7A.11(2) to ensure that subsection 962H(2A) in the </w:t>
      </w:r>
      <w:r w:rsidRPr="007231A7">
        <w:rPr>
          <w:kern w:val="28"/>
        </w:rPr>
        <w:t>Act</w:t>
      </w:r>
      <w:r>
        <w:rPr>
          <w:i/>
          <w:kern w:val="28"/>
        </w:rPr>
        <w:t xml:space="preserve"> </w:t>
      </w:r>
      <w:r w:rsidRPr="007231A7">
        <w:rPr>
          <w:kern w:val="28"/>
        </w:rPr>
        <w:t>does not apply in relation to regulation 7.7A.10, which deals with arrangements that are not ongoing fee arrangements.</w:t>
      </w:r>
    </w:p>
    <w:p w14:paraId="12EB0771" w14:textId="77777777" w:rsidR="007231A7" w:rsidRDefault="007231A7" w:rsidP="00EA4DD8">
      <w:pPr>
        <w:spacing w:before="0" w:after="0"/>
        <w:rPr>
          <w:kern w:val="28"/>
        </w:rPr>
      </w:pPr>
    </w:p>
    <w:p w14:paraId="5D892BA7" w14:textId="4B676B63" w:rsidR="007231A7" w:rsidRDefault="007231A7" w:rsidP="00EA4DD8">
      <w:pPr>
        <w:spacing w:before="0" w:after="0"/>
        <w:rPr>
          <w:kern w:val="28"/>
        </w:rPr>
      </w:pPr>
      <w:r>
        <w:rPr>
          <w:b/>
          <w:kern w:val="28"/>
        </w:rPr>
        <w:t>Item</w:t>
      </w:r>
      <w:r w:rsidR="00D16E95">
        <w:rPr>
          <w:b/>
          <w:kern w:val="28"/>
        </w:rPr>
        <w:t xml:space="preserve"> 2</w:t>
      </w:r>
    </w:p>
    <w:p w14:paraId="725C88F2" w14:textId="0C7B8DCE" w:rsidR="007231A7" w:rsidRDefault="007231A7" w:rsidP="00EA4DD8">
      <w:pPr>
        <w:spacing w:before="0" w:after="0"/>
        <w:rPr>
          <w:kern w:val="28"/>
        </w:rPr>
      </w:pPr>
      <w:r>
        <w:rPr>
          <w:kern w:val="28"/>
        </w:rPr>
        <w:t>This item amend</w:t>
      </w:r>
      <w:r w:rsidR="00D16E95">
        <w:rPr>
          <w:kern w:val="28"/>
        </w:rPr>
        <w:t>s</w:t>
      </w:r>
      <w:r>
        <w:rPr>
          <w:kern w:val="28"/>
        </w:rPr>
        <w:t xml:space="preserve"> Division 3 of Part 7.7A in the regulations to outline the compliance records required to be kept by fee recipients under section 962X of the Act</w:t>
      </w:r>
      <w:r w:rsidR="0084789C">
        <w:rPr>
          <w:kern w:val="28"/>
        </w:rPr>
        <w:t>.</w:t>
      </w:r>
    </w:p>
    <w:p w14:paraId="62FE9F9A" w14:textId="77777777" w:rsidR="0084789C" w:rsidRDefault="0084789C" w:rsidP="00EA4DD8">
      <w:pPr>
        <w:spacing w:before="0" w:after="0"/>
        <w:rPr>
          <w:kern w:val="28"/>
        </w:rPr>
      </w:pPr>
    </w:p>
    <w:p w14:paraId="5D3DC22B" w14:textId="4385D464" w:rsidR="0084789C" w:rsidRPr="00D16E95" w:rsidRDefault="00D16E95" w:rsidP="00EA4DD8">
      <w:pPr>
        <w:spacing w:before="0" w:after="0"/>
        <w:rPr>
          <w:b/>
          <w:kern w:val="28"/>
          <w:szCs w:val="24"/>
        </w:rPr>
      </w:pPr>
      <w:r w:rsidRPr="00D16E95">
        <w:rPr>
          <w:b/>
          <w:kern w:val="28"/>
          <w:szCs w:val="24"/>
        </w:rPr>
        <w:lastRenderedPageBreak/>
        <w:t>Item 3</w:t>
      </w:r>
    </w:p>
    <w:p w14:paraId="254EC2B1" w14:textId="77777777" w:rsidR="0084789C" w:rsidRPr="00D16E95" w:rsidRDefault="0084789C" w:rsidP="00EA4DD8">
      <w:pPr>
        <w:spacing w:before="0" w:after="0"/>
        <w:rPr>
          <w:kern w:val="28"/>
          <w:szCs w:val="24"/>
        </w:rPr>
      </w:pPr>
    </w:p>
    <w:p w14:paraId="598FB653" w14:textId="71522D07" w:rsidR="0084789C" w:rsidRPr="00D16E95" w:rsidRDefault="00D16E95" w:rsidP="00EA4DD8">
      <w:pPr>
        <w:spacing w:before="0" w:after="0"/>
        <w:rPr>
          <w:kern w:val="28"/>
          <w:szCs w:val="24"/>
        </w:rPr>
      </w:pPr>
      <w:r w:rsidRPr="00D16E95">
        <w:rPr>
          <w:kern w:val="28"/>
          <w:szCs w:val="24"/>
        </w:rPr>
        <w:t>This item amends</w:t>
      </w:r>
      <w:r w:rsidR="0084789C" w:rsidRPr="00D16E95">
        <w:rPr>
          <w:kern w:val="28"/>
          <w:szCs w:val="24"/>
        </w:rPr>
        <w:t xml:space="preserve"> the regulations to made a breach of subsection 962U(3) of the Act a civil penalty provision </w:t>
      </w:r>
      <w:r>
        <w:rPr>
          <w:kern w:val="28"/>
          <w:szCs w:val="24"/>
        </w:rPr>
        <w:t xml:space="preserve">that is </w:t>
      </w:r>
      <w:r w:rsidR="0084789C" w:rsidRPr="00D16E95">
        <w:rPr>
          <w:kern w:val="28"/>
          <w:szCs w:val="24"/>
        </w:rPr>
        <w:t xml:space="preserve">subject to an infringement notice. </w:t>
      </w:r>
    </w:p>
    <w:sectPr w:rsidR="0084789C" w:rsidRPr="00D16E95" w:rsidSect="00392BBA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A7B6B" w14:textId="77777777" w:rsidR="004D5AD2" w:rsidRDefault="004D5AD2" w:rsidP="00954679">
      <w:pPr>
        <w:spacing w:before="0" w:after="0"/>
      </w:pPr>
      <w:r>
        <w:separator/>
      </w:r>
    </w:p>
  </w:endnote>
  <w:endnote w:type="continuationSeparator" w:id="0">
    <w:p w14:paraId="7441B00A" w14:textId="77777777" w:rsidR="004D5AD2" w:rsidRDefault="004D5AD2" w:rsidP="00954679">
      <w:pPr>
        <w:spacing w:before="0" w:after="0"/>
      </w:pPr>
      <w:r>
        <w:continuationSeparator/>
      </w:r>
    </w:p>
  </w:endnote>
  <w:endnote w:type="continuationNotice" w:id="1">
    <w:p w14:paraId="28FA02AA" w14:textId="77777777" w:rsidR="004D5AD2" w:rsidRDefault="004D5A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482B514" w14:textId="71F760DA" w:rsidR="004D5AD2" w:rsidRDefault="004D5AD2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D63D3F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D63D3F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25DAB" w14:textId="77777777" w:rsidR="004D5AD2" w:rsidRDefault="004D5AD2" w:rsidP="00954679">
      <w:pPr>
        <w:spacing w:before="0" w:after="0"/>
      </w:pPr>
      <w:r>
        <w:separator/>
      </w:r>
    </w:p>
  </w:footnote>
  <w:footnote w:type="continuationSeparator" w:id="0">
    <w:p w14:paraId="725E69C1" w14:textId="77777777" w:rsidR="004D5AD2" w:rsidRDefault="004D5AD2" w:rsidP="00954679">
      <w:pPr>
        <w:spacing w:before="0" w:after="0"/>
      </w:pPr>
      <w:r>
        <w:continuationSeparator/>
      </w:r>
    </w:p>
  </w:footnote>
  <w:footnote w:type="continuationNotice" w:id="1">
    <w:p w14:paraId="09F5771C" w14:textId="77777777" w:rsidR="004D5AD2" w:rsidRDefault="004D5AD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F6"/>
    <w:rsid w:val="00013390"/>
    <w:rsid w:val="00016EA2"/>
    <w:rsid w:val="00076178"/>
    <w:rsid w:val="00095211"/>
    <w:rsid w:val="000B39A1"/>
    <w:rsid w:val="000C10DF"/>
    <w:rsid w:val="000C6935"/>
    <w:rsid w:val="00113B45"/>
    <w:rsid w:val="0019289A"/>
    <w:rsid w:val="001B7535"/>
    <w:rsid w:val="001E6A74"/>
    <w:rsid w:val="001F41D0"/>
    <w:rsid w:val="00220F16"/>
    <w:rsid w:val="00254C5B"/>
    <w:rsid w:val="002A7E1F"/>
    <w:rsid w:val="002C226C"/>
    <w:rsid w:val="002E45E6"/>
    <w:rsid w:val="003041FA"/>
    <w:rsid w:val="003342CD"/>
    <w:rsid w:val="00335042"/>
    <w:rsid w:val="00341DD1"/>
    <w:rsid w:val="00362B70"/>
    <w:rsid w:val="00377EC9"/>
    <w:rsid w:val="00392BBA"/>
    <w:rsid w:val="003954FD"/>
    <w:rsid w:val="003C7907"/>
    <w:rsid w:val="003D60D7"/>
    <w:rsid w:val="003E1CE3"/>
    <w:rsid w:val="00457958"/>
    <w:rsid w:val="00462095"/>
    <w:rsid w:val="00482B81"/>
    <w:rsid w:val="00482D4C"/>
    <w:rsid w:val="004B3C0F"/>
    <w:rsid w:val="004C05E4"/>
    <w:rsid w:val="004D5AD2"/>
    <w:rsid w:val="004E39E1"/>
    <w:rsid w:val="004F56D0"/>
    <w:rsid w:val="00503E44"/>
    <w:rsid w:val="00515283"/>
    <w:rsid w:val="00533926"/>
    <w:rsid w:val="0055675D"/>
    <w:rsid w:val="00566E8F"/>
    <w:rsid w:val="0057422E"/>
    <w:rsid w:val="005833BE"/>
    <w:rsid w:val="005D7D5A"/>
    <w:rsid w:val="005E4BAC"/>
    <w:rsid w:val="0060130D"/>
    <w:rsid w:val="0064129F"/>
    <w:rsid w:val="00647BB7"/>
    <w:rsid w:val="00680297"/>
    <w:rsid w:val="006873CE"/>
    <w:rsid w:val="006A0786"/>
    <w:rsid w:val="006C736B"/>
    <w:rsid w:val="00710E94"/>
    <w:rsid w:val="007112F6"/>
    <w:rsid w:val="007231A7"/>
    <w:rsid w:val="00727D8A"/>
    <w:rsid w:val="00731FEA"/>
    <w:rsid w:val="00736F61"/>
    <w:rsid w:val="00742253"/>
    <w:rsid w:val="007662C7"/>
    <w:rsid w:val="00776306"/>
    <w:rsid w:val="007A2E0C"/>
    <w:rsid w:val="007A55A7"/>
    <w:rsid w:val="007B1F10"/>
    <w:rsid w:val="007B335E"/>
    <w:rsid w:val="007E018D"/>
    <w:rsid w:val="007F1B71"/>
    <w:rsid w:val="00801B85"/>
    <w:rsid w:val="00807E7D"/>
    <w:rsid w:val="00831675"/>
    <w:rsid w:val="0084789C"/>
    <w:rsid w:val="0088467C"/>
    <w:rsid w:val="00894579"/>
    <w:rsid w:val="0089673E"/>
    <w:rsid w:val="008A5B67"/>
    <w:rsid w:val="008D16F7"/>
    <w:rsid w:val="008E1427"/>
    <w:rsid w:val="009143A0"/>
    <w:rsid w:val="00936902"/>
    <w:rsid w:val="00954679"/>
    <w:rsid w:val="009C6A1E"/>
    <w:rsid w:val="009E2F86"/>
    <w:rsid w:val="00A12209"/>
    <w:rsid w:val="00A36DF3"/>
    <w:rsid w:val="00A532DD"/>
    <w:rsid w:val="00A80BCF"/>
    <w:rsid w:val="00A8369C"/>
    <w:rsid w:val="00AA1689"/>
    <w:rsid w:val="00AA5770"/>
    <w:rsid w:val="00AC1D15"/>
    <w:rsid w:val="00B07B0C"/>
    <w:rsid w:val="00B25563"/>
    <w:rsid w:val="00B26D48"/>
    <w:rsid w:val="00B42EE1"/>
    <w:rsid w:val="00B5716D"/>
    <w:rsid w:val="00B8293D"/>
    <w:rsid w:val="00B92478"/>
    <w:rsid w:val="00BA6188"/>
    <w:rsid w:val="00BD61A2"/>
    <w:rsid w:val="00BE484D"/>
    <w:rsid w:val="00C37E05"/>
    <w:rsid w:val="00C55D29"/>
    <w:rsid w:val="00C91509"/>
    <w:rsid w:val="00CA0BE9"/>
    <w:rsid w:val="00CA138D"/>
    <w:rsid w:val="00CC7641"/>
    <w:rsid w:val="00D13794"/>
    <w:rsid w:val="00D16E95"/>
    <w:rsid w:val="00D24052"/>
    <w:rsid w:val="00D24386"/>
    <w:rsid w:val="00D31575"/>
    <w:rsid w:val="00D34626"/>
    <w:rsid w:val="00D34FB4"/>
    <w:rsid w:val="00D4257A"/>
    <w:rsid w:val="00D62665"/>
    <w:rsid w:val="00D63D3F"/>
    <w:rsid w:val="00D82E47"/>
    <w:rsid w:val="00DC0CDE"/>
    <w:rsid w:val="00DC4D72"/>
    <w:rsid w:val="00DF399E"/>
    <w:rsid w:val="00E0624D"/>
    <w:rsid w:val="00E21601"/>
    <w:rsid w:val="00E4438C"/>
    <w:rsid w:val="00E457F3"/>
    <w:rsid w:val="00EA4DD8"/>
    <w:rsid w:val="00EB2AEF"/>
    <w:rsid w:val="00EB7E71"/>
    <w:rsid w:val="00F07E40"/>
    <w:rsid w:val="00F109D4"/>
    <w:rsid w:val="00F15EE9"/>
    <w:rsid w:val="00F47585"/>
    <w:rsid w:val="00F85E6F"/>
    <w:rsid w:val="00FE04E4"/>
    <w:rsid w:val="00FE73F9"/>
    <w:rsid w:val="00FF1057"/>
    <w:rsid w:val="00FF3E25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07B67"/>
  <w15:docId w15:val="{C22FA974-B8C7-46BE-A6D2-9511FAC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951895A79A4C58951E7F1CF8A9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BCC9-A585-43A7-8B35-3A615D746E95}"/>
      </w:docPartPr>
      <w:docPartBody>
        <w:p w:rsidR="00E20BDF" w:rsidRDefault="00E20BDF">
          <w:pPr>
            <w:pStyle w:val="D2951895A79A4C58951E7F1CF8A90E7E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DF"/>
    <w:rsid w:val="00E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951895A79A4C58951E7F1CF8A90E7E">
    <w:name w:val="D2951895A79A4C58951E7F1CF8A90E7E"/>
  </w:style>
  <w:style w:type="paragraph" w:customStyle="1" w:styleId="88130D1317CA4BD3860757879C82BC24">
    <w:name w:val="88130D1317CA4BD3860757879C82BC24"/>
  </w:style>
  <w:style w:type="paragraph" w:customStyle="1" w:styleId="71AEA9F5717D4D6CB568BA6F37886FC6">
    <w:name w:val="71AEA9F5717D4D6CB568BA6F37886FC6"/>
  </w:style>
  <w:style w:type="paragraph" w:customStyle="1" w:styleId="297B3B88F5FD442784F6EBA583FB8CBB">
    <w:name w:val="297B3B88F5FD442784F6EBA583FB8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IconOverlay xmlns="http://schemas.microsoft.com/sharepoint/v4" xsi:nil="true"/>
    <TaxCatchAll xmlns="0f563589-9cf9-4143-b1eb-fb0534803d38">
      <Value>24</Value>
    </TaxCatchAll>
    <_dlc_DocId xmlns="0f563589-9cf9-4143-b1eb-fb0534803d38">2020RG-216-7925</_dlc_DocId>
    <_dlc_DocIdUrl xmlns="0f563589-9cf9-4143-b1eb-fb0534803d38">
      <Url>http://tweb/sites/rg/ldp/_layouts/15/DocIdRedir.aspx?ID=2020RG-216-7925</Url>
      <Description>2020RG-216-7925</Description>
    </_dlc_DocIdUrl>
    <Nature_x0020_of_x0020_documents xmlns="507a8a59-704d-43cf-b103-02b0cd527a9d"/>
    <Number_x0020_version xmlns="507a8a59-704d-43cf-b103-02b0cd527a9d" xsi:nil="true"/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26137" ma:contentTypeDescription="" ma:contentTypeScope="" ma:versionID="c7851545e12cd673ed3441a5b27f080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b4834edf1682edc18ef8980072d11487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  <xsd:enumeration value="Archived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7bc583-7cbe-45b9-a2bd-8bbb6543b37e"/>
    <ds:schemaRef ds:uri="507a8a59-704d-43cf-b103-02b0cd527a9d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49663C-0569-4C38-8AEB-5AB841D489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2DA0A4-BB45-4195-B44E-C9D4FA3C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DCA882-5840-4F0A-8FE1-0BD6415D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1104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Murray, Erin</dc:creator>
  <cp:lastModifiedBy>Casey, Kayla</cp:lastModifiedBy>
  <cp:revision>7</cp:revision>
  <cp:lastPrinted>2020-01-16T11:02:00Z</cp:lastPrinted>
  <dcterms:created xsi:type="dcterms:W3CDTF">2020-01-15T02:35:00Z</dcterms:created>
  <dcterms:modified xsi:type="dcterms:W3CDTF">2020-01-30T03:42:00Z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0x01010036BB8DE7EC542E42A8B2E98CC20CB6970095AC4D68AD35B54B84C8F2EAD3D25E24</vt:lpwstr>
  </property>
  <property fmtid="{D5CDD505-2E9C-101B-9397-08002B2CF9AE}" pid="8" name="TSYRecordClass">
    <vt:lpwstr>24;#TSY RA-9072 - Retain as national archives|d71911a4-1e32-4fc6-834f-26c4fc33e217</vt:lpwstr>
  </property>
  <property fmtid="{D5CDD505-2E9C-101B-9397-08002B2CF9AE}" pid="9" name="_dlc_DocIdItemGuid">
    <vt:lpwstr>e8dcd664-135d-4fdc-b113-2065f38f8ff7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WebId">
    <vt:lpwstr>{09392e0d-4618-463d-b4d2-50a90b9447cf}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{507a8a59-704d-43cf-b103-02b0cd527a9d}</vt:lpwstr>
  </property>
  <property fmtid="{D5CDD505-2E9C-101B-9397-08002B2CF9AE}" pid="16" name="RecordPoint_ActiveItemUniqueId">
    <vt:lpwstr>{e8dcd664-135d-4fdc-b113-2065f38f8ff7}</vt:lpwstr>
  </property>
</Properties>
</file>