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A6A82" w14:textId="77777777" w:rsidR="002841FF" w:rsidRDefault="002841FF" w:rsidP="00B17774">
      <w:pPr>
        <w:pStyle w:val="Baseparagraphcentred"/>
      </w:pPr>
      <w:bookmarkStart w:id="0" w:name="_GoBack"/>
      <w:bookmarkEnd w:id="0"/>
    </w:p>
    <w:p w14:paraId="3D8FAB2C" w14:textId="77777777" w:rsidR="002841FF" w:rsidRDefault="002841FF" w:rsidP="00B17774">
      <w:pPr>
        <w:pStyle w:val="Baseparagraphcentred"/>
      </w:pPr>
    </w:p>
    <w:p w14:paraId="4499B0A5" w14:textId="77777777" w:rsidR="002841FF" w:rsidRDefault="002841FF" w:rsidP="00B17774">
      <w:pPr>
        <w:pStyle w:val="Baseparagraphcentred"/>
      </w:pPr>
    </w:p>
    <w:p w14:paraId="107CE456" w14:textId="77777777" w:rsidR="002841FF" w:rsidRDefault="002841FF" w:rsidP="00B17774">
      <w:pPr>
        <w:pStyle w:val="Baseparagraphcentred"/>
      </w:pPr>
    </w:p>
    <w:p w14:paraId="1D0B34CF" w14:textId="77777777" w:rsidR="002841FF" w:rsidRDefault="002841FF" w:rsidP="00B17774">
      <w:pPr>
        <w:pStyle w:val="Baseparagraphcentred"/>
      </w:pPr>
    </w:p>
    <w:p w14:paraId="7D25CC73" w14:textId="77777777" w:rsidR="002841FF" w:rsidRDefault="002841FF" w:rsidP="00B17774">
      <w:pPr>
        <w:pStyle w:val="Baseparagraphcentred"/>
      </w:pPr>
    </w:p>
    <w:p w14:paraId="3ED1FDC5" w14:textId="77777777" w:rsidR="002841FF" w:rsidRDefault="002841FF" w:rsidP="00B17774">
      <w:pPr>
        <w:pStyle w:val="Baseparagraphcentred"/>
      </w:pPr>
    </w:p>
    <w:p w14:paraId="2AAC0200" w14:textId="77777777" w:rsidR="002841FF" w:rsidRDefault="002841FF" w:rsidP="00B17774">
      <w:pPr>
        <w:pStyle w:val="Baseparagraphcentred"/>
      </w:pPr>
    </w:p>
    <w:p w14:paraId="2398E6BC" w14:textId="3EAA69DC" w:rsidR="00B17774" w:rsidRDefault="00B17774" w:rsidP="00B17774">
      <w:pPr>
        <w:pStyle w:val="Baseparagraphcentred"/>
      </w:pPr>
    </w:p>
    <w:p w14:paraId="3BD880E1" w14:textId="77777777" w:rsidR="00B17774" w:rsidRDefault="00B17774" w:rsidP="00B17774">
      <w:pPr>
        <w:pStyle w:val="Baseparagraphcentred"/>
      </w:pPr>
    </w:p>
    <w:p w14:paraId="7BD5159F" w14:textId="28BCDEAE" w:rsidR="00B17774" w:rsidRDefault="00D45DC3" w:rsidP="00B17774">
      <w:pPr>
        <w:pStyle w:val="BillName"/>
      </w:pPr>
      <w:bookmarkStart w:id="1" w:name="BillName"/>
      <w:bookmarkEnd w:id="1"/>
      <w:r>
        <w:t xml:space="preserve">Financial Sector Reform (Hayne Royal Commission Response – Protecting consumers (2020 Measures)) Bill 2020: </w:t>
      </w:r>
      <w:r w:rsidR="00DC164B">
        <w:t>FSRC Rec 2.2 (</w:t>
      </w:r>
      <w:r>
        <w:t>disclosure of lack of independence)</w:t>
      </w:r>
    </w:p>
    <w:p w14:paraId="0CDF95D5" w14:textId="595AA895" w:rsidR="00D45DC3" w:rsidRPr="00D45DC3" w:rsidRDefault="00D45DC3" w:rsidP="00D45DC3">
      <w:pPr>
        <w:pStyle w:val="Baseparagraphcentred"/>
      </w:pPr>
    </w:p>
    <w:p w14:paraId="38AB6574" w14:textId="77777777" w:rsidR="00B17774" w:rsidRDefault="00B17774" w:rsidP="00B17774">
      <w:pPr>
        <w:pStyle w:val="Baseparagraphcentred"/>
      </w:pPr>
    </w:p>
    <w:p w14:paraId="225FF42D" w14:textId="77777777" w:rsidR="00B17774" w:rsidRDefault="00B17774" w:rsidP="00B17774">
      <w:pPr>
        <w:pStyle w:val="Baseparagraphcentred"/>
      </w:pPr>
    </w:p>
    <w:p w14:paraId="56271E70" w14:textId="77777777" w:rsidR="00B17774" w:rsidRDefault="00B17774" w:rsidP="00B17774">
      <w:pPr>
        <w:pStyle w:val="Baseparagraphcentred"/>
      </w:pPr>
    </w:p>
    <w:p w14:paraId="35C7A274" w14:textId="77777777" w:rsidR="00B17774" w:rsidRDefault="00B17774" w:rsidP="00B17774">
      <w:pPr>
        <w:pStyle w:val="Baseparagraphcentred"/>
      </w:pPr>
    </w:p>
    <w:p w14:paraId="0B1F6A40" w14:textId="77777777" w:rsidR="002841FF" w:rsidRDefault="002841FF" w:rsidP="00B17774">
      <w:pPr>
        <w:pStyle w:val="Baseparagraphcentred"/>
      </w:pPr>
      <w:r>
        <w:t>EXPOSURE DRAFT EXPLANATORY MATERIALS</w:t>
      </w:r>
    </w:p>
    <w:p w14:paraId="6A2E880A" w14:textId="79C163D2" w:rsidR="00B17774" w:rsidRDefault="00B17774" w:rsidP="00B17774">
      <w:pPr>
        <w:pStyle w:val="Baseparagraphcentred"/>
      </w:pPr>
    </w:p>
    <w:p w14:paraId="1625C466" w14:textId="77777777" w:rsidR="00B17774" w:rsidRDefault="00B17774" w:rsidP="00B17774">
      <w:pPr>
        <w:pStyle w:val="Baseparagraphcentred"/>
      </w:pPr>
    </w:p>
    <w:p w14:paraId="41EC2B96" w14:textId="77777777" w:rsidR="00B17774" w:rsidRDefault="00B17774" w:rsidP="00B17774">
      <w:pPr>
        <w:pStyle w:val="Baseparagraphcentred"/>
      </w:pPr>
    </w:p>
    <w:p w14:paraId="0CEB72F1" w14:textId="77777777" w:rsidR="002841FF" w:rsidRDefault="002841FF" w:rsidP="00773B68">
      <w:pPr>
        <w:pStyle w:val="ParaCentredNoSpacing"/>
      </w:pPr>
    </w:p>
    <w:p w14:paraId="1FF1AA26" w14:textId="77777777" w:rsidR="002841FF" w:rsidRDefault="002841FF" w:rsidP="00773B68">
      <w:pPr>
        <w:pStyle w:val="ParaCentredNoSpacing"/>
      </w:pPr>
    </w:p>
    <w:p w14:paraId="2C1FC0E0" w14:textId="35448010" w:rsidR="00773B68" w:rsidRDefault="00773B68" w:rsidP="00773B68">
      <w:pPr>
        <w:pStyle w:val="ParaCentredNoSpacing"/>
      </w:pPr>
    </w:p>
    <w:p w14:paraId="59371F60" w14:textId="77777777" w:rsidR="00B17774" w:rsidRDefault="00B17774" w:rsidP="00B17774"/>
    <w:p w14:paraId="32BB8316"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5EA0BB55" w14:textId="77777777" w:rsidR="00B17774" w:rsidRPr="003E0794" w:rsidRDefault="00B17774" w:rsidP="00B17774">
      <w:pPr>
        <w:pStyle w:val="TOCHeading"/>
      </w:pPr>
      <w:r w:rsidRPr="003E0794">
        <w:lastRenderedPageBreak/>
        <w:t>Table of contents</w:t>
      </w:r>
    </w:p>
    <w:p w14:paraId="3DA98343" w14:textId="13A77E51" w:rsidR="002841FF"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2841FF">
        <w:t>Glossary</w:t>
      </w:r>
      <w:r w:rsidR="002841FF">
        <w:tab/>
      </w:r>
      <w:r w:rsidR="002841FF">
        <w:fldChar w:fldCharType="begin"/>
      </w:r>
      <w:r w:rsidR="002841FF">
        <w:instrText xml:space="preserve"> PAGEREF _Toc29984232 \h </w:instrText>
      </w:r>
      <w:r w:rsidR="002841FF">
        <w:fldChar w:fldCharType="separate"/>
      </w:r>
      <w:r w:rsidR="00494B12">
        <w:t>1</w:t>
      </w:r>
      <w:r w:rsidR="002841FF">
        <w:fldChar w:fldCharType="end"/>
      </w:r>
    </w:p>
    <w:p w14:paraId="2B1D7449" w14:textId="39EBCDD3" w:rsidR="002841FF" w:rsidRDefault="002841FF">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Disclosure of lack of independence</w:t>
      </w:r>
      <w:r>
        <w:rPr>
          <w:noProof/>
        </w:rPr>
        <w:tab/>
      </w:r>
      <w:r>
        <w:rPr>
          <w:noProof/>
        </w:rPr>
        <w:fldChar w:fldCharType="begin"/>
      </w:r>
      <w:r>
        <w:rPr>
          <w:noProof/>
        </w:rPr>
        <w:instrText xml:space="preserve"> PAGEREF _Toc29984233 \h </w:instrText>
      </w:r>
      <w:r>
        <w:rPr>
          <w:noProof/>
        </w:rPr>
      </w:r>
      <w:r>
        <w:rPr>
          <w:noProof/>
        </w:rPr>
        <w:fldChar w:fldCharType="separate"/>
      </w:r>
      <w:r w:rsidR="00494B12">
        <w:rPr>
          <w:noProof/>
        </w:rPr>
        <w:t>3</w:t>
      </w:r>
      <w:r>
        <w:rPr>
          <w:noProof/>
        </w:rPr>
        <w:fldChar w:fldCharType="end"/>
      </w:r>
    </w:p>
    <w:p w14:paraId="06175837" w14:textId="1FE5603B" w:rsidR="00E5385B" w:rsidRDefault="00734F84" w:rsidP="00295ABD">
      <w:pPr>
        <w:rPr>
          <w:rFonts w:ascii="Helvetica" w:hAnsi="Helvetica"/>
          <w:noProof/>
          <w:sz w:val="24"/>
        </w:rPr>
      </w:pPr>
      <w:r>
        <w:rPr>
          <w:rFonts w:ascii="Helvetica" w:hAnsi="Helvetica"/>
          <w:noProof/>
          <w:sz w:val="24"/>
        </w:rPr>
        <w:fldChar w:fldCharType="end"/>
      </w:r>
    </w:p>
    <w:p w14:paraId="489FF811" w14:textId="77777777" w:rsidR="00B17774" w:rsidRDefault="00B17774" w:rsidP="00B17774">
      <w:pPr>
        <w:pStyle w:val="Hiddentext"/>
      </w:pPr>
    </w:p>
    <w:p w14:paraId="3BFC85F5"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61ABE36A" w14:textId="77777777" w:rsidR="00B17774" w:rsidRPr="00567602" w:rsidRDefault="00B17774" w:rsidP="00567602">
      <w:pPr>
        <w:pStyle w:val="Chapterheadingsubdocument"/>
      </w:pPr>
      <w:bookmarkStart w:id="2" w:name="_Toc29984232"/>
      <w:r w:rsidRPr="00567602">
        <w:rPr>
          <w:rStyle w:val="ChapterNameOnly"/>
        </w:rPr>
        <w:lastRenderedPageBreak/>
        <w:t>Glossary</w:t>
      </w:r>
      <w:bookmarkEnd w:id="2"/>
    </w:p>
    <w:p w14:paraId="1A404A6D" w14:textId="77777777"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77B742CA" w14:textId="77777777" w:rsidTr="00CB1A74">
        <w:tc>
          <w:tcPr>
            <w:tcW w:w="2721" w:type="dxa"/>
          </w:tcPr>
          <w:p w14:paraId="2F74072C" w14:textId="77777777" w:rsidR="00B17774" w:rsidRPr="00123D96" w:rsidRDefault="00B17774" w:rsidP="00125C10">
            <w:pPr>
              <w:pStyle w:val="tableheaderwithintable"/>
            </w:pPr>
            <w:r w:rsidRPr="00123D96">
              <w:t>Abbreviation</w:t>
            </w:r>
          </w:p>
        </w:tc>
        <w:tc>
          <w:tcPr>
            <w:tcW w:w="3885" w:type="dxa"/>
          </w:tcPr>
          <w:p w14:paraId="1143F915" w14:textId="77777777" w:rsidR="00B17774" w:rsidRPr="00123D96" w:rsidRDefault="00B17774" w:rsidP="00125C10">
            <w:pPr>
              <w:pStyle w:val="tableheaderwithintable"/>
            </w:pPr>
            <w:r w:rsidRPr="00123D96">
              <w:t>Definition</w:t>
            </w:r>
          </w:p>
        </w:tc>
      </w:tr>
      <w:tr w:rsidR="00B17774" w:rsidRPr="002C43E8" w14:paraId="14076B62" w14:textId="77777777" w:rsidTr="00CB1A74">
        <w:tc>
          <w:tcPr>
            <w:tcW w:w="2721" w:type="dxa"/>
          </w:tcPr>
          <w:p w14:paraId="4C8A2702" w14:textId="2178C539" w:rsidR="00B17774" w:rsidRPr="002C43E8" w:rsidRDefault="00D45DC3" w:rsidP="00125C10">
            <w:pPr>
              <w:pStyle w:val="Glossarytabletext"/>
              <w:rPr>
                <w:lang w:val="en-US" w:eastAsia="en-US"/>
              </w:rPr>
            </w:pPr>
            <w:bookmarkStart w:id="3" w:name="GlossaryTableStart"/>
            <w:bookmarkEnd w:id="3"/>
            <w:r>
              <w:rPr>
                <w:lang w:val="en-US" w:eastAsia="en-US"/>
              </w:rPr>
              <w:t>ASIC</w:t>
            </w:r>
          </w:p>
        </w:tc>
        <w:tc>
          <w:tcPr>
            <w:tcW w:w="3885" w:type="dxa"/>
          </w:tcPr>
          <w:p w14:paraId="6B0759A8" w14:textId="22AAD2DC" w:rsidR="00B17774" w:rsidRPr="002C43E8" w:rsidRDefault="00D45DC3" w:rsidP="00125C10">
            <w:pPr>
              <w:pStyle w:val="Glossarytabletext"/>
              <w:rPr>
                <w:lang w:val="en-US" w:eastAsia="en-US"/>
              </w:rPr>
            </w:pPr>
            <w:r>
              <w:rPr>
                <w:lang w:val="en-US" w:eastAsia="en-US"/>
              </w:rPr>
              <w:t xml:space="preserve">Australian Securities </w:t>
            </w:r>
            <w:r w:rsidR="00B27877">
              <w:rPr>
                <w:lang w:val="en-US" w:eastAsia="en-US"/>
              </w:rPr>
              <w:t>and</w:t>
            </w:r>
            <w:r>
              <w:rPr>
                <w:lang w:val="en-US" w:eastAsia="en-US"/>
              </w:rPr>
              <w:t xml:space="preserve"> Investments Commission</w:t>
            </w:r>
          </w:p>
        </w:tc>
      </w:tr>
      <w:tr w:rsidR="00B17774" w:rsidRPr="002C43E8" w14:paraId="2E26ECDC" w14:textId="77777777" w:rsidTr="00CB1A74">
        <w:tc>
          <w:tcPr>
            <w:tcW w:w="2721" w:type="dxa"/>
          </w:tcPr>
          <w:p w14:paraId="7BAF510F" w14:textId="1541620B" w:rsidR="00B17774" w:rsidRPr="002C43E8" w:rsidRDefault="00675F92" w:rsidP="00125C10">
            <w:pPr>
              <w:pStyle w:val="Glossarytabletext"/>
              <w:rPr>
                <w:lang w:val="en-US" w:eastAsia="en-US"/>
              </w:rPr>
            </w:pPr>
            <w:r>
              <w:rPr>
                <w:lang w:val="en-US" w:eastAsia="en-US"/>
              </w:rPr>
              <w:t>Bill</w:t>
            </w:r>
          </w:p>
        </w:tc>
        <w:tc>
          <w:tcPr>
            <w:tcW w:w="3885" w:type="dxa"/>
          </w:tcPr>
          <w:p w14:paraId="0FC5B113" w14:textId="6FBD5649" w:rsidR="00B17774" w:rsidRPr="002C43E8" w:rsidRDefault="00675F92" w:rsidP="00125C10">
            <w:pPr>
              <w:pStyle w:val="Glossarytabletext"/>
              <w:rPr>
                <w:lang w:val="en-US" w:eastAsia="en-US"/>
              </w:rPr>
            </w:pPr>
            <w:r>
              <w:rPr>
                <w:lang w:val="en-US" w:eastAsia="en-US"/>
              </w:rPr>
              <w:t>Financial Sector Reform (Hayne Royal Commission Response – Protecting Consumers (2020 Measures)</w:t>
            </w:r>
            <w:r w:rsidR="00DC164B">
              <w:rPr>
                <w:lang w:val="en-US" w:eastAsia="en-US"/>
              </w:rPr>
              <w:t>)</w:t>
            </w:r>
            <w:r>
              <w:rPr>
                <w:lang w:val="en-US" w:eastAsia="en-US"/>
              </w:rPr>
              <w:t xml:space="preserve"> Bill 2020</w:t>
            </w:r>
          </w:p>
        </w:tc>
      </w:tr>
      <w:tr w:rsidR="00B17774" w:rsidRPr="002C43E8" w14:paraId="2737B737" w14:textId="77777777" w:rsidTr="00CB1A74">
        <w:tc>
          <w:tcPr>
            <w:tcW w:w="2721" w:type="dxa"/>
          </w:tcPr>
          <w:p w14:paraId="26598E4A" w14:textId="77C4D7FF" w:rsidR="00B17774" w:rsidRPr="002C43E8" w:rsidRDefault="00934F53" w:rsidP="00125C10">
            <w:pPr>
              <w:pStyle w:val="Glossarytabletext"/>
              <w:rPr>
                <w:lang w:val="en-US" w:eastAsia="en-US"/>
              </w:rPr>
            </w:pPr>
            <w:r>
              <w:rPr>
                <w:lang w:val="en-US" w:eastAsia="en-US"/>
              </w:rPr>
              <w:t>Corporations Act</w:t>
            </w:r>
          </w:p>
        </w:tc>
        <w:tc>
          <w:tcPr>
            <w:tcW w:w="3885" w:type="dxa"/>
          </w:tcPr>
          <w:p w14:paraId="54B4629B" w14:textId="79A18D99" w:rsidR="00B17774" w:rsidRPr="002C43E8" w:rsidRDefault="00934F53" w:rsidP="00125C10">
            <w:pPr>
              <w:pStyle w:val="Glossarytabletext"/>
              <w:rPr>
                <w:lang w:val="en-US" w:eastAsia="en-US"/>
              </w:rPr>
            </w:pPr>
            <w:r>
              <w:rPr>
                <w:i/>
                <w:lang w:val="en-US" w:eastAsia="en-US"/>
              </w:rPr>
              <w:t>Corporations Act 2001</w:t>
            </w:r>
          </w:p>
        </w:tc>
      </w:tr>
      <w:tr w:rsidR="00A94FD6" w:rsidRPr="002C43E8" w14:paraId="4D100B41" w14:textId="77777777" w:rsidTr="00CB1A74">
        <w:tc>
          <w:tcPr>
            <w:tcW w:w="2721" w:type="dxa"/>
          </w:tcPr>
          <w:p w14:paraId="33C12E3E" w14:textId="625C54DD" w:rsidR="00A94FD6" w:rsidRDefault="00A94FD6" w:rsidP="00125C10">
            <w:pPr>
              <w:pStyle w:val="Glossarytabletext"/>
              <w:rPr>
                <w:lang w:val="en-US" w:eastAsia="en-US"/>
              </w:rPr>
            </w:pPr>
            <w:r>
              <w:rPr>
                <w:lang w:val="en-US" w:eastAsia="en-US"/>
              </w:rPr>
              <w:t>FSRC</w:t>
            </w:r>
          </w:p>
        </w:tc>
        <w:tc>
          <w:tcPr>
            <w:tcW w:w="3885" w:type="dxa"/>
          </w:tcPr>
          <w:p w14:paraId="1517CC94" w14:textId="27393152" w:rsidR="00A94FD6" w:rsidRPr="00214BFD" w:rsidRDefault="00A94FD6" w:rsidP="00125C10">
            <w:pPr>
              <w:pStyle w:val="Glossarytabletext"/>
              <w:rPr>
                <w:lang w:val="en-US" w:eastAsia="en-US"/>
              </w:rPr>
            </w:pPr>
            <w:r>
              <w:rPr>
                <w:lang w:val="en-US" w:eastAsia="en-US"/>
              </w:rPr>
              <w:t>The Royal Commission into Misconduct in the Banking, Superannuation and Financial Services Industry</w:t>
            </w:r>
          </w:p>
        </w:tc>
      </w:tr>
    </w:tbl>
    <w:p w14:paraId="46F6ADE3" w14:textId="77777777" w:rsidR="00E5385B" w:rsidRDefault="00E5385B" w:rsidP="00B17774"/>
    <w:p w14:paraId="0079AE04" w14:textId="77777777" w:rsidR="00B17774" w:rsidRDefault="00B17774" w:rsidP="00B17774"/>
    <w:p w14:paraId="57158D0B"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1C64B72A" w14:textId="0A5DCBEF" w:rsidR="00B17774" w:rsidRPr="007C2B20" w:rsidRDefault="00840701" w:rsidP="000C2A9D">
      <w:pPr>
        <w:pStyle w:val="ChapterHeading"/>
      </w:pPr>
      <w:r w:rsidRPr="000C2A9D">
        <w:lastRenderedPageBreak/>
        <w:br/>
      </w:r>
      <w:bookmarkStart w:id="4" w:name="_Toc29984233"/>
      <w:r w:rsidR="00D45DC3">
        <w:rPr>
          <w:rStyle w:val="ChapterNameOnly"/>
        </w:rPr>
        <w:t>Disclosure of lack of independence</w:t>
      </w:r>
      <w:bookmarkEnd w:id="4"/>
      <w:r w:rsidR="00D45DC3">
        <w:rPr>
          <w:rStyle w:val="ChapterNameOnly"/>
        </w:rPr>
        <w:t xml:space="preserve"> </w:t>
      </w:r>
    </w:p>
    <w:p w14:paraId="5ED3808D" w14:textId="77777777" w:rsidR="00B17774" w:rsidRDefault="00B17774" w:rsidP="00B17774">
      <w:pPr>
        <w:pStyle w:val="Heading2"/>
      </w:pPr>
      <w:r>
        <w:t>Outline of chapter</w:t>
      </w:r>
    </w:p>
    <w:p w14:paraId="094FAB20" w14:textId="344908C0" w:rsidR="009D603D" w:rsidRDefault="00675F92" w:rsidP="00B17774">
      <w:pPr>
        <w:numPr>
          <w:ilvl w:val="1"/>
          <w:numId w:val="7"/>
        </w:numPr>
      </w:pPr>
      <w:r w:rsidRPr="00934F53">
        <w:t xml:space="preserve">Schedule </w:t>
      </w:r>
      <w:r w:rsidR="003B7028">
        <w:t xml:space="preserve"># </w:t>
      </w:r>
      <w:r w:rsidR="00FC6070">
        <w:t xml:space="preserve">amends the Corporations Act to </w:t>
      </w:r>
      <w:r w:rsidR="00EE14A3">
        <w:t>require</w:t>
      </w:r>
      <w:r w:rsidR="001C12F3">
        <w:t xml:space="preserve"> a providing entity (a financial services licensee or authorised representative)</w:t>
      </w:r>
      <w:r w:rsidR="00EE14A3">
        <w:t xml:space="preserve"> </w:t>
      </w:r>
      <w:r w:rsidR="009D603D">
        <w:t>to give a written disclosure of lack of independence</w:t>
      </w:r>
      <w:r w:rsidR="00A94FD6">
        <w:t xml:space="preserve"> (in a form prescribed by ASIC)</w:t>
      </w:r>
      <w:r w:rsidR="009D603D">
        <w:t xml:space="preserve"> </w:t>
      </w:r>
      <w:r w:rsidR="00FA384E">
        <w:t>where</w:t>
      </w:r>
      <w:r w:rsidR="00FC6070">
        <w:t xml:space="preserve"> </w:t>
      </w:r>
      <w:r w:rsidR="009D603D">
        <w:t xml:space="preserve">they </w:t>
      </w:r>
      <w:r w:rsidR="005B279D">
        <w:t xml:space="preserve">are authorised to </w:t>
      </w:r>
      <w:r w:rsidR="00FC6070">
        <w:t>pro</w:t>
      </w:r>
      <w:r w:rsidR="009D603D">
        <w:t>vide</w:t>
      </w:r>
      <w:r w:rsidR="00FC6070">
        <w:t xml:space="preserve"> personal advice to a retail client.</w:t>
      </w:r>
    </w:p>
    <w:p w14:paraId="72F78733" w14:textId="44858B72" w:rsidR="00B17774" w:rsidRDefault="00FC6070" w:rsidP="00B17774">
      <w:pPr>
        <w:numPr>
          <w:ilvl w:val="1"/>
          <w:numId w:val="7"/>
        </w:numPr>
      </w:pPr>
      <w:r>
        <w:t>All legislative references in this Chapter are to the Corporations Act unless otherwise stated.</w:t>
      </w:r>
      <w:r w:rsidR="00675F92">
        <w:t xml:space="preserve"> </w:t>
      </w:r>
    </w:p>
    <w:p w14:paraId="1D0A9189" w14:textId="77777777" w:rsidR="00B17774" w:rsidRDefault="00B17774" w:rsidP="00B17774">
      <w:pPr>
        <w:pStyle w:val="Heading2"/>
      </w:pPr>
      <w:r>
        <w:t>Context of amendments</w:t>
      </w:r>
    </w:p>
    <w:p w14:paraId="7972306F" w14:textId="7349A10A" w:rsidR="00B51292" w:rsidRDefault="00A36952" w:rsidP="004E6356">
      <w:pPr>
        <w:pStyle w:val="Heading3"/>
      </w:pPr>
      <w:r>
        <w:t>Existing law</w:t>
      </w:r>
    </w:p>
    <w:p w14:paraId="6D5DE1C7" w14:textId="02B04C5E" w:rsidR="00C84569" w:rsidRDefault="00C84569">
      <w:pPr>
        <w:pStyle w:val="base-text-paragraph"/>
      </w:pPr>
      <w:r>
        <w:t xml:space="preserve">Entities providing financial services are subject to a range of regulatory requirements </w:t>
      </w:r>
      <w:r w:rsidR="00B22E5D">
        <w:t xml:space="preserve">to protect clients. These obligations include restrictions on the use of terms that indicate </w:t>
      </w:r>
      <w:r w:rsidR="00A94FD6">
        <w:t xml:space="preserve">that </w:t>
      </w:r>
      <w:r w:rsidR="00B22E5D">
        <w:t>the entity is independent (if this is not the case) and to provide disclosure documents.</w:t>
      </w:r>
    </w:p>
    <w:p w14:paraId="50031F21" w14:textId="6A08C441" w:rsidR="00C84569" w:rsidRDefault="00C84569" w:rsidP="004E6356">
      <w:pPr>
        <w:pStyle w:val="Heading4"/>
      </w:pPr>
      <w:r>
        <w:t>Lack of independence</w:t>
      </w:r>
    </w:p>
    <w:p w14:paraId="70F8E98E" w14:textId="58345264" w:rsidR="00A36952" w:rsidRDefault="00A36952" w:rsidP="00A36952">
      <w:pPr>
        <w:pStyle w:val="base-text-paragraph"/>
      </w:pPr>
      <w:r>
        <w:t>Under subsection 923A(1)</w:t>
      </w:r>
      <w:r w:rsidR="00716F2B">
        <w:t>,</w:t>
      </w:r>
      <w:r>
        <w:t xml:space="preserve"> the assumption and use of certain words or expressions </w:t>
      </w:r>
      <w:r w:rsidRPr="009D603D">
        <w:t xml:space="preserve">(including ‘independent’, ‘impartial’ and ‘unbiased’) </w:t>
      </w:r>
      <w:r w:rsidR="00C174DE">
        <w:t>by or on behalf of entities providing financial services or carrying</w:t>
      </w:r>
      <w:r w:rsidR="00A94FD6">
        <w:t xml:space="preserve"> on</w:t>
      </w:r>
      <w:r w:rsidR="00C174DE">
        <w:t xml:space="preserve"> a financial services business </w:t>
      </w:r>
      <w:r>
        <w:t xml:space="preserve">is restricted. </w:t>
      </w:r>
    </w:p>
    <w:p w14:paraId="677212B9" w14:textId="5F132934" w:rsidR="00EA078E" w:rsidRDefault="00643FF8" w:rsidP="00A36952">
      <w:pPr>
        <w:pStyle w:val="base-text-paragraph"/>
      </w:pPr>
      <w:r>
        <w:t>Under subsection 923A(2), a</w:t>
      </w:r>
      <w:r w:rsidR="00883DE3">
        <w:t xml:space="preserve"> person may only use </w:t>
      </w:r>
      <w:r w:rsidR="00D6154E">
        <w:t xml:space="preserve">a </w:t>
      </w:r>
      <w:r w:rsidR="00883DE3">
        <w:t xml:space="preserve">restricted word or expression in relation to a </w:t>
      </w:r>
      <w:r w:rsidR="001C12F3">
        <w:t xml:space="preserve">financial services </w:t>
      </w:r>
      <w:r w:rsidR="00EA078E">
        <w:t xml:space="preserve">business or </w:t>
      </w:r>
      <w:r w:rsidR="007B57D3">
        <w:t xml:space="preserve">financial </w:t>
      </w:r>
      <w:r w:rsidR="00EA078E">
        <w:t>service if, broadly:</w:t>
      </w:r>
    </w:p>
    <w:p w14:paraId="60878F46" w14:textId="5A30306A" w:rsidR="00EA078E" w:rsidRDefault="00883DE3" w:rsidP="004E6356">
      <w:pPr>
        <w:pStyle w:val="dotpoint"/>
      </w:pPr>
      <w:r>
        <w:t xml:space="preserve">the person </w:t>
      </w:r>
      <w:r w:rsidR="001C12F3">
        <w:t xml:space="preserve">(or anyone providing a financial service on their behalf or anyone on whose behalf they are providing a financial service) </w:t>
      </w:r>
      <w:r>
        <w:t xml:space="preserve">does </w:t>
      </w:r>
      <w:r w:rsidRPr="00214BFD">
        <w:rPr>
          <w:b/>
        </w:rPr>
        <w:t>not</w:t>
      </w:r>
      <w:r>
        <w:t xml:space="preserve"> receive</w:t>
      </w:r>
      <w:r w:rsidR="00EA078E">
        <w:t>:</w:t>
      </w:r>
    </w:p>
    <w:p w14:paraId="4A2928FD" w14:textId="6A2B196A" w:rsidR="00EA078E" w:rsidRDefault="00883DE3">
      <w:pPr>
        <w:pStyle w:val="dotpoint"/>
        <w:numPr>
          <w:ilvl w:val="1"/>
          <w:numId w:val="11"/>
        </w:numPr>
      </w:pPr>
      <w:r>
        <w:t>a commission</w:t>
      </w:r>
      <w:r w:rsidR="001C12F3">
        <w:t xml:space="preserve"> (other than a commission that is rebated in full)</w:t>
      </w:r>
      <w:r w:rsidR="00EA078E">
        <w:t>;</w:t>
      </w:r>
    </w:p>
    <w:p w14:paraId="5F55B131" w14:textId="417C9C55" w:rsidR="00EA078E" w:rsidRDefault="00883DE3">
      <w:pPr>
        <w:pStyle w:val="dotpoint"/>
        <w:numPr>
          <w:ilvl w:val="1"/>
          <w:numId w:val="11"/>
        </w:numPr>
      </w:pPr>
      <w:r>
        <w:t xml:space="preserve">remuneration calculated based on the volume </w:t>
      </w:r>
      <w:r w:rsidR="00EA078E">
        <w:t>of business placed by the person with the issuer of the product; or</w:t>
      </w:r>
    </w:p>
    <w:p w14:paraId="2A9132F1" w14:textId="37AD11B3" w:rsidR="000E3288" w:rsidRDefault="00EA078E">
      <w:pPr>
        <w:pStyle w:val="dotpoint"/>
        <w:numPr>
          <w:ilvl w:val="1"/>
          <w:numId w:val="11"/>
        </w:numPr>
      </w:pPr>
      <w:r>
        <w:t>other gifts or benefits from the product issuers</w:t>
      </w:r>
      <w:r w:rsidR="001C12F3">
        <w:t xml:space="preserve"> that may reasonably be expected to influence the person</w:t>
      </w:r>
      <w:r>
        <w:t>; and</w:t>
      </w:r>
    </w:p>
    <w:p w14:paraId="47E91F42" w14:textId="6B031A89" w:rsidR="00EA078E" w:rsidRDefault="00EA078E">
      <w:pPr>
        <w:pStyle w:val="dotpoint"/>
      </w:pPr>
      <w:r>
        <w:t xml:space="preserve">the person is </w:t>
      </w:r>
      <w:r w:rsidRPr="00214BFD">
        <w:rPr>
          <w:b/>
        </w:rPr>
        <w:t>not</w:t>
      </w:r>
      <w:r>
        <w:t xml:space="preserve"> directly or indirectly restricted </w:t>
      </w:r>
      <w:r w:rsidR="00902C96">
        <w:t xml:space="preserve">in </w:t>
      </w:r>
      <w:r w:rsidR="001C12F3">
        <w:t xml:space="preserve">relation to </w:t>
      </w:r>
      <w:r w:rsidR="00902C96">
        <w:t xml:space="preserve">the financial products in respect </w:t>
      </w:r>
      <w:r w:rsidR="001C12F3">
        <w:t>of</w:t>
      </w:r>
      <w:r w:rsidR="00902C96">
        <w:t xml:space="preserve"> which they provide financial services</w:t>
      </w:r>
      <w:r w:rsidR="00643FF8">
        <w:t xml:space="preserve"> (disregarding certain regulatory restrictions – </w:t>
      </w:r>
      <w:r w:rsidR="001C12F3">
        <w:t xml:space="preserve">under </w:t>
      </w:r>
      <w:r w:rsidR="00643FF8">
        <w:t>subsection 923A(3))</w:t>
      </w:r>
      <w:r w:rsidR="00902C96">
        <w:t>; and</w:t>
      </w:r>
    </w:p>
    <w:p w14:paraId="2CDA63EC" w14:textId="02511D0B" w:rsidR="00902C96" w:rsidRDefault="00902C96">
      <w:pPr>
        <w:pStyle w:val="dotpoint"/>
      </w:pPr>
      <w:proofErr w:type="gramStart"/>
      <w:r>
        <w:t>the</w:t>
      </w:r>
      <w:proofErr w:type="gramEnd"/>
      <w:r>
        <w:t xml:space="preserve"> person does </w:t>
      </w:r>
      <w:r w:rsidRPr="00214BFD">
        <w:rPr>
          <w:b/>
        </w:rPr>
        <w:t>not</w:t>
      </w:r>
      <w:r>
        <w:t xml:space="preserve"> have a </w:t>
      </w:r>
      <w:r w:rsidR="00643FF8">
        <w:t xml:space="preserve">conflict of interest arising from a </w:t>
      </w:r>
      <w:r>
        <w:t>connection with a</w:t>
      </w:r>
      <w:r w:rsidR="00643FF8">
        <w:t xml:space="preserve">n issuer of financial products that could reasonably </w:t>
      </w:r>
      <w:r w:rsidR="00A94FD6">
        <w:t xml:space="preserve">be </w:t>
      </w:r>
      <w:r w:rsidR="00643FF8">
        <w:t>expected to influence the person in carrying on the business or providing the service.</w:t>
      </w:r>
    </w:p>
    <w:p w14:paraId="6250B1A6" w14:textId="4A0FB721" w:rsidR="00643FF8" w:rsidRDefault="007B57D3">
      <w:pPr>
        <w:pStyle w:val="base-text-paragraph"/>
      </w:pPr>
      <w:r>
        <w:t>Otherwise, i</w:t>
      </w:r>
      <w:r w:rsidR="00FB4053">
        <w:t xml:space="preserve">f a person uses a restricted term in relation to a financial </w:t>
      </w:r>
      <w:r w:rsidR="001C12F3">
        <w:t xml:space="preserve">services </w:t>
      </w:r>
      <w:r w:rsidR="00FB4053">
        <w:t xml:space="preserve">business or </w:t>
      </w:r>
      <w:r w:rsidR="001C12F3">
        <w:t xml:space="preserve">financial </w:t>
      </w:r>
      <w:r w:rsidR="00FB4053">
        <w:t xml:space="preserve">services </w:t>
      </w:r>
      <w:r w:rsidR="001C12F3">
        <w:t xml:space="preserve">under subsection </w:t>
      </w:r>
      <w:proofErr w:type="gramStart"/>
      <w:r w:rsidR="001C12F3">
        <w:t>923A(</w:t>
      </w:r>
      <w:proofErr w:type="gramEnd"/>
      <w:r w:rsidR="001C12F3">
        <w:t xml:space="preserve">1), the person is guilty of an office. The offence is </w:t>
      </w:r>
      <w:r w:rsidR="00FB4053">
        <w:t>subject to a fine of up to 10</w:t>
      </w:r>
      <w:r w:rsidR="009E7496">
        <w:t> </w:t>
      </w:r>
      <w:r w:rsidR="00FB4053">
        <w:t>penalty units for an individual or 100 penalty units for a corporation for each day or part of a day in which the offence was committed (see Schedule 3</w:t>
      </w:r>
      <w:r w:rsidR="009E7496">
        <w:t xml:space="preserve"> </w:t>
      </w:r>
      <w:r w:rsidR="00DF204D">
        <w:t>of the Corporations Act</w:t>
      </w:r>
      <w:r w:rsidR="00FB4053">
        <w:t>).</w:t>
      </w:r>
    </w:p>
    <w:p w14:paraId="7B2F1186" w14:textId="2BA4CB8F" w:rsidR="00C84569" w:rsidRDefault="00C84569" w:rsidP="004E6356">
      <w:pPr>
        <w:pStyle w:val="Heading4"/>
      </w:pPr>
      <w:r>
        <w:lastRenderedPageBreak/>
        <w:t>Disclosure</w:t>
      </w:r>
    </w:p>
    <w:p w14:paraId="1BCBEBDD" w14:textId="18459FEF" w:rsidR="00D261F7" w:rsidRDefault="00D261F7">
      <w:pPr>
        <w:pStyle w:val="base-text-paragraph"/>
      </w:pPr>
      <w:r>
        <w:t xml:space="preserve">Part 7.7 of the Corporation Act (together with the related regulations) </w:t>
      </w:r>
      <w:r w:rsidR="00896E72">
        <w:t>imposes a range of disclosure obligations on entities that provide financial services. These obligation</w:t>
      </w:r>
      <w:r w:rsidR="001C12F3">
        <w:t>s</w:t>
      </w:r>
      <w:r w:rsidR="00896E72">
        <w:t xml:space="preserve"> include the </w:t>
      </w:r>
      <w:r w:rsidR="00D6154E">
        <w:t xml:space="preserve">requirement to provide </w:t>
      </w:r>
      <w:r w:rsidR="00896E72">
        <w:t>a Financial Services Guide.</w:t>
      </w:r>
    </w:p>
    <w:p w14:paraId="6C220882" w14:textId="770F67C5" w:rsidR="00C84569" w:rsidRDefault="00896E72">
      <w:pPr>
        <w:pStyle w:val="base-text-paragraph"/>
      </w:pPr>
      <w:r>
        <w:t xml:space="preserve">In summary, </w:t>
      </w:r>
      <w:r w:rsidR="00FA3C48">
        <w:t>a</w:t>
      </w:r>
      <w:r w:rsidR="00B22E5D">
        <w:t xml:space="preserve"> financial services licensee or authorised representative </w:t>
      </w:r>
      <w:r w:rsidR="00FA3C48">
        <w:t xml:space="preserve">(a providing entity) </w:t>
      </w:r>
      <w:r>
        <w:t xml:space="preserve">is generally required to </w:t>
      </w:r>
      <w:r w:rsidR="00B22E5D">
        <w:t xml:space="preserve">provide a Financial Services Guide </w:t>
      </w:r>
      <w:r w:rsidR="00FA3C48">
        <w:t xml:space="preserve">to a retail client </w:t>
      </w:r>
      <w:r>
        <w:t xml:space="preserve">before </w:t>
      </w:r>
      <w:r w:rsidR="00FA3C48">
        <w:t>providing financial service</w:t>
      </w:r>
      <w:r w:rsidR="00A94FD6">
        <w:t>s</w:t>
      </w:r>
      <w:r w:rsidR="00FA3C48">
        <w:t xml:space="preserve"> to that client</w:t>
      </w:r>
      <w:r>
        <w:t xml:space="preserve"> (see section</w:t>
      </w:r>
      <w:r w:rsidR="009E7496">
        <w:t>s</w:t>
      </w:r>
      <w:r>
        <w:t xml:space="preserve"> 941A, 941B and 941D).</w:t>
      </w:r>
    </w:p>
    <w:p w14:paraId="56D01C65" w14:textId="5ABF32B5" w:rsidR="00FA3C48" w:rsidRDefault="00FA3C48">
      <w:pPr>
        <w:pStyle w:val="base-text-paragraph"/>
      </w:pPr>
      <w:r>
        <w:t>The main requirements for what a Financial Services Guide must contain are set out in section</w:t>
      </w:r>
      <w:r w:rsidR="001C12F3">
        <w:t>s</w:t>
      </w:r>
      <w:r>
        <w:t xml:space="preserve"> 942B and 942C.</w:t>
      </w:r>
      <w:r w:rsidR="00F20D53">
        <w:t xml:space="preserve"> Among other things a Financial Services Guide </w:t>
      </w:r>
      <w:r w:rsidR="00896E72">
        <w:t>must</w:t>
      </w:r>
      <w:r w:rsidR="00F20D53">
        <w:t xml:space="preserve"> identify who the entity acts for in providing the relevant financial services and </w:t>
      </w:r>
      <w:r w:rsidR="00E40AC9">
        <w:t xml:space="preserve">provide information about the remuneration received by the entity and certain related entities as a result of the provision of the services. </w:t>
      </w:r>
      <w:r w:rsidR="00D261F7">
        <w:t>A</w:t>
      </w:r>
      <w:r w:rsidR="00E40AC9">
        <w:t xml:space="preserve"> Financial Services Guide must provide the level of information on the specified matters necessary for a reasonable person to make an informed decision about acquiring the financial services and must be presented clearly and concisely.</w:t>
      </w:r>
    </w:p>
    <w:p w14:paraId="2D4F3BBA" w14:textId="3FB3AD66" w:rsidR="00E40AC9" w:rsidRPr="00C84569" w:rsidRDefault="00D261F7">
      <w:pPr>
        <w:pStyle w:val="base-text-paragraph"/>
      </w:pPr>
      <w:r>
        <w:t>There are a range of other requirements for Financial Services Guides and other disclosure documents set out in Part 7.7 of the Corporations Act and the related regulations.</w:t>
      </w:r>
    </w:p>
    <w:p w14:paraId="6B4977A9" w14:textId="5FC1B54B" w:rsidR="00C61CF1" w:rsidRDefault="004F3F37">
      <w:pPr>
        <w:pStyle w:val="base-text-paragraph"/>
        <w:numPr>
          <w:ilvl w:val="1"/>
          <w:numId w:val="7"/>
        </w:numPr>
      </w:pPr>
      <w:r>
        <w:t>A</w:t>
      </w:r>
      <w:r w:rsidR="000C2FE8">
        <w:t xml:space="preserve"> providing entity that fails to </w:t>
      </w:r>
      <w:r>
        <w:t xml:space="preserve">provide a satisfactory Financial Services Guide </w:t>
      </w:r>
      <w:r w:rsidR="000C2FE8">
        <w:t>is subject to a civil penalty</w:t>
      </w:r>
      <w:r w:rsidR="00BE2CFF">
        <w:t xml:space="preserve"> (see section 1317E)</w:t>
      </w:r>
      <w:r w:rsidR="000C2FE8">
        <w:t xml:space="preserve">. </w:t>
      </w:r>
      <w:r w:rsidR="005678DF">
        <w:t>Under section 1317G, t</w:t>
      </w:r>
      <w:r w:rsidR="000C2FE8">
        <w:t xml:space="preserve">he </w:t>
      </w:r>
      <w:r w:rsidR="00D305A7">
        <w:t xml:space="preserve">maximum </w:t>
      </w:r>
      <w:r w:rsidR="000C2FE8">
        <w:t xml:space="preserve">amount of the penalty </w:t>
      </w:r>
      <w:r w:rsidR="001C12F3">
        <w:t xml:space="preserve">for an individual </w:t>
      </w:r>
      <w:r w:rsidR="000C2FE8">
        <w:t>is the greater of 5,000 penalty units and 3 times the benefit derived (or detriment avoided) from the failure to disclose.</w:t>
      </w:r>
      <w:r w:rsidR="00716F2B">
        <w:t xml:space="preserve"> The maximum amount of penalty for a body corporate is the greatest of</w:t>
      </w:r>
      <w:r w:rsidR="00C61CF1">
        <w:t>:</w:t>
      </w:r>
      <w:r w:rsidR="00716F2B">
        <w:t xml:space="preserve"> </w:t>
      </w:r>
    </w:p>
    <w:p w14:paraId="6C37DFCC" w14:textId="3F964996" w:rsidR="00C61CF1" w:rsidRDefault="00716F2B" w:rsidP="0054451C">
      <w:pPr>
        <w:pStyle w:val="dotpoint"/>
      </w:pPr>
      <w:r>
        <w:t>50,000 penalty units</w:t>
      </w:r>
      <w:r w:rsidR="00817EC2">
        <w:t>;</w:t>
      </w:r>
    </w:p>
    <w:p w14:paraId="109815FB" w14:textId="76B00086" w:rsidR="00C61CF1" w:rsidRDefault="00716F2B" w:rsidP="0054451C">
      <w:pPr>
        <w:pStyle w:val="dotpoint"/>
      </w:pPr>
      <w:r>
        <w:t>3 times the benefit derived of detriment avoided</w:t>
      </w:r>
      <w:r w:rsidR="00817EC2">
        <w:t>;</w:t>
      </w:r>
      <w:r>
        <w:t xml:space="preserve"> and</w:t>
      </w:r>
    </w:p>
    <w:p w14:paraId="707515AE" w14:textId="65208BC1" w:rsidR="00180058" w:rsidRDefault="00716F2B" w:rsidP="00976FE9">
      <w:pPr>
        <w:pStyle w:val="dotpoint"/>
      </w:pPr>
      <w:r>
        <w:t>10 per cent of the annual turnover o</w:t>
      </w:r>
      <w:r w:rsidR="00180058">
        <w:t>f the body corporate for the 12-</w:t>
      </w:r>
      <w:r>
        <w:t>month period ending at the end of the month in which the body corporate contravened</w:t>
      </w:r>
      <w:r w:rsidR="007B57D3">
        <w:t>,</w:t>
      </w:r>
      <w:r>
        <w:t xml:space="preserve"> or began to contravene, the civil penalty provision</w:t>
      </w:r>
      <w:r w:rsidR="00817EC2">
        <w:t xml:space="preserve"> (up t</w:t>
      </w:r>
      <w:r w:rsidR="009E7496">
        <w:t>o an amount of no more than 2.5 </w:t>
      </w:r>
      <w:r w:rsidR="00817EC2">
        <w:t>million penalty units).</w:t>
      </w:r>
    </w:p>
    <w:p w14:paraId="455F9FC3" w14:textId="2A38DFE1" w:rsidR="00A36952" w:rsidRDefault="000E3288" w:rsidP="004E6356">
      <w:pPr>
        <w:pStyle w:val="Heading3"/>
      </w:pPr>
      <w:r>
        <w:t>Financial Services Royal Commission</w:t>
      </w:r>
    </w:p>
    <w:p w14:paraId="0660EA9E" w14:textId="4FAAADD2" w:rsidR="00337634" w:rsidRDefault="009D603D" w:rsidP="009D603D">
      <w:pPr>
        <w:pStyle w:val="base-text-paragraph"/>
      </w:pPr>
      <w:r w:rsidRPr="009D603D">
        <w:t>In the Final Report of the F</w:t>
      </w:r>
      <w:r>
        <w:t>inancial Services Royal Commission</w:t>
      </w:r>
      <w:r w:rsidRPr="009D603D">
        <w:t xml:space="preserve">, Commissioner Hayne considered whether there were additional means </w:t>
      </w:r>
      <w:r w:rsidR="00817EC2">
        <w:t>by</w:t>
      </w:r>
      <w:r w:rsidR="00817EC2" w:rsidRPr="009D603D">
        <w:t xml:space="preserve"> </w:t>
      </w:r>
      <w:r w:rsidRPr="009D603D">
        <w:t xml:space="preserve">which conflicts of interest could be better managed. </w:t>
      </w:r>
    </w:p>
    <w:p w14:paraId="2D702E38" w14:textId="60F1BF01" w:rsidR="00337634" w:rsidRDefault="009D603D" w:rsidP="009D603D">
      <w:pPr>
        <w:pStyle w:val="base-text-paragraph"/>
      </w:pPr>
      <w:r w:rsidRPr="009D603D">
        <w:t xml:space="preserve">One such means was to improve the disclosure of conflicts of interest. The Commissioner </w:t>
      </w:r>
      <w:r w:rsidR="00343F07">
        <w:t>noted that currently there is no requirement for financial advisers who are not independent to explain to a client that he or she is not independent.</w:t>
      </w:r>
    </w:p>
    <w:p w14:paraId="40D009B7" w14:textId="5287D955" w:rsidR="009D603D" w:rsidRPr="009D603D" w:rsidRDefault="009D603D" w:rsidP="009D603D">
      <w:pPr>
        <w:pStyle w:val="base-text-paragraph"/>
      </w:pPr>
      <w:r w:rsidRPr="009D603D">
        <w:t xml:space="preserve">The Commissioner </w:t>
      </w:r>
      <w:r w:rsidR="00343F07">
        <w:t xml:space="preserve">noted that while </w:t>
      </w:r>
      <w:r w:rsidRPr="009D603D">
        <w:t xml:space="preserve">a client may be able to infer that a financial adviser was not independent from some of the matters disclosed in a </w:t>
      </w:r>
      <w:r w:rsidR="00CB1A74">
        <w:t>Financial Services Guide</w:t>
      </w:r>
      <w:r w:rsidRPr="009D603D">
        <w:t>, this is not sufficient, and that this matter should be brought to the client’s attention in a prominent, clear and concise manner.</w:t>
      </w:r>
    </w:p>
    <w:p w14:paraId="4E5A81E8" w14:textId="2E3630F2" w:rsidR="009D603D" w:rsidRPr="009D603D" w:rsidRDefault="009D603D" w:rsidP="009D603D">
      <w:pPr>
        <w:pStyle w:val="base-text-paragraph"/>
      </w:pPr>
      <w:r w:rsidRPr="009D603D">
        <w:t>Commissioner Hayne recommended that the law should be amended to require that a financial advis</w:t>
      </w:r>
      <w:r w:rsidR="009E7496">
        <w:t>er who would contravene section </w:t>
      </w:r>
      <w:r w:rsidRPr="009D603D">
        <w:t>923A of the Corporations Act by assuming or using any of the restricted words or expressions identified in section 923A(5) (including ‘independent’, ‘impartial’ and ‘unbiased’) must, before providing personal advice to a retail client, give to the client a written statement (in or to the effect of a form to be prescribed) explaining simply and concisely why the adviser is not independent, impartial and unbiased.</w:t>
      </w:r>
    </w:p>
    <w:p w14:paraId="31A1E3C3" w14:textId="77777777" w:rsidR="00B17774" w:rsidRDefault="00B17774" w:rsidP="00B17774">
      <w:pPr>
        <w:pStyle w:val="Heading2"/>
      </w:pPr>
      <w:r>
        <w:lastRenderedPageBreak/>
        <w:t>Summary of new law</w:t>
      </w:r>
    </w:p>
    <w:p w14:paraId="007B310A" w14:textId="78511B29" w:rsidR="000907A8" w:rsidRPr="000907A8" w:rsidRDefault="000907A8" w:rsidP="000907A8">
      <w:pPr>
        <w:pStyle w:val="base-text-paragraph"/>
      </w:pPr>
      <w:r w:rsidRPr="000907A8">
        <w:t xml:space="preserve">Schedule </w:t>
      </w:r>
      <w:r w:rsidR="00337634">
        <w:t>#</w:t>
      </w:r>
      <w:r w:rsidR="00337634" w:rsidRPr="000907A8">
        <w:t xml:space="preserve"> </w:t>
      </w:r>
      <w:r w:rsidRPr="000907A8">
        <w:t xml:space="preserve">amends the Corporations Act to </w:t>
      </w:r>
      <w:r w:rsidR="00EE14A3">
        <w:t xml:space="preserve">require </w:t>
      </w:r>
      <w:r w:rsidR="00A66427">
        <w:t xml:space="preserve">a providing entity </w:t>
      </w:r>
      <w:r w:rsidRPr="000907A8">
        <w:t xml:space="preserve">to give a written disclosure of lack of independence </w:t>
      </w:r>
      <w:r w:rsidR="00B51292">
        <w:t xml:space="preserve">in the form prescribed by ASIC </w:t>
      </w:r>
      <w:r w:rsidR="00FA384E">
        <w:t>where</w:t>
      </w:r>
      <w:r w:rsidRPr="000907A8">
        <w:t xml:space="preserve"> they </w:t>
      </w:r>
      <w:r w:rsidR="004200C0">
        <w:t xml:space="preserve">are authorised to </w:t>
      </w:r>
      <w:r w:rsidRPr="000907A8">
        <w:t>provide personal advice to a retail client.</w:t>
      </w:r>
    </w:p>
    <w:p w14:paraId="106EF9AA"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04"/>
      </w:tblGrid>
      <w:tr w:rsidR="00B17774" w:rsidRPr="004666B8" w14:paraId="2EDE14BD" w14:textId="77777777" w:rsidTr="00125C10">
        <w:tc>
          <w:tcPr>
            <w:tcW w:w="3275" w:type="dxa"/>
          </w:tcPr>
          <w:p w14:paraId="0C6CA5D5" w14:textId="77777777" w:rsidR="00B17774" w:rsidRPr="004666B8" w:rsidRDefault="00B17774" w:rsidP="00125C10">
            <w:pPr>
              <w:pStyle w:val="tableheaderwithintable"/>
              <w:rPr>
                <w:lang w:val="en-US" w:eastAsia="en-US"/>
              </w:rPr>
            </w:pPr>
            <w:r w:rsidRPr="004666B8">
              <w:rPr>
                <w:lang w:val="en-US" w:eastAsia="en-US"/>
              </w:rPr>
              <w:t>New law</w:t>
            </w:r>
          </w:p>
        </w:tc>
        <w:tc>
          <w:tcPr>
            <w:tcW w:w="3276" w:type="dxa"/>
          </w:tcPr>
          <w:p w14:paraId="3F22A343" w14:textId="77777777" w:rsidR="00B17774" w:rsidRPr="004666B8" w:rsidRDefault="00B17774" w:rsidP="00125C10">
            <w:pPr>
              <w:pStyle w:val="tableheaderwithintable"/>
              <w:rPr>
                <w:lang w:val="en-US" w:eastAsia="en-US"/>
              </w:rPr>
            </w:pPr>
            <w:r w:rsidRPr="004666B8">
              <w:rPr>
                <w:lang w:val="en-US" w:eastAsia="en-US"/>
              </w:rPr>
              <w:t>Current law</w:t>
            </w:r>
          </w:p>
        </w:tc>
      </w:tr>
      <w:tr w:rsidR="00B17774" w:rsidRPr="004666B8" w14:paraId="3906C210" w14:textId="77777777" w:rsidTr="00125C10">
        <w:tc>
          <w:tcPr>
            <w:tcW w:w="3275" w:type="dxa"/>
          </w:tcPr>
          <w:p w14:paraId="0D1CF3C8" w14:textId="56C0E034" w:rsidR="00B17774" w:rsidRDefault="00A66427" w:rsidP="001C12F3">
            <w:pPr>
              <w:pStyle w:val="tabletext"/>
              <w:rPr>
                <w:lang w:val="en-US" w:eastAsia="en-US"/>
              </w:rPr>
            </w:pPr>
            <w:r>
              <w:rPr>
                <w:lang w:val="en-US" w:eastAsia="en-US"/>
              </w:rPr>
              <w:t>Providing entities</w:t>
            </w:r>
            <w:r w:rsidR="000907A8">
              <w:rPr>
                <w:lang w:val="en-US" w:eastAsia="en-US"/>
              </w:rPr>
              <w:t xml:space="preserve"> who</w:t>
            </w:r>
            <w:r w:rsidR="00004A33">
              <w:rPr>
                <w:lang w:val="en-US" w:eastAsia="en-US"/>
              </w:rPr>
              <w:t xml:space="preserve"> would contravene section 9</w:t>
            </w:r>
            <w:r w:rsidR="00141674">
              <w:rPr>
                <w:lang w:val="en-US" w:eastAsia="en-US"/>
              </w:rPr>
              <w:t>23</w:t>
            </w:r>
            <w:r w:rsidR="00004A33">
              <w:rPr>
                <w:lang w:val="en-US" w:eastAsia="en-US"/>
              </w:rPr>
              <w:t xml:space="preserve">A of the Corporations Act by assuming or using any of the restricted words of expressions identified in section 923A(5) (including ‘independent’, ‘impartial’ and ‘unbiased’) </w:t>
            </w:r>
            <w:r w:rsidR="000907A8">
              <w:rPr>
                <w:lang w:val="en-US" w:eastAsia="en-US"/>
              </w:rPr>
              <w:t xml:space="preserve">must </w:t>
            </w:r>
            <w:r w:rsidR="00004A33">
              <w:rPr>
                <w:lang w:val="en-US" w:eastAsia="en-US"/>
              </w:rPr>
              <w:t xml:space="preserve">give to </w:t>
            </w:r>
            <w:r w:rsidR="00B51292">
              <w:rPr>
                <w:lang w:val="en-US" w:eastAsia="en-US"/>
              </w:rPr>
              <w:t xml:space="preserve">a retail </w:t>
            </w:r>
            <w:r w:rsidR="00004A33">
              <w:rPr>
                <w:lang w:val="en-US" w:eastAsia="en-US"/>
              </w:rPr>
              <w:t xml:space="preserve">client a written statement </w:t>
            </w:r>
            <w:r w:rsidR="00B51292">
              <w:t xml:space="preserve">in the form prescribed by ASIC </w:t>
            </w:r>
            <w:r w:rsidR="00004A33">
              <w:rPr>
                <w:lang w:val="en-US" w:eastAsia="en-US"/>
              </w:rPr>
              <w:t>disclosing their</w:t>
            </w:r>
            <w:r w:rsidR="000907A8">
              <w:rPr>
                <w:lang w:val="en-US" w:eastAsia="en-US"/>
              </w:rPr>
              <w:t xml:space="preserve"> of lack of independence </w:t>
            </w:r>
            <w:r w:rsidR="000907A8" w:rsidRPr="00C427EE">
              <w:rPr>
                <w:lang w:val="en-US" w:eastAsia="en-US"/>
              </w:rPr>
              <w:t xml:space="preserve">before providing </w:t>
            </w:r>
            <w:r w:rsidR="00494356" w:rsidRPr="00C427EE">
              <w:rPr>
                <w:lang w:val="en-US" w:eastAsia="en-US"/>
              </w:rPr>
              <w:t>personal</w:t>
            </w:r>
            <w:r w:rsidR="000907A8" w:rsidRPr="00C427EE">
              <w:rPr>
                <w:lang w:val="en-US" w:eastAsia="en-US"/>
              </w:rPr>
              <w:t xml:space="preserve"> advice</w:t>
            </w:r>
            <w:r w:rsidR="00934BE9" w:rsidRPr="00C427EE">
              <w:rPr>
                <w:lang w:val="en-US" w:eastAsia="en-US"/>
              </w:rPr>
              <w:t xml:space="preserve"> to </w:t>
            </w:r>
            <w:r w:rsidR="00B51292" w:rsidRPr="00C427EE">
              <w:rPr>
                <w:lang w:val="en-US" w:eastAsia="en-US"/>
              </w:rPr>
              <w:t>the</w:t>
            </w:r>
            <w:r w:rsidR="00B51292">
              <w:rPr>
                <w:lang w:val="en-US" w:eastAsia="en-US"/>
              </w:rPr>
              <w:t xml:space="preserve"> </w:t>
            </w:r>
            <w:r w:rsidR="00934BE9">
              <w:rPr>
                <w:lang w:val="en-US" w:eastAsia="en-US"/>
              </w:rPr>
              <w:t>client</w:t>
            </w:r>
            <w:r w:rsidR="00494356">
              <w:rPr>
                <w:lang w:val="en-US" w:eastAsia="en-US"/>
              </w:rPr>
              <w:t>.</w:t>
            </w:r>
          </w:p>
          <w:p w14:paraId="31CE0CDF" w14:textId="77777777" w:rsidR="00DF120E" w:rsidRDefault="00DF120E" w:rsidP="001C12F3">
            <w:pPr>
              <w:pStyle w:val="tabletext"/>
              <w:rPr>
                <w:lang w:val="en-US" w:eastAsia="en-US"/>
              </w:rPr>
            </w:pPr>
          </w:p>
          <w:p w14:paraId="18CE5082" w14:textId="1BF697AE" w:rsidR="00DF120E" w:rsidRPr="004666B8" w:rsidRDefault="0007628D" w:rsidP="001C6A62">
            <w:pPr>
              <w:pStyle w:val="tabletext"/>
              <w:rPr>
                <w:lang w:val="en-US" w:eastAsia="en-US"/>
              </w:rPr>
            </w:pPr>
            <w:r>
              <w:rPr>
                <w:lang w:val="en-US" w:eastAsia="en-US"/>
              </w:rPr>
              <w:t xml:space="preserve">The statement is included in the list of statements and information that </w:t>
            </w:r>
            <w:r w:rsidR="001C6A62">
              <w:rPr>
                <w:lang w:val="en-US" w:eastAsia="en-US"/>
              </w:rPr>
              <w:t>must be</w:t>
            </w:r>
            <w:r>
              <w:rPr>
                <w:lang w:val="en-US" w:eastAsia="en-US"/>
              </w:rPr>
              <w:t xml:space="preserve"> included in </w:t>
            </w:r>
            <w:r w:rsidR="004A214C">
              <w:rPr>
                <w:lang w:val="en-US" w:eastAsia="en-US"/>
              </w:rPr>
              <w:t>the</w:t>
            </w:r>
            <w:r w:rsidR="006432B8">
              <w:rPr>
                <w:lang w:val="en-US" w:eastAsia="en-US"/>
              </w:rPr>
              <w:t xml:space="preserve"> Financial Services Guide. </w:t>
            </w:r>
          </w:p>
        </w:tc>
        <w:tc>
          <w:tcPr>
            <w:tcW w:w="3276" w:type="dxa"/>
          </w:tcPr>
          <w:p w14:paraId="3DF34765" w14:textId="74059A00" w:rsidR="00B17774" w:rsidRPr="004666B8" w:rsidRDefault="00D6154E" w:rsidP="00934BE9">
            <w:pPr>
              <w:pStyle w:val="tabletext"/>
              <w:rPr>
                <w:lang w:val="en-US" w:eastAsia="en-US"/>
              </w:rPr>
            </w:pPr>
            <w:r>
              <w:rPr>
                <w:lang w:eastAsia="en-US"/>
              </w:rPr>
              <w:t xml:space="preserve">No equivalent. </w:t>
            </w:r>
          </w:p>
        </w:tc>
      </w:tr>
    </w:tbl>
    <w:p w14:paraId="534FA785" w14:textId="77777777" w:rsidR="00B17774" w:rsidRDefault="00B17774" w:rsidP="00B17774">
      <w:pPr>
        <w:pStyle w:val="Heading2"/>
      </w:pPr>
      <w:r>
        <w:t>Detailed explanation of new law</w:t>
      </w:r>
    </w:p>
    <w:p w14:paraId="4CEB7B3C" w14:textId="11000F2D" w:rsidR="00004A33" w:rsidRDefault="00B612BB" w:rsidP="00B612BB">
      <w:pPr>
        <w:pStyle w:val="Heading3"/>
      </w:pPr>
      <w:r>
        <w:t xml:space="preserve">Disclosure of lack of independence by </w:t>
      </w:r>
      <w:r w:rsidR="00F77D30">
        <w:t>providing entities</w:t>
      </w:r>
      <w:r>
        <w:t xml:space="preserve"> </w:t>
      </w:r>
    </w:p>
    <w:p w14:paraId="62C2928D" w14:textId="699CDEC3" w:rsidR="00004A33" w:rsidRPr="000907A8" w:rsidRDefault="007F52FB" w:rsidP="00004A33">
      <w:pPr>
        <w:pStyle w:val="base-text-paragraph"/>
      </w:pPr>
      <w:r>
        <w:t xml:space="preserve">Schedule </w:t>
      </w:r>
      <w:r w:rsidR="00B51292">
        <w:t xml:space="preserve"># </w:t>
      </w:r>
      <w:r w:rsidR="00004A33" w:rsidRPr="000907A8">
        <w:t xml:space="preserve">amends the Corporations Act to </w:t>
      </w:r>
      <w:r w:rsidR="00EE14A3">
        <w:t xml:space="preserve">require </w:t>
      </w:r>
      <w:r w:rsidR="00A66427">
        <w:t>a providing entity</w:t>
      </w:r>
      <w:r w:rsidR="00EE14A3">
        <w:t xml:space="preserve"> </w:t>
      </w:r>
      <w:r w:rsidR="00004A33" w:rsidRPr="000907A8">
        <w:t xml:space="preserve">to give a written disclosure of lack of independence </w:t>
      </w:r>
      <w:r w:rsidR="00004A33">
        <w:t>where</w:t>
      </w:r>
      <w:r w:rsidR="00004A33" w:rsidRPr="000907A8">
        <w:t xml:space="preserve"> they </w:t>
      </w:r>
      <w:r w:rsidR="004200C0">
        <w:t xml:space="preserve">are authorised to </w:t>
      </w:r>
      <w:r w:rsidR="00004A33" w:rsidRPr="000907A8">
        <w:t>provide personal advice to a retail client.</w:t>
      </w:r>
    </w:p>
    <w:p w14:paraId="5D7D0FDA" w14:textId="1B32F4A4" w:rsidR="00004A33" w:rsidRPr="008F726E" w:rsidRDefault="007F52FB" w:rsidP="00004A33">
      <w:pPr>
        <w:pStyle w:val="base-text-paragraph"/>
        <w:numPr>
          <w:ilvl w:val="1"/>
          <w:numId w:val="7"/>
        </w:numPr>
      </w:pPr>
      <w:r>
        <w:t xml:space="preserve">Schedule </w:t>
      </w:r>
      <w:r w:rsidR="00A36952">
        <w:t xml:space="preserve"># </w:t>
      </w:r>
      <w:r w:rsidR="00004A33">
        <w:t xml:space="preserve">also amends the Corporations Act to allow ASIC to </w:t>
      </w:r>
      <w:r>
        <w:t>prescribe</w:t>
      </w:r>
      <w:r w:rsidR="00392CFD">
        <w:t>,</w:t>
      </w:r>
      <w:r>
        <w:t xml:space="preserve"> by legislative instrument</w:t>
      </w:r>
      <w:r w:rsidR="00392CFD">
        <w:t>,</w:t>
      </w:r>
      <w:r w:rsidR="00004A33">
        <w:t xml:space="preserve"> the form of the </w:t>
      </w:r>
      <w:r w:rsidR="00932007">
        <w:t>disclosure statement</w:t>
      </w:r>
      <w:r w:rsidR="00004A33">
        <w:t xml:space="preserve">. </w:t>
      </w:r>
    </w:p>
    <w:p w14:paraId="05814CDC" w14:textId="37A60A40" w:rsidR="00E976E0" w:rsidRDefault="00E976E0" w:rsidP="00B17774">
      <w:pPr>
        <w:pStyle w:val="base-text-paragraph"/>
        <w:numPr>
          <w:ilvl w:val="1"/>
          <w:numId w:val="7"/>
        </w:numPr>
      </w:pPr>
      <w:r>
        <w:t xml:space="preserve">This new </w:t>
      </w:r>
      <w:r w:rsidR="000E2B35">
        <w:t>obligation is</w:t>
      </w:r>
      <w:r>
        <w:t xml:space="preserve"> added to the existing Financial Services Guide disclosure </w:t>
      </w:r>
      <w:r w:rsidR="000E2B35">
        <w:t>obligations</w:t>
      </w:r>
      <w:r>
        <w:t xml:space="preserve"> under </w:t>
      </w:r>
      <w:r w:rsidR="00B870AE">
        <w:t xml:space="preserve">Division 2 of </w:t>
      </w:r>
      <w:r>
        <w:t xml:space="preserve">Part </w:t>
      </w:r>
      <w:r w:rsidR="00B870AE">
        <w:t xml:space="preserve">7.7 </w:t>
      </w:r>
      <w:r>
        <w:t xml:space="preserve">of the Corporations Act. The </w:t>
      </w:r>
      <w:r w:rsidR="000E2B35">
        <w:t>lack of independence</w:t>
      </w:r>
      <w:r>
        <w:t xml:space="preserve"> </w:t>
      </w:r>
      <w:r w:rsidR="00651EA4">
        <w:t xml:space="preserve">statement </w:t>
      </w:r>
      <w:r>
        <w:t>is included in the</w:t>
      </w:r>
      <w:r w:rsidR="000E2B35">
        <w:t xml:space="preserve"> list of</w:t>
      </w:r>
      <w:r>
        <w:t xml:space="preserve"> statements and information to be included in a </w:t>
      </w:r>
      <w:r w:rsidR="000E2B35">
        <w:t>Financial</w:t>
      </w:r>
      <w:r>
        <w:t xml:space="preserve"> Services Guide. </w:t>
      </w:r>
    </w:p>
    <w:p w14:paraId="450F01A7" w14:textId="61B1EE23" w:rsidR="002A44A0" w:rsidRDefault="00D305A7" w:rsidP="00B17774">
      <w:pPr>
        <w:pStyle w:val="base-text-paragraph"/>
        <w:numPr>
          <w:ilvl w:val="1"/>
          <w:numId w:val="7"/>
        </w:numPr>
      </w:pPr>
      <w:r>
        <w:t>Specifically, Schedule # amends the main requirements for a Financial Services Guide in section</w:t>
      </w:r>
      <w:r w:rsidR="00143809">
        <w:t>s</w:t>
      </w:r>
      <w:r>
        <w:t xml:space="preserve"> 941B and 941C</w:t>
      </w:r>
      <w:r w:rsidR="00B07053">
        <w:t>. As a result of these amendments</w:t>
      </w:r>
      <w:r>
        <w:t xml:space="preserve"> a</w:t>
      </w:r>
      <w:r w:rsidR="00386DC5">
        <w:t xml:space="preserve"> providing entity </w:t>
      </w:r>
      <w:r w:rsidR="00760100" w:rsidRPr="00D07517">
        <w:t>who provide</w:t>
      </w:r>
      <w:r w:rsidR="00386DC5" w:rsidRPr="00D07517">
        <w:t>s</w:t>
      </w:r>
      <w:r w:rsidR="00760100" w:rsidRPr="00D07517">
        <w:t xml:space="preserve"> personal advice</w:t>
      </w:r>
      <w:r w:rsidR="00760100">
        <w:t xml:space="preserve"> </w:t>
      </w:r>
      <w:r w:rsidR="004200C0">
        <w:t xml:space="preserve">to a retail client </w:t>
      </w:r>
      <w:r w:rsidR="00760100">
        <w:t xml:space="preserve">and </w:t>
      </w:r>
      <w:r w:rsidR="00B612BB">
        <w:t>who would contravene subsection 923A(1) by assuming o</w:t>
      </w:r>
      <w:r w:rsidR="00392CFD">
        <w:t>r</w:t>
      </w:r>
      <w:r w:rsidR="00B612BB">
        <w:t xml:space="preserve"> using</w:t>
      </w:r>
      <w:r w:rsidR="00106A7D">
        <w:t xml:space="preserve"> a restricted word or expression</w:t>
      </w:r>
      <w:r w:rsidR="00B612BB">
        <w:t xml:space="preserve"> </w:t>
      </w:r>
      <w:r w:rsidR="0042789C">
        <w:t xml:space="preserve">(within the meaning of subsection 923A(5)) </w:t>
      </w:r>
      <w:r w:rsidR="00386DC5">
        <w:t>must</w:t>
      </w:r>
      <w:r w:rsidR="00B612BB">
        <w:t xml:space="preserve"> </w:t>
      </w:r>
      <w:r w:rsidR="00B07053">
        <w:t xml:space="preserve">include </w:t>
      </w:r>
      <w:r w:rsidR="00B612BB">
        <w:t xml:space="preserve">a statement </w:t>
      </w:r>
      <w:r w:rsidR="00B07053">
        <w:t xml:space="preserve">in the Financial Services Guide </w:t>
      </w:r>
      <w:r w:rsidR="00B612BB">
        <w:t>that</w:t>
      </w:r>
      <w:r w:rsidR="002A44A0">
        <w:t>:</w:t>
      </w:r>
    </w:p>
    <w:p w14:paraId="25598041" w14:textId="77E5F5EA" w:rsidR="002A44A0" w:rsidRDefault="002A44A0" w:rsidP="002A44A0">
      <w:pPr>
        <w:pStyle w:val="dotpoint"/>
      </w:pPr>
      <w:r>
        <w:t xml:space="preserve">sets out </w:t>
      </w:r>
      <w:r w:rsidR="00817EC2">
        <w:t xml:space="preserve">that </w:t>
      </w:r>
      <w:r>
        <w:t>the providing entity is</w:t>
      </w:r>
      <w:r w:rsidR="00B612BB">
        <w:t xml:space="preserve"> not independent, impartial or unbias</w:t>
      </w:r>
      <w:r>
        <w:t xml:space="preserve">ed </w:t>
      </w:r>
      <w:r w:rsidR="00D9010D">
        <w:t xml:space="preserve">(which are restricted words or expressions within the meaning of subsection 923A(5)), </w:t>
      </w:r>
      <w:r>
        <w:t>and explains the reasons why; and</w:t>
      </w:r>
    </w:p>
    <w:p w14:paraId="13910883" w14:textId="3BFAF71F" w:rsidR="002A44A0" w:rsidRDefault="002A44A0" w:rsidP="002A44A0">
      <w:pPr>
        <w:pStyle w:val="dotpoint"/>
      </w:pPr>
      <w:proofErr w:type="gramStart"/>
      <w:r>
        <w:lastRenderedPageBreak/>
        <w:t>if</w:t>
      </w:r>
      <w:proofErr w:type="gramEnd"/>
      <w:r>
        <w:t xml:space="preserve"> any other word or expression has been specified as a restricted word or expression for the purposes of section subparagraph 923A(5)(a)(ii)</w:t>
      </w:r>
      <w:r w:rsidR="00817EC2">
        <w:t>—</w:t>
      </w:r>
      <w:r>
        <w:t>sets out that the providing entity is not able to assume or use the restricted words or expressions, and explains the reasons why.</w:t>
      </w:r>
    </w:p>
    <w:p w14:paraId="619AB696" w14:textId="6BDE7199" w:rsidR="00B612BB" w:rsidRDefault="00106A7D" w:rsidP="002A44A0">
      <w:pPr>
        <w:pStyle w:val="dotpoint"/>
        <w:numPr>
          <w:ilvl w:val="0"/>
          <w:numId w:val="0"/>
        </w:numPr>
        <w:ind w:left="1984"/>
      </w:pPr>
      <w:r>
        <w:rPr>
          <w:rStyle w:val="Referencingstyle"/>
        </w:rPr>
        <w:t xml:space="preserve">[Schedule </w:t>
      </w:r>
      <w:r w:rsidR="00D63DB7">
        <w:rPr>
          <w:rStyle w:val="Referencingstyle"/>
        </w:rPr>
        <w:t>#</w:t>
      </w:r>
      <w:r>
        <w:rPr>
          <w:rStyle w:val="Referencingstyle"/>
        </w:rPr>
        <w:t>, item</w:t>
      </w:r>
      <w:r w:rsidR="00E577B2">
        <w:rPr>
          <w:rStyle w:val="Referencingstyle"/>
        </w:rPr>
        <w:t>s</w:t>
      </w:r>
      <w:r>
        <w:rPr>
          <w:rStyle w:val="Referencingstyle"/>
        </w:rPr>
        <w:t xml:space="preserve"> 5</w:t>
      </w:r>
      <w:r w:rsidR="00E577B2">
        <w:rPr>
          <w:rStyle w:val="Referencingstyle"/>
        </w:rPr>
        <w:t xml:space="preserve"> and 6</w:t>
      </w:r>
      <w:r>
        <w:rPr>
          <w:rStyle w:val="Referencingstyle"/>
        </w:rPr>
        <w:t xml:space="preserve">, </w:t>
      </w:r>
      <w:r w:rsidR="00386DC5">
        <w:rPr>
          <w:rStyle w:val="Referencingstyle"/>
        </w:rPr>
        <w:t>paragraph</w:t>
      </w:r>
      <w:r w:rsidR="00E577B2">
        <w:rPr>
          <w:rStyle w:val="Referencingstyle"/>
        </w:rPr>
        <w:t>s</w:t>
      </w:r>
      <w:r>
        <w:rPr>
          <w:rStyle w:val="Referencingstyle"/>
        </w:rPr>
        <w:t xml:space="preserve"> </w:t>
      </w:r>
      <w:proofErr w:type="gramStart"/>
      <w:r>
        <w:rPr>
          <w:rStyle w:val="Referencingstyle"/>
        </w:rPr>
        <w:t>942B(</w:t>
      </w:r>
      <w:proofErr w:type="gramEnd"/>
      <w:r>
        <w:rPr>
          <w:rStyle w:val="Referencingstyle"/>
        </w:rPr>
        <w:t>2)(</w:t>
      </w:r>
      <w:r w:rsidR="00142560">
        <w:rPr>
          <w:rStyle w:val="Referencingstyle"/>
        </w:rPr>
        <w:t>fa</w:t>
      </w:r>
      <w:r>
        <w:rPr>
          <w:rStyle w:val="Referencingstyle"/>
        </w:rPr>
        <w:t xml:space="preserve">) and </w:t>
      </w:r>
      <w:r w:rsidR="00386DC5">
        <w:rPr>
          <w:rStyle w:val="Referencingstyle"/>
        </w:rPr>
        <w:t>942C(2)(</w:t>
      </w:r>
      <w:proofErr w:type="spellStart"/>
      <w:r w:rsidR="00142560">
        <w:rPr>
          <w:rStyle w:val="Referencingstyle"/>
        </w:rPr>
        <w:t>ga</w:t>
      </w:r>
      <w:proofErr w:type="spellEnd"/>
      <w:r w:rsidR="00386DC5">
        <w:rPr>
          <w:rStyle w:val="Referencingstyle"/>
        </w:rPr>
        <w:t>)</w:t>
      </w:r>
      <w:r>
        <w:rPr>
          <w:rStyle w:val="Referencingstyle"/>
        </w:rPr>
        <w:t xml:space="preserve"> </w:t>
      </w:r>
      <w:r w:rsidRPr="00375F1D">
        <w:rPr>
          <w:rStyle w:val="Referencingstyle"/>
        </w:rPr>
        <w:t xml:space="preserve">of </w:t>
      </w:r>
      <w:r w:rsidR="00817EC2">
        <w:rPr>
          <w:rStyle w:val="Referencingstyle"/>
        </w:rPr>
        <w:t xml:space="preserve">the Corporations </w:t>
      </w:r>
      <w:r w:rsidRPr="00375F1D">
        <w:rPr>
          <w:rStyle w:val="Referencingstyle"/>
        </w:rPr>
        <w:t>Act]</w:t>
      </w:r>
      <w:r w:rsidR="00B612BB">
        <w:t xml:space="preserve"> </w:t>
      </w:r>
    </w:p>
    <w:p w14:paraId="432F619A" w14:textId="42CCD3FD" w:rsidR="009D544A" w:rsidRDefault="008B050E" w:rsidP="00D07517">
      <w:pPr>
        <w:pStyle w:val="base-text-paragraph"/>
      </w:pPr>
      <w:r>
        <w:t>For the avoidance of doubt</w:t>
      </w:r>
      <w:r w:rsidR="00B03ABE">
        <w:t>, th</w:t>
      </w:r>
      <w:r w:rsidR="0034422C">
        <w:t xml:space="preserve">ese amendments do </w:t>
      </w:r>
      <w:r w:rsidR="009D544A">
        <w:t xml:space="preserve">not </w:t>
      </w:r>
      <w:r w:rsidR="00F77D30">
        <w:t xml:space="preserve">alter </w:t>
      </w:r>
      <w:r w:rsidR="009D544A">
        <w:t xml:space="preserve">the </w:t>
      </w:r>
      <w:r w:rsidR="00B03ABE">
        <w:t>operation of section 923A</w:t>
      </w:r>
      <w:r>
        <w:t xml:space="preserve"> either generally or when determining if a </w:t>
      </w:r>
      <w:r w:rsidR="00D00D8A">
        <w:t>providing entity</w:t>
      </w:r>
      <w:r>
        <w:t xml:space="preserve"> must </w:t>
      </w:r>
      <w:r w:rsidR="0035316A">
        <w:t>include a statement</w:t>
      </w:r>
      <w:r>
        <w:t xml:space="preserve"> as a result of the amendments</w:t>
      </w:r>
      <w:r w:rsidR="00B03ABE">
        <w:t>.</w:t>
      </w:r>
    </w:p>
    <w:p w14:paraId="299EA167" w14:textId="57F13C43" w:rsidR="00D81B18" w:rsidRDefault="00D81B18" w:rsidP="00D07517">
      <w:pPr>
        <w:pStyle w:val="base-text-paragraph"/>
      </w:pPr>
      <w:r>
        <w:t xml:space="preserve">This ensures, consistent with </w:t>
      </w:r>
      <w:r w:rsidR="00B07053">
        <w:t xml:space="preserve">FSRC </w:t>
      </w:r>
      <w:r w:rsidR="002447C7">
        <w:t>R</w:t>
      </w:r>
      <w:r>
        <w:t xml:space="preserve">ecommendation 2.2, </w:t>
      </w:r>
      <w:r w:rsidR="00817EC2">
        <w:t xml:space="preserve">that </w:t>
      </w:r>
      <w:r>
        <w:t xml:space="preserve">retail clients receive a disclosure statement </w:t>
      </w:r>
      <w:r w:rsidR="00447459">
        <w:t xml:space="preserve">about independence that </w:t>
      </w:r>
      <w:r>
        <w:t xml:space="preserve">explains clearly and concisely why the </w:t>
      </w:r>
      <w:r w:rsidR="00D554CF">
        <w:t xml:space="preserve">providing entity </w:t>
      </w:r>
      <w:r>
        <w:t xml:space="preserve">is not independent. </w:t>
      </w:r>
    </w:p>
    <w:p w14:paraId="7EBD7C81" w14:textId="10F630D4" w:rsidR="00B07053" w:rsidRDefault="00B07053" w:rsidP="00D07517">
      <w:pPr>
        <w:pStyle w:val="base-text-paragraph"/>
      </w:pPr>
      <w:r>
        <w:t xml:space="preserve">The same penalty for failing to provide a satisfactory Financial Services Guide could arise where a </w:t>
      </w:r>
      <w:r w:rsidR="00D00D8A">
        <w:t>providing entity</w:t>
      </w:r>
      <w:r>
        <w:t xml:space="preserve"> fails to comply with the requirement to provide a lack of independence statement.</w:t>
      </w:r>
    </w:p>
    <w:p w14:paraId="6FE7EB68" w14:textId="7EAFCE33" w:rsidR="004D4FFD" w:rsidRDefault="000E6168" w:rsidP="00131012">
      <w:pPr>
        <w:pStyle w:val="base-text-paragraph"/>
        <w:numPr>
          <w:ilvl w:val="1"/>
          <w:numId w:val="7"/>
        </w:numPr>
      </w:pPr>
      <w:r>
        <w:t xml:space="preserve">The </w:t>
      </w:r>
      <w:r w:rsidR="000A17D7">
        <w:t>disclosure</w:t>
      </w:r>
      <w:r>
        <w:t xml:space="preserve"> statement </w:t>
      </w:r>
      <w:r w:rsidR="00CE001F">
        <w:t xml:space="preserve">must be </w:t>
      </w:r>
      <w:r w:rsidR="00723606">
        <w:t xml:space="preserve">consistent with any requirements about the </w:t>
      </w:r>
      <w:r>
        <w:t xml:space="preserve">form </w:t>
      </w:r>
      <w:r w:rsidR="00723606">
        <w:t xml:space="preserve">of the disclosure </w:t>
      </w:r>
      <w:r w:rsidR="00392CFD">
        <w:t>prescribed</w:t>
      </w:r>
      <w:r>
        <w:t xml:space="preserve"> by ASIC</w:t>
      </w:r>
      <w:r w:rsidR="00392CFD">
        <w:t xml:space="preserve"> </w:t>
      </w:r>
      <w:r w:rsidR="00C84569">
        <w:t xml:space="preserve">by </w:t>
      </w:r>
      <w:r w:rsidR="00392CFD">
        <w:t>legislative instrument</w:t>
      </w:r>
      <w:r w:rsidR="00B84FC1">
        <w:t xml:space="preserve"> (if a legislative instrument has been made)</w:t>
      </w:r>
      <w:r w:rsidR="00B07053">
        <w:t xml:space="preserve">. This enables ASIC to </w:t>
      </w:r>
      <w:r w:rsidR="00447459">
        <w:t>ensur</w:t>
      </w:r>
      <w:r w:rsidR="00B07053">
        <w:t>e</w:t>
      </w:r>
      <w:r w:rsidR="00AA6125">
        <w:t>,</w:t>
      </w:r>
      <w:r w:rsidR="00447459">
        <w:t xml:space="preserve"> </w:t>
      </w:r>
      <w:r w:rsidR="00AA6125">
        <w:t xml:space="preserve">consistent with the intention of Commissioner Hayne, </w:t>
      </w:r>
      <w:r w:rsidR="00817EC2">
        <w:t xml:space="preserve">that </w:t>
      </w:r>
      <w:r w:rsidR="00AA6125">
        <w:t>a</w:t>
      </w:r>
      <w:r w:rsidR="00447459">
        <w:t xml:space="preserve"> </w:t>
      </w:r>
      <w:r w:rsidR="00D554CF">
        <w:t>providing entity</w:t>
      </w:r>
      <w:r w:rsidR="00AA6125">
        <w:t xml:space="preserve">’s </w:t>
      </w:r>
      <w:r w:rsidR="00447459">
        <w:t>lack of independence is explained prominently, clearly and concisely to clients</w:t>
      </w:r>
      <w:r w:rsidR="00AA6125">
        <w:t xml:space="preserve">. It also ensures that there </w:t>
      </w:r>
      <w:r w:rsidR="00A445EA">
        <w:t xml:space="preserve">will be a </w:t>
      </w:r>
      <w:r w:rsidR="00AA6125">
        <w:t xml:space="preserve">consistent </w:t>
      </w:r>
      <w:r w:rsidR="00A445EA">
        <w:t xml:space="preserve">approach taken to </w:t>
      </w:r>
      <w:r w:rsidR="00AA6125">
        <w:t xml:space="preserve">disclosure statements from all </w:t>
      </w:r>
      <w:r w:rsidR="00D04EAB">
        <w:t>providing entities</w:t>
      </w:r>
      <w:r w:rsidR="00AA6125">
        <w:t xml:space="preserve"> in Australia who must comply with the new obligation.</w:t>
      </w:r>
      <w:r w:rsidR="00932007">
        <w:t xml:space="preserve"> </w:t>
      </w:r>
      <w:r w:rsidR="00932007">
        <w:rPr>
          <w:rStyle w:val="Referencingstyle"/>
        </w:rPr>
        <w:t xml:space="preserve">[Schedule </w:t>
      </w:r>
      <w:r w:rsidR="00D63DB7">
        <w:rPr>
          <w:rStyle w:val="Referencingstyle"/>
        </w:rPr>
        <w:t>#</w:t>
      </w:r>
      <w:r w:rsidR="00932007">
        <w:rPr>
          <w:rStyle w:val="Referencingstyle"/>
        </w:rPr>
        <w:t>, item 5</w:t>
      </w:r>
      <w:r w:rsidR="00E577B2">
        <w:rPr>
          <w:rStyle w:val="Referencingstyle"/>
        </w:rPr>
        <w:t xml:space="preserve"> and </w:t>
      </w:r>
      <w:r w:rsidR="00096C8F">
        <w:rPr>
          <w:rStyle w:val="Referencingstyle"/>
        </w:rPr>
        <w:t>7</w:t>
      </w:r>
      <w:r w:rsidR="00932007">
        <w:rPr>
          <w:rStyle w:val="Referencingstyle"/>
        </w:rPr>
        <w:t xml:space="preserve">, </w:t>
      </w:r>
      <w:r w:rsidR="00386DC5">
        <w:rPr>
          <w:rStyle w:val="Referencingstyle"/>
        </w:rPr>
        <w:t>subparagraph</w:t>
      </w:r>
      <w:r w:rsidR="00E577B2">
        <w:rPr>
          <w:rStyle w:val="Referencingstyle"/>
        </w:rPr>
        <w:t>s</w:t>
      </w:r>
      <w:r w:rsidR="00932007">
        <w:rPr>
          <w:rStyle w:val="Referencingstyle"/>
        </w:rPr>
        <w:t xml:space="preserve"> 942B(2)(</w:t>
      </w:r>
      <w:r w:rsidR="00142560">
        <w:rPr>
          <w:rStyle w:val="Referencingstyle"/>
        </w:rPr>
        <w:t>fa</w:t>
      </w:r>
      <w:r w:rsidR="00932007">
        <w:rPr>
          <w:rStyle w:val="Referencingstyle"/>
        </w:rPr>
        <w:t xml:space="preserve">)(iii) </w:t>
      </w:r>
      <w:r w:rsidR="00A423B3">
        <w:rPr>
          <w:rStyle w:val="Referencingstyle"/>
        </w:rPr>
        <w:t>and</w:t>
      </w:r>
      <w:r w:rsidR="00251266">
        <w:rPr>
          <w:rStyle w:val="Referencingstyle"/>
        </w:rPr>
        <w:t xml:space="preserve"> </w:t>
      </w:r>
      <w:r w:rsidR="00932007">
        <w:rPr>
          <w:rStyle w:val="Referencingstyle"/>
        </w:rPr>
        <w:t>942C(2)(</w:t>
      </w:r>
      <w:proofErr w:type="spellStart"/>
      <w:r w:rsidR="00142560">
        <w:rPr>
          <w:rStyle w:val="Referencingstyle"/>
        </w:rPr>
        <w:t>ga</w:t>
      </w:r>
      <w:proofErr w:type="spellEnd"/>
      <w:r w:rsidR="00932007">
        <w:rPr>
          <w:rStyle w:val="Referencingstyle"/>
        </w:rPr>
        <w:t>)(iii)</w:t>
      </w:r>
      <w:r w:rsidR="00932007" w:rsidRPr="00375F1D">
        <w:rPr>
          <w:rStyle w:val="Referencingstyle"/>
        </w:rPr>
        <w:t xml:space="preserve"> of </w:t>
      </w:r>
      <w:r w:rsidR="00817EC2">
        <w:rPr>
          <w:rStyle w:val="Referencingstyle"/>
        </w:rPr>
        <w:t xml:space="preserve">the Corporations </w:t>
      </w:r>
      <w:r w:rsidR="00932007" w:rsidRPr="00375F1D">
        <w:rPr>
          <w:rStyle w:val="Referencingstyle"/>
        </w:rPr>
        <w:t>Act]</w:t>
      </w:r>
      <w:r>
        <w:t xml:space="preserve"> </w:t>
      </w:r>
    </w:p>
    <w:p w14:paraId="48398CBB" w14:textId="2526C2BF" w:rsidR="00736B20" w:rsidRDefault="00173DE1" w:rsidP="00B17774">
      <w:pPr>
        <w:pStyle w:val="base-text-paragraph"/>
        <w:numPr>
          <w:ilvl w:val="1"/>
          <w:numId w:val="7"/>
        </w:numPr>
      </w:pPr>
      <w:r>
        <w:t>W</w:t>
      </w:r>
      <w:r w:rsidR="00736B20">
        <w:t>here ASIC has not made a legislative instrument</w:t>
      </w:r>
      <w:r w:rsidR="00723606">
        <w:t xml:space="preserve"> prescribing requirements for the form of the disclosure statement</w:t>
      </w:r>
      <w:r w:rsidR="00736B20">
        <w:t xml:space="preserve">, a providing entity must still provide </w:t>
      </w:r>
      <w:r>
        <w:t xml:space="preserve">the </w:t>
      </w:r>
      <w:r w:rsidR="00736B20">
        <w:t>disclosure statement</w:t>
      </w:r>
      <w:r w:rsidR="00E27F9F">
        <w:t xml:space="preserve">. In such circumstances, </w:t>
      </w:r>
      <w:r w:rsidR="0022465F">
        <w:t xml:space="preserve">providing entities have discretion on the form of the </w:t>
      </w:r>
      <w:r w:rsidR="00E27F9F">
        <w:t>statement</w:t>
      </w:r>
      <w:r w:rsidR="0022465F">
        <w:t xml:space="preserve"> but </w:t>
      </w:r>
      <w:r w:rsidR="00723606">
        <w:t>the statement must still</w:t>
      </w:r>
      <w:r w:rsidR="0022465F">
        <w:t xml:space="preserve"> </w:t>
      </w:r>
      <w:r w:rsidR="00E27F9F">
        <w:t xml:space="preserve">satisfy the </w:t>
      </w:r>
      <w:r w:rsidR="0022465F">
        <w:t xml:space="preserve">other </w:t>
      </w:r>
      <w:r w:rsidR="00AE5D3B">
        <w:t xml:space="preserve">two </w:t>
      </w:r>
      <w:r w:rsidR="00996603">
        <w:t>requirements</w:t>
      </w:r>
      <w:r w:rsidR="00401F46">
        <w:t xml:space="preserve"> set out in paragraph</w:t>
      </w:r>
      <w:r w:rsidR="004A4D44">
        <w:t> 1</w:t>
      </w:r>
      <w:r w:rsidR="00401F46">
        <w:t>.</w:t>
      </w:r>
      <w:r w:rsidR="004A4D44">
        <w:t>20</w:t>
      </w:r>
      <w:r w:rsidR="00996603">
        <w:t>.</w:t>
      </w:r>
      <w:r w:rsidR="00736B20">
        <w:t xml:space="preserve"> </w:t>
      </w:r>
    </w:p>
    <w:p w14:paraId="3301A9DA" w14:textId="697D4636" w:rsidR="008D1EA1" w:rsidRDefault="00C427EE" w:rsidP="00B17774">
      <w:pPr>
        <w:pStyle w:val="base-text-paragraph"/>
        <w:numPr>
          <w:ilvl w:val="1"/>
          <w:numId w:val="7"/>
        </w:numPr>
      </w:pPr>
      <w:r>
        <w:t xml:space="preserve">Under the current law, a providing entity is generally required to provide a Financial Services Guide to a retail client before providing a financial service to that client. </w:t>
      </w:r>
      <w:r w:rsidR="00F522D8">
        <w:t>Where</w:t>
      </w:r>
      <w:r w:rsidR="008D1EA1">
        <w:t xml:space="preserve"> a financial adviser is </w:t>
      </w:r>
      <w:r w:rsidR="00B07053">
        <w:t xml:space="preserve">giving advice as </w:t>
      </w:r>
      <w:r w:rsidR="008D1EA1">
        <w:t>an employee</w:t>
      </w:r>
      <w:r w:rsidR="00BE1C8B">
        <w:t xml:space="preserve"> of a providing entity,</w:t>
      </w:r>
      <w:r w:rsidR="00A85102">
        <w:t xml:space="preserve"> </w:t>
      </w:r>
      <w:r w:rsidR="00BE1C8B">
        <w:t xml:space="preserve">the lack of independence disclosure </w:t>
      </w:r>
      <w:r w:rsidR="008F0F1C">
        <w:t xml:space="preserve">must </w:t>
      </w:r>
      <w:r w:rsidR="00BE1C8B">
        <w:t xml:space="preserve">still relates to the providing entity, not the employee. </w:t>
      </w:r>
    </w:p>
    <w:p w14:paraId="23868275" w14:textId="77777777" w:rsidR="00B17774" w:rsidRDefault="00B17774" w:rsidP="00B17774">
      <w:pPr>
        <w:pStyle w:val="Heading2"/>
      </w:pPr>
      <w:r>
        <w:t>Consequential amendments</w:t>
      </w:r>
    </w:p>
    <w:p w14:paraId="7A4782CA" w14:textId="062229B8" w:rsidR="00B17774" w:rsidRDefault="00144452" w:rsidP="00B17774">
      <w:pPr>
        <w:pStyle w:val="base-text-paragraph"/>
        <w:numPr>
          <w:ilvl w:val="1"/>
          <w:numId w:val="7"/>
        </w:numPr>
      </w:pPr>
      <w:r>
        <w:t xml:space="preserve">Schedule </w:t>
      </w:r>
      <w:r w:rsidR="00125B57">
        <w:t xml:space="preserve"># </w:t>
      </w:r>
      <w:r>
        <w:t xml:space="preserve">to the Bill makes amendments as a consequence of amending the obligations to provide Financial Services Guides by linking </w:t>
      </w:r>
      <w:r w:rsidR="004A68E5">
        <w:t xml:space="preserve">the obligation </w:t>
      </w:r>
      <w:r>
        <w:t xml:space="preserve">to the restriction in subsection </w:t>
      </w:r>
      <w:proofErr w:type="gramStart"/>
      <w:r>
        <w:t>92</w:t>
      </w:r>
      <w:r w:rsidR="00125B57">
        <w:t>3</w:t>
      </w:r>
      <w:r>
        <w:t>A(</w:t>
      </w:r>
      <w:proofErr w:type="gramEnd"/>
      <w:r>
        <w:t xml:space="preserve">1). This includes inserting a Note and a provision </w:t>
      </w:r>
      <w:r w:rsidR="00760100">
        <w:t>for</w:t>
      </w:r>
      <w:r>
        <w:t xml:space="preserve"> avoid</w:t>
      </w:r>
      <w:r w:rsidR="00760100">
        <w:t>ance of</w:t>
      </w:r>
      <w:r>
        <w:t xml:space="preserve"> doubt</w:t>
      </w:r>
      <w:r w:rsidR="004A68E5">
        <w:t xml:space="preserve"> in section 923A. </w:t>
      </w:r>
      <w:r w:rsidR="00EC5719">
        <w:rPr>
          <w:rStyle w:val="Referencingstyle"/>
        </w:rPr>
        <w:t xml:space="preserve">[Schedule </w:t>
      </w:r>
      <w:r w:rsidR="00D63DB7">
        <w:rPr>
          <w:rStyle w:val="Referencingstyle"/>
        </w:rPr>
        <w:t>#</w:t>
      </w:r>
      <w:r>
        <w:rPr>
          <w:rStyle w:val="Referencingstyle"/>
        </w:rPr>
        <w:t>, i</w:t>
      </w:r>
      <w:r w:rsidR="00EC5719">
        <w:rPr>
          <w:rStyle w:val="Referencingstyle"/>
        </w:rPr>
        <w:t>tems 1 and 2, section 923A</w:t>
      </w:r>
      <w:r w:rsidRPr="00375F1D">
        <w:rPr>
          <w:rStyle w:val="Referencingstyle"/>
        </w:rPr>
        <w:t xml:space="preserve"> of </w:t>
      </w:r>
      <w:r w:rsidR="00817EC2">
        <w:rPr>
          <w:rStyle w:val="Referencingstyle"/>
        </w:rPr>
        <w:t xml:space="preserve">the Corporations </w:t>
      </w:r>
      <w:r w:rsidRPr="00375F1D">
        <w:rPr>
          <w:rStyle w:val="Referencingstyle"/>
        </w:rPr>
        <w:t>Act]</w:t>
      </w:r>
      <w:r>
        <w:t xml:space="preserve">  </w:t>
      </w:r>
    </w:p>
    <w:p w14:paraId="19327B15" w14:textId="7E1DD9D9" w:rsidR="00F522D8" w:rsidRPr="001F624B" w:rsidRDefault="00F522D8" w:rsidP="00B17774">
      <w:pPr>
        <w:pStyle w:val="base-text-paragraph"/>
        <w:numPr>
          <w:ilvl w:val="1"/>
          <w:numId w:val="7"/>
        </w:numPr>
        <w:rPr>
          <w:rStyle w:val="Referencingstyle"/>
          <w:b w:val="0"/>
          <w:i w:val="0"/>
          <w:sz w:val="22"/>
        </w:rPr>
      </w:pPr>
      <w:r>
        <w:t xml:space="preserve"> The avoidance of doubt provision clarifies that</w:t>
      </w:r>
      <w:r w:rsidR="0018554E">
        <w:t xml:space="preserve"> the</w:t>
      </w:r>
      <w:r>
        <w:t xml:space="preserve"> use of </w:t>
      </w:r>
      <w:r w:rsidR="000B500C">
        <w:t>a restricted word or expression</w:t>
      </w:r>
      <w:r>
        <w:t xml:space="preserve"> in the lack of independence disclosure statement </w:t>
      </w:r>
      <w:r w:rsidR="00E34768">
        <w:t xml:space="preserve">does </w:t>
      </w:r>
      <w:r w:rsidR="000B500C">
        <w:t xml:space="preserve">not </w:t>
      </w:r>
      <w:r w:rsidR="00E34768">
        <w:t xml:space="preserve">contravene </w:t>
      </w:r>
      <w:r w:rsidR="00E735A5">
        <w:t xml:space="preserve">section 923A. </w:t>
      </w:r>
      <w:r w:rsidR="00E34768">
        <w:t>This makes clear that a</w:t>
      </w:r>
      <w:r w:rsidR="002006A0">
        <w:t xml:space="preserve"> providing</w:t>
      </w:r>
      <w:r w:rsidR="00E34768">
        <w:t xml:space="preserve"> entity will not be penalised for complying with the disclosure requirements and stating </w:t>
      </w:r>
      <w:r w:rsidR="0018554E">
        <w:t xml:space="preserve">that </w:t>
      </w:r>
      <w:r w:rsidR="00E34768">
        <w:t>they are not independent, unbiased or impartial</w:t>
      </w:r>
      <w:r w:rsidR="00E735A5">
        <w:t xml:space="preserve">. </w:t>
      </w:r>
      <w:r w:rsidR="000B500C">
        <w:rPr>
          <w:rStyle w:val="Referencingstyle"/>
        </w:rPr>
        <w:t>[Schedule #, item 2, subsection 923A(6)</w:t>
      </w:r>
      <w:r w:rsidR="000B500C" w:rsidRPr="00375F1D">
        <w:rPr>
          <w:rStyle w:val="Referencingstyle"/>
        </w:rPr>
        <w:t xml:space="preserve"> of </w:t>
      </w:r>
      <w:r w:rsidR="0018554E">
        <w:rPr>
          <w:rStyle w:val="Referencingstyle"/>
        </w:rPr>
        <w:t xml:space="preserve">the Corporations </w:t>
      </w:r>
      <w:r w:rsidR="000B500C" w:rsidRPr="00375F1D">
        <w:rPr>
          <w:rStyle w:val="Referencingstyle"/>
        </w:rPr>
        <w:t>Act]</w:t>
      </w:r>
    </w:p>
    <w:p w14:paraId="605BBC3B" w14:textId="3D83606C" w:rsidR="00170A63" w:rsidRDefault="00E34768" w:rsidP="00B17774">
      <w:pPr>
        <w:pStyle w:val="base-text-paragraph"/>
        <w:numPr>
          <w:ilvl w:val="1"/>
          <w:numId w:val="7"/>
        </w:numPr>
      </w:pPr>
      <w:r>
        <w:t xml:space="preserve">Schedule # of the Bill also changes the information that must be provided in circumstances where a providing entity </w:t>
      </w:r>
      <w:r w:rsidR="00DE1647">
        <w:t>does not provide a</w:t>
      </w:r>
      <w:r>
        <w:t xml:space="preserve"> Financial Services Guide</w:t>
      </w:r>
      <w:r w:rsidR="00582FA9">
        <w:t xml:space="preserve">. </w:t>
      </w:r>
      <w:r w:rsidR="00170A63">
        <w:t>The specific amendments are:</w:t>
      </w:r>
    </w:p>
    <w:p w14:paraId="6ABA98BB" w14:textId="5C16A8CD" w:rsidR="00B802AE" w:rsidRPr="00170A63" w:rsidRDefault="0018554E" w:rsidP="00DE1647">
      <w:pPr>
        <w:pStyle w:val="dotpoint"/>
        <w:rPr>
          <w:rStyle w:val="Referencingstyle"/>
          <w:b w:val="0"/>
          <w:i w:val="0"/>
          <w:sz w:val="22"/>
        </w:rPr>
      </w:pPr>
      <w:r>
        <w:t>a</w:t>
      </w:r>
      <w:r w:rsidR="00EC5719">
        <w:t>n amendment to include the disclosure of lack of independence in the list of required information that must be provided where financial product advice is given about certain basic deposits and other products</w:t>
      </w:r>
      <w:r w:rsidR="00170A63">
        <w:t xml:space="preserve">; </w:t>
      </w:r>
      <w:r w:rsidR="005051A8">
        <w:rPr>
          <w:rStyle w:val="Referencingstyle"/>
        </w:rPr>
        <w:t xml:space="preserve">[Schedule </w:t>
      </w:r>
      <w:r w:rsidR="003A19BA">
        <w:rPr>
          <w:rStyle w:val="Referencingstyle"/>
        </w:rPr>
        <w:t>#</w:t>
      </w:r>
      <w:r w:rsidR="005051A8">
        <w:rPr>
          <w:rStyle w:val="Referencingstyle"/>
        </w:rPr>
        <w:t>, item 3</w:t>
      </w:r>
      <w:r w:rsidR="00EC5719" w:rsidRPr="00375F1D">
        <w:rPr>
          <w:rStyle w:val="Referencingstyle"/>
        </w:rPr>
        <w:t>, s</w:t>
      </w:r>
      <w:r w:rsidR="00EC5719">
        <w:rPr>
          <w:rStyle w:val="Referencingstyle"/>
        </w:rPr>
        <w:t>ubsection 941C(7)</w:t>
      </w:r>
      <w:r w:rsidR="00EC5719" w:rsidRPr="00375F1D">
        <w:rPr>
          <w:rStyle w:val="Referencingstyle"/>
        </w:rPr>
        <w:t xml:space="preserve"> of</w:t>
      </w:r>
      <w:r>
        <w:rPr>
          <w:rStyle w:val="Referencingstyle"/>
        </w:rPr>
        <w:t xml:space="preserve"> the Corporations</w:t>
      </w:r>
      <w:r w:rsidR="00EC5719" w:rsidRPr="00375F1D">
        <w:rPr>
          <w:rStyle w:val="Referencingstyle"/>
        </w:rPr>
        <w:t xml:space="preserve"> Act]</w:t>
      </w:r>
      <w:r>
        <w:rPr>
          <w:rStyle w:val="Referencingstyle"/>
          <w:b w:val="0"/>
          <w:i w:val="0"/>
        </w:rPr>
        <w:t>;</w:t>
      </w:r>
      <w:r w:rsidR="00E750A9" w:rsidRPr="00E750A9">
        <w:t xml:space="preserve"> </w:t>
      </w:r>
      <w:r w:rsidR="00E750A9">
        <w:t>and</w:t>
      </w:r>
    </w:p>
    <w:p w14:paraId="044251F1" w14:textId="61C2E64D" w:rsidR="00170A63" w:rsidRPr="004A68E5" w:rsidRDefault="0018554E" w:rsidP="00DE1647">
      <w:pPr>
        <w:pStyle w:val="dotpoint"/>
        <w:rPr>
          <w:rStyle w:val="Referencingstyle"/>
          <w:b w:val="0"/>
          <w:i w:val="0"/>
          <w:sz w:val="22"/>
        </w:rPr>
      </w:pPr>
      <w:proofErr w:type="gramStart"/>
      <w:r>
        <w:t>a</w:t>
      </w:r>
      <w:r w:rsidR="00170A63">
        <w:t>n</w:t>
      </w:r>
      <w:proofErr w:type="gramEnd"/>
      <w:r w:rsidR="00170A63">
        <w:t xml:space="preserve"> amendment to include the disclosure of lack of independence in the list of required information that must be provided in time critical cases for providing the Financial Services Guide. </w:t>
      </w:r>
      <w:r w:rsidR="00170A63">
        <w:rPr>
          <w:rStyle w:val="Referencingstyle"/>
        </w:rPr>
        <w:t xml:space="preserve">[Schedule #, item 4, paragraph 941D(3)(a) </w:t>
      </w:r>
      <w:r w:rsidR="00170A63" w:rsidRPr="00375F1D">
        <w:rPr>
          <w:rStyle w:val="Referencingstyle"/>
        </w:rPr>
        <w:t>of</w:t>
      </w:r>
      <w:r>
        <w:rPr>
          <w:rStyle w:val="Referencingstyle"/>
        </w:rPr>
        <w:t xml:space="preserve"> the Corporations</w:t>
      </w:r>
      <w:r w:rsidR="00170A63" w:rsidRPr="00375F1D">
        <w:rPr>
          <w:rStyle w:val="Referencingstyle"/>
        </w:rPr>
        <w:t xml:space="preserve"> Act]</w:t>
      </w:r>
    </w:p>
    <w:p w14:paraId="247179BE" w14:textId="77777777" w:rsidR="00B17774" w:rsidRPr="00DE1647" w:rsidRDefault="00B17774" w:rsidP="00B17774">
      <w:pPr>
        <w:pStyle w:val="Heading2"/>
      </w:pPr>
      <w:r w:rsidRPr="00DE1647">
        <w:lastRenderedPageBreak/>
        <w:t>Application and transitional provisions</w:t>
      </w:r>
    </w:p>
    <w:p w14:paraId="0C165F0C" w14:textId="13658AB1" w:rsidR="00597277" w:rsidRPr="00142560" w:rsidRDefault="0020200D" w:rsidP="00B17774">
      <w:pPr>
        <w:pStyle w:val="base-text-paragraph"/>
        <w:numPr>
          <w:ilvl w:val="1"/>
          <w:numId w:val="7"/>
        </w:numPr>
      </w:pPr>
      <w:r w:rsidRPr="00DE1647">
        <w:t xml:space="preserve">The amendments requiring </w:t>
      </w:r>
      <w:r w:rsidR="00D27BD1">
        <w:t>providing entities</w:t>
      </w:r>
      <w:r w:rsidRPr="00DE1647">
        <w:t xml:space="preserve"> to provide a lack of independence disclosure </w:t>
      </w:r>
      <w:r w:rsidR="006432B8">
        <w:t xml:space="preserve">statement </w:t>
      </w:r>
      <w:r w:rsidRPr="00DE1647">
        <w:t xml:space="preserve">apply in relation </w:t>
      </w:r>
      <w:r w:rsidR="000763C9" w:rsidRPr="00DE1647">
        <w:t xml:space="preserve">to </w:t>
      </w:r>
      <w:r w:rsidR="00CC4AE6" w:rsidRPr="00DE1647">
        <w:t>personal advice</w:t>
      </w:r>
      <w:r w:rsidRPr="00DE1647">
        <w:t xml:space="preserve"> </w:t>
      </w:r>
      <w:r w:rsidR="00543BD9" w:rsidRPr="00DE1647">
        <w:t>provided</w:t>
      </w:r>
      <w:r w:rsidR="00B3426B" w:rsidRPr="00DE1647">
        <w:t xml:space="preserve"> on or</w:t>
      </w:r>
      <w:r w:rsidRPr="00DE1647">
        <w:t xml:space="preserve"> after 1 July 2020.</w:t>
      </w:r>
      <w:r w:rsidR="008311B7" w:rsidRPr="00DE1647">
        <w:t xml:space="preserve"> </w:t>
      </w:r>
      <w:r w:rsidR="008311B7" w:rsidRPr="00DE1647">
        <w:rPr>
          <w:rStyle w:val="Referencingstyle"/>
        </w:rPr>
        <w:t xml:space="preserve">[Schedule </w:t>
      </w:r>
      <w:r w:rsidR="002A3277">
        <w:rPr>
          <w:rStyle w:val="Referencingstyle"/>
        </w:rPr>
        <w:t>#</w:t>
      </w:r>
      <w:r w:rsidR="008311B7" w:rsidRPr="00DE1647">
        <w:rPr>
          <w:rStyle w:val="Referencingstyle"/>
        </w:rPr>
        <w:t xml:space="preserve">, item </w:t>
      </w:r>
      <w:r w:rsidR="002A3277">
        <w:rPr>
          <w:rStyle w:val="Referencingstyle"/>
        </w:rPr>
        <w:t>9</w:t>
      </w:r>
      <w:r w:rsidR="008311B7" w:rsidRPr="00DE1647">
        <w:rPr>
          <w:rStyle w:val="Referencingstyle"/>
        </w:rPr>
        <w:t>, section</w:t>
      </w:r>
      <w:r w:rsidR="00DC164B">
        <w:rPr>
          <w:rStyle w:val="Referencingstyle"/>
        </w:rPr>
        <w:t xml:space="preserve"> </w:t>
      </w:r>
      <w:r w:rsidR="002A3277">
        <w:rPr>
          <w:rStyle w:val="Referencingstyle"/>
        </w:rPr>
        <w:t>16</w:t>
      </w:r>
      <w:r w:rsidR="002447C7">
        <w:rPr>
          <w:rStyle w:val="Referencingstyle"/>
        </w:rPr>
        <w:t>73</w:t>
      </w:r>
      <w:r w:rsidR="008311B7" w:rsidRPr="00DE1647">
        <w:rPr>
          <w:rStyle w:val="Referencingstyle"/>
        </w:rPr>
        <w:t xml:space="preserve"> of</w:t>
      </w:r>
      <w:r w:rsidR="0018554E">
        <w:rPr>
          <w:rStyle w:val="Referencingstyle"/>
        </w:rPr>
        <w:t xml:space="preserve"> the Corporations</w:t>
      </w:r>
      <w:r w:rsidR="008311B7" w:rsidRPr="00DE1647">
        <w:rPr>
          <w:rStyle w:val="Referencingstyle"/>
        </w:rPr>
        <w:t xml:space="preserve"> Act]</w:t>
      </w:r>
      <w:r w:rsidRPr="00DE1647">
        <w:t xml:space="preserve"> </w:t>
      </w:r>
    </w:p>
    <w:p w14:paraId="76E1FA42" w14:textId="7E9D8315" w:rsidR="009B52BD" w:rsidRPr="00DE1647" w:rsidRDefault="00F21EF2" w:rsidP="00B17774">
      <w:pPr>
        <w:pStyle w:val="base-text-paragraph"/>
        <w:numPr>
          <w:ilvl w:val="1"/>
          <w:numId w:val="7"/>
        </w:numPr>
      </w:pPr>
      <w:r>
        <w:t xml:space="preserve">To clarify, </w:t>
      </w:r>
      <w:r w:rsidR="009B52BD" w:rsidRPr="00DE1647">
        <w:t>Financial Services Guides provided to new clients</w:t>
      </w:r>
      <w:r w:rsidR="00D27BD1">
        <w:t xml:space="preserve"> on or</w:t>
      </w:r>
      <w:r w:rsidR="009B52BD" w:rsidRPr="00DE1647">
        <w:t xml:space="preserve"> after</w:t>
      </w:r>
      <w:r w:rsidR="006579F8" w:rsidRPr="00DE1647">
        <w:t xml:space="preserve"> 1 July </w:t>
      </w:r>
      <w:r w:rsidR="009B52BD" w:rsidRPr="00DE1647">
        <w:t xml:space="preserve">2020 must include the lack of independence disclosure statement. </w:t>
      </w:r>
    </w:p>
    <w:p w14:paraId="1C406683" w14:textId="68D1B38E" w:rsidR="002B7CB5" w:rsidRPr="00DE1647" w:rsidRDefault="004B3B3F" w:rsidP="00B17774">
      <w:pPr>
        <w:pStyle w:val="base-text-paragraph"/>
        <w:numPr>
          <w:ilvl w:val="1"/>
          <w:numId w:val="7"/>
        </w:numPr>
      </w:pPr>
      <w:r>
        <w:t xml:space="preserve">A </w:t>
      </w:r>
      <w:r w:rsidR="00917DB8" w:rsidRPr="00DE1647">
        <w:t xml:space="preserve">transitional rule </w:t>
      </w:r>
      <w:r>
        <w:t xml:space="preserve">applies </w:t>
      </w:r>
      <w:r w:rsidR="00917DB8" w:rsidRPr="00DE1647">
        <w:t>provid</w:t>
      </w:r>
      <w:r>
        <w:t>ing</w:t>
      </w:r>
      <w:r w:rsidR="00917DB8" w:rsidRPr="00DE1647">
        <w:t xml:space="preserve"> that the d</w:t>
      </w:r>
      <w:r w:rsidR="009B52BD" w:rsidRPr="00DE1647">
        <w:t xml:space="preserve">isclosure </w:t>
      </w:r>
      <w:r w:rsidR="00A60133" w:rsidRPr="00DE1647">
        <w:t>of</w:t>
      </w:r>
      <w:r w:rsidR="009B52BD" w:rsidRPr="00DE1647">
        <w:t xml:space="preserve"> lack of independence</w:t>
      </w:r>
      <w:r w:rsidR="004A214C">
        <w:t xml:space="preserve"> </w:t>
      </w:r>
      <w:r w:rsidR="00917DB8" w:rsidRPr="00DE1647">
        <w:t>must be provided</w:t>
      </w:r>
      <w:r w:rsidR="00B10358">
        <w:t xml:space="preserve"> </w:t>
      </w:r>
      <w:r w:rsidR="00880DD7">
        <w:t>if</w:t>
      </w:r>
      <w:r>
        <w:t xml:space="preserve"> the providing entity has given a </w:t>
      </w:r>
      <w:r w:rsidR="002F4126">
        <w:t>Financial</w:t>
      </w:r>
      <w:r>
        <w:t xml:space="preserve"> Services Guide </w:t>
      </w:r>
      <w:r w:rsidR="002F4126">
        <w:t xml:space="preserve">to the client </w:t>
      </w:r>
      <w:r>
        <w:t xml:space="preserve">before 1 July 2020 and the </w:t>
      </w:r>
      <w:r w:rsidR="002F4126">
        <w:t xml:space="preserve">financial services are provided to the client </w:t>
      </w:r>
      <w:r>
        <w:t>on or after 1 July 2020</w:t>
      </w:r>
      <w:r w:rsidR="00917DB8" w:rsidRPr="00DE1647">
        <w:t>.</w:t>
      </w:r>
      <w:r>
        <w:t xml:space="preserve"> The statement must be provided whether or not the failure to disclose would be materially </w:t>
      </w:r>
      <w:r w:rsidR="008312C1">
        <w:t>adverse from the point of view of</w:t>
      </w:r>
      <w:r>
        <w:t xml:space="preserve"> a reasonable person. </w:t>
      </w:r>
      <w:r w:rsidR="00917DB8" w:rsidRPr="00DE1647">
        <w:t xml:space="preserve"> </w:t>
      </w:r>
      <w:r w:rsidR="008311B7" w:rsidRPr="00DE1647">
        <w:rPr>
          <w:rStyle w:val="Referencingstyle"/>
        </w:rPr>
        <w:t xml:space="preserve">[Schedule </w:t>
      </w:r>
      <w:r w:rsidR="00D27BD1">
        <w:rPr>
          <w:rStyle w:val="Referencingstyle"/>
        </w:rPr>
        <w:t>#</w:t>
      </w:r>
      <w:r w:rsidR="008311B7" w:rsidRPr="00DE1647">
        <w:rPr>
          <w:rStyle w:val="Referencingstyle"/>
        </w:rPr>
        <w:t xml:space="preserve">, item </w:t>
      </w:r>
      <w:r w:rsidR="00D27BD1">
        <w:rPr>
          <w:rStyle w:val="Referencingstyle"/>
        </w:rPr>
        <w:t>9</w:t>
      </w:r>
      <w:r w:rsidR="008311B7" w:rsidRPr="00DE1647">
        <w:rPr>
          <w:rStyle w:val="Referencingstyle"/>
        </w:rPr>
        <w:t>, section</w:t>
      </w:r>
      <w:r w:rsidR="0018554E">
        <w:rPr>
          <w:rStyle w:val="Referencingstyle"/>
        </w:rPr>
        <w:t>s 1673 and</w:t>
      </w:r>
      <w:r w:rsidR="008311B7" w:rsidRPr="00DE1647">
        <w:rPr>
          <w:rStyle w:val="Referencingstyle"/>
        </w:rPr>
        <w:t xml:space="preserve"> </w:t>
      </w:r>
      <w:r w:rsidR="002A3277">
        <w:rPr>
          <w:rStyle w:val="Referencingstyle"/>
        </w:rPr>
        <w:t>16</w:t>
      </w:r>
      <w:r w:rsidR="0018554E">
        <w:rPr>
          <w:rStyle w:val="Referencingstyle"/>
        </w:rPr>
        <w:t>73</w:t>
      </w:r>
      <w:r w:rsidR="002A3277">
        <w:rPr>
          <w:rStyle w:val="Referencingstyle"/>
        </w:rPr>
        <w:t>A</w:t>
      </w:r>
      <w:r w:rsidR="008311B7" w:rsidRPr="00DE1647">
        <w:rPr>
          <w:rStyle w:val="Referencingstyle"/>
        </w:rPr>
        <w:t xml:space="preserve"> of </w:t>
      </w:r>
      <w:r w:rsidR="0018554E">
        <w:rPr>
          <w:rStyle w:val="Referencingstyle"/>
        </w:rPr>
        <w:t xml:space="preserve">the Corporations </w:t>
      </w:r>
      <w:r w:rsidR="008311B7" w:rsidRPr="00DE1647">
        <w:rPr>
          <w:rStyle w:val="Referencingstyle"/>
        </w:rPr>
        <w:t>Act]</w:t>
      </w:r>
      <w:r w:rsidR="008311B7" w:rsidRPr="00DE1647">
        <w:t xml:space="preserve"> </w:t>
      </w:r>
      <w:r w:rsidR="002B7CB5" w:rsidRPr="00DE1647">
        <w:t xml:space="preserve">   </w:t>
      </w:r>
    </w:p>
    <w:p w14:paraId="5545645E" w14:textId="0EC2AA36" w:rsidR="00917DB8" w:rsidRDefault="00917DB8" w:rsidP="00B17774">
      <w:pPr>
        <w:pStyle w:val="base-text-paragraph"/>
        <w:numPr>
          <w:ilvl w:val="1"/>
          <w:numId w:val="7"/>
        </w:numPr>
      </w:pPr>
      <w:r w:rsidRPr="00DE1647">
        <w:t xml:space="preserve">This avoids any ambiguity about whether </w:t>
      </w:r>
      <w:r w:rsidR="00F10DF6">
        <w:t>the statement</w:t>
      </w:r>
      <w:r w:rsidRPr="00DE1647">
        <w:t xml:space="preserve"> must be provided for services </w:t>
      </w:r>
      <w:r w:rsidR="0018554E">
        <w:t xml:space="preserve">that have been </w:t>
      </w:r>
      <w:r w:rsidRPr="00DE1647">
        <w:t xml:space="preserve">provided </w:t>
      </w:r>
      <w:r w:rsidR="0018554E">
        <w:t>with an</w:t>
      </w:r>
      <w:r w:rsidRPr="00DE1647">
        <w:t xml:space="preserve"> existing Financial Services Guides.</w:t>
      </w:r>
    </w:p>
    <w:p w14:paraId="57B66E59" w14:textId="4E42DA09" w:rsidR="0075258F" w:rsidRDefault="00E72667" w:rsidP="00091B41">
      <w:pPr>
        <w:pStyle w:val="base-text-paragraph"/>
        <w:numPr>
          <w:ilvl w:val="1"/>
          <w:numId w:val="7"/>
        </w:numPr>
      </w:pPr>
      <w:r>
        <w:t xml:space="preserve">To clarify, </w:t>
      </w:r>
      <w:r w:rsidR="00D95B68">
        <w:t xml:space="preserve">the </w:t>
      </w:r>
      <w:r w:rsidR="007E6DF8">
        <w:t xml:space="preserve">providing entity </w:t>
      </w:r>
      <w:r>
        <w:t>does</w:t>
      </w:r>
      <w:r w:rsidR="0075258F">
        <w:t xml:space="preserve"> not need to release </w:t>
      </w:r>
      <w:r w:rsidR="007E6DF8">
        <w:t xml:space="preserve">a </w:t>
      </w:r>
      <w:r w:rsidR="0075258F">
        <w:t>new Financial Service Guide that contain</w:t>
      </w:r>
      <w:r w:rsidR="002F4126">
        <w:t>s</w:t>
      </w:r>
      <w:r w:rsidR="0075258F">
        <w:t xml:space="preserve"> the </w:t>
      </w:r>
      <w:r w:rsidR="00FF0B23">
        <w:t xml:space="preserve">disclosure of lack of </w:t>
      </w:r>
      <w:r w:rsidR="0075258F">
        <w:t xml:space="preserve">independence </w:t>
      </w:r>
      <w:r w:rsidR="00A90EA8">
        <w:t>from 1</w:t>
      </w:r>
      <w:r w:rsidR="00DC164B">
        <w:t> </w:t>
      </w:r>
      <w:r w:rsidR="00A90EA8">
        <w:t>July 2020. In line with existing obligations about updating Financial Services Guides</w:t>
      </w:r>
      <w:r w:rsidR="00A924D6">
        <w:t xml:space="preserve"> </w:t>
      </w:r>
      <w:r w:rsidR="00A90EA8">
        <w:t xml:space="preserve">the providing entity </w:t>
      </w:r>
      <w:r w:rsidR="007E6DF8">
        <w:t>may choose to provide it</w:t>
      </w:r>
      <w:r w:rsidR="00D00D1C">
        <w:t xml:space="preserve"> in a Supplementary Financial Services Guide.</w:t>
      </w:r>
      <w:r w:rsidR="00201DFF">
        <w:t xml:space="preserve"> </w:t>
      </w:r>
      <w:r w:rsidR="00201DFF">
        <w:rPr>
          <w:rStyle w:val="Referencingstyle"/>
        </w:rPr>
        <w:t>[Schedule #, item 9, subparagraphs 16</w:t>
      </w:r>
      <w:r w:rsidR="0018554E">
        <w:rPr>
          <w:rStyle w:val="Referencingstyle"/>
        </w:rPr>
        <w:t>73</w:t>
      </w:r>
      <w:r w:rsidR="00201DFF">
        <w:rPr>
          <w:rStyle w:val="Referencingstyle"/>
        </w:rPr>
        <w:t>A(1)(d) and 16</w:t>
      </w:r>
      <w:r w:rsidR="0018554E">
        <w:rPr>
          <w:rStyle w:val="Referencingstyle"/>
        </w:rPr>
        <w:t>73</w:t>
      </w:r>
      <w:r w:rsidR="00201DFF">
        <w:rPr>
          <w:rStyle w:val="Referencingstyle"/>
        </w:rPr>
        <w:t>A(1)(e)</w:t>
      </w:r>
      <w:r w:rsidR="00201DFF" w:rsidRPr="00375F1D">
        <w:rPr>
          <w:rStyle w:val="Referencingstyle"/>
        </w:rPr>
        <w:t xml:space="preserve"> of </w:t>
      </w:r>
      <w:r w:rsidR="0018554E">
        <w:rPr>
          <w:rStyle w:val="Referencingstyle"/>
        </w:rPr>
        <w:t xml:space="preserve">the Corporations </w:t>
      </w:r>
      <w:r w:rsidR="00201DFF" w:rsidRPr="00375F1D">
        <w:rPr>
          <w:rStyle w:val="Referencingstyle"/>
        </w:rPr>
        <w:t>Act]</w:t>
      </w:r>
      <w:r w:rsidR="00201DFF">
        <w:t xml:space="preserve"> </w:t>
      </w:r>
    </w:p>
    <w:p w14:paraId="439C140C" w14:textId="77777777" w:rsidR="00DF631D" w:rsidRDefault="00DF631D">
      <w:pPr>
        <w:spacing w:before="0" w:after="160" w:line="259" w:lineRule="auto"/>
      </w:pPr>
    </w:p>
    <w:sectPr w:rsidR="00DF631D"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AE6A9" w14:textId="77777777" w:rsidR="00CE001F" w:rsidRDefault="00CE001F" w:rsidP="00E679CA">
      <w:pPr>
        <w:spacing w:before="0" w:after="0"/>
      </w:pPr>
      <w:r>
        <w:separator/>
      </w:r>
    </w:p>
  </w:endnote>
  <w:endnote w:type="continuationSeparator" w:id="0">
    <w:p w14:paraId="7BE88EA6" w14:textId="77777777" w:rsidR="00CE001F" w:rsidRDefault="00CE001F" w:rsidP="00E679CA">
      <w:pPr>
        <w:spacing w:before="0" w:after="0"/>
      </w:pPr>
      <w:r>
        <w:continuationSeparator/>
      </w:r>
    </w:p>
  </w:endnote>
  <w:endnote w:type="continuationNotice" w:id="1">
    <w:p w14:paraId="01348623" w14:textId="77777777" w:rsidR="00CE001F" w:rsidRDefault="00CE00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04AE" w14:textId="57B802E6" w:rsidR="00CE001F" w:rsidRDefault="00CE001F" w:rsidP="00125C10">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56A62" w14:textId="5EAAB2BD" w:rsidR="00CE001F" w:rsidRDefault="00CE001F" w:rsidP="00125C10">
    <w:pPr>
      <w:pStyle w:val="rightfooter"/>
    </w:pPr>
    <w:r>
      <w:fldChar w:fldCharType="begin"/>
    </w:r>
    <w:r>
      <w:instrText xml:space="preserve"> PAGE   \* MERGEFORMAT </w:instrText>
    </w:r>
    <w:r>
      <w:fldChar w:fldCharType="separate"/>
    </w:r>
    <w:r w:rsidR="004B483F">
      <w:rPr>
        <w:noProof/>
      </w:rPr>
      <w:t>9</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0F81" w14:textId="23E32A6C" w:rsidR="00CE001F" w:rsidRDefault="00CE001F" w:rsidP="00125C10">
    <w:pPr>
      <w:pStyle w:val="rightfooter"/>
    </w:pPr>
    <w:r>
      <w:fldChar w:fldCharType="begin"/>
    </w:r>
    <w:r>
      <w:instrText xml:space="preserve"> PAGE  \* Arabic  \* MERGEFORMAT </w:instrText>
    </w:r>
    <w:r>
      <w:fldChar w:fldCharType="separate"/>
    </w:r>
    <w:r w:rsidR="004B483F">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3253" w14:textId="6D7A765D" w:rsidR="00CE001F" w:rsidRDefault="00CE001F" w:rsidP="00125C10">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78FA" w14:textId="2DFBD55E" w:rsidR="00CE001F" w:rsidRDefault="00CE001F" w:rsidP="00125C10">
    <w:pPr>
      <w:pStyle w:val="leftfooter"/>
    </w:pPr>
    <w:r>
      <w:fldChar w:fldCharType="begin"/>
    </w:r>
    <w:r>
      <w:instrText xml:space="preserve"> PAGE   \* MERGEFORMAT </w:instrText>
    </w:r>
    <w:r>
      <w:fldChar w:fldCharType="separate"/>
    </w:r>
    <w:r>
      <w:rPr>
        <w:noProof/>
      </w:rPr>
      <w:t>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8034F" w14:textId="3C4DE4F0" w:rsidR="00CE001F" w:rsidRDefault="00CE001F" w:rsidP="00125C10">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2209" w14:textId="77777777" w:rsidR="00CE001F" w:rsidRPr="00B2068E" w:rsidRDefault="00CE001F" w:rsidP="00125C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96839" w14:textId="6677AAFC" w:rsidR="00CE001F" w:rsidRDefault="00CE001F" w:rsidP="00125C10">
    <w:pPr>
      <w:pStyle w:val="left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1729" w14:textId="639680EB" w:rsidR="00CE001F" w:rsidRDefault="00CE001F" w:rsidP="00125C10">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FF0E" w14:textId="026ABC3C" w:rsidR="00CE001F" w:rsidRDefault="00CE001F" w:rsidP="00125C10">
    <w:pPr>
      <w:pStyle w:val="rightfooter"/>
    </w:pPr>
    <w:r>
      <w:fldChar w:fldCharType="begin"/>
    </w:r>
    <w:r>
      <w:instrText xml:space="preserve"> PAGE  \* Arabic  \* MERGEFORMAT </w:instrText>
    </w:r>
    <w:r>
      <w:fldChar w:fldCharType="separate"/>
    </w:r>
    <w:r w:rsidR="004B483F">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C6B0" w14:textId="20E6417D" w:rsidR="00CE001F" w:rsidRDefault="00CE001F" w:rsidP="00125C10">
    <w:pPr>
      <w:pStyle w:val="leftfooter"/>
    </w:pPr>
    <w:r>
      <w:fldChar w:fldCharType="begin"/>
    </w:r>
    <w:r>
      <w:instrText xml:space="preserve"> PAGE   \* MERGEFORMAT </w:instrText>
    </w:r>
    <w:r>
      <w:fldChar w:fldCharType="separate"/>
    </w:r>
    <w:r w:rsidR="004B483F">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3946A" w14:textId="77777777" w:rsidR="00CE001F" w:rsidRDefault="00CE001F" w:rsidP="00E679CA">
      <w:pPr>
        <w:spacing w:before="0" w:after="0"/>
      </w:pPr>
      <w:r>
        <w:separator/>
      </w:r>
    </w:p>
  </w:footnote>
  <w:footnote w:type="continuationSeparator" w:id="0">
    <w:p w14:paraId="07ED18F3" w14:textId="77777777" w:rsidR="00CE001F" w:rsidRDefault="00CE001F" w:rsidP="00E679CA">
      <w:pPr>
        <w:spacing w:before="0" w:after="0"/>
      </w:pPr>
      <w:r>
        <w:continuationSeparator/>
      </w:r>
    </w:p>
  </w:footnote>
  <w:footnote w:type="continuationNotice" w:id="1">
    <w:p w14:paraId="72883AC6" w14:textId="77777777" w:rsidR="00CE001F" w:rsidRDefault="00CE001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E9EE" w14:textId="77777777" w:rsidR="00CE001F" w:rsidRDefault="00CE001F" w:rsidP="00125C10">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F5D9D" w14:textId="77777777" w:rsidR="00CE001F" w:rsidRDefault="00CE001F" w:rsidP="00125C10">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3DE76ED7" w14:textId="77777777" w:rsidR="00CE001F" w:rsidRDefault="004B483F">
        <w:pPr>
          <w:pStyle w:val="Header"/>
        </w:pPr>
        <w:r>
          <w:rPr>
            <w:noProof/>
            <w:lang w:val="en-US" w:eastAsia="en-US"/>
          </w:rPr>
          <w:pict w14:anchorId="28907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2427" w14:textId="77777777" w:rsidR="00CE001F" w:rsidRDefault="00CE001F" w:rsidP="00125C10">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2B71" w14:textId="77777777" w:rsidR="00CE001F" w:rsidRDefault="00CE001F" w:rsidP="00125C10">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CABC3" w14:textId="77777777" w:rsidR="00CE001F" w:rsidRDefault="00CE00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0B12" w14:textId="7926BD18" w:rsidR="00CE001F" w:rsidRPr="00422FA2" w:rsidRDefault="004B483F" w:rsidP="00422FA2">
    <w:pPr>
      <w:pStyle w:val="leftheader"/>
    </w:pPr>
    <w:r>
      <w:fldChar w:fldCharType="begin"/>
    </w:r>
    <w:r>
      <w:instrText xml:space="preserve"> STYLEREF  "Bill Name"  \* MERGEFORMAT </w:instrText>
    </w:r>
    <w:r>
      <w:fldChar w:fldCharType="separate"/>
    </w:r>
    <w:r>
      <w:rPr>
        <w:noProof/>
      </w:rPr>
      <w:t>Financial Sector Reform (Hayne Royal Commission Response – Protecting consumers (2020 Measures)) Bill 2020: FSRC Rec 2.2 (disclosure of lack of independence)</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266D8" w14:textId="7490D428" w:rsidR="00CE001F" w:rsidRDefault="004B483F" w:rsidP="00125C10">
    <w:pPr>
      <w:pStyle w:val="rightheader"/>
    </w:pPr>
    <w:r>
      <w:fldChar w:fldCharType="begin"/>
    </w:r>
    <w:r>
      <w:instrText xml:space="preserve"> STYLEREF  "ChapterNameOnly"  \* MERGEFORMAT </w:instrText>
    </w:r>
    <w:r>
      <w:fldChar w:fldCharType="separate"/>
    </w:r>
    <w:r>
      <w:rPr>
        <w:noProof/>
      </w:rPr>
      <w:t>Disclosure of lack of independence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BC7E8D"/>
    <w:multiLevelType w:val="singleLevel"/>
    <w:tmpl w:val="56EE607A"/>
    <w:name w:val="BaseTextParagraphList"/>
    <w:lvl w:ilvl="0">
      <w:start w:val="1"/>
      <w:numFmt w:val="decimal"/>
      <w:lvlText w:val="%1."/>
      <w:lvlJc w:val="left"/>
      <w:pPr>
        <w:tabs>
          <w:tab w:val="num" w:pos="1984"/>
        </w:tabs>
        <w:ind w:left="1140" w:firstLine="0"/>
      </w:pPr>
      <w:rPr>
        <w:b w:val="0"/>
        <w:i w:val="0"/>
        <w:color w:val="000000"/>
      </w:rPr>
    </w:lvl>
  </w:abstractNum>
  <w:abstractNum w:abstractNumId="22" w15:restartNumberingAfterBreak="0">
    <w:nsid w:val="65DF6494"/>
    <w:multiLevelType w:val="multilevel"/>
    <w:tmpl w:val="A316FE50"/>
    <w:numStyleLink w:val="ChapterList"/>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19"/>
  </w:num>
  <w:num w:numId="6">
    <w:abstractNumId w:val="24"/>
  </w:num>
  <w:num w:numId="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2"/>
  </w:num>
  <w:num w:numId="44">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320"/>
    <w:rsid w:val="000005F3"/>
    <w:rsid w:val="00004A33"/>
    <w:rsid w:val="0002054A"/>
    <w:rsid w:val="00030A40"/>
    <w:rsid w:val="00055B2F"/>
    <w:rsid w:val="0007628D"/>
    <w:rsid w:val="000763C9"/>
    <w:rsid w:val="000907A8"/>
    <w:rsid w:val="00090A51"/>
    <w:rsid w:val="00091B41"/>
    <w:rsid w:val="00091ED0"/>
    <w:rsid w:val="00094C20"/>
    <w:rsid w:val="00096C8F"/>
    <w:rsid w:val="000A17D7"/>
    <w:rsid w:val="000B500C"/>
    <w:rsid w:val="000C2A9D"/>
    <w:rsid w:val="000C2FE8"/>
    <w:rsid w:val="000C44D7"/>
    <w:rsid w:val="000C4876"/>
    <w:rsid w:val="000C71F6"/>
    <w:rsid w:val="000D04A2"/>
    <w:rsid w:val="000E2B35"/>
    <w:rsid w:val="000E3288"/>
    <w:rsid w:val="000E4B50"/>
    <w:rsid w:val="000E6168"/>
    <w:rsid w:val="000E7B0C"/>
    <w:rsid w:val="00106A7D"/>
    <w:rsid w:val="00107A5E"/>
    <w:rsid w:val="00123B9E"/>
    <w:rsid w:val="00125B57"/>
    <w:rsid w:val="00125C10"/>
    <w:rsid w:val="00127BE8"/>
    <w:rsid w:val="00131012"/>
    <w:rsid w:val="001311F4"/>
    <w:rsid w:val="00141674"/>
    <w:rsid w:val="00142560"/>
    <w:rsid w:val="00143809"/>
    <w:rsid w:val="00144452"/>
    <w:rsid w:val="00170A63"/>
    <w:rsid w:val="00173DE1"/>
    <w:rsid w:val="001753F4"/>
    <w:rsid w:val="00180058"/>
    <w:rsid w:val="0018554E"/>
    <w:rsid w:val="001929F4"/>
    <w:rsid w:val="001A1215"/>
    <w:rsid w:val="001B13A1"/>
    <w:rsid w:val="001B22D8"/>
    <w:rsid w:val="001C12F3"/>
    <w:rsid w:val="001C1751"/>
    <w:rsid w:val="001C1EAC"/>
    <w:rsid w:val="001C6A62"/>
    <w:rsid w:val="001F06F6"/>
    <w:rsid w:val="001F19E7"/>
    <w:rsid w:val="001F624B"/>
    <w:rsid w:val="002006A0"/>
    <w:rsid w:val="00201DFF"/>
    <w:rsid w:val="0020200D"/>
    <w:rsid w:val="00214BFD"/>
    <w:rsid w:val="0022465F"/>
    <w:rsid w:val="002447C7"/>
    <w:rsid w:val="00251266"/>
    <w:rsid w:val="002724BE"/>
    <w:rsid w:val="0028232D"/>
    <w:rsid w:val="0028284C"/>
    <w:rsid w:val="002841FF"/>
    <w:rsid w:val="00295ABD"/>
    <w:rsid w:val="002A3277"/>
    <w:rsid w:val="002A44A0"/>
    <w:rsid w:val="002B0B49"/>
    <w:rsid w:val="002B7CB5"/>
    <w:rsid w:val="002D0B7C"/>
    <w:rsid w:val="002F0D2B"/>
    <w:rsid w:val="002F4126"/>
    <w:rsid w:val="002F5853"/>
    <w:rsid w:val="00307165"/>
    <w:rsid w:val="00310BEA"/>
    <w:rsid w:val="003173CC"/>
    <w:rsid w:val="003175C6"/>
    <w:rsid w:val="003259FC"/>
    <w:rsid w:val="00337634"/>
    <w:rsid w:val="00343F07"/>
    <w:rsid w:val="0034422C"/>
    <w:rsid w:val="00350705"/>
    <w:rsid w:val="0035316A"/>
    <w:rsid w:val="00355675"/>
    <w:rsid w:val="00370FF4"/>
    <w:rsid w:val="00375F1D"/>
    <w:rsid w:val="00386DC5"/>
    <w:rsid w:val="00392CFD"/>
    <w:rsid w:val="003A19BA"/>
    <w:rsid w:val="003A5041"/>
    <w:rsid w:val="003A657F"/>
    <w:rsid w:val="003A7BB7"/>
    <w:rsid w:val="003B6B47"/>
    <w:rsid w:val="003B7028"/>
    <w:rsid w:val="003B77F0"/>
    <w:rsid w:val="003D4F69"/>
    <w:rsid w:val="003E5AB0"/>
    <w:rsid w:val="003E7AB0"/>
    <w:rsid w:val="00401F46"/>
    <w:rsid w:val="004028BB"/>
    <w:rsid w:val="00405C1F"/>
    <w:rsid w:val="004200C0"/>
    <w:rsid w:val="00422FA2"/>
    <w:rsid w:val="0042789C"/>
    <w:rsid w:val="00443FC6"/>
    <w:rsid w:val="00447459"/>
    <w:rsid w:val="00451265"/>
    <w:rsid w:val="00456563"/>
    <w:rsid w:val="00494356"/>
    <w:rsid w:val="00494B12"/>
    <w:rsid w:val="004A214C"/>
    <w:rsid w:val="004A4D44"/>
    <w:rsid w:val="004A5F5A"/>
    <w:rsid w:val="004A68E5"/>
    <w:rsid w:val="004B3B3F"/>
    <w:rsid w:val="004B483F"/>
    <w:rsid w:val="004C7DD3"/>
    <w:rsid w:val="004D4FFD"/>
    <w:rsid w:val="004D4FFF"/>
    <w:rsid w:val="004E39F1"/>
    <w:rsid w:val="004E5BD5"/>
    <w:rsid w:val="004E6356"/>
    <w:rsid w:val="004F3C00"/>
    <w:rsid w:val="004F3F37"/>
    <w:rsid w:val="005051A8"/>
    <w:rsid w:val="00535F17"/>
    <w:rsid w:val="00543BD9"/>
    <w:rsid w:val="0054451C"/>
    <w:rsid w:val="0055086F"/>
    <w:rsid w:val="00551665"/>
    <w:rsid w:val="00567602"/>
    <w:rsid w:val="005678DF"/>
    <w:rsid w:val="00574CA0"/>
    <w:rsid w:val="00582FA9"/>
    <w:rsid w:val="00587E2E"/>
    <w:rsid w:val="00597277"/>
    <w:rsid w:val="005A496E"/>
    <w:rsid w:val="005B279D"/>
    <w:rsid w:val="005E100E"/>
    <w:rsid w:val="005E3647"/>
    <w:rsid w:val="0061044F"/>
    <w:rsid w:val="006168B0"/>
    <w:rsid w:val="006303D4"/>
    <w:rsid w:val="0063127E"/>
    <w:rsid w:val="006432B8"/>
    <w:rsid w:val="00643FF8"/>
    <w:rsid w:val="0064570E"/>
    <w:rsid w:val="00651EA4"/>
    <w:rsid w:val="006579F8"/>
    <w:rsid w:val="00664A29"/>
    <w:rsid w:val="00670A85"/>
    <w:rsid w:val="00675F1E"/>
    <w:rsid w:val="00675F92"/>
    <w:rsid w:val="006A05D6"/>
    <w:rsid w:val="006A72CB"/>
    <w:rsid w:val="006B286E"/>
    <w:rsid w:val="006B3145"/>
    <w:rsid w:val="006C6963"/>
    <w:rsid w:val="006D3DB6"/>
    <w:rsid w:val="006E4C3B"/>
    <w:rsid w:val="006F233D"/>
    <w:rsid w:val="006F2636"/>
    <w:rsid w:val="006F5EF4"/>
    <w:rsid w:val="00706CE0"/>
    <w:rsid w:val="007070BD"/>
    <w:rsid w:val="00713EC2"/>
    <w:rsid w:val="00716F2B"/>
    <w:rsid w:val="00723606"/>
    <w:rsid w:val="00734F84"/>
    <w:rsid w:val="00736B20"/>
    <w:rsid w:val="00742FBE"/>
    <w:rsid w:val="00747A03"/>
    <w:rsid w:val="0075258F"/>
    <w:rsid w:val="00760100"/>
    <w:rsid w:val="00766A9F"/>
    <w:rsid w:val="007704F7"/>
    <w:rsid w:val="00773B68"/>
    <w:rsid w:val="00791607"/>
    <w:rsid w:val="00795A45"/>
    <w:rsid w:val="007B57D3"/>
    <w:rsid w:val="007C2588"/>
    <w:rsid w:val="007C2B20"/>
    <w:rsid w:val="007E4B55"/>
    <w:rsid w:val="007E6DF8"/>
    <w:rsid w:val="007F52FB"/>
    <w:rsid w:val="007F603F"/>
    <w:rsid w:val="00803DE4"/>
    <w:rsid w:val="00813A51"/>
    <w:rsid w:val="00817EC2"/>
    <w:rsid w:val="008311B7"/>
    <w:rsid w:val="008312C1"/>
    <w:rsid w:val="00840701"/>
    <w:rsid w:val="00863591"/>
    <w:rsid w:val="008763FD"/>
    <w:rsid w:val="008769D3"/>
    <w:rsid w:val="00880DD7"/>
    <w:rsid w:val="00883DE3"/>
    <w:rsid w:val="00896E72"/>
    <w:rsid w:val="008A116F"/>
    <w:rsid w:val="008B050E"/>
    <w:rsid w:val="008D0A8B"/>
    <w:rsid w:val="008D1EA1"/>
    <w:rsid w:val="008D4F94"/>
    <w:rsid w:val="008D78FA"/>
    <w:rsid w:val="008E6E38"/>
    <w:rsid w:val="008F0F1C"/>
    <w:rsid w:val="008F6F94"/>
    <w:rsid w:val="009002A9"/>
    <w:rsid w:val="00902C96"/>
    <w:rsid w:val="00917DB8"/>
    <w:rsid w:val="009205C0"/>
    <w:rsid w:val="00923BB1"/>
    <w:rsid w:val="00932007"/>
    <w:rsid w:val="0093363A"/>
    <w:rsid w:val="00934BE9"/>
    <w:rsid w:val="00934F53"/>
    <w:rsid w:val="00946B26"/>
    <w:rsid w:val="00950C78"/>
    <w:rsid w:val="00960DE4"/>
    <w:rsid w:val="00972401"/>
    <w:rsid w:val="00976FE9"/>
    <w:rsid w:val="009770C9"/>
    <w:rsid w:val="0098134F"/>
    <w:rsid w:val="00996603"/>
    <w:rsid w:val="009B52BD"/>
    <w:rsid w:val="009B5E73"/>
    <w:rsid w:val="009C2FC2"/>
    <w:rsid w:val="009D544A"/>
    <w:rsid w:val="009D603D"/>
    <w:rsid w:val="009D7ECD"/>
    <w:rsid w:val="009E37E8"/>
    <w:rsid w:val="009E7496"/>
    <w:rsid w:val="009F3AE1"/>
    <w:rsid w:val="00A0653F"/>
    <w:rsid w:val="00A10A55"/>
    <w:rsid w:val="00A12D84"/>
    <w:rsid w:val="00A22140"/>
    <w:rsid w:val="00A2308B"/>
    <w:rsid w:val="00A36952"/>
    <w:rsid w:val="00A41EDC"/>
    <w:rsid w:val="00A423B3"/>
    <w:rsid w:val="00A445EA"/>
    <w:rsid w:val="00A561F6"/>
    <w:rsid w:val="00A60133"/>
    <w:rsid w:val="00A63EBF"/>
    <w:rsid w:val="00A644EB"/>
    <w:rsid w:val="00A66427"/>
    <w:rsid w:val="00A75FAC"/>
    <w:rsid w:val="00A85102"/>
    <w:rsid w:val="00A90EA8"/>
    <w:rsid w:val="00A924D6"/>
    <w:rsid w:val="00A94FD6"/>
    <w:rsid w:val="00AA6125"/>
    <w:rsid w:val="00AA6F43"/>
    <w:rsid w:val="00AD5B62"/>
    <w:rsid w:val="00AD5F50"/>
    <w:rsid w:val="00AE5D3B"/>
    <w:rsid w:val="00AF6C55"/>
    <w:rsid w:val="00B03ABE"/>
    <w:rsid w:val="00B040B3"/>
    <w:rsid w:val="00B07053"/>
    <w:rsid w:val="00B10358"/>
    <w:rsid w:val="00B17774"/>
    <w:rsid w:val="00B22E5D"/>
    <w:rsid w:val="00B27877"/>
    <w:rsid w:val="00B32A91"/>
    <w:rsid w:val="00B3426B"/>
    <w:rsid w:val="00B40F44"/>
    <w:rsid w:val="00B41DF3"/>
    <w:rsid w:val="00B51292"/>
    <w:rsid w:val="00B55686"/>
    <w:rsid w:val="00B612BB"/>
    <w:rsid w:val="00B76241"/>
    <w:rsid w:val="00B802AE"/>
    <w:rsid w:val="00B84FC1"/>
    <w:rsid w:val="00B85309"/>
    <w:rsid w:val="00B870AE"/>
    <w:rsid w:val="00BB72FC"/>
    <w:rsid w:val="00BE1C8B"/>
    <w:rsid w:val="00BE27C2"/>
    <w:rsid w:val="00BE2CFF"/>
    <w:rsid w:val="00BF0AC4"/>
    <w:rsid w:val="00C174DE"/>
    <w:rsid w:val="00C236B0"/>
    <w:rsid w:val="00C2787C"/>
    <w:rsid w:val="00C427EE"/>
    <w:rsid w:val="00C5436A"/>
    <w:rsid w:val="00C55FD1"/>
    <w:rsid w:val="00C61CF1"/>
    <w:rsid w:val="00C65041"/>
    <w:rsid w:val="00C6671F"/>
    <w:rsid w:val="00C70280"/>
    <w:rsid w:val="00C743D3"/>
    <w:rsid w:val="00C76A5E"/>
    <w:rsid w:val="00C83EC4"/>
    <w:rsid w:val="00C84569"/>
    <w:rsid w:val="00C92214"/>
    <w:rsid w:val="00CB1A74"/>
    <w:rsid w:val="00CB2DC6"/>
    <w:rsid w:val="00CB797E"/>
    <w:rsid w:val="00CC4AE6"/>
    <w:rsid w:val="00CD1112"/>
    <w:rsid w:val="00CD46E5"/>
    <w:rsid w:val="00CE001F"/>
    <w:rsid w:val="00CF04E3"/>
    <w:rsid w:val="00CF4EF7"/>
    <w:rsid w:val="00D00D1C"/>
    <w:rsid w:val="00D00D8A"/>
    <w:rsid w:val="00D04EAB"/>
    <w:rsid w:val="00D056F7"/>
    <w:rsid w:val="00D07517"/>
    <w:rsid w:val="00D07CEE"/>
    <w:rsid w:val="00D16953"/>
    <w:rsid w:val="00D261F7"/>
    <w:rsid w:val="00D27BD1"/>
    <w:rsid w:val="00D305A7"/>
    <w:rsid w:val="00D45DC3"/>
    <w:rsid w:val="00D46961"/>
    <w:rsid w:val="00D554CF"/>
    <w:rsid w:val="00D6154E"/>
    <w:rsid w:val="00D63DB7"/>
    <w:rsid w:val="00D81B18"/>
    <w:rsid w:val="00D83206"/>
    <w:rsid w:val="00D9010D"/>
    <w:rsid w:val="00D929F1"/>
    <w:rsid w:val="00D95B68"/>
    <w:rsid w:val="00DC164B"/>
    <w:rsid w:val="00DD7DD3"/>
    <w:rsid w:val="00DE1647"/>
    <w:rsid w:val="00DE55C2"/>
    <w:rsid w:val="00DF120E"/>
    <w:rsid w:val="00DF204D"/>
    <w:rsid w:val="00DF3E75"/>
    <w:rsid w:val="00DF631D"/>
    <w:rsid w:val="00E27F9F"/>
    <w:rsid w:val="00E34768"/>
    <w:rsid w:val="00E40AC9"/>
    <w:rsid w:val="00E45C48"/>
    <w:rsid w:val="00E5385B"/>
    <w:rsid w:val="00E56A6F"/>
    <w:rsid w:val="00E577B2"/>
    <w:rsid w:val="00E679CA"/>
    <w:rsid w:val="00E72667"/>
    <w:rsid w:val="00E735A5"/>
    <w:rsid w:val="00E74E50"/>
    <w:rsid w:val="00E750A9"/>
    <w:rsid w:val="00E80F1C"/>
    <w:rsid w:val="00E976E0"/>
    <w:rsid w:val="00EA078E"/>
    <w:rsid w:val="00EA5BB7"/>
    <w:rsid w:val="00EB3320"/>
    <w:rsid w:val="00EC0F5E"/>
    <w:rsid w:val="00EC18FA"/>
    <w:rsid w:val="00EC5719"/>
    <w:rsid w:val="00EE14A3"/>
    <w:rsid w:val="00EE3D38"/>
    <w:rsid w:val="00EE7733"/>
    <w:rsid w:val="00F0571A"/>
    <w:rsid w:val="00F10DF6"/>
    <w:rsid w:val="00F20D53"/>
    <w:rsid w:val="00F21EF2"/>
    <w:rsid w:val="00F42910"/>
    <w:rsid w:val="00F46D06"/>
    <w:rsid w:val="00F51071"/>
    <w:rsid w:val="00F522D8"/>
    <w:rsid w:val="00F60F68"/>
    <w:rsid w:val="00F77D30"/>
    <w:rsid w:val="00F805C0"/>
    <w:rsid w:val="00F83B70"/>
    <w:rsid w:val="00F9382B"/>
    <w:rsid w:val="00FA384E"/>
    <w:rsid w:val="00FA3C48"/>
    <w:rsid w:val="00FB4053"/>
    <w:rsid w:val="00FC1E01"/>
    <w:rsid w:val="00FC6070"/>
    <w:rsid w:val="00FE6108"/>
    <w:rsid w:val="00FF0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553738"/>
  <w15:docId w15:val="{C5F8A4AD-0654-40AE-B5F7-7E89CFFE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6D3DB6"/>
    <w:rPr>
      <w:sz w:val="16"/>
      <w:szCs w:val="16"/>
    </w:rPr>
  </w:style>
  <w:style w:type="paragraph" w:styleId="CommentText">
    <w:name w:val="annotation text"/>
    <w:basedOn w:val="Normal"/>
    <w:link w:val="CommentTextChar"/>
    <w:uiPriority w:val="99"/>
    <w:semiHidden/>
    <w:unhideWhenUsed/>
    <w:rsid w:val="006D3DB6"/>
    <w:rPr>
      <w:sz w:val="20"/>
    </w:rPr>
  </w:style>
  <w:style w:type="character" w:customStyle="1" w:styleId="CommentTextChar">
    <w:name w:val="Comment Text Char"/>
    <w:basedOn w:val="DefaultParagraphFont"/>
    <w:link w:val="CommentText"/>
    <w:uiPriority w:val="99"/>
    <w:semiHidden/>
    <w:rsid w:val="006D3DB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3DB6"/>
    <w:rPr>
      <w:b/>
      <w:bCs/>
    </w:rPr>
  </w:style>
  <w:style w:type="character" w:customStyle="1" w:styleId="CommentSubjectChar">
    <w:name w:val="Comment Subject Char"/>
    <w:basedOn w:val="CommentTextChar"/>
    <w:link w:val="CommentSubject"/>
    <w:uiPriority w:val="99"/>
    <w:semiHidden/>
    <w:rsid w:val="006D3DB6"/>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D3DB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DB6"/>
    <w:rPr>
      <w:rFonts w:ascii="Segoe UI" w:eastAsia="Times New Roman" w:hAnsi="Segoe UI" w:cs="Segoe UI"/>
      <w:sz w:val="18"/>
      <w:szCs w:val="18"/>
      <w:lang w:eastAsia="en-AU"/>
    </w:rPr>
  </w:style>
  <w:style w:type="paragraph" w:styleId="Revision">
    <w:name w:val="Revision"/>
    <w:hidden/>
    <w:uiPriority w:val="99"/>
    <w:semiHidden/>
    <w:rsid w:val="00817EC2"/>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7469">
      <w:bodyDiv w:val="1"/>
      <w:marLeft w:val="0"/>
      <w:marRight w:val="0"/>
      <w:marTop w:val="0"/>
      <w:marBottom w:val="0"/>
      <w:divBdr>
        <w:top w:val="none" w:sz="0" w:space="0" w:color="auto"/>
        <w:left w:val="none" w:sz="0" w:space="0" w:color="auto"/>
        <w:bottom w:val="none" w:sz="0" w:space="0" w:color="auto"/>
        <w:right w:val="none" w:sz="0" w:space="0" w:color="auto"/>
      </w:divBdr>
    </w:div>
    <w:div w:id="324751425">
      <w:bodyDiv w:val="1"/>
      <w:marLeft w:val="0"/>
      <w:marRight w:val="0"/>
      <w:marTop w:val="0"/>
      <w:marBottom w:val="0"/>
      <w:divBdr>
        <w:top w:val="none" w:sz="0" w:space="0" w:color="auto"/>
        <w:left w:val="none" w:sz="0" w:space="0" w:color="auto"/>
        <w:bottom w:val="none" w:sz="0" w:space="0" w:color="auto"/>
        <w:right w:val="none" w:sz="0" w:space="0" w:color="auto"/>
      </w:divBdr>
    </w:div>
    <w:div w:id="1282146691">
      <w:bodyDiv w:val="1"/>
      <w:marLeft w:val="0"/>
      <w:marRight w:val="0"/>
      <w:marTop w:val="0"/>
      <w:marBottom w:val="0"/>
      <w:divBdr>
        <w:top w:val="none" w:sz="0" w:space="0" w:color="auto"/>
        <w:left w:val="none" w:sz="0" w:space="0" w:color="auto"/>
        <w:bottom w:val="none" w:sz="0" w:space="0" w:color="auto"/>
        <w:right w:val="none" w:sz="0" w:space="0" w:color="auto"/>
      </w:divBdr>
    </w:div>
    <w:div w:id="1438132764">
      <w:bodyDiv w:val="1"/>
      <w:marLeft w:val="0"/>
      <w:marRight w:val="0"/>
      <w:marTop w:val="0"/>
      <w:marBottom w:val="0"/>
      <w:divBdr>
        <w:top w:val="none" w:sz="0" w:space="0" w:color="auto"/>
        <w:left w:val="none" w:sz="0" w:space="0" w:color="auto"/>
        <w:bottom w:val="none" w:sz="0" w:space="0" w:color="auto"/>
        <w:right w:val="none" w:sz="0" w:space="0" w:color="auto"/>
      </w:divBdr>
    </w:div>
    <w:div w:id="1558124288">
      <w:bodyDiv w:val="1"/>
      <w:marLeft w:val="0"/>
      <w:marRight w:val="0"/>
      <w:marTop w:val="0"/>
      <w:marBottom w:val="0"/>
      <w:divBdr>
        <w:top w:val="none" w:sz="0" w:space="0" w:color="auto"/>
        <w:left w:val="none" w:sz="0" w:space="0" w:color="auto"/>
        <w:bottom w:val="none" w:sz="0" w:space="0" w:color="auto"/>
        <w:right w:val="none" w:sz="0" w:space="0" w:color="auto"/>
      </w:divBdr>
    </w:div>
    <w:div w:id="1703247484">
      <w:bodyDiv w:val="1"/>
      <w:marLeft w:val="0"/>
      <w:marRight w:val="0"/>
      <w:marTop w:val="0"/>
      <w:marBottom w:val="0"/>
      <w:divBdr>
        <w:top w:val="none" w:sz="0" w:space="0" w:color="auto"/>
        <w:left w:val="none" w:sz="0" w:space="0" w:color="auto"/>
        <w:bottom w:val="none" w:sz="0" w:space="0" w:color="auto"/>
        <w:right w:val="none" w:sz="0" w:space="0" w:color="auto"/>
      </w:divBdr>
    </w:div>
    <w:div w:id="1960257131">
      <w:bodyDiv w:val="1"/>
      <w:marLeft w:val="0"/>
      <w:marRight w:val="0"/>
      <w:marTop w:val="0"/>
      <w:marBottom w:val="0"/>
      <w:divBdr>
        <w:top w:val="none" w:sz="0" w:space="0" w:color="auto"/>
        <w:left w:val="none" w:sz="0" w:space="0" w:color="auto"/>
        <w:bottom w:val="none" w:sz="0" w:space="0" w:color="auto"/>
        <w:right w:val="none" w:sz="0" w:space="0" w:color="auto"/>
      </w:divBdr>
    </w:div>
    <w:div w:id="20538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2020RG-136-48341</_dlc_DocId>
    <TaxCatchAll xmlns="0f563589-9cf9-4143-b1eb-fb0534803d38">
      <Value>7</Value>
    </TaxCatchAll>
    <_dlc_DocIdUrl xmlns="0f563589-9cf9-4143-b1eb-fb0534803d38">
      <Url>http://tweb/sites/rg/ldp/_layouts/15/DocIdRedir.aspx?ID=2020RG-136-48341</Url>
      <Description>2020RG-136-48341</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5821" ma:contentTypeDescription="" ma:contentTypeScope="" ma:versionID="b5080a271fec216bc0ea7a9a3bb9edc1">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F8C7A-6F56-4C4D-B51C-8D77D5ADF651}">
  <ds:schemaRefs>
    <ds:schemaRef ds:uri="office.server.policy"/>
  </ds:schemaRefs>
</ds:datastoreItem>
</file>

<file path=customXml/itemProps2.xml><?xml version="1.0" encoding="utf-8"?>
<ds:datastoreItem xmlns:ds="http://schemas.openxmlformats.org/officeDocument/2006/customXml" ds:itemID="{33AA164F-9816-4D54-92FF-F213594952FD}">
  <ds:schemaRefs>
    <ds:schemaRef ds:uri="http://schemas.microsoft.com/sharepoint/events"/>
  </ds:schemaRefs>
</ds:datastoreItem>
</file>

<file path=customXml/itemProps3.xml><?xml version="1.0" encoding="utf-8"?>
<ds:datastoreItem xmlns:ds="http://schemas.openxmlformats.org/officeDocument/2006/customXml" ds:itemID="{E484BCE1-B00C-45BB-B3CA-CEE712E03F53}">
  <ds:schemaRefs>
    <ds:schemaRef ds:uri="http://www.w3.org/XML/1998/namespace"/>
    <ds:schemaRef ds:uri="http://purl.org/dc/terms/"/>
    <ds:schemaRef ds:uri="687b78b0-2ddd-4441-8a8b-c9638c2a1939"/>
    <ds:schemaRef ds:uri="http://purl.org/dc/elements/1.1/"/>
    <ds:schemaRef ds:uri="9f7bc583-7cbe-45b9-a2bd-8bbb6543b37e"/>
    <ds:schemaRef ds:uri="http://schemas.microsoft.com/office/2006/documentManagement/types"/>
    <ds:schemaRef ds:uri="http://schemas.microsoft.com/office/2006/metadata/properties"/>
    <ds:schemaRef ds:uri="http://schemas.microsoft.com/sharepoint/v3"/>
    <ds:schemaRef ds:uri="0f563589-9cf9-4143-b1eb-fb0534803d38"/>
    <ds:schemaRef ds:uri="http://schemas.microsoft.com/office/infopath/2007/PartnerControls"/>
    <ds:schemaRef ds:uri="http://schemas.openxmlformats.org/package/2006/metadata/core-properties"/>
    <ds:schemaRef ds:uri="http://schemas.microsoft.com/sharepoint/v4"/>
    <ds:schemaRef ds:uri="http://purl.org/dc/dcmitype/"/>
  </ds:schemaRefs>
</ds:datastoreItem>
</file>

<file path=customXml/itemProps4.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5.xml><?xml version="1.0" encoding="utf-8"?>
<ds:datastoreItem xmlns:ds="http://schemas.openxmlformats.org/officeDocument/2006/customXml" ds:itemID="{4875D85A-9433-4F64-AF18-DDFD09B4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B79757-CCC2-4D4C-ADBA-8823430F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13</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Monica</dc:creator>
  <cp:keywords/>
  <dc:description/>
  <cp:lastModifiedBy>Lee, Monica</cp:lastModifiedBy>
  <cp:revision>2</cp:revision>
  <cp:lastPrinted>2020-01-16T23:07:00Z</cp:lastPrinted>
  <dcterms:created xsi:type="dcterms:W3CDTF">2020-01-16T23:15:00Z</dcterms:created>
  <dcterms:modified xsi:type="dcterms:W3CDTF">2020-01-16T23:15:00Z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44887da3-ffa9-465f-97cf-f671f1e9f628</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RecordPoint_ActiveItemUniqueId">
    <vt:lpwstr>{44887da3-ffa9-465f-97cf-f671f1e9f628}</vt:lpwstr>
  </property>
  <property fmtid="{D5CDD505-2E9C-101B-9397-08002B2CF9AE}" pid="6" name="RecordPoint_WorkflowType">
    <vt:lpwstr>ActiveSubmitStub</vt:lpwstr>
  </property>
  <property fmtid="{D5CDD505-2E9C-101B-9397-08002B2CF9AE}" pid="7" name="RecordPoint_ActiveItemSiteId">
    <vt:lpwstr>{5b52b9a5-e5b2-4521-8814-a1e24ca2869d}</vt:lpwstr>
  </property>
  <property fmtid="{D5CDD505-2E9C-101B-9397-08002B2CF9AE}" pid="8" name="RecordPoint_ActiveItemListId">
    <vt:lpwstr>{687b78b0-2ddd-4441-8a8b-c9638c2a1939}</vt:lpwstr>
  </property>
  <property fmtid="{D5CDD505-2E9C-101B-9397-08002B2CF9AE}" pid="9" name="RecordPoint_ActiveItemWebId">
    <vt:lpwstr>{09392e0d-4618-463d-b4d2-50a90b9447cf}</vt:lpwstr>
  </property>
  <property fmtid="{D5CDD505-2E9C-101B-9397-08002B2CF9AE}" pid="10" name="RecordPoint_SubmissionDate">
    <vt:lpwstr/>
  </property>
  <property fmtid="{D5CDD505-2E9C-101B-9397-08002B2CF9AE}" pid="11" name="RecordPoint_RecordNumberSubmitted">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_AdHocReviewCycleID">
    <vt:i4>-1389225499</vt:i4>
  </property>
  <property fmtid="{D5CDD505-2E9C-101B-9397-08002B2CF9AE}" pid="16" name="_NewReviewCycle">
    <vt:lpwstr/>
  </property>
  <property fmtid="{D5CDD505-2E9C-101B-9397-08002B2CF9AE}" pid="17" name="_EmailSubject">
    <vt:lpwstr>FSRC 2.2 Final draft Bill and EM [DLM=Sensitive:Legal]</vt:lpwstr>
  </property>
  <property fmtid="{D5CDD505-2E9C-101B-9397-08002B2CF9AE}" pid="18" name="_AuthorEmail">
    <vt:lpwstr>Monica.Lee@TREASURY.GOV.AU</vt:lpwstr>
  </property>
  <property fmtid="{D5CDD505-2E9C-101B-9397-08002B2CF9AE}" pid="19" name="_AuthorEmailDisplayName">
    <vt:lpwstr>Lee, Monica</vt:lpwstr>
  </property>
  <property fmtid="{D5CDD505-2E9C-101B-9397-08002B2CF9AE}" pid="20" name="_PreviousAdHocReviewCycleID">
    <vt:i4>1992162651</vt:i4>
  </property>
</Properties>
</file>