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9EF97" w14:textId="77777777" w:rsidR="00DF5B4D" w:rsidRDefault="00DF5B4D" w:rsidP="00B17774">
      <w:pPr>
        <w:pStyle w:val="Baseparagraphcentred"/>
      </w:pPr>
      <w:bookmarkStart w:id="0" w:name="_GoBack"/>
      <w:bookmarkEnd w:id="0"/>
    </w:p>
    <w:p w14:paraId="0C3DD1AA" w14:textId="77777777" w:rsidR="00DF5B4D" w:rsidRDefault="00DF5B4D" w:rsidP="00B17774">
      <w:pPr>
        <w:pStyle w:val="Baseparagraphcentred"/>
      </w:pPr>
    </w:p>
    <w:p w14:paraId="6EAE288A" w14:textId="77777777" w:rsidR="00DF5B4D" w:rsidRDefault="00DF5B4D" w:rsidP="00B17774">
      <w:pPr>
        <w:pStyle w:val="Baseparagraphcentred"/>
      </w:pPr>
    </w:p>
    <w:p w14:paraId="6F236860" w14:textId="77777777" w:rsidR="00DF5B4D" w:rsidRDefault="00DF5B4D" w:rsidP="00B17774">
      <w:pPr>
        <w:pStyle w:val="Baseparagraphcentred"/>
      </w:pPr>
    </w:p>
    <w:p w14:paraId="13B6D552" w14:textId="77777777" w:rsidR="00DF5B4D" w:rsidRDefault="00DF5B4D" w:rsidP="00B17774">
      <w:pPr>
        <w:pStyle w:val="Baseparagraphcentred"/>
      </w:pPr>
    </w:p>
    <w:p w14:paraId="0119751C" w14:textId="77777777" w:rsidR="00DF5B4D" w:rsidRDefault="00DF5B4D" w:rsidP="00B17774">
      <w:pPr>
        <w:pStyle w:val="Baseparagraphcentred"/>
      </w:pPr>
    </w:p>
    <w:p w14:paraId="3A5B6F45" w14:textId="77777777" w:rsidR="00DF5B4D" w:rsidRDefault="00DF5B4D" w:rsidP="00B17774">
      <w:pPr>
        <w:pStyle w:val="Baseparagraphcentred"/>
      </w:pPr>
    </w:p>
    <w:p w14:paraId="3F964CA0" w14:textId="77777777" w:rsidR="00DF5B4D" w:rsidRDefault="00DF5B4D" w:rsidP="00B17774">
      <w:pPr>
        <w:pStyle w:val="Baseparagraphcentred"/>
      </w:pPr>
    </w:p>
    <w:p w14:paraId="5B244452" w14:textId="0486B9E6" w:rsidR="00B17774" w:rsidRDefault="00B17774" w:rsidP="00B17774">
      <w:pPr>
        <w:pStyle w:val="Baseparagraphcentred"/>
      </w:pPr>
    </w:p>
    <w:p w14:paraId="195DD54F" w14:textId="77777777" w:rsidR="00B17774" w:rsidRDefault="00B17774" w:rsidP="00B17774">
      <w:pPr>
        <w:pStyle w:val="Baseparagraphcentred"/>
      </w:pPr>
    </w:p>
    <w:p w14:paraId="3FCCF12B" w14:textId="4DC44B65" w:rsidR="00B17774" w:rsidRPr="00F51A4E" w:rsidRDefault="007E4167" w:rsidP="00F51A4E">
      <w:pPr>
        <w:pStyle w:val="BillName"/>
      </w:pPr>
      <w:bookmarkStart w:id="1" w:name="BillName"/>
      <w:bookmarkEnd w:id="1"/>
      <w:r w:rsidRPr="007E4167">
        <w:t xml:space="preserve">Financial Sector Reform (Hayne Royal Commission Response—Protecting </w:t>
      </w:r>
      <w:r>
        <w:t>Consumers (2020 Measures)) Bill</w:t>
      </w:r>
      <w:r w:rsidR="00BE5BD9">
        <w:t xml:space="preserve"> 2020</w:t>
      </w:r>
      <w:r w:rsidR="00CA1FB4">
        <w:t xml:space="preserve">: </w:t>
      </w:r>
      <w:r w:rsidR="00B335D0">
        <w:t>Use of terms “insurance” and “insurer”</w:t>
      </w:r>
    </w:p>
    <w:p w14:paraId="344CE4AD" w14:textId="77777777" w:rsidR="00B17774" w:rsidRDefault="00B17774" w:rsidP="00B17774">
      <w:pPr>
        <w:pStyle w:val="Baseparagraphcentred"/>
      </w:pPr>
    </w:p>
    <w:p w14:paraId="04ED8376" w14:textId="77777777" w:rsidR="00B17774" w:rsidRDefault="00B17774" w:rsidP="00B17774">
      <w:pPr>
        <w:pStyle w:val="Baseparagraphcentred"/>
      </w:pPr>
    </w:p>
    <w:p w14:paraId="26D90BB4" w14:textId="77777777" w:rsidR="00B17774" w:rsidRDefault="00B17774" w:rsidP="00B17774">
      <w:pPr>
        <w:pStyle w:val="Baseparagraphcentred"/>
      </w:pPr>
    </w:p>
    <w:p w14:paraId="6FA2B6F4" w14:textId="77777777" w:rsidR="00B17774" w:rsidRDefault="00B17774" w:rsidP="00B17774">
      <w:pPr>
        <w:pStyle w:val="Baseparagraphcentred"/>
      </w:pPr>
    </w:p>
    <w:p w14:paraId="1B0208A9" w14:textId="77777777" w:rsidR="00DF5B4D" w:rsidRDefault="00DF5B4D" w:rsidP="00B17774">
      <w:pPr>
        <w:pStyle w:val="Baseparagraphcentred"/>
      </w:pPr>
      <w:r>
        <w:t>EXPOSURE DRAFT EXPLANATORY MATERIALS</w:t>
      </w:r>
    </w:p>
    <w:p w14:paraId="66C79C25" w14:textId="3F86373E" w:rsidR="00B17774" w:rsidRDefault="00B17774" w:rsidP="00B17774">
      <w:pPr>
        <w:pStyle w:val="Baseparagraphcentred"/>
      </w:pPr>
    </w:p>
    <w:p w14:paraId="12BE24B1" w14:textId="77777777" w:rsidR="00B17774" w:rsidRDefault="00B17774" w:rsidP="00B17774">
      <w:pPr>
        <w:pStyle w:val="Baseparagraphcentred"/>
      </w:pPr>
    </w:p>
    <w:p w14:paraId="23924756" w14:textId="77777777" w:rsidR="00B17774" w:rsidRDefault="00B17774" w:rsidP="00B17774">
      <w:pPr>
        <w:pStyle w:val="Baseparagraphcentred"/>
      </w:pPr>
    </w:p>
    <w:p w14:paraId="016F6BD2" w14:textId="77777777" w:rsidR="00DF5B4D" w:rsidRDefault="00DF5B4D" w:rsidP="00773B68">
      <w:pPr>
        <w:pStyle w:val="ParaCentredNoSpacing"/>
      </w:pPr>
    </w:p>
    <w:p w14:paraId="0AF1355C" w14:textId="77777777" w:rsidR="00DF5B4D" w:rsidRDefault="00DF5B4D" w:rsidP="00773B68">
      <w:pPr>
        <w:pStyle w:val="ParaCentredNoSpacing"/>
      </w:pPr>
    </w:p>
    <w:p w14:paraId="282E470D" w14:textId="74BCD2D5" w:rsidR="00773B68" w:rsidRDefault="00773B68" w:rsidP="00773B68">
      <w:pPr>
        <w:pStyle w:val="ParaCentredNoSpacing"/>
      </w:pPr>
    </w:p>
    <w:p w14:paraId="1268856F" w14:textId="77777777" w:rsidR="00B17774" w:rsidRDefault="00B17774" w:rsidP="00B17774"/>
    <w:p w14:paraId="4ED3A048" w14:textId="77777777" w:rsidR="00813A51" w:rsidRDefault="00813A51" w:rsidP="00B17774">
      <w:pPr>
        <w:sectPr w:rsidR="00813A51" w:rsidSect="00E74E50">
          <w:headerReference w:type="even" r:id="rId14"/>
          <w:headerReference w:type="default" r:id="rId15"/>
          <w:footerReference w:type="even" r:id="rId16"/>
          <w:footerReference w:type="default" r:id="rId17"/>
          <w:headerReference w:type="first" r:id="rId18"/>
          <w:pgSz w:w="9979" w:h="14175" w:code="13"/>
          <w:pgMar w:top="567" w:right="1134" w:bottom="567" w:left="1134" w:header="709" w:footer="709" w:gutter="0"/>
          <w:cols w:space="708"/>
          <w:titlePg/>
          <w:docGrid w:linePitch="360"/>
        </w:sectPr>
      </w:pPr>
    </w:p>
    <w:p w14:paraId="27B8C366" w14:textId="77777777" w:rsidR="00B17774" w:rsidRPr="003E0794" w:rsidRDefault="00B17774" w:rsidP="00B17774">
      <w:pPr>
        <w:pStyle w:val="TOCHeading"/>
      </w:pPr>
      <w:r w:rsidRPr="003E0794">
        <w:lastRenderedPageBreak/>
        <w:t>Table of contents</w:t>
      </w:r>
    </w:p>
    <w:p w14:paraId="6872E0F3" w14:textId="7742EC73" w:rsidR="00B05517"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B05517">
        <w:t>Glossary</w:t>
      </w:r>
      <w:r w:rsidR="00B05517">
        <w:tab/>
      </w:r>
      <w:r w:rsidR="00B05517">
        <w:fldChar w:fldCharType="begin"/>
      </w:r>
      <w:r w:rsidR="00B05517">
        <w:instrText xml:space="preserve"> PAGEREF _Toc27660774 \h </w:instrText>
      </w:r>
      <w:r w:rsidR="00B05517">
        <w:fldChar w:fldCharType="separate"/>
      </w:r>
      <w:r w:rsidR="00C97927">
        <w:t>1</w:t>
      </w:r>
      <w:r w:rsidR="00B05517">
        <w:fldChar w:fldCharType="end"/>
      </w:r>
    </w:p>
    <w:p w14:paraId="1A2CADC9" w14:textId="0FBD40B2" w:rsidR="00B05517" w:rsidRDefault="00B05517">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Use of terms ‘insurance’ and ‘insurer’</w:t>
      </w:r>
      <w:r>
        <w:rPr>
          <w:noProof/>
        </w:rPr>
        <w:tab/>
      </w:r>
      <w:r>
        <w:rPr>
          <w:noProof/>
        </w:rPr>
        <w:fldChar w:fldCharType="begin"/>
      </w:r>
      <w:r>
        <w:rPr>
          <w:noProof/>
        </w:rPr>
        <w:instrText xml:space="preserve"> PAGEREF _Toc27660775 \h </w:instrText>
      </w:r>
      <w:r>
        <w:rPr>
          <w:noProof/>
        </w:rPr>
      </w:r>
      <w:r>
        <w:rPr>
          <w:noProof/>
        </w:rPr>
        <w:fldChar w:fldCharType="separate"/>
      </w:r>
      <w:r w:rsidR="00C97927">
        <w:rPr>
          <w:noProof/>
        </w:rPr>
        <w:t>3</w:t>
      </w:r>
      <w:r>
        <w:rPr>
          <w:noProof/>
        </w:rPr>
        <w:fldChar w:fldCharType="end"/>
      </w:r>
    </w:p>
    <w:p w14:paraId="74BEFEB7" w14:textId="2B61F7F9" w:rsidR="00E5385B" w:rsidRDefault="00734F84" w:rsidP="00295ABD">
      <w:pPr>
        <w:rPr>
          <w:rFonts w:ascii="Helvetica" w:hAnsi="Helvetica"/>
          <w:noProof/>
          <w:sz w:val="24"/>
        </w:rPr>
      </w:pPr>
      <w:r>
        <w:rPr>
          <w:rFonts w:ascii="Helvetica" w:hAnsi="Helvetica"/>
          <w:noProof/>
          <w:sz w:val="24"/>
        </w:rPr>
        <w:fldChar w:fldCharType="end"/>
      </w:r>
    </w:p>
    <w:p w14:paraId="5E3EAB1D" w14:textId="77777777" w:rsidR="00B17774" w:rsidRDefault="00B17774" w:rsidP="00B17774">
      <w:pPr>
        <w:pStyle w:val="Hiddentext"/>
      </w:pPr>
    </w:p>
    <w:p w14:paraId="25376276" w14:textId="77777777" w:rsidR="00B17774" w:rsidRDefault="00B17774" w:rsidP="00B17774">
      <w:pPr>
        <w:pStyle w:val="base-text-paragraphnonumbers"/>
        <w:sectPr w:rsidR="00B17774" w:rsidSect="00E74E50">
          <w:headerReference w:type="even" r:id="rId19"/>
          <w:headerReference w:type="default" r:id="rId20"/>
          <w:footerReference w:type="even" r:id="rId21"/>
          <w:footerReference w:type="default" r:id="rId22"/>
          <w:headerReference w:type="first" r:id="rId23"/>
          <w:footerReference w:type="first" r:id="rId24"/>
          <w:type w:val="oddPage"/>
          <w:pgSz w:w="9979" w:h="14175" w:code="9"/>
          <w:pgMar w:top="567" w:right="1134" w:bottom="567" w:left="1134" w:header="709" w:footer="709" w:gutter="0"/>
          <w:cols w:space="708"/>
          <w:titlePg/>
          <w:docGrid w:linePitch="360"/>
        </w:sectPr>
      </w:pPr>
    </w:p>
    <w:p w14:paraId="58C9040F" w14:textId="77777777" w:rsidR="00B17774" w:rsidRPr="00567602" w:rsidRDefault="00B17774" w:rsidP="00567602">
      <w:pPr>
        <w:pStyle w:val="Chapterheadingsubdocument"/>
      </w:pPr>
      <w:bookmarkStart w:id="2" w:name="_Toc27660774"/>
      <w:r w:rsidRPr="00567602">
        <w:rPr>
          <w:rStyle w:val="ChapterNameOnly"/>
        </w:rPr>
        <w:lastRenderedPageBreak/>
        <w:t>Glossary</w:t>
      </w:r>
      <w:bookmarkEnd w:id="2"/>
    </w:p>
    <w:p w14:paraId="32ADA052" w14:textId="77777777" w:rsidR="00B17774" w:rsidRDefault="00B17774" w:rsidP="00B17774">
      <w:pPr>
        <w:pStyle w:val="BTPwithextraspacing"/>
      </w:pPr>
      <w:r>
        <w:t>The following abbreviations and acronyms are used throughout this explanatory memorandum.</w:t>
      </w:r>
    </w:p>
    <w:tbl>
      <w:tblPr>
        <w:tblW w:w="660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14:paraId="1BA8618D" w14:textId="77777777" w:rsidTr="00FF62CE">
        <w:tc>
          <w:tcPr>
            <w:tcW w:w="2721" w:type="dxa"/>
          </w:tcPr>
          <w:p w14:paraId="49EC40B5" w14:textId="77777777" w:rsidR="00B17774" w:rsidRPr="00123D96" w:rsidRDefault="00B17774" w:rsidP="008C516E">
            <w:pPr>
              <w:pStyle w:val="tableheaderwithintable"/>
            </w:pPr>
            <w:r w:rsidRPr="00123D96">
              <w:t>Abbreviation</w:t>
            </w:r>
          </w:p>
        </w:tc>
        <w:tc>
          <w:tcPr>
            <w:tcW w:w="3885" w:type="dxa"/>
          </w:tcPr>
          <w:p w14:paraId="077B2E35" w14:textId="77777777" w:rsidR="00B17774" w:rsidRPr="00123D96" w:rsidRDefault="00B17774" w:rsidP="008C516E">
            <w:pPr>
              <w:pStyle w:val="tableheaderwithintable"/>
            </w:pPr>
            <w:r w:rsidRPr="00123D96">
              <w:t>Definition</w:t>
            </w:r>
          </w:p>
        </w:tc>
      </w:tr>
      <w:tr w:rsidR="00442583" w:rsidRPr="002C43E8" w14:paraId="16205B77" w14:textId="77777777" w:rsidTr="00FF62CE">
        <w:tc>
          <w:tcPr>
            <w:tcW w:w="2721" w:type="dxa"/>
          </w:tcPr>
          <w:p w14:paraId="339E548D" w14:textId="372C2D11" w:rsidR="00442583" w:rsidRDefault="00442583" w:rsidP="009573EC">
            <w:pPr>
              <w:pStyle w:val="Glossarytabletext"/>
              <w:rPr>
                <w:lang w:val="en-US" w:eastAsia="en-US"/>
              </w:rPr>
            </w:pPr>
            <w:r>
              <w:rPr>
                <w:lang w:val="en-US" w:eastAsia="en-US"/>
              </w:rPr>
              <w:t>APRA</w:t>
            </w:r>
          </w:p>
        </w:tc>
        <w:tc>
          <w:tcPr>
            <w:tcW w:w="3885" w:type="dxa"/>
          </w:tcPr>
          <w:p w14:paraId="5C1E6BF4" w14:textId="2668FBBC" w:rsidR="00442583" w:rsidRDefault="00442583" w:rsidP="007E4167">
            <w:pPr>
              <w:pStyle w:val="Glossarytabletext"/>
              <w:rPr>
                <w:lang w:val="en-US" w:eastAsia="en-US"/>
              </w:rPr>
            </w:pPr>
            <w:r>
              <w:rPr>
                <w:lang w:val="en-US" w:eastAsia="en-US"/>
              </w:rPr>
              <w:t xml:space="preserve">Australian Prudential </w:t>
            </w:r>
            <w:r w:rsidR="007E4167">
              <w:rPr>
                <w:lang w:val="en-US" w:eastAsia="en-US"/>
              </w:rPr>
              <w:t>Regulation</w:t>
            </w:r>
            <w:r>
              <w:rPr>
                <w:lang w:val="en-US" w:eastAsia="en-US"/>
              </w:rPr>
              <w:t xml:space="preserve"> Authority </w:t>
            </w:r>
          </w:p>
        </w:tc>
      </w:tr>
      <w:tr w:rsidR="00442583" w:rsidRPr="002C43E8" w14:paraId="38F6D319" w14:textId="77777777" w:rsidTr="00FF62CE">
        <w:tc>
          <w:tcPr>
            <w:tcW w:w="2721" w:type="dxa"/>
          </w:tcPr>
          <w:p w14:paraId="70D63652" w14:textId="5D83B72A" w:rsidR="00442583" w:rsidRDefault="00442583" w:rsidP="009573EC">
            <w:pPr>
              <w:pStyle w:val="Glossarytabletext"/>
              <w:rPr>
                <w:lang w:val="en-US" w:eastAsia="en-US"/>
              </w:rPr>
            </w:pPr>
            <w:r>
              <w:rPr>
                <w:lang w:val="en-US" w:eastAsia="en-US"/>
              </w:rPr>
              <w:t>ASIC</w:t>
            </w:r>
          </w:p>
        </w:tc>
        <w:tc>
          <w:tcPr>
            <w:tcW w:w="3885" w:type="dxa"/>
          </w:tcPr>
          <w:p w14:paraId="64EED1E3" w14:textId="2260634B" w:rsidR="00442583" w:rsidRDefault="00442583" w:rsidP="009573EC">
            <w:pPr>
              <w:pStyle w:val="Glossarytabletext"/>
              <w:rPr>
                <w:lang w:val="en-US" w:eastAsia="en-US"/>
              </w:rPr>
            </w:pPr>
            <w:r>
              <w:rPr>
                <w:lang w:val="en-US" w:eastAsia="en-US"/>
              </w:rPr>
              <w:t xml:space="preserve">Australian Securities and Investments Commission </w:t>
            </w:r>
          </w:p>
        </w:tc>
      </w:tr>
      <w:tr w:rsidR="00DF3A28" w:rsidRPr="002C43E8" w14:paraId="4BD47F9E" w14:textId="77777777" w:rsidTr="00FF62CE">
        <w:tc>
          <w:tcPr>
            <w:tcW w:w="2721" w:type="dxa"/>
          </w:tcPr>
          <w:p w14:paraId="5399C37D" w14:textId="65CA8231" w:rsidR="00DF3A28" w:rsidRDefault="00DF3A28" w:rsidP="009573EC">
            <w:pPr>
              <w:pStyle w:val="Glossarytabletext"/>
              <w:rPr>
                <w:lang w:val="en-US" w:eastAsia="en-US"/>
              </w:rPr>
            </w:pPr>
            <w:r>
              <w:rPr>
                <w:lang w:val="en-US" w:eastAsia="en-US"/>
              </w:rPr>
              <w:t>Bill</w:t>
            </w:r>
          </w:p>
        </w:tc>
        <w:tc>
          <w:tcPr>
            <w:tcW w:w="3885" w:type="dxa"/>
          </w:tcPr>
          <w:p w14:paraId="4CED6F52" w14:textId="6FBAD2C9" w:rsidR="00DF3A28" w:rsidRDefault="00DF3A28" w:rsidP="006A387F">
            <w:pPr>
              <w:pStyle w:val="Glossarytabletext"/>
              <w:rPr>
                <w:lang w:val="en-US" w:eastAsia="en-US"/>
              </w:rPr>
            </w:pPr>
            <w:r w:rsidRPr="00DF3A28">
              <w:rPr>
                <w:lang w:val="en-US" w:eastAsia="en-US"/>
              </w:rPr>
              <w:t>Financial Sector Reform (Hayne Royal Commission Response—Protecting Consumers (2020 Measures)) Bill</w:t>
            </w:r>
            <w:r w:rsidR="006A387F">
              <w:rPr>
                <w:lang w:val="en-US" w:eastAsia="en-US"/>
              </w:rPr>
              <w:t xml:space="preserve"> 2020: Use of terms “insurance” and “insurer”</w:t>
            </w:r>
          </w:p>
        </w:tc>
      </w:tr>
      <w:tr w:rsidR="009573EC" w:rsidRPr="002C43E8" w14:paraId="10832291" w14:textId="77777777" w:rsidTr="00FF62CE">
        <w:tc>
          <w:tcPr>
            <w:tcW w:w="2721" w:type="dxa"/>
          </w:tcPr>
          <w:p w14:paraId="09542CF3" w14:textId="77777777" w:rsidR="009573EC" w:rsidRPr="002C43E8" w:rsidRDefault="009573EC" w:rsidP="009573EC">
            <w:pPr>
              <w:pStyle w:val="Glossarytabletext"/>
              <w:rPr>
                <w:lang w:val="en-US" w:eastAsia="en-US"/>
              </w:rPr>
            </w:pPr>
            <w:bookmarkStart w:id="3" w:name="GlossaryTableStart"/>
            <w:bookmarkEnd w:id="3"/>
            <w:r>
              <w:rPr>
                <w:lang w:val="en-US" w:eastAsia="en-US"/>
              </w:rPr>
              <w:t>Financial Services Royal Commission</w:t>
            </w:r>
          </w:p>
        </w:tc>
        <w:tc>
          <w:tcPr>
            <w:tcW w:w="3885" w:type="dxa"/>
          </w:tcPr>
          <w:p w14:paraId="7D4D109C" w14:textId="77777777" w:rsidR="009573EC" w:rsidRPr="002C43E8" w:rsidRDefault="009573EC" w:rsidP="009573EC">
            <w:pPr>
              <w:pStyle w:val="Glossarytabletext"/>
              <w:rPr>
                <w:lang w:val="en-US" w:eastAsia="en-US"/>
              </w:rPr>
            </w:pPr>
            <w:r>
              <w:rPr>
                <w:lang w:val="en-US" w:eastAsia="en-US"/>
              </w:rPr>
              <w:t>Royal Commission into Misconduct in the Banking, Superannuation and Financial Services Industry</w:t>
            </w:r>
          </w:p>
        </w:tc>
      </w:tr>
    </w:tbl>
    <w:p w14:paraId="588666A1" w14:textId="77777777" w:rsidR="00E5385B" w:rsidRDefault="00E5385B" w:rsidP="00B17774"/>
    <w:p w14:paraId="371C0B66" w14:textId="77777777" w:rsidR="00B17774" w:rsidRDefault="00B17774" w:rsidP="00B17774"/>
    <w:p w14:paraId="49EE2AE3" w14:textId="77777777" w:rsidR="00E679CA" w:rsidRDefault="00E679CA" w:rsidP="00B17774">
      <w:pPr>
        <w:sectPr w:rsidR="00E679CA" w:rsidSect="00E74E50">
          <w:headerReference w:type="even" r:id="rId25"/>
          <w:headerReference w:type="default" r:id="rId26"/>
          <w:footerReference w:type="even" r:id="rId27"/>
          <w:footerReference w:type="default" r:id="rId28"/>
          <w:footerReference w:type="first" r:id="rId29"/>
          <w:type w:val="oddPage"/>
          <w:pgSz w:w="9979" w:h="14175" w:code="9"/>
          <w:pgMar w:top="567" w:right="1134" w:bottom="567" w:left="1134" w:header="709" w:footer="709" w:gutter="0"/>
          <w:pgNumType w:start="1"/>
          <w:cols w:space="708"/>
          <w:titlePg/>
          <w:docGrid w:linePitch="360"/>
        </w:sectPr>
      </w:pPr>
    </w:p>
    <w:p w14:paraId="694DB4DD" w14:textId="142F1604" w:rsidR="00B17774" w:rsidRPr="00854308" w:rsidRDefault="00840701" w:rsidP="00854308">
      <w:pPr>
        <w:pStyle w:val="ChapterHeading"/>
        <w:rPr>
          <w:rStyle w:val="ChapterNameOnly"/>
        </w:rPr>
      </w:pPr>
      <w:r w:rsidRPr="000C2A9D">
        <w:br/>
      </w:r>
      <w:bookmarkStart w:id="4" w:name="_Toc27660775"/>
      <w:r w:rsidR="00817A8A">
        <w:rPr>
          <w:rStyle w:val="ChapterNameOnly"/>
        </w:rPr>
        <w:t>U</w:t>
      </w:r>
      <w:r w:rsidR="000C1165">
        <w:rPr>
          <w:rStyle w:val="ChapterNameOnly"/>
        </w:rPr>
        <w:t>se of terms ‘insurance’ and ‘insurer’</w:t>
      </w:r>
      <w:bookmarkEnd w:id="4"/>
    </w:p>
    <w:p w14:paraId="65208303" w14:textId="77777777" w:rsidR="00B17774" w:rsidRDefault="00B17774" w:rsidP="00B17774">
      <w:pPr>
        <w:pStyle w:val="Heading2"/>
      </w:pPr>
      <w:r>
        <w:t>Outline of chapter</w:t>
      </w:r>
    </w:p>
    <w:p w14:paraId="5AF8A4E8" w14:textId="5B99C1B4" w:rsidR="00DB69D5" w:rsidRPr="009573EC" w:rsidRDefault="00EC2C09" w:rsidP="009A545B">
      <w:pPr>
        <w:pStyle w:val="base-text-paragraph"/>
      </w:pPr>
      <w:proofErr w:type="gramStart"/>
      <w:r w:rsidRPr="000B1B3E">
        <w:t xml:space="preserve">Schedule </w:t>
      </w:r>
      <w:r w:rsidR="00B335D0" w:rsidRPr="000B1B3E">
        <w:t>?</w:t>
      </w:r>
      <w:proofErr w:type="gramEnd"/>
      <w:r w:rsidRPr="000B1B3E">
        <w:t xml:space="preserve"> to</w:t>
      </w:r>
      <w:r w:rsidRPr="00BA7201">
        <w:t xml:space="preserve"> </w:t>
      </w:r>
      <w:r w:rsidR="00611E31">
        <w:t>this</w:t>
      </w:r>
      <w:r w:rsidR="00611E31" w:rsidRPr="00BA7201">
        <w:t xml:space="preserve"> </w:t>
      </w:r>
      <w:r w:rsidRPr="00BA7201">
        <w:t xml:space="preserve">Bill </w:t>
      </w:r>
      <w:r w:rsidR="00611E31">
        <w:t xml:space="preserve">amends the </w:t>
      </w:r>
      <w:r w:rsidR="00611E31" w:rsidRPr="0030380B">
        <w:rPr>
          <w:i/>
        </w:rPr>
        <w:t>Insurance Act 1973</w:t>
      </w:r>
      <w:r w:rsidR="00611E31">
        <w:t xml:space="preserve"> to </w:t>
      </w:r>
      <w:r w:rsidR="00DB69D5" w:rsidRPr="00DB69D5">
        <w:t xml:space="preserve">restrict the ability of firms to </w:t>
      </w:r>
      <w:r w:rsidR="00DB69D5">
        <w:t xml:space="preserve">use the </w:t>
      </w:r>
      <w:r w:rsidR="00DB69D5" w:rsidRPr="00DB69D5">
        <w:t>terms ‘insurer’ and ‘insurance’ to only those firms that have a legitimate interest in using terminology regarding insurance</w:t>
      </w:r>
      <w:r w:rsidR="00DB69D5">
        <w:t>.</w:t>
      </w:r>
    </w:p>
    <w:p w14:paraId="0CE12F42" w14:textId="77777777" w:rsidR="00B17774" w:rsidRDefault="00B17774" w:rsidP="00B17774">
      <w:pPr>
        <w:pStyle w:val="Heading2"/>
      </w:pPr>
      <w:r>
        <w:t>Context of amendments</w:t>
      </w:r>
    </w:p>
    <w:p w14:paraId="2A16C231" w14:textId="37F141EF" w:rsidR="005F51C4" w:rsidRDefault="00B95FF6" w:rsidP="008C516E">
      <w:pPr>
        <w:pStyle w:val="base-text-paragraph"/>
      </w:pPr>
      <w:r>
        <w:t>T</w:t>
      </w:r>
      <w:r w:rsidR="00380963">
        <w:t>he use of a variety of</w:t>
      </w:r>
      <w:r w:rsidR="009A545B">
        <w:t xml:space="preserve"> phrases associated with financial services</w:t>
      </w:r>
      <w:r w:rsidR="00380963">
        <w:t xml:space="preserve"> </w:t>
      </w:r>
      <w:r>
        <w:t>is</w:t>
      </w:r>
      <w:r w:rsidR="00380963">
        <w:t xml:space="preserve"> restricted</w:t>
      </w:r>
      <w:r>
        <w:t xml:space="preserve"> under the current law</w:t>
      </w:r>
      <w:r w:rsidR="009A545B">
        <w:t xml:space="preserve">. </w:t>
      </w:r>
      <w:r w:rsidR="005F51C4">
        <w:t>For example, there</w:t>
      </w:r>
      <w:r w:rsidR="009A545B" w:rsidRPr="009A545B">
        <w:t xml:space="preserve"> are </w:t>
      </w:r>
      <w:r w:rsidR="005F51C4">
        <w:t xml:space="preserve">currently </w:t>
      </w:r>
      <w:r w:rsidR="009A545B" w:rsidRPr="009A545B">
        <w:t xml:space="preserve">restrictions on </w:t>
      </w:r>
      <w:r w:rsidR="005F51C4">
        <w:t xml:space="preserve">the use of the term ‘bank’ </w:t>
      </w:r>
      <w:r w:rsidR="00515833">
        <w:t>and similar terms</w:t>
      </w:r>
      <w:r w:rsidR="009A545B" w:rsidRPr="009A545B">
        <w:t xml:space="preserve"> in the </w:t>
      </w:r>
      <w:r w:rsidR="009A545B" w:rsidRPr="00B95FF6">
        <w:rPr>
          <w:i/>
        </w:rPr>
        <w:t>Banking Act 1959</w:t>
      </w:r>
      <w:r w:rsidR="009A545B" w:rsidRPr="009A545B">
        <w:t xml:space="preserve">. </w:t>
      </w:r>
    </w:p>
    <w:p w14:paraId="1A375670" w14:textId="14A3FCC0" w:rsidR="005F51C4" w:rsidRDefault="005F51C4" w:rsidP="00EC2C09">
      <w:pPr>
        <w:pStyle w:val="base-text-paragraph"/>
      </w:pPr>
      <w:r w:rsidRPr="009573EC">
        <w:t xml:space="preserve">As part of the response to </w:t>
      </w:r>
      <w:r w:rsidR="00611E31">
        <w:t xml:space="preserve">Recommendation 4.2 of </w:t>
      </w:r>
      <w:r w:rsidRPr="009573EC">
        <w:t xml:space="preserve">the Financial Services Royal Commission, the Government announced </w:t>
      </w:r>
      <w:r>
        <w:t>it would</w:t>
      </w:r>
      <w:r w:rsidRPr="00FF62CE">
        <w:t xml:space="preserve"> </w:t>
      </w:r>
      <w:r w:rsidRPr="00DB69D5">
        <w:t xml:space="preserve">restrict the ability of firms to </w:t>
      </w:r>
      <w:r>
        <w:t xml:space="preserve">use the </w:t>
      </w:r>
      <w:r w:rsidRPr="00DB69D5">
        <w:t>terms ‘insurer’ and ‘insurance’ to only those firms that have a legitimate interest in using terminology regarding insurance</w:t>
      </w:r>
      <w:r w:rsidR="00611E31">
        <w:t>. The objective of this change is</w:t>
      </w:r>
      <w:r>
        <w:t xml:space="preserve"> </w:t>
      </w:r>
      <w:r w:rsidRPr="00DB69D5">
        <w:t>to avoid confusion for consumers as to the nature of the products they are purchasing</w:t>
      </w:r>
      <w:r>
        <w:t>.</w:t>
      </w:r>
    </w:p>
    <w:p w14:paraId="23D32CFA" w14:textId="77777777" w:rsidR="00B17774" w:rsidRDefault="00B17774" w:rsidP="00B17774">
      <w:pPr>
        <w:pStyle w:val="Heading2"/>
      </w:pPr>
      <w:r>
        <w:t>Summary of new law</w:t>
      </w:r>
    </w:p>
    <w:p w14:paraId="5959FB16" w14:textId="59AE1748" w:rsidR="00A9706F" w:rsidRDefault="00B335D0" w:rsidP="00A9706F">
      <w:pPr>
        <w:pStyle w:val="base-text-paragraph"/>
        <w:numPr>
          <w:ilvl w:val="1"/>
          <w:numId w:val="44"/>
        </w:numPr>
      </w:pPr>
      <w:proofErr w:type="gramStart"/>
      <w:r>
        <w:t>Schedule ?</w:t>
      </w:r>
      <w:proofErr w:type="gramEnd"/>
      <w:r w:rsidR="00611E31">
        <w:t xml:space="preserve"> </w:t>
      </w:r>
      <w:proofErr w:type="gramStart"/>
      <w:r w:rsidR="00611E31">
        <w:t>to</w:t>
      </w:r>
      <w:proofErr w:type="gramEnd"/>
      <w:r w:rsidR="00611E31">
        <w:t xml:space="preserve"> this </w:t>
      </w:r>
      <w:r w:rsidR="00A9706F">
        <w:t xml:space="preserve">Bill makes it a strict liability offence for a </w:t>
      </w:r>
      <w:r w:rsidR="008B0471">
        <w:t>business</w:t>
      </w:r>
      <w:r w:rsidR="00A9706F">
        <w:t xml:space="preserve"> to </w:t>
      </w:r>
      <w:r w:rsidR="008B0471">
        <w:t>describe a product or service that they offer as insurance, if the product or service is not insurance, in circumstances where it is likely that the product or service could mistakenly be believed to be insurance.</w:t>
      </w:r>
      <w:r w:rsidR="00A9706F">
        <w:t xml:space="preserve"> </w:t>
      </w:r>
    </w:p>
    <w:p w14:paraId="7710C770" w14:textId="3F0EFBD3" w:rsidR="00611E31" w:rsidRDefault="00BB4E05" w:rsidP="00951E5D">
      <w:pPr>
        <w:pStyle w:val="base-text-paragraph"/>
        <w:numPr>
          <w:ilvl w:val="1"/>
          <w:numId w:val="44"/>
        </w:numPr>
      </w:pPr>
      <w:r>
        <w:t xml:space="preserve">The Bill </w:t>
      </w:r>
      <w:r w:rsidR="00611E31">
        <w:t xml:space="preserve">also </w:t>
      </w:r>
      <w:r>
        <w:t>makes it a strict liability offence for a business t</w:t>
      </w:r>
      <w:r w:rsidR="00951E5D">
        <w:t>o describe itself as an insurer if the business could mistakenly be believed to offer insurance</w:t>
      </w:r>
      <w:r w:rsidR="00012C1F">
        <w:t>,</w:t>
      </w:r>
      <w:r w:rsidR="00951E5D">
        <w:t xml:space="preserve"> and either the product is not insurance or the person is</w:t>
      </w:r>
      <w:r w:rsidR="00611E31" w:rsidRPr="00611E31">
        <w:t xml:space="preserve"> </w:t>
      </w:r>
      <w:r w:rsidR="00611E31">
        <w:t>not</w:t>
      </w:r>
      <w:r w:rsidR="00951E5D">
        <w:t xml:space="preserve"> </w:t>
      </w:r>
      <w:r w:rsidR="00611E31">
        <w:t xml:space="preserve">appropriately </w:t>
      </w:r>
      <w:r w:rsidR="005C55E4">
        <w:t>registered</w:t>
      </w:r>
      <w:r w:rsidR="006915F5">
        <w:t xml:space="preserve"> or authorised</w:t>
      </w:r>
      <w:r w:rsidR="00951E5D">
        <w:t xml:space="preserve"> </w:t>
      </w:r>
      <w:r w:rsidR="003A0DD4">
        <w:t>under either the</w:t>
      </w:r>
      <w:r w:rsidR="00611E31">
        <w:t>:</w:t>
      </w:r>
    </w:p>
    <w:p w14:paraId="7CA7964B" w14:textId="698B7111" w:rsidR="00611E31" w:rsidRDefault="00951E5D" w:rsidP="0030380B">
      <w:pPr>
        <w:pStyle w:val="dotpoint"/>
      </w:pPr>
      <w:r w:rsidRPr="0030380B">
        <w:rPr>
          <w:i/>
        </w:rPr>
        <w:t>Insurance Act 1973</w:t>
      </w:r>
      <w:r w:rsidR="00611E31">
        <w:t xml:space="preserve">; </w:t>
      </w:r>
    </w:p>
    <w:p w14:paraId="0563C445" w14:textId="5B52D3DD" w:rsidR="00611E31" w:rsidRDefault="00951E5D" w:rsidP="0030380B">
      <w:pPr>
        <w:pStyle w:val="dotpoint"/>
      </w:pPr>
      <w:r w:rsidRPr="0030380B">
        <w:rPr>
          <w:i/>
        </w:rPr>
        <w:t>Life Insurance Act 1995</w:t>
      </w:r>
      <w:r w:rsidR="00611E31">
        <w:t>;</w:t>
      </w:r>
      <w:r>
        <w:t xml:space="preserve"> </w:t>
      </w:r>
      <w:r w:rsidR="003A0DD4">
        <w:t>or</w:t>
      </w:r>
    </w:p>
    <w:p w14:paraId="430A0A37" w14:textId="1396996F" w:rsidR="00951E5D" w:rsidRDefault="00951E5D" w:rsidP="0030380B">
      <w:pPr>
        <w:pStyle w:val="dotpoint"/>
      </w:pPr>
      <w:r w:rsidRPr="0030380B">
        <w:rPr>
          <w:i/>
        </w:rPr>
        <w:t>Private Health Insurance (Prudential Supervision) Act 2015</w:t>
      </w:r>
      <w:r>
        <w:t>.</w:t>
      </w:r>
    </w:p>
    <w:p w14:paraId="5D83E8B3" w14:textId="30B7EFC9" w:rsidR="00A9706F" w:rsidRDefault="00A9706F" w:rsidP="008C516E">
      <w:pPr>
        <w:pStyle w:val="base-text-paragraph"/>
      </w:pPr>
      <w:r>
        <w:t>The offences do not apply to government entities</w:t>
      </w:r>
      <w:r w:rsidR="008B6AE1">
        <w:t>, State insurance, products or services prescribed by the regulations,</w:t>
      </w:r>
      <w:r w:rsidR="000F08E2">
        <w:t xml:space="preserve"> </w:t>
      </w:r>
      <w:r w:rsidR="00B349CD">
        <w:t xml:space="preserve">or </w:t>
      </w:r>
      <w:r w:rsidR="00012C1F">
        <w:t xml:space="preserve">entities exempted by </w:t>
      </w:r>
      <w:r w:rsidR="000F08E2">
        <w:t>ASIC</w:t>
      </w:r>
      <w:r>
        <w:t xml:space="preserve">. </w:t>
      </w:r>
    </w:p>
    <w:p w14:paraId="5A2A4F77" w14:textId="77777777" w:rsidR="00B86D60" w:rsidRPr="002965BE" w:rsidRDefault="00B86D60" w:rsidP="00B86D60">
      <w:pPr>
        <w:pStyle w:val="Heading3"/>
        <w:rPr>
          <w:sz w:val="26"/>
          <w:szCs w:val="26"/>
        </w:rPr>
      </w:pPr>
      <w:r w:rsidRPr="002965BE">
        <w:rPr>
          <w:sz w:val="26"/>
          <w:szCs w:val="26"/>
        </w:rPr>
        <w:t>Comparison of key features of new law and current law</w:t>
      </w:r>
    </w:p>
    <w:tbl>
      <w:tblPr>
        <w:tblW w:w="6551" w:type="dxa"/>
        <w:tblInd w:w="1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B86D60" w14:paraId="376A111D" w14:textId="77777777" w:rsidTr="00F72DDF">
        <w:trPr>
          <w:tblHeader/>
        </w:trPr>
        <w:tc>
          <w:tcPr>
            <w:tcW w:w="3275" w:type="dxa"/>
            <w:tcBorders>
              <w:top w:val="single" w:sz="4" w:space="0" w:color="auto"/>
              <w:left w:val="single" w:sz="4" w:space="0" w:color="auto"/>
              <w:bottom w:val="single" w:sz="4" w:space="0" w:color="auto"/>
              <w:right w:val="single" w:sz="4" w:space="0" w:color="auto"/>
            </w:tcBorders>
            <w:hideMark/>
          </w:tcPr>
          <w:p w14:paraId="2437794D" w14:textId="77777777" w:rsidR="00B86D60" w:rsidRDefault="00B86D60" w:rsidP="00F72DDF">
            <w:pPr>
              <w:pStyle w:val="tableheaderwithintable"/>
              <w:spacing w:line="256" w:lineRule="auto"/>
              <w:rPr>
                <w:lang w:val="en-US" w:eastAsia="en-US"/>
              </w:rPr>
            </w:pPr>
            <w:r>
              <w:rPr>
                <w:lang w:val="en-US" w:eastAsia="en-US"/>
              </w:rPr>
              <w:t>New law</w:t>
            </w:r>
          </w:p>
        </w:tc>
        <w:tc>
          <w:tcPr>
            <w:tcW w:w="3276" w:type="dxa"/>
            <w:tcBorders>
              <w:top w:val="single" w:sz="4" w:space="0" w:color="auto"/>
              <w:left w:val="single" w:sz="4" w:space="0" w:color="auto"/>
              <w:bottom w:val="single" w:sz="4" w:space="0" w:color="auto"/>
              <w:right w:val="single" w:sz="4" w:space="0" w:color="auto"/>
            </w:tcBorders>
            <w:hideMark/>
          </w:tcPr>
          <w:p w14:paraId="7F35361E" w14:textId="77777777" w:rsidR="00B86D60" w:rsidRDefault="00B86D60" w:rsidP="00F72DDF">
            <w:pPr>
              <w:pStyle w:val="tableheaderwithintable"/>
              <w:spacing w:line="256" w:lineRule="auto"/>
              <w:rPr>
                <w:lang w:val="en-US" w:eastAsia="en-US"/>
              </w:rPr>
            </w:pPr>
            <w:r>
              <w:rPr>
                <w:lang w:val="en-US" w:eastAsia="en-US"/>
              </w:rPr>
              <w:t>Current law</w:t>
            </w:r>
          </w:p>
        </w:tc>
      </w:tr>
      <w:tr w:rsidR="00B86D60" w14:paraId="3CCC6C3B" w14:textId="77777777" w:rsidTr="00F72DDF">
        <w:trPr>
          <w:tblHeader/>
        </w:trPr>
        <w:tc>
          <w:tcPr>
            <w:tcW w:w="3275" w:type="dxa"/>
            <w:tcBorders>
              <w:top w:val="single" w:sz="4" w:space="0" w:color="auto"/>
              <w:left w:val="single" w:sz="4" w:space="0" w:color="auto"/>
              <w:bottom w:val="single" w:sz="4" w:space="0" w:color="auto"/>
              <w:right w:val="single" w:sz="4" w:space="0" w:color="auto"/>
            </w:tcBorders>
          </w:tcPr>
          <w:p w14:paraId="73A43445" w14:textId="31C088DA" w:rsidR="00B86D60" w:rsidRDefault="00B86D60" w:rsidP="002B33DF">
            <w:pPr>
              <w:pStyle w:val="tabletext"/>
              <w:spacing w:line="256" w:lineRule="auto"/>
              <w:rPr>
                <w:lang w:val="en-US" w:eastAsia="en-US"/>
              </w:rPr>
            </w:pPr>
            <w:r>
              <w:rPr>
                <w:lang w:val="en-US" w:eastAsia="en-US"/>
              </w:rPr>
              <w:t xml:space="preserve">It is </w:t>
            </w:r>
            <w:r w:rsidR="002B33DF">
              <w:rPr>
                <w:lang w:val="en-US" w:eastAsia="en-US"/>
              </w:rPr>
              <w:t>a</w:t>
            </w:r>
            <w:r w:rsidR="002B33DF">
              <w:t xml:space="preserve"> strict liability offence for a business to describe a product or service that they offer as insurance, if the product or service is not insurance, in circumstances where it is likely that the product or service could mistakenly be believed to be insurance. </w:t>
            </w:r>
          </w:p>
        </w:tc>
        <w:tc>
          <w:tcPr>
            <w:tcW w:w="3276" w:type="dxa"/>
            <w:tcBorders>
              <w:top w:val="single" w:sz="4" w:space="0" w:color="auto"/>
              <w:left w:val="single" w:sz="4" w:space="0" w:color="auto"/>
              <w:bottom w:val="single" w:sz="4" w:space="0" w:color="auto"/>
              <w:right w:val="single" w:sz="4" w:space="0" w:color="auto"/>
            </w:tcBorders>
          </w:tcPr>
          <w:p w14:paraId="7D7641EF" w14:textId="4482BB9E" w:rsidR="00B86D60" w:rsidRDefault="00A27852" w:rsidP="00A27852">
            <w:pPr>
              <w:pStyle w:val="tabletext"/>
              <w:spacing w:line="256" w:lineRule="auto"/>
              <w:rPr>
                <w:lang w:val="en-US" w:eastAsia="en-US"/>
              </w:rPr>
            </w:pPr>
            <w:r>
              <w:rPr>
                <w:lang w:val="en-US" w:eastAsia="en-US"/>
              </w:rPr>
              <w:t xml:space="preserve">It is not an offence to use the term insurance in relation to a product which is not insurance. </w:t>
            </w:r>
          </w:p>
        </w:tc>
      </w:tr>
      <w:tr w:rsidR="00B86D60" w14:paraId="433B009A" w14:textId="77777777" w:rsidTr="00F72DDF">
        <w:trPr>
          <w:tblHeader/>
        </w:trPr>
        <w:tc>
          <w:tcPr>
            <w:tcW w:w="3275" w:type="dxa"/>
            <w:tcBorders>
              <w:top w:val="single" w:sz="4" w:space="0" w:color="auto"/>
              <w:left w:val="single" w:sz="4" w:space="0" w:color="auto"/>
              <w:bottom w:val="single" w:sz="4" w:space="0" w:color="auto"/>
              <w:right w:val="single" w:sz="4" w:space="0" w:color="auto"/>
            </w:tcBorders>
          </w:tcPr>
          <w:p w14:paraId="1AA8C40A" w14:textId="068AAD50" w:rsidR="00A901F1" w:rsidRDefault="00B86D60" w:rsidP="002B33DF">
            <w:pPr>
              <w:pStyle w:val="base-text-paragraph"/>
              <w:numPr>
                <w:ilvl w:val="0"/>
                <w:numId w:val="0"/>
              </w:numPr>
              <w:rPr>
                <w:sz w:val="20"/>
              </w:rPr>
            </w:pPr>
            <w:r w:rsidRPr="002B33DF">
              <w:rPr>
                <w:sz w:val="20"/>
              </w:rPr>
              <w:t xml:space="preserve">It is a strict liability offence for </w:t>
            </w:r>
            <w:r w:rsidR="002B33DF" w:rsidRPr="002B33DF">
              <w:rPr>
                <w:sz w:val="20"/>
              </w:rPr>
              <w:t xml:space="preserve">a business to describe itself as an insurer if the business could mistakenly be believed to offer insurance and either the product is not insurance or the person is not </w:t>
            </w:r>
            <w:r w:rsidR="00A901F1">
              <w:rPr>
                <w:sz w:val="20"/>
              </w:rPr>
              <w:t xml:space="preserve">appropriately </w:t>
            </w:r>
            <w:r w:rsidR="00463B4B">
              <w:rPr>
                <w:sz w:val="20"/>
              </w:rPr>
              <w:t>registered</w:t>
            </w:r>
            <w:r w:rsidR="002B33DF" w:rsidRPr="002B33DF">
              <w:rPr>
                <w:sz w:val="20"/>
              </w:rPr>
              <w:t xml:space="preserve"> </w:t>
            </w:r>
            <w:r w:rsidR="006915F5">
              <w:rPr>
                <w:sz w:val="20"/>
              </w:rPr>
              <w:t xml:space="preserve">or authorised </w:t>
            </w:r>
            <w:r w:rsidR="003A0DD4">
              <w:rPr>
                <w:sz w:val="20"/>
              </w:rPr>
              <w:t>under either the</w:t>
            </w:r>
            <w:r w:rsidR="00A901F1">
              <w:rPr>
                <w:sz w:val="20"/>
              </w:rPr>
              <w:t>:</w:t>
            </w:r>
          </w:p>
          <w:p w14:paraId="266FB4E2" w14:textId="349227C8" w:rsidR="00A901F1" w:rsidRDefault="002B33DF" w:rsidP="0030380B">
            <w:pPr>
              <w:pStyle w:val="Bullet"/>
            </w:pPr>
            <w:r w:rsidRPr="0030380B">
              <w:rPr>
                <w:i/>
              </w:rPr>
              <w:t>Insurance Act 1973</w:t>
            </w:r>
            <w:r w:rsidR="00A901F1">
              <w:t>;</w:t>
            </w:r>
            <w:r w:rsidRPr="002B33DF">
              <w:t xml:space="preserve"> </w:t>
            </w:r>
          </w:p>
          <w:p w14:paraId="4F5027AD" w14:textId="184986A2" w:rsidR="00A901F1" w:rsidRDefault="002B33DF" w:rsidP="0030380B">
            <w:pPr>
              <w:pStyle w:val="Bullet"/>
            </w:pPr>
            <w:r w:rsidRPr="00CA1FB4">
              <w:rPr>
                <w:i/>
              </w:rPr>
              <w:t>Life Insurance Act 1995</w:t>
            </w:r>
            <w:r w:rsidR="00A901F1">
              <w:rPr>
                <w:i/>
              </w:rPr>
              <w:t>;</w:t>
            </w:r>
            <w:r w:rsidRPr="00CA1FB4">
              <w:rPr>
                <w:i/>
              </w:rPr>
              <w:t xml:space="preserve"> </w:t>
            </w:r>
            <w:r w:rsidR="003A0DD4">
              <w:t>or</w:t>
            </w:r>
          </w:p>
          <w:p w14:paraId="3146B621" w14:textId="3CA6EA1D" w:rsidR="00B86D60" w:rsidRPr="002B33DF" w:rsidRDefault="002B33DF" w:rsidP="007F327F">
            <w:pPr>
              <w:pStyle w:val="Bullet"/>
              <w:rPr>
                <w:lang w:eastAsia="en-US"/>
              </w:rPr>
            </w:pPr>
            <w:r w:rsidRPr="00CA1FB4">
              <w:rPr>
                <w:i/>
              </w:rPr>
              <w:t>Private Health Insurance (Prudential Supervision) Act 2015.</w:t>
            </w:r>
          </w:p>
        </w:tc>
        <w:tc>
          <w:tcPr>
            <w:tcW w:w="3276" w:type="dxa"/>
            <w:tcBorders>
              <w:top w:val="single" w:sz="4" w:space="0" w:color="auto"/>
              <w:left w:val="single" w:sz="4" w:space="0" w:color="auto"/>
              <w:bottom w:val="single" w:sz="4" w:space="0" w:color="auto"/>
              <w:right w:val="single" w:sz="4" w:space="0" w:color="auto"/>
            </w:tcBorders>
          </w:tcPr>
          <w:p w14:paraId="00C5E6FC" w14:textId="4BA8532D" w:rsidR="00B86D60" w:rsidRPr="002B33DF" w:rsidRDefault="00A27852" w:rsidP="00C566CE">
            <w:pPr>
              <w:pStyle w:val="tabletext"/>
              <w:spacing w:line="256" w:lineRule="auto"/>
              <w:rPr>
                <w:lang w:val="en-US" w:eastAsia="en-US"/>
              </w:rPr>
            </w:pPr>
            <w:r>
              <w:rPr>
                <w:lang w:val="en-US" w:eastAsia="en-US"/>
              </w:rPr>
              <w:t xml:space="preserve">It is not an offence to use the term </w:t>
            </w:r>
            <w:r w:rsidR="007B0D05">
              <w:rPr>
                <w:lang w:val="en-US" w:eastAsia="en-US"/>
              </w:rPr>
              <w:t>insurer</w:t>
            </w:r>
            <w:r>
              <w:rPr>
                <w:lang w:val="en-US" w:eastAsia="en-US"/>
              </w:rPr>
              <w:t xml:space="preserve"> in relation to a</w:t>
            </w:r>
            <w:r w:rsidR="007B0D05">
              <w:rPr>
                <w:lang w:val="en-US" w:eastAsia="en-US"/>
              </w:rPr>
              <w:t xml:space="preserve"> person who is not appropriately authori</w:t>
            </w:r>
            <w:r w:rsidR="00C566CE">
              <w:rPr>
                <w:lang w:val="en-US" w:eastAsia="en-US"/>
              </w:rPr>
              <w:t>s</w:t>
            </w:r>
            <w:r w:rsidR="007B0D05">
              <w:rPr>
                <w:lang w:val="en-US" w:eastAsia="en-US"/>
              </w:rPr>
              <w:t xml:space="preserve">ed or registered as an insurer. </w:t>
            </w:r>
          </w:p>
        </w:tc>
      </w:tr>
    </w:tbl>
    <w:p w14:paraId="6BDF9556" w14:textId="77777777" w:rsidR="00B17774" w:rsidRDefault="00B17774" w:rsidP="00B17774">
      <w:pPr>
        <w:pStyle w:val="Heading2"/>
      </w:pPr>
      <w:r>
        <w:t>Detailed explanation of new law</w:t>
      </w:r>
    </w:p>
    <w:p w14:paraId="38C486BF" w14:textId="66DBE029" w:rsidR="00B13733" w:rsidRDefault="00A901F1" w:rsidP="00B13733">
      <w:pPr>
        <w:pStyle w:val="base-text-paragraph"/>
        <w:numPr>
          <w:ilvl w:val="1"/>
          <w:numId w:val="44"/>
        </w:numPr>
      </w:pPr>
      <w:proofErr w:type="gramStart"/>
      <w:r w:rsidRPr="00A1493A">
        <w:t xml:space="preserve">Schedule </w:t>
      </w:r>
      <w:r w:rsidR="00B335D0">
        <w:t>?</w:t>
      </w:r>
      <w:proofErr w:type="gramEnd"/>
      <w:r>
        <w:t xml:space="preserve"> to this </w:t>
      </w:r>
      <w:r w:rsidR="00FE66C4">
        <w:t>Bill creates two new</w:t>
      </w:r>
      <w:r w:rsidR="00DE7576">
        <w:t xml:space="preserve"> strict liability</w:t>
      </w:r>
      <w:r w:rsidR="00FE66C4">
        <w:t xml:space="preserve"> offences, one offence relating to the use of the term ‘insurance’ and </w:t>
      </w:r>
      <w:r w:rsidR="009C55E6">
        <w:t>another</w:t>
      </w:r>
      <w:r w:rsidR="00380963">
        <w:t xml:space="preserve"> </w:t>
      </w:r>
      <w:r w:rsidR="00DE7576">
        <w:t>separate</w:t>
      </w:r>
      <w:r w:rsidR="00FE66C4">
        <w:t xml:space="preserve"> offence relating to the use of the term ‘insurer’. </w:t>
      </w:r>
    </w:p>
    <w:p w14:paraId="2B4D3064" w14:textId="5644532B" w:rsidR="00FE66C4" w:rsidRDefault="00DE7576" w:rsidP="00B13733">
      <w:pPr>
        <w:pStyle w:val="base-text-paragraph"/>
        <w:numPr>
          <w:ilvl w:val="1"/>
          <w:numId w:val="44"/>
        </w:numPr>
      </w:pPr>
      <w:r>
        <w:t xml:space="preserve">The Bill makes it a strict liability </w:t>
      </w:r>
      <w:r w:rsidR="00FE66C4">
        <w:t xml:space="preserve">offence for a person to use the term </w:t>
      </w:r>
      <w:r w:rsidR="00E00666">
        <w:t>‘</w:t>
      </w:r>
      <w:r w:rsidR="00FE66C4">
        <w:t>insurance</w:t>
      </w:r>
      <w:r w:rsidR="00E00666">
        <w:t>’</w:t>
      </w:r>
      <w:r w:rsidR="00FE66C4">
        <w:t xml:space="preserve"> if: </w:t>
      </w:r>
    </w:p>
    <w:p w14:paraId="3FE34103" w14:textId="68832445" w:rsidR="00FE66C4" w:rsidRDefault="00A1493A" w:rsidP="00FE66C4">
      <w:pPr>
        <w:pStyle w:val="dotpoint"/>
      </w:pPr>
      <w:r>
        <w:t xml:space="preserve">the person </w:t>
      </w:r>
      <w:r w:rsidR="00FE66C4">
        <w:t xml:space="preserve">carries on a business or is proposing to carry on a business; </w:t>
      </w:r>
    </w:p>
    <w:p w14:paraId="6C97302A" w14:textId="583EC613" w:rsidR="00FE66C4" w:rsidRDefault="00FE66C4" w:rsidP="00FE66C4">
      <w:pPr>
        <w:pStyle w:val="dotpoint"/>
      </w:pPr>
      <w:r>
        <w:t>the person uses the word insurance to describe (expressly or by implication</w:t>
      </w:r>
      <w:r w:rsidR="009C55E6">
        <w:t>)</w:t>
      </w:r>
      <w:r>
        <w:t xml:space="preserve"> a product or service that the person supplies or proposes to supply, in the course of carrying on the business; </w:t>
      </w:r>
    </w:p>
    <w:p w14:paraId="3F443054" w14:textId="03AE25E0" w:rsidR="00FE66C4" w:rsidRDefault="009C55E6" w:rsidP="00FE66C4">
      <w:pPr>
        <w:pStyle w:val="dotpoint"/>
      </w:pPr>
      <w:r>
        <w:t>t</w:t>
      </w:r>
      <w:r w:rsidR="00FE66C4">
        <w:t xml:space="preserve">he product or service is not insurance; and </w:t>
      </w:r>
    </w:p>
    <w:p w14:paraId="6B0765E6" w14:textId="77777777" w:rsidR="00A9706F" w:rsidRDefault="00FE66C4" w:rsidP="00FE66C4">
      <w:pPr>
        <w:pStyle w:val="dotpoint"/>
      </w:pPr>
      <w:proofErr w:type="gramStart"/>
      <w:r>
        <w:t>it</w:t>
      </w:r>
      <w:proofErr w:type="gramEnd"/>
      <w:r>
        <w:t xml:space="preserve"> is likely in all the circumstances (including the use of the word insurance) that the product or service could</w:t>
      </w:r>
      <w:r w:rsidR="008F62C3">
        <w:t xml:space="preserve"> be</w:t>
      </w:r>
      <w:r>
        <w:t xml:space="preserve"> mistakenly believed to be insurance. </w:t>
      </w:r>
    </w:p>
    <w:p w14:paraId="626CB075" w14:textId="6DB8BAFA" w:rsidR="00C00BBC" w:rsidRPr="00184DCE" w:rsidRDefault="00FE66C4" w:rsidP="005B73CD">
      <w:pPr>
        <w:pStyle w:val="base-text-paragraphnonumbers"/>
      </w:pPr>
      <w:r w:rsidRPr="00DC4DE8">
        <w:rPr>
          <w:rStyle w:val="Referencingstyle"/>
        </w:rPr>
        <w:t>[</w:t>
      </w:r>
      <w:proofErr w:type="gramStart"/>
      <w:r w:rsidRPr="00DC4DE8">
        <w:rPr>
          <w:rStyle w:val="Referencingstyle"/>
        </w:rPr>
        <w:t xml:space="preserve">Schedule </w:t>
      </w:r>
      <w:r w:rsidR="000B1B3E">
        <w:rPr>
          <w:rStyle w:val="Referencingstyle"/>
        </w:rPr>
        <w:t>?</w:t>
      </w:r>
      <w:proofErr w:type="gramEnd"/>
      <w:r w:rsidR="00EC55E3">
        <w:rPr>
          <w:rStyle w:val="Referencingstyle"/>
        </w:rPr>
        <w:t xml:space="preserve">, item </w:t>
      </w:r>
      <w:r w:rsidR="000B1B3E">
        <w:rPr>
          <w:rStyle w:val="Referencingstyle"/>
        </w:rPr>
        <w:t>5</w:t>
      </w:r>
      <w:r w:rsidRPr="00DC4DE8">
        <w:rPr>
          <w:rStyle w:val="Referencingstyle"/>
        </w:rPr>
        <w:t xml:space="preserve">, </w:t>
      </w:r>
      <w:r w:rsidR="00EC55E3">
        <w:rPr>
          <w:rStyle w:val="Referencingstyle"/>
        </w:rPr>
        <w:t>subsection</w:t>
      </w:r>
      <w:r w:rsidR="00DE7576">
        <w:rPr>
          <w:rStyle w:val="Referencingstyle"/>
        </w:rPr>
        <w:t>s</w:t>
      </w:r>
      <w:r w:rsidR="00EC55E3">
        <w:rPr>
          <w:rStyle w:val="Referencingstyle"/>
        </w:rPr>
        <w:t xml:space="preserve"> 114(1)</w:t>
      </w:r>
      <w:r w:rsidR="00DE7576">
        <w:rPr>
          <w:rStyle w:val="Referencingstyle"/>
        </w:rPr>
        <w:t xml:space="preserve"> and (8)</w:t>
      </w:r>
      <w:r w:rsidRPr="00DC4DE8">
        <w:rPr>
          <w:rStyle w:val="Referencingstyle"/>
        </w:rPr>
        <w:t xml:space="preserve"> of the </w:t>
      </w:r>
      <w:r w:rsidR="00EC55E3">
        <w:rPr>
          <w:rStyle w:val="Referencingstyle"/>
        </w:rPr>
        <w:t>Insurance Act 1973</w:t>
      </w:r>
      <w:r w:rsidRPr="00DC4DE8">
        <w:rPr>
          <w:rStyle w:val="Referencingstyle"/>
        </w:rPr>
        <w:t>]</w:t>
      </w:r>
    </w:p>
    <w:p w14:paraId="754D739B" w14:textId="1CD7FBC3" w:rsidR="009C55E6" w:rsidRPr="00380963" w:rsidRDefault="009C55E6" w:rsidP="00EC55E3">
      <w:pPr>
        <w:pStyle w:val="base-text-paragraph"/>
        <w:numPr>
          <w:ilvl w:val="1"/>
          <w:numId w:val="44"/>
        </w:numPr>
        <w:rPr>
          <w:rStyle w:val="Referencingstyle"/>
          <w:b w:val="0"/>
          <w:i w:val="0"/>
          <w:sz w:val="22"/>
        </w:rPr>
      </w:pPr>
      <w:r>
        <w:t xml:space="preserve">The penalty for the offence is 50 penalty units in the case of an individual or 500 penalty units in the case of a body corporate. </w:t>
      </w:r>
      <w:r w:rsidRPr="00DC4DE8">
        <w:rPr>
          <w:rStyle w:val="Referencingstyle"/>
        </w:rPr>
        <w:t xml:space="preserve">[Schedule </w:t>
      </w:r>
      <w:r w:rsidR="000B1B3E">
        <w:rPr>
          <w:rStyle w:val="Referencingstyle"/>
        </w:rPr>
        <w:t>?</w:t>
      </w:r>
      <w:r>
        <w:rPr>
          <w:rStyle w:val="Referencingstyle"/>
        </w:rPr>
        <w:t xml:space="preserve">, item </w:t>
      </w:r>
      <w:r w:rsidR="000B1B3E">
        <w:rPr>
          <w:rStyle w:val="Referencingstyle"/>
        </w:rPr>
        <w:t>5</w:t>
      </w:r>
      <w:r w:rsidRPr="00DC4DE8">
        <w:rPr>
          <w:rStyle w:val="Referencingstyle"/>
        </w:rPr>
        <w:t xml:space="preserve">, </w:t>
      </w:r>
      <w:r>
        <w:rPr>
          <w:rStyle w:val="Referencingstyle"/>
        </w:rPr>
        <w:t>subsection 114(1)</w:t>
      </w:r>
      <w:r w:rsidRPr="00DC4DE8">
        <w:rPr>
          <w:rStyle w:val="Referencingstyle"/>
        </w:rPr>
        <w:t xml:space="preserve"> of the </w:t>
      </w:r>
      <w:r>
        <w:rPr>
          <w:rStyle w:val="Referencingstyle"/>
        </w:rPr>
        <w:t>Insurance Act 1973</w:t>
      </w:r>
      <w:r w:rsidRPr="00DC4DE8">
        <w:rPr>
          <w:rStyle w:val="Referencingstyle"/>
        </w:rPr>
        <w:t>]</w:t>
      </w:r>
    </w:p>
    <w:p w14:paraId="264F2FDB" w14:textId="222E493E" w:rsidR="00380963" w:rsidRDefault="00380963" w:rsidP="008C516E">
      <w:pPr>
        <w:pStyle w:val="base-text-paragraph"/>
        <w:numPr>
          <w:ilvl w:val="1"/>
          <w:numId w:val="44"/>
        </w:numPr>
      </w:pPr>
      <w:r>
        <w:t>The term insurance take</w:t>
      </w:r>
      <w:r w:rsidR="00CC4D3E">
        <w:t>s</w:t>
      </w:r>
      <w:r>
        <w:t xml:space="preserve"> on its ordinary meaning. This will </w:t>
      </w:r>
      <w:r w:rsidR="00CC4D3E">
        <w:t>ensure it remains fit for purpose and</w:t>
      </w:r>
      <w:r w:rsidR="004159AC">
        <w:t xml:space="preserve"> can be interpreted in a way that</w:t>
      </w:r>
      <w:r w:rsidR="00CC4D3E">
        <w:t xml:space="preserve"> achieve</w:t>
      </w:r>
      <w:r w:rsidR="004159AC">
        <w:t>s</w:t>
      </w:r>
      <w:r w:rsidR="00CC4D3E">
        <w:t xml:space="preserve"> the intent of these reforms. </w:t>
      </w:r>
    </w:p>
    <w:p w14:paraId="4CBB278E" w14:textId="5FFC6E90" w:rsidR="00EC55E3" w:rsidRDefault="00DE7576" w:rsidP="00EC55E3">
      <w:pPr>
        <w:pStyle w:val="base-text-paragraph"/>
        <w:numPr>
          <w:ilvl w:val="1"/>
          <w:numId w:val="44"/>
        </w:numPr>
      </w:pPr>
      <w:r>
        <w:t xml:space="preserve">The Bill makes it a strict liability </w:t>
      </w:r>
      <w:r w:rsidR="00EC55E3">
        <w:t xml:space="preserve">offence for a person to use the term </w:t>
      </w:r>
      <w:r w:rsidR="00E00666">
        <w:t>‘</w:t>
      </w:r>
      <w:r w:rsidR="00EC55E3">
        <w:t>insurer</w:t>
      </w:r>
      <w:r w:rsidR="00E00666">
        <w:t>’</w:t>
      </w:r>
      <w:r w:rsidR="00EC55E3">
        <w:t xml:space="preserve"> if: </w:t>
      </w:r>
    </w:p>
    <w:p w14:paraId="5F10B7EE" w14:textId="59AA9992" w:rsidR="000F08E2" w:rsidRDefault="00CC4D3E" w:rsidP="000F08E2">
      <w:pPr>
        <w:pStyle w:val="dotpoint"/>
      </w:pPr>
      <w:r>
        <w:t xml:space="preserve">the person </w:t>
      </w:r>
      <w:r w:rsidR="000F08E2">
        <w:t xml:space="preserve">carries on a business or is proposing to carry on a business; </w:t>
      </w:r>
    </w:p>
    <w:p w14:paraId="1F6D1F39" w14:textId="77777777" w:rsidR="000F08E2" w:rsidRDefault="000F08E2" w:rsidP="000F08E2">
      <w:pPr>
        <w:pStyle w:val="dotpoint"/>
      </w:pPr>
      <w:r>
        <w:t>the person uses the word insurer to describe the person in connection with a product or service that the person supplies, in the course carrying on of the business;</w:t>
      </w:r>
    </w:p>
    <w:p w14:paraId="3853878D" w14:textId="77777777" w:rsidR="000F08E2" w:rsidRDefault="000F08E2" w:rsidP="000F08E2">
      <w:pPr>
        <w:pStyle w:val="dotpoint"/>
      </w:pPr>
      <w:r>
        <w:t xml:space="preserve">it is likely in all the circumstances (including the use of the word insurer) that the product or service could be mistakenly believed to be insurance; and </w:t>
      </w:r>
    </w:p>
    <w:p w14:paraId="234D2379" w14:textId="64C47152" w:rsidR="002B33DF" w:rsidRDefault="000F08E2" w:rsidP="000F08E2">
      <w:pPr>
        <w:pStyle w:val="dotpoint"/>
      </w:pPr>
      <w:r>
        <w:t>either</w:t>
      </w:r>
      <w:r w:rsidR="00F838AB">
        <w:t>:</w:t>
      </w:r>
      <w:r>
        <w:t xml:space="preserve"> </w:t>
      </w:r>
    </w:p>
    <w:p w14:paraId="77840EC0" w14:textId="2AD5F31B" w:rsidR="000F08E2" w:rsidRDefault="000F08E2" w:rsidP="002B33DF">
      <w:pPr>
        <w:pStyle w:val="dotpoint"/>
        <w:numPr>
          <w:ilvl w:val="1"/>
          <w:numId w:val="11"/>
        </w:numPr>
      </w:pPr>
      <w:r>
        <w:t xml:space="preserve">the product or service is not insurance: </w:t>
      </w:r>
    </w:p>
    <w:p w14:paraId="2036D67C" w14:textId="0CE5427C" w:rsidR="000F08E2" w:rsidRDefault="000F08E2" w:rsidP="002B33DF">
      <w:pPr>
        <w:pStyle w:val="dotpoint"/>
        <w:numPr>
          <w:ilvl w:val="1"/>
          <w:numId w:val="11"/>
        </w:numPr>
      </w:pPr>
      <w:r>
        <w:t xml:space="preserve">the person is required to be authorised to carry on an insurance business under the </w:t>
      </w:r>
      <w:r w:rsidRPr="002B33DF">
        <w:rPr>
          <w:i/>
        </w:rPr>
        <w:t>Insurance Act 1973</w:t>
      </w:r>
      <w:r>
        <w:t xml:space="preserve"> but is not so authorised; </w:t>
      </w:r>
    </w:p>
    <w:p w14:paraId="72CF1AE6" w14:textId="5AF95D88" w:rsidR="000F08E2" w:rsidRDefault="000F08E2" w:rsidP="002B33DF">
      <w:pPr>
        <w:pStyle w:val="dotpoint"/>
        <w:numPr>
          <w:ilvl w:val="1"/>
          <w:numId w:val="11"/>
        </w:numPr>
      </w:pPr>
      <w:r>
        <w:t xml:space="preserve">the person is required to be a registered life company under the </w:t>
      </w:r>
      <w:r w:rsidRPr="002B33DF">
        <w:rPr>
          <w:i/>
        </w:rPr>
        <w:t>Life Insurance Act 1995</w:t>
      </w:r>
      <w:r>
        <w:t xml:space="preserve"> but is not so registered; </w:t>
      </w:r>
      <w:r w:rsidR="00CC4D3E">
        <w:t>or</w:t>
      </w:r>
    </w:p>
    <w:p w14:paraId="0E47F12E" w14:textId="64BC9FEB" w:rsidR="000F08E2" w:rsidRDefault="000F08E2" w:rsidP="002B33DF">
      <w:pPr>
        <w:pStyle w:val="dotpoint"/>
        <w:numPr>
          <w:ilvl w:val="1"/>
          <w:numId w:val="11"/>
        </w:numPr>
      </w:pPr>
      <w:proofErr w:type="gramStart"/>
      <w:r>
        <w:t>the</w:t>
      </w:r>
      <w:proofErr w:type="gramEnd"/>
      <w:r>
        <w:t xml:space="preserve"> person is required to be </w:t>
      </w:r>
      <w:r w:rsidR="006915F5">
        <w:t xml:space="preserve">registered </w:t>
      </w:r>
      <w:r w:rsidR="00F70C60">
        <w:t xml:space="preserve">to </w:t>
      </w:r>
      <w:r>
        <w:t xml:space="preserve">carry on a health insurance businesses under the </w:t>
      </w:r>
      <w:r w:rsidRPr="002B33DF">
        <w:rPr>
          <w:i/>
        </w:rPr>
        <w:t xml:space="preserve">Private Health Insurance (Prudential Supervision) Act 2015 </w:t>
      </w:r>
      <w:r>
        <w:t xml:space="preserve">but is not so authorised. </w:t>
      </w:r>
    </w:p>
    <w:p w14:paraId="2E3D2B85" w14:textId="03F102DC" w:rsidR="00EC55E3" w:rsidRPr="00184DCE" w:rsidRDefault="00EC55E3" w:rsidP="0030380B">
      <w:pPr>
        <w:pStyle w:val="base-text-paragraphnonumbers"/>
      </w:pPr>
      <w:r w:rsidRPr="00DC4DE8">
        <w:rPr>
          <w:rStyle w:val="Referencingstyle"/>
        </w:rPr>
        <w:t>[</w:t>
      </w:r>
      <w:proofErr w:type="gramStart"/>
      <w:r w:rsidRPr="00DC4DE8">
        <w:rPr>
          <w:rStyle w:val="Referencingstyle"/>
        </w:rPr>
        <w:t xml:space="preserve">Schedule </w:t>
      </w:r>
      <w:r w:rsidR="00B335D0">
        <w:rPr>
          <w:rStyle w:val="Referencingstyle"/>
        </w:rPr>
        <w:t>?</w:t>
      </w:r>
      <w:proofErr w:type="gramEnd"/>
      <w:r>
        <w:rPr>
          <w:rStyle w:val="Referencingstyle"/>
        </w:rPr>
        <w:t xml:space="preserve">, item </w:t>
      </w:r>
      <w:r w:rsidR="00B335D0">
        <w:rPr>
          <w:rStyle w:val="Referencingstyle"/>
        </w:rPr>
        <w:t>5</w:t>
      </w:r>
      <w:r w:rsidRPr="00DC4DE8">
        <w:rPr>
          <w:rStyle w:val="Referencingstyle"/>
        </w:rPr>
        <w:t xml:space="preserve">, </w:t>
      </w:r>
      <w:r>
        <w:rPr>
          <w:rStyle w:val="Referencingstyle"/>
        </w:rPr>
        <w:t>subsection</w:t>
      </w:r>
      <w:r w:rsidR="00DE7576">
        <w:rPr>
          <w:rStyle w:val="Referencingstyle"/>
        </w:rPr>
        <w:t>s</w:t>
      </w:r>
      <w:r>
        <w:rPr>
          <w:rStyle w:val="Referencingstyle"/>
        </w:rPr>
        <w:t xml:space="preserve"> 114(</w:t>
      </w:r>
      <w:r w:rsidR="00F16D14">
        <w:rPr>
          <w:rStyle w:val="Referencingstyle"/>
        </w:rPr>
        <w:t>2</w:t>
      </w:r>
      <w:r>
        <w:rPr>
          <w:rStyle w:val="Referencingstyle"/>
        </w:rPr>
        <w:t>)</w:t>
      </w:r>
      <w:r w:rsidR="00965730">
        <w:rPr>
          <w:rStyle w:val="Referencingstyle"/>
        </w:rPr>
        <w:t>, (3)</w:t>
      </w:r>
      <w:r w:rsidRPr="00DC4DE8">
        <w:rPr>
          <w:rStyle w:val="Referencingstyle"/>
        </w:rPr>
        <w:t xml:space="preserve"> </w:t>
      </w:r>
      <w:r w:rsidR="00DE7576">
        <w:rPr>
          <w:rStyle w:val="Referencingstyle"/>
        </w:rPr>
        <w:t xml:space="preserve">and (8) </w:t>
      </w:r>
      <w:r w:rsidRPr="00DC4DE8">
        <w:rPr>
          <w:rStyle w:val="Referencingstyle"/>
        </w:rPr>
        <w:t xml:space="preserve">of the </w:t>
      </w:r>
      <w:r>
        <w:rPr>
          <w:rStyle w:val="Referencingstyle"/>
        </w:rPr>
        <w:t>Insurance Act 1973</w:t>
      </w:r>
      <w:r w:rsidRPr="00DC4DE8">
        <w:rPr>
          <w:rStyle w:val="Referencingstyle"/>
        </w:rPr>
        <w:t>]</w:t>
      </w:r>
    </w:p>
    <w:p w14:paraId="398F886B" w14:textId="206ED5B0" w:rsidR="00F16D14" w:rsidRDefault="00F16D14" w:rsidP="008C516E">
      <w:pPr>
        <w:pStyle w:val="base-text-paragraph"/>
        <w:numPr>
          <w:ilvl w:val="1"/>
          <w:numId w:val="7"/>
        </w:numPr>
      </w:pPr>
      <w:r>
        <w:t>The penalty for the offence is 50 penalty units in the case of an individual or 500 penalty units in the case of a body corporate.</w:t>
      </w:r>
      <w:r w:rsidRPr="00DC4DE8">
        <w:rPr>
          <w:rStyle w:val="Referencingstyle"/>
        </w:rPr>
        <w:t xml:space="preserve">[Schedule </w:t>
      </w:r>
      <w:r w:rsidR="000B1B3E">
        <w:rPr>
          <w:rStyle w:val="Referencingstyle"/>
        </w:rPr>
        <w:t>?</w:t>
      </w:r>
      <w:r>
        <w:rPr>
          <w:rStyle w:val="Referencingstyle"/>
        </w:rPr>
        <w:t xml:space="preserve">, item </w:t>
      </w:r>
      <w:r w:rsidR="00B335D0">
        <w:rPr>
          <w:rStyle w:val="Referencingstyle"/>
        </w:rPr>
        <w:t>5</w:t>
      </w:r>
      <w:r w:rsidRPr="00DC4DE8">
        <w:rPr>
          <w:rStyle w:val="Referencingstyle"/>
        </w:rPr>
        <w:t xml:space="preserve">, </w:t>
      </w:r>
      <w:r>
        <w:rPr>
          <w:rStyle w:val="Referencingstyle"/>
        </w:rPr>
        <w:t>subsection 114(2)</w:t>
      </w:r>
      <w:r w:rsidRPr="00DC4DE8">
        <w:rPr>
          <w:rStyle w:val="Referencingstyle"/>
        </w:rPr>
        <w:t xml:space="preserve"> of the </w:t>
      </w:r>
      <w:r>
        <w:rPr>
          <w:rStyle w:val="Referencingstyle"/>
        </w:rPr>
        <w:t>Insurance Act 1973</w:t>
      </w:r>
      <w:r w:rsidRPr="00DC4DE8">
        <w:rPr>
          <w:rStyle w:val="Referencingstyle"/>
        </w:rPr>
        <w:t>]</w:t>
      </w:r>
    </w:p>
    <w:p w14:paraId="00BD86D1" w14:textId="65248D84" w:rsidR="00B13733" w:rsidRPr="009C55E6" w:rsidRDefault="00EC55E3" w:rsidP="00B13733">
      <w:pPr>
        <w:pStyle w:val="base-text-paragraph"/>
        <w:numPr>
          <w:ilvl w:val="1"/>
          <w:numId w:val="7"/>
        </w:numPr>
        <w:rPr>
          <w:rStyle w:val="Referencingstyle"/>
          <w:b w:val="0"/>
          <w:i w:val="0"/>
          <w:sz w:val="22"/>
        </w:rPr>
      </w:pPr>
      <w:r>
        <w:t xml:space="preserve">The offences do </w:t>
      </w:r>
      <w:r w:rsidR="009C55E6">
        <w:t>not apply to government entities</w:t>
      </w:r>
      <w:r>
        <w:t xml:space="preserve">. While government entities are not prudentially regulated by APRA, government entities </w:t>
      </w:r>
      <w:r w:rsidR="00F16D14">
        <w:t xml:space="preserve">are generally </w:t>
      </w:r>
      <w:r>
        <w:t xml:space="preserve">financially supported by government and therefore products issued by government entities do not suffer from the same vulnerability as products issued by the private sector. </w:t>
      </w:r>
      <w:r w:rsidR="00F16D14">
        <w:t xml:space="preserve">Therefore it </w:t>
      </w:r>
      <w:r w:rsidR="003406A3">
        <w:t>is</w:t>
      </w:r>
      <w:r w:rsidR="00F16D14">
        <w:t xml:space="preserve"> less likely for confus</w:t>
      </w:r>
      <w:r w:rsidR="003406A3">
        <w:t>ion</w:t>
      </w:r>
      <w:r w:rsidR="00F16D14">
        <w:t xml:space="preserve"> to result in relation to products issued by government entities. </w:t>
      </w:r>
      <w:r w:rsidRPr="00DC4DE8">
        <w:rPr>
          <w:rStyle w:val="Referencingstyle"/>
        </w:rPr>
        <w:t xml:space="preserve">[Schedule </w:t>
      </w:r>
      <w:r w:rsidR="00B335D0">
        <w:rPr>
          <w:rStyle w:val="Referencingstyle"/>
        </w:rPr>
        <w:t>?</w:t>
      </w:r>
      <w:r>
        <w:rPr>
          <w:rStyle w:val="Referencingstyle"/>
        </w:rPr>
        <w:t xml:space="preserve">, item </w:t>
      </w:r>
      <w:r w:rsidR="00B335D0">
        <w:rPr>
          <w:rStyle w:val="Referencingstyle"/>
        </w:rPr>
        <w:t>5</w:t>
      </w:r>
      <w:r w:rsidRPr="00DC4DE8">
        <w:rPr>
          <w:rStyle w:val="Referencingstyle"/>
        </w:rPr>
        <w:t xml:space="preserve">, </w:t>
      </w:r>
      <w:r w:rsidR="00CC4D3E">
        <w:rPr>
          <w:rStyle w:val="Referencingstyle"/>
        </w:rPr>
        <w:t>paragraph</w:t>
      </w:r>
      <w:r>
        <w:rPr>
          <w:rStyle w:val="Referencingstyle"/>
        </w:rPr>
        <w:t xml:space="preserve"> 114(</w:t>
      </w:r>
      <w:r w:rsidR="00F16D14">
        <w:rPr>
          <w:rStyle w:val="Referencingstyle"/>
        </w:rPr>
        <w:t>4</w:t>
      </w:r>
      <w:r>
        <w:rPr>
          <w:rStyle w:val="Referencingstyle"/>
        </w:rPr>
        <w:t>)</w:t>
      </w:r>
      <w:r w:rsidR="00CC4D3E">
        <w:rPr>
          <w:rStyle w:val="Referencingstyle"/>
        </w:rPr>
        <w:t>(a)</w:t>
      </w:r>
      <w:r w:rsidRPr="00DC4DE8">
        <w:rPr>
          <w:rStyle w:val="Referencingstyle"/>
        </w:rPr>
        <w:t xml:space="preserve"> of the </w:t>
      </w:r>
      <w:r>
        <w:rPr>
          <w:rStyle w:val="Referencingstyle"/>
        </w:rPr>
        <w:t>Insurance Act 1973</w:t>
      </w:r>
      <w:r w:rsidRPr="00DC4DE8">
        <w:rPr>
          <w:rStyle w:val="Referencingstyle"/>
        </w:rPr>
        <w:t>]</w:t>
      </w:r>
    </w:p>
    <w:p w14:paraId="7522DA06" w14:textId="6AD345D5" w:rsidR="009C55E6" w:rsidRDefault="009C55E6" w:rsidP="00B13733">
      <w:pPr>
        <w:pStyle w:val="base-text-paragraph"/>
        <w:numPr>
          <w:ilvl w:val="1"/>
          <w:numId w:val="7"/>
        </w:numPr>
      </w:pPr>
      <w:r>
        <w:t>A</w:t>
      </w:r>
      <w:r w:rsidR="00065DA3">
        <w:t>n entity is a</w:t>
      </w:r>
      <w:r>
        <w:t xml:space="preserve"> government entity </w:t>
      </w:r>
      <w:r w:rsidR="00065DA3">
        <w:t>if it is a</w:t>
      </w:r>
      <w:r>
        <w:t xml:space="preserve"> </w:t>
      </w:r>
      <w:r w:rsidR="00375CDF">
        <w:t>D</w:t>
      </w:r>
      <w:r>
        <w:t xml:space="preserve">epartment of </w:t>
      </w:r>
      <w:r w:rsidR="00375CDF">
        <w:t>S</w:t>
      </w:r>
      <w:r w:rsidR="00965730">
        <w:t>tate of</w:t>
      </w:r>
      <w:r>
        <w:t xml:space="preserve"> </w:t>
      </w:r>
      <w:r w:rsidR="008B6AE1">
        <w:t xml:space="preserve">the </w:t>
      </w:r>
      <w:r>
        <w:t>Commonwealth</w:t>
      </w:r>
      <w:r w:rsidR="00375CDF">
        <w:t xml:space="preserve">, a State, or a </w:t>
      </w:r>
      <w:r>
        <w:t xml:space="preserve">Territory, a </w:t>
      </w:r>
      <w:r w:rsidR="00483C65">
        <w:t>D</w:t>
      </w:r>
      <w:r>
        <w:t xml:space="preserve">epartment of the Parliament, an </w:t>
      </w:r>
      <w:r w:rsidR="00375CDF">
        <w:t>E</w:t>
      </w:r>
      <w:r>
        <w:t xml:space="preserve">xecutive or </w:t>
      </w:r>
      <w:r w:rsidR="00375CDF">
        <w:t>S</w:t>
      </w:r>
      <w:r>
        <w:t xml:space="preserve">tatutory </w:t>
      </w:r>
      <w:r w:rsidR="00375CDF">
        <w:t>A</w:t>
      </w:r>
      <w:r>
        <w:t>gency</w:t>
      </w:r>
      <w:r w:rsidR="00375CDF">
        <w:t>,</w:t>
      </w:r>
      <w:r>
        <w:t xml:space="preserve"> or an entity that is established for a public purpose by a law of the Commonwealth, a State or a Territory.</w:t>
      </w:r>
      <w:r w:rsidR="008B6AE1">
        <w:t xml:space="preserve"> </w:t>
      </w:r>
      <w:r w:rsidRPr="00DC4DE8">
        <w:rPr>
          <w:rStyle w:val="Referencingstyle"/>
        </w:rPr>
        <w:t xml:space="preserve">[Schedule </w:t>
      </w:r>
      <w:r w:rsidR="00B335D0">
        <w:rPr>
          <w:rStyle w:val="Referencingstyle"/>
        </w:rPr>
        <w:t>?, items 1 and 5</w:t>
      </w:r>
      <w:r w:rsidRPr="00DC4DE8">
        <w:rPr>
          <w:rStyle w:val="Referencingstyle"/>
        </w:rPr>
        <w:t xml:space="preserve">, </w:t>
      </w:r>
      <w:r w:rsidR="00065DA3">
        <w:rPr>
          <w:rStyle w:val="Referencingstyle"/>
        </w:rPr>
        <w:t xml:space="preserve">the definition of ‘government entity’ in </w:t>
      </w:r>
      <w:r>
        <w:rPr>
          <w:rStyle w:val="Referencingstyle"/>
        </w:rPr>
        <w:t>subsection</w:t>
      </w:r>
      <w:r w:rsidR="00065DA3">
        <w:rPr>
          <w:rStyle w:val="Referencingstyle"/>
        </w:rPr>
        <w:t>s</w:t>
      </w:r>
      <w:r w:rsidR="00D87B01">
        <w:rPr>
          <w:rStyle w:val="Referencingstyle"/>
        </w:rPr>
        <w:t xml:space="preserve"> 3(1) </w:t>
      </w:r>
      <w:r w:rsidR="00065DA3">
        <w:rPr>
          <w:rStyle w:val="Referencingstyle"/>
        </w:rPr>
        <w:t xml:space="preserve">and </w:t>
      </w:r>
      <w:r>
        <w:rPr>
          <w:rStyle w:val="Referencingstyle"/>
        </w:rPr>
        <w:t>114(5)</w:t>
      </w:r>
      <w:r w:rsidRPr="00DC4DE8">
        <w:rPr>
          <w:rStyle w:val="Referencingstyle"/>
        </w:rPr>
        <w:t xml:space="preserve"> of the </w:t>
      </w:r>
      <w:r>
        <w:rPr>
          <w:rStyle w:val="Referencingstyle"/>
        </w:rPr>
        <w:t>Insurance Act 1973</w:t>
      </w:r>
      <w:r w:rsidRPr="00DC4DE8">
        <w:rPr>
          <w:rStyle w:val="Referencingstyle"/>
        </w:rPr>
        <w:t>]</w:t>
      </w:r>
    </w:p>
    <w:p w14:paraId="2E5C107F" w14:textId="10689E75" w:rsidR="00F16D14" w:rsidRDefault="00EC55E3" w:rsidP="00F16D14">
      <w:pPr>
        <w:pStyle w:val="base-text-paragraph"/>
        <w:numPr>
          <w:ilvl w:val="1"/>
          <w:numId w:val="7"/>
        </w:numPr>
      </w:pPr>
      <w:r>
        <w:t>ASIC may</w:t>
      </w:r>
      <w:r w:rsidR="00375CDF">
        <w:t>,</w:t>
      </w:r>
      <w:r>
        <w:t xml:space="preserve"> by legislative instrument</w:t>
      </w:r>
      <w:r w:rsidR="00375CDF">
        <w:t>,</w:t>
      </w:r>
      <w:r>
        <w:t xml:space="preserve"> determine that the offences do not apply to a specific person or a class of person</w:t>
      </w:r>
      <w:r w:rsidR="00F16D14">
        <w:t>s</w:t>
      </w:r>
      <w:r>
        <w:t>.</w:t>
      </w:r>
      <w:r w:rsidR="00F16D14">
        <w:t xml:space="preserve"> </w:t>
      </w:r>
      <w:r w:rsidR="009A5D3F">
        <w:t>The terms ‘insurance’ and ‘insurer’ are used in relation to a</w:t>
      </w:r>
      <w:r w:rsidR="00F16D14">
        <w:t xml:space="preserve"> wide variety of </w:t>
      </w:r>
      <w:r w:rsidR="009A5D3F">
        <w:t>products in various circumstances. Therefore to ensure that the regime operates as intended and does not result in unintended consequences</w:t>
      </w:r>
      <w:r w:rsidR="00965730">
        <w:t>,</w:t>
      </w:r>
      <w:r w:rsidR="009A5D3F">
        <w:t xml:space="preserve"> ASIC has the ability to exempt a specific person or a cl</w:t>
      </w:r>
      <w:r w:rsidR="00D87B01">
        <w:t>ass of person from the offences</w:t>
      </w:r>
      <w:r w:rsidR="00965730">
        <w:t>.</w:t>
      </w:r>
      <w:r w:rsidR="00F16D14">
        <w:t xml:space="preserve"> </w:t>
      </w:r>
      <w:r w:rsidR="00F16D14" w:rsidRPr="00DC4DE8">
        <w:rPr>
          <w:rStyle w:val="Referencingstyle"/>
        </w:rPr>
        <w:t xml:space="preserve">[Schedule </w:t>
      </w:r>
      <w:r w:rsidR="00B335D0">
        <w:rPr>
          <w:rStyle w:val="Referencingstyle"/>
        </w:rPr>
        <w:t>?</w:t>
      </w:r>
      <w:r w:rsidR="00F16D14">
        <w:rPr>
          <w:rStyle w:val="Referencingstyle"/>
        </w:rPr>
        <w:t xml:space="preserve">, item </w:t>
      </w:r>
      <w:r w:rsidR="00B335D0">
        <w:rPr>
          <w:rStyle w:val="Referencingstyle"/>
        </w:rPr>
        <w:t>5</w:t>
      </w:r>
      <w:r w:rsidR="00F16D14" w:rsidRPr="00DC4DE8">
        <w:rPr>
          <w:rStyle w:val="Referencingstyle"/>
        </w:rPr>
        <w:t xml:space="preserve">, </w:t>
      </w:r>
      <w:r w:rsidR="00DD7164">
        <w:rPr>
          <w:rStyle w:val="Referencingstyle"/>
        </w:rPr>
        <w:t xml:space="preserve">paragraph 114(4)(b) and </w:t>
      </w:r>
      <w:r w:rsidR="00F16D14">
        <w:rPr>
          <w:rStyle w:val="Referencingstyle"/>
        </w:rPr>
        <w:t xml:space="preserve">subsection 114(6) </w:t>
      </w:r>
      <w:r w:rsidR="00F16D14" w:rsidRPr="00DC4DE8">
        <w:rPr>
          <w:rStyle w:val="Referencingstyle"/>
        </w:rPr>
        <w:t xml:space="preserve">of the </w:t>
      </w:r>
      <w:r w:rsidR="00F16D14">
        <w:rPr>
          <w:rStyle w:val="Referencingstyle"/>
        </w:rPr>
        <w:t>Insurance Act 1973</w:t>
      </w:r>
      <w:r w:rsidR="00F16D14" w:rsidRPr="00DC4DE8">
        <w:rPr>
          <w:rStyle w:val="Referencingstyle"/>
        </w:rPr>
        <w:t>]</w:t>
      </w:r>
    </w:p>
    <w:p w14:paraId="22510E99" w14:textId="746C143A" w:rsidR="00EC55E3" w:rsidRPr="009A5D3F" w:rsidRDefault="00965730" w:rsidP="00B13733">
      <w:pPr>
        <w:pStyle w:val="base-text-paragraph"/>
        <w:numPr>
          <w:ilvl w:val="1"/>
          <w:numId w:val="7"/>
        </w:numPr>
        <w:rPr>
          <w:rStyle w:val="Referencingstyle"/>
          <w:b w:val="0"/>
          <w:i w:val="0"/>
          <w:sz w:val="22"/>
        </w:rPr>
      </w:pPr>
      <w:r>
        <w:t xml:space="preserve">The determination </w:t>
      </w:r>
      <w:r w:rsidR="004F01FD">
        <w:t xml:space="preserve">by ASIC to exempt a specific person or class of person from the offences </w:t>
      </w:r>
      <w:r>
        <w:t xml:space="preserve">may be subject to conditions. </w:t>
      </w:r>
      <w:r w:rsidR="004F01FD">
        <w:t xml:space="preserve">ASIC may </w:t>
      </w:r>
      <w:r w:rsidR="00BE5BD9">
        <w:t xml:space="preserve">revoke or </w:t>
      </w:r>
      <w:r w:rsidR="004F01FD">
        <w:t xml:space="preserve">vary the determination. However </w:t>
      </w:r>
      <w:r w:rsidR="009C55E6">
        <w:t>ASIC must not revoke or vary a determination in relation to a specific person unless ASIC has notified the person in writing that it is considering revoking or varying the determination.</w:t>
      </w:r>
      <w:r w:rsidR="00EC55E3">
        <w:t xml:space="preserve"> </w:t>
      </w:r>
      <w:r w:rsidR="009C55E6" w:rsidRPr="00DC4DE8">
        <w:rPr>
          <w:rStyle w:val="Referencingstyle"/>
        </w:rPr>
        <w:t xml:space="preserve">[Schedule </w:t>
      </w:r>
      <w:r w:rsidR="00B335D0">
        <w:rPr>
          <w:rStyle w:val="Referencingstyle"/>
        </w:rPr>
        <w:t>?</w:t>
      </w:r>
      <w:r w:rsidR="009C55E6">
        <w:rPr>
          <w:rStyle w:val="Referencingstyle"/>
        </w:rPr>
        <w:t xml:space="preserve">, item </w:t>
      </w:r>
      <w:r w:rsidR="00B335D0">
        <w:rPr>
          <w:rStyle w:val="Referencingstyle"/>
        </w:rPr>
        <w:t>5</w:t>
      </w:r>
      <w:r w:rsidR="009C55E6" w:rsidRPr="00DC4DE8">
        <w:rPr>
          <w:rStyle w:val="Referencingstyle"/>
        </w:rPr>
        <w:t xml:space="preserve">, </w:t>
      </w:r>
      <w:r w:rsidR="009C55E6">
        <w:rPr>
          <w:rStyle w:val="Referencingstyle"/>
        </w:rPr>
        <w:t>subsection</w:t>
      </w:r>
      <w:r w:rsidR="004F01FD">
        <w:rPr>
          <w:rStyle w:val="Referencingstyle"/>
        </w:rPr>
        <w:t>s</w:t>
      </w:r>
      <w:r w:rsidR="009C55E6">
        <w:rPr>
          <w:rStyle w:val="Referencingstyle"/>
        </w:rPr>
        <w:t xml:space="preserve"> 114</w:t>
      </w:r>
      <w:r w:rsidR="004F01FD">
        <w:rPr>
          <w:rStyle w:val="Referencingstyle"/>
        </w:rPr>
        <w:t xml:space="preserve">(6) and </w:t>
      </w:r>
      <w:r w:rsidR="009C55E6">
        <w:rPr>
          <w:rStyle w:val="Referencingstyle"/>
        </w:rPr>
        <w:t>(7)</w:t>
      </w:r>
      <w:r w:rsidR="009C55E6" w:rsidRPr="00DC4DE8">
        <w:rPr>
          <w:rStyle w:val="Referencingstyle"/>
        </w:rPr>
        <w:t xml:space="preserve"> of the </w:t>
      </w:r>
      <w:r w:rsidR="009C55E6">
        <w:rPr>
          <w:rStyle w:val="Referencingstyle"/>
        </w:rPr>
        <w:t>Insurance Act 1973</w:t>
      </w:r>
      <w:r w:rsidR="009C55E6" w:rsidRPr="00DC4DE8">
        <w:rPr>
          <w:rStyle w:val="Referencingstyle"/>
        </w:rPr>
        <w:t>]</w:t>
      </w:r>
    </w:p>
    <w:p w14:paraId="33B82C7C" w14:textId="26B95161" w:rsidR="006F3160" w:rsidRPr="006F3160" w:rsidRDefault="006F3160" w:rsidP="00B13733">
      <w:pPr>
        <w:pStyle w:val="base-text-paragraph"/>
        <w:numPr>
          <w:ilvl w:val="1"/>
          <w:numId w:val="7"/>
        </w:numPr>
        <w:rPr>
          <w:rStyle w:val="Referencingstyle"/>
          <w:b w:val="0"/>
          <w:i w:val="0"/>
          <w:sz w:val="22"/>
        </w:rPr>
      </w:pPr>
      <w:r>
        <w:t xml:space="preserve">The regulations can prescribe that the offences do not apply to certain products and services. The terms ‘insurance’ and ‘insurer’ are used in relation to a wide variety of products in various circumstances. Therefore to ensure that the regime operates as intended and does not result in unintended consequences, the regulations have the ability to exempt certain products or services. As the exemption of a certain type of product or service is a more </w:t>
      </w:r>
      <w:r w:rsidR="008B6AE1">
        <w:t>substantial</w:t>
      </w:r>
      <w:r>
        <w:t xml:space="preserve"> exclusion, the power is granted to regulations to ensure greater </w:t>
      </w:r>
      <w:r w:rsidR="009C02B6">
        <w:t>scrutiny</w:t>
      </w:r>
      <w:r>
        <w:t xml:space="preserve">. </w:t>
      </w:r>
      <w:r w:rsidRPr="00DC4DE8">
        <w:rPr>
          <w:rStyle w:val="Referencingstyle"/>
        </w:rPr>
        <w:t xml:space="preserve">[Schedule </w:t>
      </w:r>
      <w:r w:rsidR="00B335D0">
        <w:rPr>
          <w:rStyle w:val="Referencingstyle"/>
        </w:rPr>
        <w:t>?</w:t>
      </w:r>
      <w:r>
        <w:rPr>
          <w:rStyle w:val="Referencingstyle"/>
        </w:rPr>
        <w:t xml:space="preserve">, item </w:t>
      </w:r>
      <w:r w:rsidR="00B335D0">
        <w:rPr>
          <w:rStyle w:val="Referencingstyle"/>
        </w:rPr>
        <w:t>5</w:t>
      </w:r>
      <w:r w:rsidRPr="00DC4DE8">
        <w:rPr>
          <w:rStyle w:val="Referencingstyle"/>
        </w:rPr>
        <w:t xml:space="preserve">, </w:t>
      </w:r>
      <w:r>
        <w:rPr>
          <w:rStyle w:val="Referencingstyle"/>
        </w:rPr>
        <w:t>paragraph 114(4)(c)</w:t>
      </w:r>
      <w:r w:rsidRPr="00DC4DE8">
        <w:rPr>
          <w:rStyle w:val="Referencingstyle"/>
        </w:rPr>
        <w:t xml:space="preserve"> of the </w:t>
      </w:r>
      <w:r>
        <w:rPr>
          <w:rStyle w:val="Referencingstyle"/>
        </w:rPr>
        <w:t>Insurance Act 1973</w:t>
      </w:r>
      <w:r w:rsidRPr="00DC4DE8">
        <w:rPr>
          <w:rStyle w:val="Referencingstyle"/>
        </w:rPr>
        <w:t>]</w:t>
      </w:r>
    </w:p>
    <w:p w14:paraId="54137ECD" w14:textId="38106D0E" w:rsidR="006F3160" w:rsidRDefault="006F3160" w:rsidP="00B13733">
      <w:pPr>
        <w:pStyle w:val="base-text-paragraph"/>
        <w:numPr>
          <w:ilvl w:val="1"/>
          <w:numId w:val="7"/>
        </w:numPr>
      </w:pPr>
      <w:r>
        <w:t>The offences do not apply to State insurance (within the meaning of paragraph 51(xiv) of the Constitution</w:t>
      </w:r>
      <w:r w:rsidR="00BE5BD9">
        <w:t>)</w:t>
      </w:r>
      <w:r>
        <w:t xml:space="preserve">. </w:t>
      </w:r>
      <w:r w:rsidRPr="00DC4DE8">
        <w:rPr>
          <w:rStyle w:val="Referencingstyle"/>
        </w:rPr>
        <w:t xml:space="preserve">[Schedule </w:t>
      </w:r>
      <w:r w:rsidR="00B335D0">
        <w:rPr>
          <w:rStyle w:val="Referencingstyle"/>
        </w:rPr>
        <w:t>?</w:t>
      </w:r>
      <w:r>
        <w:rPr>
          <w:rStyle w:val="Referencingstyle"/>
        </w:rPr>
        <w:t xml:space="preserve">, item </w:t>
      </w:r>
      <w:r w:rsidR="00B335D0">
        <w:rPr>
          <w:rStyle w:val="Referencingstyle"/>
        </w:rPr>
        <w:t>5</w:t>
      </w:r>
      <w:r w:rsidRPr="00DC4DE8">
        <w:rPr>
          <w:rStyle w:val="Referencingstyle"/>
        </w:rPr>
        <w:t xml:space="preserve">, </w:t>
      </w:r>
      <w:r>
        <w:rPr>
          <w:rStyle w:val="Referencingstyle"/>
        </w:rPr>
        <w:t>paragraph 114(4)(d)</w:t>
      </w:r>
      <w:r w:rsidRPr="00DC4DE8">
        <w:rPr>
          <w:rStyle w:val="Referencingstyle"/>
        </w:rPr>
        <w:t xml:space="preserve"> of the </w:t>
      </w:r>
      <w:r>
        <w:rPr>
          <w:rStyle w:val="Referencingstyle"/>
        </w:rPr>
        <w:t>Insurance Act 1973</w:t>
      </w:r>
      <w:r w:rsidRPr="00DC4DE8">
        <w:rPr>
          <w:rStyle w:val="Referencingstyle"/>
        </w:rPr>
        <w:t>]</w:t>
      </w:r>
    </w:p>
    <w:p w14:paraId="40F51913" w14:textId="5E69320B" w:rsidR="009A5D3F" w:rsidRPr="006F3160" w:rsidRDefault="009A5D3F" w:rsidP="00B13733">
      <w:pPr>
        <w:pStyle w:val="base-text-paragraph"/>
        <w:numPr>
          <w:ilvl w:val="1"/>
          <w:numId w:val="7"/>
        </w:numPr>
        <w:rPr>
          <w:rStyle w:val="Referencingstyle"/>
          <w:b w:val="0"/>
          <w:i w:val="0"/>
          <w:sz w:val="22"/>
        </w:rPr>
      </w:pPr>
      <w:r>
        <w:t xml:space="preserve">Amendments are made to the administration of the </w:t>
      </w:r>
      <w:r w:rsidR="00965730">
        <w:rPr>
          <w:i/>
        </w:rPr>
        <w:t>Insurance Act 1973</w:t>
      </w:r>
      <w:r>
        <w:t xml:space="preserve"> to make ASIC responsible for the enforcement of the offences</w:t>
      </w:r>
      <w:r w:rsidR="00065DA3">
        <w:t xml:space="preserve"> as the offences</w:t>
      </w:r>
      <w:r w:rsidR="004241CF">
        <w:t xml:space="preserve"> </w:t>
      </w:r>
      <w:r>
        <w:t>are intended</w:t>
      </w:r>
      <w:r w:rsidR="004241CF">
        <w:t xml:space="preserve"> to operate</w:t>
      </w:r>
      <w:r>
        <w:t xml:space="preserve"> as a consumer protection measure</w:t>
      </w:r>
      <w:r w:rsidR="009C02B6">
        <w:t>.</w:t>
      </w:r>
      <w:r>
        <w:t xml:space="preserve"> </w:t>
      </w:r>
      <w:r w:rsidRPr="00DC4DE8">
        <w:rPr>
          <w:rStyle w:val="Referencingstyle"/>
        </w:rPr>
        <w:t xml:space="preserve">[Schedule </w:t>
      </w:r>
      <w:r w:rsidR="00B335D0">
        <w:rPr>
          <w:rStyle w:val="Referencingstyle"/>
        </w:rPr>
        <w:t>?</w:t>
      </w:r>
      <w:r>
        <w:rPr>
          <w:rStyle w:val="Referencingstyle"/>
        </w:rPr>
        <w:t>, item</w:t>
      </w:r>
      <w:r w:rsidR="006A387F">
        <w:rPr>
          <w:rStyle w:val="Referencingstyle"/>
        </w:rPr>
        <w:t>s</w:t>
      </w:r>
      <w:r>
        <w:rPr>
          <w:rStyle w:val="Referencingstyle"/>
        </w:rPr>
        <w:t xml:space="preserve"> </w:t>
      </w:r>
      <w:r w:rsidR="00A27852">
        <w:rPr>
          <w:rStyle w:val="Referencingstyle"/>
        </w:rPr>
        <w:t xml:space="preserve">2 to </w:t>
      </w:r>
      <w:r w:rsidR="006A387F">
        <w:rPr>
          <w:rStyle w:val="Referencingstyle"/>
        </w:rPr>
        <w:t>4</w:t>
      </w:r>
      <w:r w:rsidRPr="00DC4DE8">
        <w:rPr>
          <w:rStyle w:val="Referencingstyle"/>
        </w:rPr>
        <w:t xml:space="preserve">, </w:t>
      </w:r>
      <w:r>
        <w:rPr>
          <w:rStyle w:val="Referencingstyle"/>
        </w:rPr>
        <w:t>section 8</w:t>
      </w:r>
      <w:r w:rsidRPr="00DC4DE8">
        <w:rPr>
          <w:rStyle w:val="Referencingstyle"/>
        </w:rPr>
        <w:t xml:space="preserve"> of the </w:t>
      </w:r>
      <w:r>
        <w:rPr>
          <w:rStyle w:val="Referencingstyle"/>
        </w:rPr>
        <w:t>Insurance Act 1973</w:t>
      </w:r>
      <w:r w:rsidRPr="00DC4DE8">
        <w:rPr>
          <w:rStyle w:val="Referencingstyle"/>
        </w:rPr>
        <w:t>]</w:t>
      </w:r>
    </w:p>
    <w:p w14:paraId="64AD7D16" w14:textId="77777777" w:rsidR="00B17774" w:rsidRDefault="00B17774" w:rsidP="00B17774">
      <w:pPr>
        <w:pStyle w:val="Heading2"/>
      </w:pPr>
      <w:r>
        <w:t>Application and transitional provisions</w:t>
      </w:r>
    </w:p>
    <w:p w14:paraId="3AA94BCF" w14:textId="041D7B50" w:rsidR="00F51A4E" w:rsidRDefault="00B13733" w:rsidP="00D46961">
      <w:pPr>
        <w:pStyle w:val="base-text-paragraph"/>
        <w:numPr>
          <w:ilvl w:val="1"/>
          <w:numId w:val="7"/>
        </w:numPr>
      </w:pPr>
      <w:r w:rsidRPr="00B13733">
        <w:t xml:space="preserve">The amendments </w:t>
      </w:r>
      <w:r w:rsidR="000C1165">
        <w:t>commence on</w:t>
      </w:r>
      <w:r w:rsidR="007C6C12">
        <w:t xml:space="preserve"> the day after Royal Assent.</w:t>
      </w:r>
    </w:p>
    <w:sectPr w:rsidR="00F51A4E" w:rsidSect="00C743D3">
      <w:footerReference w:type="even" r:id="rId30"/>
      <w:footerReference w:type="default" r:id="rId31"/>
      <w:footerReference w:type="first" r:id="rId32"/>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9F160" w14:textId="77777777" w:rsidR="00C1262B" w:rsidRDefault="00C1262B" w:rsidP="00E679CA">
      <w:pPr>
        <w:spacing w:before="0" w:after="0"/>
      </w:pPr>
      <w:r>
        <w:separator/>
      </w:r>
    </w:p>
  </w:endnote>
  <w:endnote w:type="continuationSeparator" w:id="0">
    <w:p w14:paraId="5FCC305C" w14:textId="77777777" w:rsidR="00C1262B" w:rsidRDefault="00C1262B" w:rsidP="00E679CA">
      <w:pPr>
        <w:spacing w:before="0" w:after="0"/>
      </w:pPr>
      <w:r>
        <w:continuationSeparator/>
      </w:r>
    </w:p>
  </w:endnote>
  <w:endnote w:type="continuationNotice" w:id="1">
    <w:p w14:paraId="2F69FAFF" w14:textId="77777777" w:rsidR="00C1262B" w:rsidRDefault="00C1262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1535F" w14:textId="736C6BF1" w:rsidR="00C1262B" w:rsidRDefault="00C1262B" w:rsidP="008C516E">
    <w:pPr>
      <w:pStyle w:val="leftfooter"/>
    </w:pPr>
    <w:r>
      <w:fldChar w:fldCharType="begin"/>
    </w:r>
    <w:r>
      <w:instrText xml:space="preserve"> PAGE   \* MERGEFORMAT </w:instrText>
    </w:r>
    <w:r>
      <w:fldChar w:fldCharType="separate"/>
    </w:r>
    <w:r w:rsidR="007E4167">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E0FFC" w14:textId="0AC05DD6" w:rsidR="00C1262B" w:rsidRDefault="00C1262B" w:rsidP="008C516E">
    <w:pPr>
      <w:pStyle w:val="rightfooter"/>
    </w:pPr>
    <w:r>
      <w:fldChar w:fldCharType="begin"/>
    </w:r>
    <w:r>
      <w:instrText xml:space="preserve"> PAGE   \* MERGEFORMAT </w:instrText>
    </w:r>
    <w:r>
      <w:fldChar w:fldCharType="separate"/>
    </w:r>
    <w:r w:rsidR="00A27327">
      <w:rPr>
        <w:noProof/>
      </w:rPr>
      <w:t>7</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ECFCE" w14:textId="54A369D7" w:rsidR="00C1262B" w:rsidRDefault="00C1262B" w:rsidP="008C516E">
    <w:pPr>
      <w:pStyle w:val="rightfooter"/>
    </w:pPr>
    <w:r>
      <w:fldChar w:fldCharType="begin"/>
    </w:r>
    <w:r>
      <w:instrText xml:space="preserve"> PAGE  \* Arabic  \* MERGEFORMAT </w:instrText>
    </w:r>
    <w:r>
      <w:fldChar w:fldCharType="separate"/>
    </w:r>
    <w:r w:rsidR="00A27327">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79D8A" w14:textId="77777777" w:rsidR="00C1262B" w:rsidRDefault="00C1262B" w:rsidP="008C516E">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4C048" w14:textId="77777777" w:rsidR="00C1262B" w:rsidRDefault="00C1262B" w:rsidP="008C516E">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8B9D1" w14:textId="77777777" w:rsidR="00C1262B" w:rsidRDefault="00C1262B" w:rsidP="008C516E">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33868" w14:textId="77777777" w:rsidR="00C1262B" w:rsidRPr="00B2068E" w:rsidRDefault="00C1262B" w:rsidP="008C516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4667A" w14:textId="77777777" w:rsidR="00C1262B" w:rsidRDefault="00C1262B" w:rsidP="008C516E">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4604D" w14:textId="77777777" w:rsidR="00C1262B" w:rsidRDefault="00C1262B" w:rsidP="008C516E">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2DC0D" w14:textId="59F85B34" w:rsidR="00C1262B" w:rsidRDefault="00C1262B" w:rsidP="008C516E">
    <w:pPr>
      <w:pStyle w:val="rightfooter"/>
    </w:pPr>
    <w:r>
      <w:fldChar w:fldCharType="begin"/>
    </w:r>
    <w:r>
      <w:instrText xml:space="preserve"> PAGE  \* Arabic  \* MERGEFORMAT </w:instrText>
    </w:r>
    <w:r>
      <w:fldChar w:fldCharType="separate"/>
    </w:r>
    <w:r w:rsidR="00A27327">
      <w:rPr>
        <w:noProof/>
      </w:rPr>
      <w:t>1</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1A113" w14:textId="48CEAD46" w:rsidR="00C1262B" w:rsidRDefault="00C1262B" w:rsidP="008C516E">
    <w:pPr>
      <w:pStyle w:val="leftfooter"/>
    </w:pPr>
    <w:r>
      <w:fldChar w:fldCharType="begin"/>
    </w:r>
    <w:r>
      <w:instrText xml:space="preserve"> PAGE   \* MERGEFORMAT </w:instrText>
    </w:r>
    <w:r>
      <w:fldChar w:fldCharType="separate"/>
    </w:r>
    <w:r w:rsidR="00A27327">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D164A" w14:textId="77777777" w:rsidR="00C1262B" w:rsidRDefault="00C1262B" w:rsidP="00E679CA">
      <w:pPr>
        <w:spacing w:before="0" w:after="0"/>
      </w:pPr>
      <w:r>
        <w:separator/>
      </w:r>
    </w:p>
  </w:footnote>
  <w:footnote w:type="continuationSeparator" w:id="0">
    <w:p w14:paraId="42C334C7" w14:textId="77777777" w:rsidR="00C1262B" w:rsidRDefault="00C1262B" w:rsidP="00E679CA">
      <w:pPr>
        <w:spacing w:before="0" w:after="0"/>
      </w:pPr>
      <w:r>
        <w:continuationSeparator/>
      </w:r>
    </w:p>
  </w:footnote>
  <w:footnote w:type="continuationNotice" w:id="1">
    <w:p w14:paraId="25D0425C" w14:textId="77777777" w:rsidR="00C1262B" w:rsidRDefault="00C1262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9E57B" w14:textId="77777777" w:rsidR="00C1262B" w:rsidRDefault="00C1262B" w:rsidP="008C516E">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D01BF" w14:textId="77777777" w:rsidR="00C1262B" w:rsidRDefault="00C1262B" w:rsidP="008C516E">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914990"/>
      <w:docPartObj>
        <w:docPartGallery w:val="Watermarks"/>
        <w:docPartUnique/>
      </w:docPartObj>
    </w:sdtPr>
    <w:sdtEndPr/>
    <w:sdtContent>
      <w:p w14:paraId="42DDEA42" w14:textId="77777777" w:rsidR="00C1262B" w:rsidRDefault="00A27327">
        <w:pPr>
          <w:pStyle w:val="Header"/>
        </w:pPr>
        <w:r>
          <w:rPr>
            <w:noProof/>
            <w:lang w:val="en-US" w:eastAsia="en-US"/>
          </w:rPr>
          <w:pict w14:anchorId="7AC4A2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CA077" w14:textId="77777777" w:rsidR="00C1262B" w:rsidRDefault="00C1262B" w:rsidP="008C516E">
    <w:pPr>
      <w:pStyle w:val="left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09A20" w14:textId="77777777" w:rsidR="00C1262B" w:rsidRDefault="00C1262B" w:rsidP="008C516E">
    <w:pPr>
      <w:pStyle w:val="right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42E03" w14:textId="77777777" w:rsidR="00C1262B" w:rsidRDefault="00C1262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86CDE" w14:textId="019E52B8" w:rsidR="00C1262B" w:rsidRPr="000C1165" w:rsidRDefault="00A27327" w:rsidP="00422FA2">
    <w:pPr>
      <w:pStyle w:val="leftheader"/>
    </w:pPr>
    <w:r>
      <w:fldChar w:fldCharType="begin"/>
    </w:r>
    <w:r>
      <w:instrText xml:space="preserve"> STYLEREF  "Bill Name"  \* MERGEFORMAT </w:instrText>
    </w:r>
    <w:r>
      <w:fldChar w:fldCharType="separate"/>
    </w:r>
    <w:r w:rsidRPr="00A27327">
      <w:rPr>
        <w:bCs/>
        <w:noProof/>
        <w:lang w:val="en-US"/>
      </w:rPr>
      <w:t xml:space="preserve">Financial Sector Reform (Hayne Royal Commission Response—Protecting </w:t>
    </w:r>
    <w:r>
      <w:rPr>
        <w:noProof/>
      </w:rPr>
      <w:t>Consumers (2020 Measures)) Bill 2020: Use of terms “insurance” and “insurer”</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F8178" w14:textId="3A78E708" w:rsidR="00C1262B" w:rsidRDefault="00A27327" w:rsidP="008C516E">
    <w:pPr>
      <w:pStyle w:val="rightheader"/>
    </w:pPr>
    <w:r>
      <w:fldChar w:fldCharType="begin"/>
    </w:r>
    <w:r>
      <w:instrText xml:space="preserve"> STYLEREF  "ChapterNameOnly"  \* MERGEFORMAT </w:instrText>
    </w:r>
    <w:r>
      <w:fldChar w:fldCharType="separate"/>
    </w:r>
    <w:r>
      <w:rPr>
        <w:noProof/>
      </w:rPr>
      <w:t>Use of terms ‘insurance’ and ‘insurer’</w:t>
    </w:r>
    <w:r>
      <w:rPr>
        <w:noProof/>
      </w:rPr>
      <w:cr/>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15:restartNumberingAfterBreak="0">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44E45"/>
    <w:multiLevelType w:val="multilevel"/>
    <w:tmpl w:val="29924C38"/>
    <w:name w:val="Standard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44"/>
        </w:tabs>
        <w:ind w:left="944"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9"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5DF6494"/>
    <w:multiLevelType w:val="multilevel"/>
    <w:tmpl w:val="A316FE50"/>
    <w:numStyleLink w:val="ChapterList"/>
  </w:abstractNum>
  <w:abstractNum w:abstractNumId="23"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6"/>
  </w:num>
  <w:num w:numId="2">
    <w:abstractNumId w:val="11"/>
  </w:num>
  <w:num w:numId="3">
    <w:abstractNumId w:val="14"/>
  </w:num>
  <w:num w:numId="4">
    <w:abstractNumId w:val="23"/>
  </w:num>
  <w:num w:numId="5">
    <w:abstractNumId w:val="20"/>
  </w:num>
  <w:num w:numId="6">
    <w:abstractNumId w:val="24"/>
  </w:num>
  <w:num w:numId="7">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17"/>
  </w:num>
  <w:num w:numId="10">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8"/>
  </w:num>
  <w:num w:numId="12">
    <w:abstractNumId w:val="19"/>
  </w:num>
  <w:num w:numId="13">
    <w:abstractNumId w:val="19"/>
  </w:num>
  <w:num w:numId="14">
    <w:abstractNumId w:val="21"/>
  </w:num>
  <w:num w:numId="15">
    <w:abstractNumId w:val="21"/>
  </w:num>
  <w:num w:numId="16">
    <w:abstractNumId w:val="21"/>
  </w:num>
  <w:num w:numId="17">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abstractNumId w:val="9"/>
  </w:num>
  <w:num w:numId="19">
    <w:abstractNumId w:val="9"/>
  </w:num>
  <w:num w:numId="20">
    <w:abstractNumId w:val="7"/>
  </w:num>
  <w:num w:numId="21">
    <w:abstractNumId w:val="7"/>
  </w:num>
  <w:num w:numId="22">
    <w:abstractNumId w:val="6"/>
  </w:num>
  <w:num w:numId="23">
    <w:abstractNumId w:val="6"/>
  </w:num>
  <w:num w:numId="24">
    <w:abstractNumId w:val="5"/>
  </w:num>
  <w:num w:numId="25">
    <w:abstractNumId w:val="5"/>
  </w:num>
  <w:num w:numId="26">
    <w:abstractNumId w:val="4"/>
  </w:num>
  <w:num w:numId="27">
    <w:abstractNumId w:val="4"/>
  </w:num>
  <w:num w:numId="28">
    <w:abstractNumId w:val="8"/>
  </w:num>
  <w:num w:numId="29">
    <w:abstractNumId w:val="8"/>
  </w:num>
  <w:num w:numId="30">
    <w:abstractNumId w:val="3"/>
  </w:num>
  <w:num w:numId="31">
    <w:abstractNumId w:val="3"/>
  </w:num>
  <w:num w:numId="32">
    <w:abstractNumId w:val="2"/>
  </w:num>
  <w:num w:numId="33">
    <w:abstractNumId w:val="2"/>
  </w:num>
  <w:num w:numId="34">
    <w:abstractNumId w:val="1"/>
  </w:num>
  <w:num w:numId="35">
    <w:abstractNumId w:val="1"/>
  </w:num>
  <w:num w:numId="36">
    <w:abstractNumId w:val="0"/>
  </w:num>
  <w:num w:numId="37">
    <w:abstractNumId w:val="0"/>
  </w:num>
  <w:num w:numId="38">
    <w:abstractNumId w:val="12"/>
  </w:num>
  <w:num w:numId="39">
    <w:abstractNumId w:val="12"/>
  </w:num>
  <w:num w:numId="40">
    <w:abstractNumId w:val="10"/>
  </w:num>
  <w:num w:numId="41">
    <w:abstractNumId w:val="22"/>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2">
    <w:abstractNumId w:val="13"/>
  </w:num>
  <w:num w:numId="43">
    <w:abstractNumId w:val="22"/>
  </w:num>
  <w:num w:numId="44">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5">
    <w:abstractNumId w:val="15"/>
  </w:num>
  <w:num w:numId="46">
    <w:abstractNumId w:val="22"/>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DA7"/>
    <w:rsid w:val="000032FD"/>
    <w:rsid w:val="00012C1F"/>
    <w:rsid w:val="0002054A"/>
    <w:rsid w:val="00030A40"/>
    <w:rsid w:val="00047AE6"/>
    <w:rsid w:val="000635D6"/>
    <w:rsid w:val="00065DA3"/>
    <w:rsid w:val="000B1B3E"/>
    <w:rsid w:val="000C1165"/>
    <w:rsid w:val="000C2A9D"/>
    <w:rsid w:val="000C44D7"/>
    <w:rsid w:val="000C4876"/>
    <w:rsid w:val="000C71F6"/>
    <w:rsid w:val="000D04A2"/>
    <w:rsid w:val="000D26E1"/>
    <w:rsid w:val="000E15BF"/>
    <w:rsid w:val="000E4B50"/>
    <w:rsid w:val="000F08E2"/>
    <w:rsid w:val="00107A5E"/>
    <w:rsid w:val="00123B9E"/>
    <w:rsid w:val="00127BE8"/>
    <w:rsid w:val="00156817"/>
    <w:rsid w:val="001665C0"/>
    <w:rsid w:val="00170DED"/>
    <w:rsid w:val="00171008"/>
    <w:rsid w:val="001753F4"/>
    <w:rsid w:val="001929F4"/>
    <w:rsid w:val="001A57DA"/>
    <w:rsid w:val="001C1751"/>
    <w:rsid w:val="001E664B"/>
    <w:rsid w:val="00211C71"/>
    <w:rsid w:val="002573AF"/>
    <w:rsid w:val="0026211F"/>
    <w:rsid w:val="0028232D"/>
    <w:rsid w:val="00295ABD"/>
    <w:rsid w:val="002965BE"/>
    <w:rsid w:val="00297512"/>
    <w:rsid w:val="002A2D13"/>
    <w:rsid w:val="002A651D"/>
    <w:rsid w:val="002B33DF"/>
    <w:rsid w:val="002D0B7C"/>
    <w:rsid w:val="002D2671"/>
    <w:rsid w:val="002D7DA7"/>
    <w:rsid w:val="002F0D2B"/>
    <w:rsid w:val="002F5853"/>
    <w:rsid w:val="0030380B"/>
    <w:rsid w:val="00307165"/>
    <w:rsid w:val="003175C6"/>
    <w:rsid w:val="003406A3"/>
    <w:rsid w:val="00363D0F"/>
    <w:rsid w:val="00375CDF"/>
    <w:rsid w:val="00375F1D"/>
    <w:rsid w:val="00380963"/>
    <w:rsid w:val="003A0DD4"/>
    <w:rsid w:val="003A657F"/>
    <w:rsid w:val="003B6B47"/>
    <w:rsid w:val="003B77F0"/>
    <w:rsid w:val="003D4F69"/>
    <w:rsid w:val="003D7720"/>
    <w:rsid w:val="003E5AB0"/>
    <w:rsid w:val="003E7AB0"/>
    <w:rsid w:val="003F218D"/>
    <w:rsid w:val="00405C1F"/>
    <w:rsid w:val="00407853"/>
    <w:rsid w:val="004159AC"/>
    <w:rsid w:val="00422FA2"/>
    <w:rsid w:val="004241CF"/>
    <w:rsid w:val="00442583"/>
    <w:rsid w:val="00463B4B"/>
    <w:rsid w:val="00483C65"/>
    <w:rsid w:val="004F01FD"/>
    <w:rsid w:val="004F3C00"/>
    <w:rsid w:val="00515833"/>
    <w:rsid w:val="00516E28"/>
    <w:rsid w:val="00535F17"/>
    <w:rsid w:val="0055086F"/>
    <w:rsid w:val="00551665"/>
    <w:rsid w:val="00567602"/>
    <w:rsid w:val="00574CA0"/>
    <w:rsid w:val="005A496E"/>
    <w:rsid w:val="005B73CD"/>
    <w:rsid w:val="005C55E4"/>
    <w:rsid w:val="005D150C"/>
    <w:rsid w:val="005E100E"/>
    <w:rsid w:val="005E3647"/>
    <w:rsid w:val="005F51C4"/>
    <w:rsid w:val="00605AC3"/>
    <w:rsid w:val="00611E31"/>
    <w:rsid w:val="006168B0"/>
    <w:rsid w:val="0063127E"/>
    <w:rsid w:val="006649F5"/>
    <w:rsid w:val="00670A85"/>
    <w:rsid w:val="006915F5"/>
    <w:rsid w:val="006A05D6"/>
    <w:rsid w:val="006A387F"/>
    <w:rsid w:val="006A72CB"/>
    <w:rsid w:val="006C019A"/>
    <w:rsid w:val="006F233D"/>
    <w:rsid w:val="006F3160"/>
    <w:rsid w:val="006F5EF4"/>
    <w:rsid w:val="00706CE0"/>
    <w:rsid w:val="007070BD"/>
    <w:rsid w:val="00725B52"/>
    <w:rsid w:val="00734F84"/>
    <w:rsid w:val="00747A03"/>
    <w:rsid w:val="00751A14"/>
    <w:rsid w:val="0077268E"/>
    <w:rsid w:val="00773B68"/>
    <w:rsid w:val="00790FCD"/>
    <w:rsid w:val="00795A45"/>
    <w:rsid w:val="007B0D05"/>
    <w:rsid w:val="007B28FC"/>
    <w:rsid w:val="007C2588"/>
    <w:rsid w:val="007C2B20"/>
    <w:rsid w:val="007C6C12"/>
    <w:rsid w:val="007E4167"/>
    <w:rsid w:val="007F327F"/>
    <w:rsid w:val="007F603F"/>
    <w:rsid w:val="00803DE4"/>
    <w:rsid w:val="00813A51"/>
    <w:rsid w:val="00817A8A"/>
    <w:rsid w:val="00840701"/>
    <w:rsid w:val="00854308"/>
    <w:rsid w:val="00863591"/>
    <w:rsid w:val="008769D3"/>
    <w:rsid w:val="00876C0E"/>
    <w:rsid w:val="008848FA"/>
    <w:rsid w:val="008B0471"/>
    <w:rsid w:val="008B6AE1"/>
    <w:rsid w:val="008C516E"/>
    <w:rsid w:val="008D0A8B"/>
    <w:rsid w:val="008D4F94"/>
    <w:rsid w:val="008D78FA"/>
    <w:rsid w:val="008E6E38"/>
    <w:rsid w:val="008F62C3"/>
    <w:rsid w:val="0093363A"/>
    <w:rsid w:val="00946B26"/>
    <w:rsid w:val="00951E5D"/>
    <w:rsid w:val="009555AD"/>
    <w:rsid w:val="009573EC"/>
    <w:rsid w:val="00965730"/>
    <w:rsid w:val="009770C9"/>
    <w:rsid w:val="0098134F"/>
    <w:rsid w:val="00995437"/>
    <w:rsid w:val="009A545B"/>
    <w:rsid w:val="009A5D3F"/>
    <w:rsid w:val="009B5E73"/>
    <w:rsid w:val="009C02B6"/>
    <w:rsid w:val="009C2FC2"/>
    <w:rsid w:val="009C55E6"/>
    <w:rsid w:val="009D7D02"/>
    <w:rsid w:val="009D7ECD"/>
    <w:rsid w:val="009E5F83"/>
    <w:rsid w:val="009F3AE1"/>
    <w:rsid w:val="00A0023E"/>
    <w:rsid w:val="00A0653F"/>
    <w:rsid w:val="00A1493A"/>
    <w:rsid w:val="00A2308B"/>
    <w:rsid w:val="00A27327"/>
    <w:rsid w:val="00A27852"/>
    <w:rsid w:val="00A41EDC"/>
    <w:rsid w:val="00A46922"/>
    <w:rsid w:val="00A5041E"/>
    <w:rsid w:val="00A5534E"/>
    <w:rsid w:val="00A57993"/>
    <w:rsid w:val="00A65257"/>
    <w:rsid w:val="00A75FAC"/>
    <w:rsid w:val="00A901F1"/>
    <w:rsid w:val="00A9706F"/>
    <w:rsid w:val="00AA6F43"/>
    <w:rsid w:val="00AD5B62"/>
    <w:rsid w:val="00AD5F50"/>
    <w:rsid w:val="00AF0854"/>
    <w:rsid w:val="00AF6C55"/>
    <w:rsid w:val="00B040B3"/>
    <w:rsid w:val="00B05517"/>
    <w:rsid w:val="00B10017"/>
    <w:rsid w:val="00B13733"/>
    <w:rsid w:val="00B17774"/>
    <w:rsid w:val="00B21C7E"/>
    <w:rsid w:val="00B2703D"/>
    <w:rsid w:val="00B335D0"/>
    <w:rsid w:val="00B349CD"/>
    <w:rsid w:val="00B67896"/>
    <w:rsid w:val="00B85309"/>
    <w:rsid w:val="00B86D60"/>
    <w:rsid w:val="00B95FF6"/>
    <w:rsid w:val="00BA7201"/>
    <w:rsid w:val="00BB4E05"/>
    <w:rsid w:val="00BB72FC"/>
    <w:rsid w:val="00BE27C2"/>
    <w:rsid w:val="00BE5BD9"/>
    <w:rsid w:val="00C00BBC"/>
    <w:rsid w:val="00C1262B"/>
    <w:rsid w:val="00C5436A"/>
    <w:rsid w:val="00C566CE"/>
    <w:rsid w:val="00C743D3"/>
    <w:rsid w:val="00C83EC4"/>
    <w:rsid w:val="00C97927"/>
    <w:rsid w:val="00CA1FB4"/>
    <w:rsid w:val="00CB0377"/>
    <w:rsid w:val="00CC4D3E"/>
    <w:rsid w:val="00CC6658"/>
    <w:rsid w:val="00CD1112"/>
    <w:rsid w:val="00CD5794"/>
    <w:rsid w:val="00CE0AF6"/>
    <w:rsid w:val="00CE4D8C"/>
    <w:rsid w:val="00D13821"/>
    <w:rsid w:val="00D46961"/>
    <w:rsid w:val="00D503B1"/>
    <w:rsid w:val="00D73EF8"/>
    <w:rsid w:val="00D83206"/>
    <w:rsid w:val="00D87B01"/>
    <w:rsid w:val="00DB69D5"/>
    <w:rsid w:val="00DC4DE8"/>
    <w:rsid w:val="00DD7164"/>
    <w:rsid w:val="00DE55C2"/>
    <w:rsid w:val="00DE7576"/>
    <w:rsid w:val="00DF3A28"/>
    <w:rsid w:val="00DF5B4D"/>
    <w:rsid w:val="00DF631D"/>
    <w:rsid w:val="00E00666"/>
    <w:rsid w:val="00E1652E"/>
    <w:rsid w:val="00E5385B"/>
    <w:rsid w:val="00E56A6F"/>
    <w:rsid w:val="00E679CA"/>
    <w:rsid w:val="00E74E50"/>
    <w:rsid w:val="00EA5BB7"/>
    <w:rsid w:val="00EC0F5E"/>
    <w:rsid w:val="00EC2C09"/>
    <w:rsid w:val="00EC35F7"/>
    <w:rsid w:val="00EC55E3"/>
    <w:rsid w:val="00EF747B"/>
    <w:rsid w:val="00F16D14"/>
    <w:rsid w:val="00F46D06"/>
    <w:rsid w:val="00F51071"/>
    <w:rsid w:val="00F51A4E"/>
    <w:rsid w:val="00F60F68"/>
    <w:rsid w:val="00F61AAD"/>
    <w:rsid w:val="00F70C60"/>
    <w:rsid w:val="00F838AB"/>
    <w:rsid w:val="00F83B70"/>
    <w:rsid w:val="00F9382B"/>
    <w:rsid w:val="00F9534F"/>
    <w:rsid w:val="00F96250"/>
    <w:rsid w:val="00FA419A"/>
    <w:rsid w:val="00FB0207"/>
    <w:rsid w:val="00FD555C"/>
    <w:rsid w:val="00FE6108"/>
    <w:rsid w:val="00FE66C4"/>
    <w:rsid w:val="00FF3F68"/>
    <w:rsid w:val="00FF62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E5C0C22"/>
  <w15:docId w15:val="{AB7DCF1A-9274-43F3-B081-DE8518B70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41"/>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link w:val="base-text-paragraphnonumbersChar"/>
    <w:uiPriority w:val="99"/>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41"/>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9"/>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41"/>
      </w:numPr>
      <w:spacing w:before="0" w:after="0"/>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41"/>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link w:val="tabletextChar"/>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41"/>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EC2C09"/>
    <w:rPr>
      <w:sz w:val="16"/>
      <w:szCs w:val="16"/>
    </w:rPr>
  </w:style>
  <w:style w:type="paragraph" w:styleId="CommentText">
    <w:name w:val="annotation text"/>
    <w:basedOn w:val="Normal"/>
    <w:link w:val="CommentTextChar"/>
    <w:uiPriority w:val="99"/>
    <w:semiHidden/>
    <w:unhideWhenUsed/>
    <w:rsid w:val="00EC2C09"/>
    <w:rPr>
      <w:sz w:val="20"/>
    </w:rPr>
  </w:style>
  <w:style w:type="character" w:customStyle="1" w:styleId="CommentTextChar">
    <w:name w:val="Comment Text Char"/>
    <w:basedOn w:val="DefaultParagraphFont"/>
    <w:link w:val="CommentText"/>
    <w:uiPriority w:val="99"/>
    <w:semiHidden/>
    <w:rsid w:val="00EC2C09"/>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EC2C0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2C09"/>
    <w:rPr>
      <w:rFonts w:ascii="Segoe UI" w:eastAsia="Times New Roman" w:hAnsi="Segoe UI" w:cs="Segoe UI"/>
      <w:sz w:val="18"/>
      <w:szCs w:val="18"/>
      <w:lang w:eastAsia="en-AU"/>
    </w:rPr>
  </w:style>
  <w:style w:type="paragraph" w:styleId="CommentSubject">
    <w:name w:val="annotation subject"/>
    <w:basedOn w:val="CommentText"/>
    <w:next w:val="CommentText"/>
    <w:link w:val="CommentSubjectChar"/>
    <w:uiPriority w:val="99"/>
    <w:semiHidden/>
    <w:unhideWhenUsed/>
    <w:rsid w:val="00363D0F"/>
    <w:rPr>
      <w:b/>
      <w:bCs/>
    </w:rPr>
  </w:style>
  <w:style w:type="character" w:customStyle="1" w:styleId="CommentSubjectChar">
    <w:name w:val="Comment Subject Char"/>
    <w:basedOn w:val="CommentTextChar"/>
    <w:link w:val="CommentSubject"/>
    <w:uiPriority w:val="99"/>
    <w:semiHidden/>
    <w:rsid w:val="00363D0F"/>
    <w:rPr>
      <w:rFonts w:ascii="Times New Roman" w:eastAsia="Times New Roman" w:hAnsi="Times New Roman" w:cs="Times New Roman"/>
      <w:b/>
      <w:bCs/>
      <w:sz w:val="20"/>
      <w:szCs w:val="20"/>
      <w:lang w:eastAsia="en-AU"/>
    </w:rPr>
  </w:style>
  <w:style w:type="character" w:customStyle="1" w:styleId="base-text-paragraphnonumbersChar">
    <w:name w:val="base-text-paragraph no numbers Char"/>
    <w:basedOn w:val="DefaultParagraphFont"/>
    <w:link w:val="base-text-paragraphnonumbers"/>
    <w:uiPriority w:val="99"/>
    <w:rsid w:val="00FF62CE"/>
    <w:rPr>
      <w:rFonts w:ascii="Times New Roman" w:eastAsia="Times New Roman" w:hAnsi="Times New Roman" w:cs="Times New Roman"/>
      <w:szCs w:val="20"/>
      <w:lang w:eastAsia="en-AU"/>
    </w:rPr>
  </w:style>
  <w:style w:type="paragraph" w:customStyle="1" w:styleId="paragraphsub">
    <w:name w:val="paragraph(sub)"/>
    <w:aliases w:val="aa"/>
    <w:basedOn w:val="Normal"/>
    <w:rsid w:val="00EC55E3"/>
    <w:pPr>
      <w:tabs>
        <w:tab w:val="right" w:pos="1985"/>
      </w:tabs>
      <w:spacing w:before="40" w:after="0"/>
      <w:ind w:left="2098" w:hanging="2098"/>
    </w:pPr>
  </w:style>
  <w:style w:type="paragraph" w:customStyle="1" w:styleId="Bullet">
    <w:name w:val="Bullet"/>
    <w:basedOn w:val="Normal"/>
    <w:link w:val="BulletChar"/>
    <w:rsid w:val="008F62C3"/>
    <w:pPr>
      <w:numPr>
        <w:numId w:val="45"/>
      </w:numPr>
      <w:spacing w:line="256" w:lineRule="auto"/>
    </w:pPr>
    <w:rPr>
      <w:sz w:val="20"/>
      <w:lang w:val="en-US"/>
    </w:rPr>
  </w:style>
  <w:style w:type="character" w:customStyle="1" w:styleId="tabletextChar">
    <w:name w:val="table text Char"/>
    <w:basedOn w:val="DefaultParagraphFont"/>
    <w:link w:val="tabletext"/>
    <w:rsid w:val="008F62C3"/>
    <w:rPr>
      <w:rFonts w:ascii="Times New Roman" w:eastAsia="Times New Roman" w:hAnsi="Times New Roman" w:cs="Times New Roman"/>
      <w:sz w:val="20"/>
      <w:szCs w:val="20"/>
      <w:lang w:eastAsia="en-AU"/>
    </w:rPr>
  </w:style>
  <w:style w:type="character" w:customStyle="1" w:styleId="BulletChar">
    <w:name w:val="Bullet Char"/>
    <w:basedOn w:val="tabletextChar"/>
    <w:link w:val="Bullet"/>
    <w:rsid w:val="008F62C3"/>
    <w:rPr>
      <w:rFonts w:ascii="Times New Roman" w:eastAsia="Times New Roman" w:hAnsi="Times New Roman" w:cs="Times New Roman"/>
      <w:sz w:val="20"/>
      <w:szCs w:val="20"/>
      <w:lang w:val="en-US" w:eastAsia="en-AU"/>
    </w:rPr>
  </w:style>
  <w:style w:type="paragraph" w:customStyle="1" w:styleId="Dash">
    <w:name w:val="Dash"/>
    <w:basedOn w:val="Normal"/>
    <w:link w:val="DashChar"/>
    <w:rsid w:val="008F62C3"/>
    <w:pPr>
      <w:numPr>
        <w:ilvl w:val="1"/>
        <w:numId w:val="45"/>
      </w:numPr>
      <w:spacing w:line="256" w:lineRule="auto"/>
    </w:pPr>
    <w:rPr>
      <w:sz w:val="20"/>
      <w:lang w:val="en-US"/>
    </w:rPr>
  </w:style>
  <w:style w:type="character" w:customStyle="1" w:styleId="DashChar">
    <w:name w:val="Dash Char"/>
    <w:basedOn w:val="tabletextChar"/>
    <w:link w:val="Dash"/>
    <w:rsid w:val="008F62C3"/>
    <w:rPr>
      <w:rFonts w:ascii="Times New Roman" w:eastAsia="Times New Roman" w:hAnsi="Times New Roman" w:cs="Times New Roman"/>
      <w:sz w:val="20"/>
      <w:szCs w:val="20"/>
      <w:lang w:val="en-US" w:eastAsia="en-AU"/>
    </w:rPr>
  </w:style>
  <w:style w:type="paragraph" w:customStyle="1" w:styleId="DoubleDot">
    <w:name w:val="Double Dot"/>
    <w:basedOn w:val="Normal"/>
    <w:link w:val="DoubleDotChar"/>
    <w:rsid w:val="008F62C3"/>
    <w:pPr>
      <w:numPr>
        <w:ilvl w:val="2"/>
        <w:numId w:val="45"/>
      </w:numPr>
      <w:spacing w:line="256" w:lineRule="auto"/>
    </w:pPr>
    <w:rPr>
      <w:sz w:val="20"/>
      <w:lang w:val="en-US"/>
    </w:rPr>
  </w:style>
  <w:style w:type="character" w:customStyle="1" w:styleId="DoubleDotChar">
    <w:name w:val="Double Dot Char"/>
    <w:basedOn w:val="tabletextChar"/>
    <w:link w:val="DoubleDot"/>
    <w:rsid w:val="008F62C3"/>
    <w:rPr>
      <w:rFonts w:ascii="Times New Roman" w:eastAsia="Times New Roman" w:hAnsi="Times New Roman" w:cs="Times New Roman"/>
      <w:sz w:val="20"/>
      <w:szCs w:val="20"/>
      <w:lang w:val="en-US" w:eastAsia="en-AU"/>
    </w:rPr>
  </w:style>
  <w:style w:type="paragraph" w:styleId="Revision">
    <w:name w:val="Revision"/>
    <w:hidden/>
    <w:uiPriority w:val="99"/>
    <w:semiHidden/>
    <w:rsid w:val="00BE5BD9"/>
    <w:pPr>
      <w:spacing w:after="0" w:line="240" w:lineRule="auto"/>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footer" Target="footer1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7.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BFDF0D6C871D7942A562434B13DA708E" ma:contentTypeVersion="25101" ma:contentTypeDescription=" " ma:contentTypeScope="" ma:versionID="22638a665a21ad64a56186d92fe1acd5">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c98e7e17f47d4651d623a8d7d2dd0d8a"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0f563589-9cf9-4143-b1eb-fb0534803d38">2019MG-92-69288</_dlc_DocId>
    <TaxCatchAll xmlns="0f563589-9cf9-4143-b1eb-fb0534803d38">
      <Value>7</Value>
    </TaxCatchAll>
    <_dlc_DocIdUrl xmlns="0f563589-9cf9-4143-b1eb-fb0534803d38">
      <Url>http://tweb/sites/mg/fsd/_layouts/15/DocIdRedir.aspx?ID=2019MG-92-69288</Url>
      <Description>2019MG-92-69288</Description>
    </_dlc_DocIdUr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FF437-2443-4F99-8DFE-38952C001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BC9999-7D0D-41AD-AF42-DF17AB3D20D9}">
  <ds:schemaRefs>
    <ds:schemaRef ds:uri="http://schemas.microsoft.com/sharepoint/events"/>
  </ds:schemaRefs>
</ds:datastoreItem>
</file>

<file path=customXml/itemProps3.xml><?xml version="1.0" encoding="utf-8"?>
<ds:datastoreItem xmlns:ds="http://schemas.openxmlformats.org/officeDocument/2006/customXml" ds:itemID="{28EDAE98-D7A1-4CBF-A75A-9193CFD31CB5}">
  <ds:schemaRefs>
    <ds:schemaRef ds:uri="http://schemas.microsoft.com/sharepoint/events"/>
  </ds:schemaRefs>
</ds:datastoreItem>
</file>

<file path=customXml/itemProps4.xml><?xml version="1.0" encoding="utf-8"?>
<ds:datastoreItem xmlns:ds="http://schemas.openxmlformats.org/officeDocument/2006/customXml" ds:itemID="{5581620C-90D2-41D3-81BF-E59E92C75C12}">
  <ds:schemaRefs>
    <ds:schemaRef ds:uri="http://schemas.microsoft.com/sharepoint/v3/contenttype/forms"/>
  </ds:schemaRefs>
</ds:datastoreItem>
</file>

<file path=customXml/itemProps5.xml><?xml version="1.0" encoding="utf-8"?>
<ds:datastoreItem xmlns:ds="http://schemas.openxmlformats.org/officeDocument/2006/customXml" ds:itemID="{0BD97FF3-3A60-4A20-A7BA-465EB0ED612C}">
  <ds:schemaRefs>
    <ds:schemaRef ds:uri="office.server.policy"/>
  </ds:schemaRefs>
</ds:datastoreItem>
</file>

<file path=customXml/itemProps6.xml><?xml version="1.0" encoding="utf-8"?>
<ds:datastoreItem xmlns:ds="http://schemas.openxmlformats.org/officeDocument/2006/customXml" ds:itemID="{E484BCE1-B00C-45BB-B3CA-CEE712E03F5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3"/>
    <ds:schemaRef ds:uri="http://schemas.microsoft.com/sharepoint/v4"/>
    <ds:schemaRef ds:uri="d4dd4adf-ddb3-46a3-8d7c-fab3fb2a6bc7"/>
    <ds:schemaRef ds:uri="http://www.w3.org/XML/1998/namespace"/>
    <ds:schemaRef ds:uri="http://purl.org/dc/dcmitype/"/>
  </ds:schemaRefs>
</ds:datastoreItem>
</file>

<file path=customXml/itemProps7.xml><?xml version="1.0" encoding="utf-8"?>
<ds:datastoreItem xmlns:ds="http://schemas.openxmlformats.org/officeDocument/2006/customXml" ds:itemID="{0AFFF6B2-4256-45B0-B763-2E1F5ADA5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0</TotalTime>
  <Pages>11</Pages>
  <Words>1362</Words>
  <Characters>7768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Explanatory Memorandum: Restricting use of the term ‘Insurer’ and ‘Insurance’</vt:lpstr>
    </vt:vector>
  </TitlesOfParts>
  <Company>Australian Government</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 Restricting use of the term ‘Insurer’ and ‘Insurance’</dc:title>
  <dc:subject>Consultation paper</dc:subject>
  <dc:creator>The Treasury</dc:creator>
  <cp:keywords/>
  <dc:description/>
  <cp:lastModifiedBy>Thomas, Deborah</cp:lastModifiedBy>
  <cp:revision>2</cp:revision>
  <cp:lastPrinted>2019-12-19T04:16:00Z</cp:lastPrinted>
  <dcterms:created xsi:type="dcterms:W3CDTF">2020-01-24T00:17:00Z</dcterms:created>
  <dcterms:modified xsi:type="dcterms:W3CDTF">2020-01-24T00:17:00Z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b2a62f39-856d-490a-b6fe-7ca74f832a23</vt:lpwstr>
  </property>
  <property fmtid="{D5CDD505-2E9C-101B-9397-08002B2CF9AE}" pid="3" name="ContentTypeId">
    <vt:lpwstr>0x010100E95D40E5DFEA714B90E88DB5CE07A6B500BFDF0D6C871D7942A562434B13DA708E</vt:lpwstr>
  </property>
  <property fmtid="{D5CDD505-2E9C-101B-9397-08002B2CF9AE}" pid="4" name="TSYRecordClass">
    <vt:lpwstr>2</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{507a8a59-704d-43cf-b103-02b0cd527a9d}</vt:lpwstr>
  </property>
  <property fmtid="{D5CDD505-2E9C-101B-9397-08002B2CF9AE}" pid="8" name="RecordPoint_ActiveItemUniqueId">
    <vt:lpwstr>{ebeba633-86f6-4538-afeb-88fe142bbfb8}</vt:lpwstr>
  </property>
  <property fmtid="{D5CDD505-2E9C-101B-9397-08002B2CF9AE}" pid="9" name="RecordPoint_ActiveItemWebId">
    <vt:lpwstr>{09392e0d-4618-463d-b4d2-50a90b9447cf}</vt:lpwstr>
  </property>
  <property fmtid="{D5CDD505-2E9C-101B-9397-08002B2CF9AE}" pid="10" name="RecordPoint_SubmissionDate">
    <vt:lpwstr/>
  </property>
  <property fmtid="{D5CDD505-2E9C-101B-9397-08002B2CF9AE}" pid="11" name="RecordPoint_RecordNumberSubmitted">
    <vt:lpwstr/>
  </property>
  <property fmtid="{D5CDD505-2E9C-101B-9397-08002B2CF9AE}" pid="12" name="RecordPoint_ActiveItemMoved">
    <vt:lpwstr/>
  </property>
  <property fmtid="{D5CDD505-2E9C-101B-9397-08002B2CF9AE}" pid="13" name="RecordPoint_RecordFormat">
    <vt:lpwstr/>
  </property>
  <property fmtid="{D5CDD505-2E9C-101B-9397-08002B2CF9AE}" pid="14" name="RecordPoint_SubmissionCompleted">
    <vt:lpwstr/>
  </property>
  <property fmtid="{D5CDD505-2E9C-101B-9397-08002B2CF9AE}" pid="15" name="_AdHocReviewCycleID">
    <vt:i4>-395505486</vt:i4>
  </property>
  <property fmtid="{D5CDD505-2E9C-101B-9397-08002B2CF9AE}" pid="16" name="_NewReviewCycle">
    <vt:lpwstr/>
  </property>
  <property fmtid="{D5CDD505-2E9C-101B-9397-08002B2CF9AE}" pid="17" name="_EmailSubject">
    <vt:lpwstr>Re: MS for Exposure Draft for 4.2 (additional) - Restricting the use of the term "insurer" and "insurance" </vt:lpwstr>
  </property>
  <property fmtid="{D5CDD505-2E9C-101B-9397-08002B2CF9AE}" pid="18" name="_AuthorEmail">
    <vt:lpwstr>Wesley.Dingle@TREASURY.GOV.AU</vt:lpwstr>
  </property>
  <property fmtid="{D5CDD505-2E9C-101B-9397-08002B2CF9AE}" pid="19" name="_AuthorEmailDisplayName">
    <vt:lpwstr>Dingle, Wesley</vt:lpwstr>
  </property>
  <property fmtid="{D5CDD505-2E9C-101B-9397-08002B2CF9AE}" pid="20" name="_PreviousAdHocReviewCycleID">
    <vt:i4>2113115363</vt:i4>
  </property>
  <property fmtid="{D5CDD505-2E9C-101B-9397-08002B2CF9AE}" pid="21" name="_ReviewingToolsShownOnce">
    <vt:lpwstr/>
  </property>
</Properties>
</file>