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B8C66D" w14:textId="77777777" w:rsidR="008B1C1C" w:rsidRDefault="008B1C1C" w:rsidP="00B17774">
      <w:pPr>
        <w:pStyle w:val="Baseparagraphcentred"/>
      </w:pPr>
      <w:bookmarkStart w:id="0" w:name="_GoBack"/>
      <w:bookmarkEnd w:id="0"/>
    </w:p>
    <w:p w14:paraId="42A7E830" w14:textId="77777777" w:rsidR="008B1C1C" w:rsidRDefault="008B1C1C" w:rsidP="00B17774">
      <w:pPr>
        <w:pStyle w:val="Baseparagraphcentred"/>
      </w:pPr>
    </w:p>
    <w:p w14:paraId="038429E4" w14:textId="77777777" w:rsidR="008B1C1C" w:rsidRDefault="008B1C1C" w:rsidP="00B17774">
      <w:pPr>
        <w:pStyle w:val="Baseparagraphcentred"/>
      </w:pPr>
    </w:p>
    <w:p w14:paraId="2E85ED50" w14:textId="77777777" w:rsidR="008B1C1C" w:rsidRDefault="008B1C1C" w:rsidP="00B17774">
      <w:pPr>
        <w:pStyle w:val="Baseparagraphcentred"/>
      </w:pPr>
    </w:p>
    <w:p w14:paraId="69E886B9" w14:textId="77777777" w:rsidR="008B1C1C" w:rsidRDefault="008B1C1C" w:rsidP="00B17774">
      <w:pPr>
        <w:pStyle w:val="Baseparagraphcentred"/>
      </w:pPr>
    </w:p>
    <w:p w14:paraId="4A6A931F" w14:textId="77777777" w:rsidR="008B1C1C" w:rsidRDefault="008B1C1C" w:rsidP="00B17774">
      <w:pPr>
        <w:pStyle w:val="Baseparagraphcentred"/>
      </w:pPr>
    </w:p>
    <w:p w14:paraId="25267C10" w14:textId="77777777" w:rsidR="008B1C1C" w:rsidRDefault="008B1C1C" w:rsidP="00B17774">
      <w:pPr>
        <w:pStyle w:val="Baseparagraphcentred"/>
      </w:pPr>
    </w:p>
    <w:p w14:paraId="2AE24AFD" w14:textId="77777777" w:rsidR="008B1C1C" w:rsidRDefault="008B1C1C" w:rsidP="00B17774">
      <w:pPr>
        <w:pStyle w:val="Baseparagraphcentred"/>
      </w:pPr>
    </w:p>
    <w:p w14:paraId="0507BAC8" w14:textId="7EB618CC" w:rsidR="00B17774" w:rsidRDefault="00B17774" w:rsidP="00B17774">
      <w:pPr>
        <w:pStyle w:val="Baseparagraphcentred"/>
      </w:pPr>
    </w:p>
    <w:p w14:paraId="149535F8" w14:textId="77777777" w:rsidR="00B17774" w:rsidRDefault="00B17774" w:rsidP="00B17774">
      <w:pPr>
        <w:pStyle w:val="Baseparagraphcentred"/>
      </w:pPr>
    </w:p>
    <w:p w14:paraId="3B441E1F" w14:textId="40813804" w:rsidR="00B17774" w:rsidRDefault="00D915E0" w:rsidP="00B17774">
      <w:pPr>
        <w:pStyle w:val="BillName"/>
      </w:pPr>
      <w:bookmarkStart w:id="1" w:name="BillName"/>
      <w:bookmarkEnd w:id="1"/>
      <w:r w:rsidRPr="00B91045">
        <w:t xml:space="preserve">Financial </w:t>
      </w:r>
      <w:r w:rsidR="0034408E">
        <w:t>S</w:t>
      </w:r>
      <w:r w:rsidR="00040321">
        <w:t>ector</w:t>
      </w:r>
      <w:r w:rsidR="00040321" w:rsidRPr="00B91045">
        <w:t xml:space="preserve"> </w:t>
      </w:r>
      <w:r w:rsidRPr="00B91045">
        <w:t>Reform (</w:t>
      </w:r>
      <w:r w:rsidR="0034408E">
        <w:t>Hayne Royal Commission R</w:t>
      </w:r>
      <w:r w:rsidR="00040321">
        <w:t>esponse</w:t>
      </w:r>
      <w:r w:rsidR="00040321" w:rsidRPr="005F14CD">
        <w:t>—</w:t>
      </w:r>
      <w:r w:rsidR="0034408E">
        <w:t>S</w:t>
      </w:r>
      <w:r w:rsidR="00040321">
        <w:t xml:space="preserve">tronger </w:t>
      </w:r>
      <w:r w:rsidR="0034408E">
        <w:t>R</w:t>
      </w:r>
      <w:r w:rsidR="00040321">
        <w:t xml:space="preserve">egulators (2020 </w:t>
      </w:r>
      <w:r w:rsidR="0034408E">
        <w:t>Measures</w:t>
      </w:r>
      <w:r w:rsidR="00040321">
        <w:t>)</w:t>
      </w:r>
      <w:r w:rsidRPr="00B91045">
        <w:t xml:space="preserve">) </w:t>
      </w:r>
      <w:r w:rsidR="0034408E">
        <w:t>Bill</w:t>
      </w:r>
      <w:r w:rsidR="0034408E" w:rsidRPr="00B91045">
        <w:t xml:space="preserve"> </w:t>
      </w:r>
      <w:r w:rsidR="00040321">
        <w:t xml:space="preserve">2020: </w:t>
      </w:r>
      <w:r w:rsidR="0034408E">
        <w:t>FSRC</w:t>
      </w:r>
      <w:r w:rsidR="00040321">
        <w:t xml:space="preserve"> </w:t>
      </w:r>
      <w:r w:rsidR="0034408E">
        <w:t>rec</w:t>
      </w:r>
      <w:r w:rsidR="00040321">
        <w:t xml:space="preserve"> 7.2 (</w:t>
      </w:r>
      <w:r w:rsidR="0034408E">
        <w:t>ASIC</w:t>
      </w:r>
      <w:r w:rsidR="00040321">
        <w:t xml:space="preserve"> </w:t>
      </w:r>
      <w:r w:rsidR="0034408E">
        <w:t>Directions</w:t>
      </w:r>
      <w:r w:rsidR="00040321">
        <w:t>)</w:t>
      </w:r>
    </w:p>
    <w:p w14:paraId="3F44597D" w14:textId="77777777" w:rsidR="00B17774" w:rsidRDefault="00B17774" w:rsidP="00B17774">
      <w:pPr>
        <w:pStyle w:val="Baseparagraphcentred"/>
      </w:pPr>
    </w:p>
    <w:p w14:paraId="3C29DC2A" w14:textId="77777777" w:rsidR="00B17774" w:rsidRDefault="00B17774" w:rsidP="00B17774">
      <w:pPr>
        <w:pStyle w:val="Baseparagraphcentred"/>
      </w:pPr>
    </w:p>
    <w:p w14:paraId="2CF0033D" w14:textId="77777777" w:rsidR="00B17774" w:rsidRDefault="00B17774" w:rsidP="00B17774">
      <w:pPr>
        <w:pStyle w:val="Baseparagraphcentred"/>
      </w:pPr>
    </w:p>
    <w:p w14:paraId="0EB8F5AF" w14:textId="77777777" w:rsidR="00B17774" w:rsidRDefault="00B17774" w:rsidP="00B17774">
      <w:pPr>
        <w:pStyle w:val="Baseparagraphcentred"/>
      </w:pPr>
    </w:p>
    <w:p w14:paraId="5CA0BC68" w14:textId="77777777" w:rsidR="008B1C1C" w:rsidRDefault="008B1C1C" w:rsidP="00B17774">
      <w:pPr>
        <w:pStyle w:val="Baseparagraphcentred"/>
      </w:pPr>
      <w:r>
        <w:t>EXPOSURE DRAFT EXPLANATORY MATERIALS</w:t>
      </w:r>
    </w:p>
    <w:p w14:paraId="25AE2394" w14:textId="144600FE" w:rsidR="00B17774" w:rsidRDefault="00B17774" w:rsidP="00B17774">
      <w:pPr>
        <w:pStyle w:val="Baseparagraphcentred"/>
      </w:pPr>
    </w:p>
    <w:p w14:paraId="2497AFD9" w14:textId="77777777" w:rsidR="00B17774" w:rsidRDefault="00B17774" w:rsidP="00B17774">
      <w:pPr>
        <w:pStyle w:val="Baseparagraphcentred"/>
      </w:pPr>
    </w:p>
    <w:p w14:paraId="6A41CB75" w14:textId="77777777" w:rsidR="00B17774" w:rsidRDefault="00B17774" w:rsidP="00B17774">
      <w:pPr>
        <w:pStyle w:val="Baseparagraphcentred"/>
      </w:pPr>
    </w:p>
    <w:p w14:paraId="3CC3EC49" w14:textId="77777777" w:rsidR="008B1C1C" w:rsidRDefault="008B1C1C" w:rsidP="00773B68">
      <w:pPr>
        <w:pStyle w:val="ParaCentredNoSpacing"/>
      </w:pPr>
    </w:p>
    <w:p w14:paraId="4E7FE823" w14:textId="77777777" w:rsidR="008B1C1C" w:rsidRDefault="008B1C1C" w:rsidP="00773B68">
      <w:pPr>
        <w:pStyle w:val="ParaCentredNoSpacing"/>
      </w:pPr>
    </w:p>
    <w:p w14:paraId="1D018CA0" w14:textId="738849B0" w:rsidR="00773B68" w:rsidRDefault="00773B68" w:rsidP="00773B68">
      <w:pPr>
        <w:pStyle w:val="ParaCentredNoSpacing"/>
      </w:pPr>
    </w:p>
    <w:p w14:paraId="5F7CA1E0" w14:textId="77777777" w:rsidR="00B17774" w:rsidRDefault="00B17774" w:rsidP="00B17774"/>
    <w:p w14:paraId="4B5B00B7" w14:textId="77777777" w:rsidR="00813A51" w:rsidRDefault="00813A51" w:rsidP="00B17774">
      <w:pPr>
        <w:sectPr w:rsidR="00813A51" w:rsidSect="00E74E50">
          <w:headerReference w:type="even" r:id="rId15"/>
          <w:headerReference w:type="default" r:id="rId16"/>
          <w:footerReference w:type="even" r:id="rId17"/>
          <w:footerReference w:type="default" r:id="rId18"/>
          <w:headerReference w:type="first" r:id="rId19"/>
          <w:pgSz w:w="9979" w:h="14175" w:code="13"/>
          <w:pgMar w:top="567" w:right="1134" w:bottom="567" w:left="1134" w:header="709" w:footer="709" w:gutter="0"/>
          <w:cols w:space="708"/>
          <w:titlePg/>
          <w:docGrid w:linePitch="360"/>
        </w:sectPr>
      </w:pPr>
    </w:p>
    <w:p w14:paraId="7D374D5C" w14:textId="77777777" w:rsidR="00B17774" w:rsidRPr="003E0794" w:rsidRDefault="00B17774" w:rsidP="00B17774">
      <w:pPr>
        <w:pStyle w:val="TOCHeading"/>
      </w:pPr>
      <w:r w:rsidRPr="003E0794">
        <w:lastRenderedPageBreak/>
        <w:t>Table of contents</w:t>
      </w:r>
    </w:p>
    <w:p w14:paraId="119A0F26" w14:textId="5C7C9302" w:rsidR="00B423D7" w:rsidRDefault="00734F84">
      <w:pPr>
        <w:pStyle w:val="TOC2"/>
        <w:rPr>
          <w:rFonts w:asciiTheme="minorHAnsi" w:eastAsiaTheme="minorEastAsia" w:hAnsiTheme="minorHAnsi" w:cstheme="minorBidi"/>
          <w:sz w:val="22"/>
          <w:szCs w:val="22"/>
        </w:rPr>
      </w:pPr>
      <w:r>
        <w:fldChar w:fldCharType="begin"/>
      </w:r>
      <w:r>
        <w:instrText xml:space="preserve"> TOC \t "Chapter Heading,1,Chapter heading subdocument,2" </w:instrText>
      </w:r>
      <w:r>
        <w:fldChar w:fldCharType="separate"/>
      </w:r>
      <w:r w:rsidR="00B423D7">
        <w:t>Glossary</w:t>
      </w:r>
      <w:r w:rsidR="00B423D7">
        <w:tab/>
      </w:r>
      <w:r w:rsidR="00B423D7">
        <w:fldChar w:fldCharType="begin"/>
      </w:r>
      <w:r w:rsidR="00B423D7">
        <w:instrText xml:space="preserve"> PAGEREF _Toc27739925 \h </w:instrText>
      </w:r>
      <w:r w:rsidR="00B423D7">
        <w:fldChar w:fldCharType="separate"/>
      </w:r>
      <w:r w:rsidR="00EA74FF">
        <w:t>1</w:t>
      </w:r>
      <w:r w:rsidR="00B423D7">
        <w:fldChar w:fldCharType="end"/>
      </w:r>
    </w:p>
    <w:p w14:paraId="6C1AB055" w14:textId="27597489" w:rsidR="00B423D7" w:rsidRDefault="00B423D7">
      <w:pPr>
        <w:pStyle w:val="TOC1"/>
        <w:rPr>
          <w:rFonts w:asciiTheme="minorHAnsi" w:eastAsiaTheme="minorEastAsia" w:hAnsiTheme="minorHAnsi" w:cstheme="minorBidi"/>
          <w:noProof/>
          <w:sz w:val="22"/>
          <w:szCs w:val="22"/>
        </w:rPr>
      </w:pPr>
      <w:r>
        <w:rPr>
          <w:noProof/>
        </w:rPr>
        <w:t>Chapter 1</w:t>
      </w:r>
      <w:r>
        <w:rPr>
          <w:rFonts w:asciiTheme="minorHAnsi" w:eastAsiaTheme="minorEastAsia" w:hAnsiTheme="minorHAnsi" w:cstheme="minorBidi"/>
          <w:noProof/>
          <w:sz w:val="22"/>
          <w:szCs w:val="22"/>
        </w:rPr>
        <w:tab/>
      </w:r>
      <w:r>
        <w:rPr>
          <w:noProof/>
        </w:rPr>
        <w:t>ASIC Directions</w:t>
      </w:r>
      <w:r>
        <w:rPr>
          <w:noProof/>
        </w:rPr>
        <w:tab/>
      </w:r>
      <w:r>
        <w:rPr>
          <w:noProof/>
        </w:rPr>
        <w:fldChar w:fldCharType="begin"/>
      </w:r>
      <w:r>
        <w:rPr>
          <w:noProof/>
        </w:rPr>
        <w:instrText xml:space="preserve"> PAGEREF _Toc27739927 \h </w:instrText>
      </w:r>
      <w:r>
        <w:rPr>
          <w:noProof/>
        </w:rPr>
      </w:r>
      <w:r>
        <w:rPr>
          <w:noProof/>
        </w:rPr>
        <w:fldChar w:fldCharType="separate"/>
      </w:r>
      <w:r w:rsidR="00EA74FF">
        <w:rPr>
          <w:noProof/>
        </w:rPr>
        <w:t>3</w:t>
      </w:r>
      <w:r>
        <w:rPr>
          <w:noProof/>
        </w:rPr>
        <w:fldChar w:fldCharType="end"/>
      </w:r>
    </w:p>
    <w:p w14:paraId="2A0ECA55" w14:textId="2DFE589B" w:rsidR="00E5385B" w:rsidRDefault="00734F84" w:rsidP="00295ABD">
      <w:pPr>
        <w:rPr>
          <w:rFonts w:ascii="Helvetica" w:hAnsi="Helvetica"/>
          <w:noProof/>
          <w:sz w:val="24"/>
        </w:rPr>
      </w:pPr>
      <w:r>
        <w:rPr>
          <w:rFonts w:ascii="Helvetica" w:hAnsi="Helvetica"/>
          <w:noProof/>
          <w:sz w:val="24"/>
        </w:rPr>
        <w:fldChar w:fldCharType="end"/>
      </w:r>
    </w:p>
    <w:p w14:paraId="1474D834" w14:textId="77777777" w:rsidR="00B17774" w:rsidRDefault="00B17774" w:rsidP="00B17774">
      <w:pPr>
        <w:pStyle w:val="Hiddentext"/>
      </w:pPr>
    </w:p>
    <w:p w14:paraId="6196F4A4" w14:textId="77777777" w:rsidR="00B17774" w:rsidRDefault="00B17774" w:rsidP="00B17774">
      <w:pPr>
        <w:pStyle w:val="base-text-paragraphnonumbers"/>
        <w:sectPr w:rsidR="00B17774" w:rsidSect="00E74E50">
          <w:headerReference w:type="even" r:id="rId20"/>
          <w:headerReference w:type="default" r:id="rId21"/>
          <w:footerReference w:type="even" r:id="rId22"/>
          <w:footerReference w:type="default" r:id="rId23"/>
          <w:headerReference w:type="first" r:id="rId24"/>
          <w:footerReference w:type="first" r:id="rId25"/>
          <w:type w:val="oddPage"/>
          <w:pgSz w:w="9979" w:h="14175" w:code="9"/>
          <w:pgMar w:top="567" w:right="1134" w:bottom="567" w:left="1134" w:header="709" w:footer="709" w:gutter="0"/>
          <w:cols w:space="708"/>
          <w:titlePg/>
          <w:docGrid w:linePitch="360"/>
        </w:sectPr>
      </w:pPr>
    </w:p>
    <w:p w14:paraId="773428CB" w14:textId="77777777" w:rsidR="00B17774" w:rsidRPr="00567602" w:rsidRDefault="00B17774" w:rsidP="00567602">
      <w:pPr>
        <w:pStyle w:val="Chapterheadingsubdocument"/>
      </w:pPr>
      <w:bookmarkStart w:id="2" w:name="_Toc27729604"/>
      <w:bookmarkStart w:id="3" w:name="_Toc27735633"/>
      <w:bookmarkStart w:id="4" w:name="_Toc27739925"/>
      <w:r w:rsidRPr="00567602">
        <w:rPr>
          <w:rStyle w:val="ChapterNameOnly"/>
        </w:rPr>
        <w:lastRenderedPageBreak/>
        <w:t>Glossary</w:t>
      </w:r>
      <w:bookmarkEnd w:id="2"/>
      <w:bookmarkEnd w:id="3"/>
      <w:bookmarkEnd w:id="4"/>
    </w:p>
    <w:p w14:paraId="270DDF32" w14:textId="77777777" w:rsidR="00B17774" w:rsidRDefault="00B17774" w:rsidP="00B17774">
      <w:pPr>
        <w:pStyle w:val="BTPwithextraspacing"/>
      </w:pPr>
      <w:r>
        <w:t>The following abbreviations and acronyms are used throughout this explanatory memorandum.</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1"/>
        <w:gridCol w:w="3885"/>
      </w:tblGrid>
      <w:tr w:rsidR="00B17774" w:rsidRPr="00123D96" w14:paraId="404BE2F6" w14:textId="77777777" w:rsidTr="007C76D7">
        <w:tc>
          <w:tcPr>
            <w:tcW w:w="2721" w:type="dxa"/>
          </w:tcPr>
          <w:p w14:paraId="5A3846EC" w14:textId="77777777" w:rsidR="00B17774" w:rsidRPr="00123D96" w:rsidRDefault="00B17774" w:rsidP="007C76D7">
            <w:pPr>
              <w:pStyle w:val="tableheaderwithintable"/>
            </w:pPr>
            <w:r w:rsidRPr="00123D96">
              <w:t>Abbreviation</w:t>
            </w:r>
          </w:p>
        </w:tc>
        <w:tc>
          <w:tcPr>
            <w:tcW w:w="3885" w:type="dxa"/>
          </w:tcPr>
          <w:p w14:paraId="3C05A9B2" w14:textId="77777777" w:rsidR="00B17774" w:rsidRPr="00123D96" w:rsidRDefault="00B17774" w:rsidP="007C76D7">
            <w:pPr>
              <w:pStyle w:val="tableheaderwithintable"/>
            </w:pPr>
            <w:r w:rsidRPr="00123D96">
              <w:t>Definition</w:t>
            </w:r>
          </w:p>
        </w:tc>
      </w:tr>
      <w:tr w:rsidR="00511263" w:rsidRPr="002C43E8" w14:paraId="16FCE602" w14:textId="77777777" w:rsidTr="007C76D7">
        <w:tc>
          <w:tcPr>
            <w:tcW w:w="2721" w:type="dxa"/>
          </w:tcPr>
          <w:p w14:paraId="3A4ED447" w14:textId="57AD9B06" w:rsidR="00511263" w:rsidRPr="002C43E8" w:rsidRDefault="00511263" w:rsidP="00511263">
            <w:pPr>
              <w:pStyle w:val="Glossarytabletext"/>
              <w:rPr>
                <w:lang w:val="en-US" w:eastAsia="en-US"/>
              </w:rPr>
            </w:pPr>
            <w:bookmarkStart w:id="5" w:name="GlossaryTableStart"/>
            <w:bookmarkEnd w:id="5"/>
            <w:r>
              <w:rPr>
                <w:lang w:val="en-US" w:eastAsia="en-US"/>
              </w:rPr>
              <w:t>Financial Services Royal Commission</w:t>
            </w:r>
          </w:p>
        </w:tc>
        <w:tc>
          <w:tcPr>
            <w:tcW w:w="3885" w:type="dxa"/>
          </w:tcPr>
          <w:p w14:paraId="7D328A9F" w14:textId="3A2110E5" w:rsidR="00511263" w:rsidRPr="002C43E8" w:rsidRDefault="00511263" w:rsidP="00511263">
            <w:pPr>
              <w:pStyle w:val="Glossarytabletext"/>
              <w:rPr>
                <w:lang w:val="en-US" w:eastAsia="en-US"/>
              </w:rPr>
            </w:pPr>
            <w:r>
              <w:rPr>
                <w:lang w:val="en-US" w:eastAsia="en-US"/>
              </w:rPr>
              <w:t>Royal Commission into Misconduct in the Banking, Superannuation and Financial Services Industry</w:t>
            </w:r>
          </w:p>
        </w:tc>
      </w:tr>
      <w:tr w:rsidR="00511263" w:rsidRPr="002C43E8" w14:paraId="3ED402B0" w14:textId="77777777" w:rsidTr="007C76D7">
        <w:tc>
          <w:tcPr>
            <w:tcW w:w="2721" w:type="dxa"/>
          </w:tcPr>
          <w:p w14:paraId="10FAACE7" w14:textId="3C2143C4" w:rsidR="00511263" w:rsidRPr="002C43E8" w:rsidRDefault="00511263" w:rsidP="00511263">
            <w:pPr>
              <w:pStyle w:val="Glossarytabletext"/>
              <w:rPr>
                <w:lang w:val="en-US" w:eastAsia="en-US"/>
              </w:rPr>
            </w:pPr>
            <w:r>
              <w:rPr>
                <w:lang w:val="en-US" w:eastAsia="en-US"/>
              </w:rPr>
              <w:t>ASIC</w:t>
            </w:r>
          </w:p>
        </w:tc>
        <w:tc>
          <w:tcPr>
            <w:tcW w:w="3885" w:type="dxa"/>
          </w:tcPr>
          <w:p w14:paraId="7BC7E61E" w14:textId="6693837A" w:rsidR="00511263" w:rsidRPr="002C43E8" w:rsidRDefault="00511263" w:rsidP="00511263">
            <w:pPr>
              <w:pStyle w:val="Glossarytabletext"/>
              <w:rPr>
                <w:lang w:val="en-US" w:eastAsia="en-US"/>
              </w:rPr>
            </w:pPr>
            <w:r>
              <w:rPr>
                <w:lang w:val="en-US" w:eastAsia="en-US"/>
              </w:rPr>
              <w:t>Australian Securities and Investment</w:t>
            </w:r>
            <w:r w:rsidR="00B91D01">
              <w:rPr>
                <w:lang w:val="en-US" w:eastAsia="en-US"/>
              </w:rPr>
              <w:t>s</w:t>
            </w:r>
            <w:r>
              <w:rPr>
                <w:lang w:val="en-US" w:eastAsia="en-US"/>
              </w:rPr>
              <w:t xml:space="preserve"> Commission</w:t>
            </w:r>
          </w:p>
        </w:tc>
      </w:tr>
      <w:tr w:rsidR="0094304A" w:rsidRPr="002C43E8" w14:paraId="0926DB12" w14:textId="77777777" w:rsidTr="007C76D7">
        <w:tc>
          <w:tcPr>
            <w:tcW w:w="2721" w:type="dxa"/>
          </w:tcPr>
          <w:p w14:paraId="312E98BF" w14:textId="1DB4D87B" w:rsidR="0094304A" w:rsidRDefault="0094304A" w:rsidP="00511263">
            <w:pPr>
              <w:pStyle w:val="Glossarytabletext"/>
              <w:rPr>
                <w:lang w:val="en-US" w:eastAsia="en-US"/>
              </w:rPr>
            </w:pPr>
            <w:r>
              <w:rPr>
                <w:lang w:val="en-US" w:eastAsia="en-US"/>
              </w:rPr>
              <w:t>APRA</w:t>
            </w:r>
          </w:p>
        </w:tc>
        <w:tc>
          <w:tcPr>
            <w:tcW w:w="3885" w:type="dxa"/>
          </w:tcPr>
          <w:p w14:paraId="63A6981F" w14:textId="61191E4C" w:rsidR="0094304A" w:rsidRDefault="0094304A" w:rsidP="00511263">
            <w:pPr>
              <w:pStyle w:val="Glossarytabletext"/>
              <w:rPr>
                <w:lang w:val="en-US" w:eastAsia="en-US"/>
              </w:rPr>
            </w:pPr>
            <w:r>
              <w:rPr>
                <w:lang w:val="en-US" w:eastAsia="en-US"/>
              </w:rPr>
              <w:t>Australian Prudential Regulation Authority</w:t>
            </w:r>
          </w:p>
        </w:tc>
      </w:tr>
      <w:tr w:rsidR="00511263" w:rsidRPr="002C43E8" w14:paraId="748C40EC" w14:textId="77777777" w:rsidTr="007C76D7">
        <w:tc>
          <w:tcPr>
            <w:tcW w:w="2721" w:type="dxa"/>
          </w:tcPr>
          <w:p w14:paraId="6677E217" w14:textId="0163F12B" w:rsidR="00511263" w:rsidRPr="002C43E8" w:rsidRDefault="00511263" w:rsidP="00511263">
            <w:pPr>
              <w:pStyle w:val="Glossarytabletext"/>
              <w:rPr>
                <w:lang w:val="en-US" w:eastAsia="en-US"/>
              </w:rPr>
            </w:pPr>
            <w:r>
              <w:rPr>
                <w:lang w:val="en-US" w:eastAsia="en-US"/>
              </w:rPr>
              <w:t>APRA Act</w:t>
            </w:r>
          </w:p>
        </w:tc>
        <w:tc>
          <w:tcPr>
            <w:tcW w:w="3885" w:type="dxa"/>
          </w:tcPr>
          <w:p w14:paraId="2029897D" w14:textId="4F1CFAF7" w:rsidR="00511263" w:rsidRPr="002C43E8" w:rsidRDefault="00511263" w:rsidP="00B91D01">
            <w:pPr>
              <w:pStyle w:val="Glossarytabletext"/>
              <w:rPr>
                <w:lang w:val="en-US" w:eastAsia="en-US"/>
              </w:rPr>
            </w:pPr>
            <w:r w:rsidRPr="00EC2C09">
              <w:rPr>
                <w:i/>
              </w:rPr>
              <w:t xml:space="preserve">Australian </w:t>
            </w:r>
            <w:r>
              <w:rPr>
                <w:i/>
              </w:rPr>
              <w:t>Prudential</w:t>
            </w:r>
            <w:r w:rsidRPr="00EC2C09">
              <w:rPr>
                <w:i/>
              </w:rPr>
              <w:t xml:space="preserve"> </w:t>
            </w:r>
            <w:r>
              <w:rPr>
                <w:i/>
              </w:rPr>
              <w:t>Regulation</w:t>
            </w:r>
            <w:r w:rsidRPr="00EC2C09">
              <w:t xml:space="preserve"> </w:t>
            </w:r>
            <w:r>
              <w:rPr>
                <w:i/>
              </w:rPr>
              <w:t>Authority</w:t>
            </w:r>
            <w:r w:rsidRPr="00EC2C09">
              <w:rPr>
                <w:i/>
              </w:rPr>
              <w:t xml:space="preserve"> Act </w:t>
            </w:r>
            <w:r>
              <w:rPr>
                <w:i/>
              </w:rPr>
              <w:t>1998</w:t>
            </w:r>
          </w:p>
        </w:tc>
      </w:tr>
      <w:tr w:rsidR="00511263" w:rsidRPr="002C43E8" w14:paraId="4B6B1A51" w14:textId="77777777" w:rsidTr="007C76D7">
        <w:tc>
          <w:tcPr>
            <w:tcW w:w="2721" w:type="dxa"/>
          </w:tcPr>
          <w:p w14:paraId="43A386A2" w14:textId="799D2718" w:rsidR="00511263" w:rsidRPr="002C43E8" w:rsidRDefault="00511263" w:rsidP="00511263">
            <w:pPr>
              <w:pStyle w:val="Glossarytabletext"/>
              <w:rPr>
                <w:lang w:val="en-US" w:eastAsia="en-US"/>
              </w:rPr>
            </w:pPr>
            <w:r>
              <w:rPr>
                <w:lang w:val="en-US" w:eastAsia="en-US"/>
              </w:rPr>
              <w:t>ASIC Act</w:t>
            </w:r>
          </w:p>
        </w:tc>
        <w:tc>
          <w:tcPr>
            <w:tcW w:w="3885" w:type="dxa"/>
          </w:tcPr>
          <w:p w14:paraId="7370DA14" w14:textId="1CF1C26D" w:rsidR="00511263" w:rsidRPr="002C43E8" w:rsidRDefault="00511263" w:rsidP="00511263">
            <w:pPr>
              <w:pStyle w:val="Glossarytabletext"/>
              <w:rPr>
                <w:lang w:val="en-US" w:eastAsia="en-US"/>
              </w:rPr>
            </w:pPr>
            <w:r w:rsidRPr="00EC2C09">
              <w:rPr>
                <w:i/>
              </w:rPr>
              <w:t>Australian Securities and Investments</w:t>
            </w:r>
            <w:r w:rsidRPr="00EC2C09">
              <w:t xml:space="preserve"> </w:t>
            </w:r>
            <w:r w:rsidRPr="00EC2C09">
              <w:rPr>
                <w:i/>
              </w:rPr>
              <w:t>Commission Act 2001</w:t>
            </w:r>
          </w:p>
        </w:tc>
      </w:tr>
      <w:tr w:rsidR="009B0E1B" w:rsidRPr="002C43E8" w14:paraId="7505AFD9" w14:textId="77777777" w:rsidTr="007C76D7">
        <w:tc>
          <w:tcPr>
            <w:tcW w:w="2721" w:type="dxa"/>
          </w:tcPr>
          <w:p w14:paraId="05BFBD88" w14:textId="186CBD1B" w:rsidR="009B0E1B" w:rsidRDefault="009B0E1B" w:rsidP="009B0E1B">
            <w:pPr>
              <w:pStyle w:val="Glossarytabletext"/>
              <w:rPr>
                <w:lang w:val="en-US" w:eastAsia="en-US"/>
              </w:rPr>
            </w:pPr>
            <w:r>
              <w:rPr>
                <w:lang w:val="en-US" w:eastAsia="en-US"/>
              </w:rPr>
              <w:t>Credit Act</w:t>
            </w:r>
          </w:p>
        </w:tc>
        <w:tc>
          <w:tcPr>
            <w:tcW w:w="3885" w:type="dxa"/>
          </w:tcPr>
          <w:p w14:paraId="27D6C30E" w14:textId="332F1CEF" w:rsidR="009B0E1B" w:rsidRPr="00EC2C09" w:rsidRDefault="009B0E1B" w:rsidP="00511263">
            <w:pPr>
              <w:pStyle w:val="Glossarytabletext"/>
              <w:rPr>
                <w:i/>
              </w:rPr>
            </w:pPr>
            <w:r>
              <w:rPr>
                <w:i/>
              </w:rPr>
              <w:t>National Consumer Credit Protection Act 2009</w:t>
            </w:r>
          </w:p>
        </w:tc>
      </w:tr>
      <w:tr w:rsidR="009B0E1B" w:rsidRPr="002C43E8" w14:paraId="0B8BAF58" w14:textId="77777777" w:rsidTr="007C76D7">
        <w:tc>
          <w:tcPr>
            <w:tcW w:w="2721" w:type="dxa"/>
          </w:tcPr>
          <w:p w14:paraId="764E32BE" w14:textId="17316D09" w:rsidR="009B0E1B" w:rsidRDefault="009B0E1B" w:rsidP="009B0E1B">
            <w:pPr>
              <w:pStyle w:val="Glossarytabletext"/>
              <w:rPr>
                <w:lang w:val="en-US" w:eastAsia="en-US"/>
              </w:rPr>
            </w:pPr>
            <w:r>
              <w:rPr>
                <w:lang w:val="en-US" w:eastAsia="en-US"/>
              </w:rPr>
              <w:t>Corporations Act</w:t>
            </w:r>
          </w:p>
        </w:tc>
        <w:tc>
          <w:tcPr>
            <w:tcW w:w="3885" w:type="dxa"/>
          </w:tcPr>
          <w:p w14:paraId="30FD96B7" w14:textId="7B2A784F" w:rsidR="009B0E1B" w:rsidRDefault="009B0E1B" w:rsidP="00511263">
            <w:pPr>
              <w:pStyle w:val="Glossarytabletext"/>
              <w:rPr>
                <w:i/>
              </w:rPr>
            </w:pPr>
            <w:r>
              <w:rPr>
                <w:i/>
              </w:rPr>
              <w:t>Corporations Act 2001</w:t>
            </w:r>
          </w:p>
        </w:tc>
      </w:tr>
      <w:tr w:rsidR="00511263" w:rsidRPr="002C43E8" w14:paraId="5542F812" w14:textId="77777777" w:rsidTr="007C76D7">
        <w:tc>
          <w:tcPr>
            <w:tcW w:w="2721" w:type="dxa"/>
          </w:tcPr>
          <w:p w14:paraId="66DD6260" w14:textId="644A1973" w:rsidR="00511263" w:rsidRPr="002C43E8" w:rsidRDefault="00681024" w:rsidP="00511263">
            <w:pPr>
              <w:pStyle w:val="Glossarytabletext"/>
              <w:rPr>
                <w:lang w:val="en-US" w:eastAsia="en-US"/>
              </w:rPr>
            </w:pPr>
            <w:r>
              <w:rPr>
                <w:lang w:val="en-US" w:eastAsia="en-US"/>
              </w:rPr>
              <w:t>Bill</w:t>
            </w:r>
          </w:p>
        </w:tc>
        <w:tc>
          <w:tcPr>
            <w:tcW w:w="3885" w:type="dxa"/>
          </w:tcPr>
          <w:p w14:paraId="5613EB9E" w14:textId="73946A75" w:rsidR="00511263" w:rsidRPr="002C43E8" w:rsidRDefault="00B91D01" w:rsidP="00511263">
            <w:pPr>
              <w:pStyle w:val="Glossarytabletext"/>
              <w:rPr>
                <w:lang w:val="en-US" w:eastAsia="en-US"/>
              </w:rPr>
            </w:pPr>
            <w:r>
              <w:rPr>
                <w:lang w:val="en-US" w:eastAsia="en-US"/>
              </w:rPr>
              <w:t>Financial Sector Reform (Hayne Royal Commission Response</w:t>
            </w:r>
            <w:r w:rsidRPr="00B91D01">
              <w:rPr>
                <w:lang w:val="en-US" w:eastAsia="en-US"/>
              </w:rPr>
              <w:t>—Stronger</w:t>
            </w:r>
            <w:r>
              <w:rPr>
                <w:lang w:val="en-US" w:eastAsia="en-US"/>
              </w:rPr>
              <w:t xml:space="preserve"> Regulators (2020 Measures)) Bill 2020: FSRC rec 7.2 (ASIC directions)</w:t>
            </w:r>
          </w:p>
        </w:tc>
      </w:tr>
      <w:tr w:rsidR="00511263" w:rsidRPr="002C43E8" w14:paraId="7594F30C" w14:textId="77777777" w:rsidTr="007C76D7">
        <w:tc>
          <w:tcPr>
            <w:tcW w:w="2721" w:type="dxa"/>
          </w:tcPr>
          <w:p w14:paraId="0533A50E" w14:textId="77A75CF2" w:rsidR="00511263" w:rsidRPr="002C43E8" w:rsidRDefault="00E364C4" w:rsidP="00E364C4">
            <w:pPr>
              <w:pStyle w:val="Glossarytabletext"/>
              <w:rPr>
                <w:lang w:val="en-US" w:eastAsia="en-US"/>
              </w:rPr>
            </w:pPr>
            <w:r>
              <w:rPr>
                <w:lang w:val="en-US" w:eastAsia="en-US"/>
              </w:rPr>
              <w:t>AFS</w:t>
            </w:r>
            <w:r w:rsidR="00B06259">
              <w:rPr>
                <w:lang w:val="en-US" w:eastAsia="en-US"/>
              </w:rPr>
              <w:t xml:space="preserve"> </w:t>
            </w:r>
            <w:proofErr w:type="spellStart"/>
            <w:r w:rsidR="00B06259">
              <w:rPr>
                <w:lang w:val="en-US" w:eastAsia="en-US"/>
              </w:rPr>
              <w:t>licence</w:t>
            </w:r>
            <w:proofErr w:type="spellEnd"/>
          </w:p>
        </w:tc>
        <w:tc>
          <w:tcPr>
            <w:tcW w:w="3885" w:type="dxa"/>
          </w:tcPr>
          <w:p w14:paraId="294FCDBF" w14:textId="2DF1DEEE" w:rsidR="00511263" w:rsidRPr="002C43E8" w:rsidRDefault="00E364C4" w:rsidP="00E364C4">
            <w:pPr>
              <w:pStyle w:val="Glossarytabletext"/>
              <w:rPr>
                <w:lang w:val="en-US" w:eastAsia="en-US"/>
              </w:rPr>
            </w:pPr>
            <w:r>
              <w:rPr>
                <w:lang w:val="en-US" w:eastAsia="en-US"/>
              </w:rPr>
              <w:t xml:space="preserve">Australian </w:t>
            </w:r>
            <w:r w:rsidR="00A21707">
              <w:rPr>
                <w:lang w:val="en-US" w:eastAsia="en-US"/>
              </w:rPr>
              <w:t>f</w:t>
            </w:r>
            <w:r>
              <w:rPr>
                <w:lang w:val="en-US" w:eastAsia="en-US"/>
              </w:rPr>
              <w:t xml:space="preserve">inancial </w:t>
            </w:r>
            <w:r w:rsidR="00A21707">
              <w:rPr>
                <w:lang w:val="en-US" w:eastAsia="en-US"/>
              </w:rPr>
              <w:t>s</w:t>
            </w:r>
            <w:r>
              <w:rPr>
                <w:lang w:val="en-US" w:eastAsia="en-US"/>
              </w:rPr>
              <w:t xml:space="preserve">ervices </w:t>
            </w:r>
            <w:proofErr w:type="spellStart"/>
            <w:r w:rsidR="00A21707">
              <w:rPr>
                <w:lang w:val="en-US" w:eastAsia="en-US"/>
              </w:rPr>
              <w:t>l</w:t>
            </w:r>
            <w:r>
              <w:rPr>
                <w:lang w:val="en-US" w:eastAsia="en-US"/>
              </w:rPr>
              <w:t>icence</w:t>
            </w:r>
            <w:proofErr w:type="spellEnd"/>
          </w:p>
        </w:tc>
      </w:tr>
      <w:tr w:rsidR="00E364C4" w:rsidRPr="002C43E8" w14:paraId="4C98A279" w14:textId="77777777" w:rsidTr="007C76D7">
        <w:tc>
          <w:tcPr>
            <w:tcW w:w="2721" w:type="dxa"/>
          </w:tcPr>
          <w:p w14:paraId="19215CB1" w14:textId="33021B51" w:rsidR="00E364C4" w:rsidRDefault="00B06259" w:rsidP="00E364C4">
            <w:pPr>
              <w:pStyle w:val="Glossarytabletext"/>
              <w:rPr>
                <w:lang w:val="en-US" w:eastAsia="en-US"/>
              </w:rPr>
            </w:pPr>
            <w:r>
              <w:rPr>
                <w:lang w:val="en-US" w:eastAsia="en-US"/>
              </w:rPr>
              <w:t xml:space="preserve">Credit </w:t>
            </w:r>
            <w:proofErr w:type="spellStart"/>
            <w:r w:rsidR="00A21707">
              <w:rPr>
                <w:lang w:val="en-US" w:eastAsia="en-US"/>
              </w:rPr>
              <w:t>licenc</w:t>
            </w:r>
            <w:r>
              <w:rPr>
                <w:lang w:val="en-US" w:eastAsia="en-US"/>
              </w:rPr>
              <w:t>e</w:t>
            </w:r>
            <w:proofErr w:type="spellEnd"/>
          </w:p>
        </w:tc>
        <w:tc>
          <w:tcPr>
            <w:tcW w:w="3885" w:type="dxa"/>
          </w:tcPr>
          <w:p w14:paraId="2FEDB07E" w14:textId="6532E232" w:rsidR="00E364C4" w:rsidRDefault="00E364C4" w:rsidP="00E364C4">
            <w:pPr>
              <w:pStyle w:val="Glossarytabletext"/>
              <w:rPr>
                <w:lang w:val="en-US" w:eastAsia="en-US"/>
              </w:rPr>
            </w:pPr>
            <w:r>
              <w:rPr>
                <w:lang w:val="en-US" w:eastAsia="en-US"/>
              </w:rPr>
              <w:t xml:space="preserve">Australian </w:t>
            </w:r>
            <w:r w:rsidR="00A21707">
              <w:rPr>
                <w:lang w:val="en-US" w:eastAsia="en-US"/>
              </w:rPr>
              <w:t>c</w:t>
            </w:r>
            <w:r>
              <w:rPr>
                <w:lang w:val="en-US" w:eastAsia="en-US"/>
              </w:rPr>
              <w:t xml:space="preserve">redit </w:t>
            </w:r>
            <w:proofErr w:type="spellStart"/>
            <w:r w:rsidR="00A21707">
              <w:rPr>
                <w:lang w:val="en-US" w:eastAsia="en-US"/>
              </w:rPr>
              <w:t>l</w:t>
            </w:r>
            <w:r>
              <w:rPr>
                <w:lang w:val="en-US" w:eastAsia="en-US"/>
              </w:rPr>
              <w:t>icence</w:t>
            </w:r>
            <w:proofErr w:type="spellEnd"/>
          </w:p>
        </w:tc>
      </w:tr>
      <w:tr w:rsidR="00634C5A" w:rsidRPr="002C43E8" w14:paraId="3320175F" w14:textId="77777777" w:rsidTr="007C76D7">
        <w:tc>
          <w:tcPr>
            <w:tcW w:w="2721" w:type="dxa"/>
          </w:tcPr>
          <w:p w14:paraId="6E63CCA9" w14:textId="65B21A76" w:rsidR="00634C5A" w:rsidRDefault="00634C5A" w:rsidP="00E364C4">
            <w:pPr>
              <w:pStyle w:val="Glossarytabletext"/>
              <w:rPr>
                <w:lang w:val="en-US" w:eastAsia="en-US"/>
              </w:rPr>
            </w:pPr>
            <w:r>
              <w:rPr>
                <w:lang w:val="en-US" w:eastAsia="en-US"/>
              </w:rPr>
              <w:t>The Taskforce</w:t>
            </w:r>
          </w:p>
        </w:tc>
        <w:tc>
          <w:tcPr>
            <w:tcW w:w="3885" w:type="dxa"/>
          </w:tcPr>
          <w:p w14:paraId="05AF5A19" w14:textId="40EA1BF2" w:rsidR="00634C5A" w:rsidRDefault="00634C5A" w:rsidP="00E364C4">
            <w:pPr>
              <w:pStyle w:val="Glossarytabletext"/>
              <w:rPr>
                <w:lang w:val="en-US" w:eastAsia="en-US"/>
              </w:rPr>
            </w:pPr>
            <w:r>
              <w:rPr>
                <w:lang w:val="en-US" w:eastAsia="en-US"/>
              </w:rPr>
              <w:t>The ASIC Enforcement Review Taskforce</w:t>
            </w:r>
          </w:p>
        </w:tc>
      </w:tr>
    </w:tbl>
    <w:p w14:paraId="1415632C" w14:textId="77777777" w:rsidR="00E5385B" w:rsidRDefault="00E5385B" w:rsidP="00B17774"/>
    <w:p w14:paraId="138A496E" w14:textId="77777777" w:rsidR="00B17774" w:rsidRDefault="00B17774" w:rsidP="00B17774"/>
    <w:p w14:paraId="3B2FCE83" w14:textId="77777777" w:rsidR="00E679CA" w:rsidRDefault="00E679CA" w:rsidP="00B17774">
      <w:pPr>
        <w:sectPr w:rsidR="00E679CA" w:rsidSect="00E74E50">
          <w:headerReference w:type="even" r:id="rId26"/>
          <w:headerReference w:type="default" r:id="rId27"/>
          <w:footerReference w:type="even" r:id="rId28"/>
          <w:footerReference w:type="default" r:id="rId29"/>
          <w:footerReference w:type="first" r:id="rId30"/>
          <w:type w:val="oddPage"/>
          <w:pgSz w:w="9979" w:h="14175" w:code="9"/>
          <w:pgMar w:top="567" w:right="1134" w:bottom="567" w:left="1134" w:header="709" w:footer="709" w:gutter="0"/>
          <w:pgNumType w:start="1"/>
          <w:cols w:space="708"/>
          <w:titlePg/>
          <w:docGrid w:linePitch="360"/>
        </w:sectPr>
      </w:pPr>
    </w:p>
    <w:p w14:paraId="2DC8FFCC" w14:textId="2E0CE923" w:rsidR="00B17774" w:rsidRPr="007C2B20" w:rsidRDefault="00840701" w:rsidP="000C2A9D">
      <w:pPr>
        <w:pStyle w:val="ChapterHeading"/>
      </w:pPr>
      <w:r w:rsidRPr="000C2A9D">
        <w:lastRenderedPageBreak/>
        <w:br/>
      </w:r>
      <w:bookmarkStart w:id="6" w:name="_Toc27729606"/>
      <w:bookmarkStart w:id="7" w:name="_Toc27735635"/>
      <w:bookmarkStart w:id="8" w:name="_Toc27739927"/>
      <w:r w:rsidR="004323CC">
        <w:rPr>
          <w:rStyle w:val="ChapterNameOnly"/>
        </w:rPr>
        <w:t>ASIC Directions</w:t>
      </w:r>
      <w:bookmarkEnd w:id="6"/>
      <w:bookmarkEnd w:id="7"/>
      <w:bookmarkEnd w:id="8"/>
    </w:p>
    <w:p w14:paraId="130A05A9" w14:textId="77777777" w:rsidR="00B17774" w:rsidRDefault="00B17774" w:rsidP="00B17774">
      <w:pPr>
        <w:pStyle w:val="Heading2"/>
      </w:pPr>
      <w:r>
        <w:t>Outline of chapter</w:t>
      </w:r>
    </w:p>
    <w:p w14:paraId="0287E1FD" w14:textId="71E2940B" w:rsidR="00B17774" w:rsidRDefault="00681024" w:rsidP="003D32CC">
      <w:pPr>
        <w:pStyle w:val="base-text-paragraph"/>
        <w:tabs>
          <w:tab w:val="left" w:pos="1985"/>
        </w:tabs>
        <w:ind w:left="1134"/>
      </w:pPr>
      <w:r>
        <w:t xml:space="preserve">Schedule 1 to the Bill implements </w:t>
      </w:r>
      <w:r w:rsidR="00F77D21">
        <w:t xml:space="preserve">part of </w:t>
      </w:r>
      <w:r>
        <w:t>the Government</w:t>
      </w:r>
      <w:r w:rsidR="00717F4F">
        <w:t>’</w:t>
      </w:r>
      <w:r>
        <w:t>s response to recommendation 7.2 of the Financial Services Royal Commission</w:t>
      </w:r>
      <w:r w:rsidR="00F77D21">
        <w:t xml:space="preserve">, by </w:t>
      </w:r>
      <w:r w:rsidR="00E364C4">
        <w:t>providing ASIC with powers to give directions to AFS</w:t>
      </w:r>
      <w:r w:rsidR="000F2E69">
        <w:t xml:space="preserve"> licensees</w:t>
      </w:r>
      <w:r w:rsidR="00E364C4">
        <w:t xml:space="preserve"> and </w:t>
      </w:r>
      <w:r w:rsidR="000F2E69">
        <w:t>credit licensees</w:t>
      </w:r>
      <w:r w:rsidR="00F610E4" w:rsidRPr="00F610E4">
        <w:t xml:space="preserve"> </w:t>
      </w:r>
      <w:r w:rsidR="00F610E4">
        <w:t>in order to prevent or address suspected breaches of financial services law or credit legislation.</w:t>
      </w:r>
    </w:p>
    <w:p w14:paraId="31F5663A" w14:textId="77777777" w:rsidR="00B17774" w:rsidRDefault="00B17774" w:rsidP="00B17774">
      <w:pPr>
        <w:pStyle w:val="Heading2"/>
      </w:pPr>
      <w:r>
        <w:t>Context of amendments</w:t>
      </w:r>
    </w:p>
    <w:p w14:paraId="2A44053E" w14:textId="749AB898" w:rsidR="00511263" w:rsidRDefault="00511263" w:rsidP="00511263">
      <w:pPr>
        <w:pStyle w:val="Heading3"/>
      </w:pPr>
      <w:r>
        <w:t xml:space="preserve">Government’s response to the </w:t>
      </w:r>
      <w:r w:rsidR="008D0774">
        <w:t xml:space="preserve">Financial Services Royal Commission </w:t>
      </w:r>
      <w:r>
        <w:t>recommendations</w:t>
      </w:r>
    </w:p>
    <w:p w14:paraId="6E2920A0" w14:textId="5631A0AA" w:rsidR="00511263" w:rsidRDefault="00511263" w:rsidP="00A60854">
      <w:pPr>
        <w:pStyle w:val="base-text-paragraph"/>
        <w:tabs>
          <w:tab w:val="left" w:pos="1985"/>
        </w:tabs>
        <w:ind w:left="1134"/>
      </w:pPr>
      <w:r>
        <w:t xml:space="preserve">On 4 February 2019, the Government released its response to the Financial Services Royal Commission – </w:t>
      </w:r>
      <w:r w:rsidRPr="00511263">
        <w:rPr>
          <w:i/>
        </w:rPr>
        <w:t>Restoring trust in Australia’s financial system</w:t>
      </w:r>
      <w:r>
        <w:t>.</w:t>
      </w:r>
    </w:p>
    <w:p w14:paraId="099B8493" w14:textId="1DB01231" w:rsidR="00571784" w:rsidRDefault="00681024" w:rsidP="00A60854">
      <w:pPr>
        <w:pStyle w:val="base-text-paragraph"/>
        <w:tabs>
          <w:tab w:val="left" w:pos="1985"/>
        </w:tabs>
        <w:ind w:left="1134"/>
      </w:pPr>
      <w:r>
        <w:t xml:space="preserve">Schedule 1 to the Bill gives effect to </w:t>
      </w:r>
      <w:r w:rsidR="000C280D">
        <w:t>the Government’s</w:t>
      </w:r>
      <w:r w:rsidR="00CA6636">
        <w:t xml:space="preserve"> commitment </w:t>
      </w:r>
      <w:r w:rsidR="000C280D">
        <w:t xml:space="preserve">to implement the </w:t>
      </w:r>
      <w:r w:rsidR="00622AE0">
        <w:t xml:space="preserve">recommendations </w:t>
      </w:r>
      <w:r w:rsidR="000C280D">
        <w:t xml:space="preserve">from Chapter </w:t>
      </w:r>
      <w:r w:rsidR="002C4B5E">
        <w:t>8</w:t>
      </w:r>
      <w:r w:rsidR="000C280D">
        <w:t xml:space="preserve"> of the Taskforce review</w:t>
      </w:r>
      <w:r w:rsidR="00475B7D">
        <w:t>,</w:t>
      </w:r>
      <w:r w:rsidR="000C280D">
        <w:t xml:space="preserve"> </w:t>
      </w:r>
      <w:r w:rsidR="00CA6636">
        <w:t>made in response to recommendation 7.2 of the Financial Services Royal Commission.</w:t>
      </w:r>
    </w:p>
    <w:p w14:paraId="15F76177" w14:textId="00C8CA15" w:rsidR="00A638C2" w:rsidRDefault="00A638C2" w:rsidP="00A638C2">
      <w:pPr>
        <w:pStyle w:val="Heading3"/>
      </w:pPr>
      <w:r>
        <w:t>ASIC Enforcement Review Taskforce Report</w:t>
      </w:r>
    </w:p>
    <w:p w14:paraId="4D6F06E3" w14:textId="53A1391D" w:rsidR="00A638C2" w:rsidRDefault="000B2BA1" w:rsidP="00F66772">
      <w:pPr>
        <w:pStyle w:val="base-text-paragraph"/>
        <w:tabs>
          <w:tab w:val="left" w:pos="1985"/>
        </w:tabs>
        <w:ind w:left="1134"/>
      </w:pPr>
      <w:r>
        <w:t>The ASIC E</w:t>
      </w:r>
      <w:r w:rsidR="00A638C2">
        <w:t xml:space="preserve">nforcement Review Taskforce was established in response to a recommendation </w:t>
      </w:r>
      <w:r>
        <w:t>of the Financial System Inquiry.</w:t>
      </w:r>
    </w:p>
    <w:p w14:paraId="357D5541" w14:textId="7B6CB654" w:rsidR="00A638C2" w:rsidRDefault="00A638C2" w:rsidP="00F66772">
      <w:pPr>
        <w:pStyle w:val="base-text-paragraph"/>
        <w:tabs>
          <w:tab w:val="left" w:pos="1985"/>
        </w:tabs>
        <w:ind w:left="1134"/>
      </w:pPr>
      <w:r>
        <w:t>The Taskforce reviewed the enforcement regime of ASIC</w:t>
      </w:r>
      <w:r w:rsidR="000B2BA1">
        <w:t xml:space="preserve"> </w:t>
      </w:r>
      <w:r>
        <w:t xml:space="preserve">to assess the suitability of the existing regulatory tools available to it </w:t>
      </w:r>
      <w:r w:rsidR="000B2BA1">
        <w:t xml:space="preserve">in order </w:t>
      </w:r>
      <w:r>
        <w:t>to perform its functions adequately.</w:t>
      </w:r>
      <w:r w:rsidR="000B2BA1">
        <w:t xml:space="preserve"> A final report was delivered in December 2017 and made 50 recommendations.</w:t>
      </w:r>
    </w:p>
    <w:p w14:paraId="68459450" w14:textId="06B6B55A" w:rsidR="000B2BA1" w:rsidRPr="00A638C2" w:rsidRDefault="000B2BA1" w:rsidP="00A60854">
      <w:pPr>
        <w:pStyle w:val="base-text-paragraph"/>
        <w:tabs>
          <w:tab w:val="left" w:pos="1985"/>
        </w:tabs>
        <w:ind w:left="1134"/>
      </w:pPr>
      <w:r>
        <w:t xml:space="preserve">Chapter 8 of the final report made five recommendations, concluding that the Government should provide ASIC with a power to direct AFSL and </w:t>
      </w:r>
      <w:r w:rsidR="000F2E69">
        <w:t>Credit licensees</w:t>
      </w:r>
      <w:r>
        <w:t xml:space="preserve"> in order to address or prevent</w:t>
      </w:r>
      <w:r w:rsidR="00880223">
        <w:t xml:space="preserve"> risks to consumers.</w:t>
      </w:r>
    </w:p>
    <w:p w14:paraId="2080E372" w14:textId="77777777" w:rsidR="00CC230D" w:rsidRDefault="00CC230D" w:rsidP="00CC230D">
      <w:pPr>
        <w:pStyle w:val="Heading2"/>
        <w:keepLines/>
        <w:tabs>
          <w:tab w:val="center" w:pos="3855"/>
        </w:tabs>
      </w:pPr>
      <w:r>
        <w:br/>
      </w:r>
      <w:r>
        <w:br/>
      </w:r>
    </w:p>
    <w:p w14:paraId="02280315" w14:textId="0BA24789" w:rsidR="006961DA" w:rsidRDefault="00CC230D" w:rsidP="00CC230D">
      <w:pPr>
        <w:pStyle w:val="Heading2"/>
        <w:keepLines/>
        <w:tabs>
          <w:tab w:val="center" w:pos="3855"/>
        </w:tabs>
      </w:pPr>
      <w:r>
        <w:br w:type="column"/>
      </w:r>
      <w:r w:rsidR="00B17774">
        <w:lastRenderedPageBreak/>
        <w:t>Summary of new law</w:t>
      </w:r>
      <w:r w:rsidR="00013840">
        <w:tab/>
      </w:r>
    </w:p>
    <w:p w14:paraId="28B020FD" w14:textId="11182509" w:rsidR="006961DA" w:rsidRDefault="00087E04" w:rsidP="00CC230D">
      <w:pPr>
        <w:pStyle w:val="Diagram"/>
        <w:keepLines/>
        <w:jc w:val="both"/>
      </w:pPr>
      <w:r>
        <w:rPr>
          <w:noProof/>
        </w:rPr>
        <w:drawing>
          <wp:anchor distT="0" distB="0" distL="114300" distR="114300" simplePos="0" relativeHeight="251658240" behindDoc="1" locked="0" layoutInCell="1" allowOverlap="1" wp14:anchorId="114C70D4" wp14:editId="567FD6B0">
            <wp:simplePos x="0" y="0"/>
            <wp:positionH relativeFrom="column">
              <wp:posOffset>-129540</wp:posOffset>
            </wp:positionH>
            <wp:positionV relativeFrom="paragraph">
              <wp:posOffset>170180</wp:posOffset>
            </wp:positionV>
            <wp:extent cx="5111750" cy="63627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extLst>
                        <a:ext uri="{28A0092B-C50C-407E-A947-70E740481C1C}">
                          <a14:useLocalDpi xmlns:a14="http://schemas.microsoft.com/office/drawing/2010/main" val="0"/>
                        </a:ext>
                      </a:extLst>
                    </a:blip>
                    <a:stretch>
                      <a:fillRect/>
                    </a:stretch>
                  </pic:blipFill>
                  <pic:spPr>
                    <a:xfrm>
                      <a:off x="0" y="0"/>
                      <a:ext cx="5111750" cy="6362700"/>
                    </a:xfrm>
                    <a:prstGeom prst="rect">
                      <a:avLst/>
                    </a:prstGeom>
                  </pic:spPr>
                </pic:pic>
              </a:graphicData>
            </a:graphic>
            <wp14:sizeRelH relativeFrom="page">
              <wp14:pctWidth>0</wp14:pctWidth>
            </wp14:sizeRelH>
            <wp14:sizeRelV relativeFrom="page">
              <wp14:pctHeight>0</wp14:pctHeight>
            </wp14:sizeRelV>
          </wp:anchor>
        </w:drawing>
      </w:r>
      <w:r>
        <w:t xml:space="preserve"> Summary of ASIC directions procedure</w:t>
      </w:r>
    </w:p>
    <w:p w14:paraId="134EFD14" w14:textId="45683D85" w:rsidR="00B17774" w:rsidRDefault="006961DA" w:rsidP="00F610E4">
      <w:pPr>
        <w:pStyle w:val="Heading2"/>
        <w:keepLines/>
      </w:pPr>
      <w:r w:rsidRPr="000C7594">
        <w:br w:type="column"/>
      </w:r>
      <w:r w:rsidR="00B17774">
        <w:t>Detailed explanation of new law</w:t>
      </w:r>
    </w:p>
    <w:p w14:paraId="75A5D8C4" w14:textId="1221B9AE" w:rsidR="0015039E" w:rsidRDefault="0015039E" w:rsidP="0015039E">
      <w:pPr>
        <w:pStyle w:val="Heading3"/>
      </w:pPr>
      <w:r>
        <w:t>When can ASIC give a direction</w:t>
      </w:r>
    </w:p>
    <w:p w14:paraId="44FD40F3" w14:textId="33DBDC46" w:rsidR="0015039E" w:rsidRDefault="0022001F" w:rsidP="00A60854">
      <w:pPr>
        <w:pStyle w:val="base-text-paragraph"/>
        <w:tabs>
          <w:tab w:val="left" w:pos="1985"/>
        </w:tabs>
        <w:ind w:left="1134"/>
      </w:pPr>
      <w:r>
        <w:t>ASIC can give a direction to an AFS</w:t>
      </w:r>
      <w:r w:rsidR="00E81045">
        <w:t xml:space="preserve"> licensees</w:t>
      </w:r>
      <w:r>
        <w:t xml:space="preserve"> if ASIC has a re</w:t>
      </w:r>
      <w:r w:rsidR="00670E14">
        <w:t xml:space="preserve">ason to suspect that a licensee has, is or will engage in conduct </w:t>
      </w:r>
      <w:r w:rsidR="00A33F60">
        <w:t xml:space="preserve">that </w:t>
      </w:r>
      <w:r w:rsidR="00284E79">
        <w:t>contravenes the</w:t>
      </w:r>
      <w:r w:rsidR="00670E14">
        <w:t xml:space="preserve"> financial services </w:t>
      </w:r>
      <w:r w:rsidR="00B9766A">
        <w:t>law.</w:t>
      </w:r>
      <w:r w:rsidR="00653540">
        <w:rPr>
          <w:rStyle w:val="Referencingstyle"/>
        </w:rPr>
        <w:t xml:space="preserve"> [Schedule 1, item 1, subsection 918(1) of the Corporations Act]</w:t>
      </w:r>
    </w:p>
    <w:p w14:paraId="1AFD5753" w14:textId="4953771B" w:rsidR="00B9766A" w:rsidRDefault="00B9766A" w:rsidP="00A60854">
      <w:pPr>
        <w:pStyle w:val="base-text-paragraph"/>
        <w:tabs>
          <w:tab w:val="left" w:pos="1985"/>
        </w:tabs>
        <w:ind w:left="1134"/>
      </w:pPr>
      <w:r>
        <w:t xml:space="preserve">The term ‘financial services law’ </w:t>
      </w:r>
      <w:r w:rsidR="006C10B3">
        <w:t>is</w:t>
      </w:r>
      <w:r>
        <w:t xml:space="preserve"> </w:t>
      </w:r>
      <w:r w:rsidR="00653540">
        <w:t>defined</w:t>
      </w:r>
      <w:r>
        <w:t xml:space="preserve"> </w:t>
      </w:r>
      <w:r w:rsidR="006C10B3">
        <w:t>in</w:t>
      </w:r>
      <w:r w:rsidR="00653540">
        <w:t xml:space="preserve"> section 761A of the Corporations Act.</w:t>
      </w:r>
    </w:p>
    <w:p w14:paraId="64754B37" w14:textId="5A3D66DF" w:rsidR="00547A58" w:rsidRPr="00547A58" w:rsidRDefault="00B9766A" w:rsidP="00A60854">
      <w:pPr>
        <w:pStyle w:val="base-text-paragraph"/>
        <w:tabs>
          <w:tab w:val="left" w:pos="1985"/>
        </w:tabs>
        <w:ind w:left="1134"/>
        <w:rPr>
          <w:rStyle w:val="Referencingstyle"/>
          <w:b w:val="0"/>
          <w:i w:val="0"/>
          <w:sz w:val="22"/>
        </w:rPr>
      </w:pPr>
      <w:r>
        <w:t xml:space="preserve">ASIC can give a direction to </w:t>
      </w:r>
      <w:r w:rsidR="000F2E69">
        <w:t>credit licensees</w:t>
      </w:r>
      <w:r>
        <w:t xml:space="preserve"> if ASIC has a reason to suspect that a licensee has, is or will enga</w:t>
      </w:r>
      <w:r w:rsidR="00FB290D">
        <w:t>ge in conduct that</w:t>
      </w:r>
      <w:r>
        <w:t xml:space="preserve"> contravenes the credit legislation.</w:t>
      </w:r>
      <w:r w:rsidR="00653540" w:rsidRPr="00653540">
        <w:rPr>
          <w:rStyle w:val="Referencingstyle"/>
        </w:rPr>
        <w:t xml:space="preserve"> </w:t>
      </w:r>
      <w:r w:rsidR="00653540">
        <w:rPr>
          <w:rStyle w:val="Referencingstyle"/>
        </w:rPr>
        <w:t xml:space="preserve">[Schedule 1, item 2, subsection </w:t>
      </w:r>
      <w:r w:rsidR="007F729B">
        <w:rPr>
          <w:rStyle w:val="Referencingstyle"/>
        </w:rPr>
        <w:t>78B(</w:t>
      </w:r>
      <w:r w:rsidR="00653540">
        <w:rPr>
          <w:rStyle w:val="Referencingstyle"/>
        </w:rPr>
        <w:t>1) of the Credit Act]</w:t>
      </w:r>
    </w:p>
    <w:p w14:paraId="25BB0098" w14:textId="6F11764C" w:rsidR="00653540" w:rsidRDefault="00653540" w:rsidP="00A60854">
      <w:pPr>
        <w:pStyle w:val="base-text-paragraph"/>
        <w:tabs>
          <w:tab w:val="left" w:pos="1985"/>
        </w:tabs>
        <w:ind w:left="1134"/>
      </w:pPr>
      <w:r>
        <w:t xml:space="preserve">The term ‘credit legislation’ </w:t>
      </w:r>
      <w:r w:rsidR="006C10B3">
        <w:t>is</w:t>
      </w:r>
      <w:r>
        <w:t xml:space="preserve"> defined </w:t>
      </w:r>
      <w:r w:rsidR="006C10B3">
        <w:t>in</w:t>
      </w:r>
      <w:r>
        <w:t xml:space="preserve"> section </w:t>
      </w:r>
      <w:r w:rsidR="00FB290D">
        <w:t>5 of the Credit Act.</w:t>
      </w:r>
    </w:p>
    <w:p w14:paraId="606C374F" w14:textId="1E343B35" w:rsidR="006236FC" w:rsidRDefault="003F6877" w:rsidP="00F66772">
      <w:pPr>
        <w:pStyle w:val="base-text-paragraph"/>
        <w:tabs>
          <w:tab w:val="left" w:pos="1985"/>
        </w:tabs>
        <w:ind w:left="1134"/>
      </w:pPr>
      <w:r>
        <w:t>The directions are designed to be quick and efficient responses to the conduct of AFS</w:t>
      </w:r>
      <w:r w:rsidR="00E81045">
        <w:t xml:space="preserve"> licensees</w:t>
      </w:r>
      <w:r>
        <w:t xml:space="preserve"> and </w:t>
      </w:r>
      <w:r w:rsidR="000F2E69">
        <w:t>credit licensees</w:t>
      </w:r>
      <w:r w:rsidR="00A33F60">
        <w:t>, aimed at early regulatory intervention in order to better protect consumers.</w:t>
      </w:r>
    </w:p>
    <w:p w14:paraId="4B55518E" w14:textId="5C50466B" w:rsidR="00670E14" w:rsidRDefault="002E64B9" w:rsidP="00F66772">
      <w:pPr>
        <w:pStyle w:val="base-text-paragraph"/>
        <w:tabs>
          <w:tab w:val="left" w:pos="1985"/>
        </w:tabs>
        <w:ind w:left="1134"/>
      </w:pPr>
      <w:r>
        <w:t>For this reason, the threshold</w:t>
      </w:r>
      <w:r w:rsidR="00B9766A">
        <w:t xml:space="preserve"> for triggering a direction is that ASIC must have a</w:t>
      </w:r>
      <w:r>
        <w:t xml:space="preserve"> ‘reason to suspect’</w:t>
      </w:r>
      <w:r w:rsidR="00FB290D">
        <w:t xml:space="preserve"> that a licensee has, is or will engage in contravening conduct</w:t>
      </w:r>
      <w:r>
        <w:t>.</w:t>
      </w:r>
      <w:r w:rsidR="00A14D87">
        <w:t xml:space="preserve"> </w:t>
      </w:r>
      <w:r w:rsidR="004F454E">
        <w:rPr>
          <w:rStyle w:val="Referencingstyle"/>
        </w:rPr>
        <w:t>[Schedule 1, i</w:t>
      </w:r>
      <w:r w:rsidR="00A14D87">
        <w:rPr>
          <w:rStyle w:val="Referencingstyle"/>
        </w:rPr>
        <w:t>tem</w:t>
      </w:r>
      <w:r w:rsidR="004F454E">
        <w:rPr>
          <w:rStyle w:val="Referencingstyle"/>
        </w:rPr>
        <w:t>s</w:t>
      </w:r>
      <w:r w:rsidR="00A14D87">
        <w:rPr>
          <w:rStyle w:val="Referencingstyle"/>
        </w:rPr>
        <w:t xml:space="preserve"> 1</w:t>
      </w:r>
      <w:r w:rsidR="004F454E">
        <w:rPr>
          <w:rStyle w:val="Referencingstyle"/>
        </w:rPr>
        <w:t xml:space="preserve"> and 2</w:t>
      </w:r>
      <w:r w:rsidR="00A14D87">
        <w:rPr>
          <w:rStyle w:val="Referencingstyle"/>
        </w:rPr>
        <w:t xml:space="preserve">, subsection 918(1) of the Corporations Act and subsection </w:t>
      </w:r>
      <w:r w:rsidR="002975AF">
        <w:rPr>
          <w:rStyle w:val="Referencingstyle"/>
        </w:rPr>
        <w:t xml:space="preserve">78B(1) </w:t>
      </w:r>
      <w:r w:rsidR="00A14D87">
        <w:rPr>
          <w:rStyle w:val="Referencingstyle"/>
        </w:rPr>
        <w:t>of the Credit Act]</w:t>
      </w:r>
    </w:p>
    <w:p w14:paraId="124DC0EF" w14:textId="7F21CAC7" w:rsidR="000B3E1B" w:rsidRDefault="00FB290D" w:rsidP="00A60854">
      <w:pPr>
        <w:pStyle w:val="base-text-paragraph"/>
        <w:tabs>
          <w:tab w:val="left" w:pos="1985"/>
        </w:tabs>
        <w:ind w:left="1134"/>
      </w:pPr>
      <w:r>
        <w:t>The</w:t>
      </w:r>
      <w:r w:rsidR="002E64B9">
        <w:t xml:space="preserve"> </w:t>
      </w:r>
      <w:r w:rsidR="005520DE">
        <w:t xml:space="preserve">requirement for a regulator to have a </w:t>
      </w:r>
      <w:r>
        <w:t>‘</w:t>
      </w:r>
      <w:r w:rsidR="005520DE">
        <w:t>reason to suspect</w:t>
      </w:r>
      <w:r>
        <w:t>’</w:t>
      </w:r>
      <w:r w:rsidR="005520DE">
        <w:t xml:space="preserve"> </w:t>
      </w:r>
      <w:r w:rsidR="00717F4F">
        <w:t xml:space="preserve">is </w:t>
      </w:r>
      <w:r w:rsidR="006236FC">
        <w:t>a lower</w:t>
      </w:r>
      <w:r w:rsidR="005520DE">
        <w:t xml:space="preserve"> threshold than a </w:t>
      </w:r>
      <w:r w:rsidR="00B9766A">
        <w:t>‘</w:t>
      </w:r>
      <w:r w:rsidR="005520DE">
        <w:t>reason to believe</w:t>
      </w:r>
      <w:r w:rsidR="00B9766A">
        <w:t>’</w:t>
      </w:r>
      <w:r>
        <w:t>.</w:t>
      </w:r>
      <w:r w:rsidR="005520DE">
        <w:t xml:space="preserve"> This is an objective test based on the facts and circumstances of each case.</w:t>
      </w:r>
      <w:r w:rsidR="009E3994">
        <w:rPr>
          <w:rStyle w:val="Referencingstyle"/>
        </w:rPr>
        <w:t xml:space="preserve"> </w:t>
      </w:r>
    </w:p>
    <w:p w14:paraId="3DF77A4F" w14:textId="4D46F30A" w:rsidR="005520DE" w:rsidRDefault="00013D60" w:rsidP="00A60854">
      <w:pPr>
        <w:pStyle w:val="base-text-paragraph"/>
        <w:tabs>
          <w:tab w:val="left" w:pos="1985"/>
        </w:tabs>
        <w:ind w:left="1134"/>
      </w:pPr>
      <w:r>
        <w:t>The Bill allows a direction to be given in relation to one or more suspected contraventions.</w:t>
      </w:r>
      <w:r>
        <w:rPr>
          <w:rStyle w:val="Referencingstyle"/>
        </w:rPr>
        <w:t xml:space="preserve"> </w:t>
      </w:r>
      <w:r w:rsidR="00662D0A">
        <w:t>However, if a single entity is suspected of contravening both the financial services law and the credit legislation</w:t>
      </w:r>
      <w:r w:rsidR="000B3E1B">
        <w:t xml:space="preserve"> in a single course of conduct</w:t>
      </w:r>
      <w:r w:rsidR="00662D0A">
        <w:t>, a direction will need to be made</w:t>
      </w:r>
      <w:r w:rsidR="000B3E1B">
        <w:t xml:space="preserve"> under </w:t>
      </w:r>
      <w:r w:rsidR="00F96AF2">
        <w:t>both</w:t>
      </w:r>
      <w:r w:rsidR="00B96AC1">
        <w:t xml:space="preserve"> </w:t>
      </w:r>
      <w:r w:rsidR="000B3E1B">
        <w:t>the Corporations Act and the Credit Act.</w:t>
      </w:r>
      <w:r w:rsidRPr="00013D60">
        <w:rPr>
          <w:rStyle w:val="Referencingstyle"/>
        </w:rPr>
        <w:t xml:space="preserve"> </w:t>
      </w:r>
      <w:r>
        <w:rPr>
          <w:rStyle w:val="Referencingstyle"/>
        </w:rPr>
        <w:t>[Schedule 1</w:t>
      </w:r>
      <w:r w:rsidRPr="00A14D87">
        <w:rPr>
          <w:rStyle w:val="Referencingstyle"/>
        </w:rPr>
        <w:t>, item</w:t>
      </w:r>
      <w:r w:rsidR="009306A2">
        <w:rPr>
          <w:rStyle w:val="Referencingstyle"/>
        </w:rPr>
        <w:t>s</w:t>
      </w:r>
      <w:r w:rsidRPr="00A14D87">
        <w:rPr>
          <w:rStyle w:val="Referencingstyle"/>
        </w:rPr>
        <w:t xml:space="preserve"> </w:t>
      </w:r>
      <w:r>
        <w:rPr>
          <w:rStyle w:val="Referencingstyle"/>
        </w:rPr>
        <w:t>1 and 2, subsection 918(2)</w:t>
      </w:r>
      <w:r w:rsidRPr="00A14D87">
        <w:rPr>
          <w:rStyle w:val="Referencingstyle"/>
        </w:rPr>
        <w:t xml:space="preserve"> of </w:t>
      </w:r>
      <w:r>
        <w:rPr>
          <w:rStyle w:val="Referencingstyle"/>
        </w:rPr>
        <w:t xml:space="preserve">the Corporations </w:t>
      </w:r>
      <w:r w:rsidRPr="00A14D87">
        <w:rPr>
          <w:rStyle w:val="Referencingstyle"/>
        </w:rPr>
        <w:t>Act</w:t>
      </w:r>
      <w:r>
        <w:rPr>
          <w:rStyle w:val="Referencingstyle"/>
        </w:rPr>
        <w:t xml:space="preserve"> and subsection </w:t>
      </w:r>
      <w:r w:rsidR="002975AF">
        <w:rPr>
          <w:rStyle w:val="Referencingstyle"/>
        </w:rPr>
        <w:t>78B</w:t>
      </w:r>
      <w:r>
        <w:rPr>
          <w:rStyle w:val="Referencingstyle"/>
        </w:rPr>
        <w:t>(</w:t>
      </w:r>
      <w:r w:rsidR="002975AF">
        <w:rPr>
          <w:rStyle w:val="Referencingstyle"/>
        </w:rPr>
        <w:t>2</w:t>
      </w:r>
      <w:r>
        <w:rPr>
          <w:rStyle w:val="Referencingstyle"/>
        </w:rPr>
        <w:t>) of the Credit Act</w:t>
      </w:r>
      <w:r w:rsidRPr="00A14D87">
        <w:rPr>
          <w:rStyle w:val="Referencingstyle"/>
        </w:rPr>
        <w:t>]</w:t>
      </w:r>
    </w:p>
    <w:p w14:paraId="538CCAD0" w14:textId="7C77E883" w:rsidR="001853A8" w:rsidRDefault="001853A8" w:rsidP="001853A8">
      <w:pPr>
        <w:pStyle w:val="Heading4"/>
      </w:pPr>
      <w:r>
        <w:t>ASIC may give interim directions</w:t>
      </w:r>
    </w:p>
    <w:p w14:paraId="59EF9F16" w14:textId="54D03080" w:rsidR="002C0E9B" w:rsidRDefault="002C0E9B" w:rsidP="00F66772">
      <w:pPr>
        <w:pStyle w:val="base-text-paragraph"/>
        <w:tabs>
          <w:tab w:val="left" w:pos="1985"/>
        </w:tabs>
        <w:ind w:left="1134"/>
      </w:pPr>
      <w:r>
        <w:t xml:space="preserve">ASIC may give </w:t>
      </w:r>
      <w:r w:rsidR="00801F6A">
        <w:t xml:space="preserve">an </w:t>
      </w:r>
      <w:r>
        <w:t xml:space="preserve">interim direction to </w:t>
      </w:r>
      <w:r w:rsidR="00B96AC1">
        <w:t xml:space="preserve">a </w:t>
      </w:r>
      <w:r>
        <w:t xml:space="preserve">licensee if ASIC considers that a delay in giving a direction would be prejudicial to the public interest. </w:t>
      </w:r>
      <w:r w:rsidR="00B01BB9">
        <w:rPr>
          <w:rStyle w:val="Referencingstyle"/>
        </w:rPr>
        <w:t>[Schedule 1, items 1 and 2, section 918F of th</w:t>
      </w:r>
      <w:r w:rsidR="00401E13">
        <w:rPr>
          <w:rStyle w:val="Referencingstyle"/>
        </w:rPr>
        <w:t xml:space="preserve">e Corporations Act and section </w:t>
      </w:r>
      <w:r w:rsidR="00D77564">
        <w:rPr>
          <w:rStyle w:val="Referencingstyle"/>
        </w:rPr>
        <w:t>78H</w:t>
      </w:r>
      <w:r w:rsidR="00B01BB9">
        <w:rPr>
          <w:rStyle w:val="Referencingstyle"/>
        </w:rPr>
        <w:t xml:space="preserve"> of the Credit Act]</w:t>
      </w:r>
    </w:p>
    <w:p w14:paraId="1667FD4C" w14:textId="65105653" w:rsidR="002C0E9B" w:rsidRDefault="000D779A" w:rsidP="00F66772">
      <w:pPr>
        <w:pStyle w:val="base-text-paragraph"/>
        <w:tabs>
          <w:tab w:val="left" w:pos="1985"/>
        </w:tabs>
        <w:ind w:left="1134"/>
      </w:pPr>
      <w:r>
        <w:t>As there is a public interest in ASIC issuing a direction without delay, the</w:t>
      </w:r>
      <w:r w:rsidR="002C0E9B">
        <w:t xml:space="preserve"> procedural requirements for an interim direction are less rigorous than for a direction otherwise</w:t>
      </w:r>
      <w:r w:rsidR="00284E79">
        <w:t xml:space="preserve"> (see paragraphs 1.31</w:t>
      </w:r>
      <w:r w:rsidR="00C75397">
        <w:t xml:space="preserve"> to </w:t>
      </w:r>
      <w:r w:rsidR="00284E79">
        <w:t>1.40</w:t>
      </w:r>
      <w:r w:rsidR="004A79C7">
        <w:t>)</w:t>
      </w:r>
      <w:r w:rsidR="002C0E9B">
        <w:t xml:space="preserve">. Because of this, an interim direction will expire at the </w:t>
      </w:r>
      <w:r w:rsidR="00D47D59">
        <w:t xml:space="preserve">end </w:t>
      </w:r>
      <w:r w:rsidR="002C0E9B">
        <w:t>of a 21</w:t>
      </w:r>
      <w:r w:rsidR="003A5EAC">
        <w:t xml:space="preserve"> </w:t>
      </w:r>
      <w:r w:rsidR="002C0E9B">
        <w:t xml:space="preserve">day period from the day on which </w:t>
      </w:r>
      <w:r w:rsidR="004815B6">
        <w:t>it</w:t>
      </w:r>
      <w:r w:rsidR="002C0E9B">
        <w:t xml:space="preserve"> is given</w:t>
      </w:r>
      <w:r w:rsidR="004815B6">
        <w:t xml:space="preserve">, or if </w:t>
      </w:r>
      <w:r w:rsidR="002C0E9B">
        <w:t xml:space="preserve">a direction in relation to the same suspected contravention </w:t>
      </w:r>
      <w:r w:rsidR="004815B6">
        <w:t>is</w:t>
      </w:r>
      <w:r w:rsidR="002C0E9B">
        <w:t xml:space="preserve"> </w:t>
      </w:r>
      <w:r w:rsidR="006236FC">
        <w:t>given to the licensee</w:t>
      </w:r>
      <w:r w:rsidR="002C0E9B">
        <w:t>.</w:t>
      </w:r>
      <w:r w:rsidR="00B01BB9">
        <w:rPr>
          <w:rStyle w:val="Referencingstyle"/>
        </w:rPr>
        <w:t xml:space="preserve"> [Schedule 1, items 1 and 2, section 918H of the Corporations Act and section </w:t>
      </w:r>
      <w:r w:rsidR="00D77564">
        <w:rPr>
          <w:rStyle w:val="Referencingstyle"/>
        </w:rPr>
        <w:t>78K</w:t>
      </w:r>
      <w:r w:rsidR="00B01BB9">
        <w:rPr>
          <w:rStyle w:val="Referencingstyle"/>
        </w:rPr>
        <w:t xml:space="preserve"> of the Credit Act]</w:t>
      </w:r>
    </w:p>
    <w:p w14:paraId="287C0498" w14:textId="2E9B903A" w:rsidR="00A77F2E" w:rsidRDefault="002D61A3" w:rsidP="00A60854">
      <w:pPr>
        <w:pStyle w:val="base-text-paragraph"/>
        <w:tabs>
          <w:tab w:val="left" w:pos="1985"/>
        </w:tabs>
        <w:ind w:left="1134"/>
      </w:pPr>
      <w:r>
        <w:t xml:space="preserve">If a licensee contravenes an interim direction before </w:t>
      </w:r>
      <w:r w:rsidR="006236FC">
        <w:t>it ceases to have effect</w:t>
      </w:r>
      <w:r>
        <w:t>, that licensee’s liability to a civil penalty is not discharged solely because the interim direction is no longer in force.</w:t>
      </w:r>
    </w:p>
    <w:p w14:paraId="0C1360AD" w14:textId="162787EE" w:rsidR="000B3E1B" w:rsidRDefault="00A14D87" w:rsidP="00D122DB">
      <w:pPr>
        <w:pStyle w:val="Heading3"/>
        <w:keepLines/>
      </w:pPr>
      <w:r>
        <w:t>What directions can ASIC give</w:t>
      </w:r>
    </w:p>
    <w:p w14:paraId="7D28F950" w14:textId="6D1BE337" w:rsidR="00093281" w:rsidRDefault="00A14D87" w:rsidP="00D122DB">
      <w:pPr>
        <w:pStyle w:val="base-text-paragraph"/>
        <w:keepNext/>
        <w:keepLines/>
        <w:numPr>
          <w:ilvl w:val="1"/>
          <w:numId w:val="7"/>
        </w:numPr>
        <w:tabs>
          <w:tab w:val="left" w:pos="1985"/>
        </w:tabs>
        <w:ind w:left="1134"/>
      </w:pPr>
      <w:r>
        <w:t>The Bill provides</w:t>
      </w:r>
      <w:r w:rsidR="009E3994">
        <w:t xml:space="preserve"> a non-exhaustive list of directions that ASIC </w:t>
      </w:r>
      <w:r w:rsidR="00E6134A">
        <w:t xml:space="preserve">may </w:t>
      </w:r>
      <w:r w:rsidR="009E3994">
        <w:t>give t</w:t>
      </w:r>
      <w:r w:rsidR="007E4A4C">
        <w:t xml:space="preserve">o </w:t>
      </w:r>
      <w:r w:rsidR="001B3A46">
        <w:t>AFS licensees or credit licensees</w:t>
      </w:r>
      <w:r w:rsidR="00C11302">
        <w:t>.</w:t>
      </w:r>
      <w:r w:rsidR="00C11302" w:rsidRPr="00C11302">
        <w:t xml:space="preserve"> </w:t>
      </w:r>
      <w:r w:rsidR="00E6134A">
        <w:t>As the list of directions is non</w:t>
      </w:r>
      <w:r w:rsidR="004815B6">
        <w:noBreakHyphen/>
      </w:r>
      <w:r w:rsidR="00E6134A">
        <w:t xml:space="preserve">exhaustive, ASIC are not limited </w:t>
      </w:r>
      <w:r w:rsidR="003A09DC">
        <w:t xml:space="preserve">by the list as to the </w:t>
      </w:r>
      <w:r w:rsidR="00F46949">
        <w:t xml:space="preserve">substance of the </w:t>
      </w:r>
      <w:r w:rsidR="00E6134A">
        <w:t>direction</w:t>
      </w:r>
      <w:r w:rsidR="00F46949">
        <w:t>s they giv</w:t>
      </w:r>
      <w:r w:rsidR="003A09DC">
        <w:t xml:space="preserve">e. The list is however indicative of the kinds of directions </w:t>
      </w:r>
      <w:r w:rsidR="00A33F60">
        <w:t>that could be</w:t>
      </w:r>
      <w:r w:rsidR="003A09DC">
        <w:t xml:space="preserve"> used by ASIC under the new law.</w:t>
      </w:r>
      <w:r w:rsidR="007F4712" w:rsidRPr="007F4712">
        <w:rPr>
          <w:rStyle w:val="Referencingstyle"/>
        </w:rPr>
        <w:t xml:space="preserve"> </w:t>
      </w:r>
      <w:r w:rsidR="007F4712">
        <w:rPr>
          <w:rStyle w:val="Referencingstyle"/>
        </w:rPr>
        <w:t>[Schedule 1</w:t>
      </w:r>
      <w:r w:rsidR="007F4712" w:rsidRPr="00A14D87">
        <w:rPr>
          <w:rStyle w:val="Referencingstyle"/>
        </w:rPr>
        <w:t>, item</w:t>
      </w:r>
      <w:r w:rsidR="007F4712">
        <w:rPr>
          <w:rStyle w:val="Referencingstyle"/>
        </w:rPr>
        <w:t>s</w:t>
      </w:r>
      <w:r w:rsidR="007F4712" w:rsidRPr="00A14D87">
        <w:rPr>
          <w:rStyle w:val="Referencingstyle"/>
        </w:rPr>
        <w:t xml:space="preserve"> </w:t>
      </w:r>
      <w:r w:rsidR="007F4712">
        <w:rPr>
          <w:rStyle w:val="Referencingstyle"/>
        </w:rPr>
        <w:t>1 and 2, subsection 918(5)</w:t>
      </w:r>
      <w:r w:rsidR="007F4712" w:rsidRPr="00A14D87">
        <w:rPr>
          <w:rStyle w:val="Referencingstyle"/>
        </w:rPr>
        <w:t xml:space="preserve"> of </w:t>
      </w:r>
      <w:r w:rsidR="007F4712">
        <w:rPr>
          <w:rStyle w:val="Referencingstyle"/>
        </w:rPr>
        <w:t xml:space="preserve">the Corporations </w:t>
      </w:r>
      <w:r w:rsidR="007F4712" w:rsidRPr="00A14D87">
        <w:rPr>
          <w:rStyle w:val="Referencingstyle"/>
        </w:rPr>
        <w:t>Act</w:t>
      </w:r>
      <w:r w:rsidR="007F4712">
        <w:rPr>
          <w:rStyle w:val="Referencingstyle"/>
        </w:rPr>
        <w:t xml:space="preserve"> and subsection 78B(5) of the Credit Act</w:t>
      </w:r>
      <w:r w:rsidR="007F4712" w:rsidRPr="00A14D87">
        <w:rPr>
          <w:rStyle w:val="Referencingstyle"/>
        </w:rPr>
        <w:t>]</w:t>
      </w:r>
    </w:p>
    <w:p w14:paraId="320646E1" w14:textId="698A1082" w:rsidR="006236FC" w:rsidRDefault="006236FC" w:rsidP="00A60854">
      <w:pPr>
        <w:pStyle w:val="base-text-paragraph"/>
        <w:numPr>
          <w:ilvl w:val="1"/>
          <w:numId w:val="7"/>
        </w:numPr>
        <w:tabs>
          <w:tab w:val="left" w:pos="1985"/>
        </w:tabs>
        <w:ind w:left="1134"/>
      </w:pPr>
      <w:r>
        <w:t>The Bill provides that the list of directions can be extended by regulations.</w:t>
      </w:r>
      <w:r w:rsidR="00A81012">
        <w:t xml:space="preserve"> </w:t>
      </w:r>
      <w:r w:rsidR="008100D6">
        <w:t>Any types or kinds of directions that are being regularly made by ASIC, but that are not listed in the Bill</w:t>
      </w:r>
      <w:r w:rsidR="00284E79">
        <w:t>,</w:t>
      </w:r>
      <w:r w:rsidR="008100D6">
        <w:t xml:space="preserve"> are expected to be prescribed in the regulations to provide transparency to licensees.</w:t>
      </w:r>
      <w:r w:rsidR="00A81012">
        <w:t xml:space="preserve"> </w:t>
      </w:r>
      <w:r w:rsidR="007C1AD8">
        <w:t xml:space="preserve">Any regulations made </w:t>
      </w:r>
      <w:r w:rsidR="00A81012">
        <w:t>are</w:t>
      </w:r>
      <w:r w:rsidR="007C1AD8">
        <w:t xml:space="preserve"> subject to disallowance and parliamentary scrutiny. </w:t>
      </w:r>
      <w:r>
        <w:rPr>
          <w:rStyle w:val="Referencingstyle"/>
        </w:rPr>
        <w:t>[Schedule 1</w:t>
      </w:r>
      <w:r w:rsidRPr="00A14D87">
        <w:rPr>
          <w:rStyle w:val="Referencingstyle"/>
        </w:rPr>
        <w:t>, item</w:t>
      </w:r>
      <w:r>
        <w:rPr>
          <w:rStyle w:val="Referencingstyle"/>
        </w:rPr>
        <w:t>s</w:t>
      </w:r>
      <w:r w:rsidRPr="00A14D87">
        <w:rPr>
          <w:rStyle w:val="Referencingstyle"/>
        </w:rPr>
        <w:t xml:space="preserve"> </w:t>
      </w:r>
      <w:r>
        <w:rPr>
          <w:rStyle w:val="Referencingstyle"/>
        </w:rPr>
        <w:t>1 and 2, paragraph 918(5)(</w:t>
      </w:r>
      <w:r w:rsidR="007F4712">
        <w:rPr>
          <w:rStyle w:val="Referencingstyle"/>
        </w:rPr>
        <w:t>h</w:t>
      </w:r>
      <w:r>
        <w:rPr>
          <w:rStyle w:val="Referencingstyle"/>
        </w:rPr>
        <w:t>)</w:t>
      </w:r>
      <w:r w:rsidRPr="00A14D87">
        <w:rPr>
          <w:rStyle w:val="Referencingstyle"/>
        </w:rPr>
        <w:t xml:space="preserve"> of </w:t>
      </w:r>
      <w:r>
        <w:rPr>
          <w:rStyle w:val="Referencingstyle"/>
        </w:rPr>
        <w:t xml:space="preserve">the Corporations </w:t>
      </w:r>
      <w:r w:rsidRPr="00A14D87">
        <w:rPr>
          <w:rStyle w:val="Referencingstyle"/>
        </w:rPr>
        <w:t>Act</w:t>
      </w:r>
      <w:r>
        <w:rPr>
          <w:rStyle w:val="Referencingstyle"/>
        </w:rPr>
        <w:t xml:space="preserve"> and paragraph </w:t>
      </w:r>
      <w:r w:rsidR="007F4712">
        <w:rPr>
          <w:rStyle w:val="Referencingstyle"/>
        </w:rPr>
        <w:t>78B</w:t>
      </w:r>
      <w:r>
        <w:rPr>
          <w:rStyle w:val="Referencingstyle"/>
        </w:rPr>
        <w:t>(5)(</w:t>
      </w:r>
      <w:r w:rsidR="007F4712">
        <w:rPr>
          <w:rStyle w:val="Referencingstyle"/>
        </w:rPr>
        <w:t>h</w:t>
      </w:r>
      <w:r>
        <w:rPr>
          <w:rStyle w:val="Referencingstyle"/>
        </w:rPr>
        <w:t>) of the Credit Act</w:t>
      </w:r>
      <w:r w:rsidRPr="00A14D87">
        <w:rPr>
          <w:rStyle w:val="Referencingstyle"/>
        </w:rPr>
        <w:t>]</w:t>
      </w:r>
      <w:r w:rsidR="0052765D">
        <w:rPr>
          <w:rStyle w:val="Referencingstyle"/>
        </w:rPr>
        <w:t xml:space="preserve"> </w:t>
      </w:r>
    </w:p>
    <w:p w14:paraId="75419708" w14:textId="50FED71D" w:rsidR="003D2CAD" w:rsidRDefault="006236FC" w:rsidP="00A60854">
      <w:pPr>
        <w:pStyle w:val="base-text-paragraph"/>
        <w:numPr>
          <w:ilvl w:val="1"/>
          <w:numId w:val="7"/>
        </w:numPr>
        <w:tabs>
          <w:tab w:val="left" w:pos="1985"/>
        </w:tabs>
        <w:ind w:left="1134"/>
      </w:pPr>
      <w:r>
        <w:t>A</w:t>
      </w:r>
      <w:r w:rsidR="00C11302">
        <w:t xml:space="preserve"> direction must be given to a licensee in writing, and must be directed toward either addressing or preventing the </w:t>
      </w:r>
      <w:r w:rsidR="00AC7E9E">
        <w:t>suspected</w:t>
      </w:r>
      <w:r w:rsidR="00C11302">
        <w:t xml:space="preserve"> contravention that triggered the direction or preventing a similar or related contravention.</w:t>
      </w:r>
      <w:r w:rsidR="004F454E">
        <w:t xml:space="preserve"> </w:t>
      </w:r>
      <w:r w:rsidR="00BF1995">
        <w:rPr>
          <w:rStyle w:val="Referencingstyle"/>
        </w:rPr>
        <w:t>[Schedule 1</w:t>
      </w:r>
      <w:r w:rsidR="00BF1995" w:rsidRPr="00A14D87">
        <w:rPr>
          <w:rStyle w:val="Referencingstyle"/>
        </w:rPr>
        <w:t>, item</w:t>
      </w:r>
      <w:r w:rsidR="00BF1995">
        <w:rPr>
          <w:rStyle w:val="Referencingstyle"/>
        </w:rPr>
        <w:t>s</w:t>
      </w:r>
      <w:r w:rsidR="00BF1995" w:rsidRPr="00A14D87">
        <w:rPr>
          <w:rStyle w:val="Referencingstyle"/>
        </w:rPr>
        <w:t xml:space="preserve"> </w:t>
      </w:r>
      <w:r w:rsidR="00BF1995">
        <w:rPr>
          <w:rStyle w:val="Referencingstyle"/>
        </w:rPr>
        <w:t>1 and 2, subsection 918(3</w:t>
      </w:r>
      <w:r w:rsidR="007F4712">
        <w:rPr>
          <w:rStyle w:val="Referencingstyle"/>
        </w:rPr>
        <w:t>)</w:t>
      </w:r>
      <w:r w:rsidR="00BF1995" w:rsidRPr="00A14D87">
        <w:rPr>
          <w:rStyle w:val="Referencingstyle"/>
        </w:rPr>
        <w:t xml:space="preserve"> of </w:t>
      </w:r>
      <w:r w:rsidR="00BF1995">
        <w:rPr>
          <w:rStyle w:val="Referencingstyle"/>
        </w:rPr>
        <w:t xml:space="preserve">the Corporations </w:t>
      </w:r>
      <w:r w:rsidR="00BF1995" w:rsidRPr="00A14D87">
        <w:rPr>
          <w:rStyle w:val="Referencingstyle"/>
        </w:rPr>
        <w:t>Act</w:t>
      </w:r>
      <w:r w:rsidR="00BF1995">
        <w:rPr>
          <w:rStyle w:val="Referencingstyle"/>
        </w:rPr>
        <w:t xml:space="preserve"> and subsection </w:t>
      </w:r>
      <w:r w:rsidR="007F4712">
        <w:rPr>
          <w:rStyle w:val="Referencingstyle"/>
        </w:rPr>
        <w:t>78B</w:t>
      </w:r>
      <w:r w:rsidR="00BF1995">
        <w:rPr>
          <w:rStyle w:val="Referencingstyle"/>
        </w:rPr>
        <w:t>(</w:t>
      </w:r>
      <w:r w:rsidR="00F40191">
        <w:rPr>
          <w:rStyle w:val="Referencingstyle"/>
        </w:rPr>
        <w:t>3</w:t>
      </w:r>
      <w:r w:rsidR="007F4712">
        <w:rPr>
          <w:rStyle w:val="Referencingstyle"/>
        </w:rPr>
        <w:t xml:space="preserve">) </w:t>
      </w:r>
      <w:r w:rsidR="00BF1995">
        <w:rPr>
          <w:rStyle w:val="Referencingstyle"/>
        </w:rPr>
        <w:t>of the Credit Act</w:t>
      </w:r>
      <w:r w:rsidR="00BF1995" w:rsidRPr="00A14D87">
        <w:rPr>
          <w:rStyle w:val="Referencingstyle"/>
        </w:rPr>
        <w:t>]</w:t>
      </w:r>
    </w:p>
    <w:p w14:paraId="77D25633" w14:textId="77777777" w:rsidR="00863E46" w:rsidRDefault="00863E46" w:rsidP="00A60854">
      <w:pPr>
        <w:pStyle w:val="ExampleHeading"/>
      </w:pPr>
    </w:p>
    <w:p w14:paraId="667FDEC4" w14:textId="5DC20251" w:rsidR="000D779A" w:rsidRDefault="00F610E4" w:rsidP="00A60854">
      <w:pPr>
        <w:pStyle w:val="exampletext"/>
      </w:pPr>
      <w:r w:rsidRPr="00743ED6">
        <w:t xml:space="preserve">TY </w:t>
      </w:r>
      <w:r w:rsidR="00DA3C35">
        <w:t>Pty. Ltd</w:t>
      </w:r>
      <w:r w:rsidRPr="00743ED6">
        <w:t>.</w:t>
      </w:r>
      <w:r w:rsidR="000D779A" w:rsidRPr="00743ED6">
        <w:t xml:space="preserve"> Licensee identifies that a particular authorised representative has provided advice to clients that it is not in their best interest. This comes to ASIC’s attention as a result of </w:t>
      </w:r>
      <w:r w:rsidR="00743ED6" w:rsidRPr="00743ED6">
        <w:t xml:space="preserve">TY </w:t>
      </w:r>
      <w:r w:rsidR="00DA3C35">
        <w:t>Pty</w:t>
      </w:r>
      <w:r w:rsidR="00743ED6" w:rsidRPr="00743ED6">
        <w:t>.</w:t>
      </w:r>
      <w:r w:rsidR="00DA3C35">
        <w:t xml:space="preserve"> Ltd.</w:t>
      </w:r>
      <w:r w:rsidR="000D779A" w:rsidRPr="00743ED6">
        <w:t xml:space="preserve"> Licensee lodging a breach report about the conduct. </w:t>
      </w:r>
      <w:r w:rsidR="00AF6E25" w:rsidRPr="00743ED6">
        <w:t xml:space="preserve">As a result of the information in the breach report, ASIC has reason to suspect that </w:t>
      </w:r>
      <w:r w:rsidR="00743ED6" w:rsidRPr="00743ED6">
        <w:t xml:space="preserve">TY </w:t>
      </w:r>
      <w:r w:rsidR="00DA3C35">
        <w:t>Pty</w:t>
      </w:r>
      <w:r w:rsidR="00743ED6" w:rsidRPr="00743ED6">
        <w:t>.</w:t>
      </w:r>
      <w:r w:rsidR="00DA3C35">
        <w:t xml:space="preserve"> Ltd.</w:t>
      </w:r>
      <w:r w:rsidR="00743ED6" w:rsidRPr="00743ED6">
        <w:t xml:space="preserve"> Licensee</w:t>
      </w:r>
      <w:r w:rsidR="00AF6E25" w:rsidRPr="00743ED6">
        <w:t xml:space="preserve"> has breached the financial services law. In response to this, ASIC could direct </w:t>
      </w:r>
      <w:r w:rsidR="00743ED6" w:rsidRPr="00743ED6">
        <w:t xml:space="preserve">TY </w:t>
      </w:r>
      <w:r w:rsidR="00DA3C35">
        <w:t>Pty</w:t>
      </w:r>
      <w:r w:rsidR="00743ED6" w:rsidRPr="00743ED6">
        <w:t>.</w:t>
      </w:r>
      <w:r w:rsidR="00DA3C35">
        <w:t xml:space="preserve"> Ltd.</w:t>
      </w:r>
      <w:r w:rsidR="00AF6E25" w:rsidRPr="00743ED6">
        <w:t xml:space="preserve"> Licensee</w:t>
      </w:r>
      <w:r w:rsidR="00AF6E25">
        <w:t xml:space="preserve"> to:</w:t>
      </w:r>
    </w:p>
    <w:p w14:paraId="66025AA8" w14:textId="390539A6" w:rsidR="00863E46" w:rsidRDefault="00AF6E25" w:rsidP="00A60854">
      <w:pPr>
        <w:pStyle w:val="exampledotpoint1"/>
      </w:pPr>
      <w:r>
        <w:t xml:space="preserve">undertake a review of the records of </w:t>
      </w:r>
      <w:r w:rsidR="007451CE">
        <w:t>that particular</w:t>
      </w:r>
      <w:r>
        <w:t xml:space="preserve"> authorised representative to determine the extent of the misconduct;</w:t>
      </w:r>
    </w:p>
    <w:p w14:paraId="2257F2DB" w14:textId="7E8E488A" w:rsidR="00863E46" w:rsidRDefault="00AF6E25" w:rsidP="00A60854">
      <w:pPr>
        <w:pStyle w:val="exampledotpoint1"/>
      </w:pPr>
      <w:r>
        <w:t>report to ASIC on the outcomes of the review; and</w:t>
      </w:r>
    </w:p>
    <w:p w14:paraId="3960CA69" w14:textId="3602DB81" w:rsidR="00AF6E25" w:rsidRDefault="00580D48" w:rsidP="00A60854">
      <w:pPr>
        <w:pStyle w:val="exampledotpoint1"/>
      </w:pPr>
      <w:proofErr w:type="gramStart"/>
      <w:r>
        <w:t>not</w:t>
      </w:r>
      <w:proofErr w:type="gramEnd"/>
      <w:r w:rsidR="00743ED6">
        <w:t xml:space="preserve"> accept any new clients from </w:t>
      </w:r>
      <w:r w:rsidR="007451CE">
        <w:t xml:space="preserve">that particular </w:t>
      </w:r>
      <w:r>
        <w:t xml:space="preserve">authorised representative until it has reported back to ASIC on the outcomes of the review. </w:t>
      </w:r>
    </w:p>
    <w:p w14:paraId="2BD49181" w14:textId="3EF85871" w:rsidR="00070A24" w:rsidRDefault="00C9739F" w:rsidP="00F66772">
      <w:pPr>
        <w:pStyle w:val="base-text-paragraph"/>
        <w:tabs>
          <w:tab w:val="left" w:pos="1985"/>
        </w:tabs>
        <w:ind w:left="1134"/>
      </w:pPr>
      <w:r>
        <w:t>In this example, a</w:t>
      </w:r>
      <w:r w:rsidR="00070A24">
        <w:t xml:space="preserve"> direction to not accept new clients </w:t>
      </w:r>
      <w:r>
        <w:t xml:space="preserve">is </w:t>
      </w:r>
      <w:r w:rsidR="00C5270D">
        <w:t>aimed</w:t>
      </w:r>
      <w:r w:rsidR="00070A24">
        <w:t xml:space="preserve"> </w:t>
      </w:r>
      <w:r w:rsidR="00C5270D">
        <w:t>at</w:t>
      </w:r>
      <w:r w:rsidR="00070A24">
        <w:t xml:space="preserve"> preventing </w:t>
      </w:r>
      <w:r>
        <w:t xml:space="preserve">contraventions occurring, whilst a review of advice given by the </w:t>
      </w:r>
      <w:r w:rsidR="00284E79">
        <w:t>authorised representative</w:t>
      </w:r>
      <w:r>
        <w:t xml:space="preserve"> </w:t>
      </w:r>
      <w:r w:rsidR="003A5EAC">
        <w:t>is</w:t>
      </w:r>
      <w:r>
        <w:t xml:space="preserve"> </w:t>
      </w:r>
      <w:r w:rsidR="00AF7F97">
        <w:t>aimed at</w:t>
      </w:r>
      <w:r>
        <w:t xml:space="preserve"> addressing </w:t>
      </w:r>
      <w:r w:rsidR="00AC7E9E">
        <w:t xml:space="preserve">a suspected </w:t>
      </w:r>
      <w:r>
        <w:t>contravention.</w:t>
      </w:r>
    </w:p>
    <w:p w14:paraId="08B186A3" w14:textId="7DF805F2" w:rsidR="00C56DA6" w:rsidRDefault="00C5270D" w:rsidP="00F66772">
      <w:pPr>
        <w:pStyle w:val="base-text-paragraph"/>
        <w:tabs>
          <w:tab w:val="left" w:pos="1985"/>
        </w:tabs>
        <w:ind w:left="1134"/>
      </w:pPr>
      <w:r>
        <w:t xml:space="preserve">ASIC can direct a licensee to address a suspected contravention by way of implementing a scheme to </w:t>
      </w:r>
      <w:r w:rsidR="00C56DA6">
        <w:t xml:space="preserve">compensate </w:t>
      </w:r>
      <w:r>
        <w:t>person</w:t>
      </w:r>
      <w:r w:rsidR="00E35783">
        <w:t>s</w:t>
      </w:r>
      <w:r>
        <w:t xml:space="preserve"> who have suffered loss or damage due to that suspected con</w:t>
      </w:r>
      <w:r w:rsidR="00AC1D18">
        <w:t>travention.</w:t>
      </w:r>
      <w:r w:rsidR="00C56DA6">
        <w:t xml:space="preserve"> Compensation</w:t>
      </w:r>
      <w:r w:rsidR="001E77CF">
        <w:t xml:space="preserve"> </w:t>
      </w:r>
      <w:r w:rsidR="00C56DA6">
        <w:t>may involve both financial and non-financial redress.</w:t>
      </w:r>
      <w:r w:rsidR="001E77CF" w:rsidRPr="001E77CF">
        <w:rPr>
          <w:rStyle w:val="Referencingstyle"/>
        </w:rPr>
        <w:t xml:space="preserve"> </w:t>
      </w:r>
      <w:r w:rsidR="001E77CF">
        <w:rPr>
          <w:rStyle w:val="Referencingstyle"/>
        </w:rPr>
        <w:t xml:space="preserve">[Schedule 1, items 1 and 2, subsections 918(5) and (6) of the Corporations Act and subsections </w:t>
      </w:r>
      <w:r w:rsidR="007F4712">
        <w:rPr>
          <w:rStyle w:val="Referencingstyle"/>
        </w:rPr>
        <w:t>78B</w:t>
      </w:r>
      <w:r w:rsidR="001E77CF">
        <w:rPr>
          <w:rStyle w:val="Referencingstyle"/>
        </w:rPr>
        <w:t>(</w:t>
      </w:r>
      <w:r w:rsidR="007F4712">
        <w:rPr>
          <w:rStyle w:val="Referencingstyle"/>
        </w:rPr>
        <w:t>5</w:t>
      </w:r>
      <w:r w:rsidR="001E77CF">
        <w:rPr>
          <w:rStyle w:val="Referencingstyle"/>
        </w:rPr>
        <w:t>) and (</w:t>
      </w:r>
      <w:r w:rsidR="007F4712">
        <w:rPr>
          <w:rStyle w:val="Referencingstyle"/>
        </w:rPr>
        <w:t>6</w:t>
      </w:r>
      <w:r w:rsidR="001E77CF">
        <w:rPr>
          <w:rStyle w:val="Referencingstyle"/>
        </w:rPr>
        <w:t>) of the Credit Act]</w:t>
      </w:r>
    </w:p>
    <w:p w14:paraId="4B623844" w14:textId="52B2BA64" w:rsidR="00C5270D" w:rsidRDefault="00AC1D18" w:rsidP="003E240E">
      <w:pPr>
        <w:pStyle w:val="base-text-paragraph"/>
        <w:tabs>
          <w:tab w:val="left" w:pos="1985"/>
        </w:tabs>
        <w:ind w:left="1134"/>
      </w:pPr>
      <w:r>
        <w:t xml:space="preserve">The Bill sets out a number of matters which ASIC has discretion to include in a direction about a </w:t>
      </w:r>
      <w:r w:rsidR="00C56DA6">
        <w:t xml:space="preserve">compensation </w:t>
      </w:r>
      <w:r>
        <w:t>scheme.</w:t>
      </w:r>
      <w:r w:rsidR="001E77CF">
        <w:t xml:space="preserve"> </w:t>
      </w:r>
      <w:r>
        <w:t xml:space="preserve">A direction about a </w:t>
      </w:r>
      <w:r w:rsidR="00C56DA6">
        <w:t xml:space="preserve">compensation </w:t>
      </w:r>
      <w:r>
        <w:t>scheme may be at any level of specificity. ASIC may specify all elements of the scheme in detail if necessary,</w:t>
      </w:r>
      <w:r w:rsidR="00117928">
        <w:t xml:space="preserve"> or alternatively specify</w:t>
      </w:r>
      <w:r>
        <w:t xml:space="preserve"> only some </w:t>
      </w:r>
      <w:r w:rsidR="00117928">
        <w:t>elements</w:t>
      </w:r>
      <w:r>
        <w:t xml:space="preserve"> of the </w:t>
      </w:r>
      <w:r w:rsidR="00E35783">
        <w:t>scheme</w:t>
      </w:r>
      <w:r>
        <w:t xml:space="preserve">, with the licensee to </w:t>
      </w:r>
      <w:r w:rsidR="00117928">
        <w:t>implement the remaining parts as they see fit.</w:t>
      </w:r>
      <w:r w:rsidR="00117928" w:rsidRPr="00117928">
        <w:rPr>
          <w:rStyle w:val="Referencingstyle"/>
        </w:rPr>
        <w:t xml:space="preserve"> </w:t>
      </w:r>
      <w:r w:rsidR="00117928">
        <w:rPr>
          <w:rStyle w:val="Referencingstyle"/>
        </w:rPr>
        <w:t xml:space="preserve">[Schedule 1, items 1 and 2, subsection 918(6) of the Corporations Act and subsection </w:t>
      </w:r>
      <w:r w:rsidR="007F4712">
        <w:rPr>
          <w:rStyle w:val="Referencingstyle"/>
        </w:rPr>
        <w:t>78B</w:t>
      </w:r>
      <w:r w:rsidR="00117928">
        <w:rPr>
          <w:rStyle w:val="Referencingstyle"/>
        </w:rPr>
        <w:t>(6) of the Credit Act]</w:t>
      </w:r>
    </w:p>
    <w:p w14:paraId="0F3C97AF" w14:textId="77777777" w:rsidR="006A5710" w:rsidRDefault="006A5710" w:rsidP="006A5710">
      <w:pPr>
        <w:pStyle w:val="base-text-paragraph"/>
        <w:tabs>
          <w:tab w:val="left" w:pos="1985"/>
        </w:tabs>
        <w:ind w:left="1134"/>
      </w:pPr>
      <w:r w:rsidRPr="000A29DF">
        <w:t xml:space="preserve">The directions power allows ASIC to direct a licensee to set up a compensation program, but it does not allow ASIC to direct a licensee to compensate a client or class/group of clients </w:t>
      </w:r>
      <w:r>
        <w:t>– only a</w:t>
      </w:r>
      <w:r w:rsidRPr="000A29DF">
        <w:t xml:space="preserve"> court would be able to </w:t>
      </w:r>
      <w:r>
        <w:t>order</w:t>
      </w:r>
      <w:r w:rsidRPr="000A29DF">
        <w:t xml:space="preserve"> </w:t>
      </w:r>
      <w:r>
        <w:t xml:space="preserve">that </w:t>
      </w:r>
      <w:r w:rsidRPr="000A29DF">
        <w:t>payment</w:t>
      </w:r>
      <w:r>
        <w:t>(</w:t>
      </w:r>
      <w:r w:rsidRPr="000A29DF">
        <w:t>s</w:t>
      </w:r>
      <w:r>
        <w:t>)</w:t>
      </w:r>
      <w:r w:rsidRPr="000A29DF">
        <w:t xml:space="preserve"> be made and the amount of any such payment</w:t>
      </w:r>
      <w:r>
        <w:t>.</w:t>
      </w:r>
      <w:r w:rsidRPr="000A29DF">
        <w:t xml:space="preserve"> The directions power enable</w:t>
      </w:r>
      <w:r>
        <w:t>s</w:t>
      </w:r>
      <w:r w:rsidRPr="000A29DF">
        <w:t xml:space="preserve"> ASIC to ensure that any remediation program established by a licensee provides a suitable process for addressing the impact of a breach on </w:t>
      </w:r>
      <w:r>
        <w:t>client</w:t>
      </w:r>
      <w:r w:rsidRPr="000A29DF">
        <w:t>s including, for example notifying c</w:t>
      </w:r>
      <w:r>
        <w:t>lients</w:t>
      </w:r>
      <w:r w:rsidRPr="000A29DF">
        <w:t xml:space="preserve"> about the program, identifying potential claimants, processes for assessing claims and rights to appeal decisions made where appropriate</w:t>
      </w:r>
      <w:r>
        <w:t>.</w:t>
      </w:r>
    </w:p>
    <w:p w14:paraId="765BA3C4" w14:textId="2293DE15" w:rsidR="00AF7F97" w:rsidRDefault="006A5710" w:rsidP="006A5710">
      <w:pPr>
        <w:pStyle w:val="base-text-paragraph"/>
        <w:tabs>
          <w:tab w:val="left" w:pos="1985"/>
        </w:tabs>
        <w:ind w:left="1134"/>
      </w:pPr>
      <w:r>
        <w:t xml:space="preserve"> </w:t>
      </w:r>
      <w:r w:rsidR="00AF7F97">
        <w:t xml:space="preserve">ASIC can also </w:t>
      </w:r>
      <w:r w:rsidR="00487E60">
        <w:t>give</w:t>
      </w:r>
      <w:r w:rsidR="00AF7F97">
        <w:t xml:space="preserve"> directions that are ancillary </w:t>
      </w:r>
      <w:r w:rsidR="006B1B59">
        <w:t>steps required to address or prevent a suspected contravention</w:t>
      </w:r>
      <w:r w:rsidR="00AF7F97">
        <w:t>. For example, ASIC may direct a licensee to</w:t>
      </w:r>
      <w:r w:rsidR="001E77CF">
        <w:t xml:space="preserve"> conduct a review of its records or systems prior to putting a compliance process in place</w:t>
      </w:r>
      <w:r w:rsidR="00D97771">
        <w:t>.</w:t>
      </w:r>
      <w:r w:rsidR="003002DA">
        <w:t xml:space="preserve"> </w:t>
      </w:r>
      <w:r w:rsidR="003002DA" w:rsidRPr="003002DA">
        <w:rPr>
          <w:rStyle w:val="Referencingstyle"/>
        </w:rPr>
        <w:t xml:space="preserve"> </w:t>
      </w:r>
      <w:r w:rsidR="003002DA">
        <w:rPr>
          <w:rStyle w:val="Referencingstyle"/>
        </w:rPr>
        <w:t xml:space="preserve">[Schedule 1, items 1 and 2, </w:t>
      </w:r>
      <w:r w:rsidR="00F956AC">
        <w:rPr>
          <w:rStyle w:val="Referencingstyle"/>
        </w:rPr>
        <w:t xml:space="preserve">paragraph </w:t>
      </w:r>
      <w:r w:rsidR="003002DA">
        <w:rPr>
          <w:rStyle w:val="Referencingstyle"/>
        </w:rPr>
        <w:t>918(</w:t>
      </w:r>
      <w:r w:rsidR="00F956AC">
        <w:rPr>
          <w:rStyle w:val="Referencingstyle"/>
        </w:rPr>
        <w:t>5)(g)</w:t>
      </w:r>
      <w:r w:rsidR="003002DA">
        <w:rPr>
          <w:rStyle w:val="Referencingstyle"/>
        </w:rPr>
        <w:t xml:space="preserve"> of the Corporations Act and </w:t>
      </w:r>
      <w:r w:rsidR="00F956AC">
        <w:rPr>
          <w:rStyle w:val="Referencingstyle"/>
        </w:rPr>
        <w:t>paragraph 78B(5)(g)</w:t>
      </w:r>
      <w:r w:rsidR="003002DA">
        <w:rPr>
          <w:rStyle w:val="Referencingstyle"/>
        </w:rPr>
        <w:t xml:space="preserve"> of the Credit Act]</w:t>
      </w:r>
    </w:p>
    <w:p w14:paraId="61CAD939" w14:textId="0A1F2584" w:rsidR="004D7FC8" w:rsidRDefault="004D7FC8" w:rsidP="00A60854">
      <w:pPr>
        <w:pStyle w:val="base-text-paragraph"/>
        <w:tabs>
          <w:tab w:val="left" w:pos="1985"/>
        </w:tabs>
        <w:ind w:left="1134"/>
      </w:pPr>
      <w:r>
        <w:t xml:space="preserve">ASIC may also </w:t>
      </w:r>
      <w:r w:rsidR="00780B13">
        <w:t>give a direction to a licensee which</w:t>
      </w:r>
      <w:r>
        <w:t xml:space="preserve"> </w:t>
      </w:r>
      <w:r w:rsidR="008956E7">
        <w:t xml:space="preserve">requires </w:t>
      </w:r>
      <w:r w:rsidR="00780B13">
        <w:t>that</w:t>
      </w:r>
      <w:r>
        <w:t xml:space="preserve"> licensee to nominate</w:t>
      </w:r>
      <w:r w:rsidR="00780B13">
        <w:t xml:space="preserve"> </w:t>
      </w:r>
      <w:r>
        <w:t>a person who wi</w:t>
      </w:r>
      <w:r w:rsidR="00780B13">
        <w:t>ll carry out a task that has been specified in the same direction</w:t>
      </w:r>
      <w:r>
        <w:t>. ASIC is empowered to</w:t>
      </w:r>
      <w:r w:rsidR="00780B13">
        <w:t xml:space="preserve"> approve or not approve the person who the licensee nominates.</w:t>
      </w:r>
      <w:r w:rsidR="00780B13">
        <w:rPr>
          <w:rStyle w:val="Referencingstyle"/>
        </w:rPr>
        <w:t xml:space="preserve"> [Schedule 1, items 1 and 2, section 918E of the Corporations Act and section </w:t>
      </w:r>
      <w:r w:rsidR="00F956AC">
        <w:rPr>
          <w:rStyle w:val="Referencingstyle"/>
        </w:rPr>
        <w:t>78H</w:t>
      </w:r>
      <w:r w:rsidR="00780B13">
        <w:rPr>
          <w:rStyle w:val="Referencingstyle"/>
        </w:rPr>
        <w:t xml:space="preserve"> of the Credit Act]</w:t>
      </w:r>
    </w:p>
    <w:p w14:paraId="51FC6A9F" w14:textId="67EEDF77" w:rsidR="000847A6" w:rsidRPr="00DE1DCC" w:rsidRDefault="000847A6" w:rsidP="00A60854">
      <w:pPr>
        <w:pStyle w:val="base-text-paragraph"/>
        <w:tabs>
          <w:tab w:val="left" w:pos="1985"/>
        </w:tabs>
        <w:ind w:left="1134"/>
        <w:rPr>
          <w:rStyle w:val="Referencingstyle"/>
          <w:b w:val="0"/>
          <w:i w:val="0"/>
          <w:sz w:val="22"/>
        </w:rPr>
      </w:pPr>
      <w:r>
        <w:t xml:space="preserve">ASIC may limit a direction so that an </w:t>
      </w:r>
      <w:r w:rsidR="001B3A46">
        <w:t xml:space="preserve">AFS licensee or credit licensee </w:t>
      </w:r>
      <w:r>
        <w:t>need only in engage in certain conduct during a period of time specified in the direction or until a specified time</w:t>
      </w:r>
      <w:r w:rsidR="00032C44">
        <w:t>.</w:t>
      </w:r>
      <w:r w:rsidR="00032C44" w:rsidRPr="00A60854">
        <w:t xml:space="preserve"> A direction may alternatively specify a time by which compliance </w:t>
      </w:r>
      <w:r w:rsidR="00487E60">
        <w:t xml:space="preserve">with a direction </w:t>
      </w:r>
      <w:r w:rsidR="00032C44" w:rsidRPr="00A60854">
        <w:t>must be completed.</w:t>
      </w:r>
      <w:r w:rsidR="00BC5F05">
        <w:rPr>
          <w:rStyle w:val="Referencingstyle"/>
        </w:rPr>
        <w:t xml:space="preserve"> [Schedule 1, items 1 and 2, subsection 918(4) of the Corporations Act and subsection </w:t>
      </w:r>
      <w:r w:rsidR="00EA5250">
        <w:rPr>
          <w:rStyle w:val="Referencingstyle"/>
        </w:rPr>
        <w:t>78B</w:t>
      </w:r>
      <w:r w:rsidR="00BC5F05">
        <w:rPr>
          <w:rStyle w:val="Referencingstyle"/>
        </w:rPr>
        <w:t>(</w:t>
      </w:r>
      <w:r w:rsidR="00EA5250">
        <w:rPr>
          <w:rStyle w:val="Referencingstyle"/>
        </w:rPr>
        <w:t>4</w:t>
      </w:r>
      <w:r w:rsidR="00BC5F05">
        <w:rPr>
          <w:rStyle w:val="Referencingstyle"/>
        </w:rPr>
        <w:t>) of the Credit Act]</w:t>
      </w:r>
    </w:p>
    <w:p w14:paraId="56A7E56D" w14:textId="77777777" w:rsidR="00032C44" w:rsidRDefault="003A411B" w:rsidP="00A60854">
      <w:pPr>
        <w:pStyle w:val="base-text-paragraph"/>
        <w:tabs>
          <w:tab w:val="left" w:pos="1985"/>
        </w:tabs>
        <w:ind w:left="1134"/>
      </w:pPr>
      <w:r>
        <w:t>Where a time is specified in a direction, a licensee must comply with</w:t>
      </w:r>
      <w:r w:rsidR="00C5270D">
        <w:t xml:space="preserve"> a</w:t>
      </w:r>
      <w:r>
        <w:t xml:space="preserve"> direction within that time limitation, however described. </w:t>
      </w:r>
    </w:p>
    <w:p w14:paraId="7E33E352" w14:textId="3296F9D3" w:rsidR="004F454E" w:rsidRPr="00401E13" w:rsidRDefault="00AC0D70" w:rsidP="00A60854">
      <w:pPr>
        <w:pStyle w:val="base-text-paragraph"/>
        <w:tabs>
          <w:tab w:val="left" w:pos="1985"/>
        </w:tabs>
        <w:ind w:left="1134"/>
        <w:rPr>
          <w:rStyle w:val="Referencingstyle"/>
          <w:b w:val="0"/>
          <w:i w:val="0"/>
          <w:sz w:val="22"/>
        </w:rPr>
      </w:pPr>
      <w:r>
        <w:t>A direction does not need to have a time limit or time period specified</w:t>
      </w:r>
      <w:r w:rsidR="000847A6">
        <w:t xml:space="preserve">. </w:t>
      </w:r>
      <w:r w:rsidR="00F40191">
        <w:t>ASIC may instead</w:t>
      </w:r>
      <w:r>
        <w:t xml:space="preserve"> </w:t>
      </w:r>
      <w:r w:rsidR="00F40191">
        <w:t>direct that the obligation to engage in specified conduct</w:t>
      </w:r>
      <w:r w:rsidR="000847A6">
        <w:t xml:space="preserve"> remain in place until a condition specified in the direction is met. For example</w:t>
      </w:r>
      <w:r w:rsidR="008D0774">
        <w:t>,</w:t>
      </w:r>
      <w:r w:rsidR="000847A6">
        <w:t xml:space="preserve"> ASIC may direct that a licensee must not accept new clients until such time as it has engaged </w:t>
      </w:r>
      <w:r w:rsidR="00EA5250">
        <w:t xml:space="preserve">suitably </w:t>
      </w:r>
      <w:r w:rsidR="000847A6">
        <w:t xml:space="preserve">qualified </w:t>
      </w:r>
      <w:r w:rsidR="00EA5250">
        <w:t xml:space="preserve">accounting </w:t>
      </w:r>
      <w:r w:rsidR="000847A6">
        <w:t>staff.</w:t>
      </w:r>
      <w:r w:rsidR="00F40191">
        <w:t xml:space="preserve"> </w:t>
      </w:r>
      <w:r w:rsidR="00F40191">
        <w:rPr>
          <w:rStyle w:val="Referencingstyle"/>
        </w:rPr>
        <w:t>[Schedule 1, items 1 and 2, paragraph 918(4)(</w:t>
      </w:r>
      <w:r w:rsidR="00EA5250">
        <w:rPr>
          <w:rStyle w:val="Referencingstyle"/>
        </w:rPr>
        <w:t>c</w:t>
      </w:r>
      <w:r w:rsidR="00F40191">
        <w:rPr>
          <w:rStyle w:val="Referencingstyle"/>
        </w:rPr>
        <w:t xml:space="preserve">) of the Corporations Act and paragraph </w:t>
      </w:r>
      <w:r w:rsidR="00EA5250">
        <w:rPr>
          <w:rStyle w:val="Referencingstyle"/>
        </w:rPr>
        <w:t>78B</w:t>
      </w:r>
      <w:r w:rsidR="00F40191">
        <w:rPr>
          <w:rStyle w:val="Referencingstyle"/>
        </w:rPr>
        <w:t>(</w:t>
      </w:r>
      <w:r w:rsidR="00EA5250">
        <w:rPr>
          <w:rStyle w:val="Referencingstyle"/>
        </w:rPr>
        <w:t>4)(c</w:t>
      </w:r>
      <w:r w:rsidR="00F40191">
        <w:rPr>
          <w:rStyle w:val="Referencingstyle"/>
        </w:rPr>
        <w:t>) of the Credit Act]</w:t>
      </w:r>
    </w:p>
    <w:p w14:paraId="14BBD92A" w14:textId="2C848734" w:rsidR="00EA5250" w:rsidRPr="00396CA9" w:rsidRDefault="00EA5250" w:rsidP="00A60854">
      <w:pPr>
        <w:pStyle w:val="base-text-paragraph"/>
        <w:tabs>
          <w:tab w:val="left" w:pos="1985"/>
        </w:tabs>
        <w:ind w:left="1134"/>
        <w:rPr>
          <w:rStyle w:val="Referencingstyle"/>
          <w:b w:val="0"/>
          <w:i w:val="0"/>
          <w:sz w:val="22"/>
        </w:rPr>
      </w:pPr>
      <w:r>
        <w:t xml:space="preserve">ASIC may also </w:t>
      </w:r>
      <w:r w:rsidR="005C2189">
        <w:t>include</w:t>
      </w:r>
      <w:r>
        <w:t xml:space="preserve"> a</w:t>
      </w:r>
      <w:r w:rsidR="005C2189">
        <w:t xml:space="preserve"> matter, detail or instruction contained in any </w:t>
      </w:r>
      <w:r>
        <w:t xml:space="preserve">instrument </w:t>
      </w:r>
      <w:r w:rsidR="00056393">
        <w:t xml:space="preserve">(legislative or not) </w:t>
      </w:r>
      <w:r>
        <w:t>or other writing</w:t>
      </w:r>
      <w:r w:rsidR="00284E79">
        <w:t>,</w:t>
      </w:r>
      <w:r w:rsidR="00DA5126">
        <w:t xml:space="preserve"> </w:t>
      </w:r>
      <w:r w:rsidR="005C2189">
        <w:t xml:space="preserve">by referring </w:t>
      </w:r>
      <w:r w:rsidR="00056393">
        <w:t xml:space="preserve">to </w:t>
      </w:r>
      <w:r w:rsidR="005C2189">
        <w:t>or identifying this in a direction.</w:t>
      </w:r>
      <w:r w:rsidR="00056393" w:rsidRPr="00056393">
        <w:rPr>
          <w:rStyle w:val="Referencingstyle"/>
        </w:rPr>
        <w:t xml:space="preserve"> </w:t>
      </w:r>
      <w:r w:rsidR="00056393">
        <w:rPr>
          <w:rStyle w:val="Referencingstyle"/>
        </w:rPr>
        <w:t xml:space="preserve">[Schedule 1, items 1 and 2, </w:t>
      </w:r>
      <w:r w:rsidR="00401E13">
        <w:rPr>
          <w:rStyle w:val="Referencingstyle"/>
        </w:rPr>
        <w:t>subsection</w:t>
      </w:r>
      <w:r w:rsidR="00056393">
        <w:rPr>
          <w:rStyle w:val="Referencingstyle"/>
        </w:rPr>
        <w:t xml:space="preserve"> 918(7) of the Corporations Act and </w:t>
      </w:r>
      <w:r w:rsidR="00401E13">
        <w:rPr>
          <w:rStyle w:val="Referencingstyle"/>
        </w:rPr>
        <w:t>subsection</w:t>
      </w:r>
      <w:r w:rsidR="00056393">
        <w:rPr>
          <w:rStyle w:val="Referencingstyle"/>
        </w:rPr>
        <w:t xml:space="preserve"> 78B(7) of the Credit Act]</w:t>
      </w:r>
    </w:p>
    <w:p w14:paraId="1D5E5F1B" w14:textId="49EEE193" w:rsidR="00396CA9" w:rsidRPr="001853A8" w:rsidRDefault="00487E60" w:rsidP="00A60854">
      <w:pPr>
        <w:pStyle w:val="base-text-paragraph"/>
        <w:tabs>
          <w:tab w:val="left" w:pos="1985"/>
        </w:tabs>
        <w:ind w:left="1134"/>
        <w:rPr>
          <w:rStyle w:val="Referencingstyle"/>
          <w:b w:val="0"/>
          <w:i w:val="0"/>
          <w:sz w:val="22"/>
        </w:rPr>
      </w:pPr>
      <w:r>
        <w:t>The Bill</w:t>
      </w:r>
      <w:r w:rsidR="00753607">
        <w:t xml:space="preserve"> </w:t>
      </w:r>
      <w:r>
        <w:t>clarifies</w:t>
      </w:r>
      <w:r w:rsidR="00753607">
        <w:t xml:space="preserve"> that a written direction given by ASIC is not a legislative instrument. This clarification is merely declaratory of the law as such a direction would not be legislative instrument </w:t>
      </w:r>
      <w:r w:rsidR="006745D4">
        <w:t>within the meaning</w:t>
      </w:r>
      <w:r w:rsidR="00753607">
        <w:t xml:space="preserve"> of section 8 of the </w:t>
      </w:r>
      <w:r w:rsidR="00753607" w:rsidRPr="006745D4">
        <w:rPr>
          <w:i/>
        </w:rPr>
        <w:t>Legislation Act</w:t>
      </w:r>
      <w:r w:rsidR="006745D4">
        <w:t xml:space="preserve"> </w:t>
      </w:r>
      <w:r w:rsidR="006745D4" w:rsidRPr="006745D4">
        <w:rPr>
          <w:i/>
        </w:rPr>
        <w:t>2003</w:t>
      </w:r>
      <w:r w:rsidR="00753607">
        <w:t>.</w:t>
      </w:r>
      <w:r w:rsidR="00B6401E" w:rsidRPr="00B6401E">
        <w:rPr>
          <w:rStyle w:val="Referencingstyle"/>
        </w:rPr>
        <w:t xml:space="preserve"> </w:t>
      </w:r>
      <w:r w:rsidR="00B6401E">
        <w:rPr>
          <w:rStyle w:val="Referencingstyle"/>
        </w:rPr>
        <w:t>[Schedule 1, items 1 and 2, subsection</w:t>
      </w:r>
      <w:r w:rsidR="002C0E9B">
        <w:rPr>
          <w:rStyle w:val="Referencingstyle"/>
        </w:rPr>
        <w:t>s</w:t>
      </w:r>
      <w:r w:rsidR="00B6401E">
        <w:rPr>
          <w:rStyle w:val="Referencingstyle"/>
        </w:rPr>
        <w:t xml:space="preserve"> 918(</w:t>
      </w:r>
      <w:r w:rsidR="00EA5250">
        <w:rPr>
          <w:rStyle w:val="Referencingstyle"/>
        </w:rPr>
        <w:t>8</w:t>
      </w:r>
      <w:r w:rsidR="00B6401E">
        <w:rPr>
          <w:rStyle w:val="Referencingstyle"/>
        </w:rPr>
        <w:t xml:space="preserve">) </w:t>
      </w:r>
      <w:r w:rsidR="002C0E9B">
        <w:rPr>
          <w:rStyle w:val="Referencingstyle"/>
        </w:rPr>
        <w:t>and 918F(</w:t>
      </w:r>
      <w:r w:rsidR="00EA5250">
        <w:rPr>
          <w:rStyle w:val="Referencingstyle"/>
        </w:rPr>
        <w:t>7</w:t>
      </w:r>
      <w:r w:rsidR="002C0E9B">
        <w:rPr>
          <w:rStyle w:val="Referencingstyle"/>
        </w:rPr>
        <w:t xml:space="preserve">) </w:t>
      </w:r>
      <w:r w:rsidR="00B6401E">
        <w:rPr>
          <w:rStyle w:val="Referencingstyle"/>
        </w:rPr>
        <w:t>of the Corporations Act and subsection</w:t>
      </w:r>
      <w:r w:rsidR="00401E13">
        <w:rPr>
          <w:rStyle w:val="Referencingstyle"/>
        </w:rPr>
        <w:t>s</w:t>
      </w:r>
      <w:r w:rsidR="00B6401E">
        <w:rPr>
          <w:rStyle w:val="Referencingstyle"/>
        </w:rPr>
        <w:t xml:space="preserve"> </w:t>
      </w:r>
      <w:r w:rsidR="00EA5250">
        <w:rPr>
          <w:rStyle w:val="Referencingstyle"/>
        </w:rPr>
        <w:t>78H</w:t>
      </w:r>
      <w:r w:rsidR="00B6401E">
        <w:rPr>
          <w:rStyle w:val="Referencingstyle"/>
        </w:rPr>
        <w:t>(</w:t>
      </w:r>
      <w:r w:rsidR="00EA5250">
        <w:rPr>
          <w:rStyle w:val="Referencingstyle"/>
        </w:rPr>
        <w:t>8</w:t>
      </w:r>
      <w:r w:rsidR="00B6401E">
        <w:rPr>
          <w:rStyle w:val="Referencingstyle"/>
        </w:rPr>
        <w:t>)</w:t>
      </w:r>
      <w:r w:rsidR="002C0E9B">
        <w:rPr>
          <w:rStyle w:val="Referencingstyle"/>
        </w:rPr>
        <w:t xml:space="preserve"> and </w:t>
      </w:r>
      <w:r w:rsidR="00EA5250">
        <w:rPr>
          <w:rStyle w:val="Referencingstyle"/>
        </w:rPr>
        <w:t>78H</w:t>
      </w:r>
      <w:r w:rsidR="002C0E9B">
        <w:rPr>
          <w:rStyle w:val="Referencingstyle"/>
        </w:rPr>
        <w:t>(</w:t>
      </w:r>
      <w:r w:rsidR="00EA5250">
        <w:rPr>
          <w:rStyle w:val="Referencingstyle"/>
        </w:rPr>
        <w:t>7</w:t>
      </w:r>
      <w:r w:rsidR="002C0E9B">
        <w:rPr>
          <w:rStyle w:val="Referencingstyle"/>
        </w:rPr>
        <w:t>)</w:t>
      </w:r>
      <w:r w:rsidR="00B6401E">
        <w:rPr>
          <w:rStyle w:val="Referencingstyle"/>
        </w:rPr>
        <w:t xml:space="preserve"> of the Credit Act]</w:t>
      </w:r>
    </w:p>
    <w:p w14:paraId="242E2519" w14:textId="6C52F374" w:rsidR="001853A8" w:rsidRDefault="001853A8" w:rsidP="001853A8">
      <w:pPr>
        <w:pStyle w:val="Heading3"/>
      </w:pPr>
      <w:r>
        <w:t>Procedure when giving a direction</w:t>
      </w:r>
    </w:p>
    <w:p w14:paraId="527F8C7A" w14:textId="34F20987" w:rsidR="00547A58" w:rsidRDefault="00547A58" w:rsidP="00A60854">
      <w:pPr>
        <w:pStyle w:val="base-text-paragraph"/>
        <w:tabs>
          <w:tab w:val="left" w:pos="1985"/>
        </w:tabs>
        <w:ind w:left="1134"/>
      </w:pPr>
      <w:r>
        <w:t>Before giving a direction, other than an interim direction, ASIC must give the licensee an opportunity to appear</w:t>
      </w:r>
      <w:r w:rsidR="00A12638">
        <w:t>,</w:t>
      </w:r>
      <w:r>
        <w:t xml:space="preserve"> or be represented</w:t>
      </w:r>
      <w:r w:rsidR="00A12638">
        <w:t>,</w:t>
      </w:r>
      <w:r>
        <w:t xml:space="preserve"> at a hearing. A</w:t>
      </w:r>
      <w:r w:rsidR="00D97771">
        <w:t>SIC must also give the</w:t>
      </w:r>
      <w:r>
        <w:t xml:space="preserve"> licensee </w:t>
      </w:r>
      <w:r w:rsidR="007D34E8">
        <w:t>an</w:t>
      </w:r>
      <w:r>
        <w:t xml:space="preserve"> opportunity to make subm</w:t>
      </w:r>
      <w:r w:rsidR="00FC5EFA">
        <w:t>issions to ASIC</w:t>
      </w:r>
      <w:r>
        <w:t xml:space="preserve"> in relation to the matter to which the </w:t>
      </w:r>
      <w:r w:rsidR="00FD4679">
        <w:t xml:space="preserve">direction </w:t>
      </w:r>
      <w:r>
        <w:t>relates.</w:t>
      </w:r>
      <w:r w:rsidR="00D97771">
        <w:t xml:space="preserve"> The submissions need not </w:t>
      </w:r>
      <w:r w:rsidR="00A64E71">
        <w:t xml:space="preserve">be made </w:t>
      </w:r>
      <w:r w:rsidR="00D97771">
        <w:t>at a hearing.</w:t>
      </w:r>
      <w:r>
        <w:rPr>
          <w:rStyle w:val="Referencingstyle"/>
        </w:rPr>
        <w:t xml:space="preserve"> [Schedule 1</w:t>
      </w:r>
      <w:r w:rsidRPr="00A14D87">
        <w:rPr>
          <w:rStyle w:val="Referencingstyle"/>
        </w:rPr>
        <w:t>, item</w:t>
      </w:r>
      <w:r w:rsidR="007A61A2">
        <w:rPr>
          <w:rStyle w:val="Referencingstyle"/>
        </w:rPr>
        <w:t>s</w:t>
      </w:r>
      <w:r w:rsidRPr="00A14D87">
        <w:rPr>
          <w:rStyle w:val="Referencingstyle"/>
        </w:rPr>
        <w:t xml:space="preserve"> </w:t>
      </w:r>
      <w:r>
        <w:rPr>
          <w:rStyle w:val="Referencingstyle"/>
        </w:rPr>
        <w:t xml:space="preserve">1 and 2, </w:t>
      </w:r>
      <w:r w:rsidR="00DA5126">
        <w:rPr>
          <w:rStyle w:val="Referencingstyle"/>
        </w:rPr>
        <w:t>sub</w:t>
      </w:r>
      <w:r>
        <w:rPr>
          <w:rStyle w:val="Referencingstyle"/>
        </w:rPr>
        <w:t>sectio</w:t>
      </w:r>
      <w:r w:rsidR="00841558">
        <w:rPr>
          <w:rStyle w:val="Referencingstyle"/>
        </w:rPr>
        <w:t>n</w:t>
      </w:r>
      <w:r>
        <w:rPr>
          <w:rStyle w:val="Referencingstyle"/>
        </w:rPr>
        <w:t xml:space="preserve"> 918</w:t>
      </w:r>
      <w:r w:rsidR="00DA5126">
        <w:rPr>
          <w:rStyle w:val="Referencingstyle"/>
        </w:rPr>
        <w:t>C(1)</w:t>
      </w:r>
      <w:r>
        <w:rPr>
          <w:rStyle w:val="Referencingstyle"/>
        </w:rPr>
        <w:t xml:space="preserve"> </w:t>
      </w:r>
      <w:r w:rsidRPr="00A14D87">
        <w:rPr>
          <w:rStyle w:val="Referencingstyle"/>
        </w:rPr>
        <w:t xml:space="preserve">of </w:t>
      </w:r>
      <w:r>
        <w:rPr>
          <w:rStyle w:val="Referencingstyle"/>
        </w:rPr>
        <w:t xml:space="preserve">the Corporations </w:t>
      </w:r>
      <w:r w:rsidRPr="00A14D87">
        <w:rPr>
          <w:rStyle w:val="Referencingstyle"/>
        </w:rPr>
        <w:t>Act</w:t>
      </w:r>
      <w:r>
        <w:rPr>
          <w:rStyle w:val="Referencingstyle"/>
        </w:rPr>
        <w:t xml:space="preserve"> and </w:t>
      </w:r>
      <w:r w:rsidR="00DA5126">
        <w:rPr>
          <w:rStyle w:val="Referencingstyle"/>
        </w:rPr>
        <w:t>sub</w:t>
      </w:r>
      <w:r>
        <w:rPr>
          <w:rStyle w:val="Referencingstyle"/>
        </w:rPr>
        <w:t xml:space="preserve">section </w:t>
      </w:r>
      <w:r w:rsidR="00DA5126">
        <w:rPr>
          <w:rStyle w:val="Referencingstyle"/>
        </w:rPr>
        <w:t>78E(1)</w:t>
      </w:r>
      <w:r>
        <w:rPr>
          <w:rStyle w:val="Referencingstyle"/>
        </w:rPr>
        <w:t xml:space="preserve"> of the Credit Act</w:t>
      </w:r>
      <w:r w:rsidRPr="00A14D87">
        <w:rPr>
          <w:rStyle w:val="Referencingstyle"/>
        </w:rPr>
        <w:t>]</w:t>
      </w:r>
    </w:p>
    <w:p w14:paraId="023D0EF3" w14:textId="30D3ABFD" w:rsidR="00547A58" w:rsidRDefault="00D97771" w:rsidP="00A60854">
      <w:pPr>
        <w:pStyle w:val="base-text-paragraph"/>
        <w:tabs>
          <w:tab w:val="left" w:pos="1985"/>
        </w:tabs>
        <w:ind w:left="1134"/>
      </w:pPr>
      <w:r>
        <w:t xml:space="preserve">If ASIC gives a licensee a reasonable opportunity to appear or be represented at a hearing, but the licensee </w:t>
      </w:r>
      <w:r w:rsidR="00624EA1">
        <w:t>does</w:t>
      </w:r>
      <w:r>
        <w:t xml:space="preserve"> not to take up that opportunity, ASIC does not need to hold a hearing.</w:t>
      </w:r>
    </w:p>
    <w:p w14:paraId="3BB4D601" w14:textId="418A64AA" w:rsidR="0094304A" w:rsidRPr="0094304A" w:rsidRDefault="0094304A" w:rsidP="00A60854">
      <w:pPr>
        <w:pStyle w:val="base-text-paragraph"/>
        <w:tabs>
          <w:tab w:val="left" w:pos="1985"/>
        </w:tabs>
        <w:ind w:left="1134"/>
        <w:rPr>
          <w:rStyle w:val="Referencingstyle"/>
          <w:b w:val="0"/>
          <w:i w:val="0"/>
          <w:sz w:val="22"/>
        </w:rPr>
      </w:pPr>
      <w:r>
        <w:t>If ASIC intends to make a direction to a licensee who is a body that is regulated by APRA, ASIC must consult APRA before that direction is given to a licensee. However, a failure to consult with APRA will not invalidate any direction given.</w:t>
      </w:r>
      <w:r w:rsidRPr="0094304A">
        <w:rPr>
          <w:rStyle w:val="Referencingstyle"/>
        </w:rPr>
        <w:t xml:space="preserve"> </w:t>
      </w:r>
      <w:r>
        <w:rPr>
          <w:rStyle w:val="Referencingstyle"/>
        </w:rPr>
        <w:t>[Schedule 1</w:t>
      </w:r>
      <w:r w:rsidRPr="00A14D87">
        <w:rPr>
          <w:rStyle w:val="Referencingstyle"/>
        </w:rPr>
        <w:t>, item</w:t>
      </w:r>
      <w:r w:rsidR="007A61A2">
        <w:rPr>
          <w:rStyle w:val="Referencingstyle"/>
        </w:rPr>
        <w:t>s</w:t>
      </w:r>
      <w:r w:rsidRPr="00A14D87">
        <w:rPr>
          <w:rStyle w:val="Referencingstyle"/>
        </w:rPr>
        <w:t xml:space="preserve"> </w:t>
      </w:r>
      <w:r>
        <w:rPr>
          <w:rStyle w:val="Referencingstyle"/>
        </w:rPr>
        <w:t xml:space="preserve">1 and 2, </w:t>
      </w:r>
      <w:r w:rsidR="00DA5126">
        <w:rPr>
          <w:rStyle w:val="Referencingstyle"/>
        </w:rPr>
        <w:t>sub</w:t>
      </w:r>
      <w:r>
        <w:rPr>
          <w:rStyle w:val="Referencingstyle"/>
        </w:rPr>
        <w:t>s</w:t>
      </w:r>
      <w:r w:rsidR="00841558">
        <w:rPr>
          <w:rStyle w:val="Referencingstyle"/>
        </w:rPr>
        <w:t>ection</w:t>
      </w:r>
      <w:r w:rsidR="00DA5126">
        <w:rPr>
          <w:rStyle w:val="Referencingstyle"/>
        </w:rPr>
        <w:t>s</w:t>
      </w:r>
      <w:r>
        <w:rPr>
          <w:rStyle w:val="Referencingstyle"/>
        </w:rPr>
        <w:t xml:space="preserve"> 918</w:t>
      </w:r>
      <w:r w:rsidR="00DA5126">
        <w:rPr>
          <w:rStyle w:val="Referencingstyle"/>
        </w:rPr>
        <w:t xml:space="preserve">C(2) </w:t>
      </w:r>
      <w:r w:rsidR="007A61A2">
        <w:rPr>
          <w:rStyle w:val="Referencingstyle"/>
        </w:rPr>
        <w:t>to</w:t>
      </w:r>
      <w:r w:rsidR="00DA5126">
        <w:rPr>
          <w:rStyle w:val="Referencingstyle"/>
        </w:rPr>
        <w:t xml:space="preserve"> (3)</w:t>
      </w:r>
      <w:r>
        <w:rPr>
          <w:rStyle w:val="Referencingstyle"/>
        </w:rPr>
        <w:t xml:space="preserve"> </w:t>
      </w:r>
      <w:r w:rsidRPr="00A14D87">
        <w:rPr>
          <w:rStyle w:val="Referencingstyle"/>
        </w:rPr>
        <w:t xml:space="preserve">of </w:t>
      </w:r>
      <w:r>
        <w:rPr>
          <w:rStyle w:val="Referencingstyle"/>
        </w:rPr>
        <w:t xml:space="preserve">the Corporations </w:t>
      </w:r>
      <w:r w:rsidRPr="00A14D87">
        <w:rPr>
          <w:rStyle w:val="Referencingstyle"/>
        </w:rPr>
        <w:t>Act</w:t>
      </w:r>
      <w:r>
        <w:rPr>
          <w:rStyle w:val="Referencingstyle"/>
        </w:rPr>
        <w:t xml:space="preserve"> and </w:t>
      </w:r>
      <w:r w:rsidR="00DA5126">
        <w:rPr>
          <w:rStyle w:val="Referencingstyle"/>
        </w:rPr>
        <w:t xml:space="preserve">subsections 78E(2) </w:t>
      </w:r>
      <w:r w:rsidR="007A61A2">
        <w:rPr>
          <w:rStyle w:val="Referencingstyle"/>
        </w:rPr>
        <w:t>to</w:t>
      </w:r>
      <w:r w:rsidR="00DA5126">
        <w:rPr>
          <w:rStyle w:val="Referencingstyle"/>
        </w:rPr>
        <w:t xml:space="preserve"> (3)</w:t>
      </w:r>
      <w:r>
        <w:rPr>
          <w:rStyle w:val="Referencingstyle"/>
        </w:rPr>
        <w:t xml:space="preserve"> of the Credit Act</w:t>
      </w:r>
      <w:r w:rsidRPr="00A14D87">
        <w:rPr>
          <w:rStyle w:val="Referencingstyle"/>
        </w:rPr>
        <w:t>]</w:t>
      </w:r>
    </w:p>
    <w:p w14:paraId="5309D056" w14:textId="51FFC001" w:rsidR="0084280A" w:rsidRDefault="00C80749" w:rsidP="00A60854">
      <w:pPr>
        <w:pStyle w:val="base-text-paragraph"/>
        <w:tabs>
          <w:tab w:val="left" w:pos="1985"/>
        </w:tabs>
        <w:ind w:left="1134"/>
      </w:pPr>
      <w:r>
        <w:t>After giving</w:t>
      </w:r>
      <w:r w:rsidR="0094304A">
        <w:t xml:space="preserve"> a direction to a licensee, ASIC must publish a copy of that direction on their website</w:t>
      </w:r>
      <w:r>
        <w:t xml:space="preserve"> as soon as practicable</w:t>
      </w:r>
      <w:r w:rsidR="0094304A">
        <w:t>.</w:t>
      </w:r>
      <w:r w:rsidR="0084280A">
        <w:t xml:space="preserve"> ASIC does not need to publish a copy of an interim direction on their website.</w:t>
      </w:r>
      <w:r w:rsidR="0084280A" w:rsidRPr="0084280A">
        <w:rPr>
          <w:rStyle w:val="Referencingstyle"/>
        </w:rPr>
        <w:t xml:space="preserve"> </w:t>
      </w:r>
      <w:r w:rsidR="0084280A">
        <w:rPr>
          <w:rStyle w:val="Referencingstyle"/>
        </w:rPr>
        <w:t>[Schedule 1</w:t>
      </w:r>
      <w:r w:rsidR="0084280A" w:rsidRPr="00A14D87">
        <w:rPr>
          <w:rStyle w:val="Referencingstyle"/>
        </w:rPr>
        <w:t>, item</w:t>
      </w:r>
      <w:r w:rsidR="007A61A2">
        <w:rPr>
          <w:rStyle w:val="Referencingstyle"/>
        </w:rPr>
        <w:t>s</w:t>
      </w:r>
      <w:r w:rsidR="0084280A" w:rsidRPr="00A14D87">
        <w:rPr>
          <w:rStyle w:val="Referencingstyle"/>
        </w:rPr>
        <w:t xml:space="preserve"> </w:t>
      </w:r>
      <w:r w:rsidR="0084280A">
        <w:rPr>
          <w:rStyle w:val="Referencingstyle"/>
        </w:rPr>
        <w:t xml:space="preserve">1 and 2, section 918A </w:t>
      </w:r>
      <w:r w:rsidR="0084280A" w:rsidRPr="00A14D87">
        <w:rPr>
          <w:rStyle w:val="Referencingstyle"/>
        </w:rPr>
        <w:t xml:space="preserve">of </w:t>
      </w:r>
      <w:r w:rsidR="0084280A">
        <w:rPr>
          <w:rStyle w:val="Referencingstyle"/>
        </w:rPr>
        <w:t xml:space="preserve">the Corporations </w:t>
      </w:r>
      <w:r w:rsidR="0084280A" w:rsidRPr="00A14D87">
        <w:rPr>
          <w:rStyle w:val="Referencingstyle"/>
        </w:rPr>
        <w:t>Act</w:t>
      </w:r>
      <w:r w:rsidR="0084280A">
        <w:rPr>
          <w:rStyle w:val="Referencingstyle"/>
        </w:rPr>
        <w:t xml:space="preserve"> and section 78C of the Credit Act]</w:t>
      </w:r>
    </w:p>
    <w:p w14:paraId="6B44453C" w14:textId="2CD82C71" w:rsidR="0094304A" w:rsidRPr="00A60854" w:rsidRDefault="00841558" w:rsidP="00A60854">
      <w:pPr>
        <w:pStyle w:val="base-text-paragraph"/>
        <w:tabs>
          <w:tab w:val="left" w:pos="1985"/>
        </w:tabs>
        <w:ind w:left="1134"/>
        <w:rPr>
          <w:rStyle w:val="Referencingstyle"/>
          <w:b w:val="0"/>
          <w:i w:val="0"/>
          <w:sz w:val="22"/>
        </w:rPr>
      </w:pPr>
      <w:r>
        <w:t>A direction</w:t>
      </w:r>
      <w:r w:rsidR="003C6BA5">
        <w:t xml:space="preserve"> and an interim direction</w:t>
      </w:r>
      <w:r w:rsidR="00FC5EFA">
        <w:t xml:space="preserve"> to a licensee takes effect</w:t>
      </w:r>
      <w:r>
        <w:t xml:space="preserve"> </w:t>
      </w:r>
      <w:r w:rsidR="00013D30">
        <w:t>when it is</w:t>
      </w:r>
      <w:r>
        <w:t xml:space="preserve"> given to the licensee, and compliance </w:t>
      </w:r>
      <w:r w:rsidR="00FC5EFA">
        <w:t>is</w:t>
      </w:r>
      <w:r>
        <w:t xml:space="preserve"> required from that time. The timing of the publication of a copy of the direction on the ASIC website does not affect the timing of the requirement to comply with </w:t>
      </w:r>
      <w:r w:rsidR="00FC5EFA">
        <w:t>a</w:t>
      </w:r>
      <w:r>
        <w:t xml:space="preserve"> direction. </w:t>
      </w:r>
      <w:r>
        <w:rPr>
          <w:rStyle w:val="Referencingstyle"/>
        </w:rPr>
        <w:t>[Schedule 1</w:t>
      </w:r>
      <w:r w:rsidRPr="00A14D87">
        <w:rPr>
          <w:rStyle w:val="Referencingstyle"/>
        </w:rPr>
        <w:t>, item</w:t>
      </w:r>
      <w:r w:rsidR="007A61A2">
        <w:rPr>
          <w:rStyle w:val="Referencingstyle"/>
        </w:rPr>
        <w:t>s</w:t>
      </w:r>
      <w:r w:rsidRPr="00A14D87">
        <w:rPr>
          <w:rStyle w:val="Referencingstyle"/>
        </w:rPr>
        <w:t xml:space="preserve"> </w:t>
      </w:r>
      <w:r>
        <w:rPr>
          <w:rStyle w:val="Referencingstyle"/>
        </w:rPr>
        <w:t>1 and 2, section</w:t>
      </w:r>
      <w:r w:rsidR="00F57438">
        <w:rPr>
          <w:rStyle w:val="Referencingstyle"/>
        </w:rPr>
        <w:t>s</w:t>
      </w:r>
      <w:r>
        <w:rPr>
          <w:rStyle w:val="Referencingstyle"/>
        </w:rPr>
        <w:t xml:space="preserve"> </w:t>
      </w:r>
      <w:r w:rsidR="00DA5126">
        <w:rPr>
          <w:rStyle w:val="Referencingstyle"/>
        </w:rPr>
        <w:t>918B</w:t>
      </w:r>
      <w:r w:rsidR="003408DF">
        <w:rPr>
          <w:rStyle w:val="Referencingstyle"/>
        </w:rPr>
        <w:t xml:space="preserve"> and 918G</w:t>
      </w:r>
      <w:r w:rsidR="00DA5126">
        <w:rPr>
          <w:rStyle w:val="Referencingstyle"/>
        </w:rPr>
        <w:t xml:space="preserve"> </w:t>
      </w:r>
      <w:r w:rsidRPr="00A14D87">
        <w:rPr>
          <w:rStyle w:val="Referencingstyle"/>
        </w:rPr>
        <w:t xml:space="preserve">of </w:t>
      </w:r>
      <w:r>
        <w:rPr>
          <w:rStyle w:val="Referencingstyle"/>
        </w:rPr>
        <w:t xml:space="preserve">the Corporations </w:t>
      </w:r>
      <w:r w:rsidRPr="00A14D87">
        <w:rPr>
          <w:rStyle w:val="Referencingstyle"/>
        </w:rPr>
        <w:t>Act</w:t>
      </w:r>
      <w:r>
        <w:rPr>
          <w:rStyle w:val="Referencingstyle"/>
        </w:rPr>
        <w:t xml:space="preserve"> and section</w:t>
      </w:r>
      <w:r w:rsidR="00DA5126">
        <w:rPr>
          <w:rStyle w:val="Referencingstyle"/>
        </w:rPr>
        <w:t>s</w:t>
      </w:r>
      <w:r>
        <w:rPr>
          <w:rStyle w:val="Referencingstyle"/>
        </w:rPr>
        <w:t xml:space="preserve"> </w:t>
      </w:r>
      <w:r w:rsidR="00DA5126">
        <w:rPr>
          <w:rStyle w:val="Referencingstyle"/>
        </w:rPr>
        <w:t>78D</w:t>
      </w:r>
      <w:r w:rsidR="003408DF">
        <w:rPr>
          <w:rStyle w:val="Referencingstyle"/>
        </w:rPr>
        <w:t xml:space="preserve"> and 78J</w:t>
      </w:r>
      <w:r w:rsidR="00F57438">
        <w:rPr>
          <w:rStyle w:val="Referencingstyle"/>
        </w:rPr>
        <w:t xml:space="preserve"> </w:t>
      </w:r>
      <w:r>
        <w:rPr>
          <w:rStyle w:val="Referencingstyle"/>
        </w:rPr>
        <w:t>of the Credit Act</w:t>
      </w:r>
      <w:r w:rsidRPr="00A14D87">
        <w:rPr>
          <w:rStyle w:val="Referencingstyle"/>
        </w:rPr>
        <w:t>]</w:t>
      </w:r>
    </w:p>
    <w:p w14:paraId="07E98FA6" w14:textId="60A3A39E" w:rsidR="00C84EBF" w:rsidRDefault="00C84EBF" w:rsidP="00C84EBF">
      <w:pPr>
        <w:pStyle w:val="Heading4"/>
      </w:pPr>
      <w:r>
        <w:t>ASIC may vary or revoke a direction</w:t>
      </w:r>
    </w:p>
    <w:p w14:paraId="57378E78" w14:textId="52A596AB" w:rsidR="00C84EBF" w:rsidRDefault="00C84EBF" w:rsidP="00A60854">
      <w:pPr>
        <w:pStyle w:val="base-text-paragraph"/>
        <w:tabs>
          <w:tab w:val="left" w:pos="1985"/>
        </w:tabs>
        <w:ind w:left="1134"/>
      </w:pPr>
      <w:r>
        <w:t xml:space="preserve">ASIC </w:t>
      </w:r>
      <w:r w:rsidR="00FC5EFA">
        <w:t>can</w:t>
      </w:r>
      <w:r>
        <w:t xml:space="preserve"> vary a direction</w:t>
      </w:r>
      <w:r w:rsidR="002A347E">
        <w:t xml:space="preserve"> or an interim direction</w:t>
      </w:r>
      <w:r>
        <w:t xml:space="preserve"> that it has given to an </w:t>
      </w:r>
      <w:r w:rsidR="00E81045">
        <w:t>AFS licensee</w:t>
      </w:r>
      <w:r>
        <w:t xml:space="preserve"> or </w:t>
      </w:r>
      <w:r w:rsidR="00E81045">
        <w:t>credit licensee</w:t>
      </w:r>
      <w:r w:rsidR="00ED08CC">
        <w:t xml:space="preserve"> if ASIC considers that this is necessary and appropriate</w:t>
      </w:r>
      <w:r>
        <w:t>. However</w:t>
      </w:r>
      <w:r w:rsidR="002A347E">
        <w:t>,</w:t>
      </w:r>
      <w:r>
        <w:t xml:space="preserve"> before doing so, ASIC must give the licensee an opportunity to appear or be represented at a hearing. A</w:t>
      </w:r>
      <w:r w:rsidR="007D34E8">
        <w:t>SIC must also give the</w:t>
      </w:r>
      <w:r>
        <w:t xml:space="preserve"> licensee </w:t>
      </w:r>
      <w:r w:rsidR="007D34E8">
        <w:t>an</w:t>
      </w:r>
      <w:r>
        <w:t xml:space="preserve"> opportun</w:t>
      </w:r>
      <w:r w:rsidR="00FC5EFA">
        <w:t>ity to make submissions to ASIC</w:t>
      </w:r>
      <w:r>
        <w:t xml:space="preserve"> in relation to the matter to which the variation relates.</w:t>
      </w:r>
      <w:r w:rsidR="002A347E">
        <w:t xml:space="preserve"> ASIC does not need to give a licensee these opportunities if they are varying an interim direction. </w:t>
      </w:r>
      <w:r>
        <w:rPr>
          <w:rStyle w:val="Referencingstyle"/>
        </w:rPr>
        <w:t>[Schedule 1</w:t>
      </w:r>
      <w:r w:rsidRPr="00A14D87">
        <w:rPr>
          <w:rStyle w:val="Referencingstyle"/>
        </w:rPr>
        <w:t>, item</w:t>
      </w:r>
      <w:r w:rsidR="007A61A2">
        <w:rPr>
          <w:rStyle w:val="Referencingstyle"/>
        </w:rPr>
        <w:t>s</w:t>
      </w:r>
      <w:r w:rsidRPr="00A14D87">
        <w:rPr>
          <w:rStyle w:val="Referencingstyle"/>
        </w:rPr>
        <w:t xml:space="preserve"> </w:t>
      </w:r>
      <w:r>
        <w:rPr>
          <w:rStyle w:val="Referencingstyle"/>
        </w:rPr>
        <w:t xml:space="preserve">1 and 2, </w:t>
      </w:r>
      <w:r w:rsidR="00ED08CC">
        <w:rPr>
          <w:rStyle w:val="Referencingstyle"/>
        </w:rPr>
        <w:t>sub</w:t>
      </w:r>
      <w:r>
        <w:rPr>
          <w:rStyle w:val="Referencingstyle"/>
        </w:rPr>
        <w:t>sections 918D</w:t>
      </w:r>
      <w:r w:rsidR="00ED08CC">
        <w:rPr>
          <w:rStyle w:val="Referencingstyle"/>
        </w:rPr>
        <w:t>(1)</w:t>
      </w:r>
      <w:r w:rsidR="00401E13">
        <w:rPr>
          <w:rStyle w:val="Referencingstyle"/>
        </w:rPr>
        <w:t xml:space="preserve"> to </w:t>
      </w:r>
      <w:r w:rsidR="00ED08CC">
        <w:rPr>
          <w:rStyle w:val="Referencingstyle"/>
        </w:rPr>
        <w:t>(2)</w:t>
      </w:r>
      <w:r w:rsidR="00317AE8">
        <w:rPr>
          <w:rStyle w:val="Referencingstyle"/>
        </w:rPr>
        <w:t xml:space="preserve"> and section 918J</w:t>
      </w:r>
      <w:r w:rsidR="00ED08CC" w:rsidRPr="00A14D87">
        <w:rPr>
          <w:rStyle w:val="Referencingstyle"/>
        </w:rPr>
        <w:t xml:space="preserve"> </w:t>
      </w:r>
      <w:r w:rsidRPr="00A14D87">
        <w:rPr>
          <w:rStyle w:val="Referencingstyle"/>
        </w:rPr>
        <w:t xml:space="preserve">of </w:t>
      </w:r>
      <w:r>
        <w:rPr>
          <w:rStyle w:val="Referencingstyle"/>
        </w:rPr>
        <w:t xml:space="preserve">the Corporations </w:t>
      </w:r>
      <w:r w:rsidRPr="00A14D87">
        <w:rPr>
          <w:rStyle w:val="Referencingstyle"/>
        </w:rPr>
        <w:t>Act</w:t>
      </w:r>
      <w:r>
        <w:rPr>
          <w:rStyle w:val="Referencingstyle"/>
        </w:rPr>
        <w:t xml:space="preserve"> and </w:t>
      </w:r>
      <w:r w:rsidR="00ED08CC">
        <w:rPr>
          <w:rStyle w:val="Referencingstyle"/>
        </w:rPr>
        <w:t>sub</w:t>
      </w:r>
      <w:r>
        <w:rPr>
          <w:rStyle w:val="Referencingstyle"/>
        </w:rPr>
        <w:t xml:space="preserve">sections </w:t>
      </w:r>
      <w:r w:rsidR="00DA5126">
        <w:rPr>
          <w:rStyle w:val="Referencingstyle"/>
        </w:rPr>
        <w:t>78F</w:t>
      </w:r>
      <w:r w:rsidR="00317AE8">
        <w:rPr>
          <w:rStyle w:val="Referencingstyle"/>
        </w:rPr>
        <w:t>(1)</w:t>
      </w:r>
      <w:r w:rsidR="00401E13">
        <w:rPr>
          <w:rStyle w:val="Referencingstyle"/>
        </w:rPr>
        <w:t xml:space="preserve"> to </w:t>
      </w:r>
      <w:r w:rsidR="00ED08CC">
        <w:rPr>
          <w:rStyle w:val="Referencingstyle"/>
        </w:rPr>
        <w:t>(2)</w:t>
      </w:r>
      <w:r w:rsidR="00317AE8">
        <w:rPr>
          <w:rStyle w:val="Referencingstyle"/>
        </w:rPr>
        <w:t xml:space="preserve"> and section 78L</w:t>
      </w:r>
      <w:r w:rsidR="00ED08CC">
        <w:rPr>
          <w:rStyle w:val="Referencingstyle"/>
        </w:rPr>
        <w:t xml:space="preserve"> </w:t>
      </w:r>
      <w:r>
        <w:rPr>
          <w:rStyle w:val="Referencingstyle"/>
        </w:rPr>
        <w:t>of the Credit Act</w:t>
      </w:r>
      <w:r w:rsidRPr="00A14D87">
        <w:rPr>
          <w:rStyle w:val="Referencingstyle"/>
        </w:rPr>
        <w:t>]</w:t>
      </w:r>
    </w:p>
    <w:p w14:paraId="0961691D" w14:textId="5B473569" w:rsidR="00C84EBF" w:rsidRDefault="007D34E8" w:rsidP="00A60854">
      <w:pPr>
        <w:pStyle w:val="base-text-paragraph"/>
        <w:tabs>
          <w:tab w:val="left" w:pos="1985"/>
        </w:tabs>
        <w:ind w:left="1134"/>
      </w:pPr>
      <w:r>
        <w:t xml:space="preserve">If ASIC gives a licensee a reasonable opportunity to appear or be represented at a hearing, but the licensee </w:t>
      </w:r>
      <w:r w:rsidR="0002779F">
        <w:t>does</w:t>
      </w:r>
      <w:r>
        <w:t xml:space="preserve"> not to take up that opportunity, ASIC does not need to hold a hearing.</w:t>
      </w:r>
    </w:p>
    <w:p w14:paraId="7D2ADEE6" w14:textId="35920BAB" w:rsidR="00ED08CC" w:rsidRPr="00401E13" w:rsidRDefault="007A5EF1" w:rsidP="00A60854">
      <w:pPr>
        <w:pStyle w:val="base-text-paragraph"/>
        <w:tabs>
          <w:tab w:val="left" w:pos="1985"/>
        </w:tabs>
        <w:ind w:left="1134"/>
        <w:rPr>
          <w:rStyle w:val="Referencingstyle"/>
          <w:b w:val="0"/>
          <w:i w:val="0"/>
          <w:sz w:val="22"/>
        </w:rPr>
      </w:pPr>
      <w:r>
        <w:t xml:space="preserve">ASIC </w:t>
      </w:r>
      <w:r w:rsidR="00ED08CC">
        <w:t xml:space="preserve">can </w:t>
      </w:r>
      <w:r>
        <w:t xml:space="preserve">repeal a direction </w:t>
      </w:r>
      <w:r w:rsidR="00ED08CC">
        <w:t xml:space="preserve">that it has given to an </w:t>
      </w:r>
      <w:r w:rsidR="00E81045">
        <w:t xml:space="preserve">AFS licensee or credit licensee </w:t>
      </w:r>
      <w:r w:rsidR="00ED08CC">
        <w:t>if ASIC considers that the direction is no longer necessary or appropriate.</w:t>
      </w:r>
      <w:r w:rsidR="00ED08CC" w:rsidRPr="00ED08CC">
        <w:rPr>
          <w:rStyle w:val="Referencingstyle"/>
        </w:rPr>
        <w:t xml:space="preserve"> </w:t>
      </w:r>
      <w:r w:rsidR="00ED08CC">
        <w:rPr>
          <w:rStyle w:val="Referencingstyle"/>
        </w:rPr>
        <w:t>[Schedule 1</w:t>
      </w:r>
      <w:r w:rsidR="00ED08CC" w:rsidRPr="00A14D87">
        <w:rPr>
          <w:rStyle w:val="Referencingstyle"/>
        </w:rPr>
        <w:t>, item</w:t>
      </w:r>
      <w:r w:rsidR="007A61A2">
        <w:rPr>
          <w:rStyle w:val="Referencingstyle"/>
        </w:rPr>
        <w:t>s</w:t>
      </w:r>
      <w:r w:rsidR="00ED08CC" w:rsidRPr="00A14D87">
        <w:rPr>
          <w:rStyle w:val="Referencingstyle"/>
        </w:rPr>
        <w:t xml:space="preserve"> </w:t>
      </w:r>
      <w:r w:rsidR="00401E13">
        <w:rPr>
          <w:rStyle w:val="Referencingstyle"/>
        </w:rPr>
        <w:t>1 and 2, subsection</w:t>
      </w:r>
      <w:r w:rsidR="00ED08CC">
        <w:rPr>
          <w:rStyle w:val="Referencingstyle"/>
        </w:rPr>
        <w:t xml:space="preserve"> 918D(3</w:t>
      </w:r>
      <w:r w:rsidR="00401E13">
        <w:rPr>
          <w:rStyle w:val="Referencingstyle"/>
        </w:rPr>
        <w:t>)</w:t>
      </w:r>
      <w:r w:rsidR="00317AE8">
        <w:rPr>
          <w:rStyle w:val="Referencingstyle"/>
        </w:rPr>
        <w:t xml:space="preserve"> and section 918J</w:t>
      </w:r>
      <w:r w:rsidR="00ED08CC" w:rsidRPr="00A14D87">
        <w:rPr>
          <w:rStyle w:val="Referencingstyle"/>
        </w:rPr>
        <w:t xml:space="preserve"> of </w:t>
      </w:r>
      <w:r w:rsidR="00ED08CC">
        <w:rPr>
          <w:rStyle w:val="Referencingstyle"/>
        </w:rPr>
        <w:t xml:space="preserve">the Corporations </w:t>
      </w:r>
      <w:r w:rsidR="00ED08CC" w:rsidRPr="00A14D87">
        <w:rPr>
          <w:rStyle w:val="Referencingstyle"/>
        </w:rPr>
        <w:t>Act</w:t>
      </w:r>
      <w:r w:rsidR="00401E13">
        <w:rPr>
          <w:rStyle w:val="Referencingstyle"/>
        </w:rPr>
        <w:t xml:space="preserve"> and subsection</w:t>
      </w:r>
      <w:r w:rsidR="00ED08CC">
        <w:rPr>
          <w:rStyle w:val="Referencingstyle"/>
        </w:rPr>
        <w:t xml:space="preserve"> 78F(3)</w:t>
      </w:r>
      <w:r w:rsidR="00317AE8">
        <w:rPr>
          <w:rStyle w:val="Referencingstyle"/>
        </w:rPr>
        <w:t xml:space="preserve"> and</w:t>
      </w:r>
      <w:r w:rsidR="007A61A2">
        <w:rPr>
          <w:rStyle w:val="Referencingstyle"/>
        </w:rPr>
        <w:t xml:space="preserve"> section</w:t>
      </w:r>
      <w:r w:rsidR="00317AE8">
        <w:rPr>
          <w:rStyle w:val="Referencingstyle"/>
        </w:rPr>
        <w:t xml:space="preserve"> 78L</w:t>
      </w:r>
      <w:r w:rsidR="00ED08CC">
        <w:rPr>
          <w:rStyle w:val="Referencingstyle"/>
        </w:rPr>
        <w:t xml:space="preserve"> of the Credit Act</w:t>
      </w:r>
      <w:r w:rsidR="00ED08CC" w:rsidRPr="00A14D87">
        <w:rPr>
          <w:rStyle w:val="Referencingstyle"/>
        </w:rPr>
        <w:t>]</w:t>
      </w:r>
    </w:p>
    <w:p w14:paraId="639E263E" w14:textId="7040FA94" w:rsidR="0084280A" w:rsidRPr="00401E13" w:rsidRDefault="00ED08CC" w:rsidP="00A60854">
      <w:pPr>
        <w:pStyle w:val="base-text-paragraph"/>
        <w:tabs>
          <w:tab w:val="left" w:pos="1985"/>
        </w:tabs>
        <w:ind w:left="1134"/>
        <w:rPr>
          <w:rStyle w:val="Referencingstyle"/>
          <w:b w:val="0"/>
          <w:i w:val="0"/>
          <w:sz w:val="22"/>
        </w:rPr>
      </w:pPr>
      <w:r>
        <w:t xml:space="preserve">A variation or revocation </w:t>
      </w:r>
      <w:r w:rsidR="003408DF">
        <w:t>of a direction must</w:t>
      </w:r>
      <w:r>
        <w:t xml:space="preserve"> be given to a licensee </w:t>
      </w:r>
      <w:r w:rsidR="00502E02">
        <w:t>in writing</w:t>
      </w:r>
      <w:r w:rsidR="003408DF">
        <w:t>. The variation or revocation of the direction</w:t>
      </w:r>
      <w:r>
        <w:t xml:space="preserve"> take</w:t>
      </w:r>
      <w:r w:rsidR="003408DF">
        <w:t>s</w:t>
      </w:r>
      <w:r>
        <w:t xml:space="preserve"> effect when </w:t>
      </w:r>
      <w:r w:rsidR="003408DF">
        <w:t xml:space="preserve">it is </w:t>
      </w:r>
      <w:r>
        <w:t xml:space="preserve">given </w:t>
      </w:r>
      <w:r w:rsidR="003408DF">
        <w:t>to the licensee.</w:t>
      </w:r>
      <w:r w:rsidR="003408DF" w:rsidRPr="003408DF">
        <w:rPr>
          <w:rStyle w:val="Referencingstyle"/>
        </w:rPr>
        <w:t xml:space="preserve"> </w:t>
      </w:r>
      <w:r w:rsidR="003408DF">
        <w:rPr>
          <w:rStyle w:val="Referencingstyle"/>
        </w:rPr>
        <w:t>[Schedule 1</w:t>
      </w:r>
      <w:r w:rsidR="003408DF" w:rsidRPr="00A14D87">
        <w:rPr>
          <w:rStyle w:val="Referencingstyle"/>
        </w:rPr>
        <w:t>, item</w:t>
      </w:r>
      <w:r w:rsidR="00A86961">
        <w:rPr>
          <w:rStyle w:val="Referencingstyle"/>
        </w:rPr>
        <w:t>s</w:t>
      </w:r>
      <w:r w:rsidR="003408DF" w:rsidRPr="00A14D87">
        <w:rPr>
          <w:rStyle w:val="Referencingstyle"/>
        </w:rPr>
        <w:t xml:space="preserve"> </w:t>
      </w:r>
      <w:r w:rsidR="003408DF">
        <w:rPr>
          <w:rStyle w:val="Referencingstyle"/>
        </w:rPr>
        <w:t>1 and 2, subsections 918D(1)</w:t>
      </w:r>
      <w:r w:rsidR="00A86961">
        <w:rPr>
          <w:rStyle w:val="Referencingstyle"/>
        </w:rPr>
        <w:t>, (3)</w:t>
      </w:r>
      <w:r w:rsidR="003408DF">
        <w:rPr>
          <w:rStyle w:val="Referencingstyle"/>
        </w:rPr>
        <w:t xml:space="preserve"> and (5)</w:t>
      </w:r>
      <w:r w:rsidR="00A86961">
        <w:rPr>
          <w:rStyle w:val="Referencingstyle"/>
        </w:rPr>
        <w:t xml:space="preserve"> and section 918J</w:t>
      </w:r>
      <w:r w:rsidR="003408DF" w:rsidRPr="00A14D87">
        <w:rPr>
          <w:rStyle w:val="Referencingstyle"/>
        </w:rPr>
        <w:t xml:space="preserve"> of </w:t>
      </w:r>
      <w:r w:rsidR="003408DF">
        <w:rPr>
          <w:rStyle w:val="Referencingstyle"/>
        </w:rPr>
        <w:t xml:space="preserve">the Corporations </w:t>
      </w:r>
      <w:r w:rsidR="003408DF" w:rsidRPr="00A14D87">
        <w:rPr>
          <w:rStyle w:val="Referencingstyle"/>
        </w:rPr>
        <w:t>Act</w:t>
      </w:r>
      <w:r w:rsidR="003408DF">
        <w:rPr>
          <w:rStyle w:val="Referencingstyle"/>
        </w:rPr>
        <w:t xml:space="preserve"> and</w:t>
      </w:r>
      <w:r w:rsidR="00A54402">
        <w:rPr>
          <w:rStyle w:val="Referencingstyle"/>
        </w:rPr>
        <w:t xml:space="preserve"> </w:t>
      </w:r>
      <w:r w:rsidR="003408DF">
        <w:rPr>
          <w:rStyle w:val="Referencingstyle"/>
        </w:rPr>
        <w:t>subsections 78F(1)</w:t>
      </w:r>
      <w:r w:rsidR="00A86961">
        <w:rPr>
          <w:rStyle w:val="Referencingstyle"/>
        </w:rPr>
        <w:t>, (3)</w:t>
      </w:r>
      <w:r w:rsidR="00A54402">
        <w:rPr>
          <w:rStyle w:val="Referencingstyle"/>
        </w:rPr>
        <w:t xml:space="preserve"> and </w:t>
      </w:r>
      <w:r w:rsidR="003408DF">
        <w:rPr>
          <w:rStyle w:val="Referencingstyle"/>
        </w:rPr>
        <w:t xml:space="preserve">(5) </w:t>
      </w:r>
      <w:r w:rsidR="00A54402">
        <w:rPr>
          <w:rStyle w:val="Referencingstyle"/>
        </w:rPr>
        <w:t xml:space="preserve">and section 78L </w:t>
      </w:r>
      <w:r w:rsidR="003408DF">
        <w:rPr>
          <w:rStyle w:val="Referencingstyle"/>
        </w:rPr>
        <w:t>of the Credit Act</w:t>
      </w:r>
      <w:r w:rsidR="003408DF" w:rsidRPr="00A14D87">
        <w:rPr>
          <w:rStyle w:val="Referencingstyle"/>
        </w:rPr>
        <w:t>]</w:t>
      </w:r>
    </w:p>
    <w:p w14:paraId="745EE46F" w14:textId="07D9E825" w:rsidR="007A5EF1" w:rsidRDefault="0084280A">
      <w:pPr>
        <w:pStyle w:val="base-text-paragraph"/>
        <w:tabs>
          <w:tab w:val="left" w:pos="1985"/>
        </w:tabs>
        <w:ind w:left="1134"/>
      </w:pPr>
      <w:r>
        <w:t>After varying or revoking a direction, ASIC must publish a copy of that variation or revocation on their website as soon as practicable. ASIC does not need to publish a copy of a variation or revocation of an interim direction on their website.</w:t>
      </w:r>
      <w:r w:rsidR="007346E9" w:rsidRPr="007346E9">
        <w:rPr>
          <w:rStyle w:val="Referencingstyle"/>
        </w:rPr>
        <w:t xml:space="preserve"> </w:t>
      </w:r>
      <w:r w:rsidR="007346E9">
        <w:rPr>
          <w:rStyle w:val="Referencingstyle"/>
        </w:rPr>
        <w:t>[Schedule 1</w:t>
      </w:r>
      <w:r w:rsidR="007346E9" w:rsidRPr="00A14D87">
        <w:rPr>
          <w:rStyle w:val="Referencingstyle"/>
        </w:rPr>
        <w:t>, item</w:t>
      </w:r>
      <w:r w:rsidR="00A86961">
        <w:rPr>
          <w:rStyle w:val="Referencingstyle"/>
        </w:rPr>
        <w:t>s</w:t>
      </w:r>
      <w:r w:rsidR="007346E9" w:rsidRPr="00A14D87">
        <w:rPr>
          <w:rStyle w:val="Referencingstyle"/>
        </w:rPr>
        <w:t xml:space="preserve"> </w:t>
      </w:r>
      <w:r w:rsidR="007346E9">
        <w:rPr>
          <w:rStyle w:val="Referencingstyle"/>
        </w:rPr>
        <w:t xml:space="preserve">1 and 2, subsection 918D(4) </w:t>
      </w:r>
      <w:r w:rsidR="007346E9" w:rsidRPr="00A14D87">
        <w:rPr>
          <w:rStyle w:val="Referencingstyle"/>
        </w:rPr>
        <w:t xml:space="preserve">of </w:t>
      </w:r>
      <w:r w:rsidR="007346E9">
        <w:rPr>
          <w:rStyle w:val="Referencingstyle"/>
        </w:rPr>
        <w:t xml:space="preserve">the Corporations </w:t>
      </w:r>
      <w:r w:rsidR="007346E9" w:rsidRPr="00A14D87">
        <w:rPr>
          <w:rStyle w:val="Referencingstyle"/>
        </w:rPr>
        <w:t>Act</w:t>
      </w:r>
      <w:r w:rsidR="007346E9">
        <w:rPr>
          <w:rStyle w:val="Referencingstyle"/>
        </w:rPr>
        <w:t xml:space="preserve"> and subsection 78F(4) of the Credit Act</w:t>
      </w:r>
      <w:r w:rsidR="007346E9" w:rsidRPr="00A14D87">
        <w:rPr>
          <w:rStyle w:val="Referencingstyle"/>
        </w:rPr>
        <w:t>]</w:t>
      </w:r>
    </w:p>
    <w:p w14:paraId="61696B11" w14:textId="0E5CBF47" w:rsidR="00471C35" w:rsidRDefault="00471C35" w:rsidP="00471C35">
      <w:pPr>
        <w:pStyle w:val="Heading4"/>
      </w:pPr>
      <w:r>
        <w:t>ASIC may delegate the power to give directions</w:t>
      </w:r>
    </w:p>
    <w:p w14:paraId="4E26CC21" w14:textId="4DAB87F7" w:rsidR="00A60854" w:rsidRDefault="00471C35" w:rsidP="00F66772">
      <w:pPr>
        <w:pStyle w:val="base-text-paragraph"/>
        <w:tabs>
          <w:tab w:val="left" w:pos="1985"/>
        </w:tabs>
        <w:ind w:left="1134"/>
      </w:pPr>
      <w:r>
        <w:t>ASIC can delegate</w:t>
      </w:r>
      <w:r w:rsidR="003D2F05">
        <w:t xml:space="preserve">, </w:t>
      </w:r>
      <w:r w:rsidR="001B3A46">
        <w:t>in writing</w:t>
      </w:r>
      <w:r w:rsidR="003D2F05">
        <w:t>,</w:t>
      </w:r>
      <w:r>
        <w:t xml:space="preserve"> a power to give directions in accordance with section 102 of the ASIC Act.</w:t>
      </w:r>
      <w:r w:rsidR="002E5D7A">
        <w:t xml:space="preserve"> </w:t>
      </w:r>
      <w:r w:rsidR="0001712B">
        <w:t>The delegation provisions allow ASIC to delegate the directions power to members and staff members of ASIC (amongst other people).</w:t>
      </w:r>
    </w:p>
    <w:p w14:paraId="4C7FB79C" w14:textId="59294C8E" w:rsidR="00A60854" w:rsidRDefault="00A60854" w:rsidP="00A60854">
      <w:pPr>
        <w:pStyle w:val="Heading4"/>
      </w:pPr>
      <w:r>
        <w:t>A decision by ASIC can be reviewed</w:t>
      </w:r>
    </w:p>
    <w:p w14:paraId="1722CB0E" w14:textId="6439B562" w:rsidR="00471C35" w:rsidRPr="00471C35" w:rsidRDefault="00A60854" w:rsidP="00A60854">
      <w:pPr>
        <w:pStyle w:val="base-text-paragraph"/>
        <w:tabs>
          <w:tab w:val="left" w:pos="1985"/>
        </w:tabs>
        <w:ind w:left="1134"/>
      </w:pPr>
      <w:r>
        <w:t xml:space="preserve">A decision by ASIC or a delegate to give a direction, interim direction or an approval of a person nominated by a licensee to do a </w:t>
      </w:r>
      <w:r w:rsidR="00631667">
        <w:t xml:space="preserve">specified </w:t>
      </w:r>
      <w:r>
        <w:t>task, is subject to the usual safeguards</w:t>
      </w:r>
      <w:r w:rsidR="00F04EF1">
        <w:t>.</w:t>
      </w:r>
      <w:r>
        <w:t xml:space="preserve"> </w:t>
      </w:r>
      <w:r w:rsidR="00F04EF1">
        <w:t>This includes</w:t>
      </w:r>
      <w:r>
        <w:t xml:space="preserve"> administrative review (see Part 9.4A of the Corporations Act and </w:t>
      </w:r>
      <w:r w:rsidR="006A5710">
        <w:t>sections </w:t>
      </w:r>
      <w:r>
        <w:t>327 and 328 of the Credit Act), judicial review and consideration in appropriate circumstances by the Commonwealth Ombudsman.</w:t>
      </w:r>
    </w:p>
    <w:p w14:paraId="28BE5AE5" w14:textId="427AAD6C" w:rsidR="006F7856" w:rsidRPr="006F7856" w:rsidRDefault="006F7856" w:rsidP="006F7856">
      <w:pPr>
        <w:pStyle w:val="Heading3"/>
      </w:pPr>
      <w:r>
        <w:t>Compliance with a direction</w:t>
      </w:r>
    </w:p>
    <w:p w14:paraId="4AD3634D" w14:textId="2D9A74DD" w:rsidR="006F7856" w:rsidRPr="00263CF7" w:rsidRDefault="008C1F3C" w:rsidP="00F66772">
      <w:pPr>
        <w:pStyle w:val="base-text-paragraph"/>
        <w:tabs>
          <w:tab w:val="left" w:pos="1985"/>
        </w:tabs>
        <w:ind w:left="1134"/>
      </w:pPr>
      <w:r>
        <w:t xml:space="preserve">An </w:t>
      </w:r>
      <w:r w:rsidR="004C4091">
        <w:t>AFS licensee</w:t>
      </w:r>
      <w:r>
        <w:t xml:space="preserve"> or </w:t>
      </w:r>
      <w:r w:rsidR="004C4091">
        <w:t>credit licensee</w:t>
      </w:r>
      <w:r>
        <w:t xml:space="preserve"> must comply with a direction given by ASIC. Failure to comply with </w:t>
      </w:r>
      <w:r w:rsidR="007A56AD">
        <w:t>a</w:t>
      </w:r>
      <w:r>
        <w:t xml:space="preserve"> direction </w:t>
      </w:r>
      <w:r w:rsidR="007A56AD">
        <w:t>is</w:t>
      </w:r>
      <w:r>
        <w:t xml:space="preserve"> a contravention</w:t>
      </w:r>
      <w:r w:rsidR="007A56AD">
        <w:t xml:space="preserve"> of the legislation</w:t>
      </w:r>
      <w:r>
        <w:t xml:space="preserve"> </w:t>
      </w:r>
      <w:r w:rsidR="007A56AD">
        <w:t xml:space="preserve">and </w:t>
      </w:r>
      <w:r>
        <w:t>is a civil penalty.</w:t>
      </w:r>
      <w:r w:rsidR="005B6280" w:rsidRPr="005B6280">
        <w:rPr>
          <w:rStyle w:val="Referencingstyle"/>
        </w:rPr>
        <w:t xml:space="preserve"> </w:t>
      </w:r>
      <w:r w:rsidR="005B6280">
        <w:rPr>
          <w:rStyle w:val="Referencingstyle"/>
        </w:rPr>
        <w:t>[Schedule 1</w:t>
      </w:r>
      <w:r w:rsidR="005B6280" w:rsidRPr="00A14D87">
        <w:rPr>
          <w:rStyle w:val="Referencingstyle"/>
        </w:rPr>
        <w:t>, item</w:t>
      </w:r>
      <w:r w:rsidR="00DB6D54">
        <w:rPr>
          <w:rStyle w:val="Referencingstyle"/>
        </w:rPr>
        <w:t>s</w:t>
      </w:r>
      <w:r w:rsidR="005B6280" w:rsidRPr="00A14D87">
        <w:rPr>
          <w:rStyle w:val="Referencingstyle"/>
        </w:rPr>
        <w:t xml:space="preserve"> </w:t>
      </w:r>
      <w:r w:rsidR="005B6280">
        <w:rPr>
          <w:rStyle w:val="Referencingstyle"/>
        </w:rPr>
        <w:t>1 and 2, section 918</w:t>
      </w:r>
      <w:r w:rsidR="00757BCF">
        <w:rPr>
          <w:rStyle w:val="Referencingstyle"/>
        </w:rPr>
        <w:t>K</w:t>
      </w:r>
      <w:r w:rsidR="005B6280">
        <w:rPr>
          <w:rStyle w:val="Referencingstyle"/>
        </w:rPr>
        <w:t xml:space="preserve"> </w:t>
      </w:r>
      <w:r w:rsidR="005B6280" w:rsidRPr="00A14D87">
        <w:rPr>
          <w:rStyle w:val="Referencingstyle"/>
        </w:rPr>
        <w:t xml:space="preserve">of </w:t>
      </w:r>
      <w:r w:rsidR="005B6280">
        <w:rPr>
          <w:rStyle w:val="Referencingstyle"/>
        </w:rPr>
        <w:t xml:space="preserve">the Corporations </w:t>
      </w:r>
      <w:r w:rsidR="005B6280" w:rsidRPr="00A14D87">
        <w:rPr>
          <w:rStyle w:val="Referencingstyle"/>
        </w:rPr>
        <w:t>Act</w:t>
      </w:r>
      <w:r w:rsidR="005B6280">
        <w:rPr>
          <w:rStyle w:val="Referencingstyle"/>
        </w:rPr>
        <w:t xml:space="preserve"> and section </w:t>
      </w:r>
      <w:r w:rsidR="00757BCF">
        <w:rPr>
          <w:rStyle w:val="Referencingstyle"/>
        </w:rPr>
        <w:t>78M</w:t>
      </w:r>
      <w:r w:rsidR="005B6280">
        <w:rPr>
          <w:rStyle w:val="Referencingstyle"/>
        </w:rPr>
        <w:t xml:space="preserve"> of the Credit Act</w:t>
      </w:r>
      <w:r w:rsidR="005B6280" w:rsidRPr="00A14D87">
        <w:rPr>
          <w:rStyle w:val="Referencingstyle"/>
        </w:rPr>
        <w:t>]</w:t>
      </w:r>
    </w:p>
    <w:p w14:paraId="79508256" w14:textId="5C73D6F7" w:rsidR="008E6905" w:rsidRDefault="00881FC0" w:rsidP="00F610E4">
      <w:pPr>
        <w:pStyle w:val="base-text-paragraph"/>
        <w:tabs>
          <w:tab w:val="left" w:pos="1985"/>
        </w:tabs>
        <w:ind w:left="1134"/>
      </w:pPr>
      <w:r>
        <w:t>Section 1317QA of the</w:t>
      </w:r>
      <w:r w:rsidR="008E6905" w:rsidRPr="00A60854">
        <w:t xml:space="preserve"> Corporations Act and</w:t>
      </w:r>
      <w:r w:rsidR="005572AD">
        <w:t xml:space="preserve"> section 175A of</w:t>
      </w:r>
      <w:r w:rsidR="008E6905" w:rsidRPr="00A60854">
        <w:t xml:space="preserve"> the Credit Act deal generally with civil penalty contraventions that continue beyond the time that compliance is required.</w:t>
      </w:r>
    </w:p>
    <w:p w14:paraId="129712E7" w14:textId="5F7AB8D6" w:rsidR="007A56AD" w:rsidRDefault="00F52A29" w:rsidP="00F610E4">
      <w:pPr>
        <w:pStyle w:val="base-text-paragraph"/>
        <w:tabs>
          <w:tab w:val="left" w:pos="1985"/>
        </w:tabs>
        <w:ind w:left="1134"/>
      </w:pPr>
      <w:r>
        <w:t>It is a general obligation of AFS</w:t>
      </w:r>
      <w:r w:rsidR="004C4091">
        <w:t xml:space="preserve"> licensees</w:t>
      </w:r>
      <w:r>
        <w:t xml:space="preserve"> to comply with financial services laws. Failure to do so can result in suspension or cancelation o</w:t>
      </w:r>
      <w:r w:rsidR="009267C7">
        <w:t>f an AFS</w:t>
      </w:r>
      <w:r w:rsidR="004C4091">
        <w:t xml:space="preserve"> licence</w:t>
      </w:r>
      <w:r w:rsidR="007A56AD">
        <w:t>.</w:t>
      </w:r>
    </w:p>
    <w:p w14:paraId="630AA409" w14:textId="488BF53B" w:rsidR="0035337B" w:rsidRDefault="009267C7" w:rsidP="00F610E4">
      <w:pPr>
        <w:pStyle w:val="base-text-paragraph"/>
        <w:tabs>
          <w:tab w:val="left" w:pos="1985"/>
        </w:tabs>
        <w:ind w:left="1134"/>
      </w:pPr>
      <w:r>
        <w:t xml:space="preserve">Failure to comply with a direction may also </w:t>
      </w:r>
      <w:r w:rsidR="005344C6">
        <w:t>result in</w:t>
      </w:r>
      <w:r>
        <w:t xml:space="preserve"> liability to a banning order or court order (including injunctions)</w:t>
      </w:r>
      <w:r w:rsidR="00AF5C84">
        <w:t xml:space="preserve"> and </w:t>
      </w:r>
      <w:r w:rsidR="005C0ABF">
        <w:t xml:space="preserve">trigger </w:t>
      </w:r>
      <w:r w:rsidR="00AF5C84">
        <w:t>obligations to report breaches</w:t>
      </w:r>
      <w:r>
        <w:t xml:space="preserve"> under the Corporations</w:t>
      </w:r>
      <w:r w:rsidR="00AF5C84">
        <w:t xml:space="preserve"> Act.</w:t>
      </w:r>
    </w:p>
    <w:p w14:paraId="2076AFE9" w14:textId="13D97C2C" w:rsidR="00F52A29" w:rsidRDefault="00F52A29" w:rsidP="00F610E4">
      <w:pPr>
        <w:pStyle w:val="base-text-paragraph"/>
        <w:tabs>
          <w:tab w:val="left" w:pos="1985"/>
        </w:tabs>
        <w:ind w:left="1134"/>
      </w:pPr>
      <w:r>
        <w:t xml:space="preserve">It is a general conduct obligation of </w:t>
      </w:r>
      <w:r w:rsidR="004C4091">
        <w:t>credit licensees</w:t>
      </w:r>
      <w:r>
        <w:t xml:space="preserve"> to comply with the credit legislation. Failure to do so can result in</w:t>
      </w:r>
      <w:r w:rsidR="004C4091">
        <w:t xml:space="preserve"> suspension or cancelation of a credit licence.</w:t>
      </w:r>
      <w:r>
        <w:t xml:space="preserve"> </w:t>
      </w:r>
      <w:r w:rsidR="00AF5C84">
        <w:t>Failure to comply with a direction may also give rise to liability to a banning order under the Credit Act.</w:t>
      </w:r>
    </w:p>
    <w:p w14:paraId="55DB6675" w14:textId="3028C89A" w:rsidR="007A56AD" w:rsidRPr="005B6280" w:rsidRDefault="005B6280" w:rsidP="00F610E4">
      <w:pPr>
        <w:pStyle w:val="base-text-paragraph"/>
        <w:tabs>
          <w:tab w:val="left" w:pos="1985"/>
        </w:tabs>
        <w:ind w:left="1134"/>
        <w:rPr>
          <w:rStyle w:val="Referencingstyle"/>
          <w:b w:val="0"/>
          <w:i w:val="0"/>
          <w:sz w:val="22"/>
        </w:rPr>
      </w:pPr>
      <w:r>
        <w:t>Paragraph</w:t>
      </w:r>
      <w:r w:rsidR="008C2022">
        <w:t xml:space="preserve"> </w:t>
      </w:r>
      <w:proofErr w:type="gramStart"/>
      <w:r w:rsidR="008C2022">
        <w:t>912A</w:t>
      </w:r>
      <w:r>
        <w:t>(</w:t>
      </w:r>
      <w:proofErr w:type="gramEnd"/>
      <w:r>
        <w:t>1)(b)</w:t>
      </w:r>
      <w:r w:rsidR="008C2022">
        <w:t xml:space="preserve"> of the Corporations Act requires an AFS</w:t>
      </w:r>
      <w:r w:rsidR="004C4091">
        <w:t xml:space="preserve"> licence</w:t>
      </w:r>
      <w:r w:rsidR="008C2022">
        <w:t xml:space="preserve"> </w:t>
      </w:r>
      <w:r w:rsidR="007A5EF1">
        <w:t>t</w:t>
      </w:r>
      <w:r w:rsidR="008C2022">
        <w:t xml:space="preserve">o comply with the conditions on their licence. </w:t>
      </w:r>
      <w:r w:rsidR="007A56AD">
        <w:t>However, a licensee will not fail</w:t>
      </w:r>
      <w:r w:rsidR="00BC7D86">
        <w:t xml:space="preserve"> to comply with the conditions of their licenc</w:t>
      </w:r>
      <w:r w:rsidR="007A5EF1">
        <w:t>e</w:t>
      </w:r>
      <w:r w:rsidR="00BC7D86">
        <w:t xml:space="preserve"> </w:t>
      </w:r>
      <w:r w:rsidR="007A5EF1">
        <w:t>if</w:t>
      </w:r>
      <w:r w:rsidR="00BC7D86">
        <w:t xml:space="preserve"> the licensee has engaged in conduct that was necessary to comply with a direction given by ASIC</w:t>
      </w:r>
      <w:r w:rsidR="008C2022">
        <w:t>.</w:t>
      </w:r>
      <w:r w:rsidR="008C2022" w:rsidRPr="008C2022">
        <w:rPr>
          <w:rStyle w:val="Referencingstyle"/>
        </w:rPr>
        <w:t xml:space="preserve"> </w:t>
      </w:r>
      <w:r w:rsidR="008C2022">
        <w:rPr>
          <w:rStyle w:val="Referencingstyle"/>
        </w:rPr>
        <w:t>[Schedule 1</w:t>
      </w:r>
      <w:r w:rsidR="008C2022" w:rsidRPr="00A14D87">
        <w:rPr>
          <w:rStyle w:val="Referencingstyle"/>
        </w:rPr>
        <w:t>, item</w:t>
      </w:r>
      <w:r w:rsidR="00D30D49">
        <w:rPr>
          <w:rStyle w:val="Referencingstyle"/>
        </w:rPr>
        <w:t>s</w:t>
      </w:r>
      <w:r w:rsidR="008C2022" w:rsidRPr="00A14D87">
        <w:rPr>
          <w:rStyle w:val="Referencingstyle"/>
        </w:rPr>
        <w:t xml:space="preserve"> </w:t>
      </w:r>
      <w:r w:rsidR="008C2022">
        <w:rPr>
          <w:rStyle w:val="Referencingstyle"/>
        </w:rPr>
        <w:t>1 and 2, section 918</w:t>
      </w:r>
      <w:r w:rsidR="00757BCF">
        <w:rPr>
          <w:rStyle w:val="Referencingstyle"/>
        </w:rPr>
        <w:t>L</w:t>
      </w:r>
      <w:r w:rsidR="008C2022">
        <w:rPr>
          <w:rStyle w:val="Referencingstyle"/>
        </w:rPr>
        <w:t xml:space="preserve"> </w:t>
      </w:r>
      <w:r w:rsidR="008C2022" w:rsidRPr="00A14D87">
        <w:rPr>
          <w:rStyle w:val="Referencingstyle"/>
        </w:rPr>
        <w:t xml:space="preserve">of </w:t>
      </w:r>
      <w:r w:rsidR="008C2022">
        <w:rPr>
          <w:rStyle w:val="Referencingstyle"/>
        </w:rPr>
        <w:t xml:space="preserve">the Corporations </w:t>
      </w:r>
      <w:r w:rsidR="008C2022" w:rsidRPr="00A14D87">
        <w:rPr>
          <w:rStyle w:val="Referencingstyle"/>
        </w:rPr>
        <w:t>Act]</w:t>
      </w:r>
    </w:p>
    <w:p w14:paraId="70C36497" w14:textId="375CF3A3" w:rsidR="005B6280" w:rsidRPr="00813079" w:rsidRDefault="005B6280" w:rsidP="00F610E4">
      <w:pPr>
        <w:pStyle w:val="base-text-paragraph"/>
        <w:tabs>
          <w:tab w:val="left" w:pos="1985"/>
        </w:tabs>
        <w:ind w:left="1134"/>
        <w:rPr>
          <w:rStyle w:val="Referencingstyle"/>
          <w:b w:val="0"/>
          <w:i w:val="0"/>
          <w:sz w:val="22"/>
        </w:rPr>
      </w:pPr>
      <w:r>
        <w:t>Paragraph 47(1</w:t>
      </w:r>
      <w:proofErr w:type="gramStart"/>
      <w:r>
        <w:t>)(</w:t>
      </w:r>
      <w:proofErr w:type="gramEnd"/>
      <w:r w:rsidR="004C4091">
        <w:t>c) of the Credit Act requires a</w:t>
      </w:r>
      <w:r>
        <w:t xml:space="preserve"> </w:t>
      </w:r>
      <w:r w:rsidR="004C4091">
        <w:t>credit licensee</w:t>
      </w:r>
      <w:r>
        <w:t xml:space="preserve"> to comply with the conditions on their licence. However, a licensee will not fail to comply with the conditions of their licence if the licensee has engaged in conduct that was necessary to comply with a direction given by ASIC.</w:t>
      </w:r>
      <w:r w:rsidRPr="008C2022">
        <w:rPr>
          <w:rStyle w:val="Referencingstyle"/>
        </w:rPr>
        <w:t xml:space="preserve"> </w:t>
      </w:r>
      <w:r>
        <w:rPr>
          <w:rStyle w:val="Referencingstyle"/>
        </w:rPr>
        <w:t>[Schedule 1</w:t>
      </w:r>
      <w:r w:rsidRPr="00A14D87">
        <w:rPr>
          <w:rStyle w:val="Referencingstyle"/>
        </w:rPr>
        <w:t>, item</w:t>
      </w:r>
      <w:r w:rsidR="00DB6D54">
        <w:rPr>
          <w:rStyle w:val="Referencingstyle"/>
        </w:rPr>
        <w:t>s</w:t>
      </w:r>
      <w:r w:rsidRPr="00A14D87">
        <w:rPr>
          <w:rStyle w:val="Referencingstyle"/>
        </w:rPr>
        <w:t xml:space="preserve"> </w:t>
      </w:r>
      <w:r>
        <w:rPr>
          <w:rStyle w:val="Referencingstyle"/>
        </w:rPr>
        <w:t xml:space="preserve">1 and 2, section </w:t>
      </w:r>
      <w:r w:rsidR="00757BCF">
        <w:rPr>
          <w:rStyle w:val="Referencingstyle"/>
        </w:rPr>
        <w:t>78N</w:t>
      </w:r>
      <w:r>
        <w:rPr>
          <w:rStyle w:val="Referencingstyle"/>
        </w:rPr>
        <w:t xml:space="preserve"> of the Credit Act</w:t>
      </w:r>
      <w:r w:rsidRPr="00A14D87">
        <w:rPr>
          <w:rStyle w:val="Referencingstyle"/>
        </w:rPr>
        <w:t>]</w:t>
      </w:r>
    </w:p>
    <w:p w14:paraId="57802BE9" w14:textId="2A56E27E" w:rsidR="00813079" w:rsidRDefault="00813079" w:rsidP="00813079">
      <w:pPr>
        <w:pStyle w:val="Heading3"/>
      </w:pPr>
      <w:r>
        <w:t>Other matters</w:t>
      </w:r>
    </w:p>
    <w:p w14:paraId="623BCA12" w14:textId="41CBD907" w:rsidR="00813079" w:rsidRPr="00813079" w:rsidRDefault="00813079" w:rsidP="00D122DB">
      <w:pPr>
        <w:pStyle w:val="base-text-paragraph"/>
        <w:numPr>
          <w:ilvl w:val="1"/>
          <w:numId w:val="41"/>
        </w:numPr>
        <w:tabs>
          <w:tab w:val="left" w:pos="1985"/>
        </w:tabs>
        <w:ind w:left="1134"/>
      </w:pPr>
      <w:r>
        <w:t>A guide to the new law has been provided in the amendments to the Credit Act. The guide is included to assist readers understand the substantive provisions of the new law. This guide is not intended to be comprehensive</w:t>
      </w:r>
      <w:r w:rsidR="005C0ABF">
        <w:t xml:space="preserve"> and </w:t>
      </w:r>
      <w:r>
        <w:t>readers should rely on the substantive provisions of the Bill.</w:t>
      </w:r>
      <w:r w:rsidR="00DB6D54" w:rsidRPr="00DB6D54">
        <w:rPr>
          <w:rStyle w:val="Referencingstyle"/>
        </w:rPr>
        <w:t xml:space="preserve"> </w:t>
      </w:r>
      <w:r w:rsidR="00DB6D54">
        <w:rPr>
          <w:rStyle w:val="Referencingstyle"/>
        </w:rPr>
        <w:t>[Schedule 1</w:t>
      </w:r>
      <w:r w:rsidR="00DB6D54" w:rsidRPr="00A14D87">
        <w:rPr>
          <w:rStyle w:val="Referencingstyle"/>
        </w:rPr>
        <w:t xml:space="preserve">, item </w:t>
      </w:r>
      <w:r w:rsidR="00DB6D54">
        <w:rPr>
          <w:rStyle w:val="Referencingstyle"/>
        </w:rPr>
        <w:t>2, section 78A of the Credit Act]</w:t>
      </w:r>
    </w:p>
    <w:p w14:paraId="5F029398" w14:textId="77777777" w:rsidR="00B17774" w:rsidRDefault="00B17774" w:rsidP="00B17774">
      <w:pPr>
        <w:pStyle w:val="Heading2"/>
      </w:pPr>
      <w:r>
        <w:t>Consequential amendments</w:t>
      </w:r>
    </w:p>
    <w:p w14:paraId="00E51300" w14:textId="5B7D718A" w:rsidR="00B17774" w:rsidRPr="00A60854" w:rsidRDefault="006B393A" w:rsidP="00A60854">
      <w:pPr>
        <w:pStyle w:val="base-text-paragraph"/>
        <w:tabs>
          <w:tab w:val="left" w:pos="1985"/>
        </w:tabs>
        <w:ind w:left="1134"/>
      </w:pPr>
      <w:r w:rsidRPr="00A60854">
        <w:t>The Bill makes consequential amendments to the</w:t>
      </w:r>
      <w:r w:rsidR="00E275C2" w:rsidRPr="00A60854">
        <w:t xml:space="preserve"> Corporations Act </w:t>
      </w:r>
      <w:r w:rsidR="009974BE">
        <w:t>in order to specify that a contravention of a direction or interim direction is a civil penalty provision</w:t>
      </w:r>
      <w:r w:rsidR="00682B06">
        <w:t>.</w:t>
      </w:r>
      <w:r w:rsidR="005B6280" w:rsidRPr="008C2022">
        <w:rPr>
          <w:rStyle w:val="Referencingstyle"/>
        </w:rPr>
        <w:t xml:space="preserve"> </w:t>
      </w:r>
      <w:r w:rsidR="005B6280">
        <w:rPr>
          <w:rStyle w:val="Referencingstyle"/>
        </w:rPr>
        <w:t>[Schedule 1</w:t>
      </w:r>
      <w:r w:rsidR="005B6280" w:rsidRPr="00A14D87">
        <w:rPr>
          <w:rStyle w:val="Referencingstyle"/>
        </w:rPr>
        <w:t xml:space="preserve">, item </w:t>
      </w:r>
      <w:r w:rsidR="00757BCF">
        <w:rPr>
          <w:rStyle w:val="Referencingstyle"/>
        </w:rPr>
        <w:t>3</w:t>
      </w:r>
      <w:r w:rsidR="00C7631E">
        <w:rPr>
          <w:rStyle w:val="Referencingstyle"/>
        </w:rPr>
        <w:t>]</w:t>
      </w:r>
    </w:p>
    <w:p w14:paraId="6F16A63D" w14:textId="77777777" w:rsidR="00B17774" w:rsidRDefault="00B17774" w:rsidP="00B17774">
      <w:pPr>
        <w:pStyle w:val="Heading2"/>
      </w:pPr>
      <w:r>
        <w:t>Application and transitional provisions</w:t>
      </w:r>
    </w:p>
    <w:p w14:paraId="02D4E51D" w14:textId="0C9B559E" w:rsidR="00DF631D" w:rsidRDefault="00757BCF" w:rsidP="00757BCF">
      <w:pPr>
        <w:pStyle w:val="base-text-paragraph"/>
        <w:tabs>
          <w:tab w:val="left" w:pos="1985"/>
        </w:tabs>
        <w:spacing w:before="0" w:after="160" w:line="259" w:lineRule="auto"/>
        <w:ind w:left="1134"/>
      </w:pPr>
      <w:r>
        <w:t xml:space="preserve">The Bill contains a number of </w:t>
      </w:r>
      <w:r w:rsidR="00BD5670">
        <w:t xml:space="preserve">transitional and </w:t>
      </w:r>
      <w:r>
        <w:t>application provisions</w:t>
      </w:r>
      <w:r w:rsidR="00B443C2">
        <w:t xml:space="preserve"> which amend the Corporations Act and the </w:t>
      </w:r>
      <w:r w:rsidR="00B443C2">
        <w:rPr>
          <w:i/>
        </w:rPr>
        <w:t>National Consumer Credit Protection (Transitional and Consequential Provisions) Act 2009</w:t>
      </w:r>
      <w:r>
        <w:t xml:space="preserve">. The </w:t>
      </w:r>
      <w:r w:rsidR="00BD5670">
        <w:t xml:space="preserve">transitional and </w:t>
      </w:r>
      <w:r>
        <w:t xml:space="preserve">application provisions ensure that </w:t>
      </w:r>
      <w:r w:rsidR="00BD5670">
        <w:t>directions and interim directions can be given to licensees in circumstances where the relevant conditions for making a direction or interim direction were met before, on or after the commencement day.</w:t>
      </w:r>
      <w:r w:rsidR="00BD5670">
        <w:rPr>
          <w:rStyle w:val="Referencingstyle"/>
        </w:rPr>
        <w:t xml:space="preserve"> [Schedule 1, items 4 and 5]</w:t>
      </w:r>
    </w:p>
    <w:sectPr w:rsidR="00DF631D" w:rsidSect="00C743D3">
      <w:footerReference w:type="even" r:id="rId32"/>
      <w:footerReference w:type="default" r:id="rId33"/>
      <w:footerReference w:type="first" r:id="rId34"/>
      <w:type w:val="oddPage"/>
      <w:pgSz w:w="9979" w:h="14175" w:code="9"/>
      <w:pgMar w:top="567"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B677A3" w14:textId="77777777" w:rsidR="006C052F" w:rsidRDefault="006C052F" w:rsidP="00E679CA">
      <w:pPr>
        <w:spacing w:before="0" w:after="0"/>
      </w:pPr>
      <w:r>
        <w:separator/>
      </w:r>
    </w:p>
  </w:endnote>
  <w:endnote w:type="continuationSeparator" w:id="0">
    <w:p w14:paraId="17095563" w14:textId="77777777" w:rsidR="006C052F" w:rsidRDefault="006C052F" w:rsidP="00E679CA">
      <w:pPr>
        <w:spacing w:before="0" w:after="0"/>
      </w:pPr>
      <w:r>
        <w:continuationSeparator/>
      </w:r>
    </w:p>
  </w:endnote>
  <w:endnote w:type="continuationNotice" w:id="1">
    <w:p w14:paraId="71B6E9A1" w14:textId="77777777" w:rsidR="006C052F" w:rsidRDefault="006C052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701120" w14:textId="77777777" w:rsidR="006C052F" w:rsidRDefault="006C052F" w:rsidP="007C76D7">
    <w:pPr>
      <w:pStyle w:val="leftfooter"/>
    </w:pPr>
    <w:r>
      <w:fldChar w:fldCharType="begin"/>
    </w:r>
    <w:r>
      <w:instrText xml:space="preserve"> PAGE   \* MERGEFORMAT </w:instrText>
    </w:r>
    <w:r>
      <w:fldChar w:fldCharType="separate"/>
    </w:r>
    <w:r>
      <w:rPr>
        <w:noProof/>
      </w:rPr>
      <w:t>2</w:t>
    </w:r>
    <w:r>
      <w:rPr>
        <w:noProof/>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C738EB" w14:textId="0D4F5F34" w:rsidR="006C052F" w:rsidRDefault="006C052F" w:rsidP="007C76D7">
    <w:pPr>
      <w:pStyle w:val="rightfooter"/>
    </w:pPr>
    <w:r>
      <w:fldChar w:fldCharType="begin"/>
    </w:r>
    <w:r>
      <w:instrText xml:space="preserve"> PAGE   \* MERGEFORMAT </w:instrText>
    </w:r>
    <w:r>
      <w:fldChar w:fldCharType="separate"/>
    </w:r>
    <w:r w:rsidR="0021187D">
      <w:rPr>
        <w:noProof/>
      </w:rPr>
      <w:t>11</w:t>
    </w:r>
    <w:r>
      <w:rPr>
        <w:noProof/>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55EB00" w14:textId="6C51D314" w:rsidR="006C052F" w:rsidRDefault="006C052F" w:rsidP="007C76D7">
    <w:pPr>
      <w:pStyle w:val="rightfooter"/>
    </w:pPr>
    <w:r>
      <w:fldChar w:fldCharType="begin"/>
    </w:r>
    <w:r>
      <w:instrText xml:space="preserve"> PAGE  \* Arabic  \* MERGEFORMAT </w:instrText>
    </w:r>
    <w:r>
      <w:fldChar w:fldCharType="separate"/>
    </w:r>
    <w:r w:rsidR="0021187D">
      <w:rPr>
        <w:noProof/>
      </w:rPr>
      <w:t>3</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294B6" w14:textId="77777777" w:rsidR="006C052F" w:rsidRDefault="006C052F" w:rsidP="007C76D7">
    <w:pPr>
      <w:pStyle w:val="rightfooter"/>
    </w:pPr>
    <w:r>
      <w:fldChar w:fldCharType="begin"/>
    </w:r>
    <w:r>
      <w:instrText xml:space="preserve"> PAGE   \* MERGEFORMAT </w:instrText>
    </w:r>
    <w:r>
      <w:fldChar w:fldCharType="separate"/>
    </w:r>
    <w:r>
      <w:rPr>
        <w:noProof/>
      </w:rPr>
      <w:t>5</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E44A4F" w14:textId="77777777" w:rsidR="006C052F" w:rsidRDefault="006C052F" w:rsidP="007C76D7">
    <w:pPr>
      <w:pStyle w:val="leftfooter"/>
    </w:pPr>
    <w:r>
      <w:fldChar w:fldCharType="begin"/>
    </w:r>
    <w:r>
      <w:instrText xml:space="preserve"> PAGE   \* MERGEFORMAT </w:instrText>
    </w:r>
    <w:r>
      <w:fldChar w:fldCharType="separate"/>
    </w:r>
    <w:r>
      <w:rPr>
        <w:noProof/>
      </w:rPr>
      <w:t>4</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3E3A16" w14:textId="77777777" w:rsidR="006C052F" w:rsidRDefault="006C052F" w:rsidP="007C76D7">
    <w:pPr>
      <w:pStyle w:val="rightfooter"/>
    </w:pPr>
    <w:r>
      <w:fldChar w:fldCharType="begin"/>
    </w:r>
    <w:r>
      <w:instrText xml:space="preserve"> PAGE   \* MERGEFORMAT </w:instrText>
    </w:r>
    <w:r>
      <w:fldChar w:fldCharType="separate"/>
    </w:r>
    <w:r>
      <w:rPr>
        <w:noProof/>
      </w:rPr>
      <w:t>5</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6B771" w14:textId="77777777" w:rsidR="006C052F" w:rsidRPr="00B2068E" w:rsidRDefault="006C052F" w:rsidP="007C76D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E4E1D8" w14:textId="77777777" w:rsidR="006C052F" w:rsidRDefault="006C052F" w:rsidP="007C76D7">
    <w:pPr>
      <w:pStyle w:val="leftfooter"/>
    </w:pPr>
    <w:r>
      <w:fldChar w:fldCharType="begin"/>
    </w:r>
    <w:r>
      <w:instrText xml:space="preserve"> PAGE   \* MERGEFORMAT </w:instrText>
    </w:r>
    <w:r>
      <w:fldChar w:fldCharType="separate"/>
    </w:r>
    <w:r>
      <w:rPr>
        <w:noProof/>
      </w:rPr>
      <w:t>2</w:t>
    </w:r>
    <w:r>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2EFA45" w14:textId="77777777" w:rsidR="006C052F" w:rsidRDefault="006C052F" w:rsidP="007C76D7">
    <w:pPr>
      <w:pStyle w:val="rightfooter"/>
    </w:pPr>
    <w:r>
      <w:fldChar w:fldCharType="begin"/>
    </w:r>
    <w:r>
      <w:instrText xml:space="preserve"> PAGE   \* MERGEFORMAT </w:instrText>
    </w:r>
    <w:r>
      <w:fldChar w:fldCharType="separate"/>
    </w:r>
    <w:r>
      <w:rPr>
        <w:noProof/>
      </w:rPr>
      <w:t>3</w:t>
    </w:r>
    <w:r>
      <w:rPr>
        <w:noProof/>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1CDEE7" w14:textId="00DE5266" w:rsidR="006C052F" w:rsidRDefault="006C052F" w:rsidP="007C76D7">
    <w:pPr>
      <w:pStyle w:val="rightfooter"/>
    </w:pPr>
    <w:r>
      <w:fldChar w:fldCharType="begin"/>
    </w:r>
    <w:r>
      <w:instrText xml:space="preserve"> PAGE  \* Arabic  \* MERGEFORMAT </w:instrText>
    </w:r>
    <w:r>
      <w:fldChar w:fldCharType="separate"/>
    </w:r>
    <w:r w:rsidR="0021187D">
      <w:rPr>
        <w:noProof/>
      </w:rPr>
      <w:t>1</w:t>
    </w:r>
    <w:r>
      <w:rPr>
        <w:noProof/>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5D6F42" w14:textId="04006623" w:rsidR="006C052F" w:rsidRDefault="006C052F" w:rsidP="007C76D7">
    <w:pPr>
      <w:pStyle w:val="leftfooter"/>
    </w:pPr>
    <w:r>
      <w:fldChar w:fldCharType="begin"/>
    </w:r>
    <w:r>
      <w:instrText xml:space="preserve"> PAGE   \* MERGEFORMAT </w:instrText>
    </w:r>
    <w:r>
      <w:fldChar w:fldCharType="separate"/>
    </w:r>
    <w:r w:rsidR="0021187D">
      <w:rPr>
        <w:noProof/>
      </w:rPr>
      <w:t>10</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D42186" w14:textId="77777777" w:rsidR="006C052F" w:rsidRDefault="006C052F" w:rsidP="00E679CA">
      <w:pPr>
        <w:spacing w:before="0" w:after="0"/>
      </w:pPr>
      <w:r>
        <w:separator/>
      </w:r>
    </w:p>
  </w:footnote>
  <w:footnote w:type="continuationSeparator" w:id="0">
    <w:p w14:paraId="0DAD0927" w14:textId="77777777" w:rsidR="006C052F" w:rsidRDefault="006C052F" w:rsidP="00E679CA">
      <w:pPr>
        <w:spacing w:before="0" w:after="0"/>
      </w:pPr>
      <w:r>
        <w:continuationSeparator/>
      </w:r>
    </w:p>
  </w:footnote>
  <w:footnote w:type="continuationNotice" w:id="1">
    <w:p w14:paraId="65109B18" w14:textId="77777777" w:rsidR="006C052F" w:rsidRDefault="006C052F">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95A045" w14:textId="77777777" w:rsidR="006C052F" w:rsidRDefault="006C052F" w:rsidP="007C76D7">
    <w:pPr>
      <w:pStyle w:val="leftheader"/>
    </w:pPr>
    <w:r>
      <w:fldChar w:fldCharType="begin"/>
    </w:r>
    <w:r>
      <w:instrText xml:space="preserve"> macrobutton nomacro [Click here and insert the name of the Bill] </w:instrTex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6C2120" w14:textId="77777777" w:rsidR="006C052F" w:rsidRDefault="006C052F" w:rsidP="007C76D7">
    <w:pPr>
      <w:pStyle w:val="rightheader"/>
    </w:pPr>
    <w:r>
      <w:fldChar w:fldCharType="begin"/>
    </w:r>
    <w:r>
      <w:instrText xml:space="preserve"> macrobutton nomacro [Click here and enter the name of the Chapter </w:instrTex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3914990"/>
      <w:docPartObj>
        <w:docPartGallery w:val="Watermarks"/>
        <w:docPartUnique/>
      </w:docPartObj>
    </w:sdtPr>
    <w:sdtEndPr/>
    <w:sdtContent>
      <w:p w14:paraId="38309C21" w14:textId="77777777" w:rsidR="006C052F" w:rsidRDefault="0021187D">
        <w:pPr>
          <w:pStyle w:val="Header"/>
        </w:pPr>
        <w:r>
          <w:rPr>
            <w:noProof/>
            <w:lang w:val="en-US" w:eastAsia="en-US"/>
          </w:rPr>
          <w:pict w14:anchorId="6C5329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EE2AC6" w14:textId="77777777" w:rsidR="006C052F" w:rsidRDefault="006C052F" w:rsidP="007C76D7">
    <w:pPr>
      <w:pStyle w:val="left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1E6B7B" w14:textId="77777777" w:rsidR="006C052F" w:rsidRDefault="006C052F" w:rsidP="007C76D7">
    <w:pPr>
      <w:pStyle w:val="right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7B62FC" w14:textId="77777777" w:rsidR="006C052F" w:rsidRDefault="006C052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724C41" w14:textId="1FE06349" w:rsidR="006C052F" w:rsidRPr="00422FA2" w:rsidRDefault="0021187D" w:rsidP="00422FA2">
    <w:pPr>
      <w:pStyle w:val="leftheader"/>
    </w:pPr>
    <w:r>
      <w:fldChar w:fldCharType="begin"/>
    </w:r>
    <w:r>
      <w:instrText xml:space="preserve"> STYLEREF  "Bill Name"  \* MERGEFORMAT </w:instrText>
    </w:r>
    <w:r>
      <w:fldChar w:fldCharType="separate"/>
    </w:r>
    <w:r>
      <w:rPr>
        <w:noProof/>
      </w:rPr>
      <w:t>Financial Sector Reform (Hayne Royal Commission Response—Stronger Regulators (2020 Measures)) Bill 2020: FSRC rec 7.2 (ASIC Directions)</w:t>
    </w:r>
    <w:r>
      <w:rPr>
        <w:noProof/>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2E3A68" w14:textId="4DFC7B24" w:rsidR="006C052F" w:rsidRDefault="0021187D" w:rsidP="007C76D7">
    <w:pPr>
      <w:pStyle w:val="rightheader"/>
    </w:pPr>
    <w:r>
      <w:fldChar w:fldCharType="begin"/>
    </w:r>
    <w:r>
      <w:instrText xml:space="preserve"> STYLEREF  "ChapterNameOnly"  \* MERGEFORMAT </w:instrText>
    </w:r>
    <w:r>
      <w:fldChar w:fldCharType="separate"/>
    </w:r>
    <w:r>
      <w:rPr>
        <w:noProof/>
      </w:rPr>
      <w:t>ASIC Directions</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F1226C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AF866F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D5627D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8E813C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F2ACFC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1F8742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F664E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FC66E1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9CBAC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99AB89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7AE2BEC"/>
    <w:multiLevelType w:val="multilevel"/>
    <w:tmpl w:val="6D98FC9A"/>
    <w:styleLink w:val="TableDotPointList"/>
    <w:lvl w:ilvl="0">
      <w:start w:val="1"/>
      <w:numFmt w:val="bullet"/>
      <w:pStyle w:val="tabledotpoint"/>
      <w:lvlText w:val="•"/>
      <w:lvlJc w:val="left"/>
      <w:pPr>
        <w:tabs>
          <w:tab w:val="num" w:pos="284"/>
        </w:tabs>
        <w:ind w:left="284" w:hanging="284"/>
      </w:pPr>
      <w:rPr>
        <w:rFonts w:ascii="Times New Roman" w:hAnsi="Times New Roman" w:cs="Times New Roman" w:hint="default"/>
        <w:color w:val="000000" w:themeColor="text1"/>
      </w:rPr>
    </w:lvl>
    <w:lvl w:ilvl="1">
      <w:start w:val="1"/>
      <w:numFmt w:val="bullet"/>
      <w:pStyle w:val="tabledotpoint2"/>
      <w:lvlText w:val="–"/>
      <w:lvlJc w:val="left"/>
      <w:pPr>
        <w:tabs>
          <w:tab w:val="num" w:pos="567"/>
        </w:tabs>
        <w:ind w:left="567" w:hanging="283"/>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822090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1BEB4EC5"/>
    <w:multiLevelType w:val="multilevel"/>
    <w:tmpl w:val="C42A210A"/>
    <w:lvl w:ilvl="0">
      <w:start w:val="1"/>
      <w:numFmt w:val="bullet"/>
      <w:lvlText w:val="•"/>
      <w:lvlJc w:val="left"/>
      <w:pPr>
        <w:tabs>
          <w:tab w:val="num" w:pos="284"/>
        </w:tabs>
        <w:ind w:left="284" w:hanging="284"/>
      </w:pPr>
      <w:rPr>
        <w:rFonts w:ascii="Times New Roman" w:hAnsi="Times New Roman" w:cs="Times New Roman" w:hint="default"/>
        <w:color w:val="000000" w:themeColor="text1"/>
      </w:rPr>
    </w:lvl>
    <w:lvl w:ilvl="1">
      <w:start w:val="1"/>
      <w:numFmt w:val="bullet"/>
      <w:lvlText w:val="–"/>
      <w:lvlJc w:val="left"/>
      <w:pPr>
        <w:tabs>
          <w:tab w:val="num" w:pos="567"/>
        </w:tabs>
        <w:ind w:left="567" w:hanging="283"/>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1252E96"/>
    <w:multiLevelType w:val="multilevel"/>
    <w:tmpl w:val="2C983042"/>
    <w:name w:val="ExampleDotPointList"/>
    <w:lvl w:ilvl="0">
      <w:start w:val="1"/>
      <w:numFmt w:val="bullet"/>
      <w:lvlRestart w:val="0"/>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4" w15:restartNumberingAfterBreak="0">
    <w:nsid w:val="289229A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382497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D714D4B"/>
    <w:multiLevelType w:val="multilevel"/>
    <w:tmpl w:val="A316FE50"/>
    <w:styleLink w:val="ChapterList"/>
    <w:lvl w:ilvl="0">
      <w:start w:val="1"/>
      <w:numFmt w:val="decimal"/>
      <w:pStyle w:val="ChapterHeading"/>
      <w:lvlText w:val="Chapter %1"/>
      <w:lvlJc w:val="left"/>
      <w:pPr>
        <w:tabs>
          <w:tab w:val="num" w:pos="1134"/>
        </w:tabs>
        <w:ind w:left="0" w:firstLine="0"/>
      </w:pPr>
      <w:rPr>
        <w:rFonts w:hint="default"/>
      </w:rPr>
    </w:lvl>
    <w:lvl w:ilvl="1">
      <w:start w:val="1"/>
      <w:numFmt w:val="decimal"/>
      <w:pStyle w:val="base-text-paragraph"/>
      <w:lvlText w:val="%1.%2"/>
      <w:lvlJc w:val="left"/>
      <w:pPr>
        <w:tabs>
          <w:tab w:val="num" w:pos="2552"/>
        </w:tabs>
        <w:ind w:left="1701" w:firstLine="0"/>
      </w:pPr>
      <w:rPr>
        <w:rFonts w:hint="default"/>
      </w:rPr>
    </w:lvl>
    <w:lvl w:ilvl="2">
      <w:start w:val="1"/>
      <w:numFmt w:val="decimal"/>
      <w:lvlRestart w:val="1"/>
      <w:pStyle w:val="Diagram"/>
      <w:suff w:val="nothing"/>
      <w:lvlText w:val="Diagram %1.%3"/>
      <w:lvlJc w:val="left"/>
      <w:pPr>
        <w:ind w:left="1134" w:firstLine="0"/>
      </w:pPr>
      <w:rPr>
        <w:rFonts w:hint="default"/>
      </w:rPr>
    </w:lvl>
    <w:lvl w:ilvl="3">
      <w:start w:val="1"/>
      <w:numFmt w:val="decimal"/>
      <w:lvlRestart w:val="1"/>
      <w:pStyle w:val="ExampleHeading"/>
      <w:suff w:val="nothing"/>
      <w:lvlText w:val="Example %1.%4"/>
      <w:lvlJc w:val="left"/>
      <w:pPr>
        <w:ind w:left="1134" w:firstLine="0"/>
      </w:pPr>
      <w:rPr>
        <w:rFonts w:hint="default"/>
      </w:rPr>
    </w:lvl>
    <w:lvl w:ilvl="4">
      <w:start w:val="1"/>
      <w:numFmt w:val="decimal"/>
      <w:lvlRestart w:val="1"/>
      <w:pStyle w:val="TableHeadingoutsidetable"/>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F950960"/>
    <w:multiLevelType w:val="multilevel"/>
    <w:tmpl w:val="AD1C7528"/>
    <w:name w:val="DotPointList"/>
    <w:lvl w:ilvl="0">
      <w:start w:val="1"/>
      <w:numFmt w:val="bullet"/>
      <w:lvlRestart w:val="0"/>
      <w:pStyle w:val="dotpoint"/>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8" w15:restartNumberingAfterBreak="0">
    <w:nsid w:val="478D416D"/>
    <w:multiLevelType w:val="multilevel"/>
    <w:tmpl w:val="34AAEAB6"/>
    <w:styleLink w:val="DotPointList"/>
    <w:lvl w:ilvl="0">
      <w:start w:val="1"/>
      <w:numFmt w:val="bullet"/>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dotpoint2"/>
      <w:lvlText w:val="–"/>
      <w:lvlJc w:val="left"/>
      <w:pPr>
        <w:tabs>
          <w:tab w:val="num" w:pos="2552"/>
        </w:tabs>
        <w:ind w:left="2552" w:hanging="284"/>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D795738"/>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EF53485"/>
    <w:multiLevelType w:val="multilevel"/>
    <w:tmpl w:val="148465C2"/>
    <w:styleLink w:val="ExampleDotPointList"/>
    <w:lvl w:ilvl="0">
      <w:start w:val="1"/>
      <w:numFmt w:val="bullet"/>
      <w:pStyle w:val="exampledotpoint1"/>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exampledotpoint2"/>
      <w:lvlText w:val="–"/>
      <w:lvlJc w:val="left"/>
      <w:pPr>
        <w:tabs>
          <w:tab w:val="num" w:pos="2552"/>
        </w:tabs>
        <w:ind w:left="2552" w:hanging="284"/>
      </w:pPr>
      <w:rPr>
        <w:rFonts w:ascii="Times New Roman" w:hAnsi="Times New Roman" w:cs="Times New Roman"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65DF6494"/>
    <w:multiLevelType w:val="multilevel"/>
    <w:tmpl w:val="A316FE50"/>
    <w:numStyleLink w:val="ChapterList"/>
  </w:abstractNum>
  <w:abstractNum w:abstractNumId="22" w15:restartNumberingAfterBreak="0">
    <w:nsid w:val="75FC0FE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7C8C5E81"/>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15"/>
  </w:num>
  <w:num w:numId="2">
    <w:abstractNumId w:val="11"/>
  </w:num>
  <w:num w:numId="3">
    <w:abstractNumId w:val="14"/>
  </w:num>
  <w:num w:numId="4">
    <w:abstractNumId w:val="22"/>
  </w:num>
  <w:num w:numId="5">
    <w:abstractNumId w:val="19"/>
  </w:num>
  <w:num w:numId="6">
    <w:abstractNumId w:val="23"/>
  </w:num>
  <w:num w:numId="7">
    <w:abstractNumId w:val="21"/>
    <w:lvlOverride w:ilvl="1">
      <w:lvl w:ilvl="1">
        <w:start w:val="1"/>
        <w:numFmt w:val="decimal"/>
        <w:pStyle w:val="base-text-paragraph"/>
        <w:lvlText w:val="%1.%2"/>
        <w:lvlJc w:val="left"/>
        <w:pPr>
          <w:tabs>
            <w:tab w:val="num" w:pos="2552"/>
          </w:tabs>
          <w:ind w:left="1701" w:firstLine="0"/>
        </w:pPr>
        <w:rPr>
          <w:rFonts w:hint="default"/>
        </w:rPr>
      </w:lvl>
    </w:lvlOverride>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8">
    <w:abstractNumId w:val="21"/>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9">
    <w:abstractNumId w:val="21"/>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2552"/>
          </w:tabs>
          <w:ind w:left="1701"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0">
    <w:abstractNumId w:val="21"/>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1">
    <w:abstractNumId w:val="17"/>
  </w:num>
  <w:num w:numId="12">
    <w:abstractNumId w:val="18"/>
  </w:num>
  <w:num w:numId="13">
    <w:abstractNumId w:val="18"/>
  </w:num>
  <w:num w:numId="14">
    <w:abstractNumId w:val="20"/>
  </w:num>
  <w:num w:numId="15">
    <w:abstractNumId w:val="20"/>
  </w:num>
  <w:num w:numId="16">
    <w:abstractNumId w:val="20"/>
  </w:num>
  <w:num w:numId="17">
    <w:abstractNumId w:val="21"/>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8">
    <w:abstractNumId w:val="9"/>
  </w:num>
  <w:num w:numId="19">
    <w:abstractNumId w:val="9"/>
  </w:num>
  <w:num w:numId="20">
    <w:abstractNumId w:val="7"/>
  </w:num>
  <w:num w:numId="21">
    <w:abstractNumId w:val="7"/>
  </w:num>
  <w:num w:numId="22">
    <w:abstractNumId w:val="6"/>
  </w:num>
  <w:num w:numId="23">
    <w:abstractNumId w:val="6"/>
  </w:num>
  <w:num w:numId="24">
    <w:abstractNumId w:val="5"/>
  </w:num>
  <w:num w:numId="25">
    <w:abstractNumId w:val="5"/>
  </w:num>
  <w:num w:numId="26">
    <w:abstractNumId w:val="4"/>
  </w:num>
  <w:num w:numId="27">
    <w:abstractNumId w:val="4"/>
  </w:num>
  <w:num w:numId="28">
    <w:abstractNumId w:val="8"/>
  </w:num>
  <w:num w:numId="29">
    <w:abstractNumId w:val="8"/>
  </w:num>
  <w:num w:numId="30">
    <w:abstractNumId w:val="3"/>
  </w:num>
  <w:num w:numId="31">
    <w:abstractNumId w:val="3"/>
  </w:num>
  <w:num w:numId="32">
    <w:abstractNumId w:val="2"/>
  </w:num>
  <w:num w:numId="33">
    <w:abstractNumId w:val="2"/>
  </w:num>
  <w:num w:numId="34">
    <w:abstractNumId w:val="1"/>
  </w:num>
  <w:num w:numId="35">
    <w:abstractNumId w:val="1"/>
  </w:num>
  <w:num w:numId="36">
    <w:abstractNumId w:val="0"/>
  </w:num>
  <w:num w:numId="37">
    <w:abstractNumId w:val="0"/>
  </w:num>
  <w:num w:numId="38">
    <w:abstractNumId w:val="12"/>
  </w:num>
  <w:num w:numId="39">
    <w:abstractNumId w:val="12"/>
  </w:num>
  <w:num w:numId="40">
    <w:abstractNumId w:val="10"/>
  </w:num>
  <w:num w:numId="41">
    <w:abstractNumId w:val="21"/>
    <w:lvlOverride w:ilvl="1">
      <w:lvl w:ilvl="1">
        <w:start w:val="1"/>
        <w:numFmt w:val="decimal"/>
        <w:pStyle w:val="base-text-paragraph"/>
        <w:lvlText w:val="%1.%2"/>
        <w:lvlJc w:val="left"/>
        <w:pPr>
          <w:tabs>
            <w:tab w:val="num" w:pos="2552"/>
          </w:tabs>
          <w:ind w:left="1701" w:firstLine="0"/>
        </w:pPr>
        <w:rPr>
          <w:rFonts w:hint="default"/>
        </w:rPr>
      </w:lvl>
    </w:lvlOverride>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42">
    <w:abstractNumId w:val="13"/>
  </w:num>
  <w:num w:numId="43">
    <w:abstractNumId w:val="21"/>
  </w:num>
  <w:num w:numId="44">
    <w:abstractNumId w:val="21"/>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5">
    <w:abstractNumId w:val="21"/>
    <w:lvlOverride w:ilvl="1">
      <w:lvl w:ilvl="1">
        <w:start w:val="1"/>
        <w:numFmt w:val="decimal"/>
        <w:pStyle w:val="base-text-paragraph"/>
        <w:lvlText w:val="%1.%2"/>
        <w:lvlJc w:val="left"/>
        <w:pPr>
          <w:tabs>
            <w:tab w:val="num" w:pos="1985"/>
          </w:tabs>
          <w:ind w:left="1134" w:firstLine="0"/>
        </w:pPr>
        <w:rPr>
          <w:rFonts w:hint="default"/>
          <w:b w:val="0"/>
        </w:rPr>
      </w:lvl>
    </w:lvlOverride>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4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evenAndOddHeaders/>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3A7"/>
    <w:rsid w:val="000034AC"/>
    <w:rsid w:val="00013840"/>
    <w:rsid w:val="00013D30"/>
    <w:rsid w:val="00013D60"/>
    <w:rsid w:val="0001712B"/>
    <w:rsid w:val="0002054A"/>
    <w:rsid w:val="00021794"/>
    <w:rsid w:val="000260D6"/>
    <w:rsid w:val="0002779F"/>
    <w:rsid w:val="00030A40"/>
    <w:rsid w:val="00032C44"/>
    <w:rsid w:val="00037B13"/>
    <w:rsid w:val="00040321"/>
    <w:rsid w:val="00054061"/>
    <w:rsid w:val="0005555E"/>
    <w:rsid w:val="00056393"/>
    <w:rsid w:val="00070A24"/>
    <w:rsid w:val="00073BEF"/>
    <w:rsid w:val="00074801"/>
    <w:rsid w:val="000847A6"/>
    <w:rsid w:val="00087E04"/>
    <w:rsid w:val="00093281"/>
    <w:rsid w:val="000A1AEE"/>
    <w:rsid w:val="000B2BA1"/>
    <w:rsid w:val="000B3E1B"/>
    <w:rsid w:val="000C280D"/>
    <w:rsid w:val="000C2A9D"/>
    <w:rsid w:val="000C44D7"/>
    <w:rsid w:val="000C4876"/>
    <w:rsid w:val="000C71F6"/>
    <w:rsid w:val="000C7594"/>
    <w:rsid w:val="000D04A2"/>
    <w:rsid w:val="000D0853"/>
    <w:rsid w:val="000D3D59"/>
    <w:rsid w:val="000D5AEA"/>
    <w:rsid w:val="000D779A"/>
    <w:rsid w:val="000E248A"/>
    <w:rsid w:val="000E4B50"/>
    <w:rsid w:val="000F1090"/>
    <w:rsid w:val="000F2E69"/>
    <w:rsid w:val="000F53C1"/>
    <w:rsid w:val="00105715"/>
    <w:rsid w:val="00107346"/>
    <w:rsid w:val="00107A5E"/>
    <w:rsid w:val="00117928"/>
    <w:rsid w:val="00123B9E"/>
    <w:rsid w:val="00125621"/>
    <w:rsid w:val="00126DA6"/>
    <w:rsid w:val="00127BE8"/>
    <w:rsid w:val="0015039E"/>
    <w:rsid w:val="00155B30"/>
    <w:rsid w:val="001753F4"/>
    <w:rsid w:val="00177830"/>
    <w:rsid w:val="00181D2F"/>
    <w:rsid w:val="001853A8"/>
    <w:rsid w:val="001929F4"/>
    <w:rsid w:val="0019387A"/>
    <w:rsid w:val="001A19E3"/>
    <w:rsid w:val="001A5294"/>
    <w:rsid w:val="001B31B9"/>
    <w:rsid w:val="001B3A46"/>
    <w:rsid w:val="001C1374"/>
    <w:rsid w:val="001C1751"/>
    <w:rsid w:val="001D54F9"/>
    <w:rsid w:val="001D72E9"/>
    <w:rsid w:val="001E1087"/>
    <w:rsid w:val="001E772B"/>
    <w:rsid w:val="001E77CF"/>
    <w:rsid w:val="001F740D"/>
    <w:rsid w:val="0021187D"/>
    <w:rsid w:val="0022001F"/>
    <w:rsid w:val="00242520"/>
    <w:rsid w:val="00254F4D"/>
    <w:rsid w:val="00263CF7"/>
    <w:rsid w:val="00264EC2"/>
    <w:rsid w:val="0028232D"/>
    <w:rsid w:val="00284E79"/>
    <w:rsid w:val="00295ABD"/>
    <w:rsid w:val="002975AF"/>
    <w:rsid w:val="002A347E"/>
    <w:rsid w:val="002A4579"/>
    <w:rsid w:val="002C0E9B"/>
    <w:rsid w:val="002C4B5E"/>
    <w:rsid w:val="002D0B7C"/>
    <w:rsid w:val="002D24E0"/>
    <w:rsid w:val="002D4F74"/>
    <w:rsid w:val="002D61A3"/>
    <w:rsid w:val="002E306A"/>
    <w:rsid w:val="002E5D7A"/>
    <w:rsid w:val="002E64B9"/>
    <w:rsid w:val="002F0D2B"/>
    <w:rsid w:val="002F5853"/>
    <w:rsid w:val="002F67BA"/>
    <w:rsid w:val="002F6978"/>
    <w:rsid w:val="003002DA"/>
    <w:rsid w:val="00301FB2"/>
    <w:rsid w:val="00307165"/>
    <w:rsid w:val="00307E3B"/>
    <w:rsid w:val="003175C6"/>
    <w:rsid w:val="00317AE8"/>
    <w:rsid w:val="00323DDA"/>
    <w:rsid w:val="00324E0F"/>
    <w:rsid w:val="0032550E"/>
    <w:rsid w:val="003408DF"/>
    <w:rsid w:val="0034408E"/>
    <w:rsid w:val="0035267A"/>
    <w:rsid w:val="0035337B"/>
    <w:rsid w:val="00354FBA"/>
    <w:rsid w:val="003700E7"/>
    <w:rsid w:val="00375F1D"/>
    <w:rsid w:val="00396CA9"/>
    <w:rsid w:val="003A09DC"/>
    <w:rsid w:val="003A3B13"/>
    <w:rsid w:val="003A411B"/>
    <w:rsid w:val="003A5EAC"/>
    <w:rsid w:val="003A657F"/>
    <w:rsid w:val="003B6B47"/>
    <w:rsid w:val="003B77F0"/>
    <w:rsid w:val="003C228E"/>
    <w:rsid w:val="003C6BA5"/>
    <w:rsid w:val="003C7376"/>
    <w:rsid w:val="003D2CAD"/>
    <w:rsid w:val="003D2F05"/>
    <w:rsid w:val="003D4F69"/>
    <w:rsid w:val="003D7AA6"/>
    <w:rsid w:val="003E240E"/>
    <w:rsid w:val="003E5AB0"/>
    <w:rsid w:val="003E7AB0"/>
    <w:rsid w:val="003E7C4E"/>
    <w:rsid w:val="003F6877"/>
    <w:rsid w:val="00401E13"/>
    <w:rsid w:val="00402FD2"/>
    <w:rsid w:val="00405C1F"/>
    <w:rsid w:val="0040794D"/>
    <w:rsid w:val="00422FA2"/>
    <w:rsid w:val="004323CC"/>
    <w:rsid w:val="00433661"/>
    <w:rsid w:val="0046082B"/>
    <w:rsid w:val="00471C35"/>
    <w:rsid w:val="00475B7D"/>
    <w:rsid w:val="004815B6"/>
    <w:rsid w:val="0048605B"/>
    <w:rsid w:val="00487E60"/>
    <w:rsid w:val="00491DC4"/>
    <w:rsid w:val="004A79C7"/>
    <w:rsid w:val="004B37D7"/>
    <w:rsid w:val="004B392F"/>
    <w:rsid w:val="004C4091"/>
    <w:rsid w:val="004D1255"/>
    <w:rsid w:val="004D1E0D"/>
    <w:rsid w:val="004D65F1"/>
    <w:rsid w:val="004D7FC8"/>
    <w:rsid w:val="004E6849"/>
    <w:rsid w:val="004F3C00"/>
    <w:rsid w:val="004F454E"/>
    <w:rsid w:val="00502542"/>
    <w:rsid w:val="00502E02"/>
    <w:rsid w:val="00510EDB"/>
    <w:rsid w:val="00511263"/>
    <w:rsid w:val="00517C62"/>
    <w:rsid w:val="0052765D"/>
    <w:rsid w:val="00532558"/>
    <w:rsid w:val="005344C6"/>
    <w:rsid w:val="00535F17"/>
    <w:rsid w:val="00547A58"/>
    <w:rsid w:val="0055086F"/>
    <w:rsid w:val="00551665"/>
    <w:rsid w:val="005520DE"/>
    <w:rsid w:val="0055302E"/>
    <w:rsid w:val="00555002"/>
    <w:rsid w:val="005572AD"/>
    <w:rsid w:val="00561389"/>
    <w:rsid w:val="00567602"/>
    <w:rsid w:val="00567D3B"/>
    <w:rsid w:val="00571315"/>
    <w:rsid w:val="005713D7"/>
    <w:rsid w:val="00571784"/>
    <w:rsid w:val="00574CA0"/>
    <w:rsid w:val="00580D48"/>
    <w:rsid w:val="005911F1"/>
    <w:rsid w:val="00593000"/>
    <w:rsid w:val="005A496E"/>
    <w:rsid w:val="005B6280"/>
    <w:rsid w:val="005C0ABF"/>
    <w:rsid w:val="005C2189"/>
    <w:rsid w:val="005D27F6"/>
    <w:rsid w:val="005E100E"/>
    <w:rsid w:val="005E3647"/>
    <w:rsid w:val="005F6491"/>
    <w:rsid w:val="00605F6C"/>
    <w:rsid w:val="00606941"/>
    <w:rsid w:val="00614F64"/>
    <w:rsid w:val="006168B0"/>
    <w:rsid w:val="00622AE0"/>
    <w:rsid w:val="006236FC"/>
    <w:rsid w:val="00624EA1"/>
    <w:rsid w:val="0063127E"/>
    <w:rsid w:val="00631667"/>
    <w:rsid w:val="00634C5A"/>
    <w:rsid w:val="006409BE"/>
    <w:rsid w:val="00641D6C"/>
    <w:rsid w:val="00653540"/>
    <w:rsid w:val="00654043"/>
    <w:rsid w:val="00662371"/>
    <w:rsid w:val="00662D0A"/>
    <w:rsid w:val="00670A85"/>
    <w:rsid w:val="00670E14"/>
    <w:rsid w:val="00674032"/>
    <w:rsid w:val="006745D4"/>
    <w:rsid w:val="00681024"/>
    <w:rsid w:val="00682B06"/>
    <w:rsid w:val="00694ACB"/>
    <w:rsid w:val="006961DA"/>
    <w:rsid w:val="006A05D6"/>
    <w:rsid w:val="006A5710"/>
    <w:rsid w:val="006A72CB"/>
    <w:rsid w:val="006B1B59"/>
    <w:rsid w:val="006B393A"/>
    <w:rsid w:val="006B5EAE"/>
    <w:rsid w:val="006C052F"/>
    <w:rsid w:val="006C10B3"/>
    <w:rsid w:val="006C25A9"/>
    <w:rsid w:val="006F233D"/>
    <w:rsid w:val="006F3BEE"/>
    <w:rsid w:val="006F5ECA"/>
    <w:rsid w:val="006F5EF4"/>
    <w:rsid w:val="006F7856"/>
    <w:rsid w:val="00706CE0"/>
    <w:rsid w:val="007070BD"/>
    <w:rsid w:val="00717F4F"/>
    <w:rsid w:val="007346E9"/>
    <w:rsid w:val="00734F84"/>
    <w:rsid w:val="00743ED6"/>
    <w:rsid w:val="007451CE"/>
    <w:rsid w:val="0074559E"/>
    <w:rsid w:val="00747A03"/>
    <w:rsid w:val="00753607"/>
    <w:rsid w:val="0075433D"/>
    <w:rsid w:val="00757BCF"/>
    <w:rsid w:val="00765349"/>
    <w:rsid w:val="00773B68"/>
    <w:rsid w:val="00780B13"/>
    <w:rsid w:val="00791CD9"/>
    <w:rsid w:val="00795A45"/>
    <w:rsid w:val="007A56AD"/>
    <w:rsid w:val="007A5EF1"/>
    <w:rsid w:val="007A61A2"/>
    <w:rsid w:val="007C1AD8"/>
    <w:rsid w:val="007C2588"/>
    <w:rsid w:val="007C2B20"/>
    <w:rsid w:val="007C76D7"/>
    <w:rsid w:val="007D34E8"/>
    <w:rsid w:val="007E0F65"/>
    <w:rsid w:val="007E4A4C"/>
    <w:rsid w:val="007F26A1"/>
    <w:rsid w:val="007F4712"/>
    <w:rsid w:val="007F48E8"/>
    <w:rsid w:val="007F603F"/>
    <w:rsid w:val="007F6A29"/>
    <w:rsid w:val="007F729B"/>
    <w:rsid w:val="0080133C"/>
    <w:rsid w:val="00801A6F"/>
    <w:rsid w:val="00801F6A"/>
    <w:rsid w:val="00803DE4"/>
    <w:rsid w:val="00805464"/>
    <w:rsid w:val="008100D6"/>
    <w:rsid w:val="00813079"/>
    <w:rsid w:val="00813A51"/>
    <w:rsid w:val="00832DDB"/>
    <w:rsid w:val="00840701"/>
    <w:rsid w:val="00841558"/>
    <w:rsid w:val="0084280A"/>
    <w:rsid w:val="00863591"/>
    <w:rsid w:val="00863E46"/>
    <w:rsid w:val="00872115"/>
    <w:rsid w:val="008769D3"/>
    <w:rsid w:val="00880223"/>
    <w:rsid w:val="00881FC0"/>
    <w:rsid w:val="00882CB0"/>
    <w:rsid w:val="008956E7"/>
    <w:rsid w:val="008A4B81"/>
    <w:rsid w:val="008B1C1C"/>
    <w:rsid w:val="008C12F8"/>
    <w:rsid w:val="008C1F3C"/>
    <w:rsid w:val="008C2022"/>
    <w:rsid w:val="008D0774"/>
    <w:rsid w:val="008D0A8B"/>
    <w:rsid w:val="008D4F94"/>
    <w:rsid w:val="008D5431"/>
    <w:rsid w:val="008D78FA"/>
    <w:rsid w:val="008E6905"/>
    <w:rsid w:val="008E6E38"/>
    <w:rsid w:val="00901A5C"/>
    <w:rsid w:val="0091555A"/>
    <w:rsid w:val="009267C7"/>
    <w:rsid w:val="00927348"/>
    <w:rsid w:val="009306A2"/>
    <w:rsid w:val="0093363A"/>
    <w:rsid w:val="009351C9"/>
    <w:rsid w:val="0094304A"/>
    <w:rsid w:val="0094316D"/>
    <w:rsid w:val="00946B26"/>
    <w:rsid w:val="00947790"/>
    <w:rsid w:val="009770C9"/>
    <w:rsid w:val="0098134F"/>
    <w:rsid w:val="0098638B"/>
    <w:rsid w:val="00987095"/>
    <w:rsid w:val="009974BE"/>
    <w:rsid w:val="009B0E1B"/>
    <w:rsid w:val="009B2C36"/>
    <w:rsid w:val="009B332C"/>
    <w:rsid w:val="009B5E73"/>
    <w:rsid w:val="009C2FC2"/>
    <w:rsid w:val="009C603A"/>
    <w:rsid w:val="009D2FF5"/>
    <w:rsid w:val="009D6313"/>
    <w:rsid w:val="009D64F3"/>
    <w:rsid w:val="009D7ECD"/>
    <w:rsid w:val="009E3994"/>
    <w:rsid w:val="009E649D"/>
    <w:rsid w:val="009F1D94"/>
    <w:rsid w:val="009F23D7"/>
    <w:rsid w:val="009F3AE1"/>
    <w:rsid w:val="00A02F7B"/>
    <w:rsid w:val="00A0653F"/>
    <w:rsid w:val="00A12638"/>
    <w:rsid w:val="00A13F7E"/>
    <w:rsid w:val="00A14D87"/>
    <w:rsid w:val="00A21707"/>
    <w:rsid w:val="00A2308B"/>
    <w:rsid w:val="00A33F60"/>
    <w:rsid w:val="00A353FF"/>
    <w:rsid w:val="00A36CFF"/>
    <w:rsid w:val="00A41EDC"/>
    <w:rsid w:val="00A50F4A"/>
    <w:rsid w:val="00A51C18"/>
    <w:rsid w:val="00A54402"/>
    <w:rsid w:val="00A54E58"/>
    <w:rsid w:val="00A60854"/>
    <w:rsid w:val="00A638C2"/>
    <w:rsid w:val="00A64E71"/>
    <w:rsid w:val="00A75FAC"/>
    <w:rsid w:val="00A77F2E"/>
    <w:rsid w:val="00A81012"/>
    <w:rsid w:val="00A81B2D"/>
    <w:rsid w:val="00A8606F"/>
    <w:rsid w:val="00A86961"/>
    <w:rsid w:val="00A90C70"/>
    <w:rsid w:val="00A978E1"/>
    <w:rsid w:val="00AA1273"/>
    <w:rsid w:val="00AA6F43"/>
    <w:rsid w:val="00AB3E0D"/>
    <w:rsid w:val="00AB762B"/>
    <w:rsid w:val="00AC0D70"/>
    <w:rsid w:val="00AC1D18"/>
    <w:rsid w:val="00AC352D"/>
    <w:rsid w:val="00AC7E9E"/>
    <w:rsid w:val="00AD01EB"/>
    <w:rsid w:val="00AD3358"/>
    <w:rsid w:val="00AD5B62"/>
    <w:rsid w:val="00AD5F50"/>
    <w:rsid w:val="00AF5C84"/>
    <w:rsid w:val="00AF6C55"/>
    <w:rsid w:val="00AF6E25"/>
    <w:rsid w:val="00AF7F97"/>
    <w:rsid w:val="00B01BB9"/>
    <w:rsid w:val="00B02152"/>
    <w:rsid w:val="00B040B3"/>
    <w:rsid w:val="00B06259"/>
    <w:rsid w:val="00B17774"/>
    <w:rsid w:val="00B20A77"/>
    <w:rsid w:val="00B423D7"/>
    <w:rsid w:val="00B43462"/>
    <w:rsid w:val="00B443C2"/>
    <w:rsid w:val="00B578A8"/>
    <w:rsid w:val="00B6401E"/>
    <w:rsid w:val="00B85309"/>
    <w:rsid w:val="00B91D01"/>
    <w:rsid w:val="00B94F8B"/>
    <w:rsid w:val="00B96AC1"/>
    <w:rsid w:val="00B9766A"/>
    <w:rsid w:val="00BA0D25"/>
    <w:rsid w:val="00BB6542"/>
    <w:rsid w:val="00BB72FC"/>
    <w:rsid w:val="00BC03D2"/>
    <w:rsid w:val="00BC5F05"/>
    <w:rsid w:val="00BC7D86"/>
    <w:rsid w:val="00BD5670"/>
    <w:rsid w:val="00BD6721"/>
    <w:rsid w:val="00BE27C2"/>
    <w:rsid w:val="00BF1995"/>
    <w:rsid w:val="00C11057"/>
    <w:rsid w:val="00C11302"/>
    <w:rsid w:val="00C16F20"/>
    <w:rsid w:val="00C315BA"/>
    <w:rsid w:val="00C35691"/>
    <w:rsid w:val="00C4562A"/>
    <w:rsid w:val="00C45E20"/>
    <w:rsid w:val="00C52122"/>
    <w:rsid w:val="00C5270D"/>
    <w:rsid w:val="00C5436A"/>
    <w:rsid w:val="00C56DA6"/>
    <w:rsid w:val="00C743D3"/>
    <w:rsid w:val="00C75397"/>
    <w:rsid w:val="00C7631E"/>
    <w:rsid w:val="00C80749"/>
    <w:rsid w:val="00C83EC4"/>
    <w:rsid w:val="00C84EBF"/>
    <w:rsid w:val="00C90EC8"/>
    <w:rsid w:val="00C942D7"/>
    <w:rsid w:val="00C9739F"/>
    <w:rsid w:val="00CA6636"/>
    <w:rsid w:val="00CC230D"/>
    <w:rsid w:val="00CC5B10"/>
    <w:rsid w:val="00CC6DA6"/>
    <w:rsid w:val="00CC7C71"/>
    <w:rsid w:val="00CD1112"/>
    <w:rsid w:val="00CD3576"/>
    <w:rsid w:val="00CD620A"/>
    <w:rsid w:val="00CF6974"/>
    <w:rsid w:val="00D122DB"/>
    <w:rsid w:val="00D22D62"/>
    <w:rsid w:val="00D22FA0"/>
    <w:rsid w:val="00D30D49"/>
    <w:rsid w:val="00D46961"/>
    <w:rsid w:val="00D47D59"/>
    <w:rsid w:val="00D70369"/>
    <w:rsid w:val="00D77564"/>
    <w:rsid w:val="00D83206"/>
    <w:rsid w:val="00D915E0"/>
    <w:rsid w:val="00D94D15"/>
    <w:rsid w:val="00D95A27"/>
    <w:rsid w:val="00D97771"/>
    <w:rsid w:val="00DA181B"/>
    <w:rsid w:val="00DA3C35"/>
    <w:rsid w:val="00DA5126"/>
    <w:rsid w:val="00DB2097"/>
    <w:rsid w:val="00DB5AA2"/>
    <w:rsid w:val="00DB6D54"/>
    <w:rsid w:val="00DC3E98"/>
    <w:rsid w:val="00DE1DCC"/>
    <w:rsid w:val="00DE55C2"/>
    <w:rsid w:val="00DF03A7"/>
    <w:rsid w:val="00DF631D"/>
    <w:rsid w:val="00E0545E"/>
    <w:rsid w:val="00E05797"/>
    <w:rsid w:val="00E26DB6"/>
    <w:rsid w:val="00E275C2"/>
    <w:rsid w:val="00E35783"/>
    <w:rsid w:val="00E364C4"/>
    <w:rsid w:val="00E42D73"/>
    <w:rsid w:val="00E46BEA"/>
    <w:rsid w:val="00E5385B"/>
    <w:rsid w:val="00E569E1"/>
    <w:rsid w:val="00E56A6F"/>
    <w:rsid w:val="00E6134A"/>
    <w:rsid w:val="00E679CA"/>
    <w:rsid w:val="00E70A10"/>
    <w:rsid w:val="00E74E50"/>
    <w:rsid w:val="00E77556"/>
    <w:rsid w:val="00E81045"/>
    <w:rsid w:val="00E9025E"/>
    <w:rsid w:val="00E90A38"/>
    <w:rsid w:val="00E94446"/>
    <w:rsid w:val="00EA5250"/>
    <w:rsid w:val="00EA5BB7"/>
    <w:rsid w:val="00EA5E61"/>
    <w:rsid w:val="00EA5F99"/>
    <w:rsid w:val="00EA74FF"/>
    <w:rsid w:val="00EB089B"/>
    <w:rsid w:val="00EC0F5E"/>
    <w:rsid w:val="00ED08CC"/>
    <w:rsid w:val="00F006DD"/>
    <w:rsid w:val="00F04EF1"/>
    <w:rsid w:val="00F341C4"/>
    <w:rsid w:val="00F40191"/>
    <w:rsid w:val="00F46949"/>
    <w:rsid w:val="00F46D06"/>
    <w:rsid w:val="00F51071"/>
    <w:rsid w:val="00F52A29"/>
    <w:rsid w:val="00F57438"/>
    <w:rsid w:val="00F60F68"/>
    <w:rsid w:val="00F610E4"/>
    <w:rsid w:val="00F66772"/>
    <w:rsid w:val="00F66FE0"/>
    <w:rsid w:val="00F77D21"/>
    <w:rsid w:val="00F83B70"/>
    <w:rsid w:val="00F841C5"/>
    <w:rsid w:val="00F90125"/>
    <w:rsid w:val="00F93789"/>
    <w:rsid w:val="00F9382B"/>
    <w:rsid w:val="00F956AC"/>
    <w:rsid w:val="00F96AF2"/>
    <w:rsid w:val="00FA74F1"/>
    <w:rsid w:val="00FB290D"/>
    <w:rsid w:val="00FC5EFA"/>
    <w:rsid w:val="00FD4679"/>
    <w:rsid w:val="00FD5699"/>
    <w:rsid w:val="00FE6108"/>
    <w:rsid w:val="00FF4E3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FA2049A"/>
  <w15:docId w15:val="{B59DC62A-17FF-46E9-A78C-9650B0768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2A9D"/>
    <w:pPr>
      <w:spacing w:before="120" w:after="120" w:line="240" w:lineRule="auto"/>
    </w:pPr>
    <w:rPr>
      <w:rFonts w:ascii="Times New Roman" w:eastAsia="Times New Roman" w:hAnsi="Times New Roman" w:cs="Times New Roman"/>
      <w:szCs w:val="20"/>
      <w:lang w:eastAsia="en-AU"/>
    </w:rPr>
  </w:style>
  <w:style w:type="paragraph" w:styleId="Heading1">
    <w:name w:val="heading 1"/>
    <w:basedOn w:val="Normal"/>
    <w:next w:val="base-text-paragraph"/>
    <w:link w:val="Heading1Char"/>
    <w:qFormat/>
    <w:rsid w:val="00E56A6F"/>
    <w:pPr>
      <w:keepNext/>
      <w:spacing w:before="720"/>
      <w:outlineLvl w:val="0"/>
    </w:pPr>
    <w:rPr>
      <w:rFonts w:ascii="Helvetica" w:hAnsi="Helvetica"/>
      <w:b/>
      <w:caps/>
      <w:sz w:val="28"/>
    </w:rPr>
  </w:style>
  <w:style w:type="paragraph" w:styleId="Heading2">
    <w:name w:val="heading 2"/>
    <w:basedOn w:val="Heading1"/>
    <w:next w:val="base-text-paragraph"/>
    <w:link w:val="Heading2Char"/>
    <w:qFormat/>
    <w:rsid w:val="006A05D6"/>
    <w:pPr>
      <w:spacing w:before="480" w:after="200"/>
      <w:outlineLvl w:val="1"/>
    </w:pPr>
    <w:rPr>
      <w:caps w:val="0"/>
      <w:sz w:val="26"/>
    </w:rPr>
  </w:style>
  <w:style w:type="paragraph" w:styleId="Heading3">
    <w:name w:val="heading 3"/>
    <w:basedOn w:val="Heading2"/>
    <w:next w:val="base-text-paragraph"/>
    <w:link w:val="Heading3Char"/>
    <w:qFormat/>
    <w:rsid w:val="00E56A6F"/>
    <w:pPr>
      <w:spacing w:before="240"/>
      <w:outlineLvl w:val="2"/>
    </w:pPr>
    <w:rPr>
      <w:sz w:val="22"/>
    </w:rPr>
  </w:style>
  <w:style w:type="paragraph" w:styleId="Heading4">
    <w:name w:val="heading 4"/>
    <w:basedOn w:val="Heading3"/>
    <w:next w:val="base-text-paragraph"/>
    <w:link w:val="Heading4Char"/>
    <w:qFormat/>
    <w:rsid w:val="00E56A6F"/>
    <w:pPr>
      <w:spacing w:before="120"/>
      <w:ind w:left="1134"/>
      <w:outlineLvl w:val="3"/>
    </w:pPr>
    <w:rPr>
      <w:rFonts w:ascii="Times New Roman" w:hAnsi="Times New Roman"/>
      <w:i/>
    </w:rPr>
  </w:style>
  <w:style w:type="paragraph" w:styleId="Heading5">
    <w:name w:val="heading 5"/>
    <w:basedOn w:val="Heading4"/>
    <w:next w:val="base-text-paragraph"/>
    <w:link w:val="Heading5Char"/>
    <w:qFormat/>
    <w:rsid w:val="00E56A6F"/>
    <w:pPr>
      <w:spacing w:after="60"/>
      <w:outlineLvl w:val="4"/>
    </w:pPr>
    <w:rPr>
      <w:b w:val="0"/>
      <w:bCs/>
      <w:iCs/>
      <w:szCs w:val="26"/>
    </w:rPr>
  </w:style>
  <w:style w:type="paragraph" w:styleId="Heading6">
    <w:name w:val="heading 6"/>
    <w:basedOn w:val="Heading5"/>
    <w:next w:val="base-text-paragraph"/>
    <w:link w:val="Heading6Char"/>
    <w:qFormat/>
    <w:rsid w:val="00E56A6F"/>
    <w:pPr>
      <w:outlineLvl w:val="5"/>
    </w:pPr>
    <w:rPr>
      <w:bCs w:val="0"/>
      <w:i w:val="0"/>
      <w:szCs w:val="22"/>
      <w:u w:val="single"/>
    </w:rPr>
  </w:style>
  <w:style w:type="paragraph" w:styleId="Heading7">
    <w:name w:val="heading 7"/>
    <w:basedOn w:val="Normal"/>
    <w:next w:val="Normal"/>
    <w:link w:val="Heading7Char"/>
    <w:qFormat/>
    <w:rsid w:val="00E56A6F"/>
    <w:pPr>
      <w:spacing w:before="240" w:after="60"/>
      <w:outlineLvl w:val="6"/>
    </w:pPr>
    <w:rPr>
      <w:sz w:val="24"/>
      <w:szCs w:val="24"/>
    </w:rPr>
  </w:style>
  <w:style w:type="paragraph" w:styleId="Heading8">
    <w:name w:val="heading 8"/>
    <w:basedOn w:val="Normal"/>
    <w:next w:val="Normal"/>
    <w:link w:val="Heading8Char"/>
    <w:qFormat/>
    <w:rsid w:val="00E56A6F"/>
    <w:pPr>
      <w:spacing w:before="240" w:after="60"/>
      <w:outlineLvl w:val="7"/>
    </w:pPr>
    <w:rPr>
      <w:i/>
      <w:iCs/>
      <w:sz w:val="24"/>
      <w:szCs w:val="24"/>
    </w:rPr>
  </w:style>
  <w:style w:type="paragraph" w:styleId="Heading9">
    <w:name w:val="heading 9"/>
    <w:basedOn w:val="Normal"/>
    <w:next w:val="Normal"/>
    <w:link w:val="Heading9Char"/>
    <w:qFormat/>
    <w:rsid w:val="00E56A6F"/>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E56A6F"/>
    <w:pPr>
      <w:numPr>
        <w:numId w:val="1"/>
      </w:numPr>
    </w:pPr>
  </w:style>
  <w:style w:type="numbering" w:styleId="1ai">
    <w:name w:val="Outline List 1"/>
    <w:basedOn w:val="NoList"/>
    <w:semiHidden/>
    <w:rsid w:val="00E56A6F"/>
    <w:pPr>
      <w:numPr>
        <w:numId w:val="4"/>
      </w:numPr>
    </w:pPr>
  </w:style>
  <w:style w:type="character" w:customStyle="1" w:styleId="Heading1Char">
    <w:name w:val="Heading 1 Char"/>
    <w:basedOn w:val="DefaultParagraphFont"/>
    <w:link w:val="Heading1"/>
    <w:rsid w:val="00E56A6F"/>
    <w:rPr>
      <w:rFonts w:ascii="Helvetica" w:eastAsia="Times New Roman" w:hAnsi="Helvetica" w:cs="Times New Roman"/>
      <w:b/>
      <w:caps/>
      <w:sz w:val="28"/>
      <w:szCs w:val="20"/>
      <w:lang w:eastAsia="en-AU"/>
    </w:rPr>
  </w:style>
  <w:style w:type="character" w:customStyle="1" w:styleId="Heading2Char">
    <w:name w:val="Heading 2 Char"/>
    <w:basedOn w:val="DefaultParagraphFont"/>
    <w:link w:val="Heading2"/>
    <w:rsid w:val="006A05D6"/>
    <w:rPr>
      <w:rFonts w:ascii="Helvetica" w:eastAsia="Times New Roman" w:hAnsi="Helvetica" w:cs="Times New Roman"/>
      <w:b/>
      <w:sz w:val="26"/>
      <w:szCs w:val="20"/>
      <w:lang w:eastAsia="en-AU"/>
    </w:rPr>
  </w:style>
  <w:style w:type="character" w:customStyle="1" w:styleId="Heading3Char">
    <w:name w:val="Heading 3 Char"/>
    <w:basedOn w:val="DefaultParagraphFont"/>
    <w:link w:val="Heading3"/>
    <w:rsid w:val="00E56A6F"/>
    <w:rPr>
      <w:rFonts w:ascii="Helvetica" w:eastAsia="Times New Roman" w:hAnsi="Helvetica" w:cs="Times New Roman"/>
      <w:b/>
      <w:szCs w:val="20"/>
      <w:lang w:eastAsia="en-AU"/>
    </w:rPr>
  </w:style>
  <w:style w:type="character" w:customStyle="1" w:styleId="Heading4Char">
    <w:name w:val="Heading 4 Char"/>
    <w:basedOn w:val="DefaultParagraphFont"/>
    <w:link w:val="Heading4"/>
    <w:rsid w:val="00E56A6F"/>
    <w:rPr>
      <w:rFonts w:ascii="Times New Roman" w:eastAsia="Times New Roman" w:hAnsi="Times New Roman" w:cs="Times New Roman"/>
      <w:b/>
      <w:i/>
      <w:szCs w:val="20"/>
      <w:lang w:eastAsia="en-AU"/>
    </w:rPr>
  </w:style>
  <w:style w:type="character" w:customStyle="1" w:styleId="Heading5Char">
    <w:name w:val="Heading 5 Char"/>
    <w:basedOn w:val="DefaultParagraphFont"/>
    <w:link w:val="Heading5"/>
    <w:rsid w:val="00E56A6F"/>
    <w:rPr>
      <w:rFonts w:ascii="Times New Roman" w:eastAsia="Times New Roman" w:hAnsi="Times New Roman" w:cs="Times New Roman"/>
      <w:bCs/>
      <w:i/>
      <w:iCs/>
      <w:szCs w:val="26"/>
      <w:lang w:eastAsia="en-AU"/>
    </w:rPr>
  </w:style>
  <w:style w:type="character" w:customStyle="1" w:styleId="Heading6Char">
    <w:name w:val="Heading 6 Char"/>
    <w:basedOn w:val="DefaultParagraphFont"/>
    <w:link w:val="Heading6"/>
    <w:rsid w:val="00E56A6F"/>
    <w:rPr>
      <w:rFonts w:ascii="Times New Roman" w:eastAsia="Times New Roman" w:hAnsi="Times New Roman" w:cs="Times New Roman"/>
      <w:iCs/>
      <w:u w:val="single"/>
      <w:lang w:eastAsia="en-AU"/>
    </w:rPr>
  </w:style>
  <w:style w:type="character" w:customStyle="1" w:styleId="Heading7Char">
    <w:name w:val="Heading 7 Char"/>
    <w:basedOn w:val="DefaultParagraphFont"/>
    <w:link w:val="Heading7"/>
    <w:rsid w:val="00E56A6F"/>
    <w:rPr>
      <w:rFonts w:ascii="Times New Roman" w:eastAsia="Times New Roman" w:hAnsi="Times New Roman" w:cs="Times New Roman"/>
      <w:sz w:val="24"/>
      <w:szCs w:val="24"/>
      <w:lang w:eastAsia="en-AU"/>
    </w:rPr>
  </w:style>
  <w:style w:type="character" w:customStyle="1" w:styleId="Heading8Char">
    <w:name w:val="Heading 8 Char"/>
    <w:basedOn w:val="DefaultParagraphFont"/>
    <w:link w:val="Heading8"/>
    <w:rsid w:val="00E56A6F"/>
    <w:rPr>
      <w:rFonts w:ascii="Times New Roman" w:eastAsia="Times New Roman" w:hAnsi="Times New Roman" w:cs="Times New Roman"/>
      <w:i/>
      <w:iCs/>
      <w:sz w:val="24"/>
      <w:szCs w:val="24"/>
      <w:lang w:eastAsia="en-AU"/>
    </w:rPr>
  </w:style>
  <w:style w:type="character" w:customStyle="1" w:styleId="Heading9Char">
    <w:name w:val="Heading 9 Char"/>
    <w:basedOn w:val="DefaultParagraphFont"/>
    <w:link w:val="Heading9"/>
    <w:rsid w:val="00E56A6F"/>
    <w:rPr>
      <w:rFonts w:ascii="Arial" w:eastAsia="Times New Roman" w:hAnsi="Arial" w:cs="Arial"/>
      <w:lang w:eastAsia="en-AU"/>
    </w:rPr>
  </w:style>
  <w:style w:type="numbering" w:styleId="ArticleSection">
    <w:name w:val="Outline List 3"/>
    <w:basedOn w:val="NoList"/>
    <w:semiHidden/>
    <w:rsid w:val="00E56A6F"/>
    <w:pPr>
      <w:numPr>
        <w:numId w:val="6"/>
      </w:numPr>
    </w:pPr>
  </w:style>
  <w:style w:type="paragraph" w:customStyle="1" w:styleId="Baseparagraphcentred">
    <w:name w:val="Base paragraph centred"/>
    <w:basedOn w:val="Normal"/>
    <w:rsid w:val="00734F84"/>
    <w:pPr>
      <w:spacing w:before="200" w:after="200"/>
      <w:jc w:val="center"/>
    </w:pPr>
  </w:style>
  <w:style w:type="paragraph" w:customStyle="1" w:styleId="base-text-paragraph">
    <w:name w:val="base-text-paragraph"/>
    <w:basedOn w:val="Normal"/>
    <w:link w:val="base-text-paragraphChar"/>
    <w:qFormat/>
    <w:rsid w:val="00E56A6F"/>
    <w:pPr>
      <w:numPr>
        <w:ilvl w:val="1"/>
        <w:numId w:val="9"/>
      </w:numPr>
    </w:pPr>
  </w:style>
  <w:style w:type="character" w:customStyle="1" w:styleId="base-text-paragraphChar">
    <w:name w:val="base-text-paragraph Char"/>
    <w:basedOn w:val="DefaultParagraphFont"/>
    <w:link w:val="base-text-paragraph"/>
    <w:rsid w:val="00E56A6F"/>
    <w:rPr>
      <w:rFonts w:ascii="Times New Roman" w:eastAsia="Times New Roman" w:hAnsi="Times New Roman" w:cs="Times New Roman"/>
      <w:szCs w:val="20"/>
      <w:lang w:eastAsia="en-AU"/>
    </w:rPr>
  </w:style>
  <w:style w:type="paragraph" w:customStyle="1" w:styleId="base-text-paragraphnonumbers">
    <w:name w:val="base-text-paragraph no numbers"/>
    <w:basedOn w:val="Normal"/>
    <w:qFormat/>
    <w:rsid w:val="00E56A6F"/>
    <w:pPr>
      <w:ind w:left="1134"/>
    </w:pPr>
  </w:style>
  <w:style w:type="paragraph" w:customStyle="1" w:styleId="BillName">
    <w:name w:val="Bill Name"/>
    <w:basedOn w:val="Normal"/>
    <w:next w:val="Baseparagraphcentred"/>
    <w:rsid w:val="00734F84"/>
    <w:pPr>
      <w:pBdr>
        <w:top w:val="single" w:sz="4" w:space="12" w:color="auto"/>
        <w:bottom w:val="single" w:sz="4" w:space="12" w:color="auto"/>
      </w:pBdr>
      <w:spacing w:before="200" w:after="200"/>
      <w:jc w:val="center"/>
    </w:pPr>
    <w:rPr>
      <w:caps/>
    </w:rPr>
  </w:style>
  <w:style w:type="paragraph" w:styleId="BlockText">
    <w:name w:val="Block Text"/>
    <w:basedOn w:val="Normal"/>
    <w:semiHidden/>
    <w:rsid w:val="00E56A6F"/>
    <w:pPr>
      <w:ind w:left="1440" w:right="1440"/>
    </w:pPr>
  </w:style>
  <w:style w:type="paragraph" w:styleId="BodyText">
    <w:name w:val="Body Text"/>
    <w:basedOn w:val="Normal"/>
    <w:link w:val="BodyTextChar"/>
    <w:semiHidden/>
    <w:rsid w:val="00E56A6F"/>
  </w:style>
  <w:style w:type="character" w:customStyle="1" w:styleId="BodyTextChar">
    <w:name w:val="Body Text Char"/>
    <w:basedOn w:val="DefaultParagraphFont"/>
    <w:link w:val="BodyText"/>
    <w:semiHidden/>
    <w:rsid w:val="00E56A6F"/>
    <w:rPr>
      <w:rFonts w:ascii="Times New Roman" w:eastAsia="Times New Roman" w:hAnsi="Times New Roman" w:cs="Times New Roman"/>
      <w:szCs w:val="20"/>
      <w:lang w:eastAsia="en-AU"/>
    </w:rPr>
  </w:style>
  <w:style w:type="paragraph" w:styleId="BodyText2">
    <w:name w:val="Body Text 2"/>
    <w:basedOn w:val="Normal"/>
    <w:link w:val="BodyText2Char"/>
    <w:semiHidden/>
    <w:rsid w:val="00E56A6F"/>
    <w:pPr>
      <w:spacing w:line="480" w:lineRule="auto"/>
    </w:pPr>
  </w:style>
  <w:style w:type="character" w:customStyle="1" w:styleId="BodyText2Char">
    <w:name w:val="Body Text 2 Char"/>
    <w:basedOn w:val="DefaultParagraphFont"/>
    <w:link w:val="BodyText2"/>
    <w:semiHidden/>
    <w:rsid w:val="00E56A6F"/>
    <w:rPr>
      <w:rFonts w:ascii="Times New Roman" w:eastAsia="Times New Roman" w:hAnsi="Times New Roman" w:cs="Times New Roman"/>
      <w:szCs w:val="20"/>
      <w:lang w:eastAsia="en-AU"/>
    </w:rPr>
  </w:style>
  <w:style w:type="paragraph" w:styleId="BodyText3">
    <w:name w:val="Body Text 3"/>
    <w:basedOn w:val="Normal"/>
    <w:link w:val="BodyText3Char"/>
    <w:semiHidden/>
    <w:rsid w:val="00E56A6F"/>
    <w:rPr>
      <w:sz w:val="16"/>
      <w:szCs w:val="16"/>
    </w:rPr>
  </w:style>
  <w:style w:type="character" w:customStyle="1" w:styleId="BodyText3Char">
    <w:name w:val="Body Text 3 Char"/>
    <w:basedOn w:val="DefaultParagraphFont"/>
    <w:link w:val="BodyText3"/>
    <w:semiHidden/>
    <w:rsid w:val="00E56A6F"/>
    <w:rPr>
      <w:rFonts w:ascii="Times New Roman" w:eastAsia="Times New Roman" w:hAnsi="Times New Roman" w:cs="Times New Roman"/>
      <w:sz w:val="16"/>
      <w:szCs w:val="16"/>
      <w:lang w:eastAsia="en-AU"/>
    </w:rPr>
  </w:style>
  <w:style w:type="paragraph" w:styleId="BodyTextFirstIndent">
    <w:name w:val="Body Text First Indent"/>
    <w:basedOn w:val="BodyText"/>
    <w:link w:val="BodyTextFirstIndentChar"/>
    <w:semiHidden/>
    <w:rsid w:val="00E56A6F"/>
    <w:pPr>
      <w:ind w:firstLine="210"/>
    </w:pPr>
  </w:style>
  <w:style w:type="character" w:customStyle="1" w:styleId="BodyTextFirstIndentChar">
    <w:name w:val="Body Text First Indent Char"/>
    <w:basedOn w:val="BodyTextChar"/>
    <w:link w:val="BodyTextFirstIndent"/>
    <w:semiHidden/>
    <w:rsid w:val="00E56A6F"/>
    <w:rPr>
      <w:rFonts w:ascii="Times New Roman" w:eastAsia="Times New Roman" w:hAnsi="Times New Roman" w:cs="Times New Roman"/>
      <w:szCs w:val="20"/>
      <w:lang w:eastAsia="en-AU"/>
    </w:rPr>
  </w:style>
  <w:style w:type="paragraph" w:styleId="BodyTextIndent">
    <w:name w:val="Body Text Indent"/>
    <w:basedOn w:val="Normal"/>
    <w:link w:val="BodyTextIndentChar"/>
    <w:semiHidden/>
    <w:rsid w:val="00E56A6F"/>
    <w:pPr>
      <w:ind w:left="283"/>
    </w:pPr>
  </w:style>
  <w:style w:type="character" w:customStyle="1" w:styleId="BodyTextIndentChar">
    <w:name w:val="Body Text Indent Char"/>
    <w:basedOn w:val="DefaultParagraphFont"/>
    <w:link w:val="BodyTextIndent"/>
    <w:semiHidden/>
    <w:rsid w:val="00E56A6F"/>
    <w:rPr>
      <w:rFonts w:ascii="Times New Roman" w:eastAsia="Times New Roman" w:hAnsi="Times New Roman" w:cs="Times New Roman"/>
      <w:szCs w:val="20"/>
      <w:lang w:eastAsia="en-AU"/>
    </w:rPr>
  </w:style>
  <w:style w:type="paragraph" w:styleId="BodyTextFirstIndent2">
    <w:name w:val="Body Text First Indent 2"/>
    <w:basedOn w:val="BodyTextIndent"/>
    <w:link w:val="BodyTextFirstIndent2Char"/>
    <w:semiHidden/>
    <w:rsid w:val="00E56A6F"/>
    <w:pPr>
      <w:ind w:firstLine="210"/>
    </w:pPr>
  </w:style>
  <w:style w:type="character" w:customStyle="1" w:styleId="BodyTextFirstIndent2Char">
    <w:name w:val="Body Text First Indent 2 Char"/>
    <w:basedOn w:val="BodyTextIndentChar"/>
    <w:link w:val="BodyTextFirstIndent2"/>
    <w:semiHidden/>
    <w:rsid w:val="00E56A6F"/>
    <w:rPr>
      <w:rFonts w:ascii="Times New Roman" w:eastAsia="Times New Roman" w:hAnsi="Times New Roman" w:cs="Times New Roman"/>
      <w:szCs w:val="20"/>
      <w:lang w:eastAsia="en-AU"/>
    </w:rPr>
  </w:style>
  <w:style w:type="paragraph" w:styleId="BodyTextIndent2">
    <w:name w:val="Body Text Indent 2"/>
    <w:basedOn w:val="Normal"/>
    <w:link w:val="BodyTextIndent2Char"/>
    <w:semiHidden/>
    <w:rsid w:val="00E56A6F"/>
    <w:pPr>
      <w:spacing w:line="480" w:lineRule="auto"/>
      <w:ind w:left="283"/>
    </w:pPr>
  </w:style>
  <w:style w:type="character" w:customStyle="1" w:styleId="BodyTextIndent2Char">
    <w:name w:val="Body Text Indent 2 Char"/>
    <w:basedOn w:val="DefaultParagraphFont"/>
    <w:link w:val="BodyTextIndent2"/>
    <w:semiHidden/>
    <w:rsid w:val="00E56A6F"/>
    <w:rPr>
      <w:rFonts w:ascii="Times New Roman" w:eastAsia="Times New Roman" w:hAnsi="Times New Roman" w:cs="Times New Roman"/>
      <w:szCs w:val="20"/>
      <w:lang w:eastAsia="en-AU"/>
    </w:rPr>
  </w:style>
  <w:style w:type="paragraph" w:styleId="BodyTextIndent3">
    <w:name w:val="Body Text Indent 3"/>
    <w:basedOn w:val="Normal"/>
    <w:link w:val="BodyTextIndent3Char"/>
    <w:semiHidden/>
    <w:rsid w:val="00E56A6F"/>
    <w:pPr>
      <w:ind w:left="283"/>
    </w:pPr>
    <w:rPr>
      <w:sz w:val="16"/>
      <w:szCs w:val="16"/>
    </w:rPr>
  </w:style>
  <w:style w:type="character" w:customStyle="1" w:styleId="BodyTextIndent3Char">
    <w:name w:val="Body Text Indent 3 Char"/>
    <w:basedOn w:val="DefaultParagraphFont"/>
    <w:link w:val="BodyTextIndent3"/>
    <w:semiHidden/>
    <w:rsid w:val="00E56A6F"/>
    <w:rPr>
      <w:rFonts w:ascii="Times New Roman" w:eastAsia="Times New Roman" w:hAnsi="Times New Roman" w:cs="Times New Roman"/>
      <w:sz w:val="16"/>
      <w:szCs w:val="16"/>
      <w:lang w:eastAsia="en-AU"/>
    </w:rPr>
  </w:style>
  <w:style w:type="character" w:customStyle="1" w:styleId="Bold">
    <w:name w:val="Bold"/>
    <w:basedOn w:val="DefaultParagraphFont"/>
    <w:rsid w:val="00E56A6F"/>
    <w:rPr>
      <w:b/>
    </w:rPr>
  </w:style>
  <w:style w:type="character" w:customStyle="1" w:styleId="BoldItalic">
    <w:name w:val="BoldItalic"/>
    <w:basedOn w:val="DefaultParagraphFont"/>
    <w:rsid w:val="00E56A6F"/>
    <w:rPr>
      <w:b/>
      <w:i/>
    </w:rPr>
  </w:style>
  <w:style w:type="paragraph" w:customStyle="1" w:styleId="BTPwithextraspacing">
    <w:name w:val="BTP with extra spacing"/>
    <w:basedOn w:val="Normal"/>
    <w:rsid w:val="00E56A6F"/>
    <w:pPr>
      <w:spacing w:before="360" w:after="360"/>
      <w:ind w:left="1134"/>
    </w:pPr>
  </w:style>
  <w:style w:type="paragraph" w:customStyle="1" w:styleId="ChapterHeading">
    <w:name w:val="Chapter Heading"/>
    <w:next w:val="Heading2"/>
    <w:rsid w:val="006A05D6"/>
    <w:pPr>
      <w:numPr>
        <w:numId w:val="9"/>
      </w:numPr>
      <w:pBdr>
        <w:top w:val="single" w:sz="4" w:space="1" w:color="auto"/>
        <w:bottom w:val="single" w:sz="4" w:space="1" w:color="auto"/>
      </w:pBdr>
      <w:spacing w:before="240" w:after="360" w:line="260" w:lineRule="atLeast"/>
    </w:pPr>
    <w:rPr>
      <w:rFonts w:ascii="Helvetica" w:eastAsia="Times New Roman" w:hAnsi="Helvetica" w:cs="Times New Roman"/>
      <w:b/>
      <w:i/>
      <w:sz w:val="38"/>
      <w:szCs w:val="20"/>
      <w:lang w:eastAsia="en-AU"/>
    </w:rPr>
  </w:style>
  <w:style w:type="paragraph" w:customStyle="1" w:styleId="Chapterheadingsubdocument">
    <w:name w:val="Chapter heading subdocument"/>
    <w:basedOn w:val="Normal"/>
    <w:next w:val="base-text-paragraphnonumbers"/>
    <w:rsid w:val="006A05D6"/>
    <w:pPr>
      <w:pBdr>
        <w:top w:val="single" w:sz="4" w:space="1" w:color="auto"/>
        <w:bottom w:val="single" w:sz="4" w:space="1" w:color="auto"/>
      </w:pBdr>
      <w:spacing w:before="240" w:after="360" w:line="260" w:lineRule="atLeast"/>
    </w:pPr>
    <w:rPr>
      <w:rFonts w:ascii="Helvetica" w:hAnsi="Helvetica"/>
      <w:b/>
      <w:i/>
      <w:sz w:val="38"/>
    </w:rPr>
  </w:style>
  <w:style w:type="numbering" w:customStyle="1" w:styleId="ChapterList">
    <w:name w:val="ChapterList"/>
    <w:uiPriority w:val="99"/>
    <w:rsid w:val="00E56A6F"/>
    <w:pPr>
      <w:numPr>
        <w:numId w:val="46"/>
      </w:numPr>
    </w:pPr>
  </w:style>
  <w:style w:type="paragraph" w:styleId="Closing">
    <w:name w:val="Closing"/>
    <w:basedOn w:val="Normal"/>
    <w:link w:val="ClosingChar"/>
    <w:semiHidden/>
    <w:rsid w:val="00E56A6F"/>
    <w:pPr>
      <w:ind w:left="4252"/>
    </w:pPr>
  </w:style>
  <w:style w:type="character" w:customStyle="1" w:styleId="ClosingChar">
    <w:name w:val="Closing Char"/>
    <w:basedOn w:val="DefaultParagraphFont"/>
    <w:link w:val="Closing"/>
    <w:semiHidden/>
    <w:rsid w:val="00E56A6F"/>
    <w:rPr>
      <w:rFonts w:ascii="Times New Roman" w:eastAsia="Times New Roman" w:hAnsi="Times New Roman" w:cs="Times New Roman"/>
      <w:szCs w:val="20"/>
      <w:lang w:eastAsia="en-AU"/>
    </w:rPr>
  </w:style>
  <w:style w:type="paragraph" w:styleId="Date">
    <w:name w:val="Date"/>
    <w:basedOn w:val="Normal"/>
    <w:next w:val="Normal"/>
    <w:link w:val="DateChar"/>
    <w:semiHidden/>
    <w:rsid w:val="00E56A6F"/>
  </w:style>
  <w:style w:type="character" w:customStyle="1" w:styleId="DateChar">
    <w:name w:val="Date Char"/>
    <w:basedOn w:val="DefaultParagraphFont"/>
    <w:link w:val="Date"/>
    <w:semiHidden/>
    <w:rsid w:val="00E56A6F"/>
    <w:rPr>
      <w:rFonts w:ascii="Times New Roman" w:eastAsia="Times New Roman" w:hAnsi="Times New Roman" w:cs="Times New Roman"/>
      <w:szCs w:val="20"/>
      <w:lang w:eastAsia="en-AU"/>
    </w:rPr>
  </w:style>
  <w:style w:type="paragraph" w:customStyle="1" w:styleId="Diagram">
    <w:name w:val="Diagram"/>
    <w:basedOn w:val="Normal"/>
    <w:next w:val="base-text-paragraphnonumbers"/>
    <w:rsid w:val="00E56A6F"/>
    <w:pPr>
      <w:keepNext/>
      <w:numPr>
        <w:ilvl w:val="2"/>
        <w:numId w:val="9"/>
      </w:numPr>
      <w:spacing w:before="0" w:after="0"/>
    </w:pPr>
    <w:rPr>
      <w:b/>
    </w:rPr>
  </w:style>
  <w:style w:type="paragraph" w:customStyle="1" w:styleId="dotpoint">
    <w:name w:val="dot point"/>
    <w:basedOn w:val="Normal"/>
    <w:rsid w:val="00E56A6F"/>
    <w:pPr>
      <w:numPr>
        <w:numId w:val="11"/>
      </w:numPr>
    </w:pPr>
  </w:style>
  <w:style w:type="paragraph" w:customStyle="1" w:styleId="dotpoint2">
    <w:name w:val="dot point 2"/>
    <w:basedOn w:val="Normal"/>
    <w:rsid w:val="00E56A6F"/>
    <w:pPr>
      <w:numPr>
        <w:ilvl w:val="1"/>
        <w:numId w:val="13"/>
      </w:numPr>
    </w:pPr>
  </w:style>
  <w:style w:type="numbering" w:customStyle="1" w:styleId="DotPointList">
    <w:name w:val="Dot Point List"/>
    <w:uiPriority w:val="99"/>
    <w:rsid w:val="00E56A6F"/>
    <w:pPr>
      <w:numPr>
        <w:numId w:val="12"/>
      </w:numPr>
    </w:pPr>
  </w:style>
  <w:style w:type="paragraph" w:styleId="E-mailSignature">
    <w:name w:val="E-mail Signature"/>
    <w:basedOn w:val="Normal"/>
    <w:link w:val="E-mailSignatureChar"/>
    <w:semiHidden/>
    <w:rsid w:val="00E56A6F"/>
  </w:style>
  <w:style w:type="character" w:customStyle="1" w:styleId="E-mailSignatureChar">
    <w:name w:val="E-mail Signature Char"/>
    <w:basedOn w:val="DefaultParagraphFont"/>
    <w:link w:val="E-mailSignature"/>
    <w:semiHidden/>
    <w:rsid w:val="00E56A6F"/>
    <w:rPr>
      <w:rFonts w:ascii="Times New Roman" w:eastAsia="Times New Roman" w:hAnsi="Times New Roman" w:cs="Times New Roman"/>
      <w:szCs w:val="20"/>
      <w:lang w:eastAsia="en-AU"/>
    </w:rPr>
  </w:style>
  <w:style w:type="character" w:styleId="Emphasis">
    <w:name w:val="Emphasis"/>
    <w:basedOn w:val="DefaultParagraphFont"/>
    <w:qFormat/>
    <w:rsid w:val="00E56A6F"/>
    <w:rPr>
      <w:i/>
      <w:iCs/>
    </w:rPr>
  </w:style>
  <w:style w:type="paragraph" w:styleId="EnvelopeAddress">
    <w:name w:val="envelope address"/>
    <w:basedOn w:val="Normal"/>
    <w:semiHidden/>
    <w:rsid w:val="00E56A6F"/>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E56A6F"/>
    <w:rPr>
      <w:rFonts w:ascii="Arial" w:hAnsi="Arial" w:cs="Arial"/>
      <w:sz w:val="20"/>
    </w:rPr>
  </w:style>
  <w:style w:type="paragraph" w:customStyle="1" w:styleId="exampletext">
    <w:name w:val="example text"/>
    <w:basedOn w:val="Normal"/>
    <w:rsid w:val="00E56A6F"/>
    <w:pPr>
      <w:ind w:left="1985"/>
    </w:pPr>
    <w:rPr>
      <w:sz w:val="20"/>
    </w:rPr>
  </w:style>
  <w:style w:type="paragraph" w:customStyle="1" w:styleId="exampledotpoint1">
    <w:name w:val="example dot point 1"/>
    <w:basedOn w:val="exampletext"/>
    <w:rsid w:val="006A05D6"/>
    <w:pPr>
      <w:numPr>
        <w:numId w:val="16"/>
      </w:numPr>
      <w:spacing w:before="200" w:after="200"/>
      <w:ind w:left="2269" w:hanging="284"/>
    </w:pPr>
  </w:style>
  <w:style w:type="paragraph" w:customStyle="1" w:styleId="exampledotpoint2">
    <w:name w:val="example dot point 2"/>
    <w:basedOn w:val="exampletext"/>
    <w:rsid w:val="006A05D6"/>
    <w:pPr>
      <w:numPr>
        <w:ilvl w:val="1"/>
        <w:numId w:val="16"/>
      </w:numPr>
      <w:spacing w:before="200" w:after="200"/>
    </w:pPr>
  </w:style>
  <w:style w:type="numbering" w:customStyle="1" w:styleId="ExampleDotPointList">
    <w:name w:val="Example Dot Point List"/>
    <w:uiPriority w:val="99"/>
    <w:rsid w:val="00E56A6F"/>
    <w:pPr>
      <w:numPr>
        <w:numId w:val="14"/>
      </w:numPr>
    </w:pPr>
  </w:style>
  <w:style w:type="paragraph" w:customStyle="1" w:styleId="ExampleHeading">
    <w:name w:val="Example Heading"/>
    <w:basedOn w:val="Normal"/>
    <w:next w:val="exampletext"/>
    <w:rsid w:val="00E56A6F"/>
    <w:pPr>
      <w:keepNext/>
      <w:numPr>
        <w:ilvl w:val="3"/>
        <w:numId w:val="9"/>
      </w:numPr>
    </w:pPr>
    <w:rPr>
      <w:b/>
    </w:rPr>
  </w:style>
  <w:style w:type="paragraph" w:customStyle="1" w:styleId="exampleindent">
    <w:name w:val="example indent"/>
    <w:basedOn w:val="exampletext"/>
    <w:rsid w:val="00E56A6F"/>
    <w:pPr>
      <w:ind w:left="2268"/>
    </w:pPr>
  </w:style>
  <w:style w:type="character" w:styleId="FollowedHyperlink">
    <w:name w:val="FollowedHyperlink"/>
    <w:basedOn w:val="DefaultParagraphFont"/>
    <w:rsid w:val="00E56A6F"/>
    <w:rPr>
      <w:color w:val="954F72" w:themeColor="followedHyperlink"/>
      <w:u w:val="single"/>
    </w:rPr>
  </w:style>
  <w:style w:type="character" w:customStyle="1" w:styleId="Font15point">
    <w:name w:val="Font 15 point"/>
    <w:basedOn w:val="DefaultParagraphFont"/>
    <w:rsid w:val="00E56A6F"/>
    <w:rPr>
      <w:sz w:val="30"/>
    </w:rPr>
  </w:style>
  <w:style w:type="character" w:customStyle="1" w:styleId="Font19point">
    <w:name w:val="Font 19 point"/>
    <w:basedOn w:val="DefaultParagraphFont"/>
    <w:rsid w:val="00E56A6F"/>
    <w:rPr>
      <w:sz w:val="38"/>
    </w:rPr>
  </w:style>
  <w:style w:type="character" w:customStyle="1" w:styleId="Font30point">
    <w:name w:val="Font 30 point"/>
    <w:basedOn w:val="DefaultParagraphFont"/>
    <w:rsid w:val="00E56A6F"/>
    <w:rPr>
      <w:sz w:val="60"/>
    </w:rPr>
  </w:style>
  <w:style w:type="paragraph" w:styleId="Footer">
    <w:name w:val="footer"/>
    <w:basedOn w:val="Normal"/>
    <w:link w:val="FooterChar"/>
    <w:semiHidden/>
    <w:rsid w:val="00E56A6F"/>
    <w:pPr>
      <w:tabs>
        <w:tab w:val="center" w:pos="4153"/>
        <w:tab w:val="right" w:pos="8306"/>
      </w:tabs>
    </w:pPr>
  </w:style>
  <w:style w:type="character" w:customStyle="1" w:styleId="FooterChar">
    <w:name w:val="Footer Char"/>
    <w:basedOn w:val="DefaultParagraphFont"/>
    <w:link w:val="Footer"/>
    <w:semiHidden/>
    <w:rsid w:val="00E56A6F"/>
    <w:rPr>
      <w:rFonts w:ascii="Times New Roman" w:eastAsia="Times New Roman" w:hAnsi="Times New Roman" w:cs="Times New Roman"/>
      <w:szCs w:val="20"/>
      <w:lang w:eastAsia="en-AU"/>
    </w:rPr>
  </w:style>
  <w:style w:type="paragraph" w:styleId="FootnoteText">
    <w:name w:val="footnote text"/>
    <w:basedOn w:val="Normal"/>
    <w:link w:val="FootnoteTextChar"/>
    <w:rsid w:val="00E56A6F"/>
    <w:pPr>
      <w:tabs>
        <w:tab w:val="left" w:pos="284"/>
      </w:tabs>
      <w:spacing w:before="0" w:after="0"/>
      <w:ind w:left="284" w:hanging="284"/>
    </w:pPr>
    <w:rPr>
      <w:sz w:val="20"/>
    </w:rPr>
  </w:style>
  <w:style w:type="character" w:customStyle="1" w:styleId="FootnoteTextChar">
    <w:name w:val="Footnote Text Char"/>
    <w:basedOn w:val="DefaultParagraphFont"/>
    <w:link w:val="FootnoteText"/>
    <w:rsid w:val="00E56A6F"/>
    <w:rPr>
      <w:rFonts w:ascii="Times New Roman" w:eastAsia="Times New Roman" w:hAnsi="Times New Roman" w:cs="Times New Roman"/>
      <w:sz w:val="20"/>
      <w:szCs w:val="20"/>
      <w:lang w:eastAsia="en-AU"/>
    </w:rPr>
  </w:style>
  <w:style w:type="paragraph" w:customStyle="1" w:styleId="Glossarytabletext">
    <w:name w:val="Glossary table text"/>
    <w:basedOn w:val="Normal"/>
    <w:rsid w:val="00E56A6F"/>
    <w:pPr>
      <w:spacing w:before="60" w:after="60"/>
    </w:pPr>
    <w:rPr>
      <w:sz w:val="20"/>
    </w:rPr>
  </w:style>
  <w:style w:type="paragraph" w:styleId="Header">
    <w:name w:val="header"/>
    <w:basedOn w:val="Normal"/>
    <w:link w:val="HeaderChar"/>
    <w:semiHidden/>
    <w:rsid w:val="00E56A6F"/>
    <w:pPr>
      <w:tabs>
        <w:tab w:val="center" w:pos="4153"/>
        <w:tab w:val="right" w:pos="8306"/>
      </w:tabs>
    </w:pPr>
  </w:style>
  <w:style w:type="character" w:customStyle="1" w:styleId="HeaderChar">
    <w:name w:val="Header Char"/>
    <w:basedOn w:val="DefaultParagraphFont"/>
    <w:link w:val="Header"/>
    <w:semiHidden/>
    <w:rsid w:val="00E56A6F"/>
    <w:rPr>
      <w:rFonts w:ascii="Times New Roman" w:eastAsia="Times New Roman" w:hAnsi="Times New Roman" w:cs="Times New Roman"/>
      <w:szCs w:val="20"/>
      <w:lang w:eastAsia="en-AU"/>
    </w:rPr>
  </w:style>
  <w:style w:type="paragraph" w:customStyle="1" w:styleId="Heading2with18pointafter">
    <w:name w:val="Heading 2 with 18 point after"/>
    <w:basedOn w:val="Heading2"/>
    <w:next w:val="Normal"/>
    <w:rsid w:val="00E56A6F"/>
    <w:pPr>
      <w:spacing w:after="360"/>
    </w:pPr>
  </w:style>
  <w:style w:type="paragraph" w:customStyle="1" w:styleId="Hiddentext">
    <w:name w:val="Hiddentext"/>
    <w:basedOn w:val="Normal"/>
    <w:rsid w:val="00E56A6F"/>
    <w:rPr>
      <w:vanish/>
    </w:rPr>
  </w:style>
  <w:style w:type="character" w:styleId="HTMLAcronym">
    <w:name w:val="HTML Acronym"/>
    <w:basedOn w:val="DefaultParagraphFont"/>
    <w:semiHidden/>
    <w:rsid w:val="00E56A6F"/>
  </w:style>
  <w:style w:type="paragraph" w:styleId="HTMLAddress">
    <w:name w:val="HTML Address"/>
    <w:basedOn w:val="Normal"/>
    <w:link w:val="HTMLAddressChar"/>
    <w:semiHidden/>
    <w:rsid w:val="00E56A6F"/>
    <w:rPr>
      <w:i/>
      <w:iCs/>
    </w:rPr>
  </w:style>
  <w:style w:type="character" w:customStyle="1" w:styleId="HTMLAddressChar">
    <w:name w:val="HTML Address Char"/>
    <w:basedOn w:val="DefaultParagraphFont"/>
    <w:link w:val="HTMLAddress"/>
    <w:semiHidden/>
    <w:rsid w:val="00E56A6F"/>
    <w:rPr>
      <w:rFonts w:ascii="Times New Roman" w:eastAsia="Times New Roman" w:hAnsi="Times New Roman" w:cs="Times New Roman"/>
      <w:i/>
      <w:iCs/>
      <w:szCs w:val="20"/>
      <w:lang w:eastAsia="en-AU"/>
    </w:rPr>
  </w:style>
  <w:style w:type="character" w:styleId="HTMLCite">
    <w:name w:val="HTML Cite"/>
    <w:basedOn w:val="DefaultParagraphFont"/>
    <w:semiHidden/>
    <w:rsid w:val="00E56A6F"/>
    <w:rPr>
      <w:i/>
      <w:iCs/>
    </w:rPr>
  </w:style>
  <w:style w:type="character" w:styleId="HTMLCode">
    <w:name w:val="HTML Code"/>
    <w:basedOn w:val="DefaultParagraphFont"/>
    <w:semiHidden/>
    <w:rsid w:val="00E56A6F"/>
    <w:rPr>
      <w:rFonts w:ascii="Courier New" w:hAnsi="Courier New" w:cs="Courier New"/>
      <w:sz w:val="20"/>
      <w:szCs w:val="20"/>
    </w:rPr>
  </w:style>
  <w:style w:type="character" w:styleId="HTMLDefinition">
    <w:name w:val="HTML Definition"/>
    <w:basedOn w:val="DefaultParagraphFont"/>
    <w:semiHidden/>
    <w:rsid w:val="00E56A6F"/>
    <w:rPr>
      <w:i/>
      <w:iCs/>
    </w:rPr>
  </w:style>
  <w:style w:type="character" w:styleId="HTMLKeyboard">
    <w:name w:val="HTML Keyboard"/>
    <w:basedOn w:val="DefaultParagraphFont"/>
    <w:semiHidden/>
    <w:rsid w:val="00E56A6F"/>
    <w:rPr>
      <w:rFonts w:ascii="Courier New" w:hAnsi="Courier New" w:cs="Courier New"/>
      <w:sz w:val="20"/>
      <w:szCs w:val="20"/>
    </w:rPr>
  </w:style>
  <w:style w:type="paragraph" w:styleId="HTMLPreformatted">
    <w:name w:val="HTML Preformatted"/>
    <w:basedOn w:val="Normal"/>
    <w:link w:val="HTMLPreformattedChar"/>
    <w:semiHidden/>
    <w:rsid w:val="00E56A6F"/>
    <w:rPr>
      <w:rFonts w:ascii="Courier New" w:hAnsi="Courier New" w:cs="Courier New"/>
      <w:sz w:val="20"/>
    </w:rPr>
  </w:style>
  <w:style w:type="character" w:customStyle="1" w:styleId="HTMLPreformattedChar">
    <w:name w:val="HTML Preformatted Char"/>
    <w:basedOn w:val="DefaultParagraphFont"/>
    <w:link w:val="HTMLPreformatted"/>
    <w:semiHidden/>
    <w:rsid w:val="00E56A6F"/>
    <w:rPr>
      <w:rFonts w:ascii="Courier New" w:eastAsia="Times New Roman" w:hAnsi="Courier New" w:cs="Courier New"/>
      <w:sz w:val="20"/>
      <w:szCs w:val="20"/>
      <w:lang w:eastAsia="en-AU"/>
    </w:rPr>
  </w:style>
  <w:style w:type="character" w:styleId="HTMLSample">
    <w:name w:val="HTML Sample"/>
    <w:basedOn w:val="DefaultParagraphFont"/>
    <w:semiHidden/>
    <w:rsid w:val="00E56A6F"/>
    <w:rPr>
      <w:rFonts w:ascii="Courier New" w:hAnsi="Courier New" w:cs="Courier New"/>
    </w:rPr>
  </w:style>
  <w:style w:type="character" w:styleId="HTMLTypewriter">
    <w:name w:val="HTML Typewriter"/>
    <w:basedOn w:val="DefaultParagraphFont"/>
    <w:semiHidden/>
    <w:rsid w:val="00E56A6F"/>
    <w:rPr>
      <w:rFonts w:ascii="Courier New" w:hAnsi="Courier New" w:cs="Courier New"/>
      <w:sz w:val="20"/>
      <w:szCs w:val="20"/>
    </w:rPr>
  </w:style>
  <w:style w:type="character" w:styleId="HTMLVariable">
    <w:name w:val="HTML Variable"/>
    <w:basedOn w:val="DefaultParagraphFont"/>
    <w:semiHidden/>
    <w:rsid w:val="00E56A6F"/>
    <w:rPr>
      <w:i/>
      <w:iCs/>
    </w:rPr>
  </w:style>
  <w:style w:type="character" w:styleId="Hyperlink">
    <w:name w:val="Hyperlink"/>
    <w:basedOn w:val="DefaultParagraphFont"/>
    <w:uiPriority w:val="99"/>
    <w:rsid w:val="00E56A6F"/>
    <w:rPr>
      <w:color w:val="0563C1" w:themeColor="hyperlink"/>
      <w:u w:val="single"/>
    </w:rPr>
  </w:style>
  <w:style w:type="character" w:customStyle="1" w:styleId="Italic">
    <w:name w:val="Italic"/>
    <w:basedOn w:val="DefaultParagraphFont"/>
    <w:rsid w:val="00E56A6F"/>
    <w:rPr>
      <w:i/>
    </w:rPr>
  </w:style>
  <w:style w:type="paragraph" w:customStyle="1" w:styleId="leftfooter">
    <w:name w:val="left footer"/>
    <w:basedOn w:val="Normal"/>
    <w:rsid w:val="00E56A6F"/>
    <w:pPr>
      <w:pBdr>
        <w:top w:val="single" w:sz="4" w:space="1" w:color="auto"/>
      </w:pBdr>
      <w:spacing w:before="240" w:after="0"/>
    </w:pPr>
    <w:rPr>
      <w:i/>
      <w:sz w:val="20"/>
    </w:rPr>
  </w:style>
  <w:style w:type="paragraph" w:customStyle="1" w:styleId="leftheader">
    <w:name w:val="left header"/>
    <w:basedOn w:val="Normal"/>
    <w:rsid w:val="00E56A6F"/>
    <w:pPr>
      <w:pBdr>
        <w:bottom w:val="single" w:sz="4" w:space="1" w:color="auto"/>
      </w:pBdr>
    </w:pPr>
    <w:rPr>
      <w:i/>
      <w:sz w:val="20"/>
    </w:rPr>
  </w:style>
  <w:style w:type="character" w:styleId="LineNumber">
    <w:name w:val="line number"/>
    <w:basedOn w:val="DefaultParagraphFont"/>
    <w:semiHidden/>
    <w:rsid w:val="00E56A6F"/>
  </w:style>
  <w:style w:type="paragraph" w:styleId="List">
    <w:name w:val="List"/>
    <w:basedOn w:val="Normal"/>
    <w:semiHidden/>
    <w:rsid w:val="00E56A6F"/>
    <w:pPr>
      <w:ind w:left="283" w:hanging="283"/>
    </w:pPr>
  </w:style>
  <w:style w:type="paragraph" w:styleId="List2">
    <w:name w:val="List 2"/>
    <w:basedOn w:val="Normal"/>
    <w:semiHidden/>
    <w:rsid w:val="00E56A6F"/>
    <w:pPr>
      <w:ind w:left="566" w:hanging="283"/>
    </w:pPr>
  </w:style>
  <w:style w:type="paragraph" w:styleId="List3">
    <w:name w:val="List 3"/>
    <w:basedOn w:val="Normal"/>
    <w:semiHidden/>
    <w:rsid w:val="00E56A6F"/>
    <w:pPr>
      <w:ind w:left="849" w:hanging="283"/>
    </w:pPr>
  </w:style>
  <w:style w:type="paragraph" w:styleId="List4">
    <w:name w:val="List 4"/>
    <w:basedOn w:val="Normal"/>
    <w:semiHidden/>
    <w:rsid w:val="00E56A6F"/>
    <w:pPr>
      <w:ind w:left="1132" w:hanging="283"/>
    </w:pPr>
  </w:style>
  <w:style w:type="paragraph" w:styleId="List5">
    <w:name w:val="List 5"/>
    <w:basedOn w:val="Normal"/>
    <w:semiHidden/>
    <w:rsid w:val="00E56A6F"/>
    <w:pPr>
      <w:ind w:left="1415" w:hanging="283"/>
    </w:pPr>
  </w:style>
  <w:style w:type="paragraph" w:styleId="ListBullet">
    <w:name w:val="List Bullet"/>
    <w:basedOn w:val="Normal"/>
    <w:semiHidden/>
    <w:rsid w:val="00E56A6F"/>
    <w:pPr>
      <w:numPr>
        <w:numId w:val="19"/>
      </w:numPr>
    </w:pPr>
  </w:style>
  <w:style w:type="paragraph" w:styleId="ListBullet2">
    <w:name w:val="List Bullet 2"/>
    <w:basedOn w:val="Normal"/>
    <w:semiHidden/>
    <w:rsid w:val="00E56A6F"/>
    <w:pPr>
      <w:numPr>
        <w:numId w:val="21"/>
      </w:numPr>
    </w:pPr>
  </w:style>
  <w:style w:type="paragraph" w:styleId="ListBullet3">
    <w:name w:val="List Bullet 3"/>
    <w:basedOn w:val="Normal"/>
    <w:semiHidden/>
    <w:rsid w:val="00E56A6F"/>
    <w:pPr>
      <w:numPr>
        <w:numId w:val="23"/>
      </w:numPr>
    </w:pPr>
  </w:style>
  <w:style w:type="paragraph" w:styleId="ListBullet4">
    <w:name w:val="List Bullet 4"/>
    <w:basedOn w:val="Normal"/>
    <w:semiHidden/>
    <w:rsid w:val="00E56A6F"/>
    <w:pPr>
      <w:numPr>
        <w:numId w:val="25"/>
      </w:numPr>
    </w:pPr>
  </w:style>
  <w:style w:type="paragraph" w:styleId="ListBullet5">
    <w:name w:val="List Bullet 5"/>
    <w:basedOn w:val="Normal"/>
    <w:semiHidden/>
    <w:rsid w:val="00E56A6F"/>
    <w:pPr>
      <w:numPr>
        <w:numId w:val="27"/>
      </w:numPr>
    </w:pPr>
  </w:style>
  <w:style w:type="paragraph" w:styleId="ListContinue">
    <w:name w:val="List Continue"/>
    <w:basedOn w:val="Normal"/>
    <w:semiHidden/>
    <w:rsid w:val="00E56A6F"/>
    <w:pPr>
      <w:ind w:left="283"/>
    </w:pPr>
  </w:style>
  <w:style w:type="paragraph" w:styleId="ListContinue2">
    <w:name w:val="List Continue 2"/>
    <w:basedOn w:val="Normal"/>
    <w:semiHidden/>
    <w:rsid w:val="00E56A6F"/>
    <w:pPr>
      <w:ind w:left="566"/>
    </w:pPr>
  </w:style>
  <w:style w:type="paragraph" w:styleId="ListContinue3">
    <w:name w:val="List Continue 3"/>
    <w:basedOn w:val="Normal"/>
    <w:semiHidden/>
    <w:rsid w:val="00E56A6F"/>
    <w:pPr>
      <w:ind w:left="849"/>
    </w:pPr>
  </w:style>
  <w:style w:type="paragraph" w:styleId="ListContinue4">
    <w:name w:val="List Continue 4"/>
    <w:basedOn w:val="Normal"/>
    <w:semiHidden/>
    <w:rsid w:val="00E56A6F"/>
    <w:pPr>
      <w:ind w:left="1132"/>
    </w:pPr>
  </w:style>
  <w:style w:type="paragraph" w:styleId="ListContinue5">
    <w:name w:val="List Continue 5"/>
    <w:basedOn w:val="Normal"/>
    <w:semiHidden/>
    <w:rsid w:val="00E56A6F"/>
    <w:pPr>
      <w:ind w:left="1415"/>
    </w:pPr>
  </w:style>
  <w:style w:type="paragraph" w:styleId="ListNumber">
    <w:name w:val="List Number"/>
    <w:basedOn w:val="Normal"/>
    <w:semiHidden/>
    <w:rsid w:val="00E56A6F"/>
    <w:pPr>
      <w:numPr>
        <w:numId w:val="29"/>
      </w:numPr>
    </w:pPr>
  </w:style>
  <w:style w:type="paragraph" w:styleId="ListNumber2">
    <w:name w:val="List Number 2"/>
    <w:basedOn w:val="Normal"/>
    <w:semiHidden/>
    <w:rsid w:val="00E56A6F"/>
    <w:pPr>
      <w:numPr>
        <w:numId w:val="31"/>
      </w:numPr>
    </w:pPr>
  </w:style>
  <w:style w:type="paragraph" w:styleId="ListNumber3">
    <w:name w:val="List Number 3"/>
    <w:basedOn w:val="Normal"/>
    <w:semiHidden/>
    <w:rsid w:val="00E56A6F"/>
    <w:pPr>
      <w:numPr>
        <w:numId w:val="33"/>
      </w:numPr>
    </w:pPr>
  </w:style>
  <w:style w:type="paragraph" w:styleId="ListNumber4">
    <w:name w:val="List Number 4"/>
    <w:basedOn w:val="Normal"/>
    <w:semiHidden/>
    <w:rsid w:val="00E56A6F"/>
    <w:pPr>
      <w:numPr>
        <w:numId w:val="35"/>
      </w:numPr>
    </w:pPr>
  </w:style>
  <w:style w:type="paragraph" w:styleId="ListNumber5">
    <w:name w:val="List Number 5"/>
    <w:basedOn w:val="Normal"/>
    <w:semiHidden/>
    <w:rsid w:val="00E56A6F"/>
    <w:pPr>
      <w:numPr>
        <w:numId w:val="37"/>
      </w:numPr>
    </w:pPr>
  </w:style>
  <w:style w:type="paragraph" w:styleId="ListParagraph">
    <w:name w:val="List Paragraph"/>
    <w:basedOn w:val="Normal"/>
    <w:uiPriority w:val="34"/>
    <w:qFormat/>
    <w:rsid w:val="00E56A6F"/>
    <w:pPr>
      <w:ind w:left="720"/>
      <w:contextualSpacing/>
    </w:pPr>
  </w:style>
  <w:style w:type="paragraph" w:styleId="MessageHeader">
    <w:name w:val="Message Header"/>
    <w:basedOn w:val="Normal"/>
    <w:link w:val="MessageHeaderChar"/>
    <w:semiHidden/>
    <w:rsid w:val="00E56A6F"/>
    <w:pPr>
      <w:pBdr>
        <w:top w:val="single" w:sz="6" w:space="1" w:color="auto"/>
        <w:left w:val="single" w:sz="6" w:space="1" w:color="auto"/>
        <w:bottom w:val="single" w:sz="6" w:space="1" w:color="auto"/>
        <w:right w:val="single" w:sz="6" w:space="1" w:color="auto"/>
      </w:pBdr>
      <w:shd w:val="pct20" w:color="auto" w:fill="auto"/>
      <w:ind w:hanging="1134"/>
    </w:pPr>
    <w:rPr>
      <w:rFonts w:ascii="Arial" w:hAnsi="Arial" w:cs="Arial"/>
      <w:sz w:val="24"/>
      <w:szCs w:val="24"/>
    </w:rPr>
  </w:style>
  <w:style w:type="character" w:customStyle="1" w:styleId="MessageHeaderChar">
    <w:name w:val="Message Header Char"/>
    <w:basedOn w:val="DefaultParagraphFont"/>
    <w:link w:val="MessageHeader"/>
    <w:semiHidden/>
    <w:rsid w:val="00E56A6F"/>
    <w:rPr>
      <w:rFonts w:ascii="Arial" w:eastAsia="Times New Roman" w:hAnsi="Arial" w:cs="Arial"/>
      <w:sz w:val="24"/>
      <w:szCs w:val="24"/>
      <w:shd w:val="pct20" w:color="auto" w:fill="auto"/>
      <w:lang w:eastAsia="en-AU"/>
    </w:rPr>
  </w:style>
  <w:style w:type="paragraph" w:styleId="NormalWeb">
    <w:name w:val="Normal (Web)"/>
    <w:basedOn w:val="Normal"/>
    <w:uiPriority w:val="99"/>
    <w:semiHidden/>
    <w:rsid w:val="00E56A6F"/>
    <w:rPr>
      <w:sz w:val="24"/>
      <w:szCs w:val="24"/>
    </w:rPr>
  </w:style>
  <w:style w:type="paragraph" w:styleId="NormalIndent">
    <w:name w:val="Normal Indent"/>
    <w:basedOn w:val="Normal"/>
    <w:semiHidden/>
    <w:rsid w:val="00E56A6F"/>
    <w:pPr>
      <w:ind w:left="720"/>
    </w:pPr>
  </w:style>
  <w:style w:type="paragraph" w:styleId="NoteHeading">
    <w:name w:val="Note Heading"/>
    <w:basedOn w:val="Normal"/>
    <w:next w:val="Normal"/>
    <w:link w:val="NoteHeadingChar"/>
    <w:semiHidden/>
    <w:rsid w:val="00E56A6F"/>
  </w:style>
  <w:style w:type="character" w:customStyle="1" w:styleId="NoteHeadingChar">
    <w:name w:val="Note Heading Char"/>
    <w:basedOn w:val="DefaultParagraphFont"/>
    <w:link w:val="NoteHeading"/>
    <w:semiHidden/>
    <w:rsid w:val="00E56A6F"/>
    <w:rPr>
      <w:rFonts w:ascii="Times New Roman" w:eastAsia="Times New Roman" w:hAnsi="Times New Roman" w:cs="Times New Roman"/>
      <w:szCs w:val="20"/>
      <w:lang w:eastAsia="en-AU"/>
    </w:rPr>
  </w:style>
  <w:style w:type="character" w:styleId="PageNumber">
    <w:name w:val="page number"/>
    <w:basedOn w:val="DefaultParagraphFont"/>
    <w:semiHidden/>
    <w:rsid w:val="00E56A6F"/>
  </w:style>
  <w:style w:type="paragraph" w:styleId="PlainText">
    <w:name w:val="Plain Text"/>
    <w:basedOn w:val="Normal"/>
    <w:link w:val="PlainTextChar"/>
    <w:semiHidden/>
    <w:rsid w:val="00E56A6F"/>
    <w:rPr>
      <w:rFonts w:ascii="Courier New" w:hAnsi="Courier New" w:cs="Courier New"/>
      <w:sz w:val="20"/>
    </w:rPr>
  </w:style>
  <w:style w:type="character" w:customStyle="1" w:styleId="PlainTextChar">
    <w:name w:val="Plain Text Char"/>
    <w:basedOn w:val="DefaultParagraphFont"/>
    <w:link w:val="PlainText"/>
    <w:semiHidden/>
    <w:rsid w:val="00E56A6F"/>
    <w:rPr>
      <w:rFonts w:ascii="Courier New" w:eastAsia="Times New Roman" w:hAnsi="Courier New" w:cs="Courier New"/>
      <w:sz w:val="20"/>
      <w:szCs w:val="20"/>
      <w:lang w:eastAsia="en-AU"/>
    </w:rPr>
  </w:style>
  <w:style w:type="character" w:customStyle="1" w:styleId="Referencingstyle">
    <w:name w:val="Referencing style"/>
    <w:basedOn w:val="DefaultParagraphFont"/>
    <w:rsid w:val="00E56A6F"/>
    <w:rPr>
      <w:b/>
      <w:i/>
      <w:sz w:val="18"/>
    </w:rPr>
  </w:style>
  <w:style w:type="paragraph" w:customStyle="1" w:styleId="rightfooter">
    <w:name w:val="right footer"/>
    <w:basedOn w:val="Normal"/>
    <w:rsid w:val="00E56A6F"/>
    <w:pPr>
      <w:pBdr>
        <w:top w:val="single" w:sz="4" w:space="1" w:color="auto"/>
      </w:pBdr>
      <w:spacing w:before="240" w:after="0"/>
      <w:jc w:val="right"/>
    </w:pPr>
    <w:rPr>
      <w:i/>
      <w:sz w:val="20"/>
    </w:rPr>
  </w:style>
  <w:style w:type="paragraph" w:customStyle="1" w:styleId="rightheader">
    <w:name w:val="right header"/>
    <w:basedOn w:val="Normal"/>
    <w:rsid w:val="00E56A6F"/>
    <w:pPr>
      <w:pBdr>
        <w:bottom w:val="single" w:sz="4" w:space="1" w:color="auto"/>
      </w:pBdr>
      <w:jc w:val="right"/>
    </w:pPr>
    <w:rPr>
      <w:i/>
      <w:sz w:val="20"/>
    </w:rPr>
  </w:style>
  <w:style w:type="paragraph" w:styleId="Salutation">
    <w:name w:val="Salutation"/>
    <w:basedOn w:val="Normal"/>
    <w:next w:val="Normal"/>
    <w:link w:val="SalutationChar"/>
    <w:semiHidden/>
    <w:rsid w:val="00E56A6F"/>
  </w:style>
  <w:style w:type="character" w:customStyle="1" w:styleId="SalutationChar">
    <w:name w:val="Salutation Char"/>
    <w:basedOn w:val="DefaultParagraphFont"/>
    <w:link w:val="Salutation"/>
    <w:semiHidden/>
    <w:rsid w:val="00E56A6F"/>
    <w:rPr>
      <w:rFonts w:ascii="Times New Roman" w:eastAsia="Times New Roman" w:hAnsi="Times New Roman" w:cs="Times New Roman"/>
      <w:szCs w:val="20"/>
      <w:lang w:eastAsia="en-AU"/>
    </w:rPr>
  </w:style>
  <w:style w:type="paragraph" w:styleId="Signature">
    <w:name w:val="Signature"/>
    <w:basedOn w:val="Normal"/>
    <w:link w:val="SignatureChar"/>
    <w:semiHidden/>
    <w:rsid w:val="00E56A6F"/>
    <w:pPr>
      <w:ind w:left="4252"/>
    </w:pPr>
  </w:style>
  <w:style w:type="character" w:customStyle="1" w:styleId="SignatureChar">
    <w:name w:val="Signature Char"/>
    <w:basedOn w:val="DefaultParagraphFont"/>
    <w:link w:val="Signature"/>
    <w:semiHidden/>
    <w:rsid w:val="00E56A6F"/>
    <w:rPr>
      <w:rFonts w:ascii="Times New Roman" w:eastAsia="Times New Roman" w:hAnsi="Times New Roman" w:cs="Times New Roman"/>
      <w:szCs w:val="20"/>
      <w:lang w:eastAsia="en-AU"/>
    </w:rPr>
  </w:style>
  <w:style w:type="paragraph" w:customStyle="1" w:styleId="SingleParagraph">
    <w:name w:val="Single Paragraph"/>
    <w:basedOn w:val="Normal"/>
    <w:rsid w:val="00E56A6F"/>
    <w:pPr>
      <w:spacing w:after="0"/>
    </w:pPr>
  </w:style>
  <w:style w:type="character" w:styleId="Strong">
    <w:name w:val="Strong"/>
    <w:basedOn w:val="DefaultParagraphFont"/>
    <w:qFormat/>
    <w:rsid w:val="00E56A6F"/>
    <w:rPr>
      <w:b/>
      <w:bCs/>
    </w:rPr>
  </w:style>
  <w:style w:type="paragraph" w:styleId="Subtitle">
    <w:name w:val="Subtitle"/>
    <w:basedOn w:val="Normal"/>
    <w:link w:val="SubtitleChar"/>
    <w:qFormat/>
    <w:rsid w:val="00E56A6F"/>
    <w:pPr>
      <w:spacing w:after="60"/>
      <w:jc w:val="center"/>
      <w:outlineLvl w:val="1"/>
    </w:pPr>
    <w:rPr>
      <w:rFonts w:ascii="Arial" w:hAnsi="Arial" w:cs="Arial"/>
      <w:sz w:val="24"/>
      <w:szCs w:val="24"/>
    </w:rPr>
  </w:style>
  <w:style w:type="character" w:customStyle="1" w:styleId="SubtitleChar">
    <w:name w:val="Subtitle Char"/>
    <w:basedOn w:val="DefaultParagraphFont"/>
    <w:link w:val="Subtitle"/>
    <w:rsid w:val="00E56A6F"/>
    <w:rPr>
      <w:rFonts w:ascii="Arial" w:eastAsia="Times New Roman" w:hAnsi="Arial" w:cs="Arial"/>
      <w:sz w:val="24"/>
      <w:szCs w:val="24"/>
      <w:lang w:eastAsia="en-AU"/>
    </w:rPr>
  </w:style>
  <w:style w:type="table" w:styleId="Table3Deffects1">
    <w:name w:val="Table 3D effects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E56A6F"/>
    <w:pPr>
      <w:spacing w:before="120" w:after="120" w:line="240" w:lineRule="auto"/>
      <w:ind w:left="1134"/>
    </w:pPr>
    <w:rPr>
      <w:rFonts w:ascii="Times New Roman" w:eastAsia="Times New Roman" w:hAnsi="Times New Roman"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E56A6F"/>
    <w:pPr>
      <w:spacing w:before="120" w:after="120" w:line="240" w:lineRule="auto"/>
      <w:ind w:left="1134"/>
    </w:pPr>
    <w:rPr>
      <w:rFonts w:ascii="Times New Roman" w:eastAsia="Times New Roman" w:hAnsi="Times New Roman" w:cs="Times New Roman"/>
      <w:color w:val="FFFFFF"/>
      <w:sz w:val="20"/>
      <w:szCs w:val="20"/>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tabletext">
    <w:name w:val="table text"/>
    <w:basedOn w:val="Normal"/>
    <w:rsid w:val="00E56A6F"/>
    <w:pPr>
      <w:spacing w:before="40" w:after="40"/>
    </w:pPr>
    <w:rPr>
      <w:sz w:val="20"/>
    </w:rPr>
  </w:style>
  <w:style w:type="paragraph" w:customStyle="1" w:styleId="tabledotpoint">
    <w:name w:val="table dot point"/>
    <w:basedOn w:val="tabletext"/>
    <w:rsid w:val="00E56A6F"/>
    <w:pPr>
      <w:numPr>
        <w:numId w:val="40"/>
      </w:numPr>
    </w:pPr>
  </w:style>
  <w:style w:type="paragraph" w:customStyle="1" w:styleId="tabledotpoint2">
    <w:name w:val="table dot point 2"/>
    <w:basedOn w:val="tabletext"/>
    <w:rsid w:val="00E56A6F"/>
    <w:pPr>
      <w:numPr>
        <w:ilvl w:val="1"/>
        <w:numId w:val="40"/>
      </w:numPr>
    </w:pPr>
  </w:style>
  <w:style w:type="numbering" w:customStyle="1" w:styleId="TableDotPointList">
    <w:name w:val="Table Dot Point List"/>
    <w:uiPriority w:val="99"/>
    <w:rsid w:val="00E56A6F"/>
    <w:pPr>
      <w:numPr>
        <w:numId w:val="40"/>
      </w:numPr>
    </w:pPr>
  </w:style>
  <w:style w:type="table" w:styleId="TableElegant">
    <w:name w:val="Table Elegant"/>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erwithintable">
    <w:name w:val="table header (within table)"/>
    <w:basedOn w:val="Heading4"/>
    <w:rsid w:val="00E56A6F"/>
    <w:pPr>
      <w:spacing w:before="60" w:after="60"/>
      <w:ind w:left="0"/>
      <w:jc w:val="center"/>
    </w:pPr>
    <w:rPr>
      <w:sz w:val="20"/>
    </w:rPr>
  </w:style>
  <w:style w:type="paragraph" w:customStyle="1" w:styleId="TableHeadingoutsidetable">
    <w:name w:val="Table Heading (outside table)"/>
    <w:basedOn w:val="Heading4"/>
    <w:rsid w:val="00E56A6F"/>
    <w:pPr>
      <w:numPr>
        <w:ilvl w:val="4"/>
        <w:numId w:val="9"/>
      </w:numPr>
      <w:tabs>
        <w:tab w:val="num" w:pos="360"/>
      </w:tabs>
    </w:pPr>
    <w:rPr>
      <w:i w:val="0"/>
    </w:rPr>
  </w:style>
  <w:style w:type="table" w:styleId="TableList1">
    <w:name w:val="Table List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E56A6F"/>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E56A6F"/>
    <w:rPr>
      <w:rFonts w:ascii="Arial" w:eastAsia="Times New Roman" w:hAnsi="Arial" w:cs="Arial"/>
      <w:b/>
      <w:bCs/>
      <w:kern w:val="28"/>
      <w:sz w:val="32"/>
      <w:szCs w:val="32"/>
      <w:lang w:eastAsia="en-AU"/>
    </w:rPr>
  </w:style>
  <w:style w:type="paragraph" w:styleId="TOC1">
    <w:name w:val="toc 1"/>
    <w:basedOn w:val="Heading2"/>
    <w:next w:val="TOC2"/>
    <w:uiPriority w:val="39"/>
    <w:rsid w:val="00E5385B"/>
    <w:pPr>
      <w:keepNext w:val="0"/>
      <w:tabs>
        <w:tab w:val="right" w:leader="dot" w:pos="7655"/>
      </w:tabs>
      <w:spacing w:before="240"/>
      <w:ind w:left="1758" w:right="851" w:hanging="1758"/>
    </w:pPr>
    <w:rPr>
      <w:b w:val="0"/>
      <w:sz w:val="24"/>
    </w:rPr>
  </w:style>
  <w:style w:type="paragraph" w:styleId="TOC2">
    <w:name w:val="toc 2"/>
    <w:basedOn w:val="TOC1"/>
    <w:next w:val="Normal"/>
    <w:uiPriority w:val="39"/>
    <w:rsid w:val="00E5385B"/>
    <w:pPr>
      <w:ind w:left="0" w:firstLine="0"/>
    </w:pPr>
    <w:rPr>
      <w:noProof/>
    </w:rPr>
  </w:style>
  <w:style w:type="paragraph" w:styleId="TOCHeading">
    <w:name w:val="TOC Heading"/>
    <w:basedOn w:val="Normal"/>
    <w:next w:val="base-text-paragraphnonumbers"/>
    <w:qFormat/>
    <w:rsid w:val="00E56A6F"/>
    <w:pPr>
      <w:pBdr>
        <w:top w:val="single" w:sz="4" w:space="1" w:color="auto"/>
        <w:bottom w:val="single" w:sz="4" w:space="1" w:color="auto"/>
      </w:pBdr>
      <w:spacing w:before="240" w:after="240" w:line="260" w:lineRule="atLeast"/>
    </w:pPr>
    <w:rPr>
      <w:rFonts w:ascii="Helvetica" w:hAnsi="Helvetica"/>
      <w:b/>
      <w:i/>
      <w:kern w:val="28"/>
      <w:sz w:val="38"/>
    </w:rPr>
  </w:style>
  <w:style w:type="character" w:styleId="PlaceholderText">
    <w:name w:val="Placeholder Text"/>
    <w:basedOn w:val="DefaultParagraphFont"/>
    <w:uiPriority w:val="99"/>
    <w:semiHidden/>
    <w:rsid w:val="009D7ECD"/>
    <w:rPr>
      <w:color w:val="808080"/>
    </w:rPr>
  </w:style>
  <w:style w:type="paragraph" w:customStyle="1" w:styleId="ParaCentredNoSpacing">
    <w:name w:val="ParaCentredNoSpacing"/>
    <w:basedOn w:val="Baseparagraphcentred"/>
    <w:qFormat/>
    <w:rsid w:val="00773B68"/>
    <w:pPr>
      <w:spacing w:before="0" w:after="0"/>
    </w:pPr>
  </w:style>
  <w:style w:type="character" w:customStyle="1" w:styleId="ChapterNameOnly">
    <w:name w:val="ChapterNameOnly"/>
    <w:basedOn w:val="DefaultParagraphFont"/>
    <w:uiPriority w:val="1"/>
    <w:qFormat/>
    <w:rsid w:val="000C2A9D"/>
  </w:style>
  <w:style w:type="paragraph" w:styleId="TOC3">
    <w:name w:val="toc 3"/>
    <w:basedOn w:val="Normal"/>
    <w:next w:val="Normal"/>
    <w:autoRedefine/>
    <w:uiPriority w:val="39"/>
    <w:unhideWhenUsed/>
    <w:rsid w:val="00E5385B"/>
    <w:pPr>
      <w:tabs>
        <w:tab w:val="right" w:leader="dot" w:pos="7655"/>
      </w:tabs>
      <w:spacing w:after="100"/>
      <w:ind w:left="442"/>
    </w:pPr>
  </w:style>
  <w:style w:type="table" w:customStyle="1" w:styleId="EMTable">
    <w:name w:val="EMTable"/>
    <w:basedOn w:val="TableNormal"/>
    <w:uiPriority w:val="99"/>
    <w:rsid w:val="00107A5E"/>
    <w:pPr>
      <w:spacing w:after="0" w:line="240" w:lineRule="auto"/>
    </w:pPr>
    <w:rPr>
      <w:rFonts w:ascii="Times New Roman" w:hAnsi="Times New Roman"/>
      <w:sz w:val="20"/>
    </w:rPr>
    <w:tblPr>
      <w:tblStyleRowBandSize w:val="1"/>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vAlign w:val="center"/>
    </w:tcPr>
    <w:tblStylePr w:type="firstRow">
      <w:pPr>
        <w:jc w:val="center"/>
      </w:pPr>
      <w:rPr>
        <w:rFonts w:ascii="Times New Roman" w:hAnsi="Times New Roman"/>
        <w:b/>
        <w:i/>
        <w:sz w:val="20"/>
      </w:rPr>
      <w:tblPr>
        <w:tblCellMar>
          <w:top w:w="57" w:type="dxa"/>
          <w:left w:w="57" w:type="dxa"/>
          <w:bottom w:w="0" w:type="dxa"/>
          <w:right w:w="108" w:type="dxa"/>
        </w:tblCellMar>
      </w:tblPr>
      <w:trPr>
        <w:cantSplit/>
        <w:tblHeader/>
      </w:trPr>
    </w:tblStylePr>
  </w:style>
  <w:style w:type="character" w:styleId="CommentReference">
    <w:name w:val="annotation reference"/>
    <w:basedOn w:val="DefaultParagraphFont"/>
    <w:uiPriority w:val="99"/>
    <w:semiHidden/>
    <w:unhideWhenUsed/>
    <w:rsid w:val="00532558"/>
    <w:rPr>
      <w:sz w:val="16"/>
      <w:szCs w:val="16"/>
    </w:rPr>
  </w:style>
  <w:style w:type="paragraph" w:styleId="CommentText">
    <w:name w:val="annotation text"/>
    <w:basedOn w:val="Normal"/>
    <w:link w:val="CommentTextChar"/>
    <w:uiPriority w:val="99"/>
    <w:semiHidden/>
    <w:unhideWhenUsed/>
    <w:rsid w:val="00532558"/>
    <w:rPr>
      <w:sz w:val="20"/>
    </w:rPr>
  </w:style>
  <w:style w:type="character" w:customStyle="1" w:styleId="CommentTextChar">
    <w:name w:val="Comment Text Char"/>
    <w:basedOn w:val="DefaultParagraphFont"/>
    <w:link w:val="CommentText"/>
    <w:uiPriority w:val="99"/>
    <w:semiHidden/>
    <w:rsid w:val="00532558"/>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532558"/>
    <w:rPr>
      <w:b/>
      <w:bCs/>
    </w:rPr>
  </w:style>
  <w:style w:type="character" w:customStyle="1" w:styleId="CommentSubjectChar">
    <w:name w:val="Comment Subject Char"/>
    <w:basedOn w:val="CommentTextChar"/>
    <w:link w:val="CommentSubject"/>
    <w:uiPriority w:val="99"/>
    <w:semiHidden/>
    <w:rsid w:val="00532558"/>
    <w:rPr>
      <w:rFonts w:ascii="Times New Roman" w:eastAsia="Times New Roman" w:hAnsi="Times New Roman" w:cs="Times New Roman"/>
      <w:b/>
      <w:bCs/>
      <w:sz w:val="20"/>
      <w:szCs w:val="20"/>
      <w:lang w:eastAsia="en-AU"/>
    </w:rPr>
  </w:style>
  <w:style w:type="paragraph" w:styleId="BalloonText">
    <w:name w:val="Balloon Text"/>
    <w:basedOn w:val="Normal"/>
    <w:link w:val="BalloonTextChar"/>
    <w:uiPriority w:val="99"/>
    <w:semiHidden/>
    <w:unhideWhenUsed/>
    <w:rsid w:val="00532558"/>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2558"/>
    <w:rPr>
      <w:rFonts w:ascii="Segoe UI" w:eastAsia="Times New Roman" w:hAnsi="Segoe UI" w:cs="Segoe UI"/>
      <w:sz w:val="18"/>
      <w:szCs w:val="18"/>
      <w:lang w:eastAsia="en-AU"/>
    </w:rPr>
  </w:style>
  <w:style w:type="paragraph" w:styleId="Revision">
    <w:name w:val="Revision"/>
    <w:hidden/>
    <w:uiPriority w:val="99"/>
    <w:semiHidden/>
    <w:rsid w:val="0094304A"/>
    <w:pPr>
      <w:spacing w:after="0" w:line="240" w:lineRule="auto"/>
    </w:pPr>
    <w:rPr>
      <w:rFonts w:ascii="Times New Roman" w:eastAsia="Times New Roman" w:hAnsi="Times New Roman" w:cs="Times New Roman"/>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header" Target="header5.xml"/><Relationship Id="rId34" Type="http://schemas.openxmlformats.org/officeDocument/2006/relationships/footer" Target="footer1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5" Type="http://schemas.openxmlformats.org/officeDocument/2006/relationships/footer" Target="footer5.xml"/><Relationship Id="rId33" Type="http://schemas.openxmlformats.org/officeDocument/2006/relationships/footer" Target="foot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eader" Target="header6.xml"/><Relationship Id="rId32" Type="http://schemas.openxmlformats.org/officeDocument/2006/relationships/footer" Target="footer9.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4.xml"/><Relationship Id="rId28" Type="http://schemas.openxmlformats.org/officeDocument/2006/relationships/footer" Target="footer6.xml"/><Relationship Id="rId36"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header" Target="header3.xml"/><Relationship Id="rId31"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3.xml"/><Relationship Id="rId27" Type="http://schemas.openxmlformats.org/officeDocument/2006/relationships/header" Target="header8.xml"/><Relationship Id="rId30" Type="http://schemas.openxmlformats.org/officeDocument/2006/relationships/footer" Target="footer8.xml"/><Relationship Id="rId35"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Pri-E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Treasury Financial Services Reform Document" ma:contentTypeID="0x010100BCBF50F8A60B9C40BFC256C0F7AAB54B00C81BF210190AB64590C7FB729413019E00BC2928122436D4419956658BC35B65CE" ma:contentTypeVersion="6438" ma:contentTypeDescription="" ma:contentTypeScope="" ma:versionID="3daed71ed5781347270f6dd54926afbe">
  <xsd:schema xmlns:xsd="http://www.w3.org/2001/XMLSchema" xmlns:xs="http://www.w3.org/2001/XMLSchema" xmlns:p="http://schemas.microsoft.com/office/2006/metadata/properties" xmlns:ns1="http://schemas.microsoft.com/sharepoint/v3" xmlns:ns2="0f563589-9cf9-4143-b1eb-fb0534803d38" xmlns:ns3="a3f3b895-a12d-40ed-bbf9-82c550ef3149" targetNamespace="http://schemas.microsoft.com/office/2006/metadata/properties" ma:root="true" ma:fieldsID="b9307cc4adc37f0fa01b330308e53d22" ns1:_="" ns2:_="" ns3:_="">
    <xsd:import namespace="http://schemas.microsoft.com/sharepoint/v3"/>
    <xsd:import namespace="0f563589-9cf9-4143-b1eb-fb0534803d38"/>
    <xsd:import namespace="a3f3b895-a12d-40ed-bbf9-82c550ef3149"/>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TaxKeywordTaxHTField" minOccurs="0"/>
                <xsd:element ref="ns1:_dlc_Exempt" minOccurs="0"/>
                <xsd:element ref="ns3:mad6820d043c45bdbfaec06364038ba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fe985234-3f4f-4a88-8988-bc112778147b}" ma:internalName="TaxCatchAll" ma:showField="CatchAllData" ma:web="a3f3b895-a12d-40ed-bbf9-82c550ef314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fe985234-3f4f-4a88-8988-bc112778147b}" ma:internalName="TaxCatchAllLabel" ma:readOnly="true" ma:showField="CatchAllDataLabel" ma:web="a3f3b895-a12d-40ed-bbf9-82c550ef3149">
      <xsd:complexType>
        <xsd:complexContent>
          <xsd:extension base="dms:MultiChoiceLookup">
            <xsd:sequence>
              <xsd:element name="Value" type="dms:Lookup" maxOccurs="unbounded" minOccurs="0" nillable="true"/>
            </xsd:sequence>
          </xsd:extension>
        </xsd:complexContent>
      </xsd:complexType>
    </xsd:element>
    <xsd:element name="TaxKeywordTaxHTField" ma:index="13" nillable="true" ma:taxonomy="true" ma:internalName="TaxKeywordTaxHTField" ma:taxonomyFieldName="TaxKeyword" ma:displayName="Document Tags" ma:readOnly="false" ma:fieldId="{23f27201-bee3-471e-b2e7-b64fd8b7ca38}" ma:taxonomyMulti="true" ma:sspId="77b7a547-5880-464f-83f8-cefe583c3af4"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3f3b895-a12d-40ed-bbf9-82c550ef3149" elementFormDefault="qualified">
    <xsd:import namespace="http://schemas.microsoft.com/office/2006/documentManagement/types"/>
    <xsd:import namespace="http://schemas.microsoft.com/office/infopath/2007/PartnerControls"/>
    <xsd:element name="mad6820d043c45bdbfaec06364038ba1" ma:index="16" nillable="true" ma:taxonomy="true" ma:internalName="mad6820d043c45bdbfaec06364038ba1" ma:taxonomyFieldName="Recommendation_x0020_number_x002F_s" ma:displayName="Recommendation number/s" ma:default="" ma:fieldId="{6ad6820d-043c-45bd-bfae-c06364038ba1}" ma:taxonomyMulti="true" ma:sspId="77b7a547-5880-464f-83f8-cefe583c3af4" ma:termSetId="364ed899-a317-44ff-a4aa-42ab0aab413e"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customXsn xmlns="http://schemas.microsoft.com/office/2006/metadata/customXsn">
  <xsnLocation/>
  <cached>True</cached>
  <openByDefault>True</openByDefault>
  <xsnScope/>
</customXsn>
</file>

<file path=customXml/item3.xml><?xml version="1.0" encoding="utf-8"?>
<?mso-contentType ?>
<SharedContentType xmlns="Microsoft.SharePoint.Taxonomy.ContentTypeSync" SourceId="77b7a547-5880-464f-83f8-cefe583c3af4" ContentTypeId="0x010100BCBF50F8A60B9C40BFC256C0F7AAB54B"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p:Policy xmlns:p="office.server.policy" id="" local="true">
  <p:Name>Treasury Document Audit Policy</p:Name>
  <p:Description/>
  <p:Statement/>
  <p:PolicyItems>
    <p:PolicyItem featureId="Microsoft.Office.RecordsManagement.PolicyFeatures.PolicyAudit" staticId="0x010100BCBF50F8A60B9C40BFC256C0F7AAB54B|1757814118" UniqueId="fde207ac-4387-46b7-8e68-2dd6b8690223">
      <p:Name>Auditing</p:Name>
      <p:Description>Audits user actions on documents and list items to the Audit Log.</p:Description>
      <p:CustomData>
        <Audit>
          <Update/>
          <CheckInOut/>
          <MoveCopy/>
          <DeleteRestore/>
        </Audit>
      </p:CustomData>
    </p:PolicyItem>
  </p:PolicyItems>
</p:Policy>
</file>

<file path=customXml/item7.xml><?xml version="1.0" encoding="utf-8"?>
<p:properties xmlns:p="http://schemas.microsoft.com/office/2006/metadata/properties" xmlns:xsi="http://www.w3.org/2001/XMLSchema-instance" xmlns:pc="http://schemas.microsoft.com/office/infopath/2007/PartnerControls">
  <documentManagement>
    <_dlc_DocId xmlns="0f563589-9cf9-4143-b1eb-fb0534803d38">2020A6EXK24D-1622062458-195</_dlc_DocId>
    <TaxCatchAll xmlns="0f563589-9cf9-4143-b1eb-fb0534803d38">
      <Value>33</Value>
      <Value>32</Value>
      <Value>31</Value>
      <Value>4</Value>
      <Value>42</Value>
      <Value>41</Value>
      <Value>39</Value>
      <Value>38</Value>
      <Value>43</Value>
    </TaxCatchAll>
    <_dlc_DocIdUrl xmlns="0f563589-9cf9-4143-b1eb-fb0534803d38">
      <Url>http://tweb/sites/fsr/regpow/_layouts/15/DocIdRedir.aspx?ID=2020A6EXK24D-1622062458-195</Url>
      <Description>2020A6EXK24D-1622062458-195</Description>
    </_dlc_DocIdUrl>
    <mad6820d043c45bdbfaec06364038ba1 xmlns="a3f3b895-a12d-40ed-bbf9-82c550ef3149">
      <Terms xmlns="http://schemas.microsoft.com/office/infopath/2007/PartnerControls">
        <TermInfo xmlns="http://schemas.microsoft.com/office/infopath/2007/PartnerControls">
          <TermName xmlns="http://schemas.microsoft.com/office/infopath/2007/PartnerControls">ERT 3</TermName>
          <TermId xmlns="http://schemas.microsoft.com/office/infopath/2007/PartnerControls">ce430410-d21a-44b0-a962-c7b4aee1a76b</TermId>
        </TermInfo>
        <TermInfo xmlns="http://schemas.microsoft.com/office/infopath/2007/PartnerControls">
          <TermName xmlns="http://schemas.microsoft.com/office/infopath/2007/PartnerControls">ERT 5</TermName>
          <TermId xmlns="http://schemas.microsoft.com/office/infopath/2007/PartnerControls">40dbac7f-8f64-4f9a-a676-2dc89739fe9b</TermId>
        </TermInfo>
        <TermInfo xmlns="http://schemas.microsoft.com/office/infopath/2007/PartnerControls">
          <TermName xmlns="http://schemas.microsoft.com/office/infopath/2007/PartnerControls">ERT 6</TermName>
          <TermId xmlns="http://schemas.microsoft.com/office/infopath/2007/PartnerControls">83c49b04-d01b-4ce8-9c17-cefc7b2631fc</TermId>
        </TermInfo>
        <TermInfo xmlns="http://schemas.microsoft.com/office/infopath/2007/PartnerControls">
          <TermName xmlns="http://schemas.microsoft.com/office/infopath/2007/PartnerControls">RC 7.2.1</TermName>
          <TermId xmlns="http://schemas.microsoft.com/office/infopath/2007/PartnerControls">a67ec494-2b1e-4507-a2c7-927207956942</TermId>
        </TermInfo>
        <TermInfo xmlns="http://schemas.microsoft.com/office/infopath/2007/PartnerControls">
          <TermName xmlns="http://schemas.microsoft.com/office/infopath/2007/PartnerControls">RC 7.2.8</TermName>
          <TermId xmlns="http://schemas.microsoft.com/office/infopath/2007/PartnerControls">01e1fcee-5404-4f8d-9542-c7b16a8004a9</TermId>
        </TermInfo>
        <TermInfo xmlns="http://schemas.microsoft.com/office/infopath/2007/PartnerControls">
          <TermName xmlns="http://schemas.microsoft.com/office/infopath/2007/PartnerControls">ERT 1</TermName>
          <TermId xmlns="http://schemas.microsoft.com/office/infopath/2007/PartnerControls">c3c10488-93b6-42eb-a38a-1fc9f51f8ac3</TermId>
        </TermInfo>
        <TermInfo xmlns="http://schemas.microsoft.com/office/infopath/2007/PartnerControls">
          <TermName xmlns="http://schemas.microsoft.com/office/infopath/2007/PartnerControls">ERT 4</TermName>
          <TermId xmlns="http://schemas.microsoft.com/office/infopath/2007/PartnerControls">8faeb4ad-e6cd-42ae-a606-402c42b92b2c</TermId>
        </TermInfo>
        <TermInfo xmlns="http://schemas.microsoft.com/office/infopath/2007/PartnerControls">
          <TermName xmlns="http://schemas.microsoft.com/office/infopath/2007/PartnerControls">ERT 8</TermName>
          <TermId xmlns="http://schemas.microsoft.com/office/infopath/2007/PartnerControls">04471c76-5e59-461a-bb96-370680d17da3</TermId>
        </TermInfo>
      </Terms>
    </mad6820d043c45bdbfaec06364038ba1>
    <TaxKeywordTaxHTField xmlns="0f563589-9cf9-4143-b1eb-fb0534803d38">
      <Terms xmlns="http://schemas.microsoft.com/office/infopath/2007/PartnerControls"/>
    </TaxKeywordTaxHTFiel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B160C8-BE8F-4130-85CD-0CEFDEBA95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a3f3b895-a12d-40ed-bbf9-82c550ef31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6BC3B3-9BAD-4B1E-820C-1F845B239F8A}">
  <ds:schemaRefs>
    <ds:schemaRef ds:uri="http://schemas.microsoft.com/office/2006/metadata/customXsn"/>
  </ds:schemaRefs>
</ds:datastoreItem>
</file>

<file path=customXml/itemProps3.xml><?xml version="1.0" encoding="utf-8"?>
<ds:datastoreItem xmlns:ds="http://schemas.openxmlformats.org/officeDocument/2006/customXml" ds:itemID="{D95EB6EC-BD5E-4B96-87D1-6EAD5B94882D}">
  <ds:schemaRefs>
    <ds:schemaRef ds:uri="Microsoft.SharePoint.Taxonomy.ContentTypeSync"/>
  </ds:schemaRefs>
</ds:datastoreItem>
</file>

<file path=customXml/itemProps4.xml><?xml version="1.0" encoding="utf-8"?>
<ds:datastoreItem xmlns:ds="http://schemas.openxmlformats.org/officeDocument/2006/customXml" ds:itemID="{EA55FF8F-CC63-4D97-80EF-D22B88940FF7}">
  <ds:schemaRefs>
    <ds:schemaRef ds:uri="http://schemas.microsoft.com/sharepoint/events"/>
  </ds:schemaRefs>
</ds:datastoreItem>
</file>

<file path=customXml/itemProps5.xml><?xml version="1.0" encoding="utf-8"?>
<ds:datastoreItem xmlns:ds="http://schemas.openxmlformats.org/officeDocument/2006/customXml" ds:itemID="{5581620C-90D2-41D3-81BF-E59E92C75C12}">
  <ds:schemaRefs>
    <ds:schemaRef ds:uri="http://schemas.microsoft.com/sharepoint/v3/contenttype/forms"/>
  </ds:schemaRefs>
</ds:datastoreItem>
</file>

<file path=customXml/itemProps6.xml><?xml version="1.0" encoding="utf-8"?>
<ds:datastoreItem xmlns:ds="http://schemas.openxmlformats.org/officeDocument/2006/customXml" ds:itemID="{BFF8CE30-7615-4920-97AE-440CFE021F2F}">
  <ds:schemaRefs>
    <ds:schemaRef ds:uri="office.server.policy"/>
  </ds:schemaRefs>
</ds:datastoreItem>
</file>

<file path=customXml/itemProps7.xml><?xml version="1.0" encoding="utf-8"?>
<ds:datastoreItem xmlns:ds="http://schemas.openxmlformats.org/officeDocument/2006/customXml" ds:itemID="{E484BCE1-B00C-45BB-B3CA-CEE712E03F53}">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0f563589-9cf9-4143-b1eb-fb0534803d38"/>
    <ds:schemaRef ds:uri="a3f3b895-a12d-40ed-bbf9-82c550ef3149"/>
    <ds:schemaRef ds:uri="http://www.w3.org/XML/1998/namespace"/>
    <ds:schemaRef ds:uri="http://purl.org/dc/dcmitype/"/>
  </ds:schemaRefs>
</ds:datastoreItem>
</file>

<file path=customXml/itemProps8.xml><?xml version="1.0" encoding="utf-8"?>
<ds:datastoreItem xmlns:ds="http://schemas.openxmlformats.org/officeDocument/2006/customXml" ds:itemID="{470AA0FA-3C89-4E63-936D-D00A696F2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Pri-EM.dotx</Template>
  <TotalTime>0</TotalTime>
  <Pages>15</Pages>
  <Words>2842</Words>
  <Characters>16202</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Explanatory Memorandum - Implementation of ASIC Enforcement Review Taskforce – Directions Power</vt:lpstr>
    </vt:vector>
  </TitlesOfParts>
  <Company>Australian Government</Company>
  <LinksUpToDate>false</LinksUpToDate>
  <CharactersWithSpaces>19006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Memorandum - Implementation of ASIC Enforcement Review Taskforce – Directions Power</dc:title>
  <dc:subject>Consultation paper</dc:subject>
  <dc:creator>The Treasury</dc:creator>
  <cp:keywords/>
  <dc:description/>
  <cp:lastModifiedBy>Thomas, Deborah</cp:lastModifiedBy>
  <cp:revision>2</cp:revision>
  <cp:lastPrinted>2019-12-20T02:14:00Z</cp:lastPrinted>
  <dcterms:created xsi:type="dcterms:W3CDTF">2020-01-24T00:39:00Z</dcterms:created>
  <dcterms:modified xsi:type="dcterms:W3CDTF">2020-01-24T00:39:00Z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d9def5e7-06d1-42ca-90a7-03021b26df0a</vt:lpwstr>
  </property>
  <property fmtid="{D5CDD505-2E9C-101B-9397-08002B2CF9AE}" pid="3" name="ContentTypeId">
    <vt:lpwstr>0x010100BCBF50F8A60B9C40BFC256C0F7AAB54B00C81BF210190AB64590C7FB729413019E00BC2928122436D4419956658BC35B65CE</vt:lpwstr>
  </property>
  <property fmtid="{D5CDD505-2E9C-101B-9397-08002B2CF9AE}" pid="4" name="RecordPoint_WorkflowType">
    <vt:lpwstr>ActiveSubmitStub</vt:lpwstr>
  </property>
  <property fmtid="{D5CDD505-2E9C-101B-9397-08002B2CF9AE}" pid="5" name="RecordPoint_ActiveItemUniqueId">
    <vt:lpwstr>{f1c8c615-9f0f-4995-bb31-07d766d38a3e}</vt:lpwstr>
  </property>
  <property fmtid="{D5CDD505-2E9C-101B-9397-08002B2CF9AE}" pid="6" name="RecordPoint_ActiveItemWebId">
    <vt:lpwstr>{09392e0d-4618-463d-b4d2-50a90b9447cf}</vt:lpwstr>
  </property>
  <property fmtid="{D5CDD505-2E9C-101B-9397-08002B2CF9AE}" pid="7" name="RecordPoint_ActiveItemSiteId">
    <vt:lpwstr>{5b52b9a5-e5b2-4521-8814-a1e24ca2869d}</vt:lpwstr>
  </property>
  <property fmtid="{D5CDD505-2E9C-101B-9397-08002B2CF9AE}" pid="8" name="RecordPoint_ActiveItemListId">
    <vt:lpwstr>{507a8a59-704d-43cf-b103-02b0cd527a9d}</vt:lpwstr>
  </property>
  <property fmtid="{D5CDD505-2E9C-101B-9397-08002B2CF9AE}" pid="9" name="TSYRecordClass">
    <vt:lpwstr>4;#TSY RA-9072 - Retain as national archives|d71911a4-1e32-4fc6-834f-26c4fc33e217</vt:lpwstr>
  </property>
  <property fmtid="{D5CDD505-2E9C-101B-9397-08002B2CF9AE}" pid="10" name="RecordPoint_SubmissionDate">
    <vt:lpwstr/>
  </property>
  <property fmtid="{D5CDD505-2E9C-101B-9397-08002B2CF9AE}" pid="11" name="RecordPoint_RecordNumberSubmitted">
    <vt:lpwstr/>
  </property>
  <property fmtid="{D5CDD505-2E9C-101B-9397-08002B2CF9AE}" pid="12" name="RecordPoint_ActiveItemMoved">
    <vt:lpwstr/>
  </property>
  <property fmtid="{D5CDD505-2E9C-101B-9397-08002B2CF9AE}" pid="13" name="RecordPoint_RecordFormat">
    <vt:lpwstr/>
  </property>
  <property fmtid="{D5CDD505-2E9C-101B-9397-08002B2CF9AE}" pid="14" name="RecordPoint_SubmissionCompleted">
    <vt:lpwstr/>
  </property>
  <property fmtid="{D5CDD505-2E9C-101B-9397-08002B2CF9AE}" pid="15" name="lb508a4dc5e84436a0fe496b536466aa">
    <vt:lpwstr>TSY RA-9072 - Retain as national archives|d71911a4-1e32-4fc6-834f-26c4fc33e217</vt:lpwstr>
  </property>
  <property fmtid="{D5CDD505-2E9C-101B-9397-08002B2CF9AE}" pid="16" name="Recommendation number/s">
    <vt:lpwstr>31;#ERT 3|ce430410-d21a-44b0-a962-c7b4aee1a76b;#32;#ERT 5|40dbac7f-8f64-4f9a-a676-2dc89739fe9b;#33;#ERT 6|83c49b04-d01b-4ce8-9c17-cefc7b2631fc;#38;#RC 7.2.1|a67ec494-2b1e-4507-a2c7-927207956942;#39;#RC 7.2.8|01e1fcee-5404-4f8d-9542-c7b16a8004a9;#42;#ERT 1</vt:lpwstr>
  </property>
  <property fmtid="{D5CDD505-2E9C-101B-9397-08002B2CF9AE}" pid="17" name="TaxKeyword">
    <vt:lpwstr/>
  </property>
</Properties>
</file>