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3061A0" w:rsidTr="003061A0">
        <w:tc>
          <w:tcPr>
            <w:tcW w:w="7087" w:type="dxa"/>
            <w:shd w:val="clear" w:color="auto" w:fill="auto"/>
          </w:tcPr>
          <w:p w:rsidR="003061A0" w:rsidRDefault="003061A0" w:rsidP="003061A0">
            <w:pPr>
              <w:jc w:val="center"/>
              <w:rPr>
                <w:b/>
                <w:sz w:val="26"/>
              </w:rPr>
            </w:pPr>
            <w:bookmarkStart w:id="0" w:name="_GoBack"/>
            <w:bookmarkEnd w:id="0"/>
            <w:r>
              <w:rPr>
                <w:b/>
                <w:sz w:val="26"/>
              </w:rPr>
              <w:t>EXPOSURE DRAFT</w:t>
            </w:r>
          </w:p>
          <w:p w:rsidR="003061A0" w:rsidRPr="003061A0" w:rsidRDefault="003061A0" w:rsidP="003061A0">
            <w:pPr>
              <w:rPr>
                <w:b/>
                <w:sz w:val="20"/>
              </w:rPr>
            </w:pPr>
          </w:p>
        </w:tc>
      </w:tr>
    </w:tbl>
    <w:p w:rsidR="003061A0" w:rsidRDefault="003061A0" w:rsidP="007A07E5">
      <w:pPr>
        <w:rPr>
          <w:sz w:val="32"/>
          <w:szCs w:val="32"/>
        </w:rPr>
      </w:pPr>
    </w:p>
    <w:p w:rsidR="00664C63" w:rsidRPr="007A07E5" w:rsidRDefault="00664C63" w:rsidP="007A07E5">
      <w:pPr>
        <w:rPr>
          <w:sz w:val="32"/>
          <w:szCs w:val="32"/>
        </w:rPr>
      </w:pPr>
      <w:r w:rsidRPr="007A07E5">
        <w:rPr>
          <w:sz w:val="32"/>
          <w:szCs w:val="32"/>
        </w:rPr>
        <w:t>Inserts for</w:t>
      </w:r>
    </w:p>
    <w:p w:rsidR="00664C63" w:rsidRPr="007A07E5" w:rsidRDefault="00420DD4" w:rsidP="007A07E5">
      <w:pPr>
        <w:pStyle w:val="ShortT"/>
      </w:pPr>
      <w:r w:rsidRPr="007A07E5">
        <w:t>Financial Sector Reform (Hayne Royal Commission Response—</w:t>
      </w:r>
      <w:r w:rsidR="00F519C9" w:rsidRPr="007A07E5">
        <w:t>Protecting Consumers</w:t>
      </w:r>
      <w:r w:rsidRPr="007A07E5">
        <w:t xml:space="preserve"> (2020 Measures)) Bill 2020</w:t>
      </w:r>
      <w:r w:rsidR="00664C63" w:rsidRPr="007A07E5">
        <w:t xml:space="preserve">: </w:t>
      </w:r>
      <w:r w:rsidR="0057364A" w:rsidRPr="007A07E5">
        <w:t>FSRC rec 1.15 (enforceab</w:t>
      </w:r>
      <w:r w:rsidR="00B74ADC" w:rsidRPr="007A07E5">
        <w:t>l</w:t>
      </w:r>
      <w:r w:rsidR="0057364A" w:rsidRPr="007A07E5">
        <w:t>e code provision</w:t>
      </w:r>
      <w:r w:rsidR="00B74ADC" w:rsidRPr="007A07E5">
        <w:t>s</w:t>
      </w:r>
      <w:r w:rsidR="0057364A" w:rsidRPr="007A07E5">
        <w:t>)</w:t>
      </w:r>
    </w:p>
    <w:p w:rsidR="00664C63" w:rsidRPr="007A07E5" w:rsidRDefault="00664C63" w:rsidP="007A07E5">
      <w:pPr>
        <w:jc w:val="center"/>
      </w:pPr>
    </w:p>
    <w:p w:rsidR="00664C63" w:rsidRPr="007A07E5" w:rsidRDefault="00664C63" w:rsidP="007A07E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7A07E5" w:rsidTr="002F08B3">
        <w:trPr>
          <w:tblHeader/>
        </w:trPr>
        <w:tc>
          <w:tcPr>
            <w:tcW w:w="7111" w:type="dxa"/>
            <w:gridSpan w:val="3"/>
            <w:tcBorders>
              <w:top w:val="single" w:sz="12" w:space="0" w:color="auto"/>
              <w:bottom w:val="single" w:sz="6" w:space="0" w:color="auto"/>
            </w:tcBorders>
            <w:shd w:val="clear" w:color="auto" w:fill="auto"/>
          </w:tcPr>
          <w:p w:rsidR="00664C63" w:rsidRPr="007A07E5" w:rsidRDefault="00664C63" w:rsidP="007A07E5">
            <w:pPr>
              <w:pStyle w:val="TableHeading"/>
            </w:pPr>
            <w:r w:rsidRPr="007A07E5">
              <w:t>Commencement information</w:t>
            </w:r>
          </w:p>
        </w:tc>
      </w:tr>
      <w:tr w:rsidR="00664C63" w:rsidRPr="007A07E5" w:rsidTr="002F08B3">
        <w:trPr>
          <w:tblHeader/>
        </w:trPr>
        <w:tc>
          <w:tcPr>
            <w:tcW w:w="1701" w:type="dxa"/>
            <w:tcBorders>
              <w:top w:val="single" w:sz="6" w:space="0" w:color="auto"/>
              <w:bottom w:val="single" w:sz="6" w:space="0" w:color="auto"/>
            </w:tcBorders>
            <w:shd w:val="clear" w:color="auto" w:fill="auto"/>
          </w:tcPr>
          <w:p w:rsidR="00664C63" w:rsidRPr="007A07E5" w:rsidRDefault="00664C63" w:rsidP="007A07E5">
            <w:pPr>
              <w:pStyle w:val="TableHeading"/>
            </w:pPr>
            <w:r w:rsidRPr="007A07E5">
              <w:t>Column 1</w:t>
            </w:r>
          </w:p>
        </w:tc>
        <w:tc>
          <w:tcPr>
            <w:tcW w:w="3828" w:type="dxa"/>
            <w:tcBorders>
              <w:top w:val="single" w:sz="6" w:space="0" w:color="auto"/>
              <w:bottom w:val="single" w:sz="6" w:space="0" w:color="auto"/>
            </w:tcBorders>
            <w:shd w:val="clear" w:color="auto" w:fill="auto"/>
          </w:tcPr>
          <w:p w:rsidR="00664C63" w:rsidRPr="007A07E5" w:rsidRDefault="00664C63" w:rsidP="007A07E5">
            <w:pPr>
              <w:pStyle w:val="TableHeading"/>
            </w:pPr>
            <w:r w:rsidRPr="007A07E5">
              <w:t>Column 2</w:t>
            </w:r>
          </w:p>
        </w:tc>
        <w:tc>
          <w:tcPr>
            <w:tcW w:w="1582" w:type="dxa"/>
            <w:tcBorders>
              <w:top w:val="single" w:sz="6" w:space="0" w:color="auto"/>
              <w:bottom w:val="single" w:sz="6" w:space="0" w:color="auto"/>
            </w:tcBorders>
            <w:shd w:val="clear" w:color="auto" w:fill="auto"/>
          </w:tcPr>
          <w:p w:rsidR="00664C63" w:rsidRPr="007A07E5" w:rsidRDefault="00664C63" w:rsidP="007A07E5">
            <w:pPr>
              <w:pStyle w:val="TableHeading"/>
            </w:pPr>
            <w:r w:rsidRPr="007A07E5">
              <w:t>Column 3</w:t>
            </w:r>
          </w:p>
        </w:tc>
      </w:tr>
      <w:tr w:rsidR="00664C63" w:rsidRPr="007A07E5" w:rsidTr="002F08B3">
        <w:trPr>
          <w:tblHeader/>
        </w:trPr>
        <w:tc>
          <w:tcPr>
            <w:tcW w:w="1701" w:type="dxa"/>
            <w:tcBorders>
              <w:top w:val="single" w:sz="6" w:space="0" w:color="auto"/>
              <w:bottom w:val="single" w:sz="12" w:space="0" w:color="auto"/>
            </w:tcBorders>
            <w:shd w:val="clear" w:color="auto" w:fill="auto"/>
          </w:tcPr>
          <w:p w:rsidR="00664C63" w:rsidRPr="007A07E5" w:rsidRDefault="00664C63" w:rsidP="007A07E5">
            <w:pPr>
              <w:pStyle w:val="TableHeading"/>
            </w:pPr>
            <w:r w:rsidRPr="007A07E5">
              <w:t>Provisions</w:t>
            </w:r>
          </w:p>
        </w:tc>
        <w:tc>
          <w:tcPr>
            <w:tcW w:w="3828" w:type="dxa"/>
            <w:tcBorders>
              <w:top w:val="single" w:sz="6" w:space="0" w:color="auto"/>
              <w:bottom w:val="single" w:sz="12" w:space="0" w:color="auto"/>
            </w:tcBorders>
            <w:shd w:val="clear" w:color="auto" w:fill="auto"/>
          </w:tcPr>
          <w:p w:rsidR="00664C63" w:rsidRPr="007A07E5" w:rsidRDefault="00664C63" w:rsidP="007A07E5">
            <w:pPr>
              <w:pStyle w:val="TableHeading"/>
            </w:pPr>
            <w:r w:rsidRPr="007A07E5">
              <w:t>Commencement</w:t>
            </w:r>
          </w:p>
        </w:tc>
        <w:tc>
          <w:tcPr>
            <w:tcW w:w="1582" w:type="dxa"/>
            <w:tcBorders>
              <w:top w:val="single" w:sz="6" w:space="0" w:color="auto"/>
              <w:bottom w:val="single" w:sz="12" w:space="0" w:color="auto"/>
            </w:tcBorders>
            <w:shd w:val="clear" w:color="auto" w:fill="auto"/>
          </w:tcPr>
          <w:p w:rsidR="00664C63" w:rsidRPr="007A07E5" w:rsidRDefault="00664C63" w:rsidP="007A07E5">
            <w:pPr>
              <w:pStyle w:val="TableHeading"/>
            </w:pPr>
            <w:r w:rsidRPr="007A07E5">
              <w:t>Date/Details</w:t>
            </w:r>
          </w:p>
        </w:tc>
      </w:tr>
      <w:tr w:rsidR="00664C63" w:rsidRPr="007A07E5" w:rsidTr="002F08B3">
        <w:tc>
          <w:tcPr>
            <w:tcW w:w="1701" w:type="dxa"/>
            <w:tcBorders>
              <w:top w:val="single" w:sz="12" w:space="0" w:color="auto"/>
            </w:tcBorders>
            <w:shd w:val="clear" w:color="auto" w:fill="auto"/>
          </w:tcPr>
          <w:p w:rsidR="00664C63" w:rsidRPr="007A07E5" w:rsidRDefault="00664C63" w:rsidP="007A07E5">
            <w:pPr>
              <w:pStyle w:val="Tabletext"/>
            </w:pPr>
            <w:r w:rsidRPr="007A07E5">
              <w:t xml:space="preserve">1.  </w:t>
            </w:r>
            <w:r w:rsidR="003A50EC" w:rsidRPr="007A07E5">
              <w:t>Schedule</w:t>
            </w:r>
            <w:r w:rsidR="007A07E5" w:rsidRPr="007A07E5">
              <w:t> </w:t>
            </w:r>
            <w:r w:rsidR="003A50EC" w:rsidRPr="007A07E5">
              <w:t>1.15</w:t>
            </w:r>
          </w:p>
        </w:tc>
        <w:tc>
          <w:tcPr>
            <w:tcW w:w="3828" w:type="dxa"/>
            <w:tcBorders>
              <w:top w:val="single" w:sz="12" w:space="0" w:color="auto"/>
            </w:tcBorders>
            <w:shd w:val="clear" w:color="auto" w:fill="auto"/>
          </w:tcPr>
          <w:p w:rsidR="00664C63" w:rsidRPr="007A07E5" w:rsidRDefault="00166579" w:rsidP="007A07E5">
            <w:pPr>
              <w:pStyle w:val="Tabletext"/>
            </w:pPr>
            <w:r w:rsidRPr="007A07E5">
              <w:t>1</w:t>
            </w:r>
            <w:r w:rsidR="007A07E5" w:rsidRPr="007A07E5">
              <w:t> </w:t>
            </w:r>
            <w:r w:rsidRPr="007A07E5">
              <w:t>July 2020.</w:t>
            </w:r>
          </w:p>
        </w:tc>
        <w:tc>
          <w:tcPr>
            <w:tcW w:w="1582" w:type="dxa"/>
            <w:tcBorders>
              <w:top w:val="single" w:sz="12" w:space="0" w:color="auto"/>
            </w:tcBorders>
            <w:shd w:val="clear" w:color="auto" w:fill="auto"/>
          </w:tcPr>
          <w:p w:rsidR="00664C63" w:rsidRPr="007A07E5" w:rsidRDefault="00166579" w:rsidP="007A07E5">
            <w:pPr>
              <w:pStyle w:val="Tabletext"/>
            </w:pPr>
            <w:r w:rsidRPr="007A07E5">
              <w:t>1</w:t>
            </w:r>
            <w:r w:rsidR="007A07E5" w:rsidRPr="007A07E5">
              <w:t> </w:t>
            </w:r>
            <w:r w:rsidRPr="007A07E5">
              <w:t>July</w:t>
            </w:r>
            <w:r w:rsidR="00B50086" w:rsidRPr="007A07E5">
              <w:t xml:space="preserve"> </w:t>
            </w:r>
            <w:r w:rsidRPr="007A07E5">
              <w:t>2020</w:t>
            </w:r>
          </w:p>
        </w:tc>
      </w:tr>
      <w:tr w:rsidR="00664C63" w:rsidRPr="007A07E5" w:rsidTr="002F08B3">
        <w:tc>
          <w:tcPr>
            <w:tcW w:w="1701" w:type="dxa"/>
            <w:tcBorders>
              <w:bottom w:val="single" w:sz="4" w:space="0" w:color="auto"/>
            </w:tcBorders>
            <w:shd w:val="clear" w:color="auto" w:fill="auto"/>
          </w:tcPr>
          <w:p w:rsidR="00664C63" w:rsidRPr="007A07E5" w:rsidRDefault="00664C63" w:rsidP="007A07E5">
            <w:pPr>
              <w:pStyle w:val="Tabletext"/>
            </w:pPr>
            <w:r w:rsidRPr="007A07E5">
              <w:t xml:space="preserve">2.  </w:t>
            </w:r>
          </w:p>
        </w:tc>
        <w:tc>
          <w:tcPr>
            <w:tcW w:w="3828" w:type="dxa"/>
            <w:tcBorders>
              <w:bottom w:val="single" w:sz="4" w:space="0" w:color="auto"/>
            </w:tcBorders>
            <w:shd w:val="clear" w:color="auto" w:fill="auto"/>
          </w:tcPr>
          <w:p w:rsidR="00664C63" w:rsidRPr="007A07E5" w:rsidRDefault="00664C63" w:rsidP="007A07E5">
            <w:pPr>
              <w:pStyle w:val="Tabletext"/>
            </w:pPr>
          </w:p>
        </w:tc>
        <w:tc>
          <w:tcPr>
            <w:tcW w:w="1582" w:type="dxa"/>
            <w:tcBorders>
              <w:bottom w:val="single" w:sz="4" w:space="0" w:color="auto"/>
            </w:tcBorders>
            <w:shd w:val="clear" w:color="auto" w:fill="auto"/>
          </w:tcPr>
          <w:p w:rsidR="00664C63" w:rsidRPr="007A07E5" w:rsidRDefault="00664C63" w:rsidP="007A07E5">
            <w:pPr>
              <w:pStyle w:val="Tabletext"/>
            </w:pPr>
          </w:p>
        </w:tc>
      </w:tr>
      <w:tr w:rsidR="00664C63" w:rsidRPr="007A07E5" w:rsidTr="002F08B3">
        <w:tc>
          <w:tcPr>
            <w:tcW w:w="1701" w:type="dxa"/>
            <w:tcBorders>
              <w:bottom w:val="single" w:sz="12" w:space="0" w:color="auto"/>
            </w:tcBorders>
            <w:shd w:val="clear" w:color="auto" w:fill="auto"/>
          </w:tcPr>
          <w:p w:rsidR="00664C63" w:rsidRPr="007A07E5" w:rsidRDefault="00664C63" w:rsidP="007A07E5">
            <w:pPr>
              <w:pStyle w:val="Tabletext"/>
            </w:pPr>
            <w:r w:rsidRPr="007A07E5">
              <w:t xml:space="preserve">3.  </w:t>
            </w:r>
          </w:p>
        </w:tc>
        <w:tc>
          <w:tcPr>
            <w:tcW w:w="3828" w:type="dxa"/>
            <w:tcBorders>
              <w:bottom w:val="single" w:sz="12" w:space="0" w:color="auto"/>
            </w:tcBorders>
            <w:shd w:val="clear" w:color="auto" w:fill="auto"/>
          </w:tcPr>
          <w:p w:rsidR="00664C63" w:rsidRPr="007A07E5" w:rsidRDefault="00664C63" w:rsidP="007A07E5">
            <w:pPr>
              <w:pStyle w:val="Tabletext"/>
            </w:pPr>
          </w:p>
        </w:tc>
        <w:tc>
          <w:tcPr>
            <w:tcW w:w="1582" w:type="dxa"/>
            <w:tcBorders>
              <w:bottom w:val="single" w:sz="12" w:space="0" w:color="auto"/>
            </w:tcBorders>
            <w:shd w:val="clear" w:color="auto" w:fill="auto"/>
          </w:tcPr>
          <w:p w:rsidR="00664C63" w:rsidRPr="007A07E5" w:rsidRDefault="00664C63" w:rsidP="007A07E5">
            <w:pPr>
              <w:pStyle w:val="Tabletext"/>
            </w:pPr>
          </w:p>
        </w:tc>
      </w:tr>
    </w:tbl>
    <w:p w:rsidR="0033411C" w:rsidRPr="007A07E5" w:rsidRDefault="005E7B24" w:rsidP="007A07E5">
      <w:pPr>
        <w:pStyle w:val="ActHead6"/>
        <w:pageBreakBefore/>
      </w:pPr>
      <w:bookmarkStart w:id="1" w:name="_Toc27482456"/>
      <w:bookmarkStart w:id="2" w:name="opcAmSched"/>
      <w:bookmarkStart w:id="3" w:name="opcCurrentFind"/>
      <w:r w:rsidRPr="003061A0">
        <w:rPr>
          <w:rStyle w:val="CharAmSchNo"/>
        </w:rPr>
        <w:lastRenderedPageBreak/>
        <w:t xml:space="preserve">Schedule </w:t>
      </w:r>
      <w:r w:rsidR="0057364A" w:rsidRPr="003061A0">
        <w:rPr>
          <w:rStyle w:val="CharAmSchNo"/>
        </w:rPr>
        <w:t>[1.15]</w:t>
      </w:r>
      <w:r w:rsidRPr="007A07E5">
        <w:t>—</w:t>
      </w:r>
      <w:r w:rsidRPr="003061A0">
        <w:rPr>
          <w:rStyle w:val="CharAmSchText"/>
        </w:rPr>
        <w:t>Enforceab</w:t>
      </w:r>
      <w:r w:rsidR="002B081D" w:rsidRPr="003061A0">
        <w:rPr>
          <w:rStyle w:val="CharAmSchText"/>
        </w:rPr>
        <w:t>l</w:t>
      </w:r>
      <w:r w:rsidRPr="003061A0">
        <w:rPr>
          <w:rStyle w:val="CharAmSchText"/>
        </w:rPr>
        <w:t>e code provisions</w:t>
      </w:r>
      <w:bookmarkEnd w:id="1"/>
    </w:p>
    <w:bookmarkEnd w:id="2"/>
    <w:bookmarkEnd w:id="3"/>
    <w:p w:rsidR="00790B9D" w:rsidRPr="003061A0" w:rsidRDefault="00790B9D" w:rsidP="007A07E5">
      <w:pPr>
        <w:pStyle w:val="Header"/>
      </w:pPr>
      <w:r w:rsidRPr="003061A0">
        <w:rPr>
          <w:rStyle w:val="CharAmPartNo"/>
        </w:rPr>
        <w:t xml:space="preserve"> </w:t>
      </w:r>
      <w:r w:rsidRPr="003061A0">
        <w:rPr>
          <w:rStyle w:val="CharAmPartText"/>
        </w:rPr>
        <w:t xml:space="preserve"> </w:t>
      </w:r>
    </w:p>
    <w:p w:rsidR="002B081D" w:rsidRPr="007A07E5" w:rsidRDefault="002B081D" w:rsidP="007A07E5">
      <w:pPr>
        <w:pStyle w:val="ActHead9"/>
        <w:rPr>
          <w:i w:val="0"/>
        </w:rPr>
      </w:pPr>
      <w:bookmarkStart w:id="4" w:name="_Toc27482457"/>
      <w:r w:rsidRPr="007A07E5">
        <w:t>Corporations Act 2001</w:t>
      </w:r>
      <w:bookmarkEnd w:id="4"/>
    </w:p>
    <w:p w:rsidR="00486198" w:rsidRPr="007A07E5" w:rsidRDefault="00C40409" w:rsidP="007A07E5">
      <w:pPr>
        <w:pStyle w:val="ItemHead"/>
      </w:pPr>
      <w:r w:rsidRPr="007A07E5">
        <w:t>1</w:t>
      </w:r>
      <w:r w:rsidR="00486198" w:rsidRPr="007A07E5">
        <w:t xml:space="preserve">  Section</w:t>
      </w:r>
      <w:r w:rsidR="007A07E5" w:rsidRPr="007A07E5">
        <w:t> </w:t>
      </w:r>
      <w:r w:rsidR="00486198" w:rsidRPr="007A07E5">
        <w:t>9</w:t>
      </w:r>
    </w:p>
    <w:p w:rsidR="00486198" w:rsidRPr="007A07E5" w:rsidRDefault="00486198" w:rsidP="007A07E5">
      <w:pPr>
        <w:pStyle w:val="Item"/>
      </w:pPr>
      <w:r w:rsidRPr="007A07E5">
        <w:t>Insert:</w:t>
      </w:r>
    </w:p>
    <w:p w:rsidR="00486198" w:rsidRPr="007A07E5" w:rsidRDefault="00486198" w:rsidP="007A07E5">
      <w:pPr>
        <w:pStyle w:val="Definition"/>
      </w:pPr>
      <w:r w:rsidRPr="007A07E5">
        <w:rPr>
          <w:b/>
          <w:i/>
        </w:rPr>
        <w:t>approved code of conduct</w:t>
      </w:r>
      <w:r w:rsidRPr="007A07E5">
        <w:t xml:space="preserve"> means a code of conduct approved by ASIC by legislative instrument under section</w:t>
      </w:r>
      <w:r w:rsidR="007A07E5" w:rsidRPr="007A07E5">
        <w:t> </w:t>
      </w:r>
      <w:r w:rsidRPr="007A07E5">
        <w:t>1101A, and includes an approved code of conduct as varied.</w:t>
      </w:r>
    </w:p>
    <w:p w:rsidR="00486198" w:rsidRPr="007A07E5" w:rsidRDefault="00486198" w:rsidP="007A07E5">
      <w:pPr>
        <w:pStyle w:val="Definition"/>
      </w:pPr>
      <w:r w:rsidRPr="007A07E5">
        <w:rPr>
          <w:b/>
          <w:i/>
        </w:rPr>
        <w:t>code of conduct</w:t>
      </w:r>
      <w:r w:rsidRPr="007A07E5">
        <w:t xml:space="preserve"> means a code of conduct that relates to any aspect of the activities of:</w:t>
      </w:r>
    </w:p>
    <w:p w:rsidR="00486198" w:rsidRPr="007A07E5" w:rsidRDefault="00486198" w:rsidP="007A07E5">
      <w:pPr>
        <w:pStyle w:val="paragraph"/>
      </w:pPr>
      <w:r w:rsidRPr="007A07E5">
        <w:tab/>
        <w:t>(a)</w:t>
      </w:r>
      <w:r w:rsidRPr="007A07E5">
        <w:tab/>
        <w:t>financial services licensees; or</w:t>
      </w:r>
    </w:p>
    <w:p w:rsidR="00486198" w:rsidRPr="007A07E5" w:rsidRDefault="00486198" w:rsidP="007A07E5">
      <w:pPr>
        <w:pStyle w:val="paragraph"/>
      </w:pPr>
      <w:r w:rsidRPr="007A07E5">
        <w:tab/>
        <w:t>(b)</w:t>
      </w:r>
      <w:r w:rsidRPr="007A07E5">
        <w:tab/>
        <w:t>authorised representatives of financial services licensees; or</w:t>
      </w:r>
    </w:p>
    <w:p w:rsidR="00486198" w:rsidRPr="007A07E5" w:rsidRDefault="00486198" w:rsidP="007A07E5">
      <w:pPr>
        <w:pStyle w:val="paragraph"/>
      </w:pPr>
      <w:r w:rsidRPr="007A07E5">
        <w:tab/>
        <w:t>(c)</w:t>
      </w:r>
      <w:r w:rsidRPr="007A07E5">
        <w:tab/>
        <w:t>issuers of financial products;</w:t>
      </w:r>
    </w:p>
    <w:p w:rsidR="00486198" w:rsidRPr="007A07E5" w:rsidRDefault="00486198" w:rsidP="007A07E5">
      <w:pPr>
        <w:pStyle w:val="subsection2"/>
      </w:pPr>
      <w:r w:rsidRPr="007A07E5">
        <w:t>being activities in relation to which ASIC has a regulatory responsibility.</w:t>
      </w:r>
    </w:p>
    <w:p w:rsidR="00486198" w:rsidRPr="007A07E5" w:rsidRDefault="00486198" w:rsidP="007A07E5">
      <w:pPr>
        <w:pStyle w:val="Definition"/>
      </w:pPr>
      <w:r w:rsidRPr="007A07E5">
        <w:rPr>
          <w:b/>
          <w:i/>
        </w:rPr>
        <w:t>enforceable code provision</w:t>
      </w:r>
      <w:r w:rsidRPr="007A07E5">
        <w:t xml:space="preserve"> means a provision of an approved code of conduct </w:t>
      </w:r>
      <w:r w:rsidR="00C40409" w:rsidRPr="007A07E5">
        <w:t xml:space="preserve">identified </w:t>
      </w:r>
      <w:r w:rsidRPr="007A07E5">
        <w:t>by ASIC under subsection</w:t>
      </w:r>
      <w:r w:rsidR="007A07E5" w:rsidRPr="007A07E5">
        <w:t> </w:t>
      </w:r>
      <w:r w:rsidRPr="007A07E5">
        <w:t>1101A(</w:t>
      </w:r>
      <w:r w:rsidR="003A50EC" w:rsidRPr="007A07E5">
        <w:t>2</w:t>
      </w:r>
      <w:r w:rsidRPr="007A07E5">
        <w:t>).</w:t>
      </w:r>
    </w:p>
    <w:p w:rsidR="00486198" w:rsidRPr="007A07E5" w:rsidRDefault="00486198" w:rsidP="007A07E5">
      <w:pPr>
        <w:pStyle w:val="Definition"/>
      </w:pPr>
      <w:r w:rsidRPr="007A07E5">
        <w:rPr>
          <w:b/>
          <w:i/>
        </w:rPr>
        <w:t>mandatory code of conduct</w:t>
      </w:r>
      <w:r w:rsidRPr="007A07E5">
        <w:t xml:space="preserve"> means a code of conduct that is declared by regulations under section</w:t>
      </w:r>
      <w:r w:rsidR="007A07E5" w:rsidRPr="007A07E5">
        <w:t> </w:t>
      </w:r>
      <w:r w:rsidRPr="007A07E5">
        <w:t>1101AD to be mandatory.</w:t>
      </w:r>
    </w:p>
    <w:p w:rsidR="00486198" w:rsidRPr="007A07E5" w:rsidRDefault="00486198" w:rsidP="007A07E5">
      <w:pPr>
        <w:pStyle w:val="Definition"/>
      </w:pPr>
      <w:r w:rsidRPr="007A07E5">
        <w:rPr>
          <w:b/>
          <w:i/>
        </w:rPr>
        <w:t>subscriber</w:t>
      </w:r>
      <w:r w:rsidRPr="007A07E5">
        <w:t>, in relation to a code of conduct, means a person or entity that agrees, in a way required by the applicant for the code’s approval, to be bound by the code.</w:t>
      </w:r>
    </w:p>
    <w:p w:rsidR="00486198" w:rsidRPr="007A07E5" w:rsidRDefault="00C40409" w:rsidP="007A07E5">
      <w:pPr>
        <w:pStyle w:val="ItemHead"/>
      </w:pPr>
      <w:r w:rsidRPr="007A07E5">
        <w:t>2</w:t>
      </w:r>
      <w:r w:rsidR="00486198" w:rsidRPr="007A07E5">
        <w:t xml:space="preserve">  </w:t>
      </w:r>
      <w:r w:rsidR="009001E6" w:rsidRPr="007A07E5">
        <w:t>Division</w:t>
      </w:r>
      <w:r w:rsidR="007A07E5" w:rsidRPr="007A07E5">
        <w:t> </w:t>
      </w:r>
      <w:r w:rsidR="009001E6" w:rsidRPr="007A07E5">
        <w:t>2 of Part</w:t>
      </w:r>
      <w:r w:rsidR="007A07E5" w:rsidRPr="007A07E5">
        <w:t> </w:t>
      </w:r>
      <w:r w:rsidR="009001E6" w:rsidRPr="007A07E5">
        <w:t>7.12</w:t>
      </w:r>
      <w:r w:rsidR="00F75D99" w:rsidRPr="007A07E5">
        <w:t xml:space="preserve"> (heading)</w:t>
      </w:r>
    </w:p>
    <w:p w:rsidR="00486198" w:rsidRPr="007A07E5" w:rsidRDefault="009001E6" w:rsidP="007A07E5">
      <w:pPr>
        <w:pStyle w:val="Item"/>
      </w:pPr>
      <w:r w:rsidRPr="007A07E5">
        <w:t>Repeal the heading, substitute</w:t>
      </w:r>
      <w:r w:rsidR="00486198" w:rsidRPr="007A07E5">
        <w:t>:</w:t>
      </w:r>
    </w:p>
    <w:p w:rsidR="00486198" w:rsidRPr="007A07E5" w:rsidRDefault="009001E6" w:rsidP="007A07E5">
      <w:pPr>
        <w:pStyle w:val="ActHead3"/>
      </w:pPr>
      <w:bookmarkStart w:id="5" w:name="_Toc27482458"/>
      <w:r w:rsidRPr="003061A0">
        <w:rPr>
          <w:rStyle w:val="CharDivNo"/>
        </w:rPr>
        <w:t>D</w:t>
      </w:r>
      <w:r w:rsidR="00486198" w:rsidRPr="003061A0">
        <w:rPr>
          <w:rStyle w:val="CharDivNo"/>
        </w:rPr>
        <w:t>ivision</w:t>
      </w:r>
      <w:r w:rsidR="007A07E5" w:rsidRPr="003061A0">
        <w:rPr>
          <w:rStyle w:val="CharDivNo"/>
        </w:rPr>
        <w:t> </w:t>
      </w:r>
      <w:r w:rsidRPr="003061A0">
        <w:rPr>
          <w:rStyle w:val="CharDivNo"/>
        </w:rPr>
        <w:t>2</w:t>
      </w:r>
      <w:r w:rsidR="00486198" w:rsidRPr="007A07E5">
        <w:t>—</w:t>
      </w:r>
      <w:r w:rsidR="00486198" w:rsidRPr="003061A0">
        <w:rPr>
          <w:rStyle w:val="CharDivText"/>
        </w:rPr>
        <w:t>Codes of conduct</w:t>
      </w:r>
      <w:bookmarkEnd w:id="5"/>
    </w:p>
    <w:p w:rsidR="00486198" w:rsidRPr="007A07E5" w:rsidRDefault="00C40409" w:rsidP="007A07E5">
      <w:pPr>
        <w:pStyle w:val="ItemHead"/>
      </w:pPr>
      <w:r w:rsidRPr="007A07E5">
        <w:t>3</w:t>
      </w:r>
      <w:r w:rsidR="00486198" w:rsidRPr="007A07E5">
        <w:t xml:space="preserve">  Section</w:t>
      </w:r>
      <w:r w:rsidR="007A07E5" w:rsidRPr="007A07E5">
        <w:t> </w:t>
      </w:r>
      <w:r w:rsidR="00486198" w:rsidRPr="007A07E5">
        <w:t>1101A</w:t>
      </w:r>
    </w:p>
    <w:p w:rsidR="00486198" w:rsidRPr="007A07E5" w:rsidRDefault="00486198" w:rsidP="007A07E5">
      <w:pPr>
        <w:pStyle w:val="Item"/>
      </w:pPr>
      <w:r w:rsidRPr="007A07E5">
        <w:t>Repeal the section, substitute:</w:t>
      </w:r>
    </w:p>
    <w:p w:rsidR="00486198" w:rsidRPr="007A07E5" w:rsidRDefault="00486198" w:rsidP="007A07E5">
      <w:pPr>
        <w:pStyle w:val="ActHead5"/>
      </w:pPr>
      <w:bookmarkStart w:id="6" w:name="_Toc27482459"/>
      <w:r w:rsidRPr="003061A0">
        <w:rPr>
          <w:rStyle w:val="CharSectno"/>
        </w:rPr>
        <w:t>1101A</w:t>
      </w:r>
      <w:r w:rsidRPr="007A07E5">
        <w:t xml:space="preserve">  Approved codes of conduct</w:t>
      </w:r>
      <w:bookmarkEnd w:id="6"/>
    </w:p>
    <w:p w:rsidR="00486198" w:rsidRPr="007A07E5" w:rsidRDefault="00486198" w:rsidP="007A07E5">
      <w:pPr>
        <w:pStyle w:val="subsection"/>
      </w:pPr>
      <w:r w:rsidRPr="007A07E5">
        <w:tab/>
        <w:t>(1)</w:t>
      </w:r>
      <w:r w:rsidRPr="007A07E5">
        <w:tab/>
        <w:t>If an application is made to approve a code of conduct, ASIC may, by legislative instrument, approve the code of conduct.</w:t>
      </w:r>
    </w:p>
    <w:p w:rsidR="00486198" w:rsidRPr="007A07E5" w:rsidRDefault="00486198" w:rsidP="007A07E5">
      <w:pPr>
        <w:pStyle w:val="subsection"/>
      </w:pPr>
      <w:r w:rsidRPr="007A07E5">
        <w:lastRenderedPageBreak/>
        <w:tab/>
        <w:t>(2)</w:t>
      </w:r>
      <w:r w:rsidRPr="007A07E5">
        <w:tab/>
        <w:t>In the approval, ASIC may identify a provision of the code of conduct as an enforceable code provision if ASIC considers that:</w:t>
      </w:r>
    </w:p>
    <w:p w:rsidR="00A16B29" w:rsidRPr="007A07E5" w:rsidRDefault="00AA0685" w:rsidP="007A07E5">
      <w:pPr>
        <w:pStyle w:val="paragraph"/>
      </w:pPr>
      <w:r w:rsidRPr="007A07E5">
        <w:tab/>
        <w:t>(a)</w:t>
      </w:r>
      <w:r w:rsidRPr="007A07E5">
        <w:tab/>
        <w:t>the provision represents</w:t>
      </w:r>
      <w:r w:rsidR="00A16B29" w:rsidRPr="007A07E5">
        <w:t>:</w:t>
      </w:r>
    </w:p>
    <w:p w:rsidR="00DC2DE0" w:rsidRPr="007A07E5" w:rsidRDefault="00DC2DE0" w:rsidP="007A07E5">
      <w:pPr>
        <w:pStyle w:val="paragraphsub"/>
      </w:pPr>
      <w:r w:rsidRPr="007A07E5">
        <w:tab/>
        <w:t>(i)</w:t>
      </w:r>
      <w:r w:rsidRPr="007A07E5">
        <w:tab/>
        <w:t>a commitment by a subscriber to the code to act in a particular way or in a manner consistent with attaining the objectives of the code; or</w:t>
      </w:r>
    </w:p>
    <w:p w:rsidR="00AA0685" w:rsidRPr="007A07E5" w:rsidRDefault="00A16B29" w:rsidP="007A07E5">
      <w:pPr>
        <w:pStyle w:val="paragraphsub"/>
      </w:pPr>
      <w:r w:rsidRPr="007A07E5">
        <w:tab/>
        <w:t>(ii)</w:t>
      </w:r>
      <w:r w:rsidRPr="007A07E5">
        <w:tab/>
        <w:t xml:space="preserve">a commitment </w:t>
      </w:r>
      <w:r w:rsidR="00CD6BAD" w:rsidRPr="007A07E5">
        <w:t>to a person by a subscriber to the</w:t>
      </w:r>
      <w:r w:rsidR="00AA0685" w:rsidRPr="007A07E5">
        <w:t xml:space="preserve"> code; and</w:t>
      </w:r>
    </w:p>
    <w:p w:rsidR="00CD6BAD" w:rsidRPr="007A07E5" w:rsidRDefault="00CD6BAD" w:rsidP="007A07E5">
      <w:pPr>
        <w:pStyle w:val="paragraph"/>
      </w:pPr>
      <w:r w:rsidRPr="007A07E5">
        <w:tab/>
        <w:t>(b</w:t>
      </w:r>
      <w:r w:rsidR="00486198" w:rsidRPr="007A07E5">
        <w:t>)</w:t>
      </w:r>
      <w:r w:rsidR="00486198" w:rsidRPr="007A07E5">
        <w:tab/>
      </w:r>
      <w:r w:rsidRPr="007A07E5">
        <w:t>either:</w:t>
      </w:r>
    </w:p>
    <w:p w:rsidR="00486198" w:rsidRPr="007A07E5" w:rsidRDefault="00CD6BAD" w:rsidP="007A07E5">
      <w:pPr>
        <w:pStyle w:val="paragraphsub"/>
      </w:pPr>
      <w:r w:rsidRPr="007A07E5">
        <w:tab/>
        <w:t>(i)</w:t>
      </w:r>
      <w:r w:rsidRPr="007A07E5">
        <w:tab/>
      </w:r>
      <w:r w:rsidR="00486198" w:rsidRPr="007A07E5">
        <w:t xml:space="preserve">a breach of the provision could result in significant detriment to </w:t>
      </w:r>
      <w:r w:rsidRPr="007A07E5">
        <w:t>the</w:t>
      </w:r>
      <w:r w:rsidR="00486198" w:rsidRPr="007A07E5">
        <w:t xml:space="preserve"> person; or</w:t>
      </w:r>
    </w:p>
    <w:p w:rsidR="00486198" w:rsidRPr="007A07E5" w:rsidRDefault="00CD6BAD" w:rsidP="007A07E5">
      <w:pPr>
        <w:pStyle w:val="paragraphsub"/>
      </w:pPr>
      <w:r w:rsidRPr="007A07E5">
        <w:tab/>
        <w:t>(ii</w:t>
      </w:r>
      <w:r w:rsidR="00677541" w:rsidRPr="007A07E5">
        <w:t>)</w:t>
      </w:r>
      <w:r w:rsidR="00677541" w:rsidRPr="007A07E5">
        <w:tab/>
        <w:t>a breach of the provision c</w:t>
      </w:r>
      <w:r w:rsidR="00486198" w:rsidRPr="007A07E5">
        <w:t>ould significantly undermine the confidence of the Australian public, or a section of the Australian public, in</w:t>
      </w:r>
      <w:r w:rsidRPr="007A07E5">
        <w:t xml:space="preserve"> </w:t>
      </w:r>
      <w:r w:rsidR="00486198" w:rsidRPr="007A07E5">
        <w:t>the provision of financia</w:t>
      </w:r>
      <w:r w:rsidRPr="007A07E5">
        <w:t>l services in this jurisdiction</w:t>
      </w:r>
      <w:r w:rsidR="00486198" w:rsidRPr="007A07E5">
        <w:t xml:space="preserve"> or</w:t>
      </w:r>
      <w:r w:rsidRPr="007A07E5">
        <w:t xml:space="preserve"> </w:t>
      </w:r>
      <w:r w:rsidR="00486198" w:rsidRPr="007A07E5">
        <w:t>those who provide financial services in this jurisdiction.</w:t>
      </w:r>
    </w:p>
    <w:p w:rsidR="00486198" w:rsidRPr="007A07E5" w:rsidRDefault="00486198" w:rsidP="007A07E5">
      <w:pPr>
        <w:pStyle w:val="subsection"/>
      </w:pPr>
      <w:r w:rsidRPr="007A07E5">
        <w:tab/>
        <w:t>(3)</w:t>
      </w:r>
      <w:r w:rsidRPr="007A07E5">
        <w:tab/>
        <w:t>ASIC must not approve a code of conduct unless it is satisfied that:</w:t>
      </w:r>
    </w:p>
    <w:p w:rsidR="00677541" w:rsidRPr="007A07E5" w:rsidRDefault="00677541" w:rsidP="007A07E5">
      <w:pPr>
        <w:pStyle w:val="paragraph"/>
      </w:pPr>
      <w:r w:rsidRPr="007A07E5">
        <w:tab/>
        <w:t>(a)</w:t>
      </w:r>
      <w:r w:rsidRPr="007A07E5">
        <w:tab/>
        <w:t>to the extent that the code is inconsistent with this Act or any other law of the Commonwealth under which ASIC has regulatory responsibilities—the code imposes an obligation on a subscriber that is more onerous than that imposed by this Act or any other law of the Commonwealth under which ASIC has regulatory responsibilities; and</w:t>
      </w:r>
    </w:p>
    <w:p w:rsidR="00486198" w:rsidRPr="007A07E5" w:rsidRDefault="00486198" w:rsidP="007A07E5">
      <w:pPr>
        <w:pStyle w:val="paragraph"/>
      </w:pPr>
      <w:r w:rsidRPr="007A07E5">
        <w:tab/>
        <w:t>(b)</w:t>
      </w:r>
      <w:r w:rsidRPr="007A07E5">
        <w:tab/>
        <w:t>each enforceable code provision is legally effective; and</w:t>
      </w:r>
    </w:p>
    <w:p w:rsidR="00486198" w:rsidRPr="007A07E5" w:rsidRDefault="00486198" w:rsidP="007A07E5">
      <w:pPr>
        <w:pStyle w:val="paragraph"/>
      </w:pPr>
      <w:r w:rsidRPr="007A07E5">
        <w:tab/>
        <w:t>(c)</w:t>
      </w:r>
      <w:r w:rsidRPr="007A07E5">
        <w:tab/>
        <w:t>it is appropriate to approve the code, having regard to the following matters:</w:t>
      </w:r>
    </w:p>
    <w:p w:rsidR="00486198" w:rsidRPr="007A07E5" w:rsidRDefault="00486198" w:rsidP="007A07E5">
      <w:pPr>
        <w:pStyle w:val="paragraphsub"/>
      </w:pPr>
      <w:r w:rsidRPr="007A07E5">
        <w:tab/>
        <w:t>(i)</w:t>
      </w:r>
      <w:r w:rsidRPr="007A07E5">
        <w:tab/>
        <w:t>whether the obligations of subscribers to the code are capable of being enforced;</w:t>
      </w:r>
    </w:p>
    <w:p w:rsidR="00486198" w:rsidRPr="007A07E5" w:rsidRDefault="00486198" w:rsidP="007A07E5">
      <w:pPr>
        <w:pStyle w:val="paragraphsub"/>
      </w:pPr>
      <w:r w:rsidRPr="007A07E5">
        <w:tab/>
        <w:t>(ii)</w:t>
      </w:r>
      <w:r w:rsidRPr="007A07E5">
        <w:tab/>
        <w:t>whether all members</w:t>
      </w:r>
      <w:r w:rsidR="00B242E0" w:rsidRPr="007A07E5">
        <w:t xml:space="preserve"> (within the ordinary meaning of the expression)</w:t>
      </w:r>
      <w:r w:rsidRPr="007A07E5">
        <w:t xml:space="preserve"> of the applicant who provide financial services covered by the code are likely to become subscribers to the code;</w:t>
      </w:r>
    </w:p>
    <w:p w:rsidR="00486198" w:rsidRPr="007A07E5" w:rsidRDefault="00486198" w:rsidP="007A07E5">
      <w:pPr>
        <w:pStyle w:val="paragraphsub"/>
      </w:pPr>
      <w:r w:rsidRPr="007A07E5">
        <w:tab/>
        <w:t>(iii)</w:t>
      </w:r>
      <w:r w:rsidRPr="007A07E5">
        <w:tab/>
        <w:t>whether other persons or entities providing financial services covered by the code are likely to become subscribers to the code;</w:t>
      </w:r>
    </w:p>
    <w:p w:rsidR="00486198" w:rsidRPr="007A07E5" w:rsidRDefault="00486198" w:rsidP="007A07E5">
      <w:pPr>
        <w:pStyle w:val="paragraphsub"/>
      </w:pPr>
      <w:r w:rsidRPr="007A07E5">
        <w:tab/>
        <w:t>(iv)</w:t>
      </w:r>
      <w:r w:rsidRPr="007A07E5">
        <w:tab/>
        <w:t>whether the applicant has effective administrative systems for monitoring compliance with the code and making information obtained as a result of monitoring publicly available;</w:t>
      </w:r>
    </w:p>
    <w:p w:rsidR="00486198" w:rsidRPr="007A07E5" w:rsidRDefault="00486198" w:rsidP="007A07E5">
      <w:pPr>
        <w:pStyle w:val="paragraphsub"/>
      </w:pPr>
      <w:r w:rsidRPr="007A07E5">
        <w:lastRenderedPageBreak/>
        <w:tab/>
        <w:t>(v)</w:t>
      </w:r>
      <w:r w:rsidRPr="007A07E5">
        <w:tab/>
        <w:t>whether the applicant has effective administrative systems for maintaining, and making publicly available, an accurate list of subscribers to the code;</w:t>
      </w:r>
    </w:p>
    <w:p w:rsidR="00486198" w:rsidRPr="007A07E5" w:rsidRDefault="00486198" w:rsidP="007A07E5">
      <w:pPr>
        <w:pStyle w:val="paragraphsub"/>
      </w:pPr>
      <w:r w:rsidRPr="007A07E5">
        <w:tab/>
        <w:t>(vi)</w:t>
      </w:r>
      <w:r w:rsidRPr="007A07E5">
        <w:tab/>
        <w:t>any other matters that ASIC considers relevant.</w:t>
      </w:r>
    </w:p>
    <w:p w:rsidR="00486198" w:rsidRPr="007A07E5" w:rsidRDefault="00486198" w:rsidP="007A07E5">
      <w:pPr>
        <w:pStyle w:val="subsection"/>
      </w:pPr>
      <w:r w:rsidRPr="007A07E5">
        <w:tab/>
        <w:t>(4)</w:t>
      </w:r>
      <w:r w:rsidRPr="007A07E5">
        <w:tab/>
        <w:t>ASIC may, by legislative instrument, revoke an approval of an approved code of conduct:</w:t>
      </w:r>
    </w:p>
    <w:p w:rsidR="00486198" w:rsidRPr="007A07E5" w:rsidRDefault="00486198" w:rsidP="007A07E5">
      <w:pPr>
        <w:pStyle w:val="paragraph"/>
      </w:pPr>
      <w:r w:rsidRPr="007A07E5">
        <w:tab/>
        <w:t>(a)</w:t>
      </w:r>
      <w:r w:rsidRPr="007A07E5">
        <w:tab/>
        <w:t>on application by the applicant for the approval; or</w:t>
      </w:r>
    </w:p>
    <w:p w:rsidR="00486198" w:rsidRPr="007A07E5" w:rsidRDefault="00486198" w:rsidP="007A07E5">
      <w:pPr>
        <w:pStyle w:val="paragraph"/>
      </w:pPr>
      <w:r w:rsidRPr="007A07E5">
        <w:tab/>
        <w:t>(b)</w:t>
      </w:r>
      <w:r w:rsidRPr="007A07E5">
        <w:tab/>
        <w:t xml:space="preserve">if ASIC ceases to be satisfied of the matters mentioned in </w:t>
      </w:r>
      <w:r w:rsidR="007A07E5" w:rsidRPr="007A07E5">
        <w:t>subsection (</w:t>
      </w:r>
      <w:r w:rsidRPr="007A07E5">
        <w:t>3); or</w:t>
      </w:r>
    </w:p>
    <w:p w:rsidR="00486198" w:rsidRPr="007A07E5" w:rsidRDefault="00486198" w:rsidP="007A07E5">
      <w:pPr>
        <w:pStyle w:val="paragraph"/>
      </w:pPr>
      <w:r w:rsidRPr="007A07E5">
        <w:tab/>
        <w:t>(c)</w:t>
      </w:r>
      <w:r w:rsidRPr="007A07E5">
        <w:tab/>
        <w:t>if a review of the operation of the code is not completed by the applicant within the timeframe required by section</w:t>
      </w:r>
      <w:r w:rsidR="007A07E5" w:rsidRPr="007A07E5">
        <w:t> </w:t>
      </w:r>
      <w:r w:rsidRPr="007A07E5">
        <w:t>1101AB.</w:t>
      </w:r>
    </w:p>
    <w:p w:rsidR="00486198" w:rsidRPr="007A07E5" w:rsidRDefault="00486198" w:rsidP="007A07E5">
      <w:pPr>
        <w:pStyle w:val="subsection"/>
      </w:pPr>
      <w:r w:rsidRPr="007A07E5">
        <w:tab/>
        <w:t>(5)</w:t>
      </w:r>
      <w:r w:rsidRPr="007A07E5">
        <w:tab/>
      </w:r>
      <w:r w:rsidR="007A07E5" w:rsidRPr="007A07E5">
        <w:t>Subsection (</w:t>
      </w:r>
      <w:r w:rsidRPr="007A07E5">
        <w:t>4) does not, by implication, limit the application of subsection</w:t>
      </w:r>
      <w:r w:rsidR="007A07E5" w:rsidRPr="007A07E5">
        <w:t> </w:t>
      </w:r>
      <w:r w:rsidRPr="007A07E5">
        <w:t xml:space="preserve">33(3) of the </w:t>
      </w:r>
      <w:r w:rsidRPr="007A07E5">
        <w:rPr>
          <w:i/>
        </w:rPr>
        <w:t>Acts Interpretation Act 1901</w:t>
      </w:r>
      <w:r w:rsidRPr="007A07E5">
        <w:t>.</w:t>
      </w:r>
    </w:p>
    <w:p w:rsidR="00486198" w:rsidRPr="007A07E5" w:rsidRDefault="00486198" w:rsidP="007A07E5">
      <w:pPr>
        <w:pStyle w:val="ActHead5"/>
      </w:pPr>
      <w:bookmarkStart w:id="7" w:name="_Toc27482460"/>
      <w:r w:rsidRPr="003061A0">
        <w:rPr>
          <w:rStyle w:val="CharSectno"/>
        </w:rPr>
        <w:t>1101AA</w:t>
      </w:r>
      <w:r w:rsidRPr="007A07E5">
        <w:t xml:space="preserve">  Variations to approved codes of conduct</w:t>
      </w:r>
      <w:bookmarkEnd w:id="7"/>
    </w:p>
    <w:p w:rsidR="00486198" w:rsidRPr="007A07E5" w:rsidRDefault="00486198" w:rsidP="007A07E5">
      <w:pPr>
        <w:pStyle w:val="subsection"/>
      </w:pPr>
      <w:r w:rsidRPr="007A07E5">
        <w:tab/>
        <w:t>(1)</w:t>
      </w:r>
      <w:r w:rsidRPr="007A07E5">
        <w:tab/>
        <w:t>If an application is made to vary an approved code of conduct, ASIC may, by legislative instrument, approve the variation.</w:t>
      </w:r>
    </w:p>
    <w:p w:rsidR="00B242E0" w:rsidRPr="007A07E5" w:rsidRDefault="00B242E0" w:rsidP="007A07E5">
      <w:pPr>
        <w:pStyle w:val="subsection"/>
      </w:pPr>
      <w:r w:rsidRPr="007A07E5">
        <w:tab/>
        <w:t>(2)</w:t>
      </w:r>
      <w:r w:rsidRPr="007A07E5">
        <w:tab/>
        <w:t>Subsections</w:t>
      </w:r>
      <w:r w:rsidR="007A07E5" w:rsidRPr="007A07E5">
        <w:t> </w:t>
      </w:r>
      <w:r w:rsidRPr="007A07E5">
        <w:t xml:space="preserve">1101A(2) and (3) apply in relation to an application under </w:t>
      </w:r>
      <w:r w:rsidR="007A07E5" w:rsidRPr="007A07E5">
        <w:t>subsection (</w:t>
      </w:r>
      <w:r w:rsidRPr="007A07E5">
        <w:t>1) as if it were an application to approve a code of conduct.</w:t>
      </w:r>
    </w:p>
    <w:p w:rsidR="00486198" w:rsidRPr="007A07E5" w:rsidRDefault="00486198" w:rsidP="007A07E5">
      <w:pPr>
        <w:pStyle w:val="ActHead5"/>
      </w:pPr>
      <w:bookmarkStart w:id="8" w:name="_Toc27482461"/>
      <w:r w:rsidRPr="003061A0">
        <w:rPr>
          <w:rStyle w:val="CharSectno"/>
        </w:rPr>
        <w:t>1101AB</w:t>
      </w:r>
      <w:r w:rsidRPr="007A07E5">
        <w:t xml:space="preserve">  Review of approved codes of conduct</w:t>
      </w:r>
      <w:bookmarkEnd w:id="8"/>
    </w:p>
    <w:p w:rsidR="00486198" w:rsidRPr="007A07E5" w:rsidRDefault="00486198" w:rsidP="007A07E5">
      <w:pPr>
        <w:pStyle w:val="subsection"/>
      </w:pPr>
      <w:r w:rsidRPr="007A07E5">
        <w:tab/>
        <w:t>(1)</w:t>
      </w:r>
      <w:r w:rsidRPr="007A07E5">
        <w:tab/>
        <w:t>The applicant, in relation to an approved code of conduct, must ensure that, every 5 years, an independent review is undertaken of the operation of the approved code of conduct.</w:t>
      </w:r>
    </w:p>
    <w:p w:rsidR="00486198" w:rsidRPr="007A07E5" w:rsidRDefault="00486198" w:rsidP="007A07E5">
      <w:pPr>
        <w:pStyle w:val="subsection"/>
      </w:pPr>
      <w:r w:rsidRPr="007A07E5">
        <w:tab/>
        <w:t>(2)</w:t>
      </w:r>
      <w:r w:rsidRPr="007A07E5">
        <w:tab/>
        <w:t xml:space="preserve">A review under </w:t>
      </w:r>
      <w:r w:rsidR="007A07E5" w:rsidRPr="007A07E5">
        <w:t>subsection (</w:t>
      </w:r>
      <w:r w:rsidRPr="007A07E5">
        <w:t>1) must make provision for public consultation.</w:t>
      </w:r>
    </w:p>
    <w:p w:rsidR="00486198" w:rsidRPr="007A07E5" w:rsidRDefault="00486198" w:rsidP="007A07E5">
      <w:pPr>
        <w:pStyle w:val="subsection"/>
      </w:pPr>
      <w:r w:rsidRPr="007A07E5">
        <w:tab/>
        <w:t>(3)</w:t>
      </w:r>
      <w:r w:rsidRPr="007A07E5">
        <w:tab/>
        <w:t>A review of an approved code of conduct must be completed:</w:t>
      </w:r>
    </w:p>
    <w:p w:rsidR="00486198" w:rsidRPr="007A07E5" w:rsidRDefault="00486198" w:rsidP="007A07E5">
      <w:pPr>
        <w:pStyle w:val="paragraph"/>
      </w:pPr>
      <w:r w:rsidRPr="007A07E5">
        <w:tab/>
        <w:t>(a)</w:t>
      </w:r>
      <w:r w:rsidRPr="007A07E5">
        <w:tab/>
        <w:t>for the first review—before the end of the 5 year period beginning on the day the code of conduct was approved; and</w:t>
      </w:r>
    </w:p>
    <w:p w:rsidR="00486198" w:rsidRPr="007A07E5" w:rsidRDefault="00486198" w:rsidP="007A07E5">
      <w:pPr>
        <w:pStyle w:val="paragraph"/>
      </w:pPr>
      <w:r w:rsidRPr="007A07E5">
        <w:tab/>
        <w:t>(b)</w:t>
      </w:r>
      <w:r w:rsidRPr="007A07E5">
        <w:tab/>
        <w:t>for a subsequent review—within 5 years after the completion of the previous review.</w:t>
      </w:r>
    </w:p>
    <w:p w:rsidR="00486198" w:rsidRPr="007A07E5" w:rsidRDefault="00486198" w:rsidP="007A07E5">
      <w:pPr>
        <w:pStyle w:val="subsection"/>
      </w:pPr>
      <w:r w:rsidRPr="007A07E5">
        <w:tab/>
        <w:t>(4)</w:t>
      </w:r>
      <w:r w:rsidRPr="007A07E5">
        <w:tab/>
        <w:t>For the purposes of this section, a review is completed when a report of the review is given to ASIC.</w:t>
      </w:r>
    </w:p>
    <w:p w:rsidR="00486198" w:rsidRPr="007A07E5" w:rsidRDefault="00486198" w:rsidP="007A07E5">
      <w:pPr>
        <w:pStyle w:val="subsection"/>
      </w:pPr>
      <w:r w:rsidRPr="007A07E5">
        <w:lastRenderedPageBreak/>
        <w:tab/>
        <w:t>(5)</w:t>
      </w:r>
      <w:r w:rsidRPr="007A07E5">
        <w:tab/>
        <w:t>Within 10 business days of completing a review, the applicant must publish the report of the review on its website.</w:t>
      </w:r>
    </w:p>
    <w:p w:rsidR="00486198" w:rsidRPr="007A07E5" w:rsidRDefault="00486198" w:rsidP="007A07E5">
      <w:pPr>
        <w:pStyle w:val="ActHead5"/>
      </w:pPr>
      <w:bookmarkStart w:id="9" w:name="_Toc27482462"/>
      <w:r w:rsidRPr="003061A0">
        <w:rPr>
          <w:rStyle w:val="CharSectno"/>
        </w:rPr>
        <w:t>1101AC</w:t>
      </w:r>
      <w:r w:rsidRPr="007A07E5">
        <w:t xml:space="preserve">  Obligation to comply with enforceable code provisions</w:t>
      </w:r>
      <w:bookmarkEnd w:id="9"/>
    </w:p>
    <w:p w:rsidR="00486198" w:rsidRPr="007A07E5" w:rsidRDefault="00486198" w:rsidP="007A07E5">
      <w:pPr>
        <w:pStyle w:val="subsection"/>
      </w:pPr>
      <w:r w:rsidRPr="007A07E5">
        <w:tab/>
      </w:r>
      <w:r w:rsidRPr="007A07E5">
        <w:tab/>
        <w:t>If a person holds out that they comply with an approved code of conduct, the person must not breach an enforceable code provision of the approved code of conduct.</w:t>
      </w:r>
    </w:p>
    <w:p w:rsidR="00486198" w:rsidRPr="007A07E5" w:rsidRDefault="00486198" w:rsidP="007A07E5">
      <w:pPr>
        <w:pStyle w:val="Penalty"/>
      </w:pPr>
      <w:r w:rsidRPr="007A07E5">
        <w:t>Civil penalty:</w:t>
      </w:r>
      <w:r w:rsidRPr="007A07E5">
        <w:tab/>
        <w:t>300 penalty units.</w:t>
      </w:r>
    </w:p>
    <w:p w:rsidR="00486198" w:rsidRPr="007A07E5" w:rsidRDefault="00486198" w:rsidP="007A07E5">
      <w:pPr>
        <w:pStyle w:val="ActHead5"/>
      </w:pPr>
      <w:r w:rsidRPr="003061A0">
        <w:rPr>
          <w:rStyle w:val="CharSectno"/>
        </w:rPr>
        <w:t>1101AD</w:t>
      </w:r>
      <w:r w:rsidRPr="007A07E5">
        <w:t xml:space="preserve">  Mandatory codes of conduct</w:t>
      </w:r>
    </w:p>
    <w:p w:rsidR="00486198" w:rsidRPr="007A07E5" w:rsidRDefault="00486198" w:rsidP="007A07E5">
      <w:pPr>
        <w:pStyle w:val="subsection"/>
      </w:pPr>
      <w:r w:rsidRPr="007A07E5">
        <w:tab/>
        <w:t>(1)</w:t>
      </w:r>
      <w:r w:rsidRPr="007A07E5">
        <w:tab/>
        <w:t>The regulations may prescribe a code of conduct for the purposes of this Subdivision and declare it to be a mandatory code of conduct.</w:t>
      </w:r>
    </w:p>
    <w:p w:rsidR="00486198" w:rsidRPr="007A07E5" w:rsidRDefault="00486198" w:rsidP="007A07E5">
      <w:pPr>
        <w:pStyle w:val="subsection"/>
      </w:pPr>
      <w:r w:rsidRPr="007A07E5">
        <w:tab/>
        <w:t>(2)</w:t>
      </w:r>
      <w:r w:rsidRPr="007A07E5">
        <w:tab/>
        <w:t>Regulations declaring a code of conduct a mandatory code of conduct may also:</w:t>
      </w:r>
    </w:p>
    <w:p w:rsidR="00486198" w:rsidRPr="007A07E5" w:rsidRDefault="00486198" w:rsidP="007A07E5">
      <w:pPr>
        <w:pStyle w:val="paragraph"/>
      </w:pPr>
      <w:r w:rsidRPr="007A07E5">
        <w:tab/>
        <w:t>(a)</w:t>
      </w:r>
      <w:r w:rsidRPr="007A07E5">
        <w:tab/>
        <w:t>confer functions and powers on a person or body for the purposes of:</w:t>
      </w:r>
    </w:p>
    <w:p w:rsidR="00486198" w:rsidRPr="007A07E5" w:rsidRDefault="00486198" w:rsidP="007A07E5">
      <w:pPr>
        <w:pStyle w:val="paragraphsub"/>
      </w:pPr>
      <w:r w:rsidRPr="007A07E5">
        <w:tab/>
        <w:t>(i)</w:t>
      </w:r>
      <w:r w:rsidRPr="007A07E5">
        <w:tab/>
        <w:t>monitoring compliance with the code of conduct; and</w:t>
      </w:r>
    </w:p>
    <w:p w:rsidR="00486198" w:rsidRPr="007A07E5" w:rsidRDefault="00486198" w:rsidP="007A07E5">
      <w:pPr>
        <w:pStyle w:val="paragraphsub"/>
      </w:pPr>
      <w:r w:rsidRPr="007A07E5">
        <w:tab/>
        <w:t>(ii)</w:t>
      </w:r>
      <w:r w:rsidRPr="007A07E5">
        <w:tab/>
        <w:t>dealing with disputes or complaints arising under, or in relation to, the code of conduct; and</w:t>
      </w:r>
    </w:p>
    <w:p w:rsidR="00486198" w:rsidRPr="007A07E5" w:rsidRDefault="00486198" w:rsidP="007A07E5">
      <w:pPr>
        <w:pStyle w:val="paragraphsub"/>
      </w:pPr>
      <w:r w:rsidRPr="007A07E5">
        <w:tab/>
        <w:t>(iii)</w:t>
      </w:r>
      <w:r w:rsidRPr="007A07E5">
        <w:tab/>
        <w:t>dealing with other associated administrative matters; or</w:t>
      </w:r>
    </w:p>
    <w:p w:rsidR="00486198" w:rsidRPr="007A07E5" w:rsidRDefault="00486198" w:rsidP="007A07E5">
      <w:pPr>
        <w:pStyle w:val="paragraph"/>
      </w:pPr>
      <w:r w:rsidRPr="007A07E5">
        <w:tab/>
        <w:t>(b)</w:t>
      </w:r>
      <w:r w:rsidRPr="007A07E5">
        <w:tab/>
        <w:t>provide for and in relation to:</w:t>
      </w:r>
    </w:p>
    <w:p w:rsidR="00486198" w:rsidRPr="007A07E5" w:rsidRDefault="00486198" w:rsidP="007A07E5">
      <w:pPr>
        <w:pStyle w:val="paragraphsub"/>
      </w:pPr>
      <w:r w:rsidRPr="007A07E5">
        <w:tab/>
        <w:t>(i)</w:t>
      </w:r>
      <w:r w:rsidRPr="007A07E5">
        <w:tab/>
        <w:t>the keeping of records by persons bound by the code of conduct; and</w:t>
      </w:r>
    </w:p>
    <w:p w:rsidR="00486198" w:rsidRPr="007A07E5" w:rsidRDefault="00486198" w:rsidP="007A07E5">
      <w:pPr>
        <w:pStyle w:val="paragraphsub"/>
      </w:pPr>
      <w:r w:rsidRPr="007A07E5">
        <w:tab/>
        <w:t>(ii)</w:t>
      </w:r>
      <w:r w:rsidRPr="007A07E5">
        <w:tab/>
        <w:t>reporting obligations of such persons.</w:t>
      </w:r>
    </w:p>
    <w:p w:rsidR="00486198" w:rsidRPr="007A07E5" w:rsidRDefault="00486198" w:rsidP="007A07E5">
      <w:pPr>
        <w:pStyle w:val="subsection"/>
      </w:pPr>
      <w:r w:rsidRPr="007A07E5">
        <w:tab/>
        <w:t>(3)</w:t>
      </w:r>
      <w:r w:rsidRPr="007A07E5">
        <w:tab/>
        <w:t>If regulations prescribe a code of conduct, the code of conduct may prescribe pecuniary penalties not exceeding 1,000 penalty units for civil penalty provisions of the code of conduct.</w:t>
      </w:r>
    </w:p>
    <w:p w:rsidR="00486198" w:rsidRPr="007A07E5" w:rsidRDefault="00486198" w:rsidP="007A07E5">
      <w:pPr>
        <w:pStyle w:val="subsection"/>
      </w:pPr>
      <w:r w:rsidRPr="007A07E5">
        <w:tab/>
        <w:t>(4)</w:t>
      </w:r>
      <w:r w:rsidRPr="007A07E5">
        <w:tab/>
      </w:r>
      <w:r w:rsidR="00D26EF0" w:rsidRPr="007A07E5">
        <w:t>To avoid doubt, s</w:t>
      </w:r>
      <w:r w:rsidRPr="007A07E5">
        <w:t>ubsections</w:t>
      </w:r>
      <w:r w:rsidR="007A07E5" w:rsidRPr="007A07E5">
        <w:t> </w:t>
      </w:r>
      <w:r w:rsidRPr="007A07E5">
        <w:t>1317G(3) and (4) do not apply in relation to the contravention of a civil penalty provision of a mandatory code of conduct.</w:t>
      </w:r>
    </w:p>
    <w:p w:rsidR="00486198" w:rsidRPr="007A07E5" w:rsidRDefault="00486198" w:rsidP="007A07E5">
      <w:pPr>
        <w:pStyle w:val="ActHead5"/>
      </w:pPr>
      <w:bookmarkStart w:id="10" w:name="_Toc27482464"/>
      <w:r w:rsidRPr="003061A0">
        <w:rPr>
          <w:rStyle w:val="CharSectno"/>
        </w:rPr>
        <w:t>1101AE</w:t>
      </w:r>
      <w:r w:rsidRPr="007A07E5">
        <w:t xml:space="preserve">  Obligation to comply with mandatory code of conduct</w:t>
      </w:r>
      <w:bookmarkEnd w:id="10"/>
    </w:p>
    <w:p w:rsidR="00F75D99" w:rsidRPr="007A07E5" w:rsidRDefault="00486198" w:rsidP="007A07E5">
      <w:pPr>
        <w:pStyle w:val="subsection"/>
      </w:pPr>
      <w:r w:rsidRPr="007A07E5">
        <w:tab/>
      </w:r>
      <w:r w:rsidRPr="007A07E5">
        <w:tab/>
        <w:t>A person must not contravene a mandatory code of conduct.</w:t>
      </w:r>
      <w:bookmarkStart w:id="11" w:name="_Toc27482465"/>
    </w:p>
    <w:p w:rsidR="00486198" w:rsidRPr="007A07E5" w:rsidRDefault="009001E6" w:rsidP="007A07E5">
      <w:pPr>
        <w:pStyle w:val="ActHead3"/>
      </w:pPr>
      <w:r w:rsidRPr="003061A0">
        <w:rPr>
          <w:rStyle w:val="CharDivNo"/>
        </w:rPr>
        <w:lastRenderedPageBreak/>
        <w:t>D</w:t>
      </w:r>
      <w:r w:rsidR="00486198" w:rsidRPr="003061A0">
        <w:rPr>
          <w:rStyle w:val="CharDivNo"/>
        </w:rPr>
        <w:t>ivision</w:t>
      </w:r>
      <w:r w:rsidR="007A07E5" w:rsidRPr="003061A0">
        <w:rPr>
          <w:rStyle w:val="CharDivNo"/>
        </w:rPr>
        <w:t> </w:t>
      </w:r>
      <w:r w:rsidRPr="003061A0">
        <w:rPr>
          <w:rStyle w:val="CharDivNo"/>
        </w:rPr>
        <w:t>3</w:t>
      </w:r>
      <w:r w:rsidR="00486198" w:rsidRPr="007A07E5">
        <w:t>—</w:t>
      </w:r>
      <w:r w:rsidRPr="003061A0">
        <w:rPr>
          <w:rStyle w:val="CharDivText"/>
        </w:rPr>
        <w:t>Other matters</w:t>
      </w:r>
      <w:bookmarkEnd w:id="11"/>
    </w:p>
    <w:p w:rsidR="006B4F69" w:rsidRPr="007A07E5" w:rsidRDefault="00C40409" w:rsidP="007A07E5">
      <w:pPr>
        <w:pStyle w:val="ItemHead"/>
      </w:pPr>
      <w:r w:rsidRPr="007A07E5">
        <w:t>4</w:t>
      </w:r>
      <w:r w:rsidR="006B4F69" w:rsidRPr="007A07E5">
        <w:t xml:space="preserve">  After paragraph</w:t>
      </w:r>
      <w:r w:rsidR="007A07E5" w:rsidRPr="007A07E5">
        <w:t> </w:t>
      </w:r>
      <w:r w:rsidR="006B4F69" w:rsidRPr="007A07E5">
        <w:t>1101B(4)(d)</w:t>
      </w:r>
    </w:p>
    <w:p w:rsidR="006B4F69" w:rsidRPr="007A07E5" w:rsidRDefault="006B4F69" w:rsidP="007A07E5">
      <w:pPr>
        <w:pStyle w:val="Item"/>
      </w:pPr>
      <w:r w:rsidRPr="007A07E5">
        <w:t>Insert:</w:t>
      </w:r>
    </w:p>
    <w:p w:rsidR="006B4F69" w:rsidRPr="007A07E5" w:rsidRDefault="006B4F69" w:rsidP="007A07E5">
      <w:pPr>
        <w:pStyle w:val="paragraph"/>
      </w:pPr>
      <w:r w:rsidRPr="007A07E5">
        <w:tab/>
        <w:t>(da)</w:t>
      </w:r>
      <w:r w:rsidRPr="007A07E5">
        <w:tab/>
        <w:t>if a person’s conduct relates to the contravention of an enforceable code provision or a civil penalty provision of a mandatory code</w:t>
      </w:r>
      <w:r w:rsidR="009347BD">
        <w:t xml:space="preserve"> of conduct</w:t>
      </w:r>
      <w:r w:rsidRPr="007A07E5">
        <w:t>—an order directing the person to perform a service specified in the order, and relating to the conduct, for the benefit of the community or a section of the community; or</w:t>
      </w:r>
    </w:p>
    <w:p w:rsidR="006B4F69" w:rsidRPr="007A07E5" w:rsidRDefault="006B4F69" w:rsidP="007A07E5">
      <w:pPr>
        <w:pStyle w:val="paragraph"/>
      </w:pPr>
      <w:r w:rsidRPr="007A07E5">
        <w:tab/>
        <w:t>(db)</w:t>
      </w:r>
      <w:r w:rsidRPr="007A07E5">
        <w:tab/>
        <w:t>if a person’s conduct relates to the contravention of an enforceable code provision or a civil penalty provision of a mandatory code</w:t>
      </w:r>
      <w:r w:rsidR="009347BD">
        <w:t xml:space="preserve"> of conduct</w:t>
      </w:r>
      <w:r w:rsidRPr="007A07E5">
        <w:t>—an order for the purpose of ensuring that the person does not engage in the conduct, similar conduct, or related conduct, during the period of the order (which must not be longer than 3 years), including:</w:t>
      </w:r>
    </w:p>
    <w:p w:rsidR="006B4F69" w:rsidRPr="007A07E5" w:rsidRDefault="006B4F69" w:rsidP="007A07E5">
      <w:pPr>
        <w:pStyle w:val="paragraphsub"/>
      </w:pPr>
      <w:r w:rsidRPr="007A07E5">
        <w:tab/>
        <w:t>(i)</w:t>
      </w:r>
      <w:r w:rsidRPr="007A07E5">
        <w:tab/>
        <w:t>an order directing the person to establish a compliance program for employees or other persons involved in the person’s business, being a program designed to ensure their awareness of the responsibilities and obligations in relation to such conduct; and</w:t>
      </w:r>
    </w:p>
    <w:p w:rsidR="006B4F69" w:rsidRPr="007A07E5" w:rsidRDefault="006B4F69" w:rsidP="007A07E5">
      <w:pPr>
        <w:pStyle w:val="paragraphsub"/>
      </w:pPr>
      <w:r w:rsidRPr="007A07E5">
        <w:tab/>
        <w:t>(ii)</w:t>
      </w:r>
      <w:r w:rsidRPr="007A07E5">
        <w:tab/>
        <w:t>an order directing the person to establish an education and training program for employees or other persons involved in the person’s business, being a program designed to ensure their awareness of the responsibilities and obligations in relation to such conduct; and</w:t>
      </w:r>
    </w:p>
    <w:p w:rsidR="006B4F69" w:rsidRPr="007A07E5" w:rsidRDefault="006B4F69" w:rsidP="007A07E5">
      <w:pPr>
        <w:pStyle w:val="paragraphsub"/>
      </w:pPr>
      <w:r w:rsidRPr="007A07E5">
        <w:tab/>
        <w:t>(iii)</w:t>
      </w:r>
      <w:r w:rsidRPr="007A07E5">
        <w:tab/>
        <w:t>an order directing the person to revise the internal operations of the person’s business which led to the person engaging in such conduct; or</w:t>
      </w:r>
    </w:p>
    <w:p w:rsidR="00486198" w:rsidRPr="007A07E5" w:rsidRDefault="00C40409" w:rsidP="007A07E5">
      <w:pPr>
        <w:pStyle w:val="ItemHead"/>
      </w:pPr>
      <w:r w:rsidRPr="007A07E5">
        <w:t>5</w:t>
      </w:r>
      <w:r w:rsidR="00486198" w:rsidRPr="007A07E5">
        <w:t xml:space="preserve">  Paragraph 1317C(ge)</w:t>
      </w:r>
    </w:p>
    <w:p w:rsidR="00486198" w:rsidRPr="007A07E5" w:rsidRDefault="00486198" w:rsidP="007A07E5">
      <w:pPr>
        <w:pStyle w:val="Item"/>
      </w:pPr>
      <w:r w:rsidRPr="007A07E5">
        <w:t>After “section</w:t>
      </w:r>
      <w:r w:rsidR="007A07E5" w:rsidRPr="007A07E5">
        <w:t> </w:t>
      </w:r>
      <w:r w:rsidRPr="007A07E5">
        <w:t>1101A”, insert “or 1101AA”.</w:t>
      </w:r>
    </w:p>
    <w:p w:rsidR="00486198" w:rsidRPr="007A07E5" w:rsidRDefault="00C40409" w:rsidP="007A07E5">
      <w:pPr>
        <w:pStyle w:val="ItemHead"/>
      </w:pPr>
      <w:r w:rsidRPr="007A07E5">
        <w:t>6</w:t>
      </w:r>
      <w:r w:rsidR="00486198" w:rsidRPr="007A07E5">
        <w:t xml:space="preserve">  At the end of section</w:t>
      </w:r>
      <w:r w:rsidR="007A07E5" w:rsidRPr="007A07E5">
        <w:t> </w:t>
      </w:r>
      <w:r w:rsidR="00486198" w:rsidRPr="007A07E5">
        <w:t>1317DAN</w:t>
      </w:r>
    </w:p>
    <w:p w:rsidR="00486198" w:rsidRPr="007A07E5" w:rsidRDefault="00486198" w:rsidP="007A07E5">
      <w:pPr>
        <w:pStyle w:val="Item"/>
      </w:pPr>
      <w:r w:rsidRPr="007A07E5">
        <w:t>Add:</w:t>
      </w:r>
    </w:p>
    <w:p w:rsidR="00486198" w:rsidRPr="007A07E5" w:rsidRDefault="00486198" w:rsidP="007A07E5">
      <w:pPr>
        <w:pStyle w:val="paragraph"/>
      </w:pPr>
      <w:r w:rsidRPr="007A07E5">
        <w:tab/>
        <w:t>; (e)</w:t>
      </w:r>
      <w:r w:rsidRPr="007A07E5">
        <w:tab/>
        <w:t>civil penalty provisions of an approved code of conduct;</w:t>
      </w:r>
    </w:p>
    <w:p w:rsidR="00486198" w:rsidRPr="007A07E5" w:rsidRDefault="00486198" w:rsidP="007A07E5">
      <w:pPr>
        <w:pStyle w:val="paragraph"/>
      </w:pPr>
      <w:r w:rsidRPr="007A07E5">
        <w:tab/>
        <w:t>(f)</w:t>
      </w:r>
      <w:r w:rsidRPr="007A07E5">
        <w:tab/>
        <w:t>civil penalty provisions of a mandatory code of conduct.</w:t>
      </w:r>
    </w:p>
    <w:p w:rsidR="00486198" w:rsidRPr="007A07E5" w:rsidRDefault="00C40409" w:rsidP="007A07E5">
      <w:pPr>
        <w:pStyle w:val="ItemHead"/>
      </w:pPr>
      <w:r w:rsidRPr="007A07E5">
        <w:lastRenderedPageBreak/>
        <w:t>7</w:t>
      </w:r>
      <w:r w:rsidR="00486198" w:rsidRPr="007A07E5">
        <w:t xml:space="preserve">  In the appropriate position in subsection</w:t>
      </w:r>
      <w:r w:rsidR="007A07E5" w:rsidRPr="007A07E5">
        <w:t> </w:t>
      </w:r>
      <w:r w:rsidR="00486198" w:rsidRPr="007A07E5">
        <w:t>1317E(3)</w:t>
      </w:r>
    </w:p>
    <w:p w:rsidR="00486198" w:rsidRPr="007A07E5" w:rsidRDefault="00486198" w:rsidP="007A07E5">
      <w:pPr>
        <w:pStyle w:val="Item"/>
      </w:pPr>
      <w:r w:rsidRPr="007A07E5">
        <w:t>Insert:</w:t>
      </w:r>
    </w:p>
    <w:tbl>
      <w:tblPr>
        <w:tblW w:w="6232" w:type="dxa"/>
        <w:tblInd w:w="113" w:type="dxa"/>
        <w:tblLayout w:type="fixed"/>
        <w:tblLook w:val="0000" w:firstRow="0" w:lastRow="0" w:firstColumn="0" w:lastColumn="0" w:noHBand="0" w:noVBand="0"/>
      </w:tblPr>
      <w:tblGrid>
        <w:gridCol w:w="1696"/>
        <w:gridCol w:w="2967"/>
        <w:gridCol w:w="1569"/>
      </w:tblGrid>
      <w:tr w:rsidR="00486198" w:rsidRPr="007A07E5" w:rsidTr="001769E5">
        <w:tc>
          <w:tcPr>
            <w:tcW w:w="1696" w:type="dxa"/>
            <w:shd w:val="clear" w:color="auto" w:fill="auto"/>
          </w:tcPr>
          <w:p w:rsidR="00486198" w:rsidRPr="007A07E5" w:rsidRDefault="00486198" w:rsidP="007A07E5">
            <w:pPr>
              <w:pStyle w:val="Tabletext"/>
              <w:ind w:right="-533"/>
            </w:pPr>
            <w:r w:rsidRPr="007A07E5">
              <w:t>section</w:t>
            </w:r>
            <w:r w:rsidR="007A07E5" w:rsidRPr="007A07E5">
              <w:t> </w:t>
            </w:r>
            <w:r w:rsidRPr="007A07E5">
              <w:t>1101AC</w:t>
            </w:r>
          </w:p>
        </w:tc>
        <w:tc>
          <w:tcPr>
            <w:tcW w:w="2967" w:type="dxa"/>
            <w:shd w:val="clear" w:color="auto" w:fill="auto"/>
          </w:tcPr>
          <w:p w:rsidR="00486198" w:rsidRPr="007A07E5" w:rsidRDefault="00486198" w:rsidP="007A07E5">
            <w:pPr>
              <w:pStyle w:val="Tabletext"/>
            </w:pPr>
            <w:r w:rsidRPr="007A07E5">
              <w:t>failure to comply with an enforceable code provision</w:t>
            </w:r>
          </w:p>
        </w:tc>
        <w:tc>
          <w:tcPr>
            <w:tcW w:w="1569" w:type="dxa"/>
            <w:shd w:val="clear" w:color="auto" w:fill="auto"/>
          </w:tcPr>
          <w:p w:rsidR="00486198" w:rsidRPr="007A07E5" w:rsidRDefault="00345F1B" w:rsidP="007A07E5">
            <w:pPr>
              <w:pStyle w:val="Tabletext"/>
            </w:pPr>
            <w:r w:rsidRPr="007A07E5">
              <w:t>financial services</w:t>
            </w:r>
          </w:p>
        </w:tc>
      </w:tr>
      <w:tr w:rsidR="00486198" w:rsidRPr="007A07E5" w:rsidTr="001769E5">
        <w:tc>
          <w:tcPr>
            <w:tcW w:w="1696" w:type="dxa"/>
            <w:shd w:val="clear" w:color="auto" w:fill="auto"/>
          </w:tcPr>
          <w:p w:rsidR="00486198" w:rsidRPr="007A07E5" w:rsidRDefault="00486198" w:rsidP="007A07E5">
            <w:pPr>
              <w:pStyle w:val="Tabletext"/>
            </w:pPr>
            <w:r w:rsidRPr="007A07E5">
              <w:t>a provision of a regulation made under section</w:t>
            </w:r>
            <w:r w:rsidR="007A07E5" w:rsidRPr="007A07E5">
              <w:t> </w:t>
            </w:r>
            <w:r w:rsidRPr="007A07E5">
              <w:t>1101AD that includes the words “civil penalty” and one or more amounts in penalty units at the foot of the provision</w:t>
            </w:r>
          </w:p>
        </w:tc>
        <w:tc>
          <w:tcPr>
            <w:tcW w:w="2967" w:type="dxa"/>
            <w:shd w:val="clear" w:color="auto" w:fill="auto"/>
          </w:tcPr>
          <w:p w:rsidR="00486198" w:rsidRPr="007A07E5" w:rsidRDefault="00486198" w:rsidP="007A07E5">
            <w:pPr>
              <w:pStyle w:val="Tabletext"/>
            </w:pPr>
            <w:r w:rsidRPr="007A07E5">
              <w:t>failure to comply with a civil penalty provision of a mandatory code of conduct</w:t>
            </w:r>
          </w:p>
        </w:tc>
        <w:tc>
          <w:tcPr>
            <w:tcW w:w="1569" w:type="dxa"/>
            <w:shd w:val="clear" w:color="auto" w:fill="auto"/>
          </w:tcPr>
          <w:p w:rsidR="00486198" w:rsidRPr="007A07E5" w:rsidRDefault="00345F1B" w:rsidP="007A07E5">
            <w:pPr>
              <w:pStyle w:val="Tabletext"/>
            </w:pPr>
            <w:r w:rsidRPr="007A07E5">
              <w:t>financial services</w:t>
            </w:r>
          </w:p>
        </w:tc>
      </w:tr>
    </w:tbl>
    <w:p w:rsidR="00486198" w:rsidRPr="007A07E5" w:rsidRDefault="00C40409" w:rsidP="007A07E5">
      <w:pPr>
        <w:pStyle w:val="ItemHead"/>
      </w:pPr>
      <w:r w:rsidRPr="007A07E5">
        <w:t>8</w:t>
      </w:r>
      <w:r w:rsidR="00486198" w:rsidRPr="007A07E5">
        <w:t xml:space="preserve">  In the appropriate position in Chapter</w:t>
      </w:r>
      <w:r w:rsidR="007A07E5" w:rsidRPr="007A07E5">
        <w:t> </w:t>
      </w:r>
      <w:r w:rsidR="00486198" w:rsidRPr="007A07E5">
        <w:t>10</w:t>
      </w:r>
    </w:p>
    <w:p w:rsidR="00486198" w:rsidRPr="007A07E5" w:rsidRDefault="00486198" w:rsidP="007A07E5">
      <w:pPr>
        <w:pStyle w:val="Item"/>
      </w:pPr>
      <w:r w:rsidRPr="007A07E5">
        <w:t>Insert:</w:t>
      </w:r>
    </w:p>
    <w:p w:rsidR="00486198" w:rsidRPr="007A07E5" w:rsidRDefault="00486198" w:rsidP="007A07E5">
      <w:pPr>
        <w:pStyle w:val="ActHead2"/>
      </w:pPr>
      <w:bookmarkStart w:id="12" w:name="_Toc27482466"/>
      <w:r w:rsidRPr="003061A0">
        <w:rPr>
          <w:rStyle w:val="CharPartNo"/>
        </w:rPr>
        <w:t>Part</w:t>
      </w:r>
      <w:r w:rsidR="007A07E5" w:rsidRPr="003061A0">
        <w:rPr>
          <w:rStyle w:val="CharPartNo"/>
        </w:rPr>
        <w:t> </w:t>
      </w:r>
      <w:r w:rsidR="000637A3" w:rsidRPr="003061A0">
        <w:rPr>
          <w:rStyle w:val="CharPartNo"/>
        </w:rPr>
        <w:t>10.44</w:t>
      </w:r>
      <w:r w:rsidRPr="007A07E5">
        <w:t>—</w:t>
      </w:r>
      <w:r w:rsidRPr="003061A0">
        <w:rPr>
          <w:rStyle w:val="CharPartText"/>
        </w:rPr>
        <w:t>Transitional provisions relating to the Financial Sector Reform (Hayne Royal Commission Response—Protecting Consumers (2020 Measures)) Act 2020</w:t>
      </w:r>
      <w:bookmarkEnd w:id="12"/>
    </w:p>
    <w:p w:rsidR="00486198" w:rsidRPr="003061A0" w:rsidRDefault="00486198" w:rsidP="007A07E5">
      <w:pPr>
        <w:pStyle w:val="Header"/>
      </w:pPr>
      <w:r w:rsidRPr="003061A0">
        <w:rPr>
          <w:rStyle w:val="CharDivNo"/>
        </w:rPr>
        <w:t xml:space="preserve"> </w:t>
      </w:r>
      <w:r w:rsidRPr="003061A0">
        <w:rPr>
          <w:rStyle w:val="CharDivText"/>
        </w:rPr>
        <w:t xml:space="preserve"> </w:t>
      </w:r>
    </w:p>
    <w:p w:rsidR="00486198" w:rsidRPr="007A07E5" w:rsidRDefault="000637A3" w:rsidP="007A07E5">
      <w:pPr>
        <w:pStyle w:val="ActHead5"/>
      </w:pPr>
      <w:bookmarkStart w:id="13" w:name="_Toc27482467"/>
      <w:r w:rsidRPr="003061A0">
        <w:rPr>
          <w:rStyle w:val="CharSectno"/>
        </w:rPr>
        <w:t>1671</w:t>
      </w:r>
      <w:r w:rsidR="00486198" w:rsidRPr="007A07E5">
        <w:t xml:space="preserve">  Transitional—Banking Code of Practice</w:t>
      </w:r>
      <w:bookmarkEnd w:id="13"/>
    </w:p>
    <w:p w:rsidR="000F2B3A" w:rsidRPr="007A07E5" w:rsidRDefault="000F2B3A" w:rsidP="007A07E5">
      <w:pPr>
        <w:pStyle w:val="subsection"/>
      </w:pPr>
      <w:r w:rsidRPr="007A07E5">
        <w:tab/>
        <w:t>(1)</w:t>
      </w:r>
      <w:r w:rsidRPr="007A07E5">
        <w:tab/>
        <w:t>The following provisions have effect:</w:t>
      </w:r>
    </w:p>
    <w:p w:rsidR="000F2B3A" w:rsidRPr="007A07E5" w:rsidRDefault="000F2B3A" w:rsidP="007A07E5">
      <w:pPr>
        <w:pStyle w:val="paragraph"/>
      </w:pPr>
      <w:r w:rsidRPr="007A07E5">
        <w:tab/>
        <w:t>(a)</w:t>
      </w:r>
      <w:r w:rsidRPr="007A07E5">
        <w:tab/>
        <w:t xml:space="preserve">the </w:t>
      </w:r>
      <w:r w:rsidRPr="007A07E5">
        <w:rPr>
          <w:i/>
        </w:rPr>
        <w:t>Banking Code of Practice</w:t>
      </w:r>
      <w:r w:rsidRPr="007A07E5">
        <w:t>, approved by ASIC on 18</w:t>
      </w:r>
      <w:r w:rsidR="007A07E5" w:rsidRPr="007A07E5">
        <w:t> </w:t>
      </w:r>
      <w:r w:rsidRPr="007A07E5">
        <w:t>December 2019, is taken to be approved under section</w:t>
      </w:r>
      <w:r w:rsidR="007A07E5" w:rsidRPr="007A07E5">
        <w:t> </w:t>
      </w:r>
      <w:r w:rsidRPr="007A07E5">
        <w:t xml:space="preserve">1101A, as substituted by Schedule [1.15] to the </w:t>
      </w:r>
      <w:r w:rsidRPr="007A07E5">
        <w:rPr>
          <w:i/>
        </w:rPr>
        <w:t>Financial Sector Reform (Hayne Royal Commission Response—Protecting Consumers (2020 Measures)) Act 2020</w:t>
      </w:r>
      <w:r w:rsidRPr="007A07E5">
        <w:t>; and</w:t>
      </w:r>
    </w:p>
    <w:p w:rsidR="000F2B3A" w:rsidRPr="007A07E5" w:rsidRDefault="009001E6" w:rsidP="007A07E5">
      <w:pPr>
        <w:pStyle w:val="paragraph"/>
      </w:pPr>
      <w:r w:rsidRPr="007A07E5">
        <w:tab/>
        <w:t>(b)</w:t>
      </w:r>
      <w:r w:rsidRPr="007A07E5">
        <w:tab/>
      </w:r>
      <w:r w:rsidR="000F2B3A" w:rsidRPr="007A07E5">
        <w:t>Division</w:t>
      </w:r>
      <w:r w:rsidR="007A07E5" w:rsidRPr="007A07E5">
        <w:t> </w:t>
      </w:r>
      <w:r w:rsidR="000F2B3A" w:rsidRPr="007A07E5">
        <w:t>2 of Part</w:t>
      </w:r>
      <w:r w:rsidR="007A07E5" w:rsidRPr="007A07E5">
        <w:t> </w:t>
      </w:r>
      <w:r w:rsidR="000F2B3A" w:rsidRPr="007A07E5">
        <w:t xml:space="preserve">7.12, as inserted by that Schedule to that Act, applies to the </w:t>
      </w:r>
      <w:r w:rsidR="000F2B3A" w:rsidRPr="007A07E5">
        <w:rPr>
          <w:i/>
        </w:rPr>
        <w:t>Banking Code of Practice</w:t>
      </w:r>
      <w:r w:rsidR="000F2B3A" w:rsidRPr="007A07E5">
        <w:t>.</w:t>
      </w:r>
    </w:p>
    <w:p w:rsidR="00486198" w:rsidRPr="007A07E5" w:rsidRDefault="00486198" w:rsidP="007A07E5">
      <w:pPr>
        <w:pStyle w:val="subsection"/>
      </w:pPr>
      <w:r w:rsidRPr="007A07E5">
        <w:tab/>
        <w:t>(2)</w:t>
      </w:r>
      <w:r w:rsidRPr="007A07E5">
        <w:tab/>
        <w:t>In this section:</w:t>
      </w:r>
    </w:p>
    <w:p w:rsidR="00486198" w:rsidRPr="007A07E5" w:rsidRDefault="00486198" w:rsidP="007A07E5">
      <w:pPr>
        <w:pStyle w:val="Definition"/>
      </w:pPr>
      <w:r w:rsidRPr="007A07E5">
        <w:rPr>
          <w:b/>
          <w:i/>
        </w:rPr>
        <w:lastRenderedPageBreak/>
        <w:t>Banking Code of Practice</w:t>
      </w:r>
      <w:r w:rsidRPr="007A07E5">
        <w:t xml:space="preserve"> means the </w:t>
      </w:r>
      <w:r w:rsidRPr="007A07E5">
        <w:rPr>
          <w:i/>
          <w:iCs/>
        </w:rPr>
        <w:t>Banking Code of Practice</w:t>
      </w:r>
      <w:r w:rsidR="000F2B3A" w:rsidRPr="007A07E5">
        <w:t>, published on 12</w:t>
      </w:r>
      <w:r w:rsidR="007A07E5" w:rsidRPr="007A07E5">
        <w:t> </w:t>
      </w:r>
      <w:r w:rsidR="000F2B3A" w:rsidRPr="007A07E5">
        <w:t>December</w:t>
      </w:r>
      <w:r w:rsidRPr="007A07E5">
        <w:t xml:space="preserve"> 2019 by the Australian Banking Association Incorporated (ABN 60</w:t>
      </w:r>
      <w:r w:rsidR="007A07E5" w:rsidRPr="007A07E5">
        <w:t> </w:t>
      </w:r>
      <w:r w:rsidRPr="007A07E5">
        <w:t>117</w:t>
      </w:r>
      <w:r w:rsidR="007A07E5" w:rsidRPr="007A07E5">
        <w:t> </w:t>
      </w:r>
      <w:r w:rsidRPr="007A07E5">
        <w:t>262</w:t>
      </w:r>
      <w:r w:rsidR="007A07E5" w:rsidRPr="007A07E5">
        <w:t> </w:t>
      </w:r>
      <w:r w:rsidRPr="007A07E5">
        <w:t>978).</w:t>
      </w:r>
    </w:p>
    <w:p w:rsidR="00BF0150" w:rsidRPr="007A07E5" w:rsidRDefault="00BF0150" w:rsidP="007A07E5">
      <w:pPr>
        <w:pStyle w:val="notetext"/>
      </w:pPr>
      <w:r w:rsidRPr="007A07E5">
        <w:t>Note:</w:t>
      </w:r>
      <w:r w:rsidRPr="007A07E5">
        <w:tab/>
        <w:t xml:space="preserve">The </w:t>
      </w:r>
      <w:r w:rsidRPr="007A07E5">
        <w:rPr>
          <w:i/>
        </w:rPr>
        <w:t>Banking Code of Practice</w:t>
      </w:r>
      <w:r w:rsidRPr="007A07E5">
        <w:t xml:space="preserve"> could in 2020 be viewed on the Australian Banking Association’s website (http://www.ausbanking.org.au).</w:t>
      </w:r>
    </w:p>
    <w:p w:rsidR="00486198" w:rsidRPr="007A07E5" w:rsidRDefault="00486198" w:rsidP="007A07E5">
      <w:pPr>
        <w:pStyle w:val="ActHead9"/>
        <w:rPr>
          <w:i w:val="0"/>
        </w:rPr>
      </w:pPr>
      <w:bookmarkStart w:id="14" w:name="_Toc27482468"/>
      <w:r w:rsidRPr="007A07E5">
        <w:t>National Consumer Credit Protection Act 2009</w:t>
      </w:r>
      <w:bookmarkEnd w:id="14"/>
    </w:p>
    <w:p w:rsidR="00486198" w:rsidRPr="007A07E5" w:rsidRDefault="00C40409" w:rsidP="007A07E5">
      <w:pPr>
        <w:pStyle w:val="ItemHead"/>
      </w:pPr>
      <w:r w:rsidRPr="007A07E5">
        <w:t>9</w:t>
      </w:r>
      <w:r w:rsidR="00486198" w:rsidRPr="007A07E5">
        <w:t xml:space="preserve">  Subsection</w:t>
      </w:r>
      <w:r w:rsidR="007A07E5" w:rsidRPr="007A07E5">
        <w:t> </w:t>
      </w:r>
      <w:r w:rsidR="00486198" w:rsidRPr="007A07E5">
        <w:t>5(1)</w:t>
      </w:r>
    </w:p>
    <w:p w:rsidR="00486198" w:rsidRPr="007A07E5" w:rsidRDefault="00486198" w:rsidP="007A07E5">
      <w:pPr>
        <w:pStyle w:val="Item"/>
      </w:pPr>
      <w:r w:rsidRPr="007A07E5">
        <w:t>Insert:</w:t>
      </w:r>
    </w:p>
    <w:p w:rsidR="00486198" w:rsidRPr="007A07E5" w:rsidRDefault="00486198" w:rsidP="007A07E5">
      <w:pPr>
        <w:pStyle w:val="Definition"/>
      </w:pPr>
      <w:r w:rsidRPr="007A07E5">
        <w:rPr>
          <w:b/>
          <w:i/>
        </w:rPr>
        <w:t>approved code of conduct</w:t>
      </w:r>
      <w:r w:rsidRPr="007A07E5">
        <w:t xml:space="preserve"> means a code of conduct approved by ASIC by legislative instrument under section</w:t>
      </w:r>
      <w:r w:rsidR="007A07E5" w:rsidRPr="007A07E5">
        <w:t> </w:t>
      </w:r>
      <w:r w:rsidRPr="007A07E5">
        <w:t>238A, and includes an approved code of conduct as varied.</w:t>
      </w:r>
    </w:p>
    <w:p w:rsidR="00486198" w:rsidRPr="007A07E5" w:rsidRDefault="00486198" w:rsidP="007A07E5">
      <w:pPr>
        <w:pStyle w:val="Definition"/>
      </w:pPr>
      <w:r w:rsidRPr="007A07E5">
        <w:rPr>
          <w:b/>
          <w:i/>
        </w:rPr>
        <w:t>code of conduct</w:t>
      </w:r>
      <w:r w:rsidRPr="007A07E5">
        <w:t xml:space="preserve"> means a code of conduct that relates to any aspect of the activities of:</w:t>
      </w:r>
    </w:p>
    <w:p w:rsidR="00486198" w:rsidRPr="007A07E5" w:rsidRDefault="00486198" w:rsidP="007A07E5">
      <w:pPr>
        <w:pStyle w:val="paragraph"/>
      </w:pPr>
      <w:r w:rsidRPr="007A07E5">
        <w:tab/>
        <w:t>(a)</w:t>
      </w:r>
      <w:r w:rsidRPr="007A07E5">
        <w:tab/>
        <w:t>licensees; or</w:t>
      </w:r>
    </w:p>
    <w:p w:rsidR="00486198" w:rsidRPr="007A07E5" w:rsidRDefault="00486198" w:rsidP="007A07E5">
      <w:pPr>
        <w:pStyle w:val="paragraph"/>
      </w:pPr>
      <w:r w:rsidRPr="007A07E5">
        <w:tab/>
        <w:t>(b)</w:t>
      </w:r>
      <w:r w:rsidRPr="007A07E5">
        <w:tab/>
        <w:t>credit representatives;</w:t>
      </w:r>
    </w:p>
    <w:p w:rsidR="00486198" w:rsidRPr="007A07E5" w:rsidRDefault="00486198" w:rsidP="007A07E5">
      <w:pPr>
        <w:pStyle w:val="subsection2"/>
      </w:pPr>
      <w:r w:rsidRPr="007A07E5">
        <w:t>being activities in relation to which ASIC has a regulatory responsibility.</w:t>
      </w:r>
    </w:p>
    <w:p w:rsidR="002543FE" w:rsidRPr="007A07E5" w:rsidRDefault="002543FE" w:rsidP="007A07E5">
      <w:pPr>
        <w:pStyle w:val="Definition"/>
      </w:pPr>
      <w:r w:rsidRPr="007A07E5">
        <w:rPr>
          <w:b/>
          <w:i/>
        </w:rPr>
        <w:t>community service order</w:t>
      </w:r>
      <w:r w:rsidRPr="007A07E5">
        <w:t>: see section</w:t>
      </w:r>
      <w:r w:rsidR="007A07E5" w:rsidRPr="007A07E5">
        <w:t> </w:t>
      </w:r>
      <w:r w:rsidRPr="007A07E5">
        <w:t>182A.</w:t>
      </w:r>
    </w:p>
    <w:p w:rsidR="00486198" w:rsidRPr="007A07E5" w:rsidRDefault="00486198" w:rsidP="007A07E5">
      <w:pPr>
        <w:pStyle w:val="Definition"/>
      </w:pPr>
      <w:r w:rsidRPr="007A07E5">
        <w:rPr>
          <w:b/>
          <w:i/>
        </w:rPr>
        <w:t>enforceable code provision</w:t>
      </w:r>
      <w:r w:rsidRPr="007A07E5">
        <w:t xml:space="preserve"> means a provision of an approved code of conduct identified by ASIC under subsection</w:t>
      </w:r>
      <w:r w:rsidR="007A07E5" w:rsidRPr="007A07E5">
        <w:t> </w:t>
      </w:r>
      <w:r w:rsidR="00A222BC" w:rsidRPr="007A07E5">
        <w:t>238A(2</w:t>
      </w:r>
      <w:r w:rsidRPr="007A07E5">
        <w:t>).</w:t>
      </w:r>
    </w:p>
    <w:p w:rsidR="00486198" w:rsidRPr="007A07E5" w:rsidRDefault="00486198" w:rsidP="007A07E5">
      <w:pPr>
        <w:pStyle w:val="Definition"/>
      </w:pPr>
      <w:r w:rsidRPr="007A07E5">
        <w:rPr>
          <w:b/>
          <w:i/>
        </w:rPr>
        <w:t>mandatory code of conduct</w:t>
      </w:r>
      <w:r w:rsidRPr="007A07E5">
        <w:t xml:space="preserve"> means a code of conduct that is declared by regulations under section</w:t>
      </w:r>
      <w:r w:rsidR="007A07E5" w:rsidRPr="007A07E5">
        <w:t> </w:t>
      </w:r>
      <w:r w:rsidRPr="007A07E5">
        <w:t>238E to be mandatory.</w:t>
      </w:r>
    </w:p>
    <w:p w:rsidR="002543FE" w:rsidRPr="007A07E5" w:rsidRDefault="002543FE" w:rsidP="007A07E5">
      <w:pPr>
        <w:pStyle w:val="Definition"/>
      </w:pPr>
      <w:r w:rsidRPr="007A07E5">
        <w:rPr>
          <w:b/>
          <w:i/>
        </w:rPr>
        <w:t>probation order</w:t>
      </w:r>
      <w:r w:rsidRPr="007A07E5">
        <w:t>: see section</w:t>
      </w:r>
      <w:r w:rsidR="007A07E5" w:rsidRPr="007A07E5">
        <w:t> </w:t>
      </w:r>
      <w:r w:rsidRPr="007A07E5">
        <w:t>182A.</w:t>
      </w:r>
    </w:p>
    <w:p w:rsidR="00486198" w:rsidRPr="007A07E5" w:rsidRDefault="00486198" w:rsidP="007A07E5">
      <w:pPr>
        <w:pStyle w:val="Definition"/>
      </w:pPr>
      <w:r w:rsidRPr="007A07E5">
        <w:rPr>
          <w:b/>
          <w:i/>
        </w:rPr>
        <w:t>subscriber</w:t>
      </w:r>
      <w:r w:rsidRPr="007A07E5">
        <w:t>, in relation to a code of conduct, means a person or entity that agrees, in a way required by the applicant for the code’s approval, to be bound by the code.</w:t>
      </w:r>
    </w:p>
    <w:p w:rsidR="00CA6A45" w:rsidRPr="007A07E5" w:rsidRDefault="00C40409" w:rsidP="007A07E5">
      <w:pPr>
        <w:pStyle w:val="ItemHead"/>
      </w:pPr>
      <w:r w:rsidRPr="007A07E5">
        <w:t>10</w:t>
      </w:r>
      <w:r w:rsidR="00CA6A45" w:rsidRPr="007A07E5">
        <w:t xml:space="preserve">  After section</w:t>
      </w:r>
      <w:r w:rsidR="007A07E5" w:rsidRPr="007A07E5">
        <w:t> </w:t>
      </w:r>
      <w:r w:rsidR="00CA6A45" w:rsidRPr="007A07E5">
        <w:t>182</w:t>
      </w:r>
    </w:p>
    <w:p w:rsidR="00CA6A45" w:rsidRPr="007A07E5" w:rsidRDefault="00CA6A45" w:rsidP="007A07E5">
      <w:pPr>
        <w:pStyle w:val="Item"/>
      </w:pPr>
      <w:r w:rsidRPr="007A07E5">
        <w:t>Insert:</w:t>
      </w:r>
    </w:p>
    <w:p w:rsidR="00CA6A45" w:rsidRPr="007A07E5" w:rsidRDefault="00CA6A45" w:rsidP="007A07E5">
      <w:pPr>
        <w:pStyle w:val="ActHead5"/>
      </w:pPr>
      <w:r w:rsidRPr="003061A0">
        <w:rPr>
          <w:rStyle w:val="CharSectno"/>
        </w:rPr>
        <w:lastRenderedPageBreak/>
        <w:t>182A</w:t>
      </w:r>
      <w:r w:rsidRPr="007A07E5">
        <w:t xml:space="preserve">  Community service and probation orders</w:t>
      </w:r>
    </w:p>
    <w:p w:rsidR="00CA6A45" w:rsidRPr="007A07E5" w:rsidRDefault="00CA6A45" w:rsidP="007A07E5">
      <w:pPr>
        <w:pStyle w:val="subsection"/>
      </w:pPr>
      <w:r w:rsidRPr="007A07E5">
        <w:tab/>
        <w:t>(1)</w:t>
      </w:r>
      <w:r w:rsidRPr="007A07E5">
        <w:tab/>
        <w:t>The court may, on application by ASIC, make a community service order, a probation order, or both, against a person who has</w:t>
      </w:r>
      <w:r w:rsidR="00FB07F8" w:rsidRPr="007A07E5">
        <w:t xml:space="preserve"> engaged in conduct that</w:t>
      </w:r>
      <w:r w:rsidRPr="007A07E5">
        <w:t>:</w:t>
      </w:r>
    </w:p>
    <w:p w:rsidR="00CA6A45" w:rsidRPr="007A07E5" w:rsidRDefault="00CA6A45" w:rsidP="007A07E5">
      <w:pPr>
        <w:pStyle w:val="paragraph"/>
      </w:pPr>
      <w:r w:rsidRPr="007A07E5">
        <w:tab/>
        <w:t>(a)</w:t>
      </w:r>
      <w:r w:rsidRPr="007A07E5">
        <w:tab/>
        <w:t>contravene</w:t>
      </w:r>
      <w:r w:rsidR="00FB07F8" w:rsidRPr="007A07E5">
        <w:t>s</w:t>
      </w:r>
      <w:r w:rsidRPr="007A07E5">
        <w:t xml:space="preserve"> an enforceable code provision; or</w:t>
      </w:r>
    </w:p>
    <w:p w:rsidR="00CA6A45" w:rsidRPr="007A07E5" w:rsidRDefault="00CA6A45" w:rsidP="007A07E5">
      <w:pPr>
        <w:pStyle w:val="paragraph"/>
      </w:pPr>
      <w:r w:rsidRPr="007A07E5">
        <w:tab/>
        <w:t>(b)</w:t>
      </w:r>
      <w:r w:rsidRPr="007A07E5">
        <w:tab/>
        <w:t>contravene</w:t>
      </w:r>
      <w:r w:rsidR="00FB07F8" w:rsidRPr="007A07E5">
        <w:t>s</w:t>
      </w:r>
      <w:r w:rsidRPr="007A07E5">
        <w:t xml:space="preserve"> a civil penalty provision of a mandatory code</w:t>
      </w:r>
      <w:r w:rsidR="009347BD">
        <w:t xml:space="preserve"> of conduct</w:t>
      </w:r>
      <w:r w:rsidRPr="007A07E5">
        <w:t>.</w:t>
      </w:r>
    </w:p>
    <w:p w:rsidR="00FB07F8" w:rsidRPr="007A07E5" w:rsidRDefault="00CA6A45" w:rsidP="007A07E5">
      <w:pPr>
        <w:pStyle w:val="subsection"/>
      </w:pPr>
      <w:r w:rsidRPr="007A07E5">
        <w:tab/>
        <w:t>(2)</w:t>
      </w:r>
      <w:r w:rsidRPr="007A07E5">
        <w:tab/>
        <w:t>A</w:t>
      </w:r>
      <w:r w:rsidR="00FB07F8" w:rsidRPr="007A07E5">
        <w:t xml:space="preserve"> </w:t>
      </w:r>
      <w:r w:rsidR="00FB07F8" w:rsidRPr="007A07E5">
        <w:rPr>
          <w:b/>
          <w:i/>
        </w:rPr>
        <w:t>community service order</w:t>
      </w:r>
      <w:r w:rsidR="00FB07F8" w:rsidRPr="007A07E5">
        <w:t xml:space="preserve"> is an order that directs the person to perform a service that is specified in the order, and relates to the conduct, for the benefit of the community or a section of the community.</w:t>
      </w:r>
    </w:p>
    <w:p w:rsidR="00FB07F8" w:rsidRPr="007A07E5" w:rsidRDefault="00FB07F8" w:rsidP="007A07E5">
      <w:pPr>
        <w:pStyle w:val="subsection"/>
      </w:pPr>
      <w:r w:rsidRPr="007A07E5">
        <w:tab/>
        <w:t>(3)</w:t>
      </w:r>
      <w:r w:rsidRPr="007A07E5">
        <w:tab/>
        <w:t xml:space="preserve">A </w:t>
      </w:r>
      <w:r w:rsidRPr="007A07E5">
        <w:rPr>
          <w:b/>
          <w:i/>
        </w:rPr>
        <w:t>probation order</w:t>
      </w:r>
      <w:r w:rsidRPr="007A07E5">
        <w:t xml:space="preserve"> is an order for the purpose of ensuring that the person does not engage in the conduct, similar conduct, or related conduct, during the period of the order (which must not be longer than 3 years), including:</w:t>
      </w:r>
    </w:p>
    <w:p w:rsidR="00FB07F8" w:rsidRPr="007A07E5" w:rsidRDefault="00FB07F8" w:rsidP="007A07E5">
      <w:pPr>
        <w:pStyle w:val="paragraph"/>
      </w:pPr>
      <w:r w:rsidRPr="007A07E5">
        <w:tab/>
        <w:t>(a)</w:t>
      </w:r>
      <w:r w:rsidRPr="007A07E5">
        <w:tab/>
        <w:t xml:space="preserve">an order directing the person to establish a compliance </w:t>
      </w:r>
      <w:r w:rsidR="00B011B8" w:rsidRPr="007A07E5">
        <w:t xml:space="preserve">program for employees or other persons </w:t>
      </w:r>
      <w:r w:rsidRPr="007A07E5">
        <w:t xml:space="preserve">involved in the person’s business, being a program designed to ensure their awareness of the responsibilities and obligations in relation to </w:t>
      </w:r>
      <w:r w:rsidR="00B011B8" w:rsidRPr="007A07E5">
        <w:t xml:space="preserve">such </w:t>
      </w:r>
      <w:r w:rsidRPr="007A07E5">
        <w:t>conduct; and</w:t>
      </w:r>
    </w:p>
    <w:p w:rsidR="00FB07F8" w:rsidRPr="007A07E5" w:rsidRDefault="00FB07F8" w:rsidP="007A07E5">
      <w:pPr>
        <w:pStyle w:val="paragraph"/>
      </w:pPr>
      <w:r w:rsidRPr="007A07E5">
        <w:tab/>
        <w:t>(b)</w:t>
      </w:r>
      <w:r w:rsidRPr="007A07E5">
        <w:tab/>
        <w:t xml:space="preserve">an order directing the person to establish an education and training program for employees or other persons involved in the person’s business, being a program designed to ensure their awareness of the responsibilities and obligations in relation to </w:t>
      </w:r>
      <w:r w:rsidR="00B011B8" w:rsidRPr="007A07E5">
        <w:t>such</w:t>
      </w:r>
      <w:r w:rsidRPr="007A07E5">
        <w:t xml:space="preserve"> conduct; and</w:t>
      </w:r>
    </w:p>
    <w:p w:rsidR="00FB07F8" w:rsidRPr="007A07E5" w:rsidRDefault="00FB07F8" w:rsidP="007A07E5">
      <w:pPr>
        <w:pStyle w:val="paragraph"/>
      </w:pPr>
      <w:r w:rsidRPr="007A07E5">
        <w:tab/>
        <w:t>(c)</w:t>
      </w:r>
      <w:r w:rsidRPr="007A07E5">
        <w:tab/>
        <w:t>an order directing the person to revise the internal operations of the person’s business which le</w:t>
      </w:r>
      <w:r w:rsidR="002815F0" w:rsidRPr="007A07E5">
        <w:t xml:space="preserve">d to the person engaging in such </w:t>
      </w:r>
      <w:r w:rsidRPr="007A07E5">
        <w:t>conduct.</w:t>
      </w:r>
    </w:p>
    <w:p w:rsidR="00CA6A45" w:rsidRPr="007A07E5" w:rsidRDefault="00CA6A45" w:rsidP="007A07E5">
      <w:pPr>
        <w:pStyle w:val="subsection"/>
      </w:pPr>
      <w:r w:rsidRPr="007A07E5">
        <w:tab/>
        <w:t>(</w:t>
      </w:r>
      <w:r w:rsidR="00FB07F8" w:rsidRPr="007A07E5">
        <w:t>4</w:t>
      </w:r>
      <w:r w:rsidRPr="007A07E5">
        <w:t>)</w:t>
      </w:r>
      <w:r w:rsidRPr="007A07E5">
        <w:tab/>
        <w:t>This section does not limit the court’s powers under this Act.</w:t>
      </w:r>
    </w:p>
    <w:p w:rsidR="00486198" w:rsidRPr="007A07E5" w:rsidRDefault="00C40409" w:rsidP="007A07E5">
      <w:pPr>
        <w:pStyle w:val="ItemHead"/>
      </w:pPr>
      <w:r w:rsidRPr="007A07E5">
        <w:t>11</w:t>
      </w:r>
      <w:r w:rsidR="00486198" w:rsidRPr="007A07E5">
        <w:t xml:space="preserve">  Before Division</w:t>
      </w:r>
      <w:r w:rsidR="007A07E5" w:rsidRPr="007A07E5">
        <w:t> </w:t>
      </w:r>
      <w:r w:rsidR="00486198" w:rsidRPr="007A07E5">
        <w:t>2 of Part</w:t>
      </w:r>
      <w:r w:rsidR="007A07E5" w:rsidRPr="007A07E5">
        <w:t> </w:t>
      </w:r>
      <w:r w:rsidR="00486198" w:rsidRPr="007A07E5">
        <w:t>5</w:t>
      </w:r>
      <w:r w:rsidR="007A07E5">
        <w:noBreakHyphen/>
      </w:r>
      <w:r w:rsidR="00486198" w:rsidRPr="007A07E5">
        <w:t>5</w:t>
      </w:r>
    </w:p>
    <w:p w:rsidR="00486198" w:rsidRPr="007A07E5" w:rsidRDefault="00486198" w:rsidP="007A07E5">
      <w:pPr>
        <w:pStyle w:val="Item"/>
      </w:pPr>
      <w:r w:rsidRPr="007A07E5">
        <w:t>Insert:</w:t>
      </w:r>
    </w:p>
    <w:p w:rsidR="00486198" w:rsidRPr="007A07E5" w:rsidRDefault="00486198" w:rsidP="007A07E5">
      <w:pPr>
        <w:pStyle w:val="ActHead3"/>
      </w:pPr>
      <w:bookmarkStart w:id="15" w:name="_Toc27482469"/>
      <w:r w:rsidRPr="003061A0">
        <w:rPr>
          <w:rStyle w:val="CharDivNo"/>
        </w:rPr>
        <w:t>Division</w:t>
      </w:r>
      <w:r w:rsidR="007A07E5" w:rsidRPr="003061A0">
        <w:rPr>
          <w:rStyle w:val="CharDivNo"/>
        </w:rPr>
        <w:t> </w:t>
      </w:r>
      <w:r w:rsidRPr="003061A0">
        <w:rPr>
          <w:rStyle w:val="CharDivNo"/>
        </w:rPr>
        <w:t>1A</w:t>
      </w:r>
      <w:r w:rsidRPr="007A07E5">
        <w:t>—</w:t>
      </w:r>
      <w:r w:rsidRPr="003061A0">
        <w:rPr>
          <w:rStyle w:val="CharDivText"/>
        </w:rPr>
        <w:t>Codes of conduct</w:t>
      </w:r>
      <w:bookmarkEnd w:id="15"/>
    </w:p>
    <w:p w:rsidR="00486198" w:rsidRPr="007A07E5" w:rsidRDefault="00486198" w:rsidP="007A07E5">
      <w:pPr>
        <w:pStyle w:val="ActHead5"/>
      </w:pPr>
      <w:bookmarkStart w:id="16" w:name="_Toc27482470"/>
      <w:r w:rsidRPr="003061A0">
        <w:rPr>
          <w:rStyle w:val="CharSectno"/>
        </w:rPr>
        <w:t>238A</w:t>
      </w:r>
      <w:r w:rsidRPr="007A07E5">
        <w:t xml:space="preserve">  Approved codes of conduct</w:t>
      </w:r>
      <w:bookmarkEnd w:id="16"/>
    </w:p>
    <w:p w:rsidR="00486198" w:rsidRPr="007A07E5" w:rsidRDefault="00486198" w:rsidP="007A07E5">
      <w:pPr>
        <w:pStyle w:val="subsection"/>
      </w:pPr>
      <w:r w:rsidRPr="007A07E5">
        <w:tab/>
        <w:t>(1)</w:t>
      </w:r>
      <w:r w:rsidRPr="007A07E5">
        <w:tab/>
        <w:t>If an application is made to approve a code of conduct, ASIC may, by legislative instrument, approve the code of conduct.</w:t>
      </w:r>
    </w:p>
    <w:p w:rsidR="00486198" w:rsidRPr="007A07E5" w:rsidRDefault="00486198" w:rsidP="007A07E5">
      <w:pPr>
        <w:pStyle w:val="subsection"/>
      </w:pPr>
      <w:r w:rsidRPr="007A07E5">
        <w:lastRenderedPageBreak/>
        <w:tab/>
        <w:t>(2)</w:t>
      </w:r>
      <w:r w:rsidRPr="007A07E5">
        <w:tab/>
        <w:t>In the approval, ASIC may identify a provision of the code of conduct as an enforceable code provision if ASIC considers that:</w:t>
      </w:r>
    </w:p>
    <w:p w:rsidR="001A54E0" w:rsidRPr="007A07E5" w:rsidRDefault="001A54E0" w:rsidP="007A07E5">
      <w:pPr>
        <w:pStyle w:val="paragraph"/>
      </w:pPr>
      <w:r w:rsidRPr="007A07E5">
        <w:tab/>
        <w:t>(a)</w:t>
      </w:r>
      <w:r w:rsidRPr="007A07E5">
        <w:tab/>
        <w:t>the provision represents:</w:t>
      </w:r>
    </w:p>
    <w:p w:rsidR="001A54E0" w:rsidRPr="007A07E5" w:rsidRDefault="001A54E0" w:rsidP="007A07E5">
      <w:pPr>
        <w:pStyle w:val="paragraphsub"/>
      </w:pPr>
      <w:r w:rsidRPr="007A07E5">
        <w:tab/>
        <w:t>(i)</w:t>
      </w:r>
      <w:r w:rsidRPr="007A07E5">
        <w:tab/>
        <w:t>a commitment by a subscriber to the code to act in a particular way or in a manner consistent with attaining the objectives of the code; or</w:t>
      </w:r>
    </w:p>
    <w:p w:rsidR="001A54E0" w:rsidRPr="007A07E5" w:rsidRDefault="001A54E0" w:rsidP="007A07E5">
      <w:pPr>
        <w:pStyle w:val="paragraphsub"/>
      </w:pPr>
      <w:r w:rsidRPr="007A07E5">
        <w:tab/>
        <w:t>(ii)</w:t>
      </w:r>
      <w:r w:rsidRPr="007A07E5">
        <w:tab/>
        <w:t>a commitment to a person by a subscriber to the code; and</w:t>
      </w:r>
    </w:p>
    <w:p w:rsidR="00D26EF0" w:rsidRPr="007A07E5" w:rsidRDefault="00D26EF0" w:rsidP="007A07E5">
      <w:pPr>
        <w:pStyle w:val="paragraph"/>
      </w:pPr>
      <w:r w:rsidRPr="007A07E5">
        <w:tab/>
        <w:t>(b)</w:t>
      </w:r>
      <w:r w:rsidRPr="007A07E5">
        <w:tab/>
        <w:t>either:</w:t>
      </w:r>
    </w:p>
    <w:p w:rsidR="00D26EF0" w:rsidRPr="007A07E5" w:rsidRDefault="00D26EF0" w:rsidP="007A07E5">
      <w:pPr>
        <w:pStyle w:val="paragraphsub"/>
      </w:pPr>
      <w:r w:rsidRPr="007A07E5">
        <w:tab/>
        <w:t>(i)</w:t>
      </w:r>
      <w:r w:rsidRPr="007A07E5">
        <w:tab/>
        <w:t>a breach of the provision could result in significant detriment to the person; or</w:t>
      </w:r>
    </w:p>
    <w:p w:rsidR="00D26EF0" w:rsidRPr="007A07E5" w:rsidRDefault="00D26EF0" w:rsidP="007A07E5">
      <w:pPr>
        <w:pStyle w:val="paragraphsub"/>
      </w:pPr>
      <w:r w:rsidRPr="007A07E5">
        <w:tab/>
      </w:r>
      <w:r w:rsidR="00266428" w:rsidRPr="007A07E5">
        <w:t>(ii)</w:t>
      </w:r>
      <w:r w:rsidR="00266428" w:rsidRPr="007A07E5">
        <w:tab/>
        <w:t>a breach of the provision c</w:t>
      </w:r>
      <w:r w:rsidRPr="007A07E5">
        <w:t>ould significantly undermine the confidence of the Australian public, or a section of the Australian public, in the provision of financial services in this jurisdiction or those who provide financial services in this jurisdiction.</w:t>
      </w:r>
    </w:p>
    <w:p w:rsidR="00486198" w:rsidRPr="007A07E5" w:rsidRDefault="00486198" w:rsidP="007A07E5">
      <w:pPr>
        <w:pStyle w:val="subsection"/>
      </w:pPr>
      <w:r w:rsidRPr="007A07E5">
        <w:tab/>
        <w:t>(3)</w:t>
      </w:r>
      <w:r w:rsidRPr="007A07E5">
        <w:tab/>
        <w:t>ASIC must not approve a code of conduct unless it is satisfied that:</w:t>
      </w:r>
    </w:p>
    <w:p w:rsidR="00F26909" w:rsidRPr="007A07E5" w:rsidRDefault="00F26909" w:rsidP="007A07E5">
      <w:pPr>
        <w:pStyle w:val="paragraph"/>
      </w:pPr>
      <w:r w:rsidRPr="007A07E5">
        <w:tab/>
        <w:t>(a)</w:t>
      </w:r>
      <w:r w:rsidRPr="007A07E5">
        <w:tab/>
        <w:t>to the extent that the code is inconsistent with this Act or any other law of the Commonwealth under which ASIC has regulatory responsibilities—the code imposes an obligation on a subscriber that is more onerous than that imposed by this Act or any other law of the Commonwealth under which ASIC has regulatory responsibilities; and</w:t>
      </w:r>
    </w:p>
    <w:p w:rsidR="00486198" w:rsidRPr="007A07E5" w:rsidRDefault="00486198" w:rsidP="007A07E5">
      <w:pPr>
        <w:pStyle w:val="paragraph"/>
      </w:pPr>
      <w:r w:rsidRPr="007A07E5">
        <w:tab/>
        <w:t>(b)</w:t>
      </w:r>
      <w:r w:rsidRPr="007A07E5">
        <w:tab/>
        <w:t>each enforceable code provision is legally effective; and</w:t>
      </w:r>
    </w:p>
    <w:p w:rsidR="00486198" w:rsidRPr="007A07E5" w:rsidRDefault="00486198" w:rsidP="007A07E5">
      <w:pPr>
        <w:pStyle w:val="paragraph"/>
      </w:pPr>
      <w:r w:rsidRPr="007A07E5">
        <w:tab/>
        <w:t>(c)</w:t>
      </w:r>
      <w:r w:rsidRPr="007A07E5">
        <w:tab/>
        <w:t>it is appropriate to approve the code, having regard to the following matters:</w:t>
      </w:r>
    </w:p>
    <w:p w:rsidR="00486198" w:rsidRPr="007A07E5" w:rsidRDefault="00486198" w:rsidP="007A07E5">
      <w:pPr>
        <w:pStyle w:val="paragraphsub"/>
      </w:pPr>
      <w:r w:rsidRPr="007A07E5">
        <w:tab/>
        <w:t>(i)</w:t>
      </w:r>
      <w:r w:rsidRPr="007A07E5">
        <w:tab/>
        <w:t>whether the obligations of subscribers to the code are capable of being enforced;</w:t>
      </w:r>
    </w:p>
    <w:p w:rsidR="00486198" w:rsidRPr="007A07E5" w:rsidRDefault="00486198" w:rsidP="007A07E5">
      <w:pPr>
        <w:pStyle w:val="paragraphsub"/>
      </w:pPr>
      <w:r w:rsidRPr="007A07E5">
        <w:tab/>
        <w:t>(ii)</w:t>
      </w:r>
      <w:r w:rsidRPr="007A07E5">
        <w:tab/>
        <w:t>whether all members of the applicant who provide financial services covered by the code are likely to become subscribers to the code;</w:t>
      </w:r>
    </w:p>
    <w:p w:rsidR="00486198" w:rsidRPr="007A07E5" w:rsidRDefault="00486198" w:rsidP="007A07E5">
      <w:pPr>
        <w:pStyle w:val="paragraphsub"/>
      </w:pPr>
      <w:r w:rsidRPr="007A07E5">
        <w:tab/>
        <w:t>(iii)</w:t>
      </w:r>
      <w:r w:rsidRPr="007A07E5">
        <w:tab/>
        <w:t>whether other persons or entities providing financial services covered by the code are likely to become subscribers to the code;</w:t>
      </w:r>
    </w:p>
    <w:p w:rsidR="00486198" w:rsidRPr="007A07E5" w:rsidRDefault="00486198" w:rsidP="007A07E5">
      <w:pPr>
        <w:pStyle w:val="paragraphsub"/>
      </w:pPr>
      <w:r w:rsidRPr="007A07E5">
        <w:tab/>
        <w:t>(iv)</w:t>
      </w:r>
      <w:r w:rsidRPr="007A07E5">
        <w:tab/>
        <w:t>whether the applicant has effective administrative systems for monitoring compliance with the code and making information obtained as a result of monitoring publicly available;</w:t>
      </w:r>
    </w:p>
    <w:p w:rsidR="00486198" w:rsidRPr="007A07E5" w:rsidRDefault="00486198" w:rsidP="007A07E5">
      <w:pPr>
        <w:pStyle w:val="paragraphsub"/>
      </w:pPr>
      <w:r w:rsidRPr="007A07E5">
        <w:lastRenderedPageBreak/>
        <w:tab/>
        <w:t>(v)</w:t>
      </w:r>
      <w:r w:rsidRPr="007A07E5">
        <w:tab/>
        <w:t>whether the applicant has effective administrative systems for maintaining, and making publicly available, an accurate list of subscribers to the code;</w:t>
      </w:r>
    </w:p>
    <w:p w:rsidR="00486198" w:rsidRPr="007A07E5" w:rsidRDefault="00486198" w:rsidP="007A07E5">
      <w:pPr>
        <w:pStyle w:val="paragraphsub"/>
      </w:pPr>
      <w:r w:rsidRPr="007A07E5">
        <w:tab/>
        <w:t>(vi)</w:t>
      </w:r>
      <w:r w:rsidRPr="007A07E5">
        <w:tab/>
        <w:t>any other matters that ASIC considers relevant.</w:t>
      </w:r>
    </w:p>
    <w:p w:rsidR="00CD6BAD" w:rsidRPr="007A07E5" w:rsidRDefault="00CD6BAD" w:rsidP="007A07E5">
      <w:pPr>
        <w:pStyle w:val="subsection"/>
      </w:pPr>
      <w:r w:rsidRPr="007A07E5">
        <w:tab/>
        <w:t>(4)</w:t>
      </w:r>
      <w:r w:rsidRPr="007A07E5">
        <w:tab/>
        <w:t>ASIC may, by legislative instrument, revoke an approval of an approved code of conduct:</w:t>
      </w:r>
    </w:p>
    <w:p w:rsidR="00CD6BAD" w:rsidRPr="007A07E5" w:rsidRDefault="00CD6BAD" w:rsidP="007A07E5">
      <w:pPr>
        <w:pStyle w:val="paragraph"/>
      </w:pPr>
      <w:r w:rsidRPr="007A07E5">
        <w:tab/>
        <w:t>(a)</w:t>
      </w:r>
      <w:r w:rsidRPr="007A07E5">
        <w:tab/>
        <w:t>on application by the applicant for the approval; or</w:t>
      </w:r>
    </w:p>
    <w:p w:rsidR="00CD6BAD" w:rsidRPr="007A07E5" w:rsidRDefault="00CD6BAD" w:rsidP="007A07E5">
      <w:pPr>
        <w:pStyle w:val="paragraph"/>
      </w:pPr>
      <w:r w:rsidRPr="007A07E5">
        <w:tab/>
        <w:t>(b)</w:t>
      </w:r>
      <w:r w:rsidRPr="007A07E5">
        <w:tab/>
        <w:t xml:space="preserve">if ASIC ceases to be satisfied of the matters mentioned in </w:t>
      </w:r>
      <w:r w:rsidR="007A07E5" w:rsidRPr="007A07E5">
        <w:t>subsection (</w:t>
      </w:r>
      <w:r w:rsidRPr="007A07E5">
        <w:t>3); or</w:t>
      </w:r>
    </w:p>
    <w:p w:rsidR="00CD6BAD" w:rsidRPr="007A07E5" w:rsidRDefault="00CD6BAD" w:rsidP="007A07E5">
      <w:pPr>
        <w:pStyle w:val="paragraph"/>
      </w:pPr>
      <w:r w:rsidRPr="007A07E5">
        <w:tab/>
        <w:t>(c)</w:t>
      </w:r>
      <w:r w:rsidRPr="007A07E5">
        <w:tab/>
        <w:t>if a review of the operation of the code is not completed by the applicant within the timeframe required by section</w:t>
      </w:r>
      <w:r w:rsidR="007A07E5" w:rsidRPr="007A07E5">
        <w:t> </w:t>
      </w:r>
      <w:r w:rsidRPr="007A07E5">
        <w:t>238C.</w:t>
      </w:r>
    </w:p>
    <w:p w:rsidR="00486198" w:rsidRPr="007A07E5" w:rsidRDefault="00486198" w:rsidP="007A07E5">
      <w:pPr>
        <w:pStyle w:val="subsection"/>
      </w:pPr>
      <w:r w:rsidRPr="007A07E5">
        <w:tab/>
        <w:t>(5)</w:t>
      </w:r>
      <w:r w:rsidRPr="007A07E5">
        <w:tab/>
      </w:r>
      <w:r w:rsidR="007A07E5" w:rsidRPr="007A07E5">
        <w:t>Subsection (</w:t>
      </w:r>
      <w:r w:rsidRPr="007A07E5">
        <w:t>4) does not, by implication, limi</w:t>
      </w:r>
      <w:r w:rsidR="009001E6" w:rsidRPr="007A07E5">
        <w:t>t the application of subsection</w:t>
      </w:r>
      <w:r w:rsidR="007A07E5" w:rsidRPr="007A07E5">
        <w:t> </w:t>
      </w:r>
      <w:r w:rsidRPr="007A07E5">
        <w:t xml:space="preserve">33(3) of the </w:t>
      </w:r>
      <w:r w:rsidRPr="007A07E5">
        <w:rPr>
          <w:i/>
        </w:rPr>
        <w:t>Acts Interpretation Act 1901</w:t>
      </w:r>
      <w:r w:rsidRPr="007A07E5">
        <w:t>.</w:t>
      </w:r>
    </w:p>
    <w:p w:rsidR="00486198" w:rsidRPr="007A07E5" w:rsidRDefault="00486198" w:rsidP="007A07E5">
      <w:pPr>
        <w:pStyle w:val="ActHead5"/>
      </w:pPr>
      <w:bookmarkStart w:id="17" w:name="_Toc27482471"/>
      <w:r w:rsidRPr="003061A0">
        <w:rPr>
          <w:rStyle w:val="CharSectno"/>
        </w:rPr>
        <w:t>238B</w:t>
      </w:r>
      <w:r w:rsidRPr="007A07E5">
        <w:t xml:space="preserve">  Variations to approved codes of conduct</w:t>
      </w:r>
      <w:bookmarkEnd w:id="17"/>
    </w:p>
    <w:p w:rsidR="00486198" w:rsidRPr="007A07E5" w:rsidRDefault="00486198" w:rsidP="007A07E5">
      <w:pPr>
        <w:pStyle w:val="subsection"/>
      </w:pPr>
      <w:r w:rsidRPr="007A07E5">
        <w:tab/>
        <w:t>(1)</w:t>
      </w:r>
      <w:r w:rsidRPr="007A07E5">
        <w:tab/>
        <w:t>If an application is made to vary an approved code of conduct, ASIC may, by legislative instrument, approve the variation.</w:t>
      </w:r>
    </w:p>
    <w:p w:rsidR="00486198" w:rsidRPr="007A07E5" w:rsidRDefault="00486198" w:rsidP="007A07E5">
      <w:pPr>
        <w:pStyle w:val="subsection"/>
      </w:pPr>
      <w:r w:rsidRPr="007A07E5">
        <w:tab/>
        <w:t>(2)</w:t>
      </w:r>
      <w:r w:rsidRPr="007A07E5">
        <w:tab/>
        <w:t>S</w:t>
      </w:r>
      <w:r w:rsidR="009001E6" w:rsidRPr="007A07E5">
        <w:t>ubs</w:t>
      </w:r>
      <w:r w:rsidRPr="007A07E5">
        <w:t>ection</w:t>
      </w:r>
      <w:r w:rsidR="009001E6" w:rsidRPr="007A07E5">
        <w:t>s</w:t>
      </w:r>
      <w:r w:rsidR="007A07E5" w:rsidRPr="007A07E5">
        <w:t> </w:t>
      </w:r>
      <w:r w:rsidRPr="007A07E5">
        <w:t>238A</w:t>
      </w:r>
      <w:r w:rsidR="009001E6" w:rsidRPr="007A07E5">
        <w:t>(2) and (3)</w:t>
      </w:r>
      <w:r w:rsidRPr="007A07E5">
        <w:t xml:space="preserve"> appl</w:t>
      </w:r>
      <w:r w:rsidR="009001E6" w:rsidRPr="007A07E5">
        <w:t>y</w:t>
      </w:r>
      <w:r w:rsidRPr="007A07E5">
        <w:t xml:space="preserve"> in relation to an application under </w:t>
      </w:r>
      <w:r w:rsidR="007A07E5" w:rsidRPr="007A07E5">
        <w:t>subsection (</w:t>
      </w:r>
      <w:r w:rsidRPr="007A07E5">
        <w:t>1) as if it were an application to approve a code of conduct.</w:t>
      </w:r>
    </w:p>
    <w:p w:rsidR="00486198" w:rsidRPr="007A07E5" w:rsidRDefault="00486198" w:rsidP="007A07E5">
      <w:pPr>
        <w:pStyle w:val="ActHead5"/>
      </w:pPr>
      <w:bookmarkStart w:id="18" w:name="_Toc27482472"/>
      <w:r w:rsidRPr="003061A0">
        <w:rPr>
          <w:rStyle w:val="CharSectno"/>
        </w:rPr>
        <w:t>238C</w:t>
      </w:r>
      <w:r w:rsidRPr="007A07E5">
        <w:t xml:space="preserve">  Review of approved codes of conduct</w:t>
      </w:r>
      <w:bookmarkEnd w:id="18"/>
    </w:p>
    <w:p w:rsidR="00486198" w:rsidRPr="007A07E5" w:rsidRDefault="00486198" w:rsidP="007A07E5">
      <w:pPr>
        <w:pStyle w:val="subsection"/>
      </w:pPr>
      <w:r w:rsidRPr="007A07E5">
        <w:tab/>
        <w:t>(1)</w:t>
      </w:r>
      <w:r w:rsidRPr="007A07E5">
        <w:tab/>
        <w:t>The applicant, in relation to an approved code of conduct, must ensure that, every 5 years, an independent review is undertaken of the operation of the approved code of conduct.</w:t>
      </w:r>
    </w:p>
    <w:p w:rsidR="00486198" w:rsidRPr="007A07E5" w:rsidRDefault="00486198" w:rsidP="007A07E5">
      <w:pPr>
        <w:pStyle w:val="subsection"/>
      </w:pPr>
      <w:r w:rsidRPr="007A07E5">
        <w:tab/>
        <w:t>(2)</w:t>
      </w:r>
      <w:r w:rsidRPr="007A07E5">
        <w:tab/>
        <w:t xml:space="preserve">A review under </w:t>
      </w:r>
      <w:r w:rsidR="007A07E5" w:rsidRPr="007A07E5">
        <w:t>subsection (</w:t>
      </w:r>
      <w:r w:rsidRPr="007A07E5">
        <w:t>1) must make provision for public consultation.</w:t>
      </w:r>
    </w:p>
    <w:p w:rsidR="00486198" w:rsidRPr="007A07E5" w:rsidRDefault="00486198" w:rsidP="007A07E5">
      <w:pPr>
        <w:pStyle w:val="subsection"/>
      </w:pPr>
      <w:r w:rsidRPr="007A07E5">
        <w:tab/>
        <w:t>(3)</w:t>
      </w:r>
      <w:r w:rsidRPr="007A07E5">
        <w:tab/>
        <w:t>A review of an approved code of conduct must be completed:</w:t>
      </w:r>
    </w:p>
    <w:p w:rsidR="00486198" w:rsidRPr="007A07E5" w:rsidRDefault="00486198" w:rsidP="007A07E5">
      <w:pPr>
        <w:pStyle w:val="paragraph"/>
      </w:pPr>
      <w:r w:rsidRPr="007A07E5">
        <w:tab/>
        <w:t>(a)</w:t>
      </w:r>
      <w:r w:rsidRPr="007A07E5">
        <w:tab/>
        <w:t>for the first review—before the end of the 5 year period beginning on the day the code of conduct was approved; and</w:t>
      </w:r>
    </w:p>
    <w:p w:rsidR="00486198" w:rsidRPr="007A07E5" w:rsidRDefault="00486198" w:rsidP="007A07E5">
      <w:pPr>
        <w:pStyle w:val="paragraph"/>
      </w:pPr>
      <w:r w:rsidRPr="007A07E5">
        <w:tab/>
        <w:t>(b)</w:t>
      </w:r>
      <w:r w:rsidRPr="007A07E5">
        <w:tab/>
        <w:t>for a subsequent review—within 5 years after the completion of the previous review.</w:t>
      </w:r>
    </w:p>
    <w:p w:rsidR="00486198" w:rsidRPr="007A07E5" w:rsidRDefault="00486198" w:rsidP="007A07E5">
      <w:pPr>
        <w:pStyle w:val="subsection"/>
      </w:pPr>
      <w:r w:rsidRPr="007A07E5">
        <w:tab/>
        <w:t>(4)</w:t>
      </w:r>
      <w:r w:rsidRPr="007A07E5">
        <w:tab/>
        <w:t>For the purposes of this section, a review is completed when a report of the review is given to ASIC.</w:t>
      </w:r>
    </w:p>
    <w:p w:rsidR="00486198" w:rsidRPr="007A07E5" w:rsidRDefault="00486198" w:rsidP="007A07E5">
      <w:pPr>
        <w:pStyle w:val="subsection"/>
      </w:pPr>
      <w:bookmarkStart w:id="19" w:name="_Toc27482473"/>
      <w:r w:rsidRPr="007A07E5">
        <w:lastRenderedPageBreak/>
        <w:tab/>
        <w:t>(5)</w:t>
      </w:r>
      <w:r w:rsidRPr="007A07E5">
        <w:tab/>
        <w:t>Within 10 business days of completing a review, the applicant must publish the report of the review on its website.</w:t>
      </w:r>
    </w:p>
    <w:p w:rsidR="00486198" w:rsidRPr="007A07E5" w:rsidRDefault="00486198" w:rsidP="007A07E5">
      <w:pPr>
        <w:pStyle w:val="ActHead5"/>
      </w:pPr>
      <w:r w:rsidRPr="003061A0">
        <w:rPr>
          <w:rStyle w:val="CharSectno"/>
        </w:rPr>
        <w:t>238D</w:t>
      </w:r>
      <w:r w:rsidRPr="007A07E5">
        <w:t xml:space="preserve">  Obligation to comply with enforceable code provisions</w:t>
      </w:r>
      <w:bookmarkEnd w:id="19"/>
    </w:p>
    <w:p w:rsidR="00486198" w:rsidRPr="007A07E5" w:rsidRDefault="00486198" w:rsidP="007A07E5">
      <w:pPr>
        <w:pStyle w:val="subsection"/>
      </w:pPr>
      <w:r w:rsidRPr="007A07E5">
        <w:tab/>
      </w:r>
      <w:r w:rsidRPr="007A07E5">
        <w:tab/>
        <w:t>If a person holds out that they comply with an approved code of conduct, the person must not breach an enforceable code provision of the approved code of conduct.</w:t>
      </w:r>
    </w:p>
    <w:p w:rsidR="00486198" w:rsidRPr="007A07E5" w:rsidRDefault="00486198" w:rsidP="007A07E5">
      <w:pPr>
        <w:pStyle w:val="Penalty"/>
      </w:pPr>
      <w:r w:rsidRPr="007A07E5">
        <w:t>Civil penalty:</w:t>
      </w:r>
      <w:r w:rsidRPr="007A07E5">
        <w:tab/>
        <w:t>300 penalty units.</w:t>
      </w:r>
    </w:p>
    <w:p w:rsidR="00486198" w:rsidRPr="007A07E5" w:rsidRDefault="00486198" w:rsidP="007A07E5">
      <w:pPr>
        <w:pStyle w:val="ActHead5"/>
      </w:pPr>
      <w:bookmarkStart w:id="20" w:name="_Toc27482474"/>
      <w:r w:rsidRPr="003061A0">
        <w:rPr>
          <w:rStyle w:val="CharSectno"/>
        </w:rPr>
        <w:t>238E</w:t>
      </w:r>
      <w:r w:rsidRPr="007A07E5">
        <w:t xml:space="preserve">  Mandatory codes of conduct</w:t>
      </w:r>
      <w:bookmarkEnd w:id="20"/>
    </w:p>
    <w:p w:rsidR="00486198" w:rsidRPr="007A07E5" w:rsidRDefault="00486198" w:rsidP="007A07E5">
      <w:pPr>
        <w:pStyle w:val="subsection"/>
      </w:pPr>
      <w:r w:rsidRPr="007A07E5">
        <w:tab/>
        <w:t>(1)</w:t>
      </w:r>
      <w:r w:rsidRPr="007A07E5">
        <w:tab/>
        <w:t>The regulations may prescribe a code of conduct for the purposes of this Division and declare it to be a mandatory code of conduct.</w:t>
      </w:r>
    </w:p>
    <w:p w:rsidR="00486198" w:rsidRPr="007A07E5" w:rsidRDefault="00486198" w:rsidP="007A07E5">
      <w:pPr>
        <w:pStyle w:val="subsection"/>
      </w:pPr>
      <w:r w:rsidRPr="007A07E5">
        <w:tab/>
        <w:t>(2)</w:t>
      </w:r>
      <w:r w:rsidRPr="007A07E5">
        <w:tab/>
        <w:t>Regulations declaring a code of conduct a mandatory code of conduct may also:</w:t>
      </w:r>
    </w:p>
    <w:p w:rsidR="00486198" w:rsidRPr="007A07E5" w:rsidRDefault="00486198" w:rsidP="007A07E5">
      <w:pPr>
        <w:pStyle w:val="paragraph"/>
      </w:pPr>
      <w:r w:rsidRPr="007A07E5">
        <w:tab/>
        <w:t>(a)</w:t>
      </w:r>
      <w:r w:rsidRPr="007A07E5">
        <w:tab/>
        <w:t>confer functions and powers on a person or body for the purposes of:</w:t>
      </w:r>
    </w:p>
    <w:p w:rsidR="00486198" w:rsidRPr="007A07E5" w:rsidRDefault="00486198" w:rsidP="007A07E5">
      <w:pPr>
        <w:pStyle w:val="paragraphsub"/>
      </w:pPr>
      <w:r w:rsidRPr="007A07E5">
        <w:tab/>
        <w:t>(i)</w:t>
      </w:r>
      <w:r w:rsidRPr="007A07E5">
        <w:tab/>
        <w:t>monitoring compliance with the code of conduct; and</w:t>
      </w:r>
    </w:p>
    <w:p w:rsidR="00486198" w:rsidRPr="007A07E5" w:rsidRDefault="00486198" w:rsidP="007A07E5">
      <w:pPr>
        <w:pStyle w:val="paragraphsub"/>
      </w:pPr>
      <w:r w:rsidRPr="007A07E5">
        <w:tab/>
        <w:t>(ii)</w:t>
      </w:r>
      <w:r w:rsidRPr="007A07E5">
        <w:tab/>
        <w:t>dealing with disputes or complaints arising under, or in relation to, the code of conduct; and</w:t>
      </w:r>
    </w:p>
    <w:p w:rsidR="00486198" w:rsidRPr="007A07E5" w:rsidRDefault="00486198" w:rsidP="007A07E5">
      <w:pPr>
        <w:pStyle w:val="paragraphsub"/>
      </w:pPr>
      <w:r w:rsidRPr="007A07E5">
        <w:tab/>
        <w:t>(iii)</w:t>
      </w:r>
      <w:r w:rsidRPr="007A07E5">
        <w:tab/>
        <w:t>dealing with other associated administrative matters; or</w:t>
      </w:r>
    </w:p>
    <w:p w:rsidR="00486198" w:rsidRPr="007A07E5" w:rsidRDefault="00486198" w:rsidP="007A07E5">
      <w:pPr>
        <w:pStyle w:val="paragraph"/>
      </w:pPr>
      <w:r w:rsidRPr="007A07E5">
        <w:tab/>
        <w:t>(b)</w:t>
      </w:r>
      <w:r w:rsidRPr="007A07E5">
        <w:tab/>
        <w:t>provide for and in relation to:</w:t>
      </w:r>
    </w:p>
    <w:p w:rsidR="00486198" w:rsidRPr="007A07E5" w:rsidRDefault="00486198" w:rsidP="007A07E5">
      <w:pPr>
        <w:pStyle w:val="paragraphsub"/>
      </w:pPr>
      <w:r w:rsidRPr="007A07E5">
        <w:tab/>
        <w:t>(i)</w:t>
      </w:r>
      <w:r w:rsidRPr="007A07E5">
        <w:tab/>
        <w:t>the keeping of records by persons bound by the code of conduct; and</w:t>
      </w:r>
    </w:p>
    <w:p w:rsidR="00486198" w:rsidRPr="007A07E5" w:rsidRDefault="00486198" w:rsidP="007A07E5">
      <w:pPr>
        <w:pStyle w:val="paragraphsub"/>
      </w:pPr>
      <w:r w:rsidRPr="007A07E5">
        <w:tab/>
        <w:t>(ii)</w:t>
      </w:r>
      <w:r w:rsidRPr="007A07E5">
        <w:tab/>
        <w:t>reporting obligations of such persons.</w:t>
      </w:r>
    </w:p>
    <w:p w:rsidR="00486198" w:rsidRPr="007A07E5" w:rsidRDefault="00486198" w:rsidP="007A07E5">
      <w:pPr>
        <w:pStyle w:val="subsection"/>
      </w:pPr>
      <w:r w:rsidRPr="007A07E5">
        <w:tab/>
        <w:t>(3)</w:t>
      </w:r>
      <w:r w:rsidRPr="007A07E5">
        <w:tab/>
        <w:t>If regulations prescribe a code of conduct, the code of conduct may prescribe pecuniary penalties not exceeding 1,000 penalty units for civil penalty provisions of the code of conduct.</w:t>
      </w:r>
    </w:p>
    <w:p w:rsidR="00486198" w:rsidRPr="007A07E5" w:rsidRDefault="00D26EF0" w:rsidP="007A07E5">
      <w:pPr>
        <w:pStyle w:val="subsection"/>
      </w:pPr>
      <w:r w:rsidRPr="007A07E5">
        <w:tab/>
        <w:t>(4)</w:t>
      </w:r>
      <w:r w:rsidRPr="007A07E5">
        <w:tab/>
        <w:t>To avoid doubt, s</w:t>
      </w:r>
      <w:r w:rsidR="00486198" w:rsidRPr="007A07E5">
        <w:t>ubsections</w:t>
      </w:r>
      <w:r w:rsidR="007A07E5" w:rsidRPr="007A07E5">
        <w:t> </w:t>
      </w:r>
      <w:r w:rsidR="00486198" w:rsidRPr="007A07E5">
        <w:t>167B(1) and (2) do not apply in relation to the contravention of a civil penalty provision of a mandatory code of conduct.</w:t>
      </w:r>
    </w:p>
    <w:p w:rsidR="00486198" w:rsidRPr="007A07E5" w:rsidRDefault="00486198" w:rsidP="007A07E5">
      <w:pPr>
        <w:pStyle w:val="ActHead5"/>
      </w:pPr>
      <w:bookmarkStart w:id="21" w:name="_Toc27482475"/>
      <w:r w:rsidRPr="003061A0">
        <w:rPr>
          <w:rStyle w:val="CharSectno"/>
        </w:rPr>
        <w:t>238F</w:t>
      </w:r>
      <w:r w:rsidRPr="007A07E5">
        <w:t xml:space="preserve">  Obligation to comply with mandatory code of conduct</w:t>
      </w:r>
      <w:bookmarkEnd w:id="21"/>
    </w:p>
    <w:p w:rsidR="00486198" w:rsidRPr="007A07E5" w:rsidRDefault="00486198" w:rsidP="007A07E5">
      <w:pPr>
        <w:pStyle w:val="subsection"/>
      </w:pPr>
      <w:r w:rsidRPr="007A07E5">
        <w:tab/>
      </w:r>
      <w:r w:rsidRPr="007A07E5">
        <w:tab/>
        <w:t>A person must not contravene a mandatory code of conduct.</w:t>
      </w:r>
    </w:p>
    <w:p w:rsidR="00486198" w:rsidRPr="007A07E5" w:rsidRDefault="00C40409" w:rsidP="007A07E5">
      <w:pPr>
        <w:pStyle w:val="ItemHead"/>
      </w:pPr>
      <w:r w:rsidRPr="007A07E5">
        <w:t>12</w:t>
      </w:r>
      <w:r w:rsidR="00486198" w:rsidRPr="007A07E5">
        <w:t xml:space="preserve">  Section</w:t>
      </w:r>
      <w:r w:rsidR="007A07E5" w:rsidRPr="007A07E5">
        <w:t> </w:t>
      </w:r>
      <w:r w:rsidR="00486198" w:rsidRPr="007A07E5">
        <w:t>241</w:t>
      </w:r>
    </w:p>
    <w:p w:rsidR="00486198" w:rsidRPr="007A07E5" w:rsidRDefault="00486198" w:rsidP="007A07E5">
      <w:pPr>
        <w:pStyle w:val="Item"/>
      </w:pPr>
      <w:r w:rsidRPr="007A07E5">
        <w:t>Repeal the section.</w:t>
      </w:r>
    </w:p>
    <w:p w:rsidR="00486198" w:rsidRPr="007A07E5" w:rsidRDefault="00C40409" w:rsidP="007A07E5">
      <w:pPr>
        <w:pStyle w:val="ItemHead"/>
      </w:pPr>
      <w:r w:rsidRPr="007A07E5">
        <w:lastRenderedPageBreak/>
        <w:t>13</w:t>
      </w:r>
      <w:r w:rsidR="00486198" w:rsidRPr="007A07E5">
        <w:t xml:space="preserve">  After paragraph</w:t>
      </w:r>
      <w:r w:rsidR="007A07E5" w:rsidRPr="007A07E5">
        <w:t> </w:t>
      </w:r>
      <w:r w:rsidR="00486198" w:rsidRPr="007A07E5">
        <w:t>288K(1)(c)</w:t>
      </w:r>
    </w:p>
    <w:p w:rsidR="00486198" w:rsidRPr="007A07E5" w:rsidRDefault="00486198" w:rsidP="007A07E5">
      <w:pPr>
        <w:pStyle w:val="Item"/>
      </w:pPr>
      <w:r w:rsidRPr="007A07E5">
        <w:t>Insert:</w:t>
      </w:r>
    </w:p>
    <w:p w:rsidR="00486198" w:rsidRPr="007A07E5" w:rsidRDefault="00486198" w:rsidP="007A07E5">
      <w:pPr>
        <w:pStyle w:val="paragraph"/>
      </w:pPr>
      <w:r w:rsidRPr="007A07E5">
        <w:tab/>
        <w:t>(ca)</w:t>
      </w:r>
      <w:r w:rsidRPr="007A07E5">
        <w:tab/>
        <w:t>civil penalty provisions of an approved code of conduct;</w:t>
      </w:r>
    </w:p>
    <w:p w:rsidR="00486198" w:rsidRPr="007A07E5" w:rsidRDefault="00486198" w:rsidP="007A07E5">
      <w:pPr>
        <w:pStyle w:val="paragraph"/>
      </w:pPr>
      <w:r w:rsidRPr="007A07E5">
        <w:tab/>
        <w:t>(cb)</w:t>
      </w:r>
      <w:r w:rsidRPr="007A07E5">
        <w:tab/>
        <w:t>civil penalty provisions of a mandatory code of conduct;</w:t>
      </w:r>
    </w:p>
    <w:p w:rsidR="00486198" w:rsidRPr="007A07E5" w:rsidRDefault="00C40409" w:rsidP="007A07E5">
      <w:pPr>
        <w:pStyle w:val="ItemHead"/>
      </w:pPr>
      <w:r w:rsidRPr="007A07E5">
        <w:t>14</w:t>
      </w:r>
      <w:r w:rsidR="00486198" w:rsidRPr="007A07E5">
        <w:t xml:space="preserve">  Paragraph 327(1)(c)</w:t>
      </w:r>
    </w:p>
    <w:p w:rsidR="00486198" w:rsidRPr="007A07E5" w:rsidRDefault="00486198" w:rsidP="007A07E5">
      <w:pPr>
        <w:pStyle w:val="Item"/>
      </w:pPr>
      <w:r w:rsidRPr="007A07E5">
        <w:t>Omit “section</w:t>
      </w:r>
      <w:r w:rsidR="007A07E5" w:rsidRPr="007A07E5">
        <w:t> </w:t>
      </w:r>
      <w:r w:rsidRPr="007A07E5">
        <w:t>241”, substitute “section</w:t>
      </w:r>
      <w:r w:rsidR="007A07E5" w:rsidRPr="007A07E5">
        <w:t> </w:t>
      </w:r>
      <w:r w:rsidRPr="007A07E5">
        <w:t>238A or 238B”.</w:t>
      </w:r>
    </w:p>
    <w:sectPr w:rsidR="00486198" w:rsidRPr="007A07E5" w:rsidSect="007A07E5">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C56" w:rsidRDefault="00EB6C56" w:rsidP="00664C63">
      <w:pPr>
        <w:spacing w:line="240" w:lineRule="auto"/>
      </w:pPr>
      <w:r>
        <w:separator/>
      </w:r>
    </w:p>
  </w:endnote>
  <w:endnote w:type="continuationSeparator" w:id="0">
    <w:p w:rsidR="00EB6C56" w:rsidRDefault="00EB6C5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56" w:rsidRPr="00BB4623" w:rsidRDefault="00EB6C56" w:rsidP="007A07E5">
    <w:pPr>
      <w:pBdr>
        <w:top w:val="single" w:sz="6" w:space="1" w:color="auto"/>
      </w:pBdr>
      <w:spacing w:before="120"/>
      <w:jc w:val="right"/>
      <w:rPr>
        <w:sz w:val="18"/>
      </w:rPr>
    </w:pPr>
  </w:p>
  <w:p w:rsidR="00EB6C56" w:rsidRPr="00BB4623" w:rsidRDefault="00EB6C5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7A07E5">
      <w:rPr>
        <w:i/>
        <w:noProof/>
        <w:sz w:val="18"/>
      </w:rPr>
      <w:t>13</w:t>
    </w:r>
    <w:r w:rsidRPr="00BB4623">
      <w:rPr>
        <w:i/>
        <w:sz w:val="18"/>
      </w:rPr>
      <w:fldChar w:fldCharType="end"/>
    </w:r>
  </w:p>
  <w:p w:rsidR="00EB6C56" w:rsidRPr="00BB4623" w:rsidRDefault="00EB6C56"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56" w:rsidRDefault="00EB6C56" w:rsidP="007A07E5">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EB6C56" w:rsidRPr="00B3608C" w:rsidTr="00EB6C56">
      <w:trPr>
        <w:trHeight w:val="280"/>
      </w:trPr>
      <w:tc>
        <w:tcPr>
          <w:tcW w:w="7087" w:type="dxa"/>
        </w:tcPr>
        <w:p w:rsidR="00EB6C56" w:rsidRPr="00B3608C" w:rsidRDefault="00EB6C56" w:rsidP="00EB6C5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FA48DC">
            <w:rPr>
              <w:i/>
              <w:noProof/>
              <w:sz w:val="18"/>
            </w:rPr>
            <w:t>13</w:t>
          </w:r>
          <w:r w:rsidRPr="00BB4623">
            <w:rPr>
              <w:i/>
              <w:sz w:val="18"/>
            </w:rPr>
            <w:fldChar w:fldCharType="end"/>
          </w:r>
        </w:p>
      </w:tc>
    </w:tr>
    <w:tr w:rsidR="00EB6C56" w:rsidRPr="00B3608C" w:rsidTr="00EB6C56">
      <w:tc>
        <w:tcPr>
          <w:tcW w:w="7087" w:type="dxa"/>
        </w:tcPr>
        <w:p w:rsidR="00EB6C56" w:rsidRPr="00B3608C" w:rsidRDefault="00EB6C56" w:rsidP="00EB6C56">
          <w:pPr>
            <w:rPr>
              <w:i/>
              <w:sz w:val="18"/>
            </w:rPr>
          </w:pPr>
          <w:r>
            <w:rPr>
              <w:i/>
              <w:noProof/>
              <w:sz w:val="18"/>
              <w:lang w:eastAsia="en-AU"/>
            </w:rPr>
            <mc:AlternateContent>
              <mc:Choice Requires="wps">
                <w:drawing>
                  <wp:anchor distT="0" distB="0" distL="114300" distR="114300" simplePos="0" relativeHeight="251665408" behindDoc="1" locked="0" layoutInCell="1" allowOverlap="1" wp14:anchorId="77BCE939" wp14:editId="254C1C21">
                    <wp:simplePos x="0" y="0"/>
                    <wp:positionH relativeFrom="column">
                      <wp:align>center</wp:align>
                    </wp:positionH>
                    <wp:positionV relativeFrom="page">
                      <wp:posOffset>10079990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EB6C56" w:rsidRPr="0033411C" w:rsidRDefault="00EB6C56"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61A0">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I6XvMpMAwAAywcAAA4AAAAAAAAAAAAAAAAALgIA&#10;AGRycy9lMm9Eb2MueG1sUEsBAi0AFAAGAAgAAAAhADwCUpLfAAAACgEAAA8AAAAAAAAAAAAAAAAA&#10;pgUAAGRycy9kb3ducmV2LnhtbFBLBQYAAAAABAAEAPMAAACyBgAAAAA=&#10;" stroked="f">
                    <v:stroke joinstyle="round"/>
                    <v:path arrowok="t"/>
                    <v:textbox>
                      <w:txbxContent>
                        <w:p w:rsidR="00EB6C56" w:rsidRPr="0033411C" w:rsidRDefault="00EB6C56"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61A0">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r w:rsidRPr="00BB4623">
            <w:rPr>
              <w:i/>
              <w:sz w:val="18"/>
            </w:rPr>
            <w:t xml:space="preserve">  </w:t>
          </w:r>
        </w:p>
      </w:tc>
    </w:tr>
  </w:tbl>
  <w:p w:rsidR="00EB6C56" w:rsidRPr="00BB4623" w:rsidRDefault="00EB6C56" w:rsidP="00B3608C">
    <w:pPr>
      <w:pStyle w:val="Tabletext"/>
      <w:spacing w:before="0"/>
    </w:pPr>
    <w:r>
      <w:rPr>
        <w:i/>
        <w:noProof/>
        <w:sz w:val="18"/>
      </w:rPr>
      <mc:AlternateContent>
        <mc:Choice Requires="wps">
          <w:drawing>
            <wp:anchor distT="0" distB="0" distL="114300" distR="114300" simplePos="0" relativeHeight="251663360" behindDoc="1" locked="0" layoutInCell="1" allowOverlap="1" wp14:anchorId="10848A06" wp14:editId="47AFBF40">
              <wp:simplePos x="0" y="0"/>
              <wp:positionH relativeFrom="column">
                <wp:posOffset>275590</wp:posOffset>
              </wp:positionH>
              <wp:positionV relativeFrom="page">
                <wp:posOffset>10035540</wp:posOffset>
              </wp:positionV>
              <wp:extent cx="4326255" cy="4343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255" cy="4343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EB6C56" w:rsidRPr="0033411C" w:rsidRDefault="00EB6C56"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61A0">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1.7pt;margin-top:790.2pt;width:340.65pt;height:3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" stroked="f">
              <v:stroke joinstyle="round"/>
              <v:path arrowok="t"/>
              <v:textbox>
                <w:txbxContent>
                  <w:p w:rsidR="00EB6C56" w:rsidRPr="0033411C" w:rsidRDefault="00EB6C56"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61A0">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56" w:rsidRPr="00BB4623" w:rsidRDefault="00EB6C56" w:rsidP="007A07E5">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C56" w:rsidRDefault="00EB6C56" w:rsidP="00664C63">
      <w:pPr>
        <w:spacing w:line="240" w:lineRule="auto"/>
      </w:pPr>
      <w:r>
        <w:separator/>
      </w:r>
    </w:p>
  </w:footnote>
  <w:footnote w:type="continuationSeparator" w:id="0">
    <w:p w:rsidR="00EB6C56" w:rsidRDefault="00EB6C56"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56" w:rsidRPr="00BB4623" w:rsidRDefault="00EB6C56" w:rsidP="00664C63">
    <w:pPr>
      <w:rPr>
        <w:sz w:val="24"/>
      </w:rPr>
    </w:pPr>
  </w:p>
  <w:p w:rsidR="00EB6C56" w:rsidRPr="00BB4623" w:rsidRDefault="00EB6C56"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56" w:rsidRPr="00BB4623" w:rsidRDefault="00EB6C56"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309A2781" wp14:editId="24EA40D4">
              <wp:simplePos x="0" y="0"/>
              <wp:positionH relativeFrom="column">
                <wp:align>center</wp:align>
              </wp:positionH>
              <wp:positionV relativeFrom="page">
                <wp:posOffset>143510</wp:posOffset>
              </wp:positionV>
              <wp:extent cx="4410075" cy="4000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EB6C56" w:rsidRPr="0033411C" w:rsidRDefault="00EB6C56"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61A0">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PpSAMAAMQ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b1uT6UgDAADEBwAADgAAAAAAAAAAAAAAAAAuAgAAZHJzL2Uy&#10;b0RvYy54bWxQSwECLQAUAAYACAAAACEA5grfutwAAAAGAQAADwAAAAAAAAAAAAAAAACiBQAAZHJz&#10;L2Rvd25yZXYueG1sUEsFBgAAAAAEAAQA8wAAAKsGAAAAAA==&#10;" stroked="f">
              <v:stroke joinstyle="round"/>
              <v:path arrowok="t"/>
              <v:textbox>
                <w:txbxContent>
                  <w:p w:rsidR="00EB6C56" w:rsidRPr="0033411C" w:rsidRDefault="00EB6C56"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61A0">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p w:rsidR="00EB6C56" w:rsidRPr="00BB4623" w:rsidRDefault="00EB6C56"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56" w:rsidRPr="00BB4623" w:rsidRDefault="00EB6C56"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D184DFD"/>
    <w:multiLevelType w:val="hybridMultilevel"/>
    <w:tmpl w:val="63507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6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DC"/>
    <w:rsid w:val="000022B3"/>
    <w:rsid w:val="000136AF"/>
    <w:rsid w:val="00014B9A"/>
    <w:rsid w:val="00015F9B"/>
    <w:rsid w:val="00017686"/>
    <w:rsid w:val="00020F00"/>
    <w:rsid w:val="00042002"/>
    <w:rsid w:val="000425F9"/>
    <w:rsid w:val="00045B1C"/>
    <w:rsid w:val="00055D20"/>
    <w:rsid w:val="00055E30"/>
    <w:rsid w:val="00061040"/>
    <w:rsid w:val="0006109D"/>
    <w:rsid w:val="000614BF"/>
    <w:rsid w:val="000637A3"/>
    <w:rsid w:val="000650F8"/>
    <w:rsid w:val="0007143E"/>
    <w:rsid w:val="00072136"/>
    <w:rsid w:val="00073C5A"/>
    <w:rsid w:val="00087033"/>
    <w:rsid w:val="00090510"/>
    <w:rsid w:val="00091E89"/>
    <w:rsid w:val="000C74F9"/>
    <w:rsid w:val="000C7EE8"/>
    <w:rsid w:val="000D05EF"/>
    <w:rsid w:val="000D3899"/>
    <w:rsid w:val="000E006C"/>
    <w:rsid w:val="000E6B6A"/>
    <w:rsid w:val="000F21C1"/>
    <w:rsid w:val="000F2B3A"/>
    <w:rsid w:val="000F4126"/>
    <w:rsid w:val="000F5527"/>
    <w:rsid w:val="001016D1"/>
    <w:rsid w:val="0010240E"/>
    <w:rsid w:val="0010745C"/>
    <w:rsid w:val="0011206D"/>
    <w:rsid w:val="001148C2"/>
    <w:rsid w:val="00116CE7"/>
    <w:rsid w:val="00120783"/>
    <w:rsid w:val="00125221"/>
    <w:rsid w:val="00131D30"/>
    <w:rsid w:val="00142AF4"/>
    <w:rsid w:val="00147693"/>
    <w:rsid w:val="00166579"/>
    <w:rsid w:val="00166C2F"/>
    <w:rsid w:val="00167D3D"/>
    <w:rsid w:val="00180D4E"/>
    <w:rsid w:val="00182C9A"/>
    <w:rsid w:val="0018435F"/>
    <w:rsid w:val="00185608"/>
    <w:rsid w:val="00186B75"/>
    <w:rsid w:val="00193857"/>
    <w:rsid w:val="001939E1"/>
    <w:rsid w:val="00195382"/>
    <w:rsid w:val="001A1DA8"/>
    <w:rsid w:val="001A35C1"/>
    <w:rsid w:val="001A54E0"/>
    <w:rsid w:val="001B0BF3"/>
    <w:rsid w:val="001B0F61"/>
    <w:rsid w:val="001B2307"/>
    <w:rsid w:val="001B32F2"/>
    <w:rsid w:val="001C3E62"/>
    <w:rsid w:val="001C4756"/>
    <w:rsid w:val="001C69C4"/>
    <w:rsid w:val="001C754F"/>
    <w:rsid w:val="001D2C86"/>
    <w:rsid w:val="001E3590"/>
    <w:rsid w:val="001E6188"/>
    <w:rsid w:val="001E7407"/>
    <w:rsid w:val="001F59B1"/>
    <w:rsid w:val="002067C8"/>
    <w:rsid w:val="0021250A"/>
    <w:rsid w:val="0022550F"/>
    <w:rsid w:val="002277A0"/>
    <w:rsid w:val="002352DF"/>
    <w:rsid w:val="00240749"/>
    <w:rsid w:val="002447DE"/>
    <w:rsid w:val="002543FE"/>
    <w:rsid w:val="00266428"/>
    <w:rsid w:val="002745DB"/>
    <w:rsid w:val="002815F0"/>
    <w:rsid w:val="00281C44"/>
    <w:rsid w:val="00296415"/>
    <w:rsid w:val="00297ECB"/>
    <w:rsid w:val="002A428F"/>
    <w:rsid w:val="002A69D6"/>
    <w:rsid w:val="002A7856"/>
    <w:rsid w:val="002B081D"/>
    <w:rsid w:val="002C085A"/>
    <w:rsid w:val="002D043A"/>
    <w:rsid w:val="002E331F"/>
    <w:rsid w:val="002E730A"/>
    <w:rsid w:val="002F08B3"/>
    <w:rsid w:val="002F5DEE"/>
    <w:rsid w:val="0030593E"/>
    <w:rsid w:val="003061A0"/>
    <w:rsid w:val="0030650C"/>
    <w:rsid w:val="0031045F"/>
    <w:rsid w:val="00313C6F"/>
    <w:rsid w:val="00331E8B"/>
    <w:rsid w:val="0033411C"/>
    <w:rsid w:val="00334771"/>
    <w:rsid w:val="00337562"/>
    <w:rsid w:val="003415D3"/>
    <w:rsid w:val="00345F1B"/>
    <w:rsid w:val="00352B0F"/>
    <w:rsid w:val="00352FC9"/>
    <w:rsid w:val="00356002"/>
    <w:rsid w:val="00363ADD"/>
    <w:rsid w:val="0036489E"/>
    <w:rsid w:val="0036695A"/>
    <w:rsid w:val="00381715"/>
    <w:rsid w:val="00385D63"/>
    <w:rsid w:val="00390A0B"/>
    <w:rsid w:val="003A09CF"/>
    <w:rsid w:val="003A3F7B"/>
    <w:rsid w:val="003A50EC"/>
    <w:rsid w:val="003B0F1E"/>
    <w:rsid w:val="003B1EFB"/>
    <w:rsid w:val="003B711D"/>
    <w:rsid w:val="003D0317"/>
    <w:rsid w:val="003D0BFE"/>
    <w:rsid w:val="003D5700"/>
    <w:rsid w:val="003E404A"/>
    <w:rsid w:val="003F60D2"/>
    <w:rsid w:val="00402376"/>
    <w:rsid w:val="004043EE"/>
    <w:rsid w:val="0040616D"/>
    <w:rsid w:val="004116CD"/>
    <w:rsid w:val="00412A46"/>
    <w:rsid w:val="004168B4"/>
    <w:rsid w:val="00420DD4"/>
    <w:rsid w:val="00424CA9"/>
    <w:rsid w:val="00427D10"/>
    <w:rsid w:val="00434587"/>
    <w:rsid w:val="004364CE"/>
    <w:rsid w:val="0044291A"/>
    <w:rsid w:val="0045084F"/>
    <w:rsid w:val="004706F4"/>
    <w:rsid w:val="00472ACA"/>
    <w:rsid w:val="00474B0D"/>
    <w:rsid w:val="00482F79"/>
    <w:rsid w:val="00486198"/>
    <w:rsid w:val="004910D9"/>
    <w:rsid w:val="00496F97"/>
    <w:rsid w:val="00497AF0"/>
    <w:rsid w:val="004C0E58"/>
    <w:rsid w:val="004C3479"/>
    <w:rsid w:val="004E3680"/>
    <w:rsid w:val="004E6C9A"/>
    <w:rsid w:val="004E71F2"/>
    <w:rsid w:val="004F060E"/>
    <w:rsid w:val="005104CE"/>
    <w:rsid w:val="00516B8D"/>
    <w:rsid w:val="005258EB"/>
    <w:rsid w:val="00527999"/>
    <w:rsid w:val="00537FBC"/>
    <w:rsid w:val="00543850"/>
    <w:rsid w:val="005720DB"/>
    <w:rsid w:val="0057364A"/>
    <w:rsid w:val="00582D6D"/>
    <w:rsid w:val="00584052"/>
    <w:rsid w:val="00584811"/>
    <w:rsid w:val="0058663C"/>
    <w:rsid w:val="00593934"/>
    <w:rsid w:val="00593AA6"/>
    <w:rsid w:val="00594161"/>
    <w:rsid w:val="00594749"/>
    <w:rsid w:val="0059610E"/>
    <w:rsid w:val="005A18C1"/>
    <w:rsid w:val="005A2563"/>
    <w:rsid w:val="005A6F34"/>
    <w:rsid w:val="005B4067"/>
    <w:rsid w:val="005C3F41"/>
    <w:rsid w:val="005C5800"/>
    <w:rsid w:val="005D4DEA"/>
    <w:rsid w:val="005E7B24"/>
    <w:rsid w:val="00600219"/>
    <w:rsid w:val="00606EF6"/>
    <w:rsid w:val="00611C2E"/>
    <w:rsid w:val="006336CA"/>
    <w:rsid w:val="00634889"/>
    <w:rsid w:val="006439C9"/>
    <w:rsid w:val="006444FB"/>
    <w:rsid w:val="0065106B"/>
    <w:rsid w:val="006527A6"/>
    <w:rsid w:val="00664C63"/>
    <w:rsid w:val="00671C5E"/>
    <w:rsid w:val="00675A96"/>
    <w:rsid w:val="00677541"/>
    <w:rsid w:val="00677CC2"/>
    <w:rsid w:val="00681A4A"/>
    <w:rsid w:val="0069207B"/>
    <w:rsid w:val="00692BA4"/>
    <w:rsid w:val="006A46FC"/>
    <w:rsid w:val="006B4E4C"/>
    <w:rsid w:val="006B4F69"/>
    <w:rsid w:val="006B51F1"/>
    <w:rsid w:val="006C1770"/>
    <w:rsid w:val="006C7F8C"/>
    <w:rsid w:val="006D3764"/>
    <w:rsid w:val="006F3EA5"/>
    <w:rsid w:val="00700B2C"/>
    <w:rsid w:val="00713084"/>
    <w:rsid w:val="007173B8"/>
    <w:rsid w:val="007203AA"/>
    <w:rsid w:val="0072361E"/>
    <w:rsid w:val="00731E00"/>
    <w:rsid w:val="00732A85"/>
    <w:rsid w:val="007440B7"/>
    <w:rsid w:val="007453E1"/>
    <w:rsid w:val="0075226A"/>
    <w:rsid w:val="00753E67"/>
    <w:rsid w:val="007627F4"/>
    <w:rsid w:val="0076423C"/>
    <w:rsid w:val="007672DF"/>
    <w:rsid w:val="007715C9"/>
    <w:rsid w:val="00774EDD"/>
    <w:rsid w:val="007757EC"/>
    <w:rsid w:val="00782D7A"/>
    <w:rsid w:val="007845BF"/>
    <w:rsid w:val="00785D87"/>
    <w:rsid w:val="00790B9D"/>
    <w:rsid w:val="0079423D"/>
    <w:rsid w:val="00795FCE"/>
    <w:rsid w:val="007A07E5"/>
    <w:rsid w:val="007A52E1"/>
    <w:rsid w:val="007A659A"/>
    <w:rsid w:val="007B081F"/>
    <w:rsid w:val="007C589D"/>
    <w:rsid w:val="007C7FF4"/>
    <w:rsid w:val="007D4277"/>
    <w:rsid w:val="007E4CC8"/>
    <w:rsid w:val="007E5FB1"/>
    <w:rsid w:val="007F7195"/>
    <w:rsid w:val="00817131"/>
    <w:rsid w:val="00830815"/>
    <w:rsid w:val="00846EA2"/>
    <w:rsid w:val="00851D91"/>
    <w:rsid w:val="00856A31"/>
    <w:rsid w:val="00866B64"/>
    <w:rsid w:val="008719AC"/>
    <w:rsid w:val="0087511C"/>
    <w:rsid w:val="008754D0"/>
    <w:rsid w:val="00883892"/>
    <w:rsid w:val="0088728C"/>
    <w:rsid w:val="008A6470"/>
    <w:rsid w:val="008D0EE0"/>
    <w:rsid w:val="008E05CA"/>
    <w:rsid w:val="008E417E"/>
    <w:rsid w:val="008E7967"/>
    <w:rsid w:val="008E7C61"/>
    <w:rsid w:val="008F5D59"/>
    <w:rsid w:val="009001E6"/>
    <w:rsid w:val="0090468A"/>
    <w:rsid w:val="00905E12"/>
    <w:rsid w:val="009140FA"/>
    <w:rsid w:val="009222D0"/>
    <w:rsid w:val="00932377"/>
    <w:rsid w:val="00932FA3"/>
    <w:rsid w:val="009347BD"/>
    <w:rsid w:val="00945B3B"/>
    <w:rsid w:val="0095602D"/>
    <w:rsid w:val="009620C2"/>
    <w:rsid w:val="009755B0"/>
    <w:rsid w:val="00997199"/>
    <w:rsid w:val="009A297F"/>
    <w:rsid w:val="009B431C"/>
    <w:rsid w:val="009C25CD"/>
    <w:rsid w:val="009C4989"/>
    <w:rsid w:val="009F3197"/>
    <w:rsid w:val="00A06EEE"/>
    <w:rsid w:val="00A120DD"/>
    <w:rsid w:val="00A12A0C"/>
    <w:rsid w:val="00A16B29"/>
    <w:rsid w:val="00A222BC"/>
    <w:rsid w:val="00A231E2"/>
    <w:rsid w:val="00A2531D"/>
    <w:rsid w:val="00A25627"/>
    <w:rsid w:val="00A415B9"/>
    <w:rsid w:val="00A55867"/>
    <w:rsid w:val="00A64912"/>
    <w:rsid w:val="00A70A74"/>
    <w:rsid w:val="00A741FC"/>
    <w:rsid w:val="00AA0685"/>
    <w:rsid w:val="00AA5445"/>
    <w:rsid w:val="00AB5A90"/>
    <w:rsid w:val="00AC1019"/>
    <w:rsid w:val="00AC54E2"/>
    <w:rsid w:val="00AD0B9B"/>
    <w:rsid w:val="00AD27B3"/>
    <w:rsid w:val="00AD5641"/>
    <w:rsid w:val="00AD59C2"/>
    <w:rsid w:val="00AE59F7"/>
    <w:rsid w:val="00AE7BD7"/>
    <w:rsid w:val="00AF1C4B"/>
    <w:rsid w:val="00AF2C28"/>
    <w:rsid w:val="00AF7AA1"/>
    <w:rsid w:val="00B011B8"/>
    <w:rsid w:val="00B0343C"/>
    <w:rsid w:val="00B05DED"/>
    <w:rsid w:val="00B07F4C"/>
    <w:rsid w:val="00B17A83"/>
    <w:rsid w:val="00B21F19"/>
    <w:rsid w:val="00B242E0"/>
    <w:rsid w:val="00B26413"/>
    <w:rsid w:val="00B30BBF"/>
    <w:rsid w:val="00B33B3C"/>
    <w:rsid w:val="00B340B6"/>
    <w:rsid w:val="00B3608C"/>
    <w:rsid w:val="00B372A6"/>
    <w:rsid w:val="00B429C2"/>
    <w:rsid w:val="00B50086"/>
    <w:rsid w:val="00B50520"/>
    <w:rsid w:val="00B5550B"/>
    <w:rsid w:val="00B60A57"/>
    <w:rsid w:val="00B61C25"/>
    <w:rsid w:val="00B63814"/>
    <w:rsid w:val="00B6650F"/>
    <w:rsid w:val="00B6661D"/>
    <w:rsid w:val="00B67B25"/>
    <w:rsid w:val="00B70E56"/>
    <w:rsid w:val="00B72256"/>
    <w:rsid w:val="00B74ADC"/>
    <w:rsid w:val="00B82E16"/>
    <w:rsid w:val="00B82EB3"/>
    <w:rsid w:val="00B8746B"/>
    <w:rsid w:val="00B94B43"/>
    <w:rsid w:val="00BC30F2"/>
    <w:rsid w:val="00BC61CB"/>
    <w:rsid w:val="00BD1655"/>
    <w:rsid w:val="00BE719A"/>
    <w:rsid w:val="00BE720A"/>
    <w:rsid w:val="00BF0150"/>
    <w:rsid w:val="00C02B95"/>
    <w:rsid w:val="00C20353"/>
    <w:rsid w:val="00C25929"/>
    <w:rsid w:val="00C35516"/>
    <w:rsid w:val="00C36FD1"/>
    <w:rsid w:val="00C402E8"/>
    <w:rsid w:val="00C40409"/>
    <w:rsid w:val="00C42BF8"/>
    <w:rsid w:val="00C455C2"/>
    <w:rsid w:val="00C50043"/>
    <w:rsid w:val="00C53114"/>
    <w:rsid w:val="00C54B0F"/>
    <w:rsid w:val="00C65428"/>
    <w:rsid w:val="00C723B9"/>
    <w:rsid w:val="00C7573B"/>
    <w:rsid w:val="00C77D10"/>
    <w:rsid w:val="00C814A2"/>
    <w:rsid w:val="00CA6A45"/>
    <w:rsid w:val="00CB0EA8"/>
    <w:rsid w:val="00CC7A09"/>
    <w:rsid w:val="00CD6BAD"/>
    <w:rsid w:val="00CF0BB2"/>
    <w:rsid w:val="00CF1586"/>
    <w:rsid w:val="00CF4975"/>
    <w:rsid w:val="00CF53F2"/>
    <w:rsid w:val="00D059BC"/>
    <w:rsid w:val="00D12154"/>
    <w:rsid w:val="00D13441"/>
    <w:rsid w:val="00D23EB8"/>
    <w:rsid w:val="00D24EBF"/>
    <w:rsid w:val="00D26EF0"/>
    <w:rsid w:val="00D3213F"/>
    <w:rsid w:val="00D3506B"/>
    <w:rsid w:val="00D374CE"/>
    <w:rsid w:val="00D40252"/>
    <w:rsid w:val="00D41412"/>
    <w:rsid w:val="00D47980"/>
    <w:rsid w:val="00D5045C"/>
    <w:rsid w:val="00D5472E"/>
    <w:rsid w:val="00D70DFB"/>
    <w:rsid w:val="00D74D8E"/>
    <w:rsid w:val="00D766DF"/>
    <w:rsid w:val="00D810EB"/>
    <w:rsid w:val="00D824AD"/>
    <w:rsid w:val="00D90790"/>
    <w:rsid w:val="00D9284D"/>
    <w:rsid w:val="00D92F1F"/>
    <w:rsid w:val="00D94D74"/>
    <w:rsid w:val="00D97ECB"/>
    <w:rsid w:val="00DB0D6E"/>
    <w:rsid w:val="00DB119E"/>
    <w:rsid w:val="00DC2DE0"/>
    <w:rsid w:val="00DD314D"/>
    <w:rsid w:val="00DE0A89"/>
    <w:rsid w:val="00DF3CF0"/>
    <w:rsid w:val="00E04359"/>
    <w:rsid w:val="00E04C9A"/>
    <w:rsid w:val="00E05704"/>
    <w:rsid w:val="00E129AC"/>
    <w:rsid w:val="00E1363F"/>
    <w:rsid w:val="00E17475"/>
    <w:rsid w:val="00E270B1"/>
    <w:rsid w:val="00E32EE9"/>
    <w:rsid w:val="00E54CAB"/>
    <w:rsid w:val="00E74DC7"/>
    <w:rsid w:val="00E85CB9"/>
    <w:rsid w:val="00E94998"/>
    <w:rsid w:val="00E94FE3"/>
    <w:rsid w:val="00EB6C56"/>
    <w:rsid w:val="00EC3FAF"/>
    <w:rsid w:val="00ED0C84"/>
    <w:rsid w:val="00ED1A6C"/>
    <w:rsid w:val="00ED682D"/>
    <w:rsid w:val="00EE278F"/>
    <w:rsid w:val="00EE6DCC"/>
    <w:rsid w:val="00EF2E3A"/>
    <w:rsid w:val="00F0132A"/>
    <w:rsid w:val="00F03B30"/>
    <w:rsid w:val="00F078DC"/>
    <w:rsid w:val="00F15EC4"/>
    <w:rsid w:val="00F21589"/>
    <w:rsid w:val="00F26909"/>
    <w:rsid w:val="00F44473"/>
    <w:rsid w:val="00F5076A"/>
    <w:rsid w:val="00F519C9"/>
    <w:rsid w:val="00F52EB4"/>
    <w:rsid w:val="00F71234"/>
    <w:rsid w:val="00F73B6E"/>
    <w:rsid w:val="00F75D99"/>
    <w:rsid w:val="00F8103A"/>
    <w:rsid w:val="00F93F2B"/>
    <w:rsid w:val="00FA3591"/>
    <w:rsid w:val="00FA3991"/>
    <w:rsid w:val="00FA48DC"/>
    <w:rsid w:val="00FA54D2"/>
    <w:rsid w:val="00FB07F8"/>
    <w:rsid w:val="00FC1530"/>
    <w:rsid w:val="00FD61C0"/>
    <w:rsid w:val="00FE4077"/>
    <w:rsid w:val="00FE6426"/>
    <w:rsid w:val="00FF0CED"/>
    <w:rsid w:val="00FF1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07E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A07E5"/>
  </w:style>
  <w:style w:type="paragraph" w:customStyle="1" w:styleId="OPCParaBase">
    <w:name w:val="OPCParaBase"/>
    <w:qFormat/>
    <w:rsid w:val="007A07E5"/>
    <w:pPr>
      <w:spacing w:line="260" w:lineRule="atLeast"/>
    </w:pPr>
    <w:rPr>
      <w:rFonts w:eastAsia="Times New Roman" w:cs="Times New Roman"/>
      <w:sz w:val="22"/>
      <w:lang w:eastAsia="en-AU"/>
    </w:rPr>
  </w:style>
  <w:style w:type="paragraph" w:customStyle="1" w:styleId="ShortT">
    <w:name w:val="ShortT"/>
    <w:basedOn w:val="OPCParaBase"/>
    <w:next w:val="Normal"/>
    <w:qFormat/>
    <w:rsid w:val="007A07E5"/>
    <w:pPr>
      <w:spacing w:line="240" w:lineRule="auto"/>
    </w:pPr>
    <w:rPr>
      <w:b/>
      <w:sz w:val="40"/>
    </w:rPr>
  </w:style>
  <w:style w:type="paragraph" w:customStyle="1" w:styleId="ActHead1">
    <w:name w:val="ActHead 1"/>
    <w:aliases w:val="c"/>
    <w:basedOn w:val="OPCParaBase"/>
    <w:next w:val="Normal"/>
    <w:qFormat/>
    <w:rsid w:val="007A07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A07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A07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A07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A07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A07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A07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A07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A07E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A07E5"/>
  </w:style>
  <w:style w:type="paragraph" w:customStyle="1" w:styleId="Blocks">
    <w:name w:val="Blocks"/>
    <w:aliases w:val="bb"/>
    <w:basedOn w:val="OPCParaBase"/>
    <w:qFormat/>
    <w:rsid w:val="007A07E5"/>
    <w:pPr>
      <w:spacing w:line="240" w:lineRule="auto"/>
    </w:pPr>
    <w:rPr>
      <w:sz w:val="24"/>
    </w:rPr>
  </w:style>
  <w:style w:type="paragraph" w:customStyle="1" w:styleId="BoxText">
    <w:name w:val="BoxText"/>
    <w:aliases w:val="bt"/>
    <w:basedOn w:val="OPCParaBase"/>
    <w:qFormat/>
    <w:rsid w:val="007A07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A07E5"/>
    <w:rPr>
      <w:b/>
    </w:rPr>
  </w:style>
  <w:style w:type="paragraph" w:customStyle="1" w:styleId="BoxHeadItalic">
    <w:name w:val="BoxHeadItalic"/>
    <w:aliases w:val="bhi"/>
    <w:basedOn w:val="BoxText"/>
    <w:next w:val="BoxStep"/>
    <w:qFormat/>
    <w:rsid w:val="007A07E5"/>
    <w:rPr>
      <w:i/>
    </w:rPr>
  </w:style>
  <w:style w:type="paragraph" w:customStyle="1" w:styleId="BoxList">
    <w:name w:val="BoxList"/>
    <w:aliases w:val="bl"/>
    <w:basedOn w:val="BoxText"/>
    <w:qFormat/>
    <w:rsid w:val="007A07E5"/>
    <w:pPr>
      <w:ind w:left="1559" w:hanging="425"/>
    </w:pPr>
  </w:style>
  <w:style w:type="paragraph" w:customStyle="1" w:styleId="BoxNote">
    <w:name w:val="BoxNote"/>
    <w:aliases w:val="bn"/>
    <w:basedOn w:val="BoxText"/>
    <w:qFormat/>
    <w:rsid w:val="007A07E5"/>
    <w:pPr>
      <w:tabs>
        <w:tab w:val="left" w:pos="1985"/>
      </w:tabs>
      <w:spacing w:before="122" w:line="198" w:lineRule="exact"/>
      <w:ind w:left="2948" w:hanging="1814"/>
    </w:pPr>
    <w:rPr>
      <w:sz w:val="18"/>
    </w:rPr>
  </w:style>
  <w:style w:type="paragraph" w:customStyle="1" w:styleId="BoxPara">
    <w:name w:val="BoxPara"/>
    <w:aliases w:val="bp"/>
    <w:basedOn w:val="BoxText"/>
    <w:qFormat/>
    <w:rsid w:val="007A07E5"/>
    <w:pPr>
      <w:tabs>
        <w:tab w:val="right" w:pos="2268"/>
      </w:tabs>
      <w:ind w:left="2552" w:hanging="1418"/>
    </w:pPr>
  </w:style>
  <w:style w:type="paragraph" w:customStyle="1" w:styleId="BoxStep">
    <w:name w:val="BoxStep"/>
    <w:aliases w:val="bs"/>
    <w:basedOn w:val="BoxText"/>
    <w:qFormat/>
    <w:rsid w:val="007A07E5"/>
    <w:pPr>
      <w:ind w:left="1985" w:hanging="851"/>
    </w:pPr>
  </w:style>
  <w:style w:type="character" w:customStyle="1" w:styleId="CharAmPartNo">
    <w:name w:val="CharAmPartNo"/>
    <w:basedOn w:val="OPCCharBase"/>
    <w:qFormat/>
    <w:rsid w:val="007A07E5"/>
  </w:style>
  <w:style w:type="character" w:customStyle="1" w:styleId="CharAmPartText">
    <w:name w:val="CharAmPartText"/>
    <w:basedOn w:val="OPCCharBase"/>
    <w:qFormat/>
    <w:rsid w:val="007A07E5"/>
  </w:style>
  <w:style w:type="character" w:customStyle="1" w:styleId="CharAmSchNo">
    <w:name w:val="CharAmSchNo"/>
    <w:basedOn w:val="OPCCharBase"/>
    <w:qFormat/>
    <w:rsid w:val="007A07E5"/>
  </w:style>
  <w:style w:type="character" w:customStyle="1" w:styleId="CharAmSchText">
    <w:name w:val="CharAmSchText"/>
    <w:basedOn w:val="OPCCharBase"/>
    <w:qFormat/>
    <w:rsid w:val="007A07E5"/>
  </w:style>
  <w:style w:type="character" w:customStyle="1" w:styleId="CharBoldItalic">
    <w:name w:val="CharBoldItalic"/>
    <w:basedOn w:val="OPCCharBase"/>
    <w:uiPriority w:val="1"/>
    <w:qFormat/>
    <w:rsid w:val="007A07E5"/>
    <w:rPr>
      <w:b/>
      <w:i/>
    </w:rPr>
  </w:style>
  <w:style w:type="character" w:customStyle="1" w:styleId="CharChapNo">
    <w:name w:val="CharChapNo"/>
    <w:basedOn w:val="OPCCharBase"/>
    <w:uiPriority w:val="1"/>
    <w:qFormat/>
    <w:rsid w:val="007A07E5"/>
  </w:style>
  <w:style w:type="character" w:customStyle="1" w:styleId="CharChapText">
    <w:name w:val="CharChapText"/>
    <w:basedOn w:val="OPCCharBase"/>
    <w:uiPriority w:val="1"/>
    <w:qFormat/>
    <w:rsid w:val="007A07E5"/>
  </w:style>
  <w:style w:type="character" w:customStyle="1" w:styleId="CharDivNo">
    <w:name w:val="CharDivNo"/>
    <w:basedOn w:val="OPCCharBase"/>
    <w:uiPriority w:val="1"/>
    <w:qFormat/>
    <w:rsid w:val="007A07E5"/>
  </w:style>
  <w:style w:type="character" w:customStyle="1" w:styleId="CharDivText">
    <w:name w:val="CharDivText"/>
    <w:basedOn w:val="OPCCharBase"/>
    <w:uiPriority w:val="1"/>
    <w:qFormat/>
    <w:rsid w:val="007A07E5"/>
  </w:style>
  <w:style w:type="character" w:customStyle="1" w:styleId="CharItalic">
    <w:name w:val="CharItalic"/>
    <w:basedOn w:val="OPCCharBase"/>
    <w:uiPriority w:val="1"/>
    <w:qFormat/>
    <w:rsid w:val="007A07E5"/>
    <w:rPr>
      <w:i/>
    </w:rPr>
  </w:style>
  <w:style w:type="character" w:customStyle="1" w:styleId="CharPartNo">
    <w:name w:val="CharPartNo"/>
    <w:basedOn w:val="OPCCharBase"/>
    <w:uiPriority w:val="1"/>
    <w:qFormat/>
    <w:rsid w:val="007A07E5"/>
  </w:style>
  <w:style w:type="character" w:customStyle="1" w:styleId="CharPartText">
    <w:name w:val="CharPartText"/>
    <w:basedOn w:val="OPCCharBase"/>
    <w:uiPriority w:val="1"/>
    <w:qFormat/>
    <w:rsid w:val="007A07E5"/>
  </w:style>
  <w:style w:type="character" w:customStyle="1" w:styleId="CharSectno">
    <w:name w:val="CharSectno"/>
    <w:basedOn w:val="OPCCharBase"/>
    <w:qFormat/>
    <w:rsid w:val="007A07E5"/>
  </w:style>
  <w:style w:type="character" w:customStyle="1" w:styleId="CharSubdNo">
    <w:name w:val="CharSubdNo"/>
    <w:basedOn w:val="OPCCharBase"/>
    <w:uiPriority w:val="1"/>
    <w:qFormat/>
    <w:rsid w:val="007A07E5"/>
  </w:style>
  <w:style w:type="character" w:customStyle="1" w:styleId="CharSubdText">
    <w:name w:val="CharSubdText"/>
    <w:basedOn w:val="OPCCharBase"/>
    <w:uiPriority w:val="1"/>
    <w:qFormat/>
    <w:rsid w:val="007A07E5"/>
  </w:style>
  <w:style w:type="paragraph" w:customStyle="1" w:styleId="CTA--">
    <w:name w:val="CTA --"/>
    <w:basedOn w:val="OPCParaBase"/>
    <w:next w:val="Normal"/>
    <w:rsid w:val="007A07E5"/>
    <w:pPr>
      <w:spacing w:before="60" w:line="240" w:lineRule="atLeast"/>
      <w:ind w:left="142" w:hanging="142"/>
    </w:pPr>
    <w:rPr>
      <w:sz w:val="20"/>
    </w:rPr>
  </w:style>
  <w:style w:type="paragraph" w:customStyle="1" w:styleId="CTA-">
    <w:name w:val="CTA -"/>
    <w:basedOn w:val="OPCParaBase"/>
    <w:rsid w:val="007A07E5"/>
    <w:pPr>
      <w:spacing w:before="60" w:line="240" w:lineRule="atLeast"/>
      <w:ind w:left="85" w:hanging="85"/>
    </w:pPr>
    <w:rPr>
      <w:sz w:val="20"/>
    </w:rPr>
  </w:style>
  <w:style w:type="paragraph" w:customStyle="1" w:styleId="CTA---">
    <w:name w:val="CTA ---"/>
    <w:basedOn w:val="OPCParaBase"/>
    <w:next w:val="Normal"/>
    <w:rsid w:val="007A07E5"/>
    <w:pPr>
      <w:spacing w:before="60" w:line="240" w:lineRule="atLeast"/>
      <w:ind w:left="198" w:hanging="198"/>
    </w:pPr>
    <w:rPr>
      <w:sz w:val="20"/>
    </w:rPr>
  </w:style>
  <w:style w:type="paragraph" w:customStyle="1" w:styleId="CTA----">
    <w:name w:val="CTA ----"/>
    <w:basedOn w:val="OPCParaBase"/>
    <w:next w:val="Normal"/>
    <w:rsid w:val="007A07E5"/>
    <w:pPr>
      <w:spacing w:before="60" w:line="240" w:lineRule="atLeast"/>
      <w:ind w:left="255" w:hanging="255"/>
    </w:pPr>
    <w:rPr>
      <w:sz w:val="20"/>
    </w:rPr>
  </w:style>
  <w:style w:type="paragraph" w:customStyle="1" w:styleId="CTA1a">
    <w:name w:val="CTA 1(a)"/>
    <w:basedOn w:val="OPCParaBase"/>
    <w:rsid w:val="007A07E5"/>
    <w:pPr>
      <w:tabs>
        <w:tab w:val="right" w:pos="414"/>
      </w:tabs>
      <w:spacing w:before="40" w:line="240" w:lineRule="atLeast"/>
      <w:ind w:left="675" w:hanging="675"/>
    </w:pPr>
    <w:rPr>
      <w:sz w:val="20"/>
    </w:rPr>
  </w:style>
  <w:style w:type="paragraph" w:customStyle="1" w:styleId="CTA1ai">
    <w:name w:val="CTA 1(a)(i)"/>
    <w:basedOn w:val="OPCParaBase"/>
    <w:rsid w:val="007A07E5"/>
    <w:pPr>
      <w:tabs>
        <w:tab w:val="right" w:pos="1004"/>
      </w:tabs>
      <w:spacing w:before="40" w:line="240" w:lineRule="atLeast"/>
      <w:ind w:left="1253" w:hanging="1253"/>
    </w:pPr>
    <w:rPr>
      <w:sz w:val="20"/>
    </w:rPr>
  </w:style>
  <w:style w:type="paragraph" w:customStyle="1" w:styleId="CTA2a">
    <w:name w:val="CTA 2(a)"/>
    <w:basedOn w:val="OPCParaBase"/>
    <w:rsid w:val="007A07E5"/>
    <w:pPr>
      <w:tabs>
        <w:tab w:val="right" w:pos="482"/>
      </w:tabs>
      <w:spacing w:before="40" w:line="240" w:lineRule="atLeast"/>
      <w:ind w:left="748" w:hanging="748"/>
    </w:pPr>
    <w:rPr>
      <w:sz w:val="20"/>
    </w:rPr>
  </w:style>
  <w:style w:type="paragraph" w:customStyle="1" w:styleId="CTA2ai">
    <w:name w:val="CTA 2(a)(i)"/>
    <w:basedOn w:val="OPCParaBase"/>
    <w:rsid w:val="007A07E5"/>
    <w:pPr>
      <w:tabs>
        <w:tab w:val="right" w:pos="1089"/>
      </w:tabs>
      <w:spacing w:before="40" w:line="240" w:lineRule="atLeast"/>
      <w:ind w:left="1327" w:hanging="1327"/>
    </w:pPr>
    <w:rPr>
      <w:sz w:val="20"/>
    </w:rPr>
  </w:style>
  <w:style w:type="paragraph" w:customStyle="1" w:styleId="CTA3a">
    <w:name w:val="CTA 3(a)"/>
    <w:basedOn w:val="OPCParaBase"/>
    <w:rsid w:val="007A07E5"/>
    <w:pPr>
      <w:tabs>
        <w:tab w:val="right" w:pos="556"/>
      </w:tabs>
      <w:spacing w:before="40" w:line="240" w:lineRule="atLeast"/>
      <w:ind w:left="805" w:hanging="805"/>
    </w:pPr>
    <w:rPr>
      <w:sz w:val="20"/>
    </w:rPr>
  </w:style>
  <w:style w:type="paragraph" w:customStyle="1" w:styleId="CTA3ai">
    <w:name w:val="CTA 3(a)(i)"/>
    <w:basedOn w:val="OPCParaBase"/>
    <w:rsid w:val="007A07E5"/>
    <w:pPr>
      <w:tabs>
        <w:tab w:val="right" w:pos="1140"/>
      </w:tabs>
      <w:spacing w:before="40" w:line="240" w:lineRule="atLeast"/>
      <w:ind w:left="1361" w:hanging="1361"/>
    </w:pPr>
    <w:rPr>
      <w:sz w:val="20"/>
    </w:rPr>
  </w:style>
  <w:style w:type="paragraph" w:customStyle="1" w:styleId="CTA4a">
    <w:name w:val="CTA 4(a)"/>
    <w:basedOn w:val="OPCParaBase"/>
    <w:rsid w:val="007A07E5"/>
    <w:pPr>
      <w:tabs>
        <w:tab w:val="right" w:pos="624"/>
      </w:tabs>
      <w:spacing w:before="40" w:line="240" w:lineRule="atLeast"/>
      <w:ind w:left="873" w:hanging="873"/>
    </w:pPr>
    <w:rPr>
      <w:sz w:val="20"/>
    </w:rPr>
  </w:style>
  <w:style w:type="paragraph" w:customStyle="1" w:styleId="CTA4ai">
    <w:name w:val="CTA 4(a)(i)"/>
    <w:basedOn w:val="OPCParaBase"/>
    <w:rsid w:val="007A07E5"/>
    <w:pPr>
      <w:tabs>
        <w:tab w:val="right" w:pos="1213"/>
      </w:tabs>
      <w:spacing w:before="40" w:line="240" w:lineRule="atLeast"/>
      <w:ind w:left="1452" w:hanging="1452"/>
    </w:pPr>
    <w:rPr>
      <w:sz w:val="20"/>
    </w:rPr>
  </w:style>
  <w:style w:type="paragraph" w:customStyle="1" w:styleId="CTACAPS">
    <w:name w:val="CTA CAPS"/>
    <w:basedOn w:val="OPCParaBase"/>
    <w:rsid w:val="007A07E5"/>
    <w:pPr>
      <w:spacing w:before="60" w:line="240" w:lineRule="atLeast"/>
    </w:pPr>
    <w:rPr>
      <w:sz w:val="20"/>
    </w:rPr>
  </w:style>
  <w:style w:type="paragraph" w:customStyle="1" w:styleId="CTAright">
    <w:name w:val="CTA right"/>
    <w:basedOn w:val="OPCParaBase"/>
    <w:rsid w:val="007A07E5"/>
    <w:pPr>
      <w:spacing w:before="60" w:line="240" w:lineRule="auto"/>
      <w:jc w:val="right"/>
    </w:pPr>
    <w:rPr>
      <w:sz w:val="20"/>
    </w:rPr>
  </w:style>
  <w:style w:type="paragraph" w:customStyle="1" w:styleId="subsection">
    <w:name w:val="subsection"/>
    <w:aliases w:val="ss"/>
    <w:basedOn w:val="OPCParaBase"/>
    <w:link w:val="subsectionChar"/>
    <w:rsid w:val="007A07E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A07E5"/>
    <w:pPr>
      <w:spacing w:before="180" w:line="240" w:lineRule="auto"/>
      <w:ind w:left="1134"/>
    </w:pPr>
  </w:style>
  <w:style w:type="paragraph" w:customStyle="1" w:styleId="ETAsubitem">
    <w:name w:val="ETA(subitem)"/>
    <w:basedOn w:val="OPCParaBase"/>
    <w:rsid w:val="007A07E5"/>
    <w:pPr>
      <w:tabs>
        <w:tab w:val="right" w:pos="340"/>
      </w:tabs>
      <w:spacing w:before="60" w:line="240" w:lineRule="auto"/>
      <w:ind w:left="454" w:hanging="454"/>
    </w:pPr>
    <w:rPr>
      <w:sz w:val="20"/>
    </w:rPr>
  </w:style>
  <w:style w:type="paragraph" w:customStyle="1" w:styleId="ETApara">
    <w:name w:val="ETA(para)"/>
    <w:basedOn w:val="OPCParaBase"/>
    <w:rsid w:val="007A07E5"/>
    <w:pPr>
      <w:tabs>
        <w:tab w:val="right" w:pos="754"/>
      </w:tabs>
      <w:spacing w:before="60" w:line="240" w:lineRule="auto"/>
      <w:ind w:left="828" w:hanging="828"/>
    </w:pPr>
    <w:rPr>
      <w:sz w:val="20"/>
    </w:rPr>
  </w:style>
  <w:style w:type="paragraph" w:customStyle="1" w:styleId="ETAsubpara">
    <w:name w:val="ETA(subpara)"/>
    <w:basedOn w:val="OPCParaBase"/>
    <w:rsid w:val="007A07E5"/>
    <w:pPr>
      <w:tabs>
        <w:tab w:val="right" w:pos="1083"/>
      </w:tabs>
      <w:spacing w:before="60" w:line="240" w:lineRule="auto"/>
      <w:ind w:left="1191" w:hanging="1191"/>
    </w:pPr>
    <w:rPr>
      <w:sz w:val="20"/>
    </w:rPr>
  </w:style>
  <w:style w:type="paragraph" w:customStyle="1" w:styleId="ETAsub-subpara">
    <w:name w:val="ETA(sub-subpara)"/>
    <w:basedOn w:val="OPCParaBase"/>
    <w:rsid w:val="007A07E5"/>
    <w:pPr>
      <w:tabs>
        <w:tab w:val="right" w:pos="1412"/>
      </w:tabs>
      <w:spacing w:before="60" w:line="240" w:lineRule="auto"/>
      <w:ind w:left="1525" w:hanging="1525"/>
    </w:pPr>
    <w:rPr>
      <w:sz w:val="20"/>
    </w:rPr>
  </w:style>
  <w:style w:type="paragraph" w:customStyle="1" w:styleId="Formula">
    <w:name w:val="Formula"/>
    <w:basedOn w:val="OPCParaBase"/>
    <w:rsid w:val="007A07E5"/>
    <w:pPr>
      <w:spacing w:line="240" w:lineRule="auto"/>
      <w:ind w:left="1134"/>
    </w:pPr>
    <w:rPr>
      <w:sz w:val="20"/>
    </w:rPr>
  </w:style>
  <w:style w:type="paragraph" w:styleId="Header">
    <w:name w:val="header"/>
    <w:basedOn w:val="OPCParaBase"/>
    <w:link w:val="HeaderChar"/>
    <w:unhideWhenUsed/>
    <w:rsid w:val="007A07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A07E5"/>
    <w:rPr>
      <w:rFonts w:eastAsia="Times New Roman" w:cs="Times New Roman"/>
      <w:sz w:val="16"/>
      <w:lang w:eastAsia="en-AU"/>
    </w:rPr>
  </w:style>
  <w:style w:type="paragraph" w:customStyle="1" w:styleId="House">
    <w:name w:val="House"/>
    <w:basedOn w:val="OPCParaBase"/>
    <w:rsid w:val="007A07E5"/>
    <w:pPr>
      <w:spacing w:line="240" w:lineRule="auto"/>
    </w:pPr>
    <w:rPr>
      <w:sz w:val="28"/>
    </w:rPr>
  </w:style>
  <w:style w:type="paragraph" w:customStyle="1" w:styleId="Item">
    <w:name w:val="Item"/>
    <w:aliases w:val="i"/>
    <w:basedOn w:val="OPCParaBase"/>
    <w:next w:val="ItemHead"/>
    <w:rsid w:val="007A07E5"/>
    <w:pPr>
      <w:keepLines/>
      <w:spacing w:before="80" w:line="240" w:lineRule="auto"/>
      <w:ind w:left="709"/>
    </w:pPr>
  </w:style>
  <w:style w:type="paragraph" w:customStyle="1" w:styleId="ItemHead">
    <w:name w:val="ItemHead"/>
    <w:aliases w:val="ih"/>
    <w:basedOn w:val="OPCParaBase"/>
    <w:next w:val="Item"/>
    <w:rsid w:val="007A07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A07E5"/>
    <w:pPr>
      <w:spacing w:line="240" w:lineRule="auto"/>
    </w:pPr>
    <w:rPr>
      <w:b/>
      <w:sz w:val="32"/>
    </w:rPr>
  </w:style>
  <w:style w:type="paragraph" w:customStyle="1" w:styleId="notedraft">
    <w:name w:val="note(draft)"/>
    <w:aliases w:val="nd"/>
    <w:basedOn w:val="OPCParaBase"/>
    <w:rsid w:val="007A07E5"/>
    <w:pPr>
      <w:spacing w:before="240" w:line="240" w:lineRule="auto"/>
      <w:ind w:left="284" w:hanging="284"/>
    </w:pPr>
    <w:rPr>
      <w:i/>
      <w:sz w:val="24"/>
    </w:rPr>
  </w:style>
  <w:style w:type="paragraph" w:customStyle="1" w:styleId="notemargin">
    <w:name w:val="note(margin)"/>
    <w:aliases w:val="nm"/>
    <w:basedOn w:val="OPCParaBase"/>
    <w:rsid w:val="007A07E5"/>
    <w:pPr>
      <w:tabs>
        <w:tab w:val="left" w:pos="709"/>
      </w:tabs>
      <w:spacing w:before="122" w:line="198" w:lineRule="exact"/>
      <w:ind w:left="709" w:hanging="709"/>
    </w:pPr>
    <w:rPr>
      <w:sz w:val="18"/>
    </w:rPr>
  </w:style>
  <w:style w:type="paragraph" w:customStyle="1" w:styleId="noteToPara">
    <w:name w:val="noteToPara"/>
    <w:aliases w:val="ntp"/>
    <w:basedOn w:val="OPCParaBase"/>
    <w:rsid w:val="007A07E5"/>
    <w:pPr>
      <w:spacing w:before="122" w:line="198" w:lineRule="exact"/>
      <w:ind w:left="2353" w:hanging="709"/>
    </w:pPr>
    <w:rPr>
      <w:sz w:val="18"/>
    </w:rPr>
  </w:style>
  <w:style w:type="paragraph" w:customStyle="1" w:styleId="noteParlAmend">
    <w:name w:val="note(ParlAmend)"/>
    <w:aliases w:val="npp"/>
    <w:basedOn w:val="OPCParaBase"/>
    <w:next w:val="ParlAmend"/>
    <w:rsid w:val="007A07E5"/>
    <w:pPr>
      <w:spacing w:line="240" w:lineRule="auto"/>
      <w:jc w:val="right"/>
    </w:pPr>
    <w:rPr>
      <w:rFonts w:ascii="Arial" w:hAnsi="Arial"/>
      <w:b/>
      <w:i/>
    </w:rPr>
  </w:style>
  <w:style w:type="paragraph" w:customStyle="1" w:styleId="Page1">
    <w:name w:val="Page1"/>
    <w:basedOn w:val="OPCParaBase"/>
    <w:rsid w:val="007A07E5"/>
    <w:pPr>
      <w:spacing w:before="5600" w:line="240" w:lineRule="auto"/>
    </w:pPr>
    <w:rPr>
      <w:b/>
      <w:sz w:val="32"/>
    </w:rPr>
  </w:style>
  <w:style w:type="paragraph" w:customStyle="1" w:styleId="PageBreak">
    <w:name w:val="PageBreak"/>
    <w:aliases w:val="pb"/>
    <w:basedOn w:val="OPCParaBase"/>
    <w:rsid w:val="007A07E5"/>
    <w:pPr>
      <w:spacing w:line="240" w:lineRule="auto"/>
    </w:pPr>
    <w:rPr>
      <w:sz w:val="20"/>
    </w:rPr>
  </w:style>
  <w:style w:type="paragraph" w:customStyle="1" w:styleId="paragraphsub">
    <w:name w:val="paragraph(sub)"/>
    <w:aliases w:val="aa"/>
    <w:basedOn w:val="OPCParaBase"/>
    <w:rsid w:val="007A07E5"/>
    <w:pPr>
      <w:tabs>
        <w:tab w:val="right" w:pos="1985"/>
      </w:tabs>
      <w:spacing w:before="40" w:line="240" w:lineRule="auto"/>
      <w:ind w:left="2098" w:hanging="2098"/>
    </w:pPr>
  </w:style>
  <w:style w:type="paragraph" w:customStyle="1" w:styleId="paragraphsub-sub">
    <w:name w:val="paragraph(sub-sub)"/>
    <w:aliases w:val="aaa"/>
    <w:basedOn w:val="OPCParaBase"/>
    <w:rsid w:val="007A07E5"/>
    <w:pPr>
      <w:tabs>
        <w:tab w:val="right" w:pos="2722"/>
      </w:tabs>
      <w:spacing w:before="40" w:line="240" w:lineRule="auto"/>
      <w:ind w:left="2835" w:hanging="2835"/>
    </w:pPr>
  </w:style>
  <w:style w:type="paragraph" w:customStyle="1" w:styleId="paragraph">
    <w:name w:val="paragraph"/>
    <w:aliases w:val="a"/>
    <w:basedOn w:val="OPCParaBase"/>
    <w:link w:val="paragraphChar"/>
    <w:rsid w:val="007A07E5"/>
    <w:pPr>
      <w:tabs>
        <w:tab w:val="right" w:pos="1531"/>
      </w:tabs>
      <w:spacing w:before="40" w:line="240" w:lineRule="auto"/>
      <w:ind w:left="1644" w:hanging="1644"/>
    </w:pPr>
  </w:style>
  <w:style w:type="paragraph" w:customStyle="1" w:styleId="ParlAmend">
    <w:name w:val="ParlAmend"/>
    <w:aliases w:val="pp"/>
    <w:basedOn w:val="OPCParaBase"/>
    <w:rsid w:val="007A07E5"/>
    <w:pPr>
      <w:spacing w:before="240" w:line="240" w:lineRule="atLeast"/>
      <w:ind w:hanging="567"/>
    </w:pPr>
    <w:rPr>
      <w:sz w:val="24"/>
    </w:rPr>
  </w:style>
  <w:style w:type="paragraph" w:customStyle="1" w:styleId="Penalty">
    <w:name w:val="Penalty"/>
    <w:basedOn w:val="OPCParaBase"/>
    <w:rsid w:val="007A07E5"/>
    <w:pPr>
      <w:tabs>
        <w:tab w:val="left" w:pos="2977"/>
      </w:tabs>
      <w:spacing w:before="180" w:line="240" w:lineRule="auto"/>
      <w:ind w:left="1985" w:hanging="851"/>
    </w:pPr>
  </w:style>
  <w:style w:type="paragraph" w:customStyle="1" w:styleId="Portfolio">
    <w:name w:val="Portfolio"/>
    <w:basedOn w:val="OPCParaBase"/>
    <w:rsid w:val="007A07E5"/>
    <w:pPr>
      <w:spacing w:line="240" w:lineRule="auto"/>
    </w:pPr>
    <w:rPr>
      <w:i/>
      <w:sz w:val="20"/>
    </w:rPr>
  </w:style>
  <w:style w:type="paragraph" w:customStyle="1" w:styleId="Preamble">
    <w:name w:val="Preamble"/>
    <w:basedOn w:val="OPCParaBase"/>
    <w:next w:val="Normal"/>
    <w:rsid w:val="007A07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A07E5"/>
    <w:pPr>
      <w:spacing w:line="240" w:lineRule="auto"/>
    </w:pPr>
    <w:rPr>
      <w:i/>
      <w:sz w:val="20"/>
    </w:rPr>
  </w:style>
  <w:style w:type="paragraph" w:customStyle="1" w:styleId="Session">
    <w:name w:val="Session"/>
    <w:basedOn w:val="OPCParaBase"/>
    <w:rsid w:val="007A07E5"/>
    <w:pPr>
      <w:spacing w:line="240" w:lineRule="auto"/>
    </w:pPr>
    <w:rPr>
      <w:sz w:val="28"/>
    </w:rPr>
  </w:style>
  <w:style w:type="paragraph" w:customStyle="1" w:styleId="Sponsor">
    <w:name w:val="Sponsor"/>
    <w:basedOn w:val="OPCParaBase"/>
    <w:rsid w:val="007A07E5"/>
    <w:pPr>
      <w:spacing w:line="240" w:lineRule="auto"/>
    </w:pPr>
    <w:rPr>
      <w:i/>
    </w:rPr>
  </w:style>
  <w:style w:type="paragraph" w:customStyle="1" w:styleId="Subitem">
    <w:name w:val="Subitem"/>
    <w:aliases w:val="iss"/>
    <w:basedOn w:val="OPCParaBase"/>
    <w:rsid w:val="007A07E5"/>
    <w:pPr>
      <w:spacing w:before="180" w:line="240" w:lineRule="auto"/>
      <w:ind w:left="709" w:hanging="709"/>
    </w:pPr>
  </w:style>
  <w:style w:type="paragraph" w:customStyle="1" w:styleId="SubitemHead">
    <w:name w:val="SubitemHead"/>
    <w:aliases w:val="issh"/>
    <w:basedOn w:val="OPCParaBase"/>
    <w:rsid w:val="007A07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A07E5"/>
    <w:pPr>
      <w:spacing w:before="40" w:line="240" w:lineRule="auto"/>
      <w:ind w:left="1134"/>
    </w:pPr>
  </w:style>
  <w:style w:type="paragraph" w:customStyle="1" w:styleId="SubsectionHead">
    <w:name w:val="SubsectionHead"/>
    <w:aliases w:val="ssh"/>
    <w:basedOn w:val="OPCParaBase"/>
    <w:next w:val="subsection"/>
    <w:rsid w:val="007A07E5"/>
    <w:pPr>
      <w:keepNext/>
      <w:keepLines/>
      <w:spacing w:before="240" w:line="240" w:lineRule="auto"/>
      <w:ind w:left="1134"/>
    </w:pPr>
    <w:rPr>
      <w:i/>
    </w:rPr>
  </w:style>
  <w:style w:type="paragraph" w:customStyle="1" w:styleId="Tablea">
    <w:name w:val="Table(a)"/>
    <w:aliases w:val="ta"/>
    <w:basedOn w:val="OPCParaBase"/>
    <w:rsid w:val="007A07E5"/>
    <w:pPr>
      <w:spacing w:before="60" w:line="240" w:lineRule="auto"/>
      <w:ind w:left="284" w:hanging="284"/>
    </w:pPr>
    <w:rPr>
      <w:sz w:val="20"/>
    </w:rPr>
  </w:style>
  <w:style w:type="paragraph" w:customStyle="1" w:styleId="TableAA">
    <w:name w:val="Table(AA)"/>
    <w:aliases w:val="taaa"/>
    <w:basedOn w:val="OPCParaBase"/>
    <w:rsid w:val="007A07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A07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A07E5"/>
    <w:pPr>
      <w:spacing w:before="60" w:line="240" w:lineRule="atLeast"/>
    </w:pPr>
    <w:rPr>
      <w:sz w:val="20"/>
    </w:rPr>
  </w:style>
  <w:style w:type="paragraph" w:customStyle="1" w:styleId="TLPBoxTextnote">
    <w:name w:val="TLPBoxText(note"/>
    <w:aliases w:val="right)"/>
    <w:basedOn w:val="OPCParaBase"/>
    <w:rsid w:val="007A07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A07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A07E5"/>
    <w:pPr>
      <w:spacing w:before="122" w:line="198" w:lineRule="exact"/>
      <w:ind w:left="1985" w:hanging="851"/>
      <w:jc w:val="right"/>
    </w:pPr>
    <w:rPr>
      <w:sz w:val="18"/>
    </w:rPr>
  </w:style>
  <w:style w:type="paragraph" w:customStyle="1" w:styleId="TLPTableBullet">
    <w:name w:val="TLPTableBullet"/>
    <w:aliases w:val="ttb"/>
    <w:basedOn w:val="OPCParaBase"/>
    <w:rsid w:val="007A07E5"/>
    <w:pPr>
      <w:spacing w:line="240" w:lineRule="exact"/>
      <w:ind w:left="284" w:hanging="284"/>
    </w:pPr>
    <w:rPr>
      <w:sz w:val="20"/>
    </w:rPr>
  </w:style>
  <w:style w:type="paragraph" w:styleId="TOC1">
    <w:name w:val="toc 1"/>
    <w:basedOn w:val="OPCParaBase"/>
    <w:next w:val="Normal"/>
    <w:uiPriority w:val="39"/>
    <w:semiHidden/>
    <w:unhideWhenUsed/>
    <w:rsid w:val="007A07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A07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A07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A07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A07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A07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A07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A07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A07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A07E5"/>
    <w:pPr>
      <w:keepLines/>
      <w:spacing w:before="240" w:after="120" w:line="240" w:lineRule="auto"/>
      <w:ind w:left="794"/>
    </w:pPr>
    <w:rPr>
      <w:b/>
      <w:kern w:val="28"/>
      <w:sz w:val="20"/>
    </w:rPr>
  </w:style>
  <w:style w:type="paragraph" w:customStyle="1" w:styleId="TofSectsHeading">
    <w:name w:val="TofSects(Heading)"/>
    <w:basedOn w:val="OPCParaBase"/>
    <w:rsid w:val="007A07E5"/>
    <w:pPr>
      <w:spacing w:before="240" w:after="120" w:line="240" w:lineRule="auto"/>
    </w:pPr>
    <w:rPr>
      <w:b/>
      <w:sz w:val="24"/>
    </w:rPr>
  </w:style>
  <w:style w:type="paragraph" w:customStyle="1" w:styleId="TofSectsSection">
    <w:name w:val="TofSects(Section)"/>
    <w:basedOn w:val="OPCParaBase"/>
    <w:rsid w:val="007A07E5"/>
    <w:pPr>
      <w:keepLines/>
      <w:spacing w:before="40" w:line="240" w:lineRule="auto"/>
      <w:ind w:left="1588" w:hanging="794"/>
    </w:pPr>
    <w:rPr>
      <w:kern w:val="28"/>
      <w:sz w:val="18"/>
    </w:rPr>
  </w:style>
  <w:style w:type="paragraph" w:customStyle="1" w:styleId="TofSectsSubdiv">
    <w:name w:val="TofSects(Subdiv)"/>
    <w:basedOn w:val="OPCParaBase"/>
    <w:rsid w:val="007A07E5"/>
    <w:pPr>
      <w:keepLines/>
      <w:spacing w:before="80" w:line="240" w:lineRule="auto"/>
      <w:ind w:left="1588" w:hanging="794"/>
    </w:pPr>
    <w:rPr>
      <w:kern w:val="28"/>
    </w:rPr>
  </w:style>
  <w:style w:type="paragraph" w:customStyle="1" w:styleId="WRStyle">
    <w:name w:val="WR Style"/>
    <w:aliases w:val="WR"/>
    <w:basedOn w:val="OPCParaBase"/>
    <w:rsid w:val="007A07E5"/>
    <w:pPr>
      <w:spacing w:before="240" w:line="240" w:lineRule="auto"/>
      <w:ind w:left="284" w:hanging="284"/>
    </w:pPr>
    <w:rPr>
      <w:b/>
      <w:i/>
      <w:kern w:val="28"/>
      <w:sz w:val="24"/>
    </w:rPr>
  </w:style>
  <w:style w:type="paragraph" w:customStyle="1" w:styleId="notepara">
    <w:name w:val="note(para)"/>
    <w:aliases w:val="na"/>
    <w:basedOn w:val="OPCParaBase"/>
    <w:rsid w:val="007A07E5"/>
    <w:pPr>
      <w:spacing w:before="40" w:line="198" w:lineRule="exact"/>
      <w:ind w:left="2354" w:hanging="369"/>
    </w:pPr>
    <w:rPr>
      <w:sz w:val="18"/>
    </w:rPr>
  </w:style>
  <w:style w:type="paragraph" w:styleId="Footer">
    <w:name w:val="footer"/>
    <w:link w:val="FooterChar"/>
    <w:rsid w:val="007A07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A07E5"/>
    <w:rPr>
      <w:rFonts w:eastAsia="Times New Roman" w:cs="Times New Roman"/>
      <w:sz w:val="22"/>
      <w:szCs w:val="24"/>
      <w:lang w:eastAsia="en-AU"/>
    </w:rPr>
  </w:style>
  <w:style w:type="character" w:styleId="LineNumber">
    <w:name w:val="line number"/>
    <w:basedOn w:val="OPCCharBase"/>
    <w:uiPriority w:val="99"/>
    <w:semiHidden/>
    <w:unhideWhenUsed/>
    <w:rsid w:val="007A07E5"/>
    <w:rPr>
      <w:sz w:val="16"/>
    </w:rPr>
  </w:style>
  <w:style w:type="table" w:customStyle="1" w:styleId="CFlag">
    <w:name w:val="CFlag"/>
    <w:basedOn w:val="TableNormal"/>
    <w:uiPriority w:val="99"/>
    <w:rsid w:val="007A07E5"/>
    <w:rPr>
      <w:rFonts w:eastAsia="Times New Roman" w:cs="Times New Roman"/>
      <w:lang w:eastAsia="en-AU"/>
    </w:rPr>
    <w:tblPr/>
  </w:style>
  <w:style w:type="paragraph" w:customStyle="1" w:styleId="CompiledActNo">
    <w:name w:val="CompiledActNo"/>
    <w:basedOn w:val="OPCParaBase"/>
    <w:next w:val="Normal"/>
    <w:rsid w:val="007A07E5"/>
    <w:rPr>
      <w:b/>
      <w:sz w:val="24"/>
      <w:szCs w:val="24"/>
    </w:rPr>
  </w:style>
  <w:style w:type="paragraph" w:customStyle="1" w:styleId="CompiledMadeUnder">
    <w:name w:val="CompiledMadeUnder"/>
    <w:basedOn w:val="OPCParaBase"/>
    <w:next w:val="Normal"/>
    <w:rsid w:val="007A07E5"/>
    <w:rPr>
      <w:i/>
      <w:sz w:val="24"/>
      <w:szCs w:val="24"/>
    </w:rPr>
  </w:style>
  <w:style w:type="paragraph" w:customStyle="1" w:styleId="ENotesText">
    <w:name w:val="ENotesText"/>
    <w:aliases w:val="Ent"/>
    <w:basedOn w:val="OPCParaBase"/>
    <w:next w:val="Normal"/>
    <w:rsid w:val="007A07E5"/>
    <w:pPr>
      <w:spacing w:before="120"/>
    </w:pPr>
  </w:style>
  <w:style w:type="paragraph" w:customStyle="1" w:styleId="Paragraphsub-sub-sub">
    <w:name w:val="Paragraph(sub-sub-sub)"/>
    <w:aliases w:val="aaaa"/>
    <w:basedOn w:val="OPCParaBase"/>
    <w:rsid w:val="007A07E5"/>
    <w:pPr>
      <w:tabs>
        <w:tab w:val="right" w:pos="3402"/>
      </w:tabs>
      <w:spacing w:before="40" w:line="240" w:lineRule="auto"/>
      <w:ind w:left="3402" w:hanging="3402"/>
    </w:pPr>
  </w:style>
  <w:style w:type="paragraph" w:customStyle="1" w:styleId="NoteToSubpara">
    <w:name w:val="NoteToSubpara"/>
    <w:aliases w:val="nts"/>
    <w:basedOn w:val="OPCParaBase"/>
    <w:rsid w:val="007A07E5"/>
    <w:pPr>
      <w:spacing w:before="40" w:line="198" w:lineRule="exact"/>
      <w:ind w:left="2835" w:hanging="709"/>
    </w:pPr>
    <w:rPr>
      <w:sz w:val="18"/>
    </w:rPr>
  </w:style>
  <w:style w:type="paragraph" w:customStyle="1" w:styleId="ENoteTableHeading">
    <w:name w:val="ENoteTableHeading"/>
    <w:aliases w:val="enth"/>
    <w:basedOn w:val="OPCParaBase"/>
    <w:rsid w:val="007A07E5"/>
    <w:pPr>
      <w:keepNext/>
      <w:spacing w:before="60" w:line="240" w:lineRule="atLeast"/>
    </w:pPr>
    <w:rPr>
      <w:rFonts w:ascii="Arial" w:hAnsi="Arial"/>
      <w:b/>
      <w:sz w:val="16"/>
    </w:rPr>
  </w:style>
  <w:style w:type="paragraph" w:customStyle="1" w:styleId="ENoteTTi">
    <w:name w:val="ENoteTTi"/>
    <w:aliases w:val="entti"/>
    <w:basedOn w:val="OPCParaBase"/>
    <w:rsid w:val="007A07E5"/>
    <w:pPr>
      <w:keepNext/>
      <w:spacing w:before="60" w:line="240" w:lineRule="atLeast"/>
      <w:ind w:left="170"/>
    </w:pPr>
    <w:rPr>
      <w:sz w:val="16"/>
    </w:rPr>
  </w:style>
  <w:style w:type="paragraph" w:customStyle="1" w:styleId="ENotesHeading1">
    <w:name w:val="ENotesHeading 1"/>
    <w:aliases w:val="Enh1"/>
    <w:basedOn w:val="OPCParaBase"/>
    <w:next w:val="Normal"/>
    <w:rsid w:val="007A07E5"/>
    <w:pPr>
      <w:spacing w:before="120"/>
      <w:outlineLvl w:val="1"/>
    </w:pPr>
    <w:rPr>
      <w:b/>
      <w:sz w:val="28"/>
      <w:szCs w:val="28"/>
    </w:rPr>
  </w:style>
  <w:style w:type="paragraph" w:customStyle="1" w:styleId="ENotesHeading2">
    <w:name w:val="ENotesHeading 2"/>
    <w:aliases w:val="Enh2"/>
    <w:basedOn w:val="OPCParaBase"/>
    <w:next w:val="Normal"/>
    <w:rsid w:val="007A07E5"/>
    <w:pPr>
      <w:spacing w:before="120" w:after="120"/>
      <w:outlineLvl w:val="2"/>
    </w:pPr>
    <w:rPr>
      <w:b/>
      <w:sz w:val="24"/>
      <w:szCs w:val="28"/>
    </w:rPr>
  </w:style>
  <w:style w:type="paragraph" w:customStyle="1" w:styleId="ENoteTTIndentHeading">
    <w:name w:val="ENoteTTIndentHeading"/>
    <w:aliases w:val="enTTHi"/>
    <w:basedOn w:val="OPCParaBase"/>
    <w:rsid w:val="007A07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A07E5"/>
    <w:pPr>
      <w:spacing w:before="60" w:line="240" w:lineRule="atLeast"/>
    </w:pPr>
    <w:rPr>
      <w:sz w:val="16"/>
    </w:rPr>
  </w:style>
  <w:style w:type="paragraph" w:customStyle="1" w:styleId="MadeunderText">
    <w:name w:val="MadeunderText"/>
    <w:basedOn w:val="OPCParaBase"/>
    <w:next w:val="Normal"/>
    <w:rsid w:val="007A07E5"/>
    <w:pPr>
      <w:spacing w:before="240"/>
    </w:pPr>
    <w:rPr>
      <w:sz w:val="24"/>
      <w:szCs w:val="24"/>
    </w:rPr>
  </w:style>
  <w:style w:type="paragraph" w:customStyle="1" w:styleId="ENotesHeading3">
    <w:name w:val="ENotesHeading 3"/>
    <w:aliases w:val="Enh3"/>
    <w:basedOn w:val="OPCParaBase"/>
    <w:next w:val="Normal"/>
    <w:rsid w:val="007A07E5"/>
    <w:pPr>
      <w:keepNext/>
      <w:spacing w:before="120" w:line="240" w:lineRule="auto"/>
      <w:outlineLvl w:val="4"/>
    </w:pPr>
    <w:rPr>
      <w:b/>
      <w:szCs w:val="24"/>
    </w:rPr>
  </w:style>
  <w:style w:type="character" w:customStyle="1" w:styleId="CharSubPartTextCASA">
    <w:name w:val="CharSubPartText(CASA)"/>
    <w:basedOn w:val="OPCCharBase"/>
    <w:uiPriority w:val="1"/>
    <w:rsid w:val="007A07E5"/>
  </w:style>
  <w:style w:type="character" w:customStyle="1" w:styleId="CharSubPartNoCASA">
    <w:name w:val="CharSubPartNo(CASA)"/>
    <w:basedOn w:val="OPCCharBase"/>
    <w:uiPriority w:val="1"/>
    <w:rsid w:val="007A07E5"/>
  </w:style>
  <w:style w:type="paragraph" w:customStyle="1" w:styleId="ENoteTTIndentHeadingSub">
    <w:name w:val="ENoteTTIndentHeadingSub"/>
    <w:aliases w:val="enTTHis"/>
    <w:basedOn w:val="OPCParaBase"/>
    <w:rsid w:val="007A07E5"/>
    <w:pPr>
      <w:keepNext/>
      <w:spacing w:before="60" w:line="240" w:lineRule="atLeast"/>
      <w:ind w:left="340"/>
    </w:pPr>
    <w:rPr>
      <w:b/>
      <w:sz w:val="16"/>
    </w:rPr>
  </w:style>
  <w:style w:type="paragraph" w:customStyle="1" w:styleId="ENoteTTiSub">
    <w:name w:val="ENoteTTiSub"/>
    <w:aliases w:val="enttis"/>
    <w:basedOn w:val="OPCParaBase"/>
    <w:rsid w:val="007A07E5"/>
    <w:pPr>
      <w:keepNext/>
      <w:spacing w:before="60" w:line="240" w:lineRule="atLeast"/>
      <w:ind w:left="340"/>
    </w:pPr>
    <w:rPr>
      <w:sz w:val="16"/>
    </w:rPr>
  </w:style>
  <w:style w:type="paragraph" w:customStyle="1" w:styleId="SubDivisionMigration">
    <w:name w:val="SubDivisionMigration"/>
    <w:aliases w:val="sdm"/>
    <w:basedOn w:val="OPCParaBase"/>
    <w:rsid w:val="007A07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A07E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A07E5"/>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7A07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A07E5"/>
    <w:rPr>
      <w:sz w:val="22"/>
    </w:rPr>
  </w:style>
  <w:style w:type="paragraph" w:customStyle="1" w:styleId="SOTextNote">
    <w:name w:val="SO TextNote"/>
    <w:aliases w:val="sont"/>
    <w:basedOn w:val="SOText"/>
    <w:qFormat/>
    <w:rsid w:val="007A07E5"/>
    <w:pPr>
      <w:spacing w:before="122" w:line="198" w:lineRule="exact"/>
      <w:ind w:left="1843" w:hanging="709"/>
    </w:pPr>
    <w:rPr>
      <w:sz w:val="18"/>
    </w:rPr>
  </w:style>
  <w:style w:type="paragraph" w:customStyle="1" w:styleId="SOPara">
    <w:name w:val="SO Para"/>
    <w:aliases w:val="soa"/>
    <w:basedOn w:val="SOText"/>
    <w:link w:val="SOParaChar"/>
    <w:qFormat/>
    <w:rsid w:val="007A07E5"/>
    <w:pPr>
      <w:tabs>
        <w:tab w:val="right" w:pos="1786"/>
      </w:tabs>
      <w:spacing w:before="40"/>
      <w:ind w:left="2070" w:hanging="936"/>
    </w:pPr>
  </w:style>
  <w:style w:type="character" w:customStyle="1" w:styleId="SOParaChar">
    <w:name w:val="SO Para Char"/>
    <w:aliases w:val="soa Char"/>
    <w:basedOn w:val="DefaultParagraphFont"/>
    <w:link w:val="SOPara"/>
    <w:rsid w:val="007A07E5"/>
    <w:rPr>
      <w:sz w:val="22"/>
    </w:rPr>
  </w:style>
  <w:style w:type="paragraph" w:customStyle="1" w:styleId="FileName">
    <w:name w:val="FileName"/>
    <w:basedOn w:val="Normal"/>
    <w:rsid w:val="007A07E5"/>
  </w:style>
  <w:style w:type="paragraph" w:customStyle="1" w:styleId="TableHeading">
    <w:name w:val="TableHeading"/>
    <w:aliases w:val="th"/>
    <w:basedOn w:val="OPCParaBase"/>
    <w:next w:val="Tabletext"/>
    <w:rsid w:val="007A07E5"/>
    <w:pPr>
      <w:keepNext/>
      <w:spacing w:before="60" w:line="240" w:lineRule="atLeast"/>
    </w:pPr>
    <w:rPr>
      <w:b/>
      <w:sz w:val="20"/>
    </w:rPr>
  </w:style>
  <w:style w:type="paragraph" w:customStyle="1" w:styleId="SOHeadBold">
    <w:name w:val="SO HeadBold"/>
    <w:aliases w:val="sohb"/>
    <w:basedOn w:val="SOText"/>
    <w:next w:val="SOText"/>
    <w:link w:val="SOHeadBoldChar"/>
    <w:qFormat/>
    <w:rsid w:val="007A07E5"/>
    <w:rPr>
      <w:b/>
    </w:rPr>
  </w:style>
  <w:style w:type="character" w:customStyle="1" w:styleId="SOHeadBoldChar">
    <w:name w:val="SO HeadBold Char"/>
    <w:aliases w:val="sohb Char"/>
    <w:basedOn w:val="DefaultParagraphFont"/>
    <w:link w:val="SOHeadBold"/>
    <w:rsid w:val="007A07E5"/>
    <w:rPr>
      <w:b/>
      <w:sz w:val="22"/>
    </w:rPr>
  </w:style>
  <w:style w:type="paragraph" w:customStyle="1" w:styleId="SOHeadItalic">
    <w:name w:val="SO HeadItalic"/>
    <w:aliases w:val="sohi"/>
    <w:basedOn w:val="SOText"/>
    <w:next w:val="SOText"/>
    <w:link w:val="SOHeadItalicChar"/>
    <w:qFormat/>
    <w:rsid w:val="007A07E5"/>
    <w:rPr>
      <w:i/>
    </w:rPr>
  </w:style>
  <w:style w:type="character" w:customStyle="1" w:styleId="SOHeadItalicChar">
    <w:name w:val="SO HeadItalic Char"/>
    <w:aliases w:val="sohi Char"/>
    <w:basedOn w:val="DefaultParagraphFont"/>
    <w:link w:val="SOHeadItalic"/>
    <w:rsid w:val="007A07E5"/>
    <w:rPr>
      <w:i/>
      <w:sz w:val="22"/>
    </w:rPr>
  </w:style>
  <w:style w:type="paragraph" w:customStyle="1" w:styleId="SOBullet">
    <w:name w:val="SO Bullet"/>
    <w:aliases w:val="sotb"/>
    <w:basedOn w:val="SOText"/>
    <w:link w:val="SOBulletChar"/>
    <w:qFormat/>
    <w:rsid w:val="007A07E5"/>
    <w:pPr>
      <w:ind w:left="1559" w:hanging="425"/>
    </w:pPr>
  </w:style>
  <w:style w:type="character" w:customStyle="1" w:styleId="SOBulletChar">
    <w:name w:val="SO Bullet Char"/>
    <w:aliases w:val="sotb Char"/>
    <w:basedOn w:val="DefaultParagraphFont"/>
    <w:link w:val="SOBullet"/>
    <w:rsid w:val="007A07E5"/>
    <w:rPr>
      <w:sz w:val="22"/>
    </w:rPr>
  </w:style>
  <w:style w:type="paragraph" w:customStyle="1" w:styleId="SOBulletNote">
    <w:name w:val="SO BulletNote"/>
    <w:aliases w:val="sonb"/>
    <w:basedOn w:val="SOTextNote"/>
    <w:link w:val="SOBulletNoteChar"/>
    <w:qFormat/>
    <w:rsid w:val="007A07E5"/>
    <w:pPr>
      <w:tabs>
        <w:tab w:val="left" w:pos="1560"/>
      </w:tabs>
      <w:ind w:left="2268" w:hanging="1134"/>
    </w:pPr>
  </w:style>
  <w:style w:type="character" w:customStyle="1" w:styleId="SOBulletNoteChar">
    <w:name w:val="SO BulletNote Char"/>
    <w:aliases w:val="sonb Char"/>
    <w:basedOn w:val="DefaultParagraphFont"/>
    <w:link w:val="SOBulletNote"/>
    <w:rsid w:val="007A07E5"/>
    <w:rPr>
      <w:sz w:val="18"/>
    </w:rPr>
  </w:style>
  <w:style w:type="paragraph" w:customStyle="1" w:styleId="SOText2">
    <w:name w:val="SO Text2"/>
    <w:aliases w:val="sot2"/>
    <w:basedOn w:val="Normal"/>
    <w:next w:val="SOText"/>
    <w:link w:val="SOText2Char"/>
    <w:rsid w:val="007A07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A07E5"/>
    <w:rPr>
      <w:sz w:val="22"/>
    </w:rPr>
  </w:style>
  <w:style w:type="paragraph" w:customStyle="1" w:styleId="SubPartCASA">
    <w:name w:val="SubPart(CASA)"/>
    <w:aliases w:val="csp"/>
    <w:basedOn w:val="OPCParaBase"/>
    <w:next w:val="ActHead3"/>
    <w:rsid w:val="007A07E5"/>
    <w:pPr>
      <w:keepNext/>
      <w:keepLines/>
      <w:spacing w:before="280"/>
      <w:ind w:left="1134" w:hanging="1134"/>
      <w:outlineLvl w:val="1"/>
    </w:pPr>
    <w:rPr>
      <w:b/>
      <w:kern w:val="28"/>
      <w:sz w:val="32"/>
    </w:rPr>
  </w:style>
  <w:style w:type="paragraph" w:customStyle="1" w:styleId="NotesHeading1">
    <w:name w:val="NotesHeading 1"/>
    <w:basedOn w:val="OPCParaBase"/>
    <w:next w:val="Normal"/>
    <w:rsid w:val="007A07E5"/>
    <w:rPr>
      <w:b/>
      <w:sz w:val="28"/>
      <w:szCs w:val="28"/>
    </w:rPr>
  </w:style>
  <w:style w:type="paragraph" w:customStyle="1" w:styleId="NotesHeading2">
    <w:name w:val="NotesHeading 2"/>
    <w:basedOn w:val="OPCParaBase"/>
    <w:next w:val="Normal"/>
    <w:rsid w:val="007A07E5"/>
    <w:rPr>
      <w:b/>
      <w:sz w:val="28"/>
      <w:szCs w:val="28"/>
    </w:rPr>
  </w:style>
  <w:style w:type="paragraph" w:customStyle="1" w:styleId="SignCoverPageEnd">
    <w:name w:val="SignCoverPageEnd"/>
    <w:basedOn w:val="OPCParaBase"/>
    <w:next w:val="Normal"/>
    <w:rsid w:val="007A07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A07E5"/>
    <w:pPr>
      <w:pBdr>
        <w:top w:val="single" w:sz="4" w:space="1" w:color="auto"/>
      </w:pBdr>
      <w:spacing w:before="360"/>
      <w:ind w:right="397"/>
      <w:jc w:val="both"/>
    </w:pPr>
  </w:style>
  <w:style w:type="paragraph" w:customStyle="1" w:styleId="EndNotespara">
    <w:name w:val="EndNotes(para)"/>
    <w:aliases w:val="eta"/>
    <w:basedOn w:val="OPCParaBase"/>
    <w:next w:val="EndNotessubpara"/>
    <w:rsid w:val="007A07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A07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A07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A07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A07E5"/>
    <w:pPr>
      <w:spacing w:before="60" w:line="240" w:lineRule="auto"/>
    </w:pPr>
    <w:rPr>
      <w:rFonts w:cs="Arial"/>
      <w:sz w:val="20"/>
      <w:szCs w:val="22"/>
    </w:rPr>
  </w:style>
  <w:style w:type="table" w:styleId="TableGrid">
    <w:name w:val="Table Grid"/>
    <w:basedOn w:val="TableNormal"/>
    <w:uiPriority w:val="59"/>
    <w:rsid w:val="007A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7A07E5"/>
  </w:style>
  <w:style w:type="character" w:customStyle="1" w:styleId="subsectionChar">
    <w:name w:val="subsection Char"/>
    <w:aliases w:val="ss Char"/>
    <w:link w:val="subsection"/>
    <w:rsid w:val="0030650C"/>
    <w:rPr>
      <w:rFonts w:eastAsia="Times New Roman" w:cs="Times New Roman"/>
      <w:sz w:val="22"/>
      <w:lang w:eastAsia="en-AU"/>
    </w:rPr>
  </w:style>
  <w:style w:type="character" w:customStyle="1" w:styleId="ActHead3Char">
    <w:name w:val="ActHead 3 Char"/>
    <w:aliases w:val="d Char"/>
    <w:link w:val="ActHead3"/>
    <w:rsid w:val="0030650C"/>
    <w:rPr>
      <w:rFonts w:eastAsia="Times New Roman" w:cs="Times New Roman"/>
      <w:b/>
      <w:kern w:val="28"/>
      <w:sz w:val="28"/>
      <w:lang w:eastAsia="en-AU"/>
    </w:rPr>
  </w:style>
  <w:style w:type="character" w:customStyle="1" w:styleId="paragraphChar">
    <w:name w:val="paragraph Char"/>
    <w:aliases w:val="a Char"/>
    <w:link w:val="paragraph"/>
    <w:rsid w:val="0030650C"/>
    <w:rPr>
      <w:rFonts w:eastAsia="Times New Roman" w:cs="Times New Roman"/>
      <w:sz w:val="22"/>
      <w:lang w:eastAsia="en-AU"/>
    </w:rPr>
  </w:style>
  <w:style w:type="character" w:customStyle="1" w:styleId="ActHead2Char">
    <w:name w:val="ActHead 2 Char"/>
    <w:aliases w:val="p Char"/>
    <w:link w:val="ActHead2"/>
    <w:rsid w:val="0030650C"/>
    <w:rPr>
      <w:rFonts w:eastAsia="Times New Roman" w:cs="Times New Roman"/>
      <w:b/>
      <w:kern w:val="28"/>
      <w:sz w:val="32"/>
      <w:lang w:eastAsia="en-AU"/>
    </w:rPr>
  </w:style>
  <w:style w:type="character" w:customStyle="1" w:styleId="ActHead5Char">
    <w:name w:val="ActHead 5 Char"/>
    <w:aliases w:val="s Char"/>
    <w:link w:val="ActHead5"/>
    <w:locked/>
    <w:rsid w:val="0030650C"/>
    <w:rPr>
      <w:rFonts w:eastAsia="Times New Roman" w:cs="Times New Roman"/>
      <w:b/>
      <w:kern w:val="28"/>
      <w:sz w:val="24"/>
      <w:lang w:eastAsia="en-AU"/>
    </w:rPr>
  </w:style>
  <w:style w:type="character" w:customStyle="1" w:styleId="DefinitionChar">
    <w:name w:val="Definition Char"/>
    <w:aliases w:val="dd Char"/>
    <w:link w:val="Definition"/>
    <w:rsid w:val="0030650C"/>
    <w:rPr>
      <w:rFonts w:eastAsia="Times New Roman" w:cs="Times New Roman"/>
      <w:sz w:val="22"/>
      <w:lang w:eastAsia="en-AU"/>
    </w:rPr>
  </w:style>
  <w:style w:type="character" w:customStyle="1" w:styleId="notetextChar">
    <w:name w:val="note(text) Char"/>
    <w:aliases w:val="n Char"/>
    <w:link w:val="notetext"/>
    <w:rsid w:val="0030650C"/>
    <w:rPr>
      <w:rFonts w:eastAsia="Times New Roman" w:cs="Times New Roman"/>
      <w:sz w:val="18"/>
      <w:lang w:eastAsia="en-AU"/>
    </w:rPr>
  </w:style>
  <w:style w:type="character" w:customStyle="1" w:styleId="TabletextChar">
    <w:name w:val="Tabletext Char"/>
    <w:aliases w:val="tt Char"/>
    <w:basedOn w:val="DefaultParagraphFont"/>
    <w:link w:val="Tabletext"/>
    <w:rsid w:val="00D059BC"/>
    <w:rPr>
      <w:rFonts w:eastAsia="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07E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A07E5"/>
  </w:style>
  <w:style w:type="paragraph" w:customStyle="1" w:styleId="OPCParaBase">
    <w:name w:val="OPCParaBase"/>
    <w:qFormat/>
    <w:rsid w:val="007A07E5"/>
    <w:pPr>
      <w:spacing w:line="260" w:lineRule="atLeast"/>
    </w:pPr>
    <w:rPr>
      <w:rFonts w:eastAsia="Times New Roman" w:cs="Times New Roman"/>
      <w:sz w:val="22"/>
      <w:lang w:eastAsia="en-AU"/>
    </w:rPr>
  </w:style>
  <w:style w:type="paragraph" w:customStyle="1" w:styleId="ShortT">
    <w:name w:val="ShortT"/>
    <w:basedOn w:val="OPCParaBase"/>
    <w:next w:val="Normal"/>
    <w:qFormat/>
    <w:rsid w:val="007A07E5"/>
    <w:pPr>
      <w:spacing w:line="240" w:lineRule="auto"/>
    </w:pPr>
    <w:rPr>
      <w:b/>
      <w:sz w:val="40"/>
    </w:rPr>
  </w:style>
  <w:style w:type="paragraph" w:customStyle="1" w:styleId="ActHead1">
    <w:name w:val="ActHead 1"/>
    <w:aliases w:val="c"/>
    <w:basedOn w:val="OPCParaBase"/>
    <w:next w:val="Normal"/>
    <w:qFormat/>
    <w:rsid w:val="007A07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A07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A07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A07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A07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A07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A07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A07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A07E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A07E5"/>
  </w:style>
  <w:style w:type="paragraph" w:customStyle="1" w:styleId="Blocks">
    <w:name w:val="Blocks"/>
    <w:aliases w:val="bb"/>
    <w:basedOn w:val="OPCParaBase"/>
    <w:qFormat/>
    <w:rsid w:val="007A07E5"/>
    <w:pPr>
      <w:spacing w:line="240" w:lineRule="auto"/>
    </w:pPr>
    <w:rPr>
      <w:sz w:val="24"/>
    </w:rPr>
  </w:style>
  <w:style w:type="paragraph" w:customStyle="1" w:styleId="BoxText">
    <w:name w:val="BoxText"/>
    <w:aliases w:val="bt"/>
    <w:basedOn w:val="OPCParaBase"/>
    <w:qFormat/>
    <w:rsid w:val="007A07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A07E5"/>
    <w:rPr>
      <w:b/>
    </w:rPr>
  </w:style>
  <w:style w:type="paragraph" w:customStyle="1" w:styleId="BoxHeadItalic">
    <w:name w:val="BoxHeadItalic"/>
    <w:aliases w:val="bhi"/>
    <w:basedOn w:val="BoxText"/>
    <w:next w:val="BoxStep"/>
    <w:qFormat/>
    <w:rsid w:val="007A07E5"/>
    <w:rPr>
      <w:i/>
    </w:rPr>
  </w:style>
  <w:style w:type="paragraph" w:customStyle="1" w:styleId="BoxList">
    <w:name w:val="BoxList"/>
    <w:aliases w:val="bl"/>
    <w:basedOn w:val="BoxText"/>
    <w:qFormat/>
    <w:rsid w:val="007A07E5"/>
    <w:pPr>
      <w:ind w:left="1559" w:hanging="425"/>
    </w:pPr>
  </w:style>
  <w:style w:type="paragraph" w:customStyle="1" w:styleId="BoxNote">
    <w:name w:val="BoxNote"/>
    <w:aliases w:val="bn"/>
    <w:basedOn w:val="BoxText"/>
    <w:qFormat/>
    <w:rsid w:val="007A07E5"/>
    <w:pPr>
      <w:tabs>
        <w:tab w:val="left" w:pos="1985"/>
      </w:tabs>
      <w:spacing w:before="122" w:line="198" w:lineRule="exact"/>
      <w:ind w:left="2948" w:hanging="1814"/>
    </w:pPr>
    <w:rPr>
      <w:sz w:val="18"/>
    </w:rPr>
  </w:style>
  <w:style w:type="paragraph" w:customStyle="1" w:styleId="BoxPara">
    <w:name w:val="BoxPara"/>
    <w:aliases w:val="bp"/>
    <w:basedOn w:val="BoxText"/>
    <w:qFormat/>
    <w:rsid w:val="007A07E5"/>
    <w:pPr>
      <w:tabs>
        <w:tab w:val="right" w:pos="2268"/>
      </w:tabs>
      <w:ind w:left="2552" w:hanging="1418"/>
    </w:pPr>
  </w:style>
  <w:style w:type="paragraph" w:customStyle="1" w:styleId="BoxStep">
    <w:name w:val="BoxStep"/>
    <w:aliases w:val="bs"/>
    <w:basedOn w:val="BoxText"/>
    <w:qFormat/>
    <w:rsid w:val="007A07E5"/>
    <w:pPr>
      <w:ind w:left="1985" w:hanging="851"/>
    </w:pPr>
  </w:style>
  <w:style w:type="character" w:customStyle="1" w:styleId="CharAmPartNo">
    <w:name w:val="CharAmPartNo"/>
    <w:basedOn w:val="OPCCharBase"/>
    <w:qFormat/>
    <w:rsid w:val="007A07E5"/>
  </w:style>
  <w:style w:type="character" w:customStyle="1" w:styleId="CharAmPartText">
    <w:name w:val="CharAmPartText"/>
    <w:basedOn w:val="OPCCharBase"/>
    <w:qFormat/>
    <w:rsid w:val="007A07E5"/>
  </w:style>
  <w:style w:type="character" w:customStyle="1" w:styleId="CharAmSchNo">
    <w:name w:val="CharAmSchNo"/>
    <w:basedOn w:val="OPCCharBase"/>
    <w:qFormat/>
    <w:rsid w:val="007A07E5"/>
  </w:style>
  <w:style w:type="character" w:customStyle="1" w:styleId="CharAmSchText">
    <w:name w:val="CharAmSchText"/>
    <w:basedOn w:val="OPCCharBase"/>
    <w:qFormat/>
    <w:rsid w:val="007A07E5"/>
  </w:style>
  <w:style w:type="character" w:customStyle="1" w:styleId="CharBoldItalic">
    <w:name w:val="CharBoldItalic"/>
    <w:basedOn w:val="OPCCharBase"/>
    <w:uiPriority w:val="1"/>
    <w:qFormat/>
    <w:rsid w:val="007A07E5"/>
    <w:rPr>
      <w:b/>
      <w:i/>
    </w:rPr>
  </w:style>
  <w:style w:type="character" w:customStyle="1" w:styleId="CharChapNo">
    <w:name w:val="CharChapNo"/>
    <w:basedOn w:val="OPCCharBase"/>
    <w:uiPriority w:val="1"/>
    <w:qFormat/>
    <w:rsid w:val="007A07E5"/>
  </w:style>
  <w:style w:type="character" w:customStyle="1" w:styleId="CharChapText">
    <w:name w:val="CharChapText"/>
    <w:basedOn w:val="OPCCharBase"/>
    <w:uiPriority w:val="1"/>
    <w:qFormat/>
    <w:rsid w:val="007A07E5"/>
  </w:style>
  <w:style w:type="character" w:customStyle="1" w:styleId="CharDivNo">
    <w:name w:val="CharDivNo"/>
    <w:basedOn w:val="OPCCharBase"/>
    <w:uiPriority w:val="1"/>
    <w:qFormat/>
    <w:rsid w:val="007A07E5"/>
  </w:style>
  <w:style w:type="character" w:customStyle="1" w:styleId="CharDivText">
    <w:name w:val="CharDivText"/>
    <w:basedOn w:val="OPCCharBase"/>
    <w:uiPriority w:val="1"/>
    <w:qFormat/>
    <w:rsid w:val="007A07E5"/>
  </w:style>
  <w:style w:type="character" w:customStyle="1" w:styleId="CharItalic">
    <w:name w:val="CharItalic"/>
    <w:basedOn w:val="OPCCharBase"/>
    <w:uiPriority w:val="1"/>
    <w:qFormat/>
    <w:rsid w:val="007A07E5"/>
    <w:rPr>
      <w:i/>
    </w:rPr>
  </w:style>
  <w:style w:type="character" w:customStyle="1" w:styleId="CharPartNo">
    <w:name w:val="CharPartNo"/>
    <w:basedOn w:val="OPCCharBase"/>
    <w:uiPriority w:val="1"/>
    <w:qFormat/>
    <w:rsid w:val="007A07E5"/>
  </w:style>
  <w:style w:type="character" w:customStyle="1" w:styleId="CharPartText">
    <w:name w:val="CharPartText"/>
    <w:basedOn w:val="OPCCharBase"/>
    <w:uiPriority w:val="1"/>
    <w:qFormat/>
    <w:rsid w:val="007A07E5"/>
  </w:style>
  <w:style w:type="character" w:customStyle="1" w:styleId="CharSectno">
    <w:name w:val="CharSectno"/>
    <w:basedOn w:val="OPCCharBase"/>
    <w:qFormat/>
    <w:rsid w:val="007A07E5"/>
  </w:style>
  <w:style w:type="character" w:customStyle="1" w:styleId="CharSubdNo">
    <w:name w:val="CharSubdNo"/>
    <w:basedOn w:val="OPCCharBase"/>
    <w:uiPriority w:val="1"/>
    <w:qFormat/>
    <w:rsid w:val="007A07E5"/>
  </w:style>
  <w:style w:type="character" w:customStyle="1" w:styleId="CharSubdText">
    <w:name w:val="CharSubdText"/>
    <w:basedOn w:val="OPCCharBase"/>
    <w:uiPriority w:val="1"/>
    <w:qFormat/>
    <w:rsid w:val="007A07E5"/>
  </w:style>
  <w:style w:type="paragraph" w:customStyle="1" w:styleId="CTA--">
    <w:name w:val="CTA --"/>
    <w:basedOn w:val="OPCParaBase"/>
    <w:next w:val="Normal"/>
    <w:rsid w:val="007A07E5"/>
    <w:pPr>
      <w:spacing w:before="60" w:line="240" w:lineRule="atLeast"/>
      <w:ind w:left="142" w:hanging="142"/>
    </w:pPr>
    <w:rPr>
      <w:sz w:val="20"/>
    </w:rPr>
  </w:style>
  <w:style w:type="paragraph" w:customStyle="1" w:styleId="CTA-">
    <w:name w:val="CTA -"/>
    <w:basedOn w:val="OPCParaBase"/>
    <w:rsid w:val="007A07E5"/>
    <w:pPr>
      <w:spacing w:before="60" w:line="240" w:lineRule="atLeast"/>
      <w:ind w:left="85" w:hanging="85"/>
    </w:pPr>
    <w:rPr>
      <w:sz w:val="20"/>
    </w:rPr>
  </w:style>
  <w:style w:type="paragraph" w:customStyle="1" w:styleId="CTA---">
    <w:name w:val="CTA ---"/>
    <w:basedOn w:val="OPCParaBase"/>
    <w:next w:val="Normal"/>
    <w:rsid w:val="007A07E5"/>
    <w:pPr>
      <w:spacing w:before="60" w:line="240" w:lineRule="atLeast"/>
      <w:ind w:left="198" w:hanging="198"/>
    </w:pPr>
    <w:rPr>
      <w:sz w:val="20"/>
    </w:rPr>
  </w:style>
  <w:style w:type="paragraph" w:customStyle="1" w:styleId="CTA----">
    <w:name w:val="CTA ----"/>
    <w:basedOn w:val="OPCParaBase"/>
    <w:next w:val="Normal"/>
    <w:rsid w:val="007A07E5"/>
    <w:pPr>
      <w:spacing w:before="60" w:line="240" w:lineRule="atLeast"/>
      <w:ind w:left="255" w:hanging="255"/>
    </w:pPr>
    <w:rPr>
      <w:sz w:val="20"/>
    </w:rPr>
  </w:style>
  <w:style w:type="paragraph" w:customStyle="1" w:styleId="CTA1a">
    <w:name w:val="CTA 1(a)"/>
    <w:basedOn w:val="OPCParaBase"/>
    <w:rsid w:val="007A07E5"/>
    <w:pPr>
      <w:tabs>
        <w:tab w:val="right" w:pos="414"/>
      </w:tabs>
      <w:spacing w:before="40" w:line="240" w:lineRule="atLeast"/>
      <w:ind w:left="675" w:hanging="675"/>
    </w:pPr>
    <w:rPr>
      <w:sz w:val="20"/>
    </w:rPr>
  </w:style>
  <w:style w:type="paragraph" w:customStyle="1" w:styleId="CTA1ai">
    <w:name w:val="CTA 1(a)(i)"/>
    <w:basedOn w:val="OPCParaBase"/>
    <w:rsid w:val="007A07E5"/>
    <w:pPr>
      <w:tabs>
        <w:tab w:val="right" w:pos="1004"/>
      </w:tabs>
      <w:spacing w:before="40" w:line="240" w:lineRule="atLeast"/>
      <w:ind w:left="1253" w:hanging="1253"/>
    </w:pPr>
    <w:rPr>
      <w:sz w:val="20"/>
    </w:rPr>
  </w:style>
  <w:style w:type="paragraph" w:customStyle="1" w:styleId="CTA2a">
    <w:name w:val="CTA 2(a)"/>
    <w:basedOn w:val="OPCParaBase"/>
    <w:rsid w:val="007A07E5"/>
    <w:pPr>
      <w:tabs>
        <w:tab w:val="right" w:pos="482"/>
      </w:tabs>
      <w:spacing w:before="40" w:line="240" w:lineRule="atLeast"/>
      <w:ind w:left="748" w:hanging="748"/>
    </w:pPr>
    <w:rPr>
      <w:sz w:val="20"/>
    </w:rPr>
  </w:style>
  <w:style w:type="paragraph" w:customStyle="1" w:styleId="CTA2ai">
    <w:name w:val="CTA 2(a)(i)"/>
    <w:basedOn w:val="OPCParaBase"/>
    <w:rsid w:val="007A07E5"/>
    <w:pPr>
      <w:tabs>
        <w:tab w:val="right" w:pos="1089"/>
      </w:tabs>
      <w:spacing w:before="40" w:line="240" w:lineRule="atLeast"/>
      <w:ind w:left="1327" w:hanging="1327"/>
    </w:pPr>
    <w:rPr>
      <w:sz w:val="20"/>
    </w:rPr>
  </w:style>
  <w:style w:type="paragraph" w:customStyle="1" w:styleId="CTA3a">
    <w:name w:val="CTA 3(a)"/>
    <w:basedOn w:val="OPCParaBase"/>
    <w:rsid w:val="007A07E5"/>
    <w:pPr>
      <w:tabs>
        <w:tab w:val="right" w:pos="556"/>
      </w:tabs>
      <w:spacing w:before="40" w:line="240" w:lineRule="atLeast"/>
      <w:ind w:left="805" w:hanging="805"/>
    </w:pPr>
    <w:rPr>
      <w:sz w:val="20"/>
    </w:rPr>
  </w:style>
  <w:style w:type="paragraph" w:customStyle="1" w:styleId="CTA3ai">
    <w:name w:val="CTA 3(a)(i)"/>
    <w:basedOn w:val="OPCParaBase"/>
    <w:rsid w:val="007A07E5"/>
    <w:pPr>
      <w:tabs>
        <w:tab w:val="right" w:pos="1140"/>
      </w:tabs>
      <w:spacing w:before="40" w:line="240" w:lineRule="atLeast"/>
      <w:ind w:left="1361" w:hanging="1361"/>
    </w:pPr>
    <w:rPr>
      <w:sz w:val="20"/>
    </w:rPr>
  </w:style>
  <w:style w:type="paragraph" w:customStyle="1" w:styleId="CTA4a">
    <w:name w:val="CTA 4(a)"/>
    <w:basedOn w:val="OPCParaBase"/>
    <w:rsid w:val="007A07E5"/>
    <w:pPr>
      <w:tabs>
        <w:tab w:val="right" w:pos="624"/>
      </w:tabs>
      <w:spacing w:before="40" w:line="240" w:lineRule="atLeast"/>
      <w:ind w:left="873" w:hanging="873"/>
    </w:pPr>
    <w:rPr>
      <w:sz w:val="20"/>
    </w:rPr>
  </w:style>
  <w:style w:type="paragraph" w:customStyle="1" w:styleId="CTA4ai">
    <w:name w:val="CTA 4(a)(i)"/>
    <w:basedOn w:val="OPCParaBase"/>
    <w:rsid w:val="007A07E5"/>
    <w:pPr>
      <w:tabs>
        <w:tab w:val="right" w:pos="1213"/>
      </w:tabs>
      <w:spacing w:before="40" w:line="240" w:lineRule="atLeast"/>
      <w:ind w:left="1452" w:hanging="1452"/>
    </w:pPr>
    <w:rPr>
      <w:sz w:val="20"/>
    </w:rPr>
  </w:style>
  <w:style w:type="paragraph" w:customStyle="1" w:styleId="CTACAPS">
    <w:name w:val="CTA CAPS"/>
    <w:basedOn w:val="OPCParaBase"/>
    <w:rsid w:val="007A07E5"/>
    <w:pPr>
      <w:spacing w:before="60" w:line="240" w:lineRule="atLeast"/>
    </w:pPr>
    <w:rPr>
      <w:sz w:val="20"/>
    </w:rPr>
  </w:style>
  <w:style w:type="paragraph" w:customStyle="1" w:styleId="CTAright">
    <w:name w:val="CTA right"/>
    <w:basedOn w:val="OPCParaBase"/>
    <w:rsid w:val="007A07E5"/>
    <w:pPr>
      <w:spacing w:before="60" w:line="240" w:lineRule="auto"/>
      <w:jc w:val="right"/>
    </w:pPr>
    <w:rPr>
      <w:sz w:val="20"/>
    </w:rPr>
  </w:style>
  <w:style w:type="paragraph" w:customStyle="1" w:styleId="subsection">
    <w:name w:val="subsection"/>
    <w:aliases w:val="ss"/>
    <w:basedOn w:val="OPCParaBase"/>
    <w:link w:val="subsectionChar"/>
    <w:rsid w:val="007A07E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A07E5"/>
    <w:pPr>
      <w:spacing w:before="180" w:line="240" w:lineRule="auto"/>
      <w:ind w:left="1134"/>
    </w:pPr>
  </w:style>
  <w:style w:type="paragraph" w:customStyle="1" w:styleId="ETAsubitem">
    <w:name w:val="ETA(subitem)"/>
    <w:basedOn w:val="OPCParaBase"/>
    <w:rsid w:val="007A07E5"/>
    <w:pPr>
      <w:tabs>
        <w:tab w:val="right" w:pos="340"/>
      </w:tabs>
      <w:spacing w:before="60" w:line="240" w:lineRule="auto"/>
      <w:ind w:left="454" w:hanging="454"/>
    </w:pPr>
    <w:rPr>
      <w:sz w:val="20"/>
    </w:rPr>
  </w:style>
  <w:style w:type="paragraph" w:customStyle="1" w:styleId="ETApara">
    <w:name w:val="ETA(para)"/>
    <w:basedOn w:val="OPCParaBase"/>
    <w:rsid w:val="007A07E5"/>
    <w:pPr>
      <w:tabs>
        <w:tab w:val="right" w:pos="754"/>
      </w:tabs>
      <w:spacing w:before="60" w:line="240" w:lineRule="auto"/>
      <w:ind w:left="828" w:hanging="828"/>
    </w:pPr>
    <w:rPr>
      <w:sz w:val="20"/>
    </w:rPr>
  </w:style>
  <w:style w:type="paragraph" w:customStyle="1" w:styleId="ETAsubpara">
    <w:name w:val="ETA(subpara)"/>
    <w:basedOn w:val="OPCParaBase"/>
    <w:rsid w:val="007A07E5"/>
    <w:pPr>
      <w:tabs>
        <w:tab w:val="right" w:pos="1083"/>
      </w:tabs>
      <w:spacing w:before="60" w:line="240" w:lineRule="auto"/>
      <w:ind w:left="1191" w:hanging="1191"/>
    </w:pPr>
    <w:rPr>
      <w:sz w:val="20"/>
    </w:rPr>
  </w:style>
  <w:style w:type="paragraph" w:customStyle="1" w:styleId="ETAsub-subpara">
    <w:name w:val="ETA(sub-subpara)"/>
    <w:basedOn w:val="OPCParaBase"/>
    <w:rsid w:val="007A07E5"/>
    <w:pPr>
      <w:tabs>
        <w:tab w:val="right" w:pos="1412"/>
      </w:tabs>
      <w:spacing w:before="60" w:line="240" w:lineRule="auto"/>
      <w:ind w:left="1525" w:hanging="1525"/>
    </w:pPr>
    <w:rPr>
      <w:sz w:val="20"/>
    </w:rPr>
  </w:style>
  <w:style w:type="paragraph" w:customStyle="1" w:styleId="Formula">
    <w:name w:val="Formula"/>
    <w:basedOn w:val="OPCParaBase"/>
    <w:rsid w:val="007A07E5"/>
    <w:pPr>
      <w:spacing w:line="240" w:lineRule="auto"/>
      <w:ind w:left="1134"/>
    </w:pPr>
    <w:rPr>
      <w:sz w:val="20"/>
    </w:rPr>
  </w:style>
  <w:style w:type="paragraph" w:styleId="Header">
    <w:name w:val="header"/>
    <w:basedOn w:val="OPCParaBase"/>
    <w:link w:val="HeaderChar"/>
    <w:unhideWhenUsed/>
    <w:rsid w:val="007A07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A07E5"/>
    <w:rPr>
      <w:rFonts w:eastAsia="Times New Roman" w:cs="Times New Roman"/>
      <w:sz w:val="16"/>
      <w:lang w:eastAsia="en-AU"/>
    </w:rPr>
  </w:style>
  <w:style w:type="paragraph" w:customStyle="1" w:styleId="House">
    <w:name w:val="House"/>
    <w:basedOn w:val="OPCParaBase"/>
    <w:rsid w:val="007A07E5"/>
    <w:pPr>
      <w:spacing w:line="240" w:lineRule="auto"/>
    </w:pPr>
    <w:rPr>
      <w:sz w:val="28"/>
    </w:rPr>
  </w:style>
  <w:style w:type="paragraph" w:customStyle="1" w:styleId="Item">
    <w:name w:val="Item"/>
    <w:aliases w:val="i"/>
    <w:basedOn w:val="OPCParaBase"/>
    <w:next w:val="ItemHead"/>
    <w:rsid w:val="007A07E5"/>
    <w:pPr>
      <w:keepLines/>
      <w:spacing w:before="80" w:line="240" w:lineRule="auto"/>
      <w:ind w:left="709"/>
    </w:pPr>
  </w:style>
  <w:style w:type="paragraph" w:customStyle="1" w:styleId="ItemHead">
    <w:name w:val="ItemHead"/>
    <w:aliases w:val="ih"/>
    <w:basedOn w:val="OPCParaBase"/>
    <w:next w:val="Item"/>
    <w:rsid w:val="007A07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A07E5"/>
    <w:pPr>
      <w:spacing w:line="240" w:lineRule="auto"/>
    </w:pPr>
    <w:rPr>
      <w:b/>
      <w:sz w:val="32"/>
    </w:rPr>
  </w:style>
  <w:style w:type="paragraph" w:customStyle="1" w:styleId="notedraft">
    <w:name w:val="note(draft)"/>
    <w:aliases w:val="nd"/>
    <w:basedOn w:val="OPCParaBase"/>
    <w:rsid w:val="007A07E5"/>
    <w:pPr>
      <w:spacing w:before="240" w:line="240" w:lineRule="auto"/>
      <w:ind w:left="284" w:hanging="284"/>
    </w:pPr>
    <w:rPr>
      <w:i/>
      <w:sz w:val="24"/>
    </w:rPr>
  </w:style>
  <w:style w:type="paragraph" w:customStyle="1" w:styleId="notemargin">
    <w:name w:val="note(margin)"/>
    <w:aliases w:val="nm"/>
    <w:basedOn w:val="OPCParaBase"/>
    <w:rsid w:val="007A07E5"/>
    <w:pPr>
      <w:tabs>
        <w:tab w:val="left" w:pos="709"/>
      </w:tabs>
      <w:spacing w:before="122" w:line="198" w:lineRule="exact"/>
      <w:ind w:left="709" w:hanging="709"/>
    </w:pPr>
    <w:rPr>
      <w:sz w:val="18"/>
    </w:rPr>
  </w:style>
  <w:style w:type="paragraph" w:customStyle="1" w:styleId="noteToPara">
    <w:name w:val="noteToPara"/>
    <w:aliases w:val="ntp"/>
    <w:basedOn w:val="OPCParaBase"/>
    <w:rsid w:val="007A07E5"/>
    <w:pPr>
      <w:spacing w:before="122" w:line="198" w:lineRule="exact"/>
      <w:ind w:left="2353" w:hanging="709"/>
    </w:pPr>
    <w:rPr>
      <w:sz w:val="18"/>
    </w:rPr>
  </w:style>
  <w:style w:type="paragraph" w:customStyle="1" w:styleId="noteParlAmend">
    <w:name w:val="note(ParlAmend)"/>
    <w:aliases w:val="npp"/>
    <w:basedOn w:val="OPCParaBase"/>
    <w:next w:val="ParlAmend"/>
    <w:rsid w:val="007A07E5"/>
    <w:pPr>
      <w:spacing w:line="240" w:lineRule="auto"/>
      <w:jc w:val="right"/>
    </w:pPr>
    <w:rPr>
      <w:rFonts w:ascii="Arial" w:hAnsi="Arial"/>
      <w:b/>
      <w:i/>
    </w:rPr>
  </w:style>
  <w:style w:type="paragraph" w:customStyle="1" w:styleId="Page1">
    <w:name w:val="Page1"/>
    <w:basedOn w:val="OPCParaBase"/>
    <w:rsid w:val="007A07E5"/>
    <w:pPr>
      <w:spacing w:before="5600" w:line="240" w:lineRule="auto"/>
    </w:pPr>
    <w:rPr>
      <w:b/>
      <w:sz w:val="32"/>
    </w:rPr>
  </w:style>
  <w:style w:type="paragraph" w:customStyle="1" w:styleId="PageBreak">
    <w:name w:val="PageBreak"/>
    <w:aliases w:val="pb"/>
    <w:basedOn w:val="OPCParaBase"/>
    <w:rsid w:val="007A07E5"/>
    <w:pPr>
      <w:spacing w:line="240" w:lineRule="auto"/>
    </w:pPr>
    <w:rPr>
      <w:sz w:val="20"/>
    </w:rPr>
  </w:style>
  <w:style w:type="paragraph" w:customStyle="1" w:styleId="paragraphsub">
    <w:name w:val="paragraph(sub)"/>
    <w:aliases w:val="aa"/>
    <w:basedOn w:val="OPCParaBase"/>
    <w:rsid w:val="007A07E5"/>
    <w:pPr>
      <w:tabs>
        <w:tab w:val="right" w:pos="1985"/>
      </w:tabs>
      <w:spacing w:before="40" w:line="240" w:lineRule="auto"/>
      <w:ind w:left="2098" w:hanging="2098"/>
    </w:pPr>
  </w:style>
  <w:style w:type="paragraph" w:customStyle="1" w:styleId="paragraphsub-sub">
    <w:name w:val="paragraph(sub-sub)"/>
    <w:aliases w:val="aaa"/>
    <w:basedOn w:val="OPCParaBase"/>
    <w:rsid w:val="007A07E5"/>
    <w:pPr>
      <w:tabs>
        <w:tab w:val="right" w:pos="2722"/>
      </w:tabs>
      <w:spacing w:before="40" w:line="240" w:lineRule="auto"/>
      <w:ind w:left="2835" w:hanging="2835"/>
    </w:pPr>
  </w:style>
  <w:style w:type="paragraph" w:customStyle="1" w:styleId="paragraph">
    <w:name w:val="paragraph"/>
    <w:aliases w:val="a"/>
    <w:basedOn w:val="OPCParaBase"/>
    <w:link w:val="paragraphChar"/>
    <w:rsid w:val="007A07E5"/>
    <w:pPr>
      <w:tabs>
        <w:tab w:val="right" w:pos="1531"/>
      </w:tabs>
      <w:spacing w:before="40" w:line="240" w:lineRule="auto"/>
      <w:ind w:left="1644" w:hanging="1644"/>
    </w:pPr>
  </w:style>
  <w:style w:type="paragraph" w:customStyle="1" w:styleId="ParlAmend">
    <w:name w:val="ParlAmend"/>
    <w:aliases w:val="pp"/>
    <w:basedOn w:val="OPCParaBase"/>
    <w:rsid w:val="007A07E5"/>
    <w:pPr>
      <w:spacing w:before="240" w:line="240" w:lineRule="atLeast"/>
      <w:ind w:hanging="567"/>
    </w:pPr>
    <w:rPr>
      <w:sz w:val="24"/>
    </w:rPr>
  </w:style>
  <w:style w:type="paragraph" w:customStyle="1" w:styleId="Penalty">
    <w:name w:val="Penalty"/>
    <w:basedOn w:val="OPCParaBase"/>
    <w:rsid w:val="007A07E5"/>
    <w:pPr>
      <w:tabs>
        <w:tab w:val="left" w:pos="2977"/>
      </w:tabs>
      <w:spacing w:before="180" w:line="240" w:lineRule="auto"/>
      <w:ind w:left="1985" w:hanging="851"/>
    </w:pPr>
  </w:style>
  <w:style w:type="paragraph" w:customStyle="1" w:styleId="Portfolio">
    <w:name w:val="Portfolio"/>
    <w:basedOn w:val="OPCParaBase"/>
    <w:rsid w:val="007A07E5"/>
    <w:pPr>
      <w:spacing w:line="240" w:lineRule="auto"/>
    </w:pPr>
    <w:rPr>
      <w:i/>
      <w:sz w:val="20"/>
    </w:rPr>
  </w:style>
  <w:style w:type="paragraph" w:customStyle="1" w:styleId="Preamble">
    <w:name w:val="Preamble"/>
    <w:basedOn w:val="OPCParaBase"/>
    <w:next w:val="Normal"/>
    <w:rsid w:val="007A07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A07E5"/>
    <w:pPr>
      <w:spacing w:line="240" w:lineRule="auto"/>
    </w:pPr>
    <w:rPr>
      <w:i/>
      <w:sz w:val="20"/>
    </w:rPr>
  </w:style>
  <w:style w:type="paragraph" w:customStyle="1" w:styleId="Session">
    <w:name w:val="Session"/>
    <w:basedOn w:val="OPCParaBase"/>
    <w:rsid w:val="007A07E5"/>
    <w:pPr>
      <w:spacing w:line="240" w:lineRule="auto"/>
    </w:pPr>
    <w:rPr>
      <w:sz w:val="28"/>
    </w:rPr>
  </w:style>
  <w:style w:type="paragraph" w:customStyle="1" w:styleId="Sponsor">
    <w:name w:val="Sponsor"/>
    <w:basedOn w:val="OPCParaBase"/>
    <w:rsid w:val="007A07E5"/>
    <w:pPr>
      <w:spacing w:line="240" w:lineRule="auto"/>
    </w:pPr>
    <w:rPr>
      <w:i/>
    </w:rPr>
  </w:style>
  <w:style w:type="paragraph" w:customStyle="1" w:styleId="Subitem">
    <w:name w:val="Subitem"/>
    <w:aliases w:val="iss"/>
    <w:basedOn w:val="OPCParaBase"/>
    <w:rsid w:val="007A07E5"/>
    <w:pPr>
      <w:spacing w:before="180" w:line="240" w:lineRule="auto"/>
      <w:ind w:left="709" w:hanging="709"/>
    </w:pPr>
  </w:style>
  <w:style w:type="paragraph" w:customStyle="1" w:styleId="SubitemHead">
    <w:name w:val="SubitemHead"/>
    <w:aliases w:val="issh"/>
    <w:basedOn w:val="OPCParaBase"/>
    <w:rsid w:val="007A07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A07E5"/>
    <w:pPr>
      <w:spacing w:before="40" w:line="240" w:lineRule="auto"/>
      <w:ind w:left="1134"/>
    </w:pPr>
  </w:style>
  <w:style w:type="paragraph" w:customStyle="1" w:styleId="SubsectionHead">
    <w:name w:val="SubsectionHead"/>
    <w:aliases w:val="ssh"/>
    <w:basedOn w:val="OPCParaBase"/>
    <w:next w:val="subsection"/>
    <w:rsid w:val="007A07E5"/>
    <w:pPr>
      <w:keepNext/>
      <w:keepLines/>
      <w:spacing w:before="240" w:line="240" w:lineRule="auto"/>
      <w:ind w:left="1134"/>
    </w:pPr>
    <w:rPr>
      <w:i/>
    </w:rPr>
  </w:style>
  <w:style w:type="paragraph" w:customStyle="1" w:styleId="Tablea">
    <w:name w:val="Table(a)"/>
    <w:aliases w:val="ta"/>
    <w:basedOn w:val="OPCParaBase"/>
    <w:rsid w:val="007A07E5"/>
    <w:pPr>
      <w:spacing w:before="60" w:line="240" w:lineRule="auto"/>
      <w:ind w:left="284" w:hanging="284"/>
    </w:pPr>
    <w:rPr>
      <w:sz w:val="20"/>
    </w:rPr>
  </w:style>
  <w:style w:type="paragraph" w:customStyle="1" w:styleId="TableAA">
    <w:name w:val="Table(AA)"/>
    <w:aliases w:val="taaa"/>
    <w:basedOn w:val="OPCParaBase"/>
    <w:rsid w:val="007A07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A07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A07E5"/>
    <w:pPr>
      <w:spacing w:before="60" w:line="240" w:lineRule="atLeast"/>
    </w:pPr>
    <w:rPr>
      <w:sz w:val="20"/>
    </w:rPr>
  </w:style>
  <w:style w:type="paragraph" w:customStyle="1" w:styleId="TLPBoxTextnote">
    <w:name w:val="TLPBoxText(note"/>
    <w:aliases w:val="right)"/>
    <w:basedOn w:val="OPCParaBase"/>
    <w:rsid w:val="007A07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A07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A07E5"/>
    <w:pPr>
      <w:spacing w:before="122" w:line="198" w:lineRule="exact"/>
      <w:ind w:left="1985" w:hanging="851"/>
      <w:jc w:val="right"/>
    </w:pPr>
    <w:rPr>
      <w:sz w:val="18"/>
    </w:rPr>
  </w:style>
  <w:style w:type="paragraph" w:customStyle="1" w:styleId="TLPTableBullet">
    <w:name w:val="TLPTableBullet"/>
    <w:aliases w:val="ttb"/>
    <w:basedOn w:val="OPCParaBase"/>
    <w:rsid w:val="007A07E5"/>
    <w:pPr>
      <w:spacing w:line="240" w:lineRule="exact"/>
      <w:ind w:left="284" w:hanging="284"/>
    </w:pPr>
    <w:rPr>
      <w:sz w:val="20"/>
    </w:rPr>
  </w:style>
  <w:style w:type="paragraph" w:styleId="TOC1">
    <w:name w:val="toc 1"/>
    <w:basedOn w:val="OPCParaBase"/>
    <w:next w:val="Normal"/>
    <w:uiPriority w:val="39"/>
    <w:semiHidden/>
    <w:unhideWhenUsed/>
    <w:rsid w:val="007A07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A07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A07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A07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A07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A07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A07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A07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A07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A07E5"/>
    <w:pPr>
      <w:keepLines/>
      <w:spacing w:before="240" w:after="120" w:line="240" w:lineRule="auto"/>
      <w:ind w:left="794"/>
    </w:pPr>
    <w:rPr>
      <w:b/>
      <w:kern w:val="28"/>
      <w:sz w:val="20"/>
    </w:rPr>
  </w:style>
  <w:style w:type="paragraph" w:customStyle="1" w:styleId="TofSectsHeading">
    <w:name w:val="TofSects(Heading)"/>
    <w:basedOn w:val="OPCParaBase"/>
    <w:rsid w:val="007A07E5"/>
    <w:pPr>
      <w:spacing w:before="240" w:after="120" w:line="240" w:lineRule="auto"/>
    </w:pPr>
    <w:rPr>
      <w:b/>
      <w:sz w:val="24"/>
    </w:rPr>
  </w:style>
  <w:style w:type="paragraph" w:customStyle="1" w:styleId="TofSectsSection">
    <w:name w:val="TofSects(Section)"/>
    <w:basedOn w:val="OPCParaBase"/>
    <w:rsid w:val="007A07E5"/>
    <w:pPr>
      <w:keepLines/>
      <w:spacing w:before="40" w:line="240" w:lineRule="auto"/>
      <w:ind w:left="1588" w:hanging="794"/>
    </w:pPr>
    <w:rPr>
      <w:kern w:val="28"/>
      <w:sz w:val="18"/>
    </w:rPr>
  </w:style>
  <w:style w:type="paragraph" w:customStyle="1" w:styleId="TofSectsSubdiv">
    <w:name w:val="TofSects(Subdiv)"/>
    <w:basedOn w:val="OPCParaBase"/>
    <w:rsid w:val="007A07E5"/>
    <w:pPr>
      <w:keepLines/>
      <w:spacing w:before="80" w:line="240" w:lineRule="auto"/>
      <w:ind w:left="1588" w:hanging="794"/>
    </w:pPr>
    <w:rPr>
      <w:kern w:val="28"/>
    </w:rPr>
  </w:style>
  <w:style w:type="paragraph" w:customStyle="1" w:styleId="WRStyle">
    <w:name w:val="WR Style"/>
    <w:aliases w:val="WR"/>
    <w:basedOn w:val="OPCParaBase"/>
    <w:rsid w:val="007A07E5"/>
    <w:pPr>
      <w:spacing w:before="240" w:line="240" w:lineRule="auto"/>
      <w:ind w:left="284" w:hanging="284"/>
    </w:pPr>
    <w:rPr>
      <w:b/>
      <w:i/>
      <w:kern w:val="28"/>
      <w:sz w:val="24"/>
    </w:rPr>
  </w:style>
  <w:style w:type="paragraph" w:customStyle="1" w:styleId="notepara">
    <w:name w:val="note(para)"/>
    <w:aliases w:val="na"/>
    <w:basedOn w:val="OPCParaBase"/>
    <w:rsid w:val="007A07E5"/>
    <w:pPr>
      <w:spacing w:before="40" w:line="198" w:lineRule="exact"/>
      <w:ind w:left="2354" w:hanging="369"/>
    </w:pPr>
    <w:rPr>
      <w:sz w:val="18"/>
    </w:rPr>
  </w:style>
  <w:style w:type="paragraph" w:styleId="Footer">
    <w:name w:val="footer"/>
    <w:link w:val="FooterChar"/>
    <w:rsid w:val="007A07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A07E5"/>
    <w:rPr>
      <w:rFonts w:eastAsia="Times New Roman" w:cs="Times New Roman"/>
      <w:sz w:val="22"/>
      <w:szCs w:val="24"/>
      <w:lang w:eastAsia="en-AU"/>
    </w:rPr>
  </w:style>
  <w:style w:type="character" w:styleId="LineNumber">
    <w:name w:val="line number"/>
    <w:basedOn w:val="OPCCharBase"/>
    <w:uiPriority w:val="99"/>
    <w:semiHidden/>
    <w:unhideWhenUsed/>
    <w:rsid w:val="007A07E5"/>
    <w:rPr>
      <w:sz w:val="16"/>
    </w:rPr>
  </w:style>
  <w:style w:type="table" w:customStyle="1" w:styleId="CFlag">
    <w:name w:val="CFlag"/>
    <w:basedOn w:val="TableNormal"/>
    <w:uiPriority w:val="99"/>
    <w:rsid w:val="007A07E5"/>
    <w:rPr>
      <w:rFonts w:eastAsia="Times New Roman" w:cs="Times New Roman"/>
      <w:lang w:eastAsia="en-AU"/>
    </w:rPr>
    <w:tblPr/>
  </w:style>
  <w:style w:type="paragraph" w:customStyle="1" w:styleId="CompiledActNo">
    <w:name w:val="CompiledActNo"/>
    <w:basedOn w:val="OPCParaBase"/>
    <w:next w:val="Normal"/>
    <w:rsid w:val="007A07E5"/>
    <w:rPr>
      <w:b/>
      <w:sz w:val="24"/>
      <w:szCs w:val="24"/>
    </w:rPr>
  </w:style>
  <w:style w:type="paragraph" w:customStyle="1" w:styleId="CompiledMadeUnder">
    <w:name w:val="CompiledMadeUnder"/>
    <w:basedOn w:val="OPCParaBase"/>
    <w:next w:val="Normal"/>
    <w:rsid w:val="007A07E5"/>
    <w:rPr>
      <w:i/>
      <w:sz w:val="24"/>
      <w:szCs w:val="24"/>
    </w:rPr>
  </w:style>
  <w:style w:type="paragraph" w:customStyle="1" w:styleId="ENotesText">
    <w:name w:val="ENotesText"/>
    <w:aliases w:val="Ent"/>
    <w:basedOn w:val="OPCParaBase"/>
    <w:next w:val="Normal"/>
    <w:rsid w:val="007A07E5"/>
    <w:pPr>
      <w:spacing w:before="120"/>
    </w:pPr>
  </w:style>
  <w:style w:type="paragraph" w:customStyle="1" w:styleId="Paragraphsub-sub-sub">
    <w:name w:val="Paragraph(sub-sub-sub)"/>
    <w:aliases w:val="aaaa"/>
    <w:basedOn w:val="OPCParaBase"/>
    <w:rsid w:val="007A07E5"/>
    <w:pPr>
      <w:tabs>
        <w:tab w:val="right" w:pos="3402"/>
      </w:tabs>
      <w:spacing w:before="40" w:line="240" w:lineRule="auto"/>
      <w:ind w:left="3402" w:hanging="3402"/>
    </w:pPr>
  </w:style>
  <w:style w:type="paragraph" w:customStyle="1" w:styleId="NoteToSubpara">
    <w:name w:val="NoteToSubpara"/>
    <w:aliases w:val="nts"/>
    <w:basedOn w:val="OPCParaBase"/>
    <w:rsid w:val="007A07E5"/>
    <w:pPr>
      <w:spacing w:before="40" w:line="198" w:lineRule="exact"/>
      <w:ind w:left="2835" w:hanging="709"/>
    </w:pPr>
    <w:rPr>
      <w:sz w:val="18"/>
    </w:rPr>
  </w:style>
  <w:style w:type="paragraph" w:customStyle="1" w:styleId="ENoteTableHeading">
    <w:name w:val="ENoteTableHeading"/>
    <w:aliases w:val="enth"/>
    <w:basedOn w:val="OPCParaBase"/>
    <w:rsid w:val="007A07E5"/>
    <w:pPr>
      <w:keepNext/>
      <w:spacing w:before="60" w:line="240" w:lineRule="atLeast"/>
    </w:pPr>
    <w:rPr>
      <w:rFonts w:ascii="Arial" w:hAnsi="Arial"/>
      <w:b/>
      <w:sz w:val="16"/>
    </w:rPr>
  </w:style>
  <w:style w:type="paragraph" w:customStyle="1" w:styleId="ENoteTTi">
    <w:name w:val="ENoteTTi"/>
    <w:aliases w:val="entti"/>
    <w:basedOn w:val="OPCParaBase"/>
    <w:rsid w:val="007A07E5"/>
    <w:pPr>
      <w:keepNext/>
      <w:spacing w:before="60" w:line="240" w:lineRule="atLeast"/>
      <w:ind w:left="170"/>
    </w:pPr>
    <w:rPr>
      <w:sz w:val="16"/>
    </w:rPr>
  </w:style>
  <w:style w:type="paragraph" w:customStyle="1" w:styleId="ENotesHeading1">
    <w:name w:val="ENotesHeading 1"/>
    <w:aliases w:val="Enh1"/>
    <w:basedOn w:val="OPCParaBase"/>
    <w:next w:val="Normal"/>
    <w:rsid w:val="007A07E5"/>
    <w:pPr>
      <w:spacing w:before="120"/>
      <w:outlineLvl w:val="1"/>
    </w:pPr>
    <w:rPr>
      <w:b/>
      <w:sz w:val="28"/>
      <w:szCs w:val="28"/>
    </w:rPr>
  </w:style>
  <w:style w:type="paragraph" w:customStyle="1" w:styleId="ENotesHeading2">
    <w:name w:val="ENotesHeading 2"/>
    <w:aliases w:val="Enh2"/>
    <w:basedOn w:val="OPCParaBase"/>
    <w:next w:val="Normal"/>
    <w:rsid w:val="007A07E5"/>
    <w:pPr>
      <w:spacing w:before="120" w:after="120"/>
      <w:outlineLvl w:val="2"/>
    </w:pPr>
    <w:rPr>
      <w:b/>
      <w:sz w:val="24"/>
      <w:szCs w:val="28"/>
    </w:rPr>
  </w:style>
  <w:style w:type="paragraph" w:customStyle="1" w:styleId="ENoteTTIndentHeading">
    <w:name w:val="ENoteTTIndentHeading"/>
    <w:aliases w:val="enTTHi"/>
    <w:basedOn w:val="OPCParaBase"/>
    <w:rsid w:val="007A07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A07E5"/>
    <w:pPr>
      <w:spacing w:before="60" w:line="240" w:lineRule="atLeast"/>
    </w:pPr>
    <w:rPr>
      <w:sz w:val="16"/>
    </w:rPr>
  </w:style>
  <w:style w:type="paragraph" w:customStyle="1" w:styleId="MadeunderText">
    <w:name w:val="MadeunderText"/>
    <w:basedOn w:val="OPCParaBase"/>
    <w:next w:val="Normal"/>
    <w:rsid w:val="007A07E5"/>
    <w:pPr>
      <w:spacing w:before="240"/>
    </w:pPr>
    <w:rPr>
      <w:sz w:val="24"/>
      <w:szCs w:val="24"/>
    </w:rPr>
  </w:style>
  <w:style w:type="paragraph" w:customStyle="1" w:styleId="ENotesHeading3">
    <w:name w:val="ENotesHeading 3"/>
    <w:aliases w:val="Enh3"/>
    <w:basedOn w:val="OPCParaBase"/>
    <w:next w:val="Normal"/>
    <w:rsid w:val="007A07E5"/>
    <w:pPr>
      <w:keepNext/>
      <w:spacing w:before="120" w:line="240" w:lineRule="auto"/>
      <w:outlineLvl w:val="4"/>
    </w:pPr>
    <w:rPr>
      <w:b/>
      <w:szCs w:val="24"/>
    </w:rPr>
  </w:style>
  <w:style w:type="character" w:customStyle="1" w:styleId="CharSubPartTextCASA">
    <w:name w:val="CharSubPartText(CASA)"/>
    <w:basedOn w:val="OPCCharBase"/>
    <w:uiPriority w:val="1"/>
    <w:rsid w:val="007A07E5"/>
  </w:style>
  <w:style w:type="character" w:customStyle="1" w:styleId="CharSubPartNoCASA">
    <w:name w:val="CharSubPartNo(CASA)"/>
    <w:basedOn w:val="OPCCharBase"/>
    <w:uiPriority w:val="1"/>
    <w:rsid w:val="007A07E5"/>
  </w:style>
  <w:style w:type="paragraph" w:customStyle="1" w:styleId="ENoteTTIndentHeadingSub">
    <w:name w:val="ENoteTTIndentHeadingSub"/>
    <w:aliases w:val="enTTHis"/>
    <w:basedOn w:val="OPCParaBase"/>
    <w:rsid w:val="007A07E5"/>
    <w:pPr>
      <w:keepNext/>
      <w:spacing w:before="60" w:line="240" w:lineRule="atLeast"/>
      <w:ind w:left="340"/>
    </w:pPr>
    <w:rPr>
      <w:b/>
      <w:sz w:val="16"/>
    </w:rPr>
  </w:style>
  <w:style w:type="paragraph" w:customStyle="1" w:styleId="ENoteTTiSub">
    <w:name w:val="ENoteTTiSub"/>
    <w:aliases w:val="enttis"/>
    <w:basedOn w:val="OPCParaBase"/>
    <w:rsid w:val="007A07E5"/>
    <w:pPr>
      <w:keepNext/>
      <w:spacing w:before="60" w:line="240" w:lineRule="atLeast"/>
      <w:ind w:left="340"/>
    </w:pPr>
    <w:rPr>
      <w:sz w:val="16"/>
    </w:rPr>
  </w:style>
  <w:style w:type="paragraph" w:customStyle="1" w:styleId="SubDivisionMigration">
    <w:name w:val="SubDivisionMigration"/>
    <w:aliases w:val="sdm"/>
    <w:basedOn w:val="OPCParaBase"/>
    <w:rsid w:val="007A07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A07E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A07E5"/>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7A07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A07E5"/>
    <w:rPr>
      <w:sz w:val="22"/>
    </w:rPr>
  </w:style>
  <w:style w:type="paragraph" w:customStyle="1" w:styleId="SOTextNote">
    <w:name w:val="SO TextNote"/>
    <w:aliases w:val="sont"/>
    <w:basedOn w:val="SOText"/>
    <w:qFormat/>
    <w:rsid w:val="007A07E5"/>
    <w:pPr>
      <w:spacing w:before="122" w:line="198" w:lineRule="exact"/>
      <w:ind w:left="1843" w:hanging="709"/>
    </w:pPr>
    <w:rPr>
      <w:sz w:val="18"/>
    </w:rPr>
  </w:style>
  <w:style w:type="paragraph" w:customStyle="1" w:styleId="SOPara">
    <w:name w:val="SO Para"/>
    <w:aliases w:val="soa"/>
    <w:basedOn w:val="SOText"/>
    <w:link w:val="SOParaChar"/>
    <w:qFormat/>
    <w:rsid w:val="007A07E5"/>
    <w:pPr>
      <w:tabs>
        <w:tab w:val="right" w:pos="1786"/>
      </w:tabs>
      <w:spacing w:before="40"/>
      <w:ind w:left="2070" w:hanging="936"/>
    </w:pPr>
  </w:style>
  <w:style w:type="character" w:customStyle="1" w:styleId="SOParaChar">
    <w:name w:val="SO Para Char"/>
    <w:aliases w:val="soa Char"/>
    <w:basedOn w:val="DefaultParagraphFont"/>
    <w:link w:val="SOPara"/>
    <w:rsid w:val="007A07E5"/>
    <w:rPr>
      <w:sz w:val="22"/>
    </w:rPr>
  </w:style>
  <w:style w:type="paragraph" w:customStyle="1" w:styleId="FileName">
    <w:name w:val="FileName"/>
    <w:basedOn w:val="Normal"/>
    <w:rsid w:val="007A07E5"/>
  </w:style>
  <w:style w:type="paragraph" w:customStyle="1" w:styleId="TableHeading">
    <w:name w:val="TableHeading"/>
    <w:aliases w:val="th"/>
    <w:basedOn w:val="OPCParaBase"/>
    <w:next w:val="Tabletext"/>
    <w:rsid w:val="007A07E5"/>
    <w:pPr>
      <w:keepNext/>
      <w:spacing w:before="60" w:line="240" w:lineRule="atLeast"/>
    </w:pPr>
    <w:rPr>
      <w:b/>
      <w:sz w:val="20"/>
    </w:rPr>
  </w:style>
  <w:style w:type="paragraph" w:customStyle="1" w:styleId="SOHeadBold">
    <w:name w:val="SO HeadBold"/>
    <w:aliases w:val="sohb"/>
    <w:basedOn w:val="SOText"/>
    <w:next w:val="SOText"/>
    <w:link w:val="SOHeadBoldChar"/>
    <w:qFormat/>
    <w:rsid w:val="007A07E5"/>
    <w:rPr>
      <w:b/>
    </w:rPr>
  </w:style>
  <w:style w:type="character" w:customStyle="1" w:styleId="SOHeadBoldChar">
    <w:name w:val="SO HeadBold Char"/>
    <w:aliases w:val="sohb Char"/>
    <w:basedOn w:val="DefaultParagraphFont"/>
    <w:link w:val="SOHeadBold"/>
    <w:rsid w:val="007A07E5"/>
    <w:rPr>
      <w:b/>
      <w:sz w:val="22"/>
    </w:rPr>
  </w:style>
  <w:style w:type="paragraph" w:customStyle="1" w:styleId="SOHeadItalic">
    <w:name w:val="SO HeadItalic"/>
    <w:aliases w:val="sohi"/>
    <w:basedOn w:val="SOText"/>
    <w:next w:val="SOText"/>
    <w:link w:val="SOHeadItalicChar"/>
    <w:qFormat/>
    <w:rsid w:val="007A07E5"/>
    <w:rPr>
      <w:i/>
    </w:rPr>
  </w:style>
  <w:style w:type="character" w:customStyle="1" w:styleId="SOHeadItalicChar">
    <w:name w:val="SO HeadItalic Char"/>
    <w:aliases w:val="sohi Char"/>
    <w:basedOn w:val="DefaultParagraphFont"/>
    <w:link w:val="SOHeadItalic"/>
    <w:rsid w:val="007A07E5"/>
    <w:rPr>
      <w:i/>
      <w:sz w:val="22"/>
    </w:rPr>
  </w:style>
  <w:style w:type="paragraph" w:customStyle="1" w:styleId="SOBullet">
    <w:name w:val="SO Bullet"/>
    <w:aliases w:val="sotb"/>
    <w:basedOn w:val="SOText"/>
    <w:link w:val="SOBulletChar"/>
    <w:qFormat/>
    <w:rsid w:val="007A07E5"/>
    <w:pPr>
      <w:ind w:left="1559" w:hanging="425"/>
    </w:pPr>
  </w:style>
  <w:style w:type="character" w:customStyle="1" w:styleId="SOBulletChar">
    <w:name w:val="SO Bullet Char"/>
    <w:aliases w:val="sotb Char"/>
    <w:basedOn w:val="DefaultParagraphFont"/>
    <w:link w:val="SOBullet"/>
    <w:rsid w:val="007A07E5"/>
    <w:rPr>
      <w:sz w:val="22"/>
    </w:rPr>
  </w:style>
  <w:style w:type="paragraph" w:customStyle="1" w:styleId="SOBulletNote">
    <w:name w:val="SO BulletNote"/>
    <w:aliases w:val="sonb"/>
    <w:basedOn w:val="SOTextNote"/>
    <w:link w:val="SOBulletNoteChar"/>
    <w:qFormat/>
    <w:rsid w:val="007A07E5"/>
    <w:pPr>
      <w:tabs>
        <w:tab w:val="left" w:pos="1560"/>
      </w:tabs>
      <w:ind w:left="2268" w:hanging="1134"/>
    </w:pPr>
  </w:style>
  <w:style w:type="character" w:customStyle="1" w:styleId="SOBulletNoteChar">
    <w:name w:val="SO BulletNote Char"/>
    <w:aliases w:val="sonb Char"/>
    <w:basedOn w:val="DefaultParagraphFont"/>
    <w:link w:val="SOBulletNote"/>
    <w:rsid w:val="007A07E5"/>
    <w:rPr>
      <w:sz w:val="18"/>
    </w:rPr>
  </w:style>
  <w:style w:type="paragraph" w:customStyle="1" w:styleId="SOText2">
    <w:name w:val="SO Text2"/>
    <w:aliases w:val="sot2"/>
    <w:basedOn w:val="Normal"/>
    <w:next w:val="SOText"/>
    <w:link w:val="SOText2Char"/>
    <w:rsid w:val="007A07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A07E5"/>
    <w:rPr>
      <w:sz w:val="22"/>
    </w:rPr>
  </w:style>
  <w:style w:type="paragraph" w:customStyle="1" w:styleId="SubPartCASA">
    <w:name w:val="SubPart(CASA)"/>
    <w:aliases w:val="csp"/>
    <w:basedOn w:val="OPCParaBase"/>
    <w:next w:val="ActHead3"/>
    <w:rsid w:val="007A07E5"/>
    <w:pPr>
      <w:keepNext/>
      <w:keepLines/>
      <w:spacing w:before="280"/>
      <w:ind w:left="1134" w:hanging="1134"/>
      <w:outlineLvl w:val="1"/>
    </w:pPr>
    <w:rPr>
      <w:b/>
      <w:kern w:val="28"/>
      <w:sz w:val="32"/>
    </w:rPr>
  </w:style>
  <w:style w:type="paragraph" w:customStyle="1" w:styleId="NotesHeading1">
    <w:name w:val="NotesHeading 1"/>
    <w:basedOn w:val="OPCParaBase"/>
    <w:next w:val="Normal"/>
    <w:rsid w:val="007A07E5"/>
    <w:rPr>
      <w:b/>
      <w:sz w:val="28"/>
      <w:szCs w:val="28"/>
    </w:rPr>
  </w:style>
  <w:style w:type="paragraph" w:customStyle="1" w:styleId="NotesHeading2">
    <w:name w:val="NotesHeading 2"/>
    <w:basedOn w:val="OPCParaBase"/>
    <w:next w:val="Normal"/>
    <w:rsid w:val="007A07E5"/>
    <w:rPr>
      <w:b/>
      <w:sz w:val="28"/>
      <w:szCs w:val="28"/>
    </w:rPr>
  </w:style>
  <w:style w:type="paragraph" w:customStyle="1" w:styleId="SignCoverPageEnd">
    <w:name w:val="SignCoverPageEnd"/>
    <w:basedOn w:val="OPCParaBase"/>
    <w:next w:val="Normal"/>
    <w:rsid w:val="007A07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A07E5"/>
    <w:pPr>
      <w:pBdr>
        <w:top w:val="single" w:sz="4" w:space="1" w:color="auto"/>
      </w:pBdr>
      <w:spacing w:before="360"/>
      <w:ind w:right="397"/>
      <w:jc w:val="both"/>
    </w:pPr>
  </w:style>
  <w:style w:type="paragraph" w:customStyle="1" w:styleId="EndNotespara">
    <w:name w:val="EndNotes(para)"/>
    <w:aliases w:val="eta"/>
    <w:basedOn w:val="OPCParaBase"/>
    <w:next w:val="EndNotessubpara"/>
    <w:rsid w:val="007A07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A07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A07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A07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A07E5"/>
    <w:pPr>
      <w:spacing w:before="60" w:line="240" w:lineRule="auto"/>
    </w:pPr>
    <w:rPr>
      <w:rFonts w:cs="Arial"/>
      <w:sz w:val="20"/>
      <w:szCs w:val="22"/>
    </w:rPr>
  </w:style>
  <w:style w:type="table" w:styleId="TableGrid">
    <w:name w:val="Table Grid"/>
    <w:basedOn w:val="TableNormal"/>
    <w:uiPriority w:val="59"/>
    <w:rsid w:val="007A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7A07E5"/>
  </w:style>
  <w:style w:type="character" w:customStyle="1" w:styleId="subsectionChar">
    <w:name w:val="subsection Char"/>
    <w:aliases w:val="ss Char"/>
    <w:link w:val="subsection"/>
    <w:rsid w:val="0030650C"/>
    <w:rPr>
      <w:rFonts w:eastAsia="Times New Roman" w:cs="Times New Roman"/>
      <w:sz w:val="22"/>
      <w:lang w:eastAsia="en-AU"/>
    </w:rPr>
  </w:style>
  <w:style w:type="character" w:customStyle="1" w:styleId="ActHead3Char">
    <w:name w:val="ActHead 3 Char"/>
    <w:aliases w:val="d Char"/>
    <w:link w:val="ActHead3"/>
    <w:rsid w:val="0030650C"/>
    <w:rPr>
      <w:rFonts w:eastAsia="Times New Roman" w:cs="Times New Roman"/>
      <w:b/>
      <w:kern w:val="28"/>
      <w:sz w:val="28"/>
      <w:lang w:eastAsia="en-AU"/>
    </w:rPr>
  </w:style>
  <w:style w:type="character" w:customStyle="1" w:styleId="paragraphChar">
    <w:name w:val="paragraph Char"/>
    <w:aliases w:val="a Char"/>
    <w:link w:val="paragraph"/>
    <w:rsid w:val="0030650C"/>
    <w:rPr>
      <w:rFonts w:eastAsia="Times New Roman" w:cs="Times New Roman"/>
      <w:sz w:val="22"/>
      <w:lang w:eastAsia="en-AU"/>
    </w:rPr>
  </w:style>
  <w:style w:type="character" w:customStyle="1" w:styleId="ActHead2Char">
    <w:name w:val="ActHead 2 Char"/>
    <w:aliases w:val="p Char"/>
    <w:link w:val="ActHead2"/>
    <w:rsid w:val="0030650C"/>
    <w:rPr>
      <w:rFonts w:eastAsia="Times New Roman" w:cs="Times New Roman"/>
      <w:b/>
      <w:kern w:val="28"/>
      <w:sz w:val="32"/>
      <w:lang w:eastAsia="en-AU"/>
    </w:rPr>
  </w:style>
  <w:style w:type="character" w:customStyle="1" w:styleId="ActHead5Char">
    <w:name w:val="ActHead 5 Char"/>
    <w:aliases w:val="s Char"/>
    <w:link w:val="ActHead5"/>
    <w:locked/>
    <w:rsid w:val="0030650C"/>
    <w:rPr>
      <w:rFonts w:eastAsia="Times New Roman" w:cs="Times New Roman"/>
      <w:b/>
      <w:kern w:val="28"/>
      <w:sz w:val="24"/>
      <w:lang w:eastAsia="en-AU"/>
    </w:rPr>
  </w:style>
  <w:style w:type="character" w:customStyle="1" w:styleId="DefinitionChar">
    <w:name w:val="Definition Char"/>
    <w:aliases w:val="dd Char"/>
    <w:link w:val="Definition"/>
    <w:rsid w:val="0030650C"/>
    <w:rPr>
      <w:rFonts w:eastAsia="Times New Roman" w:cs="Times New Roman"/>
      <w:sz w:val="22"/>
      <w:lang w:eastAsia="en-AU"/>
    </w:rPr>
  </w:style>
  <w:style w:type="character" w:customStyle="1" w:styleId="notetextChar">
    <w:name w:val="note(text) Char"/>
    <w:aliases w:val="n Char"/>
    <w:link w:val="notetext"/>
    <w:rsid w:val="0030650C"/>
    <w:rPr>
      <w:rFonts w:eastAsia="Times New Roman" w:cs="Times New Roman"/>
      <w:sz w:val="18"/>
      <w:lang w:eastAsia="en-AU"/>
    </w:rPr>
  </w:style>
  <w:style w:type="character" w:customStyle="1" w:styleId="TabletextChar">
    <w:name w:val="Tabletext Char"/>
    <w:aliases w:val="tt Char"/>
    <w:basedOn w:val="DefaultParagraphFont"/>
    <w:link w:val="Tabletext"/>
    <w:rsid w:val="00D059BC"/>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93C684BF926DA449D45F506536EE69D" ma:contentTypeVersion="6413" ma:contentTypeDescription="" ma:contentTypeScope="" ma:versionID="b554918317882fc493dea08576e4c757">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1.15</TermName>
          <TermId xmlns="http://schemas.microsoft.com/office/infopath/2007/PartnerControls">65f94157-e86d-4c65-944b-ce67d327e5c5</TermId>
        </TermInfo>
        <TermInfo xmlns="http://schemas.microsoft.com/office/infopath/2007/PartnerControls">
          <TermName xmlns="http://schemas.microsoft.com/office/infopath/2007/PartnerControls">RC 1.16</TermName>
          <TermId xmlns="http://schemas.microsoft.com/office/infopath/2007/PartnerControls">feb5937d-9209-42af-aae1-f164ba7f5199</TermId>
        </TermInfo>
        <TermInfo xmlns="http://schemas.microsoft.com/office/infopath/2007/PartnerControls">
          <TermName xmlns="http://schemas.microsoft.com/office/infopath/2007/PartnerControls">RC 4.9</TermName>
          <TermId xmlns="http://schemas.microsoft.com/office/infopath/2007/PartnerControls">87fc2125-8a7e-418f-820a-320ccdeb2387</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s>
    </mad6820d043c45bdbfaec06364038ba1>
    <TaxCatchAll xmlns="0f563589-9cf9-4143-b1eb-fb0534803d38">
      <Value>41</Value>
      <Value>4</Value>
      <Value>30</Value>
      <Value>29</Value>
      <Value>28</Value>
    </TaxCatchAll>
    <TaxKeywordTaxHTField xmlns="0f563589-9cf9-4143-b1eb-fb0534803d38">
      <Terms xmlns="http://schemas.microsoft.com/office/infopath/2007/PartnerControls"/>
    </TaxKeywordTaxHTField>
    <_dlc_DocId xmlns="0f563589-9cf9-4143-b1eb-fb0534803d38">2020A6EXK24D-521393313-251</_dlc_DocId>
    <_dlc_DocIdUrl xmlns="0f563589-9cf9-4143-b1eb-fb0534803d38">
      <Url>http://tweb/sites/fsr/regpow/_layouts/15/DocIdRedir.aspx?ID=2020A6EXK24D-521393313-251</Url>
      <Description>2020A6EXK24D-521393313-251</Description>
    </_dlc_DocIdUrl>
  </documentManagement>
</p:properties>
</file>

<file path=customXml/itemProps1.xml><?xml version="1.0" encoding="utf-8"?>
<ds:datastoreItem xmlns:ds="http://schemas.openxmlformats.org/officeDocument/2006/customXml" ds:itemID="{80222A57-5EF3-454E-8827-78DF94C55131}"/>
</file>

<file path=customXml/itemProps2.xml><?xml version="1.0" encoding="utf-8"?>
<ds:datastoreItem xmlns:ds="http://schemas.openxmlformats.org/officeDocument/2006/customXml" ds:itemID="{31FC61A2-3C6B-4C16-908C-963C8E1995D2}"/>
</file>

<file path=customXml/itemProps3.xml><?xml version="1.0" encoding="utf-8"?>
<ds:datastoreItem xmlns:ds="http://schemas.openxmlformats.org/officeDocument/2006/customXml" ds:itemID="{AB1142D5-C9A9-4067-AA5C-F7DBB8087E7E}"/>
</file>

<file path=customXml/itemProps4.xml><?xml version="1.0" encoding="utf-8"?>
<ds:datastoreItem xmlns:ds="http://schemas.openxmlformats.org/officeDocument/2006/customXml" ds:itemID="{071F0781-E817-4FC6-AB63-38BF0AB0D036}"/>
</file>

<file path=customXml/itemProps5.xml><?xml version="1.0" encoding="utf-8"?>
<ds:datastoreItem xmlns:ds="http://schemas.openxmlformats.org/officeDocument/2006/customXml" ds:itemID="{743B6BBD-A0D8-4172-8763-E31D9608753A}"/>
</file>

<file path=customXml/itemProps6.xml><?xml version="1.0" encoding="utf-8"?>
<ds:datastoreItem xmlns:ds="http://schemas.openxmlformats.org/officeDocument/2006/customXml" ds:itemID="{4379DED8-33EF-4051-BF04-368DE134F02B}"/>
</file>

<file path=customXml/itemProps7.xml><?xml version="1.0" encoding="utf-8"?>
<ds:datastoreItem xmlns:ds="http://schemas.openxmlformats.org/officeDocument/2006/customXml" ds:itemID="{CB17B7CC-5081-411A-AFBD-C42AA0FD14AA}"/>
</file>

<file path=docProps/app.xml><?xml version="1.0" encoding="utf-8"?>
<Properties xmlns="http://schemas.openxmlformats.org/officeDocument/2006/extended-properties" xmlns:vt="http://schemas.openxmlformats.org/officeDocument/2006/docPropsVTypes">
  <Template>bill_ins.dotx</Template>
  <TotalTime>0</TotalTime>
  <Pages>13</Pages>
  <Words>2931</Words>
  <Characters>14832</Characters>
  <Application>Microsoft Office Word</Application>
  <DocSecurity>6</DocSecurity>
  <PresentationFormat/>
  <Lines>408</Lines>
  <Paragraphs>205</Paragraphs>
  <ScaleCrop>false</ScaleCrop>
  <HeadingPairs>
    <vt:vector size="2" baseType="variant">
      <vt:variant>
        <vt:lpstr>Title</vt:lpstr>
      </vt:variant>
      <vt:variant>
        <vt:i4>1</vt:i4>
      </vt:variant>
    </vt:vector>
  </HeadingPairs>
  <TitlesOfParts>
    <vt:vector size="1" baseType="lpstr">
      <vt:lpstr>Financial Sector Reform (Hayne Royal Commission Response—Protecting Consumers (2020 Measures)) Bill 2020: FSRC rec 1.15 (enforceable code provisions)</vt:lpstr>
    </vt:vector>
  </TitlesOfParts>
  <Manager/>
  <Company/>
  <LinksUpToDate>false</LinksUpToDate>
  <CharactersWithSpaces>17699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B19UN108.V15</dc:title>
  <dc:subject/>
  <dc:creator/>
  <cp:keywords/>
  <dc:description/>
  <cp:lastModifiedBy/>
  <cp:revision>1</cp:revision>
  <cp:lastPrinted>2020-01-14T21:58:00Z</cp:lastPrinted>
  <dcterms:created xsi:type="dcterms:W3CDTF">2020-01-21T22:34:00Z</dcterms:created>
  <dcterms:modified xsi:type="dcterms:W3CDTF">2020-01-21T22:34:00Z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EXPOSURE DRAFT</vt:lpwstr>
  </property>
  <property fmtid="{D5CDD505-2E9C-101B-9397-08002B2CF9AE}" pid="4" name="DocType">
    <vt:lpwstr>INS</vt:lpwstr>
  </property>
  <property fmtid="{D5CDD505-2E9C-101B-9397-08002B2CF9AE}" pid="5" name="ShortT">
    <vt:lpwstr>Financial Sector Reform (Hayne Royal Commission Response—Protecting Consumers (2020 Measures)) Bill 2020: FSRC rec 1.15 (enforceable code provisions)</vt:lpwstr>
  </property>
  <property fmtid="{D5CDD505-2E9C-101B-9397-08002B2CF9AE}" pid="6" name="DoNotAsk">
    <vt:lpwstr>0</vt:lpwstr>
  </property>
  <property fmtid="{D5CDD505-2E9C-101B-9397-08002B2CF9AE}" pid="7" name="ChangedTitle">
    <vt:lpwstr/>
  </property>
  <property fmtid="{D5CDD505-2E9C-101B-9397-08002B2CF9AE}" pid="8" name="ID">
    <vt:lpwstr>OPC7273</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PC:D20/392</vt:lpwstr>
  </property>
  <property fmtid="{D5CDD505-2E9C-101B-9397-08002B2CF9AE}" pid="13" name="ContentTypeId">
    <vt:lpwstr>0x010100BCBF50F8A60B9C40BFC256C0F7AAB54B00C81BF210190AB64590C7FB729413019E00293C684BF926DA449D45F506536EE69D</vt:lpwstr>
  </property>
  <property fmtid="{D5CDD505-2E9C-101B-9397-08002B2CF9AE}" pid="14" name="lb508a4dc5e84436a0fe496b536466aa">
    <vt:lpwstr>TSY RA-9072 - Retain as national archives|d71911a4-1e32-4fc6-834f-26c4fc33e217</vt:lpwstr>
  </property>
  <property fmtid="{D5CDD505-2E9C-101B-9397-08002B2CF9AE}" pid="15" name="Recommendation number/s">
    <vt:lpwstr>28;#RC 1.15|65f94157-e86d-4c65-944b-ce67d327e5c5;#29;#RC 1.16|feb5937d-9209-42af-aae1-f164ba7f5199;#30;#RC 4.9|87fc2125-8a7e-418f-820a-320ccdeb2387;#41;#ERT 4|8faeb4ad-e6cd-42ae-a606-402c42b92b2c</vt:lpwstr>
  </property>
  <property fmtid="{D5CDD505-2E9C-101B-9397-08002B2CF9AE}" pid="16" name="TaxKeyword">
    <vt:lpwstr/>
  </property>
  <property fmtid="{D5CDD505-2E9C-101B-9397-08002B2CF9AE}" pid="17" name="TSYRecordClass">
    <vt:lpwstr>4;#TSY RA-9072 - Retain as national archives|d71911a4-1e32-4fc6-834f-26c4fc33e217</vt:lpwstr>
  </property>
  <property fmtid="{D5CDD505-2E9C-101B-9397-08002B2CF9AE}" pid="18" name="_dlc_DocIdItemGuid">
    <vt:lpwstr>1205d6f9-ea7a-4fa8-8beb-56f2ecfa0308</vt:lpwstr>
  </property>
  <property fmtid="{D5CDD505-2E9C-101B-9397-08002B2CF9AE}" pid="19" name="Order">
    <vt:r8>25100</vt:r8>
  </property>
  <property fmtid="{D5CDD505-2E9C-101B-9397-08002B2CF9AE}" pid="20" name="oae75e2df9d943898d59cb03ca0993c5">
    <vt:lpwstr/>
  </property>
  <property fmtid="{D5CDD505-2E9C-101B-9397-08002B2CF9AE}" pid="21" name="Topics">
    <vt:lpwstr/>
  </property>
</Properties>
</file>