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856E3" w14:textId="581F9816" w:rsidR="002B63A0" w:rsidRDefault="002B63A0" w:rsidP="00B17774">
      <w:pPr>
        <w:pStyle w:val="Baseparagraphcentred"/>
      </w:pPr>
      <w:bookmarkStart w:id="0" w:name="_GoBack"/>
      <w:bookmarkEnd w:id="0"/>
    </w:p>
    <w:p w14:paraId="5F86DE65" w14:textId="77777777" w:rsidR="002B63A0" w:rsidRDefault="002B63A0" w:rsidP="00B17774">
      <w:pPr>
        <w:pStyle w:val="Baseparagraphcentred"/>
      </w:pPr>
    </w:p>
    <w:p w14:paraId="5F1821CE" w14:textId="77777777" w:rsidR="002B63A0" w:rsidRDefault="002B63A0" w:rsidP="00B17774">
      <w:pPr>
        <w:pStyle w:val="Baseparagraphcentred"/>
      </w:pPr>
    </w:p>
    <w:p w14:paraId="410296E0" w14:textId="77777777" w:rsidR="002B63A0" w:rsidRDefault="002B63A0" w:rsidP="00B17774">
      <w:pPr>
        <w:pStyle w:val="Baseparagraphcentred"/>
      </w:pPr>
    </w:p>
    <w:p w14:paraId="391D6EFC" w14:textId="77777777" w:rsidR="002B63A0" w:rsidRDefault="002B63A0" w:rsidP="00B17774">
      <w:pPr>
        <w:pStyle w:val="Baseparagraphcentred"/>
      </w:pPr>
    </w:p>
    <w:p w14:paraId="3C366924" w14:textId="77777777" w:rsidR="002B63A0" w:rsidRDefault="002B63A0" w:rsidP="00B17774">
      <w:pPr>
        <w:pStyle w:val="Baseparagraphcentred"/>
      </w:pPr>
    </w:p>
    <w:p w14:paraId="67758D41" w14:textId="77777777" w:rsidR="002B63A0" w:rsidRDefault="002B63A0" w:rsidP="00B17774">
      <w:pPr>
        <w:pStyle w:val="Baseparagraphcentred"/>
      </w:pPr>
    </w:p>
    <w:p w14:paraId="498EF799" w14:textId="77777777" w:rsidR="002B63A0" w:rsidRDefault="002B63A0" w:rsidP="00B17774">
      <w:pPr>
        <w:pStyle w:val="Baseparagraphcentred"/>
      </w:pPr>
    </w:p>
    <w:p w14:paraId="07395F2C" w14:textId="4B95B6B4" w:rsidR="00B17774" w:rsidRDefault="00B17774" w:rsidP="00B17774">
      <w:pPr>
        <w:pStyle w:val="Baseparagraphcentred"/>
      </w:pPr>
    </w:p>
    <w:p w14:paraId="3F04D7D4" w14:textId="77777777" w:rsidR="00B17774" w:rsidRDefault="00B17774" w:rsidP="00B17774">
      <w:pPr>
        <w:pStyle w:val="Baseparagraphcentred"/>
      </w:pPr>
    </w:p>
    <w:p w14:paraId="37D8A660" w14:textId="1DBFE898" w:rsidR="00B17774" w:rsidRDefault="006D7C60" w:rsidP="00B17774">
      <w:pPr>
        <w:pStyle w:val="BillName"/>
      </w:pPr>
      <w:bookmarkStart w:id="1" w:name="BillName"/>
      <w:bookmarkEnd w:id="1"/>
      <w:r>
        <w:t>Financial Sector Reform (Hayne Royal Commission Response – Stronger Regulators (2020 Measures)) Bill 2020</w:t>
      </w:r>
      <w:r w:rsidR="00394BAA">
        <w:t xml:space="preserve">: </w:t>
      </w:r>
      <w:r>
        <w:t>ASIC</w:t>
      </w:r>
      <w:r w:rsidR="002D3BF6">
        <w:t> </w:t>
      </w:r>
      <w:r>
        <w:t>Regulation of S</w:t>
      </w:r>
      <w:r w:rsidR="00394BAA">
        <w:t>uperannuation</w:t>
      </w:r>
    </w:p>
    <w:p w14:paraId="0D7379DC" w14:textId="77777777" w:rsidR="00B17774" w:rsidRDefault="00B17774" w:rsidP="00B17774">
      <w:pPr>
        <w:pStyle w:val="Baseparagraphcentred"/>
      </w:pPr>
    </w:p>
    <w:p w14:paraId="22169D41" w14:textId="77777777" w:rsidR="00B17774" w:rsidRDefault="00B17774" w:rsidP="00B17774">
      <w:pPr>
        <w:pStyle w:val="Baseparagraphcentred"/>
      </w:pPr>
    </w:p>
    <w:p w14:paraId="589B8028" w14:textId="77777777" w:rsidR="00B17774" w:rsidRDefault="00B17774" w:rsidP="00B17774">
      <w:pPr>
        <w:pStyle w:val="Baseparagraphcentred"/>
      </w:pPr>
    </w:p>
    <w:p w14:paraId="60906B8D" w14:textId="77777777" w:rsidR="00B17774" w:rsidRDefault="00B17774" w:rsidP="00B17774">
      <w:pPr>
        <w:pStyle w:val="Baseparagraphcentred"/>
      </w:pPr>
    </w:p>
    <w:p w14:paraId="315D7F3B" w14:textId="77777777" w:rsidR="002B63A0" w:rsidRDefault="002B63A0" w:rsidP="00B17774">
      <w:pPr>
        <w:pStyle w:val="Baseparagraphcentred"/>
      </w:pPr>
      <w:r>
        <w:t>EXPOSURE DRAFT EXPLANATORY MATERIALS</w:t>
      </w:r>
    </w:p>
    <w:p w14:paraId="48B2F679" w14:textId="2265AAFD" w:rsidR="00B17774" w:rsidRDefault="00B17774" w:rsidP="00B17774">
      <w:pPr>
        <w:pStyle w:val="Baseparagraphcentred"/>
      </w:pPr>
    </w:p>
    <w:p w14:paraId="14A6615E" w14:textId="77777777" w:rsidR="00B17774" w:rsidRDefault="00B17774" w:rsidP="00B17774">
      <w:pPr>
        <w:pStyle w:val="Baseparagraphcentred"/>
      </w:pPr>
    </w:p>
    <w:p w14:paraId="4DF20BB8" w14:textId="77777777" w:rsidR="00B17774" w:rsidRDefault="00B17774" w:rsidP="00B17774">
      <w:pPr>
        <w:pStyle w:val="Baseparagraphcentred"/>
      </w:pPr>
    </w:p>
    <w:p w14:paraId="65DB4F16" w14:textId="77777777" w:rsidR="002B63A0" w:rsidRDefault="002B63A0" w:rsidP="00773B68">
      <w:pPr>
        <w:pStyle w:val="ParaCentredNoSpacing"/>
      </w:pPr>
    </w:p>
    <w:p w14:paraId="7248EFFB" w14:textId="77777777" w:rsidR="002B63A0" w:rsidRDefault="002B63A0" w:rsidP="00773B68">
      <w:pPr>
        <w:pStyle w:val="ParaCentredNoSpacing"/>
      </w:pPr>
    </w:p>
    <w:p w14:paraId="4739AA83" w14:textId="4A5D245D" w:rsidR="00773B68" w:rsidRDefault="00773B68" w:rsidP="00773B68">
      <w:pPr>
        <w:pStyle w:val="ParaCentredNoSpacing"/>
      </w:pPr>
    </w:p>
    <w:p w14:paraId="0A4F4C6B" w14:textId="77777777" w:rsidR="00B17774" w:rsidRDefault="00B17774" w:rsidP="00B17774"/>
    <w:p w14:paraId="1F335CC5" w14:textId="77777777" w:rsidR="00813A51" w:rsidRDefault="00813A51" w:rsidP="00B17774">
      <w:pPr>
        <w:sectPr w:rsidR="00813A51" w:rsidSect="00E74E50">
          <w:headerReference w:type="even" r:id="rId13"/>
          <w:headerReference w:type="default" r:id="rId14"/>
          <w:footerReference w:type="even" r:id="rId15"/>
          <w:footerReference w:type="default" r:id="rId16"/>
          <w:headerReference w:type="first" r:id="rId17"/>
          <w:pgSz w:w="9979" w:h="14175" w:code="13"/>
          <w:pgMar w:top="567" w:right="1134" w:bottom="567" w:left="1134" w:header="709" w:footer="709" w:gutter="0"/>
          <w:cols w:space="708"/>
          <w:titlePg/>
          <w:docGrid w:linePitch="360"/>
        </w:sectPr>
      </w:pPr>
    </w:p>
    <w:p w14:paraId="107AB860" w14:textId="77777777" w:rsidR="00B17774" w:rsidRPr="003E0794" w:rsidRDefault="00B17774" w:rsidP="00B17774">
      <w:pPr>
        <w:pStyle w:val="TOCHeading"/>
      </w:pPr>
      <w:r w:rsidRPr="003E0794">
        <w:lastRenderedPageBreak/>
        <w:t>Table of contents</w:t>
      </w:r>
    </w:p>
    <w:p w14:paraId="5EDF58AA" w14:textId="0B63188A" w:rsidR="009C11B1"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C11B1">
        <w:t>Glossary</w:t>
      </w:r>
      <w:r w:rsidR="009C11B1">
        <w:tab/>
      </w:r>
      <w:r w:rsidR="009C11B1">
        <w:fldChar w:fldCharType="begin"/>
      </w:r>
      <w:r w:rsidR="009C11B1">
        <w:instrText xml:space="preserve"> PAGEREF _Toc30603145 \h </w:instrText>
      </w:r>
      <w:r w:rsidR="009C11B1">
        <w:fldChar w:fldCharType="separate"/>
      </w:r>
      <w:r w:rsidR="009C11B1">
        <w:t>1</w:t>
      </w:r>
      <w:r w:rsidR="009C11B1">
        <w:fldChar w:fldCharType="end"/>
      </w:r>
    </w:p>
    <w:p w14:paraId="395949E0" w14:textId="6BA92D6B" w:rsidR="009C11B1" w:rsidRDefault="009C11B1">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Implementing Recommendations 3.8, 6.3, 6.4 and 6.5 of the Financial Services Royal Commission</w:t>
      </w:r>
      <w:r>
        <w:rPr>
          <w:noProof/>
        </w:rPr>
        <w:tab/>
      </w:r>
      <w:r>
        <w:rPr>
          <w:noProof/>
        </w:rPr>
        <w:fldChar w:fldCharType="begin"/>
      </w:r>
      <w:r>
        <w:rPr>
          <w:noProof/>
        </w:rPr>
        <w:instrText xml:space="preserve"> PAGEREF _Toc30603146 \h </w:instrText>
      </w:r>
      <w:r>
        <w:rPr>
          <w:noProof/>
        </w:rPr>
      </w:r>
      <w:r>
        <w:rPr>
          <w:noProof/>
        </w:rPr>
        <w:fldChar w:fldCharType="separate"/>
      </w:r>
      <w:r>
        <w:rPr>
          <w:noProof/>
        </w:rPr>
        <w:t>3</w:t>
      </w:r>
      <w:r>
        <w:rPr>
          <w:noProof/>
        </w:rPr>
        <w:fldChar w:fldCharType="end"/>
      </w:r>
    </w:p>
    <w:p w14:paraId="7B86BE2B" w14:textId="50797737" w:rsidR="00E5385B" w:rsidRDefault="00734F84" w:rsidP="00295ABD">
      <w:pPr>
        <w:rPr>
          <w:rFonts w:ascii="Helvetica" w:hAnsi="Helvetica"/>
          <w:noProof/>
          <w:sz w:val="24"/>
        </w:rPr>
      </w:pPr>
      <w:r>
        <w:rPr>
          <w:rFonts w:ascii="Helvetica" w:hAnsi="Helvetica"/>
          <w:noProof/>
          <w:sz w:val="24"/>
        </w:rPr>
        <w:fldChar w:fldCharType="end"/>
      </w:r>
    </w:p>
    <w:p w14:paraId="7B3A6277" w14:textId="77777777" w:rsidR="00B17774" w:rsidRDefault="00B17774" w:rsidP="00B17774">
      <w:pPr>
        <w:pStyle w:val="Hiddentext"/>
      </w:pPr>
    </w:p>
    <w:p w14:paraId="09E07056" w14:textId="77777777" w:rsidR="00B17774" w:rsidRDefault="00B17774" w:rsidP="00B17774">
      <w:pPr>
        <w:pStyle w:val="base-text-paragraphnonumbers"/>
        <w:sectPr w:rsidR="00B17774" w:rsidSect="00E74E50">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cols w:space="708"/>
          <w:titlePg/>
          <w:docGrid w:linePitch="360"/>
        </w:sectPr>
      </w:pPr>
    </w:p>
    <w:p w14:paraId="02424586" w14:textId="77777777" w:rsidR="00B17774" w:rsidRPr="00567602" w:rsidRDefault="00B17774" w:rsidP="00567602">
      <w:pPr>
        <w:pStyle w:val="Chapterheadingsubdocument"/>
      </w:pPr>
      <w:bookmarkStart w:id="2" w:name="_Toc29302935"/>
      <w:bookmarkStart w:id="3" w:name="_Toc29401763"/>
      <w:bookmarkStart w:id="4" w:name="_Toc30603145"/>
      <w:r w:rsidRPr="00567602">
        <w:rPr>
          <w:rStyle w:val="ChapterNameOnly"/>
        </w:rPr>
        <w:lastRenderedPageBreak/>
        <w:t>Glossary</w:t>
      </w:r>
      <w:bookmarkEnd w:id="2"/>
      <w:bookmarkEnd w:id="3"/>
      <w:bookmarkEnd w:id="4"/>
    </w:p>
    <w:p w14:paraId="4371D496"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2F491550" w14:textId="77777777" w:rsidTr="009A4048">
        <w:tc>
          <w:tcPr>
            <w:tcW w:w="2721" w:type="dxa"/>
          </w:tcPr>
          <w:p w14:paraId="00F54D19" w14:textId="77777777" w:rsidR="00B17774" w:rsidRPr="00123D96" w:rsidRDefault="00B17774" w:rsidP="009A4048">
            <w:pPr>
              <w:pStyle w:val="tableheaderwithintable"/>
            </w:pPr>
            <w:r w:rsidRPr="00123D96">
              <w:t>Abbreviation</w:t>
            </w:r>
          </w:p>
        </w:tc>
        <w:tc>
          <w:tcPr>
            <w:tcW w:w="3885" w:type="dxa"/>
          </w:tcPr>
          <w:p w14:paraId="5D9B70F3" w14:textId="77777777" w:rsidR="00B17774" w:rsidRPr="00123D96" w:rsidRDefault="00B17774" w:rsidP="009A4048">
            <w:pPr>
              <w:pStyle w:val="tableheaderwithintable"/>
            </w:pPr>
            <w:r w:rsidRPr="00123D96">
              <w:t>Definition</w:t>
            </w:r>
          </w:p>
        </w:tc>
      </w:tr>
      <w:tr w:rsidR="00CE6BC3" w:rsidRPr="002C43E8" w14:paraId="7B2F8348" w14:textId="77777777" w:rsidTr="009A4048">
        <w:tc>
          <w:tcPr>
            <w:tcW w:w="2721" w:type="dxa"/>
          </w:tcPr>
          <w:p w14:paraId="21C366BF" w14:textId="77777777" w:rsidR="00CE6BC3" w:rsidRDefault="00CE6BC3" w:rsidP="009A4048">
            <w:pPr>
              <w:pStyle w:val="Glossarytabletext"/>
              <w:rPr>
                <w:lang w:val="en-US" w:eastAsia="en-US"/>
              </w:rPr>
            </w:pPr>
            <w:r>
              <w:rPr>
                <w:lang w:val="en-US" w:eastAsia="en-US"/>
              </w:rPr>
              <w:t>AFSL</w:t>
            </w:r>
          </w:p>
        </w:tc>
        <w:tc>
          <w:tcPr>
            <w:tcW w:w="3885" w:type="dxa"/>
          </w:tcPr>
          <w:p w14:paraId="60496834" w14:textId="77777777" w:rsidR="00CE6BC3" w:rsidRDefault="00CE6BC3" w:rsidP="009A4048">
            <w:pPr>
              <w:pStyle w:val="Glossarytabletext"/>
              <w:rPr>
                <w:lang w:val="en-US" w:eastAsia="en-US"/>
              </w:rPr>
            </w:pPr>
            <w:r>
              <w:rPr>
                <w:lang w:val="en-US" w:eastAsia="en-US"/>
              </w:rPr>
              <w:t xml:space="preserve">Australian financial services </w:t>
            </w:r>
            <w:proofErr w:type="spellStart"/>
            <w:r>
              <w:rPr>
                <w:lang w:val="en-US" w:eastAsia="en-US"/>
              </w:rPr>
              <w:t>licence</w:t>
            </w:r>
            <w:proofErr w:type="spellEnd"/>
          </w:p>
        </w:tc>
      </w:tr>
      <w:tr w:rsidR="00B17774" w:rsidRPr="002C43E8" w14:paraId="0DEAA029" w14:textId="77777777" w:rsidTr="009A4048">
        <w:tc>
          <w:tcPr>
            <w:tcW w:w="2721" w:type="dxa"/>
          </w:tcPr>
          <w:p w14:paraId="68CC4CAD" w14:textId="77777777" w:rsidR="00B17774" w:rsidRPr="002C43E8" w:rsidRDefault="00A8524C" w:rsidP="009A4048">
            <w:pPr>
              <w:pStyle w:val="Glossarytabletext"/>
              <w:rPr>
                <w:lang w:val="en-US" w:eastAsia="en-US"/>
              </w:rPr>
            </w:pPr>
            <w:bookmarkStart w:id="5" w:name="GlossaryTableStart"/>
            <w:bookmarkEnd w:id="5"/>
            <w:r>
              <w:rPr>
                <w:lang w:val="en-US" w:eastAsia="en-US"/>
              </w:rPr>
              <w:t>APRA</w:t>
            </w:r>
          </w:p>
        </w:tc>
        <w:tc>
          <w:tcPr>
            <w:tcW w:w="3885" w:type="dxa"/>
          </w:tcPr>
          <w:p w14:paraId="00A67BDE" w14:textId="77777777" w:rsidR="00B17774" w:rsidRPr="002C43E8" w:rsidRDefault="00A8524C" w:rsidP="009A4048">
            <w:pPr>
              <w:pStyle w:val="Glossarytabletext"/>
              <w:rPr>
                <w:lang w:val="en-US" w:eastAsia="en-US"/>
              </w:rPr>
            </w:pPr>
            <w:r>
              <w:rPr>
                <w:lang w:val="en-US" w:eastAsia="en-US"/>
              </w:rPr>
              <w:t>Australian Prudential Regulation Authority</w:t>
            </w:r>
          </w:p>
        </w:tc>
      </w:tr>
      <w:tr w:rsidR="00B17774" w:rsidRPr="002C43E8" w14:paraId="7CB3988D" w14:textId="77777777" w:rsidTr="009A4048">
        <w:tc>
          <w:tcPr>
            <w:tcW w:w="2721" w:type="dxa"/>
          </w:tcPr>
          <w:p w14:paraId="7D0EF452" w14:textId="77777777" w:rsidR="00B17774" w:rsidRPr="002C43E8" w:rsidRDefault="00A8524C" w:rsidP="009A4048">
            <w:pPr>
              <w:pStyle w:val="Glossarytabletext"/>
              <w:rPr>
                <w:lang w:val="en-US" w:eastAsia="en-US"/>
              </w:rPr>
            </w:pPr>
            <w:r>
              <w:rPr>
                <w:lang w:val="en-US" w:eastAsia="en-US"/>
              </w:rPr>
              <w:t>ASIC</w:t>
            </w:r>
          </w:p>
        </w:tc>
        <w:tc>
          <w:tcPr>
            <w:tcW w:w="3885" w:type="dxa"/>
          </w:tcPr>
          <w:p w14:paraId="41BFF8AB" w14:textId="77777777" w:rsidR="00B17774" w:rsidRPr="002C43E8" w:rsidRDefault="00A8524C" w:rsidP="009A4048">
            <w:pPr>
              <w:pStyle w:val="Glossarytabletext"/>
              <w:rPr>
                <w:lang w:val="en-US" w:eastAsia="en-US"/>
              </w:rPr>
            </w:pPr>
            <w:r>
              <w:rPr>
                <w:lang w:val="en-US" w:eastAsia="en-US"/>
              </w:rPr>
              <w:t>Australian Securities and Investments Commission</w:t>
            </w:r>
          </w:p>
        </w:tc>
      </w:tr>
      <w:tr w:rsidR="00B17774" w:rsidRPr="002C43E8" w14:paraId="07BA96FE" w14:textId="77777777" w:rsidTr="009A4048">
        <w:tc>
          <w:tcPr>
            <w:tcW w:w="2721" w:type="dxa"/>
          </w:tcPr>
          <w:p w14:paraId="10F050A9" w14:textId="77777777" w:rsidR="00B17774" w:rsidRPr="002C43E8" w:rsidRDefault="00A8524C" w:rsidP="009A4048">
            <w:pPr>
              <w:pStyle w:val="Glossarytabletext"/>
              <w:rPr>
                <w:lang w:val="en-US" w:eastAsia="en-US"/>
              </w:rPr>
            </w:pPr>
            <w:r>
              <w:rPr>
                <w:lang w:val="en-US" w:eastAsia="en-US"/>
              </w:rPr>
              <w:t>ASIC Act</w:t>
            </w:r>
          </w:p>
        </w:tc>
        <w:tc>
          <w:tcPr>
            <w:tcW w:w="3885" w:type="dxa"/>
          </w:tcPr>
          <w:p w14:paraId="6E532B8C" w14:textId="77777777" w:rsidR="00B17774" w:rsidRPr="00A8524C" w:rsidRDefault="00A8524C" w:rsidP="009A4048">
            <w:pPr>
              <w:pStyle w:val="Glossarytabletext"/>
              <w:rPr>
                <w:i/>
                <w:lang w:val="en-US" w:eastAsia="en-US"/>
              </w:rPr>
            </w:pPr>
            <w:r>
              <w:rPr>
                <w:i/>
                <w:lang w:val="en-US" w:eastAsia="en-US"/>
              </w:rPr>
              <w:t>Australian Securities and Investments Commission Act 2001</w:t>
            </w:r>
          </w:p>
        </w:tc>
      </w:tr>
      <w:tr w:rsidR="00B17774" w:rsidRPr="002C43E8" w14:paraId="55B2B961" w14:textId="77777777" w:rsidTr="009A4048">
        <w:tc>
          <w:tcPr>
            <w:tcW w:w="2721" w:type="dxa"/>
          </w:tcPr>
          <w:p w14:paraId="1C3F4EF0" w14:textId="77777777" w:rsidR="00B17774" w:rsidRPr="002C43E8" w:rsidRDefault="00A8524C" w:rsidP="009A4048">
            <w:pPr>
              <w:pStyle w:val="Glossarytabletext"/>
              <w:rPr>
                <w:lang w:val="en-US" w:eastAsia="en-US"/>
              </w:rPr>
            </w:pPr>
            <w:r>
              <w:rPr>
                <w:lang w:val="en-US" w:eastAsia="en-US"/>
              </w:rPr>
              <w:t>ATO</w:t>
            </w:r>
          </w:p>
        </w:tc>
        <w:tc>
          <w:tcPr>
            <w:tcW w:w="3885" w:type="dxa"/>
          </w:tcPr>
          <w:p w14:paraId="43C41DA9" w14:textId="77777777" w:rsidR="00B17774" w:rsidRPr="002C43E8" w:rsidRDefault="00A8524C" w:rsidP="009A4048">
            <w:pPr>
              <w:pStyle w:val="Glossarytabletext"/>
              <w:rPr>
                <w:lang w:val="en-US" w:eastAsia="en-US"/>
              </w:rPr>
            </w:pPr>
            <w:r>
              <w:rPr>
                <w:lang w:val="en-US" w:eastAsia="en-US"/>
              </w:rPr>
              <w:t>Australian Taxation Office</w:t>
            </w:r>
          </w:p>
        </w:tc>
      </w:tr>
      <w:tr w:rsidR="00A1774B" w:rsidRPr="002C43E8" w14:paraId="0D1F6093" w14:textId="77777777" w:rsidTr="009A4048">
        <w:tc>
          <w:tcPr>
            <w:tcW w:w="2721" w:type="dxa"/>
          </w:tcPr>
          <w:p w14:paraId="3B520152" w14:textId="7B59D52B" w:rsidR="00A1774B" w:rsidRDefault="00A1774B" w:rsidP="009A4048">
            <w:pPr>
              <w:pStyle w:val="Glossarytabletext"/>
              <w:rPr>
                <w:lang w:val="en-US" w:eastAsia="en-US"/>
              </w:rPr>
            </w:pPr>
            <w:r>
              <w:rPr>
                <w:lang w:val="en-US" w:eastAsia="en-US"/>
              </w:rPr>
              <w:t>Bill</w:t>
            </w:r>
          </w:p>
        </w:tc>
        <w:tc>
          <w:tcPr>
            <w:tcW w:w="3885" w:type="dxa"/>
          </w:tcPr>
          <w:p w14:paraId="54098AD1" w14:textId="2BA6B5EA" w:rsidR="00A1774B" w:rsidRDefault="00206B3A" w:rsidP="00206B3A">
            <w:pPr>
              <w:pStyle w:val="Glossarytabletext"/>
              <w:rPr>
                <w:lang w:val="en-US" w:eastAsia="en-US"/>
              </w:rPr>
            </w:pPr>
            <w:r w:rsidRPr="006D7C60">
              <w:rPr>
                <w:lang w:val="en-US" w:eastAsia="en-US"/>
              </w:rPr>
              <w:t xml:space="preserve">Financial Sector Reform (Hayne Royal Commission Response – Stronger Regulators (2020 Measures)) </w:t>
            </w:r>
            <w:r w:rsidR="00A1774B" w:rsidRPr="006D7C60">
              <w:rPr>
                <w:lang w:val="en-US" w:eastAsia="en-US"/>
              </w:rPr>
              <w:t>Bill 2020</w:t>
            </w:r>
          </w:p>
        </w:tc>
      </w:tr>
      <w:tr w:rsidR="009007CF" w:rsidRPr="002C43E8" w14:paraId="519484BD" w14:textId="77777777" w:rsidTr="009A4048">
        <w:tc>
          <w:tcPr>
            <w:tcW w:w="2721" w:type="dxa"/>
          </w:tcPr>
          <w:p w14:paraId="18915C64" w14:textId="3F1D5B51" w:rsidR="009007CF" w:rsidRDefault="009007CF" w:rsidP="009A4048">
            <w:pPr>
              <w:pStyle w:val="Glossarytabletext"/>
              <w:rPr>
                <w:lang w:val="en-US" w:eastAsia="en-US"/>
              </w:rPr>
            </w:pPr>
            <w:r>
              <w:rPr>
                <w:lang w:val="en-US" w:eastAsia="en-US"/>
              </w:rPr>
              <w:t>Corporations Act</w:t>
            </w:r>
          </w:p>
        </w:tc>
        <w:tc>
          <w:tcPr>
            <w:tcW w:w="3885" w:type="dxa"/>
          </w:tcPr>
          <w:p w14:paraId="1B922B51" w14:textId="3CAAE2D6" w:rsidR="009007CF" w:rsidRPr="009007CF" w:rsidRDefault="009007CF" w:rsidP="00206B3A">
            <w:pPr>
              <w:pStyle w:val="Glossarytabletext"/>
              <w:rPr>
                <w:i/>
                <w:highlight w:val="yellow"/>
                <w:lang w:val="en-US" w:eastAsia="en-US"/>
              </w:rPr>
            </w:pPr>
            <w:r w:rsidRPr="009007CF">
              <w:rPr>
                <w:i/>
                <w:lang w:val="en-US" w:eastAsia="en-US"/>
              </w:rPr>
              <w:t>Corporations Act 2001</w:t>
            </w:r>
          </w:p>
        </w:tc>
      </w:tr>
      <w:tr w:rsidR="00B17774" w:rsidRPr="002C43E8" w14:paraId="2F02D34A" w14:textId="77777777" w:rsidTr="009A4048">
        <w:tc>
          <w:tcPr>
            <w:tcW w:w="2721" w:type="dxa"/>
          </w:tcPr>
          <w:p w14:paraId="447EA809" w14:textId="08B5125F" w:rsidR="00B17774" w:rsidRPr="002C43E8" w:rsidRDefault="00A7101D" w:rsidP="009A4048">
            <w:pPr>
              <w:pStyle w:val="Glossarytabletext"/>
              <w:rPr>
                <w:lang w:val="en-US" w:eastAsia="en-US"/>
              </w:rPr>
            </w:pPr>
            <w:r>
              <w:rPr>
                <w:lang w:val="en-US" w:eastAsia="en-US"/>
              </w:rPr>
              <w:t xml:space="preserve">Financial Services </w:t>
            </w:r>
            <w:r w:rsidR="00FB2BEA">
              <w:rPr>
                <w:lang w:val="en-US" w:eastAsia="en-US"/>
              </w:rPr>
              <w:t>Royal Commission</w:t>
            </w:r>
          </w:p>
        </w:tc>
        <w:tc>
          <w:tcPr>
            <w:tcW w:w="3885" w:type="dxa"/>
          </w:tcPr>
          <w:p w14:paraId="4A014D64" w14:textId="77777777" w:rsidR="00B17774" w:rsidRPr="002C43E8" w:rsidRDefault="00FB2BEA" w:rsidP="009A4048">
            <w:pPr>
              <w:pStyle w:val="Glossarytabletext"/>
              <w:rPr>
                <w:lang w:val="en-US" w:eastAsia="en-US"/>
              </w:rPr>
            </w:pPr>
            <w:r>
              <w:rPr>
                <w:lang w:val="en-US" w:eastAsia="en-US"/>
              </w:rPr>
              <w:t>Royal Commission into Misconduct in the Banking, Superannuation and Financial Services Industry</w:t>
            </w:r>
          </w:p>
        </w:tc>
      </w:tr>
      <w:tr w:rsidR="00FB2BEA" w:rsidRPr="002C43E8" w14:paraId="6CEB1A97" w14:textId="77777777" w:rsidTr="009A4048">
        <w:tc>
          <w:tcPr>
            <w:tcW w:w="2721" w:type="dxa"/>
          </w:tcPr>
          <w:p w14:paraId="1A708F2F" w14:textId="77777777" w:rsidR="00FB2BEA" w:rsidRDefault="00FB2BEA" w:rsidP="009A4048">
            <w:pPr>
              <w:pStyle w:val="Glossarytabletext"/>
              <w:rPr>
                <w:lang w:val="en-US" w:eastAsia="en-US"/>
              </w:rPr>
            </w:pPr>
            <w:r>
              <w:rPr>
                <w:lang w:val="en-US" w:eastAsia="en-US"/>
              </w:rPr>
              <w:t>RSE</w:t>
            </w:r>
          </w:p>
        </w:tc>
        <w:tc>
          <w:tcPr>
            <w:tcW w:w="3885" w:type="dxa"/>
          </w:tcPr>
          <w:p w14:paraId="6B31B49F" w14:textId="77777777" w:rsidR="00FB2BEA" w:rsidRDefault="00FB2BEA" w:rsidP="00BC227F">
            <w:pPr>
              <w:pStyle w:val="Glossarytabletext"/>
              <w:rPr>
                <w:lang w:val="en-US" w:eastAsia="en-US"/>
              </w:rPr>
            </w:pPr>
            <w:r>
              <w:rPr>
                <w:lang w:val="en-US" w:eastAsia="en-US"/>
              </w:rPr>
              <w:t>Registrable superannuation entity</w:t>
            </w:r>
            <w:r w:rsidR="00685493">
              <w:rPr>
                <w:lang w:val="en-US" w:eastAsia="en-US"/>
              </w:rPr>
              <w:t xml:space="preserve">, </w:t>
            </w:r>
            <w:r w:rsidR="00BC227F">
              <w:rPr>
                <w:lang w:val="en-US" w:eastAsia="en-US"/>
              </w:rPr>
              <w:t>defined in the SIS Act</w:t>
            </w:r>
          </w:p>
        </w:tc>
      </w:tr>
      <w:tr w:rsidR="00B17774" w:rsidRPr="002C43E8" w14:paraId="5081C5B3" w14:textId="77777777" w:rsidTr="009A4048">
        <w:tc>
          <w:tcPr>
            <w:tcW w:w="2721" w:type="dxa"/>
          </w:tcPr>
          <w:p w14:paraId="1268032D" w14:textId="77777777" w:rsidR="00B17774" w:rsidRPr="002C43E8" w:rsidRDefault="00A8524C" w:rsidP="009A4048">
            <w:pPr>
              <w:pStyle w:val="Glossarytabletext"/>
              <w:rPr>
                <w:lang w:val="en-US" w:eastAsia="en-US"/>
              </w:rPr>
            </w:pPr>
            <w:r>
              <w:rPr>
                <w:lang w:val="en-US" w:eastAsia="en-US"/>
              </w:rPr>
              <w:t>SMSF</w:t>
            </w:r>
          </w:p>
        </w:tc>
        <w:tc>
          <w:tcPr>
            <w:tcW w:w="3885" w:type="dxa"/>
          </w:tcPr>
          <w:p w14:paraId="3B4E939D" w14:textId="12F1096D" w:rsidR="00B17774" w:rsidRPr="002C43E8" w:rsidRDefault="00A8524C" w:rsidP="009A4048">
            <w:pPr>
              <w:pStyle w:val="Glossarytabletext"/>
              <w:rPr>
                <w:lang w:val="en-US" w:eastAsia="en-US"/>
              </w:rPr>
            </w:pPr>
            <w:r>
              <w:rPr>
                <w:lang w:val="en-US" w:eastAsia="en-US"/>
              </w:rPr>
              <w:t>Self</w:t>
            </w:r>
            <w:r w:rsidR="00D062F1">
              <w:rPr>
                <w:lang w:val="en-US" w:eastAsia="en-US"/>
              </w:rPr>
              <w:t>-</w:t>
            </w:r>
            <w:r>
              <w:rPr>
                <w:lang w:val="en-US" w:eastAsia="en-US"/>
              </w:rPr>
              <w:t>managed superannuation fund</w:t>
            </w:r>
          </w:p>
        </w:tc>
      </w:tr>
      <w:tr w:rsidR="00B17774" w:rsidRPr="002C43E8" w14:paraId="2AD80D19" w14:textId="77777777" w:rsidTr="009A4048">
        <w:tc>
          <w:tcPr>
            <w:tcW w:w="2721" w:type="dxa"/>
          </w:tcPr>
          <w:p w14:paraId="1D8A51CD" w14:textId="77777777" w:rsidR="00B17774" w:rsidRPr="002C43E8" w:rsidRDefault="00A8524C" w:rsidP="009A4048">
            <w:pPr>
              <w:pStyle w:val="Glossarytabletext"/>
              <w:rPr>
                <w:lang w:val="en-US" w:eastAsia="en-US"/>
              </w:rPr>
            </w:pPr>
            <w:r>
              <w:rPr>
                <w:lang w:val="en-US" w:eastAsia="en-US"/>
              </w:rPr>
              <w:t>SIS Act</w:t>
            </w:r>
          </w:p>
        </w:tc>
        <w:tc>
          <w:tcPr>
            <w:tcW w:w="3885" w:type="dxa"/>
          </w:tcPr>
          <w:p w14:paraId="5E70DCEB" w14:textId="77777777" w:rsidR="00B17774" w:rsidRPr="00A8524C" w:rsidRDefault="00A8524C" w:rsidP="009A4048">
            <w:pPr>
              <w:pStyle w:val="Glossarytabletext"/>
              <w:rPr>
                <w:i/>
                <w:lang w:val="en-US" w:eastAsia="en-US"/>
              </w:rPr>
            </w:pPr>
            <w:r>
              <w:rPr>
                <w:i/>
                <w:lang w:val="en-US" w:eastAsia="en-US"/>
              </w:rPr>
              <w:t>Superannuation Industry (Supervision) Act 1993</w:t>
            </w:r>
          </w:p>
        </w:tc>
      </w:tr>
      <w:tr w:rsidR="00B17774" w:rsidRPr="002C43E8" w14:paraId="60EBC8A4" w14:textId="77777777" w:rsidTr="009A4048">
        <w:tc>
          <w:tcPr>
            <w:tcW w:w="2721" w:type="dxa"/>
          </w:tcPr>
          <w:p w14:paraId="3D7B36DF" w14:textId="01653FF7" w:rsidR="00B17774" w:rsidRPr="002C43E8" w:rsidRDefault="00A8524C" w:rsidP="009A4048">
            <w:pPr>
              <w:pStyle w:val="Glossarytabletext"/>
              <w:rPr>
                <w:lang w:val="en-US" w:eastAsia="en-US"/>
              </w:rPr>
            </w:pPr>
            <w:r>
              <w:rPr>
                <w:lang w:val="en-US" w:eastAsia="en-US"/>
              </w:rPr>
              <w:t xml:space="preserve">SIS </w:t>
            </w:r>
            <w:r w:rsidR="00AB7F18">
              <w:rPr>
                <w:lang w:val="en-US" w:eastAsia="en-US"/>
              </w:rPr>
              <w:t>Reg</w:t>
            </w:r>
            <w:r w:rsidR="002D3BF6">
              <w:rPr>
                <w:lang w:val="en-US" w:eastAsia="en-US"/>
              </w:rPr>
              <w:t>ulation</w:t>
            </w:r>
            <w:r w:rsidR="00AB7F18">
              <w:rPr>
                <w:lang w:val="en-US" w:eastAsia="en-US"/>
              </w:rPr>
              <w:t>s</w:t>
            </w:r>
          </w:p>
        </w:tc>
        <w:tc>
          <w:tcPr>
            <w:tcW w:w="3885" w:type="dxa"/>
          </w:tcPr>
          <w:p w14:paraId="3AF4EB18" w14:textId="77777777" w:rsidR="00B17774" w:rsidRPr="00A8524C" w:rsidRDefault="00A8524C" w:rsidP="009A4048">
            <w:pPr>
              <w:pStyle w:val="Glossarytabletext"/>
              <w:rPr>
                <w:i/>
                <w:lang w:val="en-US" w:eastAsia="en-US"/>
              </w:rPr>
            </w:pPr>
            <w:r>
              <w:rPr>
                <w:i/>
                <w:lang w:val="en-US" w:eastAsia="en-US"/>
              </w:rPr>
              <w:t>Superannuation Industry (Supervision) Regulations 1994</w:t>
            </w:r>
          </w:p>
        </w:tc>
      </w:tr>
    </w:tbl>
    <w:p w14:paraId="507D1C03" w14:textId="77777777" w:rsidR="00E5385B" w:rsidRDefault="00E5385B" w:rsidP="00B17774"/>
    <w:p w14:paraId="6AA87029" w14:textId="77777777" w:rsidR="00B17774" w:rsidRDefault="00B17774" w:rsidP="00B17774"/>
    <w:p w14:paraId="5AE3C343" w14:textId="77777777" w:rsidR="00E679CA" w:rsidRDefault="00E679CA" w:rsidP="00B17774">
      <w:pPr>
        <w:sectPr w:rsidR="00E679CA" w:rsidSect="00E74E50">
          <w:headerReference w:type="even" r:id="rId24"/>
          <w:headerReference w:type="default" r:id="rId25"/>
          <w:footerReference w:type="even" r:id="rId26"/>
          <w:footerReference w:type="default" r:id="rId27"/>
          <w:footerReference w:type="first" r:id="rId28"/>
          <w:type w:val="oddPage"/>
          <w:pgSz w:w="9979" w:h="14175" w:code="9"/>
          <w:pgMar w:top="567" w:right="1134" w:bottom="567" w:left="1134" w:header="709" w:footer="709" w:gutter="0"/>
          <w:pgNumType w:start="1"/>
          <w:cols w:space="708"/>
          <w:titlePg/>
          <w:docGrid w:linePitch="360"/>
        </w:sectPr>
      </w:pPr>
    </w:p>
    <w:p w14:paraId="30716F68" w14:textId="0D7CD8AD" w:rsidR="00B17774" w:rsidRPr="007C2B20" w:rsidRDefault="00840701" w:rsidP="000C2A9D">
      <w:pPr>
        <w:pStyle w:val="ChapterHeading"/>
      </w:pPr>
      <w:r w:rsidRPr="000C2A9D">
        <w:lastRenderedPageBreak/>
        <w:br/>
      </w:r>
      <w:bookmarkStart w:id="6" w:name="_Toc29302937"/>
      <w:bookmarkStart w:id="7" w:name="_Toc29401765"/>
      <w:bookmarkStart w:id="8" w:name="_Toc30603146"/>
      <w:r w:rsidR="00567249">
        <w:rPr>
          <w:rStyle w:val="ChapterNameOnly"/>
        </w:rPr>
        <w:t>Implementing Recommendations 3.8, 6.3, 6.4 and 6.5 of the Financial Services Royal Commission</w:t>
      </w:r>
      <w:bookmarkEnd w:id="6"/>
      <w:bookmarkEnd w:id="7"/>
      <w:bookmarkEnd w:id="8"/>
    </w:p>
    <w:p w14:paraId="0ACBC65F" w14:textId="7EDA0F0D" w:rsidR="00B17774" w:rsidRDefault="00B17774" w:rsidP="00B17774">
      <w:pPr>
        <w:pStyle w:val="Heading2"/>
      </w:pPr>
      <w:r>
        <w:t>Outline of chapter</w:t>
      </w:r>
    </w:p>
    <w:p w14:paraId="6782DD13" w14:textId="78D9DE41" w:rsidR="00567249" w:rsidRDefault="00567249" w:rsidP="00DF489E">
      <w:pPr>
        <w:pStyle w:val="base-text-paragraph"/>
      </w:pPr>
      <w:r>
        <w:t xml:space="preserve">This Chapter explains the amendments in </w:t>
      </w:r>
      <w:r w:rsidR="00DF489E">
        <w:t xml:space="preserve">Schedule # </w:t>
      </w:r>
      <w:r>
        <w:t>to the Bill that implement recommendations 3.8, 6.3, 6.4 and 6.5 of the Financial</w:t>
      </w:r>
      <w:r w:rsidR="002E79BE">
        <w:t> </w:t>
      </w:r>
      <w:r>
        <w:t xml:space="preserve">Services Royal Commission. </w:t>
      </w:r>
    </w:p>
    <w:p w14:paraId="17E16D40" w14:textId="0A084E8B" w:rsidR="00B17774" w:rsidRDefault="00B17774" w:rsidP="00B17774">
      <w:pPr>
        <w:pStyle w:val="Heading2"/>
      </w:pPr>
      <w:r>
        <w:t>Context of amendments</w:t>
      </w:r>
    </w:p>
    <w:p w14:paraId="62C99360" w14:textId="1A0C885C" w:rsidR="00C041D4" w:rsidRDefault="00C041D4" w:rsidP="00C041D4">
      <w:pPr>
        <w:pStyle w:val="Heading3"/>
      </w:pPr>
      <w:r>
        <w:t xml:space="preserve">Recommendations </w:t>
      </w:r>
      <w:r w:rsidR="0085568E">
        <w:t xml:space="preserve">3.8, 6.3, 6.4 and 6.5 </w:t>
      </w:r>
      <w:r>
        <w:t xml:space="preserve">of the Financial Services Royal Commission </w:t>
      </w:r>
    </w:p>
    <w:p w14:paraId="737B26D9" w14:textId="6A6E0214" w:rsidR="00C041D4" w:rsidRDefault="00C041D4" w:rsidP="003D12C3">
      <w:pPr>
        <w:pStyle w:val="base-text-paragraph"/>
      </w:pPr>
      <w:r>
        <w:t>Schedule # to the Bill implements the following recommendations of the Financial Services Royal Commission:</w:t>
      </w:r>
    </w:p>
    <w:p w14:paraId="568E54FB" w14:textId="77777777" w:rsidR="00C041D4" w:rsidRDefault="00C041D4" w:rsidP="00C041D4">
      <w:pPr>
        <w:pStyle w:val="dotpoint"/>
      </w:pPr>
      <w:r>
        <w:t xml:space="preserve">Recommendation 3.8 – </w:t>
      </w:r>
      <w:r w:rsidRPr="005F6C63">
        <w:t>The roles of APRA and ASIC with respect to superannuation should be adjusted, as referred to in Recommendation 6.3.</w:t>
      </w:r>
    </w:p>
    <w:p w14:paraId="2D5F0EA8" w14:textId="77777777" w:rsidR="00C041D4" w:rsidRDefault="00C041D4" w:rsidP="00C041D4">
      <w:pPr>
        <w:pStyle w:val="dotpoint"/>
      </w:pPr>
      <w:r>
        <w:t>Recommendation 6.3 – The roles of APRA and ASIC in relation to superannuation should be adjusted to accord with the general principles that:</w:t>
      </w:r>
    </w:p>
    <w:p w14:paraId="32C204F8" w14:textId="77777777" w:rsidR="00C041D4" w:rsidRDefault="00C041D4" w:rsidP="008F31AA">
      <w:pPr>
        <w:pStyle w:val="dotpoint"/>
        <w:numPr>
          <w:ilvl w:val="1"/>
          <w:numId w:val="6"/>
        </w:numPr>
      </w:pPr>
      <w:r>
        <w:t>APRA, as the prudential regulator for superannuation, is responsible for establishing and enforcing Prudential Standards and practices designed to ensure that, under all reasonable circumstances, financial promises made by superannuation entities APRA supervises are met within a stable, efficient and competitive financial system; and</w:t>
      </w:r>
    </w:p>
    <w:p w14:paraId="584571F0" w14:textId="77777777" w:rsidR="00C041D4" w:rsidRDefault="00C041D4" w:rsidP="008F31AA">
      <w:pPr>
        <w:pStyle w:val="dotpoint"/>
        <w:numPr>
          <w:ilvl w:val="1"/>
          <w:numId w:val="6"/>
        </w:numPr>
      </w:pPr>
      <w:proofErr w:type="gramStart"/>
      <w:r>
        <w:t>as</w:t>
      </w:r>
      <w:proofErr w:type="gramEnd"/>
      <w:r>
        <w:t xml:space="preserve"> the conduct and disclosure regulator, ASIC’s role in superannuation primarily concerns the relationship between RSE licensees and individual consumers.</w:t>
      </w:r>
    </w:p>
    <w:p w14:paraId="7B30E7D7" w14:textId="059A4CE5" w:rsidR="00C041D4" w:rsidRDefault="00C041D4" w:rsidP="00C041D4">
      <w:pPr>
        <w:pStyle w:val="dotpoint"/>
      </w:pPr>
      <w:r>
        <w:t xml:space="preserve">Recommendation 6.4 – </w:t>
      </w:r>
      <w:r w:rsidRPr="005F6C63">
        <w:t xml:space="preserve">Without limiting any powers APRA currently has under the SIS Act, ASIC should be given the power to enforce all provisions in the SIS Act that are, or will become, civil penalty provisions or otherwise give rise to a cause of action against an RSE licensee or director for </w:t>
      </w:r>
      <w:r w:rsidRPr="005F6C63">
        <w:lastRenderedPageBreak/>
        <w:t>conduct that may harm</w:t>
      </w:r>
      <w:r w:rsidR="001373FB">
        <w:t xml:space="preserve"> a consumer. There should be co</w:t>
      </w:r>
      <w:r w:rsidR="001373FB">
        <w:noBreakHyphen/>
      </w:r>
      <w:r w:rsidRPr="005F6C63">
        <w:t>regulation by APRA and ASIC of these provisions.</w:t>
      </w:r>
    </w:p>
    <w:p w14:paraId="1E3B1347" w14:textId="724DE6C7" w:rsidR="00C041D4" w:rsidRDefault="00C041D4" w:rsidP="00C041D4">
      <w:pPr>
        <w:pStyle w:val="dotpoint"/>
      </w:pPr>
      <w:r>
        <w:t xml:space="preserve">Recommendation 6.5 </w:t>
      </w:r>
      <w:r w:rsidR="002D3BF6">
        <w:t>–</w:t>
      </w:r>
      <w:r>
        <w:t xml:space="preserve"> </w:t>
      </w:r>
      <w:r w:rsidRPr="005F6C63">
        <w:t>APRA should retain its current functions, including responsibility for the licensing and supervision of RSE licensees and the powers and functions that come with it, including any power to issue directions that APRA presently has or is to be given.</w:t>
      </w:r>
    </w:p>
    <w:p w14:paraId="01608EFE" w14:textId="30AB570B" w:rsidR="003D12C3" w:rsidRDefault="009F6696" w:rsidP="00392F62">
      <w:pPr>
        <w:pStyle w:val="Heading3"/>
      </w:pPr>
      <w:r>
        <w:t>ASIC</w:t>
      </w:r>
      <w:r w:rsidR="00E80508">
        <w:t xml:space="preserve">’s expanded role in </w:t>
      </w:r>
      <w:r>
        <w:t xml:space="preserve">superannuation </w:t>
      </w:r>
      <w:r w:rsidR="00E80508">
        <w:t xml:space="preserve">regulation </w:t>
      </w:r>
    </w:p>
    <w:p w14:paraId="24C97B25" w14:textId="17919940" w:rsidR="00785926" w:rsidRDefault="00811608" w:rsidP="00811608">
      <w:pPr>
        <w:pStyle w:val="base-text-paragraph"/>
      </w:pPr>
      <w:r>
        <w:t xml:space="preserve">The </w:t>
      </w:r>
      <w:r w:rsidR="00C23897">
        <w:t xml:space="preserve">Financial Services </w:t>
      </w:r>
      <w:r>
        <w:t xml:space="preserve">Royal Commission recommended that the role of ASIC in superannuation be expanded to </w:t>
      </w:r>
      <w:r w:rsidR="002C3C40">
        <w:t>better promote</w:t>
      </w:r>
      <w:r w:rsidR="00785926">
        <w:t xml:space="preserve"> consumer protection and market</w:t>
      </w:r>
      <w:r w:rsidR="002C3C40">
        <w:t xml:space="preserve"> integrity in the superannuation industry</w:t>
      </w:r>
      <w:r>
        <w:t xml:space="preserve">. </w:t>
      </w:r>
    </w:p>
    <w:p w14:paraId="644847A5" w14:textId="5A749F62" w:rsidR="0093163B" w:rsidRDefault="0027128C" w:rsidP="00811608">
      <w:pPr>
        <w:pStyle w:val="base-text-paragraph"/>
      </w:pPr>
      <w:r>
        <w:t>To achieve this, r</w:t>
      </w:r>
      <w:r w:rsidR="00811608">
        <w:t>ecommendation 6.4 stated</w:t>
      </w:r>
      <w:r>
        <w:t xml:space="preserve"> that</w:t>
      </w:r>
      <w:r w:rsidR="00811608">
        <w:t xml:space="preserve"> ASIC be given the power to enforce</w:t>
      </w:r>
      <w:r w:rsidR="00004584">
        <w:t xml:space="preserve"> </w:t>
      </w:r>
      <w:r w:rsidR="000A78FC">
        <w:t xml:space="preserve">the </w:t>
      </w:r>
      <w:r w:rsidR="00004584">
        <w:t>provisions</w:t>
      </w:r>
      <w:r w:rsidR="00811608">
        <w:t xml:space="preserve"> in the SIS Act</w:t>
      </w:r>
      <w:r w:rsidR="000A78FC">
        <w:t xml:space="preserve"> that</w:t>
      </w:r>
      <w:r w:rsidR="002B2B64">
        <w:t xml:space="preserve"> concern </w:t>
      </w:r>
      <w:r w:rsidR="00811608">
        <w:t>consumer</w:t>
      </w:r>
      <w:r w:rsidR="002B2B64">
        <w:t xml:space="preserve"> protection</w:t>
      </w:r>
      <w:r w:rsidR="00811608">
        <w:t xml:space="preserve">. </w:t>
      </w:r>
    </w:p>
    <w:p w14:paraId="0F87A756" w14:textId="270DB9D1" w:rsidR="00ED00A9" w:rsidRPr="00D112C8" w:rsidRDefault="00ED00A9" w:rsidP="00ED00A9">
      <w:pPr>
        <w:pStyle w:val="base-text-paragraph"/>
      </w:pPr>
      <w:r w:rsidRPr="00D112C8">
        <w:t xml:space="preserve">The SIS Act </w:t>
      </w:r>
      <w:r w:rsidR="00D112C8" w:rsidRPr="00D112C8">
        <w:t>and the RSE licen</w:t>
      </w:r>
      <w:r w:rsidR="00B646B0">
        <w:t>s</w:t>
      </w:r>
      <w:r w:rsidR="00D112C8" w:rsidRPr="00D112C8">
        <w:t>ing regime are</w:t>
      </w:r>
      <w:r w:rsidR="00517ED9">
        <w:t xml:space="preserve"> primarily</w:t>
      </w:r>
      <w:r w:rsidR="00D112C8" w:rsidRPr="00D112C8">
        <w:t xml:space="preserve"> designed with </w:t>
      </w:r>
      <w:r w:rsidRPr="00D112C8">
        <w:t xml:space="preserve">prudential </w:t>
      </w:r>
      <w:r w:rsidR="00D112C8" w:rsidRPr="00D112C8">
        <w:t>supervision in mind. That means the focus of obligations is on governance, capital and other prudential requirements</w:t>
      </w:r>
      <w:r w:rsidR="00CF44DA" w:rsidRPr="00CF44DA">
        <w:t xml:space="preserve"> </w:t>
      </w:r>
      <w:r w:rsidR="00CF44DA">
        <w:t xml:space="preserve">that ensure trustees operate in a manner consistent with their best interest obligations and deliver quality </w:t>
      </w:r>
      <w:r w:rsidR="005C13F4">
        <w:t xml:space="preserve">outcomes for </w:t>
      </w:r>
      <w:r w:rsidR="00CF44DA">
        <w:t>member</w:t>
      </w:r>
      <w:r w:rsidR="005C13F4">
        <w:t>s</w:t>
      </w:r>
      <w:r w:rsidR="00D112C8" w:rsidRPr="00D112C8">
        <w:t>.</w:t>
      </w:r>
    </w:p>
    <w:p w14:paraId="7427B369" w14:textId="636BA6C3" w:rsidR="00511000" w:rsidRDefault="00ED00A9" w:rsidP="00511000">
      <w:pPr>
        <w:pStyle w:val="base-text-paragraph"/>
      </w:pPr>
      <w:r>
        <w:t>G</w:t>
      </w:r>
      <w:r w:rsidR="000F1A4A">
        <w:t xml:space="preserve">iven </w:t>
      </w:r>
      <w:r w:rsidR="001E2421">
        <w:t>the prudential</w:t>
      </w:r>
      <w:r>
        <w:t xml:space="preserve"> focus of the SIS Act,</w:t>
      </w:r>
      <w:r w:rsidR="000F1A4A">
        <w:t xml:space="preserve"> the Government has e</w:t>
      </w:r>
      <w:r>
        <w:t>xpanded</w:t>
      </w:r>
      <w:r w:rsidR="00811608">
        <w:t xml:space="preserve"> the AFSL regime </w:t>
      </w:r>
      <w:r w:rsidR="00511000">
        <w:t xml:space="preserve">to cover </w:t>
      </w:r>
      <w:r w:rsidR="000F1A4A">
        <w:t>the provision of superannuation trustee services. This</w:t>
      </w:r>
      <w:r w:rsidR="00811608">
        <w:t xml:space="preserve"> </w:t>
      </w:r>
      <w:r w:rsidR="000F1A4A">
        <w:t xml:space="preserve">is </w:t>
      </w:r>
      <w:r>
        <w:t>a simple</w:t>
      </w:r>
      <w:r w:rsidR="00511000">
        <w:t xml:space="preserve"> and </w:t>
      </w:r>
      <w:r w:rsidR="00811608">
        <w:t xml:space="preserve">effective way </w:t>
      </w:r>
      <w:r>
        <w:t>of ensuring that</w:t>
      </w:r>
      <w:r w:rsidR="00811608">
        <w:t xml:space="preserve"> ASIC </w:t>
      </w:r>
      <w:r w:rsidR="00511000">
        <w:t xml:space="preserve">has access to appropriate powers and enforcement tools, and </w:t>
      </w:r>
      <w:r w:rsidR="00811608">
        <w:t>can successfully perform its expanded role</w:t>
      </w:r>
      <w:r w:rsidR="000F1A4A">
        <w:t xml:space="preserve"> as </w:t>
      </w:r>
      <w:r w:rsidR="009F4D12">
        <w:t>the</w:t>
      </w:r>
      <w:r w:rsidR="000F1A4A">
        <w:t xml:space="preserve"> superannuation regulator</w:t>
      </w:r>
      <w:r w:rsidR="009F4D12">
        <w:t xml:space="preserve"> responsible for consumer protection and market integrity regulation</w:t>
      </w:r>
      <w:r w:rsidR="00811608">
        <w:t>.</w:t>
      </w:r>
      <w:r w:rsidR="00511000">
        <w:t xml:space="preserve"> </w:t>
      </w:r>
    </w:p>
    <w:p w14:paraId="0186ED3B" w14:textId="60E390E7" w:rsidR="00765C31" w:rsidRDefault="00811608" w:rsidP="00ED00A9">
      <w:pPr>
        <w:pStyle w:val="base-text-paragraph"/>
      </w:pPr>
      <w:r>
        <w:t xml:space="preserve">The AFSL </w:t>
      </w:r>
      <w:r w:rsidR="00512CD5">
        <w:t>regime</w:t>
      </w:r>
      <w:r>
        <w:t xml:space="preserve"> </w:t>
      </w:r>
      <w:r w:rsidR="006B5BF9">
        <w:t>promotes confident and informed decision making by consumers of financial products and services, as well as fairness, honesty and professionalism by those who provide financial services. The</w:t>
      </w:r>
      <w:r>
        <w:t xml:space="preserve"> </w:t>
      </w:r>
      <w:r w:rsidR="00512CD5">
        <w:t>regime</w:t>
      </w:r>
      <w:r>
        <w:t xml:space="preserve"> impose</w:t>
      </w:r>
      <w:r w:rsidR="00512CD5">
        <w:t>s</w:t>
      </w:r>
      <w:r>
        <w:t xml:space="preserve"> specific duties on licensees, including to provide financial services efficiently, honestly and fairly</w:t>
      </w:r>
      <w:r w:rsidR="00B646B0">
        <w:t>,</w:t>
      </w:r>
      <w:r>
        <w:t xml:space="preserve"> and comply with </w:t>
      </w:r>
      <w:r w:rsidR="00512CD5">
        <w:t xml:space="preserve">Australian </w:t>
      </w:r>
      <w:r w:rsidR="00765C31">
        <w:t xml:space="preserve">financial services laws. </w:t>
      </w:r>
      <w:r w:rsidR="00665125">
        <w:t>Currently,</w:t>
      </w:r>
      <w:r w:rsidR="00F6169B">
        <w:t xml:space="preserve"> most</w:t>
      </w:r>
      <w:r w:rsidR="00665125">
        <w:t xml:space="preserve"> s</w:t>
      </w:r>
      <w:r>
        <w:t xml:space="preserve">uperannuation trustees are required to hold an AFSL </w:t>
      </w:r>
      <w:r w:rsidR="00F6169B">
        <w:t xml:space="preserve">authorising them </w:t>
      </w:r>
      <w:r>
        <w:t xml:space="preserve">to deal in </w:t>
      </w:r>
      <w:r w:rsidR="00D80E67">
        <w:t>a superannuation interest</w:t>
      </w:r>
      <w:r w:rsidR="00F6169B">
        <w:t>. If a trustee provides other services, for example, financial product advice, its AFSL must also cover those services.</w:t>
      </w:r>
      <w:r>
        <w:t xml:space="preserve"> </w:t>
      </w:r>
    </w:p>
    <w:p w14:paraId="17E2929A" w14:textId="0E55A784" w:rsidR="00811608" w:rsidRDefault="00765C31" w:rsidP="00811608">
      <w:pPr>
        <w:pStyle w:val="base-text-paragraph"/>
      </w:pPr>
      <w:r>
        <w:t>Expanding the coverage of the AFSL regime enable</w:t>
      </w:r>
      <w:r w:rsidR="001C3636">
        <w:t>s</w:t>
      </w:r>
      <w:r w:rsidR="00811608">
        <w:t xml:space="preserve"> ASIC to enforce conduct and consumer protection obligations across a broader range of superannuation </w:t>
      </w:r>
      <w:r>
        <w:t>trustee</w:t>
      </w:r>
      <w:r w:rsidR="00811608">
        <w:t xml:space="preserve"> activities. It also provide</w:t>
      </w:r>
      <w:r>
        <w:t>s</w:t>
      </w:r>
      <w:r w:rsidR="00811608">
        <w:t xml:space="preserve"> ASIC with access to its full suite of enforcement tools, which strengthen</w:t>
      </w:r>
      <w:r w:rsidR="001C3636">
        <w:t>s</w:t>
      </w:r>
      <w:r w:rsidR="00811608">
        <w:t xml:space="preserve"> its ability to </w:t>
      </w:r>
      <w:r w:rsidR="00EA3B67">
        <w:t xml:space="preserve">deter trustee misconduct through court-based enforcement activities and to </w:t>
      </w:r>
      <w:r w:rsidR="00811608">
        <w:t xml:space="preserve">ensure fair remediation of consumers. </w:t>
      </w:r>
    </w:p>
    <w:p w14:paraId="6A1EE7AC" w14:textId="1D107F8B" w:rsidR="00811608" w:rsidRDefault="00811608" w:rsidP="00811608">
      <w:pPr>
        <w:pStyle w:val="base-text-paragraph"/>
      </w:pPr>
      <w:r>
        <w:lastRenderedPageBreak/>
        <w:t xml:space="preserve">Where possible, these changes </w:t>
      </w:r>
      <w:r w:rsidR="00765C31">
        <w:t>to the SIS Act and Corporations</w:t>
      </w:r>
      <w:r w:rsidR="00CE7B4F">
        <w:t> </w:t>
      </w:r>
      <w:r w:rsidR="00765C31">
        <w:t xml:space="preserve">Act </w:t>
      </w:r>
      <w:r w:rsidR="00752317">
        <w:t>are being</w:t>
      </w:r>
      <w:r>
        <w:t xml:space="preserve"> implemented in a way that minimise</w:t>
      </w:r>
      <w:r w:rsidR="00752317">
        <w:t>s</w:t>
      </w:r>
      <w:r>
        <w:t xml:space="preserve"> the regulatory burden and avoid</w:t>
      </w:r>
      <w:r w:rsidR="00752317">
        <w:t>s</w:t>
      </w:r>
      <w:r>
        <w:t xml:space="preserve"> additional </w:t>
      </w:r>
      <w:r w:rsidR="00752317">
        <w:t>costs</w:t>
      </w:r>
      <w:r>
        <w:t xml:space="preserve">. </w:t>
      </w:r>
    </w:p>
    <w:p w14:paraId="42C63BF5" w14:textId="77777777" w:rsidR="00B17774" w:rsidRDefault="00B17774" w:rsidP="00B17774">
      <w:pPr>
        <w:pStyle w:val="Heading2"/>
      </w:pPr>
      <w:r>
        <w:t>Summary of new law</w:t>
      </w:r>
    </w:p>
    <w:p w14:paraId="72B3F23D" w14:textId="505EFAF0" w:rsidR="009213EA" w:rsidRDefault="000A7046" w:rsidP="00ED7F61">
      <w:pPr>
        <w:pStyle w:val="base-text-paragraph"/>
        <w:numPr>
          <w:ilvl w:val="1"/>
          <w:numId w:val="23"/>
        </w:numPr>
      </w:pPr>
      <w:r>
        <w:t xml:space="preserve">Part 1 </w:t>
      </w:r>
      <w:r w:rsidR="000452A9">
        <w:t>makes adjustments to the SIS Act</w:t>
      </w:r>
      <w:r w:rsidR="000452A9" w:rsidRPr="000452A9">
        <w:t xml:space="preserve"> relating to the roles and responsibilities of superannuation industry regulators</w:t>
      </w:r>
      <w:r w:rsidR="000452A9">
        <w:t xml:space="preserve">. </w:t>
      </w:r>
      <w:r w:rsidR="00203326">
        <w:t xml:space="preserve">In line with Financial </w:t>
      </w:r>
      <w:r w:rsidR="004A2FD7">
        <w:t>Services Royal Commission recommendations 3.8, 6.3, 6.4 and 6.5, Part 1</w:t>
      </w:r>
      <w:r w:rsidR="001B3B75">
        <w:t xml:space="preserve"> </w:t>
      </w:r>
      <w:r w:rsidR="004A2FD7">
        <w:t xml:space="preserve">expands ASIC’s role in the SIS Act to include </w:t>
      </w:r>
      <w:r w:rsidR="008B1562">
        <w:t>promoting consumer protection</w:t>
      </w:r>
      <w:r w:rsidR="004A2FD7">
        <w:t xml:space="preserve"> and market </w:t>
      </w:r>
      <w:r w:rsidR="008B1562">
        <w:t>integrity</w:t>
      </w:r>
      <w:r w:rsidR="004A2FD7">
        <w:t xml:space="preserve">. </w:t>
      </w:r>
    </w:p>
    <w:p w14:paraId="210FCAF9" w14:textId="1D5CCD84" w:rsidR="0041762F" w:rsidRDefault="005227BB" w:rsidP="005227BB">
      <w:pPr>
        <w:pStyle w:val="base-text-paragraph"/>
        <w:numPr>
          <w:ilvl w:val="1"/>
          <w:numId w:val="23"/>
        </w:numPr>
      </w:pPr>
      <w:r>
        <w:t>An outcome of this change is that APRA and ASIC now share general administration</w:t>
      </w:r>
      <w:r w:rsidR="008D449D" w:rsidRPr="008D449D">
        <w:t xml:space="preserve"> </w:t>
      </w:r>
      <w:r w:rsidR="008D449D">
        <w:t>of</w:t>
      </w:r>
      <w:r>
        <w:t>, or c</w:t>
      </w:r>
      <w:r w:rsidR="009200A1">
        <w:t xml:space="preserve">o-regulate, </w:t>
      </w:r>
      <w:r w:rsidR="008D449D">
        <w:t xml:space="preserve">the </w:t>
      </w:r>
      <w:r w:rsidR="009200A1">
        <w:t>SIS Act provisions</w:t>
      </w:r>
      <w:r w:rsidR="00FB2552">
        <w:t xml:space="preserve"> that</w:t>
      </w:r>
      <w:r>
        <w:t xml:space="preserve"> have consumer protection</w:t>
      </w:r>
      <w:r w:rsidR="008A3DCB">
        <w:t xml:space="preserve"> and</w:t>
      </w:r>
      <w:r w:rsidR="00913EEC">
        <w:t xml:space="preserve"> member</w:t>
      </w:r>
      <w:r>
        <w:t xml:space="preserve"> outcomes as their touchstone. </w:t>
      </w:r>
      <w:r w:rsidR="00CF59EB">
        <w:t>T</w:t>
      </w:r>
      <w:r w:rsidR="00230258">
        <w:t>hese co</w:t>
      </w:r>
      <w:r w:rsidR="00230258">
        <w:noBreakHyphen/>
      </w:r>
      <w:r w:rsidR="00E4239A">
        <w:t xml:space="preserve">regulated provisions are either civil penalty provisions or provisions that are otherwise enforceable. </w:t>
      </w:r>
    </w:p>
    <w:p w14:paraId="1382A809" w14:textId="4EA7B315" w:rsidR="00E4239A" w:rsidRDefault="00E4239A" w:rsidP="005227BB">
      <w:pPr>
        <w:pStyle w:val="base-text-paragraph"/>
        <w:numPr>
          <w:ilvl w:val="1"/>
          <w:numId w:val="23"/>
        </w:numPr>
      </w:pPr>
      <w:r>
        <w:t xml:space="preserve">Consistent with </w:t>
      </w:r>
      <w:r w:rsidR="008400A3">
        <w:t xml:space="preserve">Financial Services Royal Commission </w:t>
      </w:r>
      <w:r>
        <w:t xml:space="preserve">recommendation 6.4, provisions </w:t>
      </w:r>
      <w:r w:rsidR="008400A3">
        <w:t xml:space="preserve">with a consumer protection focus </w:t>
      </w:r>
      <w:r>
        <w:t xml:space="preserve">that become </w:t>
      </w:r>
      <w:r w:rsidR="00AB7B75">
        <w:t xml:space="preserve">enforceable </w:t>
      </w:r>
      <w:r>
        <w:t xml:space="preserve">provisions </w:t>
      </w:r>
      <w:r w:rsidR="008400A3">
        <w:t xml:space="preserve">in the future </w:t>
      </w:r>
      <w:r>
        <w:t xml:space="preserve">should </w:t>
      </w:r>
      <w:r w:rsidR="008400A3">
        <w:t xml:space="preserve">also </w:t>
      </w:r>
      <w:r>
        <w:t>be co-regulated by APRA and ASIC</w:t>
      </w:r>
      <w:r w:rsidR="008400A3">
        <w:t xml:space="preserve">. </w:t>
      </w:r>
    </w:p>
    <w:p w14:paraId="27073559" w14:textId="77777777" w:rsidR="007E0D9A" w:rsidRDefault="007E0D9A" w:rsidP="007E0D9A">
      <w:pPr>
        <w:pStyle w:val="base-text-paragraph"/>
        <w:numPr>
          <w:ilvl w:val="1"/>
          <w:numId w:val="23"/>
        </w:numPr>
      </w:pPr>
      <w:r>
        <w:t xml:space="preserve">The role of the Commissioner of Taxation has not changed. </w:t>
      </w:r>
    </w:p>
    <w:p w14:paraId="4A326FE3" w14:textId="6898087A" w:rsidR="001B3B75" w:rsidRDefault="005227BB" w:rsidP="0041762F">
      <w:pPr>
        <w:pStyle w:val="base-text-paragraph"/>
        <w:numPr>
          <w:ilvl w:val="1"/>
          <w:numId w:val="23"/>
        </w:numPr>
      </w:pPr>
      <w:r>
        <w:t xml:space="preserve">Part 1 introduces </w:t>
      </w:r>
      <w:r w:rsidR="00B73B90">
        <w:t xml:space="preserve">general improvements to section 6 </w:t>
      </w:r>
      <w:r w:rsidR="00D4568B">
        <w:t>of the SIS</w:t>
      </w:r>
      <w:r w:rsidR="00707CD8">
        <w:t> </w:t>
      </w:r>
      <w:r w:rsidR="00D4568B">
        <w:t xml:space="preserve">Act and related provisions </w:t>
      </w:r>
      <w:r w:rsidR="00B73B90">
        <w:t xml:space="preserve">to modernise and simplify </w:t>
      </w:r>
      <w:r w:rsidR="00D4568B">
        <w:t>the allocation of the general administration of provisions</w:t>
      </w:r>
      <w:r w:rsidR="00B73B90">
        <w:t xml:space="preserve">. The general administration of a provision of the SIS Act is now determined under the general administration table. The </w:t>
      </w:r>
      <w:r w:rsidR="00D4568B">
        <w:t>new tabular structure of subsection 6(1) improves the readability and accessibility of t</w:t>
      </w:r>
      <w:r w:rsidR="00B93B82">
        <w:t xml:space="preserve">he information in the provision. </w:t>
      </w:r>
    </w:p>
    <w:p w14:paraId="304A04C9" w14:textId="77777777" w:rsidR="003D7294" w:rsidRDefault="003D7294" w:rsidP="00194096">
      <w:pPr>
        <w:pStyle w:val="base-text-paragraph"/>
      </w:pPr>
      <w:r>
        <w:t xml:space="preserve">Part 2 </w:t>
      </w:r>
      <w:r w:rsidR="009213EA">
        <w:t xml:space="preserve">extends the AFSL regime to cover a broader range of activities undertaken by APRA-regulated superannuation trustees. </w:t>
      </w:r>
      <w:r>
        <w:t>It does this by creating a new financial service – providing a superannuation trustee service. A person provides a superannuation trustee service if they operate an RSE.</w:t>
      </w:r>
    </w:p>
    <w:p w14:paraId="24698C15" w14:textId="0B5EABBB" w:rsidR="00420559" w:rsidRDefault="003D7294" w:rsidP="00194096">
      <w:pPr>
        <w:pStyle w:val="base-text-paragraph"/>
      </w:pPr>
      <w:r>
        <w:t xml:space="preserve">In </w:t>
      </w:r>
      <w:r w:rsidR="0004798D">
        <w:t>general terms</w:t>
      </w:r>
      <w:r>
        <w:t>, this means</w:t>
      </w:r>
      <w:r w:rsidR="00DF6FE3">
        <w:t xml:space="preserve"> that </w:t>
      </w:r>
      <w:r w:rsidR="001D0F36">
        <w:t>each RSE licensee</w:t>
      </w:r>
      <w:r w:rsidR="00DF6FE3">
        <w:t xml:space="preserve"> must hold an AFSL authorising </w:t>
      </w:r>
      <w:r w:rsidR="001D0F36">
        <w:t xml:space="preserve">it </w:t>
      </w:r>
      <w:r w:rsidR="009213EA">
        <w:t>to</w:t>
      </w:r>
      <w:r w:rsidR="00DF6FE3">
        <w:t xml:space="preserve"> provide a superannuation trustee service, which captures all </w:t>
      </w:r>
      <w:r w:rsidR="00E359AB">
        <w:t>a</w:t>
      </w:r>
      <w:r w:rsidR="00DF6FE3">
        <w:t>ctivities</w:t>
      </w:r>
      <w:r w:rsidR="00E359AB">
        <w:t xml:space="preserve"> involved</w:t>
      </w:r>
      <w:r w:rsidR="00DF6FE3">
        <w:t xml:space="preserve"> in</w:t>
      </w:r>
      <w:r w:rsidR="009213EA">
        <w:t xml:space="preserve"> operat</w:t>
      </w:r>
      <w:r w:rsidR="00DF6FE3">
        <w:t>ing a superannuation fund</w:t>
      </w:r>
      <w:r w:rsidR="009213EA">
        <w:t>.</w:t>
      </w:r>
      <w:r w:rsidR="00806668">
        <w:t xml:space="preserve"> </w:t>
      </w:r>
      <w:r w:rsidR="00420559">
        <w:t>Examples of the activities intended to be covered include fee charging</w:t>
      </w:r>
      <w:r w:rsidR="001D0F36">
        <w:t xml:space="preserve"> practices</w:t>
      </w:r>
      <w:r w:rsidR="00420559">
        <w:t xml:space="preserve">, investment selection, product changes, oversight of service providers, </w:t>
      </w:r>
      <w:r w:rsidR="003A6070">
        <w:t xml:space="preserve">insurance claims handling, </w:t>
      </w:r>
      <w:r w:rsidR="00420559">
        <w:t>and transfer, payment and rollover</w:t>
      </w:r>
      <w:r w:rsidR="001D0F36">
        <w:t xml:space="preserve"> practices</w:t>
      </w:r>
      <w:r w:rsidR="00420559">
        <w:t>.</w:t>
      </w:r>
    </w:p>
    <w:p w14:paraId="0FB528DB" w14:textId="406FF6AC" w:rsidR="00DF6FE3" w:rsidRDefault="00806668" w:rsidP="00194096">
      <w:pPr>
        <w:pStyle w:val="base-text-paragraph"/>
      </w:pPr>
      <w:r>
        <w:lastRenderedPageBreak/>
        <w:t>In turn, the AFSL obligations apply in full to these activities from 1 July 2020.</w:t>
      </w:r>
      <w:r w:rsidR="00420559">
        <w:t xml:space="preserve"> </w:t>
      </w:r>
      <w:r>
        <w:t xml:space="preserve">A superannuation trustee service will generally be provided to the beneficiaries of a superannuation fund, which in turn constitutes the provision of a financial service to a retail client. This engages certain additional protections and obligations under Chapter 7 of the </w:t>
      </w:r>
      <w:r w:rsidRPr="00362DFA">
        <w:t>Corporations Act</w:t>
      </w:r>
      <w:r>
        <w:t>.</w:t>
      </w:r>
    </w:p>
    <w:p w14:paraId="56CB0A03" w14:textId="3DF7B34C" w:rsidR="00806668" w:rsidRDefault="00806668" w:rsidP="00194096">
      <w:pPr>
        <w:pStyle w:val="base-text-paragraph"/>
      </w:pPr>
      <w:r>
        <w:t xml:space="preserve">Part 2 </w:t>
      </w:r>
      <w:r w:rsidR="0093316A">
        <w:t xml:space="preserve">also </w:t>
      </w:r>
      <w:r>
        <w:t xml:space="preserve">introduces requirements for ASIC to </w:t>
      </w:r>
      <w:r w:rsidR="00761A25">
        <w:t>obtain APRA’s agreement before taking certain actions affecting RSE licensees, reflecting the changes this Bill makes to the framework for superannuation regulation. These requirements apply to the cancellation of an AFSL, the imposition of certain licence conditions and the making of certain banning orders.</w:t>
      </w:r>
    </w:p>
    <w:p w14:paraId="5D4363DD" w14:textId="19358AC6" w:rsidR="003A6070" w:rsidRDefault="00E63D5F" w:rsidP="00E63D5F">
      <w:pPr>
        <w:pStyle w:val="base-text-paragraph"/>
      </w:pPr>
      <w:r>
        <w:t xml:space="preserve">In the context of the extension of the AFSL regime’s coverage over superannuation, Part 2 amends </w:t>
      </w:r>
      <w:r w:rsidR="00C20376">
        <w:t xml:space="preserve">the SIS Act’s existing indemnification rules </w:t>
      </w:r>
      <w:r>
        <w:t xml:space="preserve">to </w:t>
      </w:r>
      <w:r w:rsidR="001C5C43">
        <w:t>prevent</w:t>
      </w:r>
      <w:r w:rsidR="003A6070">
        <w:t xml:space="preserve"> </w:t>
      </w:r>
      <w:r w:rsidR="00C20376">
        <w:t xml:space="preserve">superannuation </w:t>
      </w:r>
      <w:r w:rsidR="003A6070">
        <w:t xml:space="preserve">trustees and </w:t>
      </w:r>
      <w:r w:rsidR="00C20376">
        <w:t xml:space="preserve">their </w:t>
      </w:r>
      <w:r w:rsidR="003A6070">
        <w:t xml:space="preserve">directors </w:t>
      </w:r>
      <w:r w:rsidR="001C5C43">
        <w:t>from using</w:t>
      </w:r>
      <w:r w:rsidR="003A6070">
        <w:t xml:space="preserve"> trust assets to pay criminal, civil or administrative penalt</w:t>
      </w:r>
      <w:r w:rsidR="008938A7">
        <w:t>ies</w:t>
      </w:r>
      <w:r w:rsidR="003A6070">
        <w:t xml:space="preserve"> incurred in relation to a contravention of a</w:t>
      </w:r>
      <w:r>
        <w:t>ny</w:t>
      </w:r>
      <w:r w:rsidR="003A6070">
        <w:t xml:space="preserve"> Commonwealth law. </w:t>
      </w:r>
    </w:p>
    <w:p w14:paraId="11D0577A" w14:textId="479B46C9" w:rsidR="00761A25" w:rsidRDefault="00761A25" w:rsidP="00761A25">
      <w:pPr>
        <w:numPr>
          <w:ilvl w:val="1"/>
          <w:numId w:val="4"/>
        </w:numPr>
      </w:pPr>
      <w:r>
        <w:t>Part 2 also applies the consumer protections for financial services under the ASIC Act to the expanded range of trustee activities captured by the extension o</w:t>
      </w:r>
      <w:r w:rsidR="00E359AB">
        <w:t>f</w:t>
      </w:r>
      <w:r>
        <w:t xml:space="preserve"> the AFSL regime.</w:t>
      </w:r>
    </w:p>
    <w:p w14:paraId="325E85E1" w14:textId="4608D6EC" w:rsidR="00761A25" w:rsidRDefault="00761A25" w:rsidP="00761A25">
      <w:pPr>
        <w:pStyle w:val="base-text-paragraph"/>
        <w:numPr>
          <w:ilvl w:val="1"/>
          <w:numId w:val="22"/>
        </w:numPr>
      </w:pPr>
      <w:r>
        <w:t xml:space="preserve">The Bill contains a number of transitional provisions concerning the extension of the AFSL regime’s coverage </w:t>
      </w:r>
      <w:r w:rsidR="008938A7">
        <w:t>of</w:t>
      </w:r>
      <w:r>
        <w:t xml:space="preserve"> superannuation trustee services. E</w:t>
      </w:r>
      <w:r w:rsidR="008938A7">
        <w:t>xisting RSE licensee</w:t>
      </w:r>
      <w:r w:rsidR="00C56750">
        <w:t>s</w:t>
      </w:r>
      <w:r w:rsidR="008938A7">
        <w:t xml:space="preserve"> who</w:t>
      </w:r>
      <w:r>
        <w:t xml:space="preserve"> already hold an AFSL authorising </w:t>
      </w:r>
      <w:r w:rsidR="00C56750">
        <w:t>them</w:t>
      </w:r>
      <w:r w:rsidR="008938A7">
        <w:t xml:space="preserve"> </w:t>
      </w:r>
      <w:r>
        <w:t xml:space="preserve">to deal in a superannuation </w:t>
      </w:r>
      <w:r w:rsidR="006A6852">
        <w:t>interest</w:t>
      </w:r>
      <w:r>
        <w:t xml:space="preserve"> do not need to apply for the new authorisation, and the remainder of existing RSE licensees only need to meet the application requirements in respect of dea</w:t>
      </w:r>
      <w:r w:rsidR="006A6852">
        <w:t>ling in a superannuation interest</w:t>
      </w:r>
      <w:r>
        <w:t>.</w:t>
      </w:r>
    </w:p>
    <w:p w14:paraId="2282C17F" w14:textId="77777777" w:rsidR="00B17774" w:rsidRDefault="00B17774" w:rsidP="00B17774">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2"/>
        <w:gridCol w:w="3215"/>
      </w:tblGrid>
      <w:tr w:rsidR="00B17774" w:rsidRPr="004666B8" w14:paraId="2B2DB416" w14:textId="77777777" w:rsidTr="00750567">
        <w:tc>
          <w:tcPr>
            <w:tcW w:w="3202" w:type="dxa"/>
          </w:tcPr>
          <w:p w14:paraId="0D45FB9B" w14:textId="77777777" w:rsidR="00B17774" w:rsidRPr="004666B8" w:rsidRDefault="00B17774" w:rsidP="009A4048">
            <w:pPr>
              <w:pStyle w:val="tableheaderwithintable"/>
              <w:rPr>
                <w:lang w:val="en-US" w:eastAsia="en-US"/>
              </w:rPr>
            </w:pPr>
            <w:r w:rsidRPr="004666B8">
              <w:rPr>
                <w:lang w:val="en-US" w:eastAsia="en-US"/>
              </w:rPr>
              <w:t>New law</w:t>
            </w:r>
          </w:p>
        </w:tc>
        <w:tc>
          <w:tcPr>
            <w:tcW w:w="3215" w:type="dxa"/>
          </w:tcPr>
          <w:p w14:paraId="50D23450" w14:textId="77777777" w:rsidR="00B17774" w:rsidRPr="004666B8" w:rsidRDefault="00B17774" w:rsidP="009A4048">
            <w:pPr>
              <w:pStyle w:val="tableheaderwithintable"/>
              <w:rPr>
                <w:lang w:val="en-US" w:eastAsia="en-US"/>
              </w:rPr>
            </w:pPr>
            <w:r w:rsidRPr="004666B8">
              <w:rPr>
                <w:lang w:val="en-US" w:eastAsia="en-US"/>
              </w:rPr>
              <w:t>Current law</w:t>
            </w:r>
          </w:p>
        </w:tc>
      </w:tr>
      <w:tr w:rsidR="00EE3D33" w:rsidRPr="004666B8" w14:paraId="1C5AD7AA" w14:textId="77777777" w:rsidTr="00D062F8">
        <w:tc>
          <w:tcPr>
            <w:tcW w:w="6417" w:type="dxa"/>
            <w:gridSpan w:val="2"/>
          </w:tcPr>
          <w:p w14:paraId="420A3332" w14:textId="33DCE75C" w:rsidR="00EE3D33" w:rsidRPr="00EE3D33" w:rsidRDefault="00EE3D33" w:rsidP="00EE3D33">
            <w:pPr>
              <w:pStyle w:val="tabletext"/>
              <w:jc w:val="center"/>
              <w:rPr>
                <w:b/>
                <w:i/>
                <w:lang w:val="en-US" w:eastAsia="en-US"/>
              </w:rPr>
            </w:pPr>
            <w:r w:rsidRPr="00EE3D33">
              <w:rPr>
                <w:b/>
                <w:i/>
                <w:lang w:val="en-US" w:eastAsia="en-US"/>
              </w:rPr>
              <w:t>General administration of the SIS Act</w:t>
            </w:r>
          </w:p>
        </w:tc>
      </w:tr>
      <w:tr w:rsidR="00075B1A" w:rsidRPr="004666B8" w14:paraId="4F398D04" w14:textId="77777777" w:rsidTr="00750567">
        <w:tc>
          <w:tcPr>
            <w:tcW w:w="3202" w:type="dxa"/>
          </w:tcPr>
          <w:p w14:paraId="10DAD22E" w14:textId="35561EA7" w:rsidR="00075B1A" w:rsidRDefault="00075B1A" w:rsidP="00075B1A">
            <w:pPr>
              <w:pStyle w:val="tabletext"/>
              <w:rPr>
                <w:lang w:val="en-US" w:eastAsia="en-US"/>
              </w:rPr>
            </w:pPr>
            <w:r w:rsidRPr="00075B1A">
              <w:rPr>
                <w:lang w:val="en-US" w:eastAsia="en-US"/>
              </w:rPr>
              <w:t xml:space="preserve">ASIC’s role in superannuation </w:t>
            </w:r>
            <w:r>
              <w:rPr>
                <w:lang w:val="en-US" w:eastAsia="en-US"/>
              </w:rPr>
              <w:t xml:space="preserve">is expanded </w:t>
            </w:r>
            <w:r w:rsidRPr="00075B1A">
              <w:rPr>
                <w:lang w:val="en-US" w:eastAsia="en-US"/>
              </w:rPr>
              <w:t xml:space="preserve">to include protecting consumers from harm and market </w:t>
            </w:r>
            <w:r>
              <w:rPr>
                <w:lang w:val="en-US" w:eastAsia="en-US"/>
              </w:rPr>
              <w:t>mis</w:t>
            </w:r>
            <w:r w:rsidRPr="00075B1A">
              <w:rPr>
                <w:lang w:val="en-US" w:eastAsia="en-US"/>
              </w:rPr>
              <w:t xml:space="preserve">conduct. ASIC is now generally responsible for consumer protection, market integrity, disclosure and </w:t>
            </w:r>
            <w:r>
              <w:rPr>
                <w:lang w:val="en-US" w:eastAsia="en-US"/>
              </w:rPr>
              <w:t>the</w:t>
            </w:r>
            <w:r w:rsidRPr="00075B1A">
              <w:rPr>
                <w:lang w:val="en-US" w:eastAsia="en-US"/>
              </w:rPr>
              <w:t xml:space="preserve"> keeping</w:t>
            </w:r>
            <w:r>
              <w:rPr>
                <w:lang w:val="en-US" w:eastAsia="en-US"/>
              </w:rPr>
              <w:t xml:space="preserve"> of reports</w:t>
            </w:r>
            <w:r w:rsidRPr="00075B1A">
              <w:rPr>
                <w:lang w:val="en-US" w:eastAsia="en-US"/>
              </w:rPr>
              <w:t>.</w:t>
            </w:r>
          </w:p>
        </w:tc>
        <w:tc>
          <w:tcPr>
            <w:tcW w:w="3215" w:type="dxa"/>
          </w:tcPr>
          <w:p w14:paraId="30104879" w14:textId="28CBF518" w:rsidR="00075B1A" w:rsidRPr="00075B1A" w:rsidRDefault="00075B1A" w:rsidP="00075B1A">
            <w:pPr>
              <w:pStyle w:val="tabletext"/>
              <w:rPr>
                <w:lang w:val="en-US" w:eastAsia="en-US"/>
              </w:rPr>
            </w:pPr>
            <w:r w:rsidRPr="00075B1A">
              <w:rPr>
                <w:lang w:val="en-US" w:eastAsia="en-US"/>
              </w:rPr>
              <w:t xml:space="preserve">ASIC’s role is generally limited to matters of disclosure and </w:t>
            </w:r>
            <w:r>
              <w:rPr>
                <w:lang w:val="en-US" w:eastAsia="en-US"/>
              </w:rPr>
              <w:t xml:space="preserve">the </w:t>
            </w:r>
            <w:r w:rsidRPr="00075B1A">
              <w:rPr>
                <w:lang w:val="en-US" w:eastAsia="en-US"/>
              </w:rPr>
              <w:t>keeping</w:t>
            </w:r>
            <w:r>
              <w:rPr>
                <w:lang w:val="en-US" w:eastAsia="en-US"/>
              </w:rPr>
              <w:t xml:space="preserve"> of reports</w:t>
            </w:r>
            <w:r w:rsidRPr="00075B1A">
              <w:rPr>
                <w:lang w:val="en-US" w:eastAsia="en-US"/>
              </w:rPr>
              <w:t xml:space="preserve">. </w:t>
            </w:r>
          </w:p>
          <w:p w14:paraId="35BDD8F9" w14:textId="77777777" w:rsidR="00075B1A" w:rsidRPr="004666B8" w:rsidRDefault="00075B1A" w:rsidP="009A4048">
            <w:pPr>
              <w:pStyle w:val="tabletext"/>
              <w:rPr>
                <w:lang w:val="en-US" w:eastAsia="en-US"/>
              </w:rPr>
            </w:pPr>
          </w:p>
        </w:tc>
      </w:tr>
      <w:tr w:rsidR="00127627" w:rsidRPr="004666B8" w14:paraId="46D88F60" w14:textId="77777777" w:rsidTr="00750567">
        <w:tc>
          <w:tcPr>
            <w:tcW w:w="3202" w:type="dxa"/>
          </w:tcPr>
          <w:p w14:paraId="53C0C01C" w14:textId="2A916589" w:rsidR="00127627" w:rsidRPr="004666B8" w:rsidRDefault="003D0518" w:rsidP="009A4048">
            <w:pPr>
              <w:pStyle w:val="tabletext"/>
              <w:rPr>
                <w:lang w:val="en-US" w:eastAsia="en-US"/>
              </w:rPr>
            </w:pPr>
            <w:r w:rsidRPr="003D0518">
              <w:rPr>
                <w:lang w:val="en-US" w:eastAsia="en-US"/>
              </w:rPr>
              <w:lastRenderedPageBreak/>
              <w:t xml:space="preserve">APRA and ASIC </w:t>
            </w:r>
            <w:r w:rsidR="004A3664">
              <w:rPr>
                <w:lang w:val="en-US" w:eastAsia="en-US"/>
              </w:rPr>
              <w:t>share general administration of</w:t>
            </w:r>
            <w:r w:rsidRPr="003D0518">
              <w:rPr>
                <w:lang w:val="en-US" w:eastAsia="en-US"/>
              </w:rPr>
              <w:t xml:space="preserve"> SIS Act provisions which have consumer protection and </w:t>
            </w:r>
            <w:r w:rsidR="00547A7D">
              <w:rPr>
                <w:lang w:val="en-US" w:eastAsia="en-US"/>
              </w:rPr>
              <w:t>member</w:t>
            </w:r>
            <w:r w:rsidRPr="003D0518">
              <w:rPr>
                <w:lang w:val="en-US" w:eastAsia="en-US"/>
              </w:rPr>
              <w:t xml:space="preserve"> outcomes as their touchstone. These co-regulated provisions are either civil penalty provisions or provisions that are otherwise enforceable.</w:t>
            </w:r>
          </w:p>
        </w:tc>
        <w:tc>
          <w:tcPr>
            <w:tcW w:w="3215" w:type="dxa"/>
          </w:tcPr>
          <w:p w14:paraId="2496C38C" w14:textId="15AD008C" w:rsidR="00127627" w:rsidRPr="004666B8" w:rsidRDefault="00FF625F" w:rsidP="009A4048">
            <w:pPr>
              <w:pStyle w:val="tabletext"/>
              <w:rPr>
                <w:lang w:val="en-US" w:eastAsia="en-US"/>
              </w:rPr>
            </w:pPr>
            <w:r w:rsidRPr="00075B1A">
              <w:rPr>
                <w:lang w:val="en-US" w:eastAsia="en-US"/>
              </w:rPr>
              <w:t>ASIC</w:t>
            </w:r>
            <w:r>
              <w:rPr>
                <w:lang w:val="en-US" w:eastAsia="en-US"/>
              </w:rPr>
              <w:t xml:space="preserve"> has general administration of provisions concerning</w:t>
            </w:r>
            <w:r w:rsidRPr="00075B1A">
              <w:rPr>
                <w:lang w:val="en-US" w:eastAsia="en-US"/>
              </w:rPr>
              <w:t xml:space="preserve"> disclosure and </w:t>
            </w:r>
            <w:r>
              <w:rPr>
                <w:lang w:val="en-US" w:eastAsia="en-US"/>
              </w:rPr>
              <w:t xml:space="preserve">the </w:t>
            </w:r>
            <w:r w:rsidRPr="00075B1A">
              <w:rPr>
                <w:lang w:val="en-US" w:eastAsia="en-US"/>
              </w:rPr>
              <w:t>keeping</w:t>
            </w:r>
            <w:r>
              <w:rPr>
                <w:lang w:val="en-US" w:eastAsia="en-US"/>
              </w:rPr>
              <w:t xml:space="preserve"> of reports</w:t>
            </w:r>
            <w:r w:rsidRPr="00075B1A">
              <w:rPr>
                <w:lang w:val="en-US" w:eastAsia="en-US"/>
              </w:rPr>
              <w:t>.</w:t>
            </w:r>
            <w:r>
              <w:rPr>
                <w:lang w:val="en-US" w:eastAsia="en-US"/>
              </w:rPr>
              <w:t xml:space="preserve"> </w:t>
            </w:r>
          </w:p>
        </w:tc>
      </w:tr>
      <w:tr w:rsidR="00127627" w:rsidRPr="004666B8" w14:paraId="1AD93ADB" w14:textId="77777777" w:rsidTr="00750567">
        <w:tc>
          <w:tcPr>
            <w:tcW w:w="3202" w:type="dxa"/>
          </w:tcPr>
          <w:p w14:paraId="7098428E" w14:textId="5F9054B7" w:rsidR="00127627" w:rsidRPr="004666B8" w:rsidRDefault="007B7BFB" w:rsidP="009A4048">
            <w:pPr>
              <w:pStyle w:val="tabletext"/>
              <w:rPr>
                <w:lang w:val="en-US" w:eastAsia="en-US"/>
              </w:rPr>
            </w:pPr>
            <w:r>
              <w:rPr>
                <w:lang w:val="en-US" w:eastAsia="en-US"/>
              </w:rPr>
              <w:t>S</w:t>
            </w:r>
            <w:r w:rsidR="00300D07" w:rsidRPr="00300D07">
              <w:rPr>
                <w:lang w:val="en-US" w:eastAsia="en-US"/>
              </w:rPr>
              <w:t xml:space="preserve">ection 6 of the SIS Act and related provisions </w:t>
            </w:r>
            <w:r>
              <w:rPr>
                <w:lang w:val="en-US" w:eastAsia="en-US"/>
              </w:rPr>
              <w:t xml:space="preserve">are </w:t>
            </w:r>
            <w:proofErr w:type="spellStart"/>
            <w:r w:rsidR="00300D07" w:rsidRPr="00300D07">
              <w:rPr>
                <w:lang w:val="en-US" w:eastAsia="en-US"/>
              </w:rPr>
              <w:t>modernise</w:t>
            </w:r>
            <w:r>
              <w:rPr>
                <w:lang w:val="en-US" w:eastAsia="en-US"/>
              </w:rPr>
              <w:t>d</w:t>
            </w:r>
            <w:proofErr w:type="spellEnd"/>
            <w:r w:rsidR="00300D07" w:rsidRPr="00300D07">
              <w:rPr>
                <w:lang w:val="en-US" w:eastAsia="en-US"/>
              </w:rPr>
              <w:t xml:space="preserve"> and </w:t>
            </w:r>
            <w:r>
              <w:rPr>
                <w:lang w:val="en-US" w:eastAsia="en-US"/>
              </w:rPr>
              <w:t>simplified</w:t>
            </w:r>
            <w:r w:rsidR="00300D07" w:rsidRPr="00300D07">
              <w:rPr>
                <w:lang w:val="en-US" w:eastAsia="en-US"/>
              </w:rPr>
              <w:t xml:space="preserve">. The general administration of a provision of the SIS Act is now determined under the general administration </w:t>
            </w:r>
            <w:r w:rsidR="00813E83">
              <w:rPr>
                <w:lang w:val="en-US" w:eastAsia="en-US"/>
              </w:rPr>
              <w:t>table.</w:t>
            </w:r>
          </w:p>
        </w:tc>
        <w:tc>
          <w:tcPr>
            <w:tcW w:w="3215" w:type="dxa"/>
          </w:tcPr>
          <w:p w14:paraId="1C3E3DE5" w14:textId="7033F972" w:rsidR="00127627" w:rsidRPr="004666B8" w:rsidRDefault="005E0143" w:rsidP="009A4048">
            <w:pPr>
              <w:pStyle w:val="tabletext"/>
              <w:rPr>
                <w:lang w:val="en-US" w:eastAsia="en-US"/>
              </w:rPr>
            </w:pPr>
            <w:r>
              <w:rPr>
                <w:lang w:val="en-US" w:eastAsia="en-US"/>
              </w:rPr>
              <w:t xml:space="preserve">Section 6 of the SIS Act is </w:t>
            </w:r>
            <w:r>
              <w:t>confusing and opaque</w:t>
            </w:r>
            <w:r w:rsidR="00411794">
              <w:t xml:space="preserve">; its </w:t>
            </w:r>
            <w:r>
              <w:t>structure makes it difficult to identify which regulator is responsible for a particular provision.</w:t>
            </w:r>
          </w:p>
        </w:tc>
      </w:tr>
      <w:tr w:rsidR="00EE3D33" w:rsidRPr="004666B8" w14:paraId="5C2B0825" w14:textId="77777777" w:rsidTr="00D062F8">
        <w:tc>
          <w:tcPr>
            <w:tcW w:w="6417" w:type="dxa"/>
            <w:gridSpan w:val="2"/>
          </w:tcPr>
          <w:p w14:paraId="75A1D310" w14:textId="0F0C8ABC" w:rsidR="00EE3D33" w:rsidRPr="00EE3D33" w:rsidRDefault="00EE3D33" w:rsidP="00EE3D33">
            <w:pPr>
              <w:pStyle w:val="tabletext"/>
              <w:jc w:val="center"/>
              <w:rPr>
                <w:b/>
                <w:i/>
                <w:lang w:val="en-US" w:eastAsia="en-US"/>
              </w:rPr>
            </w:pPr>
            <w:r w:rsidRPr="00EE3D33">
              <w:rPr>
                <w:b/>
                <w:i/>
                <w:lang w:val="en-US" w:eastAsia="en-US"/>
              </w:rPr>
              <w:t xml:space="preserve">Extended AFSL coverage  </w:t>
            </w:r>
          </w:p>
        </w:tc>
      </w:tr>
      <w:tr w:rsidR="009213EA" w:rsidRPr="004666B8" w14:paraId="48160435" w14:textId="77777777" w:rsidTr="00750567">
        <w:tc>
          <w:tcPr>
            <w:tcW w:w="3202" w:type="dxa"/>
          </w:tcPr>
          <w:p w14:paraId="284D669F" w14:textId="238160A5" w:rsidR="009213EA" w:rsidRPr="004666B8" w:rsidRDefault="00AF3331" w:rsidP="00904FA9">
            <w:pPr>
              <w:pStyle w:val="tabletext"/>
              <w:rPr>
                <w:lang w:val="en-US" w:eastAsia="en-US"/>
              </w:rPr>
            </w:pPr>
            <w:r>
              <w:rPr>
                <w:lang w:val="en-US" w:eastAsia="en-US"/>
              </w:rPr>
              <w:t>An RSE licensee</w:t>
            </w:r>
            <w:r w:rsidR="009213EA">
              <w:rPr>
                <w:lang w:val="en-US" w:eastAsia="en-US"/>
              </w:rPr>
              <w:t xml:space="preserve"> must also hold an AFSL to </w:t>
            </w:r>
            <w:r w:rsidR="00904FA9">
              <w:rPr>
                <w:lang w:val="en-US" w:eastAsia="en-US"/>
              </w:rPr>
              <w:t xml:space="preserve">provide a superannuation trustee service, which covers the </w:t>
            </w:r>
            <w:r w:rsidR="009213EA">
              <w:rPr>
                <w:lang w:val="en-US" w:eastAsia="en-US"/>
              </w:rPr>
              <w:t>operat</w:t>
            </w:r>
            <w:r w:rsidR="00904FA9">
              <w:rPr>
                <w:lang w:val="en-US" w:eastAsia="en-US"/>
              </w:rPr>
              <w:t>ion of</w:t>
            </w:r>
            <w:r w:rsidR="009213EA">
              <w:rPr>
                <w:lang w:val="en-US" w:eastAsia="en-US"/>
              </w:rPr>
              <w:t xml:space="preserve"> an RSE</w:t>
            </w:r>
            <w:r w:rsidR="00904FA9">
              <w:rPr>
                <w:lang w:val="en-US" w:eastAsia="en-US"/>
              </w:rPr>
              <w:t xml:space="preserve"> as trustee</w:t>
            </w:r>
            <w:r w:rsidR="009213EA">
              <w:rPr>
                <w:lang w:val="en-US" w:eastAsia="en-US"/>
              </w:rPr>
              <w:t xml:space="preserve">. </w:t>
            </w:r>
          </w:p>
        </w:tc>
        <w:tc>
          <w:tcPr>
            <w:tcW w:w="3215" w:type="dxa"/>
          </w:tcPr>
          <w:p w14:paraId="3C66A007" w14:textId="5A7591EB" w:rsidR="009213EA" w:rsidRPr="004666B8" w:rsidRDefault="00AF3331" w:rsidP="006D33D5">
            <w:pPr>
              <w:pStyle w:val="tabletext"/>
              <w:rPr>
                <w:lang w:val="en-US" w:eastAsia="en-US"/>
              </w:rPr>
            </w:pPr>
            <w:r>
              <w:rPr>
                <w:lang w:val="en-US" w:eastAsia="en-US"/>
              </w:rPr>
              <w:t>An RSE licensee</w:t>
            </w:r>
            <w:r w:rsidR="009213EA">
              <w:rPr>
                <w:lang w:val="en-US" w:eastAsia="en-US"/>
              </w:rPr>
              <w:t xml:space="preserve"> must hold an AFSL to deal in </w:t>
            </w:r>
            <w:r w:rsidR="00BB22C3">
              <w:rPr>
                <w:lang w:val="en-US" w:eastAsia="en-US"/>
              </w:rPr>
              <w:t xml:space="preserve">a </w:t>
            </w:r>
            <w:r w:rsidR="009213EA">
              <w:rPr>
                <w:lang w:val="en-US" w:eastAsia="en-US"/>
              </w:rPr>
              <w:t xml:space="preserve">superannuation </w:t>
            </w:r>
            <w:r w:rsidR="006D33D5">
              <w:rPr>
                <w:lang w:val="en-US" w:eastAsia="en-US"/>
              </w:rPr>
              <w:t>interest</w:t>
            </w:r>
            <w:r w:rsidR="009213EA">
              <w:rPr>
                <w:lang w:val="en-US" w:eastAsia="en-US"/>
              </w:rPr>
              <w:t xml:space="preserve"> or provide financial product advice.</w:t>
            </w:r>
          </w:p>
        </w:tc>
      </w:tr>
      <w:tr w:rsidR="00127627" w:rsidRPr="004666B8" w14:paraId="10E53198" w14:textId="77777777" w:rsidTr="00750567">
        <w:tc>
          <w:tcPr>
            <w:tcW w:w="3202" w:type="dxa"/>
          </w:tcPr>
          <w:p w14:paraId="332FB54F" w14:textId="5189DD14" w:rsidR="00127627" w:rsidRPr="004666B8" w:rsidRDefault="00904FA9" w:rsidP="002B5017">
            <w:pPr>
              <w:pStyle w:val="tabletext"/>
              <w:rPr>
                <w:lang w:val="en-US" w:eastAsia="en-US"/>
              </w:rPr>
            </w:pPr>
            <w:r>
              <w:rPr>
                <w:lang w:val="en-US" w:eastAsia="en-US"/>
              </w:rPr>
              <w:t xml:space="preserve">The ASIC Act consumer protections also apply to the </w:t>
            </w:r>
            <w:r w:rsidR="002B5017">
              <w:rPr>
                <w:lang w:val="en-US" w:eastAsia="en-US"/>
              </w:rPr>
              <w:t>provision</w:t>
            </w:r>
            <w:r>
              <w:rPr>
                <w:lang w:val="en-US" w:eastAsia="en-US"/>
              </w:rPr>
              <w:t xml:space="preserve"> of a superannuation trustee service.</w:t>
            </w:r>
          </w:p>
        </w:tc>
        <w:tc>
          <w:tcPr>
            <w:tcW w:w="3215" w:type="dxa"/>
          </w:tcPr>
          <w:p w14:paraId="484B6EC4" w14:textId="378CD6B2" w:rsidR="00127627" w:rsidRPr="004666B8" w:rsidRDefault="00904FA9" w:rsidP="006D33D5">
            <w:pPr>
              <w:pStyle w:val="tabletext"/>
              <w:rPr>
                <w:lang w:val="en-US" w:eastAsia="en-US"/>
              </w:rPr>
            </w:pPr>
            <w:r>
              <w:rPr>
                <w:lang w:val="en-US" w:eastAsia="en-US"/>
              </w:rPr>
              <w:t xml:space="preserve">The ASIC Act consumer protections apply to dealing in </w:t>
            </w:r>
            <w:r w:rsidR="00BB22C3">
              <w:rPr>
                <w:lang w:val="en-US" w:eastAsia="en-US"/>
              </w:rPr>
              <w:t xml:space="preserve">a </w:t>
            </w:r>
            <w:r>
              <w:rPr>
                <w:lang w:val="en-US" w:eastAsia="en-US"/>
              </w:rPr>
              <w:t xml:space="preserve">superannuation </w:t>
            </w:r>
            <w:r w:rsidR="006D33D5">
              <w:rPr>
                <w:lang w:val="en-US" w:eastAsia="en-US"/>
              </w:rPr>
              <w:t>interest</w:t>
            </w:r>
            <w:r>
              <w:rPr>
                <w:lang w:val="en-US" w:eastAsia="en-US"/>
              </w:rPr>
              <w:t xml:space="preserve"> and the provision of financial product advice.</w:t>
            </w:r>
          </w:p>
        </w:tc>
      </w:tr>
      <w:tr w:rsidR="00127627" w:rsidRPr="004666B8" w14:paraId="561926AB" w14:textId="77777777" w:rsidTr="00750567">
        <w:tc>
          <w:tcPr>
            <w:tcW w:w="3202" w:type="dxa"/>
          </w:tcPr>
          <w:p w14:paraId="5A420481" w14:textId="17153934" w:rsidR="00127627" w:rsidRPr="004666B8" w:rsidRDefault="00935D72" w:rsidP="00935D72">
            <w:pPr>
              <w:pStyle w:val="tabletext"/>
              <w:rPr>
                <w:lang w:val="en-US" w:eastAsia="en-US"/>
              </w:rPr>
            </w:pPr>
            <w:r>
              <w:rPr>
                <w:lang w:val="en-US" w:eastAsia="en-US"/>
              </w:rPr>
              <w:t>ASIC must also obtain APRA’s agreement before cancelling an RSE licensee’s AFSL, imposing certain conditions on an RSE licensee’s AFSL or making certain banning orders against an RSE licensee.</w:t>
            </w:r>
          </w:p>
        </w:tc>
        <w:tc>
          <w:tcPr>
            <w:tcW w:w="3215" w:type="dxa"/>
          </w:tcPr>
          <w:p w14:paraId="31B3B450" w14:textId="38376553" w:rsidR="00127627" w:rsidRPr="004666B8" w:rsidRDefault="00935D72" w:rsidP="009A4048">
            <w:pPr>
              <w:pStyle w:val="tabletext"/>
              <w:rPr>
                <w:lang w:val="en-US" w:eastAsia="en-US"/>
              </w:rPr>
            </w:pPr>
            <w:r>
              <w:t>APRA and ASIC must consult or inform each other about certain actions affecting entities they both regulate.</w:t>
            </w:r>
          </w:p>
        </w:tc>
      </w:tr>
      <w:tr w:rsidR="00127627" w:rsidRPr="004666B8" w14:paraId="72E49FFD" w14:textId="77777777" w:rsidTr="00750567">
        <w:tc>
          <w:tcPr>
            <w:tcW w:w="3202" w:type="dxa"/>
          </w:tcPr>
          <w:p w14:paraId="70E1F68A" w14:textId="12D6C651" w:rsidR="00127627" w:rsidRPr="004666B8" w:rsidRDefault="00830453" w:rsidP="00E63D5F">
            <w:pPr>
              <w:pStyle w:val="tabletext"/>
              <w:rPr>
                <w:lang w:val="en-US" w:eastAsia="en-US"/>
              </w:rPr>
            </w:pPr>
            <w:r>
              <w:rPr>
                <w:lang w:val="en-US" w:eastAsia="en-US"/>
              </w:rPr>
              <w:t>Superannuation trustees and</w:t>
            </w:r>
            <w:r w:rsidR="00E63D5F">
              <w:rPr>
                <w:lang w:val="en-US" w:eastAsia="en-US"/>
              </w:rPr>
              <w:t xml:space="preserve"> trustee </w:t>
            </w:r>
            <w:r>
              <w:rPr>
                <w:lang w:val="en-US" w:eastAsia="en-US"/>
              </w:rPr>
              <w:t>directors</w:t>
            </w:r>
            <w:r w:rsidR="00E63D5F">
              <w:rPr>
                <w:lang w:val="en-US" w:eastAsia="en-US"/>
              </w:rPr>
              <w:t xml:space="preserve"> cannot use trust assets to pay </w:t>
            </w:r>
            <w:r w:rsidR="00E63D5F" w:rsidRPr="00E63D5F">
              <w:rPr>
                <w:lang w:val="en-US" w:eastAsia="en-US"/>
              </w:rPr>
              <w:t xml:space="preserve">a criminal, civil or administrative penalty incurred in relation to a </w:t>
            </w:r>
            <w:r>
              <w:rPr>
                <w:lang w:val="en-US" w:eastAsia="en-US"/>
              </w:rPr>
              <w:t xml:space="preserve">breach of </w:t>
            </w:r>
            <w:r w:rsidR="00E63D5F" w:rsidRPr="00E63D5F">
              <w:rPr>
                <w:lang w:val="en-US" w:eastAsia="en-US"/>
              </w:rPr>
              <w:t>Commonwealth law</w:t>
            </w:r>
            <w:r w:rsidRPr="00B651D9">
              <w:rPr>
                <w:lang w:val="en-US" w:eastAsia="en-US"/>
              </w:rPr>
              <w:t xml:space="preserve"> </w:t>
            </w:r>
            <w:r>
              <w:rPr>
                <w:lang w:val="en-US" w:eastAsia="en-US"/>
              </w:rPr>
              <w:t xml:space="preserve">in </w:t>
            </w:r>
            <w:r w:rsidRPr="00B651D9">
              <w:rPr>
                <w:lang w:val="en-US" w:eastAsia="en-US"/>
              </w:rPr>
              <w:t xml:space="preserve">circumstances where the breach did not </w:t>
            </w:r>
            <w:r>
              <w:rPr>
                <w:lang w:val="en-US" w:eastAsia="en-US"/>
              </w:rPr>
              <w:t xml:space="preserve">previously </w:t>
            </w:r>
            <w:r w:rsidRPr="00B651D9">
              <w:rPr>
                <w:lang w:val="en-US" w:eastAsia="en-US"/>
              </w:rPr>
              <w:t>warrant disentitlement based o</w:t>
            </w:r>
            <w:r>
              <w:rPr>
                <w:lang w:val="en-US" w:eastAsia="en-US"/>
              </w:rPr>
              <w:t>n the principles in section 56.</w:t>
            </w:r>
          </w:p>
        </w:tc>
        <w:tc>
          <w:tcPr>
            <w:tcW w:w="3215" w:type="dxa"/>
          </w:tcPr>
          <w:p w14:paraId="27BC03A5" w14:textId="5549FF5F" w:rsidR="00127627" w:rsidRPr="004666B8" w:rsidRDefault="00830453" w:rsidP="00E63D5F">
            <w:pPr>
              <w:pStyle w:val="tabletext"/>
              <w:rPr>
                <w:lang w:val="en-US" w:eastAsia="en-US"/>
              </w:rPr>
            </w:pPr>
            <w:r>
              <w:rPr>
                <w:lang w:val="en-US" w:eastAsia="en-US"/>
              </w:rPr>
              <w:t>Superannuation</w:t>
            </w:r>
            <w:r>
              <w:t xml:space="preserve"> trustees and trustee directors cannot use trust assets to pay a liability for breach of trust if the trustee fails to act honestly in a matter concerning the entity, or intentionally or recklessly fails to exercise, in relation to a matter affecting the entity, the required degree of care and diligence.</w:t>
            </w:r>
          </w:p>
        </w:tc>
      </w:tr>
    </w:tbl>
    <w:p w14:paraId="641047B5" w14:textId="77777777" w:rsidR="00B17774" w:rsidRDefault="00B17774" w:rsidP="00B17774">
      <w:pPr>
        <w:pStyle w:val="Heading2"/>
      </w:pPr>
      <w:r>
        <w:lastRenderedPageBreak/>
        <w:t>Detailed explanation of new law</w:t>
      </w:r>
    </w:p>
    <w:p w14:paraId="46BE0348" w14:textId="3CCF2C7C" w:rsidR="00132717" w:rsidRDefault="00132717" w:rsidP="00F2149D">
      <w:pPr>
        <w:pStyle w:val="Heading3"/>
        <w:rPr>
          <w:i/>
        </w:rPr>
      </w:pPr>
      <w:r>
        <w:t xml:space="preserve">Adjustment of APRA and ASIC’s role in the </w:t>
      </w:r>
      <w:r w:rsidRPr="00132717">
        <w:t>SIS Act</w:t>
      </w:r>
      <w:r>
        <w:rPr>
          <w:i/>
        </w:rPr>
        <w:t xml:space="preserve"> </w:t>
      </w:r>
    </w:p>
    <w:p w14:paraId="41675D1C" w14:textId="5ABAB4EC" w:rsidR="007002E3" w:rsidRDefault="00B11E6F" w:rsidP="00A178D9">
      <w:pPr>
        <w:pStyle w:val="Heading4"/>
      </w:pPr>
      <w:r>
        <w:t xml:space="preserve">Adjustments relating to the roles </w:t>
      </w:r>
      <w:r w:rsidR="004628E9">
        <w:t xml:space="preserve">and responsibilities </w:t>
      </w:r>
      <w:r>
        <w:t>of superannuation industry regulators</w:t>
      </w:r>
    </w:p>
    <w:p w14:paraId="0217C17E" w14:textId="77777777" w:rsidR="00A55394" w:rsidRPr="001B257A" w:rsidRDefault="00A55394" w:rsidP="00844144">
      <w:pPr>
        <w:pStyle w:val="base-text-paragraph"/>
      </w:pPr>
      <w:r>
        <w:t>Schedule # repeals section 4 of the SIS Act and replaces it with a simplified outline. The simplified outline sets out high-level statements of APRA, ASIC and the Commissioner of Taxation’s</w:t>
      </w:r>
      <w:r w:rsidRPr="00A55394">
        <w:t xml:space="preserve"> </w:t>
      </w:r>
      <w:r>
        <w:t xml:space="preserve">supervision responsibilities in superannuation. </w:t>
      </w:r>
      <w:r>
        <w:rPr>
          <w:rStyle w:val="Referencingstyle"/>
        </w:rPr>
        <w:t>[Schedule #, item 1, section 4 of the SIS Act]</w:t>
      </w:r>
      <w:r w:rsidRPr="00A97B92">
        <w:rPr>
          <w:b/>
          <w:i/>
        </w:rPr>
        <w:t xml:space="preserve"> </w:t>
      </w:r>
    </w:p>
    <w:p w14:paraId="74F042CB" w14:textId="6A57CA67" w:rsidR="00755607" w:rsidRPr="001B257A" w:rsidRDefault="00755607" w:rsidP="00246E44">
      <w:pPr>
        <w:pStyle w:val="base-text-paragraph"/>
      </w:pPr>
      <w:r>
        <w:t>Rather than dema</w:t>
      </w:r>
      <w:r w:rsidR="00E66215">
        <w:t>rcat</w:t>
      </w:r>
      <w:r>
        <w:t>ing the three regulators</w:t>
      </w:r>
      <w:r w:rsidR="00365BBF">
        <w:t>’</w:t>
      </w:r>
      <w:r>
        <w:t xml:space="preserve"> roles, the statements of their supervision responsibilities are intended to provide guidance to SIS Act users about </w:t>
      </w:r>
      <w:r w:rsidR="00255A18">
        <w:t xml:space="preserve">the focus of </w:t>
      </w:r>
      <w:r>
        <w:t>their regulatory</w:t>
      </w:r>
      <w:r w:rsidR="00255A18">
        <w:t xml:space="preserve"> activities</w:t>
      </w:r>
      <w:r>
        <w:t>.</w:t>
      </w:r>
      <w:r w:rsidR="00255A18">
        <w:t xml:space="preserve"> Particular</w:t>
      </w:r>
      <w:r w:rsidR="00B37C87">
        <w:t>ly</w:t>
      </w:r>
      <w:r w:rsidR="00255A18">
        <w:t xml:space="preserve"> for APRA and ASIC, </w:t>
      </w:r>
      <w:r w:rsidR="00B37C87">
        <w:t xml:space="preserve">the role statements highlight that </w:t>
      </w:r>
      <w:r w:rsidR="00255A18">
        <w:t xml:space="preserve">their regulatory activities are complementary and overlapping, rather than </w:t>
      </w:r>
      <w:r w:rsidR="00E66215">
        <w:t xml:space="preserve">mutually </w:t>
      </w:r>
      <w:r w:rsidR="00255A18">
        <w:t xml:space="preserve">exclusive. </w:t>
      </w:r>
      <w:r w:rsidR="0038535B">
        <w:t>The Commissioner of Taxation’s role is unchanged.</w:t>
      </w:r>
    </w:p>
    <w:p w14:paraId="3A33FAE4" w14:textId="2FB83253" w:rsidR="00D94AEB" w:rsidRDefault="00D94AEB" w:rsidP="00E66FA1">
      <w:pPr>
        <w:pStyle w:val="base-text-paragraph"/>
      </w:pPr>
      <w:r>
        <w:t xml:space="preserve">Other </w:t>
      </w:r>
      <w:r w:rsidR="00430D13">
        <w:t xml:space="preserve">Financial Services Royal Commission </w:t>
      </w:r>
      <w:r>
        <w:t>recommendations support coordinated interactions</w:t>
      </w:r>
      <w:r w:rsidR="00430D13">
        <w:t xml:space="preserve"> </w:t>
      </w:r>
      <w:r>
        <w:t xml:space="preserve">between APRA and ASIC. For example, recommendation 6.9 </w:t>
      </w:r>
      <w:r w:rsidR="00906391">
        <w:t>provides that APRA and ASIC must work in cooperation and share information</w:t>
      </w:r>
      <w:r w:rsidR="00E66FA1" w:rsidRPr="00E66FA1">
        <w:t>.</w:t>
      </w:r>
    </w:p>
    <w:p w14:paraId="0305FDAA" w14:textId="6322291D" w:rsidR="003A475D" w:rsidRDefault="003A475D" w:rsidP="00202082">
      <w:pPr>
        <w:pStyle w:val="Heading5"/>
      </w:pPr>
      <w:r>
        <w:t xml:space="preserve">APRA’s role and responsibilities </w:t>
      </w:r>
    </w:p>
    <w:p w14:paraId="6EC197B4" w14:textId="2E3516C3" w:rsidR="00295274" w:rsidRPr="00437E6F" w:rsidRDefault="00295274" w:rsidP="00295274">
      <w:pPr>
        <w:pStyle w:val="base-text-paragraph"/>
        <w:rPr>
          <w:rStyle w:val="Referencingstyle"/>
          <w:b w:val="0"/>
          <w:i w:val="0"/>
          <w:sz w:val="22"/>
        </w:rPr>
      </w:pPr>
      <w:r w:rsidRPr="00356123">
        <w:t>APRA is generally responsible for prudential regulation and member outcomes. It is also generally responsible for licensing and supervision of RSE licensees.</w:t>
      </w:r>
      <w:r>
        <w:t xml:space="preserve"> </w:t>
      </w:r>
      <w:r>
        <w:rPr>
          <w:rStyle w:val="Referencingstyle"/>
        </w:rPr>
        <w:t xml:space="preserve">[Schedule #, item </w:t>
      </w:r>
      <w:r w:rsidR="00C34EC6">
        <w:rPr>
          <w:rStyle w:val="Referencingstyle"/>
        </w:rPr>
        <w:t>1</w:t>
      </w:r>
      <w:r>
        <w:rPr>
          <w:rStyle w:val="Referencingstyle"/>
        </w:rPr>
        <w:t xml:space="preserve">, section 4 of the SIS Act] </w:t>
      </w:r>
    </w:p>
    <w:p w14:paraId="1B3DD3E7" w14:textId="61234855" w:rsidR="00C30079" w:rsidRDefault="00437E6F" w:rsidP="00437E6F">
      <w:pPr>
        <w:pStyle w:val="base-text-paragraph"/>
      </w:pPr>
      <w:r>
        <w:t>Consistent with Financial Service</w:t>
      </w:r>
      <w:r w:rsidR="00E66215">
        <w:t>s</w:t>
      </w:r>
      <w:r>
        <w:t xml:space="preserve"> Royal Commission recommendations 6.4 and 6.5, APRA’s responsibilities in the SIS Act are largely unchanged. </w:t>
      </w:r>
      <w:r w:rsidR="00C30079">
        <w:t xml:space="preserve">APRA, as the prudential regulator for superannuation, remains responsible for establishing and enforcing Prudential Standards and practices designed to ensure that, under all reasonable circumstances, financial promises made by superannuation entities are met within a stable, efficient and competitive financial system. </w:t>
      </w:r>
    </w:p>
    <w:p w14:paraId="3FBC0B88" w14:textId="70C19524" w:rsidR="00437E6F" w:rsidRPr="005141AA" w:rsidRDefault="00437E6F" w:rsidP="00437E6F">
      <w:pPr>
        <w:pStyle w:val="base-text-paragraph"/>
        <w:rPr>
          <w:rStyle w:val="Referencingstyle"/>
          <w:b w:val="0"/>
          <w:i w:val="0"/>
          <w:sz w:val="22"/>
        </w:rPr>
      </w:pPr>
      <w:r>
        <w:t xml:space="preserve">The only substantive change to APRA’s general administration is reflected in item </w:t>
      </w:r>
      <w:r w:rsidR="00D353B2">
        <w:t>26</w:t>
      </w:r>
      <w:r>
        <w:t xml:space="preserve"> of the general administration table, which reallocates APRA’s responsibility for section 68B of the SIS Act to ASIC. </w:t>
      </w:r>
      <w:r>
        <w:rPr>
          <w:rStyle w:val="Referencingstyle"/>
        </w:rPr>
        <w:t>[Schedule #, item 1, section 6(1) of the SIS Act]</w:t>
      </w:r>
    </w:p>
    <w:p w14:paraId="55672042" w14:textId="77777777" w:rsidR="00E83701" w:rsidRDefault="00437E6F" w:rsidP="00437E6F">
      <w:pPr>
        <w:pStyle w:val="base-text-paragraph"/>
      </w:pPr>
      <w:r>
        <w:t xml:space="preserve">Section 68B concerns the promotion of illegal early release schemes. Such schemes </w:t>
      </w:r>
      <w:r w:rsidR="00F24FC6">
        <w:t>may</w:t>
      </w:r>
      <w:r>
        <w:t xml:space="preserve"> involve promoters encouraging</w:t>
      </w:r>
      <w:r w:rsidRPr="00B704A2">
        <w:t xml:space="preserve"> </w:t>
      </w:r>
      <w:r>
        <w:t>individuals</w:t>
      </w:r>
      <w:r w:rsidRPr="00B704A2">
        <w:t xml:space="preserve"> to transfer or rollover </w:t>
      </w:r>
      <w:r>
        <w:t xml:space="preserve">their </w:t>
      </w:r>
      <w:r w:rsidRPr="00B704A2">
        <w:t>super</w:t>
      </w:r>
      <w:r>
        <w:t>annuation</w:t>
      </w:r>
      <w:r w:rsidRPr="00B704A2">
        <w:t xml:space="preserve"> from </w:t>
      </w:r>
      <w:r>
        <w:t xml:space="preserve">their </w:t>
      </w:r>
      <w:r w:rsidRPr="00B704A2">
        <w:t>existing</w:t>
      </w:r>
      <w:r w:rsidR="00E83701">
        <w:t xml:space="preserve"> superannuation</w:t>
      </w:r>
      <w:r w:rsidRPr="00B704A2">
        <w:t xml:space="preserve"> </w:t>
      </w:r>
      <w:r>
        <w:t xml:space="preserve">fund to an </w:t>
      </w:r>
      <w:r w:rsidRPr="00B704A2">
        <w:t>SMSF</w:t>
      </w:r>
      <w:r>
        <w:t xml:space="preserve"> so the individual can </w:t>
      </w:r>
      <w:r w:rsidRPr="00B704A2">
        <w:t xml:space="preserve">withdraw </w:t>
      </w:r>
      <w:r>
        <w:t xml:space="preserve">their </w:t>
      </w:r>
      <w:r w:rsidRPr="00B704A2">
        <w:t>super</w:t>
      </w:r>
      <w:r>
        <w:t>annuation</w:t>
      </w:r>
      <w:r w:rsidRPr="00B704A2">
        <w:t xml:space="preserve"> before </w:t>
      </w:r>
      <w:r>
        <w:t xml:space="preserve">they </w:t>
      </w:r>
      <w:r w:rsidRPr="00B704A2">
        <w:t>are legally entitled to it</w:t>
      </w:r>
      <w:r>
        <w:t xml:space="preserve">. The general administration of section 68B </w:t>
      </w:r>
      <w:r w:rsidR="00E83701">
        <w:t xml:space="preserve">is reallocated </w:t>
      </w:r>
      <w:r>
        <w:t xml:space="preserve">to ASIC </w:t>
      </w:r>
      <w:r w:rsidR="00E83701">
        <w:t xml:space="preserve">because its </w:t>
      </w:r>
      <w:r>
        <w:t xml:space="preserve">focus on </w:t>
      </w:r>
      <w:r>
        <w:lastRenderedPageBreak/>
        <w:t>preventing harm</w:t>
      </w:r>
      <w:r w:rsidRPr="00B704A2">
        <w:t xml:space="preserve"> </w:t>
      </w:r>
      <w:r>
        <w:t xml:space="preserve">to </w:t>
      </w:r>
      <w:r w:rsidR="00AE5B1E">
        <w:t>individual</w:t>
      </w:r>
      <w:r w:rsidR="0044362F">
        <w:t xml:space="preserve"> consumers of superannuation products </w:t>
      </w:r>
      <w:r w:rsidR="00E83701">
        <w:t>is consistent with ASIC’s regulatory focus under the SIS Act, as set out in new section 4</w:t>
      </w:r>
      <w:r>
        <w:t xml:space="preserve">. </w:t>
      </w:r>
    </w:p>
    <w:p w14:paraId="5B2E558A" w14:textId="6301C172" w:rsidR="00437E6F" w:rsidRDefault="008F59B1" w:rsidP="00437E6F">
      <w:pPr>
        <w:pStyle w:val="base-text-paragraph"/>
      </w:pPr>
      <w:r>
        <w:t>The Commissioner of Taxation’s role in administering section 68B in relation to SMSFs is unchanged.</w:t>
      </w:r>
    </w:p>
    <w:p w14:paraId="566AB823" w14:textId="2F6DF0D5" w:rsidR="00202082" w:rsidRDefault="00202082" w:rsidP="00202082">
      <w:pPr>
        <w:pStyle w:val="Heading5"/>
      </w:pPr>
      <w:r>
        <w:t xml:space="preserve">ASIC’s role and responsibilities </w:t>
      </w:r>
    </w:p>
    <w:p w14:paraId="5EAFF3A4" w14:textId="276B0BAC" w:rsidR="00A07388" w:rsidRDefault="00A07388" w:rsidP="00421205">
      <w:pPr>
        <w:pStyle w:val="base-text-paragraph"/>
      </w:pPr>
      <w:r>
        <w:t xml:space="preserve">Currently in </w:t>
      </w:r>
      <w:r w:rsidR="00AD745B">
        <w:t xml:space="preserve">the SIS Act, ASIC’s role </w:t>
      </w:r>
      <w:r>
        <w:t xml:space="preserve">is </w:t>
      </w:r>
      <w:r w:rsidR="00D062F8">
        <w:t xml:space="preserve">generally </w:t>
      </w:r>
      <w:r>
        <w:t>limited to</w:t>
      </w:r>
      <w:r w:rsidR="00AD745B">
        <w:t xml:space="preserve"> </w:t>
      </w:r>
      <w:r>
        <w:t xml:space="preserve">matters of </w:t>
      </w:r>
      <w:r w:rsidR="00AD745B">
        <w:t xml:space="preserve">disclosure and record keeping. </w:t>
      </w:r>
      <w:r>
        <w:t>For example, ASIC has general administration of the covenants imposed on RSE licensees under section</w:t>
      </w:r>
      <w:r w:rsidR="009C5125">
        <w:t> </w:t>
      </w:r>
      <w:r>
        <w:t xml:space="preserve">52 of the SIS Act, but only to the extent that </w:t>
      </w:r>
      <w:r w:rsidR="00BA1FE8">
        <w:t>they relate</w:t>
      </w:r>
      <w:r>
        <w:t xml:space="preserve"> to </w:t>
      </w:r>
      <w:r w:rsidR="00BA1FE8">
        <w:t>record keeping and disclosure obligations of RSE licensees</w:t>
      </w:r>
      <w:r>
        <w:t xml:space="preserve">. </w:t>
      </w:r>
    </w:p>
    <w:p w14:paraId="13E5B9B2" w14:textId="2AA157E5" w:rsidR="00295274" w:rsidRPr="00AD745B" w:rsidRDefault="00AD745B" w:rsidP="00421205">
      <w:pPr>
        <w:pStyle w:val="base-text-paragraph"/>
        <w:rPr>
          <w:rStyle w:val="Referencingstyle"/>
          <w:b w:val="0"/>
          <w:i w:val="0"/>
          <w:sz w:val="22"/>
        </w:rPr>
      </w:pPr>
      <w:r>
        <w:t xml:space="preserve">Consistent with Financial Service Royal Commission recommendations 6.3 and 6.4, Schedule # </w:t>
      </w:r>
      <w:r w:rsidR="006E6779">
        <w:t>expands</w:t>
      </w:r>
      <w:r>
        <w:t xml:space="preserve"> ASIC’s role in superannuation</w:t>
      </w:r>
      <w:r w:rsidR="00F170CE">
        <w:t xml:space="preserve"> to include </w:t>
      </w:r>
      <w:r w:rsidR="009527E9">
        <w:t>promoting consumer protection</w:t>
      </w:r>
      <w:r w:rsidR="005B3213">
        <w:t xml:space="preserve"> and market </w:t>
      </w:r>
      <w:r w:rsidR="009527E9">
        <w:t>integrity</w:t>
      </w:r>
      <w:r>
        <w:t xml:space="preserve">. </w:t>
      </w:r>
      <w:r w:rsidR="009C5125">
        <w:t>As a result of these amendments,</w:t>
      </w:r>
      <w:r>
        <w:t xml:space="preserve"> </w:t>
      </w:r>
      <w:r w:rsidR="00295274">
        <w:t xml:space="preserve">ASIC is </w:t>
      </w:r>
      <w:r w:rsidR="00161521">
        <w:t xml:space="preserve">now </w:t>
      </w:r>
      <w:r w:rsidR="00295274">
        <w:t xml:space="preserve">generally responsible for </w:t>
      </w:r>
      <w:r w:rsidR="00716ACF">
        <w:t>consumer protection</w:t>
      </w:r>
      <w:r w:rsidR="00295274">
        <w:t xml:space="preserve">, market integrity, disclosure and record keeping. </w:t>
      </w:r>
      <w:r w:rsidR="00295274">
        <w:rPr>
          <w:rStyle w:val="Referencingstyle"/>
        </w:rPr>
        <w:t xml:space="preserve">[Schedule #, item </w:t>
      </w:r>
      <w:r w:rsidR="00C34EC6">
        <w:rPr>
          <w:rStyle w:val="Referencingstyle"/>
        </w:rPr>
        <w:t>1</w:t>
      </w:r>
      <w:r w:rsidR="00295274">
        <w:rPr>
          <w:rStyle w:val="Referencingstyle"/>
        </w:rPr>
        <w:t>, section 4 of the SIS Act]</w:t>
      </w:r>
    </w:p>
    <w:p w14:paraId="03ECEE16" w14:textId="7A6A9CAD" w:rsidR="005D5341" w:rsidRDefault="008A0704" w:rsidP="00395D9B">
      <w:pPr>
        <w:pStyle w:val="base-text-paragraph"/>
        <w:rPr>
          <w:rStyle w:val="Referencingstyle"/>
          <w:b w:val="0"/>
          <w:i w:val="0"/>
          <w:sz w:val="22"/>
        </w:rPr>
      </w:pPr>
      <w:r>
        <w:t xml:space="preserve">‘Consumer protection’ regulation provides consumers and regulators with legal recourse </w:t>
      </w:r>
      <w:r w:rsidR="00BE71CB">
        <w:t>concerning</w:t>
      </w:r>
      <w:r>
        <w:t xml:space="preserve"> circumstances or actions that unreasonably disadvantage consumers. ‘</w:t>
      </w:r>
      <w:r w:rsidR="00432CF0" w:rsidRPr="00B16EC8">
        <w:rPr>
          <w:rStyle w:val="Referencingstyle"/>
          <w:b w:val="0"/>
          <w:i w:val="0"/>
          <w:sz w:val="22"/>
        </w:rPr>
        <w:t>Market integrity</w:t>
      </w:r>
      <w:r>
        <w:rPr>
          <w:rStyle w:val="Referencingstyle"/>
          <w:b w:val="0"/>
          <w:i w:val="0"/>
          <w:sz w:val="22"/>
        </w:rPr>
        <w:t>’</w:t>
      </w:r>
      <w:r w:rsidR="00432CF0" w:rsidRPr="00B16EC8">
        <w:rPr>
          <w:rStyle w:val="Referencingstyle"/>
          <w:b w:val="0"/>
          <w:i w:val="0"/>
          <w:sz w:val="22"/>
        </w:rPr>
        <w:t xml:space="preserve"> regulation promotes confidence in the efficiency and fairness of markets by ensuring that markets are </w:t>
      </w:r>
      <w:r w:rsidR="00BE71CB">
        <w:rPr>
          <w:rStyle w:val="Referencingstyle"/>
          <w:b w:val="0"/>
          <w:i w:val="0"/>
          <w:sz w:val="22"/>
        </w:rPr>
        <w:t xml:space="preserve">fair, </w:t>
      </w:r>
      <w:r w:rsidR="00432CF0" w:rsidRPr="00B16EC8">
        <w:rPr>
          <w:rStyle w:val="Referencingstyle"/>
          <w:b w:val="0"/>
          <w:i w:val="0"/>
          <w:sz w:val="22"/>
        </w:rPr>
        <w:t>orderly and transparent.</w:t>
      </w:r>
      <w:r w:rsidR="00F04FB3" w:rsidRPr="00B16EC8">
        <w:rPr>
          <w:rStyle w:val="Referencingstyle"/>
          <w:b w:val="0"/>
          <w:i w:val="0"/>
          <w:sz w:val="22"/>
        </w:rPr>
        <w:t xml:space="preserve"> </w:t>
      </w:r>
      <w:r w:rsidR="00AE7A7B" w:rsidRPr="00B16EC8">
        <w:rPr>
          <w:rStyle w:val="Referencingstyle"/>
          <w:b w:val="0"/>
          <w:i w:val="0"/>
          <w:sz w:val="22"/>
        </w:rPr>
        <w:t xml:space="preserve">Market integrity and consumer protection regulation are inherently linked; both </w:t>
      </w:r>
      <w:r w:rsidR="00F04FB3" w:rsidRPr="00B16EC8">
        <w:rPr>
          <w:rStyle w:val="Referencingstyle"/>
          <w:b w:val="0"/>
          <w:i w:val="0"/>
          <w:sz w:val="22"/>
        </w:rPr>
        <w:t>rely on disclosure and conduct rules</w:t>
      </w:r>
      <w:r w:rsidR="00AE7A7B" w:rsidRPr="00B16EC8">
        <w:rPr>
          <w:rStyle w:val="Referencingstyle"/>
          <w:b w:val="0"/>
          <w:i w:val="0"/>
          <w:sz w:val="22"/>
        </w:rPr>
        <w:t xml:space="preserve"> to achieve regulatory outcomes</w:t>
      </w:r>
      <w:r w:rsidR="00F04FB3" w:rsidRPr="00B16EC8">
        <w:rPr>
          <w:rStyle w:val="Referencingstyle"/>
          <w:b w:val="0"/>
          <w:i w:val="0"/>
          <w:sz w:val="22"/>
        </w:rPr>
        <w:t xml:space="preserve">. </w:t>
      </w:r>
    </w:p>
    <w:p w14:paraId="50264A74" w14:textId="6CA3BB44" w:rsidR="00D638E1" w:rsidRPr="00B16EC8" w:rsidRDefault="00D638E1" w:rsidP="00395D9B">
      <w:pPr>
        <w:pStyle w:val="base-text-paragraph"/>
        <w:rPr>
          <w:rStyle w:val="Referencingstyle"/>
          <w:b w:val="0"/>
          <w:i w:val="0"/>
          <w:sz w:val="22"/>
        </w:rPr>
      </w:pPr>
      <w:r w:rsidRPr="00B16EC8">
        <w:rPr>
          <w:rStyle w:val="Referencingstyle"/>
          <w:b w:val="0"/>
          <w:i w:val="0"/>
          <w:sz w:val="22"/>
        </w:rPr>
        <w:t xml:space="preserve">ASIC’s existing role in regulating </w:t>
      </w:r>
      <w:r w:rsidR="00E01D3C">
        <w:rPr>
          <w:rStyle w:val="Referencingstyle"/>
          <w:b w:val="0"/>
          <w:i w:val="0"/>
          <w:sz w:val="22"/>
        </w:rPr>
        <w:t xml:space="preserve">certain </w:t>
      </w:r>
      <w:r w:rsidRPr="00B16EC8">
        <w:rPr>
          <w:rStyle w:val="Referencingstyle"/>
          <w:b w:val="0"/>
          <w:i w:val="0"/>
          <w:sz w:val="22"/>
        </w:rPr>
        <w:t>disclosure</w:t>
      </w:r>
      <w:r w:rsidR="00E01D3C">
        <w:rPr>
          <w:rStyle w:val="Referencingstyle"/>
          <w:b w:val="0"/>
          <w:i w:val="0"/>
          <w:sz w:val="22"/>
        </w:rPr>
        <w:t>s</w:t>
      </w:r>
      <w:r w:rsidRPr="00B16EC8">
        <w:rPr>
          <w:rStyle w:val="Referencingstyle"/>
          <w:b w:val="0"/>
          <w:i w:val="0"/>
          <w:sz w:val="22"/>
        </w:rPr>
        <w:t xml:space="preserve"> and </w:t>
      </w:r>
      <w:r w:rsidR="00E01D3C">
        <w:rPr>
          <w:rStyle w:val="Referencingstyle"/>
          <w:b w:val="0"/>
          <w:i w:val="0"/>
          <w:sz w:val="22"/>
        </w:rPr>
        <w:t>report</w:t>
      </w:r>
      <w:r w:rsidRPr="00B16EC8">
        <w:rPr>
          <w:rStyle w:val="Referencingstyle"/>
          <w:b w:val="0"/>
          <w:i w:val="0"/>
          <w:sz w:val="22"/>
        </w:rPr>
        <w:t xml:space="preserve"> keeping by superannuation trustees is unchanged</w:t>
      </w:r>
      <w:r w:rsidR="00B16EC8">
        <w:rPr>
          <w:rStyle w:val="Referencingstyle"/>
          <w:b w:val="0"/>
          <w:i w:val="0"/>
          <w:sz w:val="22"/>
        </w:rPr>
        <w:t xml:space="preserve"> by Schedule #</w:t>
      </w:r>
      <w:r w:rsidRPr="00B16EC8">
        <w:rPr>
          <w:rStyle w:val="Referencingstyle"/>
          <w:b w:val="0"/>
          <w:i w:val="0"/>
          <w:sz w:val="22"/>
        </w:rPr>
        <w:t xml:space="preserve">. </w:t>
      </w:r>
      <w:r w:rsidR="005D5341">
        <w:rPr>
          <w:rStyle w:val="Referencingstyle"/>
        </w:rPr>
        <w:t>[Schedule</w:t>
      </w:r>
      <w:r w:rsidR="001F552F">
        <w:rPr>
          <w:rStyle w:val="Referencingstyle"/>
        </w:rPr>
        <w:t> </w:t>
      </w:r>
      <w:r w:rsidR="005D5341">
        <w:rPr>
          <w:rStyle w:val="Referencingstyle"/>
        </w:rPr>
        <w:t>#, item 1, subsection 6</w:t>
      </w:r>
      <w:r w:rsidR="008F59B1">
        <w:rPr>
          <w:rStyle w:val="Referencingstyle"/>
        </w:rPr>
        <w:t xml:space="preserve">(1) and </w:t>
      </w:r>
      <w:r w:rsidR="005D5341">
        <w:rPr>
          <w:rStyle w:val="Referencingstyle"/>
        </w:rPr>
        <w:t>(2) of the SIS Act]</w:t>
      </w:r>
    </w:p>
    <w:p w14:paraId="6F11AB51" w14:textId="15F64450" w:rsidR="00295274" w:rsidRDefault="00D638E1" w:rsidP="00295274">
      <w:pPr>
        <w:pStyle w:val="base-text-paragraph"/>
      </w:pPr>
      <w:r>
        <w:t>ASIC’s expanded role in superannuation</w:t>
      </w:r>
      <w:r w:rsidR="00295274" w:rsidRPr="00C03A3A">
        <w:t xml:space="preserve"> </w:t>
      </w:r>
      <w:r>
        <w:t>regulation</w:t>
      </w:r>
      <w:r w:rsidR="00295274" w:rsidRPr="00C03A3A">
        <w:t xml:space="preserve"> </w:t>
      </w:r>
      <w:r w:rsidR="00295274">
        <w:t xml:space="preserve">is consistent with ASIC’s broader role in the Australian financial system, which is articulated in the ASIC Act. Indeed, subsection </w:t>
      </w:r>
      <w:proofErr w:type="gramStart"/>
      <w:r w:rsidR="00295274">
        <w:t>12A(</w:t>
      </w:r>
      <w:proofErr w:type="gramEnd"/>
      <w:r w:rsidR="00295274">
        <w:t xml:space="preserve">2) of the ASIC Act provides that ASIC has the function of monitoring and promoting market integrity and consumer protection in relation to the Australian financial system. </w:t>
      </w:r>
    </w:p>
    <w:p w14:paraId="23A7752D" w14:textId="4EE1A243" w:rsidR="006146D3" w:rsidRDefault="006146D3" w:rsidP="00535F2B">
      <w:pPr>
        <w:pStyle w:val="base-text-paragraph"/>
      </w:pPr>
      <w:r>
        <w:t xml:space="preserve">Additionally, ASIC is allocated </w:t>
      </w:r>
      <w:r w:rsidR="00A81625">
        <w:t xml:space="preserve">sole administration of </w:t>
      </w:r>
      <w:r>
        <w:t xml:space="preserve">section 99FA, a new </w:t>
      </w:r>
      <w:r w:rsidR="00A81625">
        <w:t xml:space="preserve">fee charging </w:t>
      </w:r>
      <w:r>
        <w:t xml:space="preserve">provision introduced through Financial Services Royal Commission recommendation 3.3. </w:t>
      </w:r>
      <w:r w:rsidR="00A81625">
        <w:rPr>
          <w:rStyle w:val="Referencingstyle"/>
        </w:rPr>
        <w:t xml:space="preserve">[Schedule </w:t>
      </w:r>
      <w:r w:rsidR="00C9434D">
        <w:rPr>
          <w:rStyle w:val="Referencingstyle"/>
        </w:rPr>
        <w:t>#</w:t>
      </w:r>
      <w:r w:rsidR="00A81625">
        <w:rPr>
          <w:rStyle w:val="Referencingstyle"/>
        </w:rPr>
        <w:t>, i</w:t>
      </w:r>
      <w:r w:rsidR="00A81625" w:rsidRPr="00375F1D">
        <w:rPr>
          <w:rStyle w:val="Referencingstyle"/>
        </w:rPr>
        <w:t xml:space="preserve">tem </w:t>
      </w:r>
      <w:r w:rsidR="00A81625">
        <w:rPr>
          <w:rStyle w:val="Referencingstyle"/>
        </w:rPr>
        <w:t xml:space="preserve">1, subsection 6(1) </w:t>
      </w:r>
      <w:r w:rsidR="00A81625" w:rsidRPr="00375F1D">
        <w:rPr>
          <w:rStyle w:val="Referencingstyle"/>
        </w:rPr>
        <w:t xml:space="preserve">of </w:t>
      </w:r>
      <w:r w:rsidR="00A81625">
        <w:rPr>
          <w:rStyle w:val="Referencingstyle"/>
        </w:rPr>
        <w:t xml:space="preserve">the SIS </w:t>
      </w:r>
      <w:r w:rsidR="00A81625" w:rsidRPr="00375F1D">
        <w:rPr>
          <w:rStyle w:val="Referencingstyle"/>
        </w:rPr>
        <w:t>Act</w:t>
      </w:r>
      <w:r w:rsidR="002F6C63">
        <w:rPr>
          <w:rStyle w:val="Referencingstyle"/>
        </w:rPr>
        <w:t xml:space="preserve"> (table item 32)</w:t>
      </w:r>
      <w:r w:rsidR="00A81625" w:rsidRPr="00375F1D">
        <w:rPr>
          <w:rStyle w:val="Referencingstyle"/>
        </w:rPr>
        <w:t>]</w:t>
      </w:r>
    </w:p>
    <w:p w14:paraId="74C6D6E0" w14:textId="77777777" w:rsidR="00367E51" w:rsidRDefault="00367E51" w:rsidP="00367E51">
      <w:pPr>
        <w:pStyle w:val="Heading5"/>
      </w:pPr>
      <w:r>
        <w:t>The Commissioner of Taxation’s role and responsibilities</w:t>
      </w:r>
    </w:p>
    <w:p w14:paraId="0B2E3641" w14:textId="67699F8E" w:rsidR="00367E51" w:rsidRPr="00632067" w:rsidRDefault="00367E51" w:rsidP="000E0295">
      <w:pPr>
        <w:pStyle w:val="base-text-paragraph"/>
        <w:rPr>
          <w:rStyle w:val="Referencingstyle"/>
          <w:b w:val="0"/>
          <w:i w:val="0"/>
          <w:sz w:val="22"/>
        </w:rPr>
      </w:pPr>
      <w:r>
        <w:t>Finally, the simplified outline provides</w:t>
      </w:r>
      <w:r w:rsidR="006E2353">
        <w:t xml:space="preserve"> that</w:t>
      </w:r>
      <w:r>
        <w:t xml:space="preserve"> the Commissioner of Taxation is generally responsible for SMSFs, data and payment standards, </w:t>
      </w:r>
      <w:r>
        <w:lastRenderedPageBreak/>
        <w:t>tax file numbers and the compassionate release of superannuation</w:t>
      </w:r>
      <w:r w:rsidR="008F59B1">
        <w:t xml:space="preserve"> amounts</w:t>
      </w:r>
      <w:r>
        <w:t xml:space="preserve">. </w:t>
      </w:r>
      <w:r>
        <w:rPr>
          <w:rStyle w:val="Referencingstyle"/>
        </w:rPr>
        <w:t xml:space="preserve">[Schedule #, item </w:t>
      </w:r>
      <w:r w:rsidR="007C1BCF">
        <w:rPr>
          <w:rStyle w:val="Referencingstyle"/>
        </w:rPr>
        <w:t>1</w:t>
      </w:r>
      <w:r>
        <w:rPr>
          <w:rStyle w:val="Referencingstyle"/>
        </w:rPr>
        <w:t>, section 4 of the SIS Act]</w:t>
      </w:r>
    </w:p>
    <w:p w14:paraId="52BF1F6E" w14:textId="2BA6003D" w:rsidR="00A55394" w:rsidRDefault="00A55394" w:rsidP="00A55394">
      <w:pPr>
        <w:pStyle w:val="Heading4"/>
      </w:pPr>
      <w:r>
        <w:t>General administration table</w:t>
      </w:r>
    </w:p>
    <w:p w14:paraId="6D40EE6D" w14:textId="3E52F179" w:rsidR="005E4CEC" w:rsidRDefault="005E4CEC" w:rsidP="000E0295">
      <w:pPr>
        <w:pStyle w:val="base-text-paragraph"/>
      </w:pPr>
      <w:r>
        <w:t xml:space="preserve">Currently, section 6 of the SIS Act divides responsibility for the general administration of SIS Act provisions </w:t>
      </w:r>
      <w:r w:rsidR="006E2353">
        <w:t>among</w:t>
      </w:r>
      <w:r>
        <w:t xml:space="preserve"> APRA, ASIC and the Commissioner</w:t>
      </w:r>
      <w:r w:rsidR="009C5789">
        <w:t xml:space="preserve"> of Taxation</w:t>
      </w:r>
      <w:r>
        <w:t xml:space="preserve">. </w:t>
      </w:r>
      <w:r w:rsidR="00B13487">
        <w:t>The e</w:t>
      </w:r>
      <w:r>
        <w:t>xisting section 6 is confusing and opaque</w:t>
      </w:r>
      <w:r w:rsidR="00B158CA">
        <w:t xml:space="preserve"> insofar as the</w:t>
      </w:r>
      <w:r>
        <w:t xml:space="preserve"> provision’s structure makes it difficult to identify which regulator is responsible for a particular provision.</w:t>
      </w:r>
    </w:p>
    <w:p w14:paraId="46EB8046" w14:textId="05DAC235" w:rsidR="00DA3917" w:rsidRPr="00DA3917" w:rsidRDefault="00F6540A" w:rsidP="00C34EC6">
      <w:pPr>
        <w:pStyle w:val="base-text-paragraph"/>
        <w:rPr>
          <w:b/>
          <w:i/>
        </w:rPr>
      </w:pPr>
      <w:r>
        <w:t xml:space="preserve">Schedule # </w:t>
      </w:r>
      <w:r w:rsidR="000B0739">
        <w:t>to</w:t>
      </w:r>
      <w:r w:rsidR="003A0878">
        <w:t xml:space="preserve"> the Bill </w:t>
      </w:r>
      <w:r>
        <w:t xml:space="preserve">repeals </w:t>
      </w:r>
      <w:r w:rsidR="006E2353">
        <w:t xml:space="preserve">the </w:t>
      </w:r>
      <w:r>
        <w:t>existing section 6 of the SIS</w:t>
      </w:r>
      <w:r w:rsidR="00BF533E">
        <w:t> </w:t>
      </w:r>
      <w:r>
        <w:t>Act and inserts a new section 6.</w:t>
      </w:r>
      <w:r w:rsidR="00DA3917">
        <w:t xml:space="preserve"> </w:t>
      </w:r>
      <w:r w:rsidR="00DA3917" w:rsidRPr="00BD0D8B">
        <w:rPr>
          <w:rStyle w:val="Referencingstyle"/>
        </w:rPr>
        <w:t xml:space="preserve">[Schedule #, item </w:t>
      </w:r>
      <w:r w:rsidR="00DA2DD7">
        <w:rPr>
          <w:rStyle w:val="Referencingstyle"/>
        </w:rPr>
        <w:t xml:space="preserve">1, </w:t>
      </w:r>
      <w:r w:rsidR="00DA3917" w:rsidRPr="00BD0D8B">
        <w:rPr>
          <w:rStyle w:val="Referencingstyle"/>
        </w:rPr>
        <w:t>section 6 of the SIS Act]</w:t>
      </w:r>
    </w:p>
    <w:p w14:paraId="152749A5" w14:textId="2B7E86EA" w:rsidR="00A55394" w:rsidRPr="00A97B92" w:rsidRDefault="00883A06" w:rsidP="000E0295">
      <w:pPr>
        <w:pStyle w:val="base-text-paragraph"/>
      </w:pPr>
      <w:r>
        <w:t xml:space="preserve">To modernise and simplify </w:t>
      </w:r>
      <w:r w:rsidR="00DA2DD7">
        <w:t xml:space="preserve">section 6, </w:t>
      </w:r>
      <w:r>
        <w:t>the</w:t>
      </w:r>
      <w:r w:rsidR="00A55394">
        <w:t xml:space="preserve"> general administration of a provision of the SIS Act is </w:t>
      </w:r>
      <w:r w:rsidR="003701D8">
        <w:t xml:space="preserve">now </w:t>
      </w:r>
      <w:r w:rsidR="00A55394">
        <w:t xml:space="preserve">determined under the general administration table in subsection 6(1). </w:t>
      </w:r>
      <w:r w:rsidR="00A55394">
        <w:rPr>
          <w:rStyle w:val="Referencingstyle"/>
        </w:rPr>
        <w:t xml:space="preserve">[Schedule #, item </w:t>
      </w:r>
      <w:r w:rsidR="003A0878">
        <w:rPr>
          <w:rStyle w:val="Referencingstyle"/>
        </w:rPr>
        <w:t>1</w:t>
      </w:r>
      <w:r w:rsidR="00A55394">
        <w:rPr>
          <w:rStyle w:val="Referencingstyle"/>
        </w:rPr>
        <w:t>, subsection 5(1) of the SIS Act]</w:t>
      </w:r>
    </w:p>
    <w:p w14:paraId="0FF1A9F6" w14:textId="241BF233" w:rsidR="00A55394" w:rsidRPr="00973DC3" w:rsidRDefault="00A55394" w:rsidP="000E0295">
      <w:pPr>
        <w:pStyle w:val="base-text-paragraph"/>
        <w:rPr>
          <w:rStyle w:val="Referencingstyle"/>
          <w:b w:val="0"/>
          <w:i w:val="0"/>
          <w:sz w:val="22"/>
        </w:rPr>
      </w:pPr>
      <w:r>
        <w:t xml:space="preserve">The new </w:t>
      </w:r>
      <w:r w:rsidR="005E4CEC">
        <w:t xml:space="preserve">tabular structure of </w:t>
      </w:r>
      <w:r w:rsidR="003701D8">
        <w:t>sub</w:t>
      </w:r>
      <w:r>
        <w:t>section 6</w:t>
      </w:r>
      <w:r w:rsidR="003701D8">
        <w:t>(1)</w:t>
      </w:r>
      <w:r>
        <w:t xml:space="preserve"> improve</w:t>
      </w:r>
      <w:r w:rsidR="005E4CEC">
        <w:t>s</w:t>
      </w:r>
      <w:r>
        <w:t xml:space="preserve"> the readability and accessibility of the </w:t>
      </w:r>
      <w:r w:rsidR="005E4CEC">
        <w:t>information in the provision</w:t>
      </w:r>
      <w:r>
        <w:t xml:space="preserve">. </w:t>
      </w:r>
      <w:r w:rsidR="003701D8">
        <w:t xml:space="preserve">Under that subsection, </w:t>
      </w:r>
      <w:r>
        <w:t>the general administration</w:t>
      </w:r>
      <w:r w:rsidR="003701D8">
        <w:t xml:space="preserve"> of </w:t>
      </w:r>
      <w:r>
        <w:t xml:space="preserve">a provision </w:t>
      </w:r>
      <w:r w:rsidR="003701D8">
        <w:t xml:space="preserve">referred to in </w:t>
      </w:r>
      <w:r>
        <w:t xml:space="preserve">column one of the table is conferred </w:t>
      </w:r>
      <w:r w:rsidR="000934BE">
        <w:t>on</w:t>
      </w:r>
      <w:r w:rsidR="003701D8">
        <w:t xml:space="preserve"> the regulator listed in</w:t>
      </w:r>
      <w:r>
        <w:t xml:space="preserve"> column three. </w:t>
      </w:r>
      <w:r>
        <w:rPr>
          <w:rStyle w:val="Referencingstyle"/>
        </w:rPr>
        <w:t xml:space="preserve">[Schedule #, item 1, subsection 5(1) </w:t>
      </w:r>
      <w:r w:rsidR="001A4BFB">
        <w:rPr>
          <w:rStyle w:val="Referencingstyle"/>
        </w:rPr>
        <w:t>and 6(1)</w:t>
      </w:r>
      <w:r>
        <w:rPr>
          <w:rStyle w:val="Referencingstyle"/>
        </w:rPr>
        <w:t xml:space="preserve"> of the SIS Act]</w:t>
      </w:r>
    </w:p>
    <w:p w14:paraId="1F44D64E" w14:textId="0C1D63F5" w:rsidR="00973DC3" w:rsidRPr="00973DC3" w:rsidRDefault="00EC0E74" w:rsidP="000E0295">
      <w:pPr>
        <w:pStyle w:val="base-text-paragraph"/>
        <w:rPr>
          <w:rStyle w:val="Referencingstyle"/>
          <w:b w:val="0"/>
          <w:i w:val="0"/>
          <w:sz w:val="22"/>
        </w:rPr>
      </w:pPr>
      <w:r w:rsidRPr="00EC0E74">
        <w:rPr>
          <w:rStyle w:val="Referencingstyle"/>
          <w:b w:val="0"/>
          <w:i w:val="0"/>
          <w:sz w:val="22"/>
        </w:rPr>
        <w:t xml:space="preserve">Additionally, </w:t>
      </w:r>
      <w:r>
        <w:rPr>
          <w:rStyle w:val="Referencingstyle"/>
          <w:sz w:val="22"/>
        </w:rPr>
        <w:t>gen</w:t>
      </w:r>
      <w:r w:rsidR="00973DC3" w:rsidRPr="00EC0E74">
        <w:rPr>
          <w:rStyle w:val="Referencingstyle"/>
          <w:sz w:val="22"/>
        </w:rPr>
        <w:t>eral</w:t>
      </w:r>
      <w:r w:rsidR="00973DC3" w:rsidRPr="00973DC3">
        <w:rPr>
          <w:rStyle w:val="Referencingstyle"/>
          <w:sz w:val="22"/>
        </w:rPr>
        <w:t xml:space="preserve"> administration table</w:t>
      </w:r>
      <w:r w:rsidR="00973DC3">
        <w:rPr>
          <w:rStyle w:val="Referencingstyle"/>
          <w:b w:val="0"/>
          <w:i w:val="0"/>
          <w:sz w:val="22"/>
        </w:rPr>
        <w:t xml:space="preserve"> is now defined </w:t>
      </w:r>
      <w:r w:rsidR="006F2CB7">
        <w:rPr>
          <w:rStyle w:val="Referencingstyle"/>
          <w:b w:val="0"/>
          <w:i w:val="0"/>
          <w:sz w:val="22"/>
        </w:rPr>
        <w:t>in</w:t>
      </w:r>
      <w:r w:rsidR="00973DC3">
        <w:rPr>
          <w:rStyle w:val="Referencingstyle"/>
          <w:b w:val="0"/>
          <w:i w:val="0"/>
          <w:sz w:val="22"/>
        </w:rPr>
        <w:t xml:space="preserve"> subsection 10(1) to mean the table in section 6 of the SIS Act. </w:t>
      </w:r>
      <w:r w:rsidR="00973DC3">
        <w:rPr>
          <w:rStyle w:val="Referencingstyle"/>
        </w:rPr>
        <w:t xml:space="preserve">[Schedule #, item </w:t>
      </w:r>
      <w:r w:rsidR="00AB0B46">
        <w:rPr>
          <w:rStyle w:val="Referencingstyle"/>
        </w:rPr>
        <w:t>2</w:t>
      </w:r>
      <w:r w:rsidR="00973DC3">
        <w:rPr>
          <w:rStyle w:val="Referencingstyle"/>
        </w:rPr>
        <w:t>, subsection 10(1) of the SIS Act]</w:t>
      </w:r>
    </w:p>
    <w:p w14:paraId="2C0CD6A8" w14:textId="31E1EDE5" w:rsidR="00DC74B6" w:rsidRDefault="00DC74B6" w:rsidP="00DC74B6">
      <w:pPr>
        <w:pStyle w:val="Heading4"/>
      </w:pPr>
      <w:r w:rsidRPr="00DC74B6">
        <w:t xml:space="preserve">Substantive changes to </w:t>
      </w:r>
      <w:r w:rsidR="0097321B">
        <w:t xml:space="preserve">the </w:t>
      </w:r>
      <w:r w:rsidRPr="00DC74B6">
        <w:t>general administration</w:t>
      </w:r>
      <w:r w:rsidR="0097321B">
        <w:t xml:space="preserve"> of provisions</w:t>
      </w:r>
    </w:p>
    <w:p w14:paraId="75455D8A" w14:textId="45F49ACA" w:rsidR="005C57EC" w:rsidRPr="005C57EC" w:rsidRDefault="005C57EC" w:rsidP="005C57EC">
      <w:pPr>
        <w:pStyle w:val="base-text-paragraph"/>
      </w:pPr>
      <w:r>
        <w:t xml:space="preserve">The main changes to the general administration of provisions in the SIS Act relate to the co-regulation of provisions by APRA and ASIC. </w:t>
      </w:r>
      <w:r w:rsidR="000B1BED">
        <w:t>O</w:t>
      </w:r>
      <w:r>
        <w:t xml:space="preserve">ther changes </w:t>
      </w:r>
      <w:r w:rsidR="000B1BED">
        <w:t xml:space="preserve">to section 6, including the general administration of provisions, </w:t>
      </w:r>
      <w:r w:rsidR="008720C6">
        <w:t xml:space="preserve">improve the operation </w:t>
      </w:r>
      <w:r w:rsidR="000B1BED">
        <w:t xml:space="preserve">of the section and </w:t>
      </w:r>
      <w:r w:rsidR="008720C6">
        <w:t>efficiency of general administration.</w:t>
      </w:r>
    </w:p>
    <w:p w14:paraId="1AA6C425" w14:textId="6FB9FFA5" w:rsidR="00F10CFE" w:rsidRPr="005C57EC" w:rsidRDefault="00F10CFE" w:rsidP="005C57EC">
      <w:pPr>
        <w:pStyle w:val="base-text-paragraph"/>
      </w:pPr>
      <w:r>
        <w:t xml:space="preserve">The following items in the general administration table reflect no </w:t>
      </w:r>
      <w:r w:rsidR="001A7CAC">
        <w:t xml:space="preserve">substantive </w:t>
      </w:r>
      <w:r>
        <w:t xml:space="preserve">change from the </w:t>
      </w:r>
      <w:r w:rsidR="00D27957">
        <w:t>allocation of general administration</w:t>
      </w:r>
      <w:r w:rsidR="00D27957" w:rsidRPr="00D27957">
        <w:t xml:space="preserve"> </w:t>
      </w:r>
      <w:r w:rsidR="00D27957">
        <w:t xml:space="preserve">in the </w:t>
      </w:r>
      <w:r>
        <w:t xml:space="preserve">existing SIS Act: </w:t>
      </w:r>
      <w:r w:rsidR="00D32F00" w:rsidRPr="00246E44">
        <w:t>1</w:t>
      </w:r>
      <w:r w:rsidR="00892008" w:rsidRPr="00246E44">
        <w:t xml:space="preserve">, </w:t>
      </w:r>
      <w:r w:rsidR="00D32F00" w:rsidRPr="00246E44">
        <w:t>3</w:t>
      </w:r>
      <w:r w:rsidR="00B440B4" w:rsidRPr="00246E44">
        <w:t>-</w:t>
      </w:r>
      <w:r w:rsidR="00D32F00" w:rsidRPr="00246E44">
        <w:t>14,</w:t>
      </w:r>
      <w:r w:rsidR="00246E44">
        <w:t xml:space="preserve"> 17, 21-</w:t>
      </w:r>
      <w:r w:rsidR="00C771EB">
        <w:t>22, 24</w:t>
      </w:r>
      <w:r w:rsidR="00F223BC">
        <w:t>-25</w:t>
      </w:r>
      <w:r w:rsidR="00C771EB">
        <w:t>,</w:t>
      </w:r>
      <w:r w:rsidR="00F223BC">
        <w:t xml:space="preserve"> 27-31, 33-35, 37-38, 40-49, </w:t>
      </w:r>
      <w:r w:rsidR="0034732A">
        <w:t>51-</w:t>
      </w:r>
      <w:r w:rsidR="004835A7">
        <w:t xml:space="preserve">53, </w:t>
      </w:r>
      <w:proofErr w:type="gramStart"/>
      <w:r w:rsidR="004835A7">
        <w:t>55</w:t>
      </w:r>
      <w:proofErr w:type="gramEnd"/>
      <w:r w:rsidR="004835A7">
        <w:t>-61.</w:t>
      </w:r>
      <w:r w:rsidR="00987259">
        <w:t xml:space="preserve"> </w:t>
      </w:r>
      <w:r w:rsidR="00987259">
        <w:rPr>
          <w:rStyle w:val="Referencingstyle"/>
        </w:rPr>
        <w:t xml:space="preserve">[Schedule </w:t>
      </w:r>
      <w:r w:rsidR="00C9434D">
        <w:rPr>
          <w:rStyle w:val="Referencingstyle"/>
        </w:rPr>
        <w:t>#</w:t>
      </w:r>
      <w:r w:rsidR="00987259">
        <w:rPr>
          <w:rStyle w:val="Referencingstyle"/>
        </w:rPr>
        <w:t>, i</w:t>
      </w:r>
      <w:r w:rsidR="00987259" w:rsidRPr="00375F1D">
        <w:rPr>
          <w:rStyle w:val="Referencingstyle"/>
        </w:rPr>
        <w:t>tem</w:t>
      </w:r>
      <w:r w:rsidR="00987259">
        <w:rPr>
          <w:rStyle w:val="Referencingstyle"/>
        </w:rPr>
        <w:t xml:space="preserve"> 1, section</w:t>
      </w:r>
      <w:r w:rsidR="00987259" w:rsidRPr="00375F1D">
        <w:rPr>
          <w:rStyle w:val="Referencingstyle"/>
        </w:rPr>
        <w:t xml:space="preserve"> </w:t>
      </w:r>
      <w:r w:rsidR="00987259">
        <w:rPr>
          <w:rStyle w:val="Referencingstyle"/>
        </w:rPr>
        <w:t xml:space="preserve">6(1) </w:t>
      </w:r>
      <w:r w:rsidR="00987259" w:rsidRPr="00375F1D">
        <w:rPr>
          <w:rStyle w:val="Referencingstyle"/>
        </w:rPr>
        <w:t xml:space="preserve">of </w:t>
      </w:r>
      <w:r w:rsidR="00987259">
        <w:rPr>
          <w:rStyle w:val="Referencingstyle"/>
        </w:rPr>
        <w:t xml:space="preserve">the SIS </w:t>
      </w:r>
      <w:r w:rsidR="00987259" w:rsidRPr="00375F1D">
        <w:rPr>
          <w:rStyle w:val="Referencingstyle"/>
        </w:rPr>
        <w:t>Act]</w:t>
      </w:r>
    </w:p>
    <w:p w14:paraId="5A2BABD2" w14:textId="77777777" w:rsidR="007C1BCF" w:rsidRDefault="007C1BCF" w:rsidP="007C1BCF">
      <w:pPr>
        <w:pStyle w:val="Heading5"/>
      </w:pPr>
      <w:r>
        <w:t>Co-regulation of provisions by APRA and ASIC</w:t>
      </w:r>
    </w:p>
    <w:p w14:paraId="48F2AE71" w14:textId="65C54012" w:rsidR="00B13487" w:rsidRDefault="007C1BCF" w:rsidP="00B13487">
      <w:pPr>
        <w:pStyle w:val="base-text-paragraph"/>
        <w:numPr>
          <w:ilvl w:val="1"/>
          <w:numId w:val="23"/>
        </w:numPr>
      </w:pPr>
      <w:r>
        <w:t xml:space="preserve">Financial Services Royal Commission recommendations 3.8, 6.3, 6.4 and 6.5 underpin a number of changes to the allocation of general administration, which enable co-regulation of </w:t>
      </w:r>
      <w:r w:rsidR="00406CC5">
        <w:t>enforceable consumer/member</w:t>
      </w:r>
      <w:r>
        <w:t xml:space="preserve"> </w:t>
      </w:r>
      <w:r w:rsidR="00406CC5">
        <w:t xml:space="preserve">focused </w:t>
      </w:r>
      <w:r w:rsidR="00D457FB">
        <w:t xml:space="preserve">SIS Act </w:t>
      </w:r>
      <w:r>
        <w:t>provisions by APRA and ASIC. Co</w:t>
      </w:r>
      <w:r w:rsidR="00BF533E">
        <w:noBreakHyphen/>
      </w:r>
      <w:r>
        <w:t xml:space="preserve">regulated provisions are </w:t>
      </w:r>
      <w:r w:rsidR="00B13487">
        <w:t xml:space="preserve">civil penalty provisions or provisions that are otherwise enforceable, </w:t>
      </w:r>
      <w:r w:rsidR="00406CC5">
        <w:t xml:space="preserve">and </w:t>
      </w:r>
      <w:r w:rsidR="00B13487">
        <w:t xml:space="preserve">which </w:t>
      </w:r>
      <w:r>
        <w:t xml:space="preserve">have </w:t>
      </w:r>
      <w:r w:rsidR="00406CC5">
        <w:t xml:space="preserve">consumer protection and member </w:t>
      </w:r>
      <w:r>
        <w:t>outcomes as their touchstone.</w:t>
      </w:r>
      <w:r w:rsidR="00B13487">
        <w:t xml:space="preserve"> </w:t>
      </w:r>
    </w:p>
    <w:p w14:paraId="3FE2237B" w14:textId="0E007E5E" w:rsidR="00406CC5" w:rsidRDefault="00406CC5" w:rsidP="00406CC5">
      <w:pPr>
        <w:pStyle w:val="base-text-paragraph"/>
        <w:numPr>
          <w:ilvl w:val="1"/>
          <w:numId w:val="23"/>
        </w:numPr>
      </w:pPr>
      <w:r>
        <w:lastRenderedPageBreak/>
        <w:t>The introduction of the co-regulation by APRA and ASIC of enforceable consumer/member focused provisions is a shift from the existing division of responsibilities under the SIS Act where regulators have discret</w:t>
      </w:r>
      <w:r w:rsidR="004C21CB">
        <w:t>e</w:t>
      </w:r>
      <w:r>
        <w:t xml:space="preserve"> responsibilities and roles. </w:t>
      </w:r>
    </w:p>
    <w:p w14:paraId="211B05C9" w14:textId="77777777" w:rsidR="00B13487" w:rsidRDefault="00B13487" w:rsidP="00B13487">
      <w:pPr>
        <w:pStyle w:val="base-text-paragraph"/>
        <w:numPr>
          <w:ilvl w:val="1"/>
          <w:numId w:val="23"/>
        </w:numPr>
      </w:pPr>
      <w:r>
        <w:t xml:space="preserve">Consistent with Financial Services Royal Commission recommendation 6.4, provisions with a consumer protection focus that become civil penalty provisions in the future should also be co-regulated by APRA and ASIC. </w:t>
      </w:r>
    </w:p>
    <w:p w14:paraId="2C3ED7E7" w14:textId="4883114B" w:rsidR="007C1BCF" w:rsidRDefault="00254982" w:rsidP="000E0295">
      <w:pPr>
        <w:pStyle w:val="base-text-paragraph"/>
      </w:pPr>
      <w:r>
        <w:t>The amendments ensure that t</w:t>
      </w:r>
      <w:r w:rsidR="007C1BCF">
        <w:t>he following SIS Act provisions, whi</w:t>
      </w:r>
      <w:r w:rsidR="002D3413">
        <w:t xml:space="preserve">ch concern consumer protection and </w:t>
      </w:r>
      <w:r w:rsidR="007C1BCF">
        <w:t>m</w:t>
      </w:r>
      <w:r w:rsidR="002D3413">
        <w:t xml:space="preserve">ember </w:t>
      </w:r>
      <w:r w:rsidR="007C1BCF">
        <w:t>outcomes are now co</w:t>
      </w:r>
      <w:r w:rsidR="004C21CB">
        <w:noBreakHyphen/>
      </w:r>
      <w:r w:rsidR="007C1BCF">
        <w:t xml:space="preserve">regulated by APRA and ASIC: </w:t>
      </w:r>
    </w:p>
    <w:p w14:paraId="01ED92E9" w14:textId="29DE948D" w:rsidR="007C1BCF" w:rsidRDefault="007C1BCF" w:rsidP="007C1BCF">
      <w:pPr>
        <w:pStyle w:val="dotpoint"/>
      </w:pPr>
      <w:r>
        <w:t>Section 29JCA</w:t>
      </w:r>
      <w:r w:rsidR="00FD30C9">
        <w:t>, which concerns false representation about</w:t>
      </w:r>
      <w:r w:rsidR="007B69D1">
        <w:t xml:space="preserve"> </w:t>
      </w:r>
      <w:r w:rsidR="00FD30C9">
        <w:t xml:space="preserve">status as an RSE licensee </w:t>
      </w:r>
      <w:r w:rsidR="00CD1B71">
        <w:t>(i</w:t>
      </w:r>
      <w:r w:rsidR="007B69D1">
        <w:t xml:space="preserve">tem </w:t>
      </w:r>
      <w:r w:rsidR="00D7635F">
        <w:t>2</w:t>
      </w:r>
      <w:r w:rsidR="00DB55FC">
        <w:t xml:space="preserve"> in</w:t>
      </w:r>
      <w:r w:rsidR="007B69D1">
        <w:t xml:space="preserve"> the general administration table)</w:t>
      </w:r>
    </w:p>
    <w:p w14:paraId="1229ADE5" w14:textId="10295F7A" w:rsidR="007C1BCF" w:rsidRDefault="00DB55FC" w:rsidP="007C1BCF">
      <w:pPr>
        <w:pStyle w:val="dotpoint"/>
      </w:pPr>
      <w:r>
        <w:t xml:space="preserve">Sections 52, 52A </w:t>
      </w:r>
      <w:r w:rsidR="007C1BCF">
        <w:t>and 54B</w:t>
      </w:r>
      <w:r w:rsidR="00FD30C9">
        <w:t xml:space="preserve">, which concern the governing rules covenants for registrable superannuation entities and the consequences for breaching these covenants </w:t>
      </w:r>
      <w:r w:rsidR="007B69D1">
        <w:t>(</w:t>
      </w:r>
      <w:r w:rsidR="00CD1B71">
        <w:t>i</w:t>
      </w:r>
      <w:r>
        <w:t xml:space="preserve">tem </w:t>
      </w:r>
      <w:r w:rsidR="00C82CB8">
        <w:t xml:space="preserve">18 </w:t>
      </w:r>
      <w:r>
        <w:t>in the general administration table)</w:t>
      </w:r>
    </w:p>
    <w:p w14:paraId="6EE74620" w14:textId="642FE192" w:rsidR="00DB55FC" w:rsidRDefault="00DB55FC" w:rsidP="007C1BCF">
      <w:pPr>
        <w:pStyle w:val="dotpoint"/>
      </w:pPr>
      <w:r>
        <w:t>Section 54A</w:t>
      </w:r>
      <w:r w:rsidR="00703B2A">
        <w:t>, which provides a power to prescribe other gover</w:t>
      </w:r>
      <w:r w:rsidR="00A9058C">
        <w:t>ning rules covenants in regulations</w:t>
      </w:r>
      <w:r w:rsidR="00CD1B71">
        <w:t xml:space="preserve"> (i</w:t>
      </w:r>
      <w:r w:rsidR="00C82CB8">
        <w:t>tem 20</w:t>
      </w:r>
      <w:r>
        <w:t xml:space="preserve"> in the general administration table)</w:t>
      </w:r>
    </w:p>
    <w:p w14:paraId="6400D4FA" w14:textId="14557577" w:rsidR="007C1BCF" w:rsidRDefault="007C1BCF" w:rsidP="007C1BCF">
      <w:pPr>
        <w:pStyle w:val="dotpoint"/>
      </w:pPr>
      <w:r>
        <w:t>Sections 62 and 68</w:t>
      </w:r>
      <w:r w:rsidR="00A9058C">
        <w:t>, which establish the sole purpose test and the prohibition against victimisation</w:t>
      </w:r>
      <w:r w:rsidR="003D28AC">
        <w:t>, including of trustees,</w:t>
      </w:r>
      <w:r w:rsidR="00A9058C">
        <w:t xml:space="preserve"> respectively </w:t>
      </w:r>
      <w:r w:rsidR="00CD1B71">
        <w:t>(i</w:t>
      </w:r>
      <w:r w:rsidR="00DB55FC">
        <w:t xml:space="preserve">tem </w:t>
      </w:r>
      <w:r w:rsidR="00C82CB8">
        <w:t>23</w:t>
      </w:r>
      <w:r w:rsidR="00DB55FC">
        <w:t xml:space="preserve"> in the general administration table)</w:t>
      </w:r>
    </w:p>
    <w:p w14:paraId="0EF760CD" w14:textId="2EF62F07" w:rsidR="007C1BCF" w:rsidRDefault="007C1BCF" w:rsidP="007C1BCF">
      <w:pPr>
        <w:pStyle w:val="dotpoint"/>
      </w:pPr>
      <w:r>
        <w:t>Section 108A</w:t>
      </w:r>
      <w:r w:rsidR="00842E20">
        <w:t>, which concerns the duty on trustees to identify multiple superannuation accounts of members</w:t>
      </w:r>
      <w:r w:rsidR="00CD1B71">
        <w:t xml:space="preserve"> (i</w:t>
      </w:r>
      <w:r w:rsidR="00DB55FC">
        <w:t xml:space="preserve">tem </w:t>
      </w:r>
      <w:r w:rsidR="00C82CB8">
        <w:t>36</w:t>
      </w:r>
      <w:r w:rsidR="00DB55FC">
        <w:t xml:space="preserve"> in the general administration table) </w:t>
      </w:r>
    </w:p>
    <w:p w14:paraId="4349541E" w14:textId="53FF66C9" w:rsidR="007C1BCF" w:rsidRDefault="007C1BCF" w:rsidP="007C1BCF">
      <w:pPr>
        <w:pStyle w:val="dotpoint"/>
      </w:pPr>
      <w:r>
        <w:t>Section 126K</w:t>
      </w:r>
      <w:r w:rsidR="00083164">
        <w:t>, which provides that it is an offence for disqualified persons to be trustees, investment managers or custodians of superannuation entities</w:t>
      </w:r>
      <w:r w:rsidR="00C22B05">
        <w:t xml:space="preserve"> </w:t>
      </w:r>
      <w:r w:rsidR="00B109EF">
        <w:t>(</w:t>
      </w:r>
      <w:r w:rsidR="00CD1B71">
        <w:t>i</w:t>
      </w:r>
      <w:r w:rsidR="001B7224">
        <w:t xml:space="preserve">tem </w:t>
      </w:r>
      <w:r w:rsidR="00C82CB8">
        <w:t>39</w:t>
      </w:r>
      <w:r w:rsidR="00083350">
        <w:t xml:space="preserve"> in the general administration table) </w:t>
      </w:r>
    </w:p>
    <w:p w14:paraId="6F2CCCDA" w14:textId="2E8DBCCD" w:rsidR="007C1BCF" w:rsidRDefault="007C1BCF" w:rsidP="007C1BCF">
      <w:pPr>
        <w:pStyle w:val="dotpoint"/>
      </w:pPr>
      <w:r>
        <w:t>Part 21</w:t>
      </w:r>
      <w:r w:rsidR="003F13C6">
        <w:t xml:space="preserve"> </w:t>
      </w:r>
      <w:r w:rsidR="004B75E3">
        <w:t>–</w:t>
      </w:r>
      <w:r w:rsidR="003F13C6">
        <w:t xml:space="preserve"> </w:t>
      </w:r>
      <w:r w:rsidR="003F13C6" w:rsidRPr="003F13C6">
        <w:t>Civil and criminal consequences of contravening civil penalty provisions</w:t>
      </w:r>
      <w:r w:rsidR="003F13C6">
        <w:t xml:space="preserve"> –</w:t>
      </w:r>
      <w:r>
        <w:t xml:space="preserve"> to the extent </w:t>
      </w:r>
      <w:r w:rsidR="00310F45">
        <w:t>it</w:t>
      </w:r>
      <w:r>
        <w:t xml:space="preserve"> relates to a provision administered by both APRA and ASIC</w:t>
      </w:r>
      <w:r w:rsidR="00CD1B71">
        <w:t xml:space="preserve"> (i</w:t>
      </w:r>
      <w:r w:rsidR="00083350">
        <w:t xml:space="preserve">tem </w:t>
      </w:r>
      <w:r w:rsidR="00C82CB8">
        <w:t>50 i</w:t>
      </w:r>
      <w:r w:rsidR="00083350">
        <w:t>n the general administration table)</w:t>
      </w:r>
      <w:r>
        <w:t>, and</w:t>
      </w:r>
    </w:p>
    <w:p w14:paraId="24BBABC0" w14:textId="54D32207" w:rsidR="007C1BCF" w:rsidRDefault="007C1BCF" w:rsidP="007C1BCF">
      <w:pPr>
        <w:pStyle w:val="dotpoint"/>
      </w:pPr>
      <w:r>
        <w:t>Sections 242K, 242L and 242M</w:t>
      </w:r>
      <w:r w:rsidR="003F13C6">
        <w:t>, which concern t</w:t>
      </w:r>
      <w:r w:rsidR="003F13C6" w:rsidRPr="003F13C6">
        <w:t>rustee obligations relating to eligible rollover funds</w:t>
      </w:r>
      <w:r w:rsidR="003F13C6">
        <w:t xml:space="preserve"> and the consequences for breaching those obligations</w:t>
      </w:r>
      <w:r w:rsidR="00CD1B71">
        <w:t xml:space="preserve"> (i</w:t>
      </w:r>
      <w:r w:rsidR="00083350">
        <w:t xml:space="preserve">tem </w:t>
      </w:r>
      <w:r w:rsidR="00C82CB8">
        <w:t>54</w:t>
      </w:r>
      <w:r w:rsidR="00083350">
        <w:t xml:space="preserve"> in the general administration table)</w:t>
      </w:r>
      <w:r>
        <w:t>.</w:t>
      </w:r>
    </w:p>
    <w:p w14:paraId="4EB8B599" w14:textId="7147DE18" w:rsidR="007C1BCF" w:rsidRDefault="007C1BCF" w:rsidP="007C1BCF">
      <w:pPr>
        <w:pStyle w:val="base-text-paragraph"/>
        <w:numPr>
          <w:ilvl w:val="0"/>
          <w:numId w:val="0"/>
        </w:numPr>
        <w:ind w:left="2268"/>
        <w:rPr>
          <w:rStyle w:val="Referencingstyle"/>
        </w:rPr>
      </w:pPr>
      <w:r>
        <w:rPr>
          <w:rStyle w:val="Referencingstyle"/>
        </w:rPr>
        <w:t>[Schedule #, item 1, subsection 6(1) of the SIS Act]</w:t>
      </w:r>
    </w:p>
    <w:p w14:paraId="47821EA0" w14:textId="690F40C2" w:rsidR="00E24147" w:rsidRDefault="004B1A15" w:rsidP="005C18C7">
      <w:pPr>
        <w:pStyle w:val="base-text-paragraph"/>
      </w:pPr>
      <w:r>
        <w:lastRenderedPageBreak/>
        <w:t>While</w:t>
      </w:r>
      <w:r w:rsidR="00EA1049">
        <w:t xml:space="preserve"> </w:t>
      </w:r>
      <w:r w:rsidR="00F828F9">
        <w:t xml:space="preserve">co-regulation introduces </w:t>
      </w:r>
      <w:r w:rsidR="00EA1049">
        <w:t xml:space="preserve">overlap between APRA’s member outcomes role and ASIC’s consumer protection </w:t>
      </w:r>
      <w:r w:rsidR="00B17296">
        <w:t xml:space="preserve">and market integrity </w:t>
      </w:r>
      <w:r>
        <w:t xml:space="preserve">role, </w:t>
      </w:r>
      <w:r w:rsidR="00870383">
        <w:t>in</w:t>
      </w:r>
      <w:r w:rsidR="00F828F9">
        <w:t xml:space="preserve"> practice, </w:t>
      </w:r>
      <w:r w:rsidR="00EE7508">
        <w:t xml:space="preserve">APRA and ASIC </w:t>
      </w:r>
      <w:r w:rsidR="00E24147">
        <w:t>have a natural</w:t>
      </w:r>
      <w:r w:rsidR="00EE7508">
        <w:t xml:space="preserve"> focus on </w:t>
      </w:r>
      <w:r w:rsidR="00F828F9">
        <w:t xml:space="preserve">different </w:t>
      </w:r>
      <w:r w:rsidR="003A57A4">
        <w:t>aspects of conduct</w:t>
      </w:r>
      <w:r w:rsidR="006C7E79">
        <w:t xml:space="preserve">. </w:t>
      </w:r>
      <w:r w:rsidR="00EE7508">
        <w:t xml:space="preserve">ASIC’s </w:t>
      </w:r>
      <w:r w:rsidR="00CD3BF1">
        <w:t>focus is</w:t>
      </w:r>
      <w:r w:rsidR="00EE7508">
        <w:t xml:space="preserve"> </w:t>
      </w:r>
      <w:r w:rsidR="00CD3BF1">
        <w:t>generally on</w:t>
      </w:r>
      <w:r w:rsidR="00EE7508">
        <w:t xml:space="preserve"> the relationship between </w:t>
      </w:r>
      <w:r w:rsidR="0082252E">
        <w:t>superannuation trustees</w:t>
      </w:r>
      <w:r w:rsidR="00EE7508">
        <w:t xml:space="preserve"> and individual consumers</w:t>
      </w:r>
      <w:r w:rsidR="00CF37A4">
        <w:t xml:space="preserve"> whereas APRA’s </w:t>
      </w:r>
      <w:r w:rsidR="00CD3BF1">
        <w:t xml:space="preserve">focus is generally on </w:t>
      </w:r>
      <w:r w:rsidR="00CF37A4">
        <w:t>the outcomes that trustees deliver for their membership as a whole</w:t>
      </w:r>
      <w:r w:rsidR="00A11280">
        <w:t>, or cohorts of members</w:t>
      </w:r>
      <w:r w:rsidR="002D4418">
        <w:t>.</w:t>
      </w:r>
    </w:p>
    <w:p w14:paraId="4D053911" w14:textId="740004DC" w:rsidR="00E952EA" w:rsidRDefault="00E952EA" w:rsidP="000068D7">
      <w:pPr>
        <w:pStyle w:val="base-text-paragraph"/>
      </w:pPr>
      <w:r>
        <w:t xml:space="preserve">APRA and ASIC are working together to </w:t>
      </w:r>
      <w:r w:rsidR="000A2811">
        <w:t>improve outcomes for superannuation members and beneficiaries</w:t>
      </w:r>
      <w:r w:rsidR="006F74A0">
        <w:t>,</w:t>
      </w:r>
      <w:r w:rsidR="000A2811">
        <w:t xml:space="preserve"> and to enhance their regulatory cooperation</w:t>
      </w:r>
      <w:r w:rsidR="00BC42F9">
        <w:t xml:space="preserve">. For example, APRA and ASIC are </w:t>
      </w:r>
      <w:r w:rsidR="00F50CF9">
        <w:t xml:space="preserve">jointly </w:t>
      </w:r>
      <w:r w:rsidR="00BC42F9">
        <w:t xml:space="preserve">developing </w:t>
      </w:r>
      <w:r w:rsidR="00F50CF9">
        <w:t xml:space="preserve">communications for RSE licensees </w:t>
      </w:r>
      <w:r w:rsidR="00BC26EF">
        <w:t>about how the co</w:t>
      </w:r>
      <w:r w:rsidR="00897A53">
        <w:noBreakHyphen/>
      </w:r>
      <w:r w:rsidR="00BC26EF">
        <w:t>regulation of enforceable consumer/member focused provisions works in practice</w:t>
      </w:r>
      <w:r w:rsidR="00897A53">
        <w:t>,</w:t>
      </w:r>
      <w:r w:rsidR="00F50CF9">
        <w:t xml:space="preserve"> to be released before 1 July 2020. </w:t>
      </w:r>
    </w:p>
    <w:p w14:paraId="493E769E" w14:textId="2F45F64A" w:rsidR="00C25FFC" w:rsidRDefault="00C25FFC" w:rsidP="005C18C7">
      <w:pPr>
        <w:pStyle w:val="base-text-paragraph"/>
      </w:pPr>
      <w:r>
        <w:t xml:space="preserve">Co-regulation does not </w:t>
      </w:r>
      <w:r w:rsidR="00DB0E12">
        <w:t>change</w:t>
      </w:r>
      <w:r>
        <w:t xml:space="preserve"> </w:t>
      </w:r>
      <w:r w:rsidR="00DB0E12">
        <w:t xml:space="preserve">any of the obligations on </w:t>
      </w:r>
      <w:r>
        <w:t xml:space="preserve">RSE licensees </w:t>
      </w:r>
      <w:r w:rsidR="00DB0E12">
        <w:t xml:space="preserve">or how they are to </w:t>
      </w:r>
      <w:r>
        <w:t xml:space="preserve">comply with </w:t>
      </w:r>
      <w:r w:rsidR="00DB0E12">
        <w:t xml:space="preserve">these </w:t>
      </w:r>
      <w:r>
        <w:t>obligations</w:t>
      </w:r>
      <w:r w:rsidR="00DB0E12">
        <w:t>. For example, breaches of RSE licence conditions must still be reported to APRA in accordance with existing section 29JA of the SIS Act.</w:t>
      </w:r>
    </w:p>
    <w:p w14:paraId="2A063DA4" w14:textId="7B2FA78B" w:rsidR="001D47F1" w:rsidRDefault="001D47F1" w:rsidP="00DD5571">
      <w:pPr>
        <w:pStyle w:val="base-text-paragraph"/>
      </w:pPr>
      <w:r>
        <w:t>However, APRA and ASIC have a role in administering the obligations contained in the</w:t>
      </w:r>
      <w:r w:rsidRPr="001D47F1">
        <w:t xml:space="preserve"> </w:t>
      </w:r>
      <w:r>
        <w:t>above listed enforceable consumer/member focused provisions. This could involve, for example, determining and enforcing compliance in relation to these provisions.</w:t>
      </w:r>
    </w:p>
    <w:p w14:paraId="14674F94" w14:textId="4A801D70" w:rsidR="00906B60" w:rsidRDefault="00235644" w:rsidP="000E0295">
      <w:pPr>
        <w:pStyle w:val="base-text-paragraph"/>
      </w:pPr>
      <w:r>
        <w:t xml:space="preserve">Co-regulation of enforceable consumer/member focused </w:t>
      </w:r>
      <w:r w:rsidR="00906B60">
        <w:t>provisions is only between APRA and ASIC. The Commissioner of Taxation’s role is unchanged, including in relation to SMSFs.</w:t>
      </w:r>
    </w:p>
    <w:p w14:paraId="1846FE2A" w14:textId="77777777" w:rsidR="00845752" w:rsidRDefault="00845752" w:rsidP="00845752">
      <w:pPr>
        <w:pStyle w:val="base-text-paragraph"/>
      </w:pPr>
      <w:r>
        <w:t>These outcomes are consistent with Financial Services Royal Commission recommendations 3.8, 6.3, 6.4 and 6.5.</w:t>
      </w:r>
    </w:p>
    <w:p w14:paraId="3034B8F5" w14:textId="56CFDD5B" w:rsidR="007B69D1" w:rsidRDefault="007B69D1" w:rsidP="003901A4">
      <w:pPr>
        <w:pStyle w:val="Heading5"/>
      </w:pPr>
      <w:r>
        <w:t>General improvements</w:t>
      </w:r>
      <w:r w:rsidR="003A0878">
        <w:t xml:space="preserve"> to section 6</w:t>
      </w:r>
      <w:r w:rsidR="00F946B3">
        <w:t xml:space="preserve"> and related provisions</w:t>
      </w:r>
    </w:p>
    <w:p w14:paraId="54EE3833" w14:textId="2C0EB9A2" w:rsidR="00D04212" w:rsidRPr="00F946B3" w:rsidRDefault="00E04125" w:rsidP="00D04212">
      <w:pPr>
        <w:pStyle w:val="Heading6"/>
      </w:pPr>
      <w:r>
        <w:t>T</w:t>
      </w:r>
      <w:r w:rsidR="00F946B3">
        <w:t xml:space="preserve">rustee </w:t>
      </w:r>
      <w:r w:rsidR="00F946B3" w:rsidRPr="00F946B3">
        <w:t xml:space="preserve">elections </w:t>
      </w:r>
      <w:r w:rsidR="00155124">
        <w:t>and complying fund status</w:t>
      </w:r>
    </w:p>
    <w:p w14:paraId="5B6044D5" w14:textId="1B11C304" w:rsidR="00B93C83" w:rsidRDefault="00D04212" w:rsidP="000E0295">
      <w:pPr>
        <w:pStyle w:val="base-text-paragraph"/>
      </w:pPr>
      <w:r w:rsidRPr="00DB5D62">
        <w:t xml:space="preserve"> </w:t>
      </w:r>
      <w:r w:rsidR="00DB5D62">
        <w:t xml:space="preserve">Schedule # to the </w:t>
      </w:r>
      <w:r w:rsidR="00B93C83">
        <w:t>B</w:t>
      </w:r>
      <w:r w:rsidR="00DB5D62">
        <w:t xml:space="preserve">ill </w:t>
      </w:r>
      <w:r w:rsidR="00B93C83">
        <w:t xml:space="preserve">updates the SIS Act to </w:t>
      </w:r>
      <w:r w:rsidR="00F946B3">
        <w:t>clarify</w:t>
      </w:r>
      <w:r w:rsidR="00B93C83">
        <w:t xml:space="preserve"> the </w:t>
      </w:r>
      <w:r w:rsidR="00F946B3">
        <w:t>existing position</w:t>
      </w:r>
      <w:r w:rsidR="00B93C83">
        <w:t xml:space="preserve"> that the Commissioner of Taxation, rather than APRA, is responsible for receiving </w:t>
      </w:r>
      <w:r w:rsidR="00E97921">
        <w:t xml:space="preserve">written notices from trustees </w:t>
      </w:r>
      <w:r w:rsidR="00BA20A8">
        <w:t>of</w:t>
      </w:r>
      <w:r w:rsidR="00E97921">
        <w:t xml:space="preserve"> their election to have the Act apply to them as a regulated superannuation fund. </w:t>
      </w:r>
      <w:r w:rsidR="00E97921">
        <w:rPr>
          <w:rStyle w:val="Referencingstyle"/>
        </w:rPr>
        <w:t>[Schedule</w:t>
      </w:r>
      <w:r w:rsidR="00F946B3">
        <w:rPr>
          <w:rStyle w:val="Referencingstyle"/>
        </w:rPr>
        <w:t> </w:t>
      </w:r>
      <w:r w:rsidR="00E97921">
        <w:rPr>
          <w:rStyle w:val="Referencingstyle"/>
        </w:rPr>
        <w:t>#, item 6, subsection 19(4) of the SIS Act]</w:t>
      </w:r>
    </w:p>
    <w:p w14:paraId="487D8B47" w14:textId="1213D2C3" w:rsidR="00B93C83" w:rsidRDefault="00F946B3" w:rsidP="000E0295">
      <w:pPr>
        <w:pStyle w:val="base-text-paragraph"/>
      </w:pPr>
      <w:r>
        <w:t xml:space="preserve">Currently, subsection 19(4) of the </w:t>
      </w:r>
      <w:r w:rsidR="006D5463">
        <w:t xml:space="preserve">SIS Act refers specifically to APRA receiving written notices from trustees. Despite this reference, subsection 19(4A) authorises regulations to prescribe that notices are to be given to different bodies or persons. </w:t>
      </w:r>
      <w:r w:rsidR="00962F7E">
        <w:t>Since 1999, r</w:t>
      </w:r>
      <w:r w:rsidR="006D5463">
        <w:t>egulation 1.04A of the SIS Reg</w:t>
      </w:r>
      <w:r w:rsidR="00833C2C">
        <w:t>ulation</w:t>
      </w:r>
      <w:r w:rsidR="006D5463">
        <w:t>s has</w:t>
      </w:r>
      <w:r w:rsidR="00962F7E">
        <w:t xml:space="preserve"> </w:t>
      </w:r>
      <w:r w:rsidR="006D5463">
        <w:t xml:space="preserve">prescribed that the Commissioner of </w:t>
      </w:r>
      <w:r w:rsidR="0064320A">
        <w:t>Taxation</w:t>
      </w:r>
      <w:r w:rsidR="006D5463">
        <w:t xml:space="preserve"> is to receive all such notices in all circumstances. The amendments update the SIS Act to reflect this long-standing position, rather than rely</w:t>
      </w:r>
      <w:r w:rsidR="0009639C">
        <w:t>ing</w:t>
      </w:r>
      <w:r w:rsidR="006D5463">
        <w:t xml:space="preserve"> on </w:t>
      </w:r>
      <w:r w:rsidR="006D5463">
        <w:lastRenderedPageBreak/>
        <w:t xml:space="preserve">regulation </w:t>
      </w:r>
      <w:r w:rsidR="0009639C">
        <w:t xml:space="preserve">1.04A </w:t>
      </w:r>
      <w:r w:rsidR="006D5463">
        <w:t>(which is separately repealed through amendments to the SIS Reg</w:t>
      </w:r>
      <w:r w:rsidR="00833C2C">
        <w:t>ulations</w:t>
      </w:r>
      <w:r w:rsidR="006D5463">
        <w:t xml:space="preserve">). </w:t>
      </w:r>
    </w:p>
    <w:p w14:paraId="64CB6560" w14:textId="0B7D128A" w:rsidR="003901A4" w:rsidRPr="0064320A" w:rsidRDefault="00DB5D62" w:rsidP="000E0295">
      <w:pPr>
        <w:pStyle w:val="base-text-paragraph"/>
        <w:rPr>
          <w:rStyle w:val="Referencingstyle"/>
          <w:b w:val="0"/>
          <w:i w:val="0"/>
          <w:sz w:val="22"/>
        </w:rPr>
      </w:pPr>
      <w:r>
        <w:t xml:space="preserve"> </w:t>
      </w:r>
      <w:r w:rsidR="000A7717" w:rsidRPr="00DB5D62">
        <w:t xml:space="preserve"> </w:t>
      </w:r>
      <w:r w:rsidR="0064320A">
        <w:t>As a result of this change, the regulation making power in subsection 19(4</w:t>
      </w:r>
      <w:r w:rsidR="00C65E4B">
        <w:t>A</w:t>
      </w:r>
      <w:r w:rsidR="0064320A">
        <w:t xml:space="preserve">) is no longer required and is therefore repealed. </w:t>
      </w:r>
      <w:r w:rsidR="0064320A">
        <w:rPr>
          <w:rStyle w:val="Referencingstyle"/>
        </w:rPr>
        <w:t>[Schedule #, item 7, subsection 19(4A) of the SIS Act]</w:t>
      </w:r>
    </w:p>
    <w:p w14:paraId="554F2CC3" w14:textId="710F4F46" w:rsidR="0064320A" w:rsidRDefault="0064320A" w:rsidP="000E0295">
      <w:pPr>
        <w:pStyle w:val="base-text-paragraph"/>
      </w:pPr>
      <w:r w:rsidRPr="0064320A">
        <w:t xml:space="preserve">The amendments </w:t>
      </w:r>
      <w:r>
        <w:t xml:space="preserve">also make </w:t>
      </w:r>
      <w:r w:rsidR="00945917">
        <w:t>a number of changes to provisions affected by the existing re-allocation of responsibility from APRA t</w:t>
      </w:r>
      <w:r w:rsidR="00E47FCF">
        <w:t>o the Commissioner of Taxation.</w:t>
      </w:r>
    </w:p>
    <w:p w14:paraId="1B678446" w14:textId="0F008657" w:rsidR="00F72246" w:rsidRDefault="00E1031C" w:rsidP="00F72246">
      <w:pPr>
        <w:pStyle w:val="base-text-paragraph"/>
      </w:pPr>
      <w:r>
        <w:t>In particular, there are a number of references to ‘APRA’ in</w:t>
      </w:r>
      <w:r w:rsidR="00273494">
        <w:t xml:space="preserve"> </w:t>
      </w:r>
      <w:r w:rsidR="00200E01">
        <w:t>sections 42 and 42A</w:t>
      </w:r>
      <w:r w:rsidR="00273494">
        <w:t xml:space="preserve"> about</w:t>
      </w:r>
      <w:r w:rsidR="00E47FCF">
        <w:t xml:space="preserve"> complying fund status that </w:t>
      </w:r>
      <w:r>
        <w:t>are currently deemed to be replaced with ‘the Commissioner of Taxation’</w:t>
      </w:r>
      <w:r w:rsidR="00E47FCF">
        <w:t xml:space="preserve">. </w:t>
      </w:r>
      <w:r w:rsidR="00F72246">
        <w:t>These provisions generally relate to decisions that are made by the entity that receives trustee elections under subsection 19(4) (for e</w:t>
      </w:r>
      <w:r w:rsidR="001B37D0">
        <w:t xml:space="preserve">xample, extensions </w:t>
      </w:r>
      <w:r w:rsidR="0009639C">
        <w:t xml:space="preserve">that were granted </w:t>
      </w:r>
      <w:r w:rsidR="001B37D0">
        <w:t>to the time</w:t>
      </w:r>
      <w:r w:rsidR="0009639C">
        <w:t>s</w:t>
      </w:r>
      <w:r w:rsidR="001B37D0">
        <w:t xml:space="preserve"> for </w:t>
      </w:r>
      <w:r w:rsidR="00F72246">
        <w:t>providing written notice</w:t>
      </w:r>
      <w:r w:rsidR="0009639C">
        <w:t>s</w:t>
      </w:r>
      <w:r w:rsidR="00F72246">
        <w:t xml:space="preserve">). </w:t>
      </w:r>
    </w:p>
    <w:p w14:paraId="7E716D13" w14:textId="521F5973" w:rsidR="00F72246" w:rsidRDefault="001B37D0" w:rsidP="00F72246">
      <w:pPr>
        <w:pStyle w:val="base-text-paragraph"/>
      </w:pPr>
      <w:r>
        <w:t>Under the current law, t</w:t>
      </w:r>
      <w:r w:rsidR="00F72246">
        <w:t xml:space="preserve">he Commissioner of Taxation is given general administration of these provisions instead of APRA </w:t>
      </w:r>
      <w:r>
        <w:t>through</w:t>
      </w:r>
      <w:r w:rsidR="00F72246">
        <w:t xml:space="preserve"> paragraph 6(4)(c) of the SIS Act, and the various references to APRA in the provisions </w:t>
      </w:r>
      <w:r>
        <w:t xml:space="preserve">are deemed to instead be to the Commissioner </w:t>
      </w:r>
      <w:r w:rsidR="0009639C">
        <w:t>by</w:t>
      </w:r>
      <w:r>
        <w:t xml:space="preserve"> subsections 42(3) and 42A(7).</w:t>
      </w:r>
    </w:p>
    <w:p w14:paraId="3E212B8D" w14:textId="7E649631" w:rsidR="00026579" w:rsidRPr="00200E01" w:rsidRDefault="008B6D23" w:rsidP="00200E01">
      <w:pPr>
        <w:pStyle w:val="base-text-paragraph"/>
        <w:rPr>
          <w:rStyle w:val="Referencingstyle"/>
          <w:b w:val="0"/>
          <w:i w:val="0"/>
          <w:sz w:val="22"/>
        </w:rPr>
      </w:pPr>
      <w:r>
        <w:t xml:space="preserve">Instead of relying on </w:t>
      </w:r>
      <w:r w:rsidR="00155124">
        <w:t xml:space="preserve">additional rules, </w:t>
      </w:r>
      <w:r w:rsidR="00200E01">
        <w:t>t</w:t>
      </w:r>
      <w:r w:rsidR="0062348F">
        <w:t>he amendments</w:t>
      </w:r>
      <w:r w:rsidR="00200E01">
        <w:t xml:space="preserve"> </w:t>
      </w:r>
      <w:r w:rsidR="0062348F">
        <w:t xml:space="preserve">update </w:t>
      </w:r>
      <w:r w:rsidR="00200E01">
        <w:t>the various references to APRA in sections 42 and 42A</w:t>
      </w:r>
      <w:r w:rsidR="0062348F">
        <w:t xml:space="preserve"> so that </w:t>
      </w:r>
      <w:r w:rsidR="00026579">
        <w:t xml:space="preserve">they refer directly to the Commissioner of Taxation. </w:t>
      </w:r>
      <w:r w:rsidR="00026579">
        <w:rPr>
          <w:rStyle w:val="Referencingstyle"/>
        </w:rPr>
        <w:t>[Schedule #, items 9 to 11, 13 and 14, s</w:t>
      </w:r>
      <w:r w:rsidR="00026579" w:rsidRPr="00026579">
        <w:rPr>
          <w:rStyle w:val="Referencingstyle"/>
        </w:rPr>
        <w:t>ubparagraphs 42(1AA)(b)(ii) and (c)(ii)</w:t>
      </w:r>
      <w:r w:rsidR="00026579">
        <w:rPr>
          <w:rStyle w:val="Referencingstyle"/>
        </w:rPr>
        <w:t xml:space="preserve">, </w:t>
      </w:r>
      <w:r w:rsidR="006C1B58">
        <w:rPr>
          <w:rStyle w:val="Referencingstyle"/>
        </w:rPr>
        <w:t>p</w:t>
      </w:r>
      <w:r w:rsidR="00026579" w:rsidRPr="00026579">
        <w:rPr>
          <w:rStyle w:val="Referencingstyle"/>
        </w:rPr>
        <w:t>aragraphs 42(1AC)(b) and (c)</w:t>
      </w:r>
      <w:r w:rsidR="00026579">
        <w:rPr>
          <w:rStyle w:val="Referencingstyle"/>
        </w:rPr>
        <w:t xml:space="preserve">, </w:t>
      </w:r>
      <w:r w:rsidR="006C1B58">
        <w:rPr>
          <w:rStyle w:val="Referencingstyle"/>
        </w:rPr>
        <w:t>sub</w:t>
      </w:r>
      <w:r w:rsidR="00026579" w:rsidRPr="00026579">
        <w:rPr>
          <w:rStyle w:val="Referencingstyle"/>
        </w:rPr>
        <w:t>paragraph</w:t>
      </w:r>
      <w:r w:rsidR="00026579">
        <w:rPr>
          <w:rStyle w:val="Referencingstyle"/>
        </w:rPr>
        <w:t> </w:t>
      </w:r>
      <w:r w:rsidR="00026579" w:rsidRPr="00026579">
        <w:rPr>
          <w:rStyle w:val="Referencingstyle"/>
        </w:rPr>
        <w:t>42(1AC)(d)(ii)</w:t>
      </w:r>
      <w:r w:rsidR="006C1B58">
        <w:rPr>
          <w:rStyle w:val="Referencingstyle"/>
        </w:rPr>
        <w:t>, s</w:t>
      </w:r>
      <w:r w:rsidR="006C1B58" w:rsidRPr="006C1B58">
        <w:rPr>
          <w:rStyle w:val="Referencingstyle"/>
        </w:rPr>
        <w:t>ubparagraphs 42A(3)(c)(ii) and (d)(ii)</w:t>
      </w:r>
      <w:r w:rsidR="006C1B58">
        <w:rPr>
          <w:rStyle w:val="Referencingstyle"/>
        </w:rPr>
        <w:t xml:space="preserve"> and s</w:t>
      </w:r>
      <w:r w:rsidR="006C1B58" w:rsidRPr="006C1B58">
        <w:rPr>
          <w:rStyle w:val="Referencingstyle"/>
        </w:rPr>
        <w:t>ubsection</w:t>
      </w:r>
      <w:r w:rsidR="006C1B58">
        <w:rPr>
          <w:rStyle w:val="Referencingstyle"/>
        </w:rPr>
        <w:t> </w:t>
      </w:r>
      <w:r w:rsidR="006C1B58" w:rsidRPr="006C1B58">
        <w:rPr>
          <w:rStyle w:val="Referencingstyle"/>
        </w:rPr>
        <w:t>42A(4)</w:t>
      </w:r>
      <w:r w:rsidR="005A1851">
        <w:rPr>
          <w:rStyle w:val="Referencingstyle"/>
        </w:rPr>
        <w:t xml:space="preserve"> of the SIS Act</w:t>
      </w:r>
      <w:r w:rsidR="006C1B58">
        <w:rPr>
          <w:rStyle w:val="Referencingstyle"/>
        </w:rPr>
        <w:t>]</w:t>
      </w:r>
    </w:p>
    <w:p w14:paraId="159A5FE6" w14:textId="5C2C482E" w:rsidR="00663928" w:rsidRDefault="00663928" w:rsidP="001E7B74">
      <w:pPr>
        <w:pStyle w:val="base-text-paragraph"/>
      </w:pPr>
      <w:r>
        <w:t>These changes improve the readability of the provisions</w:t>
      </w:r>
      <w:r w:rsidR="0009639C">
        <w:t>,</w:t>
      </w:r>
      <w:r>
        <w:t xml:space="preserve"> but do not change their operation.</w:t>
      </w:r>
    </w:p>
    <w:p w14:paraId="06682C15" w14:textId="258E8ECC" w:rsidR="001E7B74" w:rsidRPr="00AA0151" w:rsidRDefault="00C65178" w:rsidP="00AA0151">
      <w:pPr>
        <w:pStyle w:val="base-text-paragraph"/>
        <w:rPr>
          <w:rStyle w:val="Referencingstyle"/>
          <w:b w:val="0"/>
          <w:i w:val="0"/>
          <w:sz w:val="22"/>
        </w:rPr>
      </w:pPr>
      <w:r>
        <w:t xml:space="preserve">As a result of these </w:t>
      </w:r>
      <w:r w:rsidR="009067BA">
        <w:t>amendments</w:t>
      </w:r>
      <w:r>
        <w:t xml:space="preserve">, the deeming rules to replace the references to APRA are no longer required and are therefore repealed. </w:t>
      </w:r>
      <w:r>
        <w:rPr>
          <w:rStyle w:val="Referencingstyle"/>
        </w:rPr>
        <w:t>[Schedule #, items 12 and 15, subsection 42(3) and 42A(7)</w:t>
      </w:r>
      <w:r w:rsidR="005A1851">
        <w:rPr>
          <w:rStyle w:val="Referencingstyle"/>
        </w:rPr>
        <w:t xml:space="preserve"> of the SIS Act</w:t>
      </w:r>
      <w:r>
        <w:rPr>
          <w:rStyle w:val="Referencingstyle"/>
        </w:rPr>
        <w:t>]</w:t>
      </w:r>
    </w:p>
    <w:p w14:paraId="6AEC4306" w14:textId="0E467CD8" w:rsidR="00330871" w:rsidRDefault="00330871" w:rsidP="00330871">
      <w:pPr>
        <w:pStyle w:val="Heading6"/>
      </w:pPr>
      <w:r>
        <w:t>General administration of Part 5</w:t>
      </w:r>
    </w:p>
    <w:p w14:paraId="1FBA2AAD" w14:textId="170C4E40" w:rsidR="00EC77D5" w:rsidRDefault="00D6468B" w:rsidP="00AA0151">
      <w:pPr>
        <w:pStyle w:val="base-text-paragraph"/>
      </w:pPr>
      <w:r>
        <w:t xml:space="preserve">General administration of </w:t>
      </w:r>
      <w:r w:rsidR="008E5D6D">
        <w:t>the</w:t>
      </w:r>
      <w:r>
        <w:t xml:space="preserve"> </w:t>
      </w:r>
      <w:r w:rsidR="00EC77D5">
        <w:t xml:space="preserve">above </w:t>
      </w:r>
      <w:r>
        <w:t xml:space="preserve">provisions </w:t>
      </w:r>
      <w:r w:rsidR="00EC77D5">
        <w:t xml:space="preserve">in sections 42 and 42A </w:t>
      </w:r>
      <w:r w:rsidR="005A1851">
        <w:t>of the SIS A</w:t>
      </w:r>
      <w:r w:rsidR="00097886">
        <w:t>c</w:t>
      </w:r>
      <w:r w:rsidR="005A1851">
        <w:t>t</w:t>
      </w:r>
      <w:r w:rsidR="00097886">
        <w:t xml:space="preserve"> </w:t>
      </w:r>
      <w:r w:rsidR="00EC77D5">
        <w:t xml:space="preserve">that now refer to the Commissioner of Taxation </w:t>
      </w:r>
      <w:r w:rsidR="00FF1B56">
        <w:t xml:space="preserve">is </w:t>
      </w:r>
      <w:r>
        <w:t>given directly to the Commissioner</w:t>
      </w:r>
      <w:r w:rsidR="00504FFA">
        <w:t xml:space="preserve"> of Taxation</w:t>
      </w:r>
      <w:r>
        <w:t xml:space="preserve"> through item 15 in the general administration table</w:t>
      </w:r>
      <w:r w:rsidR="00BD6102">
        <w:t>. S</w:t>
      </w:r>
      <w:r w:rsidR="00FF1B56">
        <w:t xml:space="preserve">ome </w:t>
      </w:r>
      <w:r w:rsidR="00BD6102">
        <w:t xml:space="preserve">administration </w:t>
      </w:r>
      <w:r w:rsidR="00FF1B56">
        <w:t>responsibility remains with APRA</w:t>
      </w:r>
      <w:r>
        <w:t xml:space="preserve">. </w:t>
      </w:r>
      <w:r w:rsidR="00EC77D5">
        <w:rPr>
          <w:rStyle w:val="Referencingstyle"/>
        </w:rPr>
        <w:t>[Schedule #, items 1, subsection 6(1)</w:t>
      </w:r>
      <w:r w:rsidR="005A1851">
        <w:rPr>
          <w:rStyle w:val="Referencingstyle"/>
        </w:rPr>
        <w:t xml:space="preserve"> of the SIS Act</w:t>
      </w:r>
      <w:r w:rsidR="00532290">
        <w:rPr>
          <w:rStyle w:val="Referencingstyle"/>
        </w:rPr>
        <w:t xml:space="preserve"> (</w:t>
      </w:r>
      <w:r w:rsidR="00EC77D5">
        <w:rPr>
          <w:rStyle w:val="Referencingstyle"/>
        </w:rPr>
        <w:t>table item</w:t>
      </w:r>
      <w:r w:rsidR="005A1851">
        <w:rPr>
          <w:rStyle w:val="Referencingstyle"/>
        </w:rPr>
        <w:t> </w:t>
      </w:r>
      <w:r w:rsidR="00F37792">
        <w:rPr>
          <w:rStyle w:val="Referencingstyle"/>
        </w:rPr>
        <w:t>15</w:t>
      </w:r>
      <w:r w:rsidR="00532290">
        <w:rPr>
          <w:rStyle w:val="Referencingstyle"/>
        </w:rPr>
        <w:t>)</w:t>
      </w:r>
      <w:r w:rsidR="00EC77D5">
        <w:rPr>
          <w:rStyle w:val="Referencingstyle"/>
        </w:rPr>
        <w:t>]</w:t>
      </w:r>
    </w:p>
    <w:p w14:paraId="0F71BE5D" w14:textId="3E0C76F2" w:rsidR="00EF791D" w:rsidRPr="00EF791D" w:rsidRDefault="00D6468B" w:rsidP="00AA0151">
      <w:pPr>
        <w:pStyle w:val="base-text-paragraph"/>
        <w:rPr>
          <w:rStyle w:val="Referencingstyle"/>
          <w:b w:val="0"/>
          <w:i w:val="0"/>
          <w:sz w:val="22"/>
        </w:rPr>
      </w:pPr>
      <w:r>
        <w:t>This is achieved by assigning general administration to the Commissioner</w:t>
      </w:r>
      <w:r w:rsidR="00EC77D5">
        <w:t xml:space="preserve"> </w:t>
      </w:r>
      <w:r w:rsidR="00C64EBB">
        <w:t xml:space="preserve">of Taxation </w:t>
      </w:r>
      <w:r w:rsidR="00EC77D5">
        <w:t xml:space="preserve">of provisions in Part 5 </w:t>
      </w:r>
      <w:r w:rsidR="005A1851">
        <w:t xml:space="preserve">of the SIS Act </w:t>
      </w:r>
      <w:r w:rsidR="00EC77D5">
        <w:t>that</w:t>
      </w:r>
      <w:r>
        <w:t xml:space="preserve"> </w:t>
      </w:r>
      <w:r w:rsidR="008E5D6D">
        <w:t xml:space="preserve">require or permit the Commissioner of Taxation to do something (which the </w:t>
      </w:r>
      <w:r w:rsidR="00E60D3B">
        <w:t xml:space="preserve">various </w:t>
      </w:r>
      <w:r w:rsidR="008E5D6D">
        <w:t>provisions do), in addition to other provisions that</w:t>
      </w:r>
      <w:r w:rsidR="00D77564">
        <w:t xml:space="preserve"> the </w:t>
      </w:r>
      <w:r w:rsidR="00D77564">
        <w:lastRenderedPageBreak/>
        <w:t xml:space="preserve">Commissioner </w:t>
      </w:r>
      <w:r w:rsidR="00C64EBB">
        <w:t xml:space="preserve">of Taxation </w:t>
      </w:r>
      <w:r w:rsidR="00D77564">
        <w:t>also has general administration of because they</w:t>
      </w:r>
      <w:r w:rsidR="008E5D6D">
        <w:t xml:space="preserve"> relate to SMSFs.</w:t>
      </w:r>
      <w:r w:rsidR="00EF791D">
        <w:t xml:space="preserve"> </w:t>
      </w:r>
    </w:p>
    <w:p w14:paraId="3076831E" w14:textId="7B7B9FC4" w:rsidR="00AA0151" w:rsidRDefault="00EF791D" w:rsidP="00AA0151">
      <w:pPr>
        <w:pStyle w:val="base-text-paragraph"/>
      </w:pPr>
      <w:r w:rsidRPr="00EF791D">
        <w:t xml:space="preserve">This </w:t>
      </w:r>
      <w:r>
        <w:t xml:space="preserve">replicates the outcome currently provided </w:t>
      </w:r>
      <w:r w:rsidR="00C64EBB">
        <w:t>by</w:t>
      </w:r>
      <w:r>
        <w:t xml:space="preserve"> p</w:t>
      </w:r>
      <w:r w:rsidR="007465B4">
        <w:t>aragraph 6(4</w:t>
      </w:r>
      <w:proofErr w:type="gramStart"/>
      <w:r w:rsidR="007465B4">
        <w:t>)(</w:t>
      </w:r>
      <w:proofErr w:type="gramEnd"/>
      <w:r w:rsidR="007465B4">
        <w:t xml:space="preserve">c) of the SIS Act and means that </w:t>
      </w:r>
      <w:r w:rsidR="00C64EBB">
        <w:t xml:space="preserve">this </w:t>
      </w:r>
      <w:r w:rsidR="007465B4">
        <w:t>provision does not need to be separately</w:t>
      </w:r>
      <w:r w:rsidR="00E106A0">
        <w:t xml:space="preserve"> re</w:t>
      </w:r>
      <w:r w:rsidR="00F12835">
        <w:t>-</w:t>
      </w:r>
      <w:r w:rsidR="00E106A0">
        <w:t>enacted</w:t>
      </w:r>
      <w:r w:rsidR="007465B4">
        <w:t xml:space="preserve">. </w:t>
      </w:r>
    </w:p>
    <w:p w14:paraId="3AD3C7C0" w14:textId="59BFECC6" w:rsidR="00EF791D" w:rsidRDefault="003C6576" w:rsidP="00B56A75">
      <w:pPr>
        <w:pStyle w:val="base-text-paragraph"/>
      </w:pPr>
      <w:r>
        <w:t>The amendments also</w:t>
      </w:r>
      <w:r w:rsidR="00E479BE">
        <w:t xml:space="preserve"> maintain the existing responsibilities between APRA and the Commissioner of Taxation over sections 40 and</w:t>
      </w:r>
      <w:r w:rsidR="005A1851">
        <w:t> </w:t>
      </w:r>
      <w:r w:rsidR="00E479BE">
        <w:t xml:space="preserve">41 of the SIS Act (which relate to notices given by the Regulator about complying fund status) through item 15 in the general administration table. </w:t>
      </w:r>
      <w:r w:rsidR="00E479BE">
        <w:rPr>
          <w:rStyle w:val="Referencingstyle"/>
        </w:rPr>
        <w:t>[Schedule #, item 1, subsection 6(1)</w:t>
      </w:r>
      <w:r w:rsidR="00C25FD8">
        <w:rPr>
          <w:rStyle w:val="Referencingstyle"/>
        </w:rPr>
        <w:t xml:space="preserve"> of the SIS Act</w:t>
      </w:r>
      <w:r w:rsidR="00E479BE">
        <w:rPr>
          <w:rStyle w:val="Referencingstyle"/>
        </w:rPr>
        <w:t xml:space="preserve"> </w:t>
      </w:r>
      <w:r w:rsidR="00532290">
        <w:rPr>
          <w:rStyle w:val="Referencingstyle"/>
        </w:rPr>
        <w:t>(</w:t>
      </w:r>
      <w:r w:rsidR="00E479BE">
        <w:rPr>
          <w:rStyle w:val="Referencingstyle"/>
        </w:rPr>
        <w:t>table item</w:t>
      </w:r>
      <w:r w:rsidR="006722DE">
        <w:rPr>
          <w:rStyle w:val="Referencingstyle"/>
        </w:rPr>
        <w:t> </w:t>
      </w:r>
      <w:r w:rsidR="00F37792">
        <w:rPr>
          <w:rStyle w:val="Referencingstyle"/>
        </w:rPr>
        <w:t>1</w:t>
      </w:r>
      <w:r w:rsidR="006130F6">
        <w:rPr>
          <w:rStyle w:val="Referencingstyle"/>
        </w:rPr>
        <w:t>5</w:t>
      </w:r>
      <w:r w:rsidR="00532290">
        <w:rPr>
          <w:rStyle w:val="Referencingstyle"/>
        </w:rPr>
        <w:t>)</w:t>
      </w:r>
      <w:r w:rsidR="00E479BE">
        <w:rPr>
          <w:rStyle w:val="Referencingstyle"/>
        </w:rPr>
        <w:t>]</w:t>
      </w:r>
    </w:p>
    <w:p w14:paraId="6045BEE9" w14:textId="42B81025" w:rsidR="003C6576" w:rsidRDefault="00E479BE" w:rsidP="00AA0151">
      <w:pPr>
        <w:pStyle w:val="base-text-paragraph"/>
      </w:pPr>
      <w:r>
        <w:t>Item 1</w:t>
      </w:r>
      <w:r w:rsidR="00F37792">
        <w:t>6</w:t>
      </w:r>
      <w:r>
        <w:t xml:space="preserve"> in the general administration </w:t>
      </w:r>
      <w:r w:rsidR="00C64EBB">
        <w:t xml:space="preserve">table </w:t>
      </w:r>
      <w:r>
        <w:t xml:space="preserve">maintains the outcome currently provided by </w:t>
      </w:r>
      <w:r w:rsidR="00796110">
        <w:t>paragraphs 6(4</w:t>
      </w:r>
      <w:proofErr w:type="gramStart"/>
      <w:r w:rsidR="00796110">
        <w:t>)(</w:t>
      </w:r>
      <w:proofErr w:type="gramEnd"/>
      <w:r w:rsidR="00796110">
        <w:t>a) and (b)</w:t>
      </w:r>
      <w:r w:rsidR="00C64EBB">
        <w:t xml:space="preserve"> of the SIS Act, which allocate</w:t>
      </w:r>
      <w:r w:rsidR="00796110">
        <w:t xml:space="preserve"> general administration of sections 40 and 41 on the basis of an </w:t>
      </w:r>
      <w:r w:rsidR="00C64EBB">
        <w:t>entity’s</w:t>
      </w:r>
      <w:r w:rsidR="00796110">
        <w:t xml:space="preserve"> status on the final day of year of income. </w:t>
      </w:r>
    </w:p>
    <w:p w14:paraId="405356C9" w14:textId="4B06D03D" w:rsidR="00B56A75" w:rsidRDefault="00796110" w:rsidP="00B56A75">
      <w:pPr>
        <w:pStyle w:val="base-text-paragraph"/>
      </w:pPr>
      <w:r>
        <w:t xml:space="preserve">The amendments also modify the note to section 40 to more accurately reflect </w:t>
      </w:r>
      <w:r w:rsidR="00C64EBB">
        <w:t xml:space="preserve">who </w:t>
      </w:r>
      <w:r w:rsidR="00B56A75">
        <w:t xml:space="preserve">the Regulator </w:t>
      </w:r>
      <w:r w:rsidR="00C64EBB">
        <w:t xml:space="preserve">is </w:t>
      </w:r>
      <w:r w:rsidR="00B56A75">
        <w:t xml:space="preserve">and how past notices may be dealt with as a result </w:t>
      </w:r>
      <w:r>
        <w:t>of a superannuation fund changing its status (for ex</w:t>
      </w:r>
      <w:r w:rsidR="00B56A75">
        <w:t xml:space="preserve">ample by ceasing to be an SMSF). </w:t>
      </w:r>
      <w:r w:rsidR="00B56A75">
        <w:rPr>
          <w:rStyle w:val="Referencingstyle"/>
        </w:rPr>
        <w:t>[Schedule #, item 8, subsection 40(4)</w:t>
      </w:r>
      <w:r w:rsidR="00C25FD8">
        <w:rPr>
          <w:rStyle w:val="Referencingstyle"/>
        </w:rPr>
        <w:t xml:space="preserve"> of the SIS Act</w:t>
      </w:r>
      <w:r w:rsidR="00B56A75">
        <w:rPr>
          <w:rStyle w:val="Referencingstyle"/>
        </w:rPr>
        <w:t>]</w:t>
      </w:r>
    </w:p>
    <w:p w14:paraId="35ECBC01" w14:textId="6DCB4D34" w:rsidR="00D04212" w:rsidRPr="00D04212" w:rsidRDefault="00E622F4" w:rsidP="00E622F4">
      <w:pPr>
        <w:pStyle w:val="Heading6"/>
      </w:pPr>
      <w:r>
        <w:t>Redundant Parts repealed</w:t>
      </w:r>
    </w:p>
    <w:p w14:paraId="161158E6" w14:textId="647C0C83" w:rsidR="00681E0D" w:rsidRPr="00542278" w:rsidRDefault="00542278" w:rsidP="00681E0D">
      <w:pPr>
        <w:pStyle w:val="base-text-paragraph"/>
        <w:rPr>
          <w:rStyle w:val="Referencingstyle"/>
          <w:b w:val="0"/>
          <w:i w:val="0"/>
          <w:sz w:val="22"/>
        </w:rPr>
      </w:pPr>
      <w:r>
        <w:t xml:space="preserve">Schedule # </w:t>
      </w:r>
      <w:r w:rsidR="00FE440B">
        <w:t>to</w:t>
      </w:r>
      <w:r>
        <w:t xml:space="preserve"> the Bill r</w:t>
      </w:r>
      <w:r w:rsidR="009B7ED8">
        <w:t>epeal</w:t>
      </w:r>
      <w:r>
        <w:t>s</w:t>
      </w:r>
      <w:r w:rsidR="009B7ED8">
        <w:t xml:space="preserve"> Parts 33 and 34</w:t>
      </w:r>
      <w:r w:rsidR="00914F69">
        <w:t xml:space="preserve">, which relate to the </w:t>
      </w:r>
      <w:proofErr w:type="spellStart"/>
      <w:r w:rsidR="00914F69">
        <w:t>MySuper</w:t>
      </w:r>
      <w:proofErr w:type="spellEnd"/>
      <w:r w:rsidR="00914F69">
        <w:t xml:space="preserve"> transition and the Eligible Rollover Fund transitions respectively</w:t>
      </w:r>
      <w:r w:rsidR="00681E0D">
        <w:t xml:space="preserve">. </w:t>
      </w:r>
      <w:r w:rsidR="00681E0D">
        <w:rPr>
          <w:rStyle w:val="Referencingstyle"/>
        </w:rPr>
        <w:t>[Schedule #, item 2</w:t>
      </w:r>
      <w:r w:rsidR="00651D46">
        <w:rPr>
          <w:rStyle w:val="Referencingstyle"/>
        </w:rPr>
        <w:t>6</w:t>
      </w:r>
      <w:r w:rsidR="00681E0D">
        <w:rPr>
          <w:rStyle w:val="Referencingstyle"/>
        </w:rPr>
        <w:t>, Parts 33 and 34 of the SIS Act]</w:t>
      </w:r>
    </w:p>
    <w:p w14:paraId="560DCD73" w14:textId="58CC16F9" w:rsidR="009B7ED8" w:rsidRPr="009B7ED8" w:rsidRDefault="00914F69" w:rsidP="000E0295">
      <w:pPr>
        <w:pStyle w:val="base-text-paragraph"/>
      </w:pPr>
      <w:r>
        <w:t xml:space="preserve">The </w:t>
      </w:r>
      <w:proofErr w:type="spellStart"/>
      <w:r>
        <w:t>MySuper</w:t>
      </w:r>
      <w:proofErr w:type="spellEnd"/>
      <w:r>
        <w:t xml:space="preserve"> </w:t>
      </w:r>
      <w:r w:rsidR="00A90EAC">
        <w:t xml:space="preserve">start date was the later of 1 July 2017 and the end of the period set out in </w:t>
      </w:r>
      <w:r w:rsidR="00B73FFE" w:rsidRPr="009B3AEF">
        <w:t>paragraph</w:t>
      </w:r>
      <w:r w:rsidR="00B73FFE">
        <w:t xml:space="preserve"> </w:t>
      </w:r>
      <w:r w:rsidR="00A90EAC">
        <w:t>387(2</w:t>
      </w:r>
      <w:proofErr w:type="gramStart"/>
      <w:r w:rsidR="00A90EAC">
        <w:t>)(</w:t>
      </w:r>
      <w:proofErr w:type="gramEnd"/>
      <w:r w:rsidR="00A90EAC">
        <w:t xml:space="preserve">b) (essentially 90 days after a authority </w:t>
      </w:r>
      <w:r w:rsidR="00B73FFE">
        <w:t xml:space="preserve">or refusal </w:t>
      </w:r>
      <w:r w:rsidR="00A90EAC">
        <w:t xml:space="preserve">to offer a </w:t>
      </w:r>
      <w:proofErr w:type="spellStart"/>
      <w:r w:rsidR="00A90EAC">
        <w:t>MySuper</w:t>
      </w:r>
      <w:proofErr w:type="spellEnd"/>
      <w:r w:rsidR="00A90EAC">
        <w:t xml:space="preserve"> product was given). The Eligible Rollover Fund transition was to occur </w:t>
      </w:r>
      <w:r w:rsidR="00681E0D">
        <w:t xml:space="preserve">90 days after </w:t>
      </w:r>
      <w:r w:rsidR="00A90EAC">
        <w:t xml:space="preserve">1 January </w:t>
      </w:r>
      <w:r w:rsidR="00681E0D">
        <w:t>2014</w:t>
      </w:r>
      <w:r w:rsidR="009B7ED8">
        <w:t>.</w:t>
      </w:r>
      <w:r w:rsidR="00681E0D">
        <w:t xml:space="preserve"> </w:t>
      </w:r>
      <w:r w:rsidR="009044A4">
        <w:t xml:space="preserve">Given </w:t>
      </w:r>
      <w:r w:rsidR="009E5794">
        <w:t xml:space="preserve">the transfer of </w:t>
      </w:r>
      <w:r w:rsidR="009044A4">
        <w:t>all relevant amounts</w:t>
      </w:r>
      <w:r w:rsidR="009E5794">
        <w:t xml:space="preserve"> has occurred, and </w:t>
      </w:r>
      <w:r w:rsidR="009044A4">
        <w:t xml:space="preserve">Parts 33 and 34 </w:t>
      </w:r>
      <w:r w:rsidR="009E5794">
        <w:t xml:space="preserve">impose no current requirements on trustees, </w:t>
      </w:r>
      <w:r>
        <w:t xml:space="preserve">the Parts are redundant. </w:t>
      </w:r>
    </w:p>
    <w:p w14:paraId="3876F89E" w14:textId="15D793A8" w:rsidR="007B6941" w:rsidRPr="007B6941" w:rsidRDefault="00D9707D" w:rsidP="005627B8">
      <w:pPr>
        <w:pStyle w:val="base-text-paragraph"/>
        <w:rPr>
          <w:rStyle w:val="Referencingstyle"/>
          <w:b w:val="0"/>
          <w:i w:val="0"/>
          <w:sz w:val="22"/>
        </w:rPr>
      </w:pPr>
      <w:r>
        <w:t xml:space="preserve">Schedule # </w:t>
      </w:r>
      <w:r w:rsidR="00371A32">
        <w:t>to</w:t>
      </w:r>
      <w:r>
        <w:t xml:space="preserve"> the Bill also repeals </w:t>
      </w:r>
      <w:r w:rsidR="002A2D17">
        <w:t>Sections 388 and 394 within Parts 33 and 34</w:t>
      </w:r>
      <w:r w:rsidR="007B6941">
        <w:t>, which</w:t>
      </w:r>
      <w:r w:rsidR="002A2D17">
        <w:t xml:space="preserve"> are civil penalty provisions. </w:t>
      </w:r>
      <w:r w:rsidR="00651D46">
        <w:rPr>
          <w:rStyle w:val="Referencingstyle"/>
        </w:rPr>
        <w:t>[Schedule #</w:t>
      </w:r>
      <w:r w:rsidR="006130F6">
        <w:rPr>
          <w:rStyle w:val="Referencingstyle"/>
        </w:rPr>
        <w:t xml:space="preserve">, item </w:t>
      </w:r>
      <w:r w:rsidR="002A4982">
        <w:rPr>
          <w:rStyle w:val="Referencingstyle"/>
        </w:rPr>
        <w:t>1</w:t>
      </w:r>
      <w:r w:rsidR="007B6941">
        <w:rPr>
          <w:rStyle w:val="Referencingstyle"/>
        </w:rPr>
        <w:t>6</w:t>
      </w:r>
      <w:r w:rsidR="002A4982">
        <w:rPr>
          <w:rStyle w:val="Referencingstyle"/>
        </w:rPr>
        <w:t xml:space="preserve">, paragraphs 193(l)-(n) </w:t>
      </w:r>
      <w:r w:rsidR="007B6941" w:rsidRPr="00375F1D">
        <w:rPr>
          <w:rStyle w:val="Referencingstyle"/>
        </w:rPr>
        <w:t xml:space="preserve">of </w:t>
      </w:r>
      <w:r w:rsidR="007B6941">
        <w:rPr>
          <w:rStyle w:val="Referencingstyle"/>
        </w:rPr>
        <w:t xml:space="preserve">the SIS </w:t>
      </w:r>
      <w:r w:rsidR="007B6941" w:rsidRPr="00375F1D">
        <w:rPr>
          <w:rStyle w:val="Referencingstyle"/>
        </w:rPr>
        <w:t>Act]</w:t>
      </w:r>
    </w:p>
    <w:p w14:paraId="7F66285C" w14:textId="6777550A" w:rsidR="00914F69" w:rsidRPr="009B7ED8" w:rsidRDefault="007B6941" w:rsidP="000E0295">
      <w:pPr>
        <w:pStyle w:val="base-text-paragraph"/>
      </w:pPr>
      <w:r>
        <w:t>In line with</w:t>
      </w:r>
      <w:r w:rsidR="002A2D17">
        <w:t xml:space="preserve"> section 7 of the </w:t>
      </w:r>
      <w:r w:rsidR="002A2D17" w:rsidRPr="002A2D17">
        <w:rPr>
          <w:i/>
        </w:rPr>
        <w:t>Acts Interpretation Act</w:t>
      </w:r>
      <w:r w:rsidR="002A2D17">
        <w:rPr>
          <w:i/>
        </w:rPr>
        <w:t xml:space="preserve"> 1901</w:t>
      </w:r>
      <w:r>
        <w:t>, the repeal of these</w:t>
      </w:r>
      <w:r w:rsidR="00895369">
        <w:t xml:space="preserve"> civil penalty</w:t>
      </w:r>
      <w:r>
        <w:t xml:space="preserve"> provisions does not affect</w:t>
      </w:r>
      <w:r w:rsidR="00DE14BC">
        <w:t xml:space="preserve"> a penalty or punishment incurred in respect of </w:t>
      </w:r>
      <w:r w:rsidR="001F5363">
        <w:t>an</w:t>
      </w:r>
      <w:r w:rsidR="00DE14BC">
        <w:t xml:space="preserve"> offence committed </w:t>
      </w:r>
      <w:r w:rsidR="00C64EBB">
        <w:t>in breach of</w:t>
      </w:r>
      <w:r w:rsidR="00DE14BC">
        <w:t xml:space="preserve"> </w:t>
      </w:r>
      <w:r w:rsidR="00895369">
        <w:t>them</w:t>
      </w:r>
      <w:r w:rsidR="00DE14BC">
        <w:t>.</w:t>
      </w:r>
    </w:p>
    <w:p w14:paraId="04DE4703" w14:textId="1096BBD2" w:rsidR="00D04212" w:rsidRPr="00D04212" w:rsidRDefault="00332DB7" w:rsidP="00D04212">
      <w:pPr>
        <w:pStyle w:val="Heading6"/>
      </w:pPr>
      <w:r>
        <w:t>Clarifying general administration of</w:t>
      </w:r>
      <w:r w:rsidR="00D04212" w:rsidRPr="00D04212">
        <w:t xml:space="preserve"> </w:t>
      </w:r>
      <w:r>
        <w:t xml:space="preserve">certain </w:t>
      </w:r>
      <w:r w:rsidR="00D04212" w:rsidRPr="00D04212">
        <w:t>covenants</w:t>
      </w:r>
    </w:p>
    <w:p w14:paraId="39D34129" w14:textId="5F3C3159" w:rsidR="00332DB7" w:rsidRDefault="00332DB7" w:rsidP="000E0295">
      <w:pPr>
        <w:pStyle w:val="base-text-paragraph"/>
      </w:pPr>
      <w:r>
        <w:t xml:space="preserve">As </w:t>
      </w:r>
      <w:r w:rsidR="008A5595">
        <w:t>discussed</w:t>
      </w:r>
      <w:r>
        <w:t xml:space="preserve"> above, </w:t>
      </w:r>
      <w:r w:rsidR="00CE6EF5">
        <w:t xml:space="preserve">both </w:t>
      </w:r>
      <w:r>
        <w:t xml:space="preserve">APRA and ASIC now have general administration of the provisions concerning covenants and the </w:t>
      </w:r>
      <w:r>
        <w:lastRenderedPageBreak/>
        <w:t>consequences of breaching covenants.</w:t>
      </w:r>
      <w:r w:rsidR="00437CC5">
        <w:t xml:space="preserve"> </w:t>
      </w:r>
      <w:r w:rsidR="00651D46">
        <w:rPr>
          <w:rStyle w:val="Referencingstyle"/>
        </w:rPr>
        <w:t>[Schedule #</w:t>
      </w:r>
      <w:r w:rsidR="00437CC5">
        <w:rPr>
          <w:rStyle w:val="Referencingstyle"/>
        </w:rPr>
        <w:t>, item 1, section 6(1)</w:t>
      </w:r>
      <w:r w:rsidR="00437CC5" w:rsidRPr="00375F1D">
        <w:rPr>
          <w:rStyle w:val="Referencingstyle"/>
        </w:rPr>
        <w:t xml:space="preserve"> of </w:t>
      </w:r>
      <w:r w:rsidR="00437CC5">
        <w:rPr>
          <w:rStyle w:val="Referencingstyle"/>
        </w:rPr>
        <w:t xml:space="preserve">the SIS </w:t>
      </w:r>
      <w:r w:rsidR="00437CC5" w:rsidRPr="00375F1D">
        <w:rPr>
          <w:rStyle w:val="Referencingstyle"/>
        </w:rPr>
        <w:t>Act</w:t>
      </w:r>
      <w:r w:rsidR="008A5595">
        <w:rPr>
          <w:rStyle w:val="Referencingstyle"/>
        </w:rPr>
        <w:t xml:space="preserve"> (table item 19)</w:t>
      </w:r>
      <w:r w:rsidR="00437CC5" w:rsidRPr="00375F1D">
        <w:rPr>
          <w:rStyle w:val="Referencingstyle"/>
        </w:rPr>
        <w:t>]</w:t>
      </w:r>
      <w:r>
        <w:t xml:space="preserve"> </w:t>
      </w:r>
    </w:p>
    <w:p w14:paraId="04DF3D24" w14:textId="1F6B54E3" w:rsidR="008353DB" w:rsidRPr="00677960" w:rsidRDefault="008353DB" w:rsidP="00DE6A88">
      <w:pPr>
        <w:pStyle w:val="base-text-paragraph"/>
        <w:rPr>
          <w:rStyle w:val="Referencingstyle"/>
          <w:b w:val="0"/>
          <w:i w:val="0"/>
          <w:sz w:val="22"/>
        </w:rPr>
      </w:pPr>
      <w:r>
        <w:t xml:space="preserve">Schedule # </w:t>
      </w:r>
      <w:r w:rsidR="00371A32">
        <w:t>to</w:t>
      </w:r>
      <w:r>
        <w:t xml:space="preserve"> the Bill also gives the Commissioner of Taxation sole administration of </w:t>
      </w:r>
      <w:r w:rsidR="00E01224">
        <w:t xml:space="preserve">the covenants concerning SMSFs under </w:t>
      </w:r>
      <w:r w:rsidR="00D10280">
        <w:t xml:space="preserve">sections 52B and 52C of the SIS </w:t>
      </w:r>
      <w:r w:rsidR="008A5595">
        <w:t>Act</w:t>
      </w:r>
      <w:r w:rsidR="00B33D82">
        <w:t xml:space="preserve">. </w:t>
      </w:r>
      <w:r w:rsidR="00651D46">
        <w:rPr>
          <w:rStyle w:val="Referencingstyle"/>
        </w:rPr>
        <w:t>[Schedule #</w:t>
      </w:r>
      <w:r w:rsidR="00677960">
        <w:rPr>
          <w:rStyle w:val="Referencingstyle"/>
        </w:rPr>
        <w:t xml:space="preserve">, item 1, section 6(1) </w:t>
      </w:r>
      <w:r w:rsidR="00677960" w:rsidRPr="00375F1D">
        <w:rPr>
          <w:rStyle w:val="Referencingstyle"/>
        </w:rPr>
        <w:t xml:space="preserve">of </w:t>
      </w:r>
      <w:r w:rsidR="00677960">
        <w:rPr>
          <w:rStyle w:val="Referencingstyle"/>
        </w:rPr>
        <w:t xml:space="preserve">the SIS </w:t>
      </w:r>
      <w:r w:rsidR="00677960" w:rsidRPr="00375F1D">
        <w:rPr>
          <w:rStyle w:val="Referencingstyle"/>
        </w:rPr>
        <w:t>Act</w:t>
      </w:r>
      <w:r w:rsidR="008A5595">
        <w:rPr>
          <w:rStyle w:val="Referencingstyle"/>
        </w:rPr>
        <w:t xml:space="preserve"> (table item </w:t>
      </w:r>
      <w:r w:rsidR="009B3AEF" w:rsidRPr="009B3AEF">
        <w:rPr>
          <w:rStyle w:val="Referencingstyle"/>
        </w:rPr>
        <w:t>19</w:t>
      </w:r>
      <w:r w:rsidR="008A5595" w:rsidRPr="009B3AEF">
        <w:rPr>
          <w:rStyle w:val="Referencingstyle"/>
        </w:rPr>
        <w:t>)</w:t>
      </w:r>
      <w:r w:rsidR="00677960" w:rsidRPr="00375F1D">
        <w:rPr>
          <w:rStyle w:val="Referencingstyle"/>
        </w:rPr>
        <w:t>]</w:t>
      </w:r>
    </w:p>
    <w:p w14:paraId="4B2DC9C6" w14:textId="656CE5AA" w:rsidR="008404F6" w:rsidRDefault="007D65C9" w:rsidP="008404F6">
      <w:pPr>
        <w:pStyle w:val="base-text-paragraph"/>
      </w:pPr>
      <w:r>
        <w:t xml:space="preserve">An additional change </w:t>
      </w:r>
      <w:r w:rsidR="008A5595">
        <w:t xml:space="preserve">has been made to the </w:t>
      </w:r>
      <w:r>
        <w:t xml:space="preserve">general administration </w:t>
      </w:r>
      <w:r w:rsidR="008A5595">
        <w:t xml:space="preserve">of </w:t>
      </w:r>
      <w:r>
        <w:t>section 54A, which enables regulations to prescribe other covenants.</w:t>
      </w:r>
      <w:r w:rsidR="008404F6">
        <w:t xml:space="preserve"> </w:t>
      </w:r>
      <w:r w:rsidR="00D04212">
        <w:t>Currently, APRA has genera</w:t>
      </w:r>
      <w:r w:rsidR="008404F6">
        <w:t>l administration of section</w:t>
      </w:r>
      <w:r w:rsidR="008A5595">
        <w:t> </w:t>
      </w:r>
      <w:r w:rsidR="008404F6">
        <w:t xml:space="preserve">54A. </w:t>
      </w:r>
      <w:r w:rsidR="00441D81">
        <w:t xml:space="preserve">Schedule # </w:t>
      </w:r>
      <w:r w:rsidR="00371A32">
        <w:t>to</w:t>
      </w:r>
      <w:r w:rsidR="00441D81">
        <w:t xml:space="preserve"> the Bill allocates general administration of section 54A to t</w:t>
      </w:r>
      <w:r w:rsidR="00677960" w:rsidRPr="00677960">
        <w:t>he</w:t>
      </w:r>
      <w:r w:rsidR="00677960" w:rsidRPr="008404F6">
        <w:rPr>
          <w:b/>
          <w:i/>
        </w:rPr>
        <w:t xml:space="preserve"> </w:t>
      </w:r>
      <w:r w:rsidR="00677960" w:rsidRPr="00677960">
        <w:t>Commissioner</w:t>
      </w:r>
      <w:r w:rsidR="00677960" w:rsidRPr="008404F6">
        <w:rPr>
          <w:b/>
          <w:i/>
        </w:rPr>
        <w:t xml:space="preserve"> </w:t>
      </w:r>
      <w:r w:rsidR="00677960" w:rsidRPr="00677960">
        <w:t>of</w:t>
      </w:r>
      <w:r w:rsidR="00677960" w:rsidRPr="008404F6">
        <w:rPr>
          <w:b/>
          <w:i/>
        </w:rPr>
        <w:t xml:space="preserve"> </w:t>
      </w:r>
      <w:r w:rsidR="00677960" w:rsidRPr="00677960">
        <w:t>Taxation</w:t>
      </w:r>
      <w:r w:rsidR="00441D81">
        <w:t>, to the extent it relates to SMSFs, and APRA and ASIC to the remaining extent</w:t>
      </w:r>
      <w:r w:rsidR="008404F6">
        <w:t xml:space="preserve">. </w:t>
      </w:r>
      <w:r w:rsidR="00651D46">
        <w:rPr>
          <w:rStyle w:val="Referencingstyle"/>
        </w:rPr>
        <w:t>[Schedule #</w:t>
      </w:r>
      <w:r w:rsidR="008404F6">
        <w:rPr>
          <w:rStyle w:val="Referencingstyle"/>
        </w:rPr>
        <w:t>, item 1, section 6(1)</w:t>
      </w:r>
      <w:r w:rsidR="008404F6" w:rsidRPr="00375F1D">
        <w:rPr>
          <w:rStyle w:val="Referencingstyle"/>
        </w:rPr>
        <w:t xml:space="preserve"> of </w:t>
      </w:r>
      <w:r w:rsidR="008404F6">
        <w:rPr>
          <w:rStyle w:val="Referencingstyle"/>
        </w:rPr>
        <w:t xml:space="preserve">the SIS </w:t>
      </w:r>
      <w:r w:rsidR="008404F6" w:rsidRPr="00375F1D">
        <w:rPr>
          <w:rStyle w:val="Referencingstyle"/>
        </w:rPr>
        <w:t>Act</w:t>
      </w:r>
      <w:r w:rsidR="008A5595">
        <w:rPr>
          <w:rStyle w:val="Referencingstyle"/>
        </w:rPr>
        <w:t xml:space="preserve"> (table item</w:t>
      </w:r>
      <w:r w:rsidR="009B3AEF">
        <w:rPr>
          <w:rStyle w:val="Referencingstyle"/>
        </w:rPr>
        <w:t xml:space="preserve"> 20</w:t>
      </w:r>
      <w:r w:rsidR="008A5595">
        <w:rPr>
          <w:rStyle w:val="Referencingstyle"/>
        </w:rPr>
        <w:t>)</w:t>
      </w:r>
      <w:r w:rsidR="008404F6" w:rsidRPr="00375F1D">
        <w:rPr>
          <w:rStyle w:val="Referencingstyle"/>
        </w:rPr>
        <w:t>]</w:t>
      </w:r>
    </w:p>
    <w:p w14:paraId="0F4E31CA" w14:textId="0D9FE6ED" w:rsidR="00677960" w:rsidRDefault="008404F6" w:rsidP="000E0295">
      <w:pPr>
        <w:pStyle w:val="base-text-paragraph"/>
      </w:pPr>
      <w:r>
        <w:t>This change</w:t>
      </w:r>
      <w:r w:rsidR="00441D81">
        <w:t xml:space="preserve"> </w:t>
      </w:r>
      <w:r>
        <w:t xml:space="preserve">ensures that each regulator has general administration of regulations made under section 54A, to the extent those regulations concern the provisions they have general administration of. </w:t>
      </w:r>
    </w:p>
    <w:p w14:paraId="1F7C2254" w14:textId="7CFBF35D" w:rsidR="00E843E2" w:rsidRPr="00E843E2" w:rsidRDefault="00E843E2" w:rsidP="00E843E2">
      <w:pPr>
        <w:pStyle w:val="Heading4"/>
      </w:pPr>
      <w:r>
        <w:t xml:space="preserve">Use of the term ‘Regulator’ </w:t>
      </w:r>
    </w:p>
    <w:p w14:paraId="783DA6C3" w14:textId="12FDF26A" w:rsidR="00E843E2" w:rsidRPr="000E3A22" w:rsidRDefault="00E843E2" w:rsidP="00E843E2">
      <w:pPr>
        <w:pStyle w:val="base-text-paragraph"/>
        <w:rPr>
          <w:rStyle w:val="Referencingstyle"/>
          <w:b w:val="0"/>
          <w:i w:val="0"/>
          <w:sz w:val="22"/>
        </w:rPr>
      </w:pPr>
      <w:r>
        <w:rPr>
          <w:rStyle w:val="Referencingstyle"/>
          <w:b w:val="0"/>
          <w:i w:val="0"/>
          <w:sz w:val="22"/>
        </w:rPr>
        <w:t xml:space="preserve">Schedule # </w:t>
      </w:r>
      <w:r w:rsidR="00371A32">
        <w:rPr>
          <w:rStyle w:val="Referencingstyle"/>
          <w:b w:val="0"/>
          <w:i w:val="0"/>
          <w:sz w:val="22"/>
        </w:rPr>
        <w:t>to</w:t>
      </w:r>
      <w:r>
        <w:rPr>
          <w:rStyle w:val="Referencingstyle"/>
          <w:b w:val="0"/>
          <w:i w:val="0"/>
          <w:sz w:val="22"/>
        </w:rPr>
        <w:t xml:space="preserve"> the Bill amends the definition of </w:t>
      </w:r>
      <w:r w:rsidRPr="00696483">
        <w:rPr>
          <w:rStyle w:val="Referencingstyle"/>
          <w:sz w:val="22"/>
        </w:rPr>
        <w:t>Regulator</w:t>
      </w:r>
      <w:r>
        <w:rPr>
          <w:rStyle w:val="Referencingstyle"/>
          <w:b w:val="0"/>
          <w:i w:val="0"/>
          <w:sz w:val="22"/>
        </w:rPr>
        <w:t xml:space="preserve"> in subsection 10(1) of the SIS Act so that it operates when it is being applied for the purposes of a provision that is administered by </w:t>
      </w:r>
      <w:r w:rsidR="00A021F5">
        <w:rPr>
          <w:rStyle w:val="Referencingstyle"/>
          <w:b w:val="0"/>
          <w:i w:val="0"/>
          <w:sz w:val="22"/>
        </w:rPr>
        <w:t xml:space="preserve">both </w:t>
      </w:r>
      <w:r>
        <w:rPr>
          <w:rStyle w:val="Referencingstyle"/>
          <w:b w:val="0"/>
          <w:i w:val="0"/>
          <w:sz w:val="22"/>
        </w:rPr>
        <w:t>APRA and ASIC</w:t>
      </w:r>
      <w:r w:rsidR="00566F56">
        <w:rPr>
          <w:rStyle w:val="Referencingstyle"/>
          <w:b w:val="0"/>
          <w:i w:val="0"/>
          <w:sz w:val="22"/>
        </w:rPr>
        <w:t>.</w:t>
      </w:r>
      <w:r>
        <w:rPr>
          <w:rStyle w:val="Referencingstyle"/>
          <w:b w:val="0"/>
          <w:i w:val="0"/>
          <w:sz w:val="22"/>
        </w:rPr>
        <w:t xml:space="preserve"> </w:t>
      </w:r>
      <w:r>
        <w:rPr>
          <w:rStyle w:val="Referencingstyle"/>
        </w:rPr>
        <w:t>[Schedule #, item 3, subsection 10(1) of the SIS Act]</w:t>
      </w:r>
    </w:p>
    <w:p w14:paraId="4AE1C29E" w14:textId="41A5D8B9" w:rsidR="00A1563D" w:rsidRDefault="00F63EE6" w:rsidP="000E0295">
      <w:pPr>
        <w:pStyle w:val="base-text-paragraph"/>
        <w:rPr>
          <w:rStyle w:val="Referencingstyle"/>
          <w:b w:val="0"/>
          <w:i w:val="0"/>
          <w:sz w:val="22"/>
        </w:rPr>
      </w:pPr>
      <w:r>
        <w:rPr>
          <w:rStyle w:val="Referencingstyle"/>
          <w:b w:val="0"/>
          <w:i w:val="0"/>
          <w:sz w:val="22"/>
        </w:rPr>
        <w:t xml:space="preserve">For co-regulated provisions, the context may require ‘Regulator’ to mean the same body as referred to elsewhere. For example, in subsection 344(1), the Regulator who may be requested to reconsider a decision is required by the context to be a reference to the body who made the reviewable decision. </w:t>
      </w:r>
    </w:p>
    <w:p w14:paraId="15D6F4D7" w14:textId="42C2FA43" w:rsidR="00291E45" w:rsidRDefault="00291E45" w:rsidP="000E0295">
      <w:pPr>
        <w:pStyle w:val="base-text-paragraph"/>
        <w:rPr>
          <w:rStyle w:val="Referencingstyle"/>
          <w:b w:val="0"/>
          <w:i w:val="0"/>
          <w:sz w:val="22"/>
          <w:szCs w:val="22"/>
        </w:rPr>
      </w:pPr>
      <w:r>
        <w:rPr>
          <w:rStyle w:val="Referencingstyle"/>
          <w:b w:val="0"/>
          <w:i w:val="0"/>
          <w:sz w:val="22"/>
          <w:szCs w:val="22"/>
        </w:rPr>
        <w:t>Existing s</w:t>
      </w:r>
      <w:r w:rsidR="005D08CE" w:rsidRPr="00877379">
        <w:rPr>
          <w:rStyle w:val="Referencingstyle"/>
          <w:b w:val="0"/>
          <w:i w:val="0"/>
          <w:sz w:val="22"/>
          <w:szCs w:val="22"/>
        </w:rPr>
        <w:t xml:space="preserve">ubsection </w:t>
      </w:r>
      <w:proofErr w:type="gramStart"/>
      <w:r w:rsidR="005D08CE" w:rsidRPr="00D35BDE">
        <w:rPr>
          <w:rStyle w:val="Referencingstyle"/>
          <w:b w:val="0"/>
          <w:i w:val="0"/>
          <w:sz w:val="22"/>
        </w:rPr>
        <w:t>298A</w:t>
      </w:r>
      <w:r w:rsidR="005D08CE" w:rsidRPr="00877379">
        <w:rPr>
          <w:rStyle w:val="Referencingstyle"/>
          <w:b w:val="0"/>
          <w:i w:val="0"/>
          <w:sz w:val="22"/>
          <w:szCs w:val="22"/>
        </w:rPr>
        <w:t>(</w:t>
      </w:r>
      <w:proofErr w:type="gramEnd"/>
      <w:r w:rsidR="005D08CE" w:rsidRPr="00877379">
        <w:rPr>
          <w:rStyle w:val="Referencingstyle"/>
          <w:b w:val="0"/>
          <w:i w:val="0"/>
          <w:sz w:val="22"/>
          <w:szCs w:val="22"/>
        </w:rPr>
        <w:t>1)</w:t>
      </w:r>
      <w:r>
        <w:rPr>
          <w:rStyle w:val="Referencingstyle"/>
          <w:b w:val="0"/>
          <w:i w:val="0"/>
          <w:sz w:val="22"/>
          <w:szCs w:val="22"/>
        </w:rPr>
        <w:t xml:space="preserve"> </w:t>
      </w:r>
      <w:r w:rsidR="00027603">
        <w:rPr>
          <w:rStyle w:val="Referencingstyle"/>
          <w:b w:val="0"/>
          <w:i w:val="0"/>
          <w:sz w:val="22"/>
          <w:szCs w:val="22"/>
        </w:rPr>
        <w:t xml:space="preserve">provides that the Regulator may authorise a member of staff of ‘the other Regulator’ for a specified purpose. </w:t>
      </w:r>
      <w:r>
        <w:rPr>
          <w:rStyle w:val="Referencingstyle"/>
          <w:b w:val="0"/>
          <w:i w:val="0"/>
          <w:sz w:val="22"/>
          <w:szCs w:val="22"/>
        </w:rPr>
        <w:t xml:space="preserve">Schedule # removes the reference to ‘the other Regulator’ and replaces it with a cross-reference to the definition of </w:t>
      </w:r>
      <w:r w:rsidR="00246558">
        <w:rPr>
          <w:rStyle w:val="Referencingstyle"/>
          <w:b w:val="0"/>
          <w:i w:val="0"/>
          <w:sz w:val="22"/>
          <w:szCs w:val="22"/>
        </w:rPr>
        <w:t>‘</w:t>
      </w:r>
      <w:r>
        <w:rPr>
          <w:rStyle w:val="Referencingstyle"/>
          <w:b w:val="0"/>
          <w:i w:val="0"/>
          <w:sz w:val="22"/>
          <w:szCs w:val="22"/>
        </w:rPr>
        <w:t>Regulator</w:t>
      </w:r>
      <w:r w:rsidR="00246558">
        <w:rPr>
          <w:rStyle w:val="Referencingstyle"/>
          <w:b w:val="0"/>
          <w:i w:val="0"/>
          <w:sz w:val="22"/>
          <w:szCs w:val="22"/>
        </w:rPr>
        <w:t>’</w:t>
      </w:r>
      <w:r>
        <w:rPr>
          <w:rStyle w:val="Referencingstyle"/>
          <w:b w:val="0"/>
          <w:i w:val="0"/>
          <w:sz w:val="22"/>
          <w:szCs w:val="22"/>
        </w:rPr>
        <w:t xml:space="preserve"> in subsection 10(1). </w:t>
      </w:r>
      <w:r w:rsidR="00651D46">
        <w:rPr>
          <w:rStyle w:val="Referencingstyle"/>
        </w:rPr>
        <w:t>[Schedule #</w:t>
      </w:r>
      <w:r w:rsidRPr="00291E45">
        <w:rPr>
          <w:rStyle w:val="Referencingstyle"/>
        </w:rPr>
        <w:t>, item 2</w:t>
      </w:r>
      <w:r w:rsidR="00651D46">
        <w:rPr>
          <w:rStyle w:val="Referencingstyle"/>
        </w:rPr>
        <w:t>2</w:t>
      </w:r>
      <w:r w:rsidRPr="00291E45">
        <w:rPr>
          <w:rStyle w:val="Referencingstyle"/>
        </w:rPr>
        <w:t xml:space="preserve">, </w:t>
      </w:r>
      <w:r w:rsidR="001D44E4">
        <w:rPr>
          <w:rStyle w:val="Referencingstyle"/>
        </w:rPr>
        <w:t>sub</w:t>
      </w:r>
      <w:r w:rsidRPr="00291E45">
        <w:rPr>
          <w:rStyle w:val="Referencingstyle"/>
        </w:rPr>
        <w:t>section 298(1) of the SIS Act]</w:t>
      </w:r>
    </w:p>
    <w:p w14:paraId="54332987" w14:textId="066F2183" w:rsidR="001D44E4" w:rsidRPr="001D44E4" w:rsidRDefault="001D44E4" w:rsidP="000E0295">
      <w:pPr>
        <w:pStyle w:val="base-text-paragraph"/>
        <w:rPr>
          <w:rStyle w:val="Referencingstyle"/>
        </w:rPr>
      </w:pPr>
      <w:r>
        <w:rPr>
          <w:rStyle w:val="Referencingstyle"/>
          <w:b w:val="0"/>
          <w:i w:val="0"/>
          <w:sz w:val="22"/>
          <w:szCs w:val="22"/>
        </w:rPr>
        <w:t xml:space="preserve">A similar change has been made to subsection 265(1). </w:t>
      </w:r>
      <w:r w:rsidR="00651D46">
        <w:rPr>
          <w:rStyle w:val="Referencingstyle"/>
        </w:rPr>
        <w:t>[Schedule #</w:t>
      </w:r>
      <w:r w:rsidRPr="001D44E4">
        <w:rPr>
          <w:rStyle w:val="Referencingstyle"/>
        </w:rPr>
        <w:t>, item</w:t>
      </w:r>
      <w:r w:rsidR="00651D46">
        <w:rPr>
          <w:rStyle w:val="Referencingstyle"/>
        </w:rPr>
        <w:t xml:space="preserve"> 21</w:t>
      </w:r>
      <w:r w:rsidRPr="001D44E4">
        <w:rPr>
          <w:rStyle w:val="Referencingstyle"/>
        </w:rPr>
        <w:t>, subsection 265(1) of the SIS Act]</w:t>
      </w:r>
    </w:p>
    <w:p w14:paraId="1F0E9758" w14:textId="57D8FC87" w:rsidR="00D35BDE" w:rsidRDefault="00246558" w:rsidP="000E0295">
      <w:pPr>
        <w:pStyle w:val="base-text-paragraph"/>
        <w:rPr>
          <w:rStyle w:val="Referencingstyle"/>
          <w:b w:val="0"/>
          <w:i w:val="0"/>
          <w:sz w:val="22"/>
          <w:szCs w:val="22"/>
        </w:rPr>
      </w:pPr>
      <w:r>
        <w:rPr>
          <w:rStyle w:val="Referencingstyle"/>
          <w:b w:val="0"/>
          <w:i w:val="0"/>
          <w:sz w:val="22"/>
          <w:szCs w:val="22"/>
        </w:rPr>
        <w:t xml:space="preserve">The intent </w:t>
      </w:r>
      <w:r w:rsidR="007236D3">
        <w:rPr>
          <w:rStyle w:val="Referencingstyle"/>
          <w:b w:val="0"/>
          <w:i w:val="0"/>
          <w:sz w:val="22"/>
          <w:szCs w:val="22"/>
        </w:rPr>
        <w:t xml:space="preserve">and substance </w:t>
      </w:r>
      <w:r>
        <w:rPr>
          <w:rStyle w:val="Referencingstyle"/>
          <w:b w:val="0"/>
          <w:i w:val="0"/>
          <w:sz w:val="22"/>
          <w:szCs w:val="22"/>
        </w:rPr>
        <w:t xml:space="preserve">of </w:t>
      </w:r>
      <w:r w:rsidR="007236D3">
        <w:rPr>
          <w:rStyle w:val="Referencingstyle"/>
          <w:b w:val="0"/>
          <w:i w:val="0"/>
          <w:sz w:val="22"/>
          <w:szCs w:val="22"/>
        </w:rPr>
        <w:t xml:space="preserve">subsections 265(1) and </w:t>
      </w:r>
      <w:proofErr w:type="gramStart"/>
      <w:r w:rsidR="007236D3">
        <w:rPr>
          <w:rStyle w:val="Referencingstyle"/>
          <w:b w:val="0"/>
          <w:i w:val="0"/>
          <w:sz w:val="22"/>
          <w:szCs w:val="22"/>
        </w:rPr>
        <w:t>298A(</w:t>
      </w:r>
      <w:proofErr w:type="gramEnd"/>
      <w:r w:rsidR="007236D3">
        <w:rPr>
          <w:rStyle w:val="Referencingstyle"/>
          <w:b w:val="0"/>
          <w:i w:val="0"/>
          <w:sz w:val="22"/>
          <w:szCs w:val="22"/>
        </w:rPr>
        <w:t>1)</w:t>
      </w:r>
      <w:r w:rsidR="00291E45">
        <w:rPr>
          <w:rStyle w:val="Referencingstyle"/>
          <w:b w:val="0"/>
          <w:i w:val="0"/>
          <w:sz w:val="22"/>
          <w:szCs w:val="22"/>
        </w:rPr>
        <w:t xml:space="preserve"> </w:t>
      </w:r>
      <w:r w:rsidR="007236D3">
        <w:rPr>
          <w:rStyle w:val="Referencingstyle"/>
          <w:b w:val="0"/>
          <w:i w:val="0"/>
          <w:sz w:val="22"/>
          <w:szCs w:val="22"/>
        </w:rPr>
        <w:t xml:space="preserve">have </w:t>
      </w:r>
      <w:r w:rsidR="00291E45">
        <w:rPr>
          <w:rStyle w:val="Referencingstyle"/>
          <w:b w:val="0"/>
          <w:i w:val="0"/>
          <w:sz w:val="22"/>
          <w:szCs w:val="22"/>
        </w:rPr>
        <w:t>not changed.</w:t>
      </w:r>
      <w:r w:rsidR="007236D3">
        <w:rPr>
          <w:rStyle w:val="Referencingstyle"/>
          <w:b w:val="0"/>
          <w:i w:val="0"/>
          <w:sz w:val="22"/>
          <w:szCs w:val="22"/>
        </w:rPr>
        <w:t xml:space="preserve"> </w:t>
      </w:r>
      <w:r w:rsidR="00E50977">
        <w:rPr>
          <w:rStyle w:val="Referencingstyle"/>
          <w:b w:val="0"/>
          <w:i w:val="0"/>
          <w:sz w:val="22"/>
          <w:szCs w:val="22"/>
        </w:rPr>
        <w:t>Any of</w:t>
      </w:r>
      <w:r w:rsidR="005D08CE">
        <w:rPr>
          <w:rStyle w:val="Referencingstyle"/>
          <w:b w:val="0"/>
          <w:i w:val="0"/>
          <w:sz w:val="22"/>
          <w:szCs w:val="22"/>
        </w:rPr>
        <w:t xml:space="preserve"> APRA, ASIC or the Commissioner of Taxation </w:t>
      </w:r>
      <w:r w:rsidR="00F75917">
        <w:rPr>
          <w:rStyle w:val="Referencingstyle"/>
          <w:b w:val="0"/>
          <w:i w:val="0"/>
          <w:sz w:val="22"/>
          <w:szCs w:val="22"/>
        </w:rPr>
        <w:t xml:space="preserve">could </w:t>
      </w:r>
      <w:r w:rsidR="001D3E54">
        <w:rPr>
          <w:rStyle w:val="Referencingstyle"/>
          <w:b w:val="0"/>
          <w:i w:val="0"/>
          <w:sz w:val="22"/>
          <w:szCs w:val="22"/>
        </w:rPr>
        <w:t xml:space="preserve">appoint or </w:t>
      </w:r>
      <w:r w:rsidR="00F75917">
        <w:rPr>
          <w:rStyle w:val="Referencingstyle"/>
          <w:b w:val="0"/>
          <w:i w:val="0"/>
          <w:sz w:val="22"/>
          <w:szCs w:val="22"/>
        </w:rPr>
        <w:t>authorise</w:t>
      </w:r>
      <w:r w:rsidR="00B27275">
        <w:rPr>
          <w:rStyle w:val="Referencingstyle"/>
          <w:b w:val="0"/>
          <w:i w:val="0"/>
          <w:sz w:val="22"/>
          <w:szCs w:val="22"/>
        </w:rPr>
        <w:t xml:space="preserve"> </w:t>
      </w:r>
      <w:r w:rsidR="00FB4A31">
        <w:rPr>
          <w:rStyle w:val="Referencingstyle"/>
          <w:b w:val="0"/>
          <w:i w:val="0"/>
          <w:sz w:val="22"/>
          <w:szCs w:val="22"/>
        </w:rPr>
        <w:t>an</w:t>
      </w:r>
      <w:r w:rsidR="00B27275">
        <w:rPr>
          <w:rStyle w:val="Referencingstyle"/>
          <w:b w:val="0"/>
          <w:i w:val="0"/>
          <w:sz w:val="22"/>
          <w:szCs w:val="22"/>
        </w:rPr>
        <w:t xml:space="preserve"> APRA, ASIC or taxation officer</w:t>
      </w:r>
      <w:r w:rsidR="00FB4A31">
        <w:rPr>
          <w:rStyle w:val="Referencingstyle"/>
          <w:b w:val="0"/>
          <w:i w:val="0"/>
          <w:sz w:val="22"/>
          <w:szCs w:val="22"/>
        </w:rPr>
        <w:t>, as appropriate,</w:t>
      </w:r>
      <w:r w:rsidR="00B27275">
        <w:rPr>
          <w:rStyle w:val="Referencingstyle"/>
          <w:b w:val="0"/>
          <w:i w:val="0"/>
          <w:sz w:val="22"/>
          <w:szCs w:val="22"/>
        </w:rPr>
        <w:t xml:space="preserve"> </w:t>
      </w:r>
      <w:r w:rsidR="00F75917">
        <w:rPr>
          <w:rStyle w:val="Referencingstyle"/>
          <w:b w:val="0"/>
          <w:i w:val="0"/>
          <w:sz w:val="22"/>
          <w:szCs w:val="22"/>
        </w:rPr>
        <w:t xml:space="preserve">to </w:t>
      </w:r>
      <w:r w:rsidR="001D3E54">
        <w:rPr>
          <w:rStyle w:val="Referencingstyle"/>
          <w:b w:val="0"/>
          <w:i w:val="0"/>
          <w:sz w:val="22"/>
          <w:szCs w:val="22"/>
        </w:rPr>
        <w:t xml:space="preserve">conduct investigations or </w:t>
      </w:r>
      <w:r w:rsidR="00F75917">
        <w:rPr>
          <w:rStyle w:val="Referencingstyle"/>
          <w:b w:val="0"/>
          <w:i w:val="0"/>
          <w:sz w:val="22"/>
          <w:szCs w:val="22"/>
        </w:rPr>
        <w:t>commence relevant proceedings</w:t>
      </w:r>
      <w:r w:rsidR="001D3E54">
        <w:rPr>
          <w:rStyle w:val="Referencingstyle"/>
          <w:b w:val="0"/>
          <w:i w:val="0"/>
          <w:sz w:val="22"/>
          <w:szCs w:val="22"/>
        </w:rPr>
        <w:t>, as required</w:t>
      </w:r>
      <w:r w:rsidR="005D08CE">
        <w:rPr>
          <w:rStyle w:val="Referencingstyle"/>
          <w:b w:val="0"/>
          <w:i w:val="0"/>
          <w:sz w:val="22"/>
          <w:szCs w:val="22"/>
        </w:rPr>
        <w:t>.</w:t>
      </w:r>
      <w:r w:rsidR="00D35BDE" w:rsidRPr="00877379">
        <w:rPr>
          <w:rStyle w:val="Referencingstyle"/>
          <w:b w:val="0"/>
          <w:i w:val="0"/>
          <w:sz w:val="22"/>
          <w:szCs w:val="22"/>
        </w:rPr>
        <w:t xml:space="preserve"> </w:t>
      </w:r>
    </w:p>
    <w:p w14:paraId="39ABF427" w14:textId="6C1ED823" w:rsidR="00E63678" w:rsidRPr="009D4A07" w:rsidRDefault="00E63678" w:rsidP="000E0295">
      <w:pPr>
        <w:pStyle w:val="base-text-paragraph"/>
        <w:rPr>
          <w:rStyle w:val="Referencingstyle"/>
          <w:b w:val="0"/>
          <w:i w:val="0"/>
          <w:sz w:val="22"/>
          <w:szCs w:val="22"/>
        </w:rPr>
      </w:pPr>
      <w:r w:rsidRPr="009D4A07">
        <w:rPr>
          <w:rStyle w:val="Referencingstyle"/>
          <w:b w:val="0"/>
          <w:i w:val="0"/>
          <w:sz w:val="22"/>
          <w:szCs w:val="22"/>
        </w:rPr>
        <w:t>A saving rule</w:t>
      </w:r>
      <w:r w:rsidRPr="009D4A07">
        <w:t xml:space="preserve"> ensures that any existing </w:t>
      </w:r>
      <w:r w:rsidR="009D4A07">
        <w:t xml:space="preserve">appointments or </w:t>
      </w:r>
      <w:r w:rsidRPr="009D4A07">
        <w:t xml:space="preserve">authorisations </w:t>
      </w:r>
      <w:r w:rsidR="009D4A07">
        <w:t xml:space="preserve">under subsections 265(1) and </w:t>
      </w:r>
      <w:proofErr w:type="gramStart"/>
      <w:r w:rsidR="009D4A07">
        <w:t>298A(</w:t>
      </w:r>
      <w:proofErr w:type="gramEnd"/>
      <w:r w:rsidR="009D4A07">
        <w:t xml:space="preserve">1) of the SIS Act </w:t>
      </w:r>
      <w:r w:rsidRPr="009D4A07">
        <w:t>continue to apply despite the fact that the rule</w:t>
      </w:r>
      <w:r w:rsidR="009D4A07">
        <w:t>s</w:t>
      </w:r>
      <w:r w:rsidRPr="009D4A07">
        <w:t xml:space="preserve"> under which </w:t>
      </w:r>
      <w:r w:rsidR="001E075D" w:rsidRPr="009D4A07">
        <w:t xml:space="preserve">existing </w:t>
      </w:r>
      <w:r w:rsidR="009D4A07">
        <w:lastRenderedPageBreak/>
        <w:t xml:space="preserve">appointments and </w:t>
      </w:r>
      <w:r w:rsidRPr="009D4A07">
        <w:t>author</w:t>
      </w:r>
      <w:r w:rsidR="001E075D" w:rsidRPr="009D4A07">
        <w:t>isations were</w:t>
      </w:r>
      <w:r w:rsidRPr="009D4A07">
        <w:t xml:space="preserve"> made </w:t>
      </w:r>
      <w:r w:rsidR="00ED6F2D">
        <w:t>have been</w:t>
      </w:r>
      <w:r w:rsidRPr="009D4A07">
        <w:t xml:space="preserve"> amended</w:t>
      </w:r>
      <w:r w:rsidR="00F75917" w:rsidRPr="009D4A07">
        <w:t xml:space="preserve">. </w:t>
      </w:r>
      <w:r w:rsidR="00651D46">
        <w:rPr>
          <w:rStyle w:val="Referencingstyle"/>
        </w:rPr>
        <w:t>[Schedule #</w:t>
      </w:r>
      <w:r w:rsidR="00F75917" w:rsidRPr="009D4A07">
        <w:rPr>
          <w:rStyle w:val="Referencingstyle"/>
        </w:rPr>
        <w:t>, item 2</w:t>
      </w:r>
      <w:r w:rsidR="00651D46">
        <w:rPr>
          <w:rStyle w:val="Referencingstyle"/>
        </w:rPr>
        <w:t>7</w:t>
      </w:r>
      <w:r w:rsidR="00F75917" w:rsidRPr="009D4A07">
        <w:rPr>
          <w:rStyle w:val="Referencingstyle"/>
        </w:rPr>
        <w:t>]</w:t>
      </w:r>
    </w:p>
    <w:p w14:paraId="0B679974" w14:textId="46C4B4B0" w:rsidR="00985E51" w:rsidRDefault="00985E51" w:rsidP="000E0295">
      <w:pPr>
        <w:pStyle w:val="base-text-paragraph"/>
        <w:rPr>
          <w:rStyle w:val="Referencingstyle"/>
          <w:b w:val="0"/>
          <w:i w:val="0"/>
          <w:sz w:val="22"/>
        </w:rPr>
      </w:pPr>
      <w:r>
        <w:rPr>
          <w:rStyle w:val="Referencingstyle"/>
          <w:b w:val="0"/>
          <w:i w:val="0"/>
          <w:sz w:val="22"/>
        </w:rPr>
        <w:t>Schedule # to the Bill also amends the following provisions to ens</w:t>
      </w:r>
      <w:r w:rsidR="00163D6B">
        <w:rPr>
          <w:rStyle w:val="Referencingstyle"/>
          <w:b w:val="0"/>
          <w:i w:val="0"/>
          <w:sz w:val="22"/>
        </w:rPr>
        <w:t>ure the definition</w:t>
      </w:r>
      <w:r w:rsidR="00F55EC2">
        <w:rPr>
          <w:rStyle w:val="Referencingstyle"/>
          <w:b w:val="0"/>
          <w:i w:val="0"/>
          <w:sz w:val="22"/>
        </w:rPr>
        <w:t>s</w:t>
      </w:r>
      <w:r w:rsidR="00163D6B">
        <w:rPr>
          <w:rStyle w:val="Referencingstyle"/>
          <w:b w:val="0"/>
          <w:i w:val="0"/>
          <w:sz w:val="22"/>
        </w:rPr>
        <w:t xml:space="preserve"> of </w:t>
      </w:r>
      <w:r w:rsidR="00163D6B" w:rsidRPr="00F55EC2">
        <w:rPr>
          <w:rStyle w:val="Referencingstyle"/>
          <w:sz w:val="22"/>
        </w:rPr>
        <w:t>Regulator</w:t>
      </w:r>
      <w:r w:rsidR="00163D6B">
        <w:rPr>
          <w:rStyle w:val="Referencingstyle"/>
          <w:b w:val="0"/>
          <w:i w:val="0"/>
          <w:sz w:val="22"/>
        </w:rPr>
        <w:t xml:space="preserve"> and a </w:t>
      </w:r>
      <w:r w:rsidR="00163D6B" w:rsidRPr="00F55EC2">
        <w:rPr>
          <w:rStyle w:val="Referencingstyle"/>
          <w:sz w:val="22"/>
        </w:rPr>
        <w:t>member of staff</w:t>
      </w:r>
      <w:r w:rsidR="00163D6B">
        <w:rPr>
          <w:rStyle w:val="Referencingstyle"/>
          <w:b w:val="0"/>
          <w:i w:val="0"/>
          <w:sz w:val="22"/>
        </w:rPr>
        <w:t xml:space="preserve"> </w:t>
      </w:r>
      <w:r w:rsidR="00F55EC2">
        <w:rPr>
          <w:rStyle w:val="Referencingstyle"/>
          <w:b w:val="0"/>
          <w:i w:val="0"/>
          <w:sz w:val="22"/>
        </w:rPr>
        <w:t>(</w:t>
      </w:r>
      <w:r w:rsidR="00163D6B">
        <w:rPr>
          <w:rStyle w:val="Referencingstyle"/>
          <w:b w:val="0"/>
          <w:i w:val="0"/>
          <w:sz w:val="22"/>
        </w:rPr>
        <w:t>of the Regulator</w:t>
      </w:r>
      <w:r w:rsidR="00F55EC2">
        <w:rPr>
          <w:rStyle w:val="Referencingstyle"/>
          <w:b w:val="0"/>
          <w:i w:val="0"/>
          <w:sz w:val="22"/>
        </w:rPr>
        <w:t>)</w:t>
      </w:r>
      <w:r w:rsidR="00163D6B">
        <w:rPr>
          <w:rStyle w:val="Referencingstyle"/>
          <w:b w:val="0"/>
          <w:i w:val="0"/>
          <w:sz w:val="22"/>
        </w:rPr>
        <w:t xml:space="preserve"> work</w:t>
      </w:r>
      <w:r w:rsidR="00ED6F2D">
        <w:rPr>
          <w:rStyle w:val="Referencingstyle"/>
          <w:b w:val="0"/>
          <w:i w:val="0"/>
          <w:sz w:val="22"/>
        </w:rPr>
        <w:t xml:space="preserve"> </w:t>
      </w:r>
      <w:r>
        <w:rPr>
          <w:rStyle w:val="Referencingstyle"/>
          <w:b w:val="0"/>
          <w:i w:val="0"/>
          <w:sz w:val="22"/>
        </w:rPr>
        <w:t>as intended:</w:t>
      </w:r>
    </w:p>
    <w:p w14:paraId="33A44649" w14:textId="39C1DA62" w:rsidR="003E7AAB" w:rsidRPr="003E7AAB" w:rsidRDefault="003E7AAB" w:rsidP="00F65B36">
      <w:pPr>
        <w:pStyle w:val="dotpoint"/>
        <w:rPr>
          <w:rStyle w:val="Referencingstyle"/>
          <w:sz w:val="22"/>
          <w:szCs w:val="22"/>
        </w:rPr>
      </w:pPr>
      <w:r>
        <w:rPr>
          <w:rStyle w:val="Referencingstyle"/>
          <w:b w:val="0"/>
          <w:i w:val="0"/>
          <w:sz w:val="22"/>
          <w:szCs w:val="22"/>
        </w:rPr>
        <w:t>Subsection 265(1)</w:t>
      </w:r>
      <w:r w:rsidR="007772B8">
        <w:rPr>
          <w:rStyle w:val="Referencingstyle"/>
          <w:b w:val="0"/>
          <w:i w:val="0"/>
          <w:sz w:val="22"/>
          <w:szCs w:val="22"/>
        </w:rPr>
        <w:t xml:space="preserve"> </w:t>
      </w:r>
      <w:r w:rsidR="00651D46">
        <w:rPr>
          <w:rStyle w:val="Referencingstyle"/>
        </w:rPr>
        <w:t>[Schedule #</w:t>
      </w:r>
      <w:r w:rsidRPr="003E7AAB">
        <w:rPr>
          <w:rStyle w:val="Referencingstyle"/>
        </w:rPr>
        <w:t xml:space="preserve">, item </w:t>
      </w:r>
      <w:r w:rsidR="00651D46">
        <w:rPr>
          <w:rStyle w:val="Referencingstyle"/>
        </w:rPr>
        <w:t>20</w:t>
      </w:r>
      <w:r w:rsidRPr="003E7AAB">
        <w:rPr>
          <w:rStyle w:val="Referencingstyle"/>
        </w:rPr>
        <w:t>, section 265(1) of the SIS Act]</w:t>
      </w:r>
    </w:p>
    <w:p w14:paraId="61154C9E" w14:textId="0F908E91" w:rsidR="006E36B7" w:rsidRPr="006E36B7" w:rsidRDefault="00151C0B" w:rsidP="00F65B36">
      <w:pPr>
        <w:pStyle w:val="dotpoint"/>
        <w:rPr>
          <w:rStyle w:val="Referencingstyle"/>
          <w:sz w:val="22"/>
          <w:szCs w:val="22"/>
        </w:rPr>
      </w:pPr>
      <w:r w:rsidRPr="00151C0B">
        <w:rPr>
          <w:rStyle w:val="Referencingstyle"/>
          <w:b w:val="0"/>
          <w:i w:val="0"/>
          <w:sz w:val="22"/>
          <w:szCs w:val="22"/>
        </w:rPr>
        <w:t xml:space="preserve">Paragraphs </w:t>
      </w:r>
      <w:r w:rsidR="00BC7E71">
        <w:rPr>
          <w:rStyle w:val="Referencingstyle"/>
          <w:b w:val="0"/>
          <w:i w:val="0"/>
          <w:sz w:val="22"/>
          <w:szCs w:val="22"/>
        </w:rPr>
        <w:t>315(1)(a)-</w:t>
      </w:r>
      <w:r>
        <w:rPr>
          <w:rStyle w:val="Referencingstyle"/>
          <w:b w:val="0"/>
          <w:i w:val="0"/>
          <w:sz w:val="22"/>
          <w:szCs w:val="22"/>
        </w:rPr>
        <w:t>(f)</w:t>
      </w:r>
      <w:r w:rsidR="006E36B7">
        <w:rPr>
          <w:rStyle w:val="Referencingstyle"/>
          <w:b w:val="0"/>
          <w:i w:val="0"/>
          <w:sz w:val="22"/>
          <w:szCs w:val="22"/>
        </w:rPr>
        <w:t xml:space="preserve"> </w:t>
      </w:r>
      <w:r w:rsidR="00651D46">
        <w:rPr>
          <w:rStyle w:val="Referencingstyle"/>
        </w:rPr>
        <w:t>[Schedule #</w:t>
      </w:r>
      <w:r w:rsidR="006E36B7" w:rsidRPr="006E36B7">
        <w:rPr>
          <w:rStyle w:val="Referencingstyle"/>
        </w:rPr>
        <w:t>, item 2</w:t>
      </w:r>
      <w:r w:rsidR="00651D46">
        <w:rPr>
          <w:rStyle w:val="Referencingstyle"/>
        </w:rPr>
        <w:t>3</w:t>
      </w:r>
      <w:r w:rsidR="00BC7E71">
        <w:rPr>
          <w:rStyle w:val="Referencingstyle"/>
        </w:rPr>
        <w:t>, paragraphs 315(1)(a)-</w:t>
      </w:r>
      <w:r w:rsidR="006E36B7" w:rsidRPr="006E36B7">
        <w:rPr>
          <w:rStyle w:val="Referencingstyle"/>
        </w:rPr>
        <w:t>(f) of the SIS Act]</w:t>
      </w:r>
    </w:p>
    <w:p w14:paraId="37F3A093" w14:textId="450E17DC" w:rsidR="000E0564" w:rsidRPr="000A2226" w:rsidRDefault="006E36B7" w:rsidP="000A2226">
      <w:pPr>
        <w:pStyle w:val="dotpoint"/>
        <w:rPr>
          <w:rStyle w:val="Referencingstyle"/>
          <w:sz w:val="22"/>
          <w:szCs w:val="22"/>
        </w:rPr>
      </w:pPr>
      <w:r>
        <w:rPr>
          <w:rStyle w:val="Referencingstyle"/>
          <w:b w:val="0"/>
          <w:i w:val="0"/>
          <w:sz w:val="22"/>
          <w:szCs w:val="22"/>
        </w:rPr>
        <w:t>Subsection 315(3)</w:t>
      </w:r>
      <w:r w:rsidR="00151C0B">
        <w:rPr>
          <w:rStyle w:val="Referencingstyle"/>
          <w:b w:val="0"/>
          <w:i w:val="0"/>
          <w:sz w:val="22"/>
          <w:szCs w:val="22"/>
        </w:rPr>
        <w:t xml:space="preserve"> </w:t>
      </w:r>
      <w:r w:rsidR="00151C0B" w:rsidRPr="000F2A3A">
        <w:rPr>
          <w:rStyle w:val="Referencingstyle"/>
        </w:rPr>
        <w:t xml:space="preserve">[Schedule </w:t>
      </w:r>
      <w:r w:rsidR="00651D46">
        <w:rPr>
          <w:rStyle w:val="Referencingstyle"/>
        </w:rPr>
        <w:t>#</w:t>
      </w:r>
      <w:r w:rsidR="00151C0B" w:rsidRPr="000F2A3A">
        <w:rPr>
          <w:rStyle w:val="Referencingstyle"/>
        </w:rPr>
        <w:t>, item 2</w:t>
      </w:r>
      <w:r w:rsidR="00651D46">
        <w:rPr>
          <w:rStyle w:val="Referencingstyle"/>
        </w:rPr>
        <w:t>4</w:t>
      </w:r>
      <w:r w:rsidR="00151C0B" w:rsidRPr="000F2A3A">
        <w:rPr>
          <w:rStyle w:val="Referencingstyle"/>
        </w:rPr>
        <w:t xml:space="preserve">, subsection 315(3) of </w:t>
      </w:r>
      <w:r w:rsidR="00D2490F">
        <w:rPr>
          <w:rStyle w:val="Referencingstyle"/>
        </w:rPr>
        <w:t>the SIS </w:t>
      </w:r>
      <w:r w:rsidR="00151C0B" w:rsidRPr="000F2A3A">
        <w:rPr>
          <w:rStyle w:val="Referencingstyle"/>
        </w:rPr>
        <w:t>Act]</w:t>
      </w:r>
    </w:p>
    <w:p w14:paraId="6D078EFD" w14:textId="32515A5E" w:rsidR="00295274" w:rsidRPr="00130EA9" w:rsidRDefault="00295274" w:rsidP="00295274">
      <w:pPr>
        <w:pStyle w:val="Heading4"/>
        <w:rPr>
          <w:b w:val="0"/>
          <w:i w:val="0"/>
        </w:rPr>
      </w:pPr>
      <w:r w:rsidRPr="00130EA9">
        <w:t>Powers and duties of the regulators</w:t>
      </w:r>
    </w:p>
    <w:p w14:paraId="06DD6AF9" w14:textId="190D0C57" w:rsidR="00E9233B" w:rsidRPr="00A261AA" w:rsidRDefault="00E9233B" w:rsidP="000E0295">
      <w:pPr>
        <w:pStyle w:val="base-text-paragraph"/>
        <w:rPr>
          <w:rStyle w:val="Referencingstyle"/>
          <w:b w:val="0"/>
          <w:i w:val="0"/>
          <w:sz w:val="22"/>
        </w:rPr>
      </w:pPr>
      <w:r>
        <w:t xml:space="preserve">Schedule # </w:t>
      </w:r>
      <w:r w:rsidR="007B687E">
        <w:t xml:space="preserve">to the Bill </w:t>
      </w:r>
      <w:r>
        <w:t>moves</w:t>
      </w:r>
      <w:r w:rsidR="007B687E">
        <w:t xml:space="preserve"> existing</w:t>
      </w:r>
      <w:r>
        <w:t xml:space="preserve"> </w:t>
      </w:r>
      <w:r w:rsidR="00D03B33">
        <w:t xml:space="preserve">provisions related to </w:t>
      </w:r>
      <w:r>
        <w:t>the powers and duties</w:t>
      </w:r>
      <w:r w:rsidR="00D03B33">
        <w:t xml:space="preserve"> conferred on the regulators </w:t>
      </w:r>
      <w:r>
        <w:t>into new section 5</w:t>
      </w:r>
      <w:r w:rsidR="007B687E">
        <w:t>. It also</w:t>
      </w:r>
      <w:r w:rsidRPr="000951DF">
        <w:t xml:space="preserve"> </w:t>
      </w:r>
      <w:r>
        <w:t>restructures the provisions</w:t>
      </w:r>
      <w:r w:rsidRPr="000951DF">
        <w:t xml:space="preserve"> </w:t>
      </w:r>
      <w:r>
        <w:t xml:space="preserve">to improve </w:t>
      </w:r>
      <w:r w:rsidR="007B687E">
        <w:t xml:space="preserve">their </w:t>
      </w:r>
      <w:r>
        <w:t xml:space="preserve">flow and readability. </w:t>
      </w:r>
      <w:r>
        <w:rPr>
          <w:rStyle w:val="Referencingstyle"/>
        </w:rPr>
        <w:t>[Sched</w:t>
      </w:r>
      <w:r w:rsidR="00D03B33">
        <w:rPr>
          <w:rStyle w:val="Referencingstyle"/>
        </w:rPr>
        <w:t xml:space="preserve">ule #, item 1, subsections 5(2) to </w:t>
      </w:r>
      <w:r w:rsidR="00B54637">
        <w:rPr>
          <w:rStyle w:val="Referencingstyle"/>
        </w:rPr>
        <w:t xml:space="preserve">(6) and </w:t>
      </w:r>
      <w:r>
        <w:rPr>
          <w:rStyle w:val="Referencingstyle"/>
        </w:rPr>
        <w:t>(9) of the SIS Act]</w:t>
      </w:r>
    </w:p>
    <w:p w14:paraId="1000EF2F" w14:textId="394CFC32" w:rsidR="007B687E" w:rsidRPr="0075191D" w:rsidRDefault="007B687E" w:rsidP="000E0295">
      <w:pPr>
        <w:pStyle w:val="base-text-paragraph"/>
        <w:rPr>
          <w:rStyle w:val="Referencingstyle"/>
          <w:b w:val="0"/>
          <w:i w:val="0"/>
          <w:sz w:val="22"/>
        </w:rPr>
      </w:pPr>
      <w:r>
        <w:t xml:space="preserve">Schedule # </w:t>
      </w:r>
      <w:r w:rsidR="00E87F1B">
        <w:t>adds</w:t>
      </w:r>
      <w:r>
        <w:t xml:space="preserve"> that the provisions listed in new subsection 5(3) also confer powers and duties on APRA and ASIC for the purpose of administering the provisions that they co-regulate. </w:t>
      </w:r>
      <w:r>
        <w:rPr>
          <w:rStyle w:val="Referencingstyle"/>
        </w:rPr>
        <w:t>[Schedule #, item 1, subsection</w:t>
      </w:r>
      <w:r w:rsidR="00576A05">
        <w:rPr>
          <w:rStyle w:val="Referencingstyle"/>
        </w:rPr>
        <w:t>s</w:t>
      </w:r>
      <w:r>
        <w:rPr>
          <w:rStyle w:val="Referencingstyle"/>
        </w:rPr>
        <w:t xml:space="preserve"> 5(2)(a) and (b) of the SIS Act]</w:t>
      </w:r>
    </w:p>
    <w:p w14:paraId="775D91D8" w14:textId="20219C0E" w:rsidR="00E9233B" w:rsidRDefault="00E9233B" w:rsidP="000E0295">
      <w:pPr>
        <w:pStyle w:val="base-text-paragraph"/>
      </w:pPr>
      <w:r>
        <w:t>There are two changes to the provisions that confer powers and duties on the regulators. Firstly, Schedule # adds Part 29A, which</w:t>
      </w:r>
      <w:r>
        <w:rPr>
          <w:rStyle w:val="Referencingstyle"/>
          <w:b w:val="0"/>
          <w:i w:val="0"/>
          <w:sz w:val="22"/>
        </w:rPr>
        <w:t xml:space="preserve"> provides </w:t>
      </w:r>
      <w:r w:rsidRPr="001449AC">
        <w:rPr>
          <w:rStyle w:val="Referencingstyle"/>
          <w:b w:val="0"/>
          <w:i w:val="0"/>
          <w:sz w:val="22"/>
        </w:rPr>
        <w:t>protections for individuals against self-incrimination</w:t>
      </w:r>
      <w:r>
        <w:rPr>
          <w:rStyle w:val="Referencingstyle"/>
          <w:b w:val="0"/>
          <w:i w:val="0"/>
          <w:sz w:val="22"/>
        </w:rPr>
        <w:t>,</w:t>
      </w:r>
      <w:r w:rsidRPr="001449AC">
        <w:rPr>
          <w:rStyle w:val="Referencingstyle"/>
          <w:b w:val="0"/>
          <w:i w:val="0"/>
          <w:sz w:val="22"/>
        </w:rPr>
        <w:t xml:space="preserve"> </w:t>
      </w:r>
      <w:r>
        <w:t>to the list of provision</w:t>
      </w:r>
      <w:r w:rsidR="006B4A43">
        <w:t>s</w:t>
      </w:r>
      <w:r>
        <w:t xml:space="preserve"> that confer powers and duties on the three regulators.</w:t>
      </w:r>
      <w:r w:rsidRPr="00E705AE">
        <w:rPr>
          <w:rStyle w:val="Referencingstyle"/>
        </w:rPr>
        <w:t xml:space="preserve"> </w:t>
      </w:r>
      <w:r>
        <w:rPr>
          <w:rStyle w:val="Referencingstyle"/>
        </w:rPr>
        <w:t>[Schedule #, item 1, subsection 5(3) of the SIS Act]</w:t>
      </w:r>
    </w:p>
    <w:p w14:paraId="3030ED38" w14:textId="0EF88A12" w:rsidR="00B7121A" w:rsidRPr="00A261AA" w:rsidRDefault="00E705AE" w:rsidP="000E0295">
      <w:pPr>
        <w:pStyle w:val="base-text-paragraph"/>
        <w:rPr>
          <w:rStyle w:val="Referencingstyle"/>
          <w:b w:val="0"/>
          <w:i w:val="0"/>
          <w:sz w:val="22"/>
        </w:rPr>
      </w:pPr>
      <w:r>
        <w:rPr>
          <w:rStyle w:val="Referencingstyle"/>
          <w:b w:val="0"/>
          <w:i w:val="0"/>
          <w:sz w:val="22"/>
        </w:rPr>
        <w:t xml:space="preserve">Relatedly, </w:t>
      </w:r>
      <w:r w:rsidR="00D07E8B">
        <w:rPr>
          <w:rStyle w:val="Referencingstyle"/>
          <w:b w:val="0"/>
          <w:i w:val="0"/>
          <w:sz w:val="22"/>
        </w:rPr>
        <w:t>S</w:t>
      </w:r>
      <w:r w:rsidR="00E9233B">
        <w:rPr>
          <w:rStyle w:val="Referencingstyle"/>
          <w:b w:val="0"/>
          <w:i w:val="0"/>
          <w:sz w:val="22"/>
        </w:rPr>
        <w:t>chedule</w:t>
      </w:r>
      <w:r>
        <w:rPr>
          <w:rStyle w:val="Referencingstyle"/>
          <w:b w:val="0"/>
          <w:i w:val="0"/>
          <w:sz w:val="22"/>
        </w:rPr>
        <w:t xml:space="preserve"> # amends section 336F </w:t>
      </w:r>
      <w:r w:rsidR="0033724F">
        <w:rPr>
          <w:rStyle w:val="Referencingstyle"/>
          <w:b w:val="0"/>
          <w:i w:val="0"/>
          <w:sz w:val="22"/>
        </w:rPr>
        <w:t xml:space="preserve">in </w:t>
      </w:r>
      <w:r w:rsidR="00152FAF">
        <w:rPr>
          <w:rStyle w:val="Referencingstyle"/>
          <w:b w:val="0"/>
          <w:i w:val="0"/>
          <w:sz w:val="22"/>
        </w:rPr>
        <w:t>Part 29A</w:t>
      </w:r>
      <w:r w:rsidR="0033724F">
        <w:rPr>
          <w:rStyle w:val="Referencingstyle"/>
          <w:b w:val="0"/>
          <w:i w:val="0"/>
          <w:sz w:val="22"/>
        </w:rPr>
        <w:t xml:space="preserve"> of the SIS Act</w:t>
      </w:r>
      <w:r w:rsidR="00B7121A">
        <w:rPr>
          <w:rStyle w:val="Referencingstyle"/>
          <w:b w:val="0"/>
          <w:i w:val="0"/>
          <w:sz w:val="22"/>
        </w:rPr>
        <w:t xml:space="preserve"> so that it </w:t>
      </w:r>
      <w:r w:rsidR="00F87B72">
        <w:rPr>
          <w:rStyle w:val="Referencingstyle"/>
          <w:b w:val="0"/>
          <w:i w:val="0"/>
          <w:sz w:val="22"/>
        </w:rPr>
        <w:t xml:space="preserve">now </w:t>
      </w:r>
      <w:r w:rsidR="00B7121A">
        <w:rPr>
          <w:rStyle w:val="Referencingstyle"/>
          <w:b w:val="0"/>
          <w:i w:val="0"/>
          <w:sz w:val="22"/>
        </w:rPr>
        <w:t xml:space="preserve">refers to </w:t>
      </w:r>
      <w:r w:rsidR="00E87F1B">
        <w:rPr>
          <w:rStyle w:val="Referencingstyle"/>
          <w:b w:val="0"/>
          <w:i w:val="0"/>
          <w:sz w:val="22"/>
        </w:rPr>
        <w:t>‘</w:t>
      </w:r>
      <w:r w:rsidR="00B7121A">
        <w:rPr>
          <w:rStyle w:val="Referencingstyle"/>
          <w:b w:val="0"/>
          <w:i w:val="0"/>
          <w:sz w:val="22"/>
        </w:rPr>
        <w:t>the Regulator</w:t>
      </w:r>
      <w:r w:rsidR="00E87F1B">
        <w:rPr>
          <w:rStyle w:val="Referencingstyle"/>
          <w:b w:val="0"/>
          <w:i w:val="0"/>
          <w:sz w:val="22"/>
        </w:rPr>
        <w:t>’</w:t>
      </w:r>
      <w:r w:rsidR="00B7121A">
        <w:rPr>
          <w:rStyle w:val="Referencingstyle"/>
          <w:b w:val="0"/>
          <w:i w:val="0"/>
          <w:sz w:val="22"/>
        </w:rPr>
        <w:t xml:space="preserve"> rather than just </w:t>
      </w:r>
      <w:r w:rsidR="00E87F1B">
        <w:rPr>
          <w:rStyle w:val="Referencingstyle"/>
          <w:b w:val="0"/>
          <w:i w:val="0"/>
          <w:sz w:val="22"/>
        </w:rPr>
        <w:t>‘</w:t>
      </w:r>
      <w:r w:rsidR="00B7121A">
        <w:rPr>
          <w:rStyle w:val="Referencingstyle"/>
          <w:b w:val="0"/>
          <w:i w:val="0"/>
          <w:sz w:val="22"/>
        </w:rPr>
        <w:t>APRA</w:t>
      </w:r>
      <w:r w:rsidR="00E87F1B">
        <w:rPr>
          <w:rStyle w:val="Referencingstyle"/>
          <w:b w:val="0"/>
          <w:i w:val="0"/>
          <w:sz w:val="22"/>
        </w:rPr>
        <w:t>’</w:t>
      </w:r>
      <w:r w:rsidR="008B584E">
        <w:rPr>
          <w:rStyle w:val="Referencingstyle"/>
          <w:b w:val="0"/>
          <w:i w:val="0"/>
          <w:sz w:val="22"/>
        </w:rPr>
        <w:t xml:space="preserve">, as the provision should also apply in cases where </w:t>
      </w:r>
      <w:r w:rsidR="008B584E" w:rsidRPr="00B7121A">
        <w:rPr>
          <w:rStyle w:val="Referencingstyle"/>
          <w:b w:val="0"/>
          <w:i w:val="0"/>
          <w:sz w:val="22"/>
        </w:rPr>
        <w:t>ASIC and the Commissioner of Taxation</w:t>
      </w:r>
      <w:r w:rsidR="008B584E">
        <w:rPr>
          <w:rStyle w:val="Referencingstyle"/>
          <w:b w:val="0"/>
          <w:i w:val="0"/>
          <w:sz w:val="22"/>
        </w:rPr>
        <w:t xml:space="preserve"> are the Regulator.</w:t>
      </w:r>
      <w:r>
        <w:rPr>
          <w:rStyle w:val="Referencingstyle"/>
        </w:rPr>
        <w:t xml:space="preserve"> </w:t>
      </w:r>
      <w:r w:rsidR="00B7121A">
        <w:rPr>
          <w:rStyle w:val="Referencingstyle"/>
        </w:rPr>
        <w:t xml:space="preserve">[Schedule #, item </w:t>
      </w:r>
      <w:r w:rsidR="001A3B4D">
        <w:rPr>
          <w:rStyle w:val="Referencingstyle"/>
        </w:rPr>
        <w:t>2</w:t>
      </w:r>
      <w:r w:rsidR="00651D46">
        <w:rPr>
          <w:rStyle w:val="Referencingstyle"/>
        </w:rPr>
        <w:t>5</w:t>
      </w:r>
      <w:r w:rsidR="00C70D6C">
        <w:rPr>
          <w:rStyle w:val="Referencingstyle"/>
        </w:rPr>
        <w:t>, subsection</w:t>
      </w:r>
      <w:r w:rsidR="00D20F0A">
        <w:rPr>
          <w:rStyle w:val="Referencingstyle"/>
        </w:rPr>
        <w:t> </w:t>
      </w:r>
      <w:r w:rsidR="00C70D6C">
        <w:rPr>
          <w:rStyle w:val="Referencingstyle"/>
        </w:rPr>
        <w:t>336F(1)</w:t>
      </w:r>
      <w:r w:rsidR="00B7121A">
        <w:rPr>
          <w:rStyle w:val="Referencingstyle"/>
        </w:rPr>
        <w:t xml:space="preserve"> of the SIS Act]</w:t>
      </w:r>
    </w:p>
    <w:p w14:paraId="67123C57" w14:textId="1D97094A" w:rsidR="001903A3" w:rsidRPr="005A4FAF" w:rsidRDefault="00E9233B" w:rsidP="000E0295">
      <w:pPr>
        <w:pStyle w:val="base-text-paragraph"/>
        <w:rPr>
          <w:rStyle w:val="Referencingstyle"/>
          <w:b w:val="0"/>
          <w:i w:val="0"/>
          <w:sz w:val="22"/>
        </w:rPr>
      </w:pPr>
      <w:r>
        <w:t xml:space="preserve">Secondly, Schedule # amends the existing conferral of exemptions and modifications powers </w:t>
      </w:r>
      <w:r w:rsidR="001903A3">
        <w:t xml:space="preserve">and duties </w:t>
      </w:r>
      <w:r>
        <w:t>by sections 328 and 332</w:t>
      </w:r>
      <w:r w:rsidR="009A5269">
        <w:t xml:space="preserve">. These </w:t>
      </w:r>
      <w:r w:rsidR="001903A3">
        <w:t xml:space="preserve">provisions </w:t>
      </w:r>
      <w:r w:rsidR="009A5269">
        <w:t xml:space="preserve">now </w:t>
      </w:r>
      <w:r w:rsidR="001903A3">
        <w:t>confer</w:t>
      </w:r>
      <w:r w:rsidR="00CB6720">
        <w:t xml:space="preserve"> exemptions and modifications</w:t>
      </w:r>
      <w:r w:rsidR="001903A3">
        <w:t xml:space="preserve"> powers and duties on ASIC in relation to </w:t>
      </w:r>
      <w:r w:rsidR="00B15D0A">
        <w:t xml:space="preserve">all of the modifiable </w:t>
      </w:r>
      <w:r w:rsidR="001903A3">
        <w:t xml:space="preserve">provisions </w:t>
      </w:r>
      <w:r w:rsidR="009A5269">
        <w:t>that it solely administers</w:t>
      </w:r>
      <w:r>
        <w:t>.</w:t>
      </w:r>
      <w:r w:rsidR="001903A3">
        <w:t xml:space="preserve"> </w:t>
      </w:r>
      <w:r w:rsidR="001903A3">
        <w:rPr>
          <w:rStyle w:val="Referencingstyle"/>
        </w:rPr>
        <w:t xml:space="preserve">[Schedule #, item 1, </w:t>
      </w:r>
      <w:r w:rsidR="00D20F0A">
        <w:rPr>
          <w:rStyle w:val="Referencingstyle"/>
        </w:rPr>
        <w:t>paragraph</w:t>
      </w:r>
      <w:r w:rsidR="001903A3">
        <w:rPr>
          <w:rStyle w:val="Referencingstyle"/>
        </w:rPr>
        <w:t xml:space="preserve"> 5(8)(b) of the SIS Act]</w:t>
      </w:r>
    </w:p>
    <w:p w14:paraId="7DBEBEA9" w14:textId="0B8EAA43" w:rsidR="00DE6A88" w:rsidRDefault="009A5269" w:rsidP="000E0295">
      <w:pPr>
        <w:pStyle w:val="base-text-paragraph"/>
      </w:pPr>
      <w:r>
        <w:t xml:space="preserve">ASIC solely administers </w:t>
      </w:r>
      <w:r w:rsidR="00404B88">
        <w:t xml:space="preserve">the following </w:t>
      </w:r>
      <w:r w:rsidR="00B15D0A">
        <w:t xml:space="preserve">modifiable </w:t>
      </w:r>
      <w:r w:rsidR="00404B88">
        <w:t>SIS Act provisions</w:t>
      </w:r>
      <w:r w:rsidR="00DE6A88">
        <w:t>:</w:t>
      </w:r>
    </w:p>
    <w:p w14:paraId="3186767B" w14:textId="34EE8DEB" w:rsidR="003E310D" w:rsidRDefault="003E310D" w:rsidP="003E310D">
      <w:pPr>
        <w:pStyle w:val="dotpoint"/>
        <w:rPr>
          <w:rStyle w:val="Referencingstyle"/>
          <w:b w:val="0"/>
          <w:i w:val="0"/>
          <w:sz w:val="22"/>
        </w:rPr>
      </w:pPr>
      <w:r>
        <w:rPr>
          <w:rStyle w:val="Referencingstyle"/>
          <w:b w:val="0"/>
          <w:i w:val="0"/>
          <w:sz w:val="22"/>
        </w:rPr>
        <w:t>Sections 29P to 29QC (</w:t>
      </w:r>
      <w:r w:rsidR="00CD1B71">
        <w:rPr>
          <w:rStyle w:val="Referencingstyle"/>
          <w:b w:val="0"/>
          <w:i w:val="0"/>
          <w:sz w:val="22"/>
        </w:rPr>
        <w:t>i</w:t>
      </w:r>
      <w:r>
        <w:rPr>
          <w:rStyle w:val="Referencingstyle"/>
          <w:b w:val="0"/>
          <w:i w:val="0"/>
          <w:sz w:val="22"/>
        </w:rPr>
        <w:t>tem 4 in the general administration table)</w:t>
      </w:r>
      <w:r w:rsidR="00B15D0A">
        <w:rPr>
          <w:rStyle w:val="Referencingstyle"/>
          <w:b w:val="0"/>
          <w:i w:val="0"/>
          <w:sz w:val="22"/>
        </w:rPr>
        <w:t xml:space="preserve">, and </w:t>
      </w:r>
    </w:p>
    <w:p w14:paraId="53AE100C" w14:textId="6AFA2714" w:rsidR="000F56D3" w:rsidRDefault="009A5269" w:rsidP="00DE6A88">
      <w:pPr>
        <w:pStyle w:val="dotpoint"/>
      </w:pPr>
      <w:r>
        <w:t xml:space="preserve">Part 19 </w:t>
      </w:r>
      <w:r w:rsidR="00CD1B71">
        <w:t>(i</w:t>
      </w:r>
      <w:r w:rsidR="0028027B">
        <w:t>tem 4</w:t>
      </w:r>
      <w:r w:rsidR="00E0525E">
        <w:t>8</w:t>
      </w:r>
      <w:r w:rsidR="0028027B">
        <w:t xml:space="preserve"> in the general administration table).</w:t>
      </w:r>
    </w:p>
    <w:p w14:paraId="2CDCEF63" w14:textId="00A3B9DB" w:rsidR="0028027B" w:rsidRDefault="0028027B" w:rsidP="0028027B">
      <w:pPr>
        <w:pStyle w:val="dotpoint"/>
        <w:numPr>
          <w:ilvl w:val="0"/>
          <w:numId w:val="0"/>
        </w:numPr>
        <w:ind w:left="1984"/>
      </w:pPr>
      <w:r>
        <w:rPr>
          <w:rStyle w:val="Referencingstyle"/>
        </w:rPr>
        <w:lastRenderedPageBreak/>
        <w:t xml:space="preserve">[Schedule </w:t>
      </w:r>
      <w:r w:rsidR="00651D46">
        <w:rPr>
          <w:rStyle w:val="Referencingstyle"/>
        </w:rPr>
        <w:t>#</w:t>
      </w:r>
      <w:r>
        <w:rPr>
          <w:rStyle w:val="Referencingstyle"/>
        </w:rPr>
        <w:t>, item 1, section 6(1)</w:t>
      </w:r>
      <w:r w:rsidRPr="00375F1D">
        <w:rPr>
          <w:rStyle w:val="Referencingstyle"/>
        </w:rPr>
        <w:t xml:space="preserve"> </w:t>
      </w:r>
      <w:r w:rsidR="009A5269" w:rsidRPr="00375F1D">
        <w:rPr>
          <w:rStyle w:val="Referencingstyle"/>
        </w:rPr>
        <w:t xml:space="preserve">of </w:t>
      </w:r>
      <w:r w:rsidR="009A5269">
        <w:rPr>
          <w:rStyle w:val="Referencingstyle"/>
        </w:rPr>
        <w:t xml:space="preserve">the SIS </w:t>
      </w:r>
      <w:r w:rsidR="009A5269" w:rsidRPr="00375F1D">
        <w:rPr>
          <w:rStyle w:val="Referencingstyle"/>
        </w:rPr>
        <w:t>Act</w:t>
      </w:r>
      <w:r w:rsidRPr="00375F1D">
        <w:rPr>
          <w:rStyle w:val="Referencingstyle"/>
        </w:rPr>
        <w:t>]</w:t>
      </w:r>
    </w:p>
    <w:p w14:paraId="138487BA" w14:textId="27D729D7" w:rsidR="007B687E" w:rsidRDefault="009A5269" w:rsidP="000E0295">
      <w:pPr>
        <w:pStyle w:val="base-text-paragraph"/>
      </w:pPr>
      <w:r>
        <w:t xml:space="preserve">The conferral </w:t>
      </w:r>
      <w:r w:rsidR="00441FE0">
        <w:t xml:space="preserve">by </w:t>
      </w:r>
      <w:r w:rsidR="00CD1B71">
        <w:t xml:space="preserve">sections </w:t>
      </w:r>
      <w:r w:rsidR="00441FE0">
        <w:t xml:space="preserve">328 and 332 </w:t>
      </w:r>
      <w:r>
        <w:t xml:space="preserve">of powers and </w:t>
      </w:r>
      <w:r w:rsidR="00441FE0">
        <w:t xml:space="preserve">duties on ASIC means that ASIC can </w:t>
      </w:r>
      <w:r w:rsidR="001658D8">
        <w:t xml:space="preserve">now </w:t>
      </w:r>
      <w:r w:rsidR="00441FE0">
        <w:t xml:space="preserve">exempt RSE licensees from obligations under </w:t>
      </w:r>
      <w:r w:rsidR="0026471A">
        <w:t xml:space="preserve">the </w:t>
      </w:r>
      <w:r w:rsidR="00BE6A00">
        <w:t>abovementioned</w:t>
      </w:r>
      <w:r w:rsidR="00441FE0">
        <w:t xml:space="preserve"> provisions, or modify </w:t>
      </w:r>
      <w:r w:rsidR="009B3CCA">
        <w:t xml:space="preserve">the </w:t>
      </w:r>
      <w:r w:rsidR="00441FE0">
        <w:t>obligations</w:t>
      </w:r>
      <w:r w:rsidR="0026471A">
        <w:t xml:space="preserve"> imposed on RSE licensees under those provisions</w:t>
      </w:r>
      <w:r w:rsidR="00441FE0">
        <w:t xml:space="preserve">. </w:t>
      </w:r>
    </w:p>
    <w:p w14:paraId="5E1DFD61" w14:textId="5E3F0476" w:rsidR="00E9233B" w:rsidRPr="005A4FAF" w:rsidRDefault="007B687E" w:rsidP="000E0295">
      <w:pPr>
        <w:pStyle w:val="base-text-paragraph"/>
        <w:rPr>
          <w:rStyle w:val="Referencingstyle"/>
          <w:b w:val="0"/>
          <w:i w:val="0"/>
          <w:sz w:val="22"/>
        </w:rPr>
      </w:pPr>
      <w:r>
        <w:t xml:space="preserve">Additionally, </w:t>
      </w:r>
      <w:r w:rsidR="009F5AA9">
        <w:t>sections 328 and 332</w:t>
      </w:r>
      <w:r w:rsidR="00E9233B">
        <w:t xml:space="preserve"> </w:t>
      </w:r>
      <w:r w:rsidR="009F5AA9">
        <w:t xml:space="preserve">now also confer </w:t>
      </w:r>
      <w:r w:rsidR="00E9233B">
        <w:t>powers and duties on APRA for the purpose of adm</w:t>
      </w:r>
      <w:r w:rsidR="006560FF">
        <w:t>inistering the provisions it co</w:t>
      </w:r>
      <w:r w:rsidR="006560FF">
        <w:noBreakHyphen/>
      </w:r>
      <w:r w:rsidR="00E9233B">
        <w:t xml:space="preserve">regulates with ASIC. </w:t>
      </w:r>
      <w:r w:rsidR="00E9233B">
        <w:rPr>
          <w:rStyle w:val="Referencingstyle"/>
        </w:rPr>
        <w:t xml:space="preserve">[Schedule #, item </w:t>
      </w:r>
      <w:r w:rsidR="00BA5292">
        <w:rPr>
          <w:rStyle w:val="Referencingstyle"/>
        </w:rPr>
        <w:t>1</w:t>
      </w:r>
      <w:r w:rsidR="00E9233B">
        <w:rPr>
          <w:rStyle w:val="Referencingstyle"/>
        </w:rPr>
        <w:t>, subsection 5(8</w:t>
      </w:r>
      <w:r w:rsidR="00BA5292">
        <w:rPr>
          <w:rStyle w:val="Referencingstyle"/>
        </w:rPr>
        <w:t>(a)</w:t>
      </w:r>
      <w:r w:rsidR="00E9233B">
        <w:rPr>
          <w:rStyle w:val="Referencingstyle"/>
        </w:rPr>
        <w:t>) of the SIS Act]</w:t>
      </w:r>
    </w:p>
    <w:p w14:paraId="44F16546" w14:textId="60208F25" w:rsidR="00380F09" w:rsidRPr="005A4FAF" w:rsidRDefault="00380F09" w:rsidP="000E0295">
      <w:pPr>
        <w:pStyle w:val="base-text-paragraph"/>
        <w:rPr>
          <w:rStyle w:val="Referencingstyle"/>
          <w:b w:val="0"/>
          <w:i w:val="0"/>
          <w:sz w:val="22"/>
        </w:rPr>
      </w:pPr>
      <w:r>
        <w:rPr>
          <w:rStyle w:val="Referencingstyle"/>
          <w:b w:val="0"/>
          <w:i w:val="0"/>
          <w:sz w:val="22"/>
        </w:rPr>
        <w:t>This means that only APRA may exercise the exemption and modification powers conferred on APR</w:t>
      </w:r>
      <w:r w:rsidR="00F76D0C">
        <w:rPr>
          <w:rStyle w:val="Referencingstyle"/>
          <w:b w:val="0"/>
          <w:i w:val="0"/>
          <w:sz w:val="22"/>
        </w:rPr>
        <w:t xml:space="preserve">A by sections 328 and 332 </w:t>
      </w:r>
      <w:r w:rsidR="0026471A">
        <w:rPr>
          <w:rStyle w:val="Referencingstyle"/>
          <w:b w:val="0"/>
          <w:i w:val="0"/>
          <w:sz w:val="22"/>
        </w:rPr>
        <w:t>for</w:t>
      </w:r>
      <w:r w:rsidR="00F76D0C">
        <w:rPr>
          <w:rStyle w:val="Referencingstyle"/>
          <w:b w:val="0"/>
          <w:i w:val="0"/>
          <w:sz w:val="22"/>
        </w:rPr>
        <w:t xml:space="preserve"> co</w:t>
      </w:r>
      <w:r w:rsidR="00F76D0C">
        <w:rPr>
          <w:rStyle w:val="Referencingstyle"/>
          <w:b w:val="0"/>
          <w:i w:val="0"/>
          <w:sz w:val="22"/>
        </w:rPr>
        <w:noBreakHyphen/>
      </w:r>
      <w:r>
        <w:rPr>
          <w:rStyle w:val="Referencingstyle"/>
          <w:b w:val="0"/>
          <w:i w:val="0"/>
          <w:sz w:val="22"/>
        </w:rPr>
        <w:t>regulated provisions.</w:t>
      </w:r>
    </w:p>
    <w:p w14:paraId="269394B1" w14:textId="7308216C" w:rsidR="00295274" w:rsidRPr="00A97B92" w:rsidRDefault="00EC1BF0" w:rsidP="000E0295">
      <w:pPr>
        <w:pStyle w:val="base-text-paragraph"/>
      </w:pPr>
      <w:r>
        <w:t>Finally, a</w:t>
      </w:r>
      <w:r w:rsidR="008974EC">
        <w:t xml:space="preserve"> n</w:t>
      </w:r>
      <w:r w:rsidR="00295274">
        <w:t>ew provision make</w:t>
      </w:r>
      <w:r w:rsidR="008974EC">
        <w:t>s</w:t>
      </w:r>
      <w:r w:rsidR="00295274">
        <w:t xml:space="preserve"> clear that, for the purposes of the definition of </w:t>
      </w:r>
      <w:r w:rsidR="00295274" w:rsidRPr="007C025C">
        <w:rPr>
          <w:b/>
          <w:i/>
        </w:rPr>
        <w:t>taxation law</w:t>
      </w:r>
      <w:r w:rsidR="00295274">
        <w:t xml:space="preserve"> in subsection 995-1(1) of the </w:t>
      </w:r>
      <w:r w:rsidR="00295274" w:rsidRPr="00CC00C5">
        <w:rPr>
          <w:i/>
        </w:rPr>
        <w:t>Income Tax Assessment Act 1997</w:t>
      </w:r>
      <w:r w:rsidR="00295274">
        <w:t xml:space="preserve">, the Commissioner of Taxation is taken to have the general administration of a provision of the SIS Act or regulations that confers power and duties on the Commissioner of Taxation. </w:t>
      </w:r>
      <w:r w:rsidR="00295274">
        <w:rPr>
          <w:rStyle w:val="Referencingstyle"/>
        </w:rPr>
        <w:t>[Schedule #, item 1, subsection 5(7) of the SIS Act]</w:t>
      </w:r>
    </w:p>
    <w:p w14:paraId="6AAEFF0E" w14:textId="7DE75C23" w:rsidR="00295274" w:rsidRDefault="00295274" w:rsidP="000E0295">
      <w:pPr>
        <w:pStyle w:val="base-text-paragraph"/>
      </w:pPr>
      <w:r>
        <w:t xml:space="preserve">The effect of a provision being administered by the Commissioner of Taxation is that people who acquire information under the provision </w:t>
      </w:r>
      <w:r w:rsidR="0061762F">
        <w:t xml:space="preserve">(such as a taxation officer) </w:t>
      </w:r>
      <w:r>
        <w:t xml:space="preserve">are subject to the confidentiality obligations and exceptions in Division 355 in Schedule 1 to the </w:t>
      </w:r>
      <w:r w:rsidRPr="00CC00C5">
        <w:rPr>
          <w:i/>
        </w:rPr>
        <w:t>Taxation Administration Act 1953</w:t>
      </w:r>
      <w:r>
        <w:t xml:space="preserve">. </w:t>
      </w:r>
    </w:p>
    <w:p w14:paraId="0A8A089C" w14:textId="0EACD6E0" w:rsidR="007365CF" w:rsidRPr="007365CF" w:rsidRDefault="003A0878" w:rsidP="007365CF">
      <w:pPr>
        <w:pStyle w:val="Heading4"/>
      </w:pPr>
      <w:r>
        <w:t>Other minor changes</w:t>
      </w:r>
    </w:p>
    <w:p w14:paraId="3BCA2D58" w14:textId="35DF123E" w:rsidR="005321D7" w:rsidRDefault="001B077D" w:rsidP="000E0295">
      <w:pPr>
        <w:pStyle w:val="base-text-paragraph"/>
      </w:pPr>
      <w:r>
        <w:t xml:space="preserve">Schedule # </w:t>
      </w:r>
      <w:r w:rsidR="00D806D5">
        <w:t>to</w:t>
      </w:r>
      <w:r>
        <w:t xml:space="preserve"> the Bill </w:t>
      </w:r>
      <w:r w:rsidR="009A43B5">
        <w:t xml:space="preserve">also makes a number of consequential amendments to other provisions </w:t>
      </w:r>
      <w:r>
        <w:t>of the SIS Act</w:t>
      </w:r>
      <w:r w:rsidR="005321D7">
        <w:t>:</w:t>
      </w:r>
    </w:p>
    <w:p w14:paraId="2751247F" w14:textId="0789EF79" w:rsidR="002976E3" w:rsidRDefault="009A43B5" w:rsidP="005321D7">
      <w:pPr>
        <w:pStyle w:val="dotpoint"/>
      </w:pPr>
      <w:r>
        <w:t xml:space="preserve">Subsection </w:t>
      </w:r>
      <w:r w:rsidR="002976E3">
        <w:t xml:space="preserve">10(1) </w:t>
      </w:r>
      <w:r>
        <w:t>–</w:t>
      </w:r>
      <w:r w:rsidR="002976E3">
        <w:t xml:space="preserve"> note to the definition of </w:t>
      </w:r>
      <w:proofErr w:type="spellStart"/>
      <w:r w:rsidR="002976E3" w:rsidRPr="00116465">
        <w:rPr>
          <w:b/>
          <w:i/>
        </w:rPr>
        <w:t>self managed</w:t>
      </w:r>
      <w:proofErr w:type="spellEnd"/>
      <w:r w:rsidR="002976E3" w:rsidRPr="00116465">
        <w:rPr>
          <w:b/>
          <w:i/>
        </w:rPr>
        <w:t xml:space="preserve"> superannuation fund</w:t>
      </w:r>
      <w:r w:rsidR="002976E3">
        <w:t xml:space="preserve"> </w:t>
      </w:r>
      <w:r w:rsidR="002976E3">
        <w:rPr>
          <w:rStyle w:val="Referencingstyle"/>
        </w:rPr>
        <w:t xml:space="preserve">[Schedule </w:t>
      </w:r>
      <w:r w:rsidR="00651D46">
        <w:rPr>
          <w:rStyle w:val="Referencingstyle"/>
        </w:rPr>
        <w:t>#</w:t>
      </w:r>
      <w:r w:rsidR="002976E3">
        <w:rPr>
          <w:rStyle w:val="Referencingstyle"/>
        </w:rPr>
        <w:t>, i</w:t>
      </w:r>
      <w:r w:rsidR="002976E3" w:rsidRPr="00375F1D">
        <w:rPr>
          <w:rStyle w:val="Referencingstyle"/>
        </w:rPr>
        <w:t>tem</w:t>
      </w:r>
      <w:r w:rsidR="002976E3">
        <w:rPr>
          <w:rStyle w:val="Referencingstyle"/>
        </w:rPr>
        <w:t xml:space="preserve"> 4</w:t>
      </w:r>
      <w:r w:rsidR="002976E3" w:rsidRPr="00375F1D">
        <w:rPr>
          <w:rStyle w:val="Referencingstyle"/>
        </w:rPr>
        <w:t xml:space="preserve">, </w:t>
      </w:r>
      <w:r w:rsidR="002976E3">
        <w:rPr>
          <w:rStyle w:val="Referencingstyle"/>
        </w:rPr>
        <w:t>subsection 10(1)</w:t>
      </w:r>
      <w:r w:rsidR="002976E3" w:rsidRPr="00375F1D">
        <w:rPr>
          <w:rStyle w:val="Referencingstyle"/>
        </w:rPr>
        <w:t xml:space="preserve"> of </w:t>
      </w:r>
      <w:r w:rsidR="002976E3">
        <w:rPr>
          <w:rStyle w:val="Referencingstyle"/>
        </w:rPr>
        <w:t xml:space="preserve">the SIS </w:t>
      </w:r>
      <w:r w:rsidR="002976E3" w:rsidRPr="00375F1D">
        <w:rPr>
          <w:rStyle w:val="Referencingstyle"/>
        </w:rPr>
        <w:t>Act]</w:t>
      </w:r>
    </w:p>
    <w:p w14:paraId="17BC1789" w14:textId="7DFA44C8" w:rsidR="003A0878" w:rsidRDefault="009A43B5" w:rsidP="005321D7">
      <w:pPr>
        <w:pStyle w:val="dotpoint"/>
      </w:pPr>
      <w:r>
        <w:t xml:space="preserve">Subsection </w:t>
      </w:r>
      <w:r w:rsidR="002976E3">
        <w:t>10(4)</w:t>
      </w:r>
      <w:r w:rsidR="001B077D">
        <w:t xml:space="preserve"> </w:t>
      </w:r>
      <w:r w:rsidR="00651D46">
        <w:rPr>
          <w:rStyle w:val="Referencingstyle"/>
        </w:rPr>
        <w:t>[Schedule #</w:t>
      </w:r>
      <w:r w:rsidR="001B077D">
        <w:rPr>
          <w:rStyle w:val="Referencingstyle"/>
        </w:rPr>
        <w:t>, i</w:t>
      </w:r>
      <w:r w:rsidR="001B077D" w:rsidRPr="00375F1D">
        <w:rPr>
          <w:rStyle w:val="Referencingstyle"/>
        </w:rPr>
        <w:t xml:space="preserve">tem </w:t>
      </w:r>
      <w:r w:rsidR="001B077D">
        <w:rPr>
          <w:rStyle w:val="Referencingstyle"/>
        </w:rPr>
        <w:t xml:space="preserve">5, subsection 10(4) </w:t>
      </w:r>
      <w:r w:rsidR="001B077D" w:rsidRPr="00375F1D">
        <w:rPr>
          <w:rStyle w:val="Referencingstyle"/>
        </w:rPr>
        <w:t xml:space="preserve">of </w:t>
      </w:r>
      <w:r w:rsidR="001B077D">
        <w:rPr>
          <w:rStyle w:val="Referencingstyle"/>
        </w:rPr>
        <w:t>the SIS</w:t>
      </w:r>
      <w:r w:rsidR="00F65B36">
        <w:rPr>
          <w:rStyle w:val="Referencingstyle"/>
        </w:rPr>
        <w:t> </w:t>
      </w:r>
      <w:r w:rsidR="001B077D" w:rsidRPr="00375F1D">
        <w:rPr>
          <w:rStyle w:val="Referencingstyle"/>
        </w:rPr>
        <w:t>Act]</w:t>
      </w:r>
      <w:r w:rsidR="001B077D">
        <w:t xml:space="preserve"> </w:t>
      </w:r>
    </w:p>
    <w:p w14:paraId="05F4807C" w14:textId="5EEA450D" w:rsidR="009A43B5" w:rsidRPr="006327CE" w:rsidRDefault="009A43B5" w:rsidP="005321D7">
      <w:pPr>
        <w:pStyle w:val="dotpoint"/>
        <w:rPr>
          <w:rStyle w:val="Referencingstyle"/>
          <w:b w:val="0"/>
          <w:i w:val="0"/>
          <w:sz w:val="22"/>
        </w:rPr>
      </w:pPr>
      <w:r>
        <w:t xml:space="preserve">Section 253 – note 2 </w:t>
      </w:r>
      <w:r w:rsidR="00651D46">
        <w:rPr>
          <w:rStyle w:val="Referencingstyle"/>
        </w:rPr>
        <w:t>[Schedule #</w:t>
      </w:r>
      <w:r w:rsidR="006327CE">
        <w:rPr>
          <w:rStyle w:val="Referencingstyle"/>
        </w:rPr>
        <w:t xml:space="preserve">, item 17, section 253 </w:t>
      </w:r>
      <w:r w:rsidR="006327CE" w:rsidRPr="00375F1D">
        <w:rPr>
          <w:rStyle w:val="Referencingstyle"/>
        </w:rPr>
        <w:t xml:space="preserve">of </w:t>
      </w:r>
      <w:r w:rsidR="006327CE">
        <w:rPr>
          <w:rStyle w:val="Referencingstyle"/>
        </w:rPr>
        <w:t>the SIS</w:t>
      </w:r>
      <w:r w:rsidR="00F65B36">
        <w:rPr>
          <w:rStyle w:val="Referencingstyle"/>
        </w:rPr>
        <w:t> </w:t>
      </w:r>
      <w:r w:rsidR="006327CE" w:rsidRPr="00375F1D">
        <w:rPr>
          <w:rStyle w:val="Referencingstyle"/>
        </w:rPr>
        <w:t>Act]</w:t>
      </w:r>
    </w:p>
    <w:p w14:paraId="6739F3D9" w14:textId="11CAC971" w:rsidR="006327CE" w:rsidRPr="001F1F9C" w:rsidRDefault="006327CE" w:rsidP="005321D7">
      <w:pPr>
        <w:pStyle w:val="dotpoint"/>
        <w:rPr>
          <w:rStyle w:val="Referencingstyle"/>
          <w:b w:val="0"/>
          <w:i w:val="0"/>
          <w:sz w:val="22"/>
        </w:rPr>
      </w:pPr>
      <w:r>
        <w:t xml:space="preserve">Section 253 – note 3 </w:t>
      </w:r>
      <w:r>
        <w:rPr>
          <w:rStyle w:val="Referencingstyle"/>
        </w:rPr>
        <w:t>[</w:t>
      </w:r>
      <w:r w:rsidR="00651D46">
        <w:rPr>
          <w:rStyle w:val="Referencingstyle"/>
        </w:rPr>
        <w:t>Schedule #</w:t>
      </w:r>
      <w:r>
        <w:rPr>
          <w:rStyle w:val="Referencingstyle"/>
        </w:rPr>
        <w:t>, item 18, section 253</w:t>
      </w:r>
      <w:r w:rsidRPr="00375F1D">
        <w:rPr>
          <w:rStyle w:val="Referencingstyle"/>
        </w:rPr>
        <w:t xml:space="preserve"> of </w:t>
      </w:r>
      <w:r>
        <w:rPr>
          <w:rStyle w:val="Referencingstyle"/>
        </w:rPr>
        <w:t>the SIS</w:t>
      </w:r>
      <w:r w:rsidR="00F65B36">
        <w:rPr>
          <w:rStyle w:val="Referencingstyle"/>
        </w:rPr>
        <w:t> </w:t>
      </w:r>
      <w:r w:rsidRPr="00375F1D">
        <w:rPr>
          <w:rStyle w:val="Referencingstyle"/>
        </w:rPr>
        <w:t>Act]</w:t>
      </w:r>
    </w:p>
    <w:p w14:paraId="71BE8070" w14:textId="20BE6E3D" w:rsidR="001F1F9C" w:rsidRPr="001F1F9C" w:rsidRDefault="001F1F9C" w:rsidP="005321D7">
      <w:pPr>
        <w:pStyle w:val="dotpoint"/>
        <w:rPr>
          <w:rStyle w:val="Referencingstyle"/>
          <w:b w:val="0"/>
          <w:i w:val="0"/>
          <w:sz w:val="22"/>
        </w:rPr>
      </w:pPr>
      <w:r>
        <w:t xml:space="preserve">Section 253 – note 3 </w:t>
      </w:r>
      <w:r w:rsidR="00651D46">
        <w:rPr>
          <w:rStyle w:val="Referencingstyle"/>
        </w:rPr>
        <w:t>[Schedule #</w:t>
      </w:r>
      <w:r>
        <w:rPr>
          <w:rStyle w:val="Referencingstyle"/>
        </w:rPr>
        <w:t xml:space="preserve">, item 19, section 253 </w:t>
      </w:r>
      <w:r w:rsidRPr="00375F1D">
        <w:rPr>
          <w:rStyle w:val="Referencingstyle"/>
        </w:rPr>
        <w:t xml:space="preserve">of </w:t>
      </w:r>
      <w:r>
        <w:rPr>
          <w:rStyle w:val="Referencingstyle"/>
        </w:rPr>
        <w:t>the SIS</w:t>
      </w:r>
      <w:r w:rsidR="00F65B36">
        <w:rPr>
          <w:rStyle w:val="Referencingstyle"/>
        </w:rPr>
        <w:t> </w:t>
      </w:r>
      <w:r w:rsidRPr="00375F1D">
        <w:rPr>
          <w:rStyle w:val="Referencingstyle"/>
        </w:rPr>
        <w:t>Act]</w:t>
      </w:r>
    </w:p>
    <w:p w14:paraId="0AE2EDAF" w14:textId="471471C1" w:rsidR="00556F74" w:rsidRPr="00021BEA" w:rsidRDefault="00556F74" w:rsidP="000E0295">
      <w:pPr>
        <w:pStyle w:val="base-text-paragraph"/>
        <w:rPr>
          <w:rStyle w:val="Referencingstyle"/>
          <w:b w:val="0"/>
          <w:i w:val="0"/>
          <w:sz w:val="22"/>
        </w:rPr>
      </w:pPr>
      <w:r>
        <w:t xml:space="preserve">Currently, in subsection 6(3) of the SIS Act, the Minister may give APRA or ASIC directions about the performance </w:t>
      </w:r>
      <w:r w:rsidR="00636804">
        <w:t>or</w:t>
      </w:r>
      <w:r>
        <w:t xml:space="preserve"> exercise of its functions or powers under the SIS Act. Schedule # </w:t>
      </w:r>
      <w:r w:rsidR="00DB5142">
        <w:t>to</w:t>
      </w:r>
      <w:r>
        <w:t xml:space="preserve"> the Bill amends this direction rule so that the Minister must use a legislative instrument to direct APRA or ASIC. </w:t>
      </w:r>
      <w:r w:rsidR="00651D46">
        <w:rPr>
          <w:rStyle w:val="Referencingstyle"/>
        </w:rPr>
        <w:t>[Schedule #</w:t>
      </w:r>
      <w:r>
        <w:rPr>
          <w:rStyle w:val="Referencingstyle"/>
        </w:rPr>
        <w:t>, item 1, subsection 5(9)</w:t>
      </w:r>
      <w:r w:rsidRPr="00375F1D">
        <w:rPr>
          <w:rStyle w:val="Referencingstyle"/>
        </w:rPr>
        <w:t xml:space="preserve"> of </w:t>
      </w:r>
      <w:r>
        <w:rPr>
          <w:rStyle w:val="Referencingstyle"/>
        </w:rPr>
        <w:t xml:space="preserve">the SIS </w:t>
      </w:r>
      <w:r w:rsidRPr="00375F1D">
        <w:rPr>
          <w:rStyle w:val="Referencingstyle"/>
        </w:rPr>
        <w:t>Act]</w:t>
      </w:r>
    </w:p>
    <w:p w14:paraId="4D43E243" w14:textId="6E2FE43A" w:rsidR="00021BEA" w:rsidRPr="00021BEA" w:rsidRDefault="00021BEA" w:rsidP="00021BEA">
      <w:pPr>
        <w:pStyle w:val="base-text-paragraph"/>
        <w:rPr>
          <w:rStyle w:val="Referencingstyle"/>
          <w:b w:val="0"/>
          <w:i w:val="0"/>
          <w:sz w:val="22"/>
        </w:rPr>
      </w:pPr>
      <w:r>
        <w:rPr>
          <w:rStyle w:val="Referencingstyle"/>
          <w:b w:val="0"/>
          <w:i w:val="0"/>
          <w:sz w:val="22"/>
        </w:rPr>
        <w:t xml:space="preserve">This change updates the existing requirement that the Minister publish such directions in the Gazette, and </w:t>
      </w:r>
      <w:r w:rsidR="00B23D5B">
        <w:rPr>
          <w:rStyle w:val="Referencingstyle"/>
          <w:b w:val="0"/>
          <w:i w:val="0"/>
          <w:sz w:val="22"/>
        </w:rPr>
        <w:t>is</w:t>
      </w:r>
      <w:r>
        <w:rPr>
          <w:rStyle w:val="Referencingstyle"/>
          <w:b w:val="0"/>
          <w:i w:val="0"/>
          <w:sz w:val="22"/>
        </w:rPr>
        <w:t xml:space="preserve"> consistent with other </w:t>
      </w:r>
      <w:r w:rsidRPr="00021BEA">
        <w:rPr>
          <w:rStyle w:val="Referencingstyle"/>
          <w:b w:val="0"/>
          <w:i w:val="0"/>
          <w:sz w:val="22"/>
        </w:rPr>
        <w:lastRenderedPageBreak/>
        <w:t>amendments</w:t>
      </w:r>
      <w:r>
        <w:rPr>
          <w:rStyle w:val="Referencingstyle"/>
          <w:b w:val="0"/>
          <w:i w:val="0"/>
          <w:sz w:val="22"/>
        </w:rPr>
        <w:t xml:space="preserve"> in respect of directions to APRA under the </w:t>
      </w:r>
      <w:r w:rsidR="00B23D5B" w:rsidRPr="00B23D5B">
        <w:rPr>
          <w:rStyle w:val="Referencingstyle"/>
          <w:b w:val="0"/>
          <w:sz w:val="22"/>
        </w:rPr>
        <w:t>Australian Prudential Regulation Authority</w:t>
      </w:r>
      <w:r w:rsidRPr="00B23D5B">
        <w:rPr>
          <w:rStyle w:val="Referencingstyle"/>
          <w:b w:val="0"/>
          <w:sz w:val="22"/>
        </w:rPr>
        <w:t xml:space="preserve"> Act</w:t>
      </w:r>
      <w:r w:rsidR="00B23D5B" w:rsidRPr="00B23D5B">
        <w:rPr>
          <w:rStyle w:val="Referencingstyle"/>
          <w:b w:val="0"/>
          <w:sz w:val="22"/>
        </w:rPr>
        <w:t xml:space="preserve"> 1998</w:t>
      </w:r>
      <w:r w:rsidRPr="00021BEA">
        <w:rPr>
          <w:rStyle w:val="Referencingstyle"/>
          <w:b w:val="0"/>
          <w:i w:val="0"/>
          <w:sz w:val="22"/>
        </w:rPr>
        <w:t xml:space="preserve"> introduced through miscellaneous amendments in items 155 and 156 of Schedule 3 to the Treasury Laws Amendment (2019 Measures No. 3) Bill 2019 (which is currently before the Parliament). </w:t>
      </w:r>
      <w:r>
        <w:rPr>
          <w:rStyle w:val="Referencingstyle"/>
          <w:b w:val="0"/>
          <w:i w:val="0"/>
          <w:sz w:val="22"/>
        </w:rPr>
        <w:t>Legislative</w:t>
      </w:r>
      <w:r w:rsidRPr="00021BEA">
        <w:rPr>
          <w:rStyle w:val="Referencingstyle"/>
          <w:b w:val="0"/>
          <w:i w:val="0"/>
          <w:sz w:val="22"/>
        </w:rPr>
        <w:t xml:space="preserve"> instruments that are directions to agencies (as well as instrument</w:t>
      </w:r>
      <w:r w:rsidR="00636804">
        <w:rPr>
          <w:rStyle w:val="Referencingstyle"/>
          <w:b w:val="0"/>
          <w:i w:val="0"/>
          <w:sz w:val="22"/>
        </w:rPr>
        <w:t>s</w:t>
      </w:r>
      <w:r w:rsidRPr="00021BEA">
        <w:rPr>
          <w:rStyle w:val="Referencingstyle"/>
          <w:b w:val="0"/>
          <w:i w:val="0"/>
          <w:sz w:val="22"/>
        </w:rPr>
        <w:t xml:space="preserve"> relating to superannuation) are exempt from disallowance and do not sunset because of the </w:t>
      </w:r>
      <w:r w:rsidRPr="00021BEA">
        <w:rPr>
          <w:rStyle w:val="Referencingstyle"/>
          <w:b w:val="0"/>
          <w:sz w:val="22"/>
        </w:rPr>
        <w:t>Legislation (Exemption and Other Matters) Regulation 2015</w:t>
      </w:r>
      <w:r w:rsidRPr="00021BEA">
        <w:rPr>
          <w:rStyle w:val="Referencingstyle"/>
          <w:b w:val="0"/>
          <w:i w:val="0"/>
          <w:sz w:val="22"/>
        </w:rPr>
        <w:t>.</w:t>
      </w:r>
    </w:p>
    <w:p w14:paraId="465C1BB4" w14:textId="63316AC9" w:rsidR="008C573D" w:rsidRDefault="008C573D" w:rsidP="00057DA8">
      <w:pPr>
        <w:pStyle w:val="Heading3"/>
      </w:pPr>
      <w:r>
        <w:t xml:space="preserve">Extending the </w:t>
      </w:r>
      <w:r w:rsidR="00D726C6">
        <w:t xml:space="preserve">coverage of the </w:t>
      </w:r>
      <w:r>
        <w:t xml:space="preserve">AFSL regime </w:t>
      </w:r>
      <w:r w:rsidR="00D726C6">
        <w:t xml:space="preserve">for </w:t>
      </w:r>
      <w:r>
        <w:t xml:space="preserve">superannuation </w:t>
      </w:r>
      <w:r w:rsidR="00D726C6">
        <w:t>trustee services</w:t>
      </w:r>
    </w:p>
    <w:p w14:paraId="608FE059" w14:textId="00FEB46B" w:rsidR="00057DA8" w:rsidRDefault="00057DA8" w:rsidP="008C573D">
      <w:pPr>
        <w:pStyle w:val="Heading4"/>
      </w:pPr>
      <w:r>
        <w:t>New financial service – providing a superannuation trustee service</w:t>
      </w:r>
    </w:p>
    <w:p w14:paraId="56A84BC7" w14:textId="12A2FC6A" w:rsidR="00484431" w:rsidRDefault="00A07A30" w:rsidP="000E0295">
      <w:pPr>
        <w:pStyle w:val="base-text-paragraph"/>
      </w:pPr>
      <w:r>
        <w:t xml:space="preserve">The Bill creates a new type of financial service: providing a superannuation trustee service. </w:t>
      </w:r>
      <w:r w:rsidR="00484431">
        <w:t xml:space="preserve">The purpose of creating the new financial service is to ensure that </w:t>
      </w:r>
      <w:r w:rsidR="00650E43">
        <w:t>the</w:t>
      </w:r>
      <w:r w:rsidR="00484431">
        <w:t xml:space="preserve"> conduct </w:t>
      </w:r>
      <w:r w:rsidR="00650E43">
        <w:t xml:space="preserve">of </w:t>
      </w:r>
      <w:r w:rsidR="00484431">
        <w:t>RSE licensees in operating an RSE is subject to the AFSL regime’s obligations and protections.</w:t>
      </w:r>
    </w:p>
    <w:p w14:paraId="0A9E94E5" w14:textId="223D5EE9" w:rsidR="00057DA8" w:rsidRDefault="00057DA8" w:rsidP="000E0295">
      <w:pPr>
        <w:pStyle w:val="base-text-paragraph"/>
      </w:pPr>
      <w:r>
        <w:t xml:space="preserve">The amendments require </w:t>
      </w:r>
      <w:r w:rsidR="00D20432">
        <w:t>each</w:t>
      </w:r>
      <w:r>
        <w:t xml:space="preserve"> RSE licensee to hold an AFSL with an authorisation to provide a superannuation trustee service. This encompasses all trustees of </w:t>
      </w:r>
      <w:r w:rsidR="00484431">
        <w:t>an RSE</w:t>
      </w:r>
      <w:r>
        <w:t xml:space="preserve">, </w:t>
      </w:r>
      <w:r w:rsidR="00722F80">
        <w:t xml:space="preserve">with the exception of </w:t>
      </w:r>
      <w:r w:rsidR="00445124">
        <w:t>trustees of pooled superannuation trusts in certain circumstances</w:t>
      </w:r>
      <w:r w:rsidR="00E54E29">
        <w:t xml:space="preserve"> (this is explained in further detail below). </w:t>
      </w:r>
    </w:p>
    <w:p w14:paraId="00C2D183" w14:textId="266ECDD8" w:rsidR="00057DA8" w:rsidRDefault="00057DA8" w:rsidP="000E0295">
      <w:pPr>
        <w:pStyle w:val="base-text-paragraph"/>
      </w:pPr>
      <w:r>
        <w:t xml:space="preserve">The amendments introduce this requirement by specifying that a person provides a financial service, within the meaning of section 766A of the </w:t>
      </w:r>
      <w:r w:rsidRPr="00375786">
        <w:t>Corporations Act</w:t>
      </w:r>
      <w:r>
        <w:t xml:space="preserve">, if they </w:t>
      </w:r>
      <w:r w:rsidR="0022349B">
        <w:t>provide a superannuation trustee service. A person provides a superannuation trustee service if they operate an RSE as trustee</w:t>
      </w:r>
      <w:r w:rsidR="00624728">
        <w:t xml:space="preserve"> of the entity</w:t>
      </w:r>
      <w:r w:rsidR="0022349B">
        <w:t>.</w:t>
      </w:r>
      <w:r>
        <w:t xml:space="preserve"> </w:t>
      </w:r>
      <w:r w:rsidR="00322D5C">
        <w:rPr>
          <w:rStyle w:val="Referencingstyle"/>
        </w:rPr>
        <w:t xml:space="preserve">[Schedule #, items </w:t>
      </w:r>
      <w:r w:rsidR="00242E83">
        <w:rPr>
          <w:rStyle w:val="Referencingstyle"/>
        </w:rPr>
        <w:t>4</w:t>
      </w:r>
      <w:r w:rsidR="00ED7F61">
        <w:rPr>
          <w:rStyle w:val="Referencingstyle"/>
        </w:rPr>
        <w:t>1</w:t>
      </w:r>
      <w:r w:rsidR="00322D5C">
        <w:rPr>
          <w:rStyle w:val="Referencingstyle"/>
        </w:rPr>
        <w:t xml:space="preserve"> and 4</w:t>
      </w:r>
      <w:r w:rsidR="00ED7F61">
        <w:rPr>
          <w:rStyle w:val="Referencingstyle"/>
        </w:rPr>
        <w:t>3</w:t>
      </w:r>
      <w:r w:rsidR="00322D5C">
        <w:rPr>
          <w:rStyle w:val="Referencingstyle"/>
        </w:rPr>
        <w:t xml:space="preserve">, </w:t>
      </w:r>
      <w:r>
        <w:rPr>
          <w:rStyle w:val="Referencingstyle"/>
        </w:rPr>
        <w:t>paragraph 766A(1)(</w:t>
      </w:r>
      <w:proofErr w:type="spellStart"/>
      <w:r>
        <w:rPr>
          <w:rStyle w:val="Referencingstyle"/>
        </w:rPr>
        <w:t>ec</w:t>
      </w:r>
      <w:proofErr w:type="spellEnd"/>
      <w:r>
        <w:rPr>
          <w:rStyle w:val="Referencingstyle"/>
        </w:rPr>
        <w:t>)</w:t>
      </w:r>
      <w:r w:rsidR="00D24615">
        <w:rPr>
          <w:rStyle w:val="Referencingstyle"/>
        </w:rPr>
        <w:t xml:space="preserve"> </w:t>
      </w:r>
      <w:r w:rsidR="008318E2">
        <w:rPr>
          <w:rStyle w:val="Referencingstyle"/>
        </w:rPr>
        <w:t xml:space="preserve">and subsection </w:t>
      </w:r>
      <w:r w:rsidR="00D20432">
        <w:rPr>
          <w:rStyle w:val="Referencingstyle"/>
        </w:rPr>
        <w:t>76</w:t>
      </w:r>
      <w:r w:rsidR="008318E2">
        <w:rPr>
          <w:rStyle w:val="Referencingstyle"/>
        </w:rPr>
        <w:t xml:space="preserve">6H(1) </w:t>
      </w:r>
      <w:r w:rsidR="00D24615">
        <w:rPr>
          <w:rStyle w:val="Referencingstyle"/>
        </w:rPr>
        <w:t>of the Corporations Act</w:t>
      </w:r>
      <w:r>
        <w:rPr>
          <w:rStyle w:val="Referencingstyle"/>
        </w:rPr>
        <w:t>]</w:t>
      </w:r>
      <w:r>
        <w:t xml:space="preserve"> </w:t>
      </w:r>
    </w:p>
    <w:p w14:paraId="43CBD120" w14:textId="29D22916" w:rsidR="00781070" w:rsidRDefault="00D871CF" w:rsidP="000E0295">
      <w:pPr>
        <w:pStyle w:val="base-text-paragraph"/>
      </w:pPr>
      <w:r>
        <w:t>A</w:t>
      </w:r>
      <w:r w:rsidR="00E54E29">
        <w:t xml:space="preserve"> notional person who is a</w:t>
      </w:r>
      <w:r>
        <w:t xml:space="preserve"> group of individual trustees holding an RSE must also obtain an AFSL authorising them to provide a superannuation trustee service. </w:t>
      </w:r>
      <w:r w:rsidR="00E54E29">
        <w:t>The notional person</w:t>
      </w:r>
      <w:r>
        <w:t xml:space="preserve"> would hold one AFSL as if they constituted a single legal entity. </w:t>
      </w:r>
      <w:r>
        <w:rPr>
          <w:rStyle w:val="Referencingstyle"/>
        </w:rPr>
        <w:t>[Schedule #, item 4</w:t>
      </w:r>
      <w:r w:rsidR="00ED7F61">
        <w:rPr>
          <w:rStyle w:val="Referencingstyle"/>
        </w:rPr>
        <w:t>3</w:t>
      </w:r>
      <w:r>
        <w:rPr>
          <w:rStyle w:val="Referencingstyle"/>
        </w:rPr>
        <w:t>, note 1 to subsection 766H(1)</w:t>
      </w:r>
      <w:r w:rsidR="008E23CD">
        <w:rPr>
          <w:rStyle w:val="Referencingstyle"/>
        </w:rPr>
        <w:t xml:space="preserve"> of the Corporations Act</w:t>
      </w:r>
      <w:r>
        <w:rPr>
          <w:rStyle w:val="Referencingstyle"/>
        </w:rPr>
        <w:t>]</w:t>
      </w:r>
    </w:p>
    <w:p w14:paraId="4CEC4A88" w14:textId="0FA2609F" w:rsidR="00057DA8" w:rsidRDefault="00057DA8" w:rsidP="000E0295">
      <w:pPr>
        <w:pStyle w:val="base-text-paragraph"/>
      </w:pPr>
      <w:r>
        <w:t>In turn, section 911A of th</w:t>
      </w:r>
      <w:r w:rsidR="00901925">
        <w:t>e</w:t>
      </w:r>
      <w:r>
        <w:t xml:space="preserve"> </w:t>
      </w:r>
      <w:r w:rsidR="00901925" w:rsidRPr="00375786">
        <w:t>Corporations Act</w:t>
      </w:r>
      <w:r w:rsidR="00901925">
        <w:rPr>
          <w:i/>
        </w:rPr>
        <w:t xml:space="preserve"> </w:t>
      </w:r>
      <w:r>
        <w:t>requires a person who carries on a financial services business to hold an AFSL covering the provision of the financial services</w:t>
      </w:r>
      <w:r w:rsidR="00D20432">
        <w:t xml:space="preserve"> they provide</w:t>
      </w:r>
      <w:r>
        <w:t>.</w:t>
      </w:r>
    </w:p>
    <w:p w14:paraId="1FF4293D" w14:textId="53517ED3" w:rsidR="00057DA8" w:rsidRDefault="00650E43" w:rsidP="000E0295">
      <w:pPr>
        <w:pStyle w:val="base-text-paragraph"/>
      </w:pPr>
      <w:r>
        <w:t xml:space="preserve">Each </w:t>
      </w:r>
      <w:r w:rsidR="00057DA8">
        <w:t xml:space="preserve">RSE licensee must also continue to hold an AFSL authorisation to deal in a financial product if they are to issue, vary or dispose of an interest in a superannuation fund. The Bill does not alter that requirement. In practice, this is expected to result in </w:t>
      </w:r>
      <w:r>
        <w:t>every</w:t>
      </w:r>
      <w:r w:rsidR="00057DA8">
        <w:t xml:space="preserve"> RSE licensee holding an AFSL authorising them both to deal in a </w:t>
      </w:r>
      <w:r>
        <w:t>superannuation interest</w:t>
      </w:r>
      <w:r w:rsidR="00057DA8">
        <w:t xml:space="preserve"> and to </w:t>
      </w:r>
      <w:r>
        <w:t>provide a superannuation trustee service</w:t>
      </w:r>
      <w:r w:rsidR="000B3AA8">
        <w:t xml:space="preserve"> (again with the </w:t>
      </w:r>
      <w:r w:rsidR="000B3AA8">
        <w:lastRenderedPageBreak/>
        <w:t>exception of trustees of pooled superannuation trusts in certain circumstances)</w:t>
      </w:r>
      <w:r w:rsidR="00057DA8">
        <w:t xml:space="preserve">. </w:t>
      </w:r>
    </w:p>
    <w:p w14:paraId="74DEC254" w14:textId="6C3F151E" w:rsidR="00057DA8" w:rsidRDefault="00057DA8" w:rsidP="000E0295">
      <w:pPr>
        <w:pStyle w:val="base-text-paragraph"/>
      </w:pPr>
      <w:r>
        <w:t>Similarly, the introduction of the new financial service does not displace the existing requirement that RSE licensees be separately authorised to provide financial product advice if they are to provide that service.</w:t>
      </w:r>
      <w:r w:rsidR="00CF6DC4">
        <w:t xml:space="preserve"> </w:t>
      </w:r>
    </w:p>
    <w:p w14:paraId="507B1202" w14:textId="5FC23D49" w:rsidR="00DB2492" w:rsidRDefault="00F6451B" w:rsidP="00057DA8">
      <w:pPr>
        <w:pStyle w:val="base-text-paragraph"/>
      </w:pPr>
      <w:r>
        <w:t xml:space="preserve">Financial services can overlap. The Bill clarifies that conduct is capable of constituting the provision of more than one financial service. For </w:t>
      </w:r>
      <w:r w:rsidR="00CF6DC4">
        <w:t xml:space="preserve">example, conduct may constitute providing a superannuation trustee service and dealing in a superannuation </w:t>
      </w:r>
      <w:r w:rsidR="00650E43">
        <w:t>interest</w:t>
      </w:r>
      <w:r w:rsidR="00CF6DC4">
        <w:t xml:space="preserve"> at the same time, as indicated below in the explanation of activities covered by the </w:t>
      </w:r>
      <w:r w:rsidR="00650E43">
        <w:t>new service</w:t>
      </w:r>
      <w:r>
        <w:t>.</w:t>
      </w:r>
      <w:r w:rsidR="00CF6DC4">
        <w:t xml:space="preserve"> </w:t>
      </w:r>
      <w:r w:rsidR="00CF6DC4">
        <w:rPr>
          <w:rStyle w:val="Referencingstyle"/>
        </w:rPr>
        <w:t>[Schedule #, item 4</w:t>
      </w:r>
      <w:r w:rsidR="00ED7F61">
        <w:rPr>
          <w:rStyle w:val="Referencingstyle"/>
        </w:rPr>
        <w:t>2</w:t>
      </w:r>
      <w:r w:rsidR="00CF6DC4">
        <w:rPr>
          <w:rStyle w:val="Referencingstyle"/>
        </w:rPr>
        <w:t>, subsection 766A(5) of the Corporations Act]</w:t>
      </w:r>
    </w:p>
    <w:p w14:paraId="337F6FB2" w14:textId="2FA60979" w:rsidR="00057DA8" w:rsidRDefault="00BA06A7" w:rsidP="00BA06A7">
      <w:pPr>
        <w:pStyle w:val="Heading4"/>
      </w:pPr>
      <w:r>
        <w:t xml:space="preserve">Which activities constitute the provision of a superannuation trustee service? </w:t>
      </w:r>
    </w:p>
    <w:p w14:paraId="3AECD1F0" w14:textId="4515E2AA" w:rsidR="00057DA8" w:rsidRDefault="00057DA8" w:rsidP="000E0295">
      <w:pPr>
        <w:pStyle w:val="base-text-paragraph"/>
      </w:pPr>
      <w:r>
        <w:t>The new financial service is intended to cover all of the activities involved in operating an RSE</w:t>
      </w:r>
      <w:r w:rsidRPr="005C1334">
        <w:t xml:space="preserve">, at all stages of </w:t>
      </w:r>
      <w:r w:rsidR="00650E43">
        <w:t>the trustee’</w:t>
      </w:r>
      <w:r w:rsidRPr="005C1334">
        <w:t>s interactions and transactions with members</w:t>
      </w:r>
      <w:r w:rsidR="007157EC">
        <w:t xml:space="preserve"> </w:t>
      </w:r>
      <w:r w:rsidRPr="005C1334">
        <w:t>and others</w:t>
      </w:r>
      <w:r>
        <w:t xml:space="preserve">. </w:t>
      </w:r>
    </w:p>
    <w:p w14:paraId="2A3EA899" w14:textId="77777777" w:rsidR="00057DA8" w:rsidRDefault="00057DA8" w:rsidP="000E0295">
      <w:pPr>
        <w:pStyle w:val="base-text-paragraph"/>
      </w:pPr>
      <w:r>
        <w:t>Broadly, this is intended to ensure the AFSL and SIS Act regulatory regimes have comparable coverage of RSE licensee activities, and that all relevant activities of licensees need to be conducted in accordance with the conduct obligations in the AFSL regime.</w:t>
      </w:r>
    </w:p>
    <w:p w14:paraId="482AC40A" w14:textId="77777777" w:rsidR="005C1334" w:rsidRDefault="00057DA8" w:rsidP="000E0295">
      <w:pPr>
        <w:pStyle w:val="base-text-paragraph"/>
      </w:pPr>
      <w:r>
        <w:t xml:space="preserve">For example, licensees must do all things necessary to ensure they provide a superannuation trustee service efficiently, honestly and fairly. </w:t>
      </w:r>
    </w:p>
    <w:p w14:paraId="40D6C934" w14:textId="49BC758A" w:rsidR="00057DA8" w:rsidRDefault="005C1334" w:rsidP="00833C2C">
      <w:pPr>
        <w:pStyle w:val="base-text-paragraph"/>
      </w:pPr>
      <w:r>
        <w:t>Table 1.1 sets out examples of those activities. Neither the activities nor the descriptions in Table 1.1 are intended to be exhaustive.</w:t>
      </w:r>
    </w:p>
    <w:p w14:paraId="0AF19EA5" w14:textId="07835BB1" w:rsidR="00057DA8" w:rsidRDefault="00445124" w:rsidP="00445124">
      <w:pPr>
        <w:pStyle w:val="TableHeadingoutsidetable"/>
      </w:pPr>
      <w:r>
        <w:t>Table 1.1</w:t>
      </w:r>
      <w:r w:rsidR="005C1334">
        <w:t xml:space="preserve"> – examples of operating </w:t>
      </w:r>
      <w:r w:rsidR="0073574F">
        <w:t>an RSE</w:t>
      </w:r>
    </w:p>
    <w:tbl>
      <w:tblPr>
        <w:tblStyle w:val="EMTable"/>
        <w:tblW w:w="0" w:type="auto"/>
        <w:tblInd w:w="1134" w:type="dxa"/>
        <w:tblLook w:val="04A0" w:firstRow="1" w:lastRow="0" w:firstColumn="1" w:lastColumn="0" w:noHBand="0" w:noVBand="1"/>
      </w:tblPr>
      <w:tblGrid>
        <w:gridCol w:w="2122"/>
        <w:gridCol w:w="4445"/>
      </w:tblGrid>
      <w:tr w:rsidR="00057DA8" w14:paraId="1A824652" w14:textId="77777777" w:rsidTr="00A57896">
        <w:trPr>
          <w:cnfStyle w:val="100000000000" w:firstRow="1" w:lastRow="0" w:firstColumn="0" w:lastColumn="0" w:oddVBand="0" w:evenVBand="0" w:oddHBand="0" w:evenHBand="0" w:firstRowFirstColumn="0" w:firstRowLastColumn="0" w:lastRowFirstColumn="0" w:lastRowLastColumn="0"/>
        </w:trPr>
        <w:tc>
          <w:tcPr>
            <w:tcW w:w="2122" w:type="dxa"/>
          </w:tcPr>
          <w:p w14:paraId="725FCFBE" w14:textId="77777777" w:rsidR="00057DA8" w:rsidRPr="00C50D3F" w:rsidRDefault="00057DA8" w:rsidP="00A57896">
            <w:pPr>
              <w:pStyle w:val="tableheaderwithintable"/>
              <w:rPr>
                <w:b/>
              </w:rPr>
            </w:pPr>
            <w:r w:rsidRPr="00C50D3F">
              <w:rPr>
                <w:b/>
              </w:rPr>
              <w:t>Activity</w:t>
            </w:r>
          </w:p>
        </w:tc>
        <w:tc>
          <w:tcPr>
            <w:tcW w:w="4445" w:type="dxa"/>
          </w:tcPr>
          <w:p w14:paraId="60B1A7E1" w14:textId="77777777" w:rsidR="00057DA8" w:rsidRPr="00C50D3F" w:rsidRDefault="00057DA8" w:rsidP="00A57896">
            <w:pPr>
              <w:pStyle w:val="tableheaderwithintable"/>
              <w:rPr>
                <w:b/>
              </w:rPr>
            </w:pPr>
            <w:r>
              <w:rPr>
                <w:b/>
              </w:rPr>
              <w:t>Description</w:t>
            </w:r>
          </w:p>
        </w:tc>
      </w:tr>
      <w:tr w:rsidR="00057DA8" w14:paraId="4534AD7F" w14:textId="77777777" w:rsidTr="00A57896">
        <w:tblPrEx>
          <w:tblCellMar>
            <w:top w:w="0" w:type="dxa"/>
            <w:left w:w="108" w:type="dxa"/>
          </w:tblCellMar>
        </w:tblPrEx>
        <w:tc>
          <w:tcPr>
            <w:tcW w:w="2122" w:type="dxa"/>
          </w:tcPr>
          <w:p w14:paraId="12D07AA1" w14:textId="06C41B9C" w:rsidR="00057DA8" w:rsidRDefault="00057DA8" w:rsidP="00A57896">
            <w:pPr>
              <w:pStyle w:val="tabletext"/>
            </w:pPr>
            <w:r>
              <w:t>Product</w:t>
            </w:r>
            <w:r w:rsidR="001C05EE">
              <w:t xml:space="preserve"> design and</w:t>
            </w:r>
            <w:r>
              <w:t xml:space="preserve"> development</w:t>
            </w:r>
          </w:p>
        </w:tc>
        <w:tc>
          <w:tcPr>
            <w:tcW w:w="4445" w:type="dxa"/>
          </w:tcPr>
          <w:p w14:paraId="62FD26DD" w14:textId="18F9ED33" w:rsidR="00057DA8" w:rsidRDefault="00057DA8" w:rsidP="00A57896">
            <w:pPr>
              <w:pStyle w:val="base-text-paragraph"/>
              <w:numPr>
                <w:ilvl w:val="0"/>
                <w:numId w:val="0"/>
              </w:numPr>
            </w:pPr>
            <w:r>
              <w:t xml:space="preserve">Decisions about the </w:t>
            </w:r>
            <w:r w:rsidR="007259C3">
              <w:t>design and distribution of trustees’</w:t>
            </w:r>
            <w:r>
              <w:t xml:space="preserve"> superannuation products.  </w:t>
            </w:r>
          </w:p>
          <w:p w14:paraId="5C0C4829" w14:textId="6F8CEE76" w:rsidR="00057DA8" w:rsidRDefault="00057DA8" w:rsidP="007259C3">
            <w:pPr>
              <w:pStyle w:val="base-text-paragraph"/>
              <w:numPr>
                <w:ilvl w:val="0"/>
                <w:numId w:val="0"/>
              </w:numPr>
            </w:pPr>
            <w:r>
              <w:t>Decisions when creating a new product.</w:t>
            </w:r>
          </w:p>
          <w:p w14:paraId="24C8C4DA" w14:textId="5CEC5A45" w:rsidR="001C05EE" w:rsidRDefault="001C05EE" w:rsidP="007259C3">
            <w:pPr>
              <w:pStyle w:val="base-text-paragraph"/>
              <w:numPr>
                <w:ilvl w:val="0"/>
                <w:numId w:val="0"/>
              </w:numPr>
            </w:pPr>
            <w:r>
              <w:t>Decisions made by trustees when making changes to an existing superannuation product.</w:t>
            </w:r>
          </w:p>
        </w:tc>
      </w:tr>
      <w:tr w:rsidR="00057DA8" w14:paraId="5346A18D" w14:textId="77777777" w:rsidTr="00A57896">
        <w:tblPrEx>
          <w:tblCellMar>
            <w:top w:w="0" w:type="dxa"/>
            <w:left w:w="108" w:type="dxa"/>
          </w:tblCellMar>
        </w:tblPrEx>
        <w:tc>
          <w:tcPr>
            <w:tcW w:w="2122" w:type="dxa"/>
          </w:tcPr>
          <w:p w14:paraId="10F0B3DC" w14:textId="77777777" w:rsidR="00057DA8" w:rsidRDefault="00057DA8" w:rsidP="00A57896">
            <w:pPr>
              <w:pStyle w:val="base-text-paragraph"/>
              <w:numPr>
                <w:ilvl w:val="0"/>
                <w:numId w:val="0"/>
              </w:numPr>
            </w:pPr>
            <w:r>
              <w:t>Marketing to employers / consultants</w:t>
            </w:r>
          </w:p>
        </w:tc>
        <w:tc>
          <w:tcPr>
            <w:tcW w:w="4445" w:type="dxa"/>
          </w:tcPr>
          <w:p w14:paraId="7D30C6C6" w14:textId="0D3B2160" w:rsidR="00057DA8" w:rsidRDefault="00057DA8" w:rsidP="001C05EE">
            <w:pPr>
              <w:pStyle w:val="base-text-paragraph"/>
              <w:numPr>
                <w:ilvl w:val="0"/>
                <w:numId w:val="0"/>
              </w:numPr>
            </w:pPr>
            <w:r>
              <w:t xml:space="preserve">Marketing activities </w:t>
            </w:r>
            <w:r w:rsidR="001C05EE">
              <w:t>used</w:t>
            </w:r>
            <w:r>
              <w:t xml:space="preserve"> to encourage employers or consultants hired by employers to recommend the employer select the fund as its default fund.</w:t>
            </w:r>
          </w:p>
        </w:tc>
      </w:tr>
      <w:tr w:rsidR="00057DA8" w14:paraId="7884AFE3" w14:textId="77777777" w:rsidTr="00A57896">
        <w:tblPrEx>
          <w:tblCellMar>
            <w:top w:w="0" w:type="dxa"/>
            <w:left w:w="108" w:type="dxa"/>
          </w:tblCellMar>
        </w:tblPrEx>
        <w:tc>
          <w:tcPr>
            <w:tcW w:w="2122" w:type="dxa"/>
          </w:tcPr>
          <w:p w14:paraId="2107BC65" w14:textId="77777777" w:rsidR="00057DA8" w:rsidRDefault="00057DA8" w:rsidP="00A57896">
            <w:pPr>
              <w:pStyle w:val="base-text-paragraph"/>
              <w:numPr>
                <w:ilvl w:val="0"/>
                <w:numId w:val="0"/>
              </w:numPr>
            </w:pPr>
            <w:r>
              <w:lastRenderedPageBreak/>
              <w:t>Investment selection</w:t>
            </w:r>
          </w:p>
        </w:tc>
        <w:tc>
          <w:tcPr>
            <w:tcW w:w="4445" w:type="dxa"/>
          </w:tcPr>
          <w:p w14:paraId="40D32CF5" w14:textId="77777777" w:rsidR="00057DA8" w:rsidRDefault="00057DA8" w:rsidP="00A57896">
            <w:pPr>
              <w:pStyle w:val="base-text-paragraph"/>
              <w:numPr>
                <w:ilvl w:val="0"/>
                <w:numId w:val="0"/>
              </w:numPr>
            </w:pPr>
            <w:r>
              <w:t xml:space="preserve">Disclosure and provision of </w:t>
            </w:r>
            <w:r w:rsidRPr="00C81EC2">
              <w:t>marketing materials to members when an investment decision is made.</w:t>
            </w:r>
          </w:p>
          <w:p w14:paraId="00708AAD" w14:textId="2505F4C8" w:rsidR="00057DA8" w:rsidRDefault="007F143B" w:rsidP="007F143B">
            <w:pPr>
              <w:pStyle w:val="base-text-paragraph"/>
              <w:numPr>
                <w:ilvl w:val="0"/>
                <w:numId w:val="0"/>
              </w:numPr>
            </w:pPr>
            <w:r>
              <w:t xml:space="preserve">Implementation of </w:t>
            </w:r>
            <w:r w:rsidR="00057DA8">
              <w:t xml:space="preserve">investment directions </w:t>
            </w:r>
            <w:r>
              <w:t>from members</w:t>
            </w:r>
            <w:r w:rsidR="00057DA8">
              <w:t>.</w:t>
            </w:r>
          </w:p>
        </w:tc>
      </w:tr>
      <w:tr w:rsidR="00057DA8" w14:paraId="4D64796D" w14:textId="77777777" w:rsidTr="00A57896">
        <w:tblPrEx>
          <w:tblCellMar>
            <w:top w:w="0" w:type="dxa"/>
            <w:left w:w="108" w:type="dxa"/>
          </w:tblCellMar>
        </w:tblPrEx>
        <w:tc>
          <w:tcPr>
            <w:tcW w:w="2122" w:type="dxa"/>
          </w:tcPr>
          <w:p w14:paraId="155C9BA4" w14:textId="77777777" w:rsidR="00057DA8" w:rsidRDefault="00057DA8" w:rsidP="00A57896">
            <w:pPr>
              <w:pStyle w:val="base-text-paragraph"/>
              <w:numPr>
                <w:ilvl w:val="0"/>
                <w:numId w:val="0"/>
              </w:numPr>
            </w:pPr>
            <w:r>
              <w:t>Death benefit nominations</w:t>
            </w:r>
          </w:p>
        </w:tc>
        <w:tc>
          <w:tcPr>
            <w:tcW w:w="4445" w:type="dxa"/>
          </w:tcPr>
          <w:p w14:paraId="1CCBB17B" w14:textId="7D9A5973" w:rsidR="00057DA8" w:rsidRDefault="00057DA8" w:rsidP="007157EC">
            <w:pPr>
              <w:pStyle w:val="base-text-paragraph"/>
              <w:numPr>
                <w:ilvl w:val="0"/>
                <w:numId w:val="0"/>
              </w:numPr>
            </w:pPr>
            <w:r>
              <w:t xml:space="preserve">Disclosure and information </w:t>
            </w:r>
            <w:r w:rsidRPr="00C81EC2">
              <w:t xml:space="preserve">provided to members </w:t>
            </w:r>
            <w:r w:rsidR="007157EC">
              <w:t>relating to nominations</w:t>
            </w:r>
            <w:r>
              <w:t>.</w:t>
            </w:r>
          </w:p>
        </w:tc>
      </w:tr>
      <w:tr w:rsidR="00057DA8" w14:paraId="216630E0" w14:textId="77777777" w:rsidTr="00A57896">
        <w:tblPrEx>
          <w:tblCellMar>
            <w:top w:w="0" w:type="dxa"/>
            <w:left w:w="108" w:type="dxa"/>
          </w:tblCellMar>
        </w:tblPrEx>
        <w:tc>
          <w:tcPr>
            <w:tcW w:w="2122" w:type="dxa"/>
          </w:tcPr>
          <w:p w14:paraId="229317DA" w14:textId="77777777" w:rsidR="00057DA8" w:rsidRDefault="00057DA8" w:rsidP="00A57896">
            <w:pPr>
              <w:pStyle w:val="base-text-paragraph"/>
              <w:numPr>
                <w:ilvl w:val="0"/>
                <w:numId w:val="0"/>
              </w:numPr>
            </w:pPr>
            <w:r>
              <w:t>Fee charging</w:t>
            </w:r>
          </w:p>
        </w:tc>
        <w:tc>
          <w:tcPr>
            <w:tcW w:w="4445" w:type="dxa"/>
          </w:tcPr>
          <w:p w14:paraId="68FD8C12" w14:textId="77777777" w:rsidR="0088012C" w:rsidRDefault="001C05EE" w:rsidP="007259C3">
            <w:pPr>
              <w:pStyle w:val="base-text-paragraph"/>
              <w:numPr>
                <w:ilvl w:val="0"/>
                <w:numId w:val="0"/>
              </w:numPr>
            </w:pPr>
            <w:r>
              <w:t>F</w:t>
            </w:r>
            <w:r w:rsidR="00057DA8" w:rsidRPr="00206B3A">
              <w:t xml:space="preserve">ee charging practices </w:t>
            </w:r>
            <w:r w:rsidR="0088012C">
              <w:t xml:space="preserve">including: </w:t>
            </w:r>
          </w:p>
          <w:p w14:paraId="3989BDB2" w14:textId="1133F0A2" w:rsidR="0088012C" w:rsidRDefault="00C16695" w:rsidP="0088012C">
            <w:pPr>
              <w:pStyle w:val="Bullet"/>
            </w:pPr>
            <w:r>
              <w:t>f</w:t>
            </w:r>
            <w:r w:rsidR="0088012C">
              <w:t>ee disclosure</w:t>
            </w:r>
            <w:r w:rsidR="007F143B">
              <w:t>;</w:t>
            </w:r>
          </w:p>
          <w:p w14:paraId="6CB3C3D9" w14:textId="6CAD34E3" w:rsidR="0088012C" w:rsidRDefault="00C16695" w:rsidP="0088012C">
            <w:pPr>
              <w:pStyle w:val="Bullet"/>
            </w:pPr>
            <w:r>
              <w:t>r</w:t>
            </w:r>
            <w:r w:rsidR="0088012C">
              <w:t>ecord keeping</w:t>
            </w:r>
            <w:r w:rsidR="007F143B">
              <w:t xml:space="preserve"> relating to member authorisation of fees deducted;</w:t>
            </w:r>
            <w:r>
              <w:t xml:space="preserve"> and</w:t>
            </w:r>
          </w:p>
          <w:p w14:paraId="7A90D5C7" w14:textId="361A708A" w:rsidR="00057DA8" w:rsidRDefault="00C16695" w:rsidP="0088012C">
            <w:pPr>
              <w:pStyle w:val="Bullet"/>
            </w:pPr>
            <w:proofErr w:type="gramStart"/>
            <w:r>
              <w:t>o</w:t>
            </w:r>
            <w:r w:rsidR="0088012C">
              <w:t>versight</w:t>
            </w:r>
            <w:proofErr w:type="gramEnd"/>
            <w:r w:rsidR="0088012C">
              <w:t xml:space="preserve"> of services provided in exchange for fees charged.</w:t>
            </w:r>
          </w:p>
        </w:tc>
      </w:tr>
      <w:tr w:rsidR="00057DA8" w14:paraId="47A57DFC" w14:textId="77777777" w:rsidTr="00A57896">
        <w:tblPrEx>
          <w:tblCellMar>
            <w:top w:w="0" w:type="dxa"/>
            <w:left w:w="108" w:type="dxa"/>
          </w:tblCellMar>
        </w:tblPrEx>
        <w:tc>
          <w:tcPr>
            <w:tcW w:w="2122" w:type="dxa"/>
          </w:tcPr>
          <w:p w14:paraId="686DC555" w14:textId="77777777" w:rsidR="00057DA8" w:rsidRDefault="00057DA8" w:rsidP="00A57896">
            <w:pPr>
              <w:pStyle w:val="base-text-paragraph"/>
              <w:numPr>
                <w:ilvl w:val="0"/>
                <w:numId w:val="0"/>
              </w:numPr>
            </w:pPr>
            <w:r>
              <w:t>Compliance systems</w:t>
            </w:r>
          </w:p>
        </w:tc>
        <w:tc>
          <w:tcPr>
            <w:tcW w:w="4445" w:type="dxa"/>
          </w:tcPr>
          <w:p w14:paraId="5638446A" w14:textId="288C1184" w:rsidR="00057DA8" w:rsidRDefault="00990049" w:rsidP="00990049">
            <w:pPr>
              <w:pStyle w:val="base-text-paragraph"/>
              <w:numPr>
                <w:ilvl w:val="0"/>
                <w:numId w:val="0"/>
              </w:numPr>
            </w:pPr>
            <w:r>
              <w:t xml:space="preserve">Design and review of compliance systems and monitoring of </w:t>
            </w:r>
            <w:r w:rsidR="00057DA8" w:rsidRPr="00206B3A">
              <w:t>compliance with regulatory and other obligations.</w:t>
            </w:r>
          </w:p>
        </w:tc>
      </w:tr>
      <w:tr w:rsidR="00057DA8" w14:paraId="6140ED0C" w14:textId="77777777" w:rsidTr="00A57896">
        <w:tblPrEx>
          <w:tblCellMar>
            <w:top w:w="0" w:type="dxa"/>
            <w:left w:w="108" w:type="dxa"/>
          </w:tblCellMar>
        </w:tblPrEx>
        <w:tc>
          <w:tcPr>
            <w:tcW w:w="2122" w:type="dxa"/>
          </w:tcPr>
          <w:p w14:paraId="7491F383" w14:textId="77777777" w:rsidR="00057DA8" w:rsidRDefault="00057DA8" w:rsidP="00A57896">
            <w:pPr>
              <w:pStyle w:val="base-text-paragraph"/>
              <w:numPr>
                <w:ilvl w:val="0"/>
                <w:numId w:val="0"/>
              </w:numPr>
            </w:pPr>
            <w:r>
              <w:t>Oversight of service providers</w:t>
            </w:r>
          </w:p>
        </w:tc>
        <w:tc>
          <w:tcPr>
            <w:tcW w:w="4445" w:type="dxa"/>
          </w:tcPr>
          <w:p w14:paraId="1E37E460" w14:textId="4F7B6E45" w:rsidR="00057DA8" w:rsidRDefault="00990049" w:rsidP="002231C7">
            <w:pPr>
              <w:pStyle w:val="base-text-paragraph"/>
              <w:numPr>
                <w:ilvl w:val="0"/>
                <w:numId w:val="0"/>
              </w:numPr>
            </w:pPr>
            <w:r>
              <w:t>Trustee oversight of duties and responsibilities delegated to third party service providers.</w:t>
            </w:r>
          </w:p>
        </w:tc>
      </w:tr>
      <w:tr w:rsidR="00057DA8" w14:paraId="314010BF" w14:textId="77777777" w:rsidTr="00A57896">
        <w:tblPrEx>
          <w:tblCellMar>
            <w:top w:w="0" w:type="dxa"/>
            <w:left w:w="108" w:type="dxa"/>
          </w:tblCellMar>
        </w:tblPrEx>
        <w:tc>
          <w:tcPr>
            <w:tcW w:w="2122" w:type="dxa"/>
          </w:tcPr>
          <w:p w14:paraId="7B7C2174" w14:textId="77777777" w:rsidR="00057DA8" w:rsidRDefault="00057DA8" w:rsidP="00A57896">
            <w:pPr>
              <w:pStyle w:val="base-text-paragraph"/>
              <w:numPr>
                <w:ilvl w:val="0"/>
                <w:numId w:val="0"/>
              </w:numPr>
            </w:pPr>
            <w:r>
              <w:t>Dispute resolution</w:t>
            </w:r>
          </w:p>
        </w:tc>
        <w:tc>
          <w:tcPr>
            <w:tcW w:w="4445" w:type="dxa"/>
          </w:tcPr>
          <w:p w14:paraId="14C9BB81" w14:textId="2975C2BE" w:rsidR="001B3AB4" w:rsidRDefault="001B3AB4" w:rsidP="001B3AB4">
            <w:pPr>
              <w:pStyle w:val="base-text-paragraph"/>
              <w:numPr>
                <w:ilvl w:val="0"/>
                <w:numId w:val="0"/>
              </w:numPr>
            </w:pPr>
            <w:r>
              <w:t xml:space="preserve">Design, review and monitoring of internal dispute resolution processes and procedures in relation to member complaints about </w:t>
            </w:r>
            <w:r w:rsidRPr="008F31AA">
              <w:t xml:space="preserve">all </w:t>
            </w:r>
            <w:r>
              <w:t xml:space="preserve">trustee </w:t>
            </w:r>
            <w:r w:rsidRPr="008F31AA">
              <w:t>activities.</w:t>
            </w:r>
          </w:p>
          <w:p w14:paraId="641C6AF4" w14:textId="69B65F9A" w:rsidR="00057DA8" w:rsidRDefault="001B3AB4" w:rsidP="001B3AB4">
            <w:pPr>
              <w:pStyle w:val="base-text-paragraph"/>
              <w:numPr>
                <w:ilvl w:val="0"/>
                <w:numId w:val="0"/>
              </w:numPr>
            </w:pPr>
            <w:r>
              <w:t>Communications and interactions with members and other beneficiaries who make complaints about trustee activities.</w:t>
            </w:r>
          </w:p>
        </w:tc>
      </w:tr>
      <w:tr w:rsidR="00057DA8" w14:paraId="6AA121B3" w14:textId="77777777" w:rsidTr="00A57896">
        <w:tblPrEx>
          <w:tblCellMar>
            <w:top w:w="0" w:type="dxa"/>
            <w:left w:w="108" w:type="dxa"/>
          </w:tblCellMar>
        </w:tblPrEx>
        <w:tc>
          <w:tcPr>
            <w:tcW w:w="2122" w:type="dxa"/>
          </w:tcPr>
          <w:p w14:paraId="01CF3DC4" w14:textId="77777777" w:rsidR="00057DA8" w:rsidRDefault="00057DA8" w:rsidP="00A57896">
            <w:pPr>
              <w:pStyle w:val="base-text-paragraph"/>
              <w:numPr>
                <w:ilvl w:val="0"/>
                <w:numId w:val="0"/>
              </w:numPr>
            </w:pPr>
            <w:r>
              <w:t>Employer de-linking</w:t>
            </w:r>
          </w:p>
        </w:tc>
        <w:tc>
          <w:tcPr>
            <w:tcW w:w="4445" w:type="dxa"/>
          </w:tcPr>
          <w:p w14:paraId="26D59425" w14:textId="0FE0A88F" w:rsidR="00057DA8" w:rsidRDefault="001B3AB4" w:rsidP="001B3AB4">
            <w:pPr>
              <w:pStyle w:val="base-text-paragraph"/>
              <w:numPr>
                <w:ilvl w:val="0"/>
                <w:numId w:val="0"/>
              </w:numPr>
            </w:pPr>
            <w:r>
              <w:t xml:space="preserve">Communications with members who are affected by changes to their superannuation as a result of no longer being </w:t>
            </w:r>
            <w:r w:rsidRPr="008F31AA">
              <w:t xml:space="preserve">eligible to participate in an employer </w:t>
            </w:r>
            <w:proofErr w:type="spellStart"/>
            <w:r w:rsidRPr="008F31AA">
              <w:t>subplan</w:t>
            </w:r>
            <w:proofErr w:type="spellEnd"/>
            <w:r w:rsidRPr="008F31AA">
              <w:t>.</w:t>
            </w:r>
          </w:p>
        </w:tc>
      </w:tr>
      <w:tr w:rsidR="00057DA8" w14:paraId="2D803C5F" w14:textId="77777777" w:rsidTr="00A57896">
        <w:tblPrEx>
          <w:tblCellMar>
            <w:top w:w="0" w:type="dxa"/>
            <w:left w:w="108" w:type="dxa"/>
          </w:tblCellMar>
        </w:tblPrEx>
        <w:tc>
          <w:tcPr>
            <w:tcW w:w="2122" w:type="dxa"/>
          </w:tcPr>
          <w:p w14:paraId="4296D1EA" w14:textId="77777777" w:rsidR="00057DA8" w:rsidRDefault="00057DA8" w:rsidP="00A57896">
            <w:pPr>
              <w:pStyle w:val="base-text-paragraph"/>
              <w:numPr>
                <w:ilvl w:val="0"/>
                <w:numId w:val="0"/>
              </w:numPr>
            </w:pPr>
            <w:r>
              <w:t>Insurance claims handling</w:t>
            </w:r>
          </w:p>
        </w:tc>
        <w:tc>
          <w:tcPr>
            <w:tcW w:w="4445" w:type="dxa"/>
          </w:tcPr>
          <w:p w14:paraId="60494F8C" w14:textId="77777777" w:rsidR="00632944" w:rsidRDefault="00632944" w:rsidP="00632944">
            <w:pPr>
              <w:pStyle w:val="base-text-paragraph"/>
              <w:numPr>
                <w:ilvl w:val="0"/>
                <w:numId w:val="0"/>
              </w:numPr>
            </w:pPr>
            <w:r w:rsidRPr="00632944">
              <w:t>Pursuing insurance claims on behalf of members.</w:t>
            </w:r>
          </w:p>
          <w:p w14:paraId="2A2D78CE" w14:textId="4D4947F7" w:rsidR="00057DA8" w:rsidRDefault="00632944" w:rsidP="00CF7766">
            <w:pPr>
              <w:pStyle w:val="base-text-paragraph"/>
              <w:numPr>
                <w:ilvl w:val="0"/>
                <w:numId w:val="0"/>
              </w:numPr>
            </w:pPr>
            <w:r>
              <w:t>Handling and settling of insurance claims as explained below.</w:t>
            </w:r>
          </w:p>
        </w:tc>
      </w:tr>
      <w:tr w:rsidR="00057DA8" w14:paraId="1E2DFC51" w14:textId="77777777" w:rsidTr="00A57896">
        <w:tblPrEx>
          <w:tblCellMar>
            <w:top w:w="0" w:type="dxa"/>
            <w:left w:w="108" w:type="dxa"/>
          </w:tblCellMar>
        </w:tblPrEx>
        <w:tc>
          <w:tcPr>
            <w:tcW w:w="2122" w:type="dxa"/>
          </w:tcPr>
          <w:p w14:paraId="44442070" w14:textId="77777777" w:rsidR="00057DA8" w:rsidRDefault="00057DA8" w:rsidP="00A57896">
            <w:pPr>
              <w:pStyle w:val="base-text-paragraph"/>
              <w:numPr>
                <w:ilvl w:val="0"/>
                <w:numId w:val="0"/>
              </w:numPr>
            </w:pPr>
            <w:r>
              <w:t>Transfer, payment and rollover</w:t>
            </w:r>
          </w:p>
        </w:tc>
        <w:tc>
          <w:tcPr>
            <w:tcW w:w="4445" w:type="dxa"/>
          </w:tcPr>
          <w:p w14:paraId="049D3604" w14:textId="0DA200C5" w:rsidR="00057DA8" w:rsidRDefault="00632944" w:rsidP="00632944">
            <w:pPr>
              <w:pStyle w:val="base-text-paragraph"/>
              <w:numPr>
                <w:ilvl w:val="0"/>
                <w:numId w:val="0"/>
              </w:numPr>
            </w:pPr>
            <w:r>
              <w:t xml:space="preserve">Trustee </w:t>
            </w:r>
            <w:r w:rsidR="00057DA8" w:rsidRPr="008F31AA">
              <w:t>practices relating to transfer, payment and rollover of super</w:t>
            </w:r>
            <w:r w:rsidR="00CF7766">
              <w:t>annuation monies.</w:t>
            </w:r>
          </w:p>
        </w:tc>
      </w:tr>
    </w:tbl>
    <w:p w14:paraId="65356021" w14:textId="6DED4870" w:rsidR="00057DA8" w:rsidRDefault="00057DA8" w:rsidP="000E0295">
      <w:pPr>
        <w:pStyle w:val="base-text-paragraph"/>
      </w:pPr>
      <w:r>
        <w:t>Some of these activities are likely to already fall</w:t>
      </w:r>
      <w:r w:rsidR="00D43DD8">
        <w:t>, at least in part,</w:t>
      </w:r>
      <w:r>
        <w:t xml:space="preserve"> into the category of ‘dealing’ in a superannuation </w:t>
      </w:r>
      <w:r w:rsidR="006D33D5">
        <w:t>interest</w:t>
      </w:r>
      <w:r>
        <w:t>.</w:t>
      </w:r>
    </w:p>
    <w:p w14:paraId="2D095E05" w14:textId="3F5E075D" w:rsidR="000068D7" w:rsidRDefault="00EB6D75" w:rsidP="000068D7">
      <w:pPr>
        <w:pStyle w:val="base-text-paragraph"/>
      </w:pPr>
      <w:r>
        <w:lastRenderedPageBreak/>
        <w:t xml:space="preserve">As noted above, a </w:t>
      </w:r>
      <w:r w:rsidR="00BF4E4B">
        <w:t xml:space="preserve">trustee deals in a superannuation </w:t>
      </w:r>
      <w:r w:rsidR="006D33D5">
        <w:t>interest</w:t>
      </w:r>
      <w:r w:rsidR="00BF4E4B">
        <w:t xml:space="preserve"> when it issues, varies or disposes of </w:t>
      </w:r>
      <w:r w:rsidR="00BD7719">
        <w:t>an interest in a superannuation fund</w:t>
      </w:r>
      <w:r w:rsidR="00BF4E4B">
        <w:t xml:space="preserve">. </w:t>
      </w:r>
      <w:r w:rsidR="000068D7">
        <w:t>This means a trustee is dealing whenever it accepts a new member into the fund and issues that member an interest in the fund, changes a member’s interest in a fund, or disposes of a member’s interest in the fund.</w:t>
      </w:r>
    </w:p>
    <w:p w14:paraId="0EF0F568" w14:textId="19AF9D1E" w:rsidR="007F60E4" w:rsidRDefault="007327FE" w:rsidP="000E0295">
      <w:pPr>
        <w:pStyle w:val="base-text-paragraph"/>
      </w:pPr>
      <w:r>
        <w:t xml:space="preserve">The extension to the AFSL regime made by this Bill </w:t>
      </w:r>
      <w:r w:rsidR="00D0490F">
        <w:t>is intended to ensure that</w:t>
      </w:r>
      <w:r w:rsidR="002E5F8F">
        <w:t xml:space="preserve"> </w:t>
      </w:r>
      <w:r w:rsidR="00D0490F">
        <w:t>the regime’s conduct obligations clearly apply to those</w:t>
      </w:r>
      <w:r>
        <w:t xml:space="preserve"> superannuation trustee activities </w:t>
      </w:r>
      <w:r w:rsidR="00D0490F">
        <w:t xml:space="preserve">that </w:t>
      </w:r>
      <w:r w:rsidR="00BD7719">
        <w:t xml:space="preserve">may </w:t>
      </w:r>
      <w:r>
        <w:t xml:space="preserve">fall outside </w:t>
      </w:r>
      <w:r w:rsidR="00AD6FD9">
        <w:t>the parameters of dea</w:t>
      </w:r>
      <w:r w:rsidR="00BD7719">
        <w:t xml:space="preserve">ling in </w:t>
      </w:r>
      <w:r w:rsidR="006D33D5">
        <w:t xml:space="preserve">a </w:t>
      </w:r>
      <w:r w:rsidR="00BD7719">
        <w:t xml:space="preserve">superannuation </w:t>
      </w:r>
      <w:r w:rsidR="006D33D5">
        <w:t>interest</w:t>
      </w:r>
      <w:r w:rsidR="002E5F8F">
        <w:t>.</w:t>
      </w:r>
      <w:r w:rsidR="009042C6">
        <w:t xml:space="preserve"> In turn, this is intended to ensure ASIC is an effective conduct regulator in superannuation and can take action against misconduct</w:t>
      </w:r>
      <w:r w:rsidR="0054045D">
        <w:t xml:space="preserve"> by superannuation trustees</w:t>
      </w:r>
      <w:r w:rsidR="009042C6">
        <w:t>, whatever the type of activity in question.</w:t>
      </w:r>
    </w:p>
    <w:p w14:paraId="13EF714B" w14:textId="77777777" w:rsidR="00057DA8" w:rsidRDefault="00057DA8" w:rsidP="000B72FA">
      <w:pPr>
        <w:pStyle w:val="Heading5"/>
      </w:pPr>
      <w:r>
        <w:t>Insurance claims handling</w:t>
      </w:r>
    </w:p>
    <w:p w14:paraId="63DA0A9C" w14:textId="2CA33D36" w:rsidR="00057DA8" w:rsidRDefault="003329F4" w:rsidP="000E0295">
      <w:pPr>
        <w:pStyle w:val="base-text-paragraph"/>
      </w:pPr>
      <w:r>
        <w:t>Separately to this Bill, the handling and settling of insurance claims will be introduced as a new financial service from 1 July 2020, implementing recommendation 4.8 of the Financial Services Royal Commission</w:t>
      </w:r>
      <w:r w:rsidR="00057DA8" w:rsidRPr="00CE7B4F">
        <w:t>.</w:t>
      </w:r>
    </w:p>
    <w:p w14:paraId="6115F4C1" w14:textId="0ED5973A" w:rsidR="000D7C2A" w:rsidRDefault="00057DA8" w:rsidP="000D7C2A">
      <w:pPr>
        <w:pStyle w:val="base-text-paragraph"/>
      </w:pPr>
      <w:r>
        <w:t>As a result, insurers and certain parties acting on behalf of insurer</w:t>
      </w:r>
      <w:r w:rsidR="0088012C">
        <w:t>s</w:t>
      </w:r>
      <w:r>
        <w:t xml:space="preserve"> will </w:t>
      </w:r>
      <w:r w:rsidR="000D7C2A">
        <w:t xml:space="preserve">each </w:t>
      </w:r>
      <w:r>
        <w:t xml:space="preserve">be required to hold an AFSL </w:t>
      </w:r>
      <w:r w:rsidR="000D7C2A">
        <w:t xml:space="preserve">authorising them </w:t>
      </w:r>
      <w:r>
        <w:t xml:space="preserve">to provide claims handling </w:t>
      </w:r>
      <w:r w:rsidR="000D7C2A">
        <w:t xml:space="preserve">and settling </w:t>
      </w:r>
      <w:r w:rsidR="00137A96">
        <w:t>services</w:t>
      </w:r>
      <w:r w:rsidR="000D7C2A">
        <w:t xml:space="preserve">. </w:t>
      </w:r>
    </w:p>
    <w:p w14:paraId="2DA47D53" w14:textId="3CB9AB61" w:rsidR="00057DA8" w:rsidRDefault="007157EC" w:rsidP="000E0295">
      <w:pPr>
        <w:pStyle w:val="base-text-paragraph"/>
      </w:pPr>
      <w:r>
        <w:t>T</w:t>
      </w:r>
      <w:r w:rsidR="00057DA8">
        <w:t xml:space="preserve">he insurance claims handling activities of RSE licensees </w:t>
      </w:r>
      <w:r>
        <w:t>will be</w:t>
      </w:r>
      <w:r w:rsidR="000D7C2A">
        <w:t xml:space="preserve"> </w:t>
      </w:r>
      <w:r w:rsidR="00057DA8">
        <w:t>captured by the AFSL regime because they</w:t>
      </w:r>
      <w:r w:rsidR="003F38DE">
        <w:t xml:space="preserve"> </w:t>
      </w:r>
      <w:r w:rsidR="00057DA8">
        <w:t>constitute the provision of a superannuation trustee service.</w:t>
      </w:r>
    </w:p>
    <w:p w14:paraId="1A689B18" w14:textId="45AAE504" w:rsidR="00057DA8" w:rsidRDefault="00057DA8" w:rsidP="000E0295">
      <w:pPr>
        <w:pStyle w:val="base-text-paragraph"/>
      </w:pPr>
      <w:r>
        <w:t>This means that, while RSE licensees do not need to obtain a specific AFSL authorisation to handle insurance claims, all of the AFSL obligations still apply to their claims handling conduct</w:t>
      </w:r>
      <w:r w:rsidR="004C77E6">
        <w:t xml:space="preserve"> as part of their provision of a superannuation trustee service</w:t>
      </w:r>
      <w:r>
        <w:t>.</w:t>
      </w:r>
    </w:p>
    <w:p w14:paraId="3A129533" w14:textId="77777777" w:rsidR="00057DA8" w:rsidRDefault="00057DA8" w:rsidP="000E0295">
      <w:pPr>
        <w:pStyle w:val="base-text-paragraph"/>
      </w:pPr>
      <w:r>
        <w:t>For example, if an RSE licensee engages in any of the following activities, it is intended to constitute the provision of a superannuation trustee service and attract all of the AFSL obligations:</w:t>
      </w:r>
    </w:p>
    <w:p w14:paraId="75F2A92E" w14:textId="77777777" w:rsidR="00057DA8" w:rsidRDefault="00057DA8" w:rsidP="00057DA8">
      <w:pPr>
        <w:pStyle w:val="dotpoint"/>
      </w:pPr>
      <w:r>
        <w:t>making a recommendation or stating an opinion that could influence a decision whether to make an insurance claim;</w:t>
      </w:r>
    </w:p>
    <w:p w14:paraId="795139E0" w14:textId="77777777" w:rsidR="00057DA8" w:rsidRDefault="00057DA8" w:rsidP="00057DA8">
      <w:pPr>
        <w:pStyle w:val="dotpoint"/>
      </w:pPr>
      <w:r>
        <w:t>assisting another person to make an insurance claim;</w:t>
      </w:r>
    </w:p>
    <w:p w14:paraId="3C26436E" w14:textId="77777777" w:rsidR="00057DA8" w:rsidRDefault="00057DA8" w:rsidP="00057DA8">
      <w:pPr>
        <w:pStyle w:val="dotpoint"/>
      </w:pPr>
      <w:r>
        <w:t>assessing whether an insurer is liable under an insurance product, or providing assistance in relation to such an assessment;</w:t>
      </w:r>
    </w:p>
    <w:p w14:paraId="22F5B2F2" w14:textId="77777777" w:rsidR="00057DA8" w:rsidRDefault="00057DA8" w:rsidP="00057DA8">
      <w:pPr>
        <w:pStyle w:val="dotpoint"/>
      </w:pPr>
      <w:r>
        <w:t>making</w:t>
      </w:r>
      <w:r w:rsidRPr="009A4048">
        <w:t xml:space="preserve"> a decision to accept or reject all or part of an insurance claim;</w:t>
      </w:r>
    </w:p>
    <w:p w14:paraId="46DEBB8A" w14:textId="77777777" w:rsidR="00057DA8" w:rsidRDefault="00057DA8" w:rsidP="00057DA8">
      <w:pPr>
        <w:pStyle w:val="dotpoint"/>
      </w:pPr>
      <w:r w:rsidRPr="009A4048">
        <w:t>quantify</w:t>
      </w:r>
      <w:r>
        <w:t>ing</w:t>
      </w:r>
      <w:r w:rsidRPr="009A4048">
        <w:t xml:space="preserve"> an insurer’s liability under an insurance product;</w:t>
      </w:r>
    </w:p>
    <w:p w14:paraId="69CD7DDD" w14:textId="77777777" w:rsidR="00057DA8" w:rsidRDefault="00057DA8" w:rsidP="00057DA8">
      <w:pPr>
        <w:pStyle w:val="dotpoint"/>
      </w:pPr>
      <w:r w:rsidRPr="009A4048">
        <w:lastRenderedPageBreak/>
        <w:t>offer</w:t>
      </w:r>
      <w:r>
        <w:t>ing</w:t>
      </w:r>
      <w:r w:rsidRPr="009A4048">
        <w:t xml:space="preserve"> to settle all or part of an insurance claim; or</w:t>
      </w:r>
    </w:p>
    <w:p w14:paraId="0B62743C" w14:textId="77777777" w:rsidR="00057DA8" w:rsidRDefault="00057DA8" w:rsidP="00057DA8">
      <w:pPr>
        <w:pStyle w:val="dotpoint"/>
      </w:pPr>
      <w:proofErr w:type="gramStart"/>
      <w:r w:rsidRPr="009A4048">
        <w:t>satisfy</w:t>
      </w:r>
      <w:r>
        <w:t>ing</w:t>
      </w:r>
      <w:proofErr w:type="gramEnd"/>
      <w:r w:rsidRPr="009A4048">
        <w:t xml:space="preserve"> a liability of an insurer under an insurance claim</w:t>
      </w:r>
      <w:r>
        <w:t xml:space="preserve">. </w:t>
      </w:r>
    </w:p>
    <w:p w14:paraId="7DF0AB9A" w14:textId="77777777" w:rsidR="00161A51" w:rsidRDefault="00161A51" w:rsidP="00161A51">
      <w:pPr>
        <w:pStyle w:val="Heading4"/>
      </w:pPr>
      <w:r>
        <w:t>What kind of obligations are triggered?</w:t>
      </w:r>
    </w:p>
    <w:p w14:paraId="14F4376C" w14:textId="499FA1AF" w:rsidR="00161A51" w:rsidRDefault="00483743" w:rsidP="00161A51">
      <w:pPr>
        <w:pStyle w:val="base-text-paragraph"/>
      </w:pPr>
      <w:bookmarkStart w:id="9" w:name="_Ref29809168"/>
      <w:r>
        <w:t>F</w:t>
      </w:r>
      <w:r w:rsidR="005841F0">
        <w:t xml:space="preserve">rom 1 July 2020, </w:t>
      </w:r>
      <w:r w:rsidR="001C4439">
        <w:t>licensees must comply with th</w:t>
      </w:r>
      <w:r>
        <w:t>e general AFSL obligations in relation to the provision of a superannuation trustee service. This means that license</w:t>
      </w:r>
      <w:r w:rsidR="000D7C2A">
        <w:t>e</w:t>
      </w:r>
      <w:r>
        <w:t xml:space="preserve">s must, for </w:t>
      </w:r>
      <w:r w:rsidR="001C4439">
        <w:t>exampl</w:t>
      </w:r>
      <w:bookmarkEnd w:id="9"/>
      <w:r>
        <w:t>e:</w:t>
      </w:r>
    </w:p>
    <w:p w14:paraId="27BC20E4" w14:textId="3BB6C441" w:rsidR="001C4439" w:rsidRDefault="001C4439" w:rsidP="001C4439">
      <w:pPr>
        <w:pStyle w:val="dotpoint"/>
      </w:pPr>
      <w:r>
        <w:t>do all thi</w:t>
      </w:r>
      <w:r w:rsidR="00CE318F">
        <w:t>ngs necessary to ensure that they</w:t>
      </w:r>
      <w:r>
        <w:t xml:space="preserve"> provide the superannuation trustee service efficiently, honestly and fairly;</w:t>
      </w:r>
    </w:p>
    <w:p w14:paraId="54126D87" w14:textId="057E9A93" w:rsidR="001C4439" w:rsidRDefault="001C4439" w:rsidP="001C4439">
      <w:pPr>
        <w:pStyle w:val="dotpoint"/>
      </w:pPr>
      <w:r>
        <w:t xml:space="preserve">have in place adequate arrangements for the management of conflicts of interest </w:t>
      </w:r>
      <w:r w:rsidR="00CE318F">
        <w:t>arising in relation to their provision of the superannuation trustee service; and</w:t>
      </w:r>
    </w:p>
    <w:p w14:paraId="4823C1E8" w14:textId="4DF7D5E2" w:rsidR="00CE318F" w:rsidRDefault="00CE318F" w:rsidP="001C4439">
      <w:pPr>
        <w:pStyle w:val="dotpoint"/>
      </w:pPr>
      <w:proofErr w:type="gramStart"/>
      <w:r>
        <w:t>comply</w:t>
      </w:r>
      <w:proofErr w:type="gramEnd"/>
      <w:r>
        <w:t xml:space="preserve"> with the financial services laws and take reasonable steps to ensure their representatives comply with the financial services laws.</w:t>
      </w:r>
    </w:p>
    <w:p w14:paraId="1B0FDE27" w14:textId="695458F9" w:rsidR="000F5DBA" w:rsidRDefault="005E0681" w:rsidP="00161A51">
      <w:pPr>
        <w:pStyle w:val="base-text-paragraph"/>
      </w:pPr>
      <w:r>
        <w:t>The requirement to comply with the financial services laws</w:t>
      </w:r>
      <w:r w:rsidR="00124036">
        <w:t xml:space="preserve"> centres on the definition of</w:t>
      </w:r>
      <w:r w:rsidR="00561BF7">
        <w:t xml:space="preserve"> that term </w:t>
      </w:r>
      <w:r w:rsidR="00124036">
        <w:t xml:space="preserve">in section 761A of the </w:t>
      </w:r>
      <w:r w:rsidR="00124036" w:rsidRPr="00375786">
        <w:t>Corporations</w:t>
      </w:r>
      <w:r w:rsidR="003F7EB7">
        <w:t> </w:t>
      </w:r>
      <w:r w:rsidR="00124036" w:rsidRPr="00375786">
        <w:t>Act</w:t>
      </w:r>
      <w:r w:rsidR="00124036">
        <w:t>.</w:t>
      </w:r>
      <w:r w:rsidR="000F5DBA">
        <w:t xml:space="preserve"> A number of provisions in the SIS Act can be expected to </w:t>
      </w:r>
      <w:r w:rsidR="00377B50">
        <w:t xml:space="preserve">fall within the meaning of </w:t>
      </w:r>
      <w:r w:rsidR="000F5DBA">
        <w:t>‘financial service</w:t>
      </w:r>
      <w:r w:rsidR="00137A96">
        <w:t>s</w:t>
      </w:r>
      <w:r w:rsidR="000F5DBA">
        <w:t xml:space="preserve"> laws’</w:t>
      </w:r>
      <w:r w:rsidR="00377B50">
        <w:t xml:space="preserve"> because they</w:t>
      </w:r>
      <w:r w:rsidR="000F5DBA">
        <w:t xml:space="preserve"> cover conduct relating to, in this case, the provision of a superannuation trustee service. </w:t>
      </w:r>
      <w:r w:rsidR="00377B50">
        <w:t xml:space="preserve">For example, a contravention of the general fee rules in Part 11A of the SIS Act may constitute a failure to comply with financial services laws, in turn allowing ASIC to treat it as a failure to </w:t>
      </w:r>
      <w:r w:rsidR="00FB40F4">
        <w:t>comply with an AFSL obligation.</w:t>
      </w:r>
      <w:r w:rsidR="001D3E19">
        <w:t xml:space="preserve"> </w:t>
      </w:r>
    </w:p>
    <w:p w14:paraId="10C72EED" w14:textId="5254EF98" w:rsidR="001C4439" w:rsidRDefault="00124036" w:rsidP="00161A51">
      <w:pPr>
        <w:pStyle w:val="base-text-paragraph"/>
      </w:pPr>
      <w:r>
        <w:t xml:space="preserve">The scope of </w:t>
      </w:r>
      <w:r w:rsidR="000F5DBA">
        <w:t>‘</w:t>
      </w:r>
      <w:r w:rsidRPr="000F5DBA">
        <w:t>financial services law</w:t>
      </w:r>
      <w:r w:rsidR="000D7C2A">
        <w:t>s</w:t>
      </w:r>
      <w:r w:rsidR="000F5DBA">
        <w:t>’</w:t>
      </w:r>
      <w:r>
        <w:t xml:space="preserve"> </w:t>
      </w:r>
      <w:r w:rsidR="001D3E19">
        <w:t xml:space="preserve">is affected by </w:t>
      </w:r>
      <w:r>
        <w:t xml:space="preserve">exemptions or modifications </w:t>
      </w:r>
      <w:r w:rsidR="00561BF7">
        <w:t xml:space="preserve">made by a regulator or </w:t>
      </w:r>
      <w:r w:rsidR="001D3E19">
        <w:t>through</w:t>
      </w:r>
      <w:r w:rsidR="00561BF7">
        <w:t xml:space="preserve"> regulations. For example, if a licensee is exempt from complying with a particular legal obligation because of an instrument made by ASIC, the general AFSL obligation to comply with the financial services laws is not intended to override that exemption</w:t>
      </w:r>
      <w:r w:rsidR="008F1526">
        <w:t>.</w:t>
      </w:r>
    </w:p>
    <w:p w14:paraId="4BF77ACC" w14:textId="3C0B0861" w:rsidR="005240F6" w:rsidRDefault="008E23CD" w:rsidP="00886EAD">
      <w:pPr>
        <w:pStyle w:val="base-text-paragraph"/>
      </w:pPr>
      <w:bookmarkStart w:id="10" w:name="_Ref29809176"/>
      <w:r>
        <w:t>Apart from the general AFSL obligations at section 912A of the</w:t>
      </w:r>
      <w:r w:rsidRPr="000108DD">
        <w:rPr>
          <w:i/>
        </w:rPr>
        <w:t xml:space="preserve"> </w:t>
      </w:r>
      <w:r w:rsidRPr="00375786">
        <w:t>Corporations Act</w:t>
      </w:r>
      <w:r w:rsidR="000108DD">
        <w:t xml:space="preserve">, Chapter 7 of the Act </w:t>
      </w:r>
      <w:r w:rsidR="00D34ED4">
        <w:t>imposes other obligations</w:t>
      </w:r>
      <w:bookmarkEnd w:id="10"/>
      <w:r w:rsidR="000108DD">
        <w:t xml:space="preserve">. </w:t>
      </w:r>
      <w:r w:rsidR="00615A76">
        <w:t>The following are examples of where t</w:t>
      </w:r>
      <w:r w:rsidR="005240F6">
        <w:t xml:space="preserve">he AFSL regime </w:t>
      </w:r>
      <w:r w:rsidR="00615A76">
        <w:t xml:space="preserve">extension made </w:t>
      </w:r>
      <w:r w:rsidR="005240F6">
        <w:t>by this Bill affect</w:t>
      </w:r>
      <w:r w:rsidR="005755D2">
        <w:t>s</w:t>
      </w:r>
      <w:r w:rsidR="005240F6">
        <w:t xml:space="preserve"> the breadt</w:t>
      </w:r>
      <w:r w:rsidR="00615A76">
        <w:t>h of RSE licensees’ obligations</w:t>
      </w:r>
      <w:r w:rsidR="005240F6">
        <w:t>:</w:t>
      </w:r>
    </w:p>
    <w:p w14:paraId="16ED54D5" w14:textId="73D1D1ED" w:rsidR="000108DD" w:rsidRDefault="000108DD" w:rsidP="005240F6">
      <w:pPr>
        <w:pStyle w:val="dotpoint"/>
      </w:pPr>
      <w:r>
        <w:t>The obligation in section 912D to report breaches of AFSL obligations and other financial services laws to ASIC</w:t>
      </w:r>
      <w:r w:rsidR="00886EAD">
        <w:t xml:space="preserve"> applies directly to a broader range of trustee activit</w:t>
      </w:r>
      <w:r w:rsidR="0054045D">
        <w:t>ies</w:t>
      </w:r>
      <w:r w:rsidR="003F7EB7">
        <w:t>.</w:t>
      </w:r>
    </w:p>
    <w:p w14:paraId="1260AA98" w14:textId="7A234221" w:rsidR="000108DD" w:rsidRDefault="00AD02DD" w:rsidP="005240F6">
      <w:pPr>
        <w:pStyle w:val="dotpoint"/>
      </w:pPr>
      <w:r>
        <w:t>Division 6 of Part 7.8, relating to financial records, statements and audit – the</w:t>
      </w:r>
      <w:r w:rsidR="000108DD">
        <w:t xml:space="preserve"> scope of what constitutes a licensee’s financial services business for the purposes of </w:t>
      </w:r>
      <w:r w:rsidR="000108DD">
        <w:lastRenderedPageBreak/>
        <w:t>these reporting requirements is expanded by the new superannuation trustee service</w:t>
      </w:r>
      <w:r w:rsidR="003F7EB7">
        <w:t>.</w:t>
      </w:r>
    </w:p>
    <w:p w14:paraId="0832AA4C" w14:textId="29E167B0" w:rsidR="000108DD" w:rsidRDefault="000108DD" w:rsidP="005240F6">
      <w:pPr>
        <w:pStyle w:val="dotpoint"/>
      </w:pPr>
      <w:r>
        <w:t xml:space="preserve">The prohibition on unconscionable conduct in relation to the provision of a financial service </w:t>
      </w:r>
      <w:r w:rsidR="00886EAD">
        <w:t>under section 991A</w:t>
      </w:r>
      <w:r>
        <w:t xml:space="preserve"> extends to the new superannuation trustee service</w:t>
      </w:r>
      <w:r w:rsidR="003F7EB7">
        <w:t>.</w:t>
      </w:r>
    </w:p>
    <w:p w14:paraId="5B744604" w14:textId="466BF42D" w:rsidR="00AD02DD" w:rsidRDefault="00886EAD" w:rsidP="005240F6">
      <w:pPr>
        <w:pStyle w:val="dotpoint"/>
      </w:pPr>
      <w:r>
        <w:t xml:space="preserve">Part 7.10, relating to further conduct prohibitions – the prohibitions on dishonest conduct (which attracts a criminal sanction) and misleading or deceptive conduct now </w:t>
      </w:r>
      <w:r w:rsidR="002478DB">
        <w:t>extend</w:t>
      </w:r>
      <w:r>
        <w:t xml:space="preserve"> to the new superannuation trustee service. </w:t>
      </w:r>
      <w:r w:rsidR="000108DD">
        <w:t xml:space="preserve"> </w:t>
      </w:r>
      <w:r w:rsidR="00AD02DD">
        <w:t xml:space="preserve"> </w:t>
      </w:r>
    </w:p>
    <w:p w14:paraId="5B11D951" w14:textId="77777777" w:rsidR="00057DA8" w:rsidRDefault="00057DA8" w:rsidP="000B72FA">
      <w:pPr>
        <w:pStyle w:val="Heading4"/>
      </w:pPr>
      <w:r>
        <w:t>To whom is a superannuation trustee service provided?</w:t>
      </w:r>
    </w:p>
    <w:p w14:paraId="232B552F" w14:textId="622C87C6" w:rsidR="00771449" w:rsidRDefault="00771449" w:rsidP="00771449">
      <w:pPr>
        <w:pStyle w:val="Heading5"/>
      </w:pPr>
      <w:r>
        <w:t>Retail clients</w:t>
      </w:r>
    </w:p>
    <w:p w14:paraId="40181BEC" w14:textId="57B84710" w:rsidR="00B664F3" w:rsidRDefault="00057DA8" w:rsidP="000E0295">
      <w:pPr>
        <w:pStyle w:val="base-text-paragraph"/>
      </w:pPr>
      <w:r>
        <w:t>A superannuation trustee service will generally be provided to the beneficiaries of a superannuation fund</w:t>
      </w:r>
      <w:r w:rsidR="007F2784">
        <w:t>, which in turn</w:t>
      </w:r>
      <w:r>
        <w:t xml:space="preserve"> constitute</w:t>
      </w:r>
      <w:r w:rsidR="007F2784">
        <w:t>s</w:t>
      </w:r>
      <w:r>
        <w:t xml:space="preserve"> the provision of a financial service to a retail client.</w:t>
      </w:r>
      <w:r w:rsidR="00B664F3">
        <w:t xml:space="preserve"> </w:t>
      </w:r>
      <w:r w:rsidR="00B664F3">
        <w:rPr>
          <w:rStyle w:val="Referencingstyle"/>
        </w:rPr>
        <w:t>[Schedule #, item</w:t>
      </w:r>
      <w:r w:rsidR="009A7F7C">
        <w:rPr>
          <w:rStyle w:val="Referencingstyle"/>
        </w:rPr>
        <w:t>s</w:t>
      </w:r>
      <w:r w:rsidR="00B664F3">
        <w:rPr>
          <w:rStyle w:val="Referencingstyle"/>
        </w:rPr>
        <w:t xml:space="preserve"> 3</w:t>
      </w:r>
      <w:r w:rsidR="00ED7F61">
        <w:rPr>
          <w:rStyle w:val="Referencingstyle"/>
        </w:rPr>
        <w:t>8</w:t>
      </w:r>
      <w:r w:rsidR="009A7F7C">
        <w:rPr>
          <w:rStyle w:val="Referencingstyle"/>
        </w:rPr>
        <w:t xml:space="preserve"> and 43</w:t>
      </w:r>
      <w:r w:rsidR="00B664F3">
        <w:rPr>
          <w:rStyle w:val="Referencingstyle"/>
        </w:rPr>
        <w:t>, paragraph 761G(6)(b)</w:t>
      </w:r>
      <w:r w:rsidR="00E61891">
        <w:rPr>
          <w:rStyle w:val="Referencingstyle"/>
        </w:rPr>
        <w:t>, and note 2 to subsection 76</w:t>
      </w:r>
      <w:r w:rsidR="00781070">
        <w:rPr>
          <w:rStyle w:val="Referencingstyle"/>
        </w:rPr>
        <w:t>6H(1)</w:t>
      </w:r>
      <w:r w:rsidR="00971972">
        <w:rPr>
          <w:rStyle w:val="Referencingstyle"/>
        </w:rPr>
        <w:t xml:space="preserve"> of the Corporations Act</w:t>
      </w:r>
      <w:r w:rsidR="00B664F3">
        <w:rPr>
          <w:rStyle w:val="Referencingstyle"/>
        </w:rPr>
        <w:t>]</w:t>
      </w:r>
      <w:r>
        <w:t xml:space="preserve"> </w:t>
      </w:r>
    </w:p>
    <w:p w14:paraId="03C6A828" w14:textId="34E4D27D" w:rsidR="007F2784" w:rsidRDefault="00971972" w:rsidP="00E8191F">
      <w:pPr>
        <w:pStyle w:val="base-text-paragraph"/>
      </w:pPr>
      <w:r>
        <w:t>This engages</w:t>
      </w:r>
      <w:r w:rsidR="00851CD5">
        <w:t xml:space="preserve"> certain additional protections and obligations under Chapter 7 </w:t>
      </w:r>
      <w:r w:rsidR="00EF0E6A">
        <w:t xml:space="preserve">of the </w:t>
      </w:r>
      <w:r w:rsidR="00EF0E6A" w:rsidRPr="00375786">
        <w:t>Corporations Act</w:t>
      </w:r>
      <w:r w:rsidR="00EF0E6A">
        <w:rPr>
          <w:i/>
        </w:rPr>
        <w:t xml:space="preserve"> </w:t>
      </w:r>
      <w:r w:rsidR="00851CD5">
        <w:t xml:space="preserve">that </w:t>
      </w:r>
      <w:r>
        <w:t xml:space="preserve">attach </w:t>
      </w:r>
      <w:r w:rsidR="007F2784">
        <w:t xml:space="preserve">specifically to circumstances where services </w:t>
      </w:r>
      <w:r w:rsidR="00851CD5">
        <w:t>are provided to a retail client</w:t>
      </w:r>
      <w:r w:rsidR="00851CD5" w:rsidRPr="00851CD5">
        <w:t>.</w:t>
      </w:r>
      <w:r w:rsidR="00EF0E6A">
        <w:t xml:space="preserve"> For example, licensees must</w:t>
      </w:r>
      <w:r w:rsidR="00E8191F">
        <w:t xml:space="preserve"> </w:t>
      </w:r>
      <w:r w:rsidR="00EF0E6A">
        <w:t>have arrangements for compensating retail clients for loss or damage suffered because the licensee breached its licensing obligations.</w:t>
      </w:r>
    </w:p>
    <w:p w14:paraId="1C760E5D" w14:textId="19B096CD" w:rsidR="00EF0E6A" w:rsidRDefault="00EF0E6A" w:rsidP="000E0295">
      <w:pPr>
        <w:pStyle w:val="base-text-paragraph"/>
      </w:pPr>
      <w:r>
        <w:t>However, the obligation to provide a Financial Services Guide to a retail client will not be engaged merely because a licensee provides a superannuation trustee servi</w:t>
      </w:r>
      <w:r w:rsidR="00A469CD">
        <w:t>ce (</w:t>
      </w:r>
      <w:r>
        <w:t>see</w:t>
      </w:r>
      <w:r w:rsidR="00A469CD">
        <w:t xml:space="preserve"> below)</w:t>
      </w:r>
      <w:r>
        <w:t xml:space="preserve">.   </w:t>
      </w:r>
    </w:p>
    <w:p w14:paraId="73586E2B" w14:textId="1B7B3FF1" w:rsidR="00771449" w:rsidRDefault="00771449" w:rsidP="00771449">
      <w:pPr>
        <w:pStyle w:val="Heading5"/>
      </w:pPr>
      <w:r>
        <w:t>Wholesale clients</w:t>
      </w:r>
    </w:p>
    <w:p w14:paraId="39320FDF" w14:textId="30DFAD14" w:rsidR="00971972" w:rsidRDefault="007F2784" w:rsidP="000E0295">
      <w:pPr>
        <w:pStyle w:val="ListParagraph"/>
        <w:numPr>
          <w:ilvl w:val="1"/>
          <w:numId w:val="4"/>
        </w:numPr>
      </w:pPr>
      <w:r>
        <w:t>The only instance</w:t>
      </w:r>
      <w:r w:rsidR="00971972">
        <w:t>s</w:t>
      </w:r>
      <w:r>
        <w:t xml:space="preserve"> where a superannuation trustee service is provided to a wholesale client </w:t>
      </w:r>
      <w:r w:rsidR="00971972">
        <w:t>are</w:t>
      </w:r>
      <w:r>
        <w:t xml:space="preserve"> when it is provided </w:t>
      </w:r>
      <w:r w:rsidR="00971972">
        <w:t>to</w:t>
      </w:r>
      <w:r w:rsidR="00A84916">
        <w:t>:</w:t>
      </w:r>
    </w:p>
    <w:p w14:paraId="04B49E35" w14:textId="7C3D12B8" w:rsidR="00971972" w:rsidRDefault="007F2784" w:rsidP="00971972">
      <w:pPr>
        <w:pStyle w:val="dotpoint"/>
      </w:pPr>
      <w:r w:rsidRPr="007F2784">
        <w:t>a trustee of a superannuation fund, an approved deposit fund, a pooled superannuation trust or a public sector superannuation scheme that has net asse</w:t>
      </w:r>
      <w:r w:rsidR="00971972">
        <w:t>ts of at least $10</w:t>
      </w:r>
      <w:r w:rsidR="003F7EB7">
        <w:t> </w:t>
      </w:r>
      <w:r w:rsidR="00971972">
        <w:t>million;</w:t>
      </w:r>
      <w:r w:rsidRPr="007F2784">
        <w:t xml:space="preserve"> or </w:t>
      </w:r>
    </w:p>
    <w:p w14:paraId="7E53E265" w14:textId="77777777" w:rsidR="00971972" w:rsidRDefault="007F2784" w:rsidP="00971972">
      <w:pPr>
        <w:pStyle w:val="dotpoint"/>
      </w:pPr>
      <w:proofErr w:type="gramStart"/>
      <w:r w:rsidRPr="007F2784">
        <w:t>a</w:t>
      </w:r>
      <w:proofErr w:type="gramEnd"/>
      <w:r w:rsidRPr="007F2784">
        <w:t xml:space="preserve"> retirement savings account provider</w:t>
      </w:r>
      <w:r w:rsidR="00971972">
        <w:t xml:space="preserve">. </w:t>
      </w:r>
    </w:p>
    <w:p w14:paraId="7941FFF4" w14:textId="7E4A0063" w:rsidR="007F2784" w:rsidRPr="007F2784" w:rsidRDefault="00971972" w:rsidP="00971972">
      <w:pPr>
        <w:pStyle w:val="dotpoint"/>
        <w:numPr>
          <w:ilvl w:val="0"/>
          <w:numId w:val="0"/>
        </w:numPr>
        <w:ind w:left="1984"/>
      </w:pPr>
      <w:r>
        <w:rPr>
          <w:rStyle w:val="Referencingstyle"/>
        </w:rPr>
        <w:t>[Schedule #, i</w:t>
      </w:r>
      <w:r w:rsidRPr="00375F1D">
        <w:rPr>
          <w:rStyle w:val="Referencingstyle"/>
        </w:rPr>
        <w:t xml:space="preserve">tem </w:t>
      </w:r>
      <w:r>
        <w:rPr>
          <w:rStyle w:val="Referencingstyle"/>
        </w:rPr>
        <w:t>3</w:t>
      </w:r>
      <w:r w:rsidR="00ED7F61">
        <w:rPr>
          <w:rStyle w:val="Referencingstyle"/>
        </w:rPr>
        <w:t>8</w:t>
      </w:r>
      <w:r w:rsidRPr="00375F1D">
        <w:rPr>
          <w:rStyle w:val="Referencingstyle"/>
        </w:rPr>
        <w:t xml:space="preserve">, </w:t>
      </w:r>
      <w:r>
        <w:rPr>
          <w:rStyle w:val="Referencingstyle"/>
        </w:rPr>
        <w:t xml:space="preserve">paragraph </w:t>
      </w:r>
      <w:proofErr w:type="gramStart"/>
      <w:r>
        <w:rPr>
          <w:rStyle w:val="Referencingstyle"/>
        </w:rPr>
        <w:t>761G(</w:t>
      </w:r>
      <w:proofErr w:type="gramEnd"/>
      <w:r>
        <w:rPr>
          <w:rStyle w:val="Referencingstyle"/>
        </w:rPr>
        <w:t>6)(c) of the Corporations Act]</w:t>
      </w:r>
      <w:r w:rsidR="007F2784" w:rsidRPr="007F2784">
        <w:t xml:space="preserve"> </w:t>
      </w:r>
    </w:p>
    <w:p w14:paraId="4EF000EB" w14:textId="1233D348" w:rsidR="00057DA8" w:rsidRDefault="00057DA8" w:rsidP="008C573D">
      <w:pPr>
        <w:pStyle w:val="Heading4"/>
      </w:pPr>
      <w:r>
        <w:t xml:space="preserve">Who must obtain an authorisation to </w:t>
      </w:r>
      <w:r w:rsidR="00294252">
        <w:t>provide a superannuation trustee service</w:t>
      </w:r>
      <w:r>
        <w:t>?</w:t>
      </w:r>
    </w:p>
    <w:p w14:paraId="56A53B1D" w14:textId="7DC8021A" w:rsidR="00CA7DE1" w:rsidRDefault="00CA7DE1" w:rsidP="00CA7DE1">
      <w:pPr>
        <w:pStyle w:val="Heading5"/>
      </w:pPr>
      <w:bookmarkStart w:id="11" w:name="_Ref29474595"/>
      <w:r>
        <w:t>RSE licensees and third party service providers</w:t>
      </w:r>
    </w:p>
    <w:p w14:paraId="5CA629E4" w14:textId="52B34197" w:rsidR="00CA7DE1" w:rsidRDefault="000D7C2A" w:rsidP="000E0295">
      <w:pPr>
        <w:pStyle w:val="base-text-paragraph"/>
      </w:pPr>
      <w:r>
        <w:t>An RSE licensee</w:t>
      </w:r>
      <w:r w:rsidR="00057DA8">
        <w:t xml:space="preserve"> </w:t>
      </w:r>
      <w:r>
        <w:t xml:space="preserve">is the only entity who </w:t>
      </w:r>
      <w:r w:rsidR="00057DA8">
        <w:t>require</w:t>
      </w:r>
      <w:r>
        <w:t>s</w:t>
      </w:r>
      <w:r w:rsidR="00057DA8">
        <w:t xml:space="preserve"> an authorisation to </w:t>
      </w:r>
      <w:r w:rsidR="00BA06A7">
        <w:t>provide a superannuation trustee service</w:t>
      </w:r>
      <w:r w:rsidR="00057DA8">
        <w:t>. Administrators</w:t>
      </w:r>
      <w:r w:rsidR="00F33765">
        <w:t>, custodians</w:t>
      </w:r>
      <w:r w:rsidR="00057DA8">
        <w:t xml:space="preserve"> </w:t>
      </w:r>
      <w:r w:rsidR="00057DA8">
        <w:lastRenderedPageBreak/>
        <w:t xml:space="preserve">and others who may be involved in activities that constitute operating an RSE do not themselves </w:t>
      </w:r>
      <w:r w:rsidR="004A1D98">
        <w:t>operate the RSE</w:t>
      </w:r>
      <w:r w:rsidR="00057DA8">
        <w:t>.</w:t>
      </w:r>
      <w:bookmarkEnd w:id="11"/>
      <w:r w:rsidR="00EB1284">
        <w:t xml:space="preserve"> However, </w:t>
      </w:r>
      <w:r w:rsidR="004A1D98">
        <w:t>such other entities</w:t>
      </w:r>
      <w:r w:rsidR="00EB1284">
        <w:t xml:space="preserve"> may be regulated as authorised representatives of </w:t>
      </w:r>
      <w:r>
        <w:t>an AFSL holder</w:t>
      </w:r>
      <w:r w:rsidR="00EB1284">
        <w:t xml:space="preserve"> or </w:t>
      </w:r>
      <w:r>
        <w:t xml:space="preserve">as holders of their </w:t>
      </w:r>
      <w:r w:rsidR="004A1D98">
        <w:t>own AFSL</w:t>
      </w:r>
      <w:r>
        <w:t>s</w:t>
      </w:r>
      <w:r w:rsidR="004A1D98">
        <w:t xml:space="preserve"> for financial services they provide</w:t>
      </w:r>
      <w:r w:rsidR="001D0B97">
        <w:t xml:space="preserve"> – </w:t>
      </w:r>
      <w:r w:rsidR="00EB1284">
        <w:t>for example, provid</w:t>
      </w:r>
      <w:r w:rsidR="004A1D98">
        <w:t>i</w:t>
      </w:r>
      <w:r w:rsidR="007005D9">
        <w:t>ng</w:t>
      </w:r>
      <w:r w:rsidR="00EB1284">
        <w:t xml:space="preserve"> a custodial or depository service.</w:t>
      </w:r>
    </w:p>
    <w:p w14:paraId="686004C5" w14:textId="30BA49D2" w:rsidR="00057DA8" w:rsidRDefault="00CA7DE1" w:rsidP="00CA7DE1">
      <w:pPr>
        <w:pStyle w:val="Heading5"/>
      </w:pPr>
      <w:r>
        <w:t>Trustees of non-public offer funds</w:t>
      </w:r>
      <w:r w:rsidR="00EB1284">
        <w:t xml:space="preserve"> </w:t>
      </w:r>
    </w:p>
    <w:p w14:paraId="1998446D" w14:textId="1D69C0F6" w:rsidR="00057DA8" w:rsidRDefault="005A1020" w:rsidP="000E0295">
      <w:pPr>
        <w:pStyle w:val="base-text-paragraph"/>
      </w:pPr>
      <w:r>
        <w:t>One c</w:t>
      </w:r>
      <w:r w:rsidR="0057088A">
        <w:t>ategory</w:t>
      </w:r>
      <w:r w:rsidR="00057DA8">
        <w:t xml:space="preserve"> of RSE licensees </w:t>
      </w:r>
      <w:r>
        <w:t>–</w:t>
      </w:r>
      <w:r w:rsidR="000D7C2A">
        <w:t xml:space="preserve"> non-public offer funds </w:t>
      </w:r>
      <w:r w:rsidR="003F7EB7">
        <w:t>(</w:t>
      </w:r>
      <w:r w:rsidR="000D7C2A">
        <w:t xml:space="preserve">that is, </w:t>
      </w:r>
      <w:r>
        <w:t>trustees of superannuation funds not open to the general public</w:t>
      </w:r>
      <w:r w:rsidR="003F7EB7">
        <w:t>)</w:t>
      </w:r>
      <w:r>
        <w:t xml:space="preserve"> –</w:t>
      </w:r>
      <w:r w:rsidR="0057088A">
        <w:t xml:space="preserve"> </w:t>
      </w:r>
      <w:r w:rsidR="00057DA8">
        <w:t xml:space="preserve">have been exempt from </w:t>
      </w:r>
      <w:r w:rsidR="002A2DE7">
        <w:t>the requirement to hold</w:t>
      </w:r>
      <w:r w:rsidR="00057DA8">
        <w:t xml:space="preserve"> an AFSL to deal in </w:t>
      </w:r>
      <w:r w:rsidR="002A2DE7">
        <w:t xml:space="preserve">a </w:t>
      </w:r>
      <w:r w:rsidR="00057DA8">
        <w:t>superannuation</w:t>
      </w:r>
      <w:r w:rsidR="002A2DE7">
        <w:t xml:space="preserve"> interest</w:t>
      </w:r>
      <w:r w:rsidR="00372F4F">
        <w:t xml:space="preserve">. This exemption is removed through related amendments to be introduced through the </w:t>
      </w:r>
      <w:r w:rsidR="00057DA8" w:rsidRPr="00925B35">
        <w:rPr>
          <w:i/>
        </w:rPr>
        <w:t>Financial Sector Reform (Hayne Royal Commission Response – Stronger Regulators) (Regulation of Superannuation) Regulations 2020</w:t>
      </w:r>
      <w:r w:rsidR="00057DA8">
        <w:t xml:space="preserve">. </w:t>
      </w:r>
      <w:r w:rsidR="00FE16AA">
        <w:t xml:space="preserve">From 1 July 2020, </w:t>
      </w:r>
      <w:r w:rsidR="002A2DE7">
        <w:t>every trustee</w:t>
      </w:r>
      <w:r>
        <w:t xml:space="preserve"> of </w:t>
      </w:r>
      <w:r w:rsidR="002A2DE7">
        <w:t xml:space="preserve">a </w:t>
      </w:r>
      <w:r w:rsidR="00FE16AA">
        <w:t>n</w:t>
      </w:r>
      <w:r w:rsidR="00057DA8">
        <w:t>on</w:t>
      </w:r>
      <w:r w:rsidR="00FE16AA">
        <w:t xml:space="preserve">-public offer </w:t>
      </w:r>
      <w:r>
        <w:t>fund</w:t>
      </w:r>
      <w:r w:rsidR="00FE16AA">
        <w:t xml:space="preserve"> must </w:t>
      </w:r>
      <w:r w:rsidR="00BA06A7">
        <w:t>hold</w:t>
      </w:r>
      <w:r w:rsidR="00057DA8">
        <w:t xml:space="preserve"> </w:t>
      </w:r>
      <w:r w:rsidR="002A2DE7">
        <w:t>an AFSL with authorisations</w:t>
      </w:r>
      <w:r w:rsidR="00057DA8">
        <w:t xml:space="preserve"> to deal in superannuation interests and to provide a su</w:t>
      </w:r>
      <w:r w:rsidR="00B244DC">
        <w:t>perannuation trustee service.</w:t>
      </w:r>
    </w:p>
    <w:p w14:paraId="489D60F7" w14:textId="5B8DBA24" w:rsidR="00CA7DE1" w:rsidRDefault="00A36FDC" w:rsidP="00A36FDC">
      <w:pPr>
        <w:pStyle w:val="Heading5"/>
      </w:pPr>
      <w:r>
        <w:t xml:space="preserve">Existing exemptions – pooled superannuation </w:t>
      </w:r>
      <w:r w:rsidR="002B57C9">
        <w:t>trusts</w:t>
      </w:r>
    </w:p>
    <w:p w14:paraId="2B13B546" w14:textId="25E11D6A" w:rsidR="00EB3BE8" w:rsidRDefault="00EB3BE8" w:rsidP="000E0295">
      <w:pPr>
        <w:pStyle w:val="base-text-paragraph"/>
      </w:pPr>
      <w:r>
        <w:t xml:space="preserve">The </w:t>
      </w:r>
      <w:r w:rsidRPr="00375786">
        <w:t>Corporations Act</w:t>
      </w:r>
      <w:r>
        <w:rPr>
          <w:i/>
        </w:rPr>
        <w:t xml:space="preserve"> </w:t>
      </w:r>
      <w:r>
        <w:t xml:space="preserve">sets out a number of exemptions from the requirement to hold an AFSL to provide particular financial services. None of these exemptions </w:t>
      </w:r>
      <w:r w:rsidR="007F3D46">
        <w:t>appl</w:t>
      </w:r>
      <w:r w:rsidR="006E6DC2">
        <w:t>ies</w:t>
      </w:r>
      <w:r w:rsidR="007F3D46">
        <w:t xml:space="preserve"> to an</w:t>
      </w:r>
      <w:r>
        <w:t xml:space="preserve"> RSE licensee</w:t>
      </w:r>
      <w:r w:rsidR="007F3D46">
        <w:t xml:space="preserve"> in respect of </w:t>
      </w:r>
      <w:r w:rsidR="006E6DC2">
        <w:t xml:space="preserve">a </w:t>
      </w:r>
      <w:r>
        <w:t>superannuation trustee service, unless t</w:t>
      </w:r>
      <w:r w:rsidR="001D0B97">
        <w:t xml:space="preserve">he exemption expressly covers </w:t>
      </w:r>
      <w:r w:rsidR="007F3D46">
        <w:t>that service</w:t>
      </w:r>
      <w:r>
        <w:t xml:space="preserve">. </w:t>
      </w:r>
      <w:r>
        <w:rPr>
          <w:rStyle w:val="Referencingstyle"/>
        </w:rPr>
        <w:t>[Schedule #, item 4</w:t>
      </w:r>
      <w:r w:rsidR="00ED7F61">
        <w:rPr>
          <w:rStyle w:val="Referencingstyle"/>
        </w:rPr>
        <w:t>5</w:t>
      </w:r>
      <w:r>
        <w:rPr>
          <w:rStyle w:val="Referencingstyle"/>
        </w:rPr>
        <w:t>, subsection 911A(4A)</w:t>
      </w:r>
      <w:r w:rsidR="008E23CD">
        <w:rPr>
          <w:rStyle w:val="Referencingstyle"/>
        </w:rPr>
        <w:t xml:space="preserve"> of the Corporations Act</w:t>
      </w:r>
      <w:r>
        <w:rPr>
          <w:rStyle w:val="Referencingstyle"/>
        </w:rPr>
        <w:t>]</w:t>
      </w:r>
    </w:p>
    <w:p w14:paraId="1399F4F4" w14:textId="22202AA4" w:rsidR="007F3D46" w:rsidRDefault="007F3D46" w:rsidP="000E0295">
      <w:pPr>
        <w:pStyle w:val="base-text-paragraph"/>
      </w:pPr>
      <w:r>
        <w:t xml:space="preserve">This </w:t>
      </w:r>
      <w:r w:rsidR="00774D3E">
        <w:t xml:space="preserve">makes it clear that an exemption that applies to a particular financial service does not also apply to the new superannuation trustee service, even if both services share the same underlying conduct. </w:t>
      </w:r>
    </w:p>
    <w:p w14:paraId="1B6EEF7A" w14:textId="186832D8" w:rsidR="00971972" w:rsidRDefault="00EB3BE8" w:rsidP="0070015D">
      <w:pPr>
        <w:pStyle w:val="base-text-paragraph"/>
      </w:pPr>
      <w:r>
        <w:t xml:space="preserve">However, the Bill </w:t>
      </w:r>
      <w:r w:rsidR="009E424A">
        <w:t>preserves</w:t>
      </w:r>
      <w:r w:rsidR="00BB2FD4">
        <w:t xml:space="preserve"> a set of exemptions relating to pooled superannuation trusts </w:t>
      </w:r>
      <w:r w:rsidR="005E5E65">
        <w:t xml:space="preserve">by amending them to expressly cover </w:t>
      </w:r>
      <w:r>
        <w:t>a</w:t>
      </w:r>
      <w:r w:rsidR="00F97129">
        <w:t xml:space="preserve"> superannuation trustee service. </w:t>
      </w:r>
      <w:r w:rsidR="009E424A">
        <w:t>As a result of these amendments, a</w:t>
      </w:r>
      <w:r w:rsidR="00F97129">
        <w:t>n AFSL is not required for</w:t>
      </w:r>
      <w:r w:rsidR="0070015D">
        <w:t xml:space="preserve"> </w:t>
      </w:r>
      <w:r w:rsidR="00F97129">
        <w:t>a</w:t>
      </w:r>
      <w:r w:rsidR="00311BCB">
        <w:t xml:space="preserve"> superannuation trustee service provided only to wholesale clients</w:t>
      </w:r>
      <w:r w:rsidR="00F97129">
        <w:t xml:space="preserve"> –</w:t>
      </w:r>
      <w:r w:rsidR="00971972">
        <w:t xml:space="preserve"> namely, to:</w:t>
      </w:r>
    </w:p>
    <w:p w14:paraId="781332B6" w14:textId="5636773E" w:rsidR="00971972" w:rsidRDefault="00F97129" w:rsidP="0070015D">
      <w:pPr>
        <w:pStyle w:val="dotpoint"/>
      </w:pPr>
      <w:r>
        <w:t>a trustee of a superannuation fund, an approved deposit fund, a pooled superannuation trust or a public sector superannuation scheme that has net</w:t>
      </w:r>
      <w:r w:rsidR="00971972">
        <w:t xml:space="preserve"> assets of at least $10</w:t>
      </w:r>
      <w:r w:rsidR="003F7EB7">
        <w:t> </w:t>
      </w:r>
      <w:r w:rsidR="00971972">
        <w:t>million;</w:t>
      </w:r>
      <w:r>
        <w:t xml:space="preserve"> or </w:t>
      </w:r>
    </w:p>
    <w:p w14:paraId="584CA4DA" w14:textId="2E5BF2E7" w:rsidR="00971972" w:rsidRDefault="00971972" w:rsidP="0070015D">
      <w:pPr>
        <w:pStyle w:val="dotpoint"/>
      </w:pPr>
      <w:proofErr w:type="gramStart"/>
      <w:r>
        <w:t>a</w:t>
      </w:r>
      <w:proofErr w:type="gramEnd"/>
      <w:r>
        <w:t xml:space="preserve"> </w:t>
      </w:r>
      <w:r w:rsidR="00F97129">
        <w:t>retirement savings account provider</w:t>
      </w:r>
      <w:r w:rsidR="0070015D">
        <w:t>.</w:t>
      </w:r>
      <w:r w:rsidR="00311BCB">
        <w:t xml:space="preserve"> </w:t>
      </w:r>
    </w:p>
    <w:p w14:paraId="51233CEE" w14:textId="5DC44D44" w:rsidR="00EB3BE8" w:rsidRDefault="00311BCB" w:rsidP="0070015D">
      <w:pPr>
        <w:pStyle w:val="dotpoint"/>
        <w:numPr>
          <w:ilvl w:val="0"/>
          <w:numId w:val="0"/>
        </w:numPr>
        <w:ind w:left="1984"/>
      </w:pPr>
      <w:r>
        <w:rPr>
          <w:rStyle w:val="Referencingstyle"/>
        </w:rPr>
        <w:t>[Schedule #, item</w:t>
      </w:r>
      <w:r w:rsidR="00F97129">
        <w:rPr>
          <w:rStyle w:val="Referencingstyle"/>
        </w:rPr>
        <w:t>s 3</w:t>
      </w:r>
      <w:r w:rsidR="00ED7F61">
        <w:rPr>
          <w:rStyle w:val="Referencingstyle"/>
        </w:rPr>
        <w:t>8</w:t>
      </w:r>
      <w:r w:rsidR="00F97129">
        <w:rPr>
          <w:rStyle w:val="Referencingstyle"/>
        </w:rPr>
        <w:t xml:space="preserve"> and</w:t>
      </w:r>
      <w:r>
        <w:rPr>
          <w:rStyle w:val="Referencingstyle"/>
        </w:rPr>
        <w:t xml:space="preserve"> 4</w:t>
      </w:r>
      <w:r w:rsidR="00ED7F61">
        <w:rPr>
          <w:rStyle w:val="Referencingstyle"/>
        </w:rPr>
        <w:t>4</w:t>
      </w:r>
      <w:r>
        <w:rPr>
          <w:rStyle w:val="Referencingstyle"/>
        </w:rPr>
        <w:t>, paragraph</w:t>
      </w:r>
      <w:r w:rsidR="00F97129">
        <w:rPr>
          <w:rStyle w:val="Referencingstyle"/>
        </w:rPr>
        <w:t xml:space="preserve">s </w:t>
      </w:r>
      <w:proofErr w:type="gramStart"/>
      <w:r w:rsidR="00F97129">
        <w:rPr>
          <w:rStyle w:val="Referencingstyle"/>
        </w:rPr>
        <w:t>761G(</w:t>
      </w:r>
      <w:proofErr w:type="gramEnd"/>
      <w:r w:rsidR="00F97129">
        <w:rPr>
          <w:rStyle w:val="Referencingstyle"/>
        </w:rPr>
        <w:t>6)(c) and</w:t>
      </w:r>
      <w:r>
        <w:rPr>
          <w:rStyle w:val="Referencingstyle"/>
        </w:rPr>
        <w:t xml:space="preserve"> 911A(2)(</w:t>
      </w:r>
      <w:proofErr w:type="spellStart"/>
      <w:r>
        <w:rPr>
          <w:rStyle w:val="Referencingstyle"/>
        </w:rPr>
        <w:t>ga</w:t>
      </w:r>
      <w:proofErr w:type="spellEnd"/>
      <w:r>
        <w:rPr>
          <w:rStyle w:val="Referencingstyle"/>
        </w:rPr>
        <w:t>)</w:t>
      </w:r>
      <w:r w:rsidR="008E23CD">
        <w:rPr>
          <w:rStyle w:val="Referencingstyle"/>
        </w:rPr>
        <w:t xml:space="preserve"> of the Corporations Act</w:t>
      </w:r>
      <w:r>
        <w:rPr>
          <w:rStyle w:val="Referencingstyle"/>
        </w:rPr>
        <w:t>]</w:t>
      </w:r>
      <w:r w:rsidR="00EB3BE8">
        <w:t xml:space="preserve">  </w:t>
      </w:r>
    </w:p>
    <w:p w14:paraId="1313FD10" w14:textId="68BABE59" w:rsidR="009E424A" w:rsidRDefault="009E424A" w:rsidP="009E424A">
      <w:pPr>
        <w:pStyle w:val="base-text-paragraph"/>
      </w:pPr>
      <w:r>
        <w:t xml:space="preserve">Amendments to be introduced through the </w:t>
      </w:r>
      <w:r w:rsidRPr="00925B35">
        <w:rPr>
          <w:i/>
        </w:rPr>
        <w:t>Financial Sector Reform (Hayne Royal Commission Response – Stronger Regulators) (Regulation of Superannuation) Regulations 20</w:t>
      </w:r>
      <w:r w:rsidR="004D5734" w:rsidRPr="00925B35">
        <w:rPr>
          <w:i/>
        </w:rPr>
        <w:t>20</w:t>
      </w:r>
      <w:r>
        <w:t xml:space="preserve"> will also extend existing exemptions for pooled superannuation trusts in the </w:t>
      </w:r>
      <w:r w:rsidRPr="00D10CF8">
        <w:rPr>
          <w:i/>
        </w:rPr>
        <w:t xml:space="preserve">Corporations </w:t>
      </w:r>
      <w:r w:rsidRPr="00D10CF8">
        <w:rPr>
          <w:i/>
        </w:rPr>
        <w:lastRenderedPageBreak/>
        <w:t>Regulations</w:t>
      </w:r>
      <w:r>
        <w:rPr>
          <w:i/>
        </w:rPr>
        <w:t xml:space="preserve"> </w:t>
      </w:r>
      <w:r w:rsidR="00D10CF8">
        <w:rPr>
          <w:i/>
        </w:rPr>
        <w:t>2001</w:t>
      </w:r>
      <w:r>
        <w:t xml:space="preserve"> that currently apply in relation to dealing in a superannuation </w:t>
      </w:r>
      <w:r w:rsidR="006D33D5">
        <w:t>interest</w:t>
      </w:r>
      <w:r>
        <w:t>.</w:t>
      </w:r>
    </w:p>
    <w:p w14:paraId="4FE55FE2" w14:textId="3A29FEFA" w:rsidR="00EB3BE8" w:rsidRDefault="009E424A" w:rsidP="000E0295">
      <w:pPr>
        <w:pStyle w:val="base-text-paragraph"/>
      </w:pPr>
      <w:r>
        <w:t xml:space="preserve">The combined effect of these expanded exemptions is that a </w:t>
      </w:r>
      <w:r w:rsidR="00EB3BE8">
        <w:t xml:space="preserve">trustee </w:t>
      </w:r>
      <w:r w:rsidR="006E6DC2">
        <w:t xml:space="preserve">of a pooled superannuation trust </w:t>
      </w:r>
      <w:r w:rsidR="00EB3BE8">
        <w:t xml:space="preserve">is exempt from </w:t>
      </w:r>
      <w:r w:rsidR="004D5734">
        <w:t xml:space="preserve">the </w:t>
      </w:r>
      <w:r w:rsidR="00EB3BE8">
        <w:t>requir</w:t>
      </w:r>
      <w:r w:rsidR="004D5734">
        <w:t xml:space="preserve">ement to </w:t>
      </w:r>
      <w:r w:rsidR="006E6DC2">
        <w:t xml:space="preserve">hold </w:t>
      </w:r>
      <w:r w:rsidR="00EB3BE8">
        <w:t>an AFSL to provide a super</w:t>
      </w:r>
      <w:r w:rsidR="006E6DC2">
        <w:t>annuation trustee service. This is</w:t>
      </w:r>
      <w:r w:rsidR="00EB3BE8">
        <w:t xml:space="preserve"> the only instance</w:t>
      </w:r>
      <w:r w:rsidR="006E6DC2">
        <w:t xml:space="preserve"> where an RSE license</w:t>
      </w:r>
      <w:r w:rsidR="00ED3B4F">
        <w:t>e</w:t>
      </w:r>
      <w:r w:rsidR="00EB3BE8">
        <w:t xml:space="preserve"> could continue </w:t>
      </w:r>
      <w:r w:rsidR="009535F1">
        <w:t xml:space="preserve">to operate an RSE </w:t>
      </w:r>
      <w:r w:rsidR="00EB3BE8">
        <w:t>beyond 1 July 2020 without holding an AFSL.</w:t>
      </w:r>
    </w:p>
    <w:p w14:paraId="00D29A59" w14:textId="69CA2766" w:rsidR="00CA7DE1" w:rsidRDefault="00CA7DE1" w:rsidP="00CA7DE1">
      <w:pPr>
        <w:pStyle w:val="Heading5"/>
      </w:pPr>
      <w:r>
        <w:t>Exempt public sector superannuation schemes</w:t>
      </w:r>
    </w:p>
    <w:p w14:paraId="2D9C50BF" w14:textId="4C4C8A97" w:rsidR="00EB3BE8" w:rsidRDefault="00EB3BE8" w:rsidP="000E0295">
      <w:pPr>
        <w:pStyle w:val="base-text-paragraph"/>
      </w:pPr>
      <w:r>
        <w:t xml:space="preserve">The Bill clarifies that the operation of an exempt public sector superannuation scheme does not constitute the provision of a superannuation trustee service. </w:t>
      </w:r>
      <w:r w:rsidR="00C9757C">
        <w:t xml:space="preserve">This is consistent with the fact that such </w:t>
      </w:r>
      <w:r>
        <w:t xml:space="preserve">schemes are outside the scope of the RSE licensing regime. </w:t>
      </w:r>
      <w:r>
        <w:rPr>
          <w:rStyle w:val="Referencingstyle"/>
        </w:rPr>
        <w:t>[Schedule #</w:t>
      </w:r>
      <w:r w:rsidR="0007317E">
        <w:rPr>
          <w:rStyle w:val="Referencingstyle"/>
        </w:rPr>
        <w:t>, item 4</w:t>
      </w:r>
      <w:r w:rsidR="00ED7F61">
        <w:rPr>
          <w:rStyle w:val="Referencingstyle"/>
        </w:rPr>
        <w:t>3</w:t>
      </w:r>
      <w:r w:rsidR="0007317E">
        <w:rPr>
          <w:rStyle w:val="Referencingstyle"/>
        </w:rPr>
        <w:t>, paragraph 76</w:t>
      </w:r>
      <w:r>
        <w:rPr>
          <w:rStyle w:val="Referencingstyle"/>
        </w:rPr>
        <w:t>6H(2)(a)</w:t>
      </w:r>
      <w:r w:rsidR="008E23CD">
        <w:rPr>
          <w:rStyle w:val="Referencingstyle"/>
        </w:rPr>
        <w:t xml:space="preserve"> of the Corporations Act</w:t>
      </w:r>
      <w:r>
        <w:rPr>
          <w:rStyle w:val="Referencingstyle"/>
        </w:rPr>
        <w:t>]</w:t>
      </w:r>
      <w:r>
        <w:t xml:space="preserve">   </w:t>
      </w:r>
    </w:p>
    <w:p w14:paraId="2E69E402" w14:textId="6B1E6BFB" w:rsidR="00CA7DE1" w:rsidRDefault="00A36FDC" w:rsidP="00CA7DE1">
      <w:pPr>
        <w:pStyle w:val="Heading5"/>
      </w:pPr>
      <w:bookmarkStart w:id="12" w:name="_Ref29805769"/>
      <w:r>
        <w:t>Regulation making power for exemptions</w:t>
      </w:r>
    </w:p>
    <w:p w14:paraId="60D27B96" w14:textId="18015B1E" w:rsidR="00EB3BE8" w:rsidRDefault="00EB3BE8" w:rsidP="000E0295">
      <w:pPr>
        <w:pStyle w:val="base-text-paragraph"/>
      </w:pPr>
      <w:r>
        <w:t xml:space="preserve">A regulation making power allows </w:t>
      </w:r>
      <w:r w:rsidR="00E13301">
        <w:t>the Government to prescribe certain conduct so that it is exempt from constituting the provision of a superannuation trustee service. Regulations made under this power would be subject to disallowance</w:t>
      </w:r>
      <w:r w:rsidR="00BB2FD4">
        <w:t xml:space="preserve">. </w:t>
      </w:r>
      <w:r w:rsidR="00BB2FD4">
        <w:rPr>
          <w:rStyle w:val="Referencingstyle"/>
        </w:rPr>
        <w:t xml:space="preserve">[Schedule </w:t>
      </w:r>
      <w:r w:rsidR="00E61891">
        <w:rPr>
          <w:rStyle w:val="Referencingstyle"/>
        </w:rPr>
        <w:t>#, item 4</w:t>
      </w:r>
      <w:r w:rsidR="00ED7F61">
        <w:rPr>
          <w:rStyle w:val="Referencingstyle"/>
        </w:rPr>
        <w:t>3</w:t>
      </w:r>
      <w:r w:rsidR="00E61891">
        <w:rPr>
          <w:rStyle w:val="Referencingstyle"/>
        </w:rPr>
        <w:t>, paragraph 76</w:t>
      </w:r>
      <w:r w:rsidR="00BB2FD4">
        <w:rPr>
          <w:rStyle w:val="Referencingstyle"/>
        </w:rPr>
        <w:t>6H(2)(b)</w:t>
      </w:r>
      <w:r w:rsidR="008E23CD">
        <w:rPr>
          <w:rStyle w:val="Referencingstyle"/>
        </w:rPr>
        <w:t xml:space="preserve"> of the Corporations Act</w:t>
      </w:r>
      <w:r w:rsidR="00BB2FD4">
        <w:rPr>
          <w:rStyle w:val="Referencingstyle"/>
        </w:rPr>
        <w:t>]</w:t>
      </w:r>
      <w:bookmarkEnd w:id="12"/>
    </w:p>
    <w:p w14:paraId="0185C000" w14:textId="3204248D" w:rsidR="00057DA8" w:rsidRDefault="00057DA8" w:rsidP="008C573D">
      <w:pPr>
        <w:pStyle w:val="Heading4"/>
      </w:pPr>
      <w:r>
        <w:t xml:space="preserve">Licence </w:t>
      </w:r>
      <w:r w:rsidR="00161A51">
        <w:t>cancellation</w:t>
      </w:r>
      <w:r>
        <w:t>, variation of licence conditions and banning orders</w:t>
      </w:r>
    </w:p>
    <w:p w14:paraId="03236E89" w14:textId="1B2568A7" w:rsidR="00057DA8" w:rsidRDefault="00057DA8" w:rsidP="000E0295">
      <w:pPr>
        <w:pStyle w:val="base-text-paragraph"/>
      </w:pPr>
      <w:r>
        <w:t xml:space="preserve">The </w:t>
      </w:r>
      <w:r w:rsidRPr="00534058">
        <w:t>Corporations Act</w:t>
      </w:r>
      <w:r>
        <w:rPr>
          <w:i/>
        </w:rPr>
        <w:t xml:space="preserve"> </w:t>
      </w:r>
      <w:r>
        <w:t>and SIS Act contain requirements for APRA and ASIC to consult or inform each other about certain actions affecting entities they both regulate.</w:t>
      </w:r>
    </w:p>
    <w:p w14:paraId="01542988" w14:textId="77777777" w:rsidR="00057DA8" w:rsidRDefault="00057DA8" w:rsidP="000E0295">
      <w:pPr>
        <w:pStyle w:val="base-text-paragraph"/>
      </w:pPr>
      <w:r>
        <w:t>For example:</w:t>
      </w:r>
    </w:p>
    <w:p w14:paraId="14CA0862" w14:textId="5E7A2C2F" w:rsidR="00057DA8" w:rsidRDefault="00057DA8" w:rsidP="00057DA8">
      <w:pPr>
        <w:pStyle w:val="dotpoint"/>
      </w:pPr>
      <w:r>
        <w:t>For entities regulated by APRA</w:t>
      </w:r>
      <w:r w:rsidR="00111624">
        <w:t>,</w:t>
      </w:r>
      <w:r>
        <w:t xml:space="preserve"> other than authorised deposit-taking institutions, ASIC must consult APRA before imposing a condition on the entity’s AFSL that would prevent it </w:t>
      </w:r>
      <w:r w:rsidRPr="00416BFD">
        <w:t>carrying on its usual activities (being activities in relation to which APRA has regulatory or supervisory responsibilities)</w:t>
      </w:r>
      <w:r>
        <w:t xml:space="preserve">. This includes RSE licensees </w:t>
      </w:r>
      <w:r w:rsidR="00BE2210">
        <w:t>who</w:t>
      </w:r>
      <w:r>
        <w:t xml:space="preserve"> </w:t>
      </w:r>
      <w:r w:rsidR="00BE2210">
        <w:t xml:space="preserve">are AFSL </w:t>
      </w:r>
      <w:r>
        <w:t>hold</w:t>
      </w:r>
      <w:r w:rsidR="00BE2210">
        <w:t>ers</w:t>
      </w:r>
      <w:r>
        <w:t>.</w:t>
      </w:r>
    </w:p>
    <w:p w14:paraId="25B044C2" w14:textId="02B04E32" w:rsidR="00057DA8" w:rsidRDefault="00057DA8" w:rsidP="00057DA8">
      <w:pPr>
        <w:pStyle w:val="dotpoint"/>
      </w:pPr>
      <w:r>
        <w:t xml:space="preserve">For </w:t>
      </w:r>
      <w:r w:rsidR="00BE2210">
        <w:t>an RSE licensee who is</w:t>
      </w:r>
      <w:r>
        <w:t xml:space="preserve"> an AFSL</w:t>
      </w:r>
      <w:r w:rsidR="00BE2210">
        <w:t xml:space="preserve"> holder</w:t>
      </w:r>
      <w:r>
        <w:t xml:space="preserve">, APRA must consult ASIC before varying a condition where that action </w:t>
      </w:r>
      <w:r w:rsidRPr="00275B55">
        <w:t xml:space="preserve">might reasonably be expected to affect the licensee’s ability to provide one or more of the financial services that </w:t>
      </w:r>
      <w:r>
        <w:t>it</w:t>
      </w:r>
      <w:r w:rsidRPr="00275B55">
        <w:t xml:space="preserve"> provides</w:t>
      </w:r>
      <w:r>
        <w:t>.</w:t>
      </w:r>
    </w:p>
    <w:p w14:paraId="4D208E52" w14:textId="4CDE0D89" w:rsidR="00E56F28" w:rsidRDefault="00057DA8" w:rsidP="000E0295">
      <w:pPr>
        <w:pStyle w:val="base-text-paragraph"/>
      </w:pPr>
      <w:r>
        <w:t>Additional statutory requirements are introduced to reflect the changes this Bill makes to the framework for superannuation regulation.</w:t>
      </w:r>
    </w:p>
    <w:p w14:paraId="208C31AD" w14:textId="7E46E01F" w:rsidR="001B18BC" w:rsidRDefault="001B18BC" w:rsidP="000E0295">
      <w:pPr>
        <w:pStyle w:val="base-text-paragraph"/>
      </w:pPr>
      <w:r>
        <w:lastRenderedPageBreak/>
        <w:t xml:space="preserve">RSE licensees are prudentially regulated entities that provide a compulsory product to members. These </w:t>
      </w:r>
      <w:r w:rsidR="008777AD">
        <w:t xml:space="preserve">additional </w:t>
      </w:r>
      <w:r>
        <w:t xml:space="preserve">requirements recognise the importance of </w:t>
      </w:r>
      <w:r w:rsidR="00111624">
        <w:t xml:space="preserve">ASIC’s </w:t>
      </w:r>
      <w:r>
        <w:t>coordination with APRA when taking regulatory actions that would prevent the trustee from operating a superannuation fund.</w:t>
      </w:r>
    </w:p>
    <w:p w14:paraId="7DBA17E8" w14:textId="05DB32F4" w:rsidR="001B18BC" w:rsidRDefault="001B18BC" w:rsidP="001B18BC">
      <w:pPr>
        <w:pStyle w:val="Heading5"/>
      </w:pPr>
      <w:r>
        <w:t>Licence suspension or cancellation</w:t>
      </w:r>
    </w:p>
    <w:p w14:paraId="0B70CA58" w14:textId="73A7E283" w:rsidR="001B18BC" w:rsidRPr="00F64A10" w:rsidRDefault="001B18BC" w:rsidP="000E0295">
      <w:pPr>
        <w:pStyle w:val="base-text-paragraph"/>
        <w:rPr>
          <w:rStyle w:val="Referencingstyle"/>
          <w:b w:val="0"/>
          <w:i w:val="0"/>
          <w:sz w:val="22"/>
        </w:rPr>
      </w:pPr>
      <w:r>
        <w:t>ASIC must obtain APRA’s written agreement before suspending or cancelling an AFSL</w:t>
      </w:r>
      <w:r w:rsidR="00BD4B00">
        <w:t xml:space="preserve"> that authorises a licensee to provide a superannuation trustee service</w:t>
      </w:r>
      <w:r>
        <w:t xml:space="preserve">. </w:t>
      </w:r>
      <w:r>
        <w:rPr>
          <w:rStyle w:val="Referencingstyle"/>
        </w:rPr>
        <w:t xml:space="preserve">[Schedule #, </w:t>
      </w:r>
      <w:r w:rsidR="00322D5C">
        <w:rPr>
          <w:rStyle w:val="Referencingstyle"/>
        </w:rPr>
        <w:t xml:space="preserve">item </w:t>
      </w:r>
      <w:r w:rsidR="00242E83">
        <w:rPr>
          <w:rStyle w:val="Referencingstyle"/>
        </w:rPr>
        <w:t>5</w:t>
      </w:r>
      <w:r w:rsidR="00ED7F61">
        <w:rPr>
          <w:rStyle w:val="Referencingstyle"/>
        </w:rPr>
        <w:t>0</w:t>
      </w:r>
      <w:r w:rsidR="00322D5C">
        <w:rPr>
          <w:rStyle w:val="Referencingstyle"/>
        </w:rPr>
        <w:t xml:space="preserve">, </w:t>
      </w:r>
      <w:r>
        <w:rPr>
          <w:rStyle w:val="Referencingstyle"/>
        </w:rPr>
        <w:t>sub</w:t>
      </w:r>
      <w:r w:rsidR="00F85FB4">
        <w:rPr>
          <w:rStyle w:val="Referencingstyle"/>
        </w:rPr>
        <w:t>paragraph</w:t>
      </w:r>
      <w:r w:rsidR="00802F18">
        <w:rPr>
          <w:rStyle w:val="Referencingstyle"/>
        </w:rPr>
        <w:t> </w:t>
      </w:r>
      <w:r>
        <w:rPr>
          <w:rStyle w:val="Referencingstyle"/>
        </w:rPr>
        <w:t>915I(1</w:t>
      </w:r>
      <w:r w:rsidR="00F85FB4">
        <w:rPr>
          <w:rStyle w:val="Referencingstyle"/>
        </w:rPr>
        <w:t>)(aa)(</w:t>
      </w:r>
      <w:proofErr w:type="spellStart"/>
      <w:r w:rsidR="00F85FB4">
        <w:rPr>
          <w:rStyle w:val="Referencingstyle"/>
        </w:rPr>
        <w:t>i</w:t>
      </w:r>
      <w:proofErr w:type="spellEnd"/>
      <w:r w:rsidR="00F85FB4">
        <w:rPr>
          <w:rStyle w:val="Referencingstyle"/>
        </w:rPr>
        <w:t>)</w:t>
      </w:r>
      <w:r w:rsidR="00D24615">
        <w:rPr>
          <w:rStyle w:val="Referencingstyle"/>
        </w:rPr>
        <w:t xml:space="preserve"> of the Corporations Act</w:t>
      </w:r>
      <w:r>
        <w:rPr>
          <w:rStyle w:val="Referencingstyle"/>
        </w:rPr>
        <w:t xml:space="preserve">] </w:t>
      </w:r>
    </w:p>
    <w:p w14:paraId="764A7B5B" w14:textId="7DB8036A" w:rsidR="00057DA8" w:rsidRDefault="00E56F28" w:rsidP="00E56F28">
      <w:pPr>
        <w:pStyle w:val="Heading5"/>
      </w:pPr>
      <w:r>
        <w:t>Variation etc. of licence conditions</w:t>
      </w:r>
      <w:r w:rsidR="004302F7">
        <w:t xml:space="preserve"> </w:t>
      </w:r>
    </w:p>
    <w:p w14:paraId="226B3CE9" w14:textId="04E7CF0F" w:rsidR="00057DA8" w:rsidRDefault="00057DA8" w:rsidP="000E0295">
      <w:pPr>
        <w:pStyle w:val="base-text-paragraph"/>
      </w:pPr>
      <w:r>
        <w:t xml:space="preserve">ASIC must </w:t>
      </w:r>
      <w:r w:rsidR="00A91632">
        <w:t xml:space="preserve">also </w:t>
      </w:r>
      <w:r>
        <w:t>obtain APRA’s written agreement before imposing, varying or revoking a condition on an RSE licensee’s AFSL if that action would</w:t>
      </w:r>
      <w:r w:rsidR="00F85FB4">
        <w:t>, in ASIC’s opinion,</w:t>
      </w:r>
      <w:r>
        <w:t xml:space="preserve"> prevent the licensee from providing a superannuation trustee service.</w:t>
      </w:r>
      <w:r w:rsidR="0079633A">
        <w:t xml:space="preserve"> </w:t>
      </w:r>
      <w:r w:rsidR="0079633A">
        <w:rPr>
          <w:rStyle w:val="Referencingstyle"/>
        </w:rPr>
        <w:t xml:space="preserve">[Schedule #, </w:t>
      </w:r>
      <w:r w:rsidR="00322D5C">
        <w:rPr>
          <w:rStyle w:val="Referencingstyle"/>
        </w:rPr>
        <w:t>item 4</w:t>
      </w:r>
      <w:r w:rsidR="00ED7F61">
        <w:rPr>
          <w:rStyle w:val="Referencingstyle"/>
        </w:rPr>
        <w:t>6</w:t>
      </w:r>
      <w:r w:rsidR="00322D5C">
        <w:rPr>
          <w:rStyle w:val="Referencingstyle"/>
        </w:rPr>
        <w:t xml:space="preserve">, </w:t>
      </w:r>
      <w:r w:rsidR="00F85FB4">
        <w:rPr>
          <w:rStyle w:val="Referencingstyle"/>
        </w:rPr>
        <w:t>subparagraph</w:t>
      </w:r>
      <w:r w:rsidR="00DE2D9F">
        <w:rPr>
          <w:rStyle w:val="Referencingstyle"/>
        </w:rPr>
        <w:t> </w:t>
      </w:r>
      <w:r w:rsidR="00362C94">
        <w:rPr>
          <w:rStyle w:val="Referencingstyle"/>
        </w:rPr>
        <w:t>914A(4)</w:t>
      </w:r>
      <w:r w:rsidR="00F85FB4">
        <w:rPr>
          <w:rStyle w:val="Referencingstyle"/>
        </w:rPr>
        <w:t>(aa)(</w:t>
      </w:r>
      <w:proofErr w:type="spellStart"/>
      <w:r w:rsidR="00F85FB4">
        <w:rPr>
          <w:rStyle w:val="Referencingstyle"/>
        </w:rPr>
        <w:t>i</w:t>
      </w:r>
      <w:proofErr w:type="spellEnd"/>
      <w:r w:rsidR="00F85FB4">
        <w:rPr>
          <w:rStyle w:val="Referencingstyle"/>
        </w:rPr>
        <w:t>)</w:t>
      </w:r>
      <w:r w:rsidR="008E23CD">
        <w:rPr>
          <w:rStyle w:val="Referencingstyle"/>
        </w:rPr>
        <w:t xml:space="preserve"> of the Corporations Act</w:t>
      </w:r>
      <w:r w:rsidR="00362C94">
        <w:rPr>
          <w:rStyle w:val="Referencingstyle"/>
        </w:rPr>
        <w:t>]</w:t>
      </w:r>
      <w:r w:rsidR="0079633A">
        <w:rPr>
          <w:rStyle w:val="Referencingstyle"/>
        </w:rPr>
        <w:t xml:space="preserve"> </w:t>
      </w:r>
    </w:p>
    <w:p w14:paraId="3F1749FF" w14:textId="5422FE5A" w:rsidR="00AE3A11" w:rsidRDefault="00AE3A11" w:rsidP="000E0295">
      <w:pPr>
        <w:pStyle w:val="base-text-paragraph"/>
      </w:pPr>
      <w:r>
        <w:t xml:space="preserve">For example, this means ASIC must obtain APRA’s agreement before </w:t>
      </w:r>
      <w:r w:rsidR="001B48CA">
        <w:t>varying a condition on an RSE licensee’s AFSL t</w:t>
      </w:r>
      <w:r w:rsidR="00732277">
        <w:t xml:space="preserve">o remove its </w:t>
      </w:r>
      <w:r w:rsidR="001B48CA">
        <w:t>authoris</w:t>
      </w:r>
      <w:r w:rsidR="00732277">
        <w:t>ation</w:t>
      </w:r>
      <w:r w:rsidR="001B48CA">
        <w:t xml:space="preserve"> to provide a superannuation trustee service</w:t>
      </w:r>
      <w:r w:rsidR="00732277">
        <w:t>.</w:t>
      </w:r>
    </w:p>
    <w:p w14:paraId="3D36B5B3" w14:textId="32113B26" w:rsidR="00FE4E97" w:rsidRDefault="00761316" w:rsidP="000E0295">
      <w:pPr>
        <w:pStyle w:val="base-text-paragraph"/>
      </w:pPr>
      <w:r>
        <w:t>In any other case where ASIC imposes, varies or revokes a condition on an RSE licensee’s AFSL, it must</w:t>
      </w:r>
      <w:r w:rsidR="00FE4E97">
        <w:t xml:space="preserve"> comply with the existing requirements to:</w:t>
      </w:r>
    </w:p>
    <w:p w14:paraId="44A4AB47" w14:textId="1ED1BD3E" w:rsidR="00FE4E97" w:rsidRDefault="00E56F28" w:rsidP="00FE4E97">
      <w:pPr>
        <w:pStyle w:val="dotpoint"/>
      </w:pPr>
      <w:r>
        <w:t xml:space="preserve">consult APRA </w:t>
      </w:r>
      <w:r w:rsidR="00FE4E97">
        <w:t xml:space="preserve">if the condition would </w:t>
      </w:r>
      <w:r w:rsidR="00FE4E97" w:rsidRPr="00FE4E97">
        <w:t>prevent</w:t>
      </w:r>
      <w:r w:rsidR="00FE4E97">
        <w:t xml:space="preserve"> </w:t>
      </w:r>
      <w:r w:rsidR="00FE4E97" w:rsidRPr="00FE4E97">
        <w:t xml:space="preserve">the </w:t>
      </w:r>
      <w:r w:rsidR="00FE4E97">
        <w:t xml:space="preserve">licensee </w:t>
      </w:r>
      <w:r w:rsidR="00FE4E97" w:rsidRPr="00FE4E97">
        <w:t>carry</w:t>
      </w:r>
      <w:r w:rsidR="00FE4E97">
        <w:t>ing</w:t>
      </w:r>
      <w:r w:rsidR="00FE4E97" w:rsidRPr="00FE4E97">
        <w:t xml:space="preserve"> on its usual activities (being activities in relation to which APRA has regulatory or supervisory responsibilities</w:t>
      </w:r>
      <w:r>
        <w:t>);</w:t>
      </w:r>
      <w:r w:rsidR="003F7EB7">
        <w:t xml:space="preserve"> or</w:t>
      </w:r>
    </w:p>
    <w:p w14:paraId="32EF63CC" w14:textId="77777777" w:rsidR="003A328D" w:rsidRDefault="00FE4E97" w:rsidP="00FE4E97">
      <w:pPr>
        <w:pStyle w:val="dotpoint"/>
      </w:pPr>
      <w:proofErr w:type="gramStart"/>
      <w:r>
        <w:t>otherwise</w:t>
      </w:r>
      <w:proofErr w:type="gramEnd"/>
      <w:r w:rsidR="00761316">
        <w:t>, within one week, inform APRA of the action that has been taken.</w:t>
      </w:r>
    </w:p>
    <w:p w14:paraId="2A526798" w14:textId="74816A02" w:rsidR="00761316" w:rsidRDefault="003A328D" w:rsidP="003A328D">
      <w:pPr>
        <w:pStyle w:val="dotpoint"/>
        <w:numPr>
          <w:ilvl w:val="0"/>
          <w:numId w:val="0"/>
        </w:numPr>
        <w:ind w:left="1984"/>
      </w:pPr>
      <w:r>
        <w:rPr>
          <w:rStyle w:val="Referencingstyle"/>
        </w:rPr>
        <w:t>[Schedule #, items 4</w:t>
      </w:r>
      <w:r w:rsidR="00ED7F61">
        <w:rPr>
          <w:rStyle w:val="Referencingstyle"/>
        </w:rPr>
        <w:t>7</w:t>
      </w:r>
      <w:r>
        <w:rPr>
          <w:rStyle w:val="Referencingstyle"/>
        </w:rPr>
        <w:t xml:space="preserve"> and 4</w:t>
      </w:r>
      <w:r w:rsidR="00ED7F61">
        <w:rPr>
          <w:rStyle w:val="Referencingstyle"/>
        </w:rPr>
        <w:t>8</w:t>
      </w:r>
      <w:r>
        <w:rPr>
          <w:rStyle w:val="Referencingstyle"/>
        </w:rPr>
        <w:t xml:space="preserve">, paragraphs </w:t>
      </w:r>
      <w:proofErr w:type="gramStart"/>
      <w:r>
        <w:rPr>
          <w:rStyle w:val="Referencingstyle"/>
        </w:rPr>
        <w:t>914A(</w:t>
      </w:r>
      <w:proofErr w:type="gramEnd"/>
      <w:r>
        <w:rPr>
          <w:rStyle w:val="Referencingstyle"/>
        </w:rPr>
        <w:t>4)(a) and 914A(4)(b) of the Corporations Act]</w:t>
      </w:r>
      <w:r w:rsidR="00761316">
        <w:t xml:space="preserve"> </w:t>
      </w:r>
    </w:p>
    <w:p w14:paraId="673DA785" w14:textId="7B02A146" w:rsidR="00E56F28" w:rsidRDefault="00E56F28" w:rsidP="00E56F28">
      <w:pPr>
        <w:pStyle w:val="Heading5"/>
      </w:pPr>
      <w:r>
        <w:t>Banning orders</w:t>
      </w:r>
    </w:p>
    <w:p w14:paraId="21649200" w14:textId="0A509350" w:rsidR="00F64A10" w:rsidRPr="00F10F35" w:rsidRDefault="00F64A10" w:rsidP="000E0295">
      <w:pPr>
        <w:pStyle w:val="base-text-paragraph"/>
        <w:rPr>
          <w:rStyle w:val="Referencingstyle"/>
          <w:b w:val="0"/>
          <w:i w:val="0"/>
          <w:sz w:val="22"/>
        </w:rPr>
      </w:pPr>
      <w:r>
        <w:t xml:space="preserve">ASIC must obtain APRA’s written agreement before </w:t>
      </w:r>
      <w:r w:rsidR="006249D0">
        <w:t>making a banning order against an RSE licensee</w:t>
      </w:r>
      <w:r w:rsidR="009602A6">
        <w:t xml:space="preserve"> </w:t>
      </w:r>
      <w:r w:rsidR="00503F40">
        <w:t xml:space="preserve">if that action would, in ASIC’s opinion, prevent the licensee from providing </w:t>
      </w:r>
      <w:r w:rsidR="009602A6">
        <w:t>a superannuation trustee service</w:t>
      </w:r>
      <w:r w:rsidR="00432845">
        <w:t>.</w:t>
      </w:r>
      <w:r w:rsidR="006249D0">
        <w:t xml:space="preserve"> </w:t>
      </w:r>
      <w:r w:rsidR="006249D0">
        <w:rPr>
          <w:rStyle w:val="Referencingstyle"/>
        </w:rPr>
        <w:t xml:space="preserve">[Schedule #, </w:t>
      </w:r>
      <w:r w:rsidR="000D085C">
        <w:rPr>
          <w:rStyle w:val="Referencingstyle"/>
        </w:rPr>
        <w:t>item 5</w:t>
      </w:r>
      <w:r w:rsidR="00ED7F61">
        <w:rPr>
          <w:rStyle w:val="Referencingstyle"/>
        </w:rPr>
        <w:t>4</w:t>
      </w:r>
      <w:r w:rsidR="000D085C">
        <w:rPr>
          <w:rStyle w:val="Referencingstyle"/>
        </w:rPr>
        <w:t>, sub</w:t>
      </w:r>
      <w:r w:rsidR="006249D0">
        <w:rPr>
          <w:rStyle w:val="Referencingstyle"/>
        </w:rPr>
        <w:t>paragraph 920A(3A)</w:t>
      </w:r>
      <w:r w:rsidR="000D085C">
        <w:rPr>
          <w:rStyle w:val="Referencingstyle"/>
        </w:rPr>
        <w:t>(a)(</w:t>
      </w:r>
      <w:proofErr w:type="spellStart"/>
      <w:r w:rsidR="000D085C">
        <w:rPr>
          <w:rStyle w:val="Referencingstyle"/>
        </w:rPr>
        <w:t>i</w:t>
      </w:r>
      <w:proofErr w:type="spellEnd"/>
      <w:r w:rsidR="000D085C">
        <w:rPr>
          <w:rStyle w:val="Referencingstyle"/>
        </w:rPr>
        <w:t>)</w:t>
      </w:r>
      <w:r w:rsidR="00D24615">
        <w:rPr>
          <w:rStyle w:val="Referencingstyle"/>
        </w:rPr>
        <w:t xml:space="preserve"> of the Corporations Act</w:t>
      </w:r>
      <w:r w:rsidR="006249D0">
        <w:rPr>
          <w:rStyle w:val="Referencingstyle"/>
        </w:rPr>
        <w:t>]</w:t>
      </w:r>
    </w:p>
    <w:p w14:paraId="12A83177" w14:textId="5C733747" w:rsidR="00893F44" w:rsidRDefault="00F10F35" w:rsidP="000E0295">
      <w:pPr>
        <w:pStyle w:val="base-text-paragraph"/>
      </w:pPr>
      <w:r>
        <w:t>In any other case where ASIC makes a bann</w:t>
      </w:r>
      <w:r w:rsidR="00893F44">
        <w:t xml:space="preserve">ing order against an RSE licensee authorised to provide a superannuation trustee service, ASIC must, within one week, inform APRA of the action that has been taken. </w:t>
      </w:r>
      <w:r w:rsidR="004B4FDA">
        <w:t xml:space="preserve">This could be the case where, for example, the order </w:t>
      </w:r>
      <w:r w:rsidR="00BB5D12">
        <w:t xml:space="preserve">would </w:t>
      </w:r>
      <w:r w:rsidR="004B4FDA">
        <w:t>ban the licensee from providin</w:t>
      </w:r>
      <w:r w:rsidR="00BB5D12">
        <w:t>g financial product advice</w:t>
      </w:r>
      <w:r w:rsidR="00E61891">
        <w:t>,</w:t>
      </w:r>
      <w:r w:rsidR="00BB5D12">
        <w:t xml:space="preserve"> but would </w:t>
      </w:r>
      <w:r w:rsidR="004B4FDA">
        <w:t xml:space="preserve">not </w:t>
      </w:r>
      <w:r w:rsidR="00BB5D12">
        <w:t xml:space="preserve">otherwise </w:t>
      </w:r>
      <w:r w:rsidR="00BB5D12">
        <w:lastRenderedPageBreak/>
        <w:t>affect its operation of the RSE.</w:t>
      </w:r>
      <w:r w:rsidR="00893F44">
        <w:t xml:space="preserve"> </w:t>
      </w:r>
      <w:r w:rsidR="00893F44">
        <w:rPr>
          <w:rStyle w:val="Referencingstyle"/>
        </w:rPr>
        <w:t>[Schedule #, item 5</w:t>
      </w:r>
      <w:r w:rsidR="00ED7F61">
        <w:rPr>
          <w:rStyle w:val="Referencingstyle"/>
        </w:rPr>
        <w:t>4</w:t>
      </w:r>
      <w:r w:rsidR="00893F44">
        <w:rPr>
          <w:rStyle w:val="Referencingstyle"/>
        </w:rPr>
        <w:t>, paragraph 920A(3A)(b) of the Corporations Act]</w:t>
      </w:r>
    </w:p>
    <w:p w14:paraId="389B2052" w14:textId="01E5A05F" w:rsidR="00F10F35" w:rsidRDefault="00893F44" w:rsidP="000E0295">
      <w:pPr>
        <w:pStyle w:val="base-text-paragraph"/>
      </w:pPr>
      <w:r>
        <w:t>These requirements do not apply where the banning order is against a director or other officer of an RSE licensee, rather than the licensee itself.</w:t>
      </w:r>
      <w:r w:rsidR="00DE2D9F">
        <w:t xml:space="preserve"> </w:t>
      </w:r>
      <w:r w:rsidR="00677AE1">
        <w:t xml:space="preserve">Where a banning order is made against a director or officer of an RSE licensee, </w:t>
      </w:r>
      <w:r w:rsidR="00DE2D9F">
        <w:t xml:space="preserve">the RSE licensee is still able to provide the superannuation trustee service. </w:t>
      </w:r>
    </w:p>
    <w:p w14:paraId="69CC7AFE" w14:textId="24B19FA2" w:rsidR="00E56F28" w:rsidRDefault="00E56F28" w:rsidP="00E56F28">
      <w:pPr>
        <w:pStyle w:val="Heading5"/>
      </w:pPr>
      <w:r>
        <w:t>Compliance with the requirements to obtain APRA’s agreement</w:t>
      </w:r>
    </w:p>
    <w:p w14:paraId="070C6B06" w14:textId="53715249" w:rsidR="00057DA8" w:rsidRDefault="00057DA8" w:rsidP="000E0295">
      <w:pPr>
        <w:pStyle w:val="base-text-paragraph"/>
      </w:pPr>
      <w:r>
        <w:t>A failure to comply with any of these requirements does not inv</w:t>
      </w:r>
      <w:r w:rsidR="00D96F16">
        <w:t>alidate the action taken by ASIC</w:t>
      </w:r>
      <w:r>
        <w:t>.</w:t>
      </w:r>
      <w:r w:rsidR="00584522">
        <w:t xml:space="preserve"> </w:t>
      </w:r>
      <w:r w:rsidR="0079633A">
        <w:rPr>
          <w:rStyle w:val="Referencingstyle"/>
        </w:rPr>
        <w:t xml:space="preserve">[Schedule #, </w:t>
      </w:r>
      <w:r w:rsidR="000D085C">
        <w:rPr>
          <w:rStyle w:val="Referencingstyle"/>
        </w:rPr>
        <w:t xml:space="preserve">items </w:t>
      </w:r>
      <w:r w:rsidR="00ED7F61">
        <w:rPr>
          <w:rStyle w:val="Referencingstyle"/>
        </w:rPr>
        <w:t>49</w:t>
      </w:r>
      <w:r w:rsidR="000D085C">
        <w:rPr>
          <w:rStyle w:val="Referencingstyle"/>
        </w:rPr>
        <w:t>, 5</w:t>
      </w:r>
      <w:r w:rsidR="00ED7F61">
        <w:rPr>
          <w:rStyle w:val="Referencingstyle"/>
        </w:rPr>
        <w:t>3</w:t>
      </w:r>
      <w:r w:rsidR="000D085C">
        <w:rPr>
          <w:rStyle w:val="Referencingstyle"/>
        </w:rPr>
        <w:t xml:space="preserve"> and 5</w:t>
      </w:r>
      <w:r w:rsidR="00ED7F61">
        <w:rPr>
          <w:rStyle w:val="Referencingstyle"/>
        </w:rPr>
        <w:t>4</w:t>
      </w:r>
      <w:r w:rsidR="000D085C">
        <w:rPr>
          <w:rStyle w:val="Referencingstyle"/>
        </w:rPr>
        <w:t xml:space="preserve">, </w:t>
      </w:r>
      <w:r w:rsidR="00D96F16">
        <w:rPr>
          <w:rStyle w:val="Referencingstyle"/>
        </w:rPr>
        <w:t>subsections 914A(5A), 915I(3) and</w:t>
      </w:r>
      <w:r w:rsidR="00584522">
        <w:rPr>
          <w:rStyle w:val="Referencingstyle"/>
        </w:rPr>
        <w:t xml:space="preserve"> 920A(3B)</w:t>
      </w:r>
      <w:r w:rsidR="00D24615">
        <w:rPr>
          <w:rStyle w:val="Referencingstyle"/>
        </w:rPr>
        <w:t xml:space="preserve"> of the Corporations Act</w:t>
      </w:r>
      <w:r w:rsidR="00584522">
        <w:rPr>
          <w:rStyle w:val="Referencingstyle"/>
        </w:rPr>
        <w:t>]</w:t>
      </w:r>
    </w:p>
    <w:p w14:paraId="63EEA86F" w14:textId="698ECA10" w:rsidR="009602A6" w:rsidRDefault="00DE2D9F" w:rsidP="00833C2C">
      <w:pPr>
        <w:pStyle w:val="base-text-paragraph"/>
      </w:pPr>
      <w:r>
        <w:t xml:space="preserve">This is consistent with the existing approach for the requirement for ASIC to consult with APRA on licensing actions that affect the ability of an APRA regulated </w:t>
      </w:r>
      <w:r w:rsidR="008234A2">
        <w:t xml:space="preserve">entity to carry on its usual activities. </w:t>
      </w:r>
      <w:r w:rsidR="00FC7381">
        <w:t>However,</w:t>
      </w:r>
      <w:r w:rsidR="00066687">
        <w:t xml:space="preserve"> </w:t>
      </w:r>
      <w:r w:rsidR="00822060">
        <w:t>ASIC’s</w:t>
      </w:r>
      <w:r w:rsidR="00066687">
        <w:t xml:space="preserve"> compliance with these requirements </w:t>
      </w:r>
      <w:r w:rsidR="0071441E">
        <w:t xml:space="preserve">is subject to scrutiny </w:t>
      </w:r>
      <w:r w:rsidR="00066687">
        <w:t xml:space="preserve">by the Financial Regulator </w:t>
      </w:r>
      <w:r w:rsidR="004D2B82">
        <w:t>Assessment</w:t>
      </w:r>
      <w:r w:rsidR="00066687">
        <w:t xml:space="preserve"> Authority as part of that authority’s mandate to assess and report on APRA and ASIC’s effectiveness.</w:t>
      </w:r>
    </w:p>
    <w:p w14:paraId="01CEC304" w14:textId="69ED3594" w:rsidR="00573363" w:rsidRDefault="00900312" w:rsidP="000E0295">
      <w:pPr>
        <w:pStyle w:val="base-text-paragraph"/>
      </w:pPr>
      <w:r>
        <w:t xml:space="preserve">This approach reflects that the benefits of </w:t>
      </w:r>
      <w:r w:rsidR="00925B35">
        <w:t>avoiding any potential cost or uncertainty if the affairs of third parties were subsequently affected by any non-compliance with these administrative requirements outweigh the potential benefits of assuring compliance through the prospect of invalidity</w:t>
      </w:r>
      <w:r>
        <w:t>.</w:t>
      </w:r>
    </w:p>
    <w:p w14:paraId="2CAD11F4" w14:textId="6786AD2E" w:rsidR="009602A6" w:rsidRDefault="009602A6" w:rsidP="009602A6">
      <w:pPr>
        <w:pStyle w:val="Heading5"/>
      </w:pPr>
      <w:r>
        <w:t xml:space="preserve">Exceptions to the requirements to obtain APRA’s agreement </w:t>
      </w:r>
    </w:p>
    <w:p w14:paraId="66024E27" w14:textId="51AF063C" w:rsidR="00215723" w:rsidRDefault="009602A6" w:rsidP="000E0295">
      <w:pPr>
        <w:pStyle w:val="base-text-paragraph"/>
      </w:pPr>
      <w:bookmarkStart w:id="13" w:name="_Ref29397012"/>
      <w:r>
        <w:t xml:space="preserve">None of the requirements introduced by the Bill to obtain APRA’s agreement apply </w:t>
      </w:r>
      <w:r w:rsidR="00F7769C">
        <w:t>where the RSE licence</w:t>
      </w:r>
      <w:r w:rsidR="001E50D9">
        <w:t>,</w:t>
      </w:r>
      <w:r w:rsidR="00E61891">
        <w:t xml:space="preserve"> of the subject of</w:t>
      </w:r>
      <w:r w:rsidR="00F7769C">
        <w:t xml:space="preserve"> </w:t>
      </w:r>
      <w:r w:rsidR="00C8418D">
        <w:t xml:space="preserve">ASIC’s </w:t>
      </w:r>
      <w:r w:rsidR="00F7769C">
        <w:t xml:space="preserve">proposed regulatory action, is not in effect. </w:t>
      </w:r>
      <w:r w:rsidR="00215723">
        <w:rPr>
          <w:rStyle w:val="Referencingstyle"/>
        </w:rPr>
        <w:t xml:space="preserve">[Schedule #, </w:t>
      </w:r>
      <w:r w:rsidR="000D085C">
        <w:rPr>
          <w:rStyle w:val="Referencingstyle"/>
        </w:rPr>
        <w:t>items 4</w:t>
      </w:r>
      <w:r w:rsidR="00ED7F61">
        <w:rPr>
          <w:rStyle w:val="Referencingstyle"/>
        </w:rPr>
        <w:t>6</w:t>
      </w:r>
      <w:r w:rsidR="000D085C">
        <w:rPr>
          <w:rStyle w:val="Referencingstyle"/>
        </w:rPr>
        <w:t xml:space="preserve">, </w:t>
      </w:r>
      <w:r w:rsidR="00242E83">
        <w:rPr>
          <w:rStyle w:val="Referencingstyle"/>
        </w:rPr>
        <w:t>5</w:t>
      </w:r>
      <w:r w:rsidR="00ED7F61">
        <w:rPr>
          <w:rStyle w:val="Referencingstyle"/>
        </w:rPr>
        <w:t>0</w:t>
      </w:r>
      <w:r w:rsidR="000D085C">
        <w:rPr>
          <w:rStyle w:val="Referencingstyle"/>
        </w:rPr>
        <w:t xml:space="preserve"> and 5</w:t>
      </w:r>
      <w:r w:rsidR="00ED7F61">
        <w:rPr>
          <w:rStyle w:val="Referencingstyle"/>
        </w:rPr>
        <w:t>4</w:t>
      </w:r>
      <w:r w:rsidR="000D085C">
        <w:rPr>
          <w:rStyle w:val="Referencingstyle"/>
        </w:rPr>
        <w:t xml:space="preserve">, </w:t>
      </w:r>
      <w:r w:rsidR="007860AD">
        <w:rPr>
          <w:rStyle w:val="Referencingstyle"/>
        </w:rPr>
        <w:t>sub</w:t>
      </w:r>
      <w:r w:rsidR="00215723">
        <w:rPr>
          <w:rStyle w:val="Referencingstyle"/>
        </w:rPr>
        <w:t>paragraphs 914A(4)</w:t>
      </w:r>
      <w:r w:rsidR="007860AD">
        <w:rPr>
          <w:rStyle w:val="Referencingstyle"/>
        </w:rPr>
        <w:t>(aa)(iii)</w:t>
      </w:r>
      <w:r w:rsidR="00215723">
        <w:rPr>
          <w:rStyle w:val="Referencingstyle"/>
        </w:rPr>
        <w:t>, 915I(1)</w:t>
      </w:r>
      <w:r w:rsidR="007860AD">
        <w:rPr>
          <w:rStyle w:val="Referencingstyle"/>
        </w:rPr>
        <w:t>(aa)(iii)</w:t>
      </w:r>
      <w:r w:rsidR="00215723">
        <w:rPr>
          <w:rStyle w:val="Referencingstyle"/>
        </w:rPr>
        <w:t xml:space="preserve"> and 920A(3A)(</w:t>
      </w:r>
      <w:r w:rsidR="00542A47">
        <w:rPr>
          <w:rStyle w:val="Referencingstyle"/>
        </w:rPr>
        <w:t>a</w:t>
      </w:r>
      <w:r w:rsidR="00215723">
        <w:rPr>
          <w:rStyle w:val="Referencingstyle"/>
        </w:rPr>
        <w:t>)</w:t>
      </w:r>
      <w:r w:rsidR="00542A47">
        <w:rPr>
          <w:rStyle w:val="Referencingstyle"/>
        </w:rPr>
        <w:t>(ii)</w:t>
      </w:r>
      <w:r w:rsidR="00D24615">
        <w:rPr>
          <w:rStyle w:val="Referencingstyle"/>
        </w:rPr>
        <w:t xml:space="preserve"> of the Corporations Act</w:t>
      </w:r>
      <w:r w:rsidR="00215723">
        <w:rPr>
          <w:rStyle w:val="Referencingstyle"/>
        </w:rPr>
        <w:t>]</w:t>
      </w:r>
      <w:bookmarkEnd w:id="13"/>
    </w:p>
    <w:p w14:paraId="0D6861C7" w14:textId="0037D878" w:rsidR="0053522B" w:rsidRDefault="00F7769C" w:rsidP="000E0295">
      <w:pPr>
        <w:pStyle w:val="base-text-paragraph"/>
      </w:pPr>
      <w:r>
        <w:t xml:space="preserve">This may occur where APRA has </w:t>
      </w:r>
      <w:r w:rsidR="0011253C">
        <w:t xml:space="preserve">already </w:t>
      </w:r>
      <w:r>
        <w:t xml:space="preserve">removed the entity from </w:t>
      </w:r>
      <w:r w:rsidR="00BA56D0">
        <w:t>acting as</w:t>
      </w:r>
      <w:r>
        <w:t xml:space="preserve"> the trustee of a superannuation fund and </w:t>
      </w:r>
      <w:r w:rsidR="00747696">
        <w:t xml:space="preserve">cancelled </w:t>
      </w:r>
      <w:r>
        <w:t>its RSE licence. In those circumstances,</w:t>
      </w:r>
      <w:r w:rsidR="001E57DD">
        <w:t xml:space="preserve"> </w:t>
      </w:r>
      <w:r w:rsidR="00EE3D28">
        <w:t>APRA would not have any reason to object to ASIC’s proposed action</w:t>
      </w:r>
      <w:r w:rsidR="00881BAD">
        <w:t>.</w:t>
      </w:r>
    </w:p>
    <w:p w14:paraId="5E299BF6" w14:textId="5153E1B9" w:rsidR="0053522B" w:rsidRDefault="0053522B" w:rsidP="000E0295">
      <w:pPr>
        <w:pStyle w:val="base-text-paragraph"/>
      </w:pPr>
      <w:r>
        <w:t>However, the requirements do still apply where APRA</w:t>
      </w:r>
      <w:r w:rsidR="00C8418D">
        <w:t xml:space="preserve"> has</w:t>
      </w:r>
      <w:r>
        <w:t xml:space="preserve"> cancelled the RSE licence but allowed it to be treated as if it were in effect, under APRA’s power in section 29GB of the SIS Act. </w:t>
      </w:r>
      <w:r>
        <w:rPr>
          <w:rStyle w:val="Referencingstyle"/>
        </w:rPr>
        <w:t xml:space="preserve">[Schedule #, </w:t>
      </w:r>
      <w:r w:rsidR="000D085C">
        <w:rPr>
          <w:rStyle w:val="Referencingstyle"/>
        </w:rPr>
        <w:t>items 4</w:t>
      </w:r>
      <w:r w:rsidR="00ED7F61">
        <w:rPr>
          <w:rStyle w:val="Referencingstyle"/>
        </w:rPr>
        <w:t>6</w:t>
      </w:r>
      <w:r w:rsidR="000D085C">
        <w:rPr>
          <w:rStyle w:val="Referencingstyle"/>
        </w:rPr>
        <w:t xml:space="preserve">, </w:t>
      </w:r>
      <w:r w:rsidR="00242E83">
        <w:rPr>
          <w:rStyle w:val="Referencingstyle"/>
        </w:rPr>
        <w:t>5</w:t>
      </w:r>
      <w:r w:rsidR="00ED7F61">
        <w:rPr>
          <w:rStyle w:val="Referencingstyle"/>
        </w:rPr>
        <w:t>0</w:t>
      </w:r>
      <w:r w:rsidR="000D085C">
        <w:rPr>
          <w:rStyle w:val="Referencingstyle"/>
        </w:rPr>
        <w:t xml:space="preserve"> and 5</w:t>
      </w:r>
      <w:r w:rsidR="00ED7F61">
        <w:rPr>
          <w:rStyle w:val="Referencingstyle"/>
        </w:rPr>
        <w:t>4</w:t>
      </w:r>
      <w:r w:rsidR="000D085C">
        <w:rPr>
          <w:rStyle w:val="Referencingstyle"/>
        </w:rPr>
        <w:t>,</w:t>
      </w:r>
      <w:r>
        <w:rPr>
          <w:rStyle w:val="Referencingstyle"/>
        </w:rPr>
        <w:t xml:space="preserve"> </w:t>
      </w:r>
      <w:r w:rsidR="00542A47">
        <w:rPr>
          <w:rStyle w:val="Referencingstyle"/>
        </w:rPr>
        <w:t>sub</w:t>
      </w:r>
      <w:r>
        <w:rPr>
          <w:rStyle w:val="Referencingstyle"/>
        </w:rPr>
        <w:t>paragraphs 914A(4)</w:t>
      </w:r>
      <w:r w:rsidR="00542A47">
        <w:rPr>
          <w:rStyle w:val="Referencingstyle"/>
        </w:rPr>
        <w:t>(aa)(iii)</w:t>
      </w:r>
      <w:r>
        <w:rPr>
          <w:rStyle w:val="Referencingstyle"/>
        </w:rPr>
        <w:t>, 915I(1)(</w:t>
      </w:r>
      <w:r w:rsidR="00542A47">
        <w:rPr>
          <w:rStyle w:val="Referencingstyle"/>
        </w:rPr>
        <w:t>aa</w:t>
      </w:r>
      <w:r>
        <w:rPr>
          <w:rStyle w:val="Referencingstyle"/>
        </w:rPr>
        <w:t>)</w:t>
      </w:r>
      <w:r w:rsidR="00542A47">
        <w:rPr>
          <w:rStyle w:val="Referencingstyle"/>
        </w:rPr>
        <w:t>(iii) and 920A(3A)(a</w:t>
      </w:r>
      <w:r>
        <w:rPr>
          <w:rStyle w:val="Referencingstyle"/>
        </w:rPr>
        <w:t>)</w:t>
      </w:r>
      <w:r w:rsidR="00542A47">
        <w:rPr>
          <w:rStyle w:val="Referencingstyle"/>
        </w:rPr>
        <w:t>(ii)</w:t>
      </w:r>
      <w:r w:rsidR="00D24615">
        <w:rPr>
          <w:rStyle w:val="Referencingstyle"/>
        </w:rPr>
        <w:t xml:space="preserve"> of the Corporations Act</w:t>
      </w:r>
      <w:r>
        <w:rPr>
          <w:rStyle w:val="Referencingstyle"/>
        </w:rPr>
        <w:t>]</w:t>
      </w:r>
    </w:p>
    <w:p w14:paraId="1FF3EE95" w14:textId="2FCB0454" w:rsidR="0053522B" w:rsidRDefault="00BA56D0" w:rsidP="000E0295">
      <w:pPr>
        <w:pStyle w:val="base-text-paragraph"/>
      </w:pPr>
      <w:bookmarkStart w:id="14" w:name="_Ref29397018"/>
      <w:r>
        <w:t xml:space="preserve">Similarly, ASIC does not need to obtain APRA’s agreement </w:t>
      </w:r>
      <w:r w:rsidR="00CF3A0E">
        <w:t xml:space="preserve">before suspending or cancelling an RSE licensee’s AFSL, or imposing, varying or revoking a condition, if the licensee itself applied for ASIC to take the proposed action. </w:t>
      </w:r>
      <w:r w:rsidR="00CF3A0E">
        <w:rPr>
          <w:rStyle w:val="Referencingstyle"/>
        </w:rPr>
        <w:t xml:space="preserve">[Schedule #, </w:t>
      </w:r>
      <w:r w:rsidR="000D085C">
        <w:rPr>
          <w:rStyle w:val="Referencingstyle"/>
        </w:rPr>
        <w:t>items 4</w:t>
      </w:r>
      <w:r w:rsidR="00ED7F61">
        <w:rPr>
          <w:rStyle w:val="Referencingstyle"/>
        </w:rPr>
        <w:t>6</w:t>
      </w:r>
      <w:r w:rsidR="000D085C">
        <w:rPr>
          <w:rStyle w:val="Referencingstyle"/>
        </w:rPr>
        <w:t xml:space="preserve"> and </w:t>
      </w:r>
      <w:r w:rsidR="00242E83">
        <w:rPr>
          <w:rStyle w:val="Referencingstyle"/>
        </w:rPr>
        <w:t>5</w:t>
      </w:r>
      <w:r w:rsidR="00ED7F61">
        <w:rPr>
          <w:rStyle w:val="Referencingstyle"/>
        </w:rPr>
        <w:t>0</w:t>
      </w:r>
      <w:r w:rsidR="000D085C">
        <w:rPr>
          <w:rStyle w:val="Referencingstyle"/>
        </w:rPr>
        <w:t xml:space="preserve">, </w:t>
      </w:r>
      <w:r w:rsidR="00542A47">
        <w:rPr>
          <w:rStyle w:val="Referencingstyle"/>
        </w:rPr>
        <w:t>sub</w:t>
      </w:r>
      <w:r w:rsidR="00CF3A0E">
        <w:rPr>
          <w:rStyle w:val="Referencingstyle"/>
        </w:rPr>
        <w:t>paragraphs</w:t>
      </w:r>
      <w:r w:rsidR="003658A6">
        <w:rPr>
          <w:rStyle w:val="Referencingstyle"/>
        </w:rPr>
        <w:t> </w:t>
      </w:r>
      <w:r w:rsidR="00CF3A0E">
        <w:rPr>
          <w:rStyle w:val="Referencingstyle"/>
        </w:rPr>
        <w:t>914A(4)(</w:t>
      </w:r>
      <w:r w:rsidR="00542A47">
        <w:rPr>
          <w:rStyle w:val="Referencingstyle"/>
        </w:rPr>
        <w:t>aa</w:t>
      </w:r>
      <w:r w:rsidR="00CF3A0E">
        <w:rPr>
          <w:rStyle w:val="Referencingstyle"/>
        </w:rPr>
        <w:t>)</w:t>
      </w:r>
      <w:r w:rsidR="00542A47">
        <w:rPr>
          <w:rStyle w:val="Referencingstyle"/>
        </w:rPr>
        <w:t>(ii)</w:t>
      </w:r>
      <w:r w:rsidR="00CF3A0E">
        <w:rPr>
          <w:rStyle w:val="Referencingstyle"/>
        </w:rPr>
        <w:t xml:space="preserve"> and 915I(1)(</w:t>
      </w:r>
      <w:r w:rsidR="00D96F16">
        <w:rPr>
          <w:rStyle w:val="Referencingstyle"/>
        </w:rPr>
        <w:t>aa</w:t>
      </w:r>
      <w:r w:rsidR="00CF3A0E">
        <w:rPr>
          <w:rStyle w:val="Referencingstyle"/>
        </w:rPr>
        <w:t>)</w:t>
      </w:r>
      <w:r w:rsidR="00D96F16">
        <w:rPr>
          <w:rStyle w:val="Referencingstyle"/>
        </w:rPr>
        <w:t>(ii)</w:t>
      </w:r>
      <w:r w:rsidR="00D24615">
        <w:rPr>
          <w:rStyle w:val="Referencingstyle"/>
        </w:rPr>
        <w:t xml:space="preserve"> of the Corporations Act</w:t>
      </w:r>
      <w:r w:rsidR="00CF3A0E">
        <w:rPr>
          <w:rStyle w:val="Referencingstyle"/>
        </w:rPr>
        <w:t>]</w:t>
      </w:r>
      <w:bookmarkEnd w:id="14"/>
      <w:r w:rsidR="00CF3A0E">
        <w:t xml:space="preserve"> </w:t>
      </w:r>
    </w:p>
    <w:p w14:paraId="44594703" w14:textId="3AB3AB59" w:rsidR="000B72FA" w:rsidRDefault="009C02B3" w:rsidP="000E0295">
      <w:pPr>
        <w:pStyle w:val="base-text-paragraph"/>
      </w:pPr>
      <w:r>
        <w:lastRenderedPageBreak/>
        <w:t xml:space="preserve">Existing requirements to consult or inform APRA may still apply </w:t>
      </w:r>
      <w:r w:rsidR="009602A6">
        <w:t xml:space="preserve">in the </w:t>
      </w:r>
      <w:r w:rsidR="003658A6">
        <w:t xml:space="preserve">above </w:t>
      </w:r>
      <w:r w:rsidR="009602A6">
        <w:t>circumstances.</w:t>
      </w:r>
      <w:r w:rsidR="0004443E">
        <w:t xml:space="preserve"> </w:t>
      </w:r>
      <w:r w:rsidR="0004443E">
        <w:rPr>
          <w:rStyle w:val="Referencingstyle"/>
        </w:rPr>
        <w:t>[Schedule #, items 4</w:t>
      </w:r>
      <w:r w:rsidR="005D2FF3">
        <w:rPr>
          <w:rStyle w:val="Referencingstyle"/>
        </w:rPr>
        <w:t>7</w:t>
      </w:r>
      <w:r w:rsidR="0004443E">
        <w:rPr>
          <w:rStyle w:val="Referencingstyle"/>
        </w:rPr>
        <w:t>, 4</w:t>
      </w:r>
      <w:r w:rsidR="005D2FF3">
        <w:rPr>
          <w:rStyle w:val="Referencingstyle"/>
        </w:rPr>
        <w:t>8</w:t>
      </w:r>
      <w:r w:rsidR="0004443E">
        <w:rPr>
          <w:rStyle w:val="Referencingstyle"/>
        </w:rPr>
        <w:t xml:space="preserve">, </w:t>
      </w:r>
      <w:r w:rsidR="00242E83">
        <w:rPr>
          <w:rStyle w:val="Referencingstyle"/>
        </w:rPr>
        <w:t>5</w:t>
      </w:r>
      <w:r w:rsidR="005D2FF3">
        <w:rPr>
          <w:rStyle w:val="Referencingstyle"/>
        </w:rPr>
        <w:t>1</w:t>
      </w:r>
      <w:r w:rsidR="0004443E">
        <w:rPr>
          <w:rStyle w:val="Referencingstyle"/>
        </w:rPr>
        <w:t xml:space="preserve"> and 5</w:t>
      </w:r>
      <w:r w:rsidR="005D2FF3">
        <w:rPr>
          <w:rStyle w:val="Referencingstyle"/>
        </w:rPr>
        <w:t>2</w:t>
      </w:r>
      <w:r w:rsidR="0004443E">
        <w:rPr>
          <w:rStyle w:val="Referencingstyle"/>
        </w:rPr>
        <w:t>, paragraphs 914A(4)(a), 914A(4)(b), 915I(1)(a) and 915I(1)(b) of the Corporations Act]</w:t>
      </w:r>
      <w:r w:rsidR="009602A6">
        <w:t xml:space="preserve"> </w:t>
      </w:r>
    </w:p>
    <w:p w14:paraId="3805ED2F" w14:textId="75986ED2" w:rsidR="00650847" w:rsidRDefault="008F4307" w:rsidP="00650847">
      <w:pPr>
        <w:pStyle w:val="Heading4"/>
      </w:pPr>
      <w:r>
        <w:t>Extending the SIS Act i</w:t>
      </w:r>
      <w:r w:rsidR="00650847">
        <w:t>ndemnification</w:t>
      </w:r>
      <w:r>
        <w:t xml:space="preserve"> prohibitions</w:t>
      </w:r>
    </w:p>
    <w:p w14:paraId="0A8DE874" w14:textId="157ACBC1" w:rsidR="00471626" w:rsidRDefault="00841B31" w:rsidP="000E0295">
      <w:pPr>
        <w:pStyle w:val="base-text-paragraph"/>
      </w:pPr>
      <w:r>
        <w:t xml:space="preserve">Sections 56 and 57 of the SIS Act currently operate to prevent a superannuation trustee or a director of a superannuation trustee from using trust assets to pay a penalty that they incurred </w:t>
      </w:r>
      <w:r w:rsidR="00B56B0D">
        <w:t xml:space="preserve">for </w:t>
      </w:r>
      <w:r w:rsidR="00C97C6D">
        <w:t xml:space="preserve">liabilities arising from breach of trust in certain circumstances or </w:t>
      </w:r>
      <w:r w:rsidR="00B56B0D">
        <w:t xml:space="preserve">the contravention of </w:t>
      </w:r>
      <w:r w:rsidR="000D288D">
        <w:t>certain provision</w:t>
      </w:r>
      <w:r w:rsidR="004370FE">
        <w:t>s</w:t>
      </w:r>
      <w:r w:rsidR="000D288D">
        <w:t xml:space="preserve"> and types of provisions under the </w:t>
      </w:r>
      <w:r>
        <w:t xml:space="preserve">SIS Act. </w:t>
      </w:r>
    </w:p>
    <w:p w14:paraId="5977309A" w14:textId="2D96CF6B" w:rsidR="00650847" w:rsidRPr="000D288D" w:rsidRDefault="00471626" w:rsidP="000E0295">
      <w:pPr>
        <w:pStyle w:val="base-text-paragraph"/>
        <w:rPr>
          <w:rStyle w:val="Referencingstyle"/>
          <w:b w:val="0"/>
          <w:i w:val="0"/>
          <w:sz w:val="22"/>
        </w:rPr>
      </w:pPr>
      <w:r>
        <w:t xml:space="preserve">In view of the extension of the AFSL regime to cover the provision of a superannuation trustee service, Schedule # to the Bill </w:t>
      </w:r>
      <w:r w:rsidR="00C43BE3">
        <w:t>extends</w:t>
      </w:r>
      <w:r>
        <w:t xml:space="preserve"> the existing </w:t>
      </w:r>
      <w:r w:rsidR="00474E10">
        <w:t xml:space="preserve">indemnification </w:t>
      </w:r>
      <w:r>
        <w:t>prohibition</w:t>
      </w:r>
      <w:r w:rsidR="00614EE1">
        <w:t>s</w:t>
      </w:r>
      <w:r w:rsidR="00B56B0D">
        <w:t xml:space="preserve">. Specifically, sections 56 and 57 of the SIS Act </w:t>
      </w:r>
      <w:r w:rsidR="00474E10">
        <w:t>now</w:t>
      </w:r>
      <w:r w:rsidR="00B56B0D">
        <w:t xml:space="preserve"> prevent trustees and directors from using trust assets</w:t>
      </w:r>
      <w:r w:rsidR="00474E10">
        <w:t xml:space="preserve"> to</w:t>
      </w:r>
      <w:r w:rsidR="006C2A2E">
        <w:t xml:space="preserve"> </w:t>
      </w:r>
      <w:r w:rsidR="00B56B0D">
        <w:t xml:space="preserve">pay </w:t>
      </w:r>
      <w:r w:rsidR="006C2A2E">
        <w:t xml:space="preserve">a </w:t>
      </w:r>
      <w:r w:rsidR="00474E10">
        <w:t xml:space="preserve">criminal, civil </w:t>
      </w:r>
      <w:r w:rsidR="006C2A2E">
        <w:t>or administrative penalty</w:t>
      </w:r>
      <w:r w:rsidR="00474E10">
        <w:t xml:space="preserve"> </w:t>
      </w:r>
      <w:r w:rsidR="00B56B0D">
        <w:t xml:space="preserve">incurred </w:t>
      </w:r>
      <w:r w:rsidR="00474E10">
        <w:t xml:space="preserve">in relation to a contravention of a Commonwealth law. </w:t>
      </w:r>
      <w:r w:rsidR="00474E10">
        <w:rPr>
          <w:rStyle w:val="Referencingstyle"/>
        </w:rPr>
        <w:t xml:space="preserve">[Schedule </w:t>
      </w:r>
      <w:r w:rsidR="00242E83">
        <w:rPr>
          <w:rStyle w:val="Referencingstyle"/>
        </w:rPr>
        <w:t>#</w:t>
      </w:r>
      <w:r w:rsidR="00474E10">
        <w:rPr>
          <w:rStyle w:val="Referencingstyle"/>
        </w:rPr>
        <w:t>, items 6</w:t>
      </w:r>
      <w:r w:rsidR="005D2FF3">
        <w:rPr>
          <w:rStyle w:val="Referencingstyle"/>
        </w:rPr>
        <w:t>3</w:t>
      </w:r>
      <w:r w:rsidR="00474E10">
        <w:rPr>
          <w:rStyle w:val="Referencingstyle"/>
        </w:rPr>
        <w:t xml:space="preserve"> and 6</w:t>
      </w:r>
      <w:r w:rsidR="005D2FF3">
        <w:rPr>
          <w:rStyle w:val="Referencingstyle"/>
        </w:rPr>
        <w:t>4</w:t>
      </w:r>
      <w:r w:rsidR="00474E10">
        <w:rPr>
          <w:rStyle w:val="Referencingstyle"/>
        </w:rPr>
        <w:t xml:space="preserve">, subsections 56(2) and 57(2) </w:t>
      </w:r>
      <w:r w:rsidR="00474E10" w:rsidRPr="00375F1D">
        <w:rPr>
          <w:rStyle w:val="Referencingstyle"/>
        </w:rPr>
        <w:t xml:space="preserve">of </w:t>
      </w:r>
      <w:r w:rsidR="00474E10">
        <w:rPr>
          <w:rStyle w:val="Referencingstyle"/>
        </w:rPr>
        <w:t xml:space="preserve">the SIS </w:t>
      </w:r>
      <w:r w:rsidR="00474E10" w:rsidRPr="00375F1D">
        <w:rPr>
          <w:rStyle w:val="Referencingstyle"/>
        </w:rPr>
        <w:t>Act]</w:t>
      </w:r>
    </w:p>
    <w:p w14:paraId="3C741AB3" w14:textId="3BBF2C9B" w:rsidR="000D288D" w:rsidRDefault="000D288D" w:rsidP="000E0295">
      <w:pPr>
        <w:pStyle w:val="base-text-paragraph"/>
      </w:pPr>
      <w:r>
        <w:t xml:space="preserve">This means that a superannuation trustee or a director of a superannuation trustee cannot use trust assets to pay a penalty that they incurred for the contravention of a provision of the </w:t>
      </w:r>
      <w:r w:rsidRPr="00375786">
        <w:t>Corporations Act</w:t>
      </w:r>
      <w:r w:rsidR="006E0ACF" w:rsidRPr="00375786">
        <w:t xml:space="preserve"> </w:t>
      </w:r>
      <w:r w:rsidR="00C43BE3">
        <w:t>or ASIC</w:t>
      </w:r>
      <w:r w:rsidR="006E0ACF">
        <w:t xml:space="preserve"> Act</w:t>
      </w:r>
      <w:r>
        <w:t xml:space="preserve">. </w:t>
      </w:r>
    </w:p>
    <w:p w14:paraId="12A8B38F" w14:textId="1F270C34" w:rsidR="008F4B6F" w:rsidRDefault="008F4B6F" w:rsidP="000E0295">
      <w:pPr>
        <w:pStyle w:val="base-text-paragraph"/>
      </w:pPr>
      <w:r>
        <w:t>An application provision</w:t>
      </w:r>
      <w:r w:rsidR="005E20B0">
        <w:t xml:space="preserve"> clarifies that these amendments apply in relation to liabilities that arise, and amounts that become payable, before, on or after the commencement of those items. </w:t>
      </w:r>
      <w:r w:rsidR="005E20B0">
        <w:rPr>
          <w:rStyle w:val="Referencingstyle"/>
        </w:rPr>
        <w:t xml:space="preserve">[Schedule </w:t>
      </w:r>
      <w:r w:rsidR="00242E83">
        <w:rPr>
          <w:rStyle w:val="Referencingstyle"/>
        </w:rPr>
        <w:t>#</w:t>
      </w:r>
      <w:r w:rsidR="005E20B0">
        <w:rPr>
          <w:rStyle w:val="Referencingstyle"/>
        </w:rPr>
        <w:t>, i</w:t>
      </w:r>
      <w:r w:rsidR="005E20B0" w:rsidRPr="00375F1D">
        <w:rPr>
          <w:rStyle w:val="Referencingstyle"/>
        </w:rPr>
        <w:t>tem</w:t>
      </w:r>
      <w:r w:rsidR="005E20B0">
        <w:rPr>
          <w:rStyle w:val="Referencingstyle"/>
        </w:rPr>
        <w:t xml:space="preserve"> 6</w:t>
      </w:r>
      <w:r w:rsidR="005D2FF3">
        <w:rPr>
          <w:rStyle w:val="Referencingstyle"/>
        </w:rPr>
        <w:t>6</w:t>
      </w:r>
      <w:r w:rsidR="005E20B0" w:rsidRPr="00375F1D">
        <w:rPr>
          <w:rStyle w:val="Referencingstyle"/>
        </w:rPr>
        <w:t xml:space="preserve">, sections </w:t>
      </w:r>
      <w:r w:rsidR="005E20B0">
        <w:rPr>
          <w:rStyle w:val="Referencingstyle"/>
        </w:rPr>
        <w:t xml:space="preserve">56 and 57 </w:t>
      </w:r>
      <w:r w:rsidR="005E20B0" w:rsidRPr="00375F1D">
        <w:rPr>
          <w:rStyle w:val="Referencingstyle"/>
        </w:rPr>
        <w:t xml:space="preserve">of </w:t>
      </w:r>
      <w:r w:rsidR="005E20B0">
        <w:rPr>
          <w:rStyle w:val="Referencingstyle"/>
        </w:rPr>
        <w:t xml:space="preserve">the SIS </w:t>
      </w:r>
      <w:r w:rsidR="005E20B0" w:rsidRPr="00375F1D">
        <w:rPr>
          <w:rStyle w:val="Referencingstyle"/>
        </w:rPr>
        <w:t>Act]</w:t>
      </w:r>
      <w:r>
        <w:t xml:space="preserve"> </w:t>
      </w:r>
    </w:p>
    <w:p w14:paraId="6AEAC0C7" w14:textId="7D05157F" w:rsidR="00667958" w:rsidRDefault="00667958" w:rsidP="00667958">
      <w:pPr>
        <w:pStyle w:val="Heading4"/>
      </w:pPr>
      <w:r>
        <w:t xml:space="preserve">Court to consider impact of penalties on </w:t>
      </w:r>
      <w:r w:rsidR="00C8418D">
        <w:t>beneficiaries</w:t>
      </w:r>
    </w:p>
    <w:p w14:paraId="4AF290B2" w14:textId="4714DFB9" w:rsidR="00667958" w:rsidRDefault="00667958" w:rsidP="00667958">
      <w:pPr>
        <w:pStyle w:val="base-text-paragraph"/>
      </w:pPr>
      <w:bookmarkStart w:id="15" w:name="_Ref29826137"/>
      <w:r>
        <w:t>When considering the imposition of a fine for a</w:t>
      </w:r>
      <w:r w:rsidR="0070180F">
        <w:t xml:space="preserve"> </w:t>
      </w:r>
      <w:r w:rsidR="0070180F" w:rsidRPr="00375786">
        <w:t>Corporations</w:t>
      </w:r>
      <w:r w:rsidR="003F7EB7">
        <w:t> </w:t>
      </w:r>
      <w:r w:rsidR="0070180F" w:rsidRPr="00375786">
        <w:t>Act</w:t>
      </w:r>
      <w:r w:rsidR="0070180F">
        <w:rPr>
          <w:i/>
        </w:rPr>
        <w:t xml:space="preserve"> </w:t>
      </w:r>
      <w:r>
        <w:t xml:space="preserve">offence committed by </w:t>
      </w:r>
      <w:r w:rsidR="00CA6990">
        <w:t xml:space="preserve">a trustee of </w:t>
      </w:r>
      <w:r>
        <w:t>an RSE, or a pecuniary penalty for a contravention of a civil penalty provision</w:t>
      </w:r>
      <w:r w:rsidR="0070180F">
        <w:t xml:space="preserve"> of that Act</w:t>
      </w:r>
      <w:r>
        <w:t xml:space="preserve">, the court must take into account the impact the fine or penalty would have on the beneficiaries of the RSE. </w:t>
      </w:r>
      <w:r>
        <w:rPr>
          <w:rStyle w:val="Referencingstyle"/>
        </w:rPr>
        <w:t>[Schedule #, items 5</w:t>
      </w:r>
      <w:r w:rsidR="005D2FF3">
        <w:rPr>
          <w:rStyle w:val="Referencingstyle"/>
        </w:rPr>
        <w:t>7</w:t>
      </w:r>
      <w:r w:rsidR="00242E83">
        <w:rPr>
          <w:rStyle w:val="Referencingstyle"/>
        </w:rPr>
        <w:t>, 5</w:t>
      </w:r>
      <w:r w:rsidR="005D2FF3">
        <w:rPr>
          <w:rStyle w:val="Referencingstyle"/>
        </w:rPr>
        <w:t>8</w:t>
      </w:r>
      <w:r>
        <w:rPr>
          <w:rStyle w:val="Referencingstyle"/>
        </w:rPr>
        <w:t xml:space="preserve"> and </w:t>
      </w:r>
      <w:r w:rsidR="005D2FF3">
        <w:rPr>
          <w:rStyle w:val="Referencingstyle"/>
        </w:rPr>
        <w:t>59</w:t>
      </w:r>
      <w:r>
        <w:rPr>
          <w:rStyle w:val="Referencingstyle"/>
        </w:rPr>
        <w:t>, section 1311A and paragraph 1317G(6)(e) of the Corporations Act]</w:t>
      </w:r>
      <w:bookmarkEnd w:id="15"/>
    </w:p>
    <w:p w14:paraId="56A5E6FC" w14:textId="01C1D4A1" w:rsidR="00667958" w:rsidRDefault="00667958" w:rsidP="00667958">
      <w:pPr>
        <w:pStyle w:val="base-text-paragraph"/>
      </w:pPr>
      <w:r>
        <w:t xml:space="preserve">This is in addition to the existing factors identified in subsection 1317G(6) of the </w:t>
      </w:r>
      <w:r w:rsidRPr="00375786">
        <w:t>Corporations Act</w:t>
      </w:r>
      <w:r>
        <w:rPr>
          <w:i/>
        </w:rPr>
        <w:t xml:space="preserve"> </w:t>
      </w:r>
      <w:r>
        <w:t xml:space="preserve">that the court must consider in determining a pecuniary penalty, including </w:t>
      </w:r>
      <w:r w:rsidRPr="00101524">
        <w:t>the nature and extent of the contravention</w:t>
      </w:r>
      <w:r>
        <w:t xml:space="preserve"> and </w:t>
      </w:r>
      <w:r w:rsidRPr="00101524">
        <w:t>the nature and extent</w:t>
      </w:r>
      <w:r>
        <w:t xml:space="preserve"> of any loss or damage suffered.</w:t>
      </w:r>
    </w:p>
    <w:p w14:paraId="359B4816" w14:textId="7D65C46E" w:rsidR="00667958" w:rsidRDefault="006E0ACF" w:rsidP="00667958">
      <w:pPr>
        <w:pStyle w:val="base-text-paragraph"/>
      </w:pPr>
      <w:r>
        <w:t>The nature and structure of superannuation funds means that there is a risk that penalties incurred by</w:t>
      </w:r>
      <w:r w:rsidR="00CA6990">
        <w:t xml:space="preserve"> a superannuation trustee</w:t>
      </w:r>
      <w:r>
        <w:t xml:space="preserve"> could impact members. The requirement to consider the impact on beneficiaries mitigates this risk</w:t>
      </w:r>
      <w:r w:rsidR="00667958">
        <w:t>.</w:t>
      </w:r>
    </w:p>
    <w:p w14:paraId="2129351B" w14:textId="05D53737" w:rsidR="00667958" w:rsidRDefault="00667958" w:rsidP="00667958">
      <w:pPr>
        <w:pStyle w:val="base-text-paragraph"/>
      </w:pPr>
      <w:r>
        <w:lastRenderedPageBreak/>
        <w:t xml:space="preserve">While it is expected that this consideration would already be taken into account by the </w:t>
      </w:r>
      <w:r w:rsidR="001E0592">
        <w:t>c</w:t>
      </w:r>
      <w:r>
        <w:t xml:space="preserve">ourts in determining the appropriateness of a particular penalty, the specific inclusion of this factor ensures that the </w:t>
      </w:r>
      <w:r w:rsidR="001E0592">
        <w:t>c</w:t>
      </w:r>
      <w:r>
        <w:t>ourts explicitly turn their mind</w:t>
      </w:r>
      <w:r w:rsidR="00BC20E4">
        <w:t>s</w:t>
      </w:r>
      <w:r>
        <w:t xml:space="preserve"> to it.</w:t>
      </w:r>
    </w:p>
    <w:p w14:paraId="44E720BA" w14:textId="77777777" w:rsidR="00667958" w:rsidRDefault="00667958" w:rsidP="00667958">
      <w:pPr>
        <w:pStyle w:val="base-text-paragraph"/>
      </w:pPr>
      <w:r>
        <w:t>The impact of a fine or penalty on trustee directors is not required to be taken into account.</w:t>
      </w:r>
    </w:p>
    <w:p w14:paraId="0437E430" w14:textId="384BFC53" w:rsidR="004F7322" w:rsidRDefault="004F7322" w:rsidP="004F7322">
      <w:pPr>
        <w:pStyle w:val="Heading4"/>
      </w:pPr>
      <w:r>
        <w:t>Alignment of breach reporting timeframes</w:t>
      </w:r>
    </w:p>
    <w:p w14:paraId="561BD491" w14:textId="494AB3D0" w:rsidR="004F7322" w:rsidRPr="00FB2AFE" w:rsidRDefault="004F7322" w:rsidP="000E0295">
      <w:pPr>
        <w:pStyle w:val="base-text-paragraph"/>
        <w:rPr>
          <w:rStyle w:val="Referencingstyle"/>
          <w:b w:val="0"/>
          <w:i w:val="0"/>
          <w:sz w:val="22"/>
        </w:rPr>
      </w:pPr>
      <w:r>
        <w:t xml:space="preserve">Schedule # in the Bill </w:t>
      </w:r>
      <w:r w:rsidR="0098408A">
        <w:t>extends the timeframe within which an RSE licensee must report breaches of its</w:t>
      </w:r>
      <w:r w:rsidR="00FB2AFE">
        <w:t xml:space="preserve"> RSE</w:t>
      </w:r>
      <w:r w:rsidR="0098408A">
        <w:t xml:space="preserve"> licen</w:t>
      </w:r>
      <w:r w:rsidR="001E50D9">
        <w:t>c</w:t>
      </w:r>
      <w:r w:rsidR="0098408A">
        <w:t>e condition</w:t>
      </w:r>
      <w:r w:rsidR="00FB2AFE">
        <w:t>s from 10 </w:t>
      </w:r>
      <w:r w:rsidR="0098408A">
        <w:t xml:space="preserve">business days to 30 calendar days. </w:t>
      </w:r>
      <w:r w:rsidR="00242E83">
        <w:rPr>
          <w:rStyle w:val="Referencingstyle"/>
        </w:rPr>
        <w:t>[Schedule #</w:t>
      </w:r>
      <w:r w:rsidR="0098408A">
        <w:rPr>
          <w:rStyle w:val="Referencingstyle"/>
        </w:rPr>
        <w:t>, i</w:t>
      </w:r>
      <w:r w:rsidR="0098408A" w:rsidRPr="00375F1D">
        <w:rPr>
          <w:rStyle w:val="Referencingstyle"/>
        </w:rPr>
        <w:t xml:space="preserve">tem </w:t>
      </w:r>
      <w:r w:rsidR="0098408A">
        <w:rPr>
          <w:rStyle w:val="Referencingstyle"/>
        </w:rPr>
        <w:t>6</w:t>
      </w:r>
      <w:r w:rsidR="005D2FF3">
        <w:rPr>
          <w:rStyle w:val="Referencingstyle"/>
        </w:rPr>
        <w:t>2</w:t>
      </w:r>
      <w:r w:rsidR="0098408A">
        <w:rPr>
          <w:rStyle w:val="Referencingstyle"/>
        </w:rPr>
        <w:t>, subsection 29JA(1)</w:t>
      </w:r>
      <w:r w:rsidR="0098408A" w:rsidRPr="00375F1D">
        <w:rPr>
          <w:rStyle w:val="Referencingstyle"/>
        </w:rPr>
        <w:t xml:space="preserve"> of </w:t>
      </w:r>
      <w:r w:rsidR="0098408A">
        <w:rPr>
          <w:rStyle w:val="Referencingstyle"/>
        </w:rPr>
        <w:t xml:space="preserve">the SIS </w:t>
      </w:r>
      <w:r w:rsidR="0098408A" w:rsidRPr="00375F1D">
        <w:rPr>
          <w:rStyle w:val="Referencingstyle"/>
        </w:rPr>
        <w:t>Act]</w:t>
      </w:r>
    </w:p>
    <w:p w14:paraId="1DDE4C77" w14:textId="071E5401" w:rsidR="00FB2AFE" w:rsidRDefault="00FB2AFE" w:rsidP="000E0295">
      <w:pPr>
        <w:pStyle w:val="base-text-paragraph"/>
      </w:pPr>
      <w:r w:rsidRPr="00230258">
        <w:t xml:space="preserve">This change </w:t>
      </w:r>
      <w:r w:rsidR="009B632F" w:rsidRPr="00230258">
        <w:t>aligns the breach reporting timeframe with the new 30 day breach reporting</w:t>
      </w:r>
      <w:r w:rsidR="003A5E3E" w:rsidRPr="00230258">
        <w:t xml:space="preserve"> deadline</w:t>
      </w:r>
      <w:r w:rsidR="009B632F" w:rsidRPr="00230258">
        <w:t xml:space="preserve"> for AFSL</w:t>
      </w:r>
      <w:r w:rsidR="00B20032" w:rsidRPr="00230258">
        <w:t xml:space="preserve"> holders </w:t>
      </w:r>
      <w:r w:rsidR="00230258">
        <w:t>(Financial Services Royal Commission recommendation 2.8)</w:t>
      </w:r>
      <w:r w:rsidR="00B20032" w:rsidRPr="00230258">
        <w:t>.</w:t>
      </w:r>
      <w:r w:rsidR="00B20032">
        <w:t xml:space="preserve"> </w:t>
      </w:r>
      <w:r w:rsidR="00486F2B">
        <w:t xml:space="preserve">This </w:t>
      </w:r>
      <w:r w:rsidR="00370C64">
        <w:t xml:space="preserve">alignment </w:t>
      </w:r>
      <w:r w:rsidR="00486F2B">
        <w:t>help</w:t>
      </w:r>
      <w:r w:rsidR="00370C64">
        <w:t>s</w:t>
      </w:r>
      <w:r w:rsidR="00486F2B">
        <w:t xml:space="preserve"> to </w:t>
      </w:r>
      <w:r w:rsidR="003370DB">
        <w:t>reduce</w:t>
      </w:r>
      <w:r w:rsidR="00486F2B">
        <w:t xml:space="preserve"> the reporting burden on dual regulated </w:t>
      </w:r>
      <w:r w:rsidR="0077064A">
        <w:t>s</w:t>
      </w:r>
      <w:r w:rsidR="00841B31">
        <w:t>uperannuation trustee</w:t>
      </w:r>
      <w:r w:rsidR="0077064A">
        <w:t>s</w:t>
      </w:r>
      <w:r w:rsidR="00486F2B">
        <w:t>.</w:t>
      </w:r>
    </w:p>
    <w:p w14:paraId="0CE841CF" w14:textId="49F8F06E" w:rsidR="001259E6" w:rsidRDefault="001259E6" w:rsidP="000E0295">
      <w:pPr>
        <w:pStyle w:val="base-text-paragraph"/>
      </w:pPr>
      <w:r>
        <w:t xml:space="preserve">An application provision clarifies that this change applies in relation to breaches of which the RSE licensee becomes aware on or after 1 April 2021. </w:t>
      </w:r>
      <w:r>
        <w:rPr>
          <w:rStyle w:val="Referencingstyle"/>
        </w:rPr>
        <w:t xml:space="preserve">[Schedule </w:t>
      </w:r>
      <w:r w:rsidR="00242E83">
        <w:rPr>
          <w:rStyle w:val="Referencingstyle"/>
        </w:rPr>
        <w:t>#</w:t>
      </w:r>
      <w:r>
        <w:rPr>
          <w:rStyle w:val="Referencingstyle"/>
        </w:rPr>
        <w:t>, i</w:t>
      </w:r>
      <w:r w:rsidR="00572C93">
        <w:rPr>
          <w:rStyle w:val="Referencingstyle"/>
        </w:rPr>
        <w:t>tem 6</w:t>
      </w:r>
      <w:r w:rsidR="005D2FF3">
        <w:rPr>
          <w:rStyle w:val="Referencingstyle"/>
        </w:rPr>
        <w:t>5</w:t>
      </w:r>
      <w:r w:rsidR="00572C93">
        <w:rPr>
          <w:rStyle w:val="Referencingstyle"/>
        </w:rPr>
        <w:t>, section 29JA</w:t>
      </w:r>
      <w:r w:rsidRPr="00375F1D">
        <w:rPr>
          <w:rStyle w:val="Referencingstyle"/>
        </w:rPr>
        <w:t xml:space="preserve"> of </w:t>
      </w:r>
      <w:r>
        <w:rPr>
          <w:rStyle w:val="Referencingstyle"/>
        </w:rPr>
        <w:t xml:space="preserve">the SIS </w:t>
      </w:r>
      <w:r w:rsidRPr="00375F1D">
        <w:rPr>
          <w:rStyle w:val="Referencingstyle"/>
        </w:rPr>
        <w:t>Act]</w:t>
      </w:r>
    </w:p>
    <w:p w14:paraId="75AA97C1" w14:textId="5F695D59" w:rsidR="001259E6" w:rsidRDefault="001259E6" w:rsidP="000E0295">
      <w:pPr>
        <w:pStyle w:val="base-text-paragraph"/>
      </w:pPr>
      <w:r>
        <w:t>This</w:t>
      </w:r>
      <w:r w:rsidR="00572C93">
        <w:t xml:space="preserve"> application date aligns with the application date of the changes to the Corporations Act breach reporting timeframes made through Financial Services Royal Commission recommendation 2.8. </w:t>
      </w:r>
    </w:p>
    <w:p w14:paraId="7C5AB8E6" w14:textId="77777777" w:rsidR="00057DA8" w:rsidRDefault="00057DA8" w:rsidP="00057DA8">
      <w:pPr>
        <w:pStyle w:val="Heading3"/>
      </w:pPr>
      <w:r>
        <w:t>ASIC Act consumer protections</w:t>
      </w:r>
    </w:p>
    <w:p w14:paraId="6A443B69" w14:textId="4E45DD8A" w:rsidR="007075F0" w:rsidRDefault="007075F0" w:rsidP="007075F0">
      <w:pPr>
        <w:pStyle w:val="base-text-paragraph"/>
      </w:pPr>
      <w:r>
        <w:t xml:space="preserve">As explained above, </w:t>
      </w:r>
      <w:r w:rsidR="003653E0">
        <w:t>the amendments in this Bill create</w:t>
      </w:r>
      <w:r>
        <w:t xml:space="preserve"> a new type of financial service: providing a superannuation trustee service. The amendments require </w:t>
      </w:r>
      <w:r w:rsidR="003D0D73">
        <w:t>every RSE licensee</w:t>
      </w:r>
      <w:r>
        <w:t xml:space="preserve"> to hold an AFSL with an authorisation to provide a</w:t>
      </w:r>
      <w:r w:rsidR="00855859">
        <w:t xml:space="preserve"> superannuation trustee service, by listing that service at section 766A of the </w:t>
      </w:r>
      <w:r w:rsidR="00855859" w:rsidRPr="00375786">
        <w:t>Corporations Act</w:t>
      </w:r>
      <w:r w:rsidR="00855859">
        <w:t>.</w:t>
      </w:r>
      <w:r>
        <w:t xml:space="preserve"> </w:t>
      </w:r>
    </w:p>
    <w:p w14:paraId="5FD72907" w14:textId="4802E78D" w:rsidR="00855859" w:rsidRDefault="00855859" w:rsidP="000E0295">
      <w:pPr>
        <w:pStyle w:val="base-text-paragraph"/>
      </w:pPr>
      <w:r>
        <w:t xml:space="preserve">The Bill also specifies that a person provides a financial service for the purpose of </w:t>
      </w:r>
      <w:r w:rsidR="003E194F">
        <w:t>t</w:t>
      </w:r>
      <w:r>
        <w:t>he ASIC Act</w:t>
      </w:r>
      <w:r w:rsidR="003E194F">
        <w:t xml:space="preserve"> consumer protection provisions</w:t>
      </w:r>
      <w:r>
        <w:t xml:space="preserve"> if they provide a superannuation trustee service.</w:t>
      </w:r>
      <w:r w:rsidR="003E194F">
        <w:t xml:space="preserve"> </w:t>
      </w:r>
      <w:r w:rsidR="003E194F">
        <w:rPr>
          <w:rStyle w:val="Referencingstyle"/>
        </w:rPr>
        <w:t>[Schedule #, item 2</w:t>
      </w:r>
      <w:r w:rsidR="00242E83">
        <w:rPr>
          <w:rStyle w:val="Referencingstyle"/>
        </w:rPr>
        <w:t>9</w:t>
      </w:r>
      <w:r w:rsidR="003E194F">
        <w:rPr>
          <w:rStyle w:val="Referencingstyle"/>
        </w:rPr>
        <w:t>, paragraph 12BAB(1)(</w:t>
      </w:r>
      <w:proofErr w:type="spellStart"/>
      <w:r w:rsidR="003E194F">
        <w:rPr>
          <w:rStyle w:val="Referencingstyle"/>
        </w:rPr>
        <w:t>ea</w:t>
      </w:r>
      <w:proofErr w:type="spellEnd"/>
      <w:r w:rsidR="003E194F">
        <w:rPr>
          <w:rStyle w:val="Referencingstyle"/>
        </w:rPr>
        <w:t>) of the ASIC Act]</w:t>
      </w:r>
    </w:p>
    <w:p w14:paraId="3F7448A4" w14:textId="22F056C9" w:rsidR="00057DA8" w:rsidRPr="003E194F" w:rsidRDefault="00855859" w:rsidP="000E0295">
      <w:pPr>
        <w:pStyle w:val="base-text-paragraph"/>
        <w:rPr>
          <w:rStyle w:val="Referencingstyle"/>
          <w:b w:val="0"/>
          <w:i w:val="0"/>
          <w:sz w:val="22"/>
        </w:rPr>
      </w:pPr>
      <w:r>
        <w:t>Superannuation trustee service has the same meaning here as in Chapter 7 of the Corporations Act – a person provides a superannuation trustee service if they operate an RSE as trustee</w:t>
      </w:r>
      <w:r w:rsidR="00726FAC">
        <w:t xml:space="preserve"> of the entity</w:t>
      </w:r>
      <w:r>
        <w:t>.</w:t>
      </w:r>
      <w:r w:rsidR="003E194F">
        <w:t xml:space="preserve"> </w:t>
      </w:r>
      <w:r w:rsidR="003E194F">
        <w:rPr>
          <w:rStyle w:val="Referencingstyle"/>
        </w:rPr>
        <w:t>[Schedule #, item 2</w:t>
      </w:r>
      <w:r w:rsidR="00242E83">
        <w:rPr>
          <w:rStyle w:val="Referencingstyle"/>
        </w:rPr>
        <w:t>8</w:t>
      </w:r>
      <w:r w:rsidR="003E194F">
        <w:rPr>
          <w:rStyle w:val="Referencingstyle"/>
        </w:rPr>
        <w:t>, the definition of ‘superannuation trustee service’ in subsection 12BA(1) of the ASIC Act]</w:t>
      </w:r>
    </w:p>
    <w:p w14:paraId="08AA4E22" w14:textId="2B62FC5A" w:rsidR="003E194F" w:rsidRPr="008F726E" w:rsidRDefault="00141D7F" w:rsidP="003E194F">
      <w:pPr>
        <w:pStyle w:val="base-text-paragraph"/>
      </w:pPr>
      <w:r>
        <w:t>This ensures the</w:t>
      </w:r>
      <w:r w:rsidR="003E194F">
        <w:t xml:space="preserve"> ASIC Act consumer protection provisions in Division 2 of Part 2 of that Act</w:t>
      </w:r>
      <w:r w:rsidR="00066D86">
        <w:t xml:space="preserve"> </w:t>
      </w:r>
      <w:r>
        <w:t xml:space="preserve">apply to RSE licensees’ conduct in operating a superannuation fund. </w:t>
      </w:r>
      <w:r w:rsidR="00804F88">
        <w:t>These protections</w:t>
      </w:r>
      <w:r w:rsidR="00066D86">
        <w:t xml:space="preserve"> include:</w:t>
      </w:r>
    </w:p>
    <w:p w14:paraId="7BBE35D9" w14:textId="66808D20" w:rsidR="00804F88" w:rsidRDefault="00086217" w:rsidP="00804F88">
      <w:pPr>
        <w:pStyle w:val="dotpoint"/>
      </w:pPr>
      <w:r>
        <w:lastRenderedPageBreak/>
        <w:t>the prohibition on conduct in relation to financial services that is</w:t>
      </w:r>
      <w:r w:rsidR="003D0D73">
        <w:t xml:space="preserve"> or is likely to be</w:t>
      </w:r>
      <w:r>
        <w:t xml:space="preserve"> misleading or deceptive;</w:t>
      </w:r>
    </w:p>
    <w:p w14:paraId="7CFCCFD4" w14:textId="05FDDCAA" w:rsidR="00086217" w:rsidRDefault="00086217" w:rsidP="00804F88">
      <w:pPr>
        <w:pStyle w:val="dotpoint"/>
      </w:pPr>
      <w:r>
        <w:t xml:space="preserve">the prohibition on false or misleading representations in connection with the supply </w:t>
      </w:r>
      <w:r w:rsidR="003D0D73">
        <w:t xml:space="preserve">or possible supply </w:t>
      </w:r>
      <w:r>
        <w:t>of financial services;</w:t>
      </w:r>
    </w:p>
    <w:p w14:paraId="77D4D61D" w14:textId="1C8DE9D2" w:rsidR="00086217" w:rsidRDefault="008C265F" w:rsidP="00804F88">
      <w:pPr>
        <w:pStyle w:val="dotpoint"/>
      </w:pPr>
      <w:r>
        <w:t xml:space="preserve">rules about </w:t>
      </w:r>
      <w:r w:rsidR="00086217">
        <w:t xml:space="preserve">offering rebates, gifts, prizes or other free items in trade or commerce, in the supply or </w:t>
      </w:r>
      <w:r w:rsidR="00011583">
        <w:t xml:space="preserve">possible supply or </w:t>
      </w:r>
      <w:r w:rsidR="00086217">
        <w:t>promotion of financial services;</w:t>
      </w:r>
    </w:p>
    <w:p w14:paraId="374670AF" w14:textId="14B9D9C6" w:rsidR="00824305" w:rsidRDefault="00824305" w:rsidP="00804F88">
      <w:pPr>
        <w:pStyle w:val="dotpoint"/>
      </w:pPr>
      <w:r>
        <w:t>the prohibition on conduct that is liable to mislead the public as to the nature, the characteristics, the suitability for their purpose or the quantity of any financial services;</w:t>
      </w:r>
      <w:r w:rsidR="008C265F">
        <w:t xml:space="preserve"> and</w:t>
      </w:r>
    </w:p>
    <w:p w14:paraId="04D5B2AA" w14:textId="64E3961B" w:rsidR="00086217" w:rsidRDefault="008C265F" w:rsidP="00804F88">
      <w:pPr>
        <w:pStyle w:val="dotpoint"/>
      </w:pPr>
      <w:proofErr w:type="gramStart"/>
      <w:r>
        <w:t>the</w:t>
      </w:r>
      <w:proofErr w:type="gramEnd"/>
      <w:r>
        <w:t xml:space="preserve"> prohibition on </w:t>
      </w:r>
      <w:r w:rsidR="00824305">
        <w:t>accepting payment without intending or being able to supply the financial services paid for</w:t>
      </w:r>
      <w:r>
        <w:t>.</w:t>
      </w:r>
      <w:r w:rsidR="00824305">
        <w:t xml:space="preserve"> </w:t>
      </w:r>
      <w:r w:rsidR="00086217">
        <w:t xml:space="preserve"> </w:t>
      </w:r>
    </w:p>
    <w:p w14:paraId="48019B7E" w14:textId="4FF18138" w:rsidR="00ED5B78" w:rsidRDefault="00804F88" w:rsidP="00804F88">
      <w:pPr>
        <w:pStyle w:val="base-text-paragraph"/>
      </w:pPr>
      <w:r>
        <w:t xml:space="preserve">It is important that ASIC </w:t>
      </w:r>
      <w:r w:rsidR="00086217">
        <w:t xml:space="preserve">has clear powers </w:t>
      </w:r>
      <w:r>
        <w:t xml:space="preserve">to take action to protect consumers from </w:t>
      </w:r>
      <w:r w:rsidR="00086217">
        <w:t xml:space="preserve">these </w:t>
      </w:r>
      <w:r>
        <w:t xml:space="preserve">practices, whatever the type of activity in question. </w:t>
      </w:r>
    </w:p>
    <w:p w14:paraId="2ECE78F8" w14:textId="21B83A4B" w:rsidR="00804F88" w:rsidRDefault="00ED5B78" w:rsidP="00804F88">
      <w:pPr>
        <w:pStyle w:val="base-text-paragraph"/>
      </w:pPr>
      <w:r>
        <w:t>In a superannuation context, these provisions are intended to apply to protect past</w:t>
      </w:r>
      <w:r w:rsidR="00726FAC">
        <w:t xml:space="preserve"> and</w:t>
      </w:r>
      <w:r>
        <w:t xml:space="preserve"> present members</w:t>
      </w:r>
      <w:r w:rsidR="00726FAC">
        <w:t xml:space="preserve"> </w:t>
      </w:r>
      <w:r>
        <w:t xml:space="preserve">and </w:t>
      </w:r>
      <w:r w:rsidR="00726FAC">
        <w:t>consumers who may become new members</w:t>
      </w:r>
      <w:r>
        <w:t xml:space="preserve">. For example, the accuracy of representations made in advertisements is relevant to the interests of </w:t>
      </w:r>
      <w:r w:rsidR="00726FAC">
        <w:t>consumers who may become</w:t>
      </w:r>
      <w:r>
        <w:t xml:space="preserve"> members.</w:t>
      </w:r>
    </w:p>
    <w:p w14:paraId="4B4D53FE" w14:textId="18B7210C" w:rsidR="00DD20EA" w:rsidRDefault="00DD20EA" w:rsidP="00833C2C">
      <w:pPr>
        <w:pStyle w:val="base-text-paragraph"/>
      </w:pPr>
      <w:r>
        <w:t>Certain provisions in the ASIC Act apply in respect of the ‘supply’ of a financial service to a person, rather than to the provision of that service. These provisions apply in respect of the new superannuation trustee service to the extent that the service is supplied to a person (which will in turn depend on conduct that constitutes the provision of the service in a particular case and the context in which it is provided).</w:t>
      </w:r>
    </w:p>
    <w:p w14:paraId="32D0682B" w14:textId="66E294B5" w:rsidR="00066D86" w:rsidRDefault="00066D86" w:rsidP="00066D86">
      <w:pPr>
        <w:pStyle w:val="Heading4"/>
      </w:pPr>
      <w:r>
        <w:t xml:space="preserve">Court to consider impact of penalties on </w:t>
      </w:r>
      <w:r w:rsidR="00011583">
        <w:t>beneficiaries</w:t>
      </w:r>
    </w:p>
    <w:p w14:paraId="0038FFAF" w14:textId="75A2E066" w:rsidR="00066D86" w:rsidRDefault="00066D86" w:rsidP="00066D86">
      <w:pPr>
        <w:pStyle w:val="base-text-paragraph"/>
      </w:pPr>
      <w:r>
        <w:t xml:space="preserve">The Bill also introduces requirements equivalent to those explained </w:t>
      </w:r>
      <w:r w:rsidR="00CB50B8">
        <w:t xml:space="preserve">above </w:t>
      </w:r>
      <w:r>
        <w:t xml:space="preserve">for contraventions of the ASIC Act consumer protections. When considering the imposition of a fine for an offence committed by </w:t>
      </w:r>
      <w:r w:rsidR="00011583">
        <w:t xml:space="preserve">a trustee of </w:t>
      </w:r>
      <w:r>
        <w:t xml:space="preserve">an RSE, or a pecuniary penalty for a contravention of a civil penalty provision, the court must take into account the impact the fine or penalty would have on the beneficiaries of the RSE. </w:t>
      </w:r>
      <w:r>
        <w:rPr>
          <w:rStyle w:val="Referencingstyle"/>
        </w:rPr>
        <w:t xml:space="preserve">[Schedule #, items </w:t>
      </w:r>
      <w:r w:rsidR="0015767B">
        <w:rPr>
          <w:rStyle w:val="Referencingstyle"/>
        </w:rPr>
        <w:t>30</w:t>
      </w:r>
      <w:r>
        <w:rPr>
          <w:rStyle w:val="Referencingstyle"/>
        </w:rPr>
        <w:t xml:space="preserve">, </w:t>
      </w:r>
      <w:r w:rsidR="0015767B">
        <w:rPr>
          <w:rStyle w:val="Referencingstyle"/>
        </w:rPr>
        <w:t>31</w:t>
      </w:r>
      <w:r>
        <w:rPr>
          <w:rStyle w:val="Referencingstyle"/>
        </w:rPr>
        <w:t xml:space="preserve"> and 3</w:t>
      </w:r>
      <w:r w:rsidR="0015767B">
        <w:rPr>
          <w:rStyle w:val="Referencingstyle"/>
        </w:rPr>
        <w:t>2</w:t>
      </w:r>
      <w:r>
        <w:rPr>
          <w:rStyle w:val="Referencingstyle"/>
        </w:rPr>
        <w:t xml:space="preserve">, section </w:t>
      </w:r>
      <w:r w:rsidR="00EF2D37">
        <w:rPr>
          <w:rStyle w:val="Referencingstyle"/>
        </w:rPr>
        <w:t xml:space="preserve">93C </w:t>
      </w:r>
      <w:r>
        <w:rPr>
          <w:rStyle w:val="Referencingstyle"/>
        </w:rPr>
        <w:t>and paragraph 1</w:t>
      </w:r>
      <w:r w:rsidR="00EF2D37">
        <w:rPr>
          <w:rStyle w:val="Referencingstyle"/>
        </w:rPr>
        <w:t>2GBB</w:t>
      </w:r>
      <w:r>
        <w:rPr>
          <w:rStyle w:val="Referencingstyle"/>
        </w:rPr>
        <w:t>(</w:t>
      </w:r>
      <w:r w:rsidR="00EF2D37">
        <w:rPr>
          <w:rStyle w:val="Referencingstyle"/>
        </w:rPr>
        <w:t>5</w:t>
      </w:r>
      <w:r>
        <w:rPr>
          <w:rStyle w:val="Referencingstyle"/>
        </w:rPr>
        <w:t xml:space="preserve">)(e) </w:t>
      </w:r>
      <w:r w:rsidR="00EF2D37">
        <w:rPr>
          <w:rStyle w:val="Referencingstyle"/>
        </w:rPr>
        <w:t>of the ASIC Act</w:t>
      </w:r>
      <w:r>
        <w:rPr>
          <w:rStyle w:val="Referencingstyle"/>
        </w:rPr>
        <w:t>]</w:t>
      </w:r>
    </w:p>
    <w:p w14:paraId="6B139A83" w14:textId="77777777" w:rsidR="00057DA8" w:rsidRDefault="00057DA8" w:rsidP="00057DA8">
      <w:pPr>
        <w:pStyle w:val="Heading2"/>
      </w:pPr>
      <w:r>
        <w:lastRenderedPageBreak/>
        <w:t>Consequential amendments</w:t>
      </w:r>
    </w:p>
    <w:p w14:paraId="71E42C44" w14:textId="1BE8C69B" w:rsidR="00AF36A7" w:rsidRDefault="00AF36A7" w:rsidP="0007562E">
      <w:pPr>
        <w:pStyle w:val="Heading4"/>
      </w:pPr>
      <w:r>
        <w:t>Retail and wholesale clients</w:t>
      </w:r>
    </w:p>
    <w:p w14:paraId="4C17D6C4" w14:textId="111218F5" w:rsidR="00AF36A7" w:rsidRDefault="00930995" w:rsidP="000E0295">
      <w:pPr>
        <w:pStyle w:val="base-text-paragraph"/>
      </w:pPr>
      <w:r>
        <w:t>A consequential amendment is</w:t>
      </w:r>
      <w:r w:rsidR="00AF36A7">
        <w:t xml:space="preserve"> made to </w:t>
      </w:r>
      <w:r w:rsidR="00646231">
        <w:t xml:space="preserve">exclude the new financial service – providing a superannuation trustee service – from the rules governing who is a retail client that apply to financial products and services other than those in the superannuation, general insurance and traditional trustee company service categories. </w:t>
      </w:r>
      <w:r w:rsidR="00646231">
        <w:rPr>
          <w:rStyle w:val="Referencingstyle"/>
        </w:rPr>
        <w:t xml:space="preserve">[Schedule #, item </w:t>
      </w:r>
      <w:r w:rsidR="005D2FF3">
        <w:rPr>
          <w:rStyle w:val="Referencingstyle"/>
        </w:rPr>
        <w:t>39</w:t>
      </w:r>
      <w:r w:rsidR="00646231">
        <w:rPr>
          <w:rStyle w:val="Referencingstyle"/>
        </w:rPr>
        <w:t>, subsection 761G(7) of the Corporations Act]</w:t>
      </w:r>
      <w:r w:rsidR="00646231">
        <w:t xml:space="preserve"> </w:t>
      </w:r>
    </w:p>
    <w:p w14:paraId="07FB56DA" w14:textId="5FC283AB" w:rsidR="00646231" w:rsidRDefault="007C6726" w:rsidP="000E0295">
      <w:pPr>
        <w:pStyle w:val="base-text-paragraph"/>
      </w:pPr>
      <w:r>
        <w:t xml:space="preserve">Similarly, a consequential amendment is made to exclude the provision of a superannuation trustee service from a mechanism permitting </w:t>
      </w:r>
      <w:r w:rsidR="00CE16BB">
        <w:t xml:space="preserve">sophisticated investors </w:t>
      </w:r>
      <w:r>
        <w:t xml:space="preserve">to be </w:t>
      </w:r>
      <w:r w:rsidR="00CE16BB">
        <w:t>treated as wholesale clients if they satisfy a licensee of certain matters</w:t>
      </w:r>
      <w:r>
        <w:t xml:space="preserve">. This </w:t>
      </w:r>
      <w:r w:rsidR="00CE16BB">
        <w:t>is consistent with the existing exclusion of superannuation products from that mechanism</w:t>
      </w:r>
      <w:r>
        <w:t xml:space="preserve">. </w:t>
      </w:r>
      <w:r w:rsidR="00CE16BB">
        <w:rPr>
          <w:rStyle w:val="Referencingstyle"/>
        </w:rPr>
        <w:t xml:space="preserve">[Schedule #, item </w:t>
      </w:r>
      <w:r w:rsidR="0015767B">
        <w:rPr>
          <w:rStyle w:val="Referencingstyle"/>
        </w:rPr>
        <w:t>4</w:t>
      </w:r>
      <w:r w:rsidR="005D2FF3">
        <w:rPr>
          <w:rStyle w:val="Referencingstyle"/>
        </w:rPr>
        <w:t>0</w:t>
      </w:r>
      <w:r w:rsidR="00CE16BB">
        <w:rPr>
          <w:rStyle w:val="Referencingstyle"/>
        </w:rPr>
        <w:t>, section 761GA of the Corporations Act]</w:t>
      </w:r>
    </w:p>
    <w:p w14:paraId="6035351C" w14:textId="26D0985B" w:rsidR="00646231" w:rsidRDefault="00646231" w:rsidP="000E0295">
      <w:pPr>
        <w:pStyle w:val="base-text-paragraph"/>
      </w:pPr>
      <w:r>
        <w:t xml:space="preserve">The Bill amends the heading for subsection </w:t>
      </w:r>
      <w:proofErr w:type="gramStart"/>
      <w:r>
        <w:t>761G(</w:t>
      </w:r>
      <w:proofErr w:type="gramEnd"/>
      <w:r>
        <w:t xml:space="preserve">6) of the </w:t>
      </w:r>
      <w:r w:rsidRPr="00534058">
        <w:t xml:space="preserve">Corporations Act </w:t>
      </w:r>
      <w:r>
        <w:t xml:space="preserve">to better reflect its coverage of financial services, as well as financial products. </w:t>
      </w:r>
      <w:r>
        <w:rPr>
          <w:rStyle w:val="Referencingstyle"/>
        </w:rPr>
        <w:t>[Schedule #, item 3</w:t>
      </w:r>
      <w:r w:rsidR="005D2FF3">
        <w:rPr>
          <w:rStyle w:val="Referencingstyle"/>
        </w:rPr>
        <w:t>7</w:t>
      </w:r>
      <w:r>
        <w:rPr>
          <w:rStyle w:val="Referencingstyle"/>
        </w:rPr>
        <w:t>, subsection 761G(6) of the Corporations Act]</w:t>
      </w:r>
    </w:p>
    <w:p w14:paraId="2BC6E37D" w14:textId="24DF1A36" w:rsidR="0007562E" w:rsidRDefault="0007562E" w:rsidP="0007562E">
      <w:pPr>
        <w:pStyle w:val="Heading4"/>
      </w:pPr>
      <w:r>
        <w:t>Financial Services Guides</w:t>
      </w:r>
    </w:p>
    <w:p w14:paraId="6A1B72BF" w14:textId="700A6264" w:rsidR="00057DA8" w:rsidRPr="004637F0" w:rsidRDefault="00057DA8" w:rsidP="000E0295">
      <w:pPr>
        <w:pStyle w:val="base-text-paragraph"/>
        <w:rPr>
          <w:rStyle w:val="Referencingstyle"/>
          <w:b w:val="0"/>
          <w:i w:val="0"/>
          <w:sz w:val="22"/>
        </w:rPr>
      </w:pPr>
      <w:bookmarkStart w:id="16" w:name="_Ref29810269"/>
      <w:r>
        <w:t>The Bill does not require an RSE licensee to provide a Financial Services Guide merely because it provides a superannuation trustee service.</w:t>
      </w:r>
      <w:r w:rsidR="00A55EE2">
        <w:t xml:space="preserve"> This effectively preserves the current requirements about Financial Services Guides, as they apply to superannuation trustees.</w:t>
      </w:r>
      <w:r>
        <w:t xml:space="preserve"> </w:t>
      </w:r>
      <w:r>
        <w:rPr>
          <w:rStyle w:val="Referencingstyle"/>
        </w:rPr>
        <w:t xml:space="preserve">[Schedule #, </w:t>
      </w:r>
      <w:r w:rsidR="000D085C">
        <w:rPr>
          <w:rStyle w:val="Referencingstyle"/>
        </w:rPr>
        <w:t>item 5</w:t>
      </w:r>
      <w:r w:rsidR="005D2FF3">
        <w:rPr>
          <w:rStyle w:val="Referencingstyle"/>
        </w:rPr>
        <w:t>5</w:t>
      </w:r>
      <w:r w:rsidR="000D085C">
        <w:rPr>
          <w:rStyle w:val="Referencingstyle"/>
        </w:rPr>
        <w:t>,</w:t>
      </w:r>
      <w:r>
        <w:rPr>
          <w:rStyle w:val="Referencingstyle"/>
        </w:rPr>
        <w:t xml:space="preserve"> subsection 941C(3B)</w:t>
      </w:r>
      <w:r w:rsidR="00D24615">
        <w:rPr>
          <w:rStyle w:val="Referencingstyle"/>
        </w:rPr>
        <w:t xml:space="preserve"> of the Corporations Act</w:t>
      </w:r>
      <w:r>
        <w:rPr>
          <w:rStyle w:val="Referencingstyle"/>
        </w:rPr>
        <w:t>]</w:t>
      </w:r>
      <w:bookmarkEnd w:id="16"/>
    </w:p>
    <w:p w14:paraId="468B38FB" w14:textId="77BEE5A7" w:rsidR="00BC785F" w:rsidRDefault="008708F0" w:rsidP="00CF279F">
      <w:pPr>
        <w:pStyle w:val="base-text-paragraph"/>
        <w:rPr>
          <w:rStyle w:val="Referencingstyle"/>
          <w:b w:val="0"/>
          <w:i w:val="0"/>
          <w:sz w:val="22"/>
        </w:rPr>
      </w:pPr>
      <w:r>
        <w:rPr>
          <w:rStyle w:val="Referencingstyle"/>
          <w:b w:val="0"/>
          <w:i w:val="0"/>
          <w:sz w:val="22"/>
        </w:rPr>
        <w:t xml:space="preserve">However, an obligation to give a Financial Services Guide may arise because of another financial service provided by the trustee as part of the operation of the entity, such as the provision of financial product advice. The superannuation trustee service would then form part of the authorised services referred to in paragraph </w:t>
      </w:r>
      <w:proofErr w:type="gramStart"/>
      <w:r>
        <w:rPr>
          <w:rStyle w:val="Referencingstyle"/>
          <w:b w:val="0"/>
          <w:i w:val="0"/>
          <w:sz w:val="22"/>
        </w:rPr>
        <w:t>942B(</w:t>
      </w:r>
      <w:proofErr w:type="gramEnd"/>
      <w:r>
        <w:rPr>
          <w:rStyle w:val="Referencingstyle"/>
          <w:b w:val="0"/>
          <w:i w:val="0"/>
          <w:sz w:val="22"/>
        </w:rPr>
        <w:t>2)(c) of the Corporations Act</w:t>
      </w:r>
      <w:r w:rsidR="00BC785F">
        <w:rPr>
          <w:rStyle w:val="Referencingstyle"/>
          <w:b w:val="0"/>
          <w:i w:val="0"/>
          <w:sz w:val="22"/>
        </w:rPr>
        <w:t>.</w:t>
      </w:r>
    </w:p>
    <w:p w14:paraId="314C3882" w14:textId="0775903E" w:rsidR="004637F0" w:rsidRDefault="008708F0" w:rsidP="000E0295">
      <w:pPr>
        <w:pStyle w:val="base-text-paragraph"/>
        <w:rPr>
          <w:rStyle w:val="Referencingstyle"/>
          <w:b w:val="0"/>
          <w:i w:val="0"/>
          <w:sz w:val="22"/>
        </w:rPr>
      </w:pPr>
      <w:r>
        <w:rPr>
          <w:rStyle w:val="Referencingstyle"/>
          <w:b w:val="0"/>
          <w:i w:val="0"/>
          <w:sz w:val="22"/>
        </w:rPr>
        <w:t xml:space="preserve">That is, the </w:t>
      </w:r>
      <w:r w:rsidR="008C6CFC">
        <w:rPr>
          <w:rStyle w:val="Referencingstyle"/>
          <w:b w:val="0"/>
          <w:i w:val="0"/>
          <w:sz w:val="22"/>
        </w:rPr>
        <w:t>relief provided by this consequential amendment</w:t>
      </w:r>
      <w:r>
        <w:rPr>
          <w:rStyle w:val="Referencingstyle"/>
          <w:b w:val="0"/>
          <w:i w:val="0"/>
          <w:sz w:val="22"/>
        </w:rPr>
        <w:t xml:space="preserve"> does not extend to other financial services that may require a trustee to provide a Financial Services Guide. Trustees may separately be relieved of the requirement to provide a Financial Services Guide in relation to such other services by existing exemptions (for example, if they provide the relevant information through a Product Disclosure Statement)</w:t>
      </w:r>
      <w:r w:rsidR="004637F0">
        <w:rPr>
          <w:rStyle w:val="Referencingstyle"/>
          <w:b w:val="0"/>
          <w:i w:val="0"/>
          <w:sz w:val="22"/>
        </w:rPr>
        <w:t>.</w:t>
      </w:r>
    </w:p>
    <w:p w14:paraId="73EF2C81" w14:textId="77777777" w:rsidR="003B233B" w:rsidRDefault="003B233B" w:rsidP="003B233B">
      <w:pPr>
        <w:pStyle w:val="Heading4"/>
      </w:pPr>
      <w:r>
        <w:t>RSE licence conditions and APRA prudential standards</w:t>
      </w:r>
    </w:p>
    <w:p w14:paraId="398B4980" w14:textId="77777777" w:rsidR="003B233B" w:rsidRDefault="003B233B" w:rsidP="003B233B">
      <w:pPr>
        <w:pStyle w:val="base-text-paragraph"/>
      </w:pPr>
      <w:r>
        <w:t xml:space="preserve">APRA has an existing power to impose additional conditions on individual RSE licences, and such conditions may be expressed to have effect despite anything in APRA’s prudential standards. </w:t>
      </w:r>
    </w:p>
    <w:p w14:paraId="2F8F7810" w14:textId="5C37E3CC" w:rsidR="003B233B" w:rsidRDefault="003B233B" w:rsidP="003B233B">
      <w:pPr>
        <w:pStyle w:val="base-text-paragraph"/>
      </w:pPr>
      <w:r>
        <w:lastRenderedPageBreak/>
        <w:t xml:space="preserve">The Bill amends the SIS Act to clarify that in the event of inconsistency between an RSE licence condition imposed by APRA and a provision of the prudential standards, the licence condition prevails in determining, for the purposes of any law of the Commonwealth, whether the RSE licensee has complied with its obligations under the prudential standards. </w:t>
      </w:r>
      <w:r w:rsidR="0015767B">
        <w:rPr>
          <w:rStyle w:val="Referencingstyle"/>
        </w:rPr>
        <w:t>[Schedule #, item 6</w:t>
      </w:r>
      <w:r w:rsidR="005D2FF3">
        <w:rPr>
          <w:rStyle w:val="Referencingstyle"/>
        </w:rPr>
        <w:t>1</w:t>
      </w:r>
      <w:r>
        <w:rPr>
          <w:rStyle w:val="Referencingstyle"/>
        </w:rPr>
        <w:t>, subsection 29EA(2B) of the SIS Act]</w:t>
      </w:r>
    </w:p>
    <w:p w14:paraId="2DFDB902" w14:textId="489F8E63" w:rsidR="003B233B" w:rsidRDefault="003B233B" w:rsidP="003B233B">
      <w:pPr>
        <w:pStyle w:val="base-text-paragraph"/>
      </w:pPr>
      <w:r>
        <w:t xml:space="preserve">This is intended to resolve any uncertainty that may arise in the context of RSE licensees’ obligations to comply with the </w:t>
      </w:r>
      <w:r w:rsidRPr="003B233B">
        <w:rPr>
          <w:b/>
          <w:i/>
        </w:rPr>
        <w:t>RSE licensee law</w:t>
      </w:r>
      <w:r>
        <w:t xml:space="preserve">, within the meaning of the SIS Act, and with the </w:t>
      </w:r>
      <w:r w:rsidRPr="003B233B">
        <w:rPr>
          <w:b/>
          <w:i/>
        </w:rPr>
        <w:t>financial services law</w:t>
      </w:r>
      <w:r>
        <w:t xml:space="preserve">, within the meaning of the </w:t>
      </w:r>
      <w:r w:rsidRPr="00375786">
        <w:t>Corporations Act</w:t>
      </w:r>
      <w:r>
        <w:t>.</w:t>
      </w:r>
    </w:p>
    <w:p w14:paraId="72BFF7B4" w14:textId="4C8C4A2A" w:rsidR="0007562E" w:rsidRDefault="0007562E" w:rsidP="0007562E">
      <w:pPr>
        <w:pStyle w:val="Heading4"/>
      </w:pPr>
      <w:r>
        <w:t>Definitions</w:t>
      </w:r>
    </w:p>
    <w:p w14:paraId="387CBFDE" w14:textId="0A456877" w:rsidR="00622BC4" w:rsidRDefault="00622BC4" w:rsidP="000E0295">
      <w:pPr>
        <w:pStyle w:val="base-text-paragraph"/>
      </w:pPr>
      <w:r>
        <w:t xml:space="preserve">The term </w:t>
      </w:r>
      <w:r>
        <w:rPr>
          <w:b/>
          <w:i/>
        </w:rPr>
        <w:t>superannuation trustee service</w:t>
      </w:r>
      <w:r>
        <w:t xml:space="preserve"> is inserted into the definition section of </w:t>
      </w:r>
      <w:r w:rsidR="008E5EEA">
        <w:t xml:space="preserve">Chapter 7 of </w:t>
      </w:r>
      <w:r>
        <w:t xml:space="preserve">the </w:t>
      </w:r>
      <w:r w:rsidRPr="00375786">
        <w:t>Corporations Act</w:t>
      </w:r>
      <w:r>
        <w:rPr>
          <w:i/>
        </w:rPr>
        <w:t xml:space="preserve"> </w:t>
      </w:r>
      <w:r w:rsidR="005852B5">
        <w:t xml:space="preserve">and the definition section of Division 2 of Part 2 of the ASIC Act. The term </w:t>
      </w:r>
      <w:r w:rsidR="005852B5">
        <w:rPr>
          <w:b/>
          <w:i/>
        </w:rPr>
        <w:t>registrable superannuation entity</w:t>
      </w:r>
      <w:r w:rsidR="005852B5">
        <w:t xml:space="preserve"> is also inserted into the definition section of Division 2 of Part 2 of the ASIC Act.</w:t>
      </w:r>
      <w:r w:rsidR="008E5EEA">
        <w:t xml:space="preserve"> </w:t>
      </w:r>
      <w:r w:rsidR="008E5EEA">
        <w:rPr>
          <w:rStyle w:val="Referencingstyle"/>
        </w:rPr>
        <w:t xml:space="preserve">[Schedule #, </w:t>
      </w:r>
      <w:r w:rsidR="0015767B">
        <w:rPr>
          <w:rStyle w:val="Referencingstyle"/>
        </w:rPr>
        <w:t>items 2</w:t>
      </w:r>
      <w:r w:rsidR="000F0F3C">
        <w:rPr>
          <w:rStyle w:val="Referencingstyle"/>
        </w:rPr>
        <w:t>8</w:t>
      </w:r>
      <w:r w:rsidR="0015767B">
        <w:rPr>
          <w:rStyle w:val="Referencingstyle"/>
        </w:rPr>
        <w:t xml:space="preserve"> </w:t>
      </w:r>
      <w:r w:rsidR="00FC067F">
        <w:rPr>
          <w:rStyle w:val="Referencingstyle"/>
        </w:rPr>
        <w:t>and 3</w:t>
      </w:r>
      <w:r w:rsidR="005D2FF3">
        <w:rPr>
          <w:rStyle w:val="Referencingstyle"/>
        </w:rPr>
        <w:t>5</w:t>
      </w:r>
      <w:r w:rsidR="00FC067F">
        <w:rPr>
          <w:rStyle w:val="Referencingstyle"/>
        </w:rPr>
        <w:t xml:space="preserve">, </w:t>
      </w:r>
      <w:r w:rsidR="008E5EEA">
        <w:rPr>
          <w:rStyle w:val="Referencingstyle"/>
        </w:rPr>
        <w:t xml:space="preserve">subsection 12BA(1) of the ASIC Act and section 761A of the Corporations Act] </w:t>
      </w:r>
      <w:r w:rsidR="005852B5">
        <w:t xml:space="preserve"> </w:t>
      </w:r>
    </w:p>
    <w:p w14:paraId="03D5DB76" w14:textId="71E53025" w:rsidR="00D24615" w:rsidRPr="001C0D15" w:rsidRDefault="00622BC4" w:rsidP="000E0295">
      <w:pPr>
        <w:pStyle w:val="base-text-paragraph"/>
        <w:rPr>
          <w:rStyle w:val="Referencingstyle"/>
          <w:b w:val="0"/>
          <w:i w:val="0"/>
          <w:sz w:val="22"/>
        </w:rPr>
      </w:pPr>
      <w:r>
        <w:rPr>
          <w:rStyle w:val="Referencingstyle"/>
          <w:b w:val="0"/>
          <w:i w:val="0"/>
          <w:sz w:val="22"/>
        </w:rPr>
        <w:t xml:space="preserve">The definition of </w:t>
      </w:r>
      <w:r w:rsidR="00D24615" w:rsidRPr="00622BC4">
        <w:rPr>
          <w:rStyle w:val="Referencingstyle"/>
          <w:sz w:val="22"/>
        </w:rPr>
        <w:t>registrable superannua</w:t>
      </w:r>
      <w:r w:rsidRPr="00622BC4">
        <w:rPr>
          <w:rStyle w:val="Referencingstyle"/>
          <w:sz w:val="22"/>
        </w:rPr>
        <w:t>tion entity</w:t>
      </w:r>
      <w:r w:rsidR="00D24615">
        <w:rPr>
          <w:rStyle w:val="Referencingstyle"/>
          <w:b w:val="0"/>
          <w:i w:val="0"/>
          <w:sz w:val="22"/>
        </w:rPr>
        <w:t xml:space="preserve"> in section </w:t>
      </w:r>
      <w:r w:rsidR="00700754">
        <w:rPr>
          <w:rStyle w:val="Referencingstyle"/>
          <w:b w:val="0"/>
          <w:i w:val="0"/>
          <w:sz w:val="22"/>
        </w:rPr>
        <w:t>761A</w:t>
      </w:r>
      <w:r w:rsidR="00D24615">
        <w:rPr>
          <w:rStyle w:val="Referencingstyle"/>
          <w:b w:val="0"/>
          <w:i w:val="0"/>
          <w:sz w:val="22"/>
        </w:rPr>
        <w:t xml:space="preserve"> of the </w:t>
      </w:r>
      <w:r w:rsidR="00D24615" w:rsidRPr="00534058">
        <w:rPr>
          <w:rStyle w:val="Referencingstyle"/>
          <w:b w:val="0"/>
          <w:i w:val="0"/>
          <w:sz w:val="22"/>
        </w:rPr>
        <w:t>Corporations Act</w:t>
      </w:r>
      <w:r w:rsidR="00D24615">
        <w:rPr>
          <w:rStyle w:val="Referencingstyle"/>
          <w:b w:val="0"/>
          <w:sz w:val="22"/>
        </w:rPr>
        <w:t xml:space="preserve"> </w:t>
      </w:r>
      <w:r w:rsidR="00D24615">
        <w:rPr>
          <w:rStyle w:val="Referencingstyle"/>
          <w:b w:val="0"/>
          <w:i w:val="0"/>
          <w:sz w:val="22"/>
        </w:rPr>
        <w:t xml:space="preserve">is </w:t>
      </w:r>
      <w:r w:rsidR="00700754">
        <w:rPr>
          <w:rStyle w:val="Referencingstyle"/>
          <w:b w:val="0"/>
          <w:i w:val="0"/>
          <w:sz w:val="22"/>
        </w:rPr>
        <w:t xml:space="preserve">relocated to section 9 so that </w:t>
      </w:r>
      <w:r w:rsidR="00D24615">
        <w:rPr>
          <w:rStyle w:val="Referencingstyle"/>
          <w:b w:val="0"/>
          <w:i w:val="0"/>
          <w:sz w:val="22"/>
        </w:rPr>
        <w:t xml:space="preserve">it </w:t>
      </w:r>
      <w:r w:rsidR="00700754">
        <w:rPr>
          <w:rStyle w:val="Referencingstyle"/>
          <w:b w:val="0"/>
          <w:i w:val="0"/>
          <w:sz w:val="22"/>
        </w:rPr>
        <w:t xml:space="preserve">applies across that Act. An identical </w:t>
      </w:r>
      <w:r w:rsidR="00D24615">
        <w:rPr>
          <w:rStyle w:val="Referencingstyle"/>
          <w:b w:val="0"/>
          <w:i w:val="0"/>
          <w:sz w:val="22"/>
        </w:rPr>
        <w:t xml:space="preserve">definition in section </w:t>
      </w:r>
      <w:r w:rsidR="00700754">
        <w:rPr>
          <w:rStyle w:val="Referencingstyle"/>
          <w:b w:val="0"/>
          <w:i w:val="0"/>
          <w:sz w:val="22"/>
        </w:rPr>
        <w:t xml:space="preserve">960 </w:t>
      </w:r>
      <w:r w:rsidR="00D24615">
        <w:rPr>
          <w:rStyle w:val="Referencingstyle"/>
          <w:b w:val="0"/>
          <w:i w:val="0"/>
          <w:sz w:val="22"/>
        </w:rPr>
        <w:t>is repealed.</w:t>
      </w:r>
      <w:r w:rsidR="00D7733E">
        <w:rPr>
          <w:rStyle w:val="Referencingstyle"/>
          <w:b w:val="0"/>
          <w:i w:val="0"/>
          <w:sz w:val="22"/>
        </w:rPr>
        <w:t xml:space="preserve"> </w:t>
      </w:r>
      <w:r w:rsidR="00D7733E">
        <w:rPr>
          <w:rStyle w:val="Referencingstyle"/>
        </w:rPr>
        <w:t xml:space="preserve">[Schedule #, </w:t>
      </w:r>
      <w:r w:rsidR="00FC067F">
        <w:rPr>
          <w:rStyle w:val="Referencingstyle"/>
        </w:rPr>
        <w:t>items 3</w:t>
      </w:r>
      <w:r w:rsidR="005D2FF3">
        <w:rPr>
          <w:rStyle w:val="Referencingstyle"/>
        </w:rPr>
        <w:t>3</w:t>
      </w:r>
      <w:r w:rsidR="00FC067F">
        <w:rPr>
          <w:rStyle w:val="Referencingstyle"/>
        </w:rPr>
        <w:t>, 3</w:t>
      </w:r>
      <w:r w:rsidR="005D2FF3">
        <w:rPr>
          <w:rStyle w:val="Referencingstyle"/>
        </w:rPr>
        <w:t>4</w:t>
      </w:r>
      <w:r w:rsidR="00FC067F">
        <w:rPr>
          <w:rStyle w:val="Referencingstyle"/>
        </w:rPr>
        <w:t xml:space="preserve"> and 5</w:t>
      </w:r>
      <w:r w:rsidR="005D2FF3">
        <w:rPr>
          <w:rStyle w:val="Referencingstyle"/>
        </w:rPr>
        <w:t>6</w:t>
      </w:r>
      <w:r w:rsidR="00FC067F">
        <w:rPr>
          <w:rStyle w:val="Referencingstyle"/>
        </w:rPr>
        <w:t>,</w:t>
      </w:r>
      <w:r w:rsidR="00D7733E">
        <w:rPr>
          <w:rStyle w:val="Referencingstyle"/>
        </w:rPr>
        <w:t xml:space="preserve"> section</w:t>
      </w:r>
      <w:r w:rsidR="00700754">
        <w:rPr>
          <w:rStyle w:val="Referencingstyle"/>
        </w:rPr>
        <w:t>s</w:t>
      </w:r>
      <w:r w:rsidR="0022349B">
        <w:rPr>
          <w:rStyle w:val="Referencingstyle"/>
        </w:rPr>
        <w:t xml:space="preserve"> 9,</w:t>
      </w:r>
      <w:r w:rsidR="00700754">
        <w:rPr>
          <w:rStyle w:val="Referencingstyle"/>
        </w:rPr>
        <w:t xml:space="preserve"> 761A and</w:t>
      </w:r>
      <w:r w:rsidR="00D7733E">
        <w:rPr>
          <w:rStyle w:val="Referencingstyle"/>
        </w:rPr>
        <w:t xml:space="preserve"> 960 of the Corporations Act]</w:t>
      </w:r>
    </w:p>
    <w:p w14:paraId="0E6BA9E0" w14:textId="620F815D" w:rsidR="00220A42" w:rsidRDefault="00506B4F" w:rsidP="000E0295">
      <w:pPr>
        <w:pStyle w:val="base-text-paragraph"/>
      </w:pPr>
      <w:r>
        <w:t xml:space="preserve">The </w:t>
      </w:r>
      <w:r w:rsidR="00FC067F">
        <w:t xml:space="preserve">definition of </w:t>
      </w:r>
      <w:r>
        <w:rPr>
          <w:b/>
          <w:i/>
        </w:rPr>
        <w:t>RSE licensee</w:t>
      </w:r>
      <w:r>
        <w:t xml:space="preserve"> i</w:t>
      </w:r>
      <w:r w:rsidR="00FC067F">
        <w:t xml:space="preserve">n section 960 of the </w:t>
      </w:r>
      <w:r w:rsidR="00FC067F" w:rsidRPr="00534058">
        <w:t>Corporations Act</w:t>
      </w:r>
      <w:r w:rsidR="00FC067F">
        <w:t xml:space="preserve"> is relocated to section 9 so that it applies across that Act</w:t>
      </w:r>
      <w:r w:rsidR="002F29B1">
        <w:t>. T</w:t>
      </w:r>
      <w:r>
        <w:t xml:space="preserve">he term </w:t>
      </w:r>
      <w:r>
        <w:rPr>
          <w:b/>
          <w:i/>
        </w:rPr>
        <w:t>RSE licence</w:t>
      </w:r>
      <w:r>
        <w:t xml:space="preserve"> is inserted into the definition section of Chapter 7</w:t>
      </w:r>
      <w:r w:rsidR="00C1505E">
        <w:t xml:space="preserve"> and </w:t>
      </w:r>
      <w:r w:rsidR="00D43DD8">
        <w:t>its</w:t>
      </w:r>
      <w:r w:rsidR="00C1505E">
        <w:t xml:space="preserve"> </w:t>
      </w:r>
      <w:r w:rsidR="00D43DD8">
        <w:t xml:space="preserve">definition of </w:t>
      </w:r>
      <w:r w:rsidR="00D43DD8">
        <w:rPr>
          <w:b/>
          <w:i/>
        </w:rPr>
        <w:t>trustee</w:t>
      </w:r>
      <w:r w:rsidR="00D43DD8">
        <w:t xml:space="preserve"> is amended.</w:t>
      </w:r>
      <w:r>
        <w:t xml:space="preserve"> </w:t>
      </w:r>
      <w:r>
        <w:rPr>
          <w:rStyle w:val="Referencingstyle"/>
        </w:rPr>
        <w:t xml:space="preserve">[Schedule #, </w:t>
      </w:r>
      <w:r w:rsidR="00FC067F">
        <w:rPr>
          <w:rStyle w:val="Referencingstyle"/>
        </w:rPr>
        <w:t>items 3</w:t>
      </w:r>
      <w:r w:rsidR="005D2FF3">
        <w:rPr>
          <w:rStyle w:val="Referencingstyle"/>
        </w:rPr>
        <w:t>3</w:t>
      </w:r>
      <w:r w:rsidR="00FC067F">
        <w:rPr>
          <w:rStyle w:val="Referencingstyle"/>
        </w:rPr>
        <w:t>, 3</w:t>
      </w:r>
      <w:r w:rsidR="005D2FF3">
        <w:rPr>
          <w:rStyle w:val="Referencingstyle"/>
        </w:rPr>
        <w:t>5</w:t>
      </w:r>
      <w:r w:rsidR="00D43DD8">
        <w:rPr>
          <w:rStyle w:val="Referencingstyle"/>
        </w:rPr>
        <w:t>, 3</w:t>
      </w:r>
      <w:r w:rsidR="005D2FF3">
        <w:rPr>
          <w:rStyle w:val="Referencingstyle"/>
        </w:rPr>
        <w:t>6</w:t>
      </w:r>
      <w:r w:rsidR="00FC067F">
        <w:rPr>
          <w:rStyle w:val="Referencingstyle"/>
        </w:rPr>
        <w:t xml:space="preserve"> and 5</w:t>
      </w:r>
      <w:r w:rsidR="005D2FF3">
        <w:rPr>
          <w:rStyle w:val="Referencingstyle"/>
        </w:rPr>
        <w:t>6</w:t>
      </w:r>
      <w:r w:rsidR="00FC067F">
        <w:rPr>
          <w:rStyle w:val="Referencingstyle"/>
        </w:rPr>
        <w:t>,</w:t>
      </w:r>
      <w:r>
        <w:rPr>
          <w:rStyle w:val="Referencingstyle"/>
        </w:rPr>
        <w:t xml:space="preserve"> </w:t>
      </w:r>
      <w:r w:rsidR="00144429">
        <w:rPr>
          <w:rStyle w:val="Referencingstyle"/>
        </w:rPr>
        <w:t>sections 9 and 761A of the Corporations Act]</w:t>
      </w:r>
    </w:p>
    <w:p w14:paraId="45C6CC38" w14:textId="7A90FF53" w:rsidR="00057DA8" w:rsidRDefault="00057DA8" w:rsidP="00057DA8">
      <w:pPr>
        <w:pStyle w:val="Heading2"/>
      </w:pPr>
      <w:r>
        <w:t>Application and transitional provisions</w:t>
      </w:r>
    </w:p>
    <w:p w14:paraId="27A008DE" w14:textId="5CAD07C6" w:rsidR="00FE4583" w:rsidRDefault="00FE4583" w:rsidP="00D06C98">
      <w:pPr>
        <w:pStyle w:val="Heading3"/>
      </w:pPr>
      <w:r>
        <w:t>SIS Act application and transitional provisions</w:t>
      </w:r>
    </w:p>
    <w:p w14:paraId="751016E9" w14:textId="4F311FD6" w:rsidR="009A4E62" w:rsidRPr="009A4E62" w:rsidRDefault="009A4E62" w:rsidP="009A4E62">
      <w:pPr>
        <w:pStyle w:val="Heading4"/>
      </w:pPr>
      <w:r w:rsidRPr="009A4E62">
        <w:t>Breach reporting timeframes</w:t>
      </w:r>
    </w:p>
    <w:p w14:paraId="54B1B184" w14:textId="378D98AF" w:rsidR="00FE4583" w:rsidRPr="00DD2970" w:rsidRDefault="009F7B7C" w:rsidP="00FE4583">
      <w:pPr>
        <w:pStyle w:val="base-text-paragraph"/>
        <w:rPr>
          <w:rStyle w:val="Referencingstyle"/>
          <w:b w:val="0"/>
          <w:i w:val="0"/>
          <w:sz w:val="22"/>
        </w:rPr>
      </w:pPr>
      <w:r>
        <w:t xml:space="preserve">The amendments to align the SIS Act timeframe for breach reporting with the Corporations Act timeframe for breach reporting apply in relation to breaches of which an RSE licensee becomes aware on or after 1 April 2020. </w:t>
      </w:r>
      <w:r>
        <w:rPr>
          <w:rStyle w:val="Referencingstyle"/>
        </w:rPr>
        <w:t xml:space="preserve">[Schedule </w:t>
      </w:r>
      <w:r w:rsidR="0015767B">
        <w:rPr>
          <w:rStyle w:val="Referencingstyle"/>
        </w:rPr>
        <w:t>#</w:t>
      </w:r>
      <w:r>
        <w:rPr>
          <w:rStyle w:val="Referencingstyle"/>
        </w:rPr>
        <w:t>, item 6</w:t>
      </w:r>
      <w:r w:rsidR="005D2FF3">
        <w:rPr>
          <w:rStyle w:val="Referencingstyle"/>
        </w:rPr>
        <w:t>5</w:t>
      </w:r>
      <w:r>
        <w:rPr>
          <w:rStyle w:val="Referencingstyle"/>
        </w:rPr>
        <w:t>, section 29JA</w:t>
      </w:r>
      <w:r w:rsidRPr="00375F1D">
        <w:rPr>
          <w:rStyle w:val="Referencingstyle"/>
        </w:rPr>
        <w:t xml:space="preserve"> of </w:t>
      </w:r>
      <w:r>
        <w:rPr>
          <w:rStyle w:val="Referencingstyle"/>
        </w:rPr>
        <w:t xml:space="preserve">the SIS </w:t>
      </w:r>
      <w:r w:rsidRPr="00375F1D">
        <w:rPr>
          <w:rStyle w:val="Referencingstyle"/>
        </w:rPr>
        <w:t>Act]</w:t>
      </w:r>
    </w:p>
    <w:p w14:paraId="23AE463B" w14:textId="77777777" w:rsidR="00DD2970" w:rsidRDefault="00DD2970" w:rsidP="00DD2970">
      <w:pPr>
        <w:pStyle w:val="base-text-paragraph"/>
      </w:pPr>
      <w:r>
        <w:t xml:space="preserve">This application date aligns with the application date of the changes to the Corporations Act breach reporting timeframes made through Financial Services Royal Commission recommendation 2.8. </w:t>
      </w:r>
    </w:p>
    <w:p w14:paraId="1418EFE0" w14:textId="2376A927" w:rsidR="009A4E62" w:rsidRPr="009F7B7C" w:rsidRDefault="009A4E62" w:rsidP="009A4E62">
      <w:pPr>
        <w:pStyle w:val="Heading4"/>
        <w:rPr>
          <w:rStyle w:val="Referencingstyle"/>
          <w:sz w:val="22"/>
        </w:rPr>
      </w:pPr>
      <w:r>
        <w:rPr>
          <w:rStyle w:val="Referencingstyle"/>
          <w:b/>
          <w:i/>
          <w:sz w:val="22"/>
        </w:rPr>
        <w:lastRenderedPageBreak/>
        <w:t>Indemnification prohibitions</w:t>
      </w:r>
    </w:p>
    <w:p w14:paraId="6873FC47" w14:textId="4F1349FB" w:rsidR="009F7B7C" w:rsidRPr="009A4A36" w:rsidRDefault="009F7B7C" w:rsidP="00FE4583">
      <w:pPr>
        <w:pStyle w:val="base-text-paragraph"/>
        <w:rPr>
          <w:rStyle w:val="Referencingstyle"/>
          <w:b w:val="0"/>
          <w:i w:val="0"/>
          <w:sz w:val="22"/>
        </w:rPr>
      </w:pPr>
      <w:r w:rsidRPr="009F7B7C">
        <w:t>The amendments of the SIS Act indemnification prohibition provisions apply in relation to liabilities that arise,</w:t>
      </w:r>
      <w:r>
        <w:t xml:space="preserve"> </w:t>
      </w:r>
      <w:r w:rsidRPr="009F7B7C">
        <w:t>and amounts that become payable, before, on or after the commencement</w:t>
      </w:r>
      <w:r w:rsidR="009A4A36">
        <w:t xml:space="preserve"> of the amendments on 1 July 2020</w:t>
      </w:r>
      <w:r w:rsidRPr="009F7B7C">
        <w:t xml:space="preserve">. </w:t>
      </w:r>
      <w:r w:rsidR="009A4A36">
        <w:rPr>
          <w:rStyle w:val="Referencingstyle"/>
        </w:rPr>
        <w:t xml:space="preserve">[Schedule </w:t>
      </w:r>
      <w:r w:rsidR="0015767B">
        <w:rPr>
          <w:rStyle w:val="Referencingstyle"/>
        </w:rPr>
        <w:t>#, item 6</w:t>
      </w:r>
      <w:r w:rsidR="005D2FF3">
        <w:rPr>
          <w:rStyle w:val="Referencingstyle"/>
        </w:rPr>
        <w:t>6</w:t>
      </w:r>
      <w:r w:rsidR="009A4A36">
        <w:rPr>
          <w:rStyle w:val="Referencingstyle"/>
        </w:rPr>
        <w:t xml:space="preserve">, sections 56 and 57 </w:t>
      </w:r>
      <w:r w:rsidR="009A4A36" w:rsidRPr="00375F1D">
        <w:rPr>
          <w:rStyle w:val="Referencingstyle"/>
        </w:rPr>
        <w:t xml:space="preserve">of </w:t>
      </w:r>
      <w:r w:rsidR="009A4A36">
        <w:rPr>
          <w:rStyle w:val="Referencingstyle"/>
        </w:rPr>
        <w:t xml:space="preserve">the SIS </w:t>
      </w:r>
      <w:r w:rsidR="009A4A36" w:rsidRPr="00375F1D">
        <w:rPr>
          <w:rStyle w:val="Referencingstyle"/>
        </w:rPr>
        <w:t>Act]</w:t>
      </w:r>
    </w:p>
    <w:p w14:paraId="357ABA07" w14:textId="4EB31B74" w:rsidR="009A4A36" w:rsidRDefault="009A4E62" w:rsidP="00FE4583">
      <w:pPr>
        <w:pStyle w:val="base-text-paragraph"/>
      </w:pPr>
      <w:r>
        <w:t xml:space="preserve">This application provision clarifies the extent to which a provision in the governing rules of a superannuation entity becomes void on 1 July 2020. That is, it becomes void to the extent that it purports to provide indemnification for liabilities that arise before, on or after the commencement of the amendments on 1 July 2020. </w:t>
      </w:r>
    </w:p>
    <w:p w14:paraId="7498AB43" w14:textId="180E9612" w:rsidR="00D06C98" w:rsidRPr="00FE4583" w:rsidRDefault="00D06C98" w:rsidP="00D06C98">
      <w:pPr>
        <w:pStyle w:val="Heading3"/>
      </w:pPr>
      <w:r>
        <w:t>AFSL extension application and transitional provisions</w:t>
      </w:r>
    </w:p>
    <w:p w14:paraId="19CCC816" w14:textId="0944AACF" w:rsidR="0024247C" w:rsidRPr="0024247C" w:rsidRDefault="00366E43" w:rsidP="006E0ACF">
      <w:pPr>
        <w:pStyle w:val="base-text-paragraph"/>
      </w:pPr>
      <w:r>
        <w:t>The legislation commences on 1 July 2020.</w:t>
      </w:r>
      <w:r w:rsidR="00226328">
        <w:t xml:space="preserve"> </w:t>
      </w:r>
      <w:r>
        <w:t>However, t</w:t>
      </w:r>
      <w:r w:rsidR="0024247C">
        <w:t xml:space="preserve">he Bill contains a number of </w:t>
      </w:r>
      <w:r w:rsidR="001A119F">
        <w:t xml:space="preserve">transitional </w:t>
      </w:r>
      <w:r w:rsidR="0024247C">
        <w:t>provisions</w:t>
      </w:r>
      <w:r w:rsidR="001A119F">
        <w:t xml:space="preserve"> concerning the extension of the AFSL regime’s coverage for superannuation trustee services.</w:t>
      </w:r>
    </w:p>
    <w:p w14:paraId="17CE69AD" w14:textId="77777777" w:rsidR="0024247C" w:rsidRDefault="0024247C" w:rsidP="0024247C">
      <w:pPr>
        <w:pStyle w:val="Heading4"/>
      </w:pPr>
      <w:r>
        <w:t>Relief from ordinary AFSL application requirements</w:t>
      </w:r>
    </w:p>
    <w:p w14:paraId="64B8D9ED" w14:textId="6D73ED58" w:rsidR="0024247C" w:rsidRDefault="00AE7002" w:rsidP="0024247C">
      <w:pPr>
        <w:pStyle w:val="base-text-paragraph"/>
        <w:numPr>
          <w:ilvl w:val="1"/>
          <w:numId w:val="22"/>
        </w:numPr>
      </w:pPr>
      <w:r>
        <w:t>An important</w:t>
      </w:r>
      <w:r w:rsidR="0024247C">
        <w:t xml:space="preserve"> objective of th</w:t>
      </w:r>
      <w:r>
        <w:t>ese legislative amendments</w:t>
      </w:r>
      <w:r w:rsidR="0024247C">
        <w:t xml:space="preserve"> is to ensure </w:t>
      </w:r>
      <w:r>
        <w:t xml:space="preserve">that </w:t>
      </w:r>
      <w:r w:rsidR="0024247C">
        <w:t>ASIC has full regulatory coverage over the activities of RSE licensees and can take action against misconduct. The findings of the Financial Services Royal Commission demonstrate the importance of achieving this outcome expeditiously.</w:t>
      </w:r>
    </w:p>
    <w:p w14:paraId="228D4F43" w14:textId="60ABDA03" w:rsidR="0024247C" w:rsidRDefault="0024247C" w:rsidP="0024247C">
      <w:pPr>
        <w:pStyle w:val="base-text-paragraph"/>
        <w:numPr>
          <w:ilvl w:val="1"/>
          <w:numId w:val="22"/>
        </w:numPr>
      </w:pPr>
      <w:r>
        <w:t xml:space="preserve">Consistent with this objective, </w:t>
      </w:r>
      <w:r w:rsidR="00B413D7">
        <w:t>each existing RSE licensee</w:t>
      </w:r>
      <w:r>
        <w:t xml:space="preserve"> </w:t>
      </w:r>
      <w:r w:rsidR="00B413D7">
        <w:t xml:space="preserve">who </w:t>
      </w:r>
      <w:r>
        <w:t>already hold</w:t>
      </w:r>
      <w:r w:rsidR="00B413D7">
        <w:t>s</w:t>
      </w:r>
      <w:r>
        <w:t xml:space="preserve"> an AFSL authorising </w:t>
      </w:r>
      <w:r w:rsidR="00B413D7">
        <w:t xml:space="preserve">it </w:t>
      </w:r>
      <w:r>
        <w:t xml:space="preserve">to deal in a superannuation </w:t>
      </w:r>
      <w:r w:rsidR="006D33D5">
        <w:t>interest</w:t>
      </w:r>
      <w:r>
        <w:t xml:space="preserve"> do</w:t>
      </w:r>
      <w:r w:rsidR="00B413D7">
        <w:t>es</w:t>
      </w:r>
      <w:r>
        <w:t xml:space="preserve"> not need to apply for the new authorisation, and the remainder of existing RSE licensees only need to meet the application requirements in respect of dealing in a superannuation</w:t>
      </w:r>
      <w:r w:rsidR="00B413D7">
        <w:t xml:space="preserve"> interest</w:t>
      </w:r>
      <w:r>
        <w:t>.</w:t>
      </w:r>
      <w:r w:rsidR="008317B5">
        <w:t xml:space="preserve"> This is explained further below.</w:t>
      </w:r>
    </w:p>
    <w:p w14:paraId="21A52D4D" w14:textId="1A057A52" w:rsidR="0024247C" w:rsidRDefault="0024247C" w:rsidP="0024247C">
      <w:pPr>
        <w:pStyle w:val="base-text-paragraph"/>
        <w:numPr>
          <w:ilvl w:val="1"/>
          <w:numId w:val="22"/>
        </w:numPr>
      </w:pPr>
      <w:r>
        <w:t>However, from 1 July 2020, licensees must comply in full with all AFSL obligations in respect of all of their activities in</w:t>
      </w:r>
      <w:r w:rsidR="00B413D7">
        <w:t xml:space="preserve"> providing a superannuation trustee service</w:t>
      </w:r>
      <w:r>
        <w:t>.</w:t>
      </w:r>
    </w:p>
    <w:p w14:paraId="222681FA" w14:textId="47F07AD1" w:rsidR="0024247C" w:rsidRDefault="0024247C" w:rsidP="0024247C">
      <w:pPr>
        <w:pStyle w:val="base-text-paragraph"/>
        <w:numPr>
          <w:ilvl w:val="1"/>
          <w:numId w:val="22"/>
        </w:numPr>
      </w:pPr>
      <w:r>
        <w:t>After 1 July 2020, new applicants for AFSL</w:t>
      </w:r>
      <w:r w:rsidR="00B413D7">
        <w:t>s</w:t>
      </w:r>
      <w:r>
        <w:t xml:space="preserve"> authorising them to provide a superannuation trustee service must comply with all of the ordinary AFSL application requirements in respect of each financial service they propose to provide.</w:t>
      </w:r>
    </w:p>
    <w:p w14:paraId="5860FFB2" w14:textId="77777777" w:rsidR="00E14F67" w:rsidRDefault="00E14F67" w:rsidP="00E14F67">
      <w:pPr>
        <w:pStyle w:val="Heading4"/>
      </w:pPr>
      <w:r>
        <w:t>Grant of authorisation to provide a superannuation trustee service</w:t>
      </w:r>
    </w:p>
    <w:p w14:paraId="1C3E241C" w14:textId="77777777" w:rsidR="00E14F67" w:rsidRDefault="00E14F67" w:rsidP="00E14F67">
      <w:pPr>
        <w:pStyle w:val="base-text-paragraph"/>
        <w:numPr>
          <w:ilvl w:val="1"/>
          <w:numId w:val="22"/>
        </w:numPr>
      </w:pPr>
      <w:r>
        <w:t xml:space="preserve">The ordinary mechanism to grant an AFSL authorisation is for ASIC to make the person’s AFSL subject to a condition authorising the person to provide the particular financial service or services. In the event </w:t>
      </w:r>
      <w:r>
        <w:lastRenderedPageBreak/>
        <w:t>of an existing AFSL holder successfully applying for an additional authorisation, ASIC varies that condition on the AFSL and inserts a reference to the additional authorisation.</w:t>
      </w:r>
    </w:p>
    <w:p w14:paraId="16FC14D9" w14:textId="62D67743" w:rsidR="00E14F67" w:rsidRDefault="002E509F" w:rsidP="00E14F67">
      <w:pPr>
        <w:pStyle w:val="base-text-paragraph"/>
        <w:numPr>
          <w:ilvl w:val="1"/>
          <w:numId w:val="22"/>
        </w:numPr>
      </w:pPr>
      <w:r>
        <w:t>An RSE l</w:t>
      </w:r>
      <w:r w:rsidR="00E14F67">
        <w:t>icen</w:t>
      </w:r>
      <w:r>
        <w:t>see who is</w:t>
      </w:r>
      <w:r w:rsidR="00E14F67">
        <w:t xml:space="preserve"> </w:t>
      </w:r>
      <w:r w:rsidR="002B048D">
        <w:t>covered by the transitional provisions</w:t>
      </w:r>
      <w:r w:rsidR="00E14F67">
        <w:t xml:space="preserve"> </w:t>
      </w:r>
      <w:r w:rsidR="00A77C18">
        <w:t>is</w:t>
      </w:r>
      <w:r w:rsidR="00E14F67">
        <w:t xml:space="preserve"> taken from 1 July 2020 to be subject to a condition authorising </w:t>
      </w:r>
      <w:r w:rsidR="002B048D">
        <w:t>the holder</w:t>
      </w:r>
      <w:r w:rsidR="00E14F67">
        <w:t xml:space="preserve"> to provide a superannuation trustee service</w:t>
      </w:r>
      <w:r w:rsidR="00925B35">
        <w:t xml:space="preserve"> (this is explained further below)</w:t>
      </w:r>
      <w:r w:rsidR="00E14F67">
        <w:t xml:space="preserve">. This occurs automatically because </w:t>
      </w:r>
      <w:r w:rsidR="00AE7002">
        <w:t>they are</w:t>
      </w:r>
      <w:r w:rsidR="00E14F67">
        <w:t xml:space="preserve"> deemed by the transitional provisions in this Bill</w:t>
      </w:r>
      <w:r w:rsidR="00AE7002">
        <w:t xml:space="preserve"> to be authorised</w:t>
      </w:r>
      <w:r w:rsidR="00E14F67">
        <w:t xml:space="preserve">, rather than </w:t>
      </w:r>
      <w:r w:rsidR="00AE7002">
        <w:t xml:space="preserve">being authorised by </w:t>
      </w:r>
      <w:r w:rsidR="00E14F67">
        <w:t xml:space="preserve">a decision </w:t>
      </w:r>
      <w:r w:rsidR="00AE7002">
        <w:t>of</w:t>
      </w:r>
      <w:r w:rsidR="00E14F67">
        <w:t xml:space="preserve"> ASIC.</w:t>
      </w:r>
    </w:p>
    <w:p w14:paraId="5FB89808" w14:textId="799E91E5" w:rsidR="00E14F67" w:rsidRDefault="00E14F67" w:rsidP="00E14F67">
      <w:pPr>
        <w:pStyle w:val="base-text-paragraph"/>
        <w:numPr>
          <w:ilvl w:val="1"/>
          <w:numId w:val="22"/>
        </w:numPr>
      </w:pPr>
      <w:r>
        <w:t xml:space="preserve">However, after 1 July 2020, ASIC or the Minister retain the powers they would ordinarily have to vary or revoke the authorisation condition, or vary, suspend or cancel the licence, as though ASIC had granted the authorisation in the first instance. </w:t>
      </w:r>
      <w:r w:rsidR="005D2FF3">
        <w:rPr>
          <w:rStyle w:val="Referencingstyle"/>
        </w:rPr>
        <w:t>[Schedule #, item 60, sections 1675 and 1675D of the Corporations Act</w:t>
      </w:r>
      <w:r>
        <w:rPr>
          <w:rStyle w:val="Referencingstyle"/>
        </w:rPr>
        <w:t>]</w:t>
      </w:r>
      <w:r>
        <w:t xml:space="preserve">  </w:t>
      </w:r>
    </w:p>
    <w:p w14:paraId="5212091C" w14:textId="6932FD8D" w:rsidR="00F96AF6" w:rsidRDefault="000C48CC" w:rsidP="00F96AF6">
      <w:pPr>
        <w:pStyle w:val="Heading4"/>
      </w:pPr>
      <w:r>
        <w:t>Transitional provisions for e</w:t>
      </w:r>
      <w:r w:rsidR="00F96AF6">
        <w:t xml:space="preserve">xisting AFSL holders authorised to deal in superannuation </w:t>
      </w:r>
      <w:r w:rsidR="006D33D5">
        <w:t>interests</w:t>
      </w:r>
    </w:p>
    <w:p w14:paraId="2CF74FAD" w14:textId="17D19CB4" w:rsidR="00F96AF6" w:rsidRDefault="00B413D7" w:rsidP="00395D9B">
      <w:pPr>
        <w:pStyle w:val="base-text-paragraph"/>
        <w:numPr>
          <w:ilvl w:val="1"/>
          <w:numId w:val="22"/>
        </w:numPr>
      </w:pPr>
      <w:bookmarkStart w:id="17" w:name="_Ref29555294"/>
      <w:r>
        <w:t>Each RSE licensee</w:t>
      </w:r>
      <w:r w:rsidR="00F96AF6">
        <w:t xml:space="preserve"> </w:t>
      </w:r>
      <w:r>
        <w:t xml:space="preserve">who </w:t>
      </w:r>
      <w:r w:rsidR="00F96AF6">
        <w:t>hold</w:t>
      </w:r>
      <w:r>
        <w:t>s</w:t>
      </w:r>
      <w:r w:rsidR="00F96AF6">
        <w:t xml:space="preserve"> an AFSL authorising </w:t>
      </w:r>
      <w:r>
        <w:t xml:space="preserve">it </w:t>
      </w:r>
      <w:r w:rsidR="00F96AF6">
        <w:t xml:space="preserve">to deal in </w:t>
      </w:r>
      <w:r w:rsidR="004F3AA7">
        <w:t xml:space="preserve">a </w:t>
      </w:r>
      <w:r w:rsidR="00F96AF6">
        <w:t xml:space="preserve">superannuation </w:t>
      </w:r>
      <w:r>
        <w:t xml:space="preserve">interest </w:t>
      </w:r>
      <w:r w:rsidR="001B72BF">
        <w:t>just before</w:t>
      </w:r>
      <w:r w:rsidR="00F96AF6">
        <w:t xml:space="preserve"> 1 July 2020 are deemed from that date to be authorised to provide a superannuation trustee service. </w:t>
      </w:r>
      <w:r w:rsidR="00F96AF6">
        <w:rPr>
          <w:rStyle w:val="Referencingstyle"/>
        </w:rPr>
        <w:t xml:space="preserve">[Schedule #, item </w:t>
      </w:r>
      <w:r w:rsidR="0015767B">
        <w:rPr>
          <w:rStyle w:val="Referencingstyle"/>
        </w:rPr>
        <w:t>6</w:t>
      </w:r>
      <w:r w:rsidR="005D2FF3">
        <w:rPr>
          <w:rStyle w:val="Referencingstyle"/>
        </w:rPr>
        <w:t>0</w:t>
      </w:r>
      <w:r w:rsidR="0015767B">
        <w:rPr>
          <w:rStyle w:val="Referencingstyle"/>
        </w:rPr>
        <w:t>, sections 1675 and 1675A of the Corporations Act</w:t>
      </w:r>
      <w:r w:rsidR="00F96AF6">
        <w:rPr>
          <w:rStyle w:val="Referencingstyle"/>
        </w:rPr>
        <w:t>]</w:t>
      </w:r>
      <w:bookmarkEnd w:id="17"/>
      <w:r w:rsidR="00F96AF6">
        <w:t xml:space="preserve"> </w:t>
      </w:r>
    </w:p>
    <w:p w14:paraId="2B042F68" w14:textId="67C6259B" w:rsidR="00F96AF6" w:rsidRDefault="008C2B90" w:rsidP="00395D9B">
      <w:pPr>
        <w:pStyle w:val="base-text-paragraph"/>
        <w:numPr>
          <w:ilvl w:val="1"/>
          <w:numId w:val="22"/>
        </w:numPr>
      </w:pPr>
      <w:r>
        <w:t>RSE licensees in this category do not need to apply for the new authorisation or take any specific action to obtain it. However, licensees must comply with all AFSL obligations from 1 July 2020 in respect of all activities</w:t>
      </w:r>
      <w:r w:rsidR="003F7EB7">
        <w:t xml:space="preserve"> involved</w:t>
      </w:r>
      <w:r>
        <w:t xml:space="preserve"> in operating an RSE.</w:t>
      </w:r>
    </w:p>
    <w:p w14:paraId="0D38AD32" w14:textId="12A7F4FD" w:rsidR="001B72BF" w:rsidRDefault="000C48CC" w:rsidP="001B72BF">
      <w:pPr>
        <w:pStyle w:val="Heading4"/>
      </w:pPr>
      <w:r w:rsidRPr="006F04BC">
        <w:t>Transitional provisions for</w:t>
      </w:r>
      <w:r w:rsidR="005D1A6A">
        <w:t xml:space="preserve"> </w:t>
      </w:r>
      <w:r w:rsidR="008317B5">
        <w:t>applicants for an AFSL before 1 July 2020</w:t>
      </w:r>
      <w:r w:rsidRPr="006F04BC">
        <w:t xml:space="preserve"> </w:t>
      </w:r>
    </w:p>
    <w:p w14:paraId="54A919BE" w14:textId="37B32BCC" w:rsidR="008D2F91" w:rsidRDefault="005D0800" w:rsidP="00395D9B">
      <w:pPr>
        <w:pStyle w:val="base-text-paragraph"/>
        <w:numPr>
          <w:ilvl w:val="1"/>
          <w:numId w:val="22"/>
        </w:numPr>
      </w:pPr>
      <w:bookmarkStart w:id="18" w:name="_Ref29555303"/>
      <w:r>
        <w:t xml:space="preserve">In certain circumstances, </w:t>
      </w:r>
      <w:r w:rsidR="004370FE">
        <w:t xml:space="preserve">if an RSE licensee </w:t>
      </w:r>
      <w:r>
        <w:t>successful</w:t>
      </w:r>
      <w:r w:rsidR="004370FE">
        <w:t>ly</w:t>
      </w:r>
      <w:r>
        <w:t xml:space="preserve"> </w:t>
      </w:r>
      <w:r w:rsidR="004370FE">
        <w:t>applies</w:t>
      </w:r>
      <w:r w:rsidR="00E8139A">
        <w:t xml:space="preserve"> for an AFSL to deal in a superannuation </w:t>
      </w:r>
      <w:r w:rsidR="00011583">
        <w:t>interest</w:t>
      </w:r>
      <w:r w:rsidR="004370FE">
        <w:t>, they</w:t>
      </w:r>
      <w:r w:rsidR="00E8139A">
        <w:t xml:space="preserve"> will also </w:t>
      </w:r>
      <w:r w:rsidR="008D2F91">
        <w:t>be deemed to be authorised to provide a superannuation trustee service from the time that application is approved</w:t>
      </w:r>
      <w:r>
        <w:t xml:space="preserve">. </w:t>
      </w:r>
      <w:r w:rsidR="0091533D">
        <w:t>T</w:t>
      </w:r>
      <w:r w:rsidR="008D2F91">
        <w:t>his occurs if</w:t>
      </w:r>
      <w:r>
        <w:t xml:space="preserve"> all of the following requirements are met</w:t>
      </w:r>
      <w:r w:rsidR="008D2F91">
        <w:t>:</w:t>
      </w:r>
    </w:p>
    <w:p w14:paraId="3B4B2BFE" w14:textId="0BC2A6DE" w:rsidR="005D0800" w:rsidRDefault="005D0800" w:rsidP="005D0800">
      <w:pPr>
        <w:pStyle w:val="dotpoint"/>
      </w:pPr>
      <w:r>
        <w:t xml:space="preserve">the </w:t>
      </w:r>
      <w:r w:rsidR="009E5CEA">
        <w:t>applicant</w:t>
      </w:r>
      <w:r>
        <w:t xml:space="preserve"> lodges an application for an AFSL to deal in a superannuation </w:t>
      </w:r>
      <w:r w:rsidR="006D33D5">
        <w:t>interest</w:t>
      </w:r>
      <w:r>
        <w:t xml:space="preserve"> on or before 30 June 2020;</w:t>
      </w:r>
    </w:p>
    <w:p w14:paraId="6686CFDA" w14:textId="03FA717E" w:rsidR="005D0800" w:rsidRDefault="005D0800" w:rsidP="005D0800">
      <w:pPr>
        <w:pStyle w:val="dotpoint"/>
      </w:pPr>
      <w:r>
        <w:t>ASIC approves that application on or after 1 July 2020; and</w:t>
      </w:r>
    </w:p>
    <w:p w14:paraId="794D46F6" w14:textId="77777777" w:rsidR="009E5CEA" w:rsidRDefault="0091533D" w:rsidP="005D0800">
      <w:pPr>
        <w:pStyle w:val="dotpoint"/>
      </w:pPr>
      <w:proofErr w:type="gramStart"/>
      <w:r>
        <w:t>the</w:t>
      </w:r>
      <w:proofErr w:type="gramEnd"/>
      <w:r>
        <w:t xml:space="preserve"> </w:t>
      </w:r>
      <w:r w:rsidR="009E5CEA">
        <w:t>applicant is an RSE licensee at the time ASIC approves that application.</w:t>
      </w:r>
    </w:p>
    <w:p w14:paraId="6627BA5E" w14:textId="581474BE" w:rsidR="005D0800" w:rsidRDefault="0015767B" w:rsidP="009E5CEA">
      <w:pPr>
        <w:pStyle w:val="dotpoint"/>
        <w:numPr>
          <w:ilvl w:val="0"/>
          <w:numId w:val="0"/>
        </w:numPr>
        <w:ind w:left="1984"/>
      </w:pPr>
      <w:r>
        <w:rPr>
          <w:rStyle w:val="Referencingstyle"/>
        </w:rPr>
        <w:t>[Schedule #, item 6</w:t>
      </w:r>
      <w:r w:rsidR="005D2FF3">
        <w:rPr>
          <w:rStyle w:val="Referencingstyle"/>
        </w:rPr>
        <w:t>0</w:t>
      </w:r>
      <w:r>
        <w:rPr>
          <w:rStyle w:val="Referencingstyle"/>
        </w:rPr>
        <w:t>, sections 1675 and 1675B of the Corporations Act</w:t>
      </w:r>
      <w:r w:rsidR="009E5CEA">
        <w:rPr>
          <w:rStyle w:val="Referencingstyle"/>
        </w:rPr>
        <w:t>]</w:t>
      </w:r>
      <w:r w:rsidR="009E5CEA">
        <w:t xml:space="preserve"> </w:t>
      </w:r>
      <w:r w:rsidR="0091533D">
        <w:t xml:space="preserve"> </w:t>
      </w:r>
    </w:p>
    <w:p w14:paraId="086A7E8E" w14:textId="3958DB11" w:rsidR="0079013E" w:rsidRDefault="00296B96" w:rsidP="000E0295">
      <w:pPr>
        <w:pStyle w:val="base-text-paragraph"/>
      </w:pPr>
      <w:r>
        <w:t>A number of e</w:t>
      </w:r>
      <w:r w:rsidR="00302872">
        <w:t>xisting trustees of non-public offer superannuation funds are in this category</w:t>
      </w:r>
      <w:r w:rsidR="00A11198">
        <w:t xml:space="preserve"> because they have been exempt from </w:t>
      </w:r>
      <w:r w:rsidR="004C1F60">
        <w:t xml:space="preserve">the requirement to hold </w:t>
      </w:r>
      <w:r w:rsidR="00A11198">
        <w:t xml:space="preserve">an AFSL </w:t>
      </w:r>
      <w:r w:rsidR="004C1F60">
        <w:t xml:space="preserve">authorising them </w:t>
      </w:r>
      <w:r w:rsidR="00A11198">
        <w:t xml:space="preserve">to deal in a </w:t>
      </w:r>
      <w:r w:rsidR="00A11198">
        <w:lastRenderedPageBreak/>
        <w:t>superannuation</w:t>
      </w:r>
      <w:r w:rsidR="004C1F60">
        <w:t xml:space="preserve"> interest</w:t>
      </w:r>
      <w:r w:rsidR="00925B35">
        <w:t>, and they do not provide other financial services</w:t>
      </w:r>
      <w:r w:rsidR="00A11198">
        <w:t>.</w:t>
      </w:r>
      <w:bookmarkEnd w:id="18"/>
      <w:r w:rsidR="00A11198">
        <w:t xml:space="preserve"> T</w:t>
      </w:r>
      <w:r w:rsidR="00FE16AA">
        <w:t xml:space="preserve">he </w:t>
      </w:r>
      <w:r w:rsidR="00FE16AA" w:rsidRPr="00925B35">
        <w:rPr>
          <w:i/>
        </w:rPr>
        <w:t>Financial Sector Reform (Hayne Royal Commission Response – Stronger Regulators) (Regulation of Superannuation) Regulations 2020</w:t>
      </w:r>
      <w:r w:rsidR="00FE16AA">
        <w:t xml:space="preserve"> repeal that exemption</w:t>
      </w:r>
      <w:r w:rsidR="00A11198">
        <w:t xml:space="preserve"> from 1 July 2020</w:t>
      </w:r>
      <w:r w:rsidR="00FE16AA">
        <w:t xml:space="preserve">. </w:t>
      </w:r>
    </w:p>
    <w:p w14:paraId="0A9B9078" w14:textId="674F8F76" w:rsidR="00FE16AA" w:rsidRDefault="00A11198" w:rsidP="000E0295">
      <w:pPr>
        <w:pStyle w:val="base-text-paragraph"/>
      </w:pPr>
      <w:r>
        <w:t>From that date, n</w:t>
      </w:r>
      <w:r w:rsidR="00FE16AA">
        <w:t>on</w:t>
      </w:r>
      <w:r>
        <w:t xml:space="preserve">-public offer trustees must </w:t>
      </w:r>
      <w:r w:rsidR="00FE16AA">
        <w:t xml:space="preserve">hold AFSL authorisations both to deal in </w:t>
      </w:r>
      <w:r w:rsidR="00011583">
        <w:t xml:space="preserve">a </w:t>
      </w:r>
      <w:r w:rsidR="00FE16AA">
        <w:t>superannuation interest and to provide a superannuation trustee service</w:t>
      </w:r>
      <w:r>
        <w:t>.</w:t>
      </w:r>
      <w:r w:rsidR="00E5771D">
        <w:t xml:space="preserve"> However, while these trustees must </w:t>
      </w:r>
      <w:r w:rsidR="00011583">
        <w:t xml:space="preserve">each </w:t>
      </w:r>
      <w:r w:rsidR="00A52CC9">
        <w:t xml:space="preserve">obtain </w:t>
      </w:r>
      <w:r w:rsidR="00E5771D">
        <w:t>an AFSL</w:t>
      </w:r>
      <w:r w:rsidR="00A52CC9">
        <w:t xml:space="preserve"> to continue operating</w:t>
      </w:r>
      <w:r w:rsidR="00E5771D">
        <w:t xml:space="preserve">, they only need to meet the application requirements in respect of dealing in a </w:t>
      </w:r>
      <w:r w:rsidR="00BA57BA">
        <w:t>financ</w:t>
      </w:r>
      <w:r w:rsidR="00011583">
        <w:t>i</w:t>
      </w:r>
      <w:r w:rsidR="00BA57BA">
        <w:t>al</w:t>
      </w:r>
      <w:r w:rsidR="00E5771D">
        <w:t xml:space="preserve"> product.</w:t>
      </w:r>
    </w:p>
    <w:p w14:paraId="0617B386" w14:textId="6C1BCA2C" w:rsidR="004B035F" w:rsidRDefault="004B035F" w:rsidP="00B26913">
      <w:pPr>
        <w:pStyle w:val="Heading4"/>
      </w:pPr>
      <w:r>
        <w:t xml:space="preserve">Transitional provisions for </w:t>
      </w:r>
      <w:r w:rsidR="00B26913">
        <w:t xml:space="preserve">existing AFSL holders without an authorisation to deal in superannuation </w:t>
      </w:r>
      <w:r w:rsidR="006D33D5">
        <w:t>interests</w:t>
      </w:r>
    </w:p>
    <w:p w14:paraId="53F0F46B" w14:textId="6B150DF6" w:rsidR="00FA0F95" w:rsidRDefault="0091533D" w:rsidP="000E0295">
      <w:pPr>
        <w:pStyle w:val="base-text-paragraph"/>
      </w:pPr>
      <w:r>
        <w:t xml:space="preserve">Similarly, in certain circumstances, </w:t>
      </w:r>
      <w:r w:rsidR="000465A3">
        <w:t xml:space="preserve">existing AFSL holders who </w:t>
      </w:r>
      <w:r>
        <w:t>successful</w:t>
      </w:r>
      <w:r w:rsidR="000465A3">
        <w:t>ly</w:t>
      </w:r>
      <w:r>
        <w:t xml:space="preserve"> appl</w:t>
      </w:r>
      <w:r w:rsidR="000465A3">
        <w:t xml:space="preserve">y </w:t>
      </w:r>
      <w:r>
        <w:t xml:space="preserve">for </w:t>
      </w:r>
      <w:r w:rsidR="00E62AAB">
        <w:t>an</w:t>
      </w:r>
      <w:r w:rsidR="00BA57BA">
        <w:t xml:space="preserve"> </w:t>
      </w:r>
      <w:r w:rsidR="000465A3">
        <w:t xml:space="preserve">additional authorisation to </w:t>
      </w:r>
      <w:r w:rsidR="00FA0F95">
        <w:t xml:space="preserve">deal in a </w:t>
      </w:r>
      <w:r w:rsidR="000465A3">
        <w:t>s</w:t>
      </w:r>
      <w:r w:rsidR="00FA0F95">
        <w:t xml:space="preserve">uperannuation </w:t>
      </w:r>
      <w:r w:rsidR="00BA57BA">
        <w:t xml:space="preserve">interest </w:t>
      </w:r>
      <w:r w:rsidR="00AE7002">
        <w:t>will</w:t>
      </w:r>
      <w:r w:rsidR="00FA0F95">
        <w:t xml:space="preserve"> also </w:t>
      </w:r>
      <w:r w:rsidR="00AE7002">
        <w:t>be</w:t>
      </w:r>
      <w:r w:rsidR="00FA0F95">
        <w:t xml:space="preserve"> deemed to be authorised to provide a superannuation trustee service from the time that application is approved. This occurs if all of the following requirements are met:</w:t>
      </w:r>
    </w:p>
    <w:p w14:paraId="5DDD85E2" w14:textId="47589285" w:rsidR="00FA0F95" w:rsidRDefault="00FA0F95" w:rsidP="00FA0F95">
      <w:pPr>
        <w:pStyle w:val="dotpoint"/>
      </w:pPr>
      <w:r>
        <w:t>the applicant lodges an application</w:t>
      </w:r>
      <w:r w:rsidR="000465A3">
        <w:t>, on or before 30 June 2020,</w:t>
      </w:r>
      <w:r>
        <w:t xml:space="preserve"> </w:t>
      </w:r>
      <w:r w:rsidR="000465A3">
        <w:t xml:space="preserve">for an additional authorisation on its AFSL to </w:t>
      </w:r>
      <w:r>
        <w:t xml:space="preserve">deal in a superannuation </w:t>
      </w:r>
      <w:r w:rsidR="006A6852">
        <w:t>interest</w:t>
      </w:r>
      <w:r>
        <w:t>;</w:t>
      </w:r>
    </w:p>
    <w:p w14:paraId="16662737" w14:textId="77777777" w:rsidR="00FA0F95" w:rsidRDefault="00FA0F95" w:rsidP="00FA0F95">
      <w:pPr>
        <w:pStyle w:val="dotpoint"/>
      </w:pPr>
      <w:r>
        <w:t>ASIC approves that application on or after 1 July 2020; and</w:t>
      </w:r>
    </w:p>
    <w:p w14:paraId="67FB22F9" w14:textId="77777777" w:rsidR="00FA0F95" w:rsidRDefault="00FA0F95" w:rsidP="00FA0F95">
      <w:pPr>
        <w:pStyle w:val="dotpoint"/>
      </w:pPr>
      <w:proofErr w:type="gramStart"/>
      <w:r>
        <w:t>the</w:t>
      </w:r>
      <w:proofErr w:type="gramEnd"/>
      <w:r>
        <w:t xml:space="preserve"> applicant is an RSE licensee at the time ASIC approves that application.</w:t>
      </w:r>
    </w:p>
    <w:p w14:paraId="28799AED" w14:textId="5A9C8672" w:rsidR="00FA0F95" w:rsidRDefault="00FA0F95" w:rsidP="00FA0F95">
      <w:pPr>
        <w:pStyle w:val="dotpoint"/>
        <w:numPr>
          <w:ilvl w:val="0"/>
          <w:numId w:val="0"/>
        </w:numPr>
        <w:ind w:left="1984"/>
      </w:pPr>
      <w:r>
        <w:rPr>
          <w:rStyle w:val="Referencingstyle"/>
        </w:rPr>
        <w:t xml:space="preserve">[Schedule #, </w:t>
      </w:r>
      <w:r w:rsidR="0015767B">
        <w:rPr>
          <w:rStyle w:val="Referencingstyle"/>
        </w:rPr>
        <w:t>item 6</w:t>
      </w:r>
      <w:r w:rsidR="005D2FF3">
        <w:rPr>
          <w:rStyle w:val="Referencingstyle"/>
        </w:rPr>
        <w:t>0</w:t>
      </w:r>
      <w:r w:rsidR="0015767B">
        <w:rPr>
          <w:rStyle w:val="Referencingstyle"/>
        </w:rPr>
        <w:t>, sections 1675 and 1675C of the Corporations Act</w:t>
      </w:r>
      <w:r>
        <w:rPr>
          <w:rStyle w:val="Referencingstyle"/>
        </w:rPr>
        <w:t>]</w:t>
      </w:r>
    </w:p>
    <w:p w14:paraId="126D5E4A" w14:textId="735BD440" w:rsidR="00A52CC9" w:rsidRDefault="00FA0F95" w:rsidP="000E0295">
      <w:pPr>
        <w:pStyle w:val="base-text-paragraph"/>
      </w:pPr>
      <w:r>
        <w:t>Again, a number of existing trustees of non-public offer superannua</w:t>
      </w:r>
      <w:r w:rsidR="00A52CC9">
        <w:t>tion funds are in this category</w:t>
      </w:r>
      <w:r w:rsidR="0079013E">
        <w:t xml:space="preserve"> because </w:t>
      </w:r>
      <w:r w:rsidR="00A52CC9">
        <w:t xml:space="preserve">they have been exempt from </w:t>
      </w:r>
      <w:r w:rsidR="00BA57BA">
        <w:t>the requirement to hold</w:t>
      </w:r>
      <w:r w:rsidR="00A52CC9">
        <w:t xml:space="preserve"> an AFSL to deal in a superannuation</w:t>
      </w:r>
      <w:r w:rsidR="00BA57BA">
        <w:t xml:space="preserve"> interest</w:t>
      </w:r>
      <w:r w:rsidR="0079013E">
        <w:t xml:space="preserve">, </w:t>
      </w:r>
      <w:r w:rsidR="00A52CC9">
        <w:t xml:space="preserve">but hold an AFSL </w:t>
      </w:r>
      <w:r w:rsidR="0079013E">
        <w:t>with another authorisation, such as the provision of financial product advice.</w:t>
      </w:r>
    </w:p>
    <w:p w14:paraId="7F3C08DA" w14:textId="7974C872" w:rsidR="00A52CC9" w:rsidRDefault="0079013E" w:rsidP="000E0295">
      <w:pPr>
        <w:pStyle w:val="base-text-paragraph"/>
      </w:pPr>
      <w:r>
        <w:t xml:space="preserve">From 1 July 2020, these trustees must hold AFSL authorisations both to deal in </w:t>
      </w:r>
      <w:r w:rsidR="00BA57BA">
        <w:t>a superannuation interest</w:t>
      </w:r>
      <w:r>
        <w:t xml:space="preserve"> and to provide a superannuation trustee service, but they only need to meet the application requir</w:t>
      </w:r>
      <w:r w:rsidR="00E14F67">
        <w:t>ements in respect of the former.</w:t>
      </w:r>
    </w:p>
    <w:p w14:paraId="4C633557" w14:textId="2C44D7A6" w:rsidR="00A52CC9" w:rsidRDefault="00A52CC9" w:rsidP="006750CE">
      <w:pPr>
        <w:pStyle w:val="base-text-paragraph"/>
        <w:numPr>
          <w:ilvl w:val="0"/>
          <w:numId w:val="0"/>
        </w:numPr>
        <w:ind w:left="1134"/>
      </w:pPr>
    </w:p>
    <w:sectPr w:rsidR="00A52CC9" w:rsidSect="00C743D3">
      <w:footerReference w:type="even" r:id="rId29"/>
      <w:footerReference w:type="default" r:id="rId30"/>
      <w:foot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561A7" w14:textId="77777777" w:rsidR="00ED3B4F" w:rsidRDefault="00ED3B4F" w:rsidP="00E679CA">
      <w:pPr>
        <w:spacing w:before="0" w:after="0"/>
      </w:pPr>
      <w:r>
        <w:separator/>
      </w:r>
    </w:p>
  </w:endnote>
  <w:endnote w:type="continuationSeparator" w:id="0">
    <w:p w14:paraId="7CBF883E" w14:textId="77777777" w:rsidR="00ED3B4F" w:rsidRDefault="00ED3B4F" w:rsidP="00E679CA">
      <w:pPr>
        <w:spacing w:before="0" w:after="0"/>
      </w:pPr>
      <w:r>
        <w:continuationSeparator/>
      </w:r>
    </w:p>
  </w:endnote>
  <w:endnote w:type="continuationNotice" w:id="1">
    <w:p w14:paraId="136BF6DE" w14:textId="77777777" w:rsidR="00ED3B4F" w:rsidRDefault="00ED3B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2C78E" w14:textId="77777777" w:rsidR="00ED3B4F" w:rsidRDefault="00ED3B4F" w:rsidP="009A404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8A7E7" w14:textId="7B044780" w:rsidR="00ED3B4F" w:rsidRDefault="00ED3B4F" w:rsidP="009A4048">
    <w:pPr>
      <w:pStyle w:val="rightfooter"/>
    </w:pPr>
    <w:r>
      <w:fldChar w:fldCharType="begin"/>
    </w:r>
    <w:r>
      <w:instrText xml:space="preserve"> PAGE   \* MERGEFORMAT </w:instrText>
    </w:r>
    <w:r>
      <w:fldChar w:fldCharType="separate"/>
    </w:r>
    <w:r w:rsidR="00B657DC">
      <w:rPr>
        <w:noProof/>
      </w:rPr>
      <w:t>19</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D2A91" w14:textId="6EC6107B" w:rsidR="00ED3B4F" w:rsidRDefault="00ED3B4F" w:rsidP="009A4048">
    <w:pPr>
      <w:pStyle w:val="rightfooter"/>
    </w:pPr>
    <w:r>
      <w:fldChar w:fldCharType="begin"/>
    </w:r>
    <w:r>
      <w:instrText xml:space="preserve"> PAGE  \* Arabic  \* MERGEFORMAT </w:instrText>
    </w:r>
    <w:r>
      <w:fldChar w:fldCharType="separate"/>
    </w:r>
    <w:r w:rsidR="00B657DC">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6A37A" w14:textId="77777777" w:rsidR="00ED3B4F" w:rsidRDefault="00ED3B4F" w:rsidP="009A404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6BBA" w14:textId="77777777" w:rsidR="00ED3B4F" w:rsidRDefault="00ED3B4F" w:rsidP="009A4048">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70C0" w14:textId="77777777" w:rsidR="00ED3B4F" w:rsidRDefault="00ED3B4F" w:rsidP="009A4048">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BCF29" w14:textId="77777777" w:rsidR="00ED3B4F" w:rsidRPr="00B2068E" w:rsidRDefault="00ED3B4F" w:rsidP="009A40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365DD" w14:textId="77777777" w:rsidR="00ED3B4F" w:rsidRDefault="00ED3B4F" w:rsidP="009A4048">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95A59" w14:textId="77777777" w:rsidR="00ED3B4F" w:rsidRDefault="00ED3B4F" w:rsidP="009A4048">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24396" w14:textId="4E93152E" w:rsidR="00ED3B4F" w:rsidRDefault="00ED3B4F" w:rsidP="009A4048">
    <w:pPr>
      <w:pStyle w:val="rightfooter"/>
    </w:pPr>
    <w:r>
      <w:fldChar w:fldCharType="begin"/>
    </w:r>
    <w:r>
      <w:instrText xml:space="preserve"> PAGE  \* Arabic  \* MERGEFORMAT </w:instrText>
    </w:r>
    <w:r>
      <w:fldChar w:fldCharType="separate"/>
    </w:r>
    <w:r w:rsidR="00B657DC">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DF19" w14:textId="67BD07C4" w:rsidR="00ED3B4F" w:rsidRDefault="00ED3B4F" w:rsidP="009A4048">
    <w:pPr>
      <w:pStyle w:val="leftfooter"/>
    </w:pPr>
    <w:r>
      <w:fldChar w:fldCharType="begin"/>
    </w:r>
    <w:r>
      <w:instrText xml:space="preserve"> PAGE   \* MERGEFORMAT </w:instrText>
    </w:r>
    <w:r>
      <w:fldChar w:fldCharType="separate"/>
    </w:r>
    <w:r w:rsidR="00B657DC">
      <w:rPr>
        <w:noProof/>
      </w:rPr>
      <w:t>18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33F4" w14:textId="77777777" w:rsidR="00ED3B4F" w:rsidRDefault="00ED3B4F" w:rsidP="00E679CA">
      <w:pPr>
        <w:spacing w:before="0" w:after="0"/>
      </w:pPr>
      <w:r>
        <w:separator/>
      </w:r>
    </w:p>
  </w:footnote>
  <w:footnote w:type="continuationSeparator" w:id="0">
    <w:p w14:paraId="72CC6F26" w14:textId="77777777" w:rsidR="00ED3B4F" w:rsidRDefault="00ED3B4F" w:rsidP="00E679CA">
      <w:pPr>
        <w:spacing w:before="0" w:after="0"/>
      </w:pPr>
      <w:r>
        <w:continuationSeparator/>
      </w:r>
    </w:p>
  </w:footnote>
  <w:footnote w:type="continuationNotice" w:id="1">
    <w:p w14:paraId="14CEBCB0" w14:textId="77777777" w:rsidR="00ED3B4F" w:rsidRDefault="00ED3B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302C5" w14:textId="77777777" w:rsidR="00ED3B4F" w:rsidRDefault="00ED3B4F" w:rsidP="009A4048">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032D4" w14:textId="77777777" w:rsidR="00ED3B4F" w:rsidRDefault="00ED3B4F" w:rsidP="009A4048">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27477F3E" w14:textId="77777777" w:rsidR="00ED3B4F" w:rsidRDefault="00B657DC">
        <w:pPr>
          <w:pStyle w:val="Header"/>
        </w:pPr>
        <w:r>
          <w:rPr>
            <w:noProof/>
            <w:lang w:val="en-US" w:eastAsia="en-US"/>
          </w:rPr>
          <w:pict w14:anchorId="1996E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54E37" w14:textId="77777777" w:rsidR="00ED3B4F" w:rsidRDefault="00ED3B4F" w:rsidP="009A4048">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8635D" w14:textId="77777777" w:rsidR="00ED3B4F" w:rsidRDefault="00ED3B4F" w:rsidP="009A4048">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3A68" w14:textId="77777777" w:rsidR="00ED3B4F" w:rsidRDefault="00ED3B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A9EB" w14:textId="15A81751" w:rsidR="00ED3B4F" w:rsidRPr="00422FA2" w:rsidRDefault="00F63D91" w:rsidP="00422FA2">
    <w:pPr>
      <w:pStyle w:val="leftheader"/>
    </w:pPr>
    <w:fldSimple w:instr=" STYLEREF  &quot;Bill Name&quot;  \* MERGEFORMAT ">
      <w:r w:rsidR="00B657DC">
        <w:rPr>
          <w:noProof/>
        </w:rPr>
        <w:t>Financial Sector Reform (Hayne Royal Commission Response – Stronger Regulators (2020 Measures)) Bill 2020: ASIC Regulation of Superannuation</w:t>
      </w:r>
    </w:fldSimple>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AA44" w14:textId="0C74DBA5" w:rsidR="00ED3B4F" w:rsidRDefault="00F63D91" w:rsidP="009A4048">
    <w:pPr>
      <w:pStyle w:val="rightheader"/>
    </w:pPr>
    <w:fldSimple w:instr=" STYLEREF  &quot;ChapterNameOnly&quot;  \* MERGEFORMAT ">
      <w:r w:rsidR="00B657DC">
        <w:rPr>
          <w:noProof/>
        </w:rPr>
        <w:t>Implementing Recommendations 3.8, 6.3, 6.4 and 6.5 of the Financial Services Royal Commission</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03A82"/>
    <w:multiLevelType w:val="multilevel"/>
    <w:tmpl w:val="1346D8D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1"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suff w:val="nothing"/>
      <w:lvlText w:val="Example %1.%4"/>
      <w:lvlJc w:val="left"/>
      <w:pPr>
        <w:ind w:left="1134" w:firstLine="0"/>
      </w:pPr>
      <w:rPr>
        <w:rFonts w:hint="default"/>
      </w:rPr>
    </w:lvl>
    <w:lvl w:ilvl="4">
      <w:start w:val="1"/>
      <w:numFmt w:val="decimal"/>
      <w:lvlRestart w:val="1"/>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DF6494"/>
    <w:multiLevelType w:val="multilevel"/>
    <w:tmpl w:val="A316FE50"/>
    <w:numStyleLink w:val="ChapterList"/>
  </w:abstractNum>
  <w:abstractNum w:abstractNumId="19"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3"/>
  </w:num>
  <w:num w:numId="2">
    <w:abstractNumId w:val="19"/>
  </w:num>
  <w:num w:numId="3">
    <w:abstractNumId w:val="20"/>
  </w:num>
  <w:num w:numId="4">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abstractNumId w:val="14"/>
  </w:num>
  <w:num w:numId="6">
    <w:abstractNumId w:val="15"/>
  </w:num>
  <w:num w:numId="7">
    <w:abstractNumId w:val="16"/>
  </w:num>
  <w:num w:numId="8">
    <w:abstractNumId w:val="16"/>
  </w:num>
  <w:num w:numId="9">
    <w:abstractNumId w:val="17"/>
  </w:num>
  <w:num w:numId="10">
    <w:abstractNumId w:val="17"/>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 w:numId="22">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10"/>
  </w:num>
  <w:num w:numId="25">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7">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18"/>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suff w:val="nothing"/>
        <w:lvlText w:val="Example %1.%4"/>
        <w:lvlJc w:val="left"/>
        <w:pPr>
          <w:ind w:left="1134" w:firstLine="0"/>
        </w:pPr>
        <w:rPr>
          <w:rFonts w:hint="default"/>
        </w:rPr>
      </w:lvl>
    </w:lvlOverride>
    <w:lvlOverride w:ilvl="4">
      <w:lvl w:ilvl="4">
        <w:start w:val="1"/>
        <w:numFmt w:val="decimal"/>
        <w:lvlRestart w:val="1"/>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8"/>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suff w:val="nothing"/>
        <w:lvlText w:val="Example %1.%4"/>
        <w:lvlJc w:val="left"/>
        <w:pPr>
          <w:ind w:left="1134" w:firstLine="0"/>
        </w:pPr>
        <w:rPr>
          <w:rFonts w:hint="default"/>
        </w:rPr>
      </w:lvl>
    </w:lvlOverride>
    <w:lvlOverride w:ilvl="4">
      <w:startOverride w:val="1"/>
      <w:lvl w:ilvl="4">
        <w:start w:val="1"/>
        <w:numFmt w:val="decimal"/>
        <w:lvlRestart w:val="1"/>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24C"/>
    <w:rsid w:val="00000C38"/>
    <w:rsid w:val="00004584"/>
    <w:rsid w:val="00005ED5"/>
    <w:rsid w:val="000068D7"/>
    <w:rsid w:val="000103AC"/>
    <w:rsid w:val="000108DD"/>
    <w:rsid w:val="00011583"/>
    <w:rsid w:val="000174FA"/>
    <w:rsid w:val="0002054A"/>
    <w:rsid w:val="000217C0"/>
    <w:rsid w:val="00021BEA"/>
    <w:rsid w:val="00022F3D"/>
    <w:rsid w:val="00024F5D"/>
    <w:rsid w:val="00025B73"/>
    <w:rsid w:val="00026579"/>
    <w:rsid w:val="00026AAC"/>
    <w:rsid w:val="00027603"/>
    <w:rsid w:val="00027EE2"/>
    <w:rsid w:val="00030A40"/>
    <w:rsid w:val="00030E9D"/>
    <w:rsid w:val="00033B34"/>
    <w:rsid w:val="0003533B"/>
    <w:rsid w:val="00035F27"/>
    <w:rsid w:val="000370C3"/>
    <w:rsid w:val="00037B2C"/>
    <w:rsid w:val="00041639"/>
    <w:rsid w:val="00042165"/>
    <w:rsid w:val="000427C3"/>
    <w:rsid w:val="0004340A"/>
    <w:rsid w:val="0004443E"/>
    <w:rsid w:val="000452A9"/>
    <w:rsid w:val="000465A3"/>
    <w:rsid w:val="00046841"/>
    <w:rsid w:val="000468E0"/>
    <w:rsid w:val="0004798D"/>
    <w:rsid w:val="00047E71"/>
    <w:rsid w:val="0005057D"/>
    <w:rsid w:val="0005091C"/>
    <w:rsid w:val="000546FF"/>
    <w:rsid w:val="000550A1"/>
    <w:rsid w:val="00055DF6"/>
    <w:rsid w:val="00057DA8"/>
    <w:rsid w:val="00062643"/>
    <w:rsid w:val="0006588B"/>
    <w:rsid w:val="00066687"/>
    <w:rsid w:val="00066D86"/>
    <w:rsid w:val="00070FDA"/>
    <w:rsid w:val="0007117D"/>
    <w:rsid w:val="0007317E"/>
    <w:rsid w:val="0007328A"/>
    <w:rsid w:val="0007562E"/>
    <w:rsid w:val="00075B1A"/>
    <w:rsid w:val="0007781C"/>
    <w:rsid w:val="00082EF3"/>
    <w:rsid w:val="00083164"/>
    <w:rsid w:val="00083350"/>
    <w:rsid w:val="00083ABB"/>
    <w:rsid w:val="000858EB"/>
    <w:rsid w:val="00086217"/>
    <w:rsid w:val="00086808"/>
    <w:rsid w:val="0009169B"/>
    <w:rsid w:val="000934BE"/>
    <w:rsid w:val="00094967"/>
    <w:rsid w:val="00094E7C"/>
    <w:rsid w:val="000951DF"/>
    <w:rsid w:val="00095587"/>
    <w:rsid w:val="00095864"/>
    <w:rsid w:val="00095BFD"/>
    <w:rsid w:val="0009639C"/>
    <w:rsid w:val="00096E71"/>
    <w:rsid w:val="000976BD"/>
    <w:rsid w:val="00097886"/>
    <w:rsid w:val="000A2226"/>
    <w:rsid w:val="000A2811"/>
    <w:rsid w:val="000A6BDC"/>
    <w:rsid w:val="000A7046"/>
    <w:rsid w:val="000A7717"/>
    <w:rsid w:val="000A78FC"/>
    <w:rsid w:val="000B0628"/>
    <w:rsid w:val="000B0739"/>
    <w:rsid w:val="000B0C80"/>
    <w:rsid w:val="000B1BED"/>
    <w:rsid w:val="000B3AA8"/>
    <w:rsid w:val="000B4934"/>
    <w:rsid w:val="000B527A"/>
    <w:rsid w:val="000B5960"/>
    <w:rsid w:val="000B72FA"/>
    <w:rsid w:val="000C2A9D"/>
    <w:rsid w:val="000C44D7"/>
    <w:rsid w:val="000C4876"/>
    <w:rsid w:val="000C48CC"/>
    <w:rsid w:val="000C6B78"/>
    <w:rsid w:val="000C71F6"/>
    <w:rsid w:val="000D04A2"/>
    <w:rsid w:val="000D085C"/>
    <w:rsid w:val="000D1078"/>
    <w:rsid w:val="000D1B4B"/>
    <w:rsid w:val="000D22B5"/>
    <w:rsid w:val="000D24E4"/>
    <w:rsid w:val="000D288D"/>
    <w:rsid w:val="000D5369"/>
    <w:rsid w:val="000D7090"/>
    <w:rsid w:val="000D720C"/>
    <w:rsid w:val="000D79B7"/>
    <w:rsid w:val="000D7C2A"/>
    <w:rsid w:val="000E0295"/>
    <w:rsid w:val="000E0564"/>
    <w:rsid w:val="000E2082"/>
    <w:rsid w:val="000E24D0"/>
    <w:rsid w:val="000E29E5"/>
    <w:rsid w:val="000E2E3E"/>
    <w:rsid w:val="000E3A22"/>
    <w:rsid w:val="000E4B50"/>
    <w:rsid w:val="000E4DB2"/>
    <w:rsid w:val="000E5647"/>
    <w:rsid w:val="000E5E50"/>
    <w:rsid w:val="000E745A"/>
    <w:rsid w:val="000F0134"/>
    <w:rsid w:val="000F0222"/>
    <w:rsid w:val="000F0B4B"/>
    <w:rsid w:val="000F0F3C"/>
    <w:rsid w:val="000F1A4A"/>
    <w:rsid w:val="000F1B80"/>
    <w:rsid w:val="000F2A3A"/>
    <w:rsid w:val="000F42C6"/>
    <w:rsid w:val="000F56D3"/>
    <w:rsid w:val="000F58AE"/>
    <w:rsid w:val="000F5DBA"/>
    <w:rsid w:val="00101524"/>
    <w:rsid w:val="00101733"/>
    <w:rsid w:val="001024A3"/>
    <w:rsid w:val="001035F8"/>
    <w:rsid w:val="0010625F"/>
    <w:rsid w:val="00106495"/>
    <w:rsid w:val="00107A5E"/>
    <w:rsid w:val="001114AF"/>
    <w:rsid w:val="00111624"/>
    <w:rsid w:val="0011253C"/>
    <w:rsid w:val="00112613"/>
    <w:rsid w:val="0011562C"/>
    <w:rsid w:val="00116465"/>
    <w:rsid w:val="00116509"/>
    <w:rsid w:val="00116FE9"/>
    <w:rsid w:val="00121435"/>
    <w:rsid w:val="00121F35"/>
    <w:rsid w:val="00122AE2"/>
    <w:rsid w:val="00123B9E"/>
    <w:rsid w:val="00124036"/>
    <w:rsid w:val="00124674"/>
    <w:rsid w:val="001259E6"/>
    <w:rsid w:val="00126C72"/>
    <w:rsid w:val="00127627"/>
    <w:rsid w:val="00127BE8"/>
    <w:rsid w:val="00130EA9"/>
    <w:rsid w:val="0013270C"/>
    <w:rsid w:val="00132717"/>
    <w:rsid w:val="001373FB"/>
    <w:rsid w:val="00137A96"/>
    <w:rsid w:val="001416CF"/>
    <w:rsid w:val="00141D7F"/>
    <w:rsid w:val="00142E5F"/>
    <w:rsid w:val="00144429"/>
    <w:rsid w:val="001449AC"/>
    <w:rsid w:val="00144A81"/>
    <w:rsid w:val="0014640C"/>
    <w:rsid w:val="00150089"/>
    <w:rsid w:val="00151C0B"/>
    <w:rsid w:val="00151E3B"/>
    <w:rsid w:val="00152FAF"/>
    <w:rsid w:val="001530E5"/>
    <w:rsid w:val="0015344F"/>
    <w:rsid w:val="00155124"/>
    <w:rsid w:val="0015767B"/>
    <w:rsid w:val="00157CD4"/>
    <w:rsid w:val="001602DA"/>
    <w:rsid w:val="001606F2"/>
    <w:rsid w:val="00160A2D"/>
    <w:rsid w:val="001611A3"/>
    <w:rsid w:val="00161521"/>
    <w:rsid w:val="001618D7"/>
    <w:rsid w:val="00161A51"/>
    <w:rsid w:val="00163947"/>
    <w:rsid w:val="00163D6B"/>
    <w:rsid w:val="00164091"/>
    <w:rsid w:val="00165060"/>
    <w:rsid w:val="001658D8"/>
    <w:rsid w:val="0016621C"/>
    <w:rsid w:val="001672BC"/>
    <w:rsid w:val="00167346"/>
    <w:rsid w:val="0017031A"/>
    <w:rsid w:val="00171801"/>
    <w:rsid w:val="0017249F"/>
    <w:rsid w:val="00173361"/>
    <w:rsid w:val="00173C87"/>
    <w:rsid w:val="0017421A"/>
    <w:rsid w:val="00174E07"/>
    <w:rsid w:val="001753F4"/>
    <w:rsid w:val="00177E43"/>
    <w:rsid w:val="00180BA5"/>
    <w:rsid w:val="00182704"/>
    <w:rsid w:val="00183D58"/>
    <w:rsid w:val="00187640"/>
    <w:rsid w:val="001903A3"/>
    <w:rsid w:val="0019046F"/>
    <w:rsid w:val="00191105"/>
    <w:rsid w:val="00192982"/>
    <w:rsid w:val="001929F4"/>
    <w:rsid w:val="00192BE2"/>
    <w:rsid w:val="00194096"/>
    <w:rsid w:val="0019645E"/>
    <w:rsid w:val="0019782A"/>
    <w:rsid w:val="001A119F"/>
    <w:rsid w:val="001A2943"/>
    <w:rsid w:val="001A2B7F"/>
    <w:rsid w:val="001A2F9F"/>
    <w:rsid w:val="001A320D"/>
    <w:rsid w:val="001A347A"/>
    <w:rsid w:val="001A3A82"/>
    <w:rsid w:val="001A3B4D"/>
    <w:rsid w:val="001A4A32"/>
    <w:rsid w:val="001A4BFB"/>
    <w:rsid w:val="001A7CAC"/>
    <w:rsid w:val="001B077D"/>
    <w:rsid w:val="001B18BC"/>
    <w:rsid w:val="001B257A"/>
    <w:rsid w:val="001B2C33"/>
    <w:rsid w:val="001B37D0"/>
    <w:rsid w:val="001B3AB4"/>
    <w:rsid w:val="001B3B75"/>
    <w:rsid w:val="001B48CA"/>
    <w:rsid w:val="001B5FA7"/>
    <w:rsid w:val="001B66A7"/>
    <w:rsid w:val="001B7224"/>
    <w:rsid w:val="001B72BF"/>
    <w:rsid w:val="001B7A57"/>
    <w:rsid w:val="001C05EE"/>
    <w:rsid w:val="001C0D15"/>
    <w:rsid w:val="001C1751"/>
    <w:rsid w:val="001C2759"/>
    <w:rsid w:val="001C3636"/>
    <w:rsid w:val="001C3C02"/>
    <w:rsid w:val="001C4015"/>
    <w:rsid w:val="001C40DB"/>
    <w:rsid w:val="001C4439"/>
    <w:rsid w:val="001C5C43"/>
    <w:rsid w:val="001C5F5F"/>
    <w:rsid w:val="001C6FEF"/>
    <w:rsid w:val="001D0441"/>
    <w:rsid w:val="001D0553"/>
    <w:rsid w:val="001D0B97"/>
    <w:rsid w:val="001D0F36"/>
    <w:rsid w:val="001D3486"/>
    <w:rsid w:val="001D3975"/>
    <w:rsid w:val="001D3E19"/>
    <w:rsid w:val="001D3E54"/>
    <w:rsid w:val="001D44E4"/>
    <w:rsid w:val="001D45B5"/>
    <w:rsid w:val="001D47F1"/>
    <w:rsid w:val="001D4D0B"/>
    <w:rsid w:val="001D7168"/>
    <w:rsid w:val="001D7496"/>
    <w:rsid w:val="001E0072"/>
    <w:rsid w:val="001E0592"/>
    <w:rsid w:val="001E075D"/>
    <w:rsid w:val="001E2421"/>
    <w:rsid w:val="001E2F53"/>
    <w:rsid w:val="001E4D65"/>
    <w:rsid w:val="001E50D9"/>
    <w:rsid w:val="001E57DD"/>
    <w:rsid w:val="001E7B74"/>
    <w:rsid w:val="001F0B43"/>
    <w:rsid w:val="001F1F9C"/>
    <w:rsid w:val="001F395B"/>
    <w:rsid w:val="001F5363"/>
    <w:rsid w:val="001F552F"/>
    <w:rsid w:val="0020023F"/>
    <w:rsid w:val="00200432"/>
    <w:rsid w:val="00200E01"/>
    <w:rsid w:val="002017D9"/>
    <w:rsid w:val="00201CCD"/>
    <w:rsid w:val="00202082"/>
    <w:rsid w:val="00202232"/>
    <w:rsid w:val="00203326"/>
    <w:rsid w:val="00204034"/>
    <w:rsid w:val="00204538"/>
    <w:rsid w:val="00206B3A"/>
    <w:rsid w:val="00210CF9"/>
    <w:rsid w:val="00211779"/>
    <w:rsid w:val="00214DB2"/>
    <w:rsid w:val="00215723"/>
    <w:rsid w:val="00220A42"/>
    <w:rsid w:val="00220E73"/>
    <w:rsid w:val="0022112D"/>
    <w:rsid w:val="00222DA9"/>
    <w:rsid w:val="002231C7"/>
    <w:rsid w:val="0022349B"/>
    <w:rsid w:val="00223E22"/>
    <w:rsid w:val="00226293"/>
    <w:rsid w:val="00226328"/>
    <w:rsid w:val="00230258"/>
    <w:rsid w:val="0023042E"/>
    <w:rsid w:val="00231215"/>
    <w:rsid w:val="00231A2F"/>
    <w:rsid w:val="00231BAF"/>
    <w:rsid w:val="0023521F"/>
    <w:rsid w:val="00235644"/>
    <w:rsid w:val="00235E42"/>
    <w:rsid w:val="002371AB"/>
    <w:rsid w:val="00237723"/>
    <w:rsid w:val="0024247C"/>
    <w:rsid w:val="00242626"/>
    <w:rsid w:val="00242E83"/>
    <w:rsid w:val="00243B3D"/>
    <w:rsid w:val="00244ACC"/>
    <w:rsid w:val="00245BFB"/>
    <w:rsid w:val="00246558"/>
    <w:rsid w:val="00246E44"/>
    <w:rsid w:val="0024732D"/>
    <w:rsid w:val="002478DB"/>
    <w:rsid w:val="00247B7D"/>
    <w:rsid w:val="00250829"/>
    <w:rsid w:val="00251C7A"/>
    <w:rsid w:val="002527D8"/>
    <w:rsid w:val="0025433A"/>
    <w:rsid w:val="00254982"/>
    <w:rsid w:val="00255A18"/>
    <w:rsid w:val="00257D0B"/>
    <w:rsid w:val="00257EF8"/>
    <w:rsid w:val="0026288F"/>
    <w:rsid w:val="00263D94"/>
    <w:rsid w:val="00263FC8"/>
    <w:rsid w:val="0026471A"/>
    <w:rsid w:val="00270134"/>
    <w:rsid w:val="0027128C"/>
    <w:rsid w:val="00273494"/>
    <w:rsid w:val="002756D6"/>
    <w:rsid w:val="00275B55"/>
    <w:rsid w:val="00276605"/>
    <w:rsid w:val="0028027B"/>
    <w:rsid w:val="0028232D"/>
    <w:rsid w:val="00282C4F"/>
    <w:rsid w:val="0028339D"/>
    <w:rsid w:val="00283FB1"/>
    <w:rsid w:val="0028688E"/>
    <w:rsid w:val="0028689C"/>
    <w:rsid w:val="00291E45"/>
    <w:rsid w:val="00294252"/>
    <w:rsid w:val="00295274"/>
    <w:rsid w:val="00295ABD"/>
    <w:rsid w:val="00296B96"/>
    <w:rsid w:val="002976E3"/>
    <w:rsid w:val="002A2D17"/>
    <w:rsid w:val="002A2DE7"/>
    <w:rsid w:val="002A35C6"/>
    <w:rsid w:val="002A4299"/>
    <w:rsid w:val="002A4982"/>
    <w:rsid w:val="002A730B"/>
    <w:rsid w:val="002A7F6E"/>
    <w:rsid w:val="002B048D"/>
    <w:rsid w:val="002B1A52"/>
    <w:rsid w:val="002B2B64"/>
    <w:rsid w:val="002B478C"/>
    <w:rsid w:val="002B4A05"/>
    <w:rsid w:val="002B5017"/>
    <w:rsid w:val="002B54A0"/>
    <w:rsid w:val="002B57C9"/>
    <w:rsid w:val="002B63A0"/>
    <w:rsid w:val="002C2626"/>
    <w:rsid w:val="002C3C40"/>
    <w:rsid w:val="002D0B7C"/>
    <w:rsid w:val="002D2679"/>
    <w:rsid w:val="002D26D3"/>
    <w:rsid w:val="002D3413"/>
    <w:rsid w:val="002D3BF6"/>
    <w:rsid w:val="002D3DF2"/>
    <w:rsid w:val="002D4418"/>
    <w:rsid w:val="002D4A57"/>
    <w:rsid w:val="002D65DD"/>
    <w:rsid w:val="002E1368"/>
    <w:rsid w:val="002E1D1D"/>
    <w:rsid w:val="002E22B2"/>
    <w:rsid w:val="002E2EFE"/>
    <w:rsid w:val="002E509F"/>
    <w:rsid w:val="002E5C16"/>
    <w:rsid w:val="002E5F8F"/>
    <w:rsid w:val="002E6836"/>
    <w:rsid w:val="002E79BE"/>
    <w:rsid w:val="002F0D2B"/>
    <w:rsid w:val="002F181C"/>
    <w:rsid w:val="002F29B1"/>
    <w:rsid w:val="002F5853"/>
    <w:rsid w:val="002F5E1E"/>
    <w:rsid w:val="002F5E3E"/>
    <w:rsid w:val="002F6C63"/>
    <w:rsid w:val="00300B52"/>
    <w:rsid w:val="00300D07"/>
    <w:rsid w:val="00302872"/>
    <w:rsid w:val="00302B16"/>
    <w:rsid w:val="003044E1"/>
    <w:rsid w:val="0030537B"/>
    <w:rsid w:val="003059FE"/>
    <w:rsid w:val="00305BC0"/>
    <w:rsid w:val="00307165"/>
    <w:rsid w:val="00307DF4"/>
    <w:rsid w:val="003101FB"/>
    <w:rsid w:val="00310826"/>
    <w:rsid w:val="00310F45"/>
    <w:rsid w:val="003112EB"/>
    <w:rsid w:val="00311BCB"/>
    <w:rsid w:val="0031413C"/>
    <w:rsid w:val="00314538"/>
    <w:rsid w:val="003175C6"/>
    <w:rsid w:val="0032025D"/>
    <w:rsid w:val="00320CE6"/>
    <w:rsid w:val="00320D15"/>
    <w:rsid w:val="00322D5C"/>
    <w:rsid w:val="00325214"/>
    <w:rsid w:val="00327C12"/>
    <w:rsid w:val="00330871"/>
    <w:rsid w:val="00331979"/>
    <w:rsid w:val="003329F4"/>
    <w:rsid w:val="00332DB7"/>
    <w:rsid w:val="00333282"/>
    <w:rsid w:val="003370DB"/>
    <w:rsid w:val="0033724F"/>
    <w:rsid w:val="00337552"/>
    <w:rsid w:val="00337C89"/>
    <w:rsid w:val="00340631"/>
    <w:rsid w:val="003418FC"/>
    <w:rsid w:val="003429FA"/>
    <w:rsid w:val="00345CD9"/>
    <w:rsid w:val="00345DA3"/>
    <w:rsid w:val="0034732A"/>
    <w:rsid w:val="003524D6"/>
    <w:rsid w:val="00356123"/>
    <w:rsid w:val="003565BB"/>
    <w:rsid w:val="003568F6"/>
    <w:rsid w:val="00357FE0"/>
    <w:rsid w:val="00362C94"/>
    <w:rsid w:val="00362DFA"/>
    <w:rsid w:val="003635A8"/>
    <w:rsid w:val="003653E0"/>
    <w:rsid w:val="003658A6"/>
    <w:rsid w:val="00365981"/>
    <w:rsid w:val="00365BBF"/>
    <w:rsid w:val="00366DD8"/>
    <w:rsid w:val="00366E43"/>
    <w:rsid w:val="00367E51"/>
    <w:rsid w:val="003701D8"/>
    <w:rsid w:val="00370C64"/>
    <w:rsid w:val="00371A32"/>
    <w:rsid w:val="00372F4F"/>
    <w:rsid w:val="00373391"/>
    <w:rsid w:val="00375786"/>
    <w:rsid w:val="003759BE"/>
    <w:rsid w:val="00375F1D"/>
    <w:rsid w:val="00377B50"/>
    <w:rsid w:val="00380256"/>
    <w:rsid w:val="00380F09"/>
    <w:rsid w:val="0038141A"/>
    <w:rsid w:val="003819B5"/>
    <w:rsid w:val="0038240C"/>
    <w:rsid w:val="00382580"/>
    <w:rsid w:val="00382D66"/>
    <w:rsid w:val="00385200"/>
    <w:rsid w:val="0038535B"/>
    <w:rsid w:val="00386031"/>
    <w:rsid w:val="0038786A"/>
    <w:rsid w:val="003901A4"/>
    <w:rsid w:val="00392F62"/>
    <w:rsid w:val="00393FFB"/>
    <w:rsid w:val="0039411E"/>
    <w:rsid w:val="00394BAA"/>
    <w:rsid w:val="00395215"/>
    <w:rsid w:val="00395D9B"/>
    <w:rsid w:val="00397093"/>
    <w:rsid w:val="003A0878"/>
    <w:rsid w:val="003A328D"/>
    <w:rsid w:val="003A475D"/>
    <w:rsid w:val="003A555E"/>
    <w:rsid w:val="003A57A4"/>
    <w:rsid w:val="003A5E3E"/>
    <w:rsid w:val="003A6070"/>
    <w:rsid w:val="003A657F"/>
    <w:rsid w:val="003A6759"/>
    <w:rsid w:val="003A7082"/>
    <w:rsid w:val="003B0595"/>
    <w:rsid w:val="003B233B"/>
    <w:rsid w:val="003B2355"/>
    <w:rsid w:val="003B2673"/>
    <w:rsid w:val="003B276F"/>
    <w:rsid w:val="003B3394"/>
    <w:rsid w:val="003B5C38"/>
    <w:rsid w:val="003B6B47"/>
    <w:rsid w:val="003B70BE"/>
    <w:rsid w:val="003B77F0"/>
    <w:rsid w:val="003C00CC"/>
    <w:rsid w:val="003C0C22"/>
    <w:rsid w:val="003C6576"/>
    <w:rsid w:val="003C687B"/>
    <w:rsid w:val="003D0518"/>
    <w:rsid w:val="003D0D73"/>
    <w:rsid w:val="003D12C3"/>
    <w:rsid w:val="003D28AC"/>
    <w:rsid w:val="003D2960"/>
    <w:rsid w:val="003D308F"/>
    <w:rsid w:val="003D4F69"/>
    <w:rsid w:val="003D5258"/>
    <w:rsid w:val="003D5849"/>
    <w:rsid w:val="003D5E69"/>
    <w:rsid w:val="003D6106"/>
    <w:rsid w:val="003D6AA3"/>
    <w:rsid w:val="003D7294"/>
    <w:rsid w:val="003D73FF"/>
    <w:rsid w:val="003E194F"/>
    <w:rsid w:val="003E218B"/>
    <w:rsid w:val="003E310D"/>
    <w:rsid w:val="003E3364"/>
    <w:rsid w:val="003E3EF9"/>
    <w:rsid w:val="003E4463"/>
    <w:rsid w:val="003E470B"/>
    <w:rsid w:val="003E5AB0"/>
    <w:rsid w:val="003E7AAB"/>
    <w:rsid w:val="003E7AB0"/>
    <w:rsid w:val="003E7BEE"/>
    <w:rsid w:val="003F13C6"/>
    <w:rsid w:val="003F29F3"/>
    <w:rsid w:val="003F374C"/>
    <w:rsid w:val="003F38BA"/>
    <w:rsid w:val="003F38DE"/>
    <w:rsid w:val="003F3C49"/>
    <w:rsid w:val="003F7EB7"/>
    <w:rsid w:val="00400E61"/>
    <w:rsid w:val="00402C9B"/>
    <w:rsid w:val="00403781"/>
    <w:rsid w:val="00404069"/>
    <w:rsid w:val="00404B88"/>
    <w:rsid w:val="00405C1F"/>
    <w:rsid w:val="00406CC5"/>
    <w:rsid w:val="004102BF"/>
    <w:rsid w:val="00411794"/>
    <w:rsid w:val="00411E71"/>
    <w:rsid w:val="0041280D"/>
    <w:rsid w:val="004149B4"/>
    <w:rsid w:val="00416725"/>
    <w:rsid w:val="00416BFD"/>
    <w:rsid w:val="004173C7"/>
    <w:rsid w:val="0041762F"/>
    <w:rsid w:val="00417B80"/>
    <w:rsid w:val="00420559"/>
    <w:rsid w:val="00421205"/>
    <w:rsid w:val="00421ACD"/>
    <w:rsid w:val="00422FA2"/>
    <w:rsid w:val="0042361B"/>
    <w:rsid w:val="00424123"/>
    <w:rsid w:val="004253CF"/>
    <w:rsid w:val="00425B93"/>
    <w:rsid w:val="0042743A"/>
    <w:rsid w:val="004302F7"/>
    <w:rsid w:val="00430D13"/>
    <w:rsid w:val="00431F28"/>
    <w:rsid w:val="00432845"/>
    <w:rsid w:val="00432CF0"/>
    <w:rsid w:val="004333DE"/>
    <w:rsid w:val="00436611"/>
    <w:rsid w:val="00436C1D"/>
    <w:rsid w:val="004370FE"/>
    <w:rsid w:val="00437CC5"/>
    <w:rsid w:val="00437E6F"/>
    <w:rsid w:val="00441D81"/>
    <w:rsid w:val="00441FE0"/>
    <w:rsid w:val="0044362F"/>
    <w:rsid w:val="004441CA"/>
    <w:rsid w:val="00445124"/>
    <w:rsid w:val="00447A32"/>
    <w:rsid w:val="00451E83"/>
    <w:rsid w:val="004552C2"/>
    <w:rsid w:val="00455D3C"/>
    <w:rsid w:val="004562AA"/>
    <w:rsid w:val="004620F0"/>
    <w:rsid w:val="004625AE"/>
    <w:rsid w:val="004628E9"/>
    <w:rsid w:val="004637F0"/>
    <w:rsid w:val="00464929"/>
    <w:rsid w:val="0046498A"/>
    <w:rsid w:val="0046612A"/>
    <w:rsid w:val="00467041"/>
    <w:rsid w:val="00467657"/>
    <w:rsid w:val="00471626"/>
    <w:rsid w:val="00472540"/>
    <w:rsid w:val="004739FF"/>
    <w:rsid w:val="00474324"/>
    <w:rsid w:val="00474344"/>
    <w:rsid w:val="00474E10"/>
    <w:rsid w:val="00476032"/>
    <w:rsid w:val="004775DF"/>
    <w:rsid w:val="00477C8F"/>
    <w:rsid w:val="004823A2"/>
    <w:rsid w:val="004835A7"/>
    <w:rsid w:val="00483743"/>
    <w:rsid w:val="00484218"/>
    <w:rsid w:val="00484431"/>
    <w:rsid w:val="00485D42"/>
    <w:rsid w:val="00486F2B"/>
    <w:rsid w:val="00490A5C"/>
    <w:rsid w:val="00494DE0"/>
    <w:rsid w:val="004957FE"/>
    <w:rsid w:val="0049629F"/>
    <w:rsid w:val="004A0180"/>
    <w:rsid w:val="004A12A1"/>
    <w:rsid w:val="004A1D98"/>
    <w:rsid w:val="004A2FD7"/>
    <w:rsid w:val="004A3664"/>
    <w:rsid w:val="004A52E5"/>
    <w:rsid w:val="004A6650"/>
    <w:rsid w:val="004A6EF4"/>
    <w:rsid w:val="004A7AEF"/>
    <w:rsid w:val="004B035F"/>
    <w:rsid w:val="004B1A15"/>
    <w:rsid w:val="004B2054"/>
    <w:rsid w:val="004B394D"/>
    <w:rsid w:val="004B4FDA"/>
    <w:rsid w:val="004B5EFD"/>
    <w:rsid w:val="004B75E3"/>
    <w:rsid w:val="004C00B2"/>
    <w:rsid w:val="004C0817"/>
    <w:rsid w:val="004C0DB2"/>
    <w:rsid w:val="004C0E9E"/>
    <w:rsid w:val="004C1582"/>
    <w:rsid w:val="004C1F60"/>
    <w:rsid w:val="004C21CB"/>
    <w:rsid w:val="004C515E"/>
    <w:rsid w:val="004C6043"/>
    <w:rsid w:val="004C7451"/>
    <w:rsid w:val="004C77E6"/>
    <w:rsid w:val="004D2AC2"/>
    <w:rsid w:val="004D2B82"/>
    <w:rsid w:val="004D2C0C"/>
    <w:rsid w:val="004D312D"/>
    <w:rsid w:val="004D443E"/>
    <w:rsid w:val="004D4F56"/>
    <w:rsid w:val="004D50B4"/>
    <w:rsid w:val="004D5734"/>
    <w:rsid w:val="004D5812"/>
    <w:rsid w:val="004E087F"/>
    <w:rsid w:val="004E2441"/>
    <w:rsid w:val="004E470D"/>
    <w:rsid w:val="004F37EF"/>
    <w:rsid w:val="004F3AA7"/>
    <w:rsid w:val="004F3C00"/>
    <w:rsid w:val="004F4968"/>
    <w:rsid w:val="004F4E68"/>
    <w:rsid w:val="004F7322"/>
    <w:rsid w:val="004F7D3A"/>
    <w:rsid w:val="00501CCE"/>
    <w:rsid w:val="005037D0"/>
    <w:rsid w:val="00503F40"/>
    <w:rsid w:val="00504FFA"/>
    <w:rsid w:val="00505DE5"/>
    <w:rsid w:val="005068FC"/>
    <w:rsid w:val="00506B4F"/>
    <w:rsid w:val="00507120"/>
    <w:rsid w:val="00511000"/>
    <w:rsid w:val="0051181A"/>
    <w:rsid w:val="00511D34"/>
    <w:rsid w:val="00512899"/>
    <w:rsid w:val="00512CD5"/>
    <w:rsid w:val="005138DD"/>
    <w:rsid w:val="005141AA"/>
    <w:rsid w:val="005178FC"/>
    <w:rsid w:val="00517BF4"/>
    <w:rsid w:val="00517ED9"/>
    <w:rsid w:val="00521E33"/>
    <w:rsid w:val="005227BB"/>
    <w:rsid w:val="00522AE0"/>
    <w:rsid w:val="00523D3E"/>
    <w:rsid w:val="005240F6"/>
    <w:rsid w:val="0052474F"/>
    <w:rsid w:val="005321D7"/>
    <w:rsid w:val="00532290"/>
    <w:rsid w:val="00534058"/>
    <w:rsid w:val="005340B6"/>
    <w:rsid w:val="00534E47"/>
    <w:rsid w:val="0053522B"/>
    <w:rsid w:val="00535F17"/>
    <w:rsid w:val="00535F2B"/>
    <w:rsid w:val="005364D7"/>
    <w:rsid w:val="00537142"/>
    <w:rsid w:val="0054045D"/>
    <w:rsid w:val="00542278"/>
    <w:rsid w:val="00542A47"/>
    <w:rsid w:val="00542C52"/>
    <w:rsid w:val="00542C71"/>
    <w:rsid w:val="005442CC"/>
    <w:rsid w:val="00544C94"/>
    <w:rsid w:val="0054615A"/>
    <w:rsid w:val="005471E3"/>
    <w:rsid w:val="0054768F"/>
    <w:rsid w:val="00547A7D"/>
    <w:rsid w:val="00547C11"/>
    <w:rsid w:val="005502D1"/>
    <w:rsid w:val="0055086F"/>
    <w:rsid w:val="00551226"/>
    <w:rsid w:val="00551665"/>
    <w:rsid w:val="005525ED"/>
    <w:rsid w:val="005542A1"/>
    <w:rsid w:val="00555C53"/>
    <w:rsid w:val="00556751"/>
    <w:rsid w:val="005568AB"/>
    <w:rsid w:val="00556F74"/>
    <w:rsid w:val="00557296"/>
    <w:rsid w:val="00560812"/>
    <w:rsid w:val="00561BF7"/>
    <w:rsid w:val="00561D7F"/>
    <w:rsid w:val="005627B8"/>
    <w:rsid w:val="005629D9"/>
    <w:rsid w:val="0056548B"/>
    <w:rsid w:val="00566F56"/>
    <w:rsid w:val="00567249"/>
    <w:rsid w:val="00567602"/>
    <w:rsid w:val="0057069E"/>
    <w:rsid w:val="0057088A"/>
    <w:rsid w:val="00572C93"/>
    <w:rsid w:val="00573363"/>
    <w:rsid w:val="00574CA0"/>
    <w:rsid w:val="005755D2"/>
    <w:rsid w:val="00576A05"/>
    <w:rsid w:val="005841F0"/>
    <w:rsid w:val="00584522"/>
    <w:rsid w:val="00584756"/>
    <w:rsid w:val="005852B5"/>
    <w:rsid w:val="00586B6E"/>
    <w:rsid w:val="0059143C"/>
    <w:rsid w:val="005936F8"/>
    <w:rsid w:val="005953A0"/>
    <w:rsid w:val="0059570A"/>
    <w:rsid w:val="00596A06"/>
    <w:rsid w:val="005A0C16"/>
    <w:rsid w:val="005A1020"/>
    <w:rsid w:val="005A1851"/>
    <w:rsid w:val="005A1D12"/>
    <w:rsid w:val="005A47CF"/>
    <w:rsid w:val="005A496E"/>
    <w:rsid w:val="005A4F2F"/>
    <w:rsid w:val="005A4FAF"/>
    <w:rsid w:val="005A5CE5"/>
    <w:rsid w:val="005A6572"/>
    <w:rsid w:val="005A692A"/>
    <w:rsid w:val="005A7FC2"/>
    <w:rsid w:val="005B2192"/>
    <w:rsid w:val="005B3213"/>
    <w:rsid w:val="005B389E"/>
    <w:rsid w:val="005B59E9"/>
    <w:rsid w:val="005B64B2"/>
    <w:rsid w:val="005B7EC8"/>
    <w:rsid w:val="005C0405"/>
    <w:rsid w:val="005C1334"/>
    <w:rsid w:val="005C13F4"/>
    <w:rsid w:val="005C18C7"/>
    <w:rsid w:val="005C24AA"/>
    <w:rsid w:val="005C3709"/>
    <w:rsid w:val="005C57EC"/>
    <w:rsid w:val="005C59DB"/>
    <w:rsid w:val="005C5A79"/>
    <w:rsid w:val="005C5C23"/>
    <w:rsid w:val="005C5FC7"/>
    <w:rsid w:val="005D0800"/>
    <w:rsid w:val="005D08CE"/>
    <w:rsid w:val="005D1A6A"/>
    <w:rsid w:val="005D2FF3"/>
    <w:rsid w:val="005D5341"/>
    <w:rsid w:val="005D53EE"/>
    <w:rsid w:val="005E0143"/>
    <w:rsid w:val="005E0681"/>
    <w:rsid w:val="005E100E"/>
    <w:rsid w:val="005E171A"/>
    <w:rsid w:val="005E1816"/>
    <w:rsid w:val="005E20B0"/>
    <w:rsid w:val="005E2323"/>
    <w:rsid w:val="005E242D"/>
    <w:rsid w:val="005E3647"/>
    <w:rsid w:val="005E4CEC"/>
    <w:rsid w:val="005E5E65"/>
    <w:rsid w:val="005F0F62"/>
    <w:rsid w:val="005F1B25"/>
    <w:rsid w:val="005F4063"/>
    <w:rsid w:val="005F4084"/>
    <w:rsid w:val="005F5844"/>
    <w:rsid w:val="005F6C63"/>
    <w:rsid w:val="0060137A"/>
    <w:rsid w:val="006075E0"/>
    <w:rsid w:val="006113BE"/>
    <w:rsid w:val="006130F6"/>
    <w:rsid w:val="00613E1F"/>
    <w:rsid w:val="006146D3"/>
    <w:rsid w:val="0061494B"/>
    <w:rsid w:val="00614EE1"/>
    <w:rsid w:val="00615A76"/>
    <w:rsid w:val="006168B0"/>
    <w:rsid w:val="0061762F"/>
    <w:rsid w:val="0062008C"/>
    <w:rsid w:val="00621F11"/>
    <w:rsid w:val="00622BC4"/>
    <w:rsid w:val="0062348F"/>
    <w:rsid w:val="00624728"/>
    <w:rsid w:val="006249D0"/>
    <w:rsid w:val="00624EDE"/>
    <w:rsid w:val="006260B1"/>
    <w:rsid w:val="00630DD5"/>
    <w:rsid w:val="0063127E"/>
    <w:rsid w:val="00632067"/>
    <w:rsid w:val="006323CA"/>
    <w:rsid w:val="006327CE"/>
    <w:rsid w:val="00632944"/>
    <w:rsid w:val="00636804"/>
    <w:rsid w:val="00640125"/>
    <w:rsid w:val="0064320A"/>
    <w:rsid w:val="0064349D"/>
    <w:rsid w:val="006437CF"/>
    <w:rsid w:val="0064492E"/>
    <w:rsid w:val="006456DA"/>
    <w:rsid w:val="00645864"/>
    <w:rsid w:val="00646231"/>
    <w:rsid w:val="006473E7"/>
    <w:rsid w:val="006501B5"/>
    <w:rsid w:val="00650847"/>
    <w:rsid w:val="00650E43"/>
    <w:rsid w:val="006519F2"/>
    <w:rsid w:val="00651D46"/>
    <w:rsid w:val="006537B2"/>
    <w:rsid w:val="00655487"/>
    <w:rsid w:val="00655C98"/>
    <w:rsid w:val="006560FF"/>
    <w:rsid w:val="00662A93"/>
    <w:rsid w:val="00663457"/>
    <w:rsid w:val="00663928"/>
    <w:rsid w:val="00664A2C"/>
    <w:rsid w:val="00665125"/>
    <w:rsid w:val="00667958"/>
    <w:rsid w:val="006705E2"/>
    <w:rsid w:val="00670A85"/>
    <w:rsid w:val="006722DE"/>
    <w:rsid w:val="006723BA"/>
    <w:rsid w:val="006750CE"/>
    <w:rsid w:val="00675453"/>
    <w:rsid w:val="00675DEC"/>
    <w:rsid w:val="006773F7"/>
    <w:rsid w:val="00677960"/>
    <w:rsid w:val="00677AE1"/>
    <w:rsid w:val="00680B63"/>
    <w:rsid w:val="00681E0D"/>
    <w:rsid w:val="00682EFB"/>
    <w:rsid w:val="00683158"/>
    <w:rsid w:val="00685493"/>
    <w:rsid w:val="00685C10"/>
    <w:rsid w:val="00694932"/>
    <w:rsid w:val="00696483"/>
    <w:rsid w:val="00696912"/>
    <w:rsid w:val="00697089"/>
    <w:rsid w:val="006976CA"/>
    <w:rsid w:val="00697EE2"/>
    <w:rsid w:val="006A05D6"/>
    <w:rsid w:val="006A1FAC"/>
    <w:rsid w:val="006A29A8"/>
    <w:rsid w:val="006A344A"/>
    <w:rsid w:val="006A6852"/>
    <w:rsid w:val="006A72CB"/>
    <w:rsid w:val="006B2205"/>
    <w:rsid w:val="006B22A5"/>
    <w:rsid w:val="006B3D8B"/>
    <w:rsid w:val="006B4A43"/>
    <w:rsid w:val="006B4C6D"/>
    <w:rsid w:val="006B5BF9"/>
    <w:rsid w:val="006B6CEA"/>
    <w:rsid w:val="006B732F"/>
    <w:rsid w:val="006B73A2"/>
    <w:rsid w:val="006C1B58"/>
    <w:rsid w:val="006C1CAE"/>
    <w:rsid w:val="006C2A2E"/>
    <w:rsid w:val="006C7E79"/>
    <w:rsid w:val="006D024C"/>
    <w:rsid w:val="006D1708"/>
    <w:rsid w:val="006D1740"/>
    <w:rsid w:val="006D33D5"/>
    <w:rsid w:val="006D488F"/>
    <w:rsid w:val="006D4C1E"/>
    <w:rsid w:val="006D5463"/>
    <w:rsid w:val="006D5AB6"/>
    <w:rsid w:val="006D7C60"/>
    <w:rsid w:val="006E0ACF"/>
    <w:rsid w:val="006E2353"/>
    <w:rsid w:val="006E36B7"/>
    <w:rsid w:val="006E6779"/>
    <w:rsid w:val="006E6AC1"/>
    <w:rsid w:val="006E6DC2"/>
    <w:rsid w:val="006F04BC"/>
    <w:rsid w:val="006F1FBF"/>
    <w:rsid w:val="006F233D"/>
    <w:rsid w:val="006F2CB7"/>
    <w:rsid w:val="006F2F29"/>
    <w:rsid w:val="006F5EF4"/>
    <w:rsid w:val="006F67F8"/>
    <w:rsid w:val="006F6D86"/>
    <w:rsid w:val="006F71AE"/>
    <w:rsid w:val="006F74A0"/>
    <w:rsid w:val="0070015D"/>
    <w:rsid w:val="007002E3"/>
    <w:rsid w:val="007005D9"/>
    <w:rsid w:val="00700754"/>
    <w:rsid w:val="0070180F"/>
    <w:rsid w:val="00701ADA"/>
    <w:rsid w:val="00703737"/>
    <w:rsid w:val="00703B2A"/>
    <w:rsid w:val="007058E8"/>
    <w:rsid w:val="00706CE0"/>
    <w:rsid w:val="007070BD"/>
    <w:rsid w:val="007075F0"/>
    <w:rsid w:val="00707CD8"/>
    <w:rsid w:val="00710C08"/>
    <w:rsid w:val="007114AC"/>
    <w:rsid w:val="007134D5"/>
    <w:rsid w:val="0071441E"/>
    <w:rsid w:val="007157EC"/>
    <w:rsid w:val="00716ACF"/>
    <w:rsid w:val="00720214"/>
    <w:rsid w:val="0072260D"/>
    <w:rsid w:val="007229AD"/>
    <w:rsid w:val="00722F80"/>
    <w:rsid w:val="007236D3"/>
    <w:rsid w:val="00724B33"/>
    <w:rsid w:val="007259C3"/>
    <w:rsid w:val="00726D95"/>
    <w:rsid w:val="00726FAC"/>
    <w:rsid w:val="00730CBA"/>
    <w:rsid w:val="00730CC8"/>
    <w:rsid w:val="00731702"/>
    <w:rsid w:val="007317AF"/>
    <w:rsid w:val="00732277"/>
    <w:rsid w:val="007327FE"/>
    <w:rsid w:val="007342FF"/>
    <w:rsid w:val="007349F9"/>
    <w:rsid w:val="00734E69"/>
    <w:rsid w:val="00734F84"/>
    <w:rsid w:val="0073574F"/>
    <w:rsid w:val="00735C57"/>
    <w:rsid w:val="007365CF"/>
    <w:rsid w:val="007376FC"/>
    <w:rsid w:val="00737837"/>
    <w:rsid w:val="0074043F"/>
    <w:rsid w:val="007448E1"/>
    <w:rsid w:val="007465B4"/>
    <w:rsid w:val="00746976"/>
    <w:rsid w:val="0074743F"/>
    <w:rsid w:val="00747696"/>
    <w:rsid w:val="00747A03"/>
    <w:rsid w:val="00750567"/>
    <w:rsid w:val="0075191D"/>
    <w:rsid w:val="00752317"/>
    <w:rsid w:val="0075508D"/>
    <w:rsid w:val="00755607"/>
    <w:rsid w:val="007569F1"/>
    <w:rsid w:val="007579E6"/>
    <w:rsid w:val="00761316"/>
    <w:rsid w:val="007618C6"/>
    <w:rsid w:val="00761A25"/>
    <w:rsid w:val="007648E0"/>
    <w:rsid w:val="00765C31"/>
    <w:rsid w:val="00767530"/>
    <w:rsid w:val="0077064A"/>
    <w:rsid w:val="0077098C"/>
    <w:rsid w:val="00771449"/>
    <w:rsid w:val="00771795"/>
    <w:rsid w:val="00773B68"/>
    <w:rsid w:val="00773E18"/>
    <w:rsid w:val="00774652"/>
    <w:rsid w:val="00774CB6"/>
    <w:rsid w:val="00774D3E"/>
    <w:rsid w:val="00775304"/>
    <w:rsid w:val="007772B8"/>
    <w:rsid w:val="00780362"/>
    <w:rsid w:val="00781070"/>
    <w:rsid w:val="007831CD"/>
    <w:rsid w:val="0078387E"/>
    <w:rsid w:val="00783D97"/>
    <w:rsid w:val="00783DC9"/>
    <w:rsid w:val="007840D1"/>
    <w:rsid w:val="00785926"/>
    <w:rsid w:val="007860AD"/>
    <w:rsid w:val="0079013E"/>
    <w:rsid w:val="00795A45"/>
    <w:rsid w:val="00796110"/>
    <w:rsid w:val="0079633A"/>
    <w:rsid w:val="00796A4A"/>
    <w:rsid w:val="007A05B4"/>
    <w:rsid w:val="007A0B57"/>
    <w:rsid w:val="007A1248"/>
    <w:rsid w:val="007A2162"/>
    <w:rsid w:val="007A2FEC"/>
    <w:rsid w:val="007A32ED"/>
    <w:rsid w:val="007A3AA7"/>
    <w:rsid w:val="007A6230"/>
    <w:rsid w:val="007A6C8D"/>
    <w:rsid w:val="007A773E"/>
    <w:rsid w:val="007A7D96"/>
    <w:rsid w:val="007B2108"/>
    <w:rsid w:val="007B365C"/>
    <w:rsid w:val="007B3EBD"/>
    <w:rsid w:val="007B472A"/>
    <w:rsid w:val="007B475C"/>
    <w:rsid w:val="007B5A93"/>
    <w:rsid w:val="007B5B2C"/>
    <w:rsid w:val="007B5EE0"/>
    <w:rsid w:val="007B687E"/>
    <w:rsid w:val="007B6941"/>
    <w:rsid w:val="007B69D1"/>
    <w:rsid w:val="007B7BFB"/>
    <w:rsid w:val="007C025C"/>
    <w:rsid w:val="007C1BCF"/>
    <w:rsid w:val="007C2588"/>
    <w:rsid w:val="007C2B20"/>
    <w:rsid w:val="007C4544"/>
    <w:rsid w:val="007C4F30"/>
    <w:rsid w:val="007C5179"/>
    <w:rsid w:val="007C56B3"/>
    <w:rsid w:val="007C6726"/>
    <w:rsid w:val="007C7518"/>
    <w:rsid w:val="007D23B7"/>
    <w:rsid w:val="007D65C9"/>
    <w:rsid w:val="007D6CC8"/>
    <w:rsid w:val="007E07E5"/>
    <w:rsid w:val="007E0D9A"/>
    <w:rsid w:val="007E6E8D"/>
    <w:rsid w:val="007F0E3B"/>
    <w:rsid w:val="007F143B"/>
    <w:rsid w:val="007F2784"/>
    <w:rsid w:val="007F3D46"/>
    <w:rsid w:val="007F603F"/>
    <w:rsid w:val="007F60E4"/>
    <w:rsid w:val="008027DB"/>
    <w:rsid w:val="00802F18"/>
    <w:rsid w:val="00803DE4"/>
    <w:rsid w:val="00804D00"/>
    <w:rsid w:val="00804F88"/>
    <w:rsid w:val="008062E3"/>
    <w:rsid w:val="00806668"/>
    <w:rsid w:val="00807656"/>
    <w:rsid w:val="00811608"/>
    <w:rsid w:val="00811AA1"/>
    <w:rsid w:val="00813A51"/>
    <w:rsid w:val="00813E83"/>
    <w:rsid w:val="00814449"/>
    <w:rsid w:val="008154DF"/>
    <w:rsid w:val="00820000"/>
    <w:rsid w:val="0082027E"/>
    <w:rsid w:val="00822060"/>
    <w:rsid w:val="0082245B"/>
    <w:rsid w:val="0082252E"/>
    <w:rsid w:val="008234A2"/>
    <w:rsid w:val="00824305"/>
    <w:rsid w:val="0083009C"/>
    <w:rsid w:val="00830453"/>
    <w:rsid w:val="008317B5"/>
    <w:rsid w:val="008318E2"/>
    <w:rsid w:val="0083285A"/>
    <w:rsid w:val="00832F93"/>
    <w:rsid w:val="00833988"/>
    <w:rsid w:val="00833C2C"/>
    <w:rsid w:val="008353DB"/>
    <w:rsid w:val="008371CE"/>
    <w:rsid w:val="008400A3"/>
    <w:rsid w:val="008404F6"/>
    <w:rsid w:val="00840701"/>
    <w:rsid w:val="00841B31"/>
    <w:rsid w:val="00842E20"/>
    <w:rsid w:val="00844144"/>
    <w:rsid w:val="00845752"/>
    <w:rsid w:val="00846890"/>
    <w:rsid w:val="00850358"/>
    <w:rsid w:val="00850F95"/>
    <w:rsid w:val="00851CD5"/>
    <w:rsid w:val="0085247B"/>
    <w:rsid w:val="008527A6"/>
    <w:rsid w:val="008531BA"/>
    <w:rsid w:val="00855037"/>
    <w:rsid w:val="0085568E"/>
    <w:rsid w:val="00855859"/>
    <w:rsid w:val="00857E2D"/>
    <w:rsid w:val="00861A5F"/>
    <w:rsid w:val="00863542"/>
    <w:rsid w:val="00863591"/>
    <w:rsid w:val="008638FC"/>
    <w:rsid w:val="00867BFB"/>
    <w:rsid w:val="00870238"/>
    <w:rsid w:val="00870383"/>
    <w:rsid w:val="008708F0"/>
    <w:rsid w:val="00871B22"/>
    <w:rsid w:val="008720C6"/>
    <w:rsid w:val="008729FF"/>
    <w:rsid w:val="008739AF"/>
    <w:rsid w:val="0087456B"/>
    <w:rsid w:val="00874D12"/>
    <w:rsid w:val="008751C4"/>
    <w:rsid w:val="00875221"/>
    <w:rsid w:val="00875B5A"/>
    <w:rsid w:val="008769D3"/>
    <w:rsid w:val="00877379"/>
    <w:rsid w:val="008777AD"/>
    <w:rsid w:val="0088012C"/>
    <w:rsid w:val="00881BAD"/>
    <w:rsid w:val="00882BD1"/>
    <w:rsid w:val="00882C12"/>
    <w:rsid w:val="00883A06"/>
    <w:rsid w:val="00884214"/>
    <w:rsid w:val="008843AA"/>
    <w:rsid w:val="00884BE4"/>
    <w:rsid w:val="008858A0"/>
    <w:rsid w:val="0088679A"/>
    <w:rsid w:val="00886EAD"/>
    <w:rsid w:val="00887AEA"/>
    <w:rsid w:val="00892008"/>
    <w:rsid w:val="008929E6"/>
    <w:rsid w:val="00892C6B"/>
    <w:rsid w:val="00892EC7"/>
    <w:rsid w:val="008938A7"/>
    <w:rsid w:val="00893BE9"/>
    <w:rsid w:val="00893F44"/>
    <w:rsid w:val="00895369"/>
    <w:rsid w:val="008969DB"/>
    <w:rsid w:val="008974EC"/>
    <w:rsid w:val="00897A53"/>
    <w:rsid w:val="008A0704"/>
    <w:rsid w:val="008A2D70"/>
    <w:rsid w:val="008A34B7"/>
    <w:rsid w:val="008A3DCB"/>
    <w:rsid w:val="008A5295"/>
    <w:rsid w:val="008A5595"/>
    <w:rsid w:val="008A61AE"/>
    <w:rsid w:val="008A692F"/>
    <w:rsid w:val="008A7F04"/>
    <w:rsid w:val="008B02AA"/>
    <w:rsid w:val="008B1562"/>
    <w:rsid w:val="008B3E97"/>
    <w:rsid w:val="008B418E"/>
    <w:rsid w:val="008B584E"/>
    <w:rsid w:val="008B6D23"/>
    <w:rsid w:val="008B755D"/>
    <w:rsid w:val="008B760A"/>
    <w:rsid w:val="008C060A"/>
    <w:rsid w:val="008C214B"/>
    <w:rsid w:val="008C265F"/>
    <w:rsid w:val="008C26EB"/>
    <w:rsid w:val="008C2B90"/>
    <w:rsid w:val="008C2F63"/>
    <w:rsid w:val="008C4686"/>
    <w:rsid w:val="008C54F4"/>
    <w:rsid w:val="008C573D"/>
    <w:rsid w:val="008C5DEF"/>
    <w:rsid w:val="008C5E96"/>
    <w:rsid w:val="008C60C0"/>
    <w:rsid w:val="008C6CFC"/>
    <w:rsid w:val="008D0A8B"/>
    <w:rsid w:val="008D209B"/>
    <w:rsid w:val="008D2F91"/>
    <w:rsid w:val="008D3427"/>
    <w:rsid w:val="008D3CF7"/>
    <w:rsid w:val="008D449D"/>
    <w:rsid w:val="008D4F94"/>
    <w:rsid w:val="008D571E"/>
    <w:rsid w:val="008D78FA"/>
    <w:rsid w:val="008E1246"/>
    <w:rsid w:val="008E22F5"/>
    <w:rsid w:val="008E23CD"/>
    <w:rsid w:val="008E257A"/>
    <w:rsid w:val="008E4E79"/>
    <w:rsid w:val="008E566C"/>
    <w:rsid w:val="008E5D6D"/>
    <w:rsid w:val="008E5EEA"/>
    <w:rsid w:val="008E6E38"/>
    <w:rsid w:val="008E7939"/>
    <w:rsid w:val="008F0A23"/>
    <w:rsid w:val="008F1526"/>
    <w:rsid w:val="008F31AA"/>
    <w:rsid w:val="008F3D30"/>
    <w:rsid w:val="008F3E5B"/>
    <w:rsid w:val="008F4307"/>
    <w:rsid w:val="008F48B8"/>
    <w:rsid w:val="008F4977"/>
    <w:rsid w:val="008F4B6F"/>
    <w:rsid w:val="008F59B1"/>
    <w:rsid w:val="00900312"/>
    <w:rsid w:val="009007CF"/>
    <w:rsid w:val="00901925"/>
    <w:rsid w:val="00902986"/>
    <w:rsid w:val="009035B3"/>
    <w:rsid w:val="009042C6"/>
    <w:rsid w:val="009044A4"/>
    <w:rsid w:val="00904FA9"/>
    <w:rsid w:val="00904FD5"/>
    <w:rsid w:val="00906391"/>
    <w:rsid w:val="009067BA"/>
    <w:rsid w:val="00906B60"/>
    <w:rsid w:val="00913EEC"/>
    <w:rsid w:val="00914F69"/>
    <w:rsid w:val="0091533D"/>
    <w:rsid w:val="00915B1C"/>
    <w:rsid w:val="009200A1"/>
    <w:rsid w:val="009213EA"/>
    <w:rsid w:val="00925B35"/>
    <w:rsid w:val="009264AE"/>
    <w:rsid w:val="00926518"/>
    <w:rsid w:val="00927DEE"/>
    <w:rsid w:val="00930995"/>
    <w:rsid w:val="0093158C"/>
    <w:rsid w:val="0093163B"/>
    <w:rsid w:val="0093316A"/>
    <w:rsid w:val="0093363A"/>
    <w:rsid w:val="00933C99"/>
    <w:rsid w:val="00934554"/>
    <w:rsid w:val="0093459C"/>
    <w:rsid w:val="00934636"/>
    <w:rsid w:val="009347C5"/>
    <w:rsid w:val="00935D72"/>
    <w:rsid w:val="009371A2"/>
    <w:rsid w:val="00945917"/>
    <w:rsid w:val="009467AB"/>
    <w:rsid w:val="00946B26"/>
    <w:rsid w:val="00950E81"/>
    <w:rsid w:val="009527E9"/>
    <w:rsid w:val="009535F1"/>
    <w:rsid w:val="0095430D"/>
    <w:rsid w:val="00954E97"/>
    <w:rsid w:val="00960286"/>
    <w:rsid w:val="009602A6"/>
    <w:rsid w:val="00962F7E"/>
    <w:rsid w:val="00963C21"/>
    <w:rsid w:val="00966B5D"/>
    <w:rsid w:val="00967C63"/>
    <w:rsid w:val="00971972"/>
    <w:rsid w:val="00972CB1"/>
    <w:rsid w:val="0097321B"/>
    <w:rsid w:val="0097336A"/>
    <w:rsid w:val="00973DC3"/>
    <w:rsid w:val="00974B38"/>
    <w:rsid w:val="009770C9"/>
    <w:rsid w:val="00980D28"/>
    <w:rsid w:val="0098134F"/>
    <w:rsid w:val="0098408A"/>
    <w:rsid w:val="00985E51"/>
    <w:rsid w:val="00987240"/>
    <w:rsid w:val="00987259"/>
    <w:rsid w:val="00990049"/>
    <w:rsid w:val="00992C05"/>
    <w:rsid w:val="00993CFD"/>
    <w:rsid w:val="009953A5"/>
    <w:rsid w:val="00995E89"/>
    <w:rsid w:val="009A3F6E"/>
    <w:rsid w:val="009A4048"/>
    <w:rsid w:val="009A43B5"/>
    <w:rsid w:val="009A4A36"/>
    <w:rsid w:val="009A4E62"/>
    <w:rsid w:val="009A5269"/>
    <w:rsid w:val="009A6535"/>
    <w:rsid w:val="009A6875"/>
    <w:rsid w:val="009A726D"/>
    <w:rsid w:val="009A7F7C"/>
    <w:rsid w:val="009B0CCD"/>
    <w:rsid w:val="009B29F4"/>
    <w:rsid w:val="009B2C38"/>
    <w:rsid w:val="009B3AEF"/>
    <w:rsid w:val="009B3CCA"/>
    <w:rsid w:val="009B579A"/>
    <w:rsid w:val="009B5E73"/>
    <w:rsid w:val="009B632F"/>
    <w:rsid w:val="009B7325"/>
    <w:rsid w:val="009B7ED8"/>
    <w:rsid w:val="009C0292"/>
    <w:rsid w:val="009C02B3"/>
    <w:rsid w:val="009C04E4"/>
    <w:rsid w:val="009C11B1"/>
    <w:rsid w:val="009C2FC2"/>
    <w:rsid w:val="009C5125"/>
    <w:rsid w:val="009C5789"/>
    <w:rsid w:val="009C5ADE"/>
    <w:rsid w:val="009C712C"/>
    <w:rsid w:val="009C7EA1"/>
    <w:rsid w:val="009C7EB1"/>
    <w:rsid w:val="009D1716"/>
    <w:rsid w:val="009D1FAB"/>
    <w:rsid w:val="009D4A07"/>
    <w:rsid w:val="009D7ECD"/>
    <w:rsid w:val="009E036C"/>
    <w:rsid w:val="009E0E56"/>
    <w:rsid w:val="009E21E9"/>
    <w:rsid w:val="009E424A"/>
    <w:rsid w:val="009E4403"/>
    <w:rsid w:val="009E551F"/>
    <w:rsid w:val="009E5794"/>
    <w:rsid w:val="009E5CEA"/>
    <w:rsid w:val="009E6290"/>
    <w:rsid w:val="009E783E"/>
    <w:rsid w:val="009F032C"/>
    <w:rsid w:val="009F0FC3"/>
    <w:rsid w:val="009F3AE1"/>
    <w:rsid w:val="009F4D12"/>
    <w:rsid w:val="009F5AA9"/>
    <w:rsid w:val="009F5AB8"/>
    <w:rsid w:val="009F6696"/>
    <w:rsid w:val="009F7B7C"/>
    <w:rsid w:val="00A021F5"/>
    <w:rsid w:val="00A024E3"/>
    <w:rsid w:val="00A05454"/>
    <w:rsid w:val="00A0653F"/>
    <w:rsid w:val="00A06814"/>
    <w:rsid w:val="00A07388"/>
    <w:rsid w:val="00A07A30"/>
    <w:rsid w:val="00A1036E"/>
    <w:rsid w:val="00A1067B"/>
    <w:rsid w:val="00A10DDD"/>
    <w:rsid w:val="00A11198"/>
    <w:rsid w:val="00A11280"/>
    <w:rsid w:val="00A11A06"/>
    <w:rsid w:val="00A1563D"/>
    <w:rsid w:val="00A15A09"/>
    <w:rsid w:val="00A1774B"/>
    <w:rsid w:val="00A178D9"/>
    <w:rsid w:val="00A21268"/>
    <w:rsid w:val="00A21CF8"/>
    <w:rsid w:val="00A224F4"/>
    <w:rsid w:val="00A2258C"/>
    <w:rsid w:val="00A2308B"/>
    <w:rsid w:val="00A24E63"/>
    <w:rsid w:val="00A25585"/>
    <w:rsid w:val="00A25B0F"/>
    <w:rsid w:val="00A25CC9"/>
    <w:rsid w:val="00A261AA"/>
    <w:rsid w:val="00A26902"/>
    <w:rsid w:val="00A27252"/>
    <w:rsid w:val="00A27BEE"/>
    <w:rsid w:val="00A3068F"/>
    <w:rsid w:val="00A319F7"/>
    <w:rsid w:val="00A32057"/>
    <w:rsid w:val="00A329B0"/>
    <w:rsid w:val="00A32B11"/>
    <w:rsid w:val="00A32B58"/>
    <w:rsid w:val="00A35ADB"/>
    <w:rsid w:val="00A36D7A"/>
    <w:rsid w:val="00A36DB3"/>
    <w:rsid w:val="00A36FDC"/>
    <w:rsid w:val="00A37173"/>
    <w:rsid w:val="00A400E2"/>
    <w:rsid w:val="00A40808"/>
    <w:rsid w:val="00A4188A"/>
    <w:rsid w:val="00A41EDC"/>
    <w:rsid w:val="00A46105"/>
    <w:rsid w:val="00A469CD"/>
    <w:rsid w:val="00A51C51"/>
    <w:rsid w:val="00A52CC9"/>
    <w:rsid w:val="00A55394"/>
    <w:rsid w:val="00A55EE2"/>
    <w:rsid w:val="00A57896"/>
    <w:rsid w:val="00A7101D"/>
    <w:rsid w:val="00A7163A"/>
    <w:rsid w:val="00A7188F"/>
    <w:rsid w:val="00A73808"/>
    <w:rsid w:val="00A75FAC"/>
    <w:rsid w:val="00A77C18"/>
    <w:rsid w:val="00A80B74"/>
    <w:rsid w:val="00A80D2E"/>
    <w:rsid w:val="00A81625"/>
    <w:rsid w:val="00A84916"/>
    <w:rsid w:val="00A8524C"/>
    <w:rsid w:val="00A8641D"/>
    <w:rsid w:val="00A875FE"/>
    <w:rsid w:val="00A9058C"/>
    <w:rsid w:val="00A90EAC"/>
    <w:rsid w:val="00A91632"/>
    <w:rsid w:val="00A92B3D"/>
    <w:rsid w:val="00A92BB0"/>
    <w:rsid w:val="00A93940"/>
    <w:rsid w:val="00A946CA"/>
    <w:rsid w:val="00A948C7"/>
    <w:rsid w:val="00A95638"/>
    <w:rsid w:val="00A97B92"/>
    <w:rsid w:val="00AA0151"/>
    <w:rsid w:val="00AA0CDC"/>
    <w:rsid w:val="00AA6F43"/>
    <w:rsid w:val="00AA6F52"/>
    <w:rsid w:val="00AB055B"/>
    <w:rsid w:val="00AB0B46"/>
    <w:rsid w:val="00AB165E"/>
    <w:rsid w:val="00AB18AE"/>
    <w:rsid w:val="00AB291B"/>
    <w:rsid w:val="00AB2A7A"/>
    <w:rsid w:val="00AB440C"/>
    <w:rsid w:val="00AB4D4D"/>
    <w:rsid w:val="00AB63F5"/>
    <w:rsid w:val="00AB6E2E"/>
    <w:rsid w:val="00AB7B75"/>
    <w:rsid w:val="00AB7F18"/>
    <w:rsid w:val="00AC005B"/>
    <w:rsid w:val="00AC1178"/>
    <w:rsid w:val="00AD02DD"/>
    <w:rsid w:val="00AD1A94"/>
    <w:rsid w:val="00AD5B62"/>
    <w:rsid w:val="00AD5F50"/>
    <w:rsid w:val="00AD6FD9"/>
    <w:rsid w:val="00AD745B"/>
    <w:rsid w:val="00AE10EC"/>
    <w:rsid w:val="00AE2236"/>
    <w:rsid w:val="00AE38B9"/>
    <w:rsid w:val="00AE3A11"/>
    <w:rsid w:val="00AE5B1E"/>
    <w:rsid w:val="00AE7002"/>
    <w:rsid w:val="00AE7A7B"/>
    <w:rsid w:val="00AF3331"/>
    <w:rsid w:val="00AF34DF"/>
    <w:rsid w:val="00AF36A7"/>
    <w:rsid w:val="00AF38B6"/>
    <w:rsid w:val="00AF428A"/>
    <w:rsid w:val="00AF6C55"/>
    <w:rsid w:val="00B002A0"/>
    <w:rsid w:val="00B02ECC"/>
    <w:rsid w:val="00B040B3"/>
    <w:rsid w:val="00B0420A"/>
    <w:rsid w:val="00B0763B"/>
    <w:rsid w:val="00B109EF"/>
    <w:rsid w:val="00B11E6F"/>
    <w:rsid w:val="00B13487"/>
    <w:rsid w:val="00B137A6"/>
    <w:rsid w:val="00B158CA"/>
    <w:rsid w:val="00B15D0A"/>
    <w:rsid w:val="00B16EC8"/>
    <w:rsid w:val="00B171A3"/>
    <w:rsid w:val="00B17296"/>
    <w:rsid w:val="00B17774"/>
    <w:rsid w:val="00B20032"/>
    <w:rsid w:val="00B20CF6"/>
    <w:rsid w:val="00B2158F"/>
    <w:rsid w:val="00B23D5B"/>
    <w:rsid w:val="00B244DC"/>
    <w:rsid w:val="00B26913"/>
    <w:rsid w:val="00B27275"/>
    <w:rsid w:val="00B32707"/>
    <w:rsid w:val="00B3387D"/>
    <w:rsid w:val="00B33D82"/>
    <w:rsid w:val="00B34832"/>
    <w:rsid w:val="00B363BA"/>
    <w:rsid w:val="00B369FE"/>
    <w:rsid w:val="00B37683"/>
    <w:rsid w:val="00B37C87"/>
    <w:rsid w:val="00B413D7"/>
    <w:rsid w:val="00B4285A"/>
    <w:rsid w:val="00B43654"/>
    <w:rsid w:val="00B440B4"/>
    <w:rsid w:val="00B4507F"/>
    <w:rsid w:val="00B52B0E"/>
    <w:rsid w:val="00B52B99"/>
    <w:rsid w:val="00B54637"/>
    <w:rsid w:val="00B54C46"/>
    <w:rsid w:val="00B56A75"/>
    <w:rsid w:val="00B56B0D"/>
    <w:rsid w:val="00B63616"/>
    <w:rsid w:val="00B64249"/>
    <w:rsid w:val="00B646B0"/>
    <w:rsid w:val="00B651D9"/>
    <w:rsid w:val="00B657DC"/>
    <w:rsid w:val="00B65ADA"/>
    <w:rsid w:val="00B65EE2"/>
    <w:rsid w:val="00B664F3"/>
    <w:rsid w:val="00B66F9F"/>
    <w:rsid w:val="00B704A2"/>
    <w:rsid w:val="00B7121A"/>
    <w:rsid w:val="00B720D4"/>
    <w:rsid w:val="00B72B90"/>
    <w:rsid w:val="00B73B90"/>
    <w:rsid w:val="00B73FFE"/>
    <w:rsid w:val="00B74A3B"/>
    <w:rsid w:val="00B76374"/>
    <w:rsid w:val="00B81A41"/>
    <w:rsid w:val="00B81AA2"/>
    <w:rsid w:val="00B83848"/>
    <w:rsid w:val="00B85309"/>
    <w:rsid w:val="00B908CD"/>
    <w:rsid w:val="00B91CDE"/>
    <w:rsid w:val="00B9305E"/>
    <w:rsid w:val="00B93B82"/>
    <w:rsid w:val="00B93C83"/>
    <w:rsid w:val="00B94A16"/>
    <w:rsid w:val="00B94DA5"/>
    <w:rsid w:val="00B95A32"/>
    <w:rsid w:val="00B968FC"/>
    <w:rsid w:val="00B969D9"/>
    <w:rsid w:val="00BA06A7"/>
    <w:rsid w:val="00BA105E"/>
    <w:rsid w:val="00BA1FE8"/>
    <w:rsid w:val="00BA20A8"/>
    <w:rsid w:val="00BA22F0"/>
    <w:rsid w:val="00BA4BD6"/>
    <w:rsid w:val="00BA5292"/>
    <w:rsid w:val="00BA56D0"/>
    <w:rsid w:val="00BA57BA"/>
    <w:rsid w:val="00BA5E1D"/>
    <w:rsid w:val="00BA60BD"/>
    <w:rsid w:val="00BA6427"/>
    <w:rsid w:val="00BB15C5"/>
    <w:rsid w:val="00BB22C3"/>
    <w:rsid w:val="00BB2FD4"/>
    <w:rsid w:val="00BB5D12"/>
    <w:rsid w:val="00BB72FC"/>
    <w:rsid w:val="00BC0B5A"/>
    <w:rsid w:val="00BC20E4"/>
    <w:rsid w:val="00BC227F"/>
    <w:rsid w:val="00BC26EF"/>
    <w:rsid w:val="00BC42F9"/>
    <w:rsid w:val="00BC7186"/>
    <w:rsid w:val="00BC72FE"/>
    <w:rsid w:val="00BC785F"/>
    <w:rsid w:val="00BC7E71"/>
    <w:rsid w:val="00BD0740"/>
    <w:rsid w:val="00BD0D8B"/>
    <w:rsid w:val="00BD1FDA"/>
    <w:rsid w:val="00BD2033"/>
    <w:rsid w:val="00BD36AC"/>
    <w:rsid w:val="00BD4B00"/>
    <w:rsid w:val="00BD6102"/>
    <w:rsid w:val="00BD70F3"/>
    <w:rsid w:val="00BD73C4"/>
    <w:rsid w:val="00BD7719"/>
    <w:rsid w:val="00BD7A3C"/>
    <w:rsid w:val="00BE03F7"/>
    <w:rsid w:val="00BE2210"/>
    <w:rsid w:val="00BE27C2"/>
    <w:rsid w:val="00BE2A09"/>
    <w:rsid w:val="00BE463C"/>
    <w:rsid w:val="00BE4F8C"/>
    <w:rsid w:val="00BE504E"/>
    <w:rsid w:val="00BE63C2"/>
    <w:rsid w:val="00BE6A00"/>
    <w:rsid w:val="00BE71CB"/>
    <w:rsid w:val="00BF0A68"/>
    <w:rsid w:val="00BF0AE3"/>
    <w:rsid w:val="00BF1590"/>
    <w:rsid w:val="00BF3BD5"/>
    <w:rsid w:val="00BF4530"/>
    <w:rsid w:val="00BF4E4B"/>
    <w:rsid w:val="00BF533E"/>
    <w:rsid w:val="00BF5F15"/>
    <w:rsid w:val="00BF7D34"/>
    <w:rsid w:val="00C03175"/>
    <w:rsid w:val="00C03A3A"/>
    <w:rsid w:val="00C041D4"/>
    <w:rsid w:val="00C04F00"/>
    <w:rsid w:val="00C05630"/>
    <w:rsid w:val="00C06F7D"/>
    <w:rsid w:val="00C0732F"/>
    <w:rsid w:val="00C126B7"/>
    <w:rsid w:val="00C1398F"/>
    <w:rsid w:val="00C14AAD"/>
    <w:rsid w:val="00C1505E"/>
    <w:rsid w:val="00C159BD"/>
    <w:rsid w:val="00C16695"/>
    <w:rsid w:val="00C20376"/>
    <w:rsid w:val="00C22B05"/>
    <w:rsid w:val="00C23897"/>
    <w:rsid w:val="00C24080"/>
    <w:rsid w:val="00C25EDA"/>
    <w:rsid w:val="00C25FD8"/>
    <w:rsid w:val="00C25FFC"/>
    <w:rsid w:val="00C26A80"/>
    <w:rsid w:val="00C2758B"/>
    <w:rsid w:val="00C30079"/>
    <w:rsid w:val="00C32D7D"/>
    <w:rsid w:val="00C334F2"/>
    <w:rsid w:val="00C34EC6"/>
    <w:rsid w:val="00C3587B"/>
    <w:rsid w:val="00C35F09"/>
    <w:rsid w:val="00C36FD6"/>
    <w:rsid w:val="00C374BB"/>
    <w:rsid w:val="00C375B7"/>
    <w:rsid w:val="00C40220"/>
    <w:rsid w:val="00C40A04"/>
    <w:rsid w:val="00C40EAE"/>
    <w:rsid w:val="00C43BE3"/>
    <w:rsid w:val="00C50373"/>
    <w:rsid w:val="00C50D3F"/>
    <w:rsid w:val="00C51B78"/>
    <w:rsid w:val="00C51EF5"/>
    <w:rsid w:val="00C53D70"/>
    <w:rsid w:val="00C5436A"/>
    <w:rsid w:val="00C55EE3"/>
    <w:rsid w:val="00C56750"/>
    <w:rsid w:val="00C57507"/>
    <w:rsid w:val="00C64EBB"/>
    <w:rsid w:val="00C65178"/>
    <w:rsid w:val="00C65E4B"/>
    <w:rsid w:val="00C671AA"/>
    <w:rsid w:val="00C70807"/>
    <w:rsid w:val="00C70D6C"/>
    <w:rsid w:val="00C714D3"/>
    <w:rsid w:val="00C717DC"/>
    <w:rsid w:val="00C743D3"/>
    <w:rsid w:val="00C75D94"/>
    <w:rsid w:val="00C771EB"/>
    <w:rsid w:val="00C77576"/>
    <w:rsid w:val="00C81EC2"/>
    <w:rsid w:val="00C8277E"/>
    <w:rsid w:val="00C82CB8"/>
    <w:rsid w:val="00C835F2"/>
    <w:rsid w:val="00C83EC4"/>
    <w:rsid w:val="00C8418D"/>
    <w:rsid w:val="00C859BA"/>
    <w:rsid w:val="00C864B7"/>
    <w:rsid w:val="00C91647"/>
    <w:rsid w:val="00C9434D"/>
    <w:rsid w:val="00C94387"/>
    <w:rsid w:val="00C97540"/>
    <w:rsid w:val="00C9757C"/>
    <w:rsid w:val="00C97C6D"/>
    <w:rsid w:val="00CA1B54"/>
    <w:rsid w:val="00CA2504"/>
    <w:rsid w:val="00CA5FDA"/>
    <w:rsid w:val="00CA685A"/>
    <w:rsid w:val="00CA6990"/>
    <w:rsid w:val="00CA72F3"/>
    <w:rsid w:val="00CA7D20"/>
    <w:rsid w:val="00CA7DE1"/>
    <w:rsid w:val="00CB361E"/>
    <w:rsid w:val="00CB50B8"/>
    <w:rsid w:val="00CB6720"/>
    <w:rsid w:val="00CB69C0"/>
    <w:rsid w:val="00CC00C5"/>
    <w:rsid w:val="00CC03ED"/>
    <w:rsid w:val="00CC18CD"/>
    <w:rsid w:val="00CC6186"/>
    <w:rsid w:val="00CC7644"/>
    <w:rsid w:val="00CD0B70"/>
    <w:rsid w:val="00CD0F4A"/>
    <w:rsid w:val="00CD1112"/>
    <w:rsid w:val="00CD12FE"/>
    <w:rsid w:val="00CD1B71"/>
    <w:rsid w:val="00CD2A6A"/>
    <w:rsid w:val="00CD3BF1"/>
    <w:rsid w:val="00CD4490"/>
    <w:rsid w:val="00CD4CCC"/>
    <w:rsid w:val="00CD6376"/>
    <w:rsid w:val="00CD737C"/>
    <w:rsid w:val="00CD7931"/>
    <w:rsid w:val="00CE0C8F"/>
    <w:rsid w:val="00CE16BB"/>
    <w:rsid w:val="00CE318F"/>
    <w:rsid w:val="00CE6BC3"/>
    <w:rsid w:val="00CE6EF5"/>
    <w:rsid w:val="00CE7AC0"/>
    <w:rsid w:val="00CE7B4F"/>
    <w:rsid w:val="00CE7DE0"/>
    <w:rsid w:val="00CF01F1"/>
    <w:rsid w:val="00CF279F"/>
    <w:rsid w:val="00CF37A4"/>
    <w:rsid w:val="00CF3A0E"/>
    <w:rsid w:val="00CF44DA"/>
    <w:rsid w:val="00CF52D5"/>
    <w:rsid w:val="00CF59EB"/>
    <w:rsid w:val="00CF600F"/>
    <w:rsid w:val="00CF6DC4"/>
    <w:rsid w:val="00CF7390"/>
    <w:rsid w:val="00CF7766"/>
    <w:rsid w:val="00CF7C3D"/>
    <w:rsid w:val="00D00558"/>
    <w:rsid w:val="00D005FE"/>
    <w:rsid w:val="00D006FD"/>
    <w:rsid w:val="00D00D87"/>
    <w:rsid w:val="00D0114F"/>
    <w:rsid w:val="00D02444"/>
    <w:rsid w:val="00D03B33"/>
    <w:rsid w:val="00D04212"/>
    <w:rsid w:val="00D0490F"/>
    <w:rsid w:val="00D062F1"/>
    <w:rsid w:val="00D062F8"/>
    <w:rsid w:val="00D06C98"/>
    <w:rsid w:val="00D07E8B"/>
    <w:rsid w:val="00D07F6D"/>
    <w:rsid w:val="00D10280"/>
    <w:rsid w:val="00D10CF8"/>
    <w:rsid w:val="00D112C8"/>
    <w:rsid w:val="00D14D06"/>
    <w:rsid w:val="00D20432"/>
    <w:rsid w:val="00D20F0A"/>
    <w:rsid w:val="00D24615"/>
    <w:rsid w:val="00D246A4"/>
    <w:rsid w:val="00D2490F"/>
    <w:rsid w:val="00D266D6"/>
    <w:rsid w:val="00D26952"/>
    <w:rsid w:val="00D27957"/>
    <w:rsid w:val="00D30E78"/>
    <w:rsid w:val="00D31765"/>
    <w:rsid w:val="00D32F00"/>
    <w:rsid w:val="00D34405"/>
    <w:rsid w:val="00D34435"/>
    <w:rsid w:val="00D34ED4"/>
    <w:rsid w:val="00D353B2"/>
    <w:rsid w:val="00D35BDE"/>
    <w:rsid w:val="00D37647"/>
    <w:rsid w:val="00D40431"/>
    <w:rsid w:val="00D4084E"/>
    <w:rsid w:val="00D4149F"/>
    <w:rsid w:val="00D425D3"/>
    <w:rsid w:val="00D42E54"/>
    <w:rsid w:val="00D4303A"/>
    <w:rsid w:val="00D43C5A"/>
    <w:rsid w:val="00D43DD8"/>
    <w:rsid w:val="00D4568B"/>
    <w:rsid w:val="00D457FB"/>
    <w:rsid w:val="00D45EA6"/>
    <w:rsid w:val="00D46961"/>
    <w:rsid w:val="00D47673"/>
    <w:rsid w:val="00D47874"/>
    <w:rsid w:val="00D50079"/>
    <w:rsid w:val="00D5058B"/>
    <w:rsid w:val="00D51CAC"/>
    <w:rsid w:val="00D52A20"/>
    <w:rsid w:val="00D52EE5"/>
    <w:rsid w:val="00D5322E"/>
    <w:rsid w:val="00D54219"/>
    <w:rsid w:val="00D55072"/>
    <w:rsid w:val="00D56324"/>
    <w:rsid w:val="00D62CAC"/>
    <w:rsid w:val="00D62EC9"/>
    <w:rsid w:val="00D638E1"/>
    <w:rsid w:val="00D6468B"/>
    <w:rsid w:val="00D654BE"/>
    <w:rsid w:val="00D718E6"/>
    <w:rsid w:val="00D7217F"/>
    <w:rsid w:val="00D726C6"/>
    <w:rsid w:val="00D726E6"/>
    <w:rsid w:val="00D72944"/>
    <w:rsid w:val="00D75152"/>
    <w:rsid w:val="00D752FF"/>
    <w:rsid w:val="00D757B4"/>
    <w:rsid w:val="00D7635F"/>
    <w:rsid w:val="00D765E6"/>
    <w:rsid w:val="00D7733E"/>
    <w:rsid w:val="00D77564"/>
    <w:rsid w:val="00D7790C"/>
    <w:rsid w:val="00D806D5"/>
    <w:rsid w:val="00D80E67"/>
    <w:rsid w:val="00D83206"/>
    <w:rsid w:val="00D849F9"/>
    <w:rsid w:val="00D85988"/>
    <w:rsid w:val="00D871CF"/>
    <w:rsid w:val="00D90412"/>
    <w:rsid w:val="00D90E76"/>
    <w:rsid w:val="00D947FE"/>
    <w:rsid w:val="00D94AEB"/>
    <w:rsid w:val="00D94C9D"/>
    <w:rsid w:val="00D96915"/>
    <w:rsid w:val="00D96F16"/>
    <w:rsid w:val="00D9707D"/>
    <w:rsid w:val="00D97197"/>
    <w:rsid w:val="00DA0650"/>
    <w:rsid w:val="00DA0DA5"/>
    <w:rsid w:val="00DA15B4"/>
    <w:rsid w:val="00DA1DDD"/>
    <w:rsid w:val="00DA2DD7"/>
    <w:rsid w:val="00DA3917"/>
    <w:rsid w:val="00DA6BEA"/>
    <w:rsid w:val="00DA7F01"/>
    <w:rsid w:val="00DB0E12"/>
    <w:rsid w:val="00DB2492"/>
    <w:rsid w:val="00DB5142"/>
    <w:rsid w:val="00DB55FC"/>
    <w:rsid w:val="00DB5D62"/>
    <w:rsid w:val="00DB72D1"/>
    <w:rsid w:val="00DC273F"/>
    <w:rsid w:val="00DC45AD"/>
    <w:rsid w:val="00DC4775"/>
    <w:rsid w:val="00DC4B9C"/>
    <w:rsid w:val="00DC6698"/>
    <w:rsid w:val="00DC74B6"/>
    <w:rsid w:val="00DC7C3D"/>
    <w:rsid w:val="00DD0060"/>
    <w:rsid w:val="00DD043C"/>
    <w:rsid w:val="00DD0840"/>
    <w:rsid w:val="00DD1C48"/>
    <w:rsid w:val="00DD20EA"/>
    <w:rsid w:val="00DD2970"/>
    <w:rsid w:val="00DD4C80"/>
    <w:rsid w:val="00DD5571"/>
    <w:rsid w:val="00DE0C2A"/>
    <w:rsid w:val="00DE14BC"/>
    <w:rsid w:val="00DE2D9F"/>
    <w:rsid w:val="00DE3D75"/>
    <w:rsid w:val="00DE55C2"/>
    <w:rsid w:val="00DE6A88"/>
    <w:rsid w:val="00DF086E"/>
    <w:rsid w:val="00DF489E"/>
    <w:rsid w:val="00DF589E"/>
    <w:rsid w:val="00DF5B8D"/>
    <w:rsid w:val="00DF631D"/>
    <w:rsid w:val="00DF636D"/>
    <w:rsid w:val="00DF69A3"/>
    <w:rsid w:val="00DF6FE3"/>
    <w:rsid w:val="00DF7FF2"/>
    <w:rsid w:val="00E0012E"/>
    <w:rsid w:val="00E011BD"/>
    <w:rsid w:val="00E01224"/>
    <w:rsid w:val="00E01D3C"/>
    <w:rsid w:val="00E04125"/>
    <w:rsid w:val="00E0525E"/>
    <w:rsid w:val="00E06B45"/>
    <w:rsid w:val="00E0714F"/>
    <w:rsid w:val="00E1031C"/>
    <w:rsid w:val="00E106A0"/>
    <w:rsid w:val="00E12220"/>
    <w:rsid w:val="00E13301"/>
    <w:rsid w:val="00E149A5"/>
    <w:rsid w:val="00E14F67"/>
    <w:rsid w:val="00E159E1"/>
    <w:rsid w:val="00E1751A"/>
    <w:rsid w:val="00E24147"/>
    <w:rsid w:val="00E2468A"/>
    <w:rsid w:val="00E33CFA"/>
    <w:rsid w:val="00E3562F"/>
    <w:rsid w:val="00E359AB"/>
    <w:rsid w:val="00E3706F"/>
    <w:rsid w:val="00E3796E"/>
    <w:rsid w:val="00E40CF5"/>
    <w:rsid w:val="00E41EF7"/>
    <w:rsid w:val="00E4239A"/>
    <w:rsid w:val="00E429F6"/>
    <w:rsid w:val="00E43220"/>
    <w:rsid w:val="00E4367F"/>
    <w:rsid w:val="00E44A01"/>
    <w:rsid w:val="00E457EB"/>
    <w:rsid w:val="00E479BE"/>
    <w:rsid w:val="00E47FCF"/>
    <w:rsid w:val="00E50977"/>
    <w:rsid w:val="00E52162"/>
    <w:rsid w:val="00E536B6"/>
    <w:rsid w:val="00E5385B"/>
    <w:rsid w:val="00E53EBF"/>
    <w:rsid w:val="00E54E29"/>
    <w:rsid w:val="00E55747"/>
    <w:rsid w:val="00E56A6F"/>
    <w:rsid w:val="00E56BA7"/>
    <w:rsid w:val="00E56F28"/>
    <w:rsid w:val="00E5771D"/>
    <w:rsid w:val="00E60457"/>
    <w:rsid w:val="00E60D3B"/>
    <w:rsid w:val="00E61891"/>
    <w:rsid w:val="00E622F4"/>
    <w:rsid w:val="00E62AAB"/>
    <w:rsid w:val="00E63678"/>
    <w:rsid w:val="00E63D5F"/>
    <w:rsid w:val="00E65A95"/>
    <w:rsid w:val="00E65B2A"/>
    <w:rsid w:val="00E66215"/>
    <w:rsid w:val="00E663C7"/>
    <w:rsid w:val="00E66934"/>
    <w:rsid w:val="00E66FA1"/>
    <w:rsid w:val="00E679CA"/>
    <w:rsid w:val="00E705AE"/>
    <w:rsid w:val="00E70CD3"/>
    <w:rsid w:val="00E73367"/>
    <w:rsid w:val="00E736DC"/>
    <w:rsid w:val="00E74E50"/>
    <w:rsid w:val="00E75D23"/>
    <w:rsid w:val="00E80508"/>
    <w:rsid w:val="00E8139A"/>
    <w:rsid w:val="00E8191F"/>
    <w:rsid w:val="00E81EA0"/>
    <w:rsid w:val="00E82982"/>
    <w:rsid w:val="00E83701"/>
    <w:rsid w:val="00E843E2"/>
    <w:rsid w:val="00E85663"/>
    <w:rsid w:val="00E85827"/>
    <w:rsid w:val="00E858F0"/>
    <w:rsid w:val="00E86B8C"/>
    <w:rsid w:val="00E87446"/>
    <w:rsid w:val="00E87F1B"/>
    <w:rsid w:val="00E90435"/>
    <w:rsid w:val="00E90BE5"/>
    <w:rsid w:val="00E9165F"/>
    <w:rsid w:val="00E9233B"/>
    <w:rsid w:val="00E932E7"/>
    <w:rsid w:val="00E93DA8"/>
    <w:rsid w:val="00E952EA"/>
    <w:rsid w:val="00E95968"/>
    <w:rsid w:val="00E97921"/>
    <w:rsid w:val="00EA009F"/>
    <w:rsid w:val="00EA08E8"/>
    <w:rsid w:val="00EA0C3C"/>
    <w:rsid w:val="00EA1049"/>
    <w:rsid w:val="00EA3B67"/>
    <w:rsid w:val="00EA3CFB"/>
    <w:rsid w:val="00EA451D"/>
    <w:rsid w:val="00EA4F5D"/>
    <w:rsid w:val="00EA5BB7"/>
    <w:rsid w:val="00EB1284"/>
    <w:rsid w:val="00EB27A6"/>
    <w:rsid w:val="00EB3BE8"/>
    <w:rsid w:val="00EB3D57"/>
    <w:rsid w:val="00EB6D75"/>
    <w:rsid w:val="00EC0915"/>
    <w:rsid w:val="00EC0D31"/>
    <w:rsid w:val="00EC0E74"/>
    <w:rsid w:val="00EC0E83"/>
    <w:rsid w:val="00EC0F5E"/>
    <w:rsid w:val="00EC1755"/>
    <w:rsid w:val="00EC1BF0"/>
    <w:rsid w:val="00EC1FE1"/>
    <w:rsid w:val="00EC299F"/>
    <w:rsid w:val="00EC4297"/>
    <w:rsid w:val="00EC4B7D"/>
    <w:rsid w:val="00EC5B51"/>
    <w:rsid w:val="00EC6464"/>
    <w:rsid w:val="00EC72BE"/>
    <w:rsid w:val="00EC77D5"/>
    <w:rsid w:val="00ED00A9"/>
    <w:rsid w:val="00ED3378"/>
    <w:rsid w:val="00ED3B4F"/>
    <w:rsid w:val="00ED428B"/>
    <w:rsid w:val="00ED524E"/>
    <w:rsid w:val="00ED5981"/>
    <w:rsid w:val="00ED5B78"/>
    <w:rsid w:val="00ED5E59"/>
    <w:rsid w:val="00ED64B2"/>
    <w:rsid w:val="00ED6F2D"/>
    <w:rsid w:val="00ED7F36"/>
    <w:rsid w:val="00ED7F61"/>
    <w:rsid w:val="00EE04AC"/>
    <w:rsid w:val="00EE0E55"/>
    <w:rsid w:val="00EE3D28"/>
    <w:rsid w:val="00EE3D33"/>
    <w:rsid w:val="00EE5EB0"/>
    <w:rsid w:val="00EE5F1B"/>
    <w:rsid w:val="00EE69CD"/>
    <w:rsid w:val="00EE7306"/>
    <w:rsid w:val="00EE7508"/>
    <w:rsid w:val="00EF0E6A"/>
    <w:rsid w:val="00EF2D37"/>
    <w:rsid w:val="00EF5B73"/>
    <w:rsid w:val="00EF6533"/>
    <w:rsid w:val="00EF759D"/>
    <w:rsid w:val="00EF791D"/>
    <w:rsid w:val="00F01419"/>
    <w:rsid w:val="00F02E37"/>
    <w:rsid w:val="00F035CA"/>
    <w:rsid w:val="00F04FB3"/>
    <w:rsid w:val="00F05BE0"/>
    <w:rsid w:val="00F06C56"/>
    <w:rsid w:val="00F0770B"/>
    <w:rsid w:val="00F10CFE"/>
    <w:rsid w:val="00F10F35"/>
    <w:rsid w:val="00F12835"/>
    <w:rsid w:val="00F1335E"/>
    <w:rsid w:val="00F14BB6"/>
    <w:rsid w:val="00F16590"/>
    <w:rsid w:val="00F16D0F"/>
    <w:rsid w:val="00F170CE"/>
    <w:rsid w:val="00F2149D"/>
    <w:rsid w:val="00F21B18"/>
    <w:rsid w:val="00F221A0"/>
    <w:rsid w:val="00F223BC"/>
    <w:rsid w:val="00F22C9F"/>
    <w:rsid w:val="00F22FF6"/>
    <w:rsid w:val="00F23AA8"/>
    <w:rsid w:val="00F2463A"/>
    <w:rsid w:val="00F24FC6"/>
    <w:rsid w:val="00F261DF"/>
    <w:rsid w:val="00F31239"/>
    <w:rsid w:val="00F3335B"/>
    <w:rsid w:val="00F33765"/>
    <w:rsid w:val="00F33DDC"/>
    <w:rsid w:val="00F37792"/>
    <w:rsid w:val="00F46D06"/>
    <w:rsid w:val="00F50CF9"/>
    <w:rsid w:val="00F51071"/>
    <w:rsid w:val="00F51422"/>
    <w:rsid w:val="00F55EC2"/>
    <w:rsid w:val="00F565EC"/>
    <w:rsid w:val="00F57CEB"/>
    <w:rsid w:val="00F60F68"/>
    <w:rsid w:val="00F61092"/>
    <w:rsid w:val="00F614A8"/>
    <w:rsid w:val="00F6169B"/>
    <w:rsid w:val="00F61C67"/>
    <w:rsid w:val="00F62CAC"/>
    <w:rsid w:val="00F63034"/>
    <w:rsid w:val="00F6389E"/>
    <w:rsid w:val="00F63D91"/>
    <w:rsid w:val="00F63EE6"/>
    <w:rsid w:val="00F6451B"/>
    <w:rsid w:val="00F64A10"/>
    <w:rsid w:val="00F650A7"/>
    <w:rsid w:val="00F6540A"/>
    <w:rsid w:val="00F65A33"/>
    <w:rsid w:val="00F65B36"/>
    <w:rsid w:val="00F70547"/>
    <w:rsid w:val="00F7074A"/>
    <w:rsid w:val="00F72246"/>
    <w:rsid w:val="00F75917"/>
    <w:rsid w:val="00F76D0C"/>
    <w:rsid w:val="00F7769C"/>
    <w:rsid w:val="00F81C6D"/>
    <w:rsid w:val="00F828F9"/>
    <w:rsid w:val="00F83660"/>
    <w:rsid w:val="00F83B70"/>
    <w:rsid w:val="00F846EA"/>
    <w:rsid w:val="00F84E8A"/>
    <w:rsid w:val="00F85FB4"/>
    <w:rsid w:val="00F85FC4"/>
    <w:rsid w:val="00F8691B"/>
    <w:rsid w:val="00F87B72"/>
    <w:rsid w:val="00F931C2"/>
    <w:rsid w:val="00F9382B"/>
    <w:rsid w:val="00F9449A"/>
    <w:rsid w:val="00F946B3"/>
    <w:rsid w:val="00F9615B"/>
    <w:rsid w:val="00F96AF6"/>
    <w:rsid w:val="00F97129"/>
    <w:rsid w:val="00FA0685"/>
    <w:rsid w:val="00FA06CA"/>
    <w:rsid w:val="00FA0F95"/>
    <w:rsid w:val="00FA17D1"/>
    <w:rsid w:val="00FA23C8"/>
    <w:rsid w:val="00FA3873"/>
    <w:rsid w:val="00FA39C0"/>
    <w:rsid w:val="00FA3AE2"/>
    <w:rsid w:val="00FA5BC0"/>
    <w:rsid w:val="00FA62FC"/>
    <w:rsid w:val="00FA6B6C"/>
    <w:rsid w:val="00FB1686"/>
    <w:rsid w:val="00FB2552"/>
    <w:rsid w:val="00FB2AFE"/>
    <w:rsid w:val="00FB2BEA"/>
    <w:rsid w:val="00FB3A36"/>
    <w:rsid w:val="00FB40F4"/>
    <w:rsid w:val="00FB49B5"/>
    <w:rsid w:val="00FB4A31"/>
    <w:rsid w:val="00FB4E33"/>
    <w:rsid w:val="00FC067F"/>
    <w:rsid w:val="00FC6BCD"/>
    <w:rsid w:val="00FC7381"/>
    <w:rsid w:val="00FC7A60"/>
    <w:rsid w:val="00FD30C9"/>
    <w:rsid w:val="00FD5952"/>
    <w:rsid w:val="00FE16AA"/>
    <w:rsid w:val="00FE3568"/>
    <w:rsid w:val="00FE440B"/>
    <w:rsid w:val="00FE4583"/>
    <w:rsid w:val="00FE45DD"/>
    <w:rsid w:val="00FE4B27"/>
    <w:rsid w:val="00FE4E97"/>
    <w:rsid w:val="00FE5445"/>
    <w:rsid w:val="00FE6108"/>
    <w:rsid w:val="00FE6293"/>
    <w:rsid w:val="00FE694F"/>
    <w:rsid w:val="00FF14AE"/>
    <w:rsid w:val="00FF178C"/>
    <w:rsid w:val="00FF1B56"/>
    <w:rsid w:val="00FF4F46"/>
    <w:rsid w:val="00FF625F"/>
    <w:rsid w:val="00FF66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CD3F5C"/>
  <w15:docId w15:val="{10CDC31C-3D2E-432B-A734-21179471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
      </w:numPr>
      <w:spacing w:before="0" w:after="0"/>
    </w:pPr>
    <w:rPr>
      <w:b/>
    </w:rPr>
  </w:style>
  <w:style w:type="paragraph" w:customStyle="1" w:styleId="dotpoint">
    <w:name w:val="dot point"/>
    <w:basedOn w:val="Normal"/>
    <w:rsid w:val="00E56A6F"/>
    <w:pPr>
      <w:numPr>
        <w:numId w:val="6"/>
      </w:numPr>
    </w:pPr>
  </w:style>
  <w:style w:type="paragraph" w:customStyle="1" w:styleId="dotpoint2">
    <w:name w:val="dot point 2"/>
    <w:basedOn w:val="Normal"/>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rsid w:val="00E56A6F"/>
    <w:pPr>
      <w:keepNext/>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863542"/>
    <w:rPr>
      <w:sz w:val="16"/>
      <w:szCs w:val="16"/>
    </w:rPr>
  </w:style>
  <w:style w:type="paragraph" w:styleId="CommentText">
    <w:name w:val="annotation text"/>
    <w:basedOn w:val="Normal"/>
    <w:link w:val="CommentTextChar"/>
    <w:uiPriority w:val="99"/>
    <w:semiHidden/>
    <w:unhideWhenUsed/>
    <w:rsid w:val="00863542"/>
    <w:rPr>
      <w:sz w:val="20"/>
    </w:rPr>
  </w:style>
  <w:style w:type="character" w:customStyle="1" w:styleId="CommentTextChar">
    <w:name w:val="Comment Text Char"/>
    <w:basedOn w:val="DefaultParagraphFont"/>
    <w:link w:val="CommentText"/>
    <w:uiPriority w:val="99"/>
    <w:semiHidden/>
    <w:rsid w:val="0086354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63542"/>
    <w:rPr>
      <w:b/>
      <w:bCs/>
    </w:rPr>
  </w:style>
  <w:style w:type="character" w:customStyle="1" w:styleId="CommentSubjectChar">
    <w:name w:val="Comment Subject Char"/>
    <w:basedOn w:val="CommentTextChar"/>
    <w:link w:val="CommentSubject"/>
    <w:uiPriority w:val="99"/>
    <w:semiHidden/>
    <w:rsid w:val="00863542"/>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6354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542"/>
    <w:rPr>
      <w:rFonts w:ascii="Segoe UI" w:eastAsia="Times New Roman" w:hAnsi="Segoe UI" w:cs="Segoe UI"/>
      <w:sz w:val="18"/>
      <w:szCs w:val="18"/>
      <w:lang w:eastAsia="en-AU"/>
    </w:rPr>
  </w:style>
  <w:style w:type="paragraph" w:customStyle="1" w:styleId="Default">
    <w:name w:val="Default"/>
    <w:rsid w:val="001C0D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Char">
    <w:name w:val="paragraph Char"/>
    <w:aliases w:val="a Char"/>
    <w:basedOn w:val="DefaultParagraphFont"/>
    <w:link w:val="paragraph"/>
    <w:locked/>
    <w:rsid w:val="005E171A"/>
    <w:rPr>
      <w:rFonts w:ascii="Times New Roman" w:eastAsia="Times New Roman" w:hAnsi="Times New Roman" w:cs="Times New Roman"/>
      <w:lang w:eastAsia="en-AU"/>
    </w:rPr>
  </w:style>
  <w:style w:type="paragraph" w:customStyle="1" w:styleId="paragraph">
    <w:name w:val="paragraph"/>
    <w:aliases w:val="a"/>
    <w:basedOn w:val="Normal"/>
    <w:link w:val="paragraphChar"/>
    <w:rsid w:val="005E171A"/>
    <w:pPr>
      <w:tabs>
        <w:tab w:val="right" w:pos="1531"/>
      </w:tabs>
      <w:spacing w:before="40" w:after="0"/>
      <w:ind w:left="1644" w:hanging="1644"/>
    </w:pPr>
    <w:rPr>
      <w:szCs w:val="22"/>
    </w:rPr>
  </w:style>
  <w:style w:type="paragraph" w:customStyle="1" w:styleId="Bullet">
    <w:name w:val="Bullet"/>
    <w:basedOn w:val="Normal"/>
    <w:link w:val="BulletChar"/>
    <w:rsid w:val="00D34405"/>
    <w:pPr>
      <w:numPr>
        <w:numId w:val="24"/>
      </w:numPr>
    </w:pPr>
  </w:style>
  <w:style w:type="character" w:customStyle="1" w:styleId="BulletChar">
    <w:name w:val="Bullet Char"/>
    <w:basedOn w:val="base-text-paragraphChar"/>
    <w:link w:val="Bullet"/>
    <w:rsid w:val="00D34405"/>
    <w:rPr>
      <w:rFonts w:ascii="Times New Roman" w:eastAsia="Times New Roman" w:hAnsi="Times New Roman" w:cs="Times New Roman"/>
      <w:szCs w:val="20"/>
      <w:lang w:eastAsia="en-AU"/>
    </w:rPr>
  </w:style>
  <w:style w:type="paragraph" w:customStyle="1" w:styleId="Dash">
    <w:name w:val="Dash"/>
    <w:basedOn w:val="Normal"/>
    <w:link w:val="DashChar"/>
    <w:rsid w:val="00D34405"/>
    <w:pPr>
      <w:numPr>
        <w:ilvl w:val="1"/>
        <w:numId w:val="24"/>
      </w:numPr>
    </w:pPr>
  </w:style>
  <w:style w:type="character" w:customStyle="1" w:styleId="DashChar">
    <w:name w:val="Dash Char"/>
    <w:basedOn w:val="base-text-paragraphChar"/>
    <w:link w:val="Dash"/>
    <w:rsid w:val="00D34405"/>
    <w:rPr>
      <w:rFonts w:ascii="Times New Roman" w:eastAsia="Times New Roman" w:hAnsi="Times New Roman" w:cs="Times New Roman"/>
      <w:szCs w:val="20"/>
      <w:lang w:eastAsia="en-AU"/>
    </w:rPr>
  </w:style>
  <w:style w:type="paragraph" w:customStyle="1" w:styleId="DoubleDot">
    <w:name w:val="Double Dot"/>
    <w:basedOn w:val="Normal"/>
    <w:link w:val="DoubleDotChar"/>
    <w:rsid w:val="00D34405"/>
    <w:pPr>
      <w:numPr>
        <w:ilvl w:val="2"/>
        <w:numId w:val="24"/>
      </w:numPr>
    </w:pPr>
  </w:style>
  <w:style w:type="character" w:customStyle="1" w:styleId="DoubleDotChar">
    <w:name w:val="Double Dot Char"/>
    <w:basedOn w:val="base-text-paragraphChar"/>
    <w:link w:val="DoubleDot"/>
    <w:rsid w:val="00D34405"/>
    <w:rPr>
      <w:rFonts w:ascii="Times New Roman" w:eastAsia="Times New Roman" w:hAnsi="Times New Roman" w:cs="Times New Roman"/>
      <w:szCs w:val="20"/>
      <w:lang w:eastAsia="en-AU"/>
    </w:rPr>
  </w:style>
  <w:style w:type="paragraph" w:customStyle="1" w:styleId="dotpoint0">
    <w:name w:val="dotpoint"/>
    <w:basedOn w:val="Normal"/>
    <w:rsid w:val="0076753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660319">
      <w:bodyDiv w:val="1"/>
      <w:marLeft w:val="0"/>
      <w:marRight w:val="0"/>
      <w:marTop w:val="0"/>
      <w:marBottom w:val="0"/>
      <w:divBdr>
        <w:top w:val="none" w:sz="0" w:space="0" w:color="auto"/>
        <w:left w:val="none" w:sz="0" w:space="0" w:color="auto"/>
        <w:bottom w:val="none" w:sz="0" w:space="0" w:color="auto"/>
        <w:right w:val="none" w:sz="0" w:space="0" w:color="auto"/>
      </w:divBdr>
    </w:div>
    <w:div w:id="458108231">
      <w:bodyDiv w:val="1"/>
      <w:marLeft w:val="0"/>
      <w:marRight w:val="0"/>
      <w:marTop w:val="0"/>
      <w:marBottom w:val="0"/>
      <w:divBdr>
        <w:top w:val="none" w:sz="0" w:space="0" w:color="auto"/>
        <w:left w:val="none" w:sz="0" w:space="0" w:color="auto"/>
        <w:bottom w:val="none" w:sz="0" w:space="0" w:color="auto"/>
        <w:right w:val="none" w:sz="0" w:space="0" w:color="auto"/>
      </w:divBdr>
    </w:div>
    <w:div w:id="458650781">
      <w:bodyDiv w:val="1"/>
      <w:marLeft w:val="0"/>
      <w:marRight w:val="0"/>
      <w:marTop w:val="0"/>
      <w:marBottom w:val="0"/>
      <w:divBdr>
        <w:top w:val="none" w:sz="0" w:space="0" w:color="auto"/>
        <w:left w:val="none" w:sz="0" w:space="0" w:color="auto"/>
        <w:bottom w:val="none" w:sz="0" w:space="0" w:color="auto"/>
        <w:right w:val="none" w:sz="0" w:space="0" w:color="auto"/>
      </w:divBdr>
    </w:div>
    <w:div w:id="719091628">
      <w:bodyDiv w:val="1"/>
      <w:marLeft w:val="0"/>
      <w:marRight w:val="0"/>
      <w:marTop w:val="0"/>
      <w:marBottom w:val="0"/>
      <w:divBdr>
        <w:top w:val="none" w:sz="0" w:space="0" w:color="auto"/>
        <w:left w:val="none" w:sz="0" w:space="0" w:color="auto"/>
        <w:bottom w:val="none" w:sz="0" w:space="0" w:color="auto"/>
        <w:right w:val="none" w:sz="0" w:space="0" w:color="auto"/>
      </w:divBdr>
    </w:div>
    <w:div w:id="731078462">
      <w:bodyDiv w:val="1"/>
      <w:marLeft w:val="0"/>
      <w:marRight w:val="0"/>
      <w:marTop w:val="0"/>
      <w:marBottom w:val="0"/>
      <w:divBdr>
        <w:top w:val="none" w:sz="0" w:space="0" w:color="auto"/>
        <w:left w:val="none" w:sz="0" w:space="0" w:color="auto"/>
        <w:bottom w:val="none" w:sz="0" w:space="0" w:color="auto"/>
        <w:right w:val="none" w:sz="0" w:space="0" w:color="auto"/>
      </w:divBdr>
    </w:div>
    <w:div w:id="741833632">
      <w:bodyDiv w:val="1"/>
      <w:marLeft w:val="0"/>
      <w:marRight w:val="0"/>
      <w:marTop w:val="0"/>
      <w:marBottom w:val="0"/>
      <w:divBdr>
        <w:top w:val="none" w:sz="0" w:space="0" w:color="auto"/>
        <w:left w:val="none" w:sz="0" w:space="0" w:color="auto"/>
        <w:bottom w:val="none" w:sz="0" w:space="0" w:color="auto"/>
        <w:right w:val="none" w:sz="0" w:space="0" w:color="auto"/>
      </w:divBdr>
    </w:div>
    <w:div w:id="789664061">
      <w:bodyDiv w:val="1"/>
      <w:marLeft w:val="0"/>
      <w:marRight w:val="0"/>
      <w:marTop w:val="0"/>
      <w:marBottom w:val="0"/>
      <w:divBdr>
        <w:top w:val="none" w:sz="0" w:space="0" w:color="auto"/>
        <w:left w:val="none" w:sz="0" w:space="0" w:color="auto"/>
        <w:bottom w:val="none" w:sz="0" w:space="0" w:color="auto"/>
        <w:right w:val="none" w:sz="0" w:space="0" w:color="auto"/>
      </w:divBdr>
    </w:div>
    <w:div w:id="844979112">
      <w:bodyDiv w:val="1"/>
      <w:marLeft w:val="0"/>
      <w:marRight w:val="0"/>
      <w:marTop w:val="0"/>
      <w:marBottom w:val="0"/>
      <w:divBdr>
        <w:top w:val="none" w:sz="0" w:space="0" w:color="auto"/>
        <w:left w:val="none" w:sz="0" w:space="0" w:color="auto"/>
        <w:bottom w:val="none" w:sz="0" w:space="0" w:color="auto"/>
        <w:right w:val="none" w:sz="0" w:space="0" w:color="auto"/>
      </w:divBdr>
    </w:div>
    <w:div w:id="1008605717">
      <w:bodyDiv w:val="1"/>
      <w:marLeft w:val="0"/>
      <w:marRight w:val="0"/>
      <w:marTop w:val="0"/>
      <w:marBottom w:val="0"/>
      <w:divBdr>
        <w:top w:val="none" w:sz="0" w:space="0" w:color="auto"/>
        <w:left w:val="none" w:sz="0" w:space="0" w:color="auto"/>
        <w:bottom w:val="none" w:sz="0" w:space="0" w:color="auto"/>
        <w:right w:val="none" w:sz="0" w:space="0" w:color="auto"/>
      </w:divBdr>
    </w:div>
    <w:div w:id="1126124283">
      <w:bodyDiv w:val="1"/>
      <w:marLeft w:val="0"/>
      <w:marRight w:val="0"/>
      <w:marTop w:val="0"/>
      <w:marBottom w:val="0"/>
      <w:divBdr>
        <w:top w:val="none" w:sz="0" w:space="0" w:color="auto"/>
        <w:left w:val="none" w:sz="0" w:space="0" w:color="auto"/>
        <w:bottom w:val="none" w:sz="0" w:space="0" w:color="auto"/>
        <w:right w:val="none" w:sz="0" w:space="0" w:color="auto"/>
      </w:divBdr>
    </w:div>
    <w:div w:id="1319264300">
      <w:bodyDiv w:val="1"/>
      <w:marLeft w:val="0"/>
      <w:marRight w:val="0"/>
      <w:marTop w:val="0"/>
      <w:marBottom w:val="0"/>
      <w:divBdr>
        <w:top w:val="none" w:sz="0" w:space="0" w:color="auto"/>
        <w:left w:val="none" w:sz="0" w:space="0" w:color="auto"/>
        <w:bottom w:val="none" w:sz="0" w:space="0" w:color="auto"/>
        <w:right w:val="none" w:sz="0" w:space="0" w:color="auto"/>
      </w:divBdr>
    </w:div>
    <w:div w:id="1346859858">
      <w:bodyDiv w:val="1"/>
      <w:marLeft w:val="0"/>
      <w:marRight w:val="0"/>
      <w:marTop w:val="0"/>
      <w:marBottom w:val="0"/>
      <w:divBdr>
        <w:top w:val="none" w:sz="0" w:space="0" w:color="auto"/>
        <w:left w:val="none" w:sz="0" w:space="0" w:color="auto"/>
        <w:bottom w:val="none" w:sz="0" w:space="0" w:color="auto"/>
        <w:right w:val="none" w:sz="0" w:space="0" w:color="auto"/>
      </w:divBdr>
    </w:div>
    <w:div w:id="1427189380">
      <w:bodyDiv w:val="1"/>
      <w:marLeft w:val="0"/>
      <w:marRight w:val="0"/>
      <w:marTop w:val="0"/>
      <w:marBottom w:val="0"/>
      <w:divBdr>
        <w:top w:val="none" w:sz="0" w:space="0" w:color="auto"/>
        <w:left w:val="none" w:sz="0" w:space="0" w:color="auto"/>
        <w:bottom w:val="none" w:sz="0" w:space="0" w:color="auto"/>
        <w:right w:val="none" w:sz="0" w:space="0" w:color="auto"/>
      </w:divBdr>
      <w:divsChild>
        <w:div w:id="1837914454">
          <w:marLeft w:val="0"/>
          <w:marRight w:val="0"/>
          <w:marTop w:val="0"/>
          <w:marBottom w:val="0"/>
          <w:divBdr>
            <w:top w:val="none" w:sz="0" w:space="0" w:color="auto"/>
            <w:left w:val="none" w:sz="0" w:space="0" w:color="auto"/>
            <w:bottom w:val="none" w:sz="0" w:space="0" w:color="auto"/>
            <w:right w:val="none" w:sz="0" w:space="0" w:color="auto"/>
          </w:divBdr>
          <w:divsChild>
            <w:div w:id="1363439977">
              <w:marLeft w:val="0"/>
              <w:marRight w:val="0"/>
              <w:marTop w:val="0"/>
              <w:marBottom w:val="0"/>
              <w:divBdr>
                <w:top w:val="none" w:sz="0" w:space="0" w:color="auto"/>
                <w:left w:val="none" w:sz="0" w:space="0" w:color="auto"/>
                <w:bottom w:val="none" w:sz="0" w:space="0" w:color="auto"/>
                <w:right w:val="none" w:sz="0" w:space="0" w:color="auto"/>
              </w:divBdr>
              <w:divsChild>
                <w:div w:id="1324239939">
                  <w:marLeft w:val="0"/>
                  <w:marRight w:val="0"/>
                  <w:marTop w:val="0"/>
                  <w:marBottom w:val="0"/>
                  <w:divBdr>
                    <w:top w:val="none" w:sz="0" w:space="0" w:color="auto"/>
                    <w:left w:val="none" w:sz="0" w:space="0" w:color="auto"/>
                    <w:bottom w:val="none" w:sz="0" w:space="0" w:color="auto"/>
                    <w:right w:val="none" w:sz="0" w:space="0" w:color="auto"/>
                  </w:divBdr>
                  <w:divsChild>
                    <w:div w:id="803698396">
                      <w:marLeft w:val="0"/>
                      <w:marRight w:val="0"/>
                      <w:marTop w:val="0"/>
                      <w:marBottom w:val="0"/>
                      <w:divBdr>
                        <w:top w:val="none" w:sz="0" w:space="0" w:color="auto"/>
                        <w:left w:val="none" w:sz="0" w:space="0" w:color="auto"/>
                        <w:bottom w:val="none" w:sz="0" w:space="0" w:color="auto"/>
                        <w:right w:val="none" w:sz="0" w:space="0" w:color="auto"/>
                      </w:divBdr>
                      <w:divsChild>
                        <w:div w:id="1957323587">
                          <w:marLeft w:val="0"/>
                          <w:marRight w:val="0"/>
                          <w:marTop w:val="0"/>
                          <w:marBottom w:val="0"/>
                          <w:divBdr>
                            <w:top w:val="none" w:sz="0" w:space="0" w:color="auto"/>
                            <w:left w:val="none" w:sz="0" w:space="0" w:color="auto"/>
                            <w:bottom w:val="none" w:sz="0" w:space="0" w:color="auto"/>
                            <w:right w:val="none" w:sz="0" w:space="0" w:color="auto"/>
                          </w:divBdr>
                          <w:divsChild>
                            <w:div w:id="1363361843">
                              <w:marLeft w:val="0"/>
                              <w:marRight w:val="0"/>
                              <w:marTop w:val="0"/>
                              <w:marBottom w:val="0"/>
                              <w:divBdr>
                                <w:top w:val="none" w:sz="0" w:space="0" w:color="auto"/>
                                <w:left w:val="none" w:sz="0" w:space="0" w:color="auto"/>
                                <w:bottom w:val="none" w:sz="0" w:space="0" w:color="auto"/>
                                <w:right w:val="none" w:sz="0" w:space="0" w:color="auto"/>
                              </w:divBdr>
                              <w:divsChild>
                                <w:div w:id="1209881444">
                                  <w:marLeft w:val="0"/>
                                  <w:marRight w:val="0"/>
                                  <w:marTop w:val="0"/>
                                  <w:marBottom w:val="0"/>
                                  <w:divBdr>
                                    <w:top w:val="none" w:sz="0" w:space="0" w:color="auto"/>
                                    <w:left w:val="none" w:sz="0" w:space="0" w:color="auto"/>
                                    <w:bottom w:val="none" w:sz="0" w:space="0" w:color="auto"/>
                                    <w:right w:val="none" w:sz="0" w:space="0" w:color="auto"/>
                                  </w:divBdr>
                                  <w:divsChild>
                                    <w:div w:id="913709670">
                                      <w:marLeft w:val="0"/>
                                      <w:marRight w:val="0"/>
                                      <w:marTop w:val="0"/>
                                      <w:marBottom w:val="0"/>
                                      <w:divBdr>
                                        <w:top w:val="none" w:sz="0" w:space="0" w:color="auto"/>
                                        <w:left w:val="none" w:sz="0" w:space="0" w:color="auto"/>
                                        <w:bottom w:val="none" w:sz="0" w:space="0" w:color="auto"/>
                                        <w:right w:val="none" w:sz="0" w:space="0" w:color="auto"/>
                                      </w:divBdr>
                                      <w:divsChild>
                                        <w:div w:id="3026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55600">
                      <w:marLeft w:val="0"/>
                      <w:marRight w:val="0"/>
                      <w:marTop w:val="0"/>
                      <w:marBottom w:val="0"/>
                      <w:divBdr>
                        <w:top w:val="none" w:sz="0" w:space="0" w:color="auto"/>
                        <w:left w:val="none" w:sz="0" w:space="0" w:color="auto"/>
                        <w:bottom w:val="none" w:sz="0" w:space="0" w:color="auto"/>
                        <w:right w:val="none" w:sz="0" w:space="0" w:color="auto"/>
                      </w:divBdr>
                      <w:divsChild>
                        <w:div w:id="294988153">
                          <w:marLeft w:val="0"/>
                          <w:marRight w:val="0"/>
                          <w:marTop w:val="0"/>
                          <w:marBottom w:val="0"/>
                          <w:divBdr>
                            <w:top w:val="none" w:sz="0" w:space="0" w:color="auto"/>
                            <w:left w:val="none" w:sz="0" w:space="0" w:color="auto"/>
                            <w:bottom w:val="none" w:sz="0" w:space="0" w:color="auto"/>
                            <w:right w:val="none" w:sz="0" w:space="0" w:color="auto"/>
                          </w:divBdr>
                          <w:divsChild>
                            <w:div w:id="198473346">
                              <w:marLeft w:val="0"/>
                              <w:marRight w:val="0"/>
                              <w:marTop w:val="0"/>
                              <w:marBottom w:val="0"/>
                              <w:divBdr>
                                <w:top w:val="none" w:sz="0" w:space="0" w:color="auto"/>
                                <w:left w:val="none" w:sz="0" w:space="0" w:color="auto"/>
                                <w:bottom w:val="none" w:sz="0" w:space="0" w:color="auto"/>
                                <w:right w:val="none" w:sz="0" w:space="0" w:color="auto"/>
                              </w:divBdr>
                              <w:divsChild>
                                <w:div w:id="749931624">
                                  <w:marLeft w:val="0"/>
                                  <w:marRight w:val="0"/>
                                  <w:marTop w:val="0"/>
                                  <w:marBottom w:val="0"/>
                                  <w:divBdr>
                                    <w:top w:val="none" w:sz="0" w:space="0" w:color="auto"/>
                                    <w:left w:val="none" w:sz="0" w:space="0" w:color="auto"/>
                                    <w:bottom w:val="none" w:sz="0" w:space="0" w:color="auto"/>
                                    <w:right w:val="none" w:sz="0" w:space="0" w:color="auto"/>
                                  </w:divBdr>
                                  <w:divsChild>
                                    <w:div w:id="1129477463">
                                      <w:marLeft w:val="0"/>
                                      <w:marRight w:val="0"/>
                                      <w:marTop w:val="0"/>
                                      <w:marBottom w:val="0"/>
                                      <w:divBdr>
                                        <w:top w:val="none" w:sz="0" w:space="0" w:color="auto"/>
                                        <w:left w:val="none" w:sz="0" w:space="0" w:color="auto"/>
                                        <w:bottom w:val="none" w:sz="0" w:space="0" w:color="auto"/>
                                        <w:right w:val="none" w:sz="0" w:space="0" w:color="auto"/>
                                      </w:divBdr>
                                      <w:divsChild>
                                        <w:div w:id="21119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032962">
                      <w:marLeft w:val="0"/>
                      <w:marRight w:val="0"/>
                      <w:marTop w:val="0"/>
                      <w:marBottom w:val="0"/>
                      <w:divBdr>
                        <w:top w:val="none" w:sz="0" w:space="0" w:color="auto"/>
                        <w:left w:val="none" w:sz="0" w:space="0" w:color="auto"/>
                        <w:bottom w:val="none" w:sz="0" w:space="0" w:color="auto"/>
                        <w:right w:val="none" w:sz="0" w:space="0" w:color="auto"/>
                      </w:divBdr>
                      <w:divsChild>
                        <w:div w:id="1272125402">
                          <w:marLeft w:val="0"/>
                          <w:marRight w:val="0"/>
                          <w:marTop w:val="0"/>
                          <w:marBottom w:val="0"/>
                          <w:divBdr>
                            <w:top w:val="none" w:sz="0" w:space="0" w:color="auto"/>
                            <w:left w:val="none" w:sz="0" w:space="0" w:color="auto"/>
                            <w:bottom w:val="none" w:sz="0" w:space="0" w:color="auto"/>
                            <w:right w:val="none" w:sz="0" w:space="0" w:color="auto"/>
                          </w:divBdr>
                          <w:divsChild>
                            <w:div w:id="832185378">
                              <w:marLeft w:val="0"/>
                              <w:marRight w:val="0"/>
                              <w:marTop w:val="0"/>
                              <w:marBottom w:val="0"/>
                              <w:divBdr>
                                <w:top w:val="none" w:sz="0" w:space="0" w:color="auto"/>
                                <w:left w:val="none" w:sz="0" w:space="0" w:color="auto"/>
                                <w:bottom w:val="none" w:sz="0" w:space="0" w:color="auto"/>
                                <w:right w:val="none" w:sz="0" w:space="0" w:color="auto"/>
                              </w:divBdr>
                              <w:divsChild>
                                <w:div w:id="160388513">
                                  <w:marLeft w:val="0"/>
                                  <w:marRight w:val="0"/>
                                  <w:marTop w:val="0"/>
                                  <w:marBottom w:val="0"/>
                                  <w:divBdr>
                                    <w:top w:val="none" w:sz="0" w:space="0" w:color="auto"/>
                                    <w:left w:val="none" w:sz="0" w:space="0" w:color="auto"/>
                                    <w:bottom w:val="none" w:sz="0" w:space="0" w:color="auto"/>
                                    <w:right w:val="none" w:sz="0" w:space="0" w:color="auto"/>
                                  </w:divBdr>
                                  <w:divsChild>
                                    <w:div w:id="687944961">
                                      <w:marLeft w:val="0"/>
                                      <w:marRight w:val="0"/>
                                      <w:marTop w:val="0"/>
                                      <w:marBottom w:val="0"/>
                                      <w:divBdr>
                                        <w:top w:val="none" w:sz="0" w:space="0" w:color="auto"/>
                                        <w:left w:val="none" w:sz="0" w:space="0" w:color="auto"/>
                                        <w:bottom w:val="none" w:sz="0" w:space="0" w:color="auto"/>
                                        <w:right w:val="none" w:sz="0" w:space="0" w:color="auto"/>
                                      </w:divBdr>
                                      <w:divsChild>
                                        <w:div w:id="7444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996362">
      <w:bodyDiv w:val="1"/>
      <w:marLeft w:val="0"/>
      <w:marRight w:val="0"/>
      <w:marTop w:val="0"/>
      <w:marBottom w:val="0"/>
      <w:divBdr>
        <w:top w:val="none" w:sz="0" w:space="0" w:color="auto"/>
        <w:left w:val="none" w:sz="0" w:space="0" w:color="auto"/>
        <w:bottom w:val="none" w:sz="0" w:space="0" w:color="auto"/>
        <w:right w:val="none" w:sz="0" w:space="0" w:color="auto"/>
      </w:divBdr>
    </w:div>
    <w:div w:id="1664627096">
      <w:bodyDiv w:val="1"/>
      <w:marLeft w:val="0"/>
      <w:marRight w:val="0"/>
      <w:marTop w:val="0"/>
      <w:marBottom w:val="0"/>
      <w:divBdr>
        <w:top w:val="none" w:sz="0" w:space="0" w:color="auto"/>
        <w:left w:val="none" w:sz="0" w:space="0" w:color="auto"/>
        <w:bottom w:val="none" w:sz="0" w:space="0" w:color="auto"/>
        <w:right w:val="none" w:sz="0" w:space="0" w:color="auto"/>
      </w:divBdr>
    </w:div>
    <w:div w:id="1768890772">
      <w:bodyDiv w:val="1"/>
      <w:marLeft w:val="0"/>
      <w:marRight w:val="0"/>
      <w:marTop w:val="0"/>
      <w:marBottom w:val="0"/>
      <w:divBdr>
        <w:top w:val="none" w:sz="0" w:space="0" w:color="auto"/>
        <w:left w:val="none" w:sz="0" w:space="0" w:color="auto"/>
        <w:bottom w:val="none" w:sz="0" w:space="0" w:color="auto"/>
        <w:right w:val="none" w:sz="0" w:space="0" w:color="auto"/>
      </w:divBdr>
    </w:div>
    <w:div w:id="1771463517">
      <w:bodyDiv w:val="1"/>
      <w:marLeft w:val="0"/>
      <w:marRight w:val="0"/>
      <w:marTop w:val="0"/>
      <w:marBottom w:val="0"/>
      <w:divBdr>
        <w:top w:val="none" w:sz="0" w:space="0" w:color="auto"/>
        <w:left w:val="none" w:sz="0" w:space="0" w:color="auto"/>
        <w:bottom w:val="none" w:sz="0" w:space="0" w:color="auto"/>
        <w:right w:val="none" w:sz="0" w:space="0" w:color="auto"/>
      </w:divBdr>
    </w:div>
    <w:div w:id="1851330647">
      <w:bodyDiv w:val="1"/>
      <w:marLeft w:val="0"/>
      <w:marRight w:val="0"/>
      <w:marTop w:val="0"/>
      <w:marBottom w:val="0"/>
      <w:divBdr>
        <w:top w:val="none" w:sz="0" w:space="0" w:color="auto"/>
        <w:left w:val="none" w:sz="0" w:space="0" w:color="auto"/>
        <w:bottom w:val="none" w:sz="0" w:space="0" w:color="auto"/>
        <w:right w:val="none" w:sz="0" w:space="0" w:color="auto"/>
      </w:divBdr>
    </w:div>
    <w:div w:id="2029670949">
      <w:bodyDiv w:val="1"/>
      <w:marLeft w:val="0"/>
      <w:marRight w:val="0"/>
      <w:marTop w:val="0"/>
      <w:marBottom w:val="0"/>
      <w:divBdr>
        <w:top w:val="none" w:sz="0" w:space="0" w:color="auto"/>
        <w:left w:val="none" w:sz="0" w:space="0" w:color="auto"/>
        <w:bottom w:val="none" w:sz="0" w:space="0" w:color="auto"/>
        <w:right w:val="none" w:sz="0" w:space="0" w:color="auto"/>
      </w:divBdr>
      <w:divsChild>
        <w:div w:id="1698696743">
          <w:marLeft w:val="0"/>
          <w:marRight w:val="0"/>
          <w:marTop w:val="0"/>
          <w:marBottom w:val="0"/>
          <w:divBdr>
            <w:top w:val="none" w:sz="0" w:space="0" w:color="auto"/>
            <w:left w:val="none" w:sz="0" w:space="0" w:color="auto"/>
            <w:bottom w:val="none" w:sz="0" w:space="0" w:color="auto"/>
            <w:right w:val="none" w:sz="0" w:space="0" w:color="auto"/>
          </w:divBdr>
          <w:divsChild>
            <w:div w:id="1876111776">
              <w:marLeft w:val="0"/>
              <w:marRight w:val="0"/>
              <w:marTop w:val="0"/>
              <w:marBottom w:val="0"/>
              <w:divBdr>
                <w:top w:val="none" w:sz="0" w:space="0" w:color="auto"/>
                <w:left w:val="none" w:sz="0" w:space="0" w:color="auto"/>
                <w:bottom w:val="none" w:sz="0" w:space="0" w:color="auto"/>
                <w:right w:val="none" w:sz="0" w:space="0" w:color="auto"/>
              </w:divBdr>
              <w:divsChild>
                <w:div w:id="579950297">
                  <w:marLeft w:val="0"/>
                  <w:marRight w:val="0"/>
                  <w:marTop w:val="0"/>
                  <w:marBottom w:val="0"/>
                  <w:divBdr>
                    <w:top w:val="none" w:sz="0" w:space="0" w:color="auto"/>
                    <w:left w:val="none" w:sz="0" w:space="0" w:color="auto"/>
                    <w:bottom w:val="none" w:sz="0" w:space="0" w:color="auto"/>
                    <w:right w:val="none" w:sz="0" w:space="0" w:color="auto"/>
                  </w:divBdr>
                  <w:divsChild>
                    <w:div w:id="943028220">
                      <w:marLeft w:val="0"/>
                      <w:marRight w:val="0"/>
                      <w:marTop w:val="0"/>
                      <w:marBottom w:val="0"/>
                      <w:divBdr>
                        <w:top w:val="none" w:sz="0" w:space="0" w:color="auto"/>
                        <w:left w:val="none" w:sz="0" w:space="0" w:color="auto"/>
                        <w:bottom w:val="none" w:sz="0" w:space="0" w:color="auto"/>
                        <w:right w:val="none" w:sz="0" w:space="0" w:color="auto"/>
                      </w:divBdr>
                      <w:divsChild>
                        <w:div w:id="598753996">
                          <w:marLeft w:val="0"/>
                          <w:marRight w:val="0"/>
                          <w:marTop w:val="0"/>
                          <w:marBottom w:val="0"/>
                          <w:divBdr>
                            <w:top w:val="none" w:sz="0" w:space="0" w:color="auto"/>
                            <w:left w:val="none" w:sz="0" w:space="0" w:color="auto"/>
                            <w:bottom w:val="none" w:sz="0" w:space="0" w:color="auto"/>
                            <w:right w:val="none" w:sz="0" w:space="0" w:color="auto"/>
                          </w:divBdr>
                          <w:divsChild>
                            <w:div w:id="1949971894">
                              <w:marLeft w:val="0"/>
                              <w:marRight w:val="0"/>
                              <w:marTop w:val="0"/>
                              <w:marBottom w:val="0"/>
                              <w:divBdr>
                                <w:top w:val="none" w:sz="0" w:space="0" w:color="auto"/>
                                <w:left w:val="none" w:sz="0" w:space="0" w:color="auto"/>
                                <w:bottom w:val="none" w:sz="0" w:space="0" w:color="auto"/>
                                <w:right w:val="none" w:sz="0" w:space="0" w:color="auto"/>
                              </w:divBdr>
                              <w:divsChild>
                                <w:div w:id="1886942776">
                                  <w:marLeft w:val="0"/>
                                  <w:marRight w:val="0"/>
                                  <w:marTop w:val="0"/>
                                  <w:marBottom w:val="0"/>
                                  <w:divBdr>
                                    <w:top w:val="none" w:sz="0" w:space="0" w:color="auto"/>
                                    <w:left w:val="none" w:sz="0" w:space="0" w:color="auto"/>
                                    <w:bottom w:val="none" w:sz="0" w:space="0" w:color="auto"/>
                                    <w:right w:val="none" w:sz="0" w:space="0" w:color="auto"/>
                                  </w:divBdr>
                                  <w:divsChild>
                                    <w:div w:id="732316466">
                                      <w:marLeft w:val="0"/>
                                      <w:marRight w:val="0"/>
                                      <w:marTop w:val="0"/>
                                      <w:marBottom w:val="0"/>
                                      <w:divBdr>
                                        <w:top w:val="none" w:sz="0" w:space="0" w:color="auto"/>
                                        <w:left w:val="none" w:sz="0" w:space="0" w:color="auto"/>
                                        <w:bottom w:val="none" w:sz="0" w:space="0" w:color="auto"/>
                                        <w:right w:val="none" w:sz="0" w:space="0" w:color="auto"/>
                                      </w:divBdr>
                                      <w:divsChild>
                                        <w:div w:id="1137836140">
                                          <w:marLeft w:val="0"/>
                                          <w:marRight w:val="0"/>
                                          <w:marTop w:val="0"/>
                                          <w:marBottom w:val="0"/>
                                          <w:divBdr>
                                            <w:top w:val="none" w:sz="0" w:space="0" w:color="auto"/>
                                            <w:left w:val="none" w:sz="0" w:space="0" w:color="auto"/>
                                            <w:bottom w:val="none" w:sz="0" w:space="0" w:color="auto"/>
                                            <w:right w:val="none" w:sz="0" w:space="0" w:color="auto"/>
                                          </w:divBdr>
                                          <w:divsChild>
                                            <w:div w:id="164058049">
                                              <w:marLeft w:val="0"/>
                                              <w:marRight w:val="0"/>
                                              <w:marTop w:val="0"/>
                                              <w:marBottom w:val="0"/>
                                              <w:divBdr>
                                                <w:top w:val="none" w:sz="0" w:space="0" w:color="auto"/>
                                                <w:left w:val="none" w:sz="0" w:space="0" w:color="auto"/>
                                                <w:bottom w:val="none" w:sz="0" w:space="0" w:color="auto"/>
                                                <w:right w:val="none" w:sz="0" w:space="0" w:color="auto"/>
                                              </w:divBdr>
                                              <w:divsChild>
                                                <w:div w:id="1418791356">
                                                  <w:marLeft w:val="0"/>
                                                  <w:marRight w:val="0"/>
                                                  <w:marTop w:val="0"/>
                                                  <w:marBottom w:val="0"/>
                                                  <w:divBdr>
                                                    <w:top w:val="none" w:sz="0" w:space="0" w:color="auto"/>
                                                    <w:left w:val="none" w:sz="0" w:space="0" w:color="auto"/>
                                                    <w:bottom w:val="none" w:sz="0" w:space="0" w:color="auto"/>
                                                    <w:right w:val="none" w:sz="0" w:space="0" w:color="auto"/>
                                                  </w:divBdr>
                                                  <w:divsChild>
                                                    <w:div w:id="1883517777">
                                                      <w:marLeft w:val="0"/>
                                                      <w:marRight w:val="0"/>
                                                      <w:marTop w:val="0"/>
                                                      <w:marBottom w:val="0"/>
                                                      <w:divBdr>
                                                        <w:top w:val="none" w:sz="0" w:space="0" w:color="auto"/>
                                                        <w:left w:val="none" w:sz="0" w:space="0" w:color="auto"/>
                                                        <w:bottom w:val="none" w:sz="0" w:space="0" w:color="auto"/>
                                                        <w:right w:val="none" w:sz="0" w:space="0" w:color="auto"/>
                                                      </w:divBdr>
                                                      <w:divsChild>
                                                        <w:div w:id="83835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_dlc_DocId xmlns="0f563589-9cf9-4143-b1eb-fb0534803d38">2020RG-136-48510</_dlc_DocId>
    <TaxCatchAll xmlns="0f563589-9cf9-4143-b1eb-fb0534803d38">
      <Value>7</Value>
    </TaxCatchAll>
    <_dlc_DocIdUrl xmlns="0f563589-9cf9-4143-b1eb-fb0534803d38">
      <Url>http://tweb/sites/rg/ldp/_layouts/15/DocIdRedir.aspx?ID=2020RG-136-48510</Url>
      <Description>2020RG-136-48510</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6137" ma:contentTypeDescription="" ma:contentTypeScope="" ma:versionID="7ac16aa97e1481746b42d11b1a20e657">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BCE1-B00C-45BB-B3CA-CEE712E03F53}">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f563589-9cf9-4143-b1eb-fb0534803d38"/>
    <ds:schemaRef ds:uri="http://purl.org/dc/elements/1.1/"/>
    <ds:schemaRef ds:uri="687b78b0-2ddd-4441-8a8b-c9638c2a1939"/>
    <ds:schemaRef ds:uri="http://www.w3.org/XML/1998/namespace"/>
    <ds:schemaRef ds:uri="http://purl.org/dc/dcmitype/"/>
  </ds:schemaRefs>
</ds:datastoreItem>
</file>

<file path=customXml/itemProps2.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3.xml><?xml version="1.0" encoding="utf-8"?>
<ds:datastoreItem xmlns:ds="http://schemas.openxmlformats.org/officeDocument/2006/customXml" ds:itemID="{1EEF8C7A-6F56-4C4D-B51C-8D77D5ADF651}">
  <ds:schemaRefs>
    <ds:schemaRef ds:uri="office.server.policy"/>
  </ds:schemaRefs>
</ds:datastoreItem>
</file>

<file path=customXml/itemProps4.xml><?xml version="1.0" encoding="utf-8"?>
<ds:datastoreItem xmlns:ds="http://schemas.openxmlformats.org/officeDocument/2006/customXml" ds:itemID="{85C2AAC3-1E77-45AB-9900-3253D130D858}">
  <ds:schemaRefs>
    <ds:schemaRef ds:uri="http://schemas.microsoft.com/sharepoint/events"/>
  </ds:schemaRefs>
</ds:datastoreItem>
</file>

<file path=customXml/itemProps5.xml><?xml version="1.0" encoding="utf-8"?>
<ds:datastoreItem xmlns:ds="http://schemas.openxmlformats.org/officeDocument/2006/customXml" ds:itemID="{19EC1C0F-7AD5-42F8-A24A-C7A1DBEE6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CECE838-2AC2-4B8F-90C3-F030F2B79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39</Pages>
  <Words>11392</Words>
  <Characters>64940</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Exposure Draft Explanatory Materials</vt:lpstr>
    </vt:vector>
  </TitlesOfParts>
  <Company/>
  <LinksUpToDate>false</LinksUpToDate>
  <CharactersWithSpaces>76180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dc:title>
  <dc:subject>Superannuation regulator roles</dc:subject>
  <dc:creator>Treasury</dc:creator>
  <cp:keywords/>
  <dc:description/>
  <cp:lastModifiedBy>Thomas, Deborah</cp:lastModifiedBy>
  <cp:revision>2</cp:revision>
  <cp:lastPrinted>2020-01-22T05:34:00Z</cp:lastPrinted>
  <dcterms:created xsi:type="dcterms:W3CDTF">2020-01-30T23:49:00Z</dcterms:created>
  <dcterms:modified xsi:type="dcterms:W3CDTF">2020-01-30T23:49:00Z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Point_RecordFormat">
    <vt:lpwstr/>
  </property>
</Properties>
</file>