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892" w:rsidRDefault="002B1892" w:rsidP="002B189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christeen</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woolnough</w:t>
      </w:r>
      <w:proofErr w:type="spellEnd"/>
      <w:r>
        <w:rPr>
          <w:rFonts w:ascii="Calibri" w:eastAsia="Times New Roman" w:hAnsi="Calibri"/>
          <w:sz w:val="22"/>
          <w:szCs w:val="22"/>
          <w:lang w:val="en-US"/>
        </w:rPr>
        <w:t xml:space="preserve"> &lt;christeenwoolnough@yahoo.com.au&gt;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2B1892" w:rsidRDefault="002B1892" w:rsidP="002B1892"/>
    <w:p w:rsidR="002B1892" w:rsidRDefault="002B1892" w:rsidP="002B1892">
      <w:pPr>
        <w:rPr>
          <w:rFonts w:ascii="Helvetica Neue" w:eastAsia="Times New Roman" w:hAnsi="Helvetica Neue"/>
        </w:rPr>
      </w:pPr>
    </w:p>
    <w:p w:rsidR="002B1892" w:rsidRDefault="002B1892" w:rsidP="002B1892">
      <w:pPr>
        <w:pStyle w:val="NormalWeb"/>
        <w:spacing w:before="90" w:beforeAutospacing="0" w:after="90" w:afterAutospacing="0"/>
        <w:rPr>
          <w:rFonts w:ascii="Helvetica" w:hAnsi="Helvetica"/>
          <w:color w:val="1D2129"/>
          <w:sz w:val="21"/>
          <w:szCs w:val="21"/>
        </w:rPr>
      </w:pPr>
    </w:p>
    <w:p w:rsidR="002B1892" w:rsidRDefault="002B1892" w:rsidP="002B1892">
      <w:pPr>
        <w:pStyle w:val="NormalWeb"/>
        <w:spacing w:before="90" w:beforeAutospacing="0" w:after="90" w:afterAutospacing="0"/>
        <w:rPr>
          <w:rFonts w:ascii="Helvetica" w:hAnsi="Helvetica"/>
          <w:color w:val="1D2129"/>
          <w:sz w:val="21"/>
          <w:szCs w:val="21"/>
        </w:rPr>
      </w:pPr>
    </w:p>
    <w:p w:rsidR="002B1892" w:rsidRDefault="002B1892" w:rsidP="002B1892">
      <w:pPr>
        <w:pStyle w:val="NormalWeb"/>
        <w:spacing w:before="90" w:beforeAutospacing="0" w:after="90" w:afterAutospacing="0"/>
        <w:rPr>
          <w:rFonts w:ascii="Helvetica" w:hAnsi="Helvetica"/>
          <w:color w:val="1D2129"/>
          <w:sz w:val="21"/>
          <w:szCs w:val="21"/>
        </w:rPr>
      </w:pPr>
      <w:r>
        <w:rPr>
          <w:rFonts w:ascii="Helvetica" w:hAnsi="Helvetica"/>
          <w:color w:val="1D2129"/>
          <w:sz w:val="21"/>
          <w:szCs w:val="21"/>
        </w:rPr>
        <w:t>11th August 2019</w:t>
      </w:r>
      <w:r>
        <w:rPr>
          <w:rFonts w:ascii="Helvetica" w:hAnsi="Helvetica"/>
          <w:color w:val="1D2129"/>
          <w:sz w:val="21"/>
          <w:szCs w:val="21"/>
        </w:rPr>
        <w:br/>
        <w:t>Manager Black Economy Division</w:t>
      </w:r>
      <w:r>
        <w:rPr>
          <w:rFonts w:ascii="Helvetica" w:hAnsi="Helvetica"/>
          <w:color w:val="1D2129"/>
          <w:sz w:val="21"/>
          <w:szCs w:val="21"/>
        </w:rPr>
        <w:br/>
      </w:r>
      <w:proofErr w:type="gramStart"/>
      <w:r>
        <w:rPr>
          <w:rFonts w:ascii="Helvetica" w:hAnsi="Helvetica"/>
          <w:color w:val="1D2129"/>
          <w:sz w:val="21"/>
          <w:szCs w:val="21"/>
        </w:rPr>
        <w:t>The</w:t>
      </w:r>
      <w:proofErr w:type="gramEnd"/>
      <w:r>
        <w:rPr>
          <w:rFonts w:ascii="Helvetica" w:hAnsi="Helvetica"/>
          <w:color w:val="1D2129"/>
          <w:sz w:val="21"/>
          <w:szCs w:val="21"/>
        </w:rPr>
        <w:t xml:space="preserve"> Treasury Langton Crescent </w:t>
      </w:r>
      <w:r>
        <w:rPr>
          <w:rFonts w:ascii="Helvetica" w:hAnsi="Helvetica"/>
          <w:color w:val="1D2129"/>
          <w:sz w:val="21"/>
          <w:szCs w:val="21"/>
        </w:rPr>
        <w:br/>
        <w:t>PARKES ACT 2600</w:t>
      </w:r>
    </w:p>
    <w:p w:rsidR="002B1892" w:rsidRDefault="002B1892" w:rsidP="002B1892">
      <w:pPr>
        <w:rPr>
          <w:rFonts w:ascii="Helvetica Neue" w:eastAsia="Times New Roman" w:hAnsi="Helvetica Neue"/>
        </w:rPr>
      </w:pPr>
      <w:r>
        <w:rPr>
          <w:rFonts w:ascii="Helvetica Neue" w:eastAsia="Times New Roman" w:hAnsi="Helvetica Neue"/>
        </w:rPr>
        <w:t>Dear Manager, Administrator, CEO, Directors and all employees of the Treasury.</w:t>
      </w:r>
    </w:p>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r>
        <w:rPr>
          <w:rFonts w:ascii="Helvetica Neue" w:eastAsia="Times New Roman" w:hAnsi="Helvetica Neue"/>
        </w:rPr>
        <w:t>Re: Currency (Restrictions on the Use of Cash) Bill 2019</w:t>
      </w:r>
    </w:p>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r>
        <w:rPr>
          <w:rFonts w:ascii="Helvetica Neue" w:eastAsia="Times New Roman" w:hAnsi="Helvetica Neue"/>
        </w:rPr>
        <w:t>I am writing to express my strong opposition to the draft</w:t>
      </w:r>
      <w:proofErr w:type="gramStart"/>
      <w:r>
        <w:rPr>
          <w:rFonts w:ascii="Helvetica Neue" w:eastAsia="Times New Roman" w:hAnsi="Helvetica Neue"/>
        </w:rPr>
        <w:t>:</w:t>
      </w:r>
      <w:proofErr w:type="gramEnd"/>
      <w:r>
        <w:rPr>
          <w:rFonts w:ascii="Helvetica Neue" w:eastAsia="Times New Roman" w:hAnsi="Helvetica Neue"/>
        </w:rPr>
        <w:br/>
        <w:t>· Currency (Restrictions on the Use of Cash) Bill 2019;</w:t>
      </w:r>
      <w:r>
        <w:rPr>
          <w:rFonts w:ascii="Helvetica Neue" w:eastAsia="Times New Roman" w:hAnsi="Helvetica Neue"/>
        </w:rPr>
        <w:br/>
        <w:t>· Currency (Restrictions on the Use of Cash – Expected Transactions) Instrument 2019; and</w:t>
      </w:r>
      <w:r>
        <w:rPr>
          <w:rFonts w:ascii="Helvetica Neue" w:eastAsia="Times New Roman" w:hAnsi="Helvetica Neue"/>
        </w:rPr>
        <w:br/>
        <w:t>· Currency (Restrictions on the Use of Cash) (Consequential Amendments and Transitional Provisions) Bill 2019.</w:t>
      </w:r>
      <w:r>
        <w:rPr>
          <w:rFonts w:ascii="Helvetica Neue" w:eastAsia="Times New Roman" w:hAnsi="Helvetica Neue"/>
        </w:rPr>
        <w:b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roofErr w:type="gramStart"/>
      <w:r>
        <w:rPr>
          <w:rFonts w:ascii="Helvetica Neue" w:eastAsia="Times New Roman" w:hAnsi="Helvetica Neue"/>
        </w:rPr>
        <w:t>:</w:t>
      </w:r>
      <w:proofErr w:type="gramEnd"/>
      <w:r>
        <w:rPr>
          <w:rFonts w:ascii="Helvetica Neue" w:eastAsia="Times New Roman" w:hAnsi="Helvetica Neue"/>
        </w:rPr>
        <w:br/>
        <w:t>· they wish to conduct transactions independent of Australia’s commercial banking system; and</w:t>
      </w:r>
      <w:r>
        <w:rPr>
          <w:rFonts w:ascii="Helvetica Neue" w:eastAsia="Times New Roman" w:hAnsi="Helvetica Neue"/>
        </w:rPr>
        <w:br/>
        <w:t>· they wish to conduct their economic affairs in private.</w:t>
      </w:r>
      <w:r>
        <w:rPr>
          <w:rFonts w:ascii="Helvetica Neue" w:eastAsia="Times New Roman" w:hAnsi="Helvetica Neue"/>
        </w:rPr>
        <w:br/>
        <w:t>Moreover, the proposed laws are anti-competitive in nature given that cash transactions (irrespective if they include physical or digital forms of currency) are an alternative to using Australia’s commercial banking sector.</w:t>
      </w:r>
      <w:r>
        <w:rPr>
          <w:rFonts w:ascii="Helvetica Neue" w:eastAsia="Times New Roman" w:hAnsi="Helvetica Neue"/>
        </w:rPr>
        <w:b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r>
        <w:rPr>
          <w:rFonts w:ascii="Helvetica Neue" w:eastAsia="Times New Roman" w:hAnsi="Helvetica Neue"/>
        </w:rPr>
        <w:br/>
        <w:t>Impact on the Black Economy</w:t>
      </w:r>
      <w:r>
        <w:rPr>
          <w:rFonts w:ascii="Helvetica Neue" w:eastAsia="Times New Roman" w:hAnsi="Helvetica Neue"/>
        </w:rPr>
        <w:b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r>
        <w:rPr>
          <w:rFonts w:ascii="Helvetica Neue" w:eastAsia="Times New Roman" w:hAnsi="Helvetica Neue"/>
        </w:rPr>
        <w:br/>
        <w:t>An independent 2017 study by Friedrich Schneider, ‘Restricting or Abolishing Cash: An Effective Instrument for Fighting the Shadow Economy, Crime and Terrorism</w:t>
      </w:r>
      <w:proofErr w:type="gramStart"/>
      <w:r>
        <w:rPr>
          <w:rFonts w:ascii="Helvetica Neue" w:eastAsia="Times New Roman" w:hAnsi="Helvetica Neue"/>
        </w:rPr>
        <w:t>”[</w:t>
      </w:r>
      <w:proofErr w:type="gramEnd"/>
      <w:r>
        <w:rPr>
          <w:rFonts w:ascii="Helvetica Neue" w:eastAsia="Times New Roman" w:hAnsi="Helvetica Neue"/>
        </w:rPr>
        <w:t>1] states that:</w:t>
      </w:r>
      <w:r>
        <w:rPr>
          <w:rFonts w:ascii="Helvetica Neue" w:eastAsia="Times New Roman" w:hAnsi="Helvetica Neue"/>
        </w:rPr>
        <w:br/>
        <w:t>“Cash has a minor influence on the shadow economy, crime and terrorism, but potentially has a major influence on civil liberties.”</w:t>
      </w:r>
      <w:r>
        <w:rPr>
          <w:rFonts w:ascii="Helvetica Neue" w:eastAsia="Times New Roman" w:hAnsi="Helvetica Neue"/>
        </w:rPr>
        <w:br/>
        <w:t>Moreover, Schneider notes that countries such as Sweden, still have sizeable shadow economies even though cash payments have become rare.</w:t>
      </w:r>
      <w:r>
        <w:rPr>
          <w:rFonts w:ascii="Helvetica Neue" w:eastAsia="Times New Roman" w:hAnsi="Helvetica Neue"/>
        </w:rPr>
        <w:br/>
        <w:t>Finally, Schneider concludes</w:t>
      </w:r>
      <w:proofErr w:type="gramStart"/>
      <w:r>
        <w:rPr>
          <w:rFonts w:ascii="Helvetica Neue" w:eastAsia="Times New Roman" w:hAnsi="Helvetica Neue"/>
        </w:rPr>
        <w:t>:</w:t>
      </w:r>
      <w:proofErr w:type="gramEnd"/>
      <w:r>
        <w:rPr>
          <w:rFonts w:ascii="Helvetica Neue" w:eastAsia="Times New Roman" w:hAnsi="Helvetica Neue"/>
        </w:rPr>
        <w:br/>
        <w:t xml:space="preserve">“Cash reflects the fundamental relation between citizens or taxpayers and state authorities. </w:t>
      </w:r>
      <w:r>
        <w:rPr>
          <w:rFonts w:ascii="Helvetica Neue" w:eastAsia="Times New Roman" w:hAnsi="Helvetica Neue"/>
        </w:rPr>
        <w:lastRenderedPageBreak/>
        <w:t xml:space="preserve">Using cash means freedom, independence and personal </w:t>
      </w:r>
      <w:proofErr w:type="spellStart"/>
      <w:r>
        <w:rPr>
          <w:rFonts w:ascii="Helvetica Neue" w:eastAsia="Times New Roman" w:hAnsi="Helvetica Neue"/>
        </w:rPr>
        <w:t>fulfillment</w:t>
      </w:r>
      <w:proofErr w:type="spellEnd"/>
      <w:r>
        <w:rPr>
          <w:rFonts w:ascii="Helvetica Neue" w:eastAsia="Times New Roman" w:hAnsi="Helvetica Neue"/>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r>
        <w:rPr>
          <w:rFonts w:ascii="Helvetica Neue" w:eastAsia="Times New Roman" w:hAnsi="Helvetica Neue"/>
        </w:rPr>
        <w:br/>
        <w:t>Imposition of Negative Nominal Interest Rates</w:t>
      </w:r>
      <w:r>
        <w:rPr>
          <w:rFonts w:ascii="Helvetica Neue" w:eastAsia="Times New Roman" w:hAnsi="Helvetica Neue"/>
        </w:rPr>
        <w:br/>
        <w:t>From an economic freedom and wealth preservation perspective, I am concerned that the proposed laws would curtail the abilities of Australians to escape negative nominal interest rates if such a regime were to be imposed by the Reserve Bank of Australia (RBA).</w:t>
      </w:r>
      <w:r>
        <w:rPr>
          <w:rFonts w:ascii="Helvetica Neue" w:eastAsia="Times New Roman" w:hAnsi="Helvetica Neue"/>
        </w:rPr>
        <w:b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r>
        <w:rPr>
          <w:rFonts w:ascii="Helvetica Neue" w:eastAsia="Times New Roman" w:hAnsi="Helvetica Neue"/>
        </w:rPr>
        <w:br/>
        <w:t>For example, the following papers and blog posts by economic authors at the International Monetary Fund (IMF) have argued that the elimination of cash from an economy would enhance the effectiveness of negative nominal interest rates:</w:t>
      </w:r>
      <w:r>
        <w:rPr>
          <w:rFonts w:ascii="Helvetica Neue" w:eastAsia="Times New Roman" w:hAnsi="Helvetica Neue"/>
        </w:rPr>
        <w:br/>
        <w:t>· August 2018: Monetary Policy with Negative Interest Rates: Decoupling Cash from Electronic Money[2]</w:t>
      </w:r>
      <w:r>
        <w:rPr>
          <w:rFonts w:ascii="Helvetica Neue" w:eastAsia="Times New Roman" w:hAnsi="Helvetica Neue"/>
        </w:rPr>
        <w:br/>
        <w:t>· February 2019: Cashing In: How to Make Negative Interest Rates Work[3]; and</w:t>
      </w:r>
      <w:r>
        <w:rPr>
          <w:rFonts w:ascii="Helvetica Neue" w:eastAsia="Times New Roman" w:hAnsi="Helvetica Neue"/>
        </w:rPr>
        <w:br/>
        <w:t>· April 2019: Enabling Deep Negative Rates to Fight Recessions: A Guide[4]</w:t>
      </w:r>
      <w:r>
        <w:rPr>
          <w:rFonts w:ascii="Helvetica Neue" w:eastAsia="Times New Roman" w:hAnsi="Helvetica Neue"/>
        </w:rPr>
        <w:br/>
        <w:t>Moreover, the IMF have argued that:</w:t>
      </w:r>
      <w:r>
        <w:rPr>
          <w:rFonts w:ascii="Helvetica Neue" w:eastAsia="Times New Roman" w:hAnsi="Helvetica Neue"/>
        </w:rPr>
        <w:br/>
        <w:t>· during an economic recession, interest rates need to be lowered between 3% - 6% in order to stabilise the economy and to allow economic growth to recover; and</w:t>
      </w:r>
      <w:r>
        <w:rPr>
          <w:rFonts w:ascii="Helvetica Neue" w:eastAsia="Times New Roman" w:hAnsi="Helvetica Neue"/>
        </w:rPr>
        <w:br/>
        <w:t>· · given that official interest rates are already very low around the world, deep negative interest rates of approximately -4% may be required if a global economic recession or global economic shock were to eventuate.</w:t>
      </w:r>
      <w:r>
        <w:rPr>
          <w:rFonts w:ascii="Helvetica Neue" w:eastAsia="Times New Roman" w:hAnsi="Helvetica Neue"/>
        </w:rPr>
        <w:br/>
        <w:t>Given that the RBA’s official cash rate currently sits at 1%, there is an increasing likelihood that the RBA maybe motivated to implement negative nominal official interest rates if the Australian economy were to fall into recession or if a global shock were to eventuate.</w:t>
      </w:r>
      <w:r>
        <w:rPr>
          <w:rFonts w:ascii="Helvetica Neue" w:eastAsia="Times New Roman" w:hAnsi="Helvetica Neue"/>
        </w:rPr>
        <w:br/>
        <w:t>Under such a policy stance, Australians should have the fundamental economic and civil right to protect their private wealth independent of the commercial banking sector that would strip them of their wealth from the imposition of negative nominal interest rates.</w:t>
      </w:r>
      <w:r>
        <w:rPr>
          <w:rFonts w:ascii="Helvetica Neue" w:eastAsia="Times New Roman" w:hAnsi="Helvetica Neue"/>
        </w:rPr>
        <w:br/>
        <w:t>Concerns with the Proposed Laws</w:t>
      </w:r>
      <w:r>
        <w:rPr>
          <w:rFonts w:ascii="Helvetica Neue" w:eastAsia="Times New Roman" w:hAnsi="Helvetica Neue"/>
        </w:rPr>
        <w:br/>
        <w:t>I have a number of specific concerns in relation to the proposed bill and associated legislative instrument including:</w:t>
      </w:r>
      <w:r>
        <w:rPr>
          <w:rFonts w:ascii="Helvetica Neue" w:eastAsia="Times New Roman" w:hAnsi="Helvetica Neue"/>
        </w:rPr>
        <w:b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r>
        <w:rPr>
          <w:rFonts w:ascii="Helvetica Neue" w:eastAsia="Times New Roman" w:hAnsi="Helvetica Neue"/>
        </w:rPr>
        <w:b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r>
        <w:rPr>
          <w:rFonts w:ascii="Helvetica Neue" w:eastAsia="Times New Roman" w:hAnsi="Helvetica Neue"/>
        </w:rPr>
        <w:br/>
        <w:t>Concern 3: Division 2 of Part 2 (relating to offences) is missing from the draft exposure version of the bill. It is grossly disappointing that concerned citizens have not been able to see the full version of the bill during the current Treasury consultation round.</w:t>
      </w:r>
      <w:r>
        <w:rPr>
          <w:rFonts w:ascii="Helvetica Neue" w:eastAsia="Times New Roman" w:hAnsi="Helvetica Neue"/>
        </w:rPr>
        <w:br/>
        <w:t>Given the high interest in this matter, Treasury should consider launching a new consultation round if substantive elements are introduced to the draft bill (or associated legislative instrument) prior to the bill being introduced into Parliament.</w:t>
      </w:r>
      <w:r>
        <w:rPr>
          <w:rFonts w:ascii="Helvetica Neue" w:eastAsia="Times New Roman" w:hAnsi="Helvetica Neue"/>
        </w:rPr>
        <w:br/>
      </w:r>
      <w:r>
        <w:rPr>
          <w:rFonts w:ascii="Helvetica Neue" w:eastAsia="Times New Roman" w:hAnsi="Helvetica Neue"/>
        </w:rPr>
        <w:lastRenderedPageBreak/>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r>
        <w:rPr>
          <w:rFonts w:ascii="Helvetica Neue" w:eastAsia="Times New Roman" w:hAnsi="Helvetica Neue"/>
        </w:rPr>
        <w:b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r>
        <w:rPr>
          <w:rFonts w:ascii="Helvetica Neue" w:eastAsia="Times New Roman" w:hAnsi="Helvetica Neue"/>
        </w:rPr>
        <w:b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r>
        <w:rPr>
          <w:rFonts w:ascii="Helvetica Neue" w:eastAsia="Times New Roman" w:hAnsi="Helvetica Neue"/>
        </w:rPr>
        <w:br/>
        <w:t xml:space="preserve">Unfortunately, </w:t>
      </w:r>
      <w:proofErr w:type="gramStart"/>
      <w:r>
        <w:rPr>
          <w:rFonts w:ascii="Helvetica Neue" w:eastAsia="Times New Roman" w:hAnsi="Helvetica Neue"/>
        </w:rPr>
        <w:t>neither the proposed bill, the Anti-Money Laundering and Counter-Terrorism Financing Act 2006 or the Currency Act 1965 provides any clear guidance on this question and</w:t>
      </w:r>
      <w:proofErr w:type="gramEnd"/>
      <w:r>
        <w:rPr>
          <w:rFonts w:ascii="Helvetica Neue" w:eastAsia="Times New Roman" w:hAnsi="Helvetica Neue"/>
        </w:rPr>
        <w:t xml:space="preserve"> hence this issue needs to be clarified.</w:t>
      </w:r>
      <w:r>
        <w:rPr>
          <w:rFonts w:ascii="Helvetica Neue" w:eastAsia="Times New Roman" w:hAnsi="Helvetica Neue"/>
        </w:rPr>
        <w:br/>
        <w:t>Concern 5: It is unclear how the Commonwealth intends to enforce this proposed cash transaction ban. Prior to the introduction of the bill into Parliament, the Government needs to provide clarity as to</w:t>
      </w:r>
      <w:proofErr w:type="gramStart"/>
      <w:r>
        <w:rPr>
          <w:rFonts w:ascii="Helvetica Neue" w:eastAsia="Times New Roman" w:hAnsi="Helvetica Neue"/>
        </w:rPr>
        <w:t>:</w:t>
      </w:r>
      <w:proofErr w:type="gramEnd"/>
      <w:r>
        <w:rPr>
          <w:rFonts w:ascii="Helvetica Neue" w:eastAsia="Times New Roman" w:hAnsi="Helvetica Neue"/>
        </w:rPr>
        <w:br/>
        <w:t>· which Commonwealth institution will be charged with enforcing this law?</w:t>
      </w:r>
      <w:r>
        <w:rPr>
          <w:rFonts w:ascii="Helvetica Neue" w:eastAsia="Times New Roman" w:hAnsi="Helvetica Neue"/>
        </w:rPr>
        <w:br/>
        <w:t xml:space="preserve">· </w:t>
      </w:r>
      <w:proofErr w:type="gramStart"/>
      <w:r>
        <w:rPr>
          <w:rFonts w:ascii="Helvetica Neue" w:eastAsia="Times New Roman" w:hAnsi="Helvetica Neue"/>
        </w:rPr>
        <w:t>what</w:t>
      </w:r>
      <w:proofErr w:type="gramEnd"/>
      <w:r>
        <w:rPr>
          <w:rFonts w:ascii="Helvetica Neue" w:eastAsia="Times New Roman" w:hAnsi="Helvetica Neue"/>
        </w:rPr>
        <w:t xml:space="preserve"> enforcement techniques will the Commonwealth be expecting to use to monitor whether prohibited cash transactions above $AUD 10,000 are not entered into?</w:t>
      </w:r>
      <w:r>
        <w:rPr>
          <w:rFonts w:ascii="Helvetica Neue" w:eastAsia="Times New Roman" w:hAnsi="Helvetica Neue"/>
        </w:rPr>
        <w:br/>
        <w:t xml:space="preserve">· </w:t>
      </w:r>
      <w:proofErr w:type="gramStart"/>
      <w:r>
        <w:rPr>
          <w:rFonts w:ascii="Helvetica Neue" w:eastAsia="Times New Roman" w:hAnsi="Helvetica Neue"/>
        </w:rPr>
        <w:t>what</w:t>
      </w:r>
      <w:proofErr w:type="gramEnd"/>
      <w:r>
        <w:rPr>
          <w:rFonts w:ascii="Helvetica Neue" w:eastAsia="Times New Roman" w:hAnsi="Helvetica Neue"/>
        </w:rPr>
        <w:t xml:space="preserve"> operational resources will the Commonwealth be spending (including the dollar amount) in enforcing the proposed law?</w:t>
      </w:r>
      <w:r>
        <w:rPr>
          <w:rFonts w:ascii="Helvetica Neue" w:eastAsia="Times New Roman" w:hAnsi="Helvetica Neue"/>
        </w:rPr>
        <w:br/>
        <w:t>Conclusion</w:t>
      </w:r>
      <w:r>
        <w:rPr>
          <w:rFonts w:ascii="Helvetica Neue" w:eastAsia="Times New Roman" w:hAnsi="Helvetica Neue"/>
        </w:rPr>
        <w:br/>
        <w:t>In conclusion:</w:t>
      </w:r>
      <w:r>
        <w:rPr>
          <w:rFonts w:ascii="Helvetica Neue" w:eastAsia="Times New Roman" w:hAnsi="Helvetica Neue"/>
        </w:rPr>
        <w:br/>
        <w:t>· the proposed bill and associated legislative instrument are wrong given that they are a gross abuse of Australian economic and civil rights;</w:t>
      </w:r>
      <w:r>
        <w:rPr>
          <w:rFonts w:ascii="Helvetica Neue" w:eastAsia="Times New Roman" w:hAnsi="Helvetica Neue"/>
        </w:rPr>
        <w:br/>
        <w:t>· the Commonwealth and the Black Economy Taskforce have failed to establish robust empirical evidence that the proposed cash transaction ban will have any material impact on diminishing the so</w:t>
      </w:r>
      <w:r>
        <w:rPr>
          <w:rFonts w:ascii="Helvetica Neue" w:eastAsia="Times New Roman" w:hAnsi="Helvetica Neue"/>
        </w:rPr>
        <w:noBreakHyphen/>
        <w:t>called black economy;</w:t>
      </w:r>
      <w:r>
        <w:rPr>
          <w:rFonts w:ascii="Helvetica Neue" w:eastAsia="Times New Roman" w:hAnsi="Helvetica Neue"/>
        </w:rPr>
        <w:br/>
        <w:t>· the proposed bill and associated legislative instrument make it increasingly difficult for Australians to escape the economic burdens that an official policy of negative nominal interest rates would carry (especially if the proposed exceptions were reversed);</w:t>
      </w:r>
      <w:r>
        <w:rPr>
          <w:rFonts w:ascii="Helvetica Neue" w:eastAsia="Times New Roman" w:hAnsi="Helvetica Neue"/>
        </w:rPr>
        <w:br/>
        <w:t>· there are several legitimate concerns with the proposed bill and associated legislative instrument that need to be rectified before the proposed bill is introduced into Parliament by the Government.</w:t>
      </w:r>
    </w:p>
    <w:p w:rsidR="002B1892" w:rsidRDefault="002B1892" w:rsidP="002B1892">
      <w:pPr>
        <w:pStyle w:val="NormalWeb"/>
        <w:spacing w:before="90" w:beforeAutospacing="0" w:after="90" w:afterAutospacing="0"/>
        <w:rPr>
          <w:rFonts w:ascii="Helvetica" w:hAnsi="Helvetica"/>
          <w:color w:val="1D2129"/>
          <w:sz w:val="21"/>
          <w:szCs w:val="21"/>
        </w:rPr>
      </w:pPr>
      <w:r>
        <w:rPr>
          <w:rFonts w:ascii="Helvetica" w:hAnsi="Helvetica"/>
          <w:color w:val="1D2129"/>
          <w:sz w:val="21"/>
          <w:szCs w:val="21"/>
        </w:rPr>
        <w:t>Yours Sincerely</w:t>
      </w:r>
      <w:proofErr w:type="gramStart"/>
      <w:r>
        <w:rPr>
          <w:rFonts w:ascii="Helvetica" w:hAnsi="Helvetica"/>
          <w:color w:val="1D2129"/>
          <w:sz w:val="21"/>
          <w:szCs w:val="21"/>
        </w:rPr>
        <w:t>,</w:t>
      </w:r>
      <w:proofErr w:type="gramEnd"/>
      <w:r>
        <w:rPr>
          <w:rFonts w:ascii="Helvetica" w:hAnsi="Helvetica"/>
          <w:color w:val="1D2129"/>
          <w:sz w:val="21"/>
          <w:szCs w:val="21"/>
        </w:rPr>
        <w:br/>
        <w:t xml:space="preserve">Sovereign </w:t>
      </w:r>
      <w:proofErr w:type="spellStart"/>
      <w:r>
        <w:rPr>
          <w:rFonts w:ascii="Helvetica" w:hAnsi="Helvetica"/>
          <w:color w:val="1D2129"/>
          <w:sz w:val="21"/>
          <w:szCs w:val="21"/>
        </w:rPr>
        <w:t>Woolnough</w:t>
      </w:r>
      <w:proofErr w:type="spellEnd"/>
      <w:r>
        <w:rPr>
          <w:rFonts w:ascii="Helvetica" w:hAnsi="Helvetica"/>
          <w:color w:val="1D2129"/>
          <w:sz w:val="21"/>
          <w:szCs w:val="21"/>
        </w:rPr>
        <w:t xml:space="preserve">  </w:t>
      </w:r>
      <w:proofErr w:type="spellStart"/>
      <w:r>
        <w:rPr>
          <w:rFonts w:ascii="Helvetica" w:hAnsi="Helvetica"/>
          <w:color w:val="1D2129"/>
          <w:sz w:val="21"/>
          <w:szCs w:val="21"/>
        </w:rPr>
        <w:t>Dejure</w:t>
      </w:r>
      <w:proofErr w:type="spellEnd"/>
      <w:r>
        <w:rPr>
          <w:rFonts w:ascii="Helvetica" w:hAnsi="Helvetica"/>
          <w:color w:val="1D2129"/>
          <w:sz w:val="21"/>
          <w:szCs w:val="21"/>
        </w:rPr>
        <w:t xml:space="preserve"> </w:t>
      </w:r>
      <w:proofErr w:type="spellStart"/>
      <w:r>
        <w:rPr>
          <w:rFonts w:ascii="Helvetica" w:hAnsi="Helvetica"/>
          <w:color w:val="1D2129"/>
          <w:sz w:val="21"/>
          <w:szCs w:val="21"/>
        </w:rPr>
        <w:t>Christeen</w:t>
      </w:r>
      <w:proofErr w:type="spellEnd"/>
      <w:r>
        <w:rPr>
          <w:rFonts w:ascii="Helvetica" w:hAnsi="Helvetica"/>
          <w:color w:val="1D2129"/>
          <w:sz w:val="21"/>
          <w:szCs w:val="21"/>
        </w:rPr>
        <w:t>  </w:t>
      </w:r>
    </w:p>
    <w:p w:rsidR="002B1892" w:rsidRDefault="002B1892" w:rsidP="002B1892">
      <w:pPr>
        <w:pStyle w:val="NormalWeb"/>
        <w:spacing w:before="90" w:beforeAutospacing="0" w:after="0" w:afterAutospacing="0"/>
        <w:rPr>
          <w:rFonts w:ascii="Helvetica" w:hAnsi="Helvetica"/>
          <w:color w:val="1D2129"/>
          <w:sz w:val="21"/>
          <w:szCs w:val="21"/>
        </w:rPr>
      </w:pPr>
      <w:r>
        <w:rPr>
          <w:rFonts w:ascii="Helvetica" w:hAnsi="Helvetica"/>
          <w:color w:val="1D2129"/>
          <w:sz w:val="21"/>
          <w:szCs w:val="21"/>
        </w:rPr>
        <w:t>[1] </w:t>
      </w:r>
      <w:hyperlink r:id="rId4" w:tgtFrame="_blank" w:history="1">
        <w:r>
          <w:rPr>
            <w:rStyle w:val="Hyperlink"/>
            <w:rFonts w:ascii="inherit" w:hAnsi="inherit" w:cs="Helvetica"/>
            <w:color w:val="385898"/>
            <w:sz w:val="21"/>
            <w:szCs w:val="21"/>
          </w:rPr>
          <w:t>http://www.econ.jku.at/papers/2017/wp1708.pdf</w:t>
        </w:r>
      </w:hyperlink>
      <w:r>
        <w:rPr>
          <w:rFonts w:ascii="Helvetica" w:hAnsi="Helvetica"/>
          <w:color w:val="1D2129"/>
          <w:sz w:val="21"/>
          <w:szCs w:val="21"/>
        </w:rPr>
        <w:br/>
        <w:t>[2] </w:t>
      </w:r>
      <w:hyperlink r:id="rId5" w:tgtFrame="_blank" w:history="1">
        <w:r>
          <w:rPr>
            <w:rStyle w:val="Hyperlink"/>
            <w:rFonts w:ascii="inherit" w:hAnsi="inherit" w:cs="Helvetica"/>
            <w:color w:val="385898"/>
            <w:sz w:val="21"/>
            <w:szCs w:val="21"/>
          </w:rPr>
          <w:t>https://www.imf.org/…/Monetary-Policy-with-Negative-Interes…</w:t>
        </w:r>
      </w:hyperlink>
      <w:r>
        <w:rPr>
          <w:rFonts w:ascii="Helvetica" w:hAnsi="Helvetica"/>
          <w:color w:val="1D2129"/>
          <w:sz w:val="21"/>
          <w:szCs w:val="21"/>
        </w:rPr>
        <w:br/>
        <w:t>[3] </w:t>
      </w:r>
      <w:hyperlink r:id="rId6" w:tgtFrame="_blank" w:history="1">
        <w:r>
          <w:rPr>
            <w:rStyle w:val="Hyperlink"/>
            <w:rFonts w:ascii="inherit" w:hAnsi="inherit" w:cs="Helvetica"/>
            <w:color w:val="385898"/>
            <w:sz w:val="21"/>
            <w:szCs w:val="21"/>
          </w:rPr>
          <w:t>https://blogs.imf.org/…/cashing-in-how-to-make-negative-in…/</w:t>
        </w:r>
      </w:hyperlink>
      <w:r>
        <w:rPr>
          <w:rFonts w:ascii="Helvetica" w:hAnsi="Helvetica"/>
          <w:color w:val="1D2129"/>
          <w:sz w:val="21"/>
          <w:szCs w:val="21"/>
        </w:rPr>
        <w:br/>
        <w:t>[4] </w:t>
      </w:r>
      <w:hyperlink r:id="rId7" w:tgtFrame="_blank" w:history="1">
        <w:r>
          <w:rPr>
            <w:rStyle w:val="Hyperlink"/>
            <w:rFonts w:ascii="inherit" w:hAnsi="inherit" w:cs="Helvetica"/>
            <w:color w:val="385898"/>
            <w:sz w:val="21"/>
            <w:szCs w:val="21"/>
          </w:rPr>
          <w:t>https://www.imf.org/…/Enabling-Deep-Negative-Rates-A-Guide-…</w:t>
        </w:r>
      </w:hyperlink>
    </w:p>
    <w:p w:rsidR="002B1892" w:rsidRDefault="002B1892" w:rsidP="002B1892">
      <w:pPr>
        <w:rPr>
          <w:rFonts w:ascii="Helvetica Neue" w:eastAsia="Times New Roman" w:hAnsi="Helvetica Neue"/>
        </w:rPr>
      </w:pPr>
    </w:p>
    <w:tbl>
      <w:tblPr>
        <w:tblW w:w="0" w:type="auto"/>
        <w:tblCellSpacing w:w="0" w:type="dxa"/>
        <w:tblCellMar>
          <w:left w:w="0" w:type="dxa"/>
          <w:right w:w="0" w:type="dxa"/>
        </w:tblCellMar>
        <w:tblLook w:val="04A0" w:firstRow="1" w:lastRow="0" w:firstColumn="1" w:lastColumn="0" w:noHBand="0" w:noVBand="1"/>
      </w:tblPr>
      <w:tblGrid>
        <w:gridCol w:w="6000"/>
      </w:tblGrid>
      <w:tr w:rsidR="002B1892" w:rsidTr="002B1892">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2B1892">
              <w:trPr>
                <w:trHeight w:val="2625"/>
                <w:tblCellSpacing w:w="0" w:type="dxa"/>
              </w:trPr>
              <w:tc>
                <w:tcPr>
                  <w:tcW w:w="0" w:type="auto"/>
                  <w:tcBorders>
                    <w:top w:val="nil"/>
                    <w:left w:val="nil"/>
                    <w:bottom w:val="nil"/>
                    <w:right w:val="nil"/>
                  </w:tcBorders>
                  <w:shd w:val="clear" w:color="auto" w:fill="000000"/>
                </w:tcPr>
                <w:p w:rsidR="002B1892" w:rsidRDefault="002B1892">
                  <w:pPr>
                    <w:rPr>
                      <w:rFonts w:eastAsia="Times New Roman"/>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4" name="Rectangle 4"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0262D0" id="Rectangle 4"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" stroked="f">
                            <v:fill r:id="rId9"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2B1892">
                    <w:trPr>
                      <w:tblCellSpacing w:w="0" w:type="dxa"/>
                    </w:trPr>
                    <w:tc>
                      <w:tcPr>
                        <w:tcW w:w="0" w:type="auto"/>
                        <w:hideMark/>
                      </w:tcPr>
                      <w:p w:rsidR="002B1892" w:rsidRDefault="002B1892">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3" name="Rectangle 3"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2B1892">
                                                <w:trPr>
                                                  <w:tblCellSpacing w:w="15" w:type="dxa"/>
                                                </w:trPr>
                                                <w:tc>
                                                  <w:tcPr>
                                                    <w:tcW w:w="0" w:type="auto"/>
                                                    <w:tcMar>
                                                      <w:top w:w="225" w:type="dxa"/>
                                                      <w:left w:w="225" w:type="dxa"/>
                                                      <w:bottom w:w="0" w:type="dxa"/>
                                                      <w:right w:w="0" w:type="dxa"/>
                                                    </w:tcMar>
                                                    <w:hideMark/>
                                                  </w:tcPr>
                                                  <w:p w:rsidR="002B1892" w:rsidRDefault="002B1892"/>
                                                </w:tc>
                                                <w:tc>
                                                  <w:tcPr>
                                                    <w:tcW w:w="0" w:type="auto"/>
                                                    <w:tcMar>
                                                      <w:top w:w="225" w:type="dxa"/>
                                                      <w:left w:w="0" w:type="dxa"/>
                                                      <w:bottom w:w="0" w:type="dxa"/>
                                                      <w:right w:w="225" w:type="dxa"/>
                                                    </w:tcMar>
                                                    <w:hideMark/>
                                                  </w:tcPr>
                                                  <w:p w:rsidR="002B1892" w:rsidRDefault="002B1892">
                                                    <w:pPr>
                                                      <w:rPr>
                                                        <w:rFonts w:eastAsia="Times New Roman"/>
                                                        <w:sz w:val="20"/>
                                                        <w:szCs w:val="20"/>
                                                      </w:rPr>
                                                    </w:pPr>
                                                  </w:p>
                                                </w:tc>
                                              </w:tr>
                                            </w:tbl>
                                            <w:p w:rsidR="002B1892" w:rsidRDefault="002B1892" w:rsidP="002B1892">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2B1892">
                                          <w:trPr>
                                            <w:tblCellSpacing w:w="15" w:type="dxa"/>
                                          </w:trPr>
                                          <w:tc>
                                            <w:tcPr>
                                              <w:tcW w:w="0" w:type="auto"/>
                                              <w:tcMar>
                                                <w:top w:w="225" w:type="dxa"/>
                                                <w:left w:w="225" w:type="dxa"/>
                                                <w:bottom w:w="0" w:type="dxa"/>
                                                <w:right w:w="0" w:type="dxa"/>
                                              </w:tcMar>
                                              <w:hideMark/>
                                            </w:tcPr>
                                            <w:p w:rsidR="002B1892" w:rsidRDefault="002B1892"/>
                                          </w:tc>
                                          <w:tc>
                                            <w:tcPr>
                                              <w:tcW w:w="0" w:type="auto"/>
                                              <w:tcMar>
                                                <w:top w:w="225" w:type="dxa"/>
                                                <w:left w:w="0" w:type="dxa"/>
                                                <w:bottom w:w="0" w:type="dxa"/>
                                                <w:right w:w="225" w:type="dxa"/>
                                              </w:tcMar>
                                              <w:hideMark/>
                                            </w:tcPr>
                                            <w:p w:rsidR="002B1892" w:rsidRDefault="002B1892">
                                              <w:pPr>
                                                <w:rPr>
                                                  <w:rFonts w:eastAsia="Times New Roman"/>
                                                  <w:sz w:val="20"/>
                                                  <w:szCs w:val="20"/>
                                                </w:rPr>
                                              </w:pPr>
                                            </w:p>
                                          </w:tc>
                                        </w:tr>
                                      </w:tbl>
                                      <w:p w:rsidR="002B1892" w:rsidRDefault="002B1892" w:rsidP="002B1892">
                                        <w:pPr>
                                          <w:rPr>
                                            <w:rFonts w:eastAsia="Times New Roman"/>
                                          </w:rPr>
                                        </w:pPr>
                                      </w:p>
                                    </w:txbxContent>
                                  </v:textbox>
                                </v:rect>
                              </w:pict>
                            </mc:Fallback>
                          </mc:AlternateContent>
                        </w:r>
                      </w:p>
                    </w:tc>
                  </w:tr>
                </w:tbl>
                <w:p w:rsidR="002B1892" w:rsidRDefault="002B1892">
                  <w:pPr>
                    <w:rPr>
                      <w:rFonts w:eastAsia="Times New Roman"/>
                      <w:sz w:val="20"/>
                      <w:szCs w:val="20"/>
                    </w:rPr>
                  </w:pPr>
                </w:p>
              </w:tc>
            </w:tr>
            <w:tr w:rsidR="002B1892">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2B1892">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2B1892" w:rsidRDefault="002B1892">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2B1892" w:rsidRDefault="002B1892">
                        <w:pPr>
                          <w:pStyle w:val="Heading2"/>
                          <w:spacing w:before="0" w:beforeAutospacing="0" w:after="90" w:afterAutospacing="0" w:line="285" w:lineRule="atLeast"/>
                          <w:rPr>
                            <w:rFonts w:ascii="Helvetica Neue" w:eastAsia="Times New Roman" w:hAnsi="Helvetica Neue"/>
                            <w:color w:val="26282A"/>
                            <w:sz w:val="21"/>
                            <w:szCs w:val="21"/>
                          </w:rPr>
                        </w:pPr>
                        <w:r>
                          <w:rPr>
                            <w:rFonts w:ascii="Helvetica Neue" w:eastAsia="Times New Roman" w:hAnsi="Helvetica Neue"/>
                            <w:color w:val="26282A"/>
                            <w:sz w:val="21"/>
                            <w:szCs w:val="21"/>
                          </w:rPr>
                          <w:t>Enabling Deep Negative Rates to Fight Recessions: A Guide</w:t>
                        </w:r>
                      </w:p>
                      <w:p w:rsidR="002B1892" w:rsidRDefault="002B1892">
                        <w:pPr>
                          <w:pStyle w:val="ydpabf17ebbcard-description"/>
                          <w:spacing w:before="0" w:beforeAutospacing="0" w:after="0" w:afterAutospacing="0" w:line="240" w:lineRule="atLeast"/>
                          <w:rPr>
                            <w:rFonts w:ascii="Helvetica Neue" w:hAnsi="Helvetica Neue"/>
                            <w:color w:val="979BA7"/>
                            <w:sz w:val="18"/>
                            <w:szCs w:val="18"/>
                          </w:rPr>
                        </w:pPr>
                        <w:r>
                          <w:rPr>
                            <w:rFonts w:ascii="Helvetica Neue" w:hAnsi="Helvetica Neue"/>
                            <w:color w:val="979BA7"/>
                            <w:sz w:val="18"/>
                            <w:szCs w:val="18"/>
                          </w:rPr>
                          <w:t xml:space="preserve">The experience of the Great Recession and its aftermath revealed that a lower bound on interest rates can be </w:t>
                        </w:r>
                        <w:proofErr w:type="gramStart"/>
                        <w:r>
                          <w:rPr>
                            <w:rFonts w:ascii="Helvetica Neue" w:hAnsi="Helvetica Neue"/>
                            <w:color w:val="979BA7"/>
                            <w:sz w:val="18"/>
                            <w:szCs w:val="18"/>
                          </w:rPr>
                          <w:t>a</w:t>
                        </w:r>
                        <w:proofErr w:type="gramEnd"/>
                        <w:r>
                          <w:rPr>
                            <w:rFonts w:ascii="Helvetica Neue" w:hAnsi="Helvetica Neue"/>
                            <w:color w:val="979BA7"/>
                            <w:sz w:val="18"/>
                            <w:szCs w:val="18"/>
                          </w:rPr>
                          <w:t xml:space="preserve"> s...</w:t>
                        </w:r>
                      </w:p>
                    </w:tc>
                  </w:tr>
                </w:tbl>
                <w:p w:rsidR="002B1892" w:rsidRDefault="002B1892">
                  <w:pPr>
                    <w:jc w:val="center"/>
                    <w:rPr>
                      <w:rFonts w:eastAsia="Times New Roman"/>
                      <w:sz w:val="20"/>
                      <w:szCs w:val="20"/>
                    </w:rPr>
                  </w:pPr>
                </w:p>
              </w:tc>
            </w:tr>
          </w:tbl>
          <w:p w:rsidR="002B1892" w:rsidRDefault="002B1892">
            <w:pPr>
              <w:rPr>
                <w:rFonts w:eastAsia="Times New Roman"/>
                <w:sz w:val="20"/>
                <w:szCs w:val="20"/>
              </w:rPr>
            </w:pPr>
          </w:p>
        </w:tc>
      </w:tr>
    </w:tbl>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p>
    <w:tbl>
      <w:tblPr>
        <w:tblW w:w="0" w:type="auto"/>
        <w:tblCellSpacing w:w="0" w:type="dxa"/>
        <w:tblCellMar>
          <w:left w:w="0" w:type="dxa"/>
          <w:right w:w="0" w:type="dxa"/>
        </w:tblCellMar>
        <w:tblLook w:val="04A0" w:firstRow="1" w:lastRow="0" w:firstColumn="1" w:lastColumn="0" w:noHBand="0" w:noVBand="1"/>
      </w:tblPr>
      <w:tblGrid>
        <w:gridCol w:w="6000"/>
      </w:tblGrid>
      <w:tr w:rsidR="002B1892" w:rsidTr="002B1892">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2B1892">
              <w:trPr>
                <w:trHeight w:val="2625"/>
                <w:tblCellSpacing w:w="0" w:type="dxa"/>
              </w:trPr>
              <w:tc>
                <w:tcPr>
                  <w:tcW w:w="0" w:type="auto"/>
                  <w:tcBorders>
                    <w:top w:val="nil"/>
                    <w:left w:val="nil"/>
                    <w:bottom w:val="nil"/>
                    <w:right w:val="nil"/>
                  </w:tcBorders>
                  <w:shd w:val="clear" w:color="auto" w:fill="000000"/>
                </w:tcPr>
                <w:p w:rsidR="002B1892" w:rsidRDefault="002B1892">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2" name="Rectangle 2" descr="https://s.yimg.com/lo/api/res/1.2/weK0G5lRFFpPu851Rz8SIw--~A/Zmk9ZmlsbDt3PTQwMDtoPTIwMDthcHBpZD1pZXh0cmFjdA--/https:/www.imf.org/~/media/Images/IMF/News/twitter-seal.ashx.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30C7C" id="Rectangle 2" o:spid="_x0000_s1026" alt="https://s.yimg.com/lo/api/res/1.2/weK0G5lRFFpPu851Rz8SIw--~A/Zmk9ZmlsbDt3PTQwMDtoPTIwMDthcHBpZD1pZXh0cmFjdA--/https:/www.imf.org/~/media/Images/IMF/News/twitter-seal.ashx.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" stroked="f">
                            <v:fill r:id="rId10"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2B1892">
                    <w:trPr>
                      <w:tblCellSpacing w:w="0" w:type="dxa"/>
                    </w:trPr>
                    <w:tc>
                      <w:tcPr>
                        <w:tcW w:w="0" w:type="auto"/>
                        <w:hideMark/>
                      </w:tcPr>
                      <w:p w:rsidR="002B1892" w:rsidRDefault="002B1892">
                        <w:pPr>
                          <w:rPr>
                            <w:rFonts w:eastAsia="Times New Roman"/>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1" name="Rectangle 1"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2B1892">
                                                <w:trPr>
                                                  <w:tblCellSpacing w:w="15" w:type="dxa"/>
                                                </w:trPr>
                                                <w:tc>
                                                  <w:tcPr>
                                                    <w:tcW w:w="0" w:type="auto"/>
                                                    <w:tcMar>
                                                      <w:top w:w="225" w:type="dxa"/>
                                                      <w:left w:w="225" w:type="dxa"/>
                                                      <w:bottom w:w="0" w:type="dxa"/>
                                                      <w:right w:w="0" w:type="dxa"/>
                                                    </w:tcMar>
                                                    <w:hideMark/>
                                                  </w:tcPr>
                                                  <w:p w:rsidR="002B1892" w:rsidRDefault="002B1892"/>
                                                </w:tc>
                                                <w:tc>
                                                  <w:tcPr>
                                                    <w:tcW w:w="0" w:type="auto"/>
                                                    <w:tcMar>
                                                      <w:top w:w="225" w:type="dxa"/>
                                                      <w:left w:w="0" w:type="dxa"/>
                                                      <w:bottom w:w="0" w:type="dxa"/>
                                                      <w:right w:w="225" w:type="dxa"/>
                                                    </w:tcMar>
                                                    <w:hideMark/>
                                                  </w:tcPr>
                                                  <w:p w:rsidR="002B1892" w:rsidRDefault="002B1892">
                                                    <w:pPr>
                                                      <w:rPr>
                                                        <w:rFonts w:eastAsia="Times New Roman"/>
                                                        <w:sz w:val="20"/>
                                                        <w:szCs w:val="20"/>
                                                      </w:rPr>
                                                    </w:pPr>
                                                  </w:p>
                                                </w:tc>
                                              </w:tr>
                                            </w:tbl>
                                            <w:p w:rsidR="002B1892" w:rsidRDefault="002B1892" w:rsidP="002B1892">
                                              <w:pPr>
                                                <w:rPr>
                                                  <w:rFonts w:eastAsia="Times New Roman"/>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HrswIAAF4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2B1892">
                                          <w:trPr>
                                            <w:tblCellSpacing w:w="15" w:type="dxa"/>
                                          </w:trPr>
                                          <w:tc>
                                            <w:tcPr>
                                              <w:tcW w:w="0" w:type="auto"/>
                                              <w:tcMar>
                                                <w:top w:w="225" w:type="dxa"/>
                                                <w:left w:w="225" w:type="dxa"/>
                                                <w:bottom w:w="0" w:type="dxa"/>
                                                <w:right w:w="0" w:type="dxa"/>
                                              </w:tcMar>
                                              <w:hideMark/>
                                            </w:tcPr>
                                            <w:p w:rsidR="002B1892" w:rsidRDefault="002B1892"/>
                                          </w:tc>
                                          <w:tc>
                                            <w:tcPr>
                                              <w:tcW w:w="0" w:type="auto"/>
                                              <w:tcMar>
                                                <w:top w:w="225" w:type="dxa"/>
                                                <w:left w:w="0" w:type="dxa"/>
                                                <w:bottom w:w="0" w:type="dxa"/>
                                                <w:right w:w="225" w:type="dxa"/>
                                              </w:tcMar>
                                              <w:hideMark/>
                                            </w:tcPr>
                                            <w:p w:rsidR="002B1892" w:rsidRDefault="002B1892">
                                              <w:pPr>
                                                <w:rPr>
                                                  <w:rFonts w:eastAsia="Times New Roman"/>
                                                  <w:sz w:val="20"/>
                                                  <w:szCs w:val="20"/>
                                                </w:rPr>
                                              </w:pPr>
                                            </w:p>
                                          </w:tc>
                                        </w:tr>
                                      </w:tbl>
                                      <w:p w:rsidR="002B1892" w:rsidRDefault="002B1892" w:rsidP="002B1892">
                                        <w:pPr>
                                          <w:rPr>
                                            <w:rFonts w:eastAsia="Times New Roman"/>
                                          </w:rPr>
                                        </w:pPr>
                                      </w:p>
                                    </w:txbxContent>
                                  </v:textbox>
                                </v:rect>
                              </w:pict>
                            </mc:Fallback>
                          </mc:AlternateContent>
                        </w:r>
                      </w:p>
                    </w:tc>
                  </w:tr>
                </w:tbl>
                <w:p w:rsidR="002B1892" w:rsidRDefault="002B1892">
                  <w:pPr>
                    <w:rPr>
                      <w:rFonts w:eastAsia="Times New Roman"/>
                      <w:sz w:val="20"/>
                      <w:szCs w:val="20"/>
                    </w:rPr>
                  </w:pPr>
                </w:p>
              </w:tc>
            </w:tr>
            <w:tr w:rsidR="002B1892">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2B1892">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2B1892" w:rsidRDefault="002B1892">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2B1892" w:rsidRDefault="002B1892">
                        <w:pPr>
                          <w:pStyle w:val="Heading2"/>
                          <w:spacing w:before="0" w:beforeAutospacing="0" w:after="90" w:afterAutospacing="0" w:line="285" w:lineRule="atLeast"/>
                          <w:rPr>
                            <w:rFonts w:ascii="Helvetica Neue" w:eastAsia="Times New Roman" w:hAnsi="Helvetica Neue"/>
                            <w:color w:val="26282A"/>
                            <w:sz w:val="21"/>
                            <w:szCs w:val="21"/>
                          </w:rPr>
                        </w:pPr>
                        <w:r>
                          <w:rPr>
                            <w:rFonts w:ascii="Helvetica Neue" w:eastAsia="Times New Roman" w:hAnsi="Helvetica Neue"/>
                            <w:color w:val="26282A"/>
                            <w:sz w:val="21"/>
                            <w:szCs w:val="21"/>
                          </w:rPr>
                          <w:t>Monetary Policy with Negative Interest Rates: Decoupling Cash from Elect...</w:t>
                        </w:r>
                      </w:p>
                      <w:p w:rsidR="002B1892" w:rsidRDefault="002B1892">
                        <w:pPr>
                          <w:pStyle w:val="ydpe54eeb64card-description"/>
                          <w:spacing w:before="0" w:beforeAutospacing="0" w:after="0" w:afterAutospacing="0" w:line="240" w:lineRule="atLeast"/>
                          <w:rPr>
                            <w:rFonts w:ascii="Helvetica Neue" w:hAnsi="Helvetica Neue"/>
                            <w:color w:val="979BA7"/>
                            <w:sz w:val="18"/>
                            <w:szCs w:val="18"/>
                          </w:rPr>
                        </w:pPr>
                        <w:r>
                          <w:rPr>
                            <w:rFonts w:ascii="Helvetica Neue" w:hAnsi="Helvetica Neue"/>
                            <w:color w:val="979BA7"/>
                            <w:sz w:val="18"/>
                            <w:szCs w:val="18"/>
                          </w:rPr>
                          <w:t xml:space="preserve">Monetary policy space remains constrained by the lower bound in many countries, limiting the policy options </w:t>
                        </w:r>
                        <w:proofErr w:type="spellStart"/>
                        <w:r>
                          <w:rPr>
                            <w:rFonts w:ascii="Helvetica Neue" w:hAnsi="Helvetica Neue"/>
                            <w:color w:val="979BA7"/>
                            <w:sz w:val="18"/>
                            <w:szCs w:val="18"/>
                          </w:rPr>
                          <w:t>avai</w:t>
                        </w:r>
                        <w:proofErr w:type="spellEnd"/>
                        <w:r>
                          <w:rPr>
                            <w:rFonts w:ascii="Helvetica Neue" w:hAnsi="Helvetica Neue"/>
                            <w:color w:val="979BA7"/>
                            <w:sz w:val="18"/>
                            <w:szCs w:val="18"/>
                          </w:rPr>
                          <w:t>...</w:t>
                        </w:r>
                      </w:p>
                    </w:tc>
                  </w:tr>
                </w:tbl>
                <w:p w:rsidR="002B1892" w:rsidRDefault="002B1892">
                  <w:pPr>
                    <w:jc w:val="center"/>
                    <w:rPr>
                      <w:rFonts w:eastAsia="Times New Roman"/>
                      <w:sz w:val="20"/>
                      <w:szCs w:val="20"/>
                    </w:rPr>
                  </w:pPr>
                </w:p>
              </w:tc>
            </w:tr>
          </w:tbl>
          <w:p w:rsidR="002B1892" w:rsidRDefault="002B1892">
            <w:pPr>
              <w:rPr>
                <w:rFonts w:eastAsia="Times New Roman"/>
                <w:sz w:val="20"/>
                <w:szCs w:val="20"/>
              </w:rPr>
            </w:pPr>
          </w:p>
        </w:tc>
      </w:tr>
    </w:tbl>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p>
    <w:p w:rsidR="002B1892" w:rsidRDefault="002B1892" w:rsidP="002B1892">
      <w:pPr>
        <w:rPr>
          <w:rFonts w:ascii="Helvetica Neue" w:eastAsia="Times New Roman" w:hAnsi="Helvetica Neue"/>
        </w:rPr>
      </w:pPr>
    </w:p>
    <w:bookmarkEnd w:id="0"/>
    <w:p w:rsidR="002B1892" w:rsidRDefault="002B1892" w:rsidP="002B1892">
      <w:pPr>
        <w:rPr>
          <w:rFonts w:ascii="Helvetica Neue" w:eastAsia="Times New Roman" w:hAnsi="Helvetica Neue"/>
        </w:rPr>
      </w:pPr>
    </w:p>
    <w:p w:rsidR="00CE7DED" w:rsidRDefault="002B1892">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1576EB"/>
    <w:rsid w:val="002B1892"/>
    <w:rsid w:val="00561516"/>
    <w:rsid w:val="00AC052F"/>
    <w:rsid w:val="00B61D60"/>
    <w:rsid w:val="00B97FE1"/>
    <w:rsid w:val="00C32188"/>
    <w:rsid w:val="00DB3087"/>
    <w:rsid w:val="00E77D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s.yimg.com/lo/api/res/1.2/weK0G5lRFFpPu851Rz8SIw--~A/Zmk9ZmlsbDt3PTQwMDtoPTIwMDthcHBpZD1pZXh0cmFjdA--/https:/www.imf.org/~/media/Images/IMF/News/twitter-seal.ashx.cf.jpg" TargetMode="External"/><Relationship Id="rId3" Type="http://schemas.openxmlformats.org/officeDocument/2006/relationships/webSettings" Target="webSettings.xml"/><Relationship Id="rId7" Type="http://schemas.openxmlformats.org/officeDocument/2006/relationships/hyperlink" Target="https://www.imf.org/en/Publications/WP/Issues/2019/04/29/Enabling-Deep-Negative-Rates-A-Guide-46598?fbclid=IwAR04B1t1UScR6c0yCphjLz0Go8OEp3zr1QggUDfUfT9I0nu_rXKOtRZRac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s%3A%2F%2Fblogs.imf.org%2F2019%2F02%2F05%2Fcashing-in-how-to-make-negative-interest-rates-work%2F%3Ffbclid%3DIwAR27DJ9ZMhXMfCYpfB3wvFNKOsswYnM1_S4yHziJgO_y062xYXWi3ztsCZE&amp;h=AT3DeGAv3-DtqKgSyltB_eHzKVkZ2dYh2gAA8IPKOSDZ6RJ3d5xWwyX9bIVsdThHkVpEPgP-72ogYJGr65lMKojKmsaw8NLqfAlXdGx-dKUIixyxV9FGqWMnjxOX5GYXXkHekvMEVlZ5VRF77ToDwNq02pOO" TargetMode="External"/><Relationship Id="rId11" Type="http://schemas.openxmlformats.org/officeDocument/2006/relationships/fontTable" Target="fontTable.xml"/><Relationship Id="rId5" Type="http://schemas.openxmlformats.org/officeDocument/2006/relationships/hyperlink" Target="https://www.imf.org/en/Publications/WP/Issues/2018/08/27/Monetary-Policy-with-Negative-Interest-Rates-Decoupling-Cash-from-Electronic-Money-46076?fbclid=IwAR1YwuDfHCqij6tP7Tg18YceVExBLWDaAe-cZQsk2c9A3NzzfFC9LF7BLTE" TargetMode="External"/><Relationship Id="rId10" Type="http://schemas.openxmlformats.org/officeDocument/2006/relationships/image" Target="https://s.yimg.com/lo/api/res/1.2/weK0G5lRFFpPu851Rz8SIw--~A/Zmk9ZmlsbDt3PTQwMDtoPTIwMDthcHBpZD1pZXh0cmFjdA--/https:/www.imf.org/~/media/Images/IMF/News/twitter-seal.ashx.cf.jpg" TargetMode="External"/><Relationship Id="rId4" Type="http://schemas.openxmlformats.org/officeDocument/2006/relationships/hyperlink" Target="https://l.facebook.com/l.php?u=http%3A%2F%2Fwww.econ.jku.at%2Fpapers%2F2017%2Fwp1708.pdf%3Ffbclid%3DIwAR3SPm5-AxdiFAHvyH47SZRgiVj_K-SXHaA_3x2eGCIGZGFRo9-L-s_-fhU&amp;h=AT1YbGFgjbFluWW3AuVd9o4PeJBLXz4mTgouxwfGY5Tuiz8xXilCbV-yGu_7D4zvFG37oTgBZw4kpNlz8ImKr_hPBpfKhJeqf4UfRLQvZg-IH7JkG33kTgFl_86LQkZwCljSZpdUOaEJSZz37n5SjaSouVJB" TargetMode="External"/><Relationship Id="rId9" Type="http://schemas.openxmlformats.org/officeDocument/2006/relationships/image" Target="https://s.yimg.com/lo/api/res/1.2/weK0G5lRFFpPu851Rz8SIw--~A/Zmk9ZmlsbDt3PTQwMDtoPTIwMDthcHBpZD1pZXh0cmFjdA--/https:/www.imf.org/~/media/Images/IMF/News/twitter-seal.ashx.cf.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2019-09-30T00:30:00Z</dcterms:created>
  <dcterms:modified xsi:type="dcterms:W3CDTF">2019-09-30T00:30:00Z</dcterms:modified>
</cp:coreProperties>
</file>