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B7" w:rsidRDefault="00961BB7" w:rsidP="00961BB7">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Jonathan </w:t>
      </w:r>
      <w:proofErr w:type="spellStart"/>
      <w:r>
        <w:rPr>
          <w:rFonts w:eastAsia="Times New Roman"/>
          <w:lang w:val="en-US"/>
        </w:rPr>
        <w:t>Volkwein</w:t>
      </w:r>
      <w:proofErr w:type="spellEnd"/>
      <w:r>
        <w:rPr>
          <w:rFonts w:eastAsia="Times New Roman"/>
          <w:lang w:val="en-US"/>
        </w:rPr>
        <w:t xml:space="preserve"> &lt;jvolkwein@savills.com.au&gt; </w:t>
      </w:r>
      <w:r>
        <w:rPr>
          <w:rFonts w:eastAsia="Times New Roman"/>
          <w:lang w:val="en-US"/>
        </w:rPr>
        <w:br/>
      </w:r>
      <w:r>
        <w:rPr>
          <w:rFonts w:eastAsia="Times New Roman"/>
          <w:b/>
          <w:bCs/>
          <w:lang w:val="en-US"/>
        </w:rPr>
        <w:t>Sent:</w:t>
      </w:r>
      <w:r>
        <w:rPr>
          <w:rFonts w:eastAsia="Times New Roman"/>
          <w:lang w:val="en-US"/>
        </w:rPr>
        <w:t xml:space="preserve"> Sunday, 11 August 2019 11:57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961BB7" w:rsidRDefault="00961BB7" w:rsidP="00961BB7">
      <w:pPr>
        <w:rPr>
          <w:lang w:eastAsia="en-US"/>
        </w:rPr>
      </w:pPr>
    </w:p>
    <w:p w:rsidR="00961BB7" w:rsidRDefault="00961BB7" w:rsidP="00961BB7">
      <w:pPr>
        <w:rPr>
          <w:rFonts w:ascii="Arial" w:hAnsi="Arial" w:cs="Arial"/>
          <w:sz w:val="20"/>
          <w:szCs w:val="20"/>
        </w:rPr>
      </w:pPr>
      <w:r>
        <w:rPr>
          <w:rFonts w:ascii="Arial" w:hAnsi="Arial" w:cs="Arial"/>
          <w:sz w:val="20"/>
          <w:szCs w:val="20"/>
        </w:rPr>
        <w:t>Dear Treasury,</w:t>
      </w:r>
    </w:p>
    <w:p w:rsidR="00961BB7" w:rsidRDefault="00961BB7" w:rsidP="00961BB7">
      <w:pPr>
        <w:rPr>
          <w:rFonts w:ascii="Arial" w:hAnsi="Arial" w:cs="Arial"/>
          <w:sz w:val="20"/>
          <w:szCs w:val="20"/>
        </w:rPr>
      </w:pPr>
    </w:p>
    <w:p w:rsidR="00961BB7" w:rsidRDefault="00961BB7" w:rsidP="00961BB7">
      <w:pPr>
        <w:rPr>
          <w:rFonts w:ascii="Arial" w:hAnsi="Arial" w:cs="Arial"/>
          <w:sz w:val="20"/>
          <w:szCs w:val="20"/>
        </w:rPr>
      </w:pPr>
      <w:r>
        <w:rPr>
          <w:rFonts w:ascii="Arial" w:hAnsi="Arial" w:cs="Arial"/>
          <w:sz w:val="20"/>
          <w:szCs w:val="20"/>
        </w:rPr>
        <w:t>I strongly oppose the bill, civil liberties will be eroded and the trap will be set for households &amp; businesses forced to transact through the banking system with experimental monetary policies through the back door</w:t>
      </w:r>
      <w:proofErr w:type="gramStart"/>
      <w:r>
        <w:rPr>
          <w:rFonts w:ascii="Arial" w:hAnsi="Arial" w:cs="Arial"/>
          <w:sz w:val="20"/>
          <w:szCs w:val="20"/>
        </w:rPr>
        <w:t>..</w:t>
      </w:r>
      <w:proofErr w:type="gramEnd"/>
    </w:p>
    <w:p w:rsidR="00961BB7" w:rsidRDefault="00961BB7" w:rsidP="00961BB7">
      <w:pPr>
        <w:rPr>
          <w:rFonts w:ascii="Arial" w:hAnsi="Arial" w:cs="Arial"/>
          <w:sz w:val="20"/>
          <w:szCs w:val="20"/>
        </w:rPr>
      </w:pPr>
    </w:p>
    <w:p w:rsidR="00961BB7" w:rsidRDefault="00961BB7" w:rsidP="00961BB7">
      <w:pPr>
        <w:rPr>
          <w:rFonts w:ascii="Arial" w:hAnsi="Arial" w:cs="Arial"/>
          <w:sz w:val="20"/>
          <w:szCs w:val="20"/>
        </w:rPr>
      </w:pPr>
      <w:r>
        <w:rPr>
          <w:rFonts w:ascii="Arial" w:hAnsi="Arial" w:cs="Arial"/>
          <w:sz w:val="20"/>
          <w:szCs w:val="20"/>
        </w:rPr>
        <w:t xml:space="preserve">The legislation will have very limited effect on the tax leakage, as per lack of empirical evidence as per </w:t>
      </w:r>
      <w:proofErr w:type="spellStart"/>
      <w:r>
        <w:rPr>
          <w:rFonts w:ascii="Arial" w:hAnsi="Arial" w:cs="Arial"/>
          <w:sz w:val="20"/>
          <w:szCs w:val="20"/>
        </w:rPr>
        <w:t>Schinder’s</w:t>
      </w:r>
      <w:proofErr w:type="spellEnd"/>
      <w:r>
        <w:rPr>
          <w:rFonts w:ascii="Arial" w:hAnsi="Arial" w:cs="Arial"/>
          <w:sz w:val="20"/>
          <w:szCs w:val="20"/>
        </w:rPr>
        <w:t xml:space="preserve"> report, </w:t>
      </w:r>
    </w:p>
    <w:p w:rsidR="00961BB7" w:rsidRDefault="00961BB7" w:rsidP="00961BB7">
      <w:pPr>
        <w:rPr>
          <w:rFonts w:ascii="Arial" w:hAnsi="Arial" w:cs="Arial"/>
          <w:sz w:val="20"/>
          <w:szCs w:val="20"/>
        </w:rPr>
      </w:pPr>
    </w:p>
    <w:p w:rsidR="00961BB7" w:rsidRDefault="00961BB7" w:rsidP="00961BB7">
      <w:pPr>
        <w:rPr>
          <w:rFonts w:ascii="Arial" w:hAnsi="Arial" w:cs="Arial"/>
          <w:sz w:val="20"/>
          <w:szCs w:val="20"/>
        </w:rPr>
      </w:pPr>
      <w:r>
        <w:rPr>
          <w:rFonts w:ascii="Arial" w:hAnsi="Arial" w:cs="Arial"/>
          <w:sz w:val="20"/>
          <w:szCs w:val="20"/>
        </w:rPr>
        <w:t xml:space="preserve">Zero lower bound is not a law of nature rather a only policy decision, imposing a drastic change in the </w:t>
      </w:r>
      <w:proofErr w:type="gramStart"/>
      <w:r>
        <w:rPr>
          <w:rFonts w:ascii="Arial" w:hAnsi="Arial" w:cs="Arial"/>
          <w:sz w:val="20"/>
          <w:szCs w:val="20"/>
        </w:rPr>
        <w:t>way  that</w:t>
      </w:r>
      <w:proofErr w:type="gramEnd"/>
      <w:r>
        <w:rPr>
          <w:rFonts w:ascii="Arial" w:hAnsi="Arial" w:cs="Arial"/>
          <w:sz w:val="20"/>
          <w:szCs w:val="20"/>
        </w:rPr>
        <w:t xml:space="preserve"> persons transact.</w:t>
      </w:r>
    </w:p>
    <w:p w:rsidR="00961BB7" w:rsidRDefault="00961BB7" w:rsidP="00961BB7">
      <w:pPr>
        <w:rPr>
          <w:rFonts w:ascii="Arial" w:hAnsi="Arial" w:cs="Arial"/>
          <w:sz w:val="20"/>
          <w:szCs w:val="20"/>
        </w:rPr>
      </w:pPr>
    </w:p>
    <w:p w:rsidR="00961BB7" w:rsidRDefault="00961BB7" w:rsidP="00961BB7">
      <w:pPr>
        <w:rPr>
          <w:rFonts w:ascii="Arial" w:hAnsi="Arial" w:cs="Arial"/>
          <w:sz w:val="20"/>
          <w:szCs w:val="20"/>
        </w:rPr>
      </w:pPr>
      <w:r>
        <w:rPr>
          <w:rFonts w:ascii="Arial" w:hAnsi="Arial" w:cs="Arial"/>
          <w:sz w:val="20"/>
          <w:szCs w:val="20"/>
        </w:rPr>
        <w:t>This is about enabling negative interest rates, this is not mentioned in the bill, this is deceptive &amp; misleading yet all with minimal notice.</w:t>
      </w:r>
    </w:p>
    <w:p w:rsidR="00961BB7" w:rsidRDefault="00961BB7" w:rsidP="00961BB7">
      <w:pPr>
        <w:rPr>
          <w:rFonts w:ascii="Arial" w:hAnsi="Arial" w:cs="Arial"/>
          <w:sz w:val="20"/>
          <w:szCs w:val="20"/>
        </w:rPr>
      </w:pPr>
    </w:p>
    <w:p w:rsidR="00961BB7" w:rsidRDefault="00961BB7" w:rsidP="00961BB7">
      <w:pPr>
        <w:rPr>
          <w:rFonts w:ascii="Arial" w:hAnsi="Arial" w:cs="Arial"/>
          <w:sz w:val="20"/>
          <w:szCs w:val="20"/>
        </w:rPr>
      </w:pPr>
      <w:r>
        <w:rPr>
          <w:rFonts w:ascii="Arial" w:hAnsi="Arial" w:cs="Arial"/>
          <w:sz w:val="20"/>
          <w:szCs w:val="20"/>
        </w:rPr>
        <w:t>This bill should not be allowed to pass.</w:t>
      </w:r>
    </w:p>
    <w:p w:rsidR="00961BB7" w:rsidRDefault="00961BB7" w:rsidP="00961BB7">
      <w:pPr>
        <w:spacing w:after="240"/>
        <w:rPr>
          <w:rFonts w:ascii="Arial" w:hAnsi="Arial" w:cs="Arial"/>
          <w:sz w:val="17"/>
          <w:szCs w:val="17"/>
        </w:rPr>
      </w:pPr>
      <w:r>
        <w:rPr>
          <w:rFonts w:ascii="Arial" w:hAnsi="Arial" w:cs="Arial"/>
          <w:sz w:val="17"/>
          <w:szCs w:val="17"/>
        </w:rPr>
        <w:t xml:space="preserve">______________________________________________________________ </w:t>
      </w:r>
    </w:p>
    <w:p w:rsidR="00961BB7" w:rsidRDefault="00961BB7" w:rsidP="00961BB7">
      <w:pPr>
        <w:rPr>
          <w:rFonts w:ascii="Arial" w:hAnsi="Arial" w:cs="Arial"/>
          <w:sz w:val="17"/>
          <w:szCs w:val="17"/>
        </w:rPr>
      </w:pPr>
      <w:r>
        <w:rPr>
          <w:rFonts w:ascii="Arial" w:hAnsi="Arial" w:cs="Arial"/>
          <w:b/>
          <w:bCs/>
          <w:sz w:val="17"/>
          <w:szCs w:val="17"/>
        </w:rPr>
        <w:t xml:space="preserve">Jonathan </w:t>
      </w:r>
      <w:proofErr w:type="spellStart"/>
      <w:r>
        <w:rPr>
          <w:rFonts w:ascii="Arial" w:hAnsi="Arial" w:cs="Arial"/>
          <w:b/>
          <w:bCs/>
          <w:sz w:val="17"/>
          <w:szCs w:val="17"/>
        </w:rPr>
        <w:t>Volkwein</w:t>
      </w:r>
      <w:proofErr w:type="spellEnd"/>
      <w:r>
        <w:rPr>
          <w:rFonts w:ascii="Arial" w:hAnsi="Arial" w:cs="Arial"/>
          <w:b/>
          <w:bCs/>
          <w:sz w:val="17"/>
          <w:szCs w:val="17"/>
        </w:rPr>
        <w:t xml:space="preserve"> </w:t>
      </w:r>
      <w:r>
        <w:rPr>
          <w:rFonts w:ascii="Arial" w:hAnsi="Arial" w:cs="Arial"/>
          <w:b/>
          <w:bCs/>
          <w:sz w:val="17"/>
          <w:szCs w:val="17"/>
        </w:rPr>
        <w:br/>
        <w:t xml:space="preserve">Facilities Manager </w:t>
      </w:r>
      <w:r>
        <w:rPr>
          <w:rFonts w:ascii="Arial" w:hAnsi="Arial" w:cs="Arial"/>
          <w:b/>
          <w:bCs/>
          <w:sz w:val="17"/>
          <w:szCs w:val="17"/>
        </w:rPr>
        <w:br/>
        <w:t xml:space="preserve">Asset Management </w:t>
      </w:r>
      <w:r>
        <w:rPr>
          <w:rFonts w:ascii="Arial" w:hAnsi="Arial" w:cs="Arial"/>
          <w:b/>
          <w:bCs/>
          <w:sz w:val="17"/>
          <w:szCs w:val="17"/>
        </w:rPr>
        <w:br/>
        <w:t xml:space="preserve">Savills Australia </w:t>
      </w:r>
      <w:r>
        <w:rPr>
          <w:rFonts w:ascii="Arial" w:hAnsi="Arial" w:cs="Arial"/>
          <w:b/>
          <w:bCs/>
          <w:sz w:val="17"/>
          <w:szCs w:val="17"/>
        </w:rPr>
        <w:br/>
      </w:r>
      <w:r>
        <w:rPr>
          <w:rFonts w:ascii="Arial" w:hAnsi="Arial" w:cs="Arial"/>
          <w:b/>
          <w:bCs/>
          <w:sz w:val="17"/>
          <w:szCs w:val="17"/>
        </w:rPr>
        <w:br/>
      </w:r>
      <w:r>
        <w:rPr>
          <w:rFonts w:ascii="Arial" w:hAnsi="Arial" w:cs="Arial"/>
          <w:sz w:val="17"/>
          <w:szCs w:val="17"/>
        </w:rPr>
        <w:t xml:space="preserve">Level 25, Governor Phillip Tower 1 Farrer Place, Sydney, NSW 2000 </w:t>
      </w:r>
    </w:p>
    <w:tbl>
      <w:tblPr>
        <w:tblW w:w="5325" w:type="dxa"/>
        <w:tblCellSpacing w:w="0" w:type="dxa"/>
        <w:tblCellMar>
          <w:left w:w="0" w:type="dxa"/>
          <w:right w:w="0" w:type="dxa"/>
        </w:tblCellMar>
        <w:tblLook w:val="04A0" w:firstRow="1" w:lastRow="0" w:firstColumn="1" w:lastColumn="0" w:noHBand="0" w:noVBand="1"/>
      </w:tblPr>
      <w:tblGrid>
        <w:gridCol w:w="1602"/>
        <w:gridCol w:w="3723"/>
      </w:tblGrid>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Mobile No: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hyperlink r:id="rId4" w:history="1">
              <w:r>
                <w:rPr>
                  <w:rStyle w:val="Hyperlink"/>
                  <w:rFonts w:ascii="Arial" w:hAnsi="Arial" w:cs="Arial"/>
                  <w:sz w:val="17"/>
                  <w:szCs w:val="17"/>
                </w:rPr>
                <w:t xml:space="preserve">+61 (0) 478 486 303 </w:t>
              </w:r>
            </w:hyperlink>
          </w:p>
        </w:tc>
      </w:tr>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Direct </w:t>
            </w:r>
            <w:proofErr w:type="spellStart"/>
            <w:r>
              <w:rPr>
                <w:rFonts w:ascii="Arial" w:hAnsi="Arial" w:cs="Arial"/>
                <w:sz w:val="17"/>
                <w:szCs w:val="17"/>
              </w:rPr>
              <w:t>Ph</w:t>
            </w:r>
            <w:proofErr w:type="spellEnd"/>
            <w:r>
              <w:rPr>
                <w:rFonts w:ascii="Arial" w:hAnsi="Arial" w:cs="Arial"/>
                <w:sz w:val="17"/>
                <w:szCs w:val="17"/>
              </w:rPr>
              <w:t xml:space="preserve">: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hyperlink r:id="rId5" w:history="1">
              <w:r>
                <w:rPr>
                  <w:rStyle w:val="Hyperlink"/>
                  <w:rFonts w:ascii="Arial" w:hAnsi="Arial" w:cs="Arial"/>
                  <w:sz w:val="17"/>
                  <w:szCs w:val="17"/>
                </w:rPr>
                <w:t xml:space="preserve">+61 (0) 2 8215 6097 </w:t>
              </w:r>
            </w:hyperlink>
          </w:p>
        </w:tc>
      </w:tr>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Direct Fax: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p>
        </w:tc>
      </w:tr>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Email: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hyperlink r:id="rId6" w:history="1">
              <w:r>
                <w:rPr>
                  <w:rStyle w:val="Hyperlink"/>
                  <w:rFonts w:ascii="Arial" w:hAnsi="Arial" w:cs="Arial"/>
                  <w:sz w:val="17"/>
                  <w:szCs w:val="17"/>
                </w:rPr>
                <w:t xml:space="preserve">jvolkwein@savills.com.au </w:t>
              </w:r>
            </w:hyperlink>
          </w:p>
        </w:tc>
      </w:tr>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Website: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hyperlink r:id="rId7" w:history="1">
              <w:r>
                <w:rPr>
                  <w:rStyle w:val="Hyperlink"/>
                  <w:rFonts w:ascii="Arial" w:hAnsi="Arial" w:cs="Arial"/>
                  <w:sz w:val="17"/>
                  <w:szCs w:val="17"/>
                </w:rPr>
                <w:t xml:space="preserve">savills.com.au </w:t>
              </w:r>
            </w:hyperlink>
          </w:p>
        </w:tc>
      </w:tr>
      <w:tr w:rsidR="00961BB7" w:rsidTr="00961BB7">
        <w:trPr>
          <w:tblCellSpacing w:w="0" w:type="dxa"/>
        </w:trPr>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w:t>
            </w:r>
          </w:p>
        </w:tc>
        <w:tc>
          <w:tcPr>
            <w:tcW w:w="0" w:type="auto"/>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w:t>
            </w:r>
          </w:p>
        </w:tc>
      </w:tr>
      <w:tr w:rsidR="00961BB7" w:rsidTr="00961BB7">
        <w:trPr>
          <w:tblCellSpacing w:w="0" w:type="dxa"/>
        </w:trPr>
        <w:tc>
          <w:tcPr>
            <w:tcW w:w="0" w:type="auto"/>
            <w:gridSpan w:val="2"/>
            <w:tcMar>
              <w:top w:w="0" w:type="dxa"/>
              <w:left w:w="15" w:type="dxa"/>
              <w:bottom w:w="0" w:type="dxa"/>
              <w:right w:w="0" w:type="dxa"/>
            </w:tcMar>
            <w:vAlign w:val="center"/>
            <w:hideMark/>
          </w:tcPr>
          <w:p w:rsidR="00961BB7" w:rsidRDefault="00961BB7">
            <w:pPr>
              <w:rPr>
                <w:rFonts w:ascii="Arial" w:hAnsi="Arial" w:cs="Arial"/>
                <w:sz w:val="17"/>
                <w:szCs w:val="17"/>
              </w:rPr>
            </w:pPr>
            <w:r>
              <w:rPr>
                <w:rFonts w:ascii="Arial" w:hAnsi="Arial" w:cs="Arial"/>
                <w:sz w:val="17"/>
                <w:szCs w:val="17"/>
              </w:rPr>
              <w:t xml:space="preserve">Download my </w:t>
            </w:r>
            <w:hyperlink r:id="rId8" w:history="1">
              <w:r>
                <w:rPr>
                  <w:rStyle w:val="Hyperlink"/>
                  <w:rFonts w:ascii="Arial" w:hAnsi="Arial" w:cs="Arial"/>
                  <w:sz w:val="17"/>
                  <w:szCs w:val="17"/>
                </w:rPr>
                <w:t xml:space="preserve">vCard </w:t>
              </w:r>
            </w:hyperlink>
          </w:p>
        </w:tc>
      </w:tr>
    </w:tbl>
    <w:p w:rsidR="00961BB7" w:rsidRDefault="00961BB7" w:rsidP="00961BB7">
      <w:pPr>
        <w:rPr>
          <w:rFonts w:ascii="Arial" w:hAnsi="Arial" w:cs="Arial"/>
          <w:vanish/>
          <w:sz w:val="18"/>
          <w:szCs w:val="18"/>
        </w:rPr>
      </w:pPr>
    </w:p>
    <w:tbl>
      <w:tblPr>
        <w:tblW w:w="4860" w:type="dxa"/>
        <w:tblCellSpacing w:w="0" w:type="dxa"/>
        <w:tblCellMar>
          <w:left w:w="0" w:type="dxa"/>
          <w:right w:w="0" w:type="dxa"/>
        </w:tblCellMar>
        <w:tblLook w:val="04A0" w:firstRow="1" w:lastRow="0" w:firstColumn="1" w:lastColumn="0" w:noHBand="0" w:noVBand="1"/>
      </w:tblPr>
      <w:tblGrid>
        <w:gridCol w:w="4860"/>
      </w:tblGrid>
      <w:tr w:rsidR="00961BB7" w:rsidTr="00961BB7">
        <w:trPr>
          <w:tblCellSpacing w:w="0" w:type="dxa"/>
          <w:hidden/>
        </w:trPr>
        <w:tc>
          <w:tcPr>
            <w:tcW w:w="0" w:type="auto"/>
            <w:tcMar>
              <w:top w:w="0" w:type="dxa"/>
              <w:left w:w="15" w:type="dxa"/>
              <w:bottom w:w="0" w:type="dxa"/>
              <w:right w:w="0" w:type="dxa"/>
            </w:tcMar>
            <w:vAlign w:val="center"/>
            <w:hideMark/>
          </w:tcPr>
          <w:p w:rsidR="00961BB7" w:rsidRDefault="00961BB7">
            <w:pPr>
              <w:rPr>
                <w:rFonts w:ascii="Arial" w:hAnsi="Arial" w:cs="Arial"/>
                <w:vanish/>
                <w:sz w:val="18"/>
                <w:szCs w:val="18"/>
              </w:rPr>
            </w:pPr>
          </w:p>
        </w:tc>
      </w:tr>
    </w:tbl>
    <w:p w:rsidR="00961BB7" w:rsidRDefault="00961BB7" w:rsidP="00961BB7">
      <w:pPr>
        <w:rPr>
          <w:rFonts w:ascii="Arial" w:hAnsi="Arial" w:cs="Arial"/>
          <w:sz w:val="18"/>
          <w:szCs w:val="18"/>
        </w:rPr>
      </w:pPr>
      <w:r>
        <w:rPr>
          <w:rFonts w:ascii="Arial" w:hAnsi="Arial" w:cs="Arial"/>
          <w:sz w:val="18"/>
          <w:szCs w:val="18"/>
        </w:rPr>
        <w:br/>
      </w:r>
      <w:r>
        <w:rPr>
          <w:rFonts w:ascii="Arial" w:hAnsi="Arial" w:cs="Arial"/>
          <w:b/>
          <w:bCs/>
          <w:sz w:val="18"/>
          <w:szCs w:val="18"/>
        </w:rPr>
        <w:t xml:space="preserve">Connect with Savills  </w:t>
      </w:r>
      <w:r>
        <w:rPr>
          <w:rFonts w:ascii="Arial" w:hAnsi="Arial" w:cs="Arial"/>
          <w:sz w:val="18"/>
          <w:szCs w:val="18"/>
        </w:rPr>
        <w:br/>
      </w:r>
      <w:r>
        <w:rPr>
          <w:rFonts w:ascii="Arial" w:hAnsi="Arial" w:cs="Arial"/>
          <w:sz w:val="18"/>
          <w:szCs w:val="18"/>
        </w:rPr>
        <w:br/>
        <w:t xml:space="preserve">  </w:t>
      </w:r>
      <w:r>
        <w:rPr>
          <w:rFonts w:ascii="Arial" w:hAnsi="Arial" w:cs="Arial"/>
          <w:noProof/>
          <w:color w:val="0000FF"/>
          <w:sz w:val="18"/>
          <w:szCs w:val="18"/>
        </w:rPr>
        <w:drawing>
          <wp:inline distT="0" distB="0" distL="0" distR="0">
            <wp:extent cx="295275" cy="295275"/>
            <wp:effectExtent l="0" t="0" r="9525" b="9525"/>
            <wp:docPr id="6" name="Picture 6" descr="LinkedIn Australia &amp; New Zealand">
              <a:hlinkClick xmlns:a="http://schemas.openxmlformats.org/drawingml/2006/main" r:id="rId9" tooltip="&quot;http://linkedin.com/company/savills-australia-nz Please press CTRL+Click to open link&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kedIn Australia &amp; New Zealand"/>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Arial" w:hAnsi="Arial" w:cs="Arial"/>
          <w:sz w:val="18"/>
          <w:szCs w:val="18"/>
        </w:rPr>
        <w:t xml:space="preserve">     </w:t>
      </w:r>
      <w:r>
        <w:rPr>
          <w:rFonts w:ascii="Arial" w:hAnsi="Arial" w:cs="Arial"/>
          <w:noProof/>
          <w:color w:val="0000FF"/>
          <w:sz w:val="18"/>
          <w:szCs w:val="18"/>
        </w:rPr>
        <w:drawing>
          <wp:inline distT="0" distB="0" distL="0" distR="0">
            <wp:extent cx="295275" cy="295275"/>
            <wp:effectExtent l="0" t="0" r="9525" b="9525"/>
            <wp:docPr id="5" name="Picture 5" descr="Follow @SavillsAus">
              <a:hlinkClick xmlns:a="http://schemas.openxmlformats.org/drawingml/2006/main" r:id="rId12" tooltip="&quot;https://twitter.com/savillsaus Please press CTRL+Click to open lin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llow @SavillsAus"/>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Arial" w:hAnsi="Arial" w:cs="Arial"/>
          <w:sz w:val="18"/>
          <w:szCs w:val="18"/>
        </w:rPr>
        <w:t xml:space="preserve">     </w:t>
      </w:r>
      <w:r>
        <w:rPr>
          <w:rFonts w:ascii="Arial" w:hAnsi="Arial" w:cs="Arial"/>
          <w:noProof/>
          <w:color w:val="0000FF"/>
          <w:sz w:val="18"/>
          <w:szCs w:val="18"/>
        </w:rPr>
        <w:drawing>
          <wp:inline distT="0" distB="0" distL="0" distR="0">
            <wp:extent cx="295275" cy="295275"/>
            <wp:effectExtent l="0" t="0" r="9525" b="9525"/>
            <wp:docPr id="4" name="Picture 4" descr="Savills YouTube">
              <a:hlinkClick xmlns:a="http://schemas.openxmlformats.org/drawingml/2006/main" r:id="rId15" tooltip="&quot;http://www.youtube.com/SavillsAus Please press CTRL+Click to open lin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vills YouTube"/>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Arial" w:hAnsi="Arial" w:cs="Arial"/>
          <w:sz w:val="18"/>
          <w:szCs w:val="18"/>
        </w:rPr>
        <w:t xml:space="preserve">     </w:t>
      </w:r>
      <w:r>
        <w:rPr>
          <w:rFonts w:ascii="Arial" w:hAnsi="Arial" w:cs="Arial"/>
          <w:noProof/>
          <w:color w:val="0000FF"/>
          <w:sz w:val="18"/>
          <w:szCs w:val="18"/>
        </w:rPr>
        <w:drawing>
          <wp:inline distT="0" distB="0" distL="0" distR="0">
            <wp:extent cx="295275" cy="295275"/>
            <wp:effectExtent l="0" t="0" r="9525" b="9525"/>
            <wp:docPr id="3" name="Picture 3" descr="Subscribe to Savills News">
              <a:hlinkClick xmlns:a="http://schemas.openxmlformats.org/drawingml/2006/main" r:id="rId18" tooltip="&quot;http://www.savills.com.au/_inc/ctrlNewsRss.ashx?intSitePageId=109969 Please press CTRL+Click to open link&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bscribe to Savills News"/>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Arial" w:hAnsi="Arial" w:cs="Arial"/>
          <w:sz w:val="18"/>
          <w:szCs w:val="18"/>
        </w:rPr>
        <w:t xml:space="preserve">     </w:t>
      </w:r>
      <w:r>
        <w:rPr>
          <w:rFonts w:ascii="Arial" w:hAnsi="Arial" w:cs="Arial"/>
          <w:noProof/>
          <w:color w:val="0000FF"/>
          <w:sz w:val="18"/>
          <w:szCs w:val="18"/>
        </w:rPr>
        <w:drawing>
          <wp:inline distT="0" distB="0" distL="0" distR="0">
            <wp:extent cx="295275" cy="295275"/>
            <wp:effectExtent l="0" t="0" r="9525" b="9525"/>
            <wp:docPr id="2" name="Picture 2" descr="Visit our Blog">
              <a:hlinkClick xmlns:a="http://schemas.openxmlformats.org/drawingml/2006/main" r:id="rId21" tooltip="&quot;http://www.savills.com.au/blog/home.aspx Please press CTRL+Click to open link&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it our Blo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p w:rsidR="00961BB7" w:rsidRDefault="00961BB7" w:rsidP="00961BB7">
      <w:pPr>
        <w:spacing w:after="240"/>
        <w:rPr>
          <w:rFonts w:ascii="Arial" w:hAnsi="Arial" w:cs="Arial"/>
          <w:sz w:val="17"/>
          <w:szCs w:val="17"/>
        </w:rPr>
      </w:pPr>
      <w:r>
        <w:rPr>
          <w:rFonts w:ascii="Arial" w:hAnsi="Arial" w:cs="Arial"/>
          <w:sz w:val="17"/>
          <w:szCs w:val="17"/>
        </w:rPr>
        <w:t xml:space="preserve">______________________________________________________________ </w:t>
      </w:r>
    </w:p>
    <w:tbl>
      <w:tblPr>
        <w:tblW w:w="5805" w:type="dxa"/>
        <w:tblCellSpacing w:w="7" w:type="dxa"/>
        <w:tblCellMar>
          <w:left w:w="0" w:type="dxa"/>
          <w:right w:w="0" w:type="dxa"/>
        </w:tblCellMar>
        <w:tblLook w:val="04A0" w:firstRow="1" w:lastRow="0" w:firstColumn="1" w:lastColumn="0" w:noHBand="0" w:noVBand="1"/>
      </w:tblPr>
      <w:tblGrid>
        <w:gridCol w:w="950"/>
        <w:gridCol w:w="4855"/>
      </w:tblGrid>
      <w:tr w:rsidR="00961BB7" w:rsidTr="00961BB7">
        <w:trPr>
          <w:tblCellSpacing w:w="7" w:type="dxa"/>
        </w:trPr>
        <w:tc>
          <w:tcPr>
            <w:tcW w:w="930" w:type="dxa"/>
            <w:tcMar>
              <w:top w:w="15" w:type="dxa"/>
              <w:left w:w="15" w:type="dxa"/>
              <w:bottom w:w="15" w:type="dxa"/>
              <w:right w:w="15" w:type="dxa"/>
            </w:tcMar>
            <w:vAlign w:val="center"/>
            <w:hideMark/>
          </w:tcPr>
          <w:p w:rsidR="00961BB7" w:rsidRDefault="00961BB7">
            <w:r>
              <w:rPr>
                <w:noProof/>
              </w:rPr>
              <w:drawing>
                <wp:inline distT="0" distB="0" distL="0" distR="0">
                  <wp:extent cx="514350" cy="514350"/>
                  <wp:effectExtent l="0" t="0" r="0" b="0"/>
                  <wp:docPr id="1" name="Picture 1" descr="https://home.savills.com.au/savillslogo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ome.savills.com.au/savillslogonew.gif"/>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4875" w:type="dxa"/>
            <w:tcMar>
              <w:top w:w="15" w:type="dxa"/>
              <w:left w:w="15" w:type="dxa"/>
              <w:bottom w:w="15" w:type="dxa"/>
              <w:right w:w="15" w:type="dxa"/>
            </w:tcMar>
            <w:hideMark/>
          </w:tcPr>
          <w:p w:rsidR="00961BB7" w:rsidRDefault="00961BB7">
            <w:r>
              <w:rPr>
                <w:rFonts w:ascii="Arial" w:hAnsi="Arial" w:cs="Arial"/>
                <w:b/>
                <w:bCs/>
                <w:color w:val="000000"/>
                <w:sz w:val="14"/>
                <w:szCs w:val="14"/>
              </w:rPr>
              <w:t xml:space="preserve">Savills is a publicly-listed property solutions company advising clients on all aspects of sales, leasing, valuations, property management, project management, corporate real estate and advisory. Specialising in office, retail, industrial and residential markets, Savills has over 600 offices and associates globally. </w:t>
            </w:r>
          </w:p>
        </w:tc>
      </w:tr>
    </w:tbl>
    <w:p w:rsidR="00961BB7" w:rsidRDefault="00961BB7" w:rsidP="00961BB7">
      <w:pPr>
        <w:rPr>
          <w:rFonts w:ascii="Calibri" w:hAnsi="Calibri"/>
          <w:sz w:val="22"/>
          <w:szCs w:val="22"/>
          <w:lang w:eastAsia="en-US"/>
        </w:rPr>
      </w:pPr>
    </w:p>
    <w:p w:rsidR="00961BB7" w:rsidRDefault="00961BB7" w:rsidP="00961BB7">
      <w:pPr>
        <w:rPr>
          <w:rFonts w:eastAsia="Times New Roman"/>
        </w:rPr>
      </w:pPr>
      <w:r>
        <w:rPr>
          <w:rFonts w:ascii="Arial" w:eastAsia="Times New Roman" w:hAnsi="Arial" w:cs="Arial"/>
          <w:sz w:val="17"/>
          <w:szCs w:val="17"/>
        </w:rPr>
        <w:t xml:space="preserve">This email and any attachments is confidential and intended for the addressee only. If this email has been sent to you by mistake please inform us by reply email and then delete the email, destroy any printed copy and do not disclose or use the information in it. Savills makes no warranty that this email is error or virus free. Savills is not liable if this email or any attachment is altered without its written consent. This email is copyright. Savills collects, stores and uses any personal information you have provided to us pursuant to the terms of our </w:t>
      </w:r>
      <w:hyperlink r:id="rId26" w:history="1">
        <w:r>
          <w:rPr>
            <w:rStyle w:val="Hyperlink"/>
            <w:rFonts w:ascii="Arial" w:eastAsia="Times New Roman" w:hAnsi="Arial" w:cs="Arial"/>
            <w:sz w:val="17"/>
            <w:szCs w:val="17"/>
          </w:rPr>
          <w:t>Privacy Policy</w:t>
        </w:r>
      </w:hyperlink>
      <w:r>
        <w:rPr>
          <w:rFonts w:ascii="Arial" w:eastAsia="Times New Roman" w:hAnsi="Arial" w:cs="Arial"/>
          <w:sz w:val="17"/>
          <w:szCs w:val="17"/>
        </w:rPr>
        <w:t xml:space="preserve">. If you do not want to receive emails from us, please forward this email to </w:t>
      </w:r>
      <w:hyperlink r:id="rId27" w:history="1">
        <w:r>
          <w:rPr>
            <w:rStyle w:val="Hyperlink"/>
            <w:rFonts w:ascii="Arial" w:eastAsia="Times New Roman" w:hAnsi="Arial" w:cs="Arial"/>
            <w:sz w:val="17"/>
            <w:szCs w:val="17"/>
          </w:rPr>
          <w:t>unsubscribe@savills.com.au</w:t>
        </w:r>
      </w:hyperlink>
      <w:r>
        <w:rPr>
          <w:rFonts w:ascii="Arial" w:eastAsia="Times New Roman" w:hAnsi="Arial" w:cs="Arial"/>
          <w:sz w:val="17"/>
          <w:szCs w:val="17"/>
        </w:rPr>
        <w:t xml:space="preserve"> with ‘unsubscribe’ in the subject heading </w:t>
      </w:r>
      <w:bookmarkEnd w:id="0"/>
    </w:p>
    <w:p w:rsidR="00B06D11" w:rsidRDefault="00B06D11" w:rsidP="00B06D11">
      <w:pPr>
        <w:rPr>
          <w:rFonts w:eastAsia="Times New Roman"/>
          <w:color w:val="575757"/>
          <w:sz w:val="20"/>
          <w:szCs w:val="20"/>
        </w:rPr>
      </w:pPr>
      <w:bookmarkStart w:id="1" w:name="_GoBack"/>
      <w:bookmarkEnd w:id="1"/>
    </w:p>
    <w:p w:rsidR="005805F1" w:rsidRDefault="005805F1" w:rsidP="005805F1"/>
    <w:p w:rsidR="00CE7DED" w:rsidRDefault="00961BB7"/>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312153"/>
    <w:rsid w:val="00561516"/>
    <w:rsid w:val="005805F1"/>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card.savills.com.au/vcard.aspx?email=jvolkwein@savills.com.au" TargetMode="External"/><Relationship Id="rId13" Type="http://schemas.openxmlformats.org/officeDocument/2006/relationships/image" Target="media/image2.png"/><Relationship Id="rId18" Type="http://schemas.openxmlformats.org/officeDocument/2006/relationships/hyperlink" Target="http://www.savills.com.au/_inc/ctrlNewsRss.ashx?intSitePageId=109969" TargetMode="External"/><Relationship Id="rId26" Type="http://schemas.openxmlformats.org/officeDocument/2006/relationships/hyperlink" Target="http://www.savills.com.au/footer/privacy-policy.aspx" TargetMode="External"/><Relationship Id="rId3" Type="http://schemas.openxmlformats.org/officeDocument/2006/relationships/webSettings" Target="webSettings.xml"/><Relationship Id="rId21" Type="http://schemas.openxmlformats.org/officeDocument/2006/relationships/hyperlink" Target="http://www.savills.com.au/blog/home.aspx" TargetMode="External"/><Relationship Id="rId7" Type="http://schemas.openxmlformats.org/officeDocument/2006/relationships/hyperlink" Target="http://www.savills.com.au/" TargetMode="External"/><Relationship Id="rId12" Type="http://schemas.openxmlformats.org/officeDocument/2006/relationships/hyperlink" Target="https://twitter.com/savillsaus" TargetMode="External"/><Relationship Id="rId17" Type="http://schemas.openxmlformats.org/officeDocument/2006/relationships/image" Target="cid:image003.png@01D550A0.66C98550" TargetMode="External"/><Relationship Id="rId25" Type="http://schemas.openxmlformats.org/officeDocument/2006/relationships/image" Target="cid:image006.gif@01D550A0.66C98550" TargetMode="External"/><Relationship Id="rId2" Type="http://schemas.openxmlformats.org/officeDocument/2006/relationships/settings" Target="settings.xml"/><Relationship Id="rId16" Type="http://schemas.openxmlformats.org/officeDocument/2006/relationships/image" Target="media/image3.png"/><Relationship Id="rId20" Type="http://schemas.openxmlformats.org/officeDocument/2006/relationships/image" Target="cid:image004.png@01D550A0.66C98550"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jvolkwein@savills.com.au" TargetMode="External"/><Relationship Id="rId11" Type="http://schemas.openxmlformats.org/officeDocument/2006/relationships/image" Target="cid:image001.png@01D550A0.66C98550" TargetMode="External"/><Relationship Id="rId24" Type="http://schemas.openxmlformats.org/officeDocument/2006/relationships/image" Target="media/image6.gif"/><Relationship Id="rId5" Type="http://schemas.openxmlformats.org/officeDocument/2006/relationships/hyperlink" Target="tel:+61%202%208215%206097" TargetMode="External"/><Relationship Id="rId15" Type="http://schemas.openxmlformats.org/officeDocument/2006/relationships/hyperlink" Target="http://www.youtube.com/SavillsAus" TargetMode="External"/><Relationship Id="rId23" Type="http://schemas.openxmlformats.org/officeDocument/2006/relationships/image" Target="cid:image005.png@01D550A0.66C98550"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hyperlink" Target="tel:+61%20478%20486%20303" TargetMode="External"/><Relationship Id="rId9" Type="http://schemas.openxmlformats.org/officeDocument/2006/relationships/hyperlink" Target="http://www.linkedin.com/company/savills-australia-nz" TargetMode="External"/><Relationship Id="rId14" Type="http://schemas.openxmlformats.org/officeDocument/2006/relationships/image" Target="cid:image002.png@01D550A0.66C98550" TargetMode="External"/><Relationship Id="rId22" Type="http://schemas.openxmlformats.org/officeDocument/2006/relationships/image" Target="media/image5.png"/><Relationship Id="rId27" Type="http://schemas.openxmlformats.org/officeDocument/2006/relationships/hyperlink" Target="mailto:unsubscribe@savil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2019-09-27T03:05:00Z</dcterms:created>
  <dcterms:modified xsi:type="dcterms:W3CDTF">2019-09-27T03:05:00Z</dcterms:modified>
</cp:coreProperties>
</file>