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74" w:rsidRDefault="00500174" w:rsidP="00500174">
      <w:pPr>
        <w:jc w:val="center"/>
        <w:rPr>
          <w:rFonts w:ascii="Arial Narrow" w:hAnsi="Arial Narrow"/>
          <w:b/>
          <w:i/>
          <w:sz w:val="48"/>
        </w:rPr>
      </w:pPr>
      <w:proofErr w:type="gramStart"/>
      <w:r>
        <w:rPr>
          <w:rFonts w:ascii="Arial Narrow" w:hAnsi="Arial Narrow"/>
          <w:b/>
          <w:i/>
          <w:sz w:val="48"/>
        </w:rPr>
        <w:t>Australian Bookmakers' Association Pty Ltd.</w:t>
      </w:r>
      <w:proofErr w:type="gramEnd"/>
    </w:p>
    <w:p w:rsidR="00500174" w:rsidRDefault="00500174" w:rsidP="00500174">
      <w:pPr>
        <w:ind w:left="2880" w:firstLine="720"/>
        <w:rPr>
          <w:rFonts w:ascii="Arial Narrow" w:hAnsi="Arial Narrow"/>
        </w:rPr>
      </w:pPr>
      <w:proofErr w:type="gramStart"/>
      <w:r>
        <w:rPr>
          <w:rFonts w:ascii="Arial Narrow" w:hAnsi="Arial Narrow"/>
          <w:b/>
        </w:rPr>
        <w:t>(Formerly ARBAC Pty Ltd.)</w:t>
      </w:r>
      <w:proofErr w:type="gramEnd"/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           </w:t>
      </w:r>
      <w:r>
        <w:rPr>
          <w:rFonts w:ascii="Arial Narrow" w:hAnsi="Arial Narrow"/>
          <w:b/>
          <w:sz w:val="16"/>
        </w:rPr>
        <w:t>A.C.N. 066 699 607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>ACT Bookmaker’s Association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Chairman:</w:t>
      </w:r>
      <w:r>
        <w:rPr>
          <w:rFonts w:ascii="Arial Narrow" w:hAnsi="Arial Narrow"/>
        </w:rPr>
        <w:tab/>
        <w:t>Warren Barrington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NSW Bookmaker’s Co-operative Ltd.</w:t>
      </w:r>
      <w:proofErr w:type="gramEnd"/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>Queensland Bookmakers’ Association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Address:</w:t>
      </w:r>
      <w:r>
        <w:rPr>
          <w:rFonts w:ascii="Arial Narrow" w:hAnsi="Arial Narrow"/>
        </w:rPr>
        <w:tab/>
        <w:t>City Tattersall's Club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South Australian Bookmakers’ League Inc.</w:t>
      </w:r>
      <w:proofErr w:type="gramEnd"/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198 Pitt Street 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>Tasmanian Bookmakers’ Association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>
        <w:rPr>
          <w:rFonts w:ascii="Arial Narrow" w:hAnsi="Arial Narrow"/>
        </w:rPr>
        <w:t>Sydney  NSW</w:t>
      </w:r>
      <w:proofErr w:type="gramEnd"/>
      <w:r>
        <w:rPr>
          <w:rFonts w:ascii="Arial Narrow" w:hAnsi="Arial Narrow"/>
        </w:rPr>
        <w:t xml:space="preserve"> 2000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Victorian Bookmakers’ Association Ltd.</w:t>
      </w:r>
      <w:proofErr w:type="gramEnd"/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W.A. Bookmakers’ Association Inc.</w:t>
      </w:r>
      <w:proofErr w:type="gramEnd"/>
      <w:r>
        <w:rPr>
          <w:rFonts w:ascii="Arial Narrow" w:hAnsi="Arial Narrow"/>
        </w:rPr>
        <w:t xml:space="preserve">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>
        <w:rPr>
          <w:rFonts w:ascii="Arial Narrow" w:hAnsi="Arial Narrow"/>
        </w:rPr>
        <w:t>e-mail</w:t>
      </w:r>
      <w:proofErr w:type="gramEnd"/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les@nswbookmakerscoop.com.au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Telephone:</w:t>
      </w:r>
      <w:r>
        <w:rPr>
          <w:rFonts w:ascii="Arial Narrow" w:hAnsi="Arial Narrow"/>
        </w:rPr>
        <w:tab/>
        <w:t>02. 9267.7605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Facsimile:</w:t>
      </w:r>
      <w:r>
        <w:rPr>
          <w:rFonts w:ascii="Arial Narrow" w:hAnsi="Arial Narrow"/>
        </w:rPr>
        <w:tab/>
        <w:t>02. 9267.4147</w:t>
      </w:r>
    </w:p>
    <w:p w:rsidR="00500174" w:rsidRDefault="00500174" w:rsidP="00500174">
      <w:pPr>
        <w:tabs>
          <w:tab w:val="left" w:pos="5529"/>
          <w:tab w:val="left" w:pos="6096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Mobile:</w:t>
      </w:r>
      <w:r>
        <w:rPr>
          <w:rFonts w:ascii="Arial Narrow" w:hAnsi="Arial Narrow"/>
        </w:rPr>
        <w:tab/>
        <w:t>0411 250 234</w:t>
      </w:r>
    </w:p>
    <w:p w:rsidR="00854C73" w:rsidRDefault="00854C73"/>
    <w:p w:rsidR="00500174" w:rsidRDefault="00500174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via</w:t>
      </w:r>
      <w:proofErr w:type="gramEnd"/>
      <w:r>
        <w:rPr>
          <w:rFonts w:ascii="Arial" w:hAnsi="Arial" w:cs="Arial"/>
        </w:rPr>
        <w:t xml:space="preserve"> email: </w:t>
      </w:r>
      <w:hyperlink r:id="rId6" w:history="1">
        <w:r w:rsidRPr="00E82DC0">
          <w:rPr>
            <w:rStyle w:val="Hyperlink"/>
            <w:rFonts w:ascii="Arial" w:hAnsi="Arial" w:cs="Arial"/>
          </w:rPr>
          <w:t>Blackeconomy@treasury.gov.au</w:t>
        </w:r>
      </w:hyperlink>
    </w:p>
    <w:p w:rsidR="00500174" w:rsidRDefault="00500174">
      <w:pPr>
        <w:rPr>
          <w:rFonts w:ascii="Arial" w:hAnsi="Arial" w:cs="Arial"/>
        </w:rPr>
      </w:pPr>
    </w:p>
    <w:p w:rsidR="00500174" w:rsidRDefault="00500174">
      <w:pPr>
        <w:rPr>
          <w:rFonts w:ascii="Arial" w:hAnsi="Arial" w:cs="Arial"/>
        </w:rPr>
      </w:pPr>
    </w:p>
    <w:p w:rsidR="00500174" w:rsidRDefault="00500174" w:rsidP="009C09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refer to the Exposure </w:t>
      </w:r>
      <w:r w:rsidR="00DB29D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raft </w:t>
      </w:r>
      <w:r w:rsidR="00DB29DF">
        <w:rPr>
          <w:rFonts w:ascii="Arial" w:hAnsi="Arial" w:cs="Arial"/>
        </w:rPr>
        <w:t>L</w:t>
      </w:r>
      <w:r>
        <w:rPr>
          <w:rFonts w:ascii="Arial" w:hAnsi="Arial" w:cs="Arial"/>
        </w:rPr>
        <w:t>egislation for an economy-wide cash payment limit of $10,000 effective for bookmakers from 1 January 2021.</w:t>
      </w:r>
    </w:p>
    <w:p w:rsidR="00500174" w:rsidRDefault="00500174" w:rsidP="009C09C0">
      <w:pPr>
        <w:jc w:val="both"/>
        <w:rPr>
          <w:rFonts w:ascii="Arial" w:hAnsi="Arial" w:cs="Arial"/>
        </w:rPr>
      </w:pPr>
    </w:p>
    <w:p w:rsidR="00500174" w:rsidRDefault="00500174" w:rsidP="009C09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discussed at the Melbourne round table on 5 August 2019 the Australian Bookmakers’ Association seeks to have further discussions with your officers as the proposed legislation will have a profound effect on the Australian Bookmaking Industry, in particular the conduct of on-course bookmaker operations </w:t>
      </w:r>
      <w:r w:rsidR="0057009B">
        <w:rPr>
          <w:rFonts w:ascii="Arial" w:hAnsi="Arial" w:cs="Arial"/>
        </w:rPr>
        <w:t>throughout the country</w:t>
      </w:r>
      <w:r>
        <w:rPr>
          <w:rFonts w:ascii="Arial" w:hAnsi="Arial" w:cs="Arial"/>
        </w:rPr>
        <w:t>.</w:t>
      </w:r>
    </w:p>
    <w:p w:rsidR="00500174" w:rsidRDefault="00500174" w:rsidP="009C09C0">
      <w:pPr>
        <w:jc w:val="both"/>
        <w:rPr>
          <w:rFonts w:ascii="Arial" w:hAnsi="Arial" w:cs="Arial"/>
        </w:rPr>
      </w:pPr>
    </w:p>
    <w:p w:rsidR="00500174" w:rsidRDefault="00500174" w:rsidP="009C09C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r w:rsidR="009C09C0">
        <w:rPr>
          <w:rFonts w:ascii="Arial" w:hAnsi="Arial" w:cs="Arial"/>
        </w:rPr>
        <w:t>outlined</w:t>
      </w:r>
      <w:r>
        <w:rPr>
          <w:rFonts w:ascii="Arial" w:hAnsi="Arial" w:cs="Arial"/>
        </w:rPr>
        <w:t xml:space="preserve"> in the meeting we would like to discuss the ramifications of the limit in regard to the following aspects:</w:t>
      </w:r>
    </w:p>
    <w:p w:rsidR="00500174" w:rsidRDefault="00500174">
      <w:pPr>
        <w:rPr>
          <w:rFonts w:ascii="Arial" w:hAnsi="Arial" w:cs="Arial"/>
        </w:rPr>
      </w:pPr>
    </w:p>
    <w:p w:rsidR="00500174" w:rsidRDefault="00500174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imposition of a $10,000 limit will make it impossible for a bookmaker to accept a large transaction on a short price favourite </w:t>
      </w:r>
      <w:proofErr w:type="spellStart"/>
      <w:r>
        <w:rPr>
          <w:rFonts w:ascii="Arial" w:hAnsi="Arial" w:cs="Arial"/>
        </w:rPr>
        <w:t>e.g</w:t>
      </w:r>
      <w:proofErr w:type="spellEnd"/>
      <w:r>
        <w:rPr>
          <w:rFonts w:ascii="Arial" w:hAnsi="Arial" w:cs="Arial"/>
        </w:rPr>
        <w:t xml:space="preserve"> Winx stating at $1.10 favourite. It was not out of the ordinary for large investments of $50,000 to $100,000 on the horse</w:t>
      </w:r>
      <w:r w:rsidR="000A4290">
        <w:rPr>
          <w:rFonts w:ascii="Arial" w:hAnsi="Arial" w:cs="Arial"/>
        </w:rPr>
        <w:t xml:space="preserve"> for an expected return of $55,000 to $110,000.  Whilst such large transactions are not the norm at a </w:t>
      </w:r>
      <w:r w:rsidR="0057009B">
        <w:rPr>
          <w:rFonts w:ascii="Arial" w:hAnsi="Arial" w:cs="Arial"/>
        </w:rPr>
        <w:t xml:space="preserve">metropolitan </w:t>
      </w:r>
      <w:r w:rsidR="000A4290">
        <w:rPr>
          <w:rFonts w:ascii="Arial" w:hAnsi="Arial" w:cs="Arial"/>
        </w:rPr>
        <w:t>race meeting the</w:t>
      </w:r>
      <w:r w:rsidR="0057009B">
        <w:rPr>
          <w:rFonts w:ascii="Arial" w:hAnsi="Arial" w:cs="Arial"/>
        </w:rPr>
        <w:t xml:space="preserve"> domination of a horse or the particular</w:t>
      </w:r>
      <w:r w:rsidR="000A4290">
        <w:rPr>
          <w:rFonts w:ascii="Arial" w:hAnsi="Arial" w:cs="Arial"/>
        </w:rPr>
        <w:t xml:space="preserve"> class and strength of a race can have a decided influence on the preparedness of investors to back a horse</w:t>
      </w:r>
      <w:r w:rsidR="006212C1">
        <w:rPr>
          <w:rFonts w:ascii="Arial" w:hAnsi="Arial" w:cs="Arial"/>
        </w:rPr>
        <w:t xml:space="preserve"> for considerable amount</w:t>
      </w:r>
      <w:r w:rsidR="0057009B">
        <w:rPr>
          <w:rFonts w:ascii="Arial" w:hAnsi="Arial" w:cs="Arial"/>
        </w:rPr>
        <w:t>s of money</w:t>
      </w:r>
      <w:r w:rsidR="000A4290">
        <w:rPr>
          <w:rFonts w:ascii="Arial" w:hAnsi="Arial" w:cs="Arial"/>
        </w:rPr>
        <w:t>.</w:t>
      </w:r>
    </w:p>
    <w:p w:rsidR="000A4290" w:rsidRDefault="000A4290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Bookmakers offer various odds about horses</w:t>
      </w:r>
      <w:r w:rsidR="0057009B">
        <w:rPr>
          <w:rFonts w:ascii="Arial" w:hAnsi="Arial" w:cs="Arial"/>
        </w:rPr>
        <w:t xml:space="preserve"> and therefore the amount bet can be </w:t>
      </w:r>
      <w:r w:rsidR="009C09C0">
        <w:rPr>
          <w:rFonts w:ascii="Arial" w:hAnsi="Arial" w:cs="Arial"/>
        </w:rPr>
        <w:t>vary from a few dollars to a large sum. What we term in the business as “a punting stable” might place</w:t>
      </w:r>
      <w:r>
        <w:rPr>
          <w:rFonts w:ascii="Arial" w:hAnsi="Arial" w:cs="Arial"/>
        </w:rPr>
        <w:t xml:space="preserve"> </w:t>
      </w:r>
      <w:r w:rsidR="009C09C0">
        <w:rPr>
          <w:rFonts w:ascii="Arial" w:hAnsi="Arial" w:cs="Arial"/>
        </w:rPr>
        <w:t>choose to place a</w:t>
      </w:r>
      <w:r>
        <w:rPr>
          <w:rFonts w:ascii="Arial" w:hAnsi="Arial" w:cs="Arial"/>
        </w:rPr>
        <w:t xml:space="preserve"> bet of $2,000 on a horse showing $6 on the bookmaker</w:t>
      </w:r>
      <w:r w:rsidR="0057009B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s board </w:t>
      </w:r>
      <w:r w:rsidR="009C09C0">
        <w:rPr>
          <w:rFonts w:ascii="Arial" w:hAnsi="Arial" w:cs="Arial"/>
        </w:rPr>
        <w:t xml:space="preserve">which </w:t>
      </w:r>
      <w:r>
        <w:rPr>
          <w:rFonts w:ascii="Arial" w:hAnsi="Arial" w:cs="Arial"/>
        </w:rPr>
        <w:t>would result in a bookmaker exceeding the $10,000 limit with a pay</w:t>
      </w:r>
      <w:r w:rsidR="006212C1">
        <w:rPr>
          <w:rFonts w:ascii="Arial" w:hAnsi="Arial" w:cs="Arial"/>
        </w:rPr>
        <w:t>-</w:t>
      </w:r>
      <w:r>
        <w:rPr>
          <w:rFonts w:ascii="Arial" w:hAnsi="Arial" w:cs="Arial"/>
        </w:rPr>
        <w:t>out of $12,000.</w:t>
      </w:r>
      <w:r w:rsidR="009C09C0">
        <w:rPr>
          <w:rFonts w:ascii="Arial" w:hAnsi="Arial" w:cs="Arial"/>
        </w:rPr>
        <w:t xml:space="preserve"> Such a bet would not be unusual and the practicalities of servicing such a bet would be made extremely difficult under the proposed legislation.</w:t>
      </w:r>
    </w:p>
    <w:p w:rsidR="000A4290" w:rsidRDefault="000A4290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above moderate type of bet could occur at country, provincial or metropolitan venues if the owners of a horse wanted a considered bet.</w:t>
      </w:r>
    </w:p>
    <w:p w:rsidR="000A4290" w:rsidRDefault="000A4290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further consideration is that some punters (be they professionals, private individuals or owners) may have more than one bet in a race with the same bookmaker on a particular contingency depending on the fluctuation of a horse’s price. As an example a horse may initially be offered at a price of $3 about w</w:t>
      </w:r>
      <w:r w:rsidR="00BD0877">
        <w:rPr>
          <w:rFonts w:ascii="Arial" w:hAnsi="Arial" w:cs="Arial"/>
        </w:rPr>
        <w:t>hich an investor may choose to m</w:t>
      </w:r>
      <w:r>
        <w:rPr>
          <w:rFonts w:ascii="Arial" w:hAnsi="Arial" w:cs="Arial"/>
        </w:rPr>
        <w:t>ake</w:t>
      </w:r>
      <w:r w:rsidR="00BD0877">
        <w:rPr>
          <w:rFonts w:ascii="Arial" w:hAnsi="Arial" w:cs="Arial"/>
        </w:rPr>
        <w:t xml:space="preserve"> a $2,500 bet (potential pay</w:t>
      </w:r>
      <w:r w:rsidR="006212C1">
        <w:rPr>
          <w:rFonts w:ascii="Arial" w:hAnsi="Arial" w:cs="Arial"/>
        </w:rPr>
        <w:t>-</w:t>
      </w:r>
      <w:r w:rsidR="00BD0877">
        <w:rPr>
          <w:rFonts w:ascii="Arial" w:hAnsi="Arial" w:cs="Arial"/>
        </w:rPr>
        <w:t>out $7,500).  If the price of the horse then fluctuates to $3.50 the same party may elect to claim that bookmaker for a further $1,500 (potential pay</w:t>
      </w:r>
      <w:r w:rsidR="006212C1">
        <w:rPr>
          <w:rFonts w:ascii="Arial" w:hAnsi="Arial" w:cs="Arial"/>
        </w:rPr>
        <w:t>-</w:t>
      </w:r>
      <w:r w:rsidR="00BD0877">
        <w:rPr>
          <w:rFonts w:ascii="Arial" w:hAnsi="Arial" w:cs="Arial"/>
        </w:rPr>
        <w:t>out $5,250).  Should the horse win and the punter chooses to collect both tickets on the same horse at the same time</w:t>
      </w:r>
      <w:r w:rsidR="006212C1">
        <w:rPr>
          <w:rFonts w:ascii="Arial" w:hAnsi="Arial" w:cs="Arial"/>
        </w:rPr>
        <w:t>’,</w:t>
      </w:r>
      <w:r w:rsidR="00BD0877">
        <w:rPr>
          <w:rFonts w:ascii="Arial" w:hAnsi="Arial" w:cs="Arial"/>
        </w:rPr>
        <w:t xml:space="preserve"> the bookmaker will exceed the cash limit with a liability of $12,750 being payable to the same client.</w:t>
      </w:r>
    </w:p>
    <w:p w:rsidR="00CF078C" w:rsidRDefault="00CF078C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proposed limit will also restrict the size of possible bet backs (lay-offs of liabilities) with other bookmakers and the totalizator if such a restriction was enforced.</w:t>
      </w:r>
      <w:r w:rsidR="0005378D">
        <w:rPr>
          <w:rFonts w:ascii="Arial" w:hAnsi="Arial" w:cs="Arial"/>
        </w:rPr>
        <w:t xml:space="preserve"> This would </w:t>
      </w:r>
      <w:proofErr w:type="spellStart"/>
      <w:r w:rsidR="0005378D">
        <w:rPr>
          <w:rFonts w:ascii="Arial" w:hAnsi="Arial" w:cs="Arial"/>
        </w:rPr>
        <w:t>effect</w:t>
      </w:r>
      <w:proofErr w:type="spellEnd"/>
      <w:r w:rsidR="0005378D">
        <w:rPr>
          <w:rFonts w:ascii="Arial" w:hAnsi="Arial" w:cs="Arial"/>
        </w:rPr>
        <w:t xml:space="preserve"> individual bookmaker turnover levels, totalizator turnover and have ramifications for point of consumption (</w:t>
      </w:r>
      <w:r w:rsidR="0005378D" w:rsidRPr="0005378D">
        <w:rPr>
          <w:rFonts w:ascii="Arial" w:hAnsi="Arial" w:cs="Arial"/>
          <w:b/>
        </w:rPr>
        <w:t>POC</w:t>
      </w:r>
      <w:r w:rsidR="0005378D">
        <w:rPr>
          <w:rFonts w:ascii="Arial" w:hAnsi="Arial" w:cs="Arial"/>
        </w:rPr>
        <w:t>) tax revenues in each state at varying levels. In NSW for instance this could also affect revenue to the racing industries as each racing code receives a set percentage of POC revenue.</w:t>
      </w:r>
    </w:p>
    <w:p w:rsidR="004230F6" w:rsidRDefault="004230F6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payment of such amounts by cheque would be unmanageable in a situation where there </w:t>
      </w:r>
      <w:proofErr w:type="gramStart"/>
      <w:r>
        <w:rPr>
          <w:rFonts w:ascii="Arial" w:hAnsi="Arial" w:cs="Arial"/>
        </w:rPr>
        <w:t>was</w:t>
      </w:r>
      <w:proofErr w:type="gramEnd"/>
      <w:r>
        <w:rPr>
          <w:rFonts w:ascii="Arial" w:hAnsi="Arial" w:cs="Arial"/>
        </w:rPr>
        <w:t xml:space="preserve"> a number of tickets to be paid</w:t>
      </w:r>
      <w:r w:rsidR="0057009B">
        <w:rPr>
          <w:rFonts w:ascii="Arial" w:hAnsi="Arial" w:cs="Arial"/>
        </w:rPr>
        <w:t xml:space="preserve"> at the conclusion of a race.</w:t>
      </w:r>
    </w:p>
    <w:p w:rsidR="00BD0877" w:rsidRDefault="00BD0877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nature of betting at the track can be become frenetic when punters can be crowding a bookmaker to get a price about a horse and wanting to bet various amounts, whilst at the same time a bookmaker must be wary to a professional walking down the line of bookmakers in a ring and shouting out amounts of money to place</w:t>
      </w:r>
      <w:r w:rsidR="006212C1">
        <w:rPr>
          <w:rFonts w:ascii="Arial" w:hAnsi="Arial" w:cs="Arial"/>
        </w:rPr>
        <w:t xml:space="preserve"> on a particular horse.  The practicality of accepting such bets and considering pay-out limits could make the whole exercise tedious and damage a bookmaker’s earning potential.</w:t>
      </w:r>
    </w:p>
    <w:p w:rsidR="006212C1" w:rsidRDefault="006212C1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current refusal of the major banks to offer merchant facilities</w:t>
      </w:r>
      <w:r w:rsidR="004230F6">
        <w:rPr>
          <w:rFonts w:ascii="Arial" w:hAnsi="Arial" w:cs="Arial"/>
        </w:rPr>
        <w:t xml:space="preserve"> to bookmakers, or approve tap and go facilities adds to the need for punters to carry significant amounts of cash on a racecourse.</w:t>
      </w:r>
    </w:p>
    <w:p w:rsidR="0057009B" w:rsidRDefault="0057009B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Will this law over-ride all Australian and Local Rules of Racing since the Rules of Betting are contained with those </w:t>
      </w:r>
      <w:proofErr w:type="gramStart"/>
      <w:r>
        <w:rPr>
          <w:rFonts w:ascii="Arial" w:hAnsi="Arial" w:cs="Arial"/>
        </w:rPr>
        <w:t>Rules.</w:t>
      </w:r>
      <w:proofErr w:type="gramEnd"/>
    </w:p>
    <w:p w:rsidR="0057009B" w:rsidRDefault="0057009B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Bookmakers will continue to need access to bank withdrawals of funds to prepare for race meetings. (I understand banking institutions will still be permitted to offer such a facility)</w:t>
      </w:r>
    </w:p>
    <w:p w:rsidR="0057009B" w:rsidRDefault="0057009B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Finally, on Melbourne Cup Day, Sydney bookmakers in particular may have up to four separate stands on Melbourne Cup Day.  This may require significant amounts of cash to be transferred between stands.</w:t>
      </w:r>
    </w:p>
    <w:p w:rsidR="009C09C0" w:rsidRDefault="009C09C0" w:rsidP="009C09C0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Some on course punters may also have credit arrangements established with a bookmaker and settlements in cash subsequent to a race meeting may also be caught by the proposed legislation.</w:t>
      </w:r>
    </w:p>
    <w:p w:rsidR="009C09C0" w:rsidRDefault="009C09C0" w:rsidP="009C09C0">
      <w:pPr>
        <w:ind w:left="360"/>
        <w:rPr>
          <w:rFonts w:ascii="Arial" w:hAnsi="Arial" w:cs="Arial"/>
        </w:rPr>
      </w:pPr>
    </w:p>
    <w:p w:rsidR="009C09C0" w:rsidRDefault="009C09C0" w:rsidP="009C09C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For the above reasons the Australian Bookmakers’ Association strongly believes that on-course bookmakers should be given an exemption from the legislation.  </w:t>
      </w:r>
    </w:p>
    <w:p w:rsidR="009C09C0" w:rsidRDefault="009C09C0" w:rsidP="009C09C0">
      <w:pPr>
        <w:ind w:left="360"/>
        <w:rPr>
          <w:rFonts w:ascii="Arial" w:hAnsi="Arial" w:cs="Arial"/>
        </w:rPr>
      </w:pPr>
    </w:p>
    <w:p w:rsidR="009C09C0" w:rsidRDefault="009C09C0" w:rsidP="009C09C0">
      <w:pPr>
        <w:ind w:left="360"/>
        <w:rPr>
          <w:rFonts w:ascii="Arial" w:hAnsi="Arial" w:cs="Arial"/>
        </w:rPr>
      </w:pPr>
    </w:p>
    <w:p w:rsidR="009C09C0" w:rsidRDefault="009C09C0" w:rsidP="009C09C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Yours sincerely</w:t>
      </w:r>
    </w:p>
    <w:p w:rsidR="009C09C0" w:rsidRDefault="00F62C84" w:rsidP="009C09C0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val="en-AU"/>
        </w:rPr>
        <w:drawing>
          <wp:inline distT="0" distB="0" distL="0" distR="0">
            <wp:extent cx="1418757" cy="586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757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9C0" w:rsidRDefault="009C09C0" w:rsidP="009C09C0">
      <w:pPr>
        <w:ind w:left="360"/>
        <w:rPr>
          <w:rFonts w:ascii="Arial" w:hAnsi="Arial" w:cs="Arial"/>
        </w:rPr>
      </w:pPr>
    </w:p>
    <w:p w:rsidR="009C09C0" w:rsidRDefault="009C09C0" w:rsidP="009C09C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Les Mellowship</w:t>
      </w:r>
    </w:p>
    <w:p w:rsidR="009C09C0" w:rsidRPr="009C09C0" w:rsidRDefault="009C09C0" w:rsidP="009C09C0">
      <w:pPr>
        <w:ind w:left="360"/>
        <w:rPr>
          <w:rFonts w:ascii="Arial" w:hAnsi="Arial" w:cs="Arial"/>
          <w:b/>
        </w:rPr>
      </w:pPr>
      <w:r w:rsidRPr="009C09C0">
        <w:rPr>
          <w:rFonts w:ascii="Arial" w:hAnsi="Arial" w:cs="Arial"/>
          <w:b/>
        </w:rPr>
        <w:t>National Executive Officer</w:t>
      </w:r>
    </w:p>
    <w:sectPr w:rsidR="009C09C0" w:rsidRPr="009C0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6F84"/>
    <w:multiLevelType w:val="hybridMultilevel"/>
    <w:tmpl w:val="FB048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74"/>
    <w:rsid w:val="0005378D"/>
    <w:rsid w:val="000A4290"/>
    <w:rsid w:val="002D02C8"/>
    <w:rsid w:val="004230F6"/>
    <w:rsid w:val="00500174"/>
    <w:rsid w:val="0057009B"/>
    <w:rsid w:val="006212C1"/>
    <w:rsid w:val="00854C73"/>
    <w:rsid w:val="009C09C0"/>
    <w:rsid w:val="009C5E02"/>
    <w:rsid w:val="00BD0877"/>
    <w:rsid w:val="00CF078C"/>
    <w:rsid w:val="00DB29DF"/>
    <w:rsid w:val="00F62C8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74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1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0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2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84"/>
    <w:rPr>
      <w:rFonts w:ascii="Tahoma" w:eastAsia="Times New Roman" w:hAnsi="Tahoma" w:cs="Tahoma"/>
      <w:sz w:val="16"/>
      <w:szCs w:val="16"/>
      <w:lang w:val="en-GB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74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17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0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2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84"/>
    <w:rPr>
      <w:rFonts w:ascii="Tahoma" w:eastAsia="Times New Roman" w:hAnsi="Tahoma" w:cs="Tahoma"/>
      <w:sz w:val="16"/>
      <w:szCs w:val="16"/>
      <w:lang w:val="en-GB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 Park</dc:creator>
  <cp:lastModifiedBy>Ed Park</cp:lastModifiedBy>
  <cp:revision>9</cp:revision>
  <dcterms:created xsi:type="dcterms:W3CDTF">2019-08-07T00:36:00Z</dcterms:created>
  <dcterms:modified xsi:type="dcterms:W3CDTF">2019-08-07T05:04:00Z</dcterms:modified>
</cp:coreProperties>
</file>