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2AD28" w14:textId="77777777" w:rsidR="00733D0C" w:rsidRDefault="00733D0C" w:rsidP="00733D0C">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10</w:t>
      </w:r>
      <w:r w:rsidRPr="00733D0C">
        <w:rPr>
          <w:rFonts w:ascii="Times New Roman" w:eastAsia="Times New Roman" w:hAnsi="Times New Roman" w:cs="Times New Roman"/>
          <w:sz w:val="24"/>
          <w:szCs w:val="24"/>
          <w:lang w:eastAsia="en-AU"/>
        </w:rPr>
        <w:t xml:space="preserve"> August 2019</w:t>
      </w:r>
    </w:p>
    <w:p w14:paraId="42B9B45E" w14:textId="77777777" w:rsidR="00733D0C" w:rsidRPr="00733D0C" w:rsidRDefault="00733D0C" w:rsidP="00733D0C">
      <w:pPr>
        <w:spacing w:before="100" w:beforeAutospacing="1" w:after="100" w:afterAutospacing="1" w:line="240" w:lineRule="auto"/>
        <w:rPr>
          <w:rFonts w:ascii="Times New Roman" w:eastAsia="Times New Roman" w:hAnsi="Times New Roman" w:cs="Times New Roman"/>
          <w:sz w:val="24"/>
          <w:szCs w:val="24"/>
          <w:lang w:eastAsia="en-AU"/>
        </w:rPr>
      </w:pPr>
    </w:p>
    <w:p w14:paraId="69495602" w14:textId="77777777" w:rsidR="00733D0C" w:rsidRDefault="00733D0C" w:rsidP="00733D0C">
      <w:pPr>
        <w:spacing w:before="100" w:beforeAutospacing="1" w:after="100" w:afterAutospacing="1" w:line="240" w:lineRule="auto"/>
        <w:rPr>
          <w:rFonts w:ascii="Times New Roman" w:eastAsia="Times New Roman" w:hAnsi="Times New Roman" w:cs="Times New Roman"/>
          <w:sz w:val="24"/>
          <w:szCs w:val="24"/>
          <w:lang w:eastAsia="en-AU"/>
        </w:rPr>
      </w:pPr>
      <w:r w:rsidRPr="00733D0C">
        <w:rPr>
          <w:rFonts w:ascii="Times New Roman" w:eastAsia="Times New Roman" w:hAnsi="Times New Roman" w:cs="Times New Roman"/>
          <w:sz w:val="24"/>
          <w:szCs w:val="24"/>
          <w:lang w:eastAsia="en-AU"/>
        </w:rPr>
        <w:t xml:space="preserve">Manager Black Economy Division </w:t>
      </w:r>
    </w:p>
    <w:p w14:paraId="3D757F17" w14:textId="77777777" w:rsidR="00733D0C" w:rsidRDefault="00733D0C" w:rsidP="00733D0C">
      <w:pPr>
        <w:spacing w:before="100" w:beforeAutospacing="1" w:after="100" w:afterAutospacing="1" w:line="240" w:lineRule="auto"/>
        <w:rPr>
          <w:rFonts w:ascii="Times New Roman" w:eastAsia="Times New Roman" w:hAnsi="Times New Roman" w:cs="Times New Roman"/>
          <w:sz w:val="24"/>
          <w:szCs w:val="24"/>
          <w:lang w:eastAsia="en-AU"/>
        </w:rPr>
      </w:pPr>
      <w:r w:rsidRPr="00733D0C">
        <w:rPr>
          <w:rFonts w:ascii="Times New Roman" w:eastAsia="Times New Roman" w:hAnsi="Times New Roman" w:cs="Times New Roman"/>
          <w:sz w:val="24"/>
          <w:szCs w:val="24"/>
          <w:lang w:eastAsia="en-AU"/>
        </w:rPr>
        <w:t xml:space="preserve">The Treasury </w:t>
      </w:r>
    </w:p>
    <w:p w14:paraId="5F997291" w14:textId="77777777" w:rsidR="00733D0C" w:rsidRPr="00733D0C" w:rsidRDefault="00733D0C" w:rsidP="00733D0C">
      <w:pPr>
        <w:spacing w:before="100" w:beforeAutospacing="1" w:after="100" w:afterAutospacing="1" w:line="240" w:lineRule="auto"/>
        <w:rPr>
          <w:rFonts w:ascii="Times New Roman" w:eastAsia="Times New Roman" w:hAnsi="Times New Roman" w:cs="Times New Roman"/>
          <w:sz w:val="24"/>
          <w:szCs w:val="24"/>
          <w:lang w:eastAsia="en-AU"/>
        </w:rPr>
      </w:pPr>
      <w:r w:rsidRPr="00733D0C">
        <w:rPr>
          <w:rFonts w:ascii="Times New Roman" w:eastAsia="Times New Roman" w:hAnsi="Times New Roman" w:cs="Times New Roman"/>
          <w:sz w:val="24"/>
          <w:szCs w:val="24"/>
          <w:lang w:eastAsia="en-AU"/>
        </w:rPr>
        <w:t>Langton Crescent PARKES ACT 2600</w:t>
      </w:r>
    </w:p>
    <w:p w14:paraId="1CCCFD05" w14:textId="77777777" w:rsidR="00733D0C" w:rsidRDefault="00733D0C" w:rsidP="00733D0C">
      <w:pPr>
        <w:pStyle w:val="xzvds"/>
      </w:pPr>
    </w:p>
    <w:p w14:paraId="7F136235" w14:textId="77777777" w:rsidR="00733D0C" w:rsidRDefault="00733D0C" w:rsidP="00733D0C">
      <w:pPr>
        <w:pStyle w:val="xzvds"/>
      </w:pPr>
      <w:r>
        <w:t xml:space="preserve">Dear Manager, </w:t>
      </w:r>
    </w:p>
    <w:p w14:paraId="25AB90B4" w14:textId="77777777" w:rsidR="00733D0C" w:rsidRPr="00733D0C" w:rsidRDefault="00733D0C" w:rsidP="00733D0C">
      <w:pPr>
        <w:pStyle w:val="xzvds"/>
      </w:pPr>
      <w:r w:rsidRPr="00733D0C">
        <w:rPr>
          <w:rStyle w:val="Strong"/>
        </w:rPr>
        <w:t xml:space="preserve">Objection to the </w:t>
      </w:r>
      <w:r w:rsidRPr="00733D0C">
        <w:rPr>
          <w:rStyle w:val="Emphasis"/>
          <w:b/>
          <w:bCs/>
        </w:rPr>
        <w:t>Currency (Restrictions on the Use of Cash) Bill 2019</w:t>
      </w:r>
    </w:p>
    <w:p w14:paraId="41DB1033" w14:textId="77777777" w:rsidR="00733D0C" w:rsidRDefault="00733D0C" w:rsidP="00733D0C">
      <w:pPr>
        <w:pStyle w:val="xzvds"/>
      </w:pPr>
      <w:r>
        <w:t>I wish to express my objection to the introduction of the following draft Bills:</w:t>
      </w:r>
    </w:p>
    <w:p w14:paraId="0C0940F5" w14:textId="77777777" w:rsidR="00733D0C" w:rsidRPr="00733D0C" w:rsidRDefault="00733D0C" w:rsidP="00733D0C">
      <w:pPr>
        <w:pStyle w:val="xzvds"/>
        <w:numPr>
          <w:ilvl w:val="0"/>
          <w:numId w:val="6"/>
        </w:numPr>
        <w:rPr>
          <w:i/>
          <w:iCs/>
        </w:rPr>
      </w:pPr>
      <w:r w:rsidRPr="00733D0C">
        <w:rPr>
          <w:rStyle w:val="Emphasis"/>
          <w:i w:val="0"/>
          <w:iCs w:val="0"/>
        </w:rPr>
        <w:t xml:space="preserve">Currency (Restrictions on the Use of Cash) Bill 2019; </w:t>
      </w:r>
    </w:p>
    <w:p w14:paraId="5A0DB4F8" w14:textId="77777777" w:rsidR="00733D0C" w:rsidRPr="00733D0C" w:rsidRDefault="00733D0C" w:rsidP="00733D0C">
      <w:pPr>
        <w:pStyle w:val="xzvds"/>
        <w:numPr>
          <w:ilvl w:val="0"/>
          <w:numId w:val="6"/>
        </w:numPr>
        <w:rPr>
          <w:i/>
          <w:iCs/>
        </w:rPr>
      </w:pPr>
      <w:r w:rsidRPr="00733D0C">
        <w:rPr>
          <w:rStyle w:val="Emphasis"/>
          <w:i w:val="0"/>
          <w:iCs w:val="0"/>
        </w:rPr>
        <w:t>Currency (Restrictions on the Use of Cash – Expected Transactions) Instrument 2019;</w:t>
      </w:r>
      <w:r w:rsidRPr="00733D0C">
        <w:rPr>
          <w:i/>
          <w:iCs/>
        </w:rPr>
        <w:t xml:space="preserve"> and</w:t>
      </w:r>
    </w:p>
    <w:p w14:paraId="5AE47040" w14:textId="77777777" w:rsidR="00733D0C" w:rsidRPr="00733D0C" w:rsidRDefault="00733D0C" w:rsidP="00733D0C">
      <w:pPr>
        <w:pStyle w:val="xzvds"/>
        <w:numPr>
          <w:ilvl w:val="0"/>
          <w:numId w:val="6"/>
        </w:numPr>
        <w:rPr>
          <w:i/>
          <w:iCs/>
        </w:rPr>
      </w:pPr>
      <w:r w:rsidRPr="00733D0C">
        <w:rPr>
          <w:rStyle w:val="Emphasis"/>
          <w:i w:val="0"/>
          <w:iCs w:val="0"/>
        </w:rPr>
        <w:t xml:space="preserve">Currency (Restrictions on the Use of Cash) (Consequential Amendments and Transitional Provisions) Bill 2019. </w:t>
      </w:r>
    </w:p>
    <w:p w14:paraId="08B31F25" w14:textId="77777777" w:rsidR="00733D0C" w:rsidRDefault="00733D0C" w:rsidP="00733D0C">
      <w:pPr>
        <w:pStyle w:val="xzvds"/>
      </w:pPr>
      <w:r>
        <w:t xml:space="preserve">The proposed bill (and </w:t>
      </w:r>
      <w:r w:rsidR="001562BA">
        <w:t xml:space="preserve">the </w:t>
      </w:r>
      <w:r>
        <w:t>associated instrume</w:t>
      </w:r>
      <w:r w:rsidR="001562BA">
        <w:t>nt)</w:t>
      </w:r>
      <w:r>
        <w:t xml:space="preserve"> are a major a</w:t>
      </w:r>
      <w:r w:rsidR="001562BA">
        <w:t>ttack</w:t>
      </w:r>
      <w:r>
        <w:t xml:space="preserve"> and </w:t>
      </w:r>
      <w:r w:rsidR="001562BA">
        <w:t>on the</w:t>
      </w:r>
      <w:r>
        <w:t xml:space="preserve"> economic freedom </w:t>
      </w:r>
      <w:r w:rsidR="001562BA">
        <w:t>of</w:t>
      </w:r>
      <w:r>
        <w:t xml:space="preserve"> Australia</w:t>
      </w:r>
      <w:r w:rsidR="001562BA">
        <w:t>ns and those wishing to do business in Australia</w:t>
      </w:r>
      <w:r>
        <w:t xml:space="preserve">. </w:t>
      </w:r>
      <w:r w:rsidR="001562BA">
        <w:t>As a democratic country Australia should encourage free trade and a liquid economy. Having visited Singapore I noticed how free and subsequently prosperous the Singaporean economy was; and on the opposite end of the spectrum when I was in Uzbekistan (my wife lived most of her life there) how regulated and poor the economy was. My observations on the effects of similar legislation enacted in Uzbekistan as proposed by this draft Bill are:</w:t>
      </w:r>
    </w:p>
    <w:p w14:paraId="5ABE8463" w14:textId="77777777" w:rsidR="001562BA" w:rsidRDefault="001562BA" w:rsidP="001562BA">
      <w:pPr>
        <w:pStyle w:val="208ie"/>
        <w:numPr>
          <w:ilvl w:val="0"/>
          <w:numId w:val="1"/>
        </w:numPr>
      </w:pPr>
      <w:r>
        <w:t>An oversized, and inefficient bur</w:t>
      </w:r>
      <w:r w:rsidR="001F74A2">
        <w:t>eau</w:t>
      </w:r>
      <w:r>
        <w:t>cracy to enforce the laws;</w:t>
      </w:r>
    </w:p>
    <w:p w14:paraId="59E9C1C6" w14:textId="0C0D21D3" w:rsidR="001562BA" w:rsidRDefault="001562BA" w:rsidP="001562BA">
      <w:pPr>
        <w:pStyle w:val="208ie"/>
        <w:numPr>
          <w:ilvl w:val="0"/>
          <w:numId w:val="1"/>
        </w:numPr>
      </w:pPr>
      <w:r>
        <w:t xml:space="preserve">A beaten down population who lost the desire to </w:t>
      </w:r>
      <w:r w:rsidR="001F74A2">
        <w:t xml:space="preserve">be </w:t>
      </w:r>
      <w:r w:rsidR="00B3044A">
        <w:t>entrepreneurs</w:t>
      </w:r>
      <w:r w:rsidR="001F74A2">
        <w:t>, business people, and actively participate in the economy;</w:t>
      </w:r>
    </w:p>
    <w:p w14:paraId="77BBB3C6" w14:textId="77777777" w:rsidR="001F74A2" w:rsidRDefault="001F74A2" w:rsidP="001562BA">
      <w:pPr>
        <w:pStyle w:val="208ie"/>
        <w:numPr>
          <w:ilvl w:val="0"/>
          <w:numId w:val="1"/>
        </w:numPr>
      </w:pPr>
      <w:r>
        <w:t>A decrease in the Velocity of Money;</w:t>
      </w:r>
    </w:p>
    <w:p w14:paraId="76ECB3E1" w14:textId="77777777" w:rsidR="001562BA" w:rsidRDefault="001562BA" w:rsidP="001562BA">
      <w:pPr>
        <w:pStyle w:val="208ie"/>
        <w:numPr>
          <w:ilvl w:val="0"/>
          <w:numId w:val="1"/>
        </w:numPr>
      </w:pPr>
      <w:r>
        <w:t>Paradoxically an increase in the black economy</w:t>
      </w:r>
      <w:r w:rsidR="001F74A2">
        <w:t>, people kept their wealth under their beds and not in the banks</w:t>
      </w:r>
      <w:r>
        <w:t>;</w:t>
      </w:r>
    </w:p>
    <w:p w14:paraId="71BDAFCD" w14:textId="77777777" w:rsidR="00733D0C" w:rsidRDefault="001F74A2" w:rsidP="00733D0C">
      <w:pPr>
        <w:pStyle w:val="208ie"/>
        <w:numPr>
          <w:ilvl w:val="0"/>
          <w:numId w:val="1"/>
        </w:numPr>
      </w:pPr>
      <w:r>
        <w:t>A collapsing currency.</w:t>
      </w:r>
    </w:p>
    <w:p w14:paraId="150E4F6D" w14:textId="22141179" w:rsidR="001F74A2" w:rsidRDefault="001F74A2" w:rsidP="001F74A2">
      <w:pPr>
        <w:pStyle w:val="208ie"/>
      </w:pPr>
      <w:r>
        <w:t xml:space="preserve">Of-course there are other factors at play in the Uzbekistan economy, but the simple observation that </w:t>
      </w:r>
      <w:r w:rsidR="00B3044A">
        <w:t>can</w:t>
      </w:r>
      <w:r>
        <w:t xml:space="preserve"> be drawn from their experience is – the more regulated the economy the less prosperous the economy, money, </w:t>
      </w:r>
      <w:bookmarkStart w:id="0" w:name="_GoBack"/>
      <w:bookmarkEnd w:id="0"/>
      <w:r w:rsidR="00B3044A">
        <w:t>entrepreneurs</w:t>
      </w:r>
      <w:r>
        <w:t xml:space="preserve"> and investment leaves the country. Do we really want Australia to become Paul Keating’s Banana Republic? A </w:t>
      </w:r>
      <w:r w:rsidR="00B3044A">
        <w:t>commodities-based</w:t>
      </w:r>
      <w:r>
        <w:t xml:space="preserve"> economy with an oversized bureaucracy that regulates its economy into the dust, avoided by other advanced countries.</w:t>
      </w:r>
    </w:p>
    <w:p w14:paraId="6109B720" w14:textId="77777777" w:rsidR="00607917" w:rsidRDefault="00607917" w:rsidP="001F74A2">
      <w:pPr>
        <w:pStyle w:val="208ie"/>
      </w:pPr>
    </w:p>
    <w:p w14:paraId="4CC33F1C" w14:textId="77777777" w:rsidR="00607917" w:rsidRDefault="00607917" w:rsidP="001F74A2">
      <w:pPr>
        <w:pStyle w:val="208ie"/>
      </w:pPr>
    </w:p>
    <w:p w14:paraId="7958F201" w14:textId="77777777" w:rsidR="00733D0C" w:rsidRDefault="00733D0C" w:rsidP="00733D0C">
      <w:pPr>
        <w:pStyle w:val="xzvds"/>
      </w:pPr>
      <w:r>
        <w:rPr>
          <w:rStyle w:val="Emphasis"/>
          <w:b/>
          <w:bCs/>
        </w:rPr>
        <w:lastRenderedPageBreak/>
        <w:t>Impact on the Black Economy</w:t>
      </w:r>
    </w:p>
    <w:p w14:paraId="64491296" w14:textId="77777777" w:rsidR="00733D0C" w:rsidRDefault="00733D0C" w:rsidP="00733D0C">
      <w:pPr>
        <w:pStyle w:val="xzvds"/>
      </w:pPr>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14:paraId="625AF901" w14:textId="77777777" w:rsidR="00733D0C" w:rsidRDefault="00733D0C" w:rsidP="00733D0C">
      <w:pPr>
        <w:pStyle w:val="xzvds"/>
      </w:pPr>
      <w:r>
        <w:t xml:space="preserve">An independent 2017 study by Friedrich Schneider, </w:t>
      </w:r>
      <w:r>
        <w:rPr>
          <w:rStyle w:val="Emphasis"/>
        </w:rPr>
        <w:t>‘Restricting or Abolishing Cash: An Effective Instrument for Fighting the Shadow Economy, Crime and Terrorism”</w:t>
      </w:r>
      <w:hyperlink r:id="rId6" w:anchor="_ftn1" w:tgtFrame="_top" w:history="1">
        <w:r>
          <w:rPr>
            <w:rStyle w:val="Strong"/>
            <w:i/>
            <w:iCs/>
            <w:color w:val="0000FF"/>
            <w:u w:val="single"/>
          </w:rPr>
          <w:t>[1]</w:t>
        </w:r>
      </w:hyperlink>
      <w:r>
        <w:t xml:space="preserve"> states that:</w:t>
      </w:r>
    </w:p>
    <w:p w14:paraId="570F8682" w14:textId="77777777" w:rsidR="00733D0C" w:rsidRDefault="00733D0C" w:rsidP="00733D0C">
      <w:pPr>
        <w:pStyle w:val="xzvds"/>
      </w:pPr>
      <w:r>
        <w:rPr>
          <w:rStyle w:val="Emphasis"/>
        </w:rPr>
        <w:t xml:space="preserve">“Cash has a minor influence on the shadow economy, crime and terrorism, but potentially has a major influence on civil liberties.” </w:t>
      </w:r>
    </w:p>
    <w:p w14:paraId="09A81FB1" w14:textId="77777777" w:rsidR="00733D0C" w:rsidRDefault="00733D0C" w:rsidP="00733D0C">
      <w:pPr>
        <w:pStyle w:val="xzvds"/>
      </w:pPr>
      <w:r>
        <w:t xml:space="preserve">Moreover, Schneider notes that countries such as Sweden, still have sizeable shadow economies even though cash payments have become rare. </w:t>
      </w:r>
    </w:p>
    <w:p w14:paraId="11D48373" w14:textId="77777777" w:rsidR="00733D0C" w:rsidRDefault="00733D0C" w:rsidP="00733D0C">
      <w:pPr>
        <w:pStyle w:val="xzvds"/>
      </w:pPr>
      <w:r>
        <w:t>Finally, Schneider concludes:</w:t>
      </w:r>
    </w:p>
    <w:p w14:paraId="20C38475" w14:textId="0DEB7711" w:rsidR="00733D0C" w:rsidRDefault="00733D0C" w:rsidP="00733D0C">
      <w:pPr>
        <w:pStyle w:val="xzvds"/>
      </w:pPr>
      <w:r>
        <w:rPr>
          <w:rStyle w:val="Emphasis"/>
        </w:rPr>
        <w:t xml:space="preserve">“Cash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w:t>
      </w:r>
      <w:r w:rsidR="00B3044A">
        <w:rPr>
          <w:rStyle w:val="Emphasis"/>
        </w:rPr>
        <w:t>opinion,</w:t>
      </w:r>
      <w:r>
        <w:rPr>
          <w:rStyle w:val="Emphasis"/>
        </w:rPr>
        <w:t xml:space="preserve"> we have weak empirical evidence.”</w:t>
      </w:r>
    </w:p>
    <w:p w14:paraId="07BD4065" w14:textId="77777777" w:rsidR="00733D0C" w:rsidRDefault="00733D0C" w:rsidP="00733D0C">
      <w:pPr>
        <w:pStyle w:val="xzvds"/>
      </w:pPr>
      <w:r>
        <w:rPr>
          <w:rStyle w:val="Emphasis"/>
          <w:b/>
          <w:bCs/>
        </w:rPr>
        <w:t xml:space="preserve">Imposition of Negative Nominal Interest Rates </w:t>
      </w:r>
    </w:p>
    <w:p w14:paraId="025C058A" w14:textId="77777777" w:rsidR="00733D0C" w:rsidRDefault="00733D0C" w:rsidP="00733D0C">
      <w:pPr>
        <w:pStyle w:val="xzvds"/>
      </w:pPr>
      <w: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14:paraId="1F4D1E01" w14:textId="77777777" w:rsidR="00733D0C" w:rsidRDefault="00733D0C" w:rsidP="00733D0C">
      <w:pPr>
        <w:pStyle w:val="xzvds"/>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14:paraId="6C84DFE9" w14:textId="77777777" w:rsidR="00733D0C" w:rsidRDefault="00733D0C" w:rsidP="00733D0C">
      <w:pPr>
        <w:pStyle w:val="xzvds"/>
      </w:pPr>
      <w:r>
        <w:t xml:space="preserve">For example, the following papers and blog posts by economic authors at the International Monetary Fund (IMF) have argued that the elimination of cash from an economy would enhance the effectiveness of negative nominal interest rates: </w:t>
      </w:r>
    </w:p>
    <w:p w14:paraId="408ECC6E" w14:textId="77777777" w:rsidR="00733D0C" w:rsidRDefault="00733D0C" w:rsidP="00733D0C">
      <w:pPr>
        <w:pStyle w:val="208ie"/>
        <w:numPr>
          <w:ilvl w:val="0"/>
          <w:numId w:val="2"/>
        </w:numPr>
      </w:pPr>
      <w:r>
        <w:t xml:space="preserve">August 2018: </w:t>
      </w:r>
      <w:r>
        <w:rPr>
          <w:rStyle w:val="Emphasis"/>
        </w:rPr>
        <w:t>Monetary Policy with Negative Interest Rates: Decoupling Cash from Electronic Money</w:t>
      </w:r>
      <w:hyperlink r:id="rId7" w:anchor="_ftn2" w:tgtFrame="_top" w:history="1">
        <w:r>
          <w:rPr>
            <w:rStyle w:val="Hyperlink"/>
          </w:rPr>
          <w:t>[2]</w:t>
        </w:r>
      </w:hyperlink>
    </w:p>
    <w:p w14:paraId="41456942" w14:textId="77777777" w:rsidR="00733D0C" w:rsidRDefault="00733D0C" w:rsidP="00733D0C">
      <w:pPr>
        <w:pStyle w:val="208ie"/>
        <w:numPr>
          <w:ilvl w:val="0"/>
          <w:numId w:val="2"/>
        </w:numPr>
      </w:pPr>
      <w:r>
        <w:t xml:space="preserve">February 2019: </w:t>
      </w:r>
      <w:r>
        <w:rPr>
          <w:rStyle w:val="Emphasis"/>
        </w:rPr>
        <w:t>Cashing In: How to Make Negative Interest Rates Work</w:t>
      </w:r>
      <w:hyperlink r:id="rId8" w:anchor="_ftn3" w:tgtFrame="_top" w:history="1">
        <w:r>
          <w:rPr>
            <w:rStyle w:val="Strong"/>
            <w:i/>
            <w:iCs/>
            <w:color w:val="0000FF"/>
            <w:u w:val="single"/>
          </w:rPr>
          <w:t>[3]</w:t>
        </w:r>
      </w:hyperlink>
      <w:r>
        <w:t>; and</w:t>
      </w:r>
    </w:p>
    <w:p w14:paraId="1EE3E5E4" w14:textId="77777777" w:rsidR="00733D0C" w:rsidRDefault="00733D0C" w:rsidP="00733D0C">
      <w:pPr>
        <w:pStyle w:val="208ie"/>
        <w:numPr>
          <w:ilvl w:val="0"/>
          <w:numId w:val="2"/>
        </w:numPr>
      </w:pPr>
      <w:r>
        <w:t xml:space="preserve">April 2019: </w:t>
      </w:r>
      <w:r>
        <w:rPr>
          <w:rStyle w:val="Emphasis"/>
        </w:rPr>
        <w:t>Enabling Deep Negative Rates to Fight Recessions: A Guide</w:t>
      </w:r>
      <w:hyperlink r:id="rId9" w:anchor="_ftn4" w:tgtFrame="_top" w:history="1">
        <w:r>
          <w:rPr>
            <w:rStyle w:val="Strong"/>
            <w:i/>
            <w:iCs/>
            <w:color w:val="0000FF"/>
            <w:u w:val="single"/>
          </w:rPr>
          <w:t>[4]</w:t>
        </w:r>
      </w:hyperlink>
    </w:p>
    <w:p w14:paraId="27F7184C" w14:textId="77777777" w:rsidR="00733D0C" w:rsidRDefault="00733D0C" w:rsidP="00733D0C">
      <w:pPr>
        <w:pStyle w:val="xzvds"/>
      </w:pPr>
      <w:r>
        <w:t>Moreover, the IMF have argued that:</w:t>
      </w:r>
    </w:p>
    <w:p w14:paraId="4D6BE57D" w14:textId="77777777" w:rsidR="00733D0C" w:rsidRDefault="00733D0C" w:rsidP="00733D0C">
      <w:pPr>
        <w:pStyle w:val="208ie"/>
        <w:numPr>
          <w:ilvl w:val="0"/>
          <w:numId w:val="3"/>
        </w:numPr>
      </w:pPr>
      <w:r>
        <w:t>during an economic recession, interest rates need to be lowered between 3% - 6% in order to stabilise the economy and to allow economic growth to recover; and</w:t>
      </w:r>
    </w:p>
    <w:p w14:paraId="3F4FC9FF" w14:textId="77777777" w:rsidR="00733D0C" w:rsidRDefault="00733D0C" w:rsidP="00733D0C">
      <w:pPr>
        <w:pStyle w:val="208ie"/>
        <w:numPr>
          <w:ilvl w:val="0"/>
          <w:numId w:val="3"/>
        </w:numPr>
      </w:pPr>
      <w:r>
        <w:lastRenderedPageBreak/>
        <w:t xml:space="preserve">· given that official interest rates are already very low around the world, deep negative interest rates of approximately -4% may be required if a global economic recession or global economic shock were to eventuate. </w:t>
      </w:r>
    </w:p>
    <w:p w14:paraId="73051074" w14:textId="77777777" w:rsidR="00733D0C" w:rsidRDefault="00733D0C" w:rsidP="00733D0C">
      <w:pPr>
        <w:pStyle w:val="xzvds"/>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14:paraId="245523A9" w14:textId="77777777" w:rsidR="00733D0C" w:rsidRDefault="00733D0C" w:rsidP="00733D0C">
      <w:pPr>
        <w:pStyle w:val="xzvds"/>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14:paraId="7145C510" w14:textId="77777777" w:rsidR="00733D0C" w:rsidRDefault="00733D0C" w:rsidP="00733D0C">
      <w:pPr>
        <w:pStyle w:val="xzvds"/>
      </w:pPr>
      <w:r>
        <w:rPr>
          <w:rStyle w:val="Emphasis"/>
          <w:b/>
          <w:bCs/>
        </w:rPr>
        <w:t xml:space="preserve">Concerns with the Proposed Laws </w:t>
      </w:r>
    </w:p>
    <w:p w14:paraId="1CA5D945" w14:textId="77777777" w:rsidR="00733D0C" w:rsidRDefault="00733D0C" w:rsidP="00733D0C">
      <w:pPr>
        <w:pStyle w:val="xzvds"/>
      </w:pPr>
      <w:r>
        <w:t>I have a number of specific concerns in relation to the proposed bill and associated legislative instrument including:</w:t>
      </w:r>
    </w:p>
    <w:p w14:paraId="218CF99F" w14:textId="77777777" w:rsidR="00733D0C" w:rsidRDefault="00733D0C" w:rsidP="00733D0C">
      <w:pPr>
        <w:pStyle w:val="xzvds"/>
      </w:pPr>
      <w:r>
        <w:rPr>
          <w:rStyle w:val="Strong"/>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14:paraId="3850FC2A" w14:textId="77777777" w:rsidR="00733D0C" w:rsidRDefault="00733D0C" w:rsidP="00733D0C">
      <w:pPr>
        <w:pStyle w:val="xzvds"/>
      </w:pPr>
      <w:r>
        <w:rPr>
          <w:rStyle w:val="Strong"/>
        </w:rPr>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14:paraId="15E6A1F7" w14:textId="77777777" w:rsidR="00733D0C" w:rsidRDefault="00733D0C" w:rsidP="00733D0C">
      <w:pPr>
        <w:pStyle w:val="xzvds"/>
      </w:pPr>
      <w:r>
        <w:rPr>
          <w:rStyle w:val="Strong"/>
        </w:rPr>
        <w:t xml:space="preserve">Concern 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14:paraId="4BE037E1" w14:textId="77777777" w:rsidR="00733D0C" w:rsidRDefault="00733D0C" w:rsidP="00733D0C">
      <w:pPr>
        <w:pStyle w:val="xzvds"/>
      </w:pPr>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14:paraId="73CC8096" w14:textId="77777777" w:rsidR="00733D0C" w:rsidRDefault="00733D0C" w:rsidP="00733D0C">
      <w:pPr>
        <w:pStyle w:val="xzvds"/>
      </w:pPr>
      <w:r>
        <w:rPr>
          <w:rStyle w:val="Strong"/>
        </w:rPr>
        <w:t xml:space="preserve">Concern 4: </w:t>
      </w:r>
      <w:r>
        <w:t xml:space="preserve">The bill as drafted creates uncertainty in relation to physical gold and silver bullion. As currently drafted, the cash ban covers physical currency as defined as </w:t>
      </w:r>
      <w:r>
        <w:rPr>
          <w:rStyle w:val="Emphasis"/>
        </w:rPr>
        <w:t xml:space="preserve">Anti-Money Laundering and Counter-Terrorism Financing Act 2006. </w:t>
      </w:r>
      <w:r>
        <w:t>This definition refers to currency which is ‘legal tender’.</w:t>
      </w:r>
    </w:p>
    <w:p w14:paraId="076DF022" w14:textId="77777777" w:rsidR="00733D0C" w:rsidRDefault="00733D0C" w:rsidP="00733D0C">
      <w:pPr>
        <w:pStyle w:val="xzvds"/>
      </w:pPr>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14:paraId="1FA202B9" w14:textId="77777777" w:rsidR="00733D0C" w:rsidRDefault="00733D0C" w:rsidP="00733D0C">
      <w:pPr>
        <w:pStyle w:val="xzvds"/>
      </w:pPr>
      <w:r>
        <w:t xml:space="preserve">Would a domestic commercial transaction above $AUD 10,000 between an individual Australian and an enterprise, which involved physical gold and silver bullion not issued by the Perth Mint (for example, a physical gold or silver bullion bar or coin of 99.9% purity </w:t>
      </w:r>
      <w:r>
        <w:lastRenderedPageBreak/>
        <w:t>minted by a private commercial bullion dealership) be considered in breach of the proposed law or not?</w:t>
      </w:r>
    </w:p>
    <w:p w14:paraId="254F39CB" w14:textId="77777777" w:rsidR="00733D0C" w:rsidRDefault="00733D0C" w:rsidP="00733D0C">
      <w:pPr>
        <w:pStyle w:val="xzvds"/>
      </w:pPr>
      <w:r>
        <w:t xml:space="preserve">Unfortunately, neither the proposed bill, the </w:t>
      </w:r>
      <w:r>
        <w:rPr>
          <w:rStyle w:val="Emphasis"/>
        </w:rPr>
        <w:t xml:space="preserve">Anti-Money Laundering and Counter-Terrorism Financing Act 2006 or the Currency Act 1965 </w:t>
      </w:r>
      <w:r>
        <w:t>provides any clear guidance on this question and hence this issue needs to be clarified.</w:t>
      </w:r>
    </w:p>
    <w:p w14:paraId="6B68D844" w14:textId="77777777" w:rsidR="00733D0C" w:rsidRDefault="00733D0C" w:rsidP="00733D0C">
      <w:pPr>
        <w:pStyle w:val="xzvds"/>
      </w:pPr>
      <w:r>
        <w:rPr>
          <w:rStyle w:val="Strong"/>
        </w:rPr>
        <w:t>Concern 5:</w:t>
      </w:r>
      <w:r>
        <w:t xml:space="preserve"> It is unclear how the Commonwealth intends to enforce this proposed cash transaction ban. Prior to the introduction of the bill into Parliament, the Government needs to provide clarity as to:</w:t>
      </w:r>
    </w:p>
    <w:p w14:paraId="303D9966" w14:textId="77777777" w:rsidR="00733D0C" w:rsidRDefault="00733D0C" w:rsidP="00733D0C">
      <w:pPr>
        <w:pStyle w:val="208ie"/>
        <w:numPr>
          <w:ilvl w:val="0"/>
          <w:numId w:val="4"/>
        </w:numPr>
      </w:pPr>
      <w:r>
        <w:t>which Commonwealth institution will be charged with enforcing this law?</w:t>
      </w:r>
    </w:p>
    <w:p w14:paraId="463298B9" w14:textId="77777777" w:rsidR="00733D0C" w:rsidRDefault="00733D0C" w:rsidP="00733D0C">
      <w:pPr>
        <w:pStyle w:val="208ie"/>
        <w:numPr>
          <w:ilvl w:val="0"/>
          <w:numId w:val="4"/>
        </w:numPr>
      </w:pPr>
      <w:r>
        <w:t xml:space="preserve">what enforcement techniques will the Commonwealth be expecting to use to monitor whether prohibited cash transactions above $AUD 10,000 are not entered into? </w:t>
      </w:r>
    </w:p>
    <w:p w14:paraId="1E19D3AA" w14:textId="77777777" w:rsidR="00733D0C" w:rsidRDefault="00733D0C" w:rsidP="00733D0C">
      <w:pPr>
        <w:pStyle w:val="208ie"/>
        <w:numPr>
          <w:ilvl w:val="0"/>
          <w:numId w:val="4"/>
        </w:numPr>
      </w:pPr>
      <w:r>
        <w:t xml:space="preserve">what operational resources will the Commonwealth be spending (including the dollar amount) in enforcing the proposed law? </w:t>
      </w:r>
    </w:p>
    <w:p w14:paraId="5FD9EE28" w14:textId="77777777" w:rsidR="00733D0C" w:rsidRDefault="00733D0C" w:rsidP="00733D0C">
      <w:pPr>
        <w:pStyle w:val="xzvds"/>
      </w:pPr>
      <w:r>
        <w:rPr>
          <w:rStyle w:val="Emphasis"/>
          <w:b/>
          <w:bCs/>
        </w:rPr>
        <w:t>Conclusion</w:t>
      </w:r>
    </w:p>
    <w:p w14:paraId="469266B9" w14:textId="77777777" w:rsidR="00733D0C" w:rsidRDefault="00733D0C" w:rsidP="00733D0C">
      <w:pPr>
        <w:pStyle w:val="xzvds"/>
      </w:pPr>
      <w:r>
        <w:t xml:space="preserve">In conclusion: </w:t>
      </w:r>
    </w:p>
    <w:p w14:paraId="797B9A26" w14:textId="77777777" w:rsidR="00733D0C" w:rsidRDefault="00733D0C" w:rsidP="00733D0C">
      <w:pPr>
        <w:pStyle w:val="208ie"/>
        <w:numPr>
          <w:ilvl w:val="0"/>
          <w:numId w:val="5"/>
        </w:numPr>
      </w:pPr>
      <w:r>
        <w:t>the proposed bill and associated legislative instrument are wrong given that they are a gross abuse of Australian economic and civil rights;</w:t>
      </w:r>
    </w:p>
    <w:p w14:paraId="15D5A6EF" w14:textId="77777777" w:rsidR="00733D0C" w:rsidRDefault="00733D0C" w:rsidP="00733D0C">
      <w:pPr>
        <w:pStyle w:val="208ie"/>
        <w:numPr>
          <w:ilvl w:val="0"/>
          <w:numId w:val="5"/>
        </w:numPr>
      </w:pPr>
      <w:r>
        <w:t>the Commonwealth and the Black Economy Taskforce have failed to establish robust empirical evidence that the proposed cash transaction ban will have any material impact on diminishing the so</w:t>
      </w:r>
      <w:r>
        <w:noBreakHyphen/>
        <w:t>called black economy;</w:t>
      </w:r>
    </w:p>
    <w:p w14:paraId="4071CD81" w14:textId="77777777" w:rsidR="00733D0C" w:rsidRDefault="00733D0C" w:rsidP="00733D0C">
      <w:pPr>
        <w:pStyle w:val="208ie"/>
        <w:numPr>
          <w:ilvl w:val="0"/>
          <w:numId w:val="5"/>
        </w:numPr>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14:paraId="68E5ADEB" w14:textId="77777777" w:rsidR="00733D0C" w:rsidRDefault="00733D0C" w:rsidP="00733D0C">
      <w:pPr>
        <w:pStyle w:val="208ie"/>
        <w:numPr>
          <w:ilvl w:val="0"/>
          <w:numId w:val="5"/>
        </w:numPr>
      </w:pPr>
      <w:r>
        <w:t>there are several legitimate concerns with the proposed bill and associated legislative instrument that need to be rectified before the proposed bill is introduced into Parliament by the Government.</w:t>
      </w:r>
    </w:p>
    <w:p w14:paraId="4E4E0B54" w14:textId="77777777" w:rsidR="00733D0C" w:rsidRDefault="00733D0C" w:rsidP="00733D0C">
      <w:pPr>
        <w:pStyle w:val="xzvds"/>
      </w:pPr>
      <w:r>
        <w:t>Yours Sincerely,</w:t>
      </w:r>
    </w:p>
    <w:p w14:paraId="23157221" w14:textId="77777777" w:rsidR="000105D1" w:rsidRDefault="000105D1"/>
    <w:p w14:paraId="08C822F3" w14:textId="77777777" w:rsidR="00733D0C" w:rsidRDefault="00733D0C">
      <w:pPr>
        <w:rPr>
          <w:sz w:val="24"/>
          <w:szCs w:val="24"/>
        </w:rPr>
      </w:pPr>
      <w:r w:rsidRPr="00733D0C">
        <w:rPr>
          <w:sz w:val="24"/>
          <w:szCs w:val="24"/>
        </w:rPr>
        <w:t>Darren Lierkamp</w:t>
      </w:r>
    </w:p>
    <w:p w14:paraId="00F17848" w14:textId="77777777" w:rsidR="00607917" w:rsidRDefault="00607917">
      <w:pPr>
        <w:rPr>
          <w:sz w:val="24"/>
          <w:szCs w:val="24"/>
        </w:rPr>
      </w:pPr>
      <w:r>
        <w:rPr>
          <w:sz w:val="24"/>
          <w:szCs w:val="24"/>
        </w:rPr>
        <w:t>105 Gregory Street, Bowen, QLD 4805</w:t>
      </w:r>
    </w:p>
    <w:p w14:paraId="4AA017E1" w14:textId="77777777" w:rsidR="00607917" w:rsidRPr="00733D0C" w:rsidRDefault="00607917">
      <w:pPr>
        <w:rPr>
          <w:sz w:val="24"/>
          <w:szCs w:val="24"/>
        </w:rPr>
      </w:pPr>
      <w:r>
        <w:rPr>
          <w:sz w:val="24"/>
          <w:szCs w:val="24"/>
        </w:rPr>
        <w:t>Email: dlierkamp@hotmail.com</w:t>
      </w:r>
    </w:p>
    <w:p w14:paraId="7AC0F5A4" w14:textId="77777777" w:rsidR="00733D0C" w:rsidRDefault="00733D0C"/>
    <w:p w14:paraId="579C9740" w14:textId="77777777" w:rsidR="00733D0C" w:rsidRPr="00733D0C" w:rsidRDefault="00B3044A" w:rsidP="00733D0C">
      <w:pPr>
        <w:spacing w:before="100" w:beforeAutospacing="1" w:after="100" w:afterAutospacing="1" w:line="240" w:lineRule="auto"/>
        <w:rPr>
          <w:rFonts w:ascii="Times New Roman" w:eastAsia="Times New Roman" w:hAnsi="Times New Roman" w:cs="Times New Roman"/>
          <w:sz w:val="24"/>
          <w:szCs w:val="24"/>
          <w:lang w:eastAsia="en-AU"/>
        </w:rPr>
      </w:pPr>
      <w:hyperlink r:id="rId10" w:anchor="_ftnref1" w:tgtFrame="_top" w:history="1">
        <w:r w:rsidR="00733D0C" w:rsidRPr="00733D0C">
          <w:rPr>
            <w:rFonts w:ascii="Times New Roman" w:eastAsia="Times New Roman" w:hAnsi="Times New Roman" w:cs="Times New Roman"/>
            <w:color w:val="0000FF"/>
            <w:sz w:val="24"/>
            <w:szCs w:val="24"/>
            <w:u w:val="single"/>
            <w:lang w:eastAsia="en-AU"/>
          </w:rPr>
          <w:t>[1]</w:t>
        </w:r>
      </w:hyperlink>
      <w:r w:rsidR="00733D0C" w:rsidRPr="00733D0C">
        <w:rPr>
          <w:rFonts w:ascii="Times New Roman" w:eastAsia="Times New Roman" w:hAnsi="Times New Roman" w:cs="Times New Roman"/>
          <w:sz w:val="24"/>
          <w:szCs w:val="24"/>
          <w:lang w:eastAsia="en-AU"/>
        </w:rPr>
        <w:t xml:space="preserve"> </w:t>
      </w:r>
      <w:hyperlink r:id="rId11" w:tgtFrame="_top" w:history="1">
        <w:r w:rsidR="00733D0C" w:rsidRPr="00733D0C">
          <w:rPr>
            <w:rFonts w:ascii="Times New Roman" w:eastAsia="Times New Roman" w:hAnsi="Times New Roman" w:cs="Times New Roman"/>
            <w:color w:val="0000FF"/>
            <w:sz w:val="24"/>
            <w:szCs w:val="24"/>
            <w:u w:val="single"/>
            <w:lang w:eastAsia="en-AU"/>
          </w:rPr>
          <w:t>http://www.econ.jku.at/papers/2017/wp1708.pdf</w:t>
        </w:r>
      </w:hyperlink>
      <w:r w:rsidR="00733D0C" w:rsidRPr="00733D0C">
        <w:rPr>
          <w:rFonts w:ascii="Times New Roman" w:eastAsia="Times New Roman" w:hAnsi="Times New Roman" w:cs="Times New Roman"/>
          <w:sz w:val="24"/>
          <w:szCs w:val="24"/>
          <w:lang w:eastAsia="en-AU"/>
        </w:rPr>
        <w:t xml:space="preserve"> </w:t>
      </w:r>
    </w:p>
    <w:p w14:paraId="2D636A10" w14:textId="77777777" w:rsidR="00733D0C" w:rsidRPr="00733D0C" w:rsidRDefault="00B3044A" w:rsidP="00733D0C">
      <w:pPr>
        <w:spacing w:before="100" w:beforeAutospacing="1" w:after="100" w:afterAutospacing="1" w:line="240" w:lineRule="auto"/>
        <w:rPr>
          <w:rFonts w:ascii="Times New Roman" w:eastAsia="Times New Roman" w:hAnsi="Times New Roman" w:cs="Times New Roman"/>
          <w:sz w:val="24"/>
          <w:szCs w:val="24"/>
          <w:lang w:eastAsia="en-AU"/>
        </w:rPr>
      </w:pPr>
      <w:hyperlink r:id="rId12" w:anchor="_ftnref2" w:tgtFrame="_top" w:history="1">
        <w:r w:rsidR="00733D0C" w:rsidRPr="00733D0C">
          <w:rPr>
            <w:rFonts w:ascii="Times New Roman" w:eastAsia="Times New Roman" w:hAnsi="Times New Roman" w:cs="Times New Roman"/>
            <w:color w:val="0000FF"/>
            <w:sz w:val="24"/>
            <w:szCs w:val="24"/>
            <w:u w:val="single"/>
            <w:lang w:eastAsia="en-AU"/>
          </w:rPr>
          <w:t>[2]</w:t>
        </w:r>
      </w:hyperlink>
      <w:r w:rsidR="00733D0C" w:rsidRPr="00733D0C">
        <w:rPr>
          <w:rFonts w:ascii="Times New Roman" w:eastAsia="Times New Roman" w:hAnsi="Times New Roman" w:cs="Times New Roman"/>
          <w:sz w:val="24"/>
          <w:szCs w:val="24"/>
          <w:lang w:eastAsia="en-AU"/>
        </w:rPr>
        <w:t xml:space="preserve"> </w:t>
      </w:r>
      <w:hyperlink r:id="rId13" w:tgtFrame="_top" w:history="1">
        <w:r w:rsidR="00733D0C" w:rsidRPr="00733D0C">
          <w:rPr>
            <w:rFonts w:ascii="Times New Roman" w:eastAsia="Times New Roman" w:hAnsi="Times New Roman" w:cs="Times New Roman"/>
            <w:color w:val="0000FF"/>
            <w:sz w:val="24"/>
            <w:szCs w:val="24"/>
            <w:u w:val="single"/>
            <w:lang w:eastAsia="en-AU"/>
          </w:rPr>
          <w:t>https://www.imf.org/en/Publications/WP/Issues/2018/08/27/Monetary-Policy-with-Negative-Interest-Rates-Decoupling-Cash-from-Electronic-Money-46076</w:t>
        </w:r>
      </w:hyperlink>
      <w:r w:rsidR="00733D0C" w:rsidRPr="00733D0C">
        <w:rPr>
          <w:rFonts w:ascii="Times New Roman" w:eastAsia="Times New Roman" w:hAnsi="Times New Roman" w:cs="Times New Roman"/>
          <w:sz w:val="24"/>
          <w:szCs w:val="24"/>
          <w:lang w:eastAsia="en-AU"/>
        </w:rPr>
        <w:t xml:space="preserve"> </w:t>
      </w:r>
    </w:p>
    <w:p w14:paraId="59E8AC4C" w14:textId="77777777" w:rsidR="00733D0C" w:rsidRPr="00733D0C" w:rsidRDefault="00B3044A" w:rsidP="00733D0C">
      <w:pPr>
        <w:spacing w:before="100" w:beforeAutospacing="1" w:after="100" w:afterAutospacing="1" w:line="240" w:lineRule="auto"/>
        <w:rPr>
          <w:rFonts w:ascii="Times New Roman" w:eastAsia="Times New Roman" w:hAnsi="Times New Roman" w:cs="Times New Roman"/>
          <w:sz w:val="24"/>
          <w:szCs w:val="24"/>
          <w:lang w:eastAsia="en-AU"/>
        </w:rPr>
      </w:pPr>
      <w:hyperlink r:id="rId14" w:anchor="_ftnref3" w:tgtFrame="_top" w:history="1">
        <w:r w:rsidR="00733D0C" w:rsidRPr="00733D0C">
          <w:rPr>
            <w:rFonts w:ascii="Times New Roman" w:eastAsia="Times New Roman" w:hAnsi="Times New Roman" w:cs="Times New Roman"/>
            <w:color w:val="0000FF"/>
            <w:sz w:val="24"/>
            <w:szCs w:val="24"/>
            <w:u w:val="single"/>
            <w:lang w:eastAsia="en-AU"/>
          </w:rPr>
          <w:t>[3]</w:t>
        </w:r>
      </w:hyperlink>
      <w:r w:rsidR="00733D0C" w:rsidRPr="00733D0C">
        <w:rPr>
          <w:rFonts w:ascii="Times New Roman" w:eastAsia="Times New Roman" w:hAnsi="Times New Roman" w:cs="Times New Roman"/>
          <w:sz w:val="24"/>
          <w:szCs w:val="24"/>
          <w:lang w:eastAsia="en-AU"/>
        </w:rPr>
        <w:t xml:space="preserve"> </w:t>
      </w:r>
      <w:hyperlink r:id="rId15" w:tgtFrame="_top" w:history="1">
        <w:r w:rsidR="00733D0C" w:rsidRPr="00733D0C">
          <w:rPr>
            <w:rFonts w:ascii="Times New Roman" w:eastAsia="Times New Roman" w:hAnsi="Times New Roman" w:cs="Times New Roman"/>
            <w:color w:val="0000FF"/>
            <w:sz w:val="24"/>
            <w:szCs w:val="24"/>
            <w:u w:val="single"/>
            <w:lang w:eastAsia="en-AU"/>
          </w:rPr>
          <w:t>https://blogs.imf.org/2019/02/05/cashing-in-how-to-make-negative-interest-rates-work/</w:t>
        </w:r>
      </w:hyperlink>
      <w:r w:rsidR="00733D0C" w:rsidRPr="00733D0C">
        <w:rPr>
          <w:rFonts w:ascii="Times New Roman" w:eastAsia="Times New Roman" w:hAnsi="Times New Roman" w:cs="Times New Roman"/>
          <w:sz w:val="24"/>
          <w:szCs w:val="24"/>
          <w:lang w:eastAsia="en-AU"/>
        </w:rPr>
        <w:t xml:space="preserve"> </w:t>
      </w:r>
    </w:p>
    <w:p w14:paraId="4E26BA32" w14:textId="77777777" w:rsidR="00733D0C" w:rsidRPr="00733D0C" w:rsidRDefault="00B3044A" w:rsidP="00733D0C">
      <w:pPr>
        <w:spacing w:before="100" w:beforeAutospacing="1" w:after="100" w:afterAutospacing="1" w:line="240" w:lineRule="auto"/>
        <w:rPr>
          <w:rFonts w:ascii="Times New Roman" w:eastAsia="Times New Roman" w:hAnsi="Times New Roman" w:cs="Times New Roman"/>
          <w:sz w:val="24"/>
          <w:szCs w:val="24"/>
          <w:lang w:eastAsia="en-AU"/>
        </w:rPr>
      </w:pPr>
      <w:hyperlink r:id="rId16" w:anchor="_ftnref4" w:tgtFrame="_top" w:history="1">
        <w:r w:rsidR="00733D0C" w:rsidRPr="00733D0C">
          <w:rPr>
            <w:rFonts w:ascii="Times New Roman" w:eastAsia="Times New Roman" w:hAnsi="Times New Roman" w:cs="Times New Roman"/>
            <w:color w:val="0000FF"/>
            <w:sz w:val="24"/>
            <w:szCs w:val="24"/>
            <w:u w:val="single"/>
            <w:lang w:eastAsia="en-AU"/>
          </w:rPr>
          <w:t>[4]</w:t>
        </w:r>
      </w:hyperlink>
      <w:r w:rsidR="00733D0C" w:rsidRPr="00733D0C">
        <w:rPr>
          <w:rFonts w:ascii="Times New Roman" w:eastAsia="Times New Roman" w:hAnsi="Times New Roman" w:cs="Times New Roman"/>
          <w:sz w:val="24"/>
          <w:szCs w:val="24"/>
          <w:lang w:eastAsia="en-AU"/>
        </w:rPr>
        <w:t xml:space="preserve"> </w:t>
      </w:r>
      <w:hyperlink r:id="rId17" w:tgtFrame="_top" w:history="1">
        <w:r w:rsidR="00733D0C" w:rsidRPr="00733D0C">
          <w:rPr>
            <w:rFonts w:ascii="Times New Roman" w:eastAsia="Times New Roman" w:hAnsi="Times New Roman" w:cs="Times New Roman"/>
            <w:color w:val="0000FF"/>
            <w:sz w:val="24"/>
            <w:szCs w:val="24"/>
            <w:u w:val="single"/>
            <w:lang w:eastAsia="en-AU"/>
          </w:rPr>
          <w:t>https://www.imf.org/en/Publications/WP/Issues/2019/04/29/Enabling-Deep-Negative-Rates-A-Guide-46598</w:t>
        </w:r>
      </w:hyperlink>
      <w:r w:rsidR="00733D0C" w:rsidRPr="00733D0C">
        <w:rPr>
          <w:rFonts w:ascii="Times New Roman" w:eastAsia="Times New Roman" w:hAnsi="Times New Roman" w:cs="Times New Roman"/>
          <w:sz w:val="24"/>
          <w:szCs w:val="24"/>
          <w:lang w:eastAsia="en-AU"/>
        </w:rPr>
        <w:t xml:space="preserve"> </w:t>
      </w:r>
    </w:p>
    <w:p w14:paraId="3EC20128" w14:textId="77777777" w:rsidR="00733D0C" w:rsidRDefault="00733D0C"/>
    <w:sectPr w:rsidR="00733D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701D3"/>
    <w:multiLevelType w:val="multilevel"/>
    <w:tmpl w:val="4964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216B04"/>
    <w:multiLevelType w:val="multilevel"/>
    <w:tmpl w:val="6F42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9D7EF5"/>
    <w:multiLevelType w:val="hybridMultilevel"/>
    <w:tmpl w:val="8E525B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2F90C6F"/>
    <w:multiLevelType w:val="multilevel"/>
    <w:tmpl w:val="4488A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195498"/>
    <w:multiLevelType w:val="hybridMultilevel"/>
    <w:tmpl w:val="ACDCF356"/>
    <w:lvl w:ilvl="0" w:tplc="5AF292F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1CC3826"/>
    <w:multiLevelType w:val="multilevel"/>
    <w:tmpl w:val="752CB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FB1245"/>
    <w:multiLevelType w:val="hybridMultilevel"/>
    <w:tmpl w:val="1FFA297E"/>
    <w:lvl w:ilvl="0" w:tplc="5AF292F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9AB79DF"/>
    <w:multiLevelType w:val="multilevel"/>
    <w:tmpl w:val="86D4F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7"/>
  </w:num>
  <w:num w:numId="4">
    <w:abstractNumId w:val="0"/>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D0C"/>
    <w:rsid w:val="000105D1"/>
    <w:rsid w:val="001562BA"/>
    <w:rsid w:val="001F74A2"/>
    <w:rsid w:val="00607917"/>
    <w:rsid w:val="00733D0C"/>
    <w:rsid w:val="00B304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D4DF"/>
  <w15:chartTrackingRefBased/>
  <w15:docId w15:val="{32188F33-6814-4A7A-BB71-6F13B7CE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733D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733D0C"/>
    <w:rPr>
      <w:b/>
      <w:bCs/>
    </w:rPr>
  </w:style>
  <w:style w:type="character" w:styleId="Emphasis">
    <w:name w:val="Emphasis"/>
    <w:basedOn w:val="DefaultParagraphFont"/>
    <w:uiPriority w:val="20"/>
    <w:qFormat/>
    <w:rsid w:val="00733D0C"/>
    <w:rPr>
      <w:i/>
      <w:iCs/>
    </w:rPr>
  </w:style>
  <w:style w:type="paragraph" w:customStyle="1" w:styleId="208ie">
    <w:name w:val="_208ie"/>
    <w:basedOn w:val="Normal"/>
    <w:rsid w:val="00733D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733D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70492">
      <w:bodyDiv w:val="1"/>
      <w:marLeft w:val="0"/>
      <w:marRight w:val="0"/>
      <w:marTop w:val="0"/>
      <w:marBottom w:val="0"/>
      <w:divBdr>
        <w:top w:val="none" w:sz="0" w:space="0" w:color="auto"/>
        <w:left w:val="none" w:sz="0" w:space="0" w:color="auto"/>
        <w:bottom w:val="none" w:sz="0" w:space="0" w:color="auto"/>
        <w:right w:val="none" w:sz="0" w:space="0" w:color="auto"/>
      </w:divBdr>
    </w:div>
    <w:div w:id="1732539422">
      <w:bodyDiv w:val="1"/>
      <w:marLeft w:val="0"/>
      <w:marRight w:val="0"/>
      <w:marTop w:val="0"/>
      <w:marBottom w:val="0"/>
      <w:divBdr>
        <w:top w:val="none" w:sz="0" w:space="0" w:color="auto"/>
        <w:left w:val="none" w:sz="0" w:space="0" w:color="auto"/>
        <w:bottom w:val="none" w:sz="0" w:space="0" w:color="auto"/>
        <w:right w:val="none" w:sz="0" w:space="0" w:color="auto"/>
      </w:divBdr>
    </w:div>
    <w:div w:id="173488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www.imf.org/en/Publications/WP/Issues/2018/08/27/Monetary-Policy-with-Negative-Interest-Rates-Decoupling-Cash-from-Electronic-Money-4607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wix.com/dashboard/8a5d3d09-2234-4183-8400-4777ea9ec70c/blog/create-post" TargetMode="External"/><Relationship Id="rId17" Type="http://schemas.openxmlformats.org/officeDocument/2006/relationships/hyperlink" Target="https://www.imf.org/en/Publications/WP/Issues/2019/04/29/Enabling-Deep-Negative-Rates-A-Guide-46598" TargetMode="External"/><Relationship Id="rId2" Type="http://schemas.openxmlformats.org/officeDocument/2006/relationships/numbering" Target="numbering.xml"/><Relationship Id="rId16" Type="http://schemas.openxmlformats.org/officeDocument/2006/relationships/hyperlink" Target="https://www.wix.com/dashboard/8a5d3d09-2234-4183-8400-4777ea9ec70c/blog/create-post" TargetMode="External"/><Relationship Id="rId1" Type="http://schemas.openxmlformats.org/officeDocument/2006/relationships/customXml" Target="../customXml/item1.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www.econ.jku.at/papers/2017/wp1708.pdf" TargetMode="External"/><Relationship Id="rId5" Type="http://schemas.openxmlformats.org/officeDocument/2006/relationships/webSettings" Target="webSettings.xml"/><Relationship Id="rId15" Type="http://schemas.openxmlformats.org/officeDocument/2006/relationships/hyperlink" Target="https://blogs.imf.org/2019/02/05/cashing-in-how-to-make-negative-interest-rates-work/" TargetMode="External"/><Relationship Id="rId10" Type="http://schemas.openxmlformats.org/officeDocument/2006/relationships/hyperlink" Target="https://www.wix.com/dashboard/8a5d3d09-2234-4183-8400-4777ea9ec70c/blog/create-pos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x.com/dashboard/8a5d3d09-2234-4183-8400-4777ea9ec70c/blog/create-post" TargetMode="External"/><Relationship Id="rId14"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869D1-F09F-432B-9236-55DA080B3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1686</Words>
  <Characters>9614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Lierkamp</dc:creator>
  <cp:keywords/>
  <dc:description/>
  <cp:lastModifiedBy>Darren Lierkamp</cp:lastModifiedBy>
  <cp:revision>4</cp:revision>
  <dcterms:created xsi:type="dcterms:W3CDTF">2019-08-09T23:35:00Z</dcterms:created>
  <dcterms:modified xsi:type="dcterms:W3CDTF">2019-08-10T00:08:00Z</dcterms:modified>
</cp:coreProperties>
</file>