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C80AB0" w14:textId="3AC0EB3C" w:rsidR="003C5E4A" w:rsidRDefault="003C5E4A" w:rsidP="003C5E4A">
      <w:pPr>
        <w:spacing w:after="0"/>
        <w:jc w:val="both"/>
        <w:rPr>
          <w:rFonts w:cstheme="minorHAnsi"/>
          <w:b/>
        </w:rPr>
      </w:pPr>
      <w:r>
        <w:rPr>
          <w:rFonts w:cstheme="minorHAnsi"/>
          <w:b/>
        </w:rPr>
        <w:t>The Kewley Family</w:t>
      </w:r>
    </w:p>
    <w:p w14:paraId="54AE3460" w14:textId="3A1C364B" w:rsidR="003C5E4A" w:rsidRDefault="003C5E4A" w:rsidP="00AF663D">
      <w:pPr>
        <w:jc w:val="both"/>
        <w:rPr>
          <w:rFonts w:cstheme="minorHAnsi"/>
          <w:b/>
        </w:rPr>
      </w:pPr>
      <w:r>
        <w:rPr>
          <w:rFonts w:cstheme="minorHAnsi"/>
          <w:b/>
        </w:rPr>
        <w:t xml:space="preserve">Email: </w:t>
      </w:r>
      <w:hyperlink r:id="rId11" w:history="1">
        <w:r w:rsidRPr="0010346E">
          <w:rPr>
            <w:rStyle w:val="Hyperlink"/>
            <w:rFonts w:cstheme="minorHAnsi"/>
            <w:b/>
          </w:rPr>
          <w:t>kewlfam@internode.on.net</w:t>
        </w:r>
      </w:hyperlink>
    </w:p>
    <w:p w14:paraId="3FE52A60" w14:textId="54CABA2F" w:rsidR="006B54EC" w:rsidRDefault="003C3C7D" w:rsidP="003C5E4A">
      <w:pPr>
        <w:spacing w:before="240"/>
        <w:jc w:val="both"/>
        <w:rPr>
          <w:rFonts w:cstheme="minorHAnsi"/>
          <w:b/>
        </w:rPr>
      </w:pPr>
      <w:r>
        <w:rPr>
          <w:rFonts w:cstheme="minorHAnsi"/>
          <w:b/>
        </w:rPr>
        <w:t>11</w:t>
      </w:r>
      <w:r w:rsidR="003C5E4A">
        <w:rPr>
          <w:rFonts w:cstheme="minorHAnsi"/>
          <w:b/>
        </w:rPr>
        <w:t xml:space="preserve"> August 2019</w:t>
      </w:r>
    </w:p>
    <w:p w14:paraId="1FE76046" w14:textId="6786E333" w:rsidR="00F06C41" w:rsidRDefault="003C5E4A" w:rsidP="003C5E4A">
      <w:pPr>
        <w:spacing w:before="240" w:after="0"/>
        <w:jc w:val="both"/>
        <w:rPr>
          <w:rFonts w:cstheme="minorHAnsi"/>
          <w:b/>
        </w:rPr>
      </w:pPr>
      <w:r>
        <w:rPr>
          <w:rFonts w:cstheme="minorHAnsi"/>
          <w:b/>
        </w:rPr>
        <w:t>The Manager</w:t>
      </w:r>
    </w:p>
    <w:p w14:paraId="2BD1A26D" w14:textId="3D553C14" w:rsidR="00573E2D" w:rsidRDefault="003C5E4A" w:rsidP="00AF663D">
      <w:pPr>
        <w:spacing w:after="0"/>
        <w:jc w:val="both"/>
        <w:rPr>
          <w:rFonts w:cstheme="minorHAnsi"/>
          <w:b/>
        </w:rPr>
      </w:pPr>
      <w:r>
        <w:rPr>
          <w:rFonts w:cstheme="minorHAnsi"/>
          <w:b/>
        </w:rPr>
        <w:t>Black Economy</w:t>
      </w:r>
      <w:r w:rsidR="006B54EC">
        <w:rPr>
          <w:rFonts w:cstheme="minorHAnsi"/>
          <w:b/>
        </w:rPr>
        <w:t xml:space="preserve"> Division</w:t>
      </w:r>
    </w:p>
    <w:p w14:paraId="2A755298" w14:textId="7F70492B" w:rsidR="008543F9" w:rsidRDefault="006B54EC" w:rsidP="00AF663D">
      <w:pPr>
        <w:spacing w:after="0"/>
        <w:jc w:val="both"/>
        <w:rPr>
          <w:rFonts w:cstheme="minorHAnsi"/>
          <w:b/>
        </w:rPr>
      </w:pPr>
      <w:r>
        <w:rPr>
          <w:rFonts w:cstheme="minorHAnsi"/>
          <w:b/>
        </w:rPr>
        <w:t>The Treasury</w:t>
      </w:r>
    </w:p>
    <w:p w14:paraId="38AECF22" w14:textId="77777777" w:rsidR="009C054E" w:rsidRDefault="003C5E4A" w:rsidP="00AF663D">
      <w:pPr>
        <w:spacing w:after="0"/>
        <w:jc w:val="both"/>
        <w:rPr>
          <w:rFonts w:cstheme="minorHAnsi"/>
          <w:b/>
        </w:rPr>
      </w:pPr>
      <w:r>
        <w:rPr>
          <w:rFonts w:cstheme="minorHAnsi"/>
          <w:b/>
        </w:rPr>
        <w:t>Langton Crescent,</w:t>
      </w:r>
      <w:r w:rsidR="007B5FCA">
        <w:rPr>
          <w:rFonts w:cstheme="minorHAnsi"/>
          <w:b/>
        </w:rPr>
        <w:t xml:space="preserve"> </w:t>
      </w:r>
    </w:p>
    <w:p w14:paraId="131752F9" w14:textId="254D1515" w:rsidR="008543F9" w:rsidRDefault="006B54EC" w:rsidP="00AF663D">
      <w:pPr>
        <w:spacing w:after="0"/>
        <w:jc w:val="both"/>
        <w:rPr>
          <w:rFonts w:cstheme="minorHAnsi"/>
          <w:b/>
        </w:rPr>
      </w:pPr>
      <w:r>
        <w:rPr>
          <w:rFonts w:cstheme="minorHAnsi"/>
          <w:b/>
        </w:rPr>
        <w:t>PARKES</w:t>
      </w:r>
      <w:r w:rsidR="008543F9">
        <w:rPr>
          <w:rFonts w:cstheme="minorHAnsi"/>
          <w:b/>
        </w:rPr>
        <w:t xml:space="preserve"> ACT 2600</w:t>
      </w:r>
    </w:p>
    <w:p w14:paraId="5953EFED" w14:textId="77777777" w:rsidR="008543F9" w:rsidRDefault="008543F9" w:rsidP="00AF663D">
      <w:pPr>
        <w:spacing w:after="0"/>
        <w:jc w:val="both"/>
        <w:rPr>
          <w:rFonts w:cstheme="minorHAnsi"/>
          <w:b/>
        </w:rPr>
      </w:pPr>
    </w:p>
    <w:p w14:paraId="2FFEE2FD" w14:textId="63FA1324" w:rsidR="006B54EC" w:rsidRDefault="006B54EC" w:rsidP="00AF663D">
      <w:pPr>
        <w:jc w:val="both"/>
        <w:rPr>
          <w:rFonts w:cstheme="minorHAnsi"/>
          <w:b/>
        </w:rPr>
      </w:pPr>
      <w:r>
        <w:rPr>
          <w:rFonts w:cstheme="minorHAnsi"/>
          <w:b/>
        </w:rPr>
        <w:t xml:space="preserve">Dear </w:t>
      </w:r>
      <w:r w:rsidR="003C5E4A">
        <w:rPr>
          <w:rFonts w:cstheme="minorHAnsi"/>
          <w:b/>
        </w:rPr>
        <w:t>Manager,</w:t>
      </w:r>
    </w:p>
    <w:p w14:paraId="68EDA261" w14:textId="1A61FCE9" w:rsidR="006B54EC" w:rsidRDefault="003C5E4A" w:rsidP="00AF663D">
      <w:pPr>
        <w:jc w:val="both"/>
        <w:rPr>
          <w:rFonts w:cstheme="minorHAnsi"/>
          <w:b/>
        </w:rPr>
      </w:pPr>
      <w:r>
        <w:rPr>
          <w:rFonts w:cstheme="minorHAnsi"/>
          <w:b/>
        </w:rPr>
        <w:t>RE: Currency (Restrictions on the Use of Cash) Bill 2019</w:t>
      </w:r>
    </w:p>
    <w:p w14:paraId="19860C0C" w14:textId="5570A30B" w:rsidR="00E20A19" w:rsidRDefault="006B54EC" w:rsidP="00AD3074">
      <w:pPr>
        <w:jc w:val="both"/>
        <w:rPr>
          <w:rFonts w:cstheme="minorHAnsi"/>
        </w:rPr>
      </w:pPr>
      <w:r>
        <w:rPr>
          <w:rFonts w:cstheme="minorHAnsi"/>
        </w:rPr>
        <w:t xml:space="preserve">This submission is made </w:t>
      </w:r>
      <w:r w:rsidR="00947E6F">
        <w:rPr>
          <w:rFonts w:cstheme="minorHAnsi"/>
        </w:rPr>
        <w:t>by the below signed members of the Kewley Family.</w:t>
      </w:r>
      <w:r w:rsidR="00E20A19">
        <w:rPr>
          <w:rFonts w:cstheme="minorHAnsi"/>
        </w:rPr>
        <w:t xml:space="preserve"> </w:t>
      </w:r>
      <w:r w:rsidR="00947E6F" w:rsidRPr="00AD3074">
        <w:rPr>
          <w:rFonts w:cstheme="minorHAnsi"/>
        </w:rPr>
        <w:t xml:space="preserve">We </w:t>
      </w:r>
      <w:r w:rsidR="00E20A19">
        <w:rPr>
          <w:rFonts w:cstheme="minorHAnsi"/>
        </w:rPr>
        <w:t>write to</w:t>
      </w:r>
      <w:r w:rsidR="00947E6F" w:rsidRPr="00AD3074">
        <w:rPr>
          <w:rFonts w:cstheme="minorHAnsi"/>
        </w:rPr>
        <w:t xml:space="preserve"> express our </w:t>
      </w:r>
      <w:r w:rsidR="00E20A19">
        <w:rPr>
          <w:rFonts w:cstheme="minorHAnsi"/>
        </w:rPr>
        <w:t>strong opposition to the following:</w:t>
      </w:r>
    </w:p>
    <w:p w14:paraId="10099D01" w14:textId="77777777" w:rsidR="00E20A19" w:rsidRPr="00E20A19" w:rsidRDefault="00E20A19" w:rsidP="00E20A19">
      <w:pPr>
        <w:pStyle w:val="ListParagraph"/>
        <w:numPr>
          <w:ilvl w:val="0"/>
          <w:numId w:val="41"/>
        </w:numPr>
        <w:jc w:val="both"/>
        <w:rPr>
          <w:rFonts w:cstheme="minorHAnsi"/>
        </w:rPr>
      </w:pPr>
      <w:r w:rsidRPr="00E20A19">
        <w:rPr>
          <w:rFonts w:cstheme="minorHAnsi"/>
        </w:rPr>
        <w:t>Currency (Restrictions on the Use of Cash) Bill 2019;</w:t>
      </w:r>
    </w:p>
    <w:p w14:paraId="10766003" w14:textId="7C4A9615" w:rsidR="00E20A19" w:rsidRPr="00E20A19" w:rsidRDefault="00E20A19" w:rsidP="00E20A19">
      <w:pPr>
        <w:pStyle w:val="ListParagraph"/>
        <w:numPr>
          <w:ilvl w:val="0"/>
          <w:numId w:val="41"/>
        </w:numPr>
        <w:jc w:val="both"/>
        <w:rPr>
          <w:rFonts w:cstheme="minorHAnsi"/>
        </w:rPr>
      </w:pPr>
      <w:r w:rsidRPr="00E20A19">
        <w:rPr>
          <w:rFonts w:cstheme="minorHAnsi"/>
        </w:rPr>
        <w:t>Currency (Restrictions on the Use of Cash – Expected Transactions) Instrument 2019;</w:t>
      </w:r>
    </w:p>
    <w:p w14:paraId="239B0EDB" w14:textId="6FA93B7D" w:rsidR="00E20A19" w:rsidRPr="00E20A19" w:rsidRDefault="00E20A19" w:rsidP="00E20A19">
      <w:pPr>
        <w:pStyle w:val="ListParagraph"/>
        <w:numPr>
          <w:ilvl w:val="0"/>
          <w:numId w:val="41"/>
        </w:numPr>
        <w:jc w:val="both"/>
        <w:rPr>
          <w:rFonts w:cstheme="minorHAnsi"/>
        </w:rPr>
      </w:pPr>
      <w:r w:rsidRPr="00E20A19">
        <w:rPr>
          <w:rFonts w:cstheme="minorHAnsi"/>
        </w:rPr>
        <w:t>Currency (Restrictions on the Use of Cash) (Consequential Amendments and Transitional Provisions) Bill 2019.</w:t>
      </w:r>
    </w:p>
    <w:p w14:paraId="0683858C" w14:textId="025ABE13" w:rsidR="00947E6F" w:rsidRPr="00AD3074" w:rsidRDefault="00E20A19" w:rsidP="00AD3074">
      <w:pPr>
        <w:jc w:val="both"/>
        <w:rPr>
          <w:rFonts w:cstheme="minorHAnsi"/>
        </w:rPr>
      </w:pPr>
      <w:r>
        <w:rPr>
          <w:rFonts w:cstheme="minorHAnsi"/>
        </w:rPr>
        <w:t xml:space="preserve">We also wish to express </w:t>
      </w:r>
      <w:r w:rsidR="00947E6F" w:rsidRPr="00AD3074">
        <w:rPr>
          <w:rFonts w:cstheme="minorHAnsi"/>
        </w:rPr>
        <w:t>o</w:t>
      </w:r>
      <w:r>
        <w:rPr>
          <w:rFonts w:cstheme="minorHAnsi"/>
        </w:rPr>
        <w:t>ur disappointment in the way the</w:t>
      </w:r>
      <w:r w:rsidR="00947E6F" w:rsidRPr="00AD3074">
        <w:rPr>
          <w:rFonts w:cstheme="minorHAnsi"/>
        </w:rPr>
        <w:t xml:space="preserve"> consultation process</w:t>
      </w:r>
      <w:r>
        <w:rPr>
          <w:rFonts w:cstheme="minorHAnsi"/>
        </w:rPr>
        <w:t xml:space="preserve"> for the above draft instruments</w:t>
      </w:r>
      <w:r w:rsidR="00947E6F" w:rsidRPr="00AD3074">
        <w:rPr>
          <w:rFonts w:cstheme="minorHAnsi"/>
        </w:rPr>
        <w:t xml:space="preserve"> has been managed. Our concerns are set out below in the following manner:</w:t>
      </w:r>
    </w:p>
    <w:p w14:paraId="6A72B752" w14:textId="77777777" w:rsidR="00947E6F" w:rsidRPr="001A5C63" w:rsidRDefault="00947E6F" w:rsidP="00947E6F">
      <w:pPr>
        <w:pStyle w:val="ListParagraph"/>
        <w:numPr>
          <w:ilvl w:val="0"/>
          <w:numId w:val="31"/>
        </w:numPr>
        <w:jc w:val="both"/>
        <w:rPr>
          <w:rFonts w:cstheme="minorHAnsi"/>
          <w:b/>
        </w:rPr>
      </w:pPr>
      <w:r w:rsidRPr="001A5C63">
        <w:rPr>
          <w:rFonts w:cstheme="minorHAnsi"/>
          <w:b/>
        </w:rPr>
        <w:t>Concerns regarding Policy Objectives</w:t>
      </w:r>
    </w:p>
    <w:p w14:paraId="4DEFC1FE" w14:textId="77777777" w:rsidR="00947E6F" w:rsidRPr="001A5C63" w:rsidRDefault="00947E6F" w:rsidP="00947E6F">
      <w:pPr>
        <w:pStyle w:val="ListParagraph"/>
        <w:numPr>
          <w:ilvl w:val="1"/>
          <w:numId w:val="33"/>
        </w:numPr>
        <w:jc w:val="both"/>
        <w:rPr>
          <w:rFonts w:cstheme="minorHAnsi"/>
          <w:i/>
        </w:rPr>
      </w:pPr>
      <w:r w:rsidRPr="001A5C63">
        <w:rPr>
          <w:rFonts w:cstheme="minorHAnsi"/>
          <w:i/>
        </w:rPr>
        <w:t>Lack of Evidence Based Policy</w:t>
      </w:r>
    </w:p>
    <w:p w14:paraId="6F2FFC73" w14:textId="082FF4E1" w:rsidR="00947E6F" w:rsidRPr="001A5C63" w:rsidRDefault="00947E6F" w:rsidP="00947E6F">
      <w:pPr>
        <w:pStyle w:val="ListParagraph"/>
        <w:numPr>
          <w:ilvl w:val="1"/>
          <w:numId w:val="33"/>
        </w:numPr>
        <w:jc w:val="both"/>
        <w:rPr>
          <w:rFonts w:cstheme="minorHAnsi"/>
          <w:i/>
        </w:rPr>
      </w:pPr>
      <w:r w:rsidRPr="001A5C63">
        <w:rPr>
          <w:rFonts w:cstheme="minorHAnsi"/>
          <w:i/>
        </w:rPr>
        <w:t>Alarming International Evidence</w:t>
      </w:r>
    </w:p>
    <w:p w14:paraId="1EF4C44F" w14:textId="77777777" w:rsidR="00947E6F" w:rsidRPr="001A5C63" w:rsidRDefault="00947E6F" w:rsidP="00947E6F">
      <w:pPr>
        <w:pStyle w:val="ListParagraph"/>
        <w:numPr>
          <w:ilvl w:val="0"/>
          <w:numId w:val="31"/>
        </w:numPr>
        <w:jc w:val="both"/>
        <w:rPr>
          <w:rFonts w:cstheme="minorHAnsi"/>
          <w:b/>
        </w:rPr>
      </w:pPr>
      <w:r w:rsidRPr="001A5C63">
        <w:rPr>
          <w:rFonts w:cstheme="minorHAnsi"/>
          <w:b/>
        </w:rPr>
        <w:t>Concerns regarding Undisclosed Ramifications of this Bill</w:t>
      </w:r>
    </w:p>
    <w:p w14:paraId="2F1BE058" w14:textId="77777777" w:rsidR="00947E6F" w:rsidRPr="001A5C63" w:rsidRDefault="00947E6F" w:rsidP="00947E6F">
      <w:pPr>
        <w:pStyle w:val="ListParagraph"/>
        <w:numPr>
          <w:ilvl w:val="1"/>
          <w:numId w:val="35"/>
        </w:numPr>
        <w:jc w:val="both"/>
        <w:rPr>
          <w:rFonts w:cstheme="minorHAnsi"/>
          <w:i/>
        </w:rPr>
      </w:pPr>
      <w:r w:rsidRPr="001A5C63">
        <w:rPr>
          <w:rFonts w:cstheme="minorHAnsi"/>
          <w:i/>
        </w:rPr>
        <w:t>Erosion of Civil Liberties</w:t>
      </w:r>
    </w:p>
    <w:p w14:paraId="2950F6F1" w14:textId="1D4A3C9A" w:rsidR="00947E6F" w:rsidRPr="001A5C63" w:rsidRDefault="001A5C63" w:rsidP="00947E6F">
      <w:pPr>
        <w:pStyle w:val="ListParagraph"/>
        <w:numPr>
          <w:ilvl w:val="1"/>
          <w:numId w:val="35"/>
        </w:numPr>
        <w:jc w:val="both"/>
        <w:rPr>
          <w:rFonts w:cstheme="minorHAnsi"/>
          <w:i/>
        </w:rPr>
      </w:pPr>
      <w:r w:rsidRPr="001A5C63">
        <w:rPr>
          <w:rFonts w:cstheme="minorHAnsi"/>
          <w:i/>
        </w:rPr>
        <w:t>Negative Interest Rate Predictions</w:t>
      </w:r>
    </w:p>
    <w:p w14:paraId="221E4CB4" w14:textId="77777777" w:rsidR="00947E6F" w:rsidRPr="001A5C63" w:rsidRDefault="00947E6F" w:rsidP="00947E6F">
      <w:pPr>
        <w:pStyle w:val="ListParagraph"/>
        <w:numPr>
          <w:ilvl w:val="0"/>
          <w:numId w:val="31"/>
        </w:numPr>
        <w:jc w:val="both"/>
        <w:rPr>
          <w:rFonts w:cstheme="minorHAnsi"/>
          <w:b/>
        </w:rPr>
      </w:pPr>
      <w:r w:rsidRPr="001A5C63">
        <w:rPr>
          <w:rFonts w:cstheme="minorHAnsi"/>
          <w:b/>
        </w:rPr>
        <w:t>Concerns regarding Government Management of this Policy</w:t>
      </w:r>
    </w:p>
    <w:p w14:paraId="7F714BD3" w14:textId="70594B4A" w:rsidR="00947E6F" w:rsidRDefault="00947E6F" w:rsidP="00947E6F">
      <w:pPr>
        <w:pStyle w:val="ListParagraph"/>
        <w:numPr>
          <w:ilvl w:val="1"/>
          <w:numId w:val="36"/>
        </w:numPr>
        <w:jc w:val="both"/>
        <w:rPr>
          <w:rFonts w:cstheme="minorHAnsi"/>
          <w:i/>
        </w:rPr>
      </w:pPr>
      <w:r w:rsidRPr="001A5C63">
        <w:rPr>
          <w:rFonts w:cstheme="minorHAnsi"/>
          <w:i/>
        </w:rPr>
        <w:t>Short</w:t>
      </w:r>
      <w:r w:rsidR="001A5C63" w:rsidRPr="001A5C63">
        <w:rPr>
          <w:rFonts w:cstheme="minorHAnsi"/>
          <w:i/>
        </w:rPr>
        <w:t xml:space="preserve"> Submission T</w:t>
      </w:r>
      <w:r w:rsidRPr="001A5C63">
        <w:rPr>
          <w:rFonts w:cstheme="minorHAnsi"/>
          <w:i/>
        </w:rPr>
        <w:t xml:space="preserve">imeframe </w:t>
      </w:r>
    </w:p>
    <w:p w14:paraId="07D80EAE" w14:textId="7E03880B" w:rsidR="007B5FCA" w:rsidRPr="001A5C63" w:rsidRDefault="007B5FCA" w:rsidP="00947E6F">
      <w:pPr>
        <w:pStyle w:val="ListParagraph"/>
        <w:numPr>
          <w:ilvl w:val="1"/>
          <w:numId w:val="36"/>
        </w:numPr>
        <w:jc w:val="both"/>
        <w:rPr>
          <w:rFonts w:cstheme="minorHAnsi"/>
          <w:i/>
        </w:rPr>
      </w:pPr>
      <w:r>
        <w:rPr>
          <w:rFonts w:cstheme="minorHAnsi"/>
          <w:i/>
        </w:rPr>
        <w:t>Incompl</w:t>
      </w:r>
      <w:r w:rsidR="00511FE7">
        <w:rPr>
          <w:rFonts w:cstheme="minorHAnsi"/>
          <w:i/>
        </w:rPr>
        <w:t>ete D</w:t>
      </w:r>
      <w:r>
        <w:rPr>
          <w:rFonts w:cstheme="minorHAnsi"/>
          <w:i/>
        </w:rPr>
        <w:t>raft</w:t>
      </w:r>
    </w:p>
    <w:p w14:paraId="508E33F9" w14:textId="78058BFB" w:rsidR="00947E6F" w:rsidRPr="001A5C63" w:rsidRDefault="001A5C63" w:rsidP="00AF663D">
      <w:pPr>
        <w:pStyle w:val="ListParagraph"/>
        <w:numPr>
          <w:ilvl w:val="1"/>
          <w:numId w:val="36"/>
        </w:numPr>
        <w:jc w:val="both"/>
        <w:rPr>
          <w:rFonts w:cstheme="minorHAnsi"/>
          <w:i/>
        </w:rPr>
      </w:pPr>
      <w:r w:rsidRPr="001A5C63">
        <w:rPr>
          <w:rFonts w:cstheme="minorHAnsi"/>
          <w:i/>
        </w:rPr>
        <w:t>Improper D</w:t>
      </w:r>
      <w:r w:rsidR="00947E6F" w:rsidRPr="001A5C63">
        <w:rPr>
          <w:rFonts w:cstheme="minorHAnsi"/>
          <w:i/>
        </w:rPr>
        <w:t xml:space="preserve">isclosure </w:t>
      </w:r>
      <w:r w:rsidRPr="001A5C63">
        <w:rPr>
          <w:rFonts w:cstheme="minorHAnsi"/>
          <w:i/>
        </w:rPr>
        <w:t>Attending this Bill</w:t>
      </w:r>
      <w:r w:rsidR="007B5FCA">
        <w:rPr>
          <w:rFonts w:cstheme="minorHAnsi"/>
          <w:i/>
        </w:rPr>
        <w:t xml:space="preserve"> </w:t>
      </w:r>
    </w:p>
    <w:p w14:paraId="005587ED" w14:textId="77777777" w:rsidR="003C3C7D" w:rsidRDefault="003C3C7D" w:rsidP="003C3C7D">
      <w:pPr>
        <w:spacing w:after="0"/>
        <w:jc w:val="both"/>
        <w:rPr>
          <w:rFonts w:cstheme="minorHAnsi"/>
        </w:rPr>
      </w:pPr>
    </w:p>
    <w:p w14:paraId="71FE3D4D" w14:textId="249E4425" w:rsidR="00FA7103" w:rsidRDefault="00FA7103" w:rsidP="003C3C7D">
      <w:pPr>
        <w:spacing w:after="0"/>
        <w:jc w:val="both"/>
        <w:rPr>
          <w:rFonts w:cstheme="minorHAnsi"/>
        </w:rPr>
      </w:pPr>
      <w:r>
        <w:rPr>
          <w:rFonts w:cstheme="minorHAnsi"/>
        </w:rPr>
        <w:t>Yours gratefully,</w:t>
      </w:r>
    </w:p>
    <w:p w14:paraId="5EB7424D" w14:textId="77777777" w:rsidR="00DA09F1" w:rsidRDefault="00DA09F1" w:rsidP="00511FE7">
      <w:pPr>
        <w:spacing w:after="0"/>
        <w:jc w:val="both"/>
        <w:rPr>
          <w:rFonts w:cstheme="minorHAnsi"/>
          <w:u w:val="single"/>
        </w:rPr>
      </w:pPr>
    </w:p>
    <w:p w14:paraId="48CA96E1" w14:textId="2A34755B" w:rsidR="00511FE7" w:rsidRDefault="00E47295" w:rsidP="00511FE7">
      <w:pPr>
        <w:spacing w:after="0"/>
        <w:jc w:val="both"/>
        <w:rPr>
          <w:rFonts w:cstheme="minorHAnsi"/>
        </w:rPr>
      </w:pPr>
      <w:r w:rsidRPr="00E47295">
        <w:rPr>
          <w:rFonts w:ascii="Matura MT Script Capitals" w:hAnsi="Matura MT Script Capitals" w:cstheme="minorHAnsi"/>
          <w:sz w:val="28"/>
          <w:u w:val="single"/>
        </w:rPr>
        <w:t>Robert Kewley</w:t>
      </w:r>
      <w:r w:rsidR="00511FE7" w:rsidRPr="00E47295">
        <w:rPr>
          <w:rFonts w:ascii="Matura MT Script Capitals" w:hAnsi="Matura MT Script Capitals" w:cstheme="minorHAnsi"/>
          <w:sz w:val="28"/>
          <w:u w:val="single"/>
        </w:rPr>
        <w:tab/>
      </w:r>
      <w:r w:rsidR="00511FE7">
        <w:rPr>
          <w:rFonts w:cstheme="minorHAnsi"/>
          <w:u w:val="single"/>
        </w:rPr>
        <w:tab/>
      </w:r>
      <w:r>
        <w:rPr>
          <w:rFonts w:cstheme="minorHAnsi"/>
        </w:rPr>
        <w:tab/>
      </w:r>
      <w:r>
        <w:rPr>
          <w:rFonts w:cstheme="minorHAnsi"/>
        </w:rPr>
        <w:tab/>
      </w:r>
      <w:r>
        <w:rPr>
          <w:rFonts w:cstheme="minorHAnsi"/>
        </w:rPr>
        <w:tab/>
      </w:r>
      <w:r w:rsidRPr="00E47295">
        <w:rPr>
          <w:rFonts w:ascii="Brush Script MT" w:hAnsi="Brush Script MT" w:cstheme="minorHAnsi"/>
          <w:b/>
          <w:i/>
          <w:sz w:val="32"/>
          <w:u w:val="single"/>
        </w:rPr>
        <w:t>Naomi Kewley</w:t>
      </w:r>
      <w:r w:rsidRPr="00E47295">
        <w:rPr>
          <w:rFonts w:ascii="Bradley Hand ITC" w:hAnsi="Bradley Hand ITC" w:cstheme="minorHAnsi"/>
          <w:b/>
          <w:i/>
          <w:sz w:val="24"/>
          <w:u w:val="single"/>
        </w:rPr>
        <w:tab/>
      </w:r>
      <w:r w:rsidRPr="00E47295">
        <w:rPr>
          <w:rFonts w:cstheme="minorHAnsi"/>
          <w:u w:val="single"/>
        </w:rPr>
        <w:t xml:space="preserve">                            </w:t>
      </w:r>
      <w:r>
        <w:rPr>
          <w:rFonts w:cstheme="minorHAnsi"/>
          <w:u w:val="single"/>
        </w:rPr>
        <w:t xml:space="preserve"> </w:t>
      </w:r>
      <w:r w:rsidRPr="00E47295">
        <w:rPr>
          <w:rFonts w:cstheme="minorHAnsi"/>
          <w:u w:val="single"/>
        </w:rPr>
        <w:t xml:space="preserve"> </w:t>
      </w:r>
      <w:r w:rsidR="00511FE7" w:rsidRPr="00E47295">
        <w:rPr>
          <w:rFonts w:cstheme="minorHAnsi"/>
          <w:u w:val="single"/>
        </w:rPr>
        <w:t xml:space="preserve"> </w:t>
      </w:r>
      <w:r w:rsidR="001A5C63" w:rsidRPr="00E47295">
        <w:rPr>
          <w:rFonts w:cstheme="minorHAnsi"/>
          <w:u w:val="single"/>
        </w:rPr>
        <w:t xml:space="preserve">  </w:t>
      </w:r>
      <w:r w:rsidR="001A5C63" w:rsidRPr="001A5C63">
        <w:rPr>
          <w:rFonts w:cstheme="minorHAnsi"/>
          <w:u w:val="single"/>
        </w:rPr>
        <w:t xml:space="preserve">                          </w:t>
      </w:r>
      <w:r w:rsidR="00511FE7">
        <w:rPr>
          <w:rFonts w:cstheme="minorHAnsi"/>
          <w:u w:val="single"/>
        </w:rPr>
        <w:t xml:space="preserve">            </w:t>
      </w:r>
      <w:r>
        <w:rPr>
          <w:rFonts w:cstheme="minorHAnsi"/>
          <w:u w:val="single"/>
        </w:rPr>
        <w:t xml:space="preserve">  </w:t>
      </w:r>
    </w:p>
    <w:p w14:paraId="5A26AE7C" w14:textId="19EA6841" w:rsidR="001A5C63" w:rsidRPr="00511FE7" w:rsidRDefault="00E47295" w:rsidP="00511FE7">
      <w:pPr>
        <w:spacing w:after="0"/>
        <w:jc w:val="both"/>
        <w:rPr>
          <w:rFonts w:cstheme="minorHAnsi"/>
          <w:u w:val="single"/>
        </w:rPr>
      </w:pPr>
      <w:r>
        <w:rPr>
          <w:rFonts w:cstheme="minorHAnsi"/>
        </w:rPr>
        <w:t>Robert Kewley</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sidR="00DA09F1">
        <w:rPr>
          <w:rFonts w:cstheme="minorHAnsi"/>
        </w:rPr>
        <w:t>Naomi Kewley</w:t>
      </w:r>
      <w:r w:rsidR="001A5C63">
        <w:rPr>
          <w:rFonts w:cstheme="minorHAnsi"/>
        </w:rPr>
        <w:t xml:space="preserve"> </w:t>
      </w:r>
    </w:p>
    <w:p w14:paraId="1565A59C" w14:textId="77777777" w:rsidR="00511FE7" w:rsidRDefault="00511FE7" w:rsidP="00511FE7">
      <w:pPr>
        <w:spacing w:after="0"/>
        <w:jc w:val="both"/>
        <w:rPr>
          <w:rFonts w:cstheme="minorHAnsi"/>
          <w:u w:val="single"/>
        </w:rPr>
      </w:pPr>
    </w:p>
    <w:p w14:paraId="37775AAA" w14:textId="77777777" w:rsidR="00DA09F1" w:rsidRDefault="00DA09F1" w:rsidP="00511FE7">
      <w:pPr>
        <w:spacing w:after="0"/>
        <w:jc w:val="both"/>
        <w:rPr>
          <w:rFonts w:cstheme="minorHAnsi"/>
          <w:u w:val="single"/>
        </w:rPr>
      </w:pPr>
    </w:p>
    <w:p w14:paraId="5B43D473" w14:textId="664BE963" w:rsidR="00511FE7" w:rsidRPr="00E47295" w:rsidRDefault="00E47295" w:rsidP="00511FE7">
      <w:pPr>
        <w:spacing w:after="0"/>
        <w:jc w:val="both"/>
        <w:rPr>
          <w:rFonts w:cstheme="minorHAnsi"/>
          <w:u w:val="single"/>
        </w:rPr>
      </w:pPr>
      <w:r w:rsidRPr="00E47295">
        <w:rPr>
          <w:rFonts w:ascii="Edwardian Script ITC" w:hAnsi="Edwardian Script ITC" w:cstheme="minorHAnsi"/>
          <w:b/>
          <w:sz w:val="36"/>
          <w:u w:val="single"/>
        </w:rPr>
        <w:t>Miriam Kewley</w:t>
      </w:r>
      <w:r>
        <w:rPr>
          <w:rFonts w:cstheme="minorHAnsi"/>
          <w:u w:val="single"/>
        </w:rPr>
        <w:tab/>
      </w:r>
      <w:r>
        <w:rPr>
          <w:rFonts w:cstheme="minorHAnsi"/>
          <w:u w:val="single"/>
        </w:rPr>
        <w:tab/>
      </w:r>
      <w:r>
        <w:rPr>
          <w:rFonts w:cstheme="minorHAnsi"/>
        </w:rPr>
        <w:tab/>
      </w:r>
      <w:r>
        <w:rPr>
          <w:rFonts w:cstheme="minorHAnsi"/>
        </w:rPr>
        <w:tab/>
      </w:r>
      <w:r>
        <w:rPr>
          <w:rFonts w:cstheme="minorHAnsi"/>
        </w:rPr>
        <w:tab/>
      </w:r>
      <w:r w:rsidRPr="00E47295">
        <w:rPr>
          <w:rFonts w:ascii="Blackadder ITC" w:hAnsi="Blackadder ITC" w:cstheme="minorHAnsi"/>
          <w:b/>
          <w:sz w:val="28"/>
          <w:u w:val="single"/>
        </w:rPr>
        <w:t>David Kewley</w:t>
      </w:r>
      <w:r>
        <w:rPr>
          <w:rFonts w:cstheme="minorHAnsi"/>
          <w:u w:val="single"/>
        </w:rPr>
        <w:tab/>
      </w:r>
    </w:p>
    <w:p w14:paraId="2205B3D2" w14:textId="4554A325" w:rsidR="00C740A5" w:rsidRPr="003C3C7D" w:rsidRDefault="00DA09F1" w:rsidP="003C3C7D">
      <w:pPr>
        <w:spacing w:after="0"/>
        <w:jc w:val="both"/>
        <w:rPr>
          <w:rFonts w:cstheme="minorHAnsi"/>
          <w:u w:val="single"/>
        </w:rPr>
      </w:pPr>
      <w:r>
        <w:rPr>
          <w:rFonts w:cstheme="minorHAnsi"/>
        </w:rPr>
        <w:t>Miriam Kewley</w:t>
      </w:r>
      <w:r>
        <w:rPr>
          <w:rFonts w:cstheme="minorHAnsi"/>
        </w:rPr>
        <w:tab/>
      </w:r>
      <w:r w:rsidR="00E47295">
        <w:rPr>
          <w:rFonts w:cstheme="minorHAnsi"/>
        </w:rPr>
        <w:tab/>
      </w:r>
      <w:r w:rsidR="00E47295">
        <w:rPr>
          <w:rFonts w:cstheme="minorHAnsi"/>
        </w:rPr>
        <w:tab/>
      </w:r>
      <w:r w:rsidR="00E47295">
        <w:rPr>
          <w:rFonts w:cstheme="minorHAnsi"/>
        </w:rPr>
        <w:tab/>
      </w:r>
      <w:r w:rsidR="00E47295">
        <w:rPr>
          <w:rFonts w:cstheme="minorHAnsi"/>
        </w:rPr>
        <w:tab/>
      </w:r>
      <w:r w:rsidR="00E47295">
        <w:rPr>
          <w:rFonts w:cstheme="minorHAnsi"/>
        </w:rPr>
        <w:tab/>
      </w:r>
      <w:r w:rsidR="001A5C63">
        <w:rPr>
          <w:rFonts w:cstheme="minorHAnsi"/>
        </w:rPr>
        <w:t>David Kewley</w:t>
      </w:r>
    </w:p>
    <w:p w14:paraId="2C591CC9" w14:textId="3C303FA0" w:rsidR="007434EA" w:rsidRDefault="007434EA" w:rsidP="007434EA">
      <w:pPr>
        <w:jc w:val="both"/>
        <w:rPr>
          <w:rFonts w:cstheme="minorHAnsi"/>
          <w:b/>
        </w:rPr>
      </w:pPr>
      <w:r>
        <w:rPr>
          <w:rFonts w:cstheme="minorHAnsi"/>
          <w:b/>
        </w:rPr>
        <w:lastRenderedPageBreak/>
        <w:t>1.</w:t>
      </w:r>
      <w:r>
        <w:rPr>
          <w:rFonts w:cstheme="minorHAnsi"/>
          <w:b/>
        </w:rPr>
        <w:tab/>
      </w:r>
      <w:r w:rsidRPr="007434EA">
        <w:rPr>
          <w:rFonts w:cstheme="minorHAnsi"/>
          <w:b/>
        </w:rPr>
        <w:t>Concerns regarding Policy Objectives</w:t>
      </w:r>
    </w:p>
    <w:p w14:paraId="7B676BE8" w14:textId="38F7ACDC" w:rsidR="007434EA" w:rsidRPr="007434EA" w:rsidRDefault="007434EA" w:rsidP="007434EA">
      <w:pPr>
        <w:jc w:val="both"/>
        <w:rPr>
          <w:rFonts w:cstheme="minorHAnsi"/>
        </w:rPr>
      </w:pPr>
      <w:r w:rsidRPr="007434EA">
        <w:rPr>
          <w:rFonts w:cstheme="minorHAnsi"/>
        </w:rPr>
        <w:t>The Currency (Restrictions on the Use of Cash) Bill 2019</w:t>
      </w:r>
      <w:r w:rsidR="005472DC">
        <w:rPr>
          <w:rStyle w:val="FootnoteReference"/>
          <w:rFonts w:cstheme="minorHAnsi"/>
        </w:rPr>
        <w:footnoteReference w:id="1"/>
      </w:r>
      <w:r w:rsidR="005472DC">
        <w:rPr>
          <w:rFonts w:cstheme="minorHAnsi"/>
        </w:rPr>
        <w:t xml:space="preserve"> </w:t>
      </w:r>
      <w:r w:rsidRPr="007434EA">
        <w:rPr>
          <w:rFonts w:cstheme="minorHAnsi"/>
        </w:rPr>
        <w:t>and a</w:t>
      </w:r>
      <w:r>
        <w:rPr>
          <w:rFonts w:cstheme="minorHAnsi"/>
        </w:rPr>
        <w:t>ccompanying instrument</w:t>
      </w:r>
      <w:r w:rsidR="00C740A5">
        <w:rPr>
          <w:rFonts w:cstheme="minorHAnsi"/>
        </w:rPr>
        <w:t>s</w:t>
      </w:r>
      <w:r>
        <w:rPr>
          <w:rFonts w:cstheme="minorHAnsi"/>
        </w:rPr>
        <w:t xml:space="preserve"> introduces an offence for entities that make or accept cash payments of or exceeding $10,000.</w:t>
      </w:r>
    </w:p>
    <w:p w14:paraId="4E954D08" w14:textId="77777777" w:rsidR="007434EA" w:rsidRDefault="007434EA" w:rsidP="007434EA">
      <w:pPr>
        <w:jc w:val="both"/>
        <w:rPr>
          <w:rFonts w:cstheme="minorHAnsi"/>
        </w:rPr>
      </w:pPr>
      <w:r w:rsidRPr="007434EA">
        <w:rPr>
          <w:rFonts w:cstheme="minorHAnsi"/>
        </w:rPr>
        <w:t>As stated in the Bill’s explanatory memorandum</w:t>
      </w:r>
      <w:r>
        <w:rPr>
          <w:rFonts w:cstheme="minorHAnsi"/>
        </w:rPr>
        <w:t xml:space="preserve">, the policy intention of this measure is to restrict cash activity connected with tax avoidance or the shadow (black) economy. </w:t>
      </w:r>
    </w:p>
    <w:p w14:paraId="7EFFB7A4" w14:textId="189D8AF0" w:rsidR="007434EA" w:rsidRPr="007434EA" w:rsidRDefault="007434EA" w:rsidP="007434EA">
      <w:pPr>
        <w:jc w:val="both"/>
        <w:rPr>
          <w:rFonts w:cstheme="minorHAnsi"/>
        </w:rPr>
      </w:pPr>
      <w:r>
        <w:rPr>
          <w:rFonts w:cstheme="minorHAnsi"/>
        </w:rPr>
        <w:t>There is alarming</w:t>
      </w:r>
      <w:r w:rsidR="00AD3074">
        <w:rPr>
          <w:rFonts w:cstheme="minorHAnsi"/>
        </w:rPr>
        <w:t>ly</w:t>
      </w:r>
      <w:r>
        <w:rPr>
          <w:rFonts w:cstheme="minorHAnsi"/>
        </w:rPr>
        <w:t xml:space="preserve"> little evidence that the measure will support this policy objective.</w:t>
      </w:r>
    </w:p>
    <w:p w14:paraId="5B8013D7" w14:textId="42CDB4B7" w:rsidR="007434EA" w:rsidRPr="00EF59B6" w:rsidRDefault="007434EA" w:rsidP="007434EA">
      <w:pPr>
        <w:jc w:val="both"/>
        <w:rPr>
          <w:rFonts w:cstheme="minorHAnsi"/>
          <w:b/>
          <w:i/>
        </w:rPr>
      </w:pPr>
      <w:r w:rsidRPr="00EF59B6">
        <w:rPr>
          <w:rFonts w:cstheme="minorHAnsi"/>
          <w:b/>
          <w:i/>
        </w:rPr>
        <w:t>Lack of Evid</w:t>
      </w:r>
      <w:bookmarkStart w:id="0" w:name="_GoBack"/>
      <w:bookmarkEnd w:id="0"/>
      <w:r w:rsidRPr="00EF59B6">
        <w:rPr>
          <w:rFonts w:cstheme="minorHAnsi"/>
          <w:b/>
          <w:i/>
        </w:rPr>
        <w:t>ence Based Policy</w:t>
      </w:r>
    </w:p>
    <w:p w14:paraId="0B185017" w14:textId="496337A9" w:rsidR="000F6987" w:rsidRDefault="007434EA" w:rsidP="007434EA">
      <w:pPr>
        <w:jc w:val="both"/>
        <w:rPr>
          <w:rFonts w:cstheme="minorHAnsi"/>
        </w:rPr>
      </w:pPr>
      <w:r>
        <w:rPr>
          <w:rFonts w:cstheme="minorHAnsi"/>
        </w:rPr>
        <w:t xml:space="preserve">We are not aware that the incumbent Federal government has undertaken any cost/benefit analysis in relation to this measure. </w:t>
      </w:r>
      <w:r w:rsidR="000F6987">
        <w:rPr>
          <w:rFonts w:cstheme="minorHAnsi"/>
        </w:rPr>
        <w:t xml:space="preserve">We also </w:t>
      </w:r>
      <w:r w:rsidR="00A475A6">
        <w:rPr>
          <w:rFonts w:cstheme="minorHAnsi"/>
        </w:rPr>
        <w:t>cannot</w:t>
      </w:r>
      <w:r w:rsidR="000F6987">
        <w:rPr>
          <w:rFonts w:cstheme="minorHAnsi"/>
        </w:rPr>
        <w:t xml:space="preserve"> locate any material evidence by the Commonwealth or Black Economy Taskforce in support of the Bill’s efficacy. </w:t>
      </w:r>
      <w:r>
        <w:rPr>
          <w:rFonts w:cstheme="minorHAnsi"/>
        </w:rPr>
        <w:t xml:space="preserve">We </w:t>
      </w:r>
      <w:r w:rsidR="00A475A6">
        <w:rPr>
          <w:rFonts w:cstheme="minorHAnsi"/>
        </w:rPr>
        <w:t xml:space="preserve">are </w:t>
      </w:r>
      <w:r>
        <w:rPr>
          <w:rFonts w:cstheme="minorHAnsi"/>
        </w:rPr>
        <w:t xml:space="preserve">therefore </w:t>
      </w:r>
      <w:r w:rsidR="00A475A6">
        <w:rPr>
          <w:rFonts w:cstheme="minorHAnsi"/>
        </w:rPr>
        <w:t>unable to</w:t>
      </w:r>
      <w:r>
        <w:rPr>
          <w:rFonts w:cstheme="minorHAnsi"/>
        </w:rPr>
        <w:t xml:space="preserve"> comment upon empirical evidence associated with this particular policy. </w:t>
      </w:r>
    </w:p>
    <w:p w14:paraId="2BD26DDE" w14:textId="77777777" w:rsidR="00EF59B6" w:rsidRPr="00EF59B6" w:rsidRDefault="00EF59B6" w:rsidP="00EF59B6">
      <w:pPr>
        <w:jc w:val="both"/>
        <w:rPr>
          <w:rFonts w:cstheme="minorHAnsi"/>
          <w:b/>
          <w:i/>
        </w:rPr>
      </w:pPr>
      <w:r w:rsidRPr="00EF59B6">
        <w:rPr>
          <w:rFonts w:cstheme="minorHAnsi"/>
          <w:b/>
          <w:i/>
        </w:rPr>
        <w:t>Alarming International Evidence</w:t>
      </w:r>
    </w:p>
    <w:p w14:paraId="163DEDC0" w14:textId="49C90DCF" w:rsidR="007434EA" w:rsidRDefault="007434EA" w:rsidP="007434EA">
      <w:pPr>
        <w:jc w:val="both"/>
        <w:rPr>
          <w:rFonts w:cstheme="minorHAnsi"/>
        </w:rPr>
      </w:pPr>
      <w:r>
        <w:rPr>
          <w:rFonts w:cstheme="minorHAnsi"/>
        </w:rPr>
        <w:t>However, there is international evidence which suggests that this measure is poor</w:t>
      </w:r>
      <w:r w:rsidR="00AD3074">
        <w:rPr>
          <w:rFonts w:cstheme="minorHAnsi"/>
        </w:rPr>
        <w:t>ly targeted</w:t>
      </w:r>
      <w:r>
        <w:rPr>
          <w:rFonts w:cstheme="minorHAnsi"/>
        </w:rPr>
        <w:t xml:space="preserve"> to achieve its stated objective. We quote </w:t>
      </w:r>
      <w:r w:rsidR="000F6987">
        <w:rPr>
          <w:rFonts w:cstheme="minorHAnsi"/>
        </w:rPr>
        <w:t>Friedrich Schneider</w:t>
      </w:r>
      <w:r w:rsidR="00511FE7">
        <w:rPr>
          <w:rFonts w:cstheme="minorHAnsi"/>
        </w:rPr>
        <w:t xml:space="preserve">, a research fellow at the Institute of </w:t>
      </w:r>
      <w:proofErr w:type="spellStart"/>
      <w:r w:rsidR="00511FE7">
        <w:rPr>
          <w:rFonts w:cstheme="minorHAnsi"/>
        </w:rPr>
        <w:t>Labor</w:t>
      </w:r>
      <w:proofErr w:type="spellEnd"/>
      <w:r w:rsidR="00511FE7">
        <w:rPr>
          <w:rFonts w:cstheme="minorHAnsi"/>
        </w:rPr>
        <w:t xml:space="preserve"> Economics, the University of Linz,</w:t>
      </w:r>
      <w:r w:rsidR="000F6987">
        <w:rPr>
          <w:rFonts w:cstheme="minorHAnsi"/>
        </w:rPr>
        <w:t xml:space="preserve"> in his 2017 independent study, </w:t>
      </w:r>
      <w:r w:rsidR="000F6987" w:rsidRPr="00A475A6">
        <w:rPr>
          <w:rFonts w:cstheme="minorHAnsi"/>
          <w:i/>
        </w:rPr>
        <w:t>‘Restricting or Abolishing Cash: An Effective Instrument for Fighting the Shadow Economy, Crime &amp; Terror</w:t>
      </w:r>
      <w:r w:rsidR="00A475A6" w:rsidRPr="00A475A6">
        <w:rPr>
          <w:rFonts w:cstheme="minorHAnsi"/>
          <w:i/>
        </w:rPr>
        <w:t>ism’</w:t>
      </w:r>
      <w:r w:rsidR="00A475A6">
        <w:rPr>
          <w:rFonts w:cstheme="minorHAnsi"/>
        </w:rPr>
        <w:t>:</w:t>
      </w:r>
    </w:p>
    <w:p w14:paraId="240C32F4" w14:textId="77777777" w:rsidR="00A475A6" w:rsidRDefault="00A475A6" w:rsidP="00365B03">
      <w:pPr>
        <w:shd w:val="clear" w:color="auto" w:fill="FFFFFF"/>
        <w:spacing w:line="240" w:lineRule="auto"/>
        <w:ind w:left="720" w:right="720"/>
        <w:jc w:val="both"/>
        <w:textAlignment w:val="baseline"/>
        <w:rPr>
          <w:rFonts w:eastAsia="Times New Roman" w:cstheme="minorHAnsi"/>
          <w:i/>
          <w:iCs/>
          <w:color w:val="414141"/>
          <w:bdr w:val="none" w:sz="0" w:space="0" w:color="auto" w:frame="1"/>
          <w:lang w:eastAsia="en-AU"/>
        </w:rPr>
      </w:pPr>
      <w:r w:rsidRPr="00A475A6">
        <w:rPr>
          <w:rFonts w:eastAsia="Times New Roman" w:cstheme="minorHAnsi"/>
          <w:i/>
          <w:iCs/>
          <w:color w:val="414141"/>
          <w:bdr w:val="none" w:sz="0" w:space="0" w:color="auto" w:frame="1"/>
          <w:lang w:eastAsia="en-AU"/>
        </w:rPr>
        <w:t>“Cash reflects the fundamental relation between citizens or taxpayers and state authorities. Using cash means freedom, independence and personal fulfillment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14:paraId="7851BB33" w14:textId="77777777" w:rsidR="00365B03" w:rsidRDefault="00365B03" w:rsidP="00EF59B6">
      <w:pPr>
        <w:shd w:val="clear" w:color="auto" w:fill="FFFFFF"/>
        <w:spacing w:after="0" w:line="240" w:lineRule="auto"/>
        <w:jc w:val="both"/>
        <w:textAlignment w:val="baseline"/>
        <w:rPr>
          <w:rFonts w:eastAsia="Times New Roman" w:cstheme="minorHAnsi"/>
          <w:iCs/>
          <w:bdr w:val="none" w:sz="0" w:space="0" w:color="auto" w:frame="1"/>
          <w:lang w:eastAsia="en-AU"/>
        </w:rPr>
      </w:pPr>
      <w:r w:rsidRPr="00365B03">
        <w:rPr>
          <w:rFonts w:eastAsia="Times New Roman" w:cstheme="minorHAnsi"/>
          <w:iCs/>
          <w:bdr w:val="none" w:sz="0" w:space="0" w:color="auto" w:frame="1"/>
          <w:lang w:eastAsia="en-AU"/>
        </w:rPr>
        <w:t>More</w:t>
      </w:r>
      <w:r>
        <w:rPr>
          <w:rFonts w:eastAsia="Times New Roman" w:cstheme="minorHAnsi"/>
          <w:iCs/>
          <w:bdr w:val="none" w:sz="0" w:space="0" w:color="auto" w:frame="1"/>
          <w:lang w:eastAsia="en-AU"/>
        </w:rPr>
        <w:t>over, Schneider observes that Sweden continues to have a sizable shadow economy, though cash payments are now rare. He says:</w:t>
      </w:r>
    </w:p>
    <w:p w14:paraId="65540133" w14:textId="27A8D4D8" w:rsidR="00365B03" w:rsidRPr="00365B03" w:rsidRDefault="00365B03" w:rsidP="00365B03">
      <w:pPr>
        <w:shd w:val="clear" w:color="auto" w:fill="FFFFFF"/>
        <w:spacing w:before="240" w:after="0" w:line="240" w:lineRule="auto"/>
        <w:ind w:left="720" w:right="720"/>
        <w:jc w:val="both"/>
        <w:textAlignment w:val="baseline"/>
        <w:rPr>
          <w:rFonts w:eastAsia="Times New Roman" w:cstheme="minorHAnsi"/>
          <w:lang w:eastAsia="en-AU"/>
        </w:rPr>
      </w:pPr>
      <w:r>
        <w:rPr>
          <w:rFonts w:eastAsia="Times New Roman" w:cstheme="minorHAnsi"/>
          <w:iCs/>
          <w:bdr w:val="none" w:sz="0" w:space="0" w:color="auto" w:frame="1"/>
          <w:lang w:eastAsia="en-AU"/>
        </w:rPr>
        <w:t xml:space="preserve"> </w:t>
      </w:r>
      <w:r w:rsidRPr="00A475A6">
        <w:rPr>
          <w:rFonts w:eastAsia="Times New Roman" w:cstheme="minorHAnsi"/>
          <w:i/>
          <w:iCs/>
          <w:color w:val="414141"/>
          <w:bdr w:val="none" w:sz="0" w:space="0" w:color="auto" w:frame="1"/>
          <w:lang w:eastAsia="en-AU"/>
        </w:rPr>
        <w:t>“</w:t>
      </w:r>
      <w:r>
        <w:rPr>
          <w:rFonts w:eastAsia="Times New Roman" w:cstheme="minorHAnsi"/>
          <w:i/>
          <w:iCs/>
          <w:color w:val="414141"/>
          <w:bdr w:val="none" w:sz="0" w:space="0" w:color="auto" w:frame="1"/>
          <w:lang w:eastAsia="en-AU"/>
        </w:rPr>
        <w:t>Cash has a minor influence on the shadow economy, crime and terrorism, but potentially has a major influence on civil liberties.”</w:t>
      </w:r>
    </w:p>
    <w:p w14:paraId="7CF67D7A" w14:textId="6DEB78E4" w:rsidR="00271EAB" w:rsidRDefault="00E22FDF" w:rsidP="00A475A6">
      <w:pPr>
        <w:spacing w:before="240"/>
        <w:jc w:val="both"/>
        <w:rPr>
          <w:rFonts w:cstheme="minorHAnsi"/>
        </w:rPr>
      </w:pPr>
      <w:r>
        <w:rPr>
          <w:rFonts w:cstheme="minorHAnsi"/>
        </w:rPr>
        <w:t>It would appear</w:t>
      </w:r>
      <w:r w:rsidR="00EF59B6">
        <w:rPr>
          <w:rFonts w:cstheme="minorHAnsi"/>
        </w:rPr>
        <w:t xml:space="preserve"> that empirical evidence of the Bill’s efficacy toward its stated policy objectives is very weak. </w:t>
      </w:r>
      <w:r>
        <w:rPr>
          <w:rFonts w:cstheme="minorHAnsi"/>
        </w:rPr>
        <w:t xml:space="preserve">There are, indeed, far more critical loopholes for tax avoidance and illegal activity than the ability to transact in cash. It is an acknowledged fact that corporates and big business are responsible for extensive money laundering and tax leakage. </w:t>
      </w:r>
      <w:r w:rsidR="00EF59B6">
        <w:rPr>
          <w:rFonts w:cstheme="minorHAnsi"/>
        </w:rPr>
        <w:t xml:space="preserve">It is </w:t>
      </w:r>
      <w:r>
        <w:rPr>
          <w:rFonts w:cstheme="minorHAnsi"/>
        </w:rPr>
        <w:t>disconcerting</w:t>
      </w:r>
      <w:r w:rsidR="00EF59B6">
        <w:rPr>
          <w:rFonts w:cstheme="minorHAnsi"/>
        </w:rPr>
        <w:t xml:space="preserve"> that the </w:t>
      </w:r>
      <w:r w:rsidR="00AD3074">
        <w:rPr>
          <w:rFonts w:cstheme="minorHAnsi"/>
        </w:rPr>
        <w:t>G</w:t>
      </w:r>
      <w:r w:rsidR="00EF59B6">
        <w:rPr>
          <w:rFonts w:cstheme="minorHAnsi"/>
        </w:rPr>
        <w:t xml:space="preserve">overnment </w:t>
      </w:r>
      <w:r w:rsidR="00271EAB">
        <w:rPr>
          <w:rFonts w:cstheme="minorHAnsi"/>
        </w:rPr>
        <w:t>justifies</w:t>
      </w:r>
      <w:r>
        <w:rPr>
          <w:rFonts w:cstheme="minorHAnsi"/>
        </w:rPr>
        <w:t xml:space="preserve"> </w:t>
      </w:r>
      <w:r w:rsidR="00271EAB">
        <w:rPr>
          <w:rFonts w:cstheme="minorHAnsi"/>
        </w:rPr>
        <w:t>this policy on grounds for which there is little empirical support</w:t>
      </w:r>
      <w:r w:rsidR="00EF59B6">
        <w:rPr>
          <w:rFonts w:cstheme="minorHAnsi"/>
        </w:rPr>
        <w:t>, while completely disregarding the major negative ramifications the Bill does introduce.  These undisclosed ramifications are now examined.</w:t>
      </w:r>
    </w:p>
    <w:p w14:paraId="717C2339" w14:textId="77777777" w:rsidR="00271EAB" w:rsidRDefault="00271EAB">
      <w:pPr>
        <w:rPr>
          <w:rFonts w:cstheme="minorHAnsi"/>
        </w:rPr>
      </w:pPr>
      <w:r>
        <w:rPr>
          <w:rFonts w:cstheme="minorHAnsi"/>
        </w:rPr>
        <w:br w:type="page"/>
      </w:r>
    </w:p>
    <w:p w14:paraId="58915204" w14:textId="77777777" w:rsidR="00EF59B6" w:rsidRDefault="00EF59B6" w:rsidP="00A475A6">
      <w:pPr>
        <w:spacing w:before="240"/>
        <w:jc w:val="both"/>
        <w:rPr>
          <w:rFonts w:cstheme="minorHAnsi"/>
        </w:rPr>
      </w:pPr>
    </w:p>
    <w:p w14:paraId="12BC6B79" w14:textId="7DC6D126" w:rsidR="00EF59B6" w:rsidRPr="00EF59B6" w:rsidRDefault="00EF59B6" w:rsidP="00EF59B6">
      <w:pPr>
        <w:jc w:val="both"/>
        <w:rPr>
          <w:rFonts w:cstheme="minorHAnsi"/>
          <w:b/>
        </w:rPr>
      </w:pPr>
      <w:r>
        <w:rPr>
          <w:rFonts w:cstheme="minorHAnsi"/>
          <w:b/>
        </w:rPr>
        <w:t>2.</w:t>
      </w:r>
      <w:r>
        <w:rPr>
          <w:rFonts w:cstheme="minorHAnsi"/>
          <w:b/>
        </w:rPr>
        <w:tab/>
      </w:r>
      <w:r w:rsidRPr="00EF59B6">
        <w:rPr>
          <w:rFonts w:cstheme="minorHAnsi"/>
          <w:b/>
        </w:rPr>
        <w:t>Concerns regarding Undisclosed Ramifications of this Bill</w:t>
      </w:r>
    </w:p>
    <w:p w14:paraId="352DE005" w14:textId="081BD847" w:rsidR="00EF59B6" w:rsidRPr="00E20A19" w:rsidRDefault="004D6DFD" w:rsidP="002658B4">
      <w:pPr>
        <w:spacing w:after="0"/>
        <w:ind w:left="720" w:right="720"/>
        <w:jc w:val="both"/>
        <w:rPr>
          <w:rFonts w:cstheme="minorHAnsi"/>
          <w:i/>
          <w:color w:val="333333"/>
          <w:shd w:val="clear" w:color="auto" w:fill="FFFFFF"/>
        </w:rPr>
      </w:pPr>
      <w:r w:rsidRPr="00E20A19">
        <w:rPr>
          <w:rFonts w:cstheme="minorHAnsi"/>
          <w:i/>
          <w:color w:val="333333"/>
          <w:shd w:val="clear" w:color="auto" w:fill="FFFFFF"/>
        </w:rPr>
        <w:t>“</w:t>
      </w:r>
      <w:r w:rsidR="00EF59B6" w:rsidRPr="00E20A19">
        <w:rPr>
          <w:rFonts w:cstheme="minorHAnsi"/>
          <w:i/>
          <w:color w:val="333333"/>
          <w:shd w:val="clear" w:color="auto" w:fill="FFFFFF"/>
        </w:rPr>
        <w:t>In a democracy, the public should be asked how much security and how much privacy they want for themselves.</w:t>
      </w:r>
      <w:r w:rsidRPr="00E20A19">
        <w:rPr>
          <w:rFonts w:cstheme="minorHAnsi"/>
          <w:i/>
          <w:color w:val="333333"/>
          <w:shd w:val="clear" w:color="auto" w:fill="FFFFFF"/>
        </w:rPr>
        <w:t>”</w:t>
      </w:r>
    </w:p>
    <w:p w14:paraId="2F44CE72" w14:textId="32BA6B7A" w:rsidR="004D6DFD" w:rsidRPr="00E20A19" w:rsidRDefault="004D6DFD" w:rsidP="00EF59B6">
      <w:pPr>
        <w:ind w:left="720" w:right="720"/>
        <w:jc w:val="both"/>
        <w:rPr>
          <w:rFonts w:cstheme="minorHAnsi"/>
          <w:b/>
          <w:i/>
        </w:rPr>
      </w:pPr>
      <w:r w:rsidRPr="00E20A19">
        <w:rPr>
          <w:rFonts w:cstheme="minorHAnsi"/>
          <w:i/>
          <w:color w:val="333333"/>
          <w:shd w:val="clear" w:color="auto" w:fill="FFFFFF"/>
        </w:rPr>
        <w:tab/>
      </w:r>
      <w:r w:rsidRPr="00E20A19">
        <w:rPr>
          <w:rFonts w:cstheme="minorHAnsi"/>
          <w:i/>
          <w:color w:val="333333"/>
          <w:shd w:val="clear" w:color="auto" w:fill="FFFFFF"/>
        </w:rPr>
        <w:tab/>
      </w:r>
      <w:r w:rsidRPr="00E20A19">
        <w:rPr>
          <w:rFonts w:cstheme="minorHAnsi"/>
          <w:i/>
          <w:color w:val="333333"/>
          <w:shd w:val="clear" w:color="auto" w:fill="FFFFFF"/>
        </w:rPr>
        <w:tab/>
      </w:r>
      <w:r w:rsidRPr="00E20A19">
        <w:rPr>
          <w:rFonts w:cstheme="minorHAnsi"/>
          <w:i/>
          <w:color w:val="333333"/>
          <w:shd w:val="clear" w:color="auto" w:fill="FFFFFF"/>
        </w:rPr>
        <w:tab/>
      </w:r>
      <w:r w:rsidRPr="00E20A19">
        <w:rPr>
          <w:rFonts w:cstheme="minorHAnsi"/>
          <w:i/>
          <w:color w:val="333333"/>
          <w:shd w:val="clear" w:color="auto" w:fill="FFFFFF"/>
        </w:rPr>
        <w:tab/>
      </w:r>
      <w:r w:rsidR="002658B4" w:rsidRPr="00E20A19">
        <w:rPr>
          <w:rFonts w:cstheme="minorHAnsi"/>
          <w:i/>
          <w:color w:val="333333"/>
          <w:shd w:val="clear" w:color="auto" w:fill="FFFFFF"/>
        </w:rPr>
        <w:tab/>
      </w:r>
      <w:r w:rsidRPr="00E20A19">
        <w:rPr>
          <w:rFonts w:cstheme="minorHAnsi"/>
          <w:i/>
          <w:color w:val="333333"/>
          <w:shd w:val="clear" w:color="auto" w:fill="FFFFFF"/>
        </w:rPr>
        <w:t>Max Mosley</w:t>
      </w:r>
    </w:p>
    <w:p w14:paraId="6AEDE967" w14:textId="02213067" w:rsidR="00EF59B6" w:rsidRDefault="004D6DFD" w:rsidP="00EF59B6">
      <w:pPr>
        <w:jc w:val="both"/>
        <w:rPr>
          <w:rFonts w:cstheme="minorHAnsi"/>
        </w:rPr>
      </w:pPr>
      <w:r>
        <w:rPr>
          <w:rFonts w:cstheme="minorHAnsi"/>
        </w:rPr>
        <w:t>We believe that the proposed measure</w:t>
      </w:r>
      <w:r w:rsidR="00E20A19">
        <w:rPr>
          <w:rFonts w:cstheme="minorHAnsi"/>
        </w:rPr>
        <w:t xml:space="preserve"> introduces</w:t>
      </w:r>
      <w:r>
        <w:rPr>
          <w:rFonts w:cstheme="minorHAnsi"/>
        </w:rPr>
        <w:t xml:space="preserve"> a critical threat to economic freedom and civil liberty in Australia. </w:t>
      </w:r>
      <w:r w:rsidR="00C775BF">
        <w:rPr>
          <w:rFonts w:cstheme="minorHAnsi"/>
        </w:rPr>
        <w:t xml:space="preserve">While the exemptions that would currently apply to this policy ensure a minimal effect upon common transactions, we note that the exemptions </w:t>
      </w:r>
      <w:r w:rsidR="00C775BF" w:rsidRPr="00E20A19">
        <w:rPr>
          <w:rFonts w:cstheme="minorHAnsi"/>
        </w:rPr>
        <w:t>are defined in a legislative instrument</w:t>
      </w:r>
      <w:r w:rsidR="00C775BF">
        <w:rPr>
          <w:rFonts w:cstheme="minorHAnsi"/>
        </w:rPr>
        <w:t xml:space="preserve"> and not the Bill itself. The exemptions (while currently available to placate the public) may be removed quickly and quietly with</w:t>
      </w:r>
      <w:r w:rsidR="00C740A5">
        <w:rPr>
          <w:rFonts w:cstheme="minorHAnsi"/>
        </w:rPr>
        <w:t>out</w:t>
      </w:r>
      <w:r w:rsidR="00C775BF">
        <w:rPr>
          <w:rFonts w:cstheme="minorHAnsi"/>
        </w:rPr>
        <w:t xml:space="preserve"> Parliamentary scrutiny.</w:t>
      </w:r>
    </w:p>
    <w:p w14:paraId="05AC60F5" w14:textId="5E38D23B" w:rsidR="00C775BF" w:rsidRDefault="00C775BF" w:rsidP="00EF59B6">
      <w:pPr>
        <w:jc w:val="both"/>
        <w:rPr>
          <w:rFonts w:cstheme="minorHAnsi"/>
        </w:rPr>
      </w:pPr>
      <w:r>
        <w:rPr>
          <w:rFonts w:cstheme="minorHAnsi"/>
        </w:rPr>
        <w:t xml:space="preserve">The proposed Bill therefore has the potential </w:t>
      </w:r>
      <w:r w:rsidR="002658B4">
        <w:rPr>
          <w:rFonts w:cstheme="minorHAnsi"/>
        </w:rPr>
        <w:t>to restrict an individual’s ability to:</w:t>
      </w:r>
    </w:p>
    <w:p w14:paraId="5DF54DB2" w14:textId="42E2AA90" w:rsidR="00C775BF" w:rsidRPr="002658B4" w:rsidRDefault="002658B4" w:rsidP="002658B4">
      <w:pPr>
        <w:pStyle w:val="ListParagraph"/>
        <w:numPr>
          <w:ilvl w:val="0"/>
          <w:numId w:val="40"/>
        </w:numPr>
        <w:jc w:val="both"/>
        <w:rPr>
          <w:rFonts w:cstheme="minorHAnsi"/>
        </w:rPr>
      </w:pPr>
      <w:r w:rsidRPr="002658B4">
        <w:rPr>
          <w:rFonts w:cstheme="minorHAnsi"/>
        </w:rPr>
        <w:t>privately conduct their financial affairs;</w:t>
      </w:r>
    </w:p>
    <w:p w14:paraId="3F1A8D73" w14:textId="3ACCDDEF" w:rsidR="002658B4" w:rsidRPr="002658B4" w:rsidRDefault="002658B4" w:rsidP="002658B4">
      <w:pPr>
        <w:pStyle w:val="ListParagraph"/>
        <w:numPr>
          <w:ilvl w:val="0"/>
          <w:numId w:val="40"/>
        </w:numPr>
        <w:jc w:val="both"/>
        <w:rPr>
          <w:rFonts w:cstheme="minorHAnsi"/>
        </w:rPr>
      </w:pPr>
      <w:r w:rsidRPr="002658B4">
        <w:rPr>
          <w:rFonts w:cstheme="minorHAnsi"/>
        </w:rPr>
        <w:t>conduct transactions independent of Austra</w:t>
      </w:r>
      <w:r w:rsidR="00A062C8">
        <w:rPr>
          <w:rFonts w:cstheme="minorHAnsi"/>
        </w:rPr>
        <w:t>lia’s commercial banking system</w:t>
      </w:r>
    </w:p>
    <w:p w14:paraId="38E6D753" w14:textId="3B658281" w:rsidR="002658B4" w:rsidRDefault="002658B4" w:rsidP="00EF59B6">
      <w:pPr>
        <w:jc w:val="both"/>
        <w:rPr>
          <w:rFonts w:cstheme="minorHAnsi"/>
        </w:rPr>
      </w:pPr>
      <w:r>
        <w:rPr>
          <w:rFonts w:cstheme="minorHAnsi"/>
        </w:rPr>
        <w:t xml:space="preserve">This Bill may force individuals into a corrupt and self-interested banking system, which (though exposed though the Hayne Royal Commission) is </w:t>
      </w:r>
      <w:r w:rsidR="00EA24C0">
        <w:rPr>
          <w:rFonts w:cstheme="minorHAnsi"/>
        </w:rPr>
        <w:t>poorly held</w:t>
      </w:r>
      <w:r>
        <w:rPr>
          <w:rFonts w:cstheme="minorHAnsi"/>
        </w:rPr>
        <w:t xml:space="preserve"> to account</w:t>
      </w:r>
      <w:r w:rsidR="00E908D3">
        <w:rPr>
          <w:rFonts w:cstheme="minorHAnsi"/>
        </w:rPr>
        <w:t xml:space="preserve"> and has demonstrated an alarming amount of power in the economic and political sphere</w:t>
      </w:r>
      <w:r>
        <w:rPr>
          <w:rFonts w:cstheme="minorHAnsi"/>
        </w:rPr>
        <w:t xml:space="preserve">. </w:t>
      </w:r>
      <w:r w:rsidR="00E908D3">
        <w:rPr>
          <w:rFonts w:cstheme="minorHAnsi"/>
        </w:rPr>
        <w:t>It is inappropriate for the legislature to dictate the manner in which Australians manage their financial affairs. The proposed law interferes with individual freedom in a manner that advantages the commercial b</w:t>
      </w:r>
      <w:r w:rsidR="00CF6C38">
        <w:rPr>
          <w:rFonts w:cstheme="minorHAnsi"/>
        </w:rPr>
        <w:t>anking sector and undermines the anti-competitive principles of this country.</w:t>
      </w:r>
    </w:p>
    <w:p w14:paraId="6D4C217B" w14:textId="52733745" w:rsidR="002658B4" w:rsidRPr="004D6DFD" w:rsidRDefault="00CF6C38" w:rsidP="00EF59B6">
      <w:pPr>
        <w:jc w:val="both"/>
        <w:rPr>
          <w:rFonts w:cstheme="minorHAnsi"/>
        </w:rPr>
      </w:pPr>
      <w:r>
        <w:rPr>
          <w:rFonts w:cstheme="minorHAnsi"/>
        </w:rPr>
        <w:t>Loss of</w:t>
      </w:r>
      <w:r w:rsidR="002658B4">
        <w:rPr>
          <w:rFonts w:cstheme="minorHAnsi"/>
        </w:rPr>
        <w:t xml:space="preserve"> </w:t>
      </w:r>
      <w:r>
        <w:rPr>
          <w:rFonts w:cstheme="minorHAnsi"/>
        </w:rPr>
        <w:t xml:space="preserve">the cash alternative </w:t>
      </w:r>
      <w:r w:rsidR="00A062C8">
        <w:rPr>
          <w:rFonts w:cstheme="minorHAnsi"/>
        </w:rPr>
        <w:t>is</w:t>
      </w:r>
      <w:r w:rsidR="00CD58F4">
        <w:rPr>
          <w:rFonts w:cstheme="minorHAnsi"/>
        </w:rPr>
        <w:t xml:space="preserve"> even more</w:t>
      </w:r>
      <w:r>
        <w:rPr>
          <w:rFonts w:cstheme="minorHAnsi"/>
        </w:rPr>
        <w:t xml:space="preserve"> critical in the face </w:t>
      </w:r>
      <w:r w:rsidR="00A062C8">
        <w:rPr>
          <w:rFonts w:cstheme="minorHAnsi"/>
        </w:rPr>
        <w:t>of impending</w:t>
      </w:r>
      <w:r w:rsidR="002658B4">
        <w:rPr>
          <w:rFonts w:cstheme="minorHAnsi"/>
        </w:rPr>
        <w:t xml:space="preserve"> negative interest rate</w:t>
      </w:r>
      <w:r w:rsidR="00A062C8">
        <w:rPr>
          <w:rFonts w:cstheme="minorHAnsi"/>
        </w:rPr>
        <w:t>s</w:t>
      </w:r>
      <w:r w:rsidR="002658B4">
        <w:rPr>
          <w:rFonts w:cstheme="minorHAnsi"/>
        </w:rPr>
        <w:t xml:space="preserve">. </w:t>
      </w:r>
    </w:p>
    <w:p w14:paraId="1738A34A" w14:textId="31DF1545" w:rsidR="00EF59B6" w:rsidRPr="00EA24C0" w:rsidRDefault="00EA24C0" w:rsidP="00EA24C0">
      <w:pPr>
        <w:jc w:val="both"/>
        <w:rPr>
          <w:rFonts w:cstheme="minorHAnsi"/>
          <w:b/>
          <w:i/>
        </w:rPr>
      </w:pPr>
      <w:r>
        <w:rPr>
          <w:rFonts w:cstheme="minorHAnsi"/>
          <w:b/>
          <w:i/>
        </w:rPr>
        <w:t>Negative Interest Rate Predictions</w:t>
      </w:r>
    </w:p>
    <w:p w14:paraId="14BFF67B" w14:textId="78112394" w:rsidR="00A475A6" w:rsidRDefault="00EA24C0" w:rsidP="00A475A6">
      <w:pPr>
        <w:spacing w:before="240"/>
        <w:jc w:val="both"/>
        <w:rPr>
          <w:rFonts w:cstheme="minorHAnsi"/>
        </w:rPr>
      </w:pPr>
      <w:r>
        <w:rPr>
          <w:rFonts w:cstheme="minorHAnsi"/>
        </w:rPr>
        <w:t>Should the Reserve Bank of Australia introduce a monetary policy imposing negative interest rates</w:t>
      </w:r>
      <w:r w:rsidR="00CD58F4">
        <w:rPr>
          <w:rFonts w:cstheme="minorHAnsi"/>
        </w:rPr>
        <w:t>, there will arise great incentive to restrict cash transactions and the holding of cash</w:t>
      </w:r>
      <w:r>
        <w:rPr>
          <w:rFonts w:cstheme="minorHAnsi"/>
        </w:rPr>
        <w:t>.</w:t>
      </w:r>
      <w:r w:rsidR="00CD58F4">
        <w:rPr>
          <w:rFonts w:cstheme="minorHAnsi"/>
        </w:rPr>
        <w:t xml:space="preserve"> If the proposed Bill has been successfully implemented, these restrictions may take effect very quickly.</w:t>
      </w:r>
    </w:p>
    <w:p w14:paraId="1D8EF032" w14:textId="04F0C46D" w:rsidR="00E97CE6" w:rsidRDefault="00E97CE6" w:rsidP="00A475A6">
      <w:pPr>
        <w:spacing w:before="240"/>
        <w:jc w:val="both"/>
        <w:rPr>
          <w:rFonts w:cstheme="minorHAnsi"/>
        </w:rPr>
      </w:pPr>
      <w:r>
        <w:rPr>
          <w:rFonts w:cstheme="minorHAnsi"/>
        </w:rPr>
        <w:t>While n</w:t>
      </w:r>
      <w:r w:rsidR="00EA24C0">
        <w:rPr>
          <w:rFonts w:cstheme="minorHAnsi"/>
        </w:rPr>
        <w:t xml:space="preserve">egative interest rates are still a ‘sleeping’ issue </w:t>
      </w:r>
      <w:r>
        <w:rPr>
          <w:rFonts w:cstheme="minorHAnsi"/>
        </w:rPr>
        <w:t xml:space="preserve">for many Australians, the </w:t>
      </w:r>
      <w:r w:rsidR="007B5FCA">
        <w:rPr>
          <w:rFonts w:cstheme="minorHAnsi"/>
        </w:rPr>
        <w:t>policy consideration</w:t>
      </w:r>
      <w:r>
        <w:rPr>
          <w:rFonts w:cstheme="minorHAnsi"/>
        </w:rPr>
        <w:t xml:space="preserve"> is rapidly emerg</w:t>
      </w:r>
      <w:r w:rsidR="00CD58F4">
        <w:rPr>
          <w:rFonts w:cstheme="minorHAnsi"/>
        </w:rPr>
        <w:t>ing on the international stage</w:t>
      </w:r>
      <w:r>
        <w:rPr>
          <w:rFonts w:cstheme="minorHAnsi"/>
        </w:rPr>
        <w:t>.</w:t>
      </w:r>
      <w:r w:rsidR="00CD58F4">
        <w:rPr>
          <w:rFonts w:cstheme="minorHAnsi"/>
        </w:rPr>
        <w:t xml:space="preserve"> In Denmark, Nordea Bank </w:t>
      </w:r>
      <w:proofErr w:type="spellStart"/>
      <w:r w:rsidR="00CD58F4">
        <w:rPr>
          <w:rFonts w:cstheme="minorHAnsi"/>
        </w:rPr>
        <w:t>Abp</w:t>
      </w:r>
      <w:proofErr w:type="spellEnd"/>
      <w:r w:rsidR="00CD58F4">
        <w:rPr>
          <w:rFonts w:cstheme="minorHAnsi"/>
        </w:rPr>
        <w:t xml:space="preserve"> is now offering a 20-year fixed-rate loan that charges no interest. The bank’</w:t>
      </w:r>
      <w:r w:rsidR="00A41689">
        <w:rPr>
          <w:rFonts w:cstheme="minorHAnsi"/>
        </w:rPr>
        <w:t>s prospectus</w:t>
      </w:r>
      <w:r w:rsidR="00CD58F4">
        <w:rPr>
          <w:rFonts w:cstheme="minorHAnsi"/>
        </w:rPr>
        <w:t xml:space="preserve"> now also allows for home loans up to 30 yea</w:t>
      </w:r>
      <w:r w:rsidR="00C1276F">
        <w:rPr>
          <w:rFonts w:cstheme="minorHAnsi"/>
        </w:rPr>
        <w:t>r</w:t>
      </w:r>
      <w:r w:rsidR="00CD58F4">
        <w:rPr>
          <w:rFonts w:cstheme="minorHAnsi"/>
        </w:rPr>
        <w:t>s at negative interest rates.</w:t>
      </w:r>
      <w:r w:rsidR="00C1276F">
        <w:rPr>
          <w:rStyle w:val="FootnoteReference"/>
          <w:rFonts w:cstheme="minorHAnsi"/>
        </w:rPr>
        <w:footnoteReference w:id="2"/>
      </w:r>
      <w:r w:rsidR="00CD58F4">
        <w:rPr>
          <w:rFonts w:cstheme="minorHAnsi"/>
        </w:rPr>
        <w:t xml:space="preserve"> </w:t>
      </w:r>
      <w:r>
        <w:rPr>
          <w:rFonts w:cstheme="minorHAnsi"/>
        </w:rPr>
        <w:t>Removal of the cash economy is clearly a desired object for the smooth implementation of such a monetary policy. We quote the following to illustrate:</w:t>
      </w:r>
    </w:p>
    <w:p w14:paraId="26FB4307" w14:textId="705E11ED" w:rsidR="00EA24C0" w:rsidRPr="00C1276F" w:rsidRDefault="00E97CE6" w:rsidP="00DA1E6D">
      <w:pPr>
        <w:spacing w:before="240" w:after="0"/>
        <w:ind w:left="720" w:right="720"/>
        <w:jc w:val="both"/>
        <w:rPr>
          <w:rFonts w:cstheme="minorHAnsi"/>
          <w:i/>
        </w:rPr>
      </w:pPr>
      <w:r w:rsidRPr="00C1276F">
        <w:rPr>
          <w:rFonts w:cstheme="minorHAnsi"/>
          <w:i/>
        </w:rPr>
        <w:t xml:space="preserve"> “Another advantage of eliminating large bills would be the effect on monetary policy. The Federal reserve should be able to implement negative nominal rates vastly more effectively in the absence of large bills, which could prove quite important as a stimulative tool in the next financial crisis.”</w:t>
      </w:r>
    </w:p>
    <w:p w14:paraId="63E2A143" w14:textId="5D658A05" w:rsidR="00E97CE6" w:rsidRPr="00C1276F" w:rsidRDefault="00E97CE6" w:rsidP="00A062C8">
      <w:pPr>
        <w:ind w:left="4320" w:right="720"/>
        <w:jc w:val="both"/>
        <w:rPr>
          <w:rFonts w:cstheme="minorHAnsi"/>
          <w:i/>
        </w:rPr>
      </w:pPr>
      <w:r w:rsidRPr="00C1276F">
        <w:rPr>
          <w:rFonts w:cstheme="minorHAnsi"/>
          <w:i/>
        </w:rPr>
        <w:t>Ken Rogoff (Wa</w:t>
      </w:r>
      <w:r w:rsidR="00DA1E6D" w:rsidRPr="00C1276F">
        <w:rPr>
          <w:rFonts w:cstheme="minorHAnsi"/>
          <w:i/>
        </w:rPr>
        <w:t xml:space="preserve">ll Street Journal, </w:t>
      </w:r>
      <w:r w:rsidRPr="00C1276F">
        <w:rPr>
          <w:rFonts w:cstheme="minorHAnsi"/>
          <w:i/>
        </w:rPr>
        <w:t>2017)</w:t>
      </w:r>
    </w:p>
    <w:p w14:paraId="7583F2E8" w14:textId="5E9B9755" w:rsidR="00DA1E6D" w:rsidRPr="00C1276F" w:rsidRDefault="00DA1E6D" w:rsidP="00DA1E6D">
      <w:pPr>
        <w:ind w:left="720" w:right="720"/>
        <w:jc w:val="both"/>
        <w:rPr>
          <w:rFonts w:cstheme="minorHAnsi"/>
          <w:i/>
        </w:rPr>
      </w:pPr>
      <w:r w:rsidRPr="00C1276F">
        <w:rPr>
          <w:rFonts w:cstheme="minorHAnsi"/>
          <w:i/>
        </w:rPr>
        <w:lastRenderedPageBreak/>
        <w:t>“When cash is available, however, cutting rates significantly into negative territory becomes impossible. Cash has the same purchasing power as bank deposits, but at zero nominal interest…Cash is a free option on zero interest, and acts as an inte</w:t>
      </w:r>
      <w:r w:rsidR="00CD58F4" w:rsidRPr="00C1276F">
        <w:rPr>
          <w:rFonts w:cstheme="minorHAnsi"/>
          <w:i/>
        </w:rPr>
        <w:t>rest rate floor…”</w:t>
      </w:r>
      <w:r w:rsidR="00CD58F4" w:rsidRPr="00C1276F">
        <w:rPr>
          <w:rFonts w:cstheme="minorHAnsi"/>
          <w:i/>
        </w:rPr>
        <w:tab/>
      </w:r>
      <w:r w:rsidR="00CD58F4" w:rsidRPr="00C1276F">
        <w:rPr>
          <w:rFonts w:cstheme="minorHAnsi"/>
          <w:i/>
        </w:rPr>
        <w:tab/>
      </w:r>
      <w:r w:rsidR="00CD58F4" w:rsidRPr="00C1276F">
        <w:rPr>
          <w:rFonts w:cstheme="minorHAnsi"/>
          <w:i/>
        </w:rPr>
        <w:tab/>
      </w:r>
      <w:r w:rsidR="00CD58F4" w:rsidRPr="00C1276F">
        <w:rPr>
          <w:rFonts w:cstheme="minorHAnsi"/>
          <w:i/>
        </w:rPr>
        <w:tab/>
      </w:r>
      <w:r w:rsidR="00CD58F4" w:rsidRPr="00C1276F">
        <w:rPr>
          <w:rFonts w:cstheme="minorHAnsi"/>
          <w:i/>
        </w:rPr>
        <w:tab/>
      </w:r>
      <w:r w:rsidR="00CD58F4" w:rsidRPr="00C1276F">
        <w:rPr>
          <w:rFonts w:cstheme="minorHAnsi"/>
          <w:i/>
        </w:rPr>
        <w:tab/>
      </w:r>
      <w:r w:rsidR="00CD58F4" w:rsidRPr="00C1276F">
        <w:rPr>
          <w:rFonts w:cstheme="minorHAnsi"/>
          <w:i/>
        </w:rPr>
        <w:tab/>
      </w:r>
      <w:r w:rsidR="00CD58F4" w:rsidRPr="00C1276F">
        <w:rPr>
          <w:rFonts w:cstheme="minorHAnsi"/>
          <w:i/>
        </w:rPr>
        <w:tab/>
      </w:r>
    </w:p>
    <w:p w14:paraId="07153B30" w14:textId="0B342BEC" w:rsidR="00DA1E6D" w:rsidRPr="00C1276F" w:rsidRDefault="00DA1E6D" w:rsidP="00DA1E6D">
      <w:pPr>
        <w:spacing w:before="240" w:after="0"/>
        <w:ind w:left="720" w:right="720"/>
        <w:jc w:val="both"/>
        <w:rPr>
          <w:rFonts w:cstheme="minorHAnsi"/>
          <w:i/>
        </w:rPr>
      </w:pPr>
      <w:r w:rsidRPr="00C1276F">
        <w:rPr>
          <w:rFonts w:cstheme="minorHAnsi"/>
          <w:i/>
        </w:rPr>
        <w:t>“</w:t>
      </w:r>
      <w:r w:rsidR="00CD58F4" w:rsidRPr="00C1276F">
        <w:rPr>
          <w:rFonts w:cstheme="minorHAnsi"/>
          <w:i/>
        </w:rPr>
        <w:t>…</w:t>
      </w:r>
      <w:r w:rsidRPr="00C1276F">
        <w:rPr>
          <w:rFonts w:cstheme="minorHAnsi"/>
          <w:i/>
        </w:rPr>
        <w:t>While the global economy has been recovering, future downturns are inevitable. Severe recessions have historically required 3-6 percentage points cut in policy rates. If another crisis happens, few countries would have that kind of room for monetary policy to respond.”</w:t>
      </w:r>
    </w:p>
    <w:p w14:paraId="656A91F8" w14:textId="6B85C2DD" w:rsidR="00DA1E6D" w:rsidRPr="00C1276F" w:rsidRDefault="00DA1E6D" w:rsidP="00DA1E6D">
      <w:pPr>
        <w:ind w:left="720" w:right="720" w:firstLine="720"/>
        <w:jc w:val="both"/>
        <w:rPr>
          <w:rFonts w:cstheme="minorHAnsi"/>
          <w:i/>
        </w:rPr>
      </w:pPr>
      <w:r w:rsidRPr="00C1276F">
        <w:rPr>
          <w:rFonts w:cstheme="minorHAnsi"/>
          <w:i/>
        </w:rPr>
        <w:t xml:space="preserve"> </w:t>
      </w:r>
      <w:r w:rsidRPr="00C1276F">
        <w:rPr>
          <w:rFonts w:cstheme="minorHAnsi"/>
          <w:i/>
        </w:rPr>
        <w:tab/>
      </w:r>
      <w:r w:rsidRPr="00C1276F">
        <w:rPr>
          <w:rFonts w:cstheme="minorHAnsi"/>
          <w:i/>
        </w:rPr>
        <w:tab/>
      </w:r>
      <w:r w:rsidRPr="00C1276F">
        <w:rPr>
          <w:rFonts w:cstheme="minorHAnsi"/>
          <w:i/>
        </w:rPr>
        <w:tab/>
      </w:r>
      <w:r w:rsidRPr="00C1276F">
        <w:rPr>
          <w:rFonts w:cstheme="minorHAnsi"/>
          <w:i/>
        </w:rPr>
        <w:tab/>
      </w:r>
      <w:proofErr w:type="spellStart"/>
      <w:r w:rsidRPr="00C1276F">
        <w:rPr>
          <w:rFonts w:cstheme="minorHAnsi"/>
          <w:i/>
        </w:rPr>
        <w:t>Ararwal</w:t>
      </w:r>
      <w:proofErr w:type="spellEnd"/>
      <w:r w:rsidRPr="00C1276F">
        <w:rPr>
          <w:rFonts w:cstheme="minorHAnsi"/>
          <w:i/>
        </w:rPr>
        <w:t xml:space="preserve"> and </w:t>
      </w:r>
      <w:proofErr w:type="spellStart"/>
      <w:r w:rsidRPr="00C1276F">
        <w:rPr>
          <w:rFonts w:cstheme="minorHAnsi"/>
          <w:i/>
        </w:rPr>
        <w:t>Krogstrup</w:t>
      </w:r>
      <w:proofErr w:type="spellEnd"/>
      <w:r w:rsidRPr="00C1276F">
        <w:rPr>
          <w:rFonts w:cstheme="minorHAnsi"/>
          <w:i/>
        </w:rPr>
        <w:t xml:space="preserve"> (IMF, 2019)</w:t>
      </w:r>
    </w:p>
    <w:p w14:paraId="1C98ED63" w14:textId="5E3E48B2" w:rsidR="007B5FCA" w:rsidRDefault="007B5FCA" w:rsidP="007B5FCA">
      <w:pPr>
        <w:jc w:val="both"/>
        <w:rPr>
          <w:rFonts w:cstheme="minorHAnsi"/>
        </w:rPr>
      </w:pPr>
      <w:r>
        <w:rPr>
          <w:rFonts w:cstheme="minorHAnsi"/>
        </w:rPr>
        <w:t>As Australia’s current cash rate is 1%, this nation is clearly one of those referred to above. It is significant to note the following extrac</w:t>
      </w:r>
      <w:r w:rsidR="00836D70">
        <w:rPr>
          <w:rFonts w:cstheme="minorHAnsi"/>
        </w:rPr>
        <w:t>t released by the ASX</w:t>
      </w:r>
      <w:r>
        <w:rPr>
          <w:rFonts w:cstheme="minorHAnsi"/>
        </w:rPr>
        <w:t>:</w:t>
      </w:r>
    </w:p>
    <w:p w14:paraId="08718D7B" w14:textId="2EF1C203" w:rsidR="007B5FCA" w:rsidRPr="00C1276F" w:rsidRDefault="007B5FCA" w:rsidP="007B5FCA">
      <w:pPr>
        <w:ind w:left="720" w:right="720"/>
        <w:jc w:val="both"/>
        <w:rPr>
          <w:rFonts w:cstheme="minorHAnsi"/>
          <w:i/>
        </w:rPr>
      </w:pPr>
      <w:r w:rsidRPr="00C1276F">
        <w:rPr>
          <w:rFonts w:cstheme="minorHAnsi"/>
          <w:i/>
        </w:rPr>
        <w:t xml:space="preserve"> “Due to the declining interest rate environment, ASX has been investigating the impact of zero and negative rates on all ASX interest rate products…and relevant ASX systems.”</w:t>
      </w:r>
      <w:r w:rsidR="00C1276F">
        <w:rPr>
          <w:rStyle w:val="FootnoteReference"/>
          <w:rFonts w:cstheme="minorHAnsi"/>
          <w:i/>
        </w:rPr>
        <w:footnoteReference w:id="3"/>
      </w:r>
    </w:p>
    <w:p w14:paraId="23AC3F19" w14:textId="0E44F8E6" w:rsidR="00A41689" w:rsidRDefault="00A41689" w:rsidP="007B5FCA">
      <w:pPr>
        <w:jc w:val="both"/>
        <w:rPr>
          <w:rFonts w:cstheme="minorHAnsi"/>
        </w:rPr>
      </w:pPr>
      <w:r>
        <w:rPr>
          <w:rFonts w:cstheme="minorHAnsi"/>
        </w:rPr>
        <w:t>RBA governor Phi</w:t>
      </w:r>
      <w:r w:rsidR="00466F46">
        <w:rPr>
          <w:rFonts w:cstheme="minorHAnsi"/>
        </w:rPr>
        <w:t xml:space="preserve">lip Lowe has recently communicated </w:t>
      </w:r>
      <w:r>
        <w:rPr>
          <w:rFonts w:cstheme="minorHAnsi"/>
        </w:rPr>
        <w:t xml:space="preserve">that further Australian rate cuts could force </w:t>
      </w:r>
      <w:r w:rsidR="00466F46">
        <w:rPr>
          <w:rFonts w:cstheme="minorHAnsi"/>
        </w:rPr>
        <w:t>interest rates to zero or below into negative.</w:t>
      </w:r>
      <w:r w:rsidR="00466F46">
        <w:rPr>
          <w:rStyle w:val="FootnoteReference"/>
          <w:rFonts w:cstheme="minorHAnsi"/>
        </w:rPr>
        <w:footnoteReference w:id="4"/>
      </w:r>
      <w:r w:rsidR="00466F46">
        <w:rPr>
          <w:rFonts w:cstheme="minorHAnsi"/>
        </w:rPr>
        <w:t xml:space="preserve"> These sentiments were echoed more forcefully by New Zealand’s central bank governor, Adrian Orr:</w:t>
      </w:r>
    </w:p>
    <w:p w14:paraId="2BF6BA73" w14:textId="5746B529" w:rsidR="00A41689" w:rsidRPr="00466F46" w:rsidRDefault="00466F46" w:rsidP="00466F46">
      <w:pPr>
        <w:ind w:left="720" w:right="720"/>
        <w:jc w:val="both"/>
        <w:rPr>
          <w:rFonts w:cstheme="minorHAnsi"/>
          <w:i/>
        </w:rPr>
      </w:pPr>
      <w:r w:rsidRPr="00466F46">
        <w:rPr>
          <w:rFonts w:cstheme="minorHAnsi"/>
          <w:i/>
        </w:rPr>
        <w:t>“Easily within the downward errors of our forecasts…if you’re trying to stimulate…that means you have negative interest rates.”</w:t>
      </w:r>
      <w:r>
        <w:rPr>
          <w:rStyle w:val="FootnoteReference"/>
          <w:rFonts w:cstheme="minorHAnsi"/>
          <w:i/>
        </w:rPr>
        <w:footnoteReference w:id="5"/>
      </w:r>
    </w:p>
    <w:p w14:paraId="738BB722" w14:textId="68F4FD23" w:rsidR="007B5FCA" w:rsidRDefault="00C1276F" w:rsidP="007B5FCA">
      <w:pPr>
        <w:jc w:val="both"/>
        <w:rPr>
          <w:rFonts w:cstheme="minorHAnsi"/>
        </w:rPr>
      </w:pPr>
      <w:r>
        <w:rPr>
          <w:rFonts w:cstheme="minorHAnsi"/>
        </w:rPr>
        <w:t xml:space="preserve">It would appear that Australian financial markets and the banking system are preparing for a negative rate contingency. It is curious that this Bill is being introduced without any acknowledged connection to a monetary policy that that will rely upon the elimination of cash and will have such profound implications for the Australian people. </w:t>
      </w:r>
    </w:p>
    <w:p w14:paraId="3966FD8C" w14:textId="77777777" w:rsidR="00836D70" w:rsidRPr="00836D70" w:rsidRDefault="00836D70" w:rsidP="00836D70">
      <w:pPr>
        <w:jc w:val="both"/>
        <w:rPr>
          <w:rFonts w:cstheme="minorHAnsi"/>
          <w:b/>
        </w:rPr>
      </w:pPr>
      <w:r w:rsidRPr="00836D70">
        <w:rPr>
          <w:rFonts w:cstheme="minorHAnsi"/>
          <w:b/>
        </w:rPr>
        <w:t>3.</w:t>
      </w:r>
      <w:r w:rsidRPr="00836D70">
        <w:rPr>
          <w:rFonts w:cstheme="minorHAnsi"/>
          <w:b/>
        </w:rPr>
        <w:tab/>
        <w:t>Concerns regarding Government Management of this Policy</w:t>
      </w:r>
    </w:p>
    <w:p w14:paraId="2B4C08D1" w14:textId="2256480F" w:rsidR="00836D70" w:rsidRDefault="00836D70" w:rsidP="00836D70">
      <w:pPr>
        <w:jc w:val="both"/>
        <w:rPr>
          <w:rFonts w:cstheme="minorHAnsi"/>
        </w:rPr>
      </w:pPr>
      <w:r>
        <w:rPr>
          <w:rFonts w:cstheme="minorHAnsi"/>
        </w:rPr>
        <w:t>We are very concerned by the manner in which this policy measure has been introduced.</w:t>
      </w:r>
    </w:p>
    <w:p w14:paraId="78E3CA77" w14:textId="6F6E65DF" w:rsidR="00836D70" w:rsidRPr="00EA24C0" w:rsidRDefault="00836D70" w:rsidP="00836D70">
      <w:pPr>
        <w:jc w:val="both"/>
        <w:rPr>
          <w:rFonts w:cstheme="minorHAnsi"/>
          <w:b/>
          <w:i/>
        </w:rPr>
      </w:pPr>
      <w:r>
        <w:rPr>
          <w:rFonts w:cstheme="minorHAnsi"/>
          <w:b/>
          <w:i/>
        </w:rPr>
        <w:t>Short Submission Timeframe</w:t>
      </w:r>
    </w:p>
    <w:p w14:paraId="6146B5FF" w14:textId="05AE8F7D" w:rsidR="00763B8F" w:rsidRDefault="00836D70" w:rsidP="00836D70">
      <w:pPr>
        <w:jc w:val="both"/>
        <w:rPr>
          <w:rFonts w:cstheme="minorHAnsi"/>
        </w:rPr>
      </w:pPr>
      <w:r>
        <w:rPr>
          <w:rFonts w:cstheme="minorHAnsi"/>
        </w:rPr>
        <w:t xml:space="preserve">The draft instruments have been made available for public consultation for an extremely brief period of two (2) weeks. </w:t>
      </w:r>
      <w:r w:rsidR="00763B8F">
        <w:rPr>
          <w:rFonts w:cstheme="minorHAnsi"/>
        </w:rPr>
        <w:t xml:space="preserve">It has been acutely difficult for us to find the time to make this submission within the consultation period.  We call on the Government to extend this timeframe.  </w:t>
      </w:r>
    </w:p>
    <w:p w14:paraId="00A82696" w14:textId="77777777" w:rsidR="00271EAB" w:rsidRDefault="00271EAB">
      <w:pPr>
        <w:rPr>
          <w:rFonts w:cstheme="minorHAnsi"/>
          <w:b/>
          <w:i/>
        </w:rPr>
      </w:pPr>
      <w:r>
        <w:rPr>
          <w:rFonts w:cstheme="minorHAnsi"/>
          <w:b/>
          <w:i/>
        </w:rPr>
        <w:br w:type="page"/>
      </w:r>
    </w:p>
    <w:p w14:paraId="729C78A4" w14:textId="42603A44" w:rsidR="00763B8F" w:rsidRPr="00EA24C0" w:rsidRDefault="007C4D52" w:rsidP="00763B8F">
      <w:pPr>
        <w:jc w:val="both"/>
        <w:rPr>
          <w:rFonts w:cstheme="minorHAnsi"/>
          <w:b/>
          <w:i/>
        </w:rPr>
      </w:pPr>
      <w:r>
        <w:rPr>
          <w:rFonts w:cstheme="minorHAnsi"/>
          <w:b/>
          <w:i/>
        </w:rPr>
        <w:lastRenderedPageBreak/>
        <w:t>Incomplete D</w:t>
      </w:r>
      <w:r w:rsidR="00763B8F">
        <w:rPr>
          <w:rFonts w:cstheme="minorHAnsi"/>
          <w:b/>
          <w:i/>
        </w:rPr>
        <w:t>raft</w:t>
      </w:r>
    </w:p>
    <w:p w14:paraId="43D4C45E" w14:textId="7D03EDB8" w:rsidR="00763B8F" w:rsidRDefault="00763B8F" w:rsidP="00763B8F">
      <w:pPr>
        <w:jc w:val="both"/>
        <w:rPr>
          <w:rFonts w:cstheme="minorHAnsi"/>
        </w:rPr>
      </w:pPr>
      <w:r>
        <w:rPr>
          <w:rFonts w:cstheme="minorHAnsi"/>
        </w:rPr>
        <w:t xml:space="preserve">We also note that Division 2 of Part 2 (relating to offences) is missing from the Bill’s draft version. It is very odd that the full body of such </w:t>
      </w:r>
      <w:r w:rsidR="00BB5564">
        <w:rPr>
          <w:rFonts w:cstheme="minorHAnsi"/>
        </w:rPr>
        <w:t>critical</w:t>
      </w:r>
      <w:r>
        <w:rPr>
          <w:rFonts w:cstheme="minorHAnsi"/>
        </w:rPr>
        <w:t xml:space="preserve"> legislation has not been made available for the consultation period. If </w:t>
      </w:r>
      <w:r w:rsidR="00BB5564">
        <w:rPr>
          <w:rFonts w:cstheme="minorHAnsi"/>
        </w:rPr>
        <w:t>material</w:t>
      </w:r>
      <w:r>
        <w:rPr>
          <w:rFonts w:cstheme="minorHAnsi"/>
        </w:rPr>
        <w:t xml:space="preserve"> new elements are subsequently introduced to this draft, we </w:t>
      </w:r>
      <w:r w:rsidR="00BB5564">
        <w:rPr>
          <w:rFonts w:cstheme="minorHAnsi"/>
        </w:rPr>
        <w:t>call upon the Government to launch a new round of consultation for this legislation.</w:t>
      </w:r>
    </w:p>
    <w:p w14:paraId="1A2D9F90" w14:textId="2E3F0665" w:rsidR="00BB5564" w:rsidRPr="00EA24C0" w:rsidRDefault="00BB5564" w:rsidP="00BB5564">
      <w:pPr>
        <w:jc w:val="both"/>
        <w:rPr>
          <w:rFonts w:cstheme="minorHAnsi"/>
          <w:b/>
          <w:i/>
        </w:rPr>
      </w:pPr>
      <w:r>
        <w:rPr>
          <w:rFonts w:cstheme="minorHAnsi"/>
          <w:b/>
          <w:i/>
        </w:rPr>
        <w:t>Improper Disclosure Attending this Bill</w:t>
      </w:r>
    </w:p>
    <w:p w14:paraId="7AF21BAF" w14:textId="77777777" w:rsidR="00BB5564" w:rsidRDefault="00BB5564" w:rsidP="00836D70">
      <w:pPr>
        <w:jc w:val="both"/>
        <w:rPr>
          <w:rFonts w:cstheme="minorHAnsi"/>
        </w:rPr>
      </w:pPr>
      <w:r>
        <w:rPr>
          <w:rFonts w:cstheme="minorHAnsi"/>
        </w:rPr>
        <w:t xml:space="preserve">We are very disappointed by the lack of public disclosure that has attended this Bill. The vast majority of interested stakeholders remain unaware of this policy measure. We ourselves have only been made aware by the extraordinary efforts of several persons who have dedicated much of their professional time and expertise to informing themselves about such matters. </w:t>
      </w:r>
    </w:p>
    <w:p w14:paraId="3ABEB715" w14:textId="25D810D7" w:rsidR="00644959" w:rsidRDefault="00836D70" w:rsidP="00836D70">
      <w:pPr>
        <w:jc w:val="both"/>
        <w:rPr>
          <w:rFonts w:cstheme="minorHAnsi"/>
        </w:rPr>
      </w:pPr>
      <w:r>
        <w:rPr>
          <w:rFonts w:cstheme="minorHAnsi"/>
        </w:rPr>
        <w:t xml:space="preserve">Many </w:t>
      </w:r>
      <w:r w:rsidR="00BB5564">
        <w:rPr>
          <w:rFonts w:cstheme="minorHAnsi"/>
        </w:rPr>
        <w:t>Australians</w:t>
      </w:r>
      <w:r w:rsidR="00763B8F">
        <w:rPr>
          <w:rFonts w:cstheme="minorHAnsi"/>
        </w:rPr>
        <w:t xml:space="preserve"> are </w:t>
      </w:r>
      <w:r>
        <w:rPr>
          <w:rFonts w:cstheme="minorHAnsi"/>
        </w:rPr>
        <w:t xml:space="preserve">incapable of recognising this assault </w:t>
      </w:r>
      <w:r w:rsidR="00763B8F">
        <w:rPr>
          <w:rFonts w:cstheme="minorHAnsi"/>
        </w:rPr>
        <w:t>upon</w:t>
      </w:r>
      <w:r>
        <w:rPr>
          <w:rFonts w:cstheme="minorHAnsi"/>
        </w:rPr>
        <w:t xml:space="preserve"> the cash economy and civil liberties</w:t>
      </w:r>
      <w:r w:rsidR="00BB5564">
        <w:rPr>
          <w:rFonts w:cstheme="minorHAnsi"/>
        </w:rPr>
        <w:t xml:space="preserve">, particularly when such a measure is introduced with a two week consultation period, </w:t>
      </w:r>
      <w:r w:rsidR="007C4D52">
        <w:rPr>
          <w:rFonts w:cstheme="minorHAnsi"/>
        </w:rPr>
        <w:t xml:space="preserve">with </w:t>
      </w:r>
      <w:r w:rsidR="00271EAB">
        <w:rPr>
          <w:rFonts w:cstheme="minorHAnsi"/>
        </w:rPr>
        <w:t>no</w:t>
      </w:r>
      <w:r w:rsidR="00BB5564">
        <w:rPr>
          <w:rFonts w:cstheme="minorHAnsi"/>
        </w:rPr>
        <w:t xml:space="preserve"> media representation, and no recognition in explanatory materials as to the real policy significance of this measure. </w:t>
      </w:r>
      <w:r w:rsidR="00644959">
        <w:rPr>
          <w:rFonts w:cstheme="minorHAnsi"/>
        </w:rPr>
        <w:t>The IMF and the Black Economy Taskforce reveal themselves to be acutely aware of the true policy significance of this Bill. It is far more relevant to the operation of the economy in a negative interest rate environment than any deterrent upon the shadow e</w:t>
      </w:r>
      <w:r w:rsidR="007C4D52">
        <w:rPr>
          <w:rFonts w:cstheme="minorHAnsi"/>
        </w:rPr>
        <w:t>conomy</w:t>
      </w:r>
      <w:r w:rsidR="00644959">
        <w:rPr>
          <w:rFonts w:cstheme="minorHAnsi"/>
        </w:rPr>
        <w:t>. It is our opinion that the measure has been introduced with a level of stealth and non-disclosure that is very disappointing in the incumbent government.</w:t>
      </w:r>
    </w:p>
    <w:p w14:paraId="4279639B" w14:textId="69C745A3" w:rsidR="00644959" w:rsidRDefault="00644959" w:rsidP="00836D70">
      <w:pPr>
        <w:jc w:val="both"/>
        <w:rPr>
          <w:rFonts w:cstheme="minorHAnsi"/>
        </w:rPr>
      </w:pPr>
      <w:r>
        <w:rPr>
          <w:rFonts w:cstheme="minorHAnsi"/>
        </w:rPr>
        <w:t>We wish to conclude by expressing our disappointment in Australia’s elected executives. You have been given a mandate to govern this country. You owe it to all Australians to inform and represent fairly those policy measures you choose to implement.</w:t>
      </w:r>
    </w:p>
    <w:p w14:paraId="2349D739" w14:textId="77777777" w:rsidR="00CF5F0C" w:rsidRDefault="00CF5F0C" w:rsidP="00836D70">
      <w:pPr>
        <w:jc w:val="both"/>
        <w:rPr>
          <w:rFonts w:cstheme="minorHAnsi"/>
        </w:rPr>
      </w:pPr>
    </w:p>
    <w:p w14:paraId="07F4104B" w14:textId="62D25835" w:rsidR="00CF5F0C" w:rsidRPr="00CF5F0C" w:rsidRDefault="00CF5F0C" w:rsidP="00CF5F0C">
      <w:pPr>
        <w:jc w:val="center"/>
        <w:rPr>
          <w:rFonts w:eastAsia="Times New Roman" w:cstheme="minorHAnsi"/>
          <w:i/>
          <w:lang w:eastAsia="en-AU"/>
        </w:rPr>
      </w:pPr>
      <w:r w:rsidRPr="00CF5F0C">
        <w:rPr>
          <w:rStyle w:val="text"/>
          <w:rFonts w:cstheme="minorHAnsi"/>
          <w:i/>
        </w:rPr>
        <w:t>Woe to those who decree unrighteous decrees,</w:t>
      </w:r>
      <w:r w:rsidRPr="00CF5F0C">
        <w:rPr>
          <w:rFonts w:cstheme="minorHAnsi"/>
          <w:i/>
        </w:rPr>
        <w:br/>
      </w:r>
      <w:r w:rsidRPr="00CF5F0C">
        <w:rPr>
          <w:rStyle w:val="text"/>
          <w:rFonts w:cstheme="minorHAnsi"/>
          <w:i/>
        </w:rPr>
        <w:t>Who write misfortune,</w:t>
      </w:r>
      <w:r w:rsidRPr="00CF5F0C">
        <w:rPr>
          <w:rFonts w:cstheme="minorHAnsi"/>
          <w:i/>
        </w:rPr>
        <w:br/>
      </w:r>
      <w:r w:rsidRPr="00CF5F0C">
        <w:rPr>
          <w:rStyle w:val="text"/>
          <w:rFonts w:cstheme="minorHAnsi"/>
          <w:i/>
          <w:iCs/>
        </w:rPr>
        <w:t>Which</w:t>
      </w:r>
      <w:r w:rsidRPr="00CF5F0C">
        <w:rPr>
          <w:rStyle w:val="text"/>
          <w:rFonts w:cstheme="minorHAnsi"/>
          <w:i/>
        </w:rPr>
        <w:t xml:space="preserve"> they have prescribed</w:t>
      </w:r>
      <w:r w:rsidRPr="00CF5F0C">
        <w:rPr>
          <w:rFonts w:cstheme="minorHAnsi"/>
          <w:i/>
        </w:rPr>
        <w:br/>
      </w:r>
      <w:r w:rsidRPr="00CF5F0C">
        <w:rPr>
          <w:rStyle w:val="text"/>
          <w:rFonts w:cstheme="minorHAnsi"/>
          <w:i/>
        </w:rPr>
        <w:t>To rob the needy of justice,</w:t>
      </w:r>
      <w:r w:rsidRPr="00CF5F0C">
        <w:rPr>
          <w:rFonts w:cstheme="minorHAnsi"/>
          <w:i/>
        </w:rPr>
        <w:br/>
      </w:r>
      <w:r w:rsidRPr="00CF5F0C">
        <w:rPr>
          <w:rStyle w:val="text"/>
          <w:rFonts w:cstheme="minorHAnsi"/>
          <w:i/>
        </w:rPr>
        <w:t>And to take what is right from the poor of My people,</w:t>
      </w:r>
      <w:r w:rsidRPr="00CF5F0C">
        <w:rPr>
          <w:rFonts w:cstheme="minorHAnsi"/>
          <w:i/>
        </w:rPr>
        <w:br/>
      </w:r>
      <w:r w:rsidRPr="00CF5F0C">
        <w:rPr>
          <w:rStyle w:val="text"/>
          <w:rFonts w:cstheme="minorHAnsi"/>
          <w:i/>
        </w:rPr>
        <w:t>That widows may be their prey,</w:t>
      </w:r>
      <w:r w:rsidRPr="00CF5F0C">
        <w:rPr>
          <w:rFonts w:cstheme="minorHAnsi"/>
          <w:i/>
        </w:rPr>
        <w:br/>
      </w:r>
      <w:r w:rsidRPr="00CF5F0C">
        <w:rPr>
          <w:rStyle w:val="text"/>
          <w:rFonts w:cstheme="minorHAnsi"/>
          <w:i/>
        </w:rPr>
        <w:t xml:space="preserve">And </w:t>
      </w:r>
      <w:r w:rsidRPr="00CF5F0C">
        <w:rPr>
          <w:rStyle w:val="text"/>
          <w:rFonts w:cstheme="minorHAnsi"/>
          <w:i/>
          <w:iCs/>
        </w:rPr>
        <w:t>that</w:t>
      </w:r>
      <w:r w:rsidRPr="00CF5F0C">
        <w:rPr>
          <w:rStyle w:val="text"/>
          <w:rFonts w:cstheme="minorHAnsi"/>
          <w:i/>
        </w:rPr>
        <w:t xml:space="preserve"> they may rob the fatherless.</w:t>
      </w:r>
    </w:p>
    <w:p w14:paraId="3921BB2E" w14:textId="77777777" w:rsidR="00CF5F0C" w:rsidRPr="00CF5F0C" w:rsidRDefault="00CF5F0C" w:rsidP="00CF5F0C">
      <w:pPr>
        <w:pStyle w:val="xzvds"/>
        <w:shd w:val="clear" w:color="auto" w:fill="FFFFFF"/>
        <w:spacing w:before="0" w:beforeAutospacing="0" w:after="0" w:afterAutospacing="0"/>
        <w:jc w:val="center"/>
        <w:textAlignment w:val="baseline"/>
        <w:rPr>
          <w:rStyle w:val="passage-display-bcv"/>
          <w:rFonts w:asciiTheme="minorHAnsi" w:hAnsiTheme="minorHAnsi" w:cstheme="minorHAnsi"/>
          <w:i/>
          <w:sz w:val="22"/>
          <w:szCs w:val="22"/>
          <w:vertAlign w:val="subscript"/>
        </w:rPr>
      </w:pPr>
      <w:r w:rsidRPr="00CF5F0C">
        <w:rPr>
          <w:rStyle w:val="text"/>
          <w:rFonts w:asciiTheme="minorHAnsi" w:hAnsiTheme="minorHAnsi" w:cstheme="minorHAnsi"/>
          <w:i/>
          <w:sz w:val="22"/>
          <w:szCs w:val="22"/>
        </w:rPr>
        <w:t>What will you do in the day of punishment</w:t>
      </w:r>
      <w:proofErr w:type="gramStart"/>
      <w:r w:rsidRPr="00CF5F0C">
        <w:rPr>
          <w:rStyle w:val="text"/>
          <w:rFonts w:asciiTheme="minorHAnsi" w:hAnsiTheme="minorHAnsi" w:cstheme="minorHAnsi"/>
          <w:i/>
          <w:sz w:val="22"/>
          <w:szCs w:val="22"/>
        </w:rPr>
        <w:t>,</w:t>
      </w:r>
      <w:proofErr w:type="gramEnd"/>
      <w:r w:rsidRPr="00CF5F0C">
        <w:rPr>
          <w:rFonts w:asciiTheme="minorHAnsi" w:hAnsiTheme="minorHAnsi" w:cstheme="minorHAnsi"/>
          <w:i/>
          <w:sz w:val="22"/>
          <w:szCs w:val="22"/>
        </w:rPr>
        <w:br/>
      </w:r>
      <w:r w:rsidRPr="00CF5F0C">
        <w:rPr>
          <w:rStyle w:val="text"/>
          <w:rFonts w:asciiTheme="minorHAnsi" w:hAnsiTheme="minorHAnsi" w:cstheme="minorHAnsi"/>
          <w:i/>
          <w:sz w:val="22"/>
          <w:szCs w:val="22"/>
        </w:rPr>
        <w:t xml:space="preserve">And in the desolation </w:t>
      </w:r>
      <w:r w:rsidRPr="00CF5F0C">
        <w:rPr>
          <w:rStyle w:val="text"/>
          <w:rFonts w:asciiTheme="minorHAnsi" w:hAnsiTheme="minorHAnsi" w:cstheme="minorHAnsi"/>
          <w:i/>
          <w:iCs/>
          <w:sz w:val="22"/>
          <w:szCs w:val="22"/>
        </w:rPr>
        <w:t>which</w:t>
      </w:r>
      <w:r w:rsidRPr="00CF5F0C">
        <w:rPr>
          <w:rStyle w:val="text"/>
          <w:rFonts w:asciiTheme="minorHAnsi" w:hAnsiTheme="minorHAnsi" w:cstheme="minorHAnsi"/>
          <w:i/>
          <w:sz w:val="22"/>
          <w:szCs w:val="22"/>
        </w:rPr>
        <w:t xml:space="preserve"> will come from afar?</w:t>
      </w:r>
      <w:r w:rsidRPr="00CF5F0C">
        <w:rPr>
          <w:rFonts w:asciiTheme="minorHAnsi" w:hAnsiTheme="minorHAnsi" w:cstheme="minorHAnsi"/>
          <w:i/>
          <w:sz w:val="22"/>
          <w:szCs w:val="22"/>
        </w:rPr>
        <w:br/>
      </w:r>
      <w:r w:rsidRPr="00CF5F0C">
        <w:rPr>
          <w:rStyle w:val="text"/>
          <w:rFonts w:asciiTheme="minorHAnsi" w:hAnsiTheme="minorHAnsi" w:cstheme="minorHAnsi"/>
          <w:i/>
          <w:sz w:val="22"/>
          <w:szCs w:val="22"/>
        </w:rPr>
        <w:t>To whom will you flee for help?</w:t>
      </w:r>
      <w:r w:rsidRPr="00CF5F0C">
        <w:rPr>
          <w:rFonts w:asciiTheme="minorHAnsi" w:hAnsiTheme="minorHAnsi" w:cstheme="minorHAnsi"/>
          <w:i/>
          <w:sz w:val="22"/>
          <w:szCs w:val="22"/>
        </w:rPr>
        <w:br/>
      </w:r>
      <w:r w:rsidRPr="00CF5F0C">
        <w:rPr>
          <w:rStyle w:val="text"/>
          <w:rFonts w:asciiTheme="minorHAnsi" w:hAnsiTheme="minorHAnsi" w:cstheme="minorHAnsi"/>
          <w:i/>
          <w:sz w:val="22"/>
          <w:szCs w:val="22"/>
        </w:rPr>
        <w:t>And where will you leave your glory?</w:t>
      </w:r>
    </w:p>
    <w:p w14:paraId="51FF3D67" w14:textId="428C60BE" w:rsidR="00C740A5" w:rsidRPr="00E47295" w:rsidRDefault="00CF5F0C" w:rsidP="00E47295">
      <w:pPr>
        <w:spacing w:before="100" w:beforeAutospacing="1" w:after="100" w:afterAutospacing="1" w:line="240" w:lineRule="auto"/>
        <w:ind w:left="5760" w:firstLine="720"/>
        <w:rPr>
          <w:rFonts w:eastAsia="Times New Roman" w:cstheme="minorHAnsi"/>
          <w:i/>
          <w:lang w:eastAsia="en-AU"/>
        </w:rPr>
      </w:pPr>
      <w:r w:rsidRPr="00CF5F0C">
        <w:rPr>
          <w:rFonts w:eastAsia="Times New Roman" w:cstheme="minorHAnsi"/>
          <w:i/>
          <w:lang w:eastAsia="en-AU"/>
        </w:rPr>
        <w:t>Isaiah 10:1-3 NKJV</w:t>
      </w:r>
    </w:p>
    <w:p w14:paraId="47E3878A" w14:textId="1E6839FC" w:rsidR="00C740A5" w:rsidRDefault="00C740A5" w:rsidP="00E47295">
      <w:pPr>
        <w:jc w:val="center"/>
        <w:rPr>
          <w:rFonts w:cstheme="minorHAnsi"/>
        </w:rPr>
      </w:pPr>
      <w:proofErr w:type="spellStart"/>
      <w:r>
        <w:rPr>
          <w:rFonts w:cstheme="minorHAnsi"/>
        </w:rPr>
        <w:t>Thankyou</w:t>
      </w:r>
      <w:proofErr w:type="spellEnd"/>
      <w:r>
        <w:rPr>
          <w:rFonts w:cstheme="minorHAnsi"/>
        </w:rPr>
        <w:t xml:space="preserve"> for considering this submission.</w:t>
      </w:r>
    </w:p>
    <w:p w14:paraId="7ED391EB" w14:textId="1591EDF1" w:rsidR="00C740A5" w:rsidRDefault="00C740A5" w:rsidP="00C740A5">
      <w:pPr>
        <w:jc w:val="center"/>
        <w:rPr>
          <w:rFonts w:cstheme="minorHAnsi"/>
        </w:rPr>
      </w:pPr>
      <w:r>
        <w:rPr>
          <w:rFonts w:cstheme="minorHAnsi"/>
        </w:rPr>
        <w:t>****</w:t>
      </w:r>
    </w:p>
    <w:p w14:paraId="449B1BD8" w14:textId="3D38E675" w:rsidR="008E163D" w:rsidRPr="003C3C7D" w:rsidRDefault="008E163D" w:rsidP="00E20A19">
      <w:pPr>
        <w:rPr>
          <w:rFonts w:cstheme="minorHAnsi"/>
        </w:rPr>
      </w:pPr>
    </w:p>
    <w:sectPr w:rsidR="008E163D" w:rsidRPr="003C3C7D">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1D0B90" w14:textId="77777777" w:rsidR="005E0B43" w:rsidRDefault="005E0B43" w:rsidP="000223E2">
      <w:pPr>
        <w:spacing w:after="0" w:line="240" w:lineRule="auto"/>
      </w:pPr>
      <w:r>
        <w:separator/>
      </w:r>
    </w:p>
  </w:endnote>
  <w:endnote w:type="continuationSeparator" w:id="0">
    <w:p w14:paraId="35A4E792" w14:textId="77777777" w:rsidR="005E0B43" w:rsidRDefault="005E0B43" w:rsidP="000223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tura MT Script Capitals">
    <w:panose1 w:val="03020802060602070202"/>
    <w:charset w:val="00"/>
    <w:family w:val="script"/>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Blackadder ITC">
    <w:panose1 w:val="04020505051007020D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2BE84A" w14:textId="2A649F64" w:rsidR="00AF663D" w:rsidRDefault="00AF663D" w:rsidP="00EE04D0">
    <w:pPr>
      <w:pStyle w:val="Footer"/>
      <w:jc w:val="center"/>
    </w:pPr>
    <w:r>
      <w:rPr>
        <w:noProof/>
        <w:lang w:eastAsia="en-AU"/>
      </w:rPr>
      <w:drawing>
        <wp:inline distT="0" distB="0" distL="0" distR="0" wp14:anchorId="45E17916" wp14:editId="4EDB0D43">
          <wp:extent cx="5334000" cy="1333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0" cy="133350"/>
                  </a:xfrm>
                  <a:prstGeom prst="rect">
                    <a:avLst/>
                  </a:prstGeom>
                  <a:noFill/>
                  <a:ln>
                    <a:noFill/>
                  </a:ln>
                </pic:spPr>
              </pic:pic>
            </a:graphicData>
          </a:graphic>
        </wp:inline>
      </w:drawing>
    </w:r>
  </w:p>
  <w:p w14:paraId="694B296B" w14:textId="6692D75C" w:rsidR="00AF663D" w:rsidRPr="006A34F1" w:rsidRDefault="003C5E4A" w:rsidP="003C5E4A">
    <w:pPr>
      <w:pStyle w:val="Footer"/>
      <w:rPr>
        <w:b/>
        <w:noProof/>
        <w:color w:val="A349A4"/>
        <w:lang w:eastAsia="en-AU"/>
      </w:rPr>
    </w:pPr>
    <w:r w:rsidRPr="006A34F1">
      <w:rPr>
        <w:b/>
        <w:noProof/>
        <w:color w:val="A349A4"/>
        <w:lang w:eastAsia="en-AU"/>
      </w:rPr>
      <w:t xml:space="preserve"> </w:t>
    </w:r>
  </w:p>
  <w:p w14:paraId="2EB26FE6" w14:textId="4902C82F" w:rsidR="00AF663D" w:rsidRPr="006A34F1" w:rsidRDefault="003C5E4A" w:rsidP="006A34F1">
    <w:pPr>
      <w:pStyle w:val="Footer"/>
      <w:jc w:val="center"/>
      <w:rPr>
        <w:b/>
        <w:color w:val="3F48CC"/>
      </w:rPr>
    </w:pPr>
    <w:r>
      <w:rPr>
        <w:b/>
        <w:color w:val="3F48CC"/>
      </w:rPr>
      <w:t>The Kewley Family, Treasury Submission</w:t>
    </w:r>
    <w:r>
      <w:rPr>
        <w:b/>
        <w:color w:val="3F48CC"/>
      </w:rPr>
      <w:tab/>
    </w:r>
    <w:r w:rsidR="00AF663D" w:rsidRPr="006A34F1">
      <w:rPr>
        <w:b/>
        <w:color w:val="3F48CC"/>
      </w:rPr>
      <w:t xml:space="preserve"> </w:t>
    </w:r>
    <w:r w:rsidR="00AF663D" w:rsidRPr="006A34F1">
      <w:rPr>
        <w:b/>
        <w:color w:val="3F48CC"/>
      </w:rPr>
      <w:tab/>
    </w:r>
    <w:hyperlink r:id="rId2" w:history="1">
      <w:r w:rsidRPr="0010346E">
        <w:rPr>
          <w:rStyle w:val="Hyperlink"/>
          <w:b/>
        </w:rPr>
        <w:t>kewlfam@internode.on.net</w:t>
      </w:r>
    </w:hyperlink>
  </w:p>
  <w:p w14:paraId="475BB660" w14:textId="2CD79094" w:rsidR="00AF663D" w:rsidRDefault="00AF663D" w:rsidP="006A34F1">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AF61A4" w14:textId="77777777" w:rsidR="005E0B43" w:rsidRDefault="005E0B43" w:rsidP="000223E2">
      <w:pPr>
        <w:spacing w:after="0" w:line="240" w:lineRule="auto"/>
      </w:pPr>
      <w:r>
        <w:separator/>
      </w:r>
    </w:p>
  </w:footnote>
  <w:footnote w:type="continuationSeparator" w:id="0">
    <w:p w14:paraId="4DC3D89B" w14:textId="77777777" w:rsidR="005E0B43" w:rsidRDefault="005E0B43" w:rsidP="000223E2">
      <w:pPr>
        <w:spacing w:after="0" w:line="240" w:lineRule="auto"/>
      </w:pPr>
      <w:r>
        <w:continuationSeparator/>
      </w:r>
    </w:p>
  </w:footnote>
  <w:footnote w:id="1">
    <w:p w14:paraId="10AF4752" w14:textId="368CA404" w:rsidR="005472DC" w:rsidRDefault="005472DC">
      <w:pPr>
        <w:pStyle w:val="FootnoteText"/>
      </w:pPr>
      <w:r>
        <w:rPr>
          <w:rStyle w:val="FootnoteReference"/>
        </w:rPr>
        <w:footnoteRef/>
      </w:r>
      <w:r>
        <w:t xml:space="preserve"> </w:t>
      </w:r>
      <w:r>
        <w:rPr>
          <w:rFonts w:cstheme="minorHAnsi"/>
        </w:rPr>
        <w:t>Hereafter referred to as ‘the Bill’.</w:t>
      </w:r>
    </w:p>
  </w:footnote>
  <w:footnote w:id="2">
    <w:p w14:paraId="59513F88" w14:textId="4A77A638" w:rsidR="00C1276F" w:rsidRDefault="00C1276F">
      <w:pPr>
        <w:pStyle w:val="FootnoteText"/>
      </w:pPr>
      <w:r>
        <w:rPr>
          <w:rStyle w:val="FootnoteReference"/>
        </w:rPr>
        <w:footnoteRef/>
      </w:r>
      <w:r>
        <w:t xml:space="preserve"> See news article, ’20-Year Mortgages Hit Zero for the First Time in Danish Rate History’, by Frances </w:t>
      </w:r>
      <w:proofErr w:type="spellStart"/>
      <w:r>
        <w:t>Schwartzkopff</w:t>
      </w:r>
      <w:proofErr w:type="spellEnd"/>
      <w:r>
        <w:t xml:space="preserve"> (August 2019).</w:t>
      </w:r>
    </w:p>
  </w:footnote>
  <w:footnote w:id="3">
    <w:p w14:paraId="0BACB733" w14:textId="3C098F3B" w:rsidR="00C1276F" w:rsidRDefault="00C1276F">
      <w:pPr>
        <w:pStyle w:val="FootnoteText"/>
      </w:pPr>
      <w:r>
        <w:rPr>
          <w:rStyle w:val="FootnoteReference"/>
        </w:rPr>
        <w:footnoteRef/>
      </w:r>
      <w:r>
        <w:t xml:space="preserve"> See ASX Online at </w:t>
      </w:r>
      <w:hyperlink r:id="rId1" w:history="1">
        <w:r>
          <w:rPr>
            <w:rStyle w:val="Hyperlink"/>
          </w:rPr>
          <w:t>https://www.asxonline.com/public/notices/2019/july/0690.19.07.html</w:t>
        </w:r>
      </w:hyperlink>
      <w:r>
        <w:t>. Accessed 11</w:t>
      </w:r>
      <w:r w:rsidRPr="00C1276F">
        <w:rPr>
          <w:vertAlign w:val="superscript"/>
        </w:rPr>
        <w:t>th</w:t>
      </w:r>
      <w:r>
        <w:t xml:space="preserve"> August 2019.</w:t>
      </w:r>
    </w:p>
  </w:footnote>
  <w:footnote w:id="4">
    <w:p w14:paraId="1E2E8068" w14:textId="04EAEEC0" w:rsidR="00466F46" w:rsidRDefault="00466F46">
      <w:pPr>
        <w:pStyle w:val="FootnoteText"/>
      </w:pPr>
      <w:r>
        <w:rPr>
          <w:rStyle w:val="FootnoteReference"/>
        </w:rPr>
        <w:footnoteRef/>
      </w:r>
      <w:r>
        <w:t xml:space="preserve"> See ABC News, business </w:t>
      </w:r>
      <w:hyperlink r:id="rId2" w:history="1">
        <w:r>
          <w:rPr>
            <w:rStyle w:val="Hyperlink"/>
          </w:rPr>
          <w:t>https://www.abc.net.au/news/2019-08-09/reserve-bank-cuts-economic-forecasts-again/11399576?section=business</w:t>
        </w:r>
      </w:hyperlink>
      <w:r>
        <w:t>. Accessed 11</w:t>
      </w:r>
      <w:r w:rsidRPr="00466F46">
        <w:rPr>
          <w:vertAlign w:val="superscript"/>
        </w:rPr>
        <w:t>th</w:t>
      </w:r>
      <w:r>
        <w:t xml:space="preserve"> August 2019.</w:t>
      </w:r>
    </w:p>
  </w:footnote>
  <w:footnote w:id="5">
    <w:p w14:paraId="4EA0D5E9" w14:textId="3EE65802" w:rsidR="00466F46" w:rsidRDefault="00466F46">
      <w:pPr>
        <w:pStyle w:val="FootnoteText"/>
      </w:pPr>
      <w:r>
        <w:rPr>
          <w:rStyle w:val="FootnoteReference"/>
        </w:rPr>
        <w:footnoteRef/>
      </w:r>
      <w:r>
        <w:t xml:space="preserve"> See The Business Times, banking &amp; finance </w:t>
      </w:r>
      <w:hyperlink r:id="rId3" w:history="1">
        <w:r>
          <w:rPr>
            <w:rStyle w:val="Hyperlink"/>
          </w:rPr>
          <w:t>https://www.businesstimes.com.sg/banking-finance/nz-central-bank-governor-reiterates-negative-interest-rates-a-possibility</w:t>
        </w:r>
      </w:hyperlink>
      <w:r>
        <w:t>. Accessed 11</w:t>
      </w:r>
      <w:r w:rsidRPr="00466F46">
        <w:rPr>
          <w:vertAlign w:val="superscript"/>
        </w:rPr>
        <w:t>th</w:t>
      </w:r>
      <w:r>
        <w:t xml:space="preserve"> August 2019.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6FBFB" w14:textId="4076CA91" w:rsidR="00AF663D" w:rsidRDefault="00AF663D">
    <w:pPr>
      <w:pStyle w:val="Header"/>
    </w:pPr>
    <w:r>
      <w:t xml:space="preserve">  </w:t>
    </w:r>
  </w:p>
  <w:p w14:paraId="02D848C6" w14:textId="77777777" w:rsidR="00AF663D" w:rsidRDefault="00AF663D">
    <w:pPr>
      <w:pStyle w:val="Header"/>
    </w:pPr>
  </w:p>
  <w:p w14:paraId="59AE5DA4" w14:textId="3B1A4F25" w:rsidR="00AF663D" w:rsidRDefault="00AF663D">
    <w:pPr>
      <w:pStyle w:val="Header"/>
    </w:pPr>
    <w:r>
      <w:rPr>
        <w:noProof/>
        <w:lang w:eastAsia="en-AU"/>
      </w:rPr>
      <w:drawing>
        <wp:inline distT="0" distB="0" distL="0" distR="0" wp14:anchorId="7B5B0DDD" wp14:editId="6F2FC5CD">
          <wp:extent cx="5334000" cy="1333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0" cy="133350"/>
                  </a:xfrm>
                  <a:prstGeom prst="rect">
                    <a:avLst/>
                  </a:prstGeom>
                  <a:noFill/>
                  <a:ln>
                    <a:noFill/>
                  </a:ln>
                </pic:spPr>
              </pic:pic>
            </a:graphicData>
          </a:graphic>
        </wp:inline>
      </w:drawing>
    </w:r>
  </w:p>
  <w:p w14:paraId="683F3A7A" w14:textId="23D6F0F5" w:rsidR="00AF663D" w:rsidRDefault="00AF663D">
    <w:pPr>
      <w:pStyle w:val="Header"/>
    </w:pPr>
  </w:p>
  <w:p w14:paraId="07E6A4F9" w14:textId="77777777" w:rsidR="00AF663D" w:rsidRDefault="00AF66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EF"/>
    <w:multiLevelType w:val="hybridMultilevel"/>
    <w:tmpl w:val="3C307F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0DB728C"/>
    <w:multiLevelType w:val="hybridMultilevel"/>
    <w:tmpl w:val="F72A93C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18171E0"/>
    <w:multiLevelType w:val="hybridMultilevel"/>
    <w:tmpl w:val="00BEE88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5235283"/>
    <w:multiLevelType w:val="hybridMultilevel"/>
    <w:tmpl w:val="1876A9E6"/>
    <w:lvl w:ilvl="0" w:tplc="85F69134">
      <w:start w:val="1"/>
      <w:numFmt w:val="decimal"/>
      <w:lvlText w:val="%1."/>
      <w:lvlJc w:val="left"/>
      <w:pPr>
        <w:ind w:left="720" w:hanging="360"/>
      </w:pPr>
      <w:rPr>
        <w:rFonts w:cstheme="minorBidi"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63D087B"/>
    <w:multiLevelType w:val="hybridMultilevel"/>
    <w:tmpl w:val="24EAAE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7270627"/>
    <w:multiLevelType w:val="hybridMultilevel"/>
    <w:tmpl w:val="53FA1E78"/>
    <w:lvl w:ilvl="0" w:tplc="E5A6C332">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15:restartNumberingAfterBreak="0">
    <w:nsid w:val="074F21BC"/>
    <w:multiLevelType w:val="hybridMultilevel"/>
    <w:tmpl w:val="DB5630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81D7776"/>
    <w:multiLevelType w:val="hybridMultilevel"/>
    <w:tmpl w:val="7F1CECDC"/>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C52512A"/>
    <w:multiLevelType w:val="hybridMultilevel"/>
    <w:tmpl w:val="EE4EDE22"/>
    <w:lvl w:ilvl="0" w:tplc="0C09000F">
      <w:start w:val="1"/>
      <w:numFmt w:val="decimal"/>
      <w:lvlText w:val="%1."/>
      <w:lvlJc w:val="left"/>
      <w:pPr>
        <w:ind w:left="720" w:hanging="360"/>
      </w:pPr>
      <w:rPr>
        <w:rFonts w:hint="default"/>
      </w:rPr>
    </w:lvl>
    <w:lvl w:ilvl="1" w:tplc="E5A6C332">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0D133D25"/>
    <w:multiLevelType w:val="hybridMultilevel"/>
    <w:tmpl w:val="103E876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1941766"/>
    <w:multiLevelType w:val="hybridMultilevel"/>
    <w:tmpl w:val="6DE089BE"/>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1CB5AFB"/>
    <w:multiLevelType w:val="hybridMultilevel"/>
    <w:tmpl w:val="24DA1966"/>
    <w:lvl w:ilvl="0" w:tplc="9F96EF8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25B54A4"/>
    <w:multiLevelType w:val="hybridMultilevel"/>
    <w:tmpl w:val="CE901D26"/>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3FA19B7"/>
    <w:multiLevelType w:val="hybridMultilevel"/>
    <w:tmpl w:val="16C4D286"/>
    <w:lvl w:ilvl="0" w:tplc="1144BB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55759DF"/>
    <w:multiLevelType w:val="hybridMultilevel"/>
    <w:tmpl w:val="1C2293C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15785EE7"/>
    <w:multiLevelType w:val="hybridMultilevel"/>
    <w:tmpl w:val="2CA64B82"/>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B98476A"/>
    <w:multiLevelType w:val="hybridMultilevel"/>
    <w:tmpl w:val="466E64F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1BD040DD"/>
    <w:multiLevelType w:val="hybridMultilevel"/>
    <w:tmpl w:val="5C84CA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C494027"/>
    <w:multiLevelType w:val="hybridMultilevel"/>
    <w:tmpl w:val="9BDE3516"/>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24353A68"/>
    <w:multiLevelType w:val="hybridMultilevel"/>
    <w:tmpl w:val="E4B8F326"/>
    <w:lvl w:ilvl="0" w:tplc="E5A6C3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A750977"/>
    <w:multiLevelType w:val="hybridMultilevel"/>
    <w:tmpl w:val="E0E2F1A4"/>
    <w:lvl w:ilvl="0" w:tplc="9F96EF8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A8D1395"/>
    <w:multiLevelType w:val="hybridMultilevel"/>
    <w:tmpl w:val="DB9454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B8A17CD"/>
    <w:multiLevelType w:val="hybridMultilevel"/>
    <w:tmpl w:val="8E90D2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F195838"/>
    <w:multiLevelType w:val="hybridMultilevel"/>
    <w:tmpl w:val="6DE089BE"/>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21563C6"/>
    <w:multiLevelType w:val="hybridMultilevel"/>
    <w:tmpl w:val="FD4847D8"/>
    <w:lvl w:ilvl="0" w:tplc="0C090001">
      <w:start w:val="1"/>
      <w:numFmt w:val="bullet"/>
      <w:lvlText w:val=""/>
      <w:lvlJc w:val="left"/>
      <w:pPr>
        <w:ind w:left="643" w:hanging="360"/>
      </w:pPr>
      <w:rPr>
        <w:rFonts w:ascii="Symbol" w:hAnsi="Symbol" w:hint="default"/>
      </w:rPr>
    </w:lvl>
    <w:lvl w:ilvl="1" w:tplc="0C090019" w:tentative="1">
      <w:start w:val="1"/>
      <w:numFmt w:val="lowerLetter"/>
      <w:lvlText w:val="%2."/>
      <w:lvlJc w:val="left"/>
      <w:pPr>
        <w:ind w:left="1363" w:hanging="360"/>
      </w:pPr>
    </w:lvl>
    <w:lvl w:ilvl="2" w:tplc="0C09001B" w:tentative="1">
      <w:start w:val="1"/>
      <w:numFmt w:val="lowerRoman"/>
      <w:lvlText w:val="%3."/>
      <w:lvlJc w:val="right"/>
      <w:pPr>
        <w:ind w:left="2083" w:hanging="180"/>
      </w:pPr>
    </w:lvl>
    <w:lvl w:ilvl="3" w:tplc="0C09000F" w:tentative="1">
      <w:start w:val="1"/>
      <w:numFmt w:val="decimal"/>
      <w:lvlText w:val="%4."/>
      <w:lvlJc w:val="left"/>
      <w:pPr>
        <w:ind w:left="2803" w:hanging="360"/>
      </w:pPr>
    </w:lvl>
    <w:lvl w:ilvl="4" w:tplc="0C090019" w:tentative="1">
      <w:start w:val="1"/>
      <w:numFmt w:val="lowerLetter"/>
      <w:lvlText w:val="%5."/>
      <w:lvlJc w:val="left"/>
      <w:pPr>
        <w:ind w:left="3523" w:hanging="360"/>
      </w:pPr>
    </w:lvl>
    <w:lvl w:ilvl="5" w:tplc="0C09001B" w:tentative="1">
      <w:start w:val="1"/>
      <w:numFmt w:val="lowerRoman"/>
      <w:lvlText w:val="%6."/>
      <w:lvlJc w:val="right"/>
      <w:pPr>
        <w:ind w:left="4243" w:hanging="180"/>
      </w:pPr>
    </w:lvl>
    <w:lvl w:ilvl="6" w:tplc="0C09000F" w:tentative="1">
      <w:start w:val="1"/>
      <w:numFmt w:val="decimal"/>
      <w:lvlText w:val="%7."/>
      <w:lvlJc w:val="left"/>
      <w:pPr>
        <w:ind w:left="4963" w:hanging="360"/>
      </w:pPr>
    </w:lvl>
    <w:lvl w:ilvl="7" w:tplc="0C090019" w:tentative="1">
      <w:start w:val="1"/>
      <w:numFmt w:val="lowerLetter"/>
      <w:lvlText w:val="%8."/>
      <w:lvlJc w:val="left"/>
      <w:pPr>
        <w:ind w:left="5683" w:hanging="360"/>
      </w:pPr>
    </w:lvl>
    <w:lvl w:ilvl="8" w:tplc="0C09001B" w:tentative="1">
      <w:start w:val="1"/>
      <w:numFmt w:val="lowerRoman"/>
      <w:lvlText w:val="%9."/>
      <w:lvlJc w:val="right"/>
      <w:pPr>
        <w:ind w:left="6403" w:hanging="180"/>
      </w:pPr>
    </w:lvl>
  </w:abstractNum>
  <w:abstractNum w:abstractNumId="25" w15:restartNumberingAfterBreak="0">
    <w:nsid w:val="46C70DBC"/>
    <w:multiLevelType w:val="hybridMultilevel"/>
    <w:tmpl w:val="33EC2DB2"/>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6D80150"/>
    <w:multiLevelType w:val="hybridMultilevel"/>
    <w:tmpl w:val="56046E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80B0D00"/>
    <w:multiLevelType w:val="hybridMultilevel"/>
    <w:tmpl w:val="C20263F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E6E049C"/>
    <w:multiLevelType w:val="hybridMultilevel"/>
    <w:tmpl w:val="DF78A3AE"/>
    <w:lvl w:ilvl="0" w:tplc="25906554">
      <w:start w:val="1"/>
      <w:numFmt w:val="decimal"/>
      <w:lvlText w:val="%1."/>
      <w:lvlJc w:val="left"/>
      <w:pPr>
        <w:ind w:left="1800" w:hanging="360"/>
      </w:pPr>
      <w:rPr>
        <w:rFonts w:hint="default"/>
        <w:b/>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9" w15:restartNumberingAfterBreak="0">
    <w:nsid w:val="4F3270B8"/>
    <w:multiLevelType w:val="hybridMultilevel"/>
    <w:tmpl w:val="48EA9660"/>
    <w:lvl w:ilvl="0" w:tplc="0C09000F">
      <w:start w:val="1"/>
      <w:numFmt w:val="decimal"/>
      <w:lvlText w:val="%1."/>
      <w:lvlJc w:val="left"/>
      <w:pPr>
        <w:ind w:left="720" w:hanging="360"/>
      </w:pPr>
      <w:rPr>
        <w:rFonts w:hint="default"/>
      </w:rPr>
    </w:lvl>
    <w:lvl w:ilvl="1" w:tplc="E5A6C332">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8945BCE"/>
    <w:multiLevelType w:val="hybridMultilevel"/>
    <w:tmpl w:val="794A8F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BB032E2"/>
    <w:multiLevelType w:val="hybridMultilevel"/>
    <w:tmpl w:val="99222AC4"/>
    <w:lvl w:ilvl="0" w:tplc="E5A6C332">
      <w:start w:val="1"/>
      <w:numFmt w:val="bullet"/>
      <w:lvlText w:val=""/>
      <w:lvlJc w:val="left"/>
      <w:pPr>
        <w:ind w:left="1440" w:hanging="360"/>
      </w:pPr>
      <w:rPr>
        <w:rFonts w:ascii="Symbol" w:hAnsi="Symbol" w:hint="default"/>
      </w:rPr>
    </w:lvl>
    <w:lvl w:ilvl="1" w:tplc="E5A6C332">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DC17843"/>
    <w:multiLevelType w:val="hybridMultilevel"/>
    <w:tmpl w:val="F7FE64D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5ECF77C0"/>
    <w:multiLevelType w:val="hybridMultilevel"/>
    <w:tmpl w:val="E24045A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1F0079E"/>
    <w:multiLevelType w:val="hybridMultilevel"/>
    <w:tmpl w:val="BE38FA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207771B"/>
    <w:multiLevelType w:val="hybridMultilevel"/>
    <w:tmpl w:val="F13E8844"/>
    <w:lvl w:ilvl="0" w:tplc="A4BEB45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98860D1"/>
    <w:multiLevelType w:val="hybridMultilevel"/>
    <w:tmpl w:val="730E808E"/>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B0E56D6"/>
    <w:multiLevelType w:val="hybridMultilevel"/>
    <w:tmpl w:val="2816594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8" w15:restartNumberingAfterBreak="0">
    <w:nsid w:val="6DD55D2A"/>
    <w:multiLevelType w:val="hybridMultilevel"/>
    <w:tmpl w:val="DFAC6F6E"/>
    <w:lvl w:ilvl="0" w:tplc="794821E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E614102"/>
    <w:multiLevelType w:val="hybridMultilevel"/>
    <w:tmpl w:val="30F6BFCA"/>
    <w:lvl w:ilvl="0" w:tplc="E5A6C332">
      <w:start w:val="1"/>
      <w:numFmt w:val="bullet"/>
      <w:lvlText w:val=""/>
      <w:lvlJc w:val="left"/>
      <w:pPr>
        <w:ind w:left="144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0762CDF"/>
    <w:multiLevelType w:val="multilevel"/>
    <w:tmpl w:val="5518E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4DA28CA"/>
    <w:multiLevelType w:val="hybridMultilevel"/>
    <w:tmpl w:val="31A4C892"/>
    <w:lvl w:ilvl="0" w:tplc="0C090015">
      <w:start w:val="1"/>
      <w:numFmt w:val="upperLetter"/>
      <w:lvlText w:val="%1."/>
      <w:lvlJc w:val="lef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2"/>
  </w:num>
  <w:num w:numId="2">
    <w:abstractNumId w:val="40"/>
  </w:num>
  <w:num w:numId="3">
    <w:abstractNumId w:val="14"/>
  </w:num>
  <w:num w:numId="4">
    <w:abstractNumId w:val="27"/>
  </w:num>
  <w:num w:numId="5">
    <w:abstractNumId w:val="24"/>
  </w:num>
  <w:num w:numId="6">
    <w:abstractNumId w:val="33"/>
  </w:num>
  <w:num w:numId="7">
    <w:abstractNumId w:val="16"/>
  </w:num>
  <w:num w:numId="8">
    <w:abstractNumId w:val="12"/>
  </w:num>
  <w:num w:numId="9">
    <w:abstractNumId w:val="36"/>
  </w:num>
  <w:num w:numId="10">
    <w:abstractNumId w:val="38"/>
  </w:num>
  <w:num w:numId="11">
    <w:abstractNumId w:val="37"/>
  </w:num>
  <w:num w:numId="12">
    <w:abstractNumId w:val="3"/>
  </w:num>
  <w:num w:numId="13">
    <w:abstractNumId w:val="41"/>
  </w:num>
  <w:num w:numId="14">
    <w:abstractNumId w:val="21"/>
  </w:num>
  <w:num w:numId="15">
    <w:abstractNumId w:val="13"/>
  </w:num>
  <w:num w:numId="16">
    <w:abstractNumId w:val="7"/>
  </w:num>
  <w:num w:numId="17">
    <w:abstractNumId w:val="35"/>
  </w:num>
  <w:num w:numId="18">
    <w:abstractNumId w:val="28"/>
  </w:num>
  <w:num w:numId="19">
    <w:abstractNumId w:val="15"/>
  </w:num>
  <w:num w:numId="20">
    <w:abstractNumId w:val="25"/>
  </w:num>
  <w:num w:numId="21">
    <w:abstractNumId w:val="6"/>
  </w:num>
  <w:num w:numId="22">
    <w:abstractNumId w:val="20"/>
  </w:num>
  <w:num w:numId="23">
    <w:abstractNumId w:val="11"/>
  </w:num>
  <w:num w:numId="24">
    <w:abstractNumId w:val="18"/>
  </w:num>
  <w:num w:numId="25">
    <w:abstractNumId w:val="26"/>
  </w:num>
  <w:num w:numId="26">
    <w:abstractNumId w:val="0"/>
  </w:num>
  <w:num w:numId="27">
    <w:abstractNumId w:val="9"/>
  </w:num>
  <w:num w:numId="28">
    <w:abstractNumId w:val="4"/>
  </w:num>
  <w:num w:numId="29">
    <w:abstractNumId w:val="1"/>
  </w:num>
  <w:num w:numId="30">
    <w:abstractNumId w:val="22"/>
  </w:num>
  <w:num w:numId="31">
    <w:abstractNumId w:val="10"/>
  </w:num>
  <w:num w:numId="32">
    <w:abstractNumId w:val="39"/>
  </w:num>
  <w:num w:numId="33">
    <w:abstractNumId w:val="31"/>
  </w:num>
  <w:num w:numId="34">
    <w:abstractNumId w:val="5"/>
  </w:num>
  <w:num w:numId="35">
    <w:abstractNumId w:val="8"/>
  </w:num>
  <w:num w:numId="36">
    <w:abstractNumId w:val="29"/>
  </w:num>
  <w:num w:numId="37">
    <w:abstractNumId w:val="19"/>
  </w:num>
  <w:num w:numId="38">
    <w:abstractNumId w:val="30"/>
  </w:num>
  <w:num w:numId="39">
    <w:abstractNumId w:val="32"/>
  </w:num>
  <w:num w:numId="40">
    <w:abstractNumId w:val="17"/>
  </w:num>
  <w:num w:numId="41">
    <w:abstractNumId w:val="34"/>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3E2"/>
    <w:rsid w:val="000223E2"/>
    <w:rsid w:val="00041F94"/>
    <w:rsid w:val="00043BD6"/>
    <w:rsid w:val="00071725"/>
    <w:rsid w:val="00073BF9"/>
    <w:rsid w:val="00081861"/>
    <w:rsid w:val="0008795F"/>
    <w:rsid w:val="000969E3"/>
    <w:rsid w:val="000A1D29"/>
    <w:rsid w:val="000A48F6"/>
    <w:rsid w:val="000C6D7B"/>
    <w:rsid w:val="000D08B2"/>
    <w:rsid w:val="000F047F"/>
    <w:rsid w:val="000F6987"/>
    <w:rsid w:val="00102BD4"/>
    <w:rsid w:val="0012215E"/>
    <w:rsid w:val="0013535F"/>
    <w:rsid w:val="00151A8F"/>
    <w:rsid w:val="00164C10"/>
    <w:rsid w:val="001A5C63"/>
    <w:rsid w:val="001F6CC6"/>
    <w:rsid w:val="00202426"/>
    <w:rsid w:val="002117CA"/>
    <w:rsid w:val="00213546"/>
    <w:rsid w:val="00216600"/>
    <w:rsid w:val="002425D3"/>
    <w:rsid w:val="00244072"/>
    <w:rsid w:val="002658B4"/>
    <w:rsid w:val="00271EAB"/>
    <w:rsid w:val="00273496"/>
    <w:rsid w:val="00274EC1"/>
    <w:rsid w:val="00297BAD"/>
    <w:rsid w:val="002B77FC"/>
    <w:rsid w:val="002C2107"/>
    <w:rsid w:val="002D4F14"/>
    <w:rsid w:val="002E2343"/>
    <w:rsid w:val="002E5FE8"/>
    <w:rsid w:val="002E6D09"/>
    <w:rsid w:val="00300EDC"/>
    <w:rsid w:val="00302EC2"/>
    <w:rsid w:val="00317814"/>
    <w:rsid w:val="00326026"/>
    <w:rsid w:val="00344802"/>
    <w:rsid w:val="00365B03"/>
    <w:rsid w:val="00366217"/>
    <w:rsid w:val="00390D76"/>
    <w:rsid w:val="00391F59"/>
    <w:rsid w:val="003C3C7D"/>
    <w:rsid w:val="003C5E4A"/>
    <w:rsid w:val="003D0E4E"/>
    <w:rsid w:val="00406623"/>
    <w:rsid w:val="004347A6"/>
    <w:rsid w:val="00441F06"/>
    <w:rsid w:val="004512FC"/>
    <w:rsid w:val="00451C7F"/>
    <w:rsid w:val="00466F46"/>
    <w:rsid w:val="0047234F"/>
    <w:rsid w:val="00481EDE"/>
    <w:rsid w:val="00482A19"/>
    <w:rsid w:val="004979B4"/>
    <w:rsid w:val="004C3F2B"/>
    <w:rsid w:val="004D12D2"/>
    <w:rsid w:val="004D5A62"/>
    <w:rsid w:val="004D6DFD"/>
    <w:rsid w:val="004E07C9"/>
    <w:rsid w:val="00507328"/>
    <w:rsid w:val="00511FE7"/>
    <w:rsid w:val="005472DC"/>
    <w:rsid w:val="00563D96"/>
    <w:rsid w:val="00573E2D"/>
    <w:rsid w:val="005849CC"/>
    <w:rsid w:val="005B0BAE"/>
    <w:rsid w:val="005E0B43"/>
    <w:rsid w:val="005E14E8"/>
    <w:rsid w:val="00600B9E"/>
    <w:rsid w:val="00613384"/>
    <w:rsid w:val="00627859"/>
    <w:rsid w:val="00644959"/>
    <w:rsid w:val="00680A59"/>
    <w:rsid w:val="00684ECA"/>
    <w:rsid w:val="00686A9A"/>
    <w:rsid w:val="006A34F1"/>
    <w:rsid w:val="006B54EC"/>
    <w:rsid w:val="006C4D5F"/>
    <w:rsid w:val="006C703F"/>
    <w:rsid w:val="006D7985"/>
    <w:rsid w:val="006E62EF"/>
    <w:rsid w:val="006F244B"/>
    <w:rsid w:val="006F73F8"/>
    <w:rsid w:val="007147F5"/>
    <w:rsid w:val="00737E4A"/>
    <w:rsid w:val="007434EA"/>
    <w:rsid w:val="007548C7"/>
    <w:rsid w:val="007623F5"/>
    <w:rsid w:val="00763B8F"/>
    <w:rsid w:val="007937BA"/>
    <w:rsid w:val="00796594"/>
    <w:rsid w:val="007A1548"/>
    <w:rsid w:val="007B26EF"/>
    <w:rsid w:val="007B5FCA"/>
    <w:rsid w:val="007C4D52"/>
    <w:rsid w:val="007D77D8"/>
    <w:rsid w:val="007F49E2"/>
    <w:rsid w:val="00814440"/>
    <w:rsid w:val="00824055"/>
    <w:rsid w:val="00825FA5"/>
    <w:rsid w:val="00836D70"/>
    <w:rsid w:val="0084294A"/>
    <w:rsid w:val="008543F9"/>
    <w:rsid w:val="008C13FE"/>
    <w:rsid w:val="008C1C53"/>
    <w:rsid w:val="008C1E04"/>
    <w:rsid w:val="008C2D61"/>
    <w:rsid w:val="008D0512"/>
    <w:rsid w:val="008E163D"/>
    <w:rsid w:val="0094268A"/>
    <w:rsid w:val="00947E6F"/>
    <w:rsid w:val="009A31D7"/>
    <w:rsid w:val="009A3A87"/>
    <w:rsid w:val="009C054E"/>
    <w:rsid w:val="009C5160"/>
    <w:rsid w:val="009D544E"/>
    <w:rsid w:val="009E6137"/>
    <w:rsid w:val="009E79A6"/>
    <w:rsid w:val="00A05A3D"/>
    <w:rsid w:val="00A062C8"/>
    <w:rsid w:val="00A238A3"/>
    <w:rsid w:val="00A3793C"/>
    <w:rsid w:val="00A41689"/>
    <w:rsid w:val="00A43AA3"/>
    <w:rsid w:val="00A475A6"/>
    <w:rsid w:val="00A740EB"/>
    <w:rsid w:val="00A97F05"/>
    <w:rsid w:val="00AB12B0"/>
    <w:rsid w:val="00AB6009"/>
    <w:rsid w:val="00AC0C53"/>
    <w:rsid w:val="00AC5349"/>
    <w:rsid w:val="00AC79C7"/>
    <w:rsid w:val="00AD3074"/>
    <w:rsid w:val="00AD7DA2"/>
    <w:rsid w:val="00AF663D"/>
    <w:rsid w:val="00B062D4"/>
    <w:rsid w:val="00B207F1"/>
    <w:rsid w:val="00B22C60"/>
    <w:rsid w:val="00B279E8"/>
    <w:rsid w:val="00B32186"/>
    <w:rsid w:val="00B33A9F"/>
    <w:rsid w:val="00B4349A"/>
    <w:rsid w:val="00B45490"/>
    <w:rsid w:val="00B90206"/>
    <w:rsid w:val="00B9415A"/>
    <w:rsid w:val="00BB5564"/>
    <w:rsid w:val="00BC5DA2"/>
    <w:rsid w:val="00BD74E9"/>
    <w:rsid w:val="00C07E89"/>
    <w:rsid w:val="00C1276F"/>
    <w:rsid w:val="00C16212"/>
    <w:rsid w:val="00C43898"/>
    <w:rsid w:val="00C44A2B"/>
    <w:rsid w:val="00C62EA0"/>
    <w:rsid w:val="00C648B4"/>
    <w:rsid w:val="00C740A5"/>
    <w:rsid w:val="00C775BF"/>
    <w:rsid w:val="00C95157"/>
    <w:rsid w:val="00CD3418"/>
    <w:rsid w:val="00CD58F4"/>
    <w:rsid w:val="00CF5F0C"/>
    <w:rsid w:val="00CF6C38"/>
    <w:rsid w:val="00CF7386"/>
    <w:rsid w:val="00D42E42"/>
    <w:rsid w:val="00D44F7B"/>
    <w:rsid w:val="00D53E7E"/>
    <w:rsid w:val="00D71A23"/>
    <w:rsid w:val="00D85520"/>
    <w:rsid w:val="00DA09F1"/>
    <w:rsid w:val="00DA1E6D"/>
    <w:rsid w:val="00DB3908"/>
    <w:rsid w:val="00DD001A"/>
    <w:rsid w:val="00DF18BE"/>
    <w:rsid w:val="00DF39D6"/>
    <w:rsid w:val="00E10FC1"/>
    <w:rsid w:val="00E20A19"/>
    <w:rsid w:val="00E22FDF"/>
    <w:rsid w:val="00E25F86"/>
    <w:rsid w:val="00E47295"/>
    <w:rsid w:val="00E56259"/>
    <w:rsid w:val="00E67A80"/>
    <w:rsid w:val="00E85A02"/>
    <w:rsid w:val="00E86B6A"/>
    <w:rsid w:val="00E908D3"/>
    <w:rsid w:val="00E97CE6"/>
    <w:rsid w:val="00EA24C0"/>
    <w:rsid w:val="00EA79E3"/>
    <w:rsid w:val="00EE04D0"/>
    <w:rsid w:val="00EF0BB8"/>
    <w:rsid w:val="00EF3037"/>
    <w:rsid w:val="00EF5918"/>
    <w:rsid w:val="00EF59B6"/>
    <w:rsid w:val="00F02A4D"/>
    <w:rsid w:val="00F06C41"/>
    <w:rsid w:val="00F42887"/>
    <w:rsid w:val="00F44E66"/>
    <w:rsid w:val="00F573EE"/>
    <w:rsid w:val="00F57DAC"/>
    <w:rsid w:val="00F705CB"/>
    <w:rsid w:val="00F81071"/>
    <w:rsid w:val="00F83FB1"/>
    <w:rsid w:val="00FA095C"/>
    <w:rsid w:val="00FA7103"/>
    <w:rsid w:val="00FE2C2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CC2662"/>
  <w15:chartTrackingRefBased/>
  <w15:docId w15:val="{A56E7651-261A-4DF9-BA4D-436F79FEB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23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23E2"/>
    <w:pPr>
      <w:ind w:left="720"/>
      <w:contextualSpacing/>
    </w:pPr>
  </w:style>
  <w:style w:type="paragraph" w:styleId="FootnoteText">
    <w:name w:val="footnote text"/>
    <w:basedOn w:val="Normal"/>
    <w:link w:val="FootnoteTextChar"/>
    <w:uiPriority w:val="99"/>
    <w:semiHidden/>
    <w:unhideWhenUsed/>
    <w:rsid w:val="000223E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223E2"/>
    <w:rPr>
      <w:sz w:val="20"/>
      <w:szCs w:val="20"/>
    </w:rPr>
  </w:style>
  <w:style w:type="character" w:styleId="FootnoteReference">
    <w:name w:val="footnote reference"/>
    <w:basedOn w:val="DefaultParagraphFont"/>
    <w:uiPriority w:val="99"/>
    <w:semiHidden/>
    <w:unhideWhenUsed/>
    <w:rsid w:val="000223E2"/>
    <w:rPr>
      <w:vertAlign w:val="superscript"/>
    </w:rPr>
  </w:style>
  <w:style w:type="character" w:styleId="Hyperlink">
    <w:name w:val="Hyperlink"/>
    <w:basedOn w:val="DefaultParagraphFont"/>
    <w:uiPriority w:val="99"/>
    <w:unhideWhenUsed/>
    <w:rsid w:val="00B4349A"/>
    <w:rPr>
      <w:color w:val="0563C1" w:themeColor="hyperlink"/>
      <w:u w:val="single"/>
    </w:rPr>
  </w:style>
  <w:style w:type="character" w:customStyle="1" w:styleId="UnresolvedMention1">
    <w:name w:val="Unresolved Mention1"/>
    <w:basedOn w:val="DefaultParagraphFont"/>
    <w:uiPriority w:val="99"/>
    <w:semiHidden/>
    <w:unhideWhenUsed/>
    <w:rsid w:val="00B4349A"/>
    <w:rPr>
      <w:color w:val="808080"/>
      <w:shd w:val="clear" w:color="auto" w:fill="E6E6E6"/>
    </w:rPr>
  </w:style>
  <w:style w:type="paragraph" w:styleId="Header">
    <w:name w:val="header"/>
    <w:basedOn w:val="Normal"/>
    <w:link w:val="HeaderChar"/>
    <w:uiPriority w:val="99"/>
    <w:unhideWhenUsed/>
    <w:rsid w:val="00F06C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6C41"/>
  </w:style>
  <w:style w:type="paragraph" w:styleId="Footer">
    <w:name w:val="footer"/>
    <w:basedOn w:val="Normal"/>
    <w:link w:val="FooterChar"/>
    <w:uiPriority w:val="99"/>
    <w:unhideWhenUsed/>
    <w:rsid w:val="00F06C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6C41"/>
  </w:style>
  <w:style w:type="character" w:styleId="Emphasis">
    <w:name w:val="Emphasis"/>
    <w:basedOn w:val="DefaultParagraphFont"/>
    <w:uiPriority w:val="20"/>
    <w:qFormat/>
    <w:rsid w:val="00D44F7B"/>
    <w:rPr>
      <w:i/>
      <w:iCs/>
    </w:rPr>
  </w:style>
  <w:style w:type="paragraph" w:styleId="BalloonText">
    <w:name w:val="Balloon Text"/>
    <w:basedOn w:val="Normal"/>
    <w:link w:val="BalloonTextChar"/>
    <w:uiPriority w:val="99"/>
    <w:semiHidden/>
    <w:unhideWhenUsed/>
    <w:rsid w:val="002E5F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5FE8"/>
    <w:rPr>
      <w:rFonts w:ascii="Segoe UI" w:hAnsi="Segoe UI" w:cs="Segoe UI"/>
      <w:sz w:val="18"/>
      <w:szCs w:val="18"/>
    </w:rPr>
  </w:style>
  <w:style w:type="paragraph" w:styleId="NormalWeb">
    <w:name w:val="Normal (Web)"/>
    <w:basedOn w:val="Normal"/>
    <w:uiPriority w:val="99"/>
    <w:semiHidden/>
    <w:unhideWhenUsed/>
    <w:rsid w:val="004347A6"/>
    <w:pPr>
      <w:spacing w:before="100" w:beforeAutospacing="1" w:after="100" w:afterAutospacing="1" w:line="240" w:lineRule="auto"/>
    </w:pPr>
    <w:rPr>
      <w:rFonts w:ascii="Times New Roman" w:eastAsia="Times New Roman" w:hAnsi="Times New Roman" w:cs="Times New Roman"/>
      <w:sz w:val="24"/>
      <w:szCs w:val="24"/>
      <w:lang w:eastAsia="en-AU"/>
    </w:rPr>
  </w:style>
  <w:style w:type="table" w:styleId="MediumGrid1-Accent1">
    <w:name w:val="Medium Grid 1 Accent 1"/>
    <w:basedOn w:val="TableNormal"/>
    <w:uiPriority w:val="67"/>
    <w:rsid w:val="00390D76"/>
    <w:pPr>
      <w:spacing w:after="0" w:line="240" w:lineRule="auto"/>
    </w:pPr>
    <w:rPr>
      <w:rFonts w:eastAsiaTheme="minorEastAsia"/>
      <w:lang w:eastAsia="zh-CN"/>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paragraph" w:customStyle="1" w:styleId="xzvds">
    <w:name w:val="xzvds"/>
    <w:basedOn w:val="Normal"/>
    <w:rsid w:val="00CF5F0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passage-display-bcv">
    <w:name w:val="passage-display-bcv"/>
    <w:basedOn w:val="DefaultParagraphFont"/>
    <w:rsid w:val="00CF5F0C"/>
  </w:style>
  <w:style w:type="character" w:customStyle="1" w:styleId="text">
    <w:name w:val="text"/>
    <w:basedOn w:val="DefaultParagraphFont"/>
    <w:rsid w:val="00CF5F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85961">
      <w:bodyDiv w:val="1"/>
      <w:marLeft w:val="0"/>
      <w:marRight w:val="0"/>
      <w:marTop w:val="0"/>
      <w:marBottom w:val="0"/>
      <w:divBdr>
        <w:top w:val="none" w:sz="0" w:space="0" w:color="auto"/>
        <w:left w:val="none" w:sz="0" w:space="0" w:color="auto"/>
        <w:bottom w:val="none" w:sz="0" w:space="0" w:color="auto"/>
        <w:right w:val="none" w:sz="0" w:space="0" w:color="auto"/>
      </w:divBdr>
    </w:div>
    <w:div w:id="542601347">
      <w:bodyDiv w:val="1"/>
      <w:marLeft w:val="0"/>
      <w:marRight w:val="0"/>
      <w:marTop w:val="0"/>
      <w:marBottom w:val="0"/>
      <w:divBdr>
        <w:top w:val="none" w:sz="0" w:space="0" w:color="auto"/>
        <w:left w:val="none" w:sz="0" w:space="0" w:color="auto"/>
        <w:bottom w:val="none" w:sz="0" w:space="0" w:color="auto"/>
        <w:right w:val="none" w:sz="0" w:space="0" w:color="auto"/>
      </w:divBdr>
    </w:div>
    <w:div w:id="1291008941">
      <w:bodyDiv w:val="1"/>
      <w:marLeft w:val="0"/>
      <w:marRight w:val="0"/>
      <w:marTop w:val="0"/>
      <w:marBottom w:val="0"/>
      <w:divBdr>
        <w:top w:val="none" w:sz="0" w:space="0" w:color="auto"/>
        <w:left w:val="none" w:sz="0" w:space="0" w:color="auto"/>
        <w:bottom w:val="none" w:sz="0" w:space="0" w:color="auto"/>
        <w:right w:val="none" w:sz="0" w:space="0" w:color="auto"/>
      </w:divBdr>
    </w:div>
    <w:div w:id="1502701823">
      <w:bodyDiv w:val="1"/>
      <w:marLeft w:val="0"/>
      <w:marRight w:val="0"/>
      <w:marTop w:val="0"/>
      <w:marBottom w:val="0"/>
      <w:divBdr>
        <w:top w:val="none" w:sz="0" w:space="0" w:color="auto"/>
        <w:left w:val="none" w:sz="0" w:space="0" w:color="auto"/>
        <w:bottom w:val="none" w:sz="0" w:space="0" w:color="auto"/>
        <w:right w:val="none" w:sz="0" w:space="0" w:color="auto"/>
      </w:divBdr>
    </w:div>
    <w:div w:id="193478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ewlfam@internode.on.ne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kewlfam@internode.on.net" TargetMode="External"/><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www.businesstimes.com.sg/banking-finance/nz-central-bank-governor-reiterates-negative-interest-rates-a-possibility" TargetMode="External"/><Relationship Id="rId2" Type="http://schemas.openxmlformats.org/officeDocument/2006/relationships/hyperlink" Target="https://www.abc.net.au/news/2019-08-09/reserve-bank-cuts-economic-forecasts-again/11399576?section=business" TargetMode="External"/><Relationship Id="rId1" Type="http://schemas.openxmlformats.org/officeDocument/2006/relationships/hyperlink" Target="https://www.asxonline.com/public/notices/2019/july/0690.19.07.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5D39CA2E8FA649A6C81F9AD09C8688" ma:contentTypeVersion="5" ma:contentTypeDescription="Create a new document." ma:contentTypeScope="" ma:versionID="64766d99b50bab840d805af32afcbbe0">
  <xsd:schema xmlns:xsd="http://www.w3.org/2001/XMLSchema" xmlns:xs="http://www.w3.org/2001/XMLSchema" xmlns:p="http://schemas.microsoft.com/office/2006/metadata/properties" xmlns:ns2="6f6f38fa-a174-405a-9f55-0a099d9b2446" targetNamespace="http://schemas.microsoft.com/office/2006/metadata/properties" ma:root="true" ma:fieldsID="be1f193797aa80822306666cca612a5c" ns2:_="">
    <xsd:import namespace="6f6f38fa-a174-405a-9f55-0a099d9b244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6f38fa-a174-405a-9f55-0a099d9b24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903700-59E1-4A05-84F0-32E0DABC051A}">
  <ds:schemaRefs>
    <ds:schemaRef ds:uri="http://schemas.microsoft.com/sharepoint/v3/contenttype/forms"/>
  </ds:schemaRefs>
</ds:datastoreItem>
</file>

<file path=customXml/itemProps2.xml><?xml version="1.0" encoding="utf-8"?>
<ds:datastoreItem xmlns:ds="http://schemas.openxmlformats.org/officeDocument/2006/customXml" ds:itemID="{2C8FEAA9-A36A-4BA6-83DE-39FD8D4F02F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2DD40B9-BA8C-4927-8BEC-69F1DFDD02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6f38fa-a174-405a-9f55-0a099d9b24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843ADE-EBBB-4693-A7D6-6C2AA439D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5</Pages>
  <Words>1655</Words>
  <Characters>9434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Naomi</dc:creator>
  <cp:keywords/>
  <dc:description/>
  <cp:lastModifiedBy>Robert Kewley</cp:lastModifiedBy>
  <cp:revision>9</cp:revision>
  <cp:lastPrinted>2018-05-16T21:18:00Z</cp:lastPrinted>
  <dcterms:created xsi:type="dcterms:W3CDTF">2019-08-10T11:06:00Z</dcterms:created>
  <dcterms:modified xsi:type="dcterms:W3CDTF">2019-08-11T09:56:00Z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0x010100845D39CA2E8FA649A6C81F9AD09C8688</vt:lpwstr>
  </property>
</Properties>
</file>