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138" w:rsidRDefault="00610138" w:rsidP="00610138">
      <w:pPr>
        <w:rPr>
          <w:rFonts w:asciiTheme="minorHAnsi" w:hAnsiTheme="minorHAnsi" w:cstheme="minorBidi"/>
          <w:color w:val="1F497D"/>
          <w:sz w:val="22"/>
          <w:szCs w:val="22"/>
          <w:lang w:eastAsia="en-US"/>
        </w:rPr>
      </w:pPr>
    </w:p>
    <w:p w:rsidR="00610138" w:rsidRDefault="00610138" w:rsidP="00610138">
      <w:pPr>
        <w:rPr>
          <w:rFonts w:asciiTheme="minorHAnsi" w:hAnsiTheme="minorHAnsi" w:cstheme="minorBidi"/>
          <w:color w:val="1F497D"/>
          <w:sz w:val="22"/>
          <w:szCs w:val="22"/>
          <w:lang w:eastAsia="en-US"/>
        </w:rPr>
      </w:pPr>
    </w:p>
    <w:p w:rsidR="00610138" w:rsidRDefault="00610138" w:rsidP="00610138">
      <w:pPr>
        <w:rPr>
          <w:rFonts w:ascii="Calibri" w:eastAsia="Times New Roman" w:hAnsi="Calibri"/>
          <w:sz w:val="22"/>
          <w:szCs w:val="22"/>
          <w:lang w:val="en-US"/>
        </w:rPr>
      </w:pPr>
      <w:bookmarkStart w:id="0" w:name="_jsOm_3BA1D14EAF8E48EEA04378442438252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Graeme King &lt;gpking@rocketmail.com&gt;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1 August 2019 2:25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to the Currency (Restrictions on the Use of Cash) Bill 2019 public consultation</w:t>
      </w:r>
    </w:p>
    <w:p w:rsidR="00610138" w:rsidRDefault="00610138" w:rsidP="00610138"/>
    <w:p w:rsidR="00610138" w:rsidRDefault="00610138" w:rsidP="00610138">
      <w:pPr>
        <w:pStyle w:val="p1"/>
      </w:pPr>
      <w:r>
        <w:rPr>
          <w:rStyle w:val="s1"/>
        </w:rPr>
        <w:t>WHEREAS the Government has released for public consultation exposure draft legislation and accompanying explanatory material to implement the economy-wide cash payment limit from 1 January 2020 and for certain AUSTRAC reporting entities from 1 January 2021.</w:t>
      </w:r>
    </w:p>
    <w:p w:rsidR="00610138" w:rsidRDefault="00610138" w:rsidP="00610138">
      <w:pPr>
        <w:pStyle w:val="p1"/>
      </w:pPr>
      <w:r>
        <w:rPr>
          <w:rStyle w:val="s1"/>
        </w:rPr>
        <w:t xml:space="preserve">AND WHEREAS submissions to the consultation are open until Monday 12 August 2019 and can be lodged via email to </w:t>
      </w:r>
      <w:hyperlink r:id="rId5" w:history="1">
        <w:r>
          <w:rPr>
            <w:rStyle w:val="Hyperlink"/>
          </w:rPr>
          <w:t>blackeconomy@treasury.gov.au</w:t>
        </w:r>
      </w:hyperlink>
    </w:p>
    <w:p w:rsidR="00610138" w:rsidRDefault="00610138" w:rsidP="00610138">
      <w:pPr>
        <w:pStyle w:val="p2"/>
      </w:pPr>
      <w:r>
        <w:t>WHEREAS this Bill would make it an offence, for entities to make or accept cash payments of $10,000 or more (see section 10.1 of the Currency (Restrictions on the Use of Cash) Bill 2019.</w:t>
      </w:r>
    </w:p>
    <w:p w:rsidR="00610138" w:rsidRDefault="00610138" w:rsidP="00610138">
      <w:pPr>
        <w:pStyle w:val="p2"/>
      </w:pPr>
      <w:r>
        <w:t>AND WHEREAS cash traditionally consists of Australian currency – broadly notes and coins issued by the Commonwealth of Australia and can mean digital and physical</w:t>
      </w:r>
    </w:p>
    <w:p w:rsidR="00610138" w:rsidRDefault="00610138" w:rsidP="00610138">
      <w:pPr>
        <w:pStyle w:val="p2"/>
      </w:pPr>
      <w:r>
        <w:t>AND WHEREAS the Bill plans to binds the Crown in all its capacities, but does not make the Crown liable to be prosecuted for an offence.</w:t>
      </w:r>
    </w:p>
    <w:p w:rsidR="00610138" w:rsidRDefault="00610138" w:rsidP="00610138">
      <w:pPr>
        <w:pStyle w:val="p2"/>
      </w:pPr>
      <w:r>
        <w:t>AND WHEREAS the laws of the land should apply equally to all, every man, whatever be his rank or condition, must be subject to the ordinary law of the realm and amenable to the jurisdiction of the ordinary tribunals ... if it’s right for everyone else to have these obligations placed upon them, why not the Crown?</w:t>
      </w:r>
    </w:p>
    <w:p w:rsidR="00610138" w:rsidRDefault="00610138" w:rsidP="00610138">
      <w:pPr>
        <w:pStyle w:val="p2"/>
      </w:pPr>
      <w:r>
        <w:t>AND WHEREAS this exemption for prosecution for the Crown would still allow the Crown with immunity to make large payments in cash so as to avoid creating records of the payment and facilitating their participation in the black economy.</w:t>
      </w:r>
    </w:p>
    <w:p w:rsidR="00610138" w:rsidRDefault="00610138" w:rsidP="00610138">
      <w:pPr>
        <w:pStyle w:val="p2"/>
      </w:pPr>
      <w:r>
        <w:t>AND WHEREAS justice should not only be done, but it should be perceived to be done.</w:t>
      </w:r>
    </w:p>
    <w:p w:rsidR="00610138" w:rsidRDefault="00610138" w:rsidP="00610138">
      <w:pPr>
        <w:pStyle w:val="p2"/>
      </w:pPr>
      <w:r>
        <w:t>AND WHEREAS the constitution was enacted and proclaimed under the imperial Crown of the United Kingdom of Great Britain and Ireland.</w:t>
      </w:r>
    </w:p>
    <w:p w:rsidR="00610138" w:rsidRDefault="00610138" w:rsidP="00610138">
      <w:pPr>
        <w:pStyle w:val="p2"/>
      </w:pPr>
      <w:r>
        <w:t>AND WHEREAS it is not clear exactly which crown is being given immunity from prosecution by this act as in 1973, the Government of Australia (not the people) changed the form of the Royal Style and Titles to be used in relation to Australia and its Territories to the Queen of Australia, a divisible crown and a foreign sovereignty to the constitution (which was lawfully enacted under an indivisible imperial crown), without a valid constitutional head of power (this is shown by the need for the Succession to the Crown Act 2015, (also enacted without a valid constitutional head of power) to ensure that the sovereign of Australia is the same person as the sovereign of the non-imperial (divisible) United Kingdom).</w:t>
      </w:r>
    </w:p>
    <w:p w:rsidR="00610138" w:rsidRDefault="00610138" w:rsidP="00610138">
      <w:pPr>
        <w:pStyle w:val="p2"/>
      </w:pPr>
      <w:r>
        <w:t>AND WHERAS Strict liability leads to liability regardless of fault and subverts the presumption of innocence.</w:t>
      </w:r>
    </w:p>
    <w:p w:rsidR="00610138" w:rsidRDefault="00610138" w:rsidP="00610138">
      <w:pPr>
        <w:pStyle w:val="p2"/>
      </w:pPr>
      <w:r>
        <w:lastRenderedPageBreak/>
        <w:t xml:space="preserve">AND WHEREAS Australia is a party to seven core international human rights treaties. The presumption of innocence is contained in article 14(2) of the </w:t>
      </w:r>
      <w:hyperlink r:id="rId6" w:history="1">
        <w:r>
          <w:rPr>
            <w:rStyle w:val="s2"/>
            <w:color w:val="0000FF"/>
            <w:u w:val="single"/>
          </w:rPr>
          <w:t>International Covenant on Civil and Political Rights (ICCPR)</w:t>
        </w:r>
      </w:hyperlink>
      <w:r>
        <w:t>.</w:t>
      </w:r>
    </w:p>
    <w:p w:rsidR="00610138" w:rsidRDefault="00610138" w:rsidP="00610138">
      <w:pPr>
        <w:pStyle w:val="p2"/>
      </w:pPr>
      <w:r>
        <w:rPr>
          <w:rStyle w:val="s1"/>
        </w:rPr>
        <w:t xml:space="preserve">AND WHEREAS section 1 of the Commonwealth Constitution ensures that the Federal Parliament is to be called </w:t>
      </w:r>
      <w:r>
        <w:rPr>
          <w:rStyle w:val="s3"/>
        </w:rPr>
        <w:t>The Parliament of the Commonwealth</w:t>
      </w:r>
    </w:p>
    <w:p w:rsidR="00610138" w:rsidRDefault="00610138" w:rsidP="00610138">
      <w:pPr>
        <w:pStyle w:val="p2"/>
      </w:pPr>
      <w:r>
        <w:t>AND WHEREAS this Bill is planned to be enacted by the Parliament of Australia, with no mention of the Queen acting as Her Majesty, nor indicating in which sovereignty (as per clause 2 of the constitution act) it would be assented to, so as to determine the binding nature of this act on the courts, judges, and people of every State and of every part of the Commonwealth (as per clause 2 of the constitution act)</w:t>
      </w:r>
    </w:p>
    <w:p w:rsidR="00610138" w:rsidRDefault="00610138" w:rsidP="00610138">
      <w:pPr>
        <w:pStyle w:val="p2"/>
      </w:pPr>
      <w:r>
        <w:t>AND WHEREAS section 51 of the commonwealth constitution gives the federal parliament, subject to the Constitution, the power to make laws for the peace, order, and good government of the Commonwealth with respect to: ... xii)  currency, coinage, and legal tender;</w:t>
      </w:r>
    </w:p>
    <w:p w:rsidR="00610138" w:rsidRDefault="00610138" w:rsidP="00610138">
      <w:pPr>
        <w:pStyle w:val="p2"/>
      </w:pPr>
      <w:r>
        <w:t>AND WHEREAS nowhere in this Bill does it detail, how this legislation enables the peace, order, and good government of the Commonwealth, nor what mandate of the people is being used to progress with this legislation.</w:t>
      </w:r>
    </w:p>
    <w:p w:rsidR="00610138" w:rsidRDefault="00610138" w:rsidP="00610138">
      <w:pPr>
        <w:pStyle w:val="p2"/>
      </w:pPr>
      <w:r>
        <w:t>AND WHEREAS bracket creep and inflation, will mean that soon more and more transactions will be affected by this legislation, leading to greater and greater obligations and restrictions on the lives of people of the Commonwealth.</w:t>
      </w:r>
    </w:p>
    <w:p w:rsidR="00610138" w:rsidRDefault="00610138" w:rsidP="00610138">
      <w:pPr>
        <w:pStyle w:val="p2"/>
      </w:pPr>
      <w:r>
        <w:rPr>
          <w:rStyle w:val="s1"/>
        </w:rPr>
        <w:t xml:space="preserve">THEREFORE, for the </w:t>
      </w:r>
      <w:r>
        <w:rPr>
          <w:rStyle w:val="s4"/>
        </w:rPr>
        <w:t>aforementioned</w:t>
      </w:r>
      <w:r>
        <w:rPr>
          <w:rStyle w:val="s1"/>
        </w:rPr>
        <w:t xml:space="preserve"> reasons, it is my will that the Parliament of Australia cease and desist with the progress of the Bill in parliament, for the benefit of the people of our Commonwealth. </w:t>
      </w:r>
    </w:p>
    <w:tbl>
      <w:tblPr>
        <w:tblW w:w="0" w:type="auto"/>
        <w:tblCellSpacing w:w="15" w:type="dxa"/>
        <w:tblLook w:val="04A0" w:firstRow="1" w:lastRow="0" w:firstColumn="1" w:lastColumn="0" w:noHBand="0" w:noVBand="1"/>
      </w:tblPr>
      <w:tblGrid>
        <w:gridCol w:w="5145"/>
      </w:tblGrid>
      <w:tr w:rsidR="00610138" w:rsidTr="00610138">
        <w:trPr>
          <w:tblCellSpacing w:w="15" w:type="dxa"/>
        </w:trPr>
        <w:tc>
          <w:tcPr>
            <w:tcW w:w="5085" w:type="dxa"/>
            <w:tcMar>
              <w:top w:w="15" w:type="dxa"/>
              <w:left w:w="15" w:type="dxa"/>
              <w:bottom w:w="15" w:type="dxa"/>
              <w:right w:w="15" w:type="dxa"/>
            </w:tcMar>
            <w:hideMark/>
          </w:tcPr>
          <w:p w:rsidR="00610138" w:rsidRDefault="00610138">
            <w:pPr>
              <w:pStyle w:val="Heading1"/>
              <w:spacing w:before="300" w:after="150"/>
              <w:rPr>
                <w:rFonts w:ascii="Helvetica" w:eastAsia="Times New Roman" w:hAnsi="Helvetica" w:cs="Helvetica"/>
              </w:rPr>
            </w:pPr>
            <w:r>
              <w:rPr>
                <w:rStyle w:val="passage-display-bcv"/>
                <w:rFonts w:ascii="UICTFontTextStyleBody" w:eastAsia="Times New Roman" w:hAnsi="UICTFontTextStyleBody" w:cs="Helvetica"/>
                <w:b/>
                <w:bCs/>
                <w:i/>
                <w:iCs/>
                <w:sz w:val="24"/>
                <w:szCs w:val="24"/>
              </w:rPr>
              <w:t>Matthew 6:24 </w:t>
            </w:r>
            <w:r>
              <w:rPr>
                <w:rStyle w:val="passage-display-version"/>
                <w:rFonts w:ascii="UICTFontTextStyleBody" w:eastAsia="Times New Roman" w:hAnsi="UICTFontTextStyleBody" w:cs="Helvetica"/>
                <w:b/>
                <w:bCs/>
                <w:i/>
                <w:iCs/>
                <w:sz w:val="24"/>
                <w:szCs w:val="24"/>
              </w:rPr>
              <w:t>King James Version (KJV)</w:t>
            </w:r>
          </w:p>
          <w:p w:rsidR="00610138" w:rsidRDefault="00610138">
            <w:pPr>
              <w:pStyle w:val="NormalWeb"/>
              <w:spacing w:line="360" w:lineRule="atLeast"/>
              <w:rPr>
                <w:rFonts w:ascii="Helvetica" w:hAnsi="Helvetica" w:cs="Helvetica"/>
                <w:sz w:val="21"/>
                <w:szCs w:val="21"/>
              </w:rPr>
            </w:pPr>
            <w:r>
              <w:rPr>
                <w:rStyle w:val="versenum"/>
                <w:rFonts w:ascii="UICTFontTextStyleBody" w:hAnsi="UICTFontTextStyleBody" w:cs="Helvetica"/>
                <w:b/>
                <w:bCs/>
                <w:i/>
                <w:iCs/>
              </w:rPr>
              <w:t>24 </w:t>
            </w:r>
            <w:r>
              <w:rPr>
                <w:rStyle w:val="text"/>
                <w:rFonts w:ascii="UICTFontTextStyleBody" w:hAnsi="UICTFontTextStyleBody" w:cs="Helvetica"/>
                <w:i/>
                <w:iCs/>
              </w:rPr>
              <w:t>No man can serve two masters: for either he will hate the one, and love the other; or else he will hold to the one, and despise the other. Ye cannot serve God and mammon.</w:t>
            </w:r>
          </w:p>
        </w:tc>
      </w:tr>
    </w:tbl>
    <w:p w:rsidR="00610138" w:rsidRDefault="00610138" w:rsidP="00610138">
      <w:pPr>
        <w:pStyle w:val="p1"/>
      </w:pPr>
      <w:r>
        <w:rPr>
          <w:rStyle w:val="s1"/>
        </w:rPr>
        <w:t>Thanks</w:t>
      </w:r>
    </w:p>
    <w:p w:rsidR="00610138" w:rsidRDefault="00610138" w:rsidP="00610138">
      <w:pPr>
        <w:pStyle w:val="p2"/>
      </w:pPr>
      <w:bookmarkStart w:id="2" w:name="_GoBack"/>
      <w:r>
        <w:t>Graeme King</w:t>
      </w:r>
    </w:p>
    <w:bookmarkEnd w:id="2"/>
    <w:p w:rsidR="00610138" w:rsidRDefault="00610138" w:rsidP="00610138">
      <w:pPr>
        <w:pStyle w:val="p2"/>
      </w:pPr>
      <w:r>
        <w:t>71 Waratah Drive</w:t>
      </w:r>
    </w:p>
    <w:p w:rsidR="00610138" w:rsidRDefault="00610138" w:rsidP="00610138">
      <w:pPr>
        <w:pStyle w:val="p1"/>
      </w:pPr>
      <w:r>
        <w:rPr>
          <w:rStyle w:val="s1"/>
        </w:rPr>
        <w:t>Altona Meadows Vic 3028</w:t>
      </w:r>
    </w:p>
    <w:p w:rsidR="00610138" w:rsidRDefault="00610138" w:rsidP="00610138">
      <w:pPr>
        <w:pStyle w:val="p2"/>
      </w:pPr>
      <w:r>
        <w:t>01/08/2019.</w:t>
      </w:r>
    </w:p>
    <w:p w:rsidR="00610138" w:rsidRDefault="00610138" w:rsidP="00610138">
      <w:pPr>
        <w:rPr>
          <w:rFonts w:eastAsia="Times New Roman"/>
        </w:rPr>
      </w:pPr>
    </w:p>
    <w:p w:rsidR="00610138" w:rsidRDefault="00610138" w:rsidP="00610138">
      <w:pPr>
        <w:rPr>
          <w:rFonts w:eastAsia="Times New Roman"/>
        </w:rPr>
      </w:pPr>
      <w:r>
        <w:rPr>
          <w:rFonts w:eastAsia="Times New Roman"/>
        </w:rPr>
        <w:t>Sent from my iPhone</w:t>
      </w:r>
      <w:bookmarkEnd w:id="1"/>
    </w:p>
    <w:p w:rsidR="00EA36AA" w:rsidRPr="00610138" w:rsidRDefault="00610138" w:rsidP="00610138"/>
    <w:sectPr w:rsidR="00EA36AA" w:rsidRPr="006101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UICTFontTextStyleBody">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14260"/>
    <w:multiLevelType w:val="multilevel"/>
    <w:tmpl w:val="3ACAD6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22E"/>
    <w:rsid w:val="00032C6E"/>
    <w:rsid w:val="000B1E93"/>
    <w:rsid w:val="000D0C50"/>
    <w:rsid w:val="001C1539"/>
    <w:rsid w:val="00292427"/>
    <w:rsid w:val="003578B2"/>
    <w:rsid w:val="003960D1"/>
    <w:rsid w:val="00481788"/>
    <w:rsid w:val="00610138"/>
    <w:rsid w:val="006C622E"/>
    <w:rsid w:val="007843A4"/>
    <w:rsid w:val="007E6DA0"/>
    <w:rsid w:val="0082160E"/>
    <w:rsid w:val="0086234B"/>
    <w:rsid w:val="008B799A"/>
    <w:rsid w:val="00A535F0"/>
    <w:rsid w:val="00A765C5"/>
    <w:rsid w:val="00AD28D2"/>
    <w:rsid w:val="00C51D3A"/>
    <w:rsid w:val="00CA77CD"/>
    <w:rsid w:val="00E12E95"/>
    <w:rsid w:val="00F7470B"/>
    <w:rsid w:val="00FD2852"/>
    <w:rsid w:val="00FE3D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C3760"/>
  <w15:chartTrackingRefBased/>
  <w15:docId w15:val="{2F29A681-90E7-4234-AAC1-5BD9ED92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22E"/>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CA77C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82160E"/>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1788"/>
    <w:rPr>
      <w:color w:val="0563C1"/>
      <w:u w:val="single"/>
    </w:rPr>
  </w:style>
  <w:style w:type="paragraph" w:styleId="NormalWeb">
    <w:name w:val="Normal (Web)"/>
    <w:basedOn w:val="Normal"/>
    <w:uiPriority w:val="99"/>
    <w:semiHidden/>
    <w:unhideWhenUsed/>
    <w:rsid w:val="00481788"/>
    <w:pPr>
      <w:spacing w:before="100" w:beforeAutospacing="1" w:after="100" w:afterAutospacing="1"/>
    </w:pPr>
  </w:style>
  <w:style w:type="character" w:customStyle="1" w:styleId="Heading3Char">
    <w:name w:val="Heading 3 Char"/>
    <w:basedOn w:val="DefaultParagraphFont"/>
    <w:link w:val="Heading3"/>
    <w:uiPriority w:val="9"/>
    <w:semiHidden/>
    <w:rsid w:val="0082160E"/>
    <w:rPr>
      <w:rFonts w:ascii="Times New Roman" w:eastAsia="Times New Roman" w:hAnsi="Times New Roman" w:cs="Times New Roman"/>
      <w:b/>
      <w:bCs/>
      <w:sz w:val="27"/>
      <w:szCs w:val="27"/>
      <w:lang w:eastAsia="en-AU"/>
    </w:rPr>
  </w:style>
  <w:style w:type="paragraph" w:customStyle="1" w:styleId="gmail-subsection">
    <w:name w:val="gmail-subsection"/>
    <w:basedOn w:val="Normal"/>
    <w:rsid w:val="0082160E"/>
    <w:pPr>
      <w:spacing w:before="100" w:beforeAutospacing="1" w:after="100" w:afterAutospacing="1"/>
    </w:pPr>
  </w:style>
  <w:style w:type="character" w:customStyle="1" w:styleId="gmail-textexposedshow">
    <w:name w:val="gmail-text_exposed_show"/>
    <w:basedOn w:val="DefaultParagraphFont"/>
    <w:rsid w:val="0082160E"/>
  </w:style>
  <w:style w:type="character" w:customStyle="1" w:styleId="gmaildefault">
    <w:name w:val="gmail_default"/>
    <w:basedOn w:val="DefaultParagraphFont"/>
    <w:rsid w:val="0082160E"/>
  </w:style>
  <w:style w:type="character" w:customStyle="1" w:styleId="apple-style-span">
    <w:name w:val="apple-style-span"/>
    <w:basedOn w:val="DefaultParagraphFont"/>
    <w:rsid w:val="000D0C50"/>
  </w:style>
  <w:style w:type="paragraph" w:styleId="PlainText">
    <w:name w:val="Plain Text"/>
    <w:basedOn w:val="Normal"/>
    <w:link w:val="PlainTextChar"/>
    <w:uiPriority w:val="99"/>
    <w:semiHidden/>
    <w:unhideWhenUsed/>
    <w:rsid w:val="00FE3DD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E3DD4"/>
    <w:rPr>
      <w:rFonts w:ascii="Calibri" w:hAnsi="Calibri" w:cs="Consolas"/>
      <w:szCs w:val="21"/>
    </w:rPr>
  </w:style>
  <w:style w:type="character" w:customStyle="1" w:styleId="Heading1Char">
    <w:name w:val="Heading 1 Char"/>
    <w:basedOn w:val="DefaultParagraphFont"/>
    <w:link w:val="Heading1"/>
    <w:uiPriority w:val="9"/>
    <w:rsid w:val="00CA77CD"/>
    <w:rPr>
      <w:rFonts w:asciiTheme="majorHAnsi" w:eastAsiaTheme="majorEastAsia" w:hAnsiTheme="majorHAnsi" w:cstheme="majorBidi"/>
      <w:color w:val="365F91" w:themeColor="accent1" w:themeShade="BF"/>
      <w:sz w:val="32"/>
      <w:szCs w:val="32"/>
      <w:lang w:eastAsia="en-AU"/>
    </w:rPr>
  </w:style>
  <w:style w:type="paragraph" w:customStyle="1" w:styleId="p1">
    <w:name w:val="p1"/>
    <w:basedOn w:val="Normal"/>
    <w:uiPriority w:val="99"/>
    <w:semiHidden/>
    <w:rsid w:val="00610138"/>
    <w:pPr>
      <w:spacing w:before="100" w:beforeAutospacing="1" w:after="100" w:afterAutospacing="1"/>
    </w:pPr>
  </w:style>
  <w:style w:type="paragraph" w:customStyle="1" w:styleId="p2">
    <w:name w:val="p2"/>
    <w:basedOn w:val="Normal"/>
    <w:uiPriority w:val="99"/>
    <w:semiHidden/>
    <w:rsid w:val="00610138"/>
    <w:pPr>
      <w:spacing w:before="100" w:beforeAutospacing="1" w:after="100" w:afterAutospacing="1"/>
    </w:pPr>
  </w:style>
  <w:style w:type="character" w:customStyle="1" w:styleId="s1">
    <w:name w:val="s1"/>
    <w:basedOn w:val="DefaultParagraphFont"/>
    <w:rsid w:val="00610138"/>
  </w:style>
  <w:style w:type="character" w:customStyle="1" w:styleId="s2">
    <w:name w:val="s2"/>
    <w:basedOn w:val="DefaultParagraphFont"/>
    <w:rsid w:val="00610138"/>
  </w:style>
  <w:style w:type="character" w:customStyle="1" w:styleId="s3">
    <w:name w:val="s3"/>
    <w:basedOn w:val="DefaultParagraphFont"/>
    <w:rsid w:val="00610138"/>
  </w:style>
  <w:style w:type="character" w:customStyle="1" w:styleId="s4">
    <w:name w:val="s4"/>
    <w:basedOn w:val="DefaultParagraphFont"/>
    <w:rsid w:val="00610138"/>
  </w:style>
  <w:style w:type="character" w:customStyle="1" w:styleId="passage-display-bcv">
    <w:name w:val="passage-display-bcv"/>
    <w:basedOn w:val="DefaultParagraphFont"/>
    <w:rsid w:val="00610138"/>
  </w:style>
  <w:style w:type="character" w:customStyle="1" w:styleId="passage-display-version">
    <w:name w:val="passage-display-version"/>
    <w:basedOn w:val="DefaultParagraphFont"/>
    <w:rsid w:val="00610138"/>
  </w:style>
  <w:style w:type="character" w:customStyle="1" w:styleId="text">
    <w:name w:val="text"/>
    <w:basedOn w:val="DefaultParagraphFont"/>
    <w:rsid w:val="00610138"/>
  </w:style>
  <w:style w:type="character" w:customStyle="1" w:styleId="versenum">
    <w:name w:val="versenum"/>
    <w:basedOn w:val="DefaultParagraphFont"/>
    <w:rsid w:val="00610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544">
      <w:bodyDiv w:val="1"/>
      <w:marLeft w:val="0"/>
      <w:marRight w:val="0"/>
      <w:marTop w:val="0"/>
      <w:marBottom w:val="0"/>
      <w:divBdr>
        <w:top w:val="none" w:sz="0" w:space="0" w:color="auto"/>
        <w:left w:val="none" w:sz="0" w:space="0" w:color="auto"/>
        <w:bottom w:val="none" w:sz="0" w:space="0" w:color="auto"/>
        <w:right w:val="none" w:sz="0" w:space="0" w:color="auto"/>
      </w:divBdr>
    </w:div>
    <w:div w:id="139885325">
      <w:bodyDiv w:val="1"/>
      <w:marLeft w:val="0"/>
      <w:marRight w:val="0"/>
      <w:marTop w:val="0"/>
      <w:marBottom w:val="0"/>
      <w:divBdr>
        <w:top w:val="none" w:sz="0" w:space="0" w:color="auto"/>
        <w:left w:val="none" w:sz="0" w:space="0" w:color="auto"/>
        <w:bottom w:val="none" w:sz="0" w:space="0" w:color="auto"/>
        <w:right w:val="none" w:sz="0" w:space="0" w:color="auto"/>
      </w:divBdr>
    </w:div>
    <w:div w:id="239678862">
      <w:bodyDiv w:val="1"/>
      <w:marLeft w:val="0"/>
      <w:marRight w:val="0"/>
      <w:marTop w:val="0"/>
      <w:marBottom w:val="0"/>
      <w:divBdr>
        <w:top w:val="none" w:sz="0" w:space="0" w:color="auto"/>
        <w:left w:val="none" w:sz="0" w:space="0" w:color="auto"/>
        <w:bottom w:val="none" w:sz="0" w:space="0" w:color="auto"/>
        <w:right w:val="none" w:sz="0" w:space="0" w:color="auto"/>
      </w:divBdr>
    </w:div>
    <w:div w:id="418016821">
      <w:bodyDiv w:val="1"/>
      <w:marLeft w:val="0"/>
      <w:marRight w:val="0"/>
      <w:marTop w:val="0"/>
      <w:marBottom w:val="0"/>
      <w:divBdr>
        <w:top w:val="none" w:sz="0" w:space="0" w:color="auto"/>
        <w:left w:val="none" w:sz="0" w:space="0" w:color="auto"/>
        <w:bottom w:val="none" w:sz="0" w:space="0" w:color="auto"/>
        <w:right w:val="none" w:sz="0" w:space="0" w:color="auto"/>
      </w:divBdr>
    </w:div>
    <w:div w:id="626351502">
      <w:bodyDiv w:val="1"/>
      <w:marLeft w:val="0"/>
      <w:marRight w:val="0"/>
      <w:marTop w:val="0"/>
      <w:marBottom w:val="0"/>
      <w:divBdr>
        <w:top w:val="none" w:sz="0" w:space="0" w:color="auto"/>
        <w:left w:val="none" w:sz="0" w:space="0" w:color="auto"/>
        <w:bottom w:val="none" w:sz="0" w:space="0" w:color="auto"/>
        <w:right w:val="none" w:sz="0" w:space="0" w:color="auto"/>
      </w:divBdr>
    </w:div>
    <w:div w:id="676923146">
      <w:bodyDiv w:val="1"/>
      <w:marLeft w:val="0"/>
      <w:marRight w:val="0"/>
      <w:marTop w:val="0"/>
      <w:marBottom w:val="0"/>
      <w:divBdr>
        <w:top w:val="none" w:sz="0" w:space="0" w:color="auto"/>
        <w:left w:val="none" w:sz="0" w:space="0" w:color="auto"/>
        <w:bottom w:val="none" w:sz="0" w:space="0" w:color="auto"/>
        <w:right w:val="none" w:sz="0" w:space="0" w:color="auto"/>
      </w:divBdr>
    </w:div>
    <w:div w:id="762265881">
      <w:bodyDiv w:val="1"/>
      <w:marLeft w:val="0"/>
      <w:marRight w:val="0"/>
      <w:marTop w:val="0"/>
      <w:marBottom w:val="0"/>
      <w:divBdr>
        <w:top w:val="none" w:sz="0" w:space="0" w:color="auto"/>
        <w:left w:val="none" w:sz="0" w:space="0" w:color="auto"/>
        <w:bottom w:val="none" w:sz="0" w:space="0" w:color="auto"/>
        <w:right w:val="none" w:sz="0" w:space="0" w:color="auto"/>
      </w:divBdr>
    </w:div>
    <w:div w:id="875234560">
      <w:bodyDiv w:val="1"/>
      <w:marLeft w:val="0"/>
      <w:marRight w:val="0"/>
      <w:marTop w:val="0"/>
      <w:marBottom w:val="0"/>
      <w:divBdr>
        <w:top w:val="none" w:sz="0" w:space="0" w:color="auto"/>
        <w:left w:val="none" w:sz="0" w:space="0" w:color="auto"/>
        <w:bottom w:val="none" w:sz="0" w:space="0" w:color="auto"/>
        <w:right w:val="none" w:sz="0" w:space="0" w:color="auto"/>
      </w:divBdr>
    </w:div>
    <w:div w:id="1176967957">
      <w:bodyDiv w:val="1"/>
      <w:marLeft w:val="0"/>
      <w:marRight w:val="0"/>
      <w:marTop w:val="0"/>
      <w:marBottom w:val="0"/>
      <w:divBdr>
        <w:top w:val="none" w:sz="0" w:space="0" w:color="auto"/>
        <w:left w:val="none" w:sz="0" w:space="0" w:color="auto"/>
        <w:bottom w:val="none" w:sz="0" w:space="0" w:color="auto"/>
        <w:right w:val="none" w:sz="0" w:space="0" w:color="auto"/>
      </w:divBdr>
    </w:div>
    <w:div w:id="1230921505">
      <w:bodyDiv w:val="1"/>
      <w:marLeft w:val="0"/>
      <w:marRight w:val="0"/>
      <w:marTop w:val="0"/>
      <w:marBottom w:val="0"/>
      <w:divBdr>
        <w:top w:val="none" w:sz="0" w:space="0" w:color="auto"/>
        <w:left w:val="none" w:sz="0" w:space="0" w:color="auto"/>
        <w:bottom w:val="none" w:sz="0" w:space="0" w:color="auto"/>
        <w:right w:val="none" w:sz="0" w:space="0" w:color="auto"/>
      </w:divBdr>
    </w:div>
    <w:div w:id="1257981454">
      <w:bodyDiv w:val="1"/>
      <w:marLeft w:val="0"/>
      <w:marRight w:val="0"/>
      <w:marTop w:val="0"/>
      <w:marBottom w:val="0"/>
      <w:divBdr>
        <w:top w:val="none" w:sz="0" w:space="0" w:color="auto"/>
        <w:left w:val="none" w:sz="0" w:space="0" w:color="auto"/>
        <w:bottom w:val="none" w:sz="0" w:space="0" w:color="auto"/>
        <w:right w:val="none" w:sz="0" w:space="0" w:color="auto"/>
      </w:divBdr>
    </w:div>
    <w:div w:id="1464544200">
      <w:bodyDiv w:val="1"/>
      <w:marLeft w:val="0"/>
      <w:marRight w:val="0"/>
      <w:marTop w:val="0"/>
      <w:marBottom w:val="0"/>
      <w:divBdr>
        <w:top w:val="none" w:sz="0" w:space="0" w:color="auto"/>
        <w:left w:val="none" w:sz="0" w:space="0" w:color="auto"/>
        <w:bottom w:val="none" w:sz="0" w:space="0" w:color="auto"/>
        <w:right w:val="none" w:sz="0" w:space="0" w:color="auto"/>
      </w:divBdr>
    </w:div>
    <w:div w:id="1592277712">
      <w:bodyDiv w:val="1"/>
      <w:marLeft w:val="0"/>
      <w:marRight w:val="0"/>
      <w:marTop w:val="0"/>
      <w:marBottom w:val="0"/>
      <w:divBdr>
        <w:top w:val="none" w:sz="0" w:space="0" w:color="auto"/>
        <w:left w:val="none" w:sz="0" w:space="0" w:color="auto"/>
        <w:bottom w:val="none" w:sz="0" w:space="0" w:color="auto"/>
        <w:right w:val="none" w:sz="0" w:space="0" w:color="auto"/>
      </w:divBdr>
    </w:div>
    <w:div w:id="1593080566">
      <w:bodyDiv w:val="1"/>
      <w:marLeft w:val="0"/>
      <w:marRight w:val="0"/>
      <w:marTop w:val="0"/>
      <w:marBottom w:val="0"/>
      <w:divBdr>
        <w:top w:val="none" w:sz="0" w:space="0" w:color="auto"/>
        <w:left w:val="none" w:sz="0" w:space="0" w:color="auto"/>
        <w:bottom w:val="none" w:sz="0" w:space="0" w:color="auto"/>
        <w:right w:val="none" w:sz="0" w:space="0" w:color="auto"/>
      </w:divBdr>
    </w:div>
    <w:div w:id="1738477659">
      <w:bodyDiv w:val="1"/>
      <w:marLeft w:val="0"/>
      <w:marRight w:val="0"/>
      <w:marTop w:val="0"/>
      <w:marBottom w:val="0"/>
      <w:divBdr>
        <w:top w:val="none" w:sz="0" w:space="0" w:color="auto"/>
        <w:left w:val="none" w:sz="0" w:space="0" w:color="auto"/>
        <w:bottom w:val="none" w:sz="0" w:space="0" w:color="auto"/>
        <w:right w:val="none" w:sz="0" w:space="0" w:color="auto"/>
      </w:divBdr>
    </w:div>
    <w:div w:id="1750498870">
      <w:bodyDiv w:val="1"/>
      <w:marLeft w:val="0"/>
      <w:marRight w:val="0"/>
      <w:marTop w:val="0"/>
      <w:marBottom w:val="0"/>
      <w:divBdr>
        <w:top w:val="none" w:sz="0" w:space="0" w:color="auto"/>
        <w:left w:val="none" w:sz="0" w:space="0" w:color="auto"/>
        <w:bottom w:val="none" w:sz="0" w:space="0" w:color="auto"/>
        <w:right w:val="none" w:sz="0" w:space="0" w:color="auto"/>
      </w:divBdr>
    </w:div>
    <w:div w:id="2130927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dfat.gov.au/Info/Treaties/treaties.nsf/AllDocIDs/8B8C6AF11AFB4971CA256B6E0075FE1E"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727</Words>
  <Characters>4149</Characters>
  <Application>Microsoft Office Word</Application>
  <DocSecurity>0</DocSecurity>
  <Lines>34</Lines>
  <Paragraphs>9</Paragraphs>
  <ScaleCrop>false</ScaleCrop>
  <Company>Australian Government - The Treasury</Company>
  <LinksUpToDate>false</LinksUpToDate>
  <CharactersWithSpaces>4867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2019-09-25T05:08:00Z</dcterms:created>
  <dcterms:modified xsi:type="dcterms:W3CDTF">2019-09-25T05:08:00Z</dcterms:modified>
</cp:coreProperties>
</file>