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F8297" w14:textId="62C48545" w:rsidR="00567604" w:rsidRPr="00BE380D" w:rsidRDefault="00CB1234"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 xml:space="preserve">Concerned </w:t>
      </w:r>
      <w:r w:rsidR="003C4CA4" w:rsidRPr="00BE380D">
        <w:rPr>
          <w:rFonts w:ascii="Arial" w:hAnsi="Arial" w:cs="Arial"/>
          <w:sz w:val="20"/>
          <w:szCs w:val="20"/>
        </w:rPr>
        <w:t>I</w:t>
      </w:r>
      <w:r w:rsidR="00567604" w:rsidRPr="00BE380D">
        <w:rPr>
          <w:rFonts w:ascii="Arial" w:hAnsi="Arial" w:cs="Arial"/>
          <w:sz w:val="20"/>
          <w:szCs w:val="20"/>
        </w:rPr>
        <w:t xml:space="preserve">ndividuals of the Commonwealth of Australia </w:t>
      </w:r>
    </w:p>
    <w:p w14:paraId="4B3B6861" w14:textId="1373AA6D" w:rsidR="00E4722A" w:rsidRPr="00BE380D" w:rsidRDefault="00CB1234" w:rsidP="00BE380D">
      <w:pPr>
        <w:tabs>
          <w:tab w:val="left" w:pos="1428"/>
        </w:tabs>
        <w:snapToGrid w:val="0"/>
        <w:spacing w:beforeLines="120" w:before="288"/>
        <w:contextualSpacing/>
        <w:mirrorIndents/>
        <w:rPr>
          <w:rFonts w:ascii="Arial" w:hAnsi="Arial" w:cs="Arial"/>
          <w:sz w:val="20"/>
          <w:szCs w:val="20"/>
        </w:rPr>
      </w:pPr>
      <w:r w:rsidRPr="00BE380D">
        <w:rPr>
          <w:rFonts w:ascii="Arial" w:hAnsi="Arial" w:cs="Arial"/>
          <w:b/>
          <w:sz w:val="20"/>
          <w:szCs w:val="20"/>
        </w:rPr>
        <w:t>Secretary:</w:t>
      </w:r>
      <w:r w:rsidR="00567604" w:rsidRPr="00BE380D">
        <w:rPr>
          <w:rFonts w:ascii="Arial" w:hAnsi="Arial" w:cs="Arial"/>
          <w:sz w:val="20"/>
          <w:szCs w:val="20"/>
        </w:rPr>
        <w:t xml:space="preserve"> </w:t>
      </w:r>
      <w:r w:rsidR="00E4722A" w:rsidRPr="00BE380D">
        <w:rPr>
          <w:rFonts w:ascii="Arial" w:hAnsi="Arial" w:cs="Arial"/>
          <w:sz w:val="20"/>
          <w:szCs w:val="20"/>
        </w:rPr>
        <w:t>Greg Jones</w:t>
      </w:r>
    </w:p>
    <w:p w14:paraId="57810729" w14:textId="33E28103" w:rsidR="003D339B" w:rsidRPr="00BE380D" w:rsidRDefault="00567604"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 xml:space="preserve">Email: </w:t>
      </w:r>
      <w:hyperlink r:id="rId7" w:history="1">
        <w:r w:rsidRPr="00BE380D">
          <w:rPr>
            <w:rStyle w:val="Hyperlink"/>
            <w:rFonts w:ascii="Arial" w:hAnsi="Arial" w:cs="Arial"/>
            <w:sz w:val="20"/>
            <w:szCs w:val="20"/>
          </w:rPr>
          <w:t>greg.jones@ppltek.com</w:t>
        </w:r>
      </w:hyperlink>
    </w:p>
    <w:p w14:paraId="137C2AD5" w14:textId="39D07964" w:rsidR="00567604" w:rsidRPr="00BE380D" w:rsidRDefault="00567604"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 xml:space="preserve">Brisbane, </w:t>
      </w:r>
      <w:r w:rsidR="00C64264" w:rsidRPr="00BE380D">
        <w:rPr>
          <w:rFonts w:ascii="Arial" w:hAnsi="Arial" w:cs="Arial"/>
          <w:sz w:val="20"/>
          <w:szCs w:val="20"/>
        </w:rPr>
        <w:t xml:space="preserve">the </w:t>
      </w:r>
      <w:r w:rsidRPr="00BE380D">
        <w:rPr>
          <w:rFonts w:ascii="Arial" w:hAnsi="Arial" w:cs="Arial"/>
          <w:sz w:val="20"/>
          <w:szCs w:val="20"/>
        </w:rPr>
        <w:t>State of Queensland, Australia</w:t>
      </w:r>
      <w:r w:rsidR="00C64264" w:rsidRPr="00BE380D">
        <w:rPr>
          <w:rFonts w:ascii="Arial" w:hAnsi="Arial" w:cs="Arial"/>
          <w:sz w:val="20"/>
          <w:szCs w:val="20"/>
        </w:rPr>
        <w:t>.</w:t>
      </w:r>
    </w:p>
    <w:p w14:paraId="196664F9" w14:textId="77777777" w:rsidR="00567604" w:rsidRPr="00BE380D" w:rsidRDefault="00567604" w:rsidP="00BE380D">
      <w:pPr>
        <w:snapToGrid w:val="0"/>
        <w:spacing w:beforeLines="120" w:before="288"/>
        <w:contextualSpacing/>
        <w:mirrorIndents/>
        <w:rPr>
          <w:rFonts w:ascii="Arial" w:hAnsi="Arial" w:cs="Arial"/>
          <w:sz w:val="20"/>
          <w:szCs w:val="20"/>
        </w:rPr>
      </w:pPr>
    </w:p>
    <w:p w14:paraId="2DD541F6" w14:textId="2B0BE257" w:rsidR="00567604" w:rsidRPr="00BE380D" w:rsidRDefault="00C64264"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 xml:space="preserve">Date: </w:t>
      </w:r>
      <w:r w:rsidR="00567604" w:rsidRPr="00BE380D">
        <w:rPr>
          <w:rFonts w:ascii="Arial" w:hAnsi="Arial" w:cs="Arial"/>
          <w:sz w:val="20"/>
          <w:szCs w:val="20"/>
        </w:rPr>
        <w:t>12 August 2019</w:t>
      </w:r>
    </w:p>
    <w:p w14:paraId="69503AE1" w14:textId="77777777" w:rsidR="00567604" w:rsidRPr="00BE380D" w:rsidRDefault="00567604" w:rsidP="00BE380D">
      <w:pPr>
        <w:snapToGrid w:val="0"/>
        <w:spacing w:beforeLines="120" w:before="288"/>
        <w:contextualSpacing/>
        <w:mirrorIndents/>
        <w:rPr>
          <w:rFonts w:ascii="Arial" w:hAnsi="Arial" w:cs="Arial"/>
          <w:sz w:val="20"/>
          <w:szCs w:val="20"/>
        </w:rPr>
      </w:pPr>
    </w:p>
    <w:p w14:paraId="0FE17F4B" w14:textId="4D5C9BD8" w:rsidR="000B1722" w:rsidRPr="00BE380D" w:rsidRDefault="00567604" w:rsidP="00BE380D">
      <w:pPr>
        <w:snapToGrid w:val="0"/>
        <w:spacing w:beforeLines="120" w:before="288"/>
        <w:contextualSpacing/>
        <w:mirrorIndents/>
        <w:rPr>
          <w:rFonts w:ascii="Arial" w:hAnsi="Arial" w:cs="Arial"/>
          <w:sz w:val="20"/>
          <w:szCs w:val="20"/>
        </w:rPr>
      </w:pPr>
      <w:r w:rsidRPr="00BE380D">
        <w:rPr>
          <w:rFonts w:ascii="Arial" w:hAnsi="Arial" w:cs="Arial"/>
          <w:b/>
          <w:sz w:val="20"/>
          <w:szCs w:val="20"/>
        </w:rPr>
        <w:t>Attention</w:t>
      </w:r>
      <w:r w:rsidR="00C64264" w:rsidRPr="00BE380D">
        <w:rPr>
          <w:rFonts w:ascii="Arial" w:hAnsi="Arial" w:cs="Arial"/>
          <w:b/>
          <w:sz w:val="20"/>
          <w:szCs w:val="20"/>
        </w:rPr>
        <w:t>:</w:t>
      </w:r>
      <w:r w:rsidR="00C64264" w:rsidRPr="00BE380D">
        <w:rPr>
          <w:rFonts w:ascii="Arial" w:hAnsi="Arial" w:cs="Arial"/>
          <w:sz w:val="20"/>
          <w:szCs w:val="20"/>
        </w:rPr>
        <w:t xml:space="preserve"> </w:t>
      </w:r>
      <w:r w:rsidR="00B470F6" w:rsidRPr="00BE380D">
        <w:rPr>
          <w:rFonts w:ascii="Arial" w:hAnsi="Arial" w:cs="Arial"/>
          <w:sz w:val="20"/>
          <w:szCs w:val="20"/>
        </w:rPr>
        <w:t>Division Head</w:t>
      </w:r>
    </w:p>
    <w:p w14:paraId="14660C9F" w14:textId="77777777" w:rsidR="00C64264" w:rsidRPr="00BE380D" w:rsidRDefault="00B470F6"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 xml:space="preserve">Mr. Patrick </w:t>
      </w:r>
      <w:proofErr w:type="spellStart"/>
      <w:r w:rsidRPr="00BE380D">
        <w:rPr>
          <w:rFonts w:ascii="Arial" w:hAnsi="Arial" w:cs="Arial"/>
          <w:sz w:val="20"/>
          <w:szCs w:val="20"/>
        </w:rPr>
        <w:t>Bon</w:t>
      </w:r>
      <w:r w:rsidRPr="00BE380D">
        <w:rPr>
          <w:rFonts w:ascii="Arial" w:hAnsi="Arial" w:cs="Arial"/>
          <w:sz w:val="20"/>
          <w:szCs w:val="20"/>
        </w:rPr>
        <w:t>e</w:t>
      </w:r>
      <w:r w:rsidRPr="00BE380D">
        <w:rPr>
          <w:rFonts w:ascii="Arial" w:hAnsi="Arial" w:cs="Arial"/>
          <w:sz w:val="20"/>
          <w:szCs w:val="20"/>
        </w:rPr>
        <w:t>ham</w:t>
      </w:r>
      <w:proofErr w:type="spellEnd"/>
    </w:p>
    <w:p w14:paraId="58DD0E2D" w14:textId="7198F7C4" w:rsidR="00567604" w:rsidRPr="00BE380D" w:rsidRDefault="00567604"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 xml:space="preserve">Treasury Building, </w:t>
      </w:r>
    </w:p>
    <w:p w14:paraId="3375BB73" w14:textId="77777777" w:rsidR="00567604" w:rsidRPr="00BE380D" w:rsidRDefault="00567604"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 xml:space="preserve">Langton Crescent, </w:t>
      </w:r>
    </w:p>
    <w:p w14:paraId="46A50238" w14:textId="77777777" w:rsidR="00567604" w:rsidRPr="00BE380D" w:rsidRDefault="00567604"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Parkes ACT 2600</w:t>
      </w:r>
    </w:p>
    <w:p w14:paraId="4352F735" w14:textId="6C46E63D" w:rsidR="000B1722" w:rsidRPr="00BE380D" w:rsidRDefault="00C64264"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 xml:space="preserve">Phone: </w:t>
      </w:r>
      <w:hyperlink r:id="rId8" w:history="1">
        <w:r w:rsidR="00B470F6" w:rsidRPr="00BE380D">
          <w:rPr>
            <w:rFonts w:ascii="Arial" w:hAnsi="Arial" w:cs="Arial"/>
            <w:sz w:val="20"/>
            <w:szCs w:val="20"/>
          </w:rPr>
          <w:t>(02) 6263 2068</w:t>
        </w:r>
      </w:hyperlink>
    </w:p>
    <w:p w14:paraId="60E2966D" w14:textId="2248AAEA" w:rsidR="00567604" w:rsidRPr="00BE380D" w:rsidRDefault="00C64264"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 xml:space="preserve">Phone: </w:t>
      </w:r>
      <w:r w:rsidR="00567604" w:rsidRPr="00BE380D">
        <w:rPr>
          <w:rFonts w:ascii="Arial" w:hAnsi="Arial" w:cs="Arial"/>
          <w:sz w:val="20"/>
          <w:szCs w:val="20"/>
        </w:rPr>
        <w:t>(02) 6263 2111</w:t>
      </w:r>
    </w:p>
    <w:p w14:paraId="6FB1BC32" w14:textId="7FB287D9" w:rsidR="000B1722" w:rsidRPr="00BE380D" w:rsidRDefault="00C64264" w:rsidP="00BE380D">
      <w:pPr>
        <w:snapToGrid w:val="0"/>
        <w:spacing w:beforeLines="120" w:before="288"/>
        <w:contextualSpacing/>
        <w:mirrorIndents/>
        <w:rPr>
          <w:rFonts w:ascii="Arial" w:hAnsi="Arial" w:cs="Arial"/>
          <w:sz w:val="20"/>
          <w:szCs w:val="20"/>
        </w:rPr>
      </w:pPr>
      <w:r w:rsidRPr="00BE380D">
        <w:rPr>
          <w:rFonts w:ascii="Arial" w:hAnsi="Arial" w:cs="Arial"/>
          <w:sz w:val="20"/>
          <w:szCs w:val="20"/>
        </w:rPr>
        <w:t xml:space="preserve">Email: </w:t>
      </w:r>
      <w:hyperlink r:id="rId9" w:history="1">
        <w:r w:rsidRPr="00BE380D">
          <w:rPr>
            <w:rStyle w:val="Hyperlink"/>
            <w:rFonts w:ascii="Arial" w:hAnsi="Arial" w:cs="Arial" w:hint="cs"/>
            <w:sz w:val="20"/>
            <w:szCs w:val="20"/>
          </w:rPr>
          <w:t>patrick.boneham@treasury.gov.au</w:t>
        </w:r>
      </w:hyperlink>
    </w:p>
    <w:p w14:paraId="0B6DD485" w14:textId="77777777" w:rsidR="00567604" w:rsidRPr="00BE380D" w:rsidRDefault="00567604" w:rsidP="00BE380D">
      <w:pPr>
        <w:snapToGrid w:val="0"/>
        <w:spacing w:beforeLines="120" w:before="288"/>
        <w:contextualSpacing/>
        <w:mirrorIndents/>
        <w:rPr>
          <w:rFonts w:ascii="Arial" w:hAnsi="Arial" w:cs="Arial"/>
          <w:sz w:val="20"/>
          <w:szCs w:val="20"/>
        </w:rPr>
      </w:pPr>
    </w:p>
    <w:p w14:paraId="5CBD6BEC" w14:textId="77777777" w:rsidR="00CD297D" w:rsidRPr="00BE380D" w:rsidRDefault="00CD297D" w:rsidP="00BE380D">
      <w:pPr>
        <w:snapToGrid w:val="0"/>
        <w:spacing w:beforeLines="120" w:before="288"/>
        <w:contextualSpacing/>
        <w:mirrorIndents/>
        <w:rPr>
          <w:rFonts w:ascii="Arial" w:hAnsi="Arial" w:cs="Arial"/>
          <w:b/>
          <w:sz w:val="20"/>
          <w:szCs w:val="20"/>
        </w:rPr>
      </w:pPr>
      <w:r w:rsidRPr="00BE380D">
        <w:rPr>
          <w:rFonts w:ascii="Arial" w:hAnsi="Arial" w:cs="Arial"/>
          <w:b/>
          <w:sz w:val="20"/>
          <w:szCs w:val="20"/>
        </w:rPr>
        <w:t xml:space="preserve">RE: </w:t>
      </w:r>
    </w:p>
    <w:p w14:paraId="69E21F7D" w14:textId="77777777" w:rsidR="00CD297D" w:rsidRPr="00BE380D" w:rsidRDefault="00CD297D" w:rsidP="00BE380D">
      <w:pPr>
        <w:pStyle w:val="ListParagraph"/>
        <w:numPr>
          <w:ilvl w:val="0"/>
          <w:numId w:val="13"/>
        </w:numPr>
        <w:snapToGrid w:val="0"/>
        <w:spacing w:beforeLines="120" w:before="288"/>
        <w:mirrorIndents/>
        <w:rPr>
          <w:rFonts w:ascii="Arial" w:hAnsi="Arial" w:cs="Arial"/>
          <w:b/>
          <w:sz w:val="20"/>
          <w:szCs w:val="20"/>
        </w:rPr>
      </w:pPr>
      <w:r w:rsidRPr="00BE380D">
        <w:rPr>
          <w:rFonts w:ascii="Arial" w:hAnsi="Arial" w:cs="Arial"/>
          <w:b/>
          <w:sz w:val="20"/>
          <w:szCs w:val="20"/>
        </w:rPr>
        <w:t>Currency (Restrictions on the Use of Cash) Bill 2019</w:t>
      </w:r>
    </w:p>
    <w:p w14:paraId="22DEE7B0" w14:textId="77777777" w:rsidR="00CD297D" w:rsidRPr="00BE380D" w:rsidRDefault="00CD297D" w:rsidP="00BE380D">
      <w:pPr>
        <w:pStyle w:val="ListParagraph"/>
        <w:numPr>
          <w:ilvl w:val="0"/>
          <w:numId w:val="13"/>
        </w:numPr>
        <w:snapToGrid w:val="0"/>
        <w:spacing w:beforeLines="120" w:before="288"/>
        <w:mirrorIndents/>
        <w:rPr>
          <w:rFonts w:ascii="Arial" w:hAnsi="Arial" w:cs="Arial"/>
          <w:b/>
          <w:sz w:val="20"/>
          <w:szCs w:val="20"/>
        </w:rPr>
      </w:pPr>
      <w:r w:rsidRPr="00BE380D">
        <w:rPr>
          <w:rFonts w:ascii="Arial" w:hAnsi="Arial" w:cs="Arial"/>
          <w:b/>
          <w:sz w:val="20"/>
          <w:szCs w:val="20"/>
        </w:rPr>
        <w:t>Currency (Restrictions on the use of cash-Expected Transactions) Instrument 2019</w:t>
      </w:r>
    </w:p>
    <w:p w14:paraId="5F37CA43" w14:textId="1579901C" w:rsidR="00C64264" w:rsidRPr="00BE380D" w:rsidRDefault="00CD297D" w:rsidP="00BE380D">
      <w:pPr>
        <w:pStyle w:val="ListParagraph"/>
        <w:numPr>
          <w:ilvl w:val="0"/>
          <w:numId w:val="13"/>
        </w:numPr>
        <w:snapToGrid w:val="0"/>
        <w:spacing w:beforeLines="120" w:before="288"/>
        <w:mirrorIndents/>
        <w:rPr>
          <w:rFonts w:ascii="Arial" w:hAnsi="Arial" w:cs="Arial"/>
          <w:b/>
          <w:sz w:val="20"/>
          <w:szCs w:val="20"/>
        </w:rPr>
      </w:pPr>
      <w:r w:rsidRPr="00BE380D">
        <w:rPr>
          <w:rFonts w:ascii="Arial" w:hAnsi="Arial" w:cs="Arial"/>
          <w:b/>
          <w:sz w:val="20"/>
          <w:szCs w:val="20"/>
        </w:rPr>
        <w:t>Currency (Restrictions on the use of cash)</w:t>
      </w:r>
      <w:r w:rsidR="00C64264" w:rsidRPr="00BE380D">
        <w:rPr>
          <w:rFonts w:ascii="Arial" w:hAnsi="Arial" w:cs="Arial"/>
          <w:b/>
          <w:sz w:val="20"/>
          <w:szCs w:val="20"/>
        </w:rPr>
        <w:t xml:space="preserve"> </w:t>
      </w:r>
      <w:r w:rsidRPr="00BE380D">
        <w:rPr>
          <w:rFonts w:ascii="Arial" w:hAnsi="Arial" w:cs="Arial"/>
          <w:b/>
          <w:sz w:val="20"/>
          <w:szCs w:val="20"/>
        </w:rPr>
        <w:t>(Consequential Amendments and Transitional Provisions) Bill 2019</w:t>
      </w:r>
    </w:p>
    <w:p w14:paraId="00ADAA14" w14:textId="524FB553" w:rsidR="00C64264" w:rsidRPr="00BE380D" w:rsidRDefault="00C64264" w:rsidP="00BE380D">
      <w:p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Mr </w:t>
      </w:r>
      <w:proofErr w:type="spellStart"/>
      <w:r w:rsidRPr="00BE380D">
        <w:rPr>
          <w:rFonts w:ascii="Arial" w:hAnsi="Arial" w:cs="Arial"/>
          <w:sz w:val="20"/>
          <w:szCs w:val="20"/>
        </w:rPr>
        <w:t>Boneham</w:t>
      </w:r>
      <w:proofErr w:type="spellEnd"/>
      <w:r w:rsidR="003C4CA4" w:rsidRPr="00BE380D">
        <w:rPr>
          <w:rFonts w:ascii="Arial" w:hAnsi="Arial" w:cs="Arial"/>
          <w:sz w:val="20"/>
          <w:szCs w:val="20"/>
        </w:rPr>
        <w:t>,</w:t>
      </w:r>
    </w:p>
    <w:p w14:paraId="5CB64514" w14:textId="6D50DD89" w:rsidR="003D339B" w:rsidRPr="00BE380D" w:rsidRDefault="003D339B" w:rsidP="00BE380D">
      <w:pPr>
        <w:snapToGrid w:val="0"/>
        <w:spacing w:beforeLines="120" w:before="288" w:afterLines="240" w:after="576" w:line="360" w:lineRule="auto"/>
        <w:mirrorIndents/>
        <w:rPr>
          <w:rFonts w:ascii="Arial" w:hAnsi="Arial" w:cs="Arial"/>
          <w:b/>
          <w:sz w:val="20"/>
          <w:szCs w:val="20"/>
          <w:u w:val="single"/>
        </w:rPr>
      </w:pPr>
      <w:r w:rsidRPr="00BE380D">
        <w:rPr>
          <w:rFonts w:ascii="Arial" w:hAnsi="Arial" w:cs="Arial"/>
          <w:b/>
          <w:sz w:val="20"/>
          <w:szCs w:val="20"/>
          <w:u w:val="single"/>
        </w:rPr>
        <w:t>Submission to the Proposed Currency Bill Act 2019</w:t>
      </w:r>
    </w:p>
    <w:p w14:paraId="53BCF84C" w14:textId="580D437E" w:rsidR="00CD297D" w:rsidRPr="00BE380D" w:rsidRDefault="00E4722A" w:rsidP="00BE380D">
      <w:p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We are</w:t>
      </w:r>
      <w:r w:rsidR="00CD297D" w:rsidRPr="00BE380D">
        <w:rPr>
          <w:rFonts w:ascii="Arial" w:hAnsi="Arial" w:cs="Arial"/>
          <w:sz w:val="20"/>
          <w:szCs w:val="20"/>
        </w:rPr>
        <w:t xml:space="preserve"> writing to express </w:t>
      </w:r>
      <w:r w:rsidR="003D339B" w:rsidRPr="00BE380D">
        <w:rPr>
          <w:rFonts w:ascii="Arial" w:hAnsi="Arial" w:cs="Arial"/>
          <w:sz w:val="20"/>
          <w:szCs w:val="20"/>
        </w:rPr>
        <w:t>our</w:t>
      </w:r>
      <w:r w:rsidR="00CD297D" w:rsidRPr="00BE380D">
        <w:rPr>
          <w:rFonts w:ascii="Arial" w:hAnsi="Arial" w:cs="Arial"/>
          <w:sz w:val="20"/>
          <w:szCs w:val="20"/>
        </w:rPr>
        <w:t xml:space="preserve"> </w:t>
      </w:r>
      <w:r w:rsidR="00395C39" w:rsidRPr="00BE380D">
        <w:rPr>
          <w:rFonts w:ascii="Arial" w:hAnsi="Arial" w:cs="Arial"/>
          <w:sz w:val="20"/>
          <w:szCs w:val="20"/>
        </w:rPr>
        <w:t xml:space="preserve">concerns </w:t>
      </w:r>
      <w:r w:rsidR="00C64264" w:rsidRPr="00BE380D">
        <w:rPr>
          <w:rFonts w:ascii="Arial" w:hAnsi="Arial" w:cs="Arial"/>
          <w:sz w:val="20"/>
          <w:szCs w:val="20"/>
        </w:rPr>
        <w:t xml:space="preserve">about, </w:t>
      </w:r>
      <w:r w:rsidR="00395C39" w:rsidRPr="00BE380D">
        <w:rPr>
          <w:rFonts w:ascii="Arial" w:hAnsi="Arial" w:cs="Arial"/>
          <w:sz w:val="20"/>
          <w:szCs w:val="20"/>
        </w:rPr>
        <w:t xml:space="preserve">and </w:t>
      </w:r>
      <w:r w:rsidR="00C64264" w:rsidRPr="00BE380D">
        <w:rPr>
          <w:rFonts w:ascii="Arial" w:hAnsi="Arial" w:cs="Arial"/>
          <w:sz w:val="20"/>
          <w:szCs w:val="20"/>
        </w:rPr>
        <w:t xml:space="preserve">give notice of our </w:t>
      </w:r>
      <w:r w:rsidR="00CD297D" w:rsidRPr="00BE380D">
        <w:rPr>
          <w:rFonts w:ascii="Arial" w:hAnsi="Arial" w:cs="Arial"/>
          <w:sz w:val="20"/>
          <w:szCs w:val="20"/>
        </w:rPr>
        <w:t xml:space="preserve">opposition to the proposed </w:t>
      </w:r>
      <w:r w:rsidR="00C64264" w:rsidRPr="00BE380D">
        <w:rPr>
          <w:rFonts w:ascii="Arial" w:hAnsi="Arial" w:cs="Arial"/>
          <w:sz w:val="20"/>
          <w:szCs w:val="20"/>
        </w:rPr>
        <w:t xml:space="preserve">instruments; </w:t>
      </w:r>
      <w:r w:rsidR="00C64264" w:rsidRPr="00BE380D">
        <w:rPr>
          <w:rFonts w:ascii="Arial" w:hAnsi="Arial" w:cs="Arial"/>
          <w:sz w:val="20"/>
          <w:szCs w:val="20"/>
        </w:rPr>
        <w:t>Currency (Restrictions on the Use of Cash) Bill 2019</w:t>
      </w:r>
      <w:r w:rsidR="00C64264" w:rsidRPr="00BE380D">
        <w:rPr>
          <w:rFonts w:ascii="Arial" w:hAnsi="Arial" w:cs="Arial"/>
          <w:sz w:val="20"/>
          <w:szCs w:val="20"/>
        </w:rPr>
        <w:t xml:space="preserve">, </w:t>
      </w:r>
      <w:r w:rsidR="00C64264" w:rsidRPr="00BE380D">
        <w:rPr>
          <w:rFonts w:ascii="Arial" w:hAnsi="Arial" w:cs="Arial"/>
          <w:sz w:val="20"/>
          <w:szCs w:val="20"/>
        </w:rPr>
        <w:t>Currency (Restrictions on the use of cash-Expected Transactions) Instrument 2019</w:t>
      </w:r>
      <w:r w:rsidR="00C64264" w:rsidRPr="00BE380D">
        <w:rPr>
          <w:rFonts w:ascii="Arial" w:hAnsi="Arial" w:cs="Arial"/>
          <w:sz w:val="20"/>
          <w:szCs w:val="20"/>
        </w:rPr>
        <w:t xml:space="preserve">, </w:t>
      </w:r>
      <w:r w:rsidR="00C64264" w:rsidRPr="00BE380D">
        <w:rPr>
          <w:rFonts w:ascii="Arial" w:hAnsi="Arial" w:cs="Arial"/>
          <w:sz w:val="20"/>
          <w:szCs w:val="20"/>
        </w:rPr>
        <w:t>Currency (Restrictions on the use of cash)</w:t>
      </w:r>
      <w:r w:rsidR="00C64264" w:rsidRPr="00BE380D">
        <w:rPr>
          <w:rFonts w:ascii="Arial" w:hAnsi="Arial" w:cs="Arial"/>
          <w:sz w:val="20"/>
          <w:szCs w:val="20"/>
        </w:rPr>
        <w:t xml:space="preserve"> </w:t>
      </w:r>
      <w:r w:rsidR="00C64264" w:rsidRPr="00BE380D">
        <w:rPr>
          <w:rFonts w:ascii="Arial" w:hAnsi="Arial" w:cs="Arial"/>
          <w:sz w:val="20"/>
          <w:szCs w:val="20"/>
        </w:rPr>
        <w:t>(Consequential Amendments and Transitional Provisions) Bill 2019</w:t>
      </w:r>
      <w:r w:rsidR="00BE380D">
        <w:rPr>
          <w:rFonts w:ascii="Arial" w:hAnsi="Arial" w:cs="Arial"/>
          <w:sz w:val="20"/>
          <w:szCs w:val="20"/>
        </w:rPr>
        <w:t xml:space="preserve">. </w:t>
      </w:r>
      <w:r w:rsidR="00C64264" w:rsidRPr="00BE380D">
        <w:rPr>
          <w:rFonts w:ascii="Arial" w:hAnsi="Arial" w:cs="Arial"/>
          <w:sz w:val="20"/>
          <w:szCs w:val="20"/>
        </w:rPr>
        <w:t xml:space="preserve">Below </w:t>
      </w:r>
      <w:r w:rsidR="00CD297D" w:rsidRPr="00BE380D">
        <w:rPr>
          <w:rFonts w:ascii="Arial" w:hAnsi="Arial" w:cs="Arial"/>
          <w:sz w:val="20"/>
          <w:szCs w:val="20"/>
        </w:rPr>
        <w:t xml:space="preserve">are </w:t>
      </w:r>
      <w:r w:rsidR="00C64264" w:rsidRPr="00BE380D">
        <w:rPr>
          <w:rFonts w:ascii="Arial" w:hAnsi="Arial" w:cs="Arial"/>
          <w:sz w:val="20"/>
          <w:szCs w:val="20"/>
        </w:rPr>
        <w:t xml:space="preserve">the </w:t>
      </w:r>
      <w:r w:rsidR="00CD297D" w:rsidRPr="00BE380D">
        <w:rPr>
          <w:rFonts w:ascii="Arial" w:hAnsi="Arial" w:cs="Arial"/>
          <w:sz w:val="20"/>
          <w:szCs w:val="20"/>
        </w:rPr>
        <w:t xml:space="preserve">three </w:t>
      </w:r>
      <w:r w:rsidR="00395C39" w:rsidRPr="00BE380D">
        <w:rPr>
          <w:rFonts w:ascii="Arial" w:hAnsi="Arial" w:cs="Arial"/>
          <w:sz w:val="20"/>
          <w:szCs w:val="20"/>
        </w:rPr>
        <w:t xml:space="preserve">main </w:t>
      </w:r>
      <w:r w:rsidR="00CD297D" w:rsidRPr="00BE380D">
        <w:rPr>
          <w:rFonts w:ascii="Arial" w:hAnsi="Arial" w:cs="Arial"/>
          <w:sz w:val="20"/>
          <w:szCs w:val="20"/>
        </w:rPr>
        <w:t xml:space="preserve">points </w:t>
      </w:r>
      <w:r w:rsidR="00C64264" w:rsidRPr="00BE380D">
        <w:rPr>
          <w:rFonts w:ascii="Arial" w:hAnsi="Arial" w:cs="Arial"/>
          <w:sz w:val="20"/>
          <w:szCs w:val="20"/>
        </w:rPr>
        <w:t xml:space="preserve">which constitute </w:t>
      </w:r>
      <w:r w:rsidR="00395C39" w:rsidRPr="00BE380D">
        <w:rPr>
          <w:rFonts w:ascii="Arial" w:hAnsi="Arial" w:cs="Arial"/>
          <w:sz w:val="20"/>
          <w:szCs w:val="20"/>
        </w:rPr>
        <w:t>our</w:t>
      </w:r>
      <w:r w:rsidR="00CD297D" w:rsidRPr="00BE380D">
        <w:rPr>
          <w:rFonts w:ascii="Arial" w:hAnsi="Arial" w:cs="Arial"/>
          <w:sz w:val="20"/>
          <w:szCs w:val="20"/>
        </w:rPr>
        <w:t xml:space="preserve"> objection</w:t>
      </w:r>
      <w:r w:rsidR="00191EDB" w:rsidRPr="00BE380D">
        <w:rPr>
          <w:rFonts w:ascii="Arial" w:hAnsi="Arial" w:cs="Arial"/>
          <w:sz w:val="20"/>
          <w:szCs w:val="20"/>
        </w:rPr>
        <w:t xml:space="preserve">s to the </w:t>
      </w:r>
      <w:proofErr w:type="gramStart"/>
      <w:r w:rsidR="00191EDB" w:rsidRPr="00BE380D">
        <w:rPr>
          <w:rFonts w:ascii="Arial" w:hAnsi="Arial" w:cs="Arial"/>
          <w:sz w:val="20"/>
          <w:szCs w:val="20"/>
        </w:rPr>
        <w:t xml:space="preserve">above </w:t>
      </w:r>
      <w:r w:rsidR="00BE380D" w:rsidRPr="00BE380D">
        <w:rPr>
          <w:rFonts w:ascii="Arial" w:hAnsi="Arial" w:cs="Arial"/>
          <w:sz w:val="20"/>
          <w:szCs w:val="20"/>
        </w:rPr>
        <w:t>mention</w:t>
      </w:r>
      <w:r w:rsidR="00BE380D">
        <w:rPr>
          <w:rFonts w:ascii="Arial" w:hAnsi="Arial" w:cs="Arial"/>
          <w:sz w:val="20"/>
          <w:szCs w:val="20"/>
        </w:rPr>
        <w:t>ed</w:t>
      </w:r>
      <w:proofErr w:type="gramEnd"/>
      <w:r w:rsidR="00C64264" w:rsidRPr="00BE380D">
        <w:rPr>
          <w:rFonts w:ascii="Arial" w:hAnsi="Arial" w:cs="Arial"/>
          <w:sz w:val="20"/>
          <w:szCs w:val="20"/>
        </w:rPr>
        <w:t xml:space="preserve"> instruments</w:t>
      </w:r>
      <w:r w:rsidR="00191EDB" w:rsidRPr="00BE380D">
        <w:rPr>
          <w:rFonts w:ascii="Arial" w:hAnsi="Arial" w:cs="Arial"/>
          <w:sz w:val="20"/>
          <w:szCs w:val="20"/>
        </w:rPr>
        <w:t>.</w:t>
      </w:r>
    </w:p>
    <w:p w14:paraId="7BB945E2" w14:textId="00981DA2" w:rsidR="003208A8" w:rsidRPr="00BE380D" w:rsidRDefault="00F747F0" w:rsidP="00BE380D">
      <w:pPr>
        <w:pStyle w:val="ListParagraph"/>
        <w:numPr>
          <w:ilvl w:val="0"/>
          <w:numId w:val="14"/>
        </w:numPr>
        <w:snapToGrid w:val="0"/>
        <w:spacing w:beforeLines="120" w:before="288" w:afterLines="240" w:after="576" w:line="360" w:lineRule="auto"/>
        <w:mirrorIndents/>
        <w:rPr>
          <w:rFonts w:ascii="Arial" w:hAnsi="Arial" w:cs="Arial"/>
          <w:b/>
          <w:sz w:val="20"/>
          <w:szCs w:val="20"/>
          <w:u w:val="single"/>
        </w:rPr>
      </w:pPr>
      <w:r w:rsidRPr="00BE380D">
        <w:rPr>
          <w:rFonts w:ascii="Arial" w:hAnsi="Arial" w:cs="Arial"/>
          <w:b/>
          <w:sz w:val="20"/>
          <w:szCs w:val="20"/>
          <w:u w:val="single"/>
        </w:rPr>
        <w:t xml:space="preserve">The </w:t>
      </w:r>
      <w:proofErr w:type="gramStart"/>
      <w:r w:rsidRPr="00BE380D">
        <w:rPr>
          <w:rFonts w:ascii="Arial" w:hAnsi="Arial" w:cs="Arial"/>
          <w:b/>
          <w:sz w:val="20"/>
          <w:szCs w:val="20"/>
          <w:u w:val="single"/>
        </w:rPr>
        <w:t>Black Market</w:t>
      </w:r>
      <w:proofErr w:type="gramEnd"/>
      <w:r w:rsidRPr="00BE380D">
        <w:rPr>
          <w:rFonts w:ascii="Arial" w:hAnsi="Arial" w:cs="Arial"/>
          <w:b/>
          <w:sz w:val="20"/>
          <w:szCs w:val="20"/>
          <w:u w:val="single"/>
        </w:rPr>
        <w:t xml:space="preserve"> Economy</w:t>
      </w:r>
    </w:p>
    <w:p w14:paraId="2D93BAF5" w14:textId="21C5D8FD" w:rsidR="008808C5" w:rsidRPr="00BE380D" w:rsidRDefault="00BE380D" w:rsidP="00BE380D">
      <w:pPr>
        <w:snapToGrid w:val="0"/>
        <w:spacing w:beforeLines="120" w:before="288" w:afterLines="240" w:after="576" w:line="360" w:lineRule="auto"/>
        <w:contextualSpacing/>
        <w:mirrorIndents/>
        <w:rPr>
          <w:rFonts w:ascii="Arial" w:hAnsi="Arial" w:cs="Arial"/>
          <w:sz w:val="20"/>
          <w:szCs w:val="20"/>
        </w:rPr>
      </w:pPr>
      <w:r>
        <w:rPr>
          <w:rFonts w:ascii="Arial" w:hAnsi="Arial" w:cs="Arial"/>
          <w:sz w:val="20"/>
          <w:szCs w:val="20"/>
        </w:rPr>
        <w:t xml:space="preserve">(Source, </w:t>
      </w:r>
      <w:hyperlink r:id="rId10" w:history="1">
        <w:r w:rsidRPr="008D2820">
          <w:rPr>
            <w:rStyle w:val="Hyperlink"/>
            <w:rFonts w:ascii="Arial" w:hAnsi="Arial" w:cs="Arial"/>
            <w:sz w:val="20"/>
            <w:szCs w:val="20"/>
          </w:rPr>
          <w:t>https://treasury.gov.au/sites/default/files/2019-03/Black-Economy-Taskforce_Final-Report.pdf</w:t>
        </w:r>
      </w:hyperlink>
      <w:r>
        <w:rPr>
          <w:rStyle w:val="Hyperlink"/>
          <w:rFonts w:ascii="Arial" w:hAnsi="Arial" w:cs="Arial"/>
          <w:sz w:val="20"/>
          <w:szCs w:val="20"/>
        </w:rPr>
        <w:t>)</w:t>
      </w:r>
    </w:p>
    <w:p w14:paraId="2BFA1F08" w14:textId="1A1A5536" w:rsidR="008808C5" w:rsidRPr="00BE380D" w:rsidRDefault="00191EDB"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The Black Economy Taskforce </w:t>
      </w:r>
      <w:r w:rsidR="00C64264" w:rsidRPr="00BE380D">
        <w:rPr>
          <w:rFonts w:ascii="Arial" w:hAnsi="Arial" w:cs="Arial"/>
          <w:sz w:val="20"/>
          <w:szCs w:val="20"/>
        </w:rPr>
        <w:t xml:space="preserve">at best provided circumspection evidence and failed </w:t>
      </w:r>
      <w:r w:rsidRPr="00BE380D">
        <w:rPr>
          <w:rFonts w:ascii="Arial" w:hAnsi="Arial" w:cs="Arial"/>
          <w:sz w:val="20"/>
          <w:szCs w:val="20"/>
        </w:rPr>
        <w:t xml:space="preserve">to establish </w:t>
      </w:r>
      <w:r w:rsidR="00C64264" w:rsidRPr="00BE380D">
        <w:rPr>
          <w:rFonts w:ascii="Arial" w:hAnsi="Arial" w:cs="Arial"/>
          <w:sz w:val="20"/>
          <w:szCs w:val="20"/>
        </w:rPr>
        <w:t xml:space="preserve">credible </w:t>
      </w:r>
      <w:r w:rsidRPr="00BE380D">
        <w:rPr>
          <w:rFonts w:ascii="Arial" w:hAnsi="Arial" w:cs="Arial"/>
          <w:sz w:val="20"/>
          <w:szCs w:val="20"/>
        </w:rPr>
        <w:t>link</w:t>
      </w:r>
      <w:r w:rsidR="00C64264" w:rsidRPr="00BE380D">
        <w:rPr>
          <w:rFonts w:ascii="Arial" w:hAnsi="Arial" w:cs="Arial"/>
          <w:sz w:val="20"/>
          <w:szCs w:val="20"/>
        </w:rPr>
        <w:t>s</w:t>
      </w:r>
      <w:r w:rsidRPr="00BE380D">
        <w:rPr>
          <w:rFonts w:ascii="Arial" w:hAnsi="Arial" w:cs="Arial"/>
          <w:sz w:val="20"/>
          <w:szCs w:val="20"/>
        </w:rPr>
        <w:t xml:space="preserve"> and </w:t>
      </w:r>
      <w:r w:rsidR="00C64264" w:rsidRPr="00BE380D">
        <w:rPr>
          <w:rFonts w:ascii="Arial" w:hAnsi="Arial" w:cs="Arial"/>
          <w:sz w:val="20"/>
          <w:szCs w:val="20"/>
        </w:rPr>
        <w:t xml:space="preserve">lacked the </w:t>
      </w:r>
      <w:r w:rsidRPr="00BE380D">
        <w:rPr>
          <w:rFonts w:ascii="Arial" w:hAnsi="Arial" w:cs="Arial"/>
          <w:sz w:val="20"/>
          <w:szCs w:val="20"/>
        </w:rPr>
        <w:t>empirical</w:t>
      </w:r>
      <w:r w:rsidR="00C64264" w:rsidRPr="00BE380D">
        <w:rPr>
          <w:rFonts w:ascii="Arial" w:hAnsi="Arial" w:cs="Arial"/>
          <w:sz w:val="20"/>
          <w:szCs w:val="20"/>
        </w:rPr>
        <w:t xml:space="preserve">, qualitative and quantitative </w:t>
      </w:r>
      <w:r w:rsidRPr="00BE380D">
        <w:rPr>
          <w:rFonts w:ascii="Arial" w:hAnsi="Arial" w:cs="Arial"/>
          <w:sz w:val="20"/>
          <w:szCs w:val="20"/>
        </w:rPr>
        <w:t xml:space="preserve">evidence </w:t>
      </w:r>
      <w:r w:rsidR="00C64264" w:rsidRPr="00BE380D">
        <w:rPr>
          <w:rFonts w:ascii="Arial" w:hAnsi="Arial" w:cs="Arial"/>
          <w:sz w:val="20"/>
          <w:szCs w:val="20"/>
        </w:rPr>
        <w:t xml:space="preserve">from primary and secondary sources required to support the argument </w:t>
      </w:r>
      <w:r w:rsidRPr="00BE380D">
        <w:rPr>
          <w:rFonts w:ascii="Arial" w:hAnsi="Arial" w:cs="Arial"/>
          <w:sz w:val="20"/>
          <w:szCs w:val="20"/>
        </w:rPr>
        <w:t>that restricting cash transactions will limit the “black economy”.</w:t>
      </w:r>
    </w:p>
    <w:p w14:paraId="56870026" w14:textId="4B1F7084" w:rsidR="003208A8" w:rsidRPr="00BE380D" w:rsidRDefault="003208A8"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lastRenderedPageBreak/>
        <w:t xml:space="preserve">While </w:t>
      </w:r>
      <w:r w:rsidR="008808C5" w:rsidRPr="00BE380D">
        <w:rPr>
          <w:rFonts w:ascii="Arial" w:hAnsi="Arial" w:cs="Arial"/>
          <w:sz w:val="20"/>
          <w:szCs w:val="20"/>
        </w:rPr>
        <w:t>voluminous</w:t>
      </w:r>
      <w:r w:rsidRPr="00BE380D">
        <w:rPr>
          <w:rFonts w:ascii="Arial" w:hAnsi="Arial" w:cs="Arial"/>
          <w:sz w:val="20"/>
          <w:szCs w:val="20"/>
        </w:rPr>
        <w:t>, the report</w:t>
      </w:r>
      <w:r w:rsidR="00C64264" w:rsidRPr="00BE380D">
        <w:rPr>
          <w:rFonts w:ascii="Arial" w:hAnsi="Arial" w:cs="Arial"/>
          <w:sz w:val="20"/>
          <w:szCs w:val="20"/>
        </w:rPr>
        <w:t xml:space="preserve">s authors were unable to </w:t>
      </w:r>
      <w:r w:rsidRPr="00BE380D">
        <w:rPr>
          <w:rFonts w:ascii="Arial" w:hAnsi="Arial" w:cs="Arial"/>
          <w:sz w:val="20"/>
          <w:szCs w:val="20"/>
        </w:rPr>
        <w:t xml:space="preserve">establish </w:t>
      </w:r>
      <w:r w:rsidR="00C64264" w:rsidRPr="00BE380D">
        <w:rPr>
          <w:rFonts w:ascii="Arial" w:hAnsi="Arial" w:cs="Arial"/>
          <w:sz w:val="20"/>
          <w:szCs w:val="20"/>
        </w:rPr>
        <w:t xml:space="preserve">any </w:t>
      </w:r>
      <w:r w:rsidRPr="00BE380D">
        <w:rPr>
          <w:rFonts w:ascii="Arial" w:hAnsi="Arial" w:cs="Arial"/>
          <w:sz w:val="20"/>
          <w:szCs w:val="20"/>
        </w:rPr>
        <w:t xml:space="preserve">real taxation revenue benefit </w:t>
      </w:r>
      <w:r w:rsidR="00CD5675" w:rsidRPr="00BE380D">
        <w:rPr>
          <w:rFonts w:ascii="Arial" w:hAnsi="Arial" w:cs="Arial"/>
          <w:sz w:val="20"/>
          <w:szCs w:val="20"/>
        </w:rPr>
        <w:t xml:space="preserve">deriving from the application of these proposed instruments, and more importantly </w:t>
      </w:r>
      <w:r w:rsidRPr="00BE380D">
        <w:rPr>
          <w:rFonts w:ascii="Arial" w:hAnsi="Arial" w:cs="Arial"/>
          <w:sz w:val="20"/>
          <w:szCs w:val="20"/>
        </w:rPr>
        <w:t xml:space="preserve">that taxes are avoided by </w:t>
      </w:r>
      <w:r w:rsidR="00CD5675" w:rsidRPr="00BE380D">
        <w:rPr>
          <w:rFonts w:ascii="Arial" w:hAnsi="Arial" w:cs="Arial"/>
          <w:sz w:val="20"/>
          <w:szCs w:val="20"/>
        </w:rPr>
        <w:t xml:space="preserve">individuals, persons and corporations </w:t>
      </w:r>
      <w:r w:rsidRPr="00BE380D">
        <w:rPr>
          <w:rFonts w:ascii="Arial" w:hAnsi="Arial" w:cs="Arial"/>
          <w:sz w:val="20"/>
          <w:szCs w:val="20"/>
        </w:rPr>
        <w:t xml:space="preserve">using cash. </w:t>
      </w:r>
      <w:r w:rsidR="00CD5675" w:rsidRPr="00BE380D">
        <w:rPr>
          <w:rFonts w:ascii="Arial" w:hAnsi="Arial" w:cs="Arial"/>
          <w:sz w:val="20"/>
          <w:szCs w:val="20"/>
        </w:rPr>
        <w:t xml:space="preserve">The authors </w:t>
      </w:r>
      <w:r w:rsidR="008808C5" w:rsidRPr="00BE380D">
        <w:rPr>
          <w:rFonts w:ascii="Arial" w:hAnsi="Arial" w:cs="Arial"/>
          <w:sz w:val="20"/>
          <w:szCs w:val="20"/>
        </w:rPr>
        <w:t xml:space="preserve">many </w:t>
      </w:r>
      <w:r w:rsidR="00CD5675" w:rsidRPr="00BE380D">
        <w:rPr>
          <w:rFonts w:ascii="Arial" w:hAnsi="Arial" w:cs="Arial"/>
          <w:sz w:val="20"/>
          <w:szCs w:val="20"/>
        </w:rPr>
        <w:t xml:space="preserve">spurious </w:t>
      </w:r>
      <w:r w:rsidR="008808C5" w:rsidRPr="00BE380D">
        <w:rPr>
          <w:rFonts w:ascii="Arial" w:hAnsi="Arial" w:cs="Arial"/>
          <w:sz w:val="20"/>
          <w:szCs w:val="20"/>
        </w:rPr>
        <w:t>assertions</w:t>
      </w:r>
      <w:r w:rsidR="00FD5E3B" w:rsidRPr="00BE380D">
        <w:rPr>
          <w:rFonts w:ascii="Arial" w:hAnsi="Arial" w:cs="Arial"/>
          <w:sz w:val="20"/>
          <w:szCs w:val="20"/>
        </w:rPr>
        <w:t xml:space="preserve"> and speculative arguments</w:t>
      </w:r>
      <w:r w:rsidR="008808C5" w:rsidRPr="00BE380D">
        <w:rPr>
          <w:rFonts w:ascii="Arial" w:hAnsi="Arial" w:cs="Arial"/>
          <w:sz w:val="20"/>
          <w:szCs w:val="20"/>
        </w:rPr>
        <w:t xml:space="preserve"> </w:t>
      </w:r>
      <w:r w:rsidR="00CD5675" w:rsidRPr="00BE380D">
        <w:rPr>
          <w:rFonts w:ascii="Arial" w:hAnsi="Arial" w:cs="Arial"/>
          <w:sz w:val="20"/>
          <w:szCs w:val="20"/>
        </w:rPr>
        <w:t xml:space="preserve">which lack </w:t>
      </w:r>
      <w:r w:rsidR="00191EDB" w:rsidRPr="00BE380D">
        <w:rPr>
          <w:rFonts w:ascii="Arial" w:hAnsi="Arial" w:cs="Arial"/>
          <w:sz w:val="20"/>
          <w:szCs w:val="20"/>
        </w:rPr>
        <w:t>evidence</w:t>
      </w:r>
      <w:r w:rsidR="00CD5675" w:rsidRPr="00BE380D">
        <w:rPr>
          <w:rFonts w:ascii="Arial" w:hAnsi="Arial" w:cs="Arial"/>
          <w:sz w:val="20"/>
          <w:szCs w:val="20"/>
        </w:rPr>
        <w:t xml:space="preserve">, neither does </w:t>
      </w:r>
      <w:r w:rsidR="00191EDB" w:rsidRPr="00BE380D">
        <w:rPr>
          <w:rFonts w:ascii="Arial" w:hAnsi="Arial" w:cs="Arial"/>
          <w:sz w:val="20"/>
          <w:szCs w:val="20"/>
        </w:rPr>
        <w:t xml:space="preserve">the report distinguish between the </w:t>
      </w:r>
      <w:r w:rsidR="00CD5675" w:rsidRPr="00BE380D">
        <w:rPr>
          <w:rFonts w:ascii="Arial" w:hAnsi="Arial" w:cs="Arial"/>
          <w:sz w:val="20"/>
          <w:szCs w:val="20"/>
        </w:rPr>
        <w:t xml:space="preserve">interlocking elements of the </w:t>
      </w:r>
      <w:r w:rsidR="00191EDB" w:rsidRPr="00BE380D">
        <w:rPr>
          <w:rFonts w:ascii="Arial" w:hAnsi="Arial" w:cs="Arial"/>
          <w:sz w:val="20"/>
          <w:szCs w:val="20"/>
        </w:rPr>
        <w:t xml:space="preserve">legitimate economy vs the “black economy” using cash and the “black economy” using electronic financial transactions. The </w:t>
      </w:r>
      <w:r w:rsidR="00CD5675" w:rsidRPr="00BE380D">
        <w:rPr>
          <w:rFonts w:ascii="Arial" w:hAnsi="Arial" w:cs="Arial"/>
          <w:sz w:val="20"/>
          <w:szCs w:val="20"/>
        </w:rPr>
        <w:t xml:space="preserve">authors present a simplistic argument which lacks the maturity and understanding of </w:t>
      </w:r>
      <w:r w:rsidR="00BE380D" w:rsidRPr="00BE380D">
        <w:rPr>
          <w:rFonts w:ascii="Arial" w:hAnsi="Arial" w:cs="Arial"/>
          <w:sz w:val="20"/>
          <w:szCs w:val="20"/>
        </w:rPr>
        <w:t>real-world</w:t>
      </w:r>
      <w:r w:rsidR="00CD5675" w:rsidRPr="00BE380D">
        <w:rPr>
          <w:rFonts w:ascii="Arial" w:hAnsi="Arial" w:cs="Arial"/>
          <w:sz w:val="20"/>
          <w:szCs w:val="20"/>
        </w:rPr>
        <w:t xml:space="preserve"> economics by</w:t>
      </w:r>
      <w:r w:rsidR="00191EDB" w:rsidRPr="00BE380D">
        <w:rPr>
          <w:rFonts w:ascii="Arial" w:hAnsi="Arial" w:cs="Arial"/>
          <w:sz w:val="20"/>
          <w:szCs w:val="20"/>
        </w:rPr>
        <w:t xml:space="preserve"> conflat</w:t>
      </w:r>
      <w:r w:rsidR="00CD5675" w:rsidRPr="00BE380D">
        <w:rPr>
          <w:rFonts w:ascii="Arial" w:hAnsi="Arial" w:cs="Arial"/>
          <w:sz w:val="20"/>
          <w:szCs w:val="20"/>
        </w:rPr>
        <w:t>ing</w:t>
      </w:r>
      <w:r w:rsidR="00191EDB" w:rsidRPr="00BE380D">
        <w:rPr>
          <w:rFonts w:ascii="Arial" w:hAnsi="Arial" w:cs="Arial"/>
          <w:sz w:val="20"/>
          <w:szCs w:val="20"/>
        </w:rPr>
        <w:t xml:space="preserve"> numerous issues to build </w:t>
      </w:r>
      <w:r w:rsidR="00CD5675" w:rsidRPr="00BE380D">
        <w:rPr>
          <w:rFonts w:ascii="Arial" w:hAnsi="Arial" w:cs="Arial"/>
          <w:sz w:val="20"/>
          <w:szCs w:val="20"/>
        </w:rPr>
        <w:t xml:space="preserve">a narrative </w:t>
      </w:r>
      <w:r w:rsidR="00191EDB" w:rsidRPr="00BE380D">
        <w:rPr>
          <w:rFonts w:ascii="Arial" w:hAnsi="Arial" w:cs="Arial"/>
          <w:sz w:val="20"/>
          <w:szCs w:val="20"/>
        </w:rPr>
        <w:t xml:space="preserve">rather than simply focusing </w:t>
      </w:r>
      <w:r w:rsidR="00CD5675" w:rsidRPr="00BE380D">
        <w:rPr>
          <w:rFonts w:ascii="Arial" w:hAnsi="Arial" w:cs="Arial"/>
          <w:sz w:val="20"/>
          <w:szCs w:val="20"/>
        </w:rPr>
        <w:t xml:space="preserve">on the evidence and the current best practice understanding of the Actors in motion which contribute to the true effects of the </w:t>
      </w:r>
      <w:r w:rsidR="00191EDB" w:rsidRPr="00BE380D">
        <w:rPr>
          <w:rFonts w:ascii="Arial" w:hAnsi="Arial" w:cs="Arial"/>
          <w:sz w:val="20"/>
          <w:szCs w:val="20"/>
        </w:rPr>
        <w:t>“black economy”.</w:t>
      </w:r>
    </w:p>
    <w:p w14:paraId="4F490AAB" w14:textId="6579D96C" w:rsidR="00740F94" w:rsidRPr="00BE380D" w:rsidRDefault="003208A8"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If the </w:t>
      </w:r>
      <w:r w:rsidR="00CD5675" w:rsidRPr="00BE380D">
        <w:rPr>
          <w:rFonts w:ascii="Arial" w:hAnsi="Arial" w:cs="Arial"/>
          <w:sz w:val="20"/>
          <w:szCs w:val="20"/>
        </w:rPr>
        <w:t>g</w:t>
      </w:r>
      <w:r w:rsidRPr="00BE380D">
        <w:rPr>
          <w:rFonts w:ascii="Arial" w:hAnsi="Arial" w:cs="Arial"/>
          <w:sz w:val="20"/>
          <w:szCs w:val="20"/>
        </w:rPr>
        <w:t xml:space="preserve">overnment </w:t>
      </w:r>
      <w:r w:rsidR="00CD5675" w:rsidRPr="00BE380D">
        <w:rPr>
          <w:rFonts w:ascii="Arial" w:hAnsi="Arial" w:cs="Arial"/>
          <w:sz w:val="20"/>
          <w:szCs w:val="20"/>
        </w:rPr>
        <w:t xml:space="preserve">of Australia </w:t>
      </w:r>
      <w:r w:rsidRPr="00BE380D">
        <w:rPr>
          <w:rFonts w:ascii="Arial" w:hAnsi="Arial" w:cs="Arial"/>
          <w:sz w:val="20"/>
          <w:szCs w:val="20"/>
        </w:rPr>
        <w:t xml:space="preserve">is interested in addressing tax avoidance, </w:t>
      </w:r>
      <w:r w:rsidR="00CD5675" w:rsidRPr="00BE380D">
        <w:rPr>
          <w:rFonts w:ascii="Arial" w:hAnsi="Arial" w:cs="Arial"/>
          <w:sz w:val="20"/>
          <w:szCs w:val="20"/>
        </w:rPr>
        <w:t xml:space="preserve">a metanalysis of the significant findings and evidence within the last 30 years of Senate investigations, Royal Commissions and other legitimate investigations would identify the </w:t>
      </w:r>
      <w:r w:rsidRPr="00BE380D">
        <w:rPr>
          <w:rFonts w:ascii="Arial" w:hAnsi="Arial" w:cs="Arial"/>
          <w:sz w:val="20"/>
          <w:szCs w:val="20"/>
        </w:rPr>
        <w:t>corporate</w:t>
      </w:r>
      <w:r w:rsidR="00CD5675" w:rsidRPr="00BE380D">
        <w:rPr>
          <w:rFonts w:ascii="Arial" w:hAnsi="Arial" w:cs="Arial"/>
          <w:sz w:val="20"/>
          <w:szCs w:val="20"/>
        </w:rPr>
        <w:t xml:space="preserve"> entities</w:t>
      </w:r>
      <w:r w:rsidR="00740F94" w:rsidRPr="00BE380D">
        <w:rPr>
          <w:rFonts w:ascii="Arial" w:hAnsi="Arial" w:cs="Arial"/>
          <w:sz w:val="20"/>
          <w:szCs w:val="20"/>
        </w:rPr>
        <w:t xml:space="preserve"> </w:t>
      </w:r>
      <w:r w:rsidR="00CD5675" w:rsidRPr="00BE380D">
        <w:rPr>
          <w:rFonts w:ascii="Arial" w:hAnsi="Arial" w:cs="Arial"/>
          <w:sz w:val="20"/>
          <w:szCs w:val="20"/>
        </w:rPr>
        <w:t xml:space="preserve">and agents </w:t>
      </w:r>
      <w:r w:rsidR="00740F94" w:rsidRPr="00BE380D">
        <w:rPr>
          <w:rFonts w:ascii="Arial" w:hAnsi="Arial" w:cs="Arial"/>
          <w:sz w:val="20"/>
          <w:szCs w:val="20"/>
        </w:rPr>
        <w:t xml:space="preserve">who have engaged in </w:t>
      </w:r>
      <w:r w:rsidR="00FD5E3B" w:rsidRPr="00BE380D">
        <w:rPr>
          <w:rFonts w:ascii="Arial" w:hAnsi="Arial" w:cs="Arial"/>
          <w:sz w:val="20"/>
          <w:szCs w:val="20"/>
        </w:rPr>
        <w:t>practices</w:t>
      </w:r>
      <w:r w:rsidR="00CD5675" w:rsidRPr="00BE380D">
        <w:rPr>
          <w:rFonts w:ascii="Arial" w:hAnsi="Arial" w:cs="Arial"/>
          <w:sz w:val="20"/>
          <w:szCs w:val="20"/>
        </w:rPr>
        <w:t xml:space="preserve"> which underpin the “black economy”</w:t>
      </w:r>
      <w:r w:rsidR="00740F94" w:rsidRPr="00BE380D">
        <w:rPr>
          <w:rFonts w:ascii="Arial" w:hAnsi="Arial" w:cs="Arial"/>
          <w:sz w:val="20"/>
          <w:szCs w:val="20"/>
        </w:rPr>
        <w:t>,</w:t>
      </w:r>
      <w:r w:rsidR="003C4CA4" w:rsidRPr="00BE380D">
        <w:rPr>
          <w:rFonts w:ascii="Arial" w:hAnsi="Arial" w:cs="Arial"/>
          <w:sz w:val="20"/>
          <w:szCs w:val="20"/>
        </w:rPr>
        <w:t xml:space="preserve"> which are not limited to:</w:t>
      </w:r>
      <w:r w:rsidR="00740F94" w:rsidRPr="00BE380D">
        <w:rPr>
          <w:rFonts w:ascii="Arial" w:hAnsi="Arial" w:cs="Arial"/>
          <w:sz w:val="20"/>
          <w:szCs w:val="20"/>
        </w:rPr>
        <w:t xml:space="preserve"> transfer pricing and accountants, lawyers and auditors who have facilitated the process with some very creative structures. In </w:t>
      </w:r>
      <w:proofErr w:type="gramStart"/>
      <w:r w:rsidR="00740F94" w:rsidRPr="00BE380D">
        <w:rPr>
          <w:rFonts w:ascii="Arial" w:hAnsi="Arial" w:cs="Arial"/>
          <w:sz w:val="20"/>
          <w:szCs w:val="20"/>
        </w:rPr>
        <w:t>fact</w:t>
      </w:r>
      <w:proofErr w:type="gramEnd"/>
      <w:r w:rsidR="00740F94" w:rsidRPr="00BE380D">
        <w:rPr>
          <w:rFonts w:ascii="Arial" w:hAnsi="Arial" w:cs="Arial"/>
          <w:sz w:val="20"/>
          <w:szCs w:val="20"/>
        </w:rPr>
        <w:t xml:space="preserve"> one can easily build a case that significantly simplifying the tax code and implement simple flat tax structures can eliminate much of the tax leakage. </w:t>
      </w:r>
      <w:r w:rsidR="00B30617" w:rsidRPr="00BE380D">
        <w:rPr>
          <w:rFonts w:ascii="Arial" w:hAnsi="Arial" w:cs="Arial"/>
          <w:sz w:val="20"/>
          <w:szCs w:val="20"/>
        </w:rPr>
        <w:t xml:space="preserve"> One doesn’t have to look far to find scandals.</w:t>
      </w:r>
    </w:p>
    <w:p w14:paraId="18DB761D" w14:textId="16C09D50" w:rsidR="008808C5" w:rsidRPr="00BE380D" w:rsidRDefault="00740F94"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The overseas experience </w:t>
      </w:r>
      <w:r w:rsidR="00FD5E3B" w:rsidRPr="00BE380D">
        <w:rPr>
          <w:rFonts w:ascii="Arial" w:hAnsi="Arial" w:cs="Arial"/>
          <w:sz w:val="20"/>
          <w:szCs w:val="20"/>
        </w:rPr>
        <w:t xml:space="preserve">is not supportive of the </w:t>
      </w:r>
      <w:r w:rsidR="00CF7BDC" w:rsidRPr="00BE380D">
        <w:rPr>
          <w:rFonts w:ascii="Arial" w:hAnsi="Arial" w:cs="Arial"/>
          <w:sz w:val="20"/>
          <w:szCs w:val="20"/>
        </w:rPr>
        <w:t xml:space="preserve">authors </w:t>
      </w:r>
      <w:r w:rsidR="00FD5E3B" w:rsidRPr="00BE380D">
        <w:rPr>
          <w:rFonts w:ascii="Arial" w:hAnsi="Arial" w:cs="Arial"/>
          <w:sz w:val="20"/>
          <w:szCs w:val="20"/>
        </w:rPr>
        <w:t>claim</w:t>
      </w:r>
      <w:r w:rsidR="00191EDB" w:rsidRPr="00BE380D">
        <w:rPr>
          <w:rFonts w:ascii="Arial" w:hAnsi="Arial" w:cs="Arial"/>
          <w:sz w:val="20"/>
          <w:szCs w:val="20"/>
        </w:rPr>
        <w:t xml:space="preserve"> either</w:t>
      </w:r>
      <w:r w:rsidR="00FD5E3B" w:rsidRPr="00BE380D">
        <w:rPr>
          <w:rFonts w:ascii="Arial" w:hAnsi="Arial" w:cs="Arial"/>
          <w:sz w:val="20"/>
          <w:szCs w:val="20"/>
        </w:rPr>
        <w:t xml:space="preserve">. For </w:t>
      </w:r>
      <w:proofErr w:type="gramStart"/>
      <w:r w:rsidR="00FD5E3B" w:rsidRPr="00BE380D">
        <w:rPr>
          <w:rFonts w:ascii="Arial" w:hAnsi="Arial" w:cs="Arial"/>
          <w:sz w:val="20"/>
          <w:szCs w:val="20"/>
        </w:rPr>
        <w:t>example</w:t>
      </w:r>
      <w:proofErr w:type="gramEnd"/>
      <w:r w:rsidR="00FD5E3B" w:rsidRPr="00BE380D">
        <w:rPr>
          <w:rFonts w:ascii="Arial" w:hAnsi="Arial" w:cs="Arial"/>
          <w:sz w:val="20"/>
          <w:szCs w:val="20"/>
        </w:rPr>
        <w:t xml:space="preserve"> </w:t>
      </w:r>
      <w:r w:rsidRPr="00BE380D">
        <w:rPr>
          <w:rFonts w:ascii="Arial" w:hAnsi="Arial" w:cs="Arial"/>
          <w:sz w:val="20"/>
          <w:szCs w:val="20"/>
        </w:rPr>
        <w:t>countries like Sweden</w:t>
      </w:r>
      <w:r w:rsidR="00CF7BDC" w:rsidRPr="00BE380D">
        <w:rPr>
          <w:rFonts w:ascii="Arial" w:hAnsi="Arial" w:cs="Arial"/>
          <w:sz w:val="20"/>
          <w:szCs w:val="20"/>
        </w:rPr>
        <w:t xml:space="preserve">; which has less than 1/5 of the citizens contributing to the banking system and </w:t>
      </w:r>
      <w:r w:rsidRPr="00BE380D">
        <w:rPr>
          <w:rFonts w:ascii="Arial" w:hAnsi="Arial" w:cs="Arial"/>
          <w:sz w:val="20"/>
          <w:szCs w:val="20"/>
        </w:rPr>
        <w:t xml:space="preserve">virtually eliminated </w:t>
      </w:r>
      <w:r w:rsidR="00CF7BDC" w:rsidRPr="00BE380D">
        <w:rPr>
          <w:rFonts w:ascii="Arial" w:hAnsi="Arial" w:cs="Arial"/>
          <w:sz w:val="20"/>
          <w:szCs w:val="20"/>
        </w:rPr>
        <w:t xml:space="preserve">their ability to use </w:t>
      </w:r>
      <w:r w:rsidRPr="00BE380D">
        <w:rPr>
          <w:rFonts w:ascii="Arial" w:hAnsi="Arial" w:cs="Arial"/>
          <w:sz w:val="20"/>
          <w:szCs w:val="20"/>
        </w:rPr>
        <w:t>cash</w:t>
      </w:r>
      <w:r w:rsidR="00663C23" w:rsidRPr="00BE380D">
        <w:rPr>
          <w:rFonts w:ascii="Arial" w:hAnsi="Arial" w:cs="Arial"/>
          <w:sz w:val="20"/>
          <w:szCs w:val="20"/>
        </w:rPr>
        <w:t xml:space="preserve">, </w:t>
      </w:r>
      <w:r w:rsidR="008808C5" w:rsidRPr="00BE380D">
        <w:rPr>
          <w:rFonts w:ascii="Arial" w:hAnsi="Arial" w:cs="Arial"/>
          <w:sz w:val="20"/>
          <w:szCs w:val="20"/>
        </w:rPr>
        <w:t>function</w:t>
      </w:r>
      <w:r w:rsidR="00663C23" w:rsidRPr="00BE380D">
        <w:rPr>
          <w:rFonts w:ascii="Arial" w:hAnsi="Arial" w:cs="Arial"/>
          <w:sz w:val="20"/>
          <w:szCs w:val="20"/>
        </w:rPr>
        <w:t>ing</w:t>
      </w:r>
      <w:r w:rsidR="008808C5" w:rsidRPr="00BE380D">
        <w:rPr>
          <w:rFonts w:ascii="Arial" w:hAnsi="Arial" w:cs="Arial"/>
          <w:sz w:val="20"/>
          <w:szCs w:val="20"/>
        </w:rPr>
        <w:t xml:space="preserve"> on pure</w:t>
      </w:r>
      <w:r w:rsidR="00FD5E3B" w:rsidRPr="00BE380D">
        <w:rPr>
          <w:rFonts w:ascii="Arial" w:hAnsi="Arial" w:cs="Arial"/>
          <w:sz w:val="20"/>
          <w:szCs w:val="20"/>
        </w:rPr>
        <w:t>ly</w:t>
      </w:r>
      <w:r w:rsidR="008808C5" w:rsidRPr="00BE380D">
        <w:rPr>
          <w:rFonts w:ascii="Arial" w:hAnsi="Arial" w:cs="Arial"/>
          <w:sz w:val="20"/>
          <w:szCs w:val="20"/>
        </w:rPr>
        <w:t xml:space="preserve"> electronic </w:t>
      </w:r>
      <w:r w:rsidR="00191EDB" w:rsidRPr="00BE380D">
        <w:rPr>
          <w:rFonts w:ascii="Arial" w:hAnsi="Arial" w:cs="Arial"/>
          <w:sz w:val="20"/>
          <w:szCs w:val="20"/>
        </w:rPr>
        <w:t xml:space="preserve">money </w:t>
      </w:r>
      <w:r w:rsidR="008808C5" w:rsidRPr="00BE380D">
        <w:rPr>
          <w:rFonts w:ascii="Arial" w:hAnsi="Arial" w:cs="Arial"/>
          <w:sz w:val="20"/>
          <w:szCs w:val="20"/>
        </w:rPr>
        <w:t>means</w:t>
      </w:r>
      <w:r w:rsidR="00CF7BDC" w:rsidRPr="00BE380D">
        <w:rPr>
          <w:rFonts w:ascii="Arial" w:hAnsi="Arial" w:cs="Arial"/>
          <w:sz w:val="20"/>
          <w:szCs w:val="20"/>
        </w:rPr>
        <w:t>,</w:t>
      </w:r>
      <w:r w:rsidR="008808C5" w:rsidRPr="00BE380D">
        <w:rPr>
          <w:rFonts w:ascii="Arial" w:hAnsi="Arial" w:cs="Arial"/>
          <w:sz w:val="20"/>
          <w:szCs w:val="20"/>
        </w:rPr>
        <w:t xml:space="preserve"> </w:t>
      </w:r>
      <w:r w:rsidR="00663C23" w:rsidRPr="00BE380D">
        <w:rPr>
          <w:rFonts w:ascii="Arial" w:hAnsi="Arial" w:cs="Arial"/>
          <w:sz w:val="20"/>
          <w:szCs w:val="20"/>
        </w:rPr>
        <w:t xml:space="preserve">has </w:t>
      </w:r>
      <w:r w:rsidR="00FD5E3B" w:rsidRPr="00BE380D">
        <w:rPr>
          <w:rFonts w:ascii="Arial" w:hAnsi="Arial" w:cs="Arial"/>
          <w:sz w:val="20"/>
          <w:szCs w:val="20"/>
        </w:rPr>
        <w:t xml:space="preserve">not seen </w:t>
      </w:r>
      <w:r w:rsidR="00191EDB" w:rsidRPr="00BE380D">
        <w:rPr>
          <w:rFonts w:ascii="Arial" w:hAnsi="Arial" w:cs="Arial"/>
          <w:sz w:val="20"/>
          <w:szCs w:val="20"/>
        </w:rPr>
        <w:t>the</w:t>
      </w:r>
      <w:r w:rsidR="00FD5E3B" w:rsidRPr="00BE380D">
        <w:rPr>
          <w:rFonts w:ascii="Arial" w:hAnsi="Arial" w:cs="Arial"/>
          <w:sz w:val="20"/>
          <w:szCs w:val="20"/>
        </w:rPr>
        <w:t xml:space="preserve"> “black economy” </w:t>
      </w:r>
      <w:r w:rsidR="00191EDB" w:rsidRPr="00BE380D">
        <w:rPr>
          <w:rFonts w:ascii="Arial" w:hAnsi="Arial" w:cs="Arial"/>
          <w:sz w:val="20"/>
          <w:szCs w:val="20"/>
        </w:rPr>
        <w:t xml:space="preserve">or criminal activity </w:t>
      </w:r>
      <w:r w:rsidR="00FD5E3B" w:rsidRPr="00BE380D">
        <w:rPr>
          <w:rFonts w:ascii="Arial" w:hAnsi="Arial" w:cs="Arial"/>
          <w:sz w:val="20"/>
          <w:szCs w:val="20"/>
        </w:rPr>
        <w:t>reduce</w:t>
      </w:r>
      <w:r w:rsidR="00191EDB" w:rsidRPr="00BE380D">
        <w:rPr>
          <w:rFonts w:ascii="Arial" w:hAnsi="Arial" w:cs="Arial"/>
          <w:sz w:val="20"/>
          <w:szCs w:val="20"/>
        </w:rPr>
        <w:t>d</w:t>
      </w:r>
      <w:r w:rsidR="00FD5E3B" w:rsidRPr="00BE380D">
        <w:rPr>
          <w:rFonts w:ascii="Arial" w:hAnsi="Arial" w:cs="Arial"/>
          <w:sz w:val="20"/>
          <w:szCs w:val="20"/>
        </w:rPr>
        <w:t xml:space="preserve"> or disappear</w:t>
      </w:r>
      <w:r w:rsidR="00663C23" w:rsidRPr="00BE380D">
        <w:rPr>
          <w:rFonts w:ascii="Arial" w:hAnsi="Arial" w:cs="Arial"/>
          <w:sz w:val="20"/>
          <w:szCs w:val="20"/>
        </w:rPr>
        <w:t>.  The elimination of cash has resulted in the opposite increase effect on the “black economy”, by foreign agents, and would suggest the true intent of such legislative instruments.</w:t>
      </w:r>
    </w:p>
    <w:p w14:paraId="4F04BDFA" w14:textId="649E204B" w:rsidR="000344C7" w:rsidRPr="00BE380D" w:rsidRDefault="00663C23"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As an example, the </w:t>
      </w:r>
      <w:r w:rsidR="008808C5" w:rsidRPr="00BE380D">
        <w:rPr>
          <w:rFonts w:ascii="Arial" w:hAnsi="Arial" w:cs="Arial"/>
          <w:sz w:val="20"/>
          <w:szCs w:val="20"/>
        </w:rPr>
        <w:t>independent research paper</w:t>
      </w:r>
      <w:r w:rsidR="00740F94" w:rsidRPr="00BE380D">
        <w:rPr>
          <w:rFonts w:ascii="Arial" w:hAnsi="Arial" w:cs="Arial"/>
          <w:sz w:val="20"/>
          <w:szCs w:val="20"/>
        </w:rPr>
        <w:t xml:space="preserve"> </w:t>
      </w:r>
      <w:r w:rsidRPr="00BE380D">
        <w:rPr>
          <w:rFonts w:ascii="Arial" w:hAnsi="Arial" w:cs="Arial"/>
          <w:sz w:val="20"/>
          <w:szCs w:val="20"/>
        </w:rPr>
        <w:t xml:space="preserve">authored </w:t>
      </w:r>
      <w:r w:rsidR="008808C5" w:rsidRPr="00BE380D">
        <w:rPr>
          <w:rFonts w:ascii="Arial" w:hAnsi="Arial" w:cs="Arial"/>
          <w:sz w:val="20"/>
          <w:szCs w:val="20"/>
        </w:rPr>
        <w:t xml:space="preserve">by Friedrich </w:t>
      </w:r>
      <w:r w:rsidR="003C4CA4" w:rsidRPr="00BE380D">
        <w:rPr>
          <w:rFonts w:ascii="Arial" w:hAnsi="Arial" w:cs="Arial"/>
          <w:sz w:val="20"/>
          <w:szCs w:val="20"/>
        </w:rPr>
        <w:t>Schneider “</w:t>
      </w:r>
      <w:r w:rsidR="008808C5" w:rsidRPr="00BE380D">
        <w:rPr>
          <w:rFonts w:ascii="Arial" w:hAnsi="Arial" w:cs="Arial"/>
          <w:sz w:val="20"/>
          <w:szCs w:val="20"/>
        </w:rPr>
        <w:t>Restricting or Abolishing Cash: An Effective Instrument for Fighting the Shadow Economy, Crime and Terrorism”</w:t>
      </w:r>
      <w:r w:rsidRPr="00BE380D">
        <w:rPr>
          <w:rFonts w:ascii="Arial" w:hAnsi="Arial" w:cs="Arial"/>
          <w:sz w:val="20"/>
          <w:szCs w:val="20"/>
        </w:rPr>
        <w:t xml:space="preserve"> (source: </w:t>
      </w:r>
      <w:hyperlink r:id="rId11" w:history="1">
        <w:r w:rsidRPr="00BE380D">
          <w:rPr>
            <w:rStyle w:val="Hyperlink"/>
            <w:rFonts w:ascii="Arial" w:hAnsi="Arial" w:cs="Arial"/>
            <w:sz w:val="20"/>
            <w:szCs w:val="20"/>
          </w:rPr>
          <w:t>http://www.econ.jku.at/papers/2017/wp1708.pdf</w:t>
        </w:r>
      </w:hyperlink>
      <w:r w:rsidRPr="00BE380D">
        <w:rPr>
          <w:rFonts w:ascii="Arial" w:hAnsi="Arial" w:cs="Arial"/>
          <w:sz w:val="20"/>
          <w:szCs w:val="20"/>
        </w:rPr>
        <w:t>)</w:t>
      </w:r>
      <w:r w:rsidR="008808C5" w:rsidRPr="00BE380D">
        <w:rPr>
          <w:rFonts w:ascii="Arial" w:hAnsi="Arial" w:cs="Arial"/>
          <w:sz w:val="20"/>
          <w:szCs w:val="20"/>
        </w:rPr>
        <w:t xml:space="preserve"> finds no evidence to support the proposition</w:t>
      </w:r>
      <w:r w:rsidRPr="00BE380D">
        <w:rPr>
          <w:rFonts w:ascii="Arial" w:hAnsi="Arial" w:cs="Arial"/>
          <w:sz w:val="20"/>
          <w:szCs w:val="20"/>
        </w:rPr>
        <w:t xml:space="preserve"> asserted in the Australian Governments report</w:t>
      </w:r>
      <w:r w:rsidR="008808C5" w:rsidRPr="00BE380D">
        <w:rPr>
          <w:rFonts w:ascii="Arial" w:hAnsi="Arial" w:cs="Arial"/>
          <w:sz w:val="20"/>
          <w:szCs w:val="20"/>
        </w:rPr>
        <w:t>.</w:t>
      </w:r>
      <w:r w:rsidRPr="00BE380D">
        <w:rPr>
          <w:rFonts w:ascii="Arial" w:hAnsi="Arial" w:cs="Arial"/>
          <w:sz w:val="20"/>
          <w:szCs w:val="20"/>
        </w:rPr>
        <w:t xml:space="preserve"> </w:t>
      </w:r>
    </w:p>
    <w:p w14:paraId="4706A8A6" w14:textId="5A364421" w:rsidR="00FD5E3B" w:rsidRPr="00BE380D" w:rsidRDefault="000344C7"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Schneider states</w:t>
      </w:r>
      <w:r w:rsidR="00FD5E3B" w:rsidRPr="00BE380D">
        <w:rPr>
          <w:rFonts w:ascii="Arial" w:hAnsi="Arial" w:cs="Arial"/>
          <w:sz w:val="20"/>
          <w:szCs w:val="20"/>
        </w:rPr>
        <w:t>:</w:t>
      </w:r>
      <w:r w:rsidR="00191EDB" w:rsidRPr="00BE380D">
        <w:rPr>
          <w:rFonts w:ascii="Arial" w:hAnsi="Arial" w:cs="Arial"/>
          <w:sz w:val="20"/>
          <w:szCs w:val="20"/>
        </w:rPr>
        <w:t xml:space="preserve"> </w:t>
      </w:r>
      <w:r w:rsidRPr="00BE380D">
        <w:rPr>
          <w:rFonts w:ascii="Arial" w:hAnsi="Arial" w:cs="Arial"/>
          <w:sz w:val="20"/>
          <w:szCs w:val="20"/>
        </w:rPr>
        <w:t xml:space="preserve">“Cash has a minor influence on the shadow economy, crime and terrorism, but potentially a major influence on civil liberties”. </w:t>
      </w:r>
    </w:p>
    <w:p w14:paraId="75346C14" w14:textId="08F1EE0F" w:rsidR="000344C7" w:rsidRPr="00BE380D" w:rsidRDefault="00663C23"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Schneider</w:t>
      </w:r>
      <w:r w:rsidR="000344C7" w:rsidRPr="00BE380D">
        <w:rPr>
          <w:rFonts w:ascii="Arial" w:hAnsi="Arial" w:cs="Arial"/>
          <w:sz w:val="20"/>
          <w:szCs w:val="20"/>
        </w:rPr>
        <w:t xml:space="preserve"> conclude</w:t>
      </w:r>
      <w:r w:rsidR="00FD5E3B" w:rsidRPr="00BE380D">
        <w:rPr>
          <w:rFonts w:ascii="Arial" w:hAnsi="Arial" w:cs="Arial"/>
          <w:sz w:val="20"/>
          <w:szCs w:val="20"/>
        </w:rPr>
        <w:t>:</w:t>
      </w:r>
      <w:r w:rsidR="00191EDB" w:rsidRPr="00BE380D">
        <w:rPr>
          <w:rFonts w:ascii="Arial" w:hAnsi="Arial" w:cs="Arial"/>
          <w:sz w:val="20"/>
          <w:szCs w:val="20"/>
        </w:rPr>
        <w:t xml:space="preserve"> </w:t>
      </w:r>
      <w:r w:rsidR="000344C7" w:rsidRPr="00BE380D">
        <w:rPr>
          <w:rFonts w:ascii="Arial" w:hAnsi="Arial" w:cs="Arial"/>
          <w:sz w:val="20"/>
          <w:szCs w:val="20"/>
        </w:rPr>
        <w:t>“</w:t>
      </w:r>
      <w:r w:rsidR="00FD5E3B" w:rsidRPr="00BE380D">
        <w:rPr>
          <w:rFonts w:ascii="Arial" w:hAnsi="Arial" w:cs="Arial"/>
          <w:sz w:val="20"/>
          <w:szCs w:val="20"/>
        </w:rPr>
        <w:t>T</w:t>
      </w:r>
      <w:r w:rsidR="000344C7" w:rsidRPr="00BE380D">
        <w:rPr>
          <w:rFonts w:ascii="Arial" w:hAnsi="Arial" w:cs="Arial"/>
          <w:sz w:val="20"/>
          <w:szCs w:val="20"/>
        </w:rPr>
        <w:t xml:space="preserve">he voices calling for the limitation or abolishment of cash argue that tighter and more comprehensive state control over </w:t>
      </w:r>
      <w:proofErr w:type="gramStart"/>
      <w:r w:rsidR="000344C7" w:rsidRPr="00BE380D">
        <w:rPr>
          <w:rFonts w:ascii="Arial" w:hAnsi="Arial" w:cs="Arial"/>
          <w:sz w:val="20"/>
          <w:szCs w:val="20"/>
        </w:rPr>
        <w:t>individuals</w:t>
      </w:r>
      <w:proofErr w:type="gramEnd"/>
      <w:r w:rsidR="000344C7" w:rsidRPr="00BE380D">
        <w:rPr>
          <w:rFonts w:ascii="Arial" w:hAnsi="Arial" w:cs="Arial"/>
          <w:sz w:val="20"/>
          <w:szCs w:val="20"/>
        </w:rPr>
        <w:t xml:space="preserve"> financial flows and funds will effectively fight crime, shadow economy and terrorism. But in my </w:t>
      </w:r>
      <w:proofErr w:type="gramStart"/>
      <w:r w:rsidR="000344C7" w:rsidRPr="00BE380D">
        <w:rPr>
          <w:rFonts w:ascii="Arial" w:hAnsi="Arial" w:cs="Arial"/>
          <w:sz w:val="20"/>
          <w:szCs w:val="20"/>
        </w:rPr>
        <w:t>opinion</w:t>
      </w:r>
      <w:proofErr w:type="gramEnd"/>
      <w:r w:rsidR="000344C7" w:rsidRPr="00BE380D">
        <w:rPr>
          <w:rFonts w:ascii="Arial" w:hAnsi="Arial" w:cs="Arial"/>
          <w:sz w:val="20"/>
          <w:szCs w:val="20"/>
        </w:rPr>
        <w:t xml:space="preserve"> we have weak empirical evidence”.</w:t>
      </w:r>
      <w:r w:rsidR="003D339B" w:rsidRPr="00BE380D">
        <w:rPr>
          <w:rFonts w:ascii="Arial" w:hAnsi="Arial" w:cs="Arial"/>
          <w:sz w:val="20"/>
          <w:szCs w:val="20"/>
        </w:rPr>
        <w:t xml:space="preserve"> Schneider finds very little evidence to support the proposition.</w:t>
      </w:r>
    </w:p>
    <w:p w14:paraId="623C45BE" w14:textId="6D096627" w:rsidR="00BE380D" w:rsidRDefault="00663C23"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lastRenderedPageBreak/>
        <w:t xml:space="preserve">As such the </w:t>
      </w:r>
      <w:r w:rsidR="00FD5E3B" w:rsidRPr="00BE380D">
        <w:rPr>
          <w:rFonts w:ascii="Arial" w:hAnsi="Arial" w:cs="Arial"/>
          <w:sz w:val="20"/>
          <w:szCs w:val="20"/>
        </w:rPr>
        <w:t xml:space="preserve">bill </w:t>
      </w:r>
      <w:r w:rsidRPr="00BE380D">
        <w:rPr>
          <w:rFonts w:ascii="Arial" w:hAnsi="Arial" w:cs="Arial"/>
          <w:sz w:val="20"/>
          <w:szCs w:val="20"/>
        </w:rPr>
        <w:t xml:space="preserve">and its accompanying instruments </w:t>
      </w:r>
      <w:r w:rsidR="00FD5E3B" w:rsidRPr="00BE380D">
        <w:rPr>
          <w:rFonts w:ascii="Arial" w:hAnsi="Arial" w:cs="Arial"/>
          <w:sz w:val="20"/>
          <w:szCs w:val="20"/>
        </w:rPr>
        <w:t xml:space="preserve">present </w:t>
      </w:r>
      <w:r w:rsidRPr="00BE380D">
        <w:rPr>
          <w:rFonts w:ascii="Arial" w:hAnsi="Arial" w:cs="Arial"/>
          <w:sz w:val="20"/>
          <w:szCs w:val="20"/>
        </w:rPr>
        <w:t xml:space="preserve">suspicion and are of great concern to the average </w:t>
      </w:r>
      <w:r w:rsidR="00BE380D" w:rsidRPr="00BE380D">
        <w:rPr>
          <w:rFonts w:ascii="Arial" w:hAnsi="Arial" w:cs="Arial"/>
          <w:sz w:val="20"/>
          <w:szCs w:val="20"/>
        </w:rPr>
        <w:t xml:space="preserve">Australian individual, with the reports </w:t>
      </w:r>
      <w:r w:rsidR="00FD5E3B" w:rsidRPr="00BE380D">
        <w:rPr>
          <w:rFonts w:ascii="Arial" w:hAnsi="Arial" w:cs="Arial"/>
          <w:sz w:val="20"/>
          <w:szCs w:val="20"/>
        </w:rPr>
        <w:t>underlying reaso</w:t>
      </w:r>
      <w:r w:rsidR="00BE380D" w:rsidRPr="00BE380D">
        <w:rPr>
          <w:rFonts w:ascii="Arial" w:hAnsi="Arial" w:cs="Arial"/>
          <w:sz w:val="20"/>
          <w:szCs w:val="20"/>
        </w:rPr>
        <w:t xml:space="preserve">ning </w:t>
      </w:r>
      <w:r w:rsidR="00FD5E3B" w:rsidRPr="00BE380D">
        <w:rPr>
          <w:rFonts w:ascii="Arial" w:hAnsi="Arial" w:cs="Arial"/>
          <w:sz w:val="20"/>
          <w:szCs w:val="20"/>
        </w:rPr>
        <w:t xml:space="preserve">simply </w:t>
      </w:r>
      <w:r w:rsidR="00BE380D" w:rsidRPr="00BE380D">
        <w:rPr>
          <w:rFonts w:ascii="Arial" w:hAnsi="Arial" w:cs="Arial"/>
          <w:sz w:val="20"/>
          <w:szCs w:val="20"/>
        </w:rPr>
        <w:t>fail</w:t>
      </w:r>
      <w:r w:rsidR="00BE380D" w:rsidRPr="00BE380D">
        <w:rPr>
          <w:rFonts w:ascii="Arial" w:hAnsi="Arial" w:cs="Arial"/>
          <w:sz w:val="20"/>
          <w:szCs w:val="20"/>
        </w:rPr>
        <w:t>s</w:t>
      </w:r>
      <w:r w:rsidR="00BE380D" w:rsidRPr="00BE380D">
        <w:rPr>
          <w:rFonts w:ascii="Arial" w:hAnsi="Arial" w:cs="Arial"/>
          <w:sz w:val="20"/>
          <w:szCs w:val="20"/>
        </w:rPr>
        <w:t xml:space="preserve"> to establish credible links from </w:t>
      </w:r>
      <w:r w:rsidR="00BE380D" w:rsidRPr="00BE380D">
        <w:rPr>
          <w:rFonts w:ascii="Arial" w:hAnsi="Arial" w:cs="Arial"/>
          <w:sz w:val="20"/>
          <w:szCs w:val="20"/>
        </w:rPr>
        <w:t xml:space="preserve">credible </w:t>
      </w:r>
      <w:r w:rsidR="00BE380D" w:rsidRPr="00BE380D">
        <w:rPr>
          <w:rFonts w:ascii="Arial" w:hAnsi="Arial" w:cs="Arial"/>
          <w:sz w:val="20"/>
          <w:szCs w:val="20"/>
        </w:rPr>
        <w:t>sources to support the argument that restricting cash transactions will limit the “black economy”</w:t>
      </w:r>
      <w:r w:rsidR="00FD5E3B" w:rsidRPr="00BE380D">
        <w:rPr>
          <w:rFonts w:ascii="Arial" w:hAnsi="Arial" w:cs="Arial"/>
          <w:sz w:val="20"/>
          <w:szCs w:val="20"/>
        </w:rPr>
        <w:t>.</w:t>
      </w:r>
    </w:p>
    <w:p w14:paraId="1CA0D2D1" w14:textId="77777777" w:rsidR="00A23423" w:rsidRPr="00A23423" w:rsidRDefault="00A23423" w:rsidP="00A23423">
      <w:pPr>
        <w:snapToGrid w:val="0"/>
        <w:spacing w:beforeLines="120" w:before="288" w:afterLines="240" w:after="576" w:line="360" w:lineRule="auto"/>
        <w:ind w:left="360"/>
        <w:mirrorIndents/>
        <w:rPr>
          <w:rFonts w:ascii="Arial" w:hAnsi="Arial" w:cs="Arial"/>
          <w:sz w:val="20"/>
          <w:szCs w:val="20"/>
        </w:rPr>
      </w:pPr>
    </w:p>
    <w:p w14:paraId="75C3780B" w14:textId="1AC6E164" w:rsidR="00FD5E3B" w:rsidRPr="00BE380D" w:rsidRDefault="00FD5E3B" w:rsidP="00A23423">
      <w:pPr>
        <w:pStyle w:val="ListParagraph"/>
        <w:numPr>
          <w:ilvl w:val="0"/>
          <w:numId w:val="14"/>
        </w:numPr>
        <w:snapToGrid w:val="0"/>
        <w:spacing w:beforeLines="120" w:before="288" w:afterLines="240" w:after="576" w:line="360" w:lineRule="auto"/>
        <w:contextualSpacing w:val="0"/>
        <w:mirrorIndents/>
        <w:rPr>
          <w:rFonts w:ascii="Arial" w:hAnsi="Arial" w:cs="Arial"/>
          <w:b/>
          <w:sz w:val="20"/>
          <w:szCs w:val="20"/>
          <w:u w:val="single"/>
        </w:rPr>
      </w:pPr>
      <w:r w:rsidRPr="00BE380D">
        <w:rPr>
          <w:rFonts w:ascii="Arial" w:hAnsi="Arial" w:cs="Arial"/>
          <w:b/>
          <w:sz w:val="20"/>
          <w:szCs w:val="20"/>
          <w:u w:val="single"/>
        </w:rPr>
        <w:t>The Liberty of Australian Citizens</w:t>
      </w:r>
      <w:r w:rsidR="00B30617" w:rsidRPr="00BE380D">
        <w:rPr>
          <w:rFonts w:ascii="Arial" w:hAnsi="Arial" w:cs="Arial"/>
          <w:b/>
          <w:sz w:val="20"/>
          <w:szCs w:val="20"/>
          <w:u w:val="single"/>
        </w:rPr>
        <w:t xml:space="preserve"> and Businesses</w:t>
      </w:r>
    </w:p>
    <w:p w14:paraId="6A7AD7EE" w14:textId="74D6F3BD" w:rsidR="00FD5E3B" w:rsidRPr="00BE380D" w:rsidRDefault="00FD5E3B" w:rsidP="00A23423">
      <w:p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The proposed Bill is a restriction and can be interpret as an attack on law-abiding citizens to engage in commerce and their financial affairs </w:t>
      </w:r>
      <w:r w:rsidR="00191EDB" w:rsidRPr="00BE380D">
        <w:rPr>
          <w:rFonts w:ascii="Arial" w:hAnsi="Arial" w:cs="Arial"/>
          <w:sz w:val="20"/>
          <w:szCs w:val="20"/>
        </w:rPr>
        <w:t xml:space="preserve">lawfully and </w:t>
      </w:r>
      <w:r w:rsidRPr="00BE380D">
        <w:rPr>
          <w:rFonts w:ascii="Arial" w:hAnsi="Arial" w:cs="Arial"/>
          <w:sz w:val="20"/>
          <w:szCs w:val="20"/>
        </w:rPr>
        <w:t xml:space="preserve">in private. </w:t>
      </w:r>
      <w:r w:rsidR="00191EDB" w:rsidRPr="00BE380D">
        <w:rPr>
          <w:rFonts w:ascii="Arial" w:hAnsi="Arial" w:cs="Arial"/>
          <w:sz w:val="20"/>
          <w:szCs w:val="20"/>
        </w:rPr>
        <w:t>The following key points need to be considered.</w:t>
      </w:r>
    </w:p>
    <w:p w14:paraId="660AA149" w14:textId="5B25202F" w:rsidR="00FD5E3B" w:rsidRPr="00BE380D" w:rsidRDefault="00FD5E3B"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Australian Currency is legal tender. Why are restrictions being placed of the use of something that is </w:t>
      </w:r>
      <w:r w:rsidR="003C4CA4" w:rsidRPr="00BE380D">
        <w:rPr>
          <w:rFonts w:ascii="Arial" w:hAnsi="Arial" w:cs="Arial"/>
          <w:sz w:val="20"/>
          <w:szCs w:val="20"/>
        </w:rPr>
        <w:t>legal?</w:t>
      </w:r>
      <w:r w:rsidR="00191EDB" w:rsidRPr="00BE380D">
        <w:rPr>
          <w:rFonts w:ascii="Arial" w:hAnsi="Arial" w:cs="Arial"/>
          <w:sz w:val="20"/>
          <w:szCs w:val="20"/>
        </w:rPr>
        <w:t xml:space="preserve"> For </w:t>
      </w:r>
      <w:proofErr w:type="gramStart"/>
      <w:r w:rsidR="00191EDB" w:rsidRPr="00BE380D">
        <w:rPr>
          <w:rFonts w:ascii="Arial" w:hAnsi="Arial" w:cs="Arial"/>
          <w:sz w:val="20"/>
          <w:szCs w:val="20"/>
        </w:rPr>
        <w:t>example</w:t>
      </w:r>
      <w:proofErr w:type="gramEnd"/>
      <w:r w:rsidR="00191EDB" w:rsidRPr="00BE380D">
        <w:rPr>
          <w:rFonts w:ascii="Arial" w:hAnsi="Arial" w:cs="Arial"/>
          <w:sz w:val="20"/>
          <w:szCs w:val="20"/>
        </w:rPr>
        <w:t xml:space="preserve"> how was the $10000 limit actually arrived </w:t>
      </w:r>
      <w:r w:rsidR="00C64264" w:rsidRPr="00BE380D">
        <w:rPr>
          <w:rFonts w:ascii="Arial" w:hAnsi="Arial" w:cs="Arial"/>
          <w:sz w:val="20"/>
          <w:szCs w:val="20"/>
        </w:rPr>
        <w:t>at?</w:t>
      </w:r>
      <w:r w:rsidR="00191EDB" w:rsidRPr="00BE380D">
        <w:rPr>
          <w:rFonts w:ascii="Arial" w:hAnsi="Arial" w:cs="Arial"/>
          <w:sz w:val="20"/>
          <w:szCs w:val="20"/>
        </w:rPr>
        <w:t xml:space="preserve"> There seems to be no empirical evidence provided, why not a $30000 or $50000 </w:t>
      </w:r>
      <w:r w:rsidR="00C64264" w:rsidRPr="00BE380D">
        <w:rPr>
          <w:rFonts w:ascii="Arial" w:hAnsi="Arial" w:cs="Arial"/>
          <w:sz w:val="20"/>
          <w:szCs w:val="20"/>
        </w:rPr>
        <w:t>limit?</w:t>
      </w:r>
      <w:r w:rsidR="00191EDB" w:rsidRPr="00BE380D">
        <w:rPr>
          <w:rFonts w:ascii="Arial" w:hAnsi="Arial" w:cs="Arial"/>
          <w:sz w:val="20"/>
          <w:szCs w:val="20"/>
        </w:rPr>
        <w:t xml:space="preserve"> The number appears arbitrary.</w:t>
      </w:r>
    </w:p>
    <w:p w14:paraId="40DA5E83" w14:textId="0711350D" w:rsidR="00FD5E3B" w:rsidRPr="00BE380D" w:rsidRDefault="00FD5E3B"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Not all transactions need to be via the banking system</w:t>
      </w:r>
      <w:r w:rsidR="00191EDB" w:rsidRPr="00BE380D">
        <w:rPr>
          <w:rFonts w:ascii="Arial" w:hAnsi="Arial" w:cs="Arial"/>
          <w:sz w:val="20"/>
          <w:szCs w:val="20"/>
        </w:rPr>
        <w:t xml:space="preserve"> nor is that preferable in all commercial situations. Th</w:t>
      </w:r>
      <w:r w:rsidRPr="00BE380D">
        <w:rPr>
          <w:rFonts w:ascii="Arial" w:hAnsi="Arial" w:cs="Arial"/>
          <w:sz w:val="20"/>
          <w:szCs w:val="20"/>
        </w:rPr>
        <w:t>at is not to say the money will not be deposited into the banking system, but currency gives citizens alternatives to transact outside of banking and electronic means.</w:t>
      </w:r>
    </w:p>
    <w:p w14:paraId="14689E23" w14:textId="712E42F5" w:rsidR="00FD5E3B" w:rsidRPr="00BE380D" w:rsidRDefault="00FD5E3B"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Being able to transaction with currency also provides a natural hedge and safety net for citizens and businesses in case of bank failure and electronic payments system failure. There </w:t>
      </w:r>
      <w:proofErr w:type="gramStart"/>
      <w:r w:rsidRPr="00BE380D">
        <w:rPr>
          <w:rFonts w:ascii="Arial" w:hAnsi="Arial" w:cs="Arial"/>
          <w:sz w:val="20"/>
          <w:szCs w:val="20"/>
        </w:rPr>
        <w:t>has</w:t>
      </w:r>
      <w:proofErr w:type="gramEnd"/>
      <w:r w:rsidRPr="00BE380D">
        <w:rPr>
          <w:rFonts w:ascii="Arial" w:hAnsi="Arial" w:cs="Arial"/>
          <w:sz w:val="20"/>
          <w:szCs w:val="20"/>
        </w:rPr>
        <w:t xml:space="preserve"> been numerous cases in recent times of </w:t>
      </w:r>
      <w:r w:rsidR="00191EDB" w:rsidRPr="00BE380D">
        <w:rPr>
          <w:rFonts w:ascii="Arial" w:hAnsi="Arial" w:cs="Arial"/>
          <w:sz w:val="20"/>
          <w:szCs w:val="20"/>
        </w:rPr>
        <w:t xml:space="preserve">bank </w:t>
      </w:r>
      <w:r w:rsidRPr="00BE380D">
        <w:rPr>
          <w:rFonts w:ascii="Arial" w:hAnsi="Arial" w:cs="Arial"/>
          <w:sz w:val="20"/>
          <w:szCs w:val="20"/>
        </w:rPr>
        <w:t xml:space="preserve">ATM’s and various </w:t>
      </w:r>
      <w:r w:rsidR="00191EDB" w:rsidRPr="00BE380D">
        <w:rPr>
          <w:rFonts w:ascii="Arial" w:hAnsi="Arial" w:cs="Arial"/>
          <w:sz w:val="20"/>
          <w:szCs w:val="20"/>
        </w:rPr>
        <w:t xml:space="preserve">electronic </w:t>
      </w:r>
      <w:r w:rsidRPr="00BE380D">
        <w:rPr>
          <w:rFonts w:ascii="Arial" w:hAnsi="Arial" w:cs="Arial"/>
          <w:sz w:val="20"/>
          <w:szCs w:val="20"/>
        </w:rPr>
        <w:t>payments and EFT (electronic funds transfer) going down in the process freezing citizens out of commercial activities.</w:t>
      </w:r>
      <w:r w:rsidR="00191EDB" w:rsidRPr="00BE380D">
        <w:rPr>
          <w:rFonts w:ascii="Arial" w:hAnsi="Arial" w:cs="Arial"/>
          <w:sz w:val="20"/>
          <w:szCs w:val="20"/>
        </w:rPr>
        <w:t xml:space="preserve"> This ends up imposing significant costs on the community yet the community is not compensated in any way for these failures. The Bill does not establish any principles of equity for citizens.</w:t>
      </w:r>
    </w:p>
    <w:p w14:paraId="0C875054" w14:textId="2C62CCDC" w:rsidR="00FD5E3B" w:rsidRPr="00BE380D" w:rsidRDefault="00FD5E3B"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Australia already has sophisticated reporting targeting money laundering and other criminal </w:t>
      </w:r>
      <w:r w:rsidR="0083010B" w:rsidRPr="00BE380D">
        <w:rPr>
          <w:rFonts w:ascii="Arial" w:hAnsi="Arial" w:cs="Arial"/>
          <w:sz w:val="20"/>
          <w:szCs w:val="20"/>
        </w:rPr>
        <w:t>activities;</w:t>
      </w:r>
      <w:r w:rsidRPr="00BE380D">
        <w:rPr>
          <w:rFonts w:ascii="Arial" w:hAnsi="Arial" w:cs="Arial"/>
          <w:sz w:val="20"/>
          <w:szCs w:val="20"/>
        </w:rPr>
        <w:t xml:space="preserve"> </w:t>
      </w:r>
      <w:proofErr w:type="gramStart"/>
      <w:r w:rsidRPr="00BE380D">
        <w:rPr>
          <w:rFonts w:ascii="Arial" w:hAnsi="Arial" w:cs="Arial"/>
          <w:sz w:val="20"/>
          <w:szCs w:val="20"/>
        </w:rPr>
        <w:t>again</w:t>
      </w:r>
      <w:proofErr w:type="gramEnd"/>
      <w:r w:rsidRPr="00BE380D">
        <w:rPr>
          <w:rFonts w:ascii="Arial" w:hAnsi="Arial" w:cs="Arial"/>
          <w:sz w:val="20"/>
          <w:szCs w:val="20"/>
        </w:rPr>
        <w:t xml:space="preserve"> the argument has not been prosecuted as to why Australian Legal Tender can become illegal beyond a certain threshold.</w:t>
      </w:r>
    </w:p>
    <w:p w14:paraId="1A1565BA" w14:textId="691CA3CF" w:rsidR="00BE380D" w:rsidRDefault="00B30617"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Given the recent Australian Banking Royal Commission </w:t>
      </w:r>
      <w:r w:rsidR="0083010B" w:rsidRPr="00BE380D">
        <w:rPr>
          <w:rFonts w:ascii="Arial" w:hAnsi="Arial" w:cs="Arial"/>
          <w:sz w:val="20"/>
          <w:szCs w:val="20"/>
        </w:rPr>
        <w:t xml:space="preserve">(ABRC) </w:t>
      </w:r>
      <w:r w:rsidRPr="00BE380D">
        <w:rPr>
          <w:rFonts w:ascii="Arial" w:hAnsi="Arial" w:cs="Arial"/>
          <w:sz w:val="20"/>
          <w:szCs w:val="20"/>
        </w:rPr>
        <w:t>and the scandals that have bedeviled the sector, this bill imposes unnecessary risks on Australian citizens and business</w:t>
      </w:r>
      <w:r w:rsidR="0083010B" w:rsidRPr="00BE380D">
        <w:rPr>
          <w:rFonts w:ascii="Arial" w:hAnsi="Arial" w:cs="Arial"/>
          <w:sz w:val="20"/>
          <w:szCs w:val="20"/>
        </w:rPr>
        <w:t>es</w:t>
      </w:r>
      <w:r w:rsidRPr="00BE380D">
        <w:rPr>
          <w:rFonts w:ascii="Arial" w:hAnsi="Arial" w:cs="Arial"/>
          <w:sz w:val="20"/>
          <w:szCs w:val="20"/>
        </w:rPr>
        <w:t xml:space="preserve"> by tying them without alternative to the banking sector. I note th</w:t>
      </w:r>
      <w:r w:rsidR="0083010B" w:rsidRPr="00BE380D">
        <w:rPr>
          <w:rFonts w:ascii="Arial" w:hAnsi="Arial" w:cs="Arial"/>
          <w:sz w:val="20"/>
          <w:szCs w:val="20"/>
        </w:rPr>
        <w:t>at</w:t>
      </w:r>
      <w:r w:rsidRPr="00BE380D">
        <w:rPr>
          <w:rFonts w:ascii="Arial" w:hAnsi="Arial" w:cs="Arial"/>
          <w:sz w:val="20"/>
          <w:szCs w:val="20"/>
        </w:rPr>
        <w:t xml:space="preserve"> quite allot of the issues identified </w:t>
      </w:r>
      <w:r w:rsidR="0083010B" w:rsidRPr="00BE380D">
        <w:rPr>
          <w:rFonts w:ascii="Arial" w:hAnsi="Arial" w:cs="Arial"/>
          <w:sz w:val="20"/>
          <w:szCs w:val="20"/>
        </w:rPr>
        <w:t xml:space="preserve">in the ABRC </w:t>
      </w:r>
      <w:r w:rsidRPr="00BE380D">
        <w:rPr>
          <w:rFonts w:ascii="Arial" w:hAnsi="Arial" w:cs="Arial"/>
          <w:sz w:val="20"/>
          <w:szCs w:val="20"/>
        </w:rPr>
        <w:t>are yet to be resolved.</w:t>
      </w:r>
      <w:r w:rsidR="00191EDB" w:rsidRPr="00BE380D">
        <w:rPr>
          <w:rFonts w:ascii="Arial" w:hAnsi="Arial" w:cs="Arial"/>
          <w:sz w:val="20"/>
          <w:szCs w:val="20"/>
        </w:rPr>
        <w:t xml:space="preserve"> </w:t>
      </w:r>
      <w:proofErr w:type="gramStart"/>
      <w:r w:rsidR="00191EDB" w:rsidRPr="00BE380D">
        <w:rPr>
          <w:rFonts w:ascii="Arial" w:hAnsi="Arial" w:cs="Arial"/>
          <w:sz w:val="20"/>
          <w:szCs w:val="20"/>
        </w:rPr>
        <w:t>Moreover</w:t>
      </w:r>
      <w:proofErr w:type="gramEnd"/>
      <w:r w:rsidR="00191EDB" w:rsidRPr="00BE380D">
        <w:rPr>
          <w:rFonts w:ascii="Arial" w:hAnsi="Arial" w:cs="Arial"/>
          <w:sz w:val="20"/>
          <w:szCs w:val="20"/>
        </w:rPr>
        <w:t xml:space="preserve"> there significant competition issues relating to the Australian Banking </w:t>
      </w:r>
      <w:r w:rsidR="0083010B" w:rsidRPr="00BE380D">
        <w:rPr>
          <w:rFonts w:ascii="Arial" w:hAnsi="Arial" w:cs="Arial"/>
          <w:sz w:val="20"/>
          <w:szCs w:val="20"/>
        </w:rPr>
        <w:t>sector, which the ACCC has not,</w:t>
      </w:r>
      <w:r w:rsidR="00191EDB" w:rsidRPr="00BE380D">
        <w:rPr>
          <w:rFonts w:ascii="Arial" w:hAnsi="Arial" w:cs="Arial"/>
          <w:sz w:val="20"/>
          <w:szCs w:val="20"/>
        </w:rPr>
        <w:t xml:space="preserve"> addressed with the sector being dominated </w:t>
      </w:r>
      <w:r w:rsidR="0083010B" w:rsidRPr="00BE380D">
        <w:rPr>
          <w:rFonts w:ascii="Arial" w:hAnsi="Arial" w:cs="Arial"/>
          <w:sz w:val="20"/>
          <w:szCs w:val="20"/>
        </w:rPr>
        <w:t xml:space="preserve">completely </w:t>
      </w:r>
      <w:r w:rsidR="00191EDB" w:rsidRPr="00BE380D">
        <w:rPr>
          <w:rFonts w:ascii="Arial" w:hAnsi="Arial" w:cs="Arial"/>
          <w:sz w:val="20"/>
          <w:szCs w:val="20"/>
        </w:rPr>
        <w:t xml:space="preserve">by the Big 4 (CBA, </w:t>
      </w:r>
      <w:r w:rsidR="00191EDB" w:rsidRPr="00BE380D">
        <w:rPr>
          <w:rFonts w:ascii="Arial" w:hAnsi="Arial" w:cs="Arial"/>
          <w:sz w:val="20"/>
          <w:szCs w:val="20"/>
        </w:rPr>
        <w:lastRenderedPageBreak/>
        <w:t xml:space="preserve">NAB, WBC and ANZ) </w:t>
      </w:r>
      <w:r w:rsidR="0083010B" w:rsidRPr="00BE380D">
        <w:rPr>
          <w:rFonts w:ascii="Arial" w:hAnsi="Arial" w:cs="Arial"/>
          <w:sz w:val="20"/>
          <w:szCs w:val="20"/>
        </w:rPr>
        <w:t xml:space="preserve">with competition significantly diminishing </w:t>
      </w:r>
      <w:r w:rsidR="00191EDB" w:rsidRPr="00BE380D">
        <w:rPr>
          <w:rFonts w:ascii="Arial" w:hAnsi="Arial" w:cs="Arial"/>
          <w:sz w:val="20"/>
          <w:szCs w:val="20"/>
        </w:rPr>
        <w:t xml:space="preserve">past </w:t>
      </w:r>
      <w:r w:rsidR="0083010B" w:rsidRPr="00BE380D">
        <w:rPr>
          <w:rFonts w:ascii="Arial" w:hAnsi="Arial" w:cs="Arial"/>
          <w:sz w:val="20"/>
          <w:szCs w:val="20"/>
        </w:rPr>
        <w:t xml:space="preserve">two decades, </w:t>
      </w:r>
      <w:r w:rsidR="00191EDB" w:rsidRPr="00BE380D">
        <w:rPr>
          <w:rFonts w:ascii="Arial" w:hAnsi="Arial" w:cs="Arial"/>
          <w:sz w:val="20"/>
          <w:szCs w:val="20"/>
        </w:rPr>
        <w:t xml:space="preserve">notwithstanding the </w:t>
      </w:r>
      <w:r w:rsidR="007F38C7" w:rsidRPr="00BE380D">
        <w:rPr>
          <w:rFonts w:ascii="Arial" w:hAnsi="Arial" w:cs="Arial"/>
          <w:sz w:val="20"/>
          <w:szCs w:val="20"/>
        </w:rPr>
        <w:t>enormous scandals that have occurred. The cash economy can protect citizen</w:t>
      </w:r>
      <w:r w:rsidR="0083010B" w:rsidRPr="00BE380D">
        <w:rPr>
          <w:rFonts w:ascii="Arial" w:hAnsi="Arial" w:cs="Arial"/>
          <w:sz w:val="20"/>
          <w:szCs w:val="20"/>
        </w:rPr>
        <w:t>s</w:t>
      </w:r>
      <w:r w:rsidR="007F38C7" w:rsidRPr="00BE380D">
        <w:rPr>
          <w:rFonts w:ascii="Arial" w:hAnsi="Arial" w:cs="Arial"/>
          <w:sz w:val="20"/>
          <w:szCs w:val="20"/>
        </w:rPr>
        <w:t xml:space="preserve"> from banking scandals. </w:t>
      </w:r>
    </w:p>
    <w:p w14:paraId="0AC5227B" w14:textId="180549B4" w:rsidR="00BE380D" w:rsidRDefault="00BE380D">
      <w:pPr>
        <w:rPr>
          <w:rFonts w:ascii="Arial" w:hAnsi="Arial" w:cs="Arial"/>
          <w:sz w:val="20"/>
          <w:szCs w:val="20"/>
        </w:rPr>
      </w:pPr>
    </w:p>
    <w:p w14:paraId="30BB31F8" w14:textId="44875E2A" w:rsidR="008F23C6" w:rsidRPr="00BE380D" w:rsidRDefault="008F23C6" w:rsidP="00BE380D">
      <w:pPr>
        <w:pStyle w:val="ListParagraph"/>
        <w:numPr>
          <w:ilvl w:val="0"/>
          <w:numId w:val="14"/>
        </w:numPr>
        <w:snapToGrid w:val="0"/>
        <w:spacing w:beforeLines="120" w:before="288" w:afterLines="240" w:after="576" w:line="360" w:lineRule="auto"/>
        <w:mirrorIndents/>
        <w:rPr>
          <w:rFonts w:ascii="Arial" w:hAnsi="Arial" w:cs="Arial"/>
          <w:b/>
          <w:sz w:val="20"/>
          <w:szCs w:val="20"/>
          <w:u w:val="single"/>
        </w:rPr>
      </w:pPr>
      <w:r w:rsidRPr="00BE380D">
        <w:rPr>
          <w:rFonts w:ascii="Arial" w:hAnsi="Arial" w:cs="Arial"/>
          <w:b/>
          <w:sz w:val="20"/>
          <w:szCs w:val="20"/>
          <w:u w:val="single"/>
        </w:rPr>
        <w:t>Negative Interest Rates</w:t>
      </w:r>
    </w:p>
    <w:p w14:paraId="74AFB815" w14:textId="3E0ECEE5" w:rsidR="007F38C7" w:rsidRPr="00BE380D" w:rsidRDefault="007F38C7" w:rsidP="00BE380D">
      <w:p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Another very concerning aspect to these bills which is not mentioned but is provided for by their machinery is the ability to impose interest rates on citizens.</w:t>
      </w:r>
    </w:p>
    <w:p w14:paraId="41605108" w14:textId="6209CB1A" w:rsidR="000344C7" w:rsidRPr="00BE380D" w:rsidRDefault="000344C7"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Looking at the arguments and evidence overseas, it appears these proposed policies have less to do with their stated purpose and more to do with the potential imposition of negative interest rates.</w:t>
      </w:r>
    </w:p>
    <w:p w14:paraId="6E06AEFA" w14:textId="5803922C" w:rsidR="00A74B8D" w:rsidRPr="00BE380D" w:rsidRDefault="00B30617"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If we examine </w:t>
      </w:r>
      <w:r w:rsidR="00A74B8D" w:rsidRPr="00BE380D">
        <w:rPr>
          <w:rFonts w:ascii="Arial" w:hAnsi="Arial" w:cs="Arial"/>
          <w:sz w:val="20"/>
          <w:szCs w:val="20"/>
        </w:rPr>
        <w:t xml:space="preserve">the IMF </w:t>
      </w:r>
      <w:r w:rsidR="00C64264" w:rsidRPr="00BE380D">
        <w:rPr>
          <w:rFonts w:ascii="Arial" w:hAnsi="Arial" w:cs="Arial"/>
          <w:sz w:val="20"/>
          <w:szCs w:val="20"/>
        </w:rPr>
        <w:t>papers,</w:t>
      </w:r>
      <w:r w:rsidRPr="00BE380D">
        <w:rPr>
          <w:rFonts w:ascii="Arial" w:hAnsi="Arial" w:cs="Arial"/>
          <w:sz w:val="20"/>
          <w:szCs w:val="20"/>
        </w:rPr>
        <w:t xml:space="preserve"> they specifically advocate for the abolishment of cash and the preference of “electronic only” currency.</w:t>
      </w:r>
      <w:r w:rsidR="007F38C7" w:rsidRPr="00BE380D">
        <w:rPr>
          <w:rFonts w:ascii="Arial" w:hAnsi="Arial" w:cs="Arial"/>
          <w:sz w:val="20"/>
          <w:szCs w:val="20"/>
        </w:rPr>
        <w:t xml:space="preserve"> </w:t>
      </w:r>
      <w:r w:rsidR="00BE380D">
        <w:rPr>
          <w:rFonts w:ascii="Arial" w:hAnsi="Arial" w:cs="Arial"/>
          <w:sz w:val="20"/>
          <w:szCs w:val="20"/>
        </w:rPr>
        <w:t xml:space="preserve">(Source </w:t>
      </w:r>
      <w:hyperlink r:id="rId12" w:history="1">
        <w:r w:rsidR="00BE380D" w:rsidRPr="008D2820">
          <w:rPr>
            <w:rStyle w:val="Hyperlink"/>
            <w:rFonts w:ascii="Arial" w:hAnsi="Arial" w:cs="Arial"/>
            <w:sz w:val="20"/>
            <w:szCs w:val="20"/>
          </w:rPr>
          <w:t>https://www.imf.org/en/Publications/WP/Issues/2019/04/29/Enabling-Deep-Negative-Rates-A-Guide</w:t>
        </w:r>
        <w:r w:rsidR="00BE380D" w:rsidRPr="008D2820">
          <w:rPr>
            <w:rStyle w:val="Hyperlink"/>
            <w:rFonts w:ascii="Arial" w:hAnsi="Arial" w:cs="Arial"/>
            <w:sz w:val="20"/>
            <w:szCs w:val="20"/>
          </w:rPr>
          <w:t>-</w:t>
        </w:r>
        <w:r w:rsidR="00BE380D" w:rsidRPr="008D2820">
          <w:rPr>
            <w:rStyle w:val="Hyperlink"/>
            <w:rFonts w:ascii="Arial" w:hAnsi="Arial" w:cs="Arial"/>
            <w:sz w:val="20"/>
            <w:szCs w:val="20"/>
          </w:rPr>
          <w:t>46598</w:t>
        </w:r>
      </w:hyperlink>
      <w:r w:rsidR="00BE380D">
        <w:rPr>
          <w:rFonts w:ascii="Arial" w:hAnsi="Arial" w:cs="Arial"/>
          <w:sz w:val="20"/>
          <w:szCs w:val="20"/>
        </w:rPr>
        <w:t>)</w:t>
      </w:r>
    </w:p>
    <w:p w14:paraId="62F6F0D5" w14:textId="0A0B5179" w:rsidR="00A74B8D" w:rsidRPr="00BE380D" w:rsidRDefault="00A74B8D"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For the purposes here, by limiting the cash economy, it makes it possible for central banks to impose negative interest rates as all money is electronic. Having </w:t>
      </w:r>
      <w:r w:rsidR="0083010B" w:rsidRPr="00BE380D">
        <w:rPr>
          <w:rFonts w:ascii="Arial" w:hAnsi="Arial" w:cs="Arial"/>
          <w:sz w:val="20"/>
          <w:szCs w:val="20"/>
        </w:rPr>
        <w:t>a viable</w:t>
      </w:r>
      <w:r w:rsidRPr="00BE380D">
        <w:rPr>
          <w:rFonts w:ascii="Arial" w:hAnsi="Arial" w:cs="Arial"/>
          <w:sz w:val="20"/>
          <w:szCs w:val="20"/>
        </w:rPr>
        <w:t xml:space="preserve"> cash economy effectively puts a floor on </w:t>
      </w:r>
      <w:r w:rsidR="007F38C7" w:rsidRPr="00BE380D">
        <w:rPr>
          <w:rFonts w:ascii="Arial" w:hAnsi="Arial" w:cs="Arial"/>
          <w:sz w:val="20"/>
          <w:szCs w:val="20"/>
        </w:rPr>
        <w:t xml:space="preserve">the ability of central banks and the banking system to impose negative </w:t>
      </w:r>
      <w:r w:rsidRPr="00BE380D">
        <w:rPr>
          <w:rFonts w:ascii="Arial" w:hAnsi="Arial" w:cs="Arial"/>
          <w:sz w:val="20"/>
          <w:szCs w:val="20"/>
        </w:rPr>
        <w:t xml:space="preserve">interest rates </w:t>
      </w:r>
      <w:r w:rsidR="007F38C7" w:rsidRPr="00BE380D">
        <w:rPr>
          <w:rFonts w:ascii="Arial" w:hAnsi="Arial" w:cs="Arial"/>
          <w:sz w:val="20"/>
          <w:szCs w:val="20"/>
        </w:rPr>
        <w:t xml:space="preserve">on citizens </w:t>
      </w:r>
      <w:r w:rsidRPr="00BE380D">
        <w:rPr>
          <w:rFonts w:ascii="Arial" w:hAnsi="Arial" w:cs="Arial"/>
          <w:sz w:val="20"/>
          <w:szCs w:val="20"/>
        </w:rPr>
        <w:t>as well as giving citizens an avenue to protect the wealth.</w:t>
      </w:r>
    </w:p>
    <w:p w14:paraId="204F1F81" w14:textId="5492FE7C" w:rsidR="00B30617" w:rsidRPr="00BE380D" w:rsidRDefault="00B30617" w:rsidP="00BE380D">
      <w:pPr>
        <w:pStyle w:val="ListParagraph"/>
        <w:numPr>
          <w:ilvl w:val="0"/>
          <w:numId w:val="15"/>
        </w:num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The IMF i</w:t>
      </w:r>
      <w:r w:rsidR="007F38C7" w:rsidRPr="00BE380D">
        <w:rPr>
          <w:rFonts w:ascii="Arial" w:hAnsi="Arial" w:cs="Arial"/>
          <w:sz w:val="20"/>
          <w:szCs w:val="20"/>
        </w:rPr>
        <w:t>n</w:t>
      </w:r>
      <w:r w:rsidRPr="00BE380D">
        <w:rPr>
          <w:rFonts w:ascii="Arial" w:hAnsi="Arial" w:cs="Arial"/>
          <w:sz w:val="20"/>
          <w:szCs w:val="20"/>
        </w:rPr>
        <w:t xml:space="preserve"> my opinion has presented a flawed economic argument pushing the concept that negative interest rates can somehow be a catalyst for economic growth and investment. It is basically the case of Keynesian Economic Theory as well as Modern Monetary Theory gone mad. These theories do not work and negative interests result in rather perverse outcomes that achieving the</w:t>
      </w:r>
      <w:r w:rsidR="007F38C7" w:rsidRPr="00BE380D">
        <w:rPr>
          <w:rFonts w:ascii="Arial" w:hAnsi="Arial" w:cs="Arial"/>
          <w:sz w:val="20"/>
          <w:szCs w:val="20"/>
        </w:rPr>
        <w:t>ir</w:t>
      </w:r>
      <w:r w:rsidRPr="00BE380D">
        <w:rPr>
          <w:rFonts w:ascii="Arial" w:hAnsi="Arial" w:cs="Arial"/>
          <w:sz w:val="20"/>
          <w:szCs w:val="20"/>
        </w:rPr>
        <w:t xml:space="preserve"> stated goal.</w:t>
      </w:r>
    </w:p>
    <w:p w14:paraId="3799EEB4" w14:textId="3EB3A227" w:rsidR="00A74B8D" w:rsidRPr="00BE380D" w:rsidRDefault="00A74B8D" w:rsidP="00BE380D">
      <w:pPr>
        <w:snapToGrid w:val="0"/>
        <w:spacing w:beforeLines="120" w:before="288" w:afterLines="240" w:after="576" w:line="360" w:lineRule="auto"/>
        <w:mirrorIndents/>
        <w:rPr>
          <w:rFonts w:ascii="Arial" w:hAnsi="Arial" w:cs="Arial"/>
          <w:b/>
          <w:sz w:val="20"/>
          <w:szCs w:val="20"/>
          <w:u w:val="single"/>
        </w:rPr>
      </w:pPr>
      <w:r w:rsidRPr="00BE380D">
        <w:rPr>
          <w:rFonts w:ascii="Arial" w:hAnsi="Arial" w:cs="Arial"/>
          <w:b/>
          <w:sz w:val="20"/>
          <w:szCs w:val="20"/>
          <w:u w:val="single"/>
        </w:rPr>
        <w:t>Conclusions</w:t>
      </w:r>
    </w:p>
    <w:p w14:paraId="45AA5C6D" w14:textId="75ACBD33" w:rsidR="00A74B8D" w:rsidRPr="00BE380D" w:rsidRDefault="00A74B8D" w:rsidP="00BE380D">
      <w:p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 xml:space="preserve">Given that cash transactions and the black economy have always existed, why </w:t>
      </w:r>
      <w:r w:rsidR="00E4722A" w:rsidRPr="00BE380D">
        <w:rPr>
          <w:rFonts w:ascii="Arial" w:hAnsi="Arial" w:cs="Arial"/>
          <w:sz w:val="20"/>
          <w:szCs w:val="20"/>
        </w:rPr>
        <w:t xml:space="preserve">is it </w:t>
      </w:r>
      <w:r w:rsidRPr="00BE380D">
        <w:rPr>
          <w:rFonts w:ascii="Arial" w:hAnsi="Arial" w:cs="Arial"/>
          <w:sz w:val="20"/>
          <w:szCs w:val="20"/>
        </w:rPr>
        <w:t xml:space="preserve">a problem now? </w:t>
      </w:r>
      <w:r w:rsidR="00B30617" w:rsidRPr="00BE380D">
        <w:rPr>
          <w:rFonts w:ascii="Arial" w:hAnsi="Arial" w:cs="Arial"/>
          <w:sz w:val="20"/>
          <w:szCs w:val="20"/>
        </w:rPr>
        <w:t>The use of cash for transactions has never presented a problem and government</w:t>
      </w:r>
      <w:r w:rsidR="007F38C7" w:rsidRPr="00BE380D">
        <w:rPr>
          <w:rFonts w:ascii="Arial" w:hAnsi="Arial" w:cs="Arial"/>
          <w:sz w:val="20"/>
          <w:szCs w:val="20"/>
        </w:rPr>
        <w:t>s</w:t>
      </w:r>
      <w:r w:rsidR="00B30617" w:rsidRPr="00BE380D">
        <w:rPr>
          <w:rFonts w:ascii="Arial" w:hAnsi="Arial" w:cs="Arial"/>
          <w:sz w:val="20"/>
          <w:szCs w:val="20"/>
        </w:rPr>
        <w:t xml:space="preserve"> </w:t>
      </w:r>
      <w:r w:rsidR="007F38C7" w:rsidRPr="00BE380D">
        <w:rPr>
          <w:rFonts w:ascii="Arial" w:hAnsi="Arial" w:cs="Arial"/>
          <w:sz w:val="20"/>
          <w:szCs w:val="20"/>
        </w:rPr>
        <w:t xml:space="preserve">with their </w:t>
      </w:r>
      <w:r w:rsidR="00B30617" w:rsidRPr="00BE380D">
        <w:rPr>
          <w:rFonts w:ascii="Arial" w:hAnsi="Arial" w:cs="Arial"/>
          <w:sz w:val="20"/>
          <w:szCs w:val="20"/>
        </w:rPr>
        <w:t xml:space="preserve">law enforcement </w:t>
      </w:r>
      <w:r w:rsidR="007F38C7" w:rsidRPr="00BE380D">
        <w:rPr>
          <w:rFonts w:ascii="Arial" w:hAnsi="Arial" w:cs="Arial"/>
          <w:sz w:val="20"/>
          <w:szCs w:val="20"/>
        </w:rPr>
        <w:t xml:space="preserve">arms </w:t>
      </w:r>
      <w:r w:rsidR="00B30617" w:rsidRPr="00BE380D">
        <w:rPr>
          <w:rFonts w:ascii="Arial" w:hAnsi="Arial" w:cs="Arial"/>
          <w:sz w:val="20"/>
          <w:szCs w:val="20"/>
        </w:rPr>
        <w:t xml:space="preserve">have ample tools to deal with the “black economy”. </w:t>
      </w:r>
      <w:r w:rsidR="00D00F6B" w:rsidRPr="00BE380D">
        <w:rPr>
          <w:rFonts w:ascii="Arial" w:hAnsi="Arial" w:cs="Arial"/>
          <w:sz w:val="20"/>
          <w:szCs w:val="20"/>
        </w:rPr>
        <w:t xml:space="preserve">The </w:t>
      </w:r>
      <w:r w:rsidR="007F38C7" w:rsidRPr="00BE380D">
        <w:rPr>
          <w:rFonts w:ascii="Arial" w:hAnsi="Arial" w:cs="Arial"/>
          <w:sz w:val="20"/>
          <w:szCs w:val="20"/>
        </w:rPr>
        <w:t xml:space="preserve">Black Economy Taskforce does not </w:t>
      </w:r>
      <w:r w:rsidR="00D00F6B" w:rsidRPr="00BE380D">
        <w:rPr>
          <w:rFonts w:ascii="Arial" w:hAnsi="Arial" w:cs="Arial"/>
          <w:sz w:val="20"/>
          <w:szCs w:val="20"/>
        </w:rPr>
        <w:t xml:space="preserve">make </w:t>
      </w:r>
      <w:r w:rsidR="00B30617" w:rsidRPr="00BE380D">
        <w:rPr>
          <w:rFonts w:ascii="Arial" w:hAnsi="Arial" w:cs="Arial"/>
          <w:sz w:val="20"/>
          <w:szCs w:val="20"/>
        </w:rPr>
        <w:t xml:space="preserve">any </w:t>
      </w:r>
      <w:r w:rsidR="00D00F6B" w:rsidRPr="00BE380D">
        <w:rPr>
          <w:rFonts w:ascii="Arial" w:hAnsi="Arial" w:cs="Arial"/>
          <w:sz w:val="20"/>
          <w:szCs w:val="20"/>
        </w:rPr>
        <w:t>case backed by real empirical evidence.</w:t>
      </w:r>
      <w:r w:rsidR="00B30617" w:rsidRPr="00BE380D">
        <w:rPr>
          <w:rFonts w:ascii="Arial" w:hAnsi="Arial" w:cs="Arial"/>
          <w:sz w:val="20"/>
          <w:szCs w:val="20"/>
        </w:rPr>
        <w:t xml:space="preserve"> It is a puzzling situation.</w:t>
      </w:r>
    </w:p>
    <w:p w14:paraId="441CA5AB" w14:textId="7EE337B2" w:rsidR="00D00F6B" w:rsidRPr="00BE380D" w:rsidRDefault="00D00F6B" w:rsidP="00BE380D">
      <w:p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lastRenderedPageBreak/>
        <w:t>If the real reason for this push is the ability to facilitate “negative interest rate policy” that issue has to be properly explained</w:t>
      </w:r>
      <w:r w:rsidR="00B30617" w:rsidRPr="00BE380D">
        <w:rPr>
          <w:rFonts w:ascii="Arial" w:hAnsi="Arial" w:cs="Arial"/>
          <w:sz w:val="20"/>
          <w:szCs w:val="20"/>
        </w:rPr>
        <w:t xml:space="preserve"> and debated</w:t>
      </w:r>
      <w:r w:rsidRPr="00BE380D">
        <w:rPr>
          <w:rFonts w:ascii="Arial" w:hAnsi="Arial" w:cs="Arial"/>
          <w:sz w:val="20"/>
          <w:szCs w:val="20"/>
        </w:rPr>
        <w:t>. Negative interest rates are not to be considered flippantly and these type</w:t>
      </w:r>
      <w:r w:rsidR="007F38C7" w:rsidRPr="00BE380D">
        <w:rPr>
          <w:rFonts w:ascii="Arial" w:hAnsi="Arial" w:cs="Arial"/>
          <w:sz w:val="20"/>
          <w:szCs w:val="20"/>
        </w:rPr>
        <w:t>s</w:t>
      </w:r>
      <w:r w:rsidRPr="00BE380D">
        <w:rPr>
          <w:rFonts w:ascii="Arial" w:hAnsi="Arial" w:cs="Arial"/>
          <w:sz w:val="20"/>
          <w:szCs w:val="20"/>
        </w:rPr>
        <w:t xml:space="preserve"> of policies have the potential to completely upend the Australia economy. Large capital </w:t>
      </w:r>
      <w:r w:rsidR="00B30617" w:rsidRPr="00BE380D">
        <w:rPr>
          <w:rFonts w:ascii="Arial" w:hAnsi="Arial" w:cs="Arial"/>
          <w:sz w:val="20"/>
          <w:szCs w:val="20"/>
        </w:rPr>
        <w:t xml:space="preserve">flows </w:t>
      </w:r>
      <w:r w:rsidR="007F38C7" w:rsidRPr="00BE380D">
        <w:rPr>
          <w:rFonts w:ascii="Arial" w:hAnsi="Arial" w:cs="Arial"/>
          <w:sz w:val="20"/>
          <w:szCs w:val="20"/>
        </w:rPr>
        <w:t xml:space="preserve">outflows </w:t>
      </w:r>
      <w:r w:rsidRPr="00BE380D">
        <w:rPr>
          <w:rFonts w:ascii="Arial" w:hAnsi="Arial" w:cs="Arial"/>
          <w:sz w:val="20"/>
          <w:szCs w:val="20"/>
        </w:rPr>
        <w:t xml:space="preserve">will </w:t>
      </w:r>
      <w:r w:rsidR="00B30617" w:rsidRPr="00BE380D">
        <w:rPr>
          <w:rFonts w:ascii="Arial" w:hAnsi="Arial" w:cs="Arial"/>
          <w:sz w:val="20"/>
          <w:szCs w:val="20"/>
        </w:rPr>
        <w:t xml:space="preserve">potentially </w:t>
      </w:r>
      <w:r w:rsidR="007F38C7" w:rsidRPr="00BE380D">
        <w:rPr>
          <w:rFonts w:ascii="Arial" w:hAnsi="Arial" w:cs="Arial"/>
          <w:sz w:val="20"/>
          <w:szCs w:val="20"/>
        </w:rPr>
        <w:t>result causing significant economic costs. As a flow on, have</w:t>
      </w:r>
      <w:r w:rsidRPr="00BE380D">
        <w:rPr>
          <w:rFonts w:ascii="Arial" w:hAnsi="Arial" w:cs="Arial"/>
          <w:sz w:val="20"/>
          <w:szCs w:val="20"/>
        </w:rPr>
        <w:t xml:space="preserve"> taxation issues been considered</w:t>
      </w:r>
      <w:r w:rsidR="007F38C7" w:rsidRPr="00BE380D">
        <w:rPr>
          <w:rFonts w:ascii="Arial" w:hAnsi="Arial" w:cs="Arial"/>
          <w:sz w:val="20"/>
          <w:szCs w:val="20"/>
        </w:rPr>
        <w:t xml:space="preserve"> of such policies</w:t>
      </w:r>
      <w:r w:rsidRPr="00BE380D">
        <w:rPr>
          <w:rFonts w:ascii="Arial" w:hAnsi="Arial" w:cs="Arial"/>
          <w:sz w:val="20"/>
          <w:szCs w:val="20"/>
        </w:rPr>
        <w:t xml:space="preserve">, a negative interest rate will actually </w:t>
      </w:r>
      <w:r w:rsidR="001C63F2" w:rsidRPr="00BE380D">
        <w:rPr>
          <w:rFonts w:ascii="Arial" w:hAnsi="Arial" w:cs="Arial"/>
          <w:sz w:val="20"/>
          <w:szCs w:val="20"/>
        </w:rPr>
        <w:t>produce</w:t>
      </w:r>
      <w:r w:rsidRPr="00BE380D">
        <w:rPr>
          <w:rFonts w:ascii="Arial" w:hAnsi="Arial" w:cs="Arial"/>
          <w:sz w:val="20"/>
          <w:szCs w:val="20"/>
        </w:rPr>
        <w:t xml:space="preserve"> a tax credit and serious liability on the government </w:t>
      </w:r>
      <w:r w:rsidR="00E4722A" w:rsidRPr="00BE380D">
        <w:rPr>
          <w:rFonts w:ascii="Arial" w:hAnsi="Arial" w:cs="Arial"/>
          <w:sz w:val="20"/>
          <w:szCs w:val="20"/>
        </w:rPr>
        <w:t xml:space="preserve">ledger </w:t>
      </w:r>
      <w:r w:rsidRPr="00BE380D">
        <w:rPr>
          <w:rFonts w:ascii="Arial" w:hAnsi="Arial" w:cs="Arial"/>
          <w:sz w:val="20"/>
          <w:szCs w:val="20"/>
        </w:rPr>
        <w:t xml:space="preserve">as </w:t>
      </w:r>
      <w:proofErr w:type="gramStart"/>
      <w:r w:rsidRPr="00BE380D">
        <w:rPr>
          <w:rFonts w:ascii="Arial" w:hAnsi="Arial" w:cs="Arial"/>
          <w:sz w:val="20"/>
          <w:szCs w:val="20"/>
        </w:rPr>
        <w:t>it</w:t>
      </w:r>
      <w:proofErr w:type="gramEnd"/>
      <w:r w:rsidRPr="00BE380D">
        <w:rPr>
          <w:rFonts w:ascii="Arial" w:hAnsi="Arial" w:cs="Arial"/>
          <w:sz w:val="20"/>
          <w:szCs w:val="20"/>
        </w:rPr>
        <w:t xml:space="preserve"> is would be classified as an income </w:t>
      </w:r>
      <w:r w:rsidR="001C63F2" w:rsidRPr="00BE380D">
        <w:rPr>
          <w:rFonts w:ascii="Arial" w:hAnsi="Arial" w:cs="Arial"/>
          <w:sz w:val="20"/>
          <w:szCs w:val="20"/>
        </w:rPr>
        <w:t>deduction</w:t>
      </w:r>
      <w:r w:rsidRPr="00BE380D">
        <w:rPr>
          <w:rFonts w:ascii="Arial" w:hAnsi="Arial" w:cs="Arial"/>
          <w:sz w:val="20"/>
          <w:szCs w:val="20"/>
        </w:rPr>
        <w:t xml:space="preserve">. </w:t>
      </w:r>
      <w:r w:rsidR="00845798" w:rsidRPr="00BE380D">
        <w:rPr>
          <w:rFonts w:ascii="Arial" w:hAnsi="Arial" w:cs="Arial"/>
          <w:sz w:val="20"/>
          <w:szCs w:val="20"/>
        </w:rPr>
        <w:t>It works the reverse of the positive interest rate income. Would the government entertain provisional tax credit payments to citizens and business incurring this expense? The ramifications of this bill have not been thought out.</w:t>
      </w:r>
    </w:p>
    <w:p w14:paraId="225851E1" w14:textId="08D5D026" w:rsidR="001C63F2" w:rsidRPr="00BE380D" w:rsidRDefault="001C63F2" w:rsidP="00BE380D">
      <w:p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The government needs to spell out clearly how it intends to enforce this bill prior to its introduction, it appears this is unclear. The government has not clarified clearly how holding and transacting in “legal tender” is actually illegal. Is cash therefor</w:t>
      </w:r>
      <w:r w:rsidR="008F23C6" w:rsidRPr="00BE380D">
        <w:rPr>
          <w:rFonts w:ascii="Arial" w:hAnsi="Arial" w:cs="Arial"/>
          <w:sz w:val="20"/>
          <w:szCs w:val="20"/>
        </w:rPr>
        <w:t>e</w:t>
      </w:r>
      <w:r w:rsidRPr="00BE380D">
        <w:rPr>
          <w:rFonts w:ascii="Arial" w:hAnsi="Arial" w:cs="Arial"/>
          <w:sz w:val="20"/>
          <w:szCs w:val="20"/>
        </w:rPr>
        <w:t xml:space="preserve"> not legal tender? </w:t>
      </w:r>
    </w:p>
    <w:p w14:paraId="2AF9017B" w14:textId="7C19C33B" w:rsidR="00B30617" w:rsidRPr="00BE380D" w:rsidRDefault="00845798" w:rsidP="00BE380D">
      <w:p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I</w:t>
      </w:r>
      <w:r w:rsidR="00B30617" w:rsidRPr="00BE380D">
        <w:rPr>
          <w:rFonts w:ascii="Arial" w:hAnsi="Arial" w:cs="Arial"/>
          <w:sz w:val="20"/>
          <w:szCs w:val="20"/>
        </w:rPr>
        <w:t>t is of great concern that this bill has been rushed literally under stealth with very little ti</w:t>
      </w:r>
      <w:r w:rsidRPr="00BE380D">
        <w:rPr>
          <w:rFonts w:ascii="Arial" w:hAnsi="Arial" w:cs="Arial"/>
          <w:sz w:val="20"/>
          <w:szCs w:val="20"/>
        </w:rPr>
        <w:t xml:space="preserve">me provided for public consultation. </w:t>
      </w:r>
      <w:r w:rsidR="00B30617" w:rsidRPr="00BE380D">
        <w:rPr>
          <w:rFonts w:ascii="Arial" w:hAnsi="Arial" w:cs="Arial"/>
          <w:sz w:val="20"/>
          <w:szCs w:val="20"/>
        </w:rPr>
        <w:t>There ha</w:t>
      </w:r>
      <w:r w:rsidR="00E4722A" w:rsidRPr="00BE380D">
        <w:rPr>
          <w:rFonts w:ascii="Arial" w:hAnsi="Arial" w:cs="Arial"/>
          <w:sz w:val="20"/>
          <w:szCs w:val="20"/>
        </w:rPr>
        <w:t>s</w:t>
      </w:r>
      <w:r w:rsidR="00B30617" w:rsidRPr="00BE380D">
        <w:rPr>
          <w:rFonts w:ascii="Arial" w:hAnsi="Arial" w:cs="Arial"/>
          <w:sz w:val="20"/>
          <w:szCs w:val="20"/>
        </w:rPr>
        <w:t xml:space="preserve"> been virtually no reporting in the media nor </w:t>
      </w:r>
      <w:r w:rsidR="008F23C6" w:rsidRPr="00BE380D">
        <w:rPr>
          <w:rFonts w:ascii="Arial" w:hAnsi="Arial" w:cs="Arial"/>
          <w:sz w:val="20"/>
          <w:szCs w:val="20"/>
        </w:rPr>
        <w:t>explanation</w:t>
      </w:r>
      <w:r w:rsidR="00B30617" w:rsidRPr="00BE380D">
        <w:rPr>
          <w:rFonts w:ascii="Arial" w:hAnsi="Arial" w:cs="Arial"/>
          <w:sz w:val="20"/>
          <w:szCs w:val="20"/>
        </w:rPr>
        <w:t xml:space="preserve"> by members of parliament</w:t>
      </w:r>
      <w:r w:rsidR="0083010B" w:rsidRPr="00BE380D">
        <w:rPr>
          <w:rFonts w:ascii="Arial" w:hAnsi="Arial" w:cs="Arial"/>
          <w:sz w:val="20"/>
          <w:szCs w:val="20"/>
        </w:rPr>
        <w:t>, t</w:t>
      </w:r>
      <w:r w:rsidR="00B30617" w:rsidRPr="00BE380D">
        <w:rPr>
          <w:rFonts w:ascii="Arial" w:hAnsi="Arial" w:cs="Arial"/>
          <w:sz w:val="20"/>
          <w:szCs w:val="20"/>
        </w:rPr>
        <w:t>his bill needs to be more formally debated and given a public airing</w:t>
      </w:r>
      <w:r w:rsidR="00112DC8" w:rsidRPr="00BE380D">
        <w:rPr>
          <w:rFonts w:ascii="Arial" w:hAnsi="Arial" w:cs="Arial"/>
          <w:sz w:val="20"/>
          <w:szCs w:val="20"/>
        </w:rPr>
        <w:t>.</w:t>
      </w:r>
    </w:p>
    <w:p w14:paraId="1780029C" w14:textId="5438636C" w:rsidR="003C4CA4" w:rsidRPr="00BE380D" w:rsidRDefault="003C4CA4" w:rsidP="00BE380D">
      <w:pPr>
        <w:snapToGrid w:val="0"/>
        <w:spacing w:beforeLines="120" w:before="288" w:afterLines="240" w:after="576" w:line="360" w:lineRule="auto"/>
        <w:mirrorIndents/>
        <w:rPr>
          <w:rFonts w:ascii="Arial" w:hAnsi="Arial" w:cs="Arial"/>
          <w:sz w:val="20"/>
          <w:szCs w:val="20"/>
        </w:rPr>
      </w:pPr>
      <w:r w:rsidRPr="00BE380D">
        <w:rPr>
          <w:rFonts w:ascii="Arial" w:hAnsi="Arial" w:cs="Arial"/>
          <w:sz w:val="20"/>
          <w:szCs w:val="20"/>
        </w:rPr>
        <w:t>We look forward to your response addressing our concerns.</w:t>
      </w:r>
    </w:p>
    <w:p w14:paraId="2DBA921E" w14:textId="65BCFA18" w:rsidR="00B30617" w:rsidRPr="00BE380D" w:rsidRDefault="00E4722A" w:rsidP="00A23423">
      <w:pPr>
        <w:snapToGrid w:val="0"/>
        <w:spacing w:beforeLines="120" w:before="288" w:afterLines="240" w:after="576" w:line="360" w:lineRule="auto"/>
        <w:contextualSpacing/>
        <w:mirrorIndents/>
        <w:rPr>
          <w:rFonts w:ascii="Arial" w:hAnsi="Arial" w:cs="Arial"/>
          <w:sz w:val="20"/>
          <w:szCs w:val="20"/>
        </w:rPr>
      </w:pPr>
      <w:r w:rsidRPr="00BE380D">
        <w:rPr>
          <w:rFonts w:ascii="Arial" w:hAnsi="Arial" w:cs="Arial"/>
          <w:sz w:val="20"/>
          <w:szCs w:val="20"/>
        </w:rPr>
        <w:t>Kind Regards</w:t>
      </w:r>
      <w:bookmarkStart w:id="0" w:name="_GoBack"/>
      <w:bookmarkEnd w:id="0"/>
    </w:p>
    <w:p w14:paraId="4E2D85C8" w14:textId="0F9FD018" w:rsidR="00E4722A" w:rsidRPr="00BE380D" w:rsidRDefault="00E4722A" w:rsidP="00A23423">
      <w:pPr>
        <w:snapToGrid w:val="0"/>
        <w:spacing w:beforeLines="120" w:before="288" w:afterLines="240" w:after="576" w:line="360" w:lineRule="auto"/>
        <w:contextualSpacing/>
        <w:mirrorIndents/>
        <w:rPr>
          <w:rFonts w:ascii="Arial" w:hAnsi="Arial" w:cs="Arial"/>
          <w:sz w:val="20"/>
          <w:szCs w:val="20"/>
        </w:rPr>
      </w:pPr>
      <w:r w:rsidRPr="00BE380D">
        <w:rPr>
          <w:rFonts w:ascii="Arial" w:hAnsi="Arial" w:cs="Arial"/>
          <w:sz w:val="20"/>
          <w:szCs w:val="20"/>
        </w:rPr>
        <w:t>Greg Jones</w:t>
      </w:r>
    </w:p>
    <w:p w14:paraId="345C655C" w14:textId="4494EC49" w:rsidR="00CD297D" w:rsidRPr="00BE380D" w:rsidRDefault="00CB1234" w:rsidP="00A23423">
      <w:pPr>
        <w:snapToGrid w:val="0"/>
        <w:spacing w:beforeLines="120" w:before="288" w:afterLines="240" w:after="576" w:line="360" w:lineRule="auto"/>
        <w:contextualSpacing/>
        <w:mirrorIndents/>
        <w:rPr>
          <w:rFonts w:ascii="Arial" w:hAnsi="Arial" w:cs="Arial"/>
          <w:sz w:val="20"/>
          <w:szCs w:val="20"/>
        </w:rPr>
      </w:pPr>
      <w:r w:rsidRPr="00BE380D">
        <w:rPr>
          <w:rFonts w:ascii="Arial" w:hAnsi="Arial" w:cs="Arial"/>
          <w:sz w:val="20"/>
          <w:szCs w:val="20"/>
        </w:rPr>
        <w:t xml:space="preserve">Secretary: </w:t>
      </w:r>
      <w:r w:rsidR="003C4CA4" w:rsidRPr="00BE380D">
        <w:rPr>
          <w:rFonts w:ascii="Arial" w:hAnsi="Arial" w:cs="Arial"/>
          <w:sz w:val="20"/>
          <w:szCs w:val="20"/>
        </w:rPr>
        <w:t xml:space="preserve">Concerned </w:t>
      </w:r>
      <w:r w:rsidR="003C4CA4" w:rsidRPr="00BE380D">
        <w:rPr>
          <w:rFonts w:ascii="Arial" w:hAnsi="Arial" w:cs="Arial"/>
          <w:sz w:val="20"/>
          <w:szCs w:val="20"/>
        </w:rPr>
        <w:t>I</w:t>
      </w:r>
      <w:r w:rsidR="003C4CA4" w:rsidRPr="00BE380D">
        <w:rPr>
          <w:rFonts w:ascii="Arial" w:hAnsi="Arial" w:cs="Arial"/>
          <w:sz w:val="20"/>
          <w:szCs w:val="20"/>
        </w:rPr>
        <w:t>ndividuals of the Commonwealth of Australia</w:t>
      </w:r>
      <w:r w:rsidR="003C4CA4" w:rsidRPr="00BE380D">
        <w:rPr>
          <w:rFonts w:ascii="Arial" w:hAnsi="Arial" w:cs="Arial"/>
          <w:sz w:val="20"/>
          <w:szCs w:val="20"/>
        </w:rPr>
        <w:t>.</w:t>
      </w:r>
    </w:p>
    <w:sectPr w:rsidR="00CD297D" w:rsidRPr="00BE380D" w:rsidSect="00BE380D">
      <w:headerReference w:type="default" r:id="rId13"/>
      <w:footerReference w:type="default" r:id="rId14"/>
      <w:pgSz w:w="11900" w:h="16840"/>
      <w:pgMar w:top="1440" w:right="1224" w:bottom="1440" w:left="217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735A7" w14:textId="77777777" w:rsidR="00B470F6" w:rsidRDefault="00B470F6" w:rsidP="003C4CA4">
      <w:r>
        <w:separator/>
      </w:r>
    </w:p>
  </w:endnote>
  <w:endnote w:type="continuationSeparator" w:id="0">
    <w:p w14:paraId="14FFA000" w14:textId="77777777" w:rsidR="00B470F6" w:rsidRDefault="00B470F6" w:rsidP="003C4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A6C62" w14:textId="4542BC1D" w:rsidR="003C4CA4" w:rsidRPr="003C4CA4" w:rsidRDefault="003C4CA4">
    <w:pPr>
      <w:pStyle w:val="Footer"/>
      <w:rPr>
        <w:rFonts w:ascii="Arial" w:hAnsi="Arial" w:cs="Arial"/>
        <w:i/>
        <w:sz w:val="20"/>
        <w:szCs w:val="20"/>
      </w:rPr>
    </w:pPr>
    <w:r w:rsidRPr="003C4CA4">
      <w:rPr>
        <w:rFonts w:ascii="Arial" w:hAnsi="Arial" w:cs="Arial"/>
        <w:i/>
        <w:sz w:val="20"/>
        <w:szCs w:val="20"/>
      </w:rPr>
      <w:t xml:space="preserve">Page </w:t>
    </w:r>
    <w:r w:rsidRPr="003C4CA4">
      <w:rPr>
        <w:rFonts w:ascii="Arial" w:hAnsi="Arial" w:cs="Arial"/>
        <w:i/>
        <w:sz w:val="20"/>
        <w:szCs w:val="20"/>
      </w:rPr>
      <w:fldChar w:fldCharType="begin"/>
    </w:r>
    <w:r w:rsidRPr="003C4CA4">
      <w:rPr>
        <w:rFonts w:ascii="Arial" w:hAnsi="Arial" w:cs="Arial"/>
        <w:i/>
        <w:sz w:val="20"/>
        <w:szCs w:val="20"/>
      </w:rPr>
      <w:instrText xml:space="preserve"> PAGE </w:instrText>
    </w:r>
    <w:r w:rsidRPr="003C4CA4">
      <w:rPr>
        <w:rFonts w:ascii="Arial" w:hAnsi="Arial" w:cs="Arial"/>
        <w:i/>
        <w:sz w:val="20"/>
        <w:szCs w:val="20"/>
      </w:rPr>
      <w:fldChar w:fldCharType="separate"/>
    </w:r>
    <w:r w:rsidRPr="003C4CA4">
      <w:rPr>
        <w:rFonts w:ascii="Arial" w:hAnsi="Arial" w:cs="Arial"/>
        <w:i/>
        <w:noProof/>
        <w:sz w:val="20"/>
        <w:szCs w:val="20"/>
      </w:rPr>
      <w:t>1</w:t>
    </w:r>
    <w:r w:rsidRPr="003C4CA4">
      <w:rPr>
        <w:rFonts w:ascii="Arial" w:hAnsi="Arial" w:cs="Arial"/>
        <w:i/>
        <w:sz w:val="20"/>
        <w:szCs w:val="20"/>
      </w:rPr>
      <w:fldChar w:fldCharType="end"/>
    </w:r>
    <w:r w:rsidRPr="003C4CA4">
      <w:rPr>
        <w:rFonts w:ascii="Arial" w:hAnsi="Arial" w:cs="Arial"/>
        <w:i/>
        <w:sz w:val="20"/>
        <w:szCs w:val="20"/>
      </w:rPr>
      <w:t xml:space="preserve"> of </w:t>
    </w:r>
    <w:r w:rsidRPr="003C4CA4">
      <w:rPr>
        <w:rFonts w:ascii="Arial" w:hAnsi="Arial" w:cs="Arial"/>
        <w:i/>
        <w:sz w:val="20"/>
        <w:szCs w:val="20"/>
      </w:rPr>
      <w:fldChar w:fldCharType="begin"/>
    </w:r>
    <w:r w:rsidRPr="003C4CA4">
      <w:rPr>
        <w:rFonts w:ascii="Arial" w:hAnsi="Arial" w:cs="Arial"/>
        <w:i/>
        <w:sz w:val="20"/>
        <w:szCs w:val="20"/>
      </w:rPr>
      <w:instrText xml:space="preserve"> NUMPAGES </w:instrText>
    </w:r>
    <w:r w:rsidRPr="003C4CA4">
      <w:rPr>
        <w:rFonts w:ascii="Arial" w:hAnsi="Arial" w:cs="Arial"/>
        <w:i/>
        <w:sz w:val="20"/>
        <w:szCs w:val="20"/>
      </w:rPr>
      <w:fldChar w:fldCharType="separate"/>
    </w:r>
    <w:r w:rsidRPr="003C4CA4">
      <w:rPr>
        <w:rFonts w:ascii="Arial" w:hAnsi="Arial" w:cs="Arial"/>
        <w:i/>
        <w:noProof/>
        <w:sz w:val="20"/>
        <w:szCs w:val="20"/>
      </w:rPr>
      <w:t>4</w:t>
    </w:r>
    <w:r w:rsidRPr="003C4CA4">
      <w:rPr>
        <w:rFonts w:ascii="Arial" w:hAnsi="Arial" w:cs="Arial"/>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F34EB" w14:textId="77777777" w:rsidR="00B470F6" w:rsidRDefault="00B470F6" w:rsidP="003C4CA4">
      <w:r>
        <w:separator/>
      </w:r>
    </w:p>
  </w:footnote>
  <w:footnote w:type="continuationSeparator" w:id="0">
    <w:p w14:paraId="0974EA4B" w14:textId="77777777" w:rsidR="00B470F6" w:rsidRDefault="00B470F6" w:rsidP="003C4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35C4A" w14:textId="100638A8" w:rsidR="003C4CA4" w:rsidRPr="003C4CA4" w:rsidRDefault="003C4CA4" w:rsidP="003C4CA4">
    <w:pPr>
      <w:jc w:val="center"/>
      <w:rPr>
        <w:rFonts w:ascii="Arial" w:hAnsi="Arial" w:cs="Arial"/>
        <w:i/>
        <w:sz w:val="20"/>
        <w:szCs w:val="20"/>
      </w:rPr>
    </w:pPr>
    <w:r w:rsidRPr="003C4CA4">
      <w:rPr>
        <w:rFonts w:ascii="Arial" w:hAnsi="Arial" w:cs="Arial"/>
        <w:i/>
        <w:sz w:val="20"/>
        <w:szCs w:val="20"/>
      </w:rPr>
      <w:t xml:space="preserve">Submission to the </w:t>
    </w:r>
    <w:r w:rsidRPr="003C4CA4">
      <w:rPr>
        <w:rFonts w:ascii="Arial" w:hAnsi="Arial" w:cs="Arial"/>
        <w:i/>
        <w:sz w:val="20"/>
        <w:szCs w:val="20"/>
      </w:rPr>
      <w:t>Currency (Restrictions on the Use of Cash) Bill 2019</w:t>
    </w:r>
  </w:p>
  <w:p w14:paraId="1EB00376" w14:textId="01C24EDD" w:rsidR="003C4CA4" w:rsidRPr="003C4CA4" w:rsidRDefault="003C4CA4" w:rsidP="003C4CA4">
    <w:pPr>
      <w:jc w:val="center"/>
      <w:rPr>
        <w:rFonts w:ascii="Arial" w:hAnsi="Arial" w:cs="Arial"/>
        <w:i/>
        <w:sz w:val="20"/>
        <w:szCs w:val="20"/>
      </w:rPr>
    </w:pPr>
    <w:r w:rsidRPr="003C4CA4">
      <w:rPr>
        <w:rFonts w:ascii="Arial" w:hAnsi="Arial" w:cs="Arial"/>
        <w:i/>
        <w:sz w:val="20"/>
        <w:szCs w:val="20"/>
      </w:rPr>
      <w:t>Concerned Individuals of the Commonwealth of Australia</w:t>
    </w:r>
    <w:r w:rsidRPr="003C4CA4">
      <w:rPr>
        <w:rFonts w:ascii="Arial" w:hAnsi="Arial" w:cs="Arial"/>
        <w:i/>
        <w:sz w:val="20"/>
        <w:szCs w:val="20"/>
      </w:rPr>
      <w:t xml:space="preserve"> - </w:t>
    </w:r>
    <w:r w:rsidRPr="003C4CA4">
      <w:rPr>
        <w:rFonts w:ascii="Arial" w:hAnsi="Arial" w:cs="Arial"/>
        <w:i/>
        <w:sz w:val="20"/>
        <w:szCs w:val="20"/>
      </w:rPr>
      <w:t>Date: 12 August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4549A"/>
    <w:multiLevelType w:val="hybridMultilevel"/>
    <w:tmpl w:val="F596361C"/>
    <w:lvl w:ilvl="0" w:tplc="0C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E71C89"/>
    <w:multiLevelType w:val="hybridMultilevel"/>
    <w:tmpl w:val="E592B9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17495"/>
    <w:multiLevelType w:val="hybridMultilevel"/>
    <w:tmpl w:val="9780AC9C"/>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F56EF"/>
    <w:multiLevelType w:val="hybridMultilevel"/>
    <w:tmpl w:val="9B68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56B09"/>
    <w:multiLevelType w:val="hybridMultilevel"/>
    <w:tmpl w:val="35BE25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ED4C37"/>
    <w:multiLevelType w:val="hybridMultilevel"/>
    <w:tmpl w:val="D35ABB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D253E7"/>
    <w:multiLevelType w:val="hybridMultilevel"/>
    <w:tmpl w:val="0DFCF3E0"/>
    <w:lvl w:ilvl="0" w:tplc="0C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F56D7"/>
    <w:multiLevelType w:val="hybridMultilevel"/>
    <w:tmpl w:val="B70CC5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C11B29"/>
    <w:multiLevelType w:val="hybridMultilevel"/>
    <w:tmpl w:val="FB6E30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AD7DC0"/>
    <w:multiLevelType w:val="hybridMultilevel"/>
    <w:tmpl w:val="C212BD56"/>
    <w:lvl w:ilvl="0" w:tplc="0C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614CA2"/>
    <w:multiLevelType w:val="hybridMultilevel"/>
    <w:tmpl w:val="52DC1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1C1F01"/>
    <w:multiLevelType w:val="hybridMultilevel"/>
    <w:tmpl w:val="2C58859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54614D"/>
    <w:multiLevelType w:val="multilevel"/>
    <w:tmpl w:val="D35ABB3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5EE40B6"/>
    <w:multiLevelType w:val="multilevel"/>
    <w:tmpl w:val="FB6E30C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BA157D3"/>
    <w:multiLevelType w:val="hybridMultilevel"/>
    <w:tmpl w:val="E4A8982C"/>
    <w:lvl w:ilvl="0" w:tplc="0C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8"/>
  </w:num>
  <w:num w:numId="5">
    <w:abstractNumId w:val="3"/>
  </w:num>
  <w:num w:numId="6">
    <w:abstractNumId w:val="12"/>
  </w:num>
  <w:num w:numId="7">
    <w:abstractNumId w:val="1"/>
  </w:num>
  <w:num w:numId="8">
    <w:abstractNumId w:val="13"/>
  </w:num>
  <w:num w:numId="9">
    <w:abstractNumId w:val="11"/>
  </w:num>
  <w:num w:numId="10">
    <w:abstractNumId w:val="6"/>
  </w:num>
  <w:num w:numId="11">
    <w:abstractNumId w:val="0"/>
  </w:num>
  <w:num w:numId="12">
    <w:abstractNumId w:val="9"/>
  </w:num>
  <w:num w:numId="13">
    <w:abstractNumId w:val="14"/>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97D"/>
    <w:rsid w:val="000344C7"/>
    <w:rsid w:val="00042D62"/>
    <w:rsid w:val="00112DC8"/>
    <w:rsid w:val="00191EDB"/>
    <w:rsid w:val="001C63F2"/>
    <w:rsid w:val="003208A8"/>
    <w:rsid w:val="00395C39"/>
    <w:rsid w:val="003C4CA4"/>
    <w:rsid w:val="003D339B"/>
    <w:rsid w:val="004E3478"/>
    <w:rsid w:val="00567604"/>
    <w:rsid w:val="00663C23"/>
    <w:rsid w:val="00740F94"/>
    <w:rsid w:val="007F38C7"/>
    <w:rsid w:val="0083010B"/>
    <w:rsid w:val="00845798"/>
    <w:rsid w:val="008808C5"/>
    <w:rsid w:val="008F23C6"/>
    <w:rsid w:val="00961648"/>
    <w:rsid w:val="00A23423"/>
    <w:rsid w:val="00A74B8D"/>
    <w:rsid w:val="00B30617"/>
    <w:rsid w:val="00B470F6"/>
    <w:rsid w:val="00BE1BC5"/>
    <w:rsid w:val="00BE380D"/>
    <w:rsid w:val="00C64264"/>
    <w:rsid w:val="00CB1234"/>
    <w:rsid w:val="00CD297D"/>
    <w:rsid w:val="00CD5675"/>
    <w:rsid w:val="00CF7BDC"/>
    <w:rsid w:val="00D00F6B"/>
    <w:rsid w:val="00E1037F"/>
    <w:rsid w:val="00E4722A"/>
    <w:rsid w:val="00F02DA9"/>
    <w:rsid w:val="00F747F0"/>
    <w:rsid w:val="00FD5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E8763"/>
  <w14:defaultImageDpi w14:val="300"/>
  <w15:docId w15:val="{48C60082-DE92-3447-B65F-D48CEFB58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297D"/>
    <w:rPr>
      <w:color w:val="0000FF" w:themeColor="hyperlink"/>
      <w:u w:val="single"/>
    </w:rPr>
  </w:style>
  <w:style w:type="paragraph" w:styleId="ListParagraph">
    <w:name w:val="List Paragraph"/>
    <w:basedOn w:val="Normal"/>
    <w:uiPriority w:val="34"/>
    <w:qFormat/>
    <w:rsid w:val="00CD297D"/>
    <w:pPr>
      <w:ind w:left="720"/>
      <w:contextualSpacing/>
    </w:pPr>
  </w:style>
  <w:style w:type="character" w:styleId="FollowedHyperlink">
    <w:name w:val="FollowedHyperlink"/>
    <w:basedOn w:val="DefaultParagraphFont"/>
    <w:uiPriority w:val="99"/>
    <w:semiHidden/>
    <w:unhideWhenUsed/>
    <w:rsid w:val="00A74B8D"/>
    <w:rPr>
      <w:color w:val="800080" w:themeColor="followedHyperlink"/>
      <w:u w:val="single"/>
    </w:rPr>
  </w:style>
  <w:style w:type="character" w:styleId="UnresolvedMention">
    <w:name w:val="Unresolved Mention"/>
    <w:basedOn w:val="DefaultParagraphFont"/>
    <w:uiPriority w:val="99"/>
    <w:semiHidden/>
    <w:unhideWhenUsed/>
    <w:rsid w:val="00567604"/>
    <w:rPr>
      <w:color w:val="605E5C"/>
      <w:shd w:val="clear" w:color="auto" w:fill="E1DFDD"/>
    </w:rPr>
  </w:style>
  <w:style w:type="paragraph" w:styleId="Header">
    <w:name w:val="header"/>
    <w:basedOn w:val="Normal"/>
    <w:link w:val="HeaderChar"/>
    <w:uiPriority w:val="99"/>
    <w:unhideWhenUsed/>
    <w:rsid w:val="003C4CA4"/>
    <w:pPr>
      <w:tabs>
        <w:tab w:val="center" w:pos="4513"/>
        <w:tab w:val="right" w:pos="9026"/>
      </w:tabs>
    </w:pPr>
  </w:style>
  <w:style w:type="character" w:customStyle="1" w:styleId="HeaderChar">
    <w:name w:val="Header Char"/>
    <w:basedOn w:val="DefaultParagraphFont"/>
    <w:link w:val="Header"/>
    <w:uiPriority w:val="99"/>
    <w:rsid w:val="003C4CA4"/>
  </w:style>
  <w:style w:type="paragraph" w:styleId="Footer">
    <w:name w:val="footer"/>
    <w:basedOn w:val="Normal"/>
    <w:link w:val="FooterChar"/>
    <w:uiPriority w:val="99"/>
    <w:unhideWhenUsed/>
    <w:rsid w:val="003C4CA4"/>
    <w:pPr>
      <w:tabs>
        <w:tab w:val="center" w:pos="4513"/>
        <w:tab w:val="right" w:pos="9026"/>
      </w:tabs>
    </w:pPr>
  </w:style>
  <w:style w:type="character" w:customStyle="1" w:styleId="FooterChar">
    <w:name w:val="Footer Char"/>
    <w:basedOn w:val="DefaultParagraphFont"/>
    <w:link w:val="Footer"/>
    <w:uiPriority w:val="99"/>
    <w:rsid w:val="003C4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tel:(02)%206263%20206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reg.jones@ppltek.com" TargetMode="External"/><Relationship Id="rId12" Type="http://schemas.openxmlformats.org/officeDocument/2006/relationships/hyperlink" Target="https://www.imf.org/en/Publications/WP/Issues/2019/04/29/Enabling-Deep-Negative-Rates-A-Guide-4659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jku.at/papers/2017/wp1708.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reasury.gov.au/sites/default/files/2019-03/Black-Economy-Taskforce_Final-Report.pdf" TargetMode="External"/><Relationship Id="rId4" Type="http://schemas.openxmlformats.org/officeDocument/2006/relationships/webSettings" Target="webSettings.xml"/><Relationship Id="rId9" Type="http://schemas.openxmlformats.org/officeDocument/2006/relationships/hyperlink" Target="mailto:patrick.boneham@treasury.gov.a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1632</Words>
  <Characters>9309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Trifunovic</dc:creator>
  <cp:keywords/>
  <dc:description/>
  <cp:lastModifiedBy>Damien Jones</cp:lastModifiedBy>
  <cp:revision>3</cp:revision>
  <dcterms:created xsi:type="dcterms:W3CDTF">2019-08-12T06:08:00Z</dcterms:created>
  <dcterms:modified xsi:type="dcterms:W3CDTF">2019-08-12T06:35:00Z</dcterms:modified>
</cp:coreProperties>
</file>