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83C" w:rsidRDefault="00EA683C" w:rsidP="00EA683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Tristan Coates (C) &lt;tcoates@water.ie&gt; </w:t>
      </w:r>
      <w:r>
        <w:rPr>
          <w:rFonts w:eastAsia="Times New Roman"/>
          <w:lang w:val="en-US"/>
        </w:rPr>
        <w:br/>
      </w:r>
      <w:r>
        <w:rPr>
          <w:rFonts w:eastAsia="Times New Roman"/>
          <w:b/>
          <w:bCs/>
          <w:lang w:val="en-US"/>
        </w:rPr>
        <w:t>Sent:</w:t>
      </w:r>
      <w:r>
        <w:rPr>
          <w:rFonts w:eastAsia="Times New Roman"/>
          <w:lang w:val="en-US"/>
        </w:rPr>
        <w:t xml:space="preserve"> Friday, 9 August 2019 12:45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'tim.bull@parliament.vic.gov.au' &lt;tim.bull@parliament.vic.gov.au&gt;; 'libadm@liberal.org.au' &lt;libadm@liberal.org.au&gt;</w:t>
      </w:r>
      <w:r>
        <w:rPr>
          <w:rFonts w:eastAsia="Times New Roman"/>
          <w:lang w:val="en-US"/>
        </w:rPr>
        <w:br/>
      </w:r>
      <w:r>
        <w:rPr>
          <w:rFonts w:eastAsia="Times New Roman"/>
          <w:b/>
          <w:bCs/>
          <w:lang w:val="en-US"/>
        </w:rPr>
        <w:t>Subject:</w:t>
      </w:r>
      <w:r>
        <w:rPr>
          <w:rFonts w:eastAsia="Times New Roman"/>
          <w:lang w:val="en-US"/>
        </w:rPr>
        <w:t xml:space="preserve"> Congratulations - Restrictions on the Use of Cash Bill 2019 </w:t>
      </w:r>
    </w:p>
    <w:p w:rsidR="00EA683C" w:rsidRDefault="00EA683C" w:rsidP="00EA683C">
      <w:pPr>
        <w:rPr>
          <w:lang w:eastAsia="en-US"/>
        </w:rPr>
      </w:pPr>
    </w:p>
    <w:p w:rsidR="00EA683C" w:rsidRDefault="00EA683C" w:rsidP="00EA683C">
      <w:pPr>
        <w:rPr>
          <w:b/>
          <w:bCs/>
          <w:sz w:val="25"/>
          <w:szCs w:val="25"/>
          <w:lang w:val="en-GB"/>
        </w:rPr>
      </w:pPr>
      <w:r>
        <w:rPr>
          <w:b/>
          <w:bCs/>
          <w:sz w:val="25"/>
          <w:szCs w:val="25"/>
          <w:lang w:val="en-GB"/>
        </w:rPr>
        <w:t>Division Head</w:t>
      </w:r>
    </w:p>
    <w:p w:rsidR="00EA683C" w:rsidRDefault="00EA683C" w:rsidP="00EA683C">
      <w:pPr>
        <w:rPr>
          <w:b/>
          <w:bCs/>
          <w:sz w:val="25"/>
          <w:szCs w:val="25"/>
          <w:lang w:val="en-GB"/>
        </w:rPr>
      </w:pPr>
      <w:r>
        <w:rPr>
          <w:b/>
          <w:bCs/>
          <w:sz w:val="25"/>
          <w:szCs w:val="25"/>
          <w:lang w:val="en-GB"/>
        </w:rPr>
        <w:t>Black Economy Division</w:t>
      </w:r>
    </w:p>
    <w:p w:rsidR="00EA683C" w:rsidRDefault="00EA683C" w:rsidP="00EA683C">
      <w:pPr>
        <w:rPr>
          <w:b/>
          <w:bCs/>
          <w:sz w:val="25"/>
          <w:szCs w:val="25"/>
          <w:lang w:val="en-GB"/>
        </w:rPr>
      </w:pPr>
      <w:r>
        <w:rPr>
          <w:b/>
          <w:bCs/>
          <w:sz w:val="25"/>
          <w:szCs w:val="25"/>
          <w:lang w:val="en-GB"/>
        </w:rPr>
        <w:t>The Treasury</w:t>
      </w:r>
    </w:p>
    <w:p w:rsidR="00EA683C" w:rsidRDefault="00EA683C" w:rsidP="00EA683C">
      <w:pPr>
        <w:rPr>
          <w:b/>
          <w:bCs/>
          <w:sz w:val="25"/>
          <w:szCs w:val="25"/>
          <w:lang w:val="en-GB"/>
        </w:rPr>
      </w:pPr>
      <w:r>
        <w:rPr>
          <w:b/>
          <w:bCs/>
          <w:sz w:val="25"/>
          <w:szCs w:val="25"/>
          <w:lang w:val="en-GB"/>
        </w:rPr>
        <w:t>Langton Crescent</w:t>
      </w:r>
    </w:p>
    <w:p w:rsidR="00EA683C" w:rsidRDefault="00EA683C" w:rsidP="00EA683C">
      <w:pPr>
        <w:rPr>
          <w:b/>
          <w:bCs/>
          <w:sz w:val="25"/>
          <w:szCs w:val="25"/>
          <w:lang w:val="en-GB"/>
        </w:rPr>
      </w:pPr>
      <w:r>
        <w:rPr>
          <w:b/>
          <w:bCs/>
          <w:sz w:val="25"/>
          <w:szCs w:val="25"/>
          <w:lang w:val="en-GB"/>
        </w:rPr>
        <w:t>PARKES ACT</w:t>
      </w:r>
      <w:proofErr w:type="gramStart"/>
      <w:r>
        <w:rPr>
          <w:b/>
          <w:bCs/>
          <w:sz w:val="25"/>
          <w:szCs w:val="25"/>
          <w:lang w:val="en-GB"/>
        </w:rPr>
        <w:t>  2600</w:t>
      </w:r>
      <w:proofErr w:type="gramEnd"/>
    </w:p>
    <w:p w:rsidR="00EA683C" w:rsidRDefault="00EA683C" w:rsidP="00EA683C">
      <w:pPr>
        <w:rPr>
          <w:b/>
          <w:bCs/>
          <w:sz w:val="25"/>
          <w:szCs w:val="25"/>
          <w:lang w:val="en-GB"/>
        </w:rPr>
      </w:pPr>
      <w:r>
        <w:rPr>
          <w:b/>
          <w:bCs/>
          <w:sz w:val="25"/>
          <w:szCs w:val="25"/>
          <w:lang w:val="en-GB"/>
        </w:rPr>
        <w:t>AUSTRALIA</w:t>
      </w:r>
    </w:p>
    <w:p w:rsidR="00EA683C" w:rsidRDefault="00EA683C" w:rsidP="00EA683C">
      <w:pPr>
        <w:rPr>
          <w:sz w:val="26"/>
          <w:szCs w:val="26"/>
          <w:lang w:val="en-GB"/>
        </w:rPr>
      </w:pPr>
    </w:p>
    <w:p w:rsidR="00EA683C" w:rsidRDefault="00EA683C" w:rsidP="00EA683C">
      <w:pPr>
        <w:rPr>
          <w:sz w:val="26"/>
          <w:szCs w:val="26"/>
          <w:lang w:val="en-GB"/>
        </w:rPr>
      </w:pPr>
      <w:r>
        <w:rPr>
          <w:sz w:val="26"/>
          <w:szCs w:val="26"/>
          <w:lang w:val="en-GB"/>
        </w:rPr>
        <w:t>8/8/2019</w:t>
      </w:r>
    </w:p>
    <w:p w:rsidR="00EA683C" w:rsidRDefault="00EA683C" w:rsidP="00EA683C">
      <w:pPr>
        <w:rPr>
          <w:sz w:val="26"/>
          <w:szCs w:val="26"/>
          <w:lang w:val="en-GB"/>
        </w:rPr>
      </w:pPr>
    </w:p>
    <w:p w:rsidR="00EA683C" w:rsidRDefault="00EA683C" w:rsidP="00EA683C">
      <w:pPr>
        <w:rPr>
          <w:sz w:val="26"/>
          <w:szCs w:val="26"/>
          <w:lang w:val="en-GB"/>
        </w:rPr>
      </w:pPr>
      <w:r>
        <w:rPr>
          <w:sz w:val="26"/>
          <w:szCs w:val="26"/>
          <w:lang w:val="en-GB"/>
        </w:rPr>
        <w:t>Attn</w:t>
      </w:r>
      <w:proofErr w:type="gramStart"/>
      <w:r>
        <w:rPr>
          <w:sz w:val="26"/>
          <w:szCs w:val="26"/>
          <w:lang w:val="en-GB"/>
        </w:rPr>
        <w:t>:/</w:t>
      </w:r>
      <w:proofErr w:type="gramEnd"/>
      <w:r>
        <w:rPr>
          <w:sz w:val="26"/>
          <w:szCs w:val="26"/>
          <w:lang w:val="en-GB"/>
        </w:rPr>
        <w:t xml:space="preserve"> Mr Patrick Boneham</w:t>
      </w:r>
    </w:p>
    <w:p w:rsidR="00EA683C" w:rsidRDefault="00EA683C" w:rsidP="00EA683C">
      <w:pPr>
        <w:rPr>
          <w:sz w:val="26"/>
          <w:szCs w:val="26"/>
          <w:lang w:val="en-GB"/>
        </w:rPr>
      </w:pPr>
    </w:p>
    <w:p w:rsidR="00EA683C" w:rsidRDefault="00EA683C" w:rsidP="00EA683C">
      <w:pPr>
        <w:rPr>
          <w:rStyle w:val="field4"/>
          <w:sz w:val="22"/>
          <w:szCs w:val="22"/>
          <w:lang w:val="en"/>
        </w:rPr>
      </w:pPr>
      <w:r>
        <w:rPr>
          <w:sz w:val="26"/>
          <w:szCs w:val="26"/>
          <w:lang w:val="en-GB"/>
        </w:rPr>
        <w:t xml:space="preserve">Reference is made to the </w:t>
      </w:r>
      <w:r>
        <w:rPr>
          <w:rStyle w:val="field4"/>
          <w:i/>
          <w:iCs/>
          <w:sz w:val="26"/>
          <w:szCs w:val="26"/>
          <w:lang w:val="en"/>
        </w:rPr>
        <w:t>Currency (Restrictions on the Use of Cash) Bill 2019</w:t>
      </w:r>
      <w:r>
        <w:rPr>
          <w:rStyle w:val="Hyperlink"/>
          <w:i/>
          <w:iCs/>
          <w:sz w:val="26"/>
          <w:szCs w:val="26"/>
          <w:lang w:val="en"/>
        </w:rPr>
        <w:t xml:space="preserve"> </w:t>
      </w:r>
      <w:r>
        <w:rPr>
          <w:rStyle w:val="field4"/>
          <w:i/>
          <w:iCs/>
          <w:sz w:val="26"/>
          <w:szCs w:val="26"/>
          <w:lang w:val="en"/>
        </w:rPr>
        <w:t>Currency (Restrictions on the Use of Cash) Bill 2019</w:t>
      </w:r>
      <w:r>
        <w:rPr>
          <w:rStyle w:val="field4"/>
          <w:sz w:val="26"/>
          <w:szCs w:val="26"/>
          <w:lang w:val="en"/>
        </w:rPr>
        <w:t xml:space="preserve"> as denoted on Treasury Website 26 July – 12 August 2019.</w:t>
      </w: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A sincere endorsement is given for this Bill, and strong encouragement for its implementation across Australia.</w:t>
      </w: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Fundamentally, this Bill requires Australians, by use of force, to make a choice between placing their wealth within the Australian banking network or to consider alternative means for preserving their wealth.</w:t>
      </w: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 xml:space="preserve">Australians understand Australian Banks are untrustworthily, especially in light of the Royal Commission.  There is no doubt this Bill has been carefully considered and presents a clever mechanism to encourage Australians to consider moving away from Australia’s Banking Cartel into a more transparent, fair and safe mode for transactions. </w:t>
      </w: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 xml:space="preserve">As an Australian who understands our proud economic transactional history with Gold, as well as recent revolutionary developments in currency technology such as ‘Block-chain’, I can see no greater persuasive catalyst and motivator for Australians to consider alternative forms of currency than the passing of this Bill.  Allowing the decision to seek a more transparent and fair alternative to Australia’s banking cartel a relatively straightforward endeavor.   And there are some truly fantastic alternatives to consider; such as crypto-currencies backed by Gold and Silver.  Which would build upon our proud history, generate domestic commodity markets and promote transitional jobs for Australia’s Engineering and Mining Sector into more productive employment (rather than concrete mixers) and secure Australia’s place as the lucky country and ‘Envy of the World’.  After all, </w:t>
      </w:r>
      <w:proofErr w:type="gramStart"/>
      <w:r>
        <w:rPr>
          <w:rStyle w:val="field4"/>
          <w:sz w:val="26"/>
          <w:szCs w:val="26"/>
          <w:lang w:val="en"/>
        </w:rPr>
        <w:t>its</w:t>
      </w:r>
      <w:proofErr w:type="gramEnd"/>
      <w:r>
        <w:rPr>
          <w:rStyle w:val="field4"/>
          <w:sz w:val="26"/>
          <w:szCs w:val="26"/>
          <w:lang w:val="en"/>
        </w:rPr>
        <w:t xml:space="preserve"> what Russia, China, Germany, Hungry, Romania, Austria, Netherlands, Belgium, Italy et al, are all trying to achieve.   </w:t>
      </w: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 xml:space="preserve">Congratulations on a clever, innovative and well thought out Bill. </w:t>
      </w:r>
    </w:p>
    <w:p w:rsidR="00EA683C" w:rsidRDefault="00EA683C" w:rsidP="00EA683C">
      <w:pPr>
        <w:rPr>
          <w:rStyle w:val="field4"/>
          <w:sz w:val="26"/>
          <w:szCs w:val="26"/>
          <w:lang w:val="en"/>
        </w:rPr>
      </w:pPr>
    </w:p>
    <w:p w:rsidR="00EA683C" w:rsidRDefault="00EA683C" w:rsidP="00EA683C">
      <w:pPr>
        <w:rPr>
          <w:rStyle w:val="field4"/>
          <w:sz w:val="26"/>
          <w:szCs w:val="26"/>
          <w:lang w:val="en"/>
        </w:rPr>
      </w:pPr>
    </w:p>
    <w:p w:rsidR="00EA683C" w:rsidRDefault="00EA683C" w:rsidP="00EA683C">
      <w:pPr>
        <w:rPr>
          <w:rStyle w:val="field4"/>
          <w:sz w:val="26"/>
          <w:szCs w:val="26"/>
          <w:lang w:val="en"/>
        </w:rPr>
      </w:pPr>
      <w:r>
        <w:rPr>
          <w:rStyle w:val="field4"/>
          <w:sz w:val="26"/>
          <w:szCs w:val="26"/>
          <w:lang w:val="en"/>
        </w:rPr>
        <w:t>Faithfully,</w:t>
      </w:r>
    </w:p>
    <w:p w:rsidR="00EA683C" w:rsidRDefault="00EA683C" w:rsidP="00EA683C">
      <w:pPr>
        <w:rPr>
          <w:rStyle w:val="field4"/>
          <w:sz w:val="26"/>
          <w:szCs w:val="26"/>
          <w:lang w:val="en"/>
        </w:rPr>
      </w:pPr>
    </w:p>
    <w:p w:rsidR="00EA683C" w:rsidRDefault="00EA683C" w:rsidP="00EA683C">
      <w:pPr>
        <w:rPr>
          <w:sz w:val="22"/>
          <w:szCs w:val="22"/>
          <w:lang w:val="en-GB"/>
        </w:rPr>
      </w:pPr>
      <w:r>
        <w:rPr>
          <w:sz w:val="26"/>
          <w:szCs w:val="26"/>
          <w:lang w:val="en-GB"/>
        </w:rPr>
        <w:t xml:space="preserve">Tristan Coates </w:t>
      </w:r>
      <w:r>
        <w:rPr>
          <w:i/>
          <w:iCs/>
          <w:sz w:val="26"/>
          <w:szCs w:val="26"/>
          <w:lang w:val="en-GB"/>
        </w:rPr>
        <w:t>NER CPEng MIONS</w:t>
      </w:r>
    </w:p>
    <w:p w:rsidR="00EA683C" w:rsidRDefault="00EA683C" w:rsidP="00EA683C">
      <w:pPr>
        <w:rPr>
          <w:i/>
          <w:iCs/>
          <w:lang w:val="en-GB"/>
        </w:rPr>
      </w:pPr>
      <w:r>
        <w:rPr>
          <w:i/>
          <w:iCs/>
          <w:lang w:val="en-GB"/>
        </w:rPr>
        <w:t xml:space="preserve">Engineers Australia Representative to Ireland and Regional UK. </w:t>
      </w:r>
    </w:p>
    <w:p w:rsidR="00EA683C" w:rsidRDefault="00EA683C" w:rsidP="00EA683C">
      <w:pPr>
        <w:rPr>
          <w:i/>
          <w:iCs/>
          <w:lang w:val="en-GB"/>
        </w:rPr>
      </w:pPr>
    </w:p>
    <w:p w:rsidR="00EA683C" w:rsidRDefault="00EA683C" w:rsidP="00EA683C">
      <w:pPr>
        <w:rPr>
          <w:i/>
          <w:iCs/>
          <w:lang w:val="en-GB"/>
        </w:rPr>
      </w:pPr>
    </w:p>
    <w:p w:rsidR="00EA683C" w:rsidRDefault="00EA683C" w:rsidP="00EA683C">
      <w:pPr>
        <w:rPr>
          <w:sz w:val="22"/>
          <w:szCs w:val="22"/>
          <w:lang w:val="en-GB"/>
        </w:rPr>
      </w:pPr>
    </w:p>
    <w:p w:rsidR="00EA683C" w:rsidRDefault="00EA683C" w:rsidP="00EA683C">
      <w:pPr>
        <w:rPr>
          <w:lang w:val="en-GB"/>
        </w:rPr>
      </w:pPr>
    </w:p>
    <w:p w:rsidR="00EA683C" w:rsidRDefault="00EA683C" w:rsidP="00EA683C">
      <w:pPr>
        <w:rPr>
          <w:lang w:val="en-GB"/>
        </w:rPr>
      </w:pPr>
    </w:p>
    <w:p w:rsidR="00EA683C" w:rsidRDefault="00EA683C" w:rsidP="00EA683C">
      <w:pPr>
        <w:spacing w:after="240"/>
        <w:rPr>
          <w:rFonts w:eastAsia="Times New Roman"/>
          <w:lang w:val="en-IE"/>
        </w:rPr>
      </w:pPr>
      <w:r>
        <w:rPr>
          <w:rFonts w:eastAsia="Times New Roman"/>
          <w:lang w:val="en-IE"/>
        </w:rPr>
        <w:br/>
      </w:r>
      <w:r>
        <w:rPr>
          <w:rFonts w:eastAsia="Times New Roman"/>
          <w:lang w:val="en-IE"/>
        </w:rPr>
        <w:br/>
      </w:r>
      <w:r>
        <w:rPr>
          <w:rFonts w:eastAsia="Times New Roman"/>
          <w:lang w:val="en-IE"/>
        </w:rPr>
        <w:br/>
        <w:t xml:space="preserve">The information transmitted is intended only for the person or entity to which it is addressed and may contain confidential, commercially sensitive and/or privileged material. Any review, retransmission, dissemination or other use of, or taking of any action in reliance upon, this information by persons or entities other than the intended recipient is prohibited and may be unlawful. Irish Water accepts no liability for actions or effects based on the prohibited usage of this information. Irish Water is neither liable for the proper and complete transmission of the information contained in this communication nor for any delay in its receipt. If you received this in error, please contact the sender and delete the material from any computer. E-Mail may be susceptible to data corruption, interception and unauthorised amendment. Irish Water accepts no responsibility for changes to or interception of this e-mail after it was sent or for any damage to the recipients systems or data caused by this message or its attachments. Please also note that messages to or from Irish Water may be monitored to ensure compliance with Irish Water's policies and standards and to protect our business. Irish Water, a designated activity company limited by shares, is a subsidiary of Ervia, established pursuant to the Water Services Act 2013, having its principal place of business at Colvill House, 24-26 Talbot Street, Dublin 1. </w:t>
      </w:r>
      <w:r>
        <w:rPr>
          <w:rFonts w:eastAsia="Times New Roman"/>
          <w:lang w:val="en-IE"/>
        </w:rPr>
        <w:br/>
      </w:r>
      <w:r>
        <w:rPr>
          <w:rFonts w:eastAsia="Times New Roman"/>
          <w:lang w:val="en-IE"/>
        </w:rPr>
        <w:br/>
        <w:t xml:space="preserve">Thank you for your attention. </w:t>
      </w:r>
      <w:r>
        <w:rPr>
          <w:rFonts w:eastAsia="Times New Roman"/>
          <w:lang w:val="en-IE"/>
        </w:rPr>
        <w:br/>
      </w:r>
      <w:r>
        <w:rPr>
          <w:rFonts w:eastAsia="Times New Roman"/>
          <w:lang w:val="en-IE"/>
        </w:rPr>
        <w:br/>
      </w:r>
      <w:r>
        <w:rPr>
          <w:rFonts w:eastAsia="Times New Roman"/>
          <w:lang w:val="en-IE"/>
        </w:rPr>
        <w:br/>
        <w:t xml:space="preserve">Tá an fhaisnéis á seachadadh dírithe ar </w:t>
      </w:r>
      <w:proofErr w:type="gramStart"/>
      <w:r>
        <w:rPr>
          <w:rFonts w:eastAsia="Times New Roman"/>
          <w:lang w:val="en-IE"/>
        </w:rPr>
        <w:t>an</w:t>
      </w:r>
      <w:proofErr w:type="gramEnd"/>
      <w:r>
        <w:rPr>
          <w:rFonts w:eastAsia="Times New Roman"/>
          <w:lang w:val="en-IE"/>
        </w:rPr>
        <w:t xml:space="preserve"> duine nó ar an eintiteas chuig a bhfuil sí seolta amháin agus féadfar ábhar faoi rún, faoi phribhléid nó ábhar atá íogair ó thaobh tráchtála de a bheith mar chuid de. Tá aon athsheachadadh nó scaipeadh den fhaisnéis, aon athbhreithniú ar nó aon úsáid eile a bhaint as, nó aon ghníomh a dhéantar </w:t>
      </w:r>
      <w:proofErr w:type="gramStart"/>
      <w:r>
        <w:rPr>
          <w:rFonts w:eastAsia="Times New Roman"/>
          <w:lang w:val="en-IE"/>
        </w:rPr>
        <w:t>ag</w:t>
      </w:r>
      <w:proofErr w:type="gramEnd"/>
      <w:r>
        <w:rPr>
          <w:rFonts w:eastAsia="Times New Roman"/>
          <w:lang w:val="en-IE"/>
        </w:rPr>
        <w:t xml:space="preserve"> brath ar an bhfaisnéis seo ag daoine nó ag eintitis nach dóibh siúd an fhaisnéis seo, toirimiscthe agus féadfar é a bheith neamhdhleathach. Níl Uisce Éireann faoi dhliteanas maidir le seachadadh iomlán agus ceart </w:t>
      </w:r>
      <w:proofErr w:type="gramStart"/>
      <w:r>
        <w:rPr>
          <w:rFonts w:eastAsia="Times New Roman"/>
          <w:lang w:val="en-IE"/>
        </w:rPr>
        <w:t>na</w:t>
      </w:r>
      <w:proofErr w:type="gramEnd"/>
      <w:r>
        <w:rPr>
          <w:rFonts w:eastAsia="Times New Roman"/>
          <w:lang w:val="en-IE"/>
        </w:rPr>
        <w:t xml:space="preserve"> faisnéise sa chumarsáid seo nó maidir le haon mhoill a bhaineann léi. Ní ghlacann Uisce Éireann le haon dliteanas faoi ghnímh nó faoi iarmhairtí bunaithe ar úsáid thoirmiscthe </w:t>
      </w:r>
      <w:proofErr w:type="gramStart"/>
      <w:r>
        <w:rPr>
          <w:rFonts w:eastAsia="Times New Roman"/>
          <w:lang w:val="en-IE"/>
        </w:rPr>
        <w:t>na</w:t>
      </w:r>
      <w:proofErr w:type="gramEnd"/>
      <w:r>
        <w:rPr>
          <w:rFonts w:eastAsia="Times New Roman"/>
          <w:lang w:val="en-IE"/>
        </w:rPr>
        <w:t xml:space="preserve"> faisnéise seo. Níl Uisce Éireann faoi dhliteanas maidir le seachadadh ceart agus iomlán </w:t>
      </w:r>
      <w:proofErr w:type="gramStart"/>
      <w:r>
        <w:rPr>
          <w:rFonts w:eastAsia="Times New Roman"/>
          <w:lang w:val="en-IE"/>
        </w:rPr>
        <w:t>na</w:t>
      </w:r>
      <w:proofErr w:type="gramEnd"/>
      <w:r>
        <w:rPr>
          <w:rFonts w:eastAsia="Times New Roman"/>
          <w:lang w:val="en-IE"/>
        </w:rPr>
        <w:t xml:space="preserve"> faisnéise sa chumarsáid seo nó maidir le haon mhoill a bhaineann léi. Má fuair tú </w:t>
      </w:r>
      <w:proofErr w:type="gramStart"/>
      <w:r>
        <w:rPr>
          <w:rFonts w:eastAsia="Times New Roman"/>
          <w:lang w:val="en-IE"/>
        </w:rPr>
        <w:t>an</w:t>
      </w:r>
      <w:proofErr w:type="gramEnd"/>
      <w:r>
        <w:rPr>
          <w:rFonts w:eastAsia="Times New Roman"/>
          <w:lang w:val="en-IE"/>
        </w:rPr>
        <w:t xml:space="preserve"> teachtaireacht seo in earráid, más é do thoil é, déan teagmháil leis an seoltóir agus scrios an t-ábhar ó gach aon ríomhaire. Féadfar ríomhphost a bheith soghabhálach i </w:t>
      </w:r>
      <w:proofErr w:type="gramStart"/>
      <w:r>
        <w:rPr>
          <w:rFonts w:eastAsia="Times New Roman"/>
          <w:lang w:val="en-IE"/>
        </w:rPr>
        <w:t>leith</w:t>
      </w:r>
      <w:proofErr w:type="gramEnd"/>
      <w:r>
        <w:rPr>
          <w:rFonts w:eastAsia="Times New Roman"/>
          <w:lang w:val="en-IE"/>
        </w:rPr>
        <w:t xml:space="preserve"> truaillithe, idircheaptha agus i leith leasaithe neamhúdaraithe. Ní ghlacann Uisce Éireann le haon fhreagracht as athruithe nó as idircheapadh a rinneadh ar </w:t>
      </w:r>
      <w:proofErr w:type="gramStart"/>
      <w:r>
        <w:rPr>
          <w:rFonts w:eastAsia="Times New Roman"/>
          <w:lang w:val="en-IE"/>
        </w:rPr>
        <w:t>an</w:t>
      </w:r>
      <w:proofErr w:type="gramEnd"/>
      <w:r>
        <w:rPr>
          <w:rFonts w:eastAsia="Times New Roman"/>
          <w:lang w:val="en-IE"/>
        </w:rPr>
        <w:t xml:space="preserve"> ríomhphost seo i ndiaidh é a </w:t>
      </w:r>
      <w:r>
        <w:rPr>
          <w:rFonts w:eastAsia="Times New Roman"/>
          <w:lang w:val="en-IE"/>
        </w:rPr>
        <w:lastRenderedPageBreak/>
        <w:t xml:space="preserve">sheoladh nó as aon dochar do chórais na bhfaighteoirí déanta ag an teachtaireacht seo nó ag a ceangaltáin. Más é do thoil é, tabhair faoi deara chomh maith go bhféadfar monatóireacht a dhéanamh ar theachtaireachtaí chuig nó ó Uisce Éireann chun comhlíonadh le polasaithe agus le caighdeáin Uisce Éireann a chinntiú agus chun ár ngnó a chosaint. Fochuideachta gníomhaíochta de chuid Ervia is ea Uisce Éireann atá faoi theorainn scaireanna, de bhun fhorálacha </w:t>
      </w:r>
      <w:proofErr w:type="gramStart"/>
      <w:r>
        <w:rPr>
          <w:rFonts w:eastAsia="Times New Roman"/>
          <w:lang w:val="en-IE"/>
        </w:rPr>
        <w:t>an</w:t>
      </w:r>
      <w:proofErr w:type="gramEnd"/>
      <w:r>
        <w:rPr>
          <w:rFonts w:eastAsia="Times New Roman"/>
          <w:lang w:val="en-IE"/>
        </w:rPr>
        <w:t xml:space="preserve"> tAcht um Sheirbhísí Uisce 2013, a bhfuil a bpríomh ionad gnó ag 24-26 Teach Colvill, Sráid na Talbóide, BÁC 1. </w:t>
      </w:r>
      <w:r>
        <w:rPr>
          <w:rFonts w:eastAsia="Times New Roman"/>
          <w:lang w:val="en-IE"/>
        </w:rPr>
        <w:br/>
      </w:r>
      <w:r>
        <w:rPr>
          <w:rFonts w:eastAsia="Times New Roman"/>
          <w:lang w:val="en-IE"/>
        </w:rPr>
        <w:br/>
      </w:r>
      <w:r>
        <w:rPr>
          <w:rFonts w:eastAsia="Times New Roman"/>
          <w:lang w:val="en-IE"/>
        </w:rPr>
        <w:br/>
        <w:t xml:space="preserve">Go raibh maith agat as d’aird a thabhairt. </w:t>
      </w:r>
      <w:bookmarkEnd w:id="0"/>
    </w:p>
    <w:p w:rsidR="00CE7DED" w:rsidRPr="00EA683C" w:rsidRDefault="00EA683C"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52CA1"/>
    <w:rsid w:val="00183873"/>
    <w:rsid w:val="001A36B1"/>
    <w:rsid w:val="001D0879"/>
    <w:rsid w:val="002440B5"/>
    <w:rsid w:val="002671EC"/>
    <w:rsid w:val="00290C3F"/>
    <w:rsid w:val="002B754D"/>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54FF"/>
    <w:rsid w:val="009C70C0"/>
    <w:rsid w:val="00A11A59"/>
    <w:rsid w:val="00A32583"/>
    <w:rsid w:val="00AD3D2A"/>
    <w:rsid w:val="00B175F1"/>
    <w:rsid w:val="00B97A5B"/>
    <w:rsid w:val="00B97FE1"/>
    <w:rsid w:val="00C01AE7"/>
    <w:rsid w:val="00C32188"/>
    <w:rsid w:val="00C47DC5"/>
    <w:rsid w:val="00CB78FD"/>
    <w:rsid w:val="00D61536"/>
    <w:rsid w:val="00DB3087"/>
    <w:rsid w:val="00DB46AA"/>
    <w:rsid w:val="00EA683C"/>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4986</Characters>
  <Application>Microsoft Office Word</Application>
  <DocSecurity>0</DocSecurity>
  <Lines>41</Lines>
  <Paragraphs>11</Paragraphs>
  <ScaleCrop>false</ScaleCrop>
  <Company>Australian Government - The Treasury</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2019-10-01T05:30:00Z</dcterms:created>
  <dcterms:modified xsi:type="dcterms:W3CDTF">2019-10-01T05:30:00Z</dcterms:modified>
</cp:coreProperties>
</file>