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2C0" w:rsidRDefault="00EA12C0" w:rsidP="00EA12C0">
      <w:pPr>
        <w:rPr>
          <w:rFonts w:ascii="Calibri" w:eastAsia="Times New Roman" w:hAnsi="Calibri"/>
          <w:sz w:val="22"/>
          <w:szCs w:val="22"/>
          <w:lang w:val="en-US"/>
        </w:rPr>
      </w:pPr>
      <w:bookmarkStart w:id="0" w:name="_jsOm_9AA15BED0A0242FB86FF5C6C29AD228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Michelle </w:t>
      </w:r>
      <w:proofErr w:type="spellStart"/>
      <w:r>
        <w:rPr>
          <w:rFonts w:ascii="Calibri" w:eastAsia="Times New Roman" w:hAnsi="Calibri"/>
          <w:sz w:val="22"/>
          <w:szCs w:val="22"/>
          <w:lang w:val="en-US"/>
        </w:rPr>
        <w:t>Besley</w:t>
      </w:r>
      <w:bookmarkEnd w:id="2"/>
      <w:proofErr w:type="spellEnd"/>
      <w:r>
        <w:rPr>
          <w:rFonts w:ascii="Calibri" w:eastAsia="Times New Roman" w:hAnsi="Calibri"/>
          <w:sz w:val="22"/>
          <w:szCs w:val="22"/>
          <w:lang w:val="en-US"/>
        </w:rPr>
        <w:t xml:space="preserve"> &lt;m.besley@gmail.com&gt;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7:49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on legislation for economy wide cash payment limit</w:t>
      </w:r>
    </w:p>
    <w:p w:rsidR="00EA12C0" w:rsidRDefault="00EA12C0" w:rsidP="00EA12C0"/>
    <w:p w:rsidR="00EA12C0" w:rsidRDefault="00EA12C0" w:rsidP="00EA12C0"/>
    <w:p w:rsidR="00EA12C0" w:rsidRDefault="00EA12C0" w:rsidP="00EA12C0">
      <w:pPr>
        <w:rPr>
          <w:rFonts w:ascii="Calibri" w:hAnsi="Calibri"/>
          <w:sz w:val="22"/>
          <w:szCs w:val="22"/>
        </w:rPr>
      </w:pPr>
      <w:r>
        <w:t xml:space="preserve">To Whom </w:t>
      </w:r>
      <w:proofErr w:type="gramStart"/>
      <w:r>
        <w:t>it</w:t>
      </w:r>
      <w:proofErr w:type="gramEnd"/>
      <w:r>
        <w:t xml:space="preserve"> May Concern,</w:t>
      </w:r>
    </w:p>
    <w:p w:rsidR="00EA12C0" w:rsidRDefault="00EA12C0" w:rsidP="00EA12C0">
      <w:pPr>
        <w:rPr>
          <w:rFonts w:ascii="Calibri" w:hAnsi="Calibri"/>
          <w:sz w:val="22"/>
          <w:szCs w:val="22"/>
        </w:rPr>
      </w:pPr>
      <w:r>
        <w:t> </w:t>
      </w:r>
    </w:p>
    <w:p w:rsidR="00EA12C0" w:rsidRDefault="00EA12C0" w:rsidP="00EA12C0">
      <w:pPr>
        <w:rPr>
          <w:rFonts w:ascii="Calibri" w:hAnsi="Calibri"/>
          <w:sz w:val="22"/>
          <w:szCs w:val="22"/>
        </w:rPr>
      </w:pPr>
      <w:r>
        <w:t>I am writing to voice my strong opposition to the draft legislation to limit cash payments:</w:t>
      </w:r>
    </w:p>
    <w:p w:rsidR="00EA12C0" w:rsidRDefault="00EA12C0" w:rsidP="00EA12C0">
      <w:pPr>
        <w:pStyle w:val="m5986707886692410438gmail-m596052439680124932hb"/>
        <w:spacing w:before="0" w:beforeAutospacing="0" w:after="0" w:afterAutospacing="0" w:line="360" w:lineRule="atLeast"/>
      </w:pPr>
      <w:r>
        <w:rPr>
          <w:rStyle w:val="m5986707886692410438gmail-m596052439680124932hb1"/>
          <w:i/>
          <w:iCs/>
        </w:rPr>
        <w:t>Currency (Restriction on the Use of Cash) Bill 2019</w:t>
      </w:r>
    </w:p>
    <w:p w:rsidR="00EA12C0" w:rsidRDefault="00EA12C0" w:rsidP="00EA12C0">
      <w:pPr>
        <w:pStyle w:val="m5986707886692410438gmail-m596052439680124932hb"/>
        <w:spacing w:before="0" w:beforeAutospacing="0" w:after="0" w:afterAutospacing="0" w:line="360" w:lineRule="atLeast"/>
      </w:pPr>
      <w:r>
        <w:rPr>
          <w:rStyle w:val="m5986707886692410438gmail-m596052439680124932hb1"/>
          <w:i/>
          <w:iCs/>
        </w:rPr>
        <w:t>Currency (Restrictions on the Use of Cash – Expected Transactions) Instrument 2019</w:t>
      </w:r>
    </w:p>
    <w:p w:rsidR="00EA12C0" w:rsidRDefault="00EA12C0" w:rsidP="00EA12C0">
      <w:pPr>
        <w:rPr>
          <w:rFonts w:ascii="Calibri" w:hAnsi="Calibri"/>
          <w:sz w:val="22"/>
          <w:szCs w:val="22"/>
        </w:rPr>
      </w:pPr>
      <w:r>
        <w:t> </w:t>
      </w:r>
    </w:p>
    <w:p w:rsidR="00EA12C0" w:rsidRDefault="00EA12C0" w:rsidP="00EA12C0">
      <w:pPr>
        <w:rPr>
          <w:rFonts w:ascii="Calibri" w:hAnsi="Calibri"/>
          <w:sz w:val="22"/>
          <w:szCs w:val="22"/>
        </w:rPr>
      </w:pPr>
      <w:r>
        <w:t>This legislation has nothing to do with eliminating money laundering or the black market but is the first step in the 'war on cash' which aims to pave the way for negative interest rate policy. This strategy and its intent are clearly outlined in the working papers published by the International Monetary Fund.</w:t>
      </w:r>
    </w:p>
    <w:p w:rsidR="00EA12C0" w:rsidRDefault="00EA12C0" w:rsidP="00EA12C0">
      <w:pPr>
        <w:rPr>
          <w:rFonts w:ascii="Calibri" w:hAnsi="Calibri"/>
          <w:sz w:val="22"/>
          <w:szCs w:val="22"/>
        </w:rPr>
      </w:pPr>
      <w:r>
        <w:t> </w:t>
      </w:r>
    </w:p>
    <w:p w:rsidR="00EA12C0" w:rsidRDefault="00EA12C0" w:rsidP="00EA12C0">
      <w:pPr>
        <w:rPr>
          <w:rFonts w:ascii="Calibri" w:hAnsi="Calibri"/>
          <w:sz w:val="22"/>
          <w:szCs w:val="22"/>
        </w:rPr>
      </w:pPr>
      <w:r>
        <w:t xml:space="preserve">I am deeply concerned with this move which seeks to control how Australians transact and lock them into the banking system by making it harder for them to use cash. </w:t>
      </w:r>
    </w:p>
    <w:p w:rsidR="00EA12C0" w:rsidRDefault="00EA12C0" w:rsidP="00EA12C0">
      <w:pPr>
        <w:rPr>
          <w:rFonts w:ascii="Calibri" w:hAnsi="Calibri"/>
          <w:sz w:val="22"/>
          <w:szCs w:val="22"/>
        </w:rPr>
      </w:pPr>
      <w:r>
        <w:t> </w:t>
      </w:r>
    </w:p>
    <w:p w:rsidR="00EA12C0" w:rsidRDefault="00EA12C0" w:rsidP="00EA12C0">
      <w:pPr>
        <w:rPr>
          <w:rFonts w:ascii="Calibri" w:hAnsi="Calibri"/>
          <w:sz w:val="22"/>
          <w:szCs w:val="22"/>
        </w:rPr>
      </w:pPr>
      <w:r>
        <w:t xml:space="preserve">This legislation fundamentally changes our democracy, the way that money works and impinges on the economic freedoms of Australians to transact. </w:t>
      </w:r>
    </w:p>
    <w:p w:rsidR="00EA12C0" w:rsidRDefault="00EA12C0" w:rsidP="00EA12C0">
      <w:pPr>
        <w:rPr>
          <w:rFonts w:ascii="Calibri" w:hAnsi="Calibri"/>
          <w:sz w:val="22"/>
          <w:szCs w:val="22"/>
        </w:rPr>
      </w:pPr>
      <w:r>
        <w:t> </w:t>
      </w:r>
    </w:p>
    <w:p w:rsidR="00EA12C0" w:rsidRDefault="00EA12C0" w:rsidP="00EA12C0">
      <w:pPr>
        <w:rPr>
          <w:rFonts w:ascii="Calibri" w:hAnsi="Calibri"/>
          <w:sz w:val="22"/>
          <w:szCs w:val="22"/>
        </w:rPr>
      </w:pPr>
      <w:r>
        <w:t>I strongly oppose this bill and call on it to be rejected.</w:t>
      </w:r>
    </w:p>
    <w:p w:rsidR="00EA12C0" w:rsidRDefault="00EA12C0" w:rsidP="00EA12C0">
      <w:pPr>
        <w:rPr>
          <w:rFonts w:ascii="Calibri" w:hAnsi="Calibri"/>
          <w:sz w:val="22"/>
          <w:szCs w:val="22"/>
        </w:rPr>
      </w:pPr>
      <w:r>
        <w:t> </w:t>
      </w:r>
    </w:p>
    <w:p w:rsidR="00EA12C0" w:rsidRDefault="00EA12C0" w:rsidP="00EA12C0">
      <w:pPr>
        <w:rPr>
          <w:rFonts w:ascii="Calibri" w:hAnsi="Calibri"/>
          <w:sz w:val="22"/>
          <w:szCs w:val="22"/>
        </w:rPr>
      </w:pPr>
      <w:r>
        <w:t>Sincerely,</w:t>
      </w:r>
    </w:p>
    <w:p w:rsidR="00EA12C0" w:rsidRDefault="00EA12C0" w:rsidP="00EA12C0">
      <w:pPr>
        <w:rPr>
          <w:rFonts w:ascii="Calibri" w:hAnsi="Calibri"/>
          <w:sz w:val="22"/>
          <w:szCs w:val="22"/>
        </w:rPr>
      </w:pPr>
      <w:r>
        <w:t> </w:t>
      </w:r>
    </w:p>
    <w:p w:rsidR="00EA12C0" w:rsidRDefault="00EA12C0" w:rsidP="00EA12C0">
      <w:pPr>
        <w:rPr>
          <w:rFonts w:ascii="Calibri" w:hAnsi="Calibri"/>
          <w:sz w:val="22"/>
          <w:szCs w:val="22"/>
        </w:rPr>
      </w:pPr>
      <w:r>
        <w:t xml:space="preserve">Michelle </w:t>
      </w:r>
      <w:proofErr w:type="spellStart"/>
      <w:r>
        <w:t>Besley</w:t>
      </w:r>
      <w:proofErr w:type="spellEnd"/>
    </w:p>
    <w:p w:rsidR="00EA12C0" w:rsidRDefault="00EA12C0" w:rsidP="00EA12C0">
      <w:pPr>
        <w:rPr>
          <w:rFonts w:ascii="Calibri" w:hAnsi="Calibri"/>
          <w:sz w:val="22"/>
          <w:szCs w:val="22"/>
        </w:rPr>
      </w:pPr>
      <w:r>
        <w:rPr>
          <w:rFonts w:ascii="Calibri" w:hAnsi="Calibri"/>
          <w:sz w:val="22"/>
          <w:szCs w:val="22"/>
        </w:rPr>
        <w:t>2C Alfred Street Coburg Victoria 3058</w:t>
      </w:r>
    </w:p>
    <w:p w:rsidR="00EA12C0" w:rsidRDefault="00EA12C0" w:rsidP="00EA12C0">
      <w:pPr>
        <w:pStyle w:val="NormalWeb"/>
        <w:spacing w:before="0" w:beforeAutospacing="0" w:after="0" w:afterAutospacing="0"/>
        <w:rPr>
          <w:rFonts w:ascii="Arial Narrow" w:hAnsi="Arial Narrow"/>
          <w:color w:val="000080"/>
          <w:sz w:val="20"/>
          <w:szCs w:val="20"/>
        </w:rPr>
      </w:pPr>
      <w:r>
        <w:rPr>
          <w:rFonts w:ascii="Arial Narrow" w:hAnsi="Arial Narrow"/>
          <w:color w:val="000000"/>
        </w:rPr>
        <w:t>Mobile</w:t>
      </w:r>
      <w:proofErr w:type="gramStart"/>
      <w:r>
        <w:rPr>
          <w:rFonts w:ascii="Arial Narrow" w:hAnsi="Arial Narrow"/>
          <w:color w:val="000000"/>
        </w:rPr>
        <w:t>:+</w:t>
      </w:r>
      <w:proofErr w:type="gramEnd"/>
      <w:r>
        <w:rPr>
          <w:rFonts w:ascii="Arial Narrow" w:hAnsi="Arial Narrow"/>
          <w:color w:val="000000"/>
        </w:rPr>
        <w:t>61 (0) 438 881 381</w:t>
      </w:r>
    </w:p>
    <w:p w:rsidR="00EA12C0" w:rsidRDefault="00EA12C0" w:rsidP="00EA12C0">
      <w:pPr>
        <w:pStyle w:val="NormalWeb"/>
        <w:spacing w:before="0" w:beforeAutospacing="0" w:after="0" w:afterAutospacing="0"/>
        <w:rPr>
          <w:rFonts w:ascii="Arial Narrow" w:hAnsi="Arial Narrow"/>
          <w:color w:val="000080"/>
          <w:sz w:val="20"/>
          <w:szCs w:val="20"/>
        </w:rPr>
      </w:pPr>
    </w:p>
    <w:p w:rsidR="00EA12C0" w:rsidRDefault="00EA12C0" w:rsidP="00EA12C0">
      <w:pPr>
        <w:pStyle w:val="NormalWeb"/>
        <w:spacing w:before="0" w:beforeAutospacing="0" w:after="0" w:afterAutospacing="0"/>
        <w:rPr>
          <w:rFonts w:ascii="Arial Narrow" w:hAnsi="Arial Narrow"/>
          <w:color w:val="000080"/>
          <w:sz w:val="20"/>
          <w:szCs w:val="20"/>
        </w:rPr>
      </w:pPr>
      <w:r>
        <w:rPr>
          <w:rFonts w:ascii="Arial Narrow" w:hAnsi="Arial Narrow"/>
          <w:color w:val="000000"/>
          <w:sz w:val="20"/>
          <w:szCs w:val="20"/>
        </w:rPr>
        <w:t> </w:t>
      </w:r>
    </w:p>
    <w:p w:rsidR="00EA12C0" w:rsidRDefault="00EA12C0" w:rsidP="00EA12C0"/>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EA12C0" w:rsidTr="00EA12C0">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EA12C0" w:rsidRDefault="00EA12C0">
            <w:pPr>
              <w:rPr>
                <w:lang w:eastAsia="en-US"/>
              </w:rPr>
            </w:pPr>
            <w:r>
              <w:rPr>
                <w:noProof/>
                <w:color w:val="0000FF"/>
              </w:rPr>
              <w:drawing>
                <wp:inline distT="0" distB="0" distL="0" distR="0">
                  <wp:extent cx="438150" cy="276225"/>
                  <wp:effectExtent l="0" t="0" r="0" b="9525"/>
                  <wp:docPr id="1" name="Picture 1" descr="https://ipmcdn.avast.com/images/icons/icon-envelope-tick-green-avg-v1.pn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pmcdn.avast.com/images/icons/icon-envelope-tick-green-avg-v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EA12C0" w:rsidRDefault="00EA12C0">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7"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tr>
      <w:bookmarkEnd w:id="1"/>
    </w:tbl>
    <w:p w:rsidR="00EA12C0" w:rsidRDefault="00EA12C0" w:rsidP="00EA12C0"/>
    <w:p w:rsidR="00EA36AA" w:rsidRPr="00EA12C0" w:rsidRDefault="00EA12C0" w:rsidP="00EA12C0"/>
    <w:sectPr w:rsidR="00EA36AA" w:rsidRPr="00EA12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1439EE"/>
    <w:rsid w:val="00292427"/>
    <w:rsid w:val="003960D1"/>
    <w:rsid w:val="005A74D5"/>
    <w:rsid w:val="006F0820"/>
    <w:rsid w:val="0086234B"/>
    <w:rsid w:val="0090102F"/>
    <w:rsid w:val="00913E88"/>
    <w:rsid w:val="009146EA"/>
    <w:rsid w:val="00916938"/>
    <w:rsid w:val="00A928EF"/>
    <w:rsid w:val="00AC477E"/>
    <w:rsid w:val="00AD28D2"/>
    <w:rsid w:val="00B15228"/>
    <w:rsid w:val="00B451F9"/>
    <w:rsid w:val="00BA6F45"/>
    <w:rsid w:val="00C51D3A"/>
    <w:rsid w:val="00C76E1A"/>
    <w:rsid w:val="00CF0BA6"/>
    <w:rsid w:val="00E12E95"/>
    <w:rsid w:val="00EA12C0"/>
    <w:rsid w:val="00F26B46"/>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vg.com/email-signature?utm_medium=email&amp;utm_source=link&amp;utm_campaign=sig-email&amp;utm_content=webmail&amp;utm_term=oa-4885-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avg.com/email-signature?utm_medium=email&amp;utm_source=link&amp;utm_campaign=sig-email&amp;utm_content=webmail&amp;utm_term=oa-4885-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2019-09-30T00:16:00Z</dcterms:created>
  <dcterms:modified xsi:type="dcterms:W3CDTF">2019-09-30T00:16:00Z</dcterms:modified>
</cp:coreProperties>
</file>