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AFC117" w14:textId="2D30F6F8" w:rsidR="000E0B74" w:rsidRPr="001D4EAA" w:rsidRDefault="007A42DA" w:rsidP="001D4EAA">
      <w:pPr>
        <w:pStyle w:val="Subtitle"/>
      </w:pPr>
      <w:bookmarkStart w:id="0" w:name="_GoBack"/>
      <w:bookmarkEnd w:id="0"/>
      <w:r>
        <w:rPr>
          <w:noProof/>
        </w:rPr>
        <w:drawing>
          <wp:anchor distT="0" distB="0" distL="114300" distR="114300" simplePos="0" relativeHeight="251660800" behindDoc="0" locked="0" layoutInCell="1" allowOverlap="1" wp14:anchorId="6DE992F8" wp14:editId="0589DE5F">
            <wp:simplePos x="904875" y="0"/>
            <wp:positionH relativeFrom="page">
              <wp:align>left</wp:align>
            </wp:positionH>
            <wp:positionV relativeFrom="page">
              <wp:align>top</wp:align>
            </wp:positionV>
            <wp:extent cx="7570800" cy="10706400"/>
            <wp:effectExtent l="0" t="0" r="0" b="0"/>
            <wp:wrapNone/>
            <wp:docPr id="12" name="Picture 12" descr="H:\MCD\Publishing\Graphic Design Services Team\Projects\2019\Retirement Income Review 29901\proofs\Retirement Income Review Cover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CD\Publishing\Graphic Design Services Team\Projects\2019\Retirement Income Review 29901\proofs\Retirement Income Review Cover_fina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70800" cy="107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6C27">
        <w:t>Retirement Income Review</w:t>
      </w:r>
      <w:r w:rsidR="003944A0">
        <w:t xml:space="preserve"> </w:t>
      </w:r>
      <w:r w:rsidR="00276C27">
        <w:t>Consultation Paper</w:t>
      </w:r>
    </w:p>
    <w:p w14:paraId="29B17E82" w14:textId="54F1C83E" w:rsidR="000F4A51" w:rsidRDefault="00276C27" w:rsidP="00F2786B">
      <w:pPr>
        <w:pStyle w:val="ReportDate"/>
      </w:pPr>
      <w:r>
        <w:rPr>
          <w:rStyle w:val="ReportDateChar"/>
        </w:rPr>
        <w:t>November 2019</w:t>
      </w:r>
    </w:p>
    <w:p w14:paraId="5CC6F5CE" w14:textId="26F33A0D" w:rsidR="000E0B74" w:rsidRPr="000F4A51" w:rsidRDefault="000E0B74" w:rsidP="00CF18A3">
      <w:pPr>
        <w:tabs>
          <w:tab w:val="center" w:pos="4535"/>
        </w:tabs>
        <w:sectPr w:rsidR="000E0B74" w:rsidRPr="000F4A51" w:rsidSect="00E1136B">
          <w:footerReference w:type="default" r:id="rId14"/>
          <w:pgSz w:w="11906" w:h="16838"/>
          <w:pgMar w:top="1418" w:right="1418" w:bottom="1418" w:left="1418" w:header="709" w:footer="709" w:gutter="0"/>
          <w:pgNumType w:fmt="lowerRoman" w:start="1"/>
          <w:cols w:space="720"/>
        </w:sectPr>
      </w:pPr>
    </w:p>
    <w:p w14:paraId="6DE648C2" w14:textId="77777777" w:rsidR="000E0B74" w:rsidRDefault="000E0B74" w:rsidP="000E0B74">
      <w:pPr>
        <w:spacing w:before="240"/>
      </w:pPr>
      <w:r w:rsidRPr="00661BF0">
        <w:lastRenderedPageBreak/>
        <w:t xml:space="preserve">© Commonwealth of </w:t>
      </w:r>
      <w:r w:rsidRPr="00276C27">
        <w:t>Australia 201</w:t>
      </w:r>
      <w:r w:rsidR="00276C27" w:rsidRPr="00276C27">
        <w:t>9</w:t>
      </w:r>
    </w:p>
    <w:p w14:paraId="3682227A" w14:textId="77777777" w:rsidR="000E0B74" w:rsidRPr="00086F82" w:rsidRDefault="000E0B74" w:rsidP="000E0B74">
      <w:pPr>
        <w:tabs>
          <w:tab w:val="left" w:pos="1650"/>
        </w:tabs>
        <w:spacing w:before="240"/>
        <w:rPr>
          <w:rFonts w:cstheme="minorBidi"/>
          <w:sz w:val="24"/>
          <w:szCs w:val="24"/>
        </w:rPr>
      </w:pPr>
      <w:r w:rsidRPr="002F1BC2">
        <w:t>This publication is available for your use under a</w:t>
      </w:r>
      <w:r w:rsidRPr="00476F09">
        <w:rPr>
          <w:rFonts w:cstheme="minorHAnsi"/>
          <w:sz w:val="24"/>
          <w:szCs w:val="24"/>
        </w:rPr>
        <w:t xml:space="preserve"> </w:t>
      </w:r>
      <w:hyperlink r:id="rId15" w:history="1">
        <w:r w:rsidRPr="006627B4">
          <w:rPr>
            <w:rStyle w:val="Hyperlink"/>
          </w:rPr>
          <w:t>Creative Commons Attribution 3.0 Australia</w:t>
        </w:r>
      </w:hyperlink>
      <w:r w:rsidRPr="00476F09">
        <w:rPr>
          <w:rFonts w:cstheme="minorHAnsi"/>
          <w:sz w:val="24"/>
          <w:szCs w:val="24"/>
        </w:rPr>
        <w:t xml:space="preserve"> </w:t>
      </w:r>
      <w:r w:rsidRPr="002F1BC2">
        <w:t>licence, with the exception of</w:t>
      </w:r>
      <w:r w:rsidR="00276C27">
        <w:t xml:space="preserve"> the Commonwealth Coat of Arms, photographs, images and</w:t>
      </w:r>
      <w:r>
        <w:t xml:space="preserve"> signatures</w:t>
      </w:r>
      <w:r w:rsidRPr="002F1BC2">
        <w:t>. The full licence terms are available from</w:t>
      </w:r>
      <w:r w:rsidRPr="00476F09">
        <w:rPr>
          <w:rFonts w:cstheme="minorHAnsi"/>
          <w:sz w:val="24"/>
          <w:szCs w:val="24"/>
        </w:rPr>
        <w:t xml:space="preserve"> </w:t>
      </w:r>
      <w:hyperlink r:id="rId16" w:history="1">
        <w:r w:rsidRPr="00D45AF8">
          <w:rPr>
            <w:rStyle w:val="Hyperlink"/>
          </w:rPr>
          <w:t>http://creativecommons.org/licenses/by/3.0/au/legalcode</w:t>
        </w:r>
      </w:hyperlink>
      <w:r w:rsidRPr="006627B4">
        <w:rPr>
          <w:rStyle w:val="Hyperlink"/>
        </w:rPr>
        <w:t>.</w:t>
      </w:r>
      <w:r w:rsidRPr="00D06A21">
        <w:rPr>
          <w:sz w:val="24"/>
          <w:szCs w:val="24"/>
        </w:rPr>
        <w:t xml:space="preserve"> </w:t>
      </w:r>
    </w:p>
    <w:p w14:paraId="397180A8" w14:textId="77777777" w:rsidR="000E0B74" w:rsidRDefault="000E0B74" w:rsidP="000E0B74">
      <w:pPr>
        <w:pStyle w:val="ChartGraphic"/>
        <w:jc w:val="left"/>
      </w:pPr>
      <w:r w:rsidRPr="00E56DFB">
        <w:rPr>
          <w:noProof/>
        </w:rPr>
        <w:drawing>
          <wp:inline distT="0" distB="0" distL="0" distR="0" wp14:anchorId="7DCC6FD7" wp14:editId="26EB7E1F">
            <wp:extent cx="809625" cy="285750"/>
            <wp:effectExtent l="0" t="0" r="9525" b="0"/>
            <wp:docPr id="3" name="Picture 1" descr="Creative Commons attribution licence 3.0 icon. " title="Creative Comm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 by_gre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w="9525">
                      <a:noFill/>
                      <a:miter lim="800000"/>
                      <a:headEnd/>
                      <a:tailEnd/>
                    </a:ln>
                  </pic:spPr>
                </pic:pic>
              </a:graphicData>
            </a:graphic>
          </wp:inline>
        </w:drawing>
      </w:r>
    </w:p>
    <w:p w14:paraId="52617ACE" w14:textId="77777777" w:rsidR="000E0B74" w:rsidRPr="006627B4" w:rsidRDefault="000E0B74" w:rsidP="000E0B74">
      <w:pPr>
        <w:tabs>
          <w:tab w:val="left" w:pos="1650"/>
        </w:tabs>
        <w:spacing w:before="240"/>
      </w:pPr>
      <w:r w:rsidRPr="006627B4">
        <w:t>Use of Treasury material under a</w:t>
      </w:r>
      <w:r w:rsidRPr="00476F09">
        <w:rPr>
          <w:rFonts w:cstheme="minorHAnsi"/>
          <w:sz w:val="24"/>
          <w:szCs w:val="24"/>
        </w:rPr>
        <w:t xml:space="preserve"> </w:t>
      </w:r>
      <w:hyperlink r:id="rId18" w:history="1">
        <w:r w:rsidRPr="002F1BC2">
          <w:rPr>
            <w:rStyle w:val="Hyperlink"/>
          </w:rPr>
          <w:t>Creative Commons Attribution 3.0 Australia</w:t>
        </w:r>
      </w:hyperlink>
      <w:r w:rsidRPr="002F1BC2">
        <w:rPr>
          <w:rStyle w:val="Hyperlink"/>
        </w:rPr>
        <w:t xml:space="preserve"> </w:t>
      </w:r>
      <w:r w:rsidRPr="006627B4">
        <w:t>licence requires you to attribute the work (but not in any way that suggests that the Treasury endorse</w:t>
      </w:r>
      <w:r>
        <w:t>s you or your use of the work).</w:t>
      </w:r>
    </w:p>
    <w:p w14:paraId="00B11F82" w14:textId="77777777" w:rsidR="000E0B74" w:rsidRPr="002F1BC2" w:rsidRDefault="000E0B74" w:rsidP="000E0B74">
      <w:pPr>
        <w:ind w:left="709"/>
        <w:rPr>
          <w:i/>
        </w:rPr>
      </w:pPr>
      <w:r w:rsidRPr="002F1BC2">
        <w:rPr>
          <w:i/>
        </w:rPr>
        <w:t xml:space="preserve">Treasury material used </w:t>
      </w:r>
      <w:r>
        <w:rPr>
          <w:i/>
        </w:rPr>
        <w:t>‘</w:t>
      </w:r>
      <w:r w:rsidRPr="002F1BC2">
        <w:rPr>
          <w:i/>
        </w:rPr>
        <w:t>as supplied</w:t>
      </w:r>
      <w:r>
        <w:rPr>
          <w:i/>
        </w:rPr>
        <w:t>’.</w:t>
      </w:r>
    </w:p>
    <w:p w14:paraId="26127C92" w14:textId="77777777" w:rsidR="000E0B74" w:rsidRPr="00476F09" w:rsidRDefault="000E0B74" w:rsidP="000E0B74">
      <w:pPr>
        <w:spacing w:before="240"/>
      </w:pPr>
      <w:r w:rsidRPr="00476F09">
        <w:t>Provided you have not modified or transformed Treasury material in any way including, for example, by</w:t>
      </w:r>
      <w:r>
        <w:t xml:space="preserve"> </w:t>
      </w:r>
      <w:r w:rsidRPr="0096692D">
        <w:t>changing the Treasury text; calculating percentage changes; graphing or charting data</w:t>
      </w:r>
      <w:r>
        <w:t>;</w:t>
      </w:r>
      <w:r w:rsidRPr="0096692D">
        <w:t xml:space="preserve"> or deriving new statistics from published Treasury statistics</w:t>
      </w:r>
      <w:r>
        <w:t xml:space="preserve"> — then Treasury prefers t</w:t>
      </w:r>
      <w:r w:rsidRPr="00476F09">
        <w:t xml:space="preserve">he following attribution: </w:t>
      </w:r>
    </w:p>
    <w:p w14:paraId="2E41A550" w14:textId="77777777" w:rsidR="000E0B74" w:rsidRPr="00A13A11" w:rsidRDefault="000E0B74" w:rsidP="000E0B74">
      <w:pPr>
        <w:ind w:firstLine="720"/>
      </w:pPr>
      <w:r w:rsidRPr="002F1BC2">
        <w:rPr>
          <w:i/>
        </w:rPr>
        <w:t xml:space="preserve">Source: The </w:t>
      </w:r>
      <w:r w:rsidRPr="002F1BC2">
        <w:rPr>
          <w:i/>
          <w:iCs/>
        </w:rPr>
        <w:t>Australian Government the Treasury</w:t>
      </w:r>
      <w:r>
        <w:t>.</w:t>
      </w:r>
    </w:p>
    <w:p w14:paraId="276FBCDA" w14:textId="77777777" w:rsidR="000E0B74" w:rsidRPr="006627B4" w:rsidRDefault="000E0B74" w:rsidP="000E0B74">
      <w:pPr>
        <w:spacing w:before="240"/>
      </w:pPr>
      <w:r w:rsidRPr="00CC63CC">
        <w:rPr>
          <w:b/>
        </w:rPr>
        <w:t>Derivative</w:t>
      </w:r>
      <w:r w:rsidRPr="006627B4">
        <w:t xml:space="preserve"> </w:t>
      </w:r>
      <w:r w:rsidRPr="00CC63CC">
        <w:rPr>
          <w:b/>
        </w:rPr>
        <w:t>material</w:t>
      </w:r>
    </w:p>
    <w:p w14:paraId="04ACBDAB" w14:textId="77777777" w:rsidR="000E0B74" w:rsidRPr="006627B4" w:rsidRDefault="000E0B74" w:rsidP="000E0B74">
      <w:r w:rsidRPr="006627B4">
        <w:t xml:space="preserve">If you have modified or transformed Treasury material, or derived new material from those of the Treasury in any way, then Treasury prefers the following attribution: </w:t>
      </w:r>
    </w:p>
    <w:p w14:paraId="71F5095F" w14:textId="77777777" w:rsidR="000E0B74" w:rsidRPr="006627B4" w:rsidRDefault="000E0B74" w:rsidP="000E0B74">
      <w:pPr>
        <w:ind w:firstLine="720"/>
      </w:pPr>
      <w:r w:rsidRPr="002F1BC2">
        <w:rPr>
          <w:i/>
        </w:rPr>
        <w:t>Based on The Australian Government the Treasury data</w:t>
      </w:r>
      <w:r>
        <w:t>.</w:t>
      </w:r>
    </w:p>
    <w:p w14:paraId="60756534" w14:textId="77777777" w:rsidR="000E0B74" w:rsidRPr="006627B4" w:rsidRDefault="000E0B74" w:rsidP="000E0B74">
      <w:pPr>
        <w:spacing w:before="240"/>
        <w:rPr>
          <w:b/>
        </w:rPr>
      </w:pPr>
      <w:r w:rsidRPr="006627B4">
        <w:rPr>
          <w:b/>
        </w:rPr>
        <w:t>Use of the Coat of Arms</w:t>
      </w:r>
    </w:p>
    <w:p w14:paraId="12B85C7A" w14:textId="569B46FE" w:rsidR="000E0B74" w:rsidRPr="006627B4" w:rsidRDefault="004A7BC2" w:rsidP="000E0B74">
      <w:r w:rsidRPr="004A7BC2">
        <w:t>The terms under which the Coat of Arms can be used are set out</w:t>
      </w:r>
      <w:r>
        <w:t xml:space="preserve"> on the Department of the Prime </w:t>
      </w:r>
      <w:r w:rsidRPr="004A7BC2">
        <w:t xml:space="preserve">Minister and Cabinet website (see </w:t>
      </w:r>
      <w:hyperlink r:id="rId19" w:history="1">
        <w:r w:rsidR="00B25ADB">
          <w:rPr>
            <w:rStyle w:val="Hyperlink"/>
          </w:rPr>
          <w:t>http://www.pmc.gov.au/government/commonwealth-coat-arms</w:t>
        </w:r>
      </w:hyperlink>
      <w:r w:rsidRPr="004A7BC2">
        <w:t>).</w:t>
      </w:r>
    </w:p>
    <w:p w14:paraId="45C06CF7" w14:textId="77777777" w:rsidR="000E0B74" w:rsidRPr="006627B4" w:rsidRDefault="000E0B74" w:rsidP="000E0B74">
      <w:pPr>
        <w:spacing w:before="240"/>
        <w:rPr>
          <w:b/>
        </w:rPr>
      </w:pPr>
      <w:r>
        <w:rPr>
          <w:b/>
        </w:rPr>
        <w:t>Other u</w:t>
      </w:r>
      <w:r w:rsidRPr="006627B4">
        <w:rPr>
          <w:b/>
        </w:rPr>
        <w:t>ses</w:t>
      </w:r>
    </w:p>
    <w:p w14:paraId="022125DD" w14:textId="77777777" w:rsidR="000E0B74" w:rsidRPr="006627B4" w:rsidRDefault="000E0B74" w:rsidP="000E0B74">
      <w:r>
        <w:t>E</w:t>
      </w:r>
      <w:r w:rsidRPr="006627B4">
        <w:t>nquiries regarding this licence and any other use of this document are welcome at:</w:t>
      </w:r>
    </w:p>
    <w:p w14:paraId="4CB63280" w14:textId="56AA26E2" w:rsidR="000E0B74" w:rsidRPr="002F1BC2" w:rsidRDefault="000E0B74" w:rsidP="000E0B74">
      <w:pPr>
        <w:ind w:left="720"/>
        <w:rPr>
          <w:rStyle w:val="Hyperlink"/>
        </w:rPr>
      </w:pPr>
      <w:r w:rsidRPr="006627B4">
        <w:t>Manager</w:t>
      </w:r>
      <w:r w:rsidR="009A668A">
        <w:br/>
      </w:r>
      <w:r>
        <w:t>Media and Speeches Unit</w:t>
      </w:r>
      <w:r>
        <w:br/>
      </w:r>
      <w:r w:rsidRPr="006627B4">
        <w:t>The Treasury</w:t>
      </w:r>
      <w:r>
        <w:br/>
      </w:r>
      <w:r w:rsidRPr="006627B4">
        <w:t xml:space="preserve">Langton Crescent </w:t>
      </w:r>
      <w:r>
        <w:br/>
      </w:r>
      <w:r w:rsidRPr="006627B4">
        <w:t xml:space="preserve">Parkes </w:t>
      </w:r>
      <w:r>
        <w:t xml:space="preserve"> </w:t>
      </w:r>
      <w:r w:rsidRPr="006627B4">
        <w:t xml:space="preserve">ACT </w:t>
      </w:r>
      <w:r>
        <w:t xml:space="preserve"> </w:t>
      </w:r>
      <w:r w:rsidRPr="006627B4">
        <w:t>2600</w:t>
      </w:r>
      <w:r>
        <w:br/>
      </w:r>
      <w:r w:rsidRPr="006627B4">
        <w:t xml:space="preserve">Email: </w:t>
      </w:r>
      <w:hyperlink r:id="rId20" w:history="1">
        <w:r w:rsidR="000C6BC1" w:rsidRPr="005D775A">
          <w:rPr>
            <w:rStyle w:val="Hyperlink"/>
          </w:rPr>
          <w:t>media@treasury.gov.au</w:t>
        </w:r>
      </w:hyperlink>
    </w:p>
    <w:p w14:paraId="04BC4095" w14:textId="77777777" w:rsidR="000E0B74" w:rsidRDefault="000E0B74" w:rsidP="000E0B74">
      <w:pPr>
        <w:pStyle w:val="SingleParagraph"/>
        <w:sectPr w:rsidR="000E0B74" w:rsidSect="00475B7B">
          <w:headerReference w:type="even" r:id="rId21"/>
          <w:headerReference w:type="default" r:id="rId22"/>
          <w:footerReference w:type="even" r:id="rId23"/>
          <w:pgSz w:w="11906" w:h="16838" w:code="9"/>
          <w:pgMar w:top="1418" w:right="1418" w:bottom="1418" w:left="1418" w:header="709" w:footer="709" w:gutter="0"/>
          <w:pgNumType w:fmt="lowerRoman"/>
          <w:cols w:space="708"/>
          <w:titlePg/>
          <w:docGrid w:linePitch="360"/>
        </w:sectPr>
      </w:pPr>
    </w:p>
    <w:p w14:paraId="450643B5" w14:textId="3BD3C051" w:rsidR="000E0B74" w:rsidRPr="00E757A9" w:rsidRDefault="000E0B74" w:rsidP="00BF50D4">
      <w:pPr>
        <w:pStyle w:val="HeadingBase"/>
        <w:rPr>
          <w:szCs w:val="48"/>
        </w:rPr>
      </w:pPr>
      <w:bookmarkStart w:id="1" w:name="_Toc22894256"/>
      <w:bookmarkStart w:id="2" w:name="_Toc23515074"/>
      <w:bookmarkStart w:id="3" w:name="_Toc23515487"/>
      <w:bookmarkStart w:id="4" w:name="_Toc23521034"/>
      <w:bookmarkStart w:id="5" w:name="_Toc24545109"/>
      <w:bookmarkStart w:id="6" w:name="_Toc24545335"/>
      <w:bookmarkStart w:id="7" w:name="_Toc24547596"/>
      <w:bookmarkStart w:id="8" w:name="_Toc24551376"/>
      <w:r w:rsidRPr="00BF50D4">
        <w:rPr>
          <w:color w:val="144E60" w:themeColor="accent1"/>
          <w:sz w:val="48"/>
          <w:szCs w:val="48"/>
        </w:rPr>
        <w:lastRenderedPageBreak/>
        <w:t>Contents</w:t>
      </w:r>
      <w:bookmarkEnd w:id="1"/>
      <w:bookmarkEnd w:id="2"/>
      <w:bookmarkEnd w:id="3"/>
      <w:bookmarkEnd w:id="4"/>
      <w:bookmarkEnd w:id="5"/>
      <w:bookmarkEnd w:id="6"/>
      <w:bookmarkEnd w:id="7"/>
      <w:bookmarkEnd w:id="8"/>
    </w:p>
    <w:p w14:paraId="6B8ED7C5" w14:textId="35FD125A" w:rsidR="00BC0420" w:rsidRDefault="001B09C4">
      <w:pPr>
        <w:pStyle w:val="TOC1"/>
        <w:rPr>
          <w:rFonts w:asciiTheme="minorHAnsi" w:eastAsiaTheme="minorEastAsia" w:hAnsiTheme="minorHAnsi" w:cstheme="minorBidi"/>
          <w:b w:val="0"/>
          <w:color w:val="auto"/>
        </w:rPr>
      </w:pPr>
      <w:r>
        <w:rPr>
          <w:b w:val="0"/>
        </w:rPr>
        <w:fldChar w:fldCharType="begin"/>
      </w:r>
      <w:r>
        <w:rPr>
          <w:b w:val="0"/>
        </w:rPr>
        <w:instrText xml:space="preserve"> TOC \o "1-2" \h \z \u </w:instrText>
      </w:r>
      <w:r>
        <w:rPr>
          <w:b w:val="0"/>
        </w:rPr>
        <w:fldChar w:fldCharType="separate"/>
      </w:r>
      <w:hyperlink w:anchor="_Toc24731193" w:history="1">
        <w:r w:rsidR="00BC0420" w:rsidRPr="00FC2E1E">
          <w:rPr>
            <w:rStyle w:val="Hyperlink"/>
          </w:rPr>
          <w:t>Abbreviations</w:t>
        </w:r>
        <w:r w:rsidR="00BC0420">
          <w:rPr>
            <w:webHidden/>
          </w:rPr>
          <w:tab/>
        </w:r>
        <w:r w:rsidR="00BC0420">
          <w:rPr>
            <w:webHidden/>
          </w:rPr>
          <w:fldChar w:fldCharType="begin"/>
        </w:r>
        <w:r w:rsidR="00BC0420">
          <w:rPr>
            <w:webHidden/>
          </w:rPr>
          <w:instrText xml:space="preserve"> PAGEREF _Toc24731193 \h </w:instrText>
        </w:r>
        <w:r w:rsidR="00BC0420">
          <w:rPr>
            <w:webHidden/>
          </w:rPr>
        </w:r>
        <w:r w:rsidR="00BC0420">
          <w:rPr>
            <w:webHidden/>
          </w:rPr>
          <w:fldChar w:fldCharType="separate"/>
        </w:r>
        <w:r w:rsidR="00070568">
          <w:rPr>
            <w:webHidden/>
          </w:rPr>
          <w:t>v</w:t>
        </w:r>
        <w:r w:rsidR="00BC0420">
          <w:rPr>
            <w:webHidden/>
          </w:rPr>
          <w:fldChar w:fldCharType="end"/>
        </w:r>
      </w:hyperlink>
    </w:p>
    <w:p w14:paraId="61F8802C" w14:textId="02B243F4" w:rsidR="00BC0420" w:rsidRDefault="006B0140">
      <w:pPr>
        <w:pStyle w:val="TOC1"/>
        <w:rPr>
          <w:rFonts w:asciiTheme="minorHAnsi" w:eastAsiaTheme="minorEastAsia" w:hAnsiTheme="minorHAnsi" w:cstheme="minorBidi"/>
          <w:b w:val="0"/>
          <w:color w:val="auto"/>
        </w:rPr>
      </w:pPr>
      <w:hyperlink w:anchor="_Toc24731194" w:history="1">
        <w:r w:rsidR="00BC0420" w:rsidRPr="00FC2E1E">
          <w:rPr>
            <w:rStyle w:val="Hyperlink"/>
          </w:rPr>
          <w:t>Consultation process</w:t>
        </w:r>
        <w:r w:rsidR="00BC0420">
          <w:rPr>
            <w:webHidden/>
          </w:rPr>
          <w:tab/>
        </w:r>
        <w:r w:rsidR="00BC0420">
          <w:rPr>
            <w:webHidden/>
          </w:rPr>
          <w:fldChar w:fldCharType="begin"/>
        </w:r>
        <w:r w:rsidR="00BC0420">
          <w:rPr>
            <w:webHidden/>
          </w:rPr>
          <w:instrText xml:space="preserve"> PAGEREF _Toc24731194 \h </w:instrText>
        </w:r>
        <w:r w:rsidR="00BC0420">
          <w:rPr>
            <w:webHidden/>
          </w:rPr>
        </w:r>
        <w:r w:rsidR="00BC0420">
          <w:rPr>
            <w:webHidden/>
          </w:rPr>
          <w:fldChar w:fldCharType="separate"/>
        </w:r>
        <w:r w:rsidR="00070568">
          <w:rPr>
            <w:webHidden/>
          </w:rPr>
          <w:t>1</w:t>
        </w:r>
        <w:r w:rsidR="00BC0420">
          <w:rPr>
            <w:webHidden/>
          </w:rPr>
          <w:fldChar w:fldCharType="end"/>
        </w:r>
      </w:hyperlink>
    </w:p>
    <w:p w14:paraId="155A0F7F" w14:textId="01770B58" w:rsidR="00BC0420" w:rsidRDefault="006B0140">
      <w:pPr>
        <w:pStyle w:val="TOC2"/>
        <w:rPr>
          <w:rFonts w:asciiTheme="minorHAnsi" w:eastAsiaTheme="minorEastAsia" w:hAnsiTheme="minorHAnsi" w:cstheme="minorBidi"/>
          <w:color w:val="auto"/>
          <w:szCs w:val="22"/>
        </w:rPr>
      </w:pPr>
      <w:hyperlink w:anchor="_Toc24731195" w:history="1">
        <w:r w:rsidR="00BC0420" w:rsidRPr="00FC2E1E">
          <w:rPr>
            <w:rStyle w:val="Hyperlink"/>
          </w:rPr>
          <w:t>Request for feedback and comments</w:t>
        </w:r>
        <w:r w:rsidR="00BC0420">
          <w:rPr>
            <w:webHidden/>
          </w:rPr>
          <w:tab/>
        </w:r>
        <w:r w:rsidR="00BC0420">
          <w:rPr>
            <w:webHidden/>
          </w:rPr>
          <w:fldChar w:fldCharType="begin"/>
        </w:r>
        <w:r w:rsidR="00BC0420">
          <w:rPr>
            <w:webHidden/>
          </w:rPr>
          <w:instrText xml:space="preserve"> PAGEREF _Toc24731195 \h </w:instrText>
        </w:r>
        <w:r w:rsidR="00BC0420">
          <w:rPr>
            <w:webHidden/>
          </w:rPr>
        </w:r>
        <w:r w:rsidR="00BC0420">
          <w:rPr>
            <w:webHidden/>
          </w:rPr>
          <w:fldChar w:fldCharType="separate"/>
        </w:r>
        <w:r w:rsidR="00070568">
          <w:rPr>
            <w:webHidden/>
          </w:rPr>
          <w:t>1</w:t>
        </w:r>
        <w:r w:rsidR="00BC0420">
          <w:rPr>
            <w:webHidden/>
          </w:rPr>
          <w:fldChar w:fldCharType="end"/>
        </w:r>
      </w:hyperlink>
    </w:p>
    <w:p w14:paraId="3B114A1D" w14:textId="0BE44D0D" w:rsidR="00BC0420" w:rsidRDefault="006B0140">
      <w:pPr>
        <w:pStyle w:val="TOC1"/>
        <w:rPr>
          <w:rFonts w:asciiTheme="minorHAnsi" w:eastAsiaTheme="minorEastAsia" w:hAnsiTheme="minorHAnsi" w:cstheme="minorBidi"/>
          <w:b w:val="0"/>
          <w:color w:val="auto"/>
        </w:rPr>
      </w:pPr>
      <w:hyperlink w:anchor="_Toc24731196" w:history="1">
        <w:r w:rsidR="00BC0420" w:rsidRPr="00FC2E1E">
          <w:rPr>
            <w:rStyle w:val="Hyperlink"/>
          </w:rPr>
          <w:t>Retirement Income Review</w:t>
        </w:r>
        <w:r w:rsidR="00BC0420">
          <w:rPr>
            <w:webHidden/>
          </w:rPr>
          <w:tab/>
        </w:r>
        <w:r w:rsidR="00BC0420">
          <w:rPr>
            <w:webHidden/>
          </w:rPr>
          <w:fldChar w:fldCharType="begin"/>
        </w:r>
        <w:r w:rsidR="00BC0420">
          <w:rPr>
            <w:webHidden/>
          </w:rPr>
          <w:instrText xml:space="preserve"> PAGEREF _Toc24731196 \h </w:instrText>
        </w:r>
        <w:r w:rsidR="00BC0420">
          <w:rPr>
            <w:webHidden/>
          </w:rPr>
        </w:r>
        <w:r w:rsidR="00BC0420">
          <w:rPr>
            <w:webHidden/>
          </w:rPr>
          <w:fldChar w:fldCharType="separate"/>
        </w:r>
        <w:r w:rsidR="00070568">
          <w:rPr>
            <w:webHidden/>
          </w:rPr>
          <w:t>2</w:t>
        </w:r>
        <w:r w:rsidR="00BC0420">
          <w:rPr>
            <w:webHidden/>
          </w:rPr>
          <w:fldChar w:fldCharType="end"/>
        </w:r>
      </w:hyperlink>
    </w:p>
    <w:p w14:paraId="2154FF3F" w14:textId="74B39BB6" w:rsidR="00BC0420" w:rsidRDefault="006B0140">
      <w:pPr>
        <w:pStyle w:val="TOC2"/>
        <w:rPr>
          <w:rFonts w:asciiTheme="minorHAnsi" w:eastAsiaTheme="minorEastAsia" w:hAnsiTheme="minorHAnsi" w:cstheme="minorBidi"/>
          <w:color w:val="auto"/>
          <w:szCs w:val="22"/>
        </w:rPr>
      </w:pPr>
      <w:hyperlink w:anchor="_Toc24731197" w:history="1">
        <w:r w:rsidR="00BC0420" w:rsidRPr="00FC2E1E">
          <w:rPr>
            <w:rStyle w:val="Hyperlink"/>
          </w:rPr>
          <w:t>Terms of reference</w:t>
        </w:r>
        <w:r w:rsidR="00BC0420">
          <w:rPr>
            <w:webHidden/>
          </w:rPr>
          <w:tab/>
        </w:r>
        <w:r w:rsidR="00BC0420">
          <w:rPr>
            <w:webHidden/>
          </w:rPr>
          <w:fldChar w:fldCharType="begin"/>
        </w:r>
        <w:r w:rsidR="00BC0420">
          <w:rPr>
            <w:webHidden/>
          </w:rPr>
          <w:instrText xml:space="preserve"> PAGEREF _Toc24731197 \h </w:instrText>
        </w:r>
        <w:r w:rsidR="00BC0420">
          <w:rPr>
            <w:webHidden/>
          </w:rPr>
        </w:r>
        <w:r w:rsidR="00BC0420">
          <w:rPr>
            <w:webHidden/>
          </w:rPr>
          <w:fldChar w:fldCharType="separate"/>
        </w:r>
        <w:r w:rsidR="00070568">
          <w:rPr>
            <w:webHidden/>
          </w:rPr>
          <w:t>2</w:t>
        </w:r>
        <w:r w:rsidR="00BC0420">
          <w:rPr>
            <w:webHidden/>
          </w:rPr>
          <w:fldChar w:fldCharType="end"/>
        </w:r>
      </w:hyperlink>
    </w:p>
    <w:p w14:paraId="54D0DD04" w14:textId="4FAC9DE7" w:rsidR="00BC0420" w:rsidRDefault="006B0140">
      <w:pPr>
        <w:pStyle w:val="TOC2"/>
        <w:rPr>
          <w:rFonts w:asciiTheme="minorHAnsi" w:eastAsiaTheme="minorEastAsia" w:hAnsiTheme="minorHAnsi" w:cstheme="minorBidi"/>
          <w:color w:val="auto"/>
          <w:szCs w:val="22"/>
        </w:rPr>
      </w:pPr>
      <w:hyperlink w:anchor="_Toc24731198" w:history="1">
        <w:r w:rsidR="00BC0420" w:rsidRPr="00FC2E1E">
          <w:rPr>
            <w:rStyle w:val="Hyperlink"/>
          </w:rPr>
          <w:t>Foreword from the Panel</w:t>
        </w:r>
        <w:r w:rsidR="00BC0420">
          <w:rPr>
            <w:webHidden/>
          </w:rPr>
          <w:tab/>
        </w:r>
        <w:r w:rsidR="00BC0420">
          <w:rPr>
            <w:webHidden/>
          </w:rPr>
          <w:fldChar w:fldCharType="begin"/>
        </w:r>
        <w:r w:rsidR="00BC0420">
          <w:rPr>
            <w:webHidden/>
          </w:rPr>
          <w:instrText xml:space="preserve"> PAGEREF _Toc24731198 \h </w:instrText>
        </w:r>
        <w:r w:rsidR="00BC0420">
          <w:rPr>
            <w:webHidden/>
          </w:rPr>
        </w:r>
        <w:r w:rsidR="00BC0420">
          <w:rPr>
            <w:webHidden/>
          </w:rPr>
          <w:fldChar w:fldCharType="separate"/>
        </w:r>
        <w:r w:rsidR="00070568">
          <w:rPr>
            <w:webHidden/>
          </w:rPr>
          <w:t>3</w:t>
        </w:r>
        <w:r w:rsidR="00BC0420">
          <w:rPr>
            <w:webHidden/>
          </w:rPr>
          <w:fldChar w:fldCharType="end"/>
        </w:r>
      </w:hyperlink>
    </w:p>
    <w:p w14:paraId="6BBBC714" w14:textId="27D8CBC8" w:rsidR="00BC0420" w:rsidRDefault="006B0140">
      <w:pPr>
        <w:pStyle w:val="TOC1"/>
        <w:rPr>
          <w:rFonts w:asciiTheme="minorHAnsi" w:eastAsiaTheme="minorEastAsia" w:hAnsiTheme="minorHAnsi" w:cstheme="minorBidi"/>
          <w:b w:val="0"/>
          <w:color w:val="auto"/>
        </w:rPr>
      </w:pPr>
      <w:hyperlink w:anchor="_Toc24731199" w:history="1">
        <w:r w:rsidR="00BC0420" w:rsidRPr="00FC2E1E">
          <w:rPr>
            <w:rStyle w:val="Hyperlink"/>
          </w:rPr>
          <w:t>The retirement income system</w:t>
        </w:r>
        <w:r w:rsidR="00BC0420">
          <w:rPr>
            <w:webHidden/>
          </w:rPr>
          <w:tab/>
        </w:r>
        <w:r w:rsidR="00BC0420">
          <w:rPr>
            <w:webHidden/>
          </w:rPr>
          <w:fldChar w:fldCharType="begin"/>
        </w:r>
        <w:r w:rsidR="00BC0420">
          <w:rPr>
            <w:webHidden/>
          </w:rPr>
          <w:instrText xml:space="preserve"> PAGEREF _Toc24731199 \h </w:instrText>
        </w:r>
        <w:r w:rsidR="00BC0420">
          <w:rPr>
            <w:webHidden/>
          </w:rPr>
        </w:r>
        <w:r w:rsidR="00BC0420">
          <w:rPr>
            <w:webHidden/>
          </w:rPr>
          <w:fldChar w:fldCharType="separate"/>
        </w:r>
        <w:r w:rsidR="00070568">
          <w:rPr>
            <w:webHidden/>
          </w:rPr>
          <w:t>4</w:t>
        </w:r>
        <w:r w:rsidR="00BC0420">
          <w:rPr>
            <w:webHidden/>
          </w:rPr>
          <w:fldChar w:fldCharType="end"/>
        </w:r>
      </w:hyperlink>
    </w:p>
    <w:p w14:paraId="1DD1484C" w14:textId="1D10D36E" w:rsidR="00BC0420" w:rsidRDefault="006B0140">
      <w:pPr>
        <w:pStyle w:val="TOC2"/>
        <w:rPr>
          <w:rFonts w:asciiTheme="minorHAnsi" w:eastAsiaTheme="minorEastAsia" w:hAnsiTheme="minorHAnsi" w:cstheme="minorBidi"/>
          <w:color w:val="auto"/>
          <w:szCs w:val="22"/>
        </w:rPr>
      </w:pPr>
      <w:hyperlink w:anchor="_Toc24731200" w:history="1">
        <w:r w:rsidR="00BC0420" w:rsidRPr="00FC2E1E">
          <w:rPr>
            <w:rStyle w:val="Hyperlink"/>
          </w:rPr>
          <w:t>The three pillars of Australia’s retirement income system</w:t>
        </w:r>
        <w:r w:rsidR="00BC0420">
          <w:rPr>
            <w:webHidden/>
          </w:rPr>
          <w:tab/>
        </w:r>
        <w:r w:rsidR="00BC0420">
          <w:rPr>
            <w:webHidden/>
          </w:rPr>
          <w:fldChar w:fldCharType="begin"/>
        </w:r>
        <w:r w:rsidR="00BC0420">
          <w:rPr>
            <w:webHidden/>
          </w:rPr>
          <w:instrText xml:space="preserve"> PAGEREF _Toc24731200 \h </w:instrText>
        </w:r>
        <w:r w:rsidR="00BC0420">
          <w:rPr>
            <w:webHidden/>
          </w:rPr>
        </w:r>
        <w:r w:rsidR="00BC0420">
          <w:rPr>
            <w:webHidden/>
          </w:rPr>
          <w:fldChar w:fldCharType="separate"/>
        </w:r>
        <w:r w:rsidR="00070568">
          <w:rPr>
            <w:webHidden/>
          </w:rPr>
          <w:t>4</w:t>
        </w:r>
        <w:r w:rsidR="00BC0420">
          <w:rPr>
            <w:webHidden/>
          </w:rPr>
          <w:fldChar w:fldCharType="end"/>
        </w:r>
      </w:hyperlink>
    </w:p>
    <w:p w14:paraId="00CF532C" w14:textId="74F63520" w:rsidR="00BC0420" w:rsidRDefault="006B0140">
      <w:pPr>
        <w:pStyle w:val="TOC2"/>
        <w:rPr>
          <w:rFonts w:asciiTheme="minorHAnsi" w:eastAsiaTheme="minorEastAsia" w:hAnsiTheme="minorHAnsi" w:cstheme="minorBidi"/>
          <w:color w:val="auto"/>
          <w:szCs w:val="22"/>
        </w:rPr>
      </w:pPr>
      <w:hyperlink w:anchor="_Toc24731201" w:history="1">
        <w:r w:rsidR="00BC0420" w:rsidRPr="00FC2E1E">
          <w:rPr>
            <w:rStyle w:val="Hyperlink"/>
          </w:rPr>
          <w:t>System interactions</w:t>
        </w:r>
        <w:r w:rsidR="00BC0420">
          <w:rPr>
            <w:webHidden/>
          </w:rPr>
          <w:tab/>
        </w:r>
        <w:r w:rsidR="00BC0420">
          <w:rPr>
            <w:webHidden/>
          </w:rPr>
          <w:fldChar w:fldCharType="begin"/>
        </w:r>
        <w:r w:rsidR="00BC0420">
          <w:rPr>
            <w:webHidden/>
          </w:rPr>
          <w:instrText xml:space="preserve"> PAGEREF _Toc24731201 \h </w:instrText>
        </w:r>
        <w:r w:rsidR="00BC0420">
          <w:rPr>
            <w:webHidden/>
          </w:rPr>
        </w:r>
        <w:r w:rsidR="00BC0420">
          <w:rPr>
            <w:webHidden/>
          </w:rPr>
          <w:fldChar w:fldCharType="separate"/>
        </w:r>
        <w:r w:rsidR="00070568">
          <w:rPr>
            <w:webHidden/>
          </w:rPr>
          <w:t>6</w:t>
        </w:r>
        <w:r w:rsidR="00BC0420">
          <w:rPr>
            <w:webHidden/>
          </w:rPr>
          <w:fldChar w:fldCharType="end"/>
        </w:r>
      </w:hyperlink>
    </w:p>
    <w:p w14:paraId="2CB65E02" w14:textId="3633C102" w:rsidR="00BC0420" w:rsidRDefault="006B0140">
      <w:pPr>
        <w:pStyle w:val="TOC2"/>
        <w:rPr>
          <w:rFonts w:asciiTheme="minorHAnsi" w:eastAsiaTheme="minorEastAsia" w:hAnsiTheme="minorHAnsi" w:cstheme="minorBidi"/>
          <w:color w:val="auto"/>
          <w:szCs w:val="22"/>
        </w:rPr>
      </w:pPr>
      <w:hyperlink w:anchor="_Toc24731202" w:history="1">
        <w:r w:rsidR="00BC0420" w:rsidRPr="00FC2E1E">
          <w:rPr>
            <w:rStyle w:val="Hyperlink"/>
          </w:rPr>
          <w:t>How Australia’s system compares internationally</w:t>
        </w:r>
        <w:r w:rsidR="00BC0420">
          <w:rPr>
            <w:webHidden/>
          </w:rPr>
          <w:tab/>
        </w:r>
        <w:r w:rsidR="00BC0420">
          <w:rPr>
            <w:webHidden/>
          </w:rPr>
          <w:fldChar w:fldCharType="begin"/>
        </w:r>
        <w:r w:rsidR="00BC0420">
          <w:rPr>
            <w:webHidden/>
          </w:rPr>
          <w:instrText xml:space="preserve"> PAGEREF _Toc24731202 \h </w:instrText>
        </w:r>
        <w:r w:rsidR="00BC0420">
          <w:rPr>
            <w:webHidden/>
          </w:rPr>
        </w:r>
        <w:r w:rsidR="00BC0420">
          <w:rPr>
            <w:webHidden/>
          </w:rPr>
          <w:fldChar w:fldCharType="separate"/>
        </w:r>
        <w:r w:rsidR="00070568">
          <w:rPr>
            <w:webHidden/>
          </w:rPr>
          <w:t>6</w:t>
        </w:r>
        <w:r w:rsidR="00BC0420">
          <w:rPr>
            <w:webHidden/>
          </w:rPr>
          <w:fldChar w:fldCharType="end"/>
        </w:r>
      </w:hyperlink>
    </w:p>
    <w:p w14:paraId="6B412DD8" w14:textId="23F51723" w:rsidR="00BC0420" w:rsidRDefault="006B0140">
      <w:pPr>
        <w:pStyle w:val="TOC1"/>
        <w:rPr>
          <w:rFonts w:asciiTheme="minorHAnsi" w:eastAsiaTheme="minorEastAsia" w:hAnsiTheme="minorHAnsi" w:cstheme="minorBidi"/>
          <w:b w:val="0"/>
          <w:color w:val="auto"/>
        </w:rPr>
      </w:pPr>
      <w:hyperlink w:anchor="_Toc24731203" w:history="1">
        <w:r w:rsidR="00BC0420" w:rsidRPr="00FC2E1E">
          <w:rPr>
            <w:rStyle w:val="Hyperlink"/>
          </w:rPr>
          <w:t>Purpose of the system and role of the pillars</w:t>
        </w:r>
        <w:r w:rsidR="00BC0420">
          <w:rPr>
            <w:webHidden/>
          </w:rPr>
          <w:tab/>
        </w:r>
        <w:r w:rsidR="00BC0420">
          <w:rPr>
            <w:webHidden/>
          </w:rPr>
          <w:fldChar w:fldCharType="begin"/>
        </w:r>
        <w:r w:rsidR="00BC0420">
          <w:rPr>
            <w:webHidden/>
          </w:rPr>
          <w:instrText xml:space="preserve"> PAGEREF _Toc24731203 \h </w:instrText>
        </w:r>
        <w:r w:rsidR="00BC0420">
          <w:rPr>
            <w:webHidden/>
          </w:rPr>
        </w:r>
        <w:r w:rsidR="00BC0420">
          <w:rPr>
            <w:webHidden/>
          </w:rPr>
          <w:fldChar w:fldCharType="separate"/>
        </w:r>
        <w:r w:rsidR="00070568">
          <w:rPr>
            <w:webHidden/>
          </w:rPr>
          <w:t>8</w:t>
        </w:r>
        <w:r w:rsidR="00BC0420">
          <w:rPr>
            <w:webHidden/>
          </w:rPr>
          <w:fldChar w:fldCharType="end"/>
        </w:r>
      </w:hyperlink>
    </w:p>
    <w:p w14:paraId="3E88A8E0" w14:textId="7361C647" w:rsidR="00BC0420" w:rsidRDefault="006B0140">
      <w:pPr>
        <w:pStyle w:val="TOC2"/>
        <w:rPr>
          <w:rFonts w:asciiTheme="minorHAnsi" w:eastAsiaTheme="minorEastAsia" w:hAnsiTheme="minorHAnsi" w:cstheme="minorBidi"/>
          <w:color w:val="auto"/>
          <w:szCs w:val="22"/>
        </w:rPr>
      </w:pPr>
      <w:hyperlink w:anchor="_Toc24731204" w:history="1">
        <w:r w:rsidR="00BC0420" w:rsidRPr="00FC2E1E">
          <w:rPr>
            <w:rStyle w:val="Hyperlink"/>
          </w:rPr>
          <w:t>Purpose of the retirement income system</w:t>
        </w:r>
        <w:r w:rsidR="00BC0420">
          <w:rPr>
            <w:webHidden/>
          </w:rPr>
          <w:tab/>
        </w:r>
        <w:r w:rsidR="00BC0420">
          <w:rPr>
            <w:webHidden/>
          </w:rPr>
          <w:fldChar w:fldCharType="begin"/>
        </w:r>
        <w:r w:rsidR="00BC0420">
          <w:rPr>
            <w:webHidden/>
          </w:rPr>
          <w:instrText xml:space="preserve"> PAGEREF _Toc24731204 \h </w:instrText>
        </w:r>
        <w:r w:rsidR="00BC0420">
          <w:rPr>
            <w:webHidden/>
          </w:rPr>
        </w:r>
        <w:r w:rsidR="00BC0420">
          <w:rPr>
            <w:webHidden/>
          </w:rPr>
          <w:fldChar w:fldCharType="separate"/>
        </w:r>
        <w:r w:rsidR="00070568">
          <w:rPr>
            <w:webHidden/>
          </w:rPr>
          <w:t>8</w:t>
        </w:r>
        <w:r w:rsidR="00BC0420">
          <w:rPr>
            <w:webHidden/>
          </w:rPr>
          <w:fldChar w:fldCharType="end"/>
        </w:r>
      </w:hyperlink>
    </w:p>
    <w:p w14:paraId="1BC35CBD" w14:textId="737551D5" w:rsidR="00BC0420" w:rsidRDefault="006B0140">
      <w:pPr>
        <w:pStyle w:val="TOC2"/>
        <w:rPr>
          <w:rFonts w:asciiTheme="minorHAnsi" w:eastAsiaTheme="minorEastAsia" w:hAnsiTheme="minorHAnsi" w:cstheme="minorBidi"/>
          <w:color w:val="auto"/>
          <w:szCs w:val="22"/>
        </w:rPr>
      </w:pPr>
      <w:hyperlink w:anchor="_Toc24731205" w:history="1">
        <w:r w:rsidR="00BC0420" w:rsidRPr="00FC2E1E">
          <w:rPr>
            <w:rStyle w:val="Hyperlink"/>
          </w:rPr>
          <w:t>Role of the pillars</w:t>
        </w:r>
        <w:r w:rsidR="00BC0420">
          <w:rPr>
            <w:webHidden/>
          </w:rPr>
          <w:tab/>
        </w:r>
        <w:r w:rsidR="00BC0420">
          <w:rPr>
            <w:webHidden/>
          </w:rPr>
          <w:fldChar w:fldCharType="begin"/>
        </w:r>
        <w:r w:rsidR="00BC0420">
          <w:rPr>
            <w:webHidden/>
          </w:rPr>
          <w:instrText xml:space="preserve"> PAGEREF _Toc24731205 \h </w:instrText>
        </w:r>
        <w:r w:rsidR="00BC0420">
          <w:rPr>
            <w:webHidden/>
          </w:rPr>
        </w:r>
        <w:r w:rsidR="00BC0420">
          <w:rPr>
            <w:webHidden/>
          </w:rPr>
          <w:fldChar w:fldCharType="separate"/>
        </w:r>
        <w:r w:rsidR="00070568">
          <w:rPr>
            <w:webHidden/>
          </w:rPr>
          <w:t>8</w:t>
        </w:r>
        <w:r w:rsidR="00BC0420">
          <w:rPr>
            <w:webHidden/>
          </w:rPr>
          <w:fldChar w:fldCharType="end"/>
        </w:r>
      </w:hyperlink>
    </w:p>
    <w:p w14:paraId="30C97D74" w14:textId="571DCB03" w:rsidR="00BC0420" w:rsidRDefault="006B0140">
      <w:pPr>
        <w:pStyle w:val="TOC1"/>
        <w:rPr>
          <w:rFonts w:asciiTheme="minorHAnsi" w:eastAsiaTheme="minorEastAsia" w:hAnsiTheme="minorHAnsi" w:cstheme="minorBidi"/>
          <w:b w:val="0"/>
          <w:color w:val="auto"/>
        </w:rPr>
      </w:pPr>
      <w:hyperlink w:anchor="_Toc24731206" w:history="1">
        <w:r w:rsidR="00BC0420" w:rsidRPr="00FC2E1E">
          <w:rPr>
            <w:rStyle w:val="Hyperlink"/>
          </w:rPr>
          <w:t>The changing Australian landscape</w:t>
        </w:r>
        <w:r w:rsidR="00BC0420">
          <w:rPr>
            <w:webHidden/>
          </w:rPr>
          <w:tab/>
        </w:r>
        <w:r w:rsidR="00BC0420">
          <w:rPr>
            <w:webHidden/>
          </w:rPr>
          <w:fldChar w:fldCharType="begin"/>
        </w:r>
        <w:r w:rsidR="00BC0420">
          <w:rPr>
            <w:webHidden/>
          </w:rPr>
          <w:instrText xml:space="preserve"> PAGEREF _Toc24731206 \h </w:instrText>
        </w:r>
        <w:r w:rsidR="00BC0420">
          <w:rPr>
            <w:webHidden/>
          </w:rPr>
        </w:r>
        <w:r w:rsidR="00BC0420">
          <w:rPr>
            <w:webHidden/>
          </w:rPr>
          <w:fldChar w:fldCharType="separate"/>
        </w:r>
        <w:r w:rsidR="00070568">
          <w:rPr>
            <w:webHidden/>
          </w:rPr>
          <w:t>10</w:t>
        </w:r>
        <w:r w:rsidR="00BC0420">
          <w:rPr>
            <w:webHidden/>
          </w:rPr>
          <w:fldChar w:fldCharType="end"/>
        </w:r>
      </w:hyperlink>
    </w:p>
    <w:p w14:paraId="3CDE86DC" w14:textId="43BB6DAF" w:rsidR="00BC0420" w:rsidRDefault="006B0140">
      <w:pPr>
        <w:pStyle w:val="TOC2"/>
        <w:rPr>
          <w:rFonts w:asciiTheme="minorHAnsi" w:eastAsiaTheme="minorEastAsia" w:hAnsiTheme="minorHAnsi" w:cstheme="minorBidi"/>
          <w:color w:val="auto"/>
          <w:szCs w:val="22"/>
        </w:rPr>
      </w:pPr>
      <w:hyperlink w:anchor="_Toc24731207" w:history="1">
        <w:r w:rsidR="00BC0420" w:rsidRPr="00FC2E1E">
          <w:rPr>
            <w:rStyle w:val="Hyperlink"/>
          </w:rPr>
          <w:t>Maturity of the superannuation system</w:t>
        </w:r>
        <w:r w:rsidR="00BC0420">
          <w:rPr>
            <w:webHidden/>
          </w:rPr>
          <w:tab/>
        </w:r>
        <w:r w:rsidR="00BC0420">
          <w:rPr>
            <w:webHidden/>
          </w:rPr>
          <w:fldChar w:fldCharType="begin"/>
        </w:r>
        <w:r w:rsidR="00BC0420">
          <w:rPr>
            <w:webHidden/>
          </w:rPr>
          <w:instrText xml:space="preserve"> PAGEREF _Toc24731207 \h </w:instrText>
        </w:r>
        <w:r w:rsidR="00BC0420">
          <w:rPr>
            <w:webHidden/>
          </w:rPr>
        </w:r>
        <w:r w:rsidR="00BC0420">
          <w:rPr>
            <w:webHidden/>
          </w:rPr>
          <w:fldChar w:fldCharType="separate"/>
        </w:r>
        <w:r w:rsidR="00070568">
          <w:rPr>
            <w:webHidden/>
          </w:rPr>
          <w:t>10</w:t>
        </w:r>
        <w:r w:rsidR="00BC0420">
          <w:rPr>
            <w:webHidden/>
          </w:rPr>
          <w:fldChar w:fldCharType="end"/>
        </w:r>
      </w:hyperlink>
    </w:p>
    <w:p w14:paraId="3FE876D8" w14:textId="24B3FC57" w:rsidR="00BC0420" w:rsidRDefault="006B0140">
      <w:pPr>
        <w:pStyle w:val="TOC2"/>
        <w:rPr>
          <w:rFonts w:asciiTheme="minorHAnsi" w:eastAsiaTheme="minorEastAsia" w:hAnsiTheme="minorHAnsi" w:cstheme="minorBidi"/>
          <w:color w:val="auto"/>
          <w:szCs w:val="22"/>
        </w:rPr>
      </w:pPr>
      <w:hyperlink w:anchor="_Toc24731208" w:history="1">
        <w:r w:rsidR="00BC0420" w:rsidRPr="00FC2E1E">
          <w:rPr>
            <w:rStyle w:val="Hyperlink"/>
          </w:rPr>
          <w:t>Home ownership</w:t>
        </w:r>
        <w:r w:rsidR="00BC0420">
          <w:rPr>
            <w:webHidden/>
          </w:rPr>
          <w:tab/>
        </w:r>
        <w:r w:rsidR="00BC0420">
          <w:rPr>
            <w:webHidden/>
          </w:rPr>
          <w:fldChar w:fldCharType="begin"/>
        </w:r>
        <w:r w:rsidR="00BC0420">
          <w:rPr>
            <w:webHidden/>
          </w:rPr>
          <w:instrText xml:space="preserve"> PAGEREF _Toc24731208 \h </w:instrText>
        </w:r>
        <w:r w:rsidR="00BC0420">
          <w:rPr>
            <w:webHidden/>
          </w:rPr>
        </w:r>
        <w:r w:rsidR="00BC0420">
          <w:rPr>
            <w:webHidden/>
          </w:rPr>
          <w:fldChar w:fldCharType="separate"/>
        </w:r>
        <w:r w:rsidR="00070568">
          <w:rPr>
            <w:webHidden/>
          </w:rPr>
          <w:t>10</w:t>
        </w:r>
        <w:r w:rsidR="00BC0420">
          <w:rPr>
            <w:webHidden/>
          </w:rPr>
          <w:fldChar w:fldCharType="end"/>
        </w:r>
      </w:hyperlink>
    </w:p>
    <w:p w14:paraId="54241CE7" w14:textId="7C52F69B" w:rsidR="00BC0420" w:rsidRDefault="006B0140">
      <w:pPr>
        <w:pStyle w:val="TOC2"/>
        <w:rPr>
          <w:rFonts w:asciiTheme="minorHAnsi" w:eastAsiaTheme="minorEastAsia" w:hAnsiTheme="minorHAnsi" w:cstheme="minorBidi"/>
          <w:color w:val="auto"/>
          <w:szCs w:val="22"/>
        </w:rPr>
      </w:pPr>
      <w:hyperlink w:anchor="_Toc24731209" w:history="1">
        <w:r w:rsidR="00BC0420" w:rsidRPr="00FC2E1E">
          <w:rPr>
            <w:rStyle w:val="Hyperlink"/>
          </w:rPr>
          <w:t>Life expectancy and demographic trends</w:t>
        </w:r>
        <w:r w:rsidR="00BC0420">
          <w:rPr>
            <w:webHidden/>
          </w:rPr>
          <w:tab/>
        </w:r>
        <w:r w:rsidR="00BC0420">
          <w:rPr>
            <w:webHidden/>
          </w:rPr>
          <w:fldChar w:fldCharType="begin"/>
        </w:r>
        <w:r w:rsidR="00BC0420">
          <w:rPr>
            <w:webHidden/>
          </w:rPr>
          <w:instrText xml:space="preserve"> PAGEREF _Toc24731209 \h </w:instrText>
        </w:r>
        <w:r w:rsidR="00BC0420">
          <w:rPr>
            <w:webHidden/>
          </w:rPr>
        </w:r>
        <w:r w:rsidR="00BC0420">
          <w:rPr>
            <w:webHidden/>
          </w:rPr>
          <w:fldChar w:fldCharType="separate"/>
        </w:r>
        <w:r w:rsidR="00070568">
          <w:rPr>
            <w:webHidden/>
          </w:rPr>
          <w:t>10</w:t>
        </w:r>
        <w:r w:rsidR="00BC0420">
          <w:rPr>
            <w:webHidden/>
          </w:rPr>
          <w:fldChar w:fldCharType="end"/>
        </w:r>
      </w:hyperlink>
    </w:p>
    <w:p w14:paraId="08759AFE" w14:textId="4027DA02" w:rsidR="00BC0420" w:rsidRDefault="006B0140">
      <w:pPr>
        <w:pStyle w:val="TOC2"/>
        <w:rPr>
          <w:rFonts w:asciiTheme="minorHAnsi" w:eastAsiaTheme="minorEastAsia" w:hAnsiTheme="minorHAnsi" w:cstheme="minorBidi"/>
          <w:color w:val="auto"/>
          <w:szCs w:val="22"/>
        </w:rPr>
      </w:pPr>
      <w:hyperlink w:anchor="_Toc24731210" w:history="1">
        <w:r w:rsidR="00BC0420" w:rsidRPr="00FC2E1E">
          <w:rPr>
            <w:rStyle w:val="Hyperlink"/>
          </w:rPr>
          <w:t>Labour market participation</w:t>
        </w:r>
        <w:r w:rsidR="00BC0420">
          <w:rPr>
            <w:webHidden/>
          </w:rPr>
          <w:tab/>
        </w:r>
        <w:r w:rsidR="00BC0420">
          <w:rPr>
            <w:webHidden/>
          </w:rPr>
          <w:fldChar w:fldCharType="begin"/>
        </w:r>
        <w:r w:rsidR="00BC0420">
          <w:rPr>
            <w:webHidden/>
          </w:rPr>
          <w:instrText xml:space="preserve"> PAGEREF _Toc24731210 \h </w:instrText>
        </w:r>
        <w:r w:rsidR="00BC0420">
          <w:rPr>
            <w:webHidden/>
          </w:rPr>
        </w:r>
        <w:r w:rsidR="00BC0420">
          <w:rPr>
            <w:webHidden/>
          </w:rPr>
          <w:fldChar w:fldCharType="separate"/>
        </w:r>
        <w:r w:rsidR="00070568">
          <w:rPr>
            <w:webHidden/>
          </w:rPr>
          <w:t>10</w:t>
        </w:r>
        <w:r w:rsidR="00BC0420">
          <w:rPr>
            <w:webHidden/>
          </w:rPr>
          <w:fldChar w:fldCharType="end"/>
        </w:r>
      </w:hyperlink>
    </w:p>
    <w:p w14:paraId="22C7CA48" w14:textId="527EF338" w:rsidR="00BC0420" w:rsidRDefault="006B0140">
      <w:pPr>
        <w:pStyle w:val="TOC2"/>
        <w:rPr>
          <w:rFonts w:asciiTheme="minorHAnsi" w:eastAsiaTheme="minorEastAsia" w:hAnsiTheme="minorHAnsi" w:cstheme="minorBidi"/>
          <w:color w:val="auto"/>
          <w:szCs w:val="22"/>
        </w:rPr>
      </w:pPr>
      <w:hyperlink w:anchor="_Toc24731211" w:history="1">
        <w:r w:rsidR="00BC0420" w:rsidRPr="00FC2E1E">
          <w:rPr>
            <w:rStyle w:val="Hyperlink"/>
          </w:rPr>
          <w:t>Broader economic trends</w:t>
        </w:r>
        <w:r w:rsidR="00BC0420">
          <w:rPr>
            <w:webHidden/>
          </w:rPr>
          <w:tab/>
        </w:r>
        <w:r w:rsidR="00BC0420">
          <w:rPr>
            <w:webHidden/>
          </w:rPr>
          <w:fldChar w:fldCharType="begin"/>
        </w:r>
        <w:r w:rsidR="00BC0420">
          <w:rPr>
            <w:webHidden/>
          </w:rPr>
          <w:instrText xml:space="preserve"> PAGEREF _Toc24731211 \h </w:instrText>
        </w:r>
        <w:r w:rsidR="00BC0420">
          <w:rPr>
            <w:webHidden/>
          </w:rPr>
        </w:r>
        <w:r w:rsidR="00BC0420">
          <w:rPr>
            <w:webHidden/>
          </w:rPr>
          <w:fldChar w:fldCharType="separate"/>
        </w:r>
        <w:r w:rsidR="00070568">
          <w:rPr>
            <w:webHidden/>
          </w:rPr>
          <w:t>11</w:t>
        </w:r>
        <w:r w:rsidR="00BC0420">
          <w:rPr>
            <w:webHidden/>
          </w:rPr>
          <w:fldChar w:fldCharType="end"/>
        </w:r>
      </w:hyperlink>
    </w:p>
    <w:p w14:paraId="65A7F4FC" w14:textId="670A371D" w:rsidR="00BC0420" w:rsidRDefault="006B0140">
      <w:pPr>
        <w:pStyle w:val="TOC1"/>
        <w:rPr>
          <w:rFonts w:asciiTheme="minorHAnsi" w:eastAsiaTheme="minorEastAsia" w:hAnsiTheme="minorHAnsi" w:cstheme="minorBidi"/>
          <w:b w:val="0"/>
          <w:color w:val="auto"/>
        </w:rPr>
      </w:pPr>
      <w:hyperlink w:anchor="_Toc24731212" w:history="1">
        <w:r w:rsidR="00BC0420" w:rsidRPr="00FC2E1E">
          <w:rPr>
            <w:rStyle w:val="Hyperlink"/>
          </w:rPr>
          <w:t>Principles for assessing how the system is performing</w:t>
        </w:r>
        <w:r w:rsidR="00BC0420">
          <w:rPr>
            <w:webHidden/>
          </w:rPr>
          <w:tab/>
        </w:r>
        <w:r w:rsidR="00BC0420">
          <w:rPr>
            <w:webHidden/>
          </w:rPr>
          <w:fldChar w:fldCharType="begin"/>
        </w:r>
        <w:r w:rsidR="00BC0420">
          <w:rPr>
            <w:webHidden/>
          </w:rPr>
          <w:instrText xml:space="preserve"> PAGEREF _Toc24731212 \h </w:instrText>
        </w:r>
        <w:r w:rsidR="00BC0420">
          <w:rPr>
            <w:webHidden/>
          </w:rPr>
        </w:r>
        <w:r w:rsidR="00BC0420">
          <w:rPr>
            <w:webHidden/>
          </w:rPr>
          <w:fldChar w:fldCharType="separate"/>
        </w:r>
        <w:r w:rsidR="00070568">
          <w:rPr>
            <w:webHidden/>
          </w:rPr>
          <w:t>12</w:t>
        </w:r>
        <w:r w:rsidR="00BC0420">
          <w:rPr>
            <w:webHidden/>
          </w:rPr>
          <w:fldChar w:fldCharType="end"/>
        </w:r>
      </w:hyperlink>
    </w:p>
    <w:p w14:paraId="776E56AA" w14:textId="798040DF" w:rsidR="00BC0420" w:rsidRDefault="006B0140">
      <w:pPr>
        <w:pStyle w:val="TOC1"/>
        <w:rPr>
          <w:rFonts w:asciiTheme="minorHAnsi" w:eastAsiaTheme="minorEastAsia" w:hAnsiTheme="minorHAnsi" w:cstheme="minorBidi"/>
          <w:b w:val="0"/>
          <w:color w:val="auto"/>
        </w:rPr>
      </w:pPr>
      <w:hyperlink w:anchor="_Toc24731213" w:history="1">
        <w:r w:rsidR="00BC0420" w:rsidRPr="00FC2E1E">
          <w:rPr>
            <w:rStyle w:val="Hyperlink"/>
          </w:rPr>
          <w:t>Adequacy</w:t>
        </w:r>
        <w:r w:rsidR="00BC0420">
          <w:rPr>
            <w:webHidden/>
          </w:rPr>
          <w:tab/>
        </w:r>
        <w:r w:rsidR="00BC0420">
          <w:rPr>
            <w:webHidden/>
          </w:rPr>
          <w:fldChar w:fldCharType="begin"/>
        </w:r>
        <w:r w:rsidR="00BC0420">
          <w:rPr>
            <w:webHidden/>
          </w:rPr>
          <w:instrText xml:space="preserve"> PAGEREF _Toc24731213 \h </w:instrText>
        </w:r>
        <w:r w:rsidR="00BC0420">
          <w:rPr>
            <w:webHidden/>
          </w:rPr>
        </w:r>
        <w:r w:rsidR="00BC0420">
          <w:rPr>
            <w:webHidden/>
          </w:rPr>
          <w:fldChar w:fldCharType="separate"/>
        </w:r>
        <w:r w:rsidR="00070568">
          <w:rPr>
            <w:webHidden/>
          </w:rPr>
          <w:t>13</w:t>
        </w:r>
        <w:r w:rsidR="00BC0420">
          <w:rPr>
            <w:webHidden/>
          </w:rPr>
          <w:fldChar w:fldCharType="end"/>
        </w:r>
      </w:hyperlink>
    </w:p>
    <w:p w14:paraId="5EFF9FE8" w14:textId="30ACD26C" w:rsidR="00BC0420" w:rsidRDefault="006B0140">
      <w:pPr>
        <w:pStyle w:val="TOC2"/>
        <w:rPr>
          <w:rFonts w:asciiTheme="minorHAnsi" w:eastAsiaTheme="minorEastAsia" w:hAnsiTheme="minorHAnsi" w:cstheme="minorBidi"/>
          <w:color w:val="auto"/>
          <w:szCs w:val="22"/>
        </w:rPr>
      </w:pPr>
      <w:hyperlink w:anchor="_Toc24731214" w:history="1">
        <w:r w:rsidR="00BC0420" w:rsidRPr="00FC2E1E">
          <w:rPr>
            <w:rStyle w:val="Hyperlink"/>
          </w:rPr>
          <w:t>What is meant by adequacy</w:t>
        </w:r>
        <w:r w:rsidR="00BC0420">
          <w:rPr>
            <w:webHidden/>
          </w:rPr>
          <w:tab/>
        </w:r>
        <w:r w:rsidR="00BC0420">
          <w:rPr>
            <w:webHidden/>
          </w:rPr>
          <w:fldChar w:fldCharType="begin"/>
        </w:r>
        <w:r w:rsidR="00BC0420">
          <w:rPr>
            <w:webHidden/>
          </w:rPr>
          <w:instrText xml:space="preserve"> PAGEREF _Toc24731214 \h </w:instrText>
        </w:r>
        <w:r w:rsidR="00BC0420">
          <w:rPr>
            <w:webHidden/>
          </w:rPr>
        </w:r>
        <w:r w:rsidR="00BC0420">
          <w:rPr>
            <w:webHidden/>
          </w:rPr>
          <w:fldChar w:fldCharType="separate"/>
        </w:r>
        <w:r w:rsidR="00070568">
          <w:rPr>
            <w:webHidden/>
          </w:rPr>
          <w:t>13</w:t>
        </w:r>
        <w:r w:rsidR="00BC0420">
          <w:rPr>
            <w:webHidden/>
          </w:rPr>
          <w:fldChar w:fldCharType="end"/>
        </w:r>
      </w:hyperlink>
    </w:p>
    <w:p w14:paraId="0FA673B5" w14:textId="3FA17D9A" w:rsidR="00BC0420" w:rsidRDefault="006B0140">
      <w:pPr>
        <w:pStyle w:val="TOC2"/>
        <w:rPr>
          <w:rFonts w:asciiTheme="minorHAnsi" w:eastAsiaTheme="minorEastAsia" w:hAnsiTheme="minorHAnsi" w:cstheme="minorBidi"/>
          <w:color w:val="auto"/>
          <w:szCs w:val="22"/>
        </w:rPr>
      </w:pPr>
      <w:hyperlink w:anchor="_Toc24731215" w:history="1">
        <w:r w:rsidR="00BC0420" w:rsidRPr="00FC2E1E">
          <w:rPr>
            <w:rStyle w:val="Hyperlink"/>
          </w:rPr>
          <w:t>Measures of adequacy</w:t>
        </w:r>
        <w:r w:rsidR="00BC0420">
          <w:rPr>
            <w:webHidden/>
          </w:rPr>
          <w:tab/>
        </w:r>
        <w:r w:rsidR="00BC0420">
          <w:rPr>
            <w:webHidden/>
          </w:rPr>
          <w:fldChar w:fldCharType="begin"/>
        </w:r>
        <w:r w:rsidR="00BC0420">
          <w:rPr>
            <w:webHidden/>
          </w:rPr>
          <w:instrText xml:space="preserve"> PAGEREF _Toc24731215 \h </w:instrText>
        </w:r>
        <w:r w:rsidR="00BC0420">
          <w:rPr>
            <w:webHidden/>
          </w:rPr>
        </w:r>
        <w:r w:rsidR="00BC0420">
          <w:rPr>
            <w:webHidden/>
          </w:rPr>
          <w:fldChar w:fldCharType="separate"/>
        </w:r>
        <w:r w:rsidR="00070568">
          <w:rPr>
            <w:webHidden/>
          </w:rPr>
          <w:t>13</w:t>
        </w:r>
        <w:r w:rsidR="00BC0420">
          <w:rPr>
            <w:webHidden/>
          </w:rPr>
          <w:fldChar w:fldCharType="end"/>
        </w:r>
      </w:hyperlink>
    </w:p>
    <w:p w14:paraId="7FB193DB" w14:textId="3E5D6FFC" w:rsidR="00BC0420" w:rsidRDefault="006B0140">
      <w:pPr>
        <w:pStyle w:val="TOC2"/>
        <w:rPr>
          <w:rFonts w:asciiTheme="minorHAnsi" w:eastAsiaTheme="minorEastAsia" w:hAnsiTheme="minorHAnsi" w:cstheme="minorBidi"/>
          <w:color w:val="auto"/>
          <w:szCs w:val="22"/>
        </w:rPr>
      </w:pPr>
      <w:hyperlink w:anchor="_Toc24731216" w:history="1">
        <w:r w:rsidR="00BC0420" w:rsidRPr="00FC2E1E">
          <w:rPr>
            <w:rStyle w:val="Hyperlink"/>
          </w:rPr>
          <w:t>Assessing the adequacy of the system</w:t>
        </w:r>
        <w:r w:rsidR="00BC0420">
          <w:rPr>
            <w:webHidden/>
          </w:rPr>
          <w:tab/>
        </w:r>
        <w:r w:rsidR="00BC0420">
          <w:rPr>
            <w:webHidden/>
          </w:rPr>
          <w:fldChar w:fldCharType="begin"/>
        </w:r>
        <w:r w:rsidR="00BC0420">
          <w:rPr>
            <w:webHidden/>
          </w:rPr>
          <w:instrText xml:space="preserve"> PAGEREF _Toc24731216 \h </w:instrText>
        </w:r>
        <w:r w:rsidR="00BC0420">
          <w:rPr>
            <w:webHidden/>
          </w:rPr>
        </w:r>
        <w:r w:rsidR="00BC0420">
          <w:rPr>
            <w:webHidden/>
          </w:rPr>
          <w:fldChar w:fldCharType="separate"/>
        </w:r>
        <w:r w:rsidR="00070568">
          <w:rPr>
            <w:webHidden/>
          </w:rPr>
          <w:t>15</w:t>
        </w:r>
        <w:r w:rsidR="00BC0420">
          <w:rPr>
            <w:webHidden/>
          </w:rPr>
          <w:fldChar w:fldCharType="end"/>
        </w:r>
      </w:hyperlink>
    </w:p>
    <w:p w14:paraId="5A824619" w14:textId="4377D380" w:rsidR="00BC0420" w:rsidRDefault="006B0140">
      <w:pPr>
        <w:pStyle w:val="TOC1"/>
        <w:rPr>
          <w:rFonts w:asciiTheme="minorHAnsi" w:eastAsiaTheme="minorEastAsia" w:hAnsiTheme="minorHAnsi" w:cstheme="minorBidi"/>
          <w:b w:val="0"/>
          <w:color w:val="auto"/>
        </w:rPr>
      </w:pPr>
      <w:hyperlink w:anchor="_Toc24731217" w:history="1">
        <w:r w:rsidR="00BC0420" w:rsidRPr="00FC2E1E">
          <w:rPr>
            <w:rStyle w:val="Hyperlink"/>
          </w:rPr>
          <w:t>Equity</w:t>
        </w:r>
        <w:r w:rsidR="00BC0420">
          <w:rPr>
            <w:webHidden/>
          </w:rPr>
          <w:tab/>
        </w:r>
        <w:r w:rsidR="00BC0420">
          <w:rPr>
            <w:webHidden/>
          </w:rPr>
          <w:fldChar w:fldCharType="begin"/>
        </w:r>
        <w:r w:rsidR="00BC0420">
          <w:rPr>
            <w:webHidden/>
          </w:rPr>
          <w:instrText xml:space="preserve"> PAGEREF _Toc24731217 \h </w:instrText>
        </w:r>
        <w:r w:rsidR="00BC0420">
          <w:rPr>
            <w:webHidden/>
          </w:rPr>
        </w:r>
        <w:r w:rsidR="00BC0420">
          <w:rPr>
            <w:webHidden/>
          </w:rPr>
          <w:fldChar w:fldCharType="separate"/>
        </w:r>
        <w:r w:rsidR="00070568">
          <w:rPr>
            <w:webHidden/>
          </w:rPr>
          <w:t>16</w:t>
        </w:r>
        <w:r w:rsidR="00BC0420">
          <w:rPr>
            <w:webHidden/>
          </w:rPr>
          <w:fldChar w:fldCharType="end"/>
        </w:r>
      </w:hyperlink>
    </w:p>
    <w:p w14:paraId="52C80B91" w14:textId="11334C07" w:rsidR="00BC0420" w:rsidRDefault="006B0140">
      <w:pPr>
        <w:pStyle w:val="TOC2"/>
        <w:rPr>
          <w:rFonts w:asciiTheme="minorHAnsi" w:eastAsiaTheme="minorEastAsia" w:hAnsiTheme="minorHAnsi" w:cstheme="minorBidi"/>
          <w:color w:val="auto"/>
          <w:szCs w:val="22"/>
        </w:rPr>
      </w:pPr>
      <w:hyperlink w:anchor="_Toc24731218" w:history="1">
        <w:r w:rsidR="00BC0420" w:rsidRPr="00FC2E1E">
          <w:rPr>
            <w:rStyle w:val="Hyperlink"/>
          </w:rPr>
          <w:t>What is meant by equity</w:t>
        </w:r>
        <w:r w:rsidR="00BC0420">
          <w:rPr>
            <w:webHidden/>
          </w:rPr>
          <w:tab/>
        </w:r>
        <w:r w:rsidR="00BC0420">
          <w:rPr>
            <w:webHidden/>
          </w:rPr>
          <w:fldChar w:fldCharType="begin"/>
        </w:r>
        <w:r w:rsidR="00BC0420">
          <w:rPr>
            <w:webHidden/>
          </w:rPr>
          <w:instrText xml:space="preserve"> PAGEREF _Toc24731218 \h </w:instrText>
        </w:r>
        <w:r w:rsidR="00BC0420">
          <w:rPr>
            <w:webHidden/>
          </w:rPr>
        </w:r>
        <w:r w:rsidR="00BC0420">
          <w:rPr>
            <w:webHidden/>
          </w:rPr>
          <w:fldChar w:fldCharType="separate"/>
        </w:r>
        <w:r w:rsidR="00070568">
          <w:rPr>
            <w:webHidden/>
          </w:rPr>
          <w:t>16</w:t>
        </w:r>
        <w:r w:rsidR="00BC0420">
          <w:rPr>
            <w:webHidden/>
          </w:rPr>
          <w:fldChar w:fldCharType="end"/>
        </w:r>
      </w:hyperlink>
    </w:p>
    <w:p w14:paraId="5F709563" w14:textId="0C2E91AB" w:rsidR="00BC0420" w:rsidRDefault="006B0140">
      <w:pPr>
        <w:pStyle w:val="TOC2"/>
        <w:rPr>
          <w:rFonts w:asciiTheme="minorHAnsi" w:eastAsiaTheme="minorEastAsia" w:hAnsiTheme="minorHAnsi" w:cstheme="minorBidi"/>
          <w:color w:val="auto"/>
          <w:szCs w:val="22"/>
        </w:rPr>
      </w:pPr>
      <w:hyperlink w:anchor="_Toc24731219" w:history="1">
        <w:r w:rsidR="00BC0420" w:rsidRPr="00FC2E1E">
          <w:rPr>
            <w:rStyle w:val="Hyperlink"/>
          </w:rPr>
          <w:t>Assessing whether the system is equitable</w:t>
        </w:r>
        <w:r w:rsidR="00BC0420">
          <w:rPr>
            <w:webHidden/>
          </w:rPr>
          <w:tab/>
        </w:r>
        <w:r w:rsidR="00BC0420">
          <w:rPr>
            <w:webHidden/>
          </w:rPr>
          <w:fldChar w:fldCharType="begin"/>
        </w:r>
        <w:r w:rsidR="00BC0420">
          <w:rPr>
            <w:webHidden/>
          </w:rPr>
          <w:instrText xml:space="preserve"> PAGEREF _Toc24731219 \h </w:instrText>
        </w:r>
        <w:r w:rsidR="00BC0420">
          <w:rPr>
            <w:webHidden/>
          </w:rPr>
        </w:r>
        <w:r w:rsidR="00BC0420">
          <w:rPr>
            <w:webHidden/>
          </w:rPr>
          <w:fldChar w:fldCharType="separate"/>
        </w:r>
        <w:r w:rsidR="00070568">
          <w:rPr>
            <w:webHidden/>
          </w:rPr>
          <w:t>16</w:t>
        </w:r>
        <w:r w:rsidR="00BC0420">
          <w:rPr>
            <w:webHidden/>
          </w:rPr>
          <w:fldChar w:fldCharType="end"/>
        </w:r>
      </w:hyperlink>
    </w:p>
    <w:p w14:paraId="7D1FDD63" w14:textId="478ECFCF" w:rsidR="00BC0420" w:rsidRDefault="006B0140">
      <w:pPr>
        <w:pStyle w:val="TOC1"/>
        <w:rPr>
          <w:rFonts w:asciiTheme="minorHAnsi" w:eastAsiaTheme="minorEastAsia" w:hAnsiTheme="minorHAnsi" w:cstheme="minorBidi"/>
          <w:b w:val="0"/>
          <w:color w:val="auto"/>
        </w:rPr>
      </w:pPr>
      <w:hyperlink w:anchor="_Toc24731220" w:history="1">
        <w:r w:rsidR="00BC0420" w:rsidRPr="00FC2E1E">
          <w:rPr>
            <w:rStyle w:val="Hyperlink"/>
          </w:rPr>
          <w:t>Sustainability</w:t>
        </w:r>
        <w:r w:rsidR="00BC0420">
          <w:rPr>
            <w:webHidden/>
          </w:rPr>
          <w:tab/>
        </w:r>
        <w:r w:rsidR="00BC0420">
          <w:rPr>
            <w:webHidden/>
          </w:rPr>
          <w:fldChar w:fldCharType="begin"/>
        </w:r>
        <w:r w:rsidR="00BC0420">
          <w:rPr>
            <w:webHidden/>
          </w:rPr>
          <w:instrText xml:space="preserve"> PAGEREF _Toc24731220 \h </w:instrText>
        </w:r>
        <w:r w:rsidR="00BC0420">
          <w:rPr>
            <w:webHidden/>
          </w:rPr>
        </w:r>
        <w:r w:rsidR="00BC0420">
          <w:rPr>
            <w:webHidden/>
          </w:rPr>
          <w:fldChar w:fldCharType="separate"/>
        </w:r>
        <w:r w:rsidR="00070568">
          <w:rPr>
            <w:webHidden/>
          </w:rPr>
          <w:t>20</w:t>
        </w:r>
        <w:r w:rsidR="00BC0420">
          <w:rPr>
            <w:webHidden/>
          </w:rPr>
          <w:fldChar w:fldCharType="end"/>
        </w:r>
      </w:hyperlink>
    </w:p>
    <w:p w14:paraId="4A7D2AC8" w14:textId="0A906C61" w:rsidR="00BC0420" w:rsidRDefault="006B0140">
      <w:pPr>
        <w:pStyle w:val="TOC2"/>
        <w:rPr>
          <w:rFonts w:asciiTheme="minorHAnsi" w:eastAsiaTheme="minorEastAsia" w:hAnsiTheme="minorHAnsi" w:cstheme="minorBidi"/>
          <w:color w:val="auto"/>
          <w:szCs w:val="22"/>
        </w:rPr>
      </w:pPr>
      <w:hyperlink w:anchor="_Toc24731221" w:history="1">
        <w:r w:rsidR="00BC0420" w:rsidRPr="00FC2E1E">
          <w:rPr>
            <w:rStyle w:val="Hyperlink"/>
          </w:rPr>
          <w:t>What is meant by sustainability</w:t>
        </w:r>
        <w:r w:rsidR="00BC0420">
          <w:rPr>
            <w:webHidden/>
          </w:rPr>
          <w:tab/>
        </w:r>
        <w:r w:rsidR="00BC0420">
          <w:rPr>
            <w:webHidden/>
          </w:rPr>
          <w:fldChar w:fldCharType="begin"/>
        </w:r>
        <w:r w:rsidR="00BC0420">
          <w:rPr>
            <w:webHidden/>
          </w:rPr>
          <w:instrText xml:space="preserve"> PAGEREF _Toc24731221 \h </w:instrText>
        </w:r>
        <w:r w:rsidR="00BC0420">
          <w:rPr>
            <w:webHidden/>
          </w:rPr>
        </w:r>
        <w:r w:rsidR="00BC0420">
          <w:rPr>
            <w:webHidden/>
          </w:rPr>
          <w:fldChar w:fldCharType="separate"/>
        </w:r>
        <w:r w:rsidR="00070568">
          <w:rPr>
            <w:webHidden/>
          </w:rPr>
          <w:t>20</w:t>
        </w:r>
        <w:r w:rsidR="00BC0420">
          <w:rPr>
            <w:webHidden/>
          </w:rPr>
          <w:fldChar w:fldCharType="end"/>
        </w:r>
      </w:hyperlink>
    </w:p>
    <w:p w14:paraId="3EDF1266" w14:textId="7F0D0B07" w:rsidR="00BC0420" w:rsidRDefault="006B0140">
      <w:pPr>
        <w:pStyle w:val="TOC2"/>
        <w:rPr>
          <w:rFonts w:asciiTheme="minorHAnsi" w:eastAsiaTheme="minorEastAsia" w:hAnsiTheme="minorHAnsi" w:cstheme="minorBidi"/>
          <w:color w:val="auto"/>
          <w:szCs w:val="22"/>
        </w:rPr>
      </w:pPr>
      <w:hyperlink w:anchor="_Toc24731222" w:history="1">
        <w:r w:rsidR="00BC0420" w:rsidRPr="00FC2E1E">
          <w:rPr>
            <w:rStyle w:val="Hyperlink"/>
          </w:rPr>
          <w:t>Assessing whether the system is sustainable</w:t>
        </w:r>
        <w:r w:rsidR="00BC0420">
          <w:rPr>
            <w:webHidden/>
          </w:rPr>
          <w:tab/>
        </w:r>
        <w:r w:rsidR="00BC0420">
          <w:rPr>
            <w:webHidden/>
          </w:rPr>
          <w:fldChar w:fldCharType="begin"/>
        </w:r>
        <w:r w:rsidR="00BC0420">
          <w:rPr>
            <w:webHidden/>
          </w:rPr>
          <w:instrText xml:space="preserve"> PAGEREF _Toc24731222 \h </w:instrText>
        </w:r>
        <w:r w:rsidR="00BC0420">
          <w:rPr>
            <w:webHidden/>
          </w:rPr>
        </w:r>
        <w:r w:rsidR="00BC0420">
          <w:rPr>
            <w:webHidden/>
          </w:rPr>
          <w:fldChar w:fldCharType="separate"/>
        </w:r>
        <w:r w:rsidR="00070568">
          <w:rPr>
            <w:webHidden/>
          </w:rPr>
          <w:t>20</w:t>
        </w:r>
        <w:r w:rsidR="00BC0420">
          <w:rPr>
            <w:webHidden/>
          </w:rPr>
          <w:fldChar w:fldCharType="end"/>
        </w:r>
      </w:hyperlink>
    </w:p>
    <w:p w14:paraId="0ED1A16F" w14:textId="1AF880B1" w:rsidR="00BC0420" w:rsidRDefault="006B0140">
      <w:pPr>
        <w:pStyle w:val="TOC1"/>
        <w:rPr>
          <w:rFonts w:asciiTheme="minorHAnsi" w:eastAsiaTheme="minorEastAsia" w:hAnsiTheme="minorHAnsi" w:cstheme="minorBidi"/>
          <w:b w:val="0"/>
          <w:color w:val="auto"/>
        </w:rPr>
      </w:pPr>
      <w:hyperlink w:anchor="_Toc24731223" w:history="1">
        <w:r w:rsidR="00BC0420" w:rsidRPr="00FC2E1E">
          <w:rPr>
            <w:rStyle w:val="Hyperlink"/>
          </w:rPr>
          <w:t>Cohesion</w:t>
        </w:r>
        <w:r w:rsidR="00BC0420">
          <w:rPr>
            <w:webHidden/>
          </w:rPr>
          <w:tab/>
        </w:r>
        <w:r w:rsidR="00BC0420">
          <w:rPr>
            <w:webHidden/>
          </w:rPr>
          <w:fldChar w:fldCharType="begin"/>
        </w:r>
        <w:r w:rsidR="00BC0420">
          <w:rPr>
            <w:webHidden/>
          </w:rPr>
          <w:instrText xml:space="preserve"> PAGEREF _Toc24731223 \h </w:instrText>
        </w:r>
        <w:r w:rsidR="00BC0420">
          <w:rPr>
            <w:webHidden/>
          </w:rPr>
        </w:r>
        <w:r w:rsidR="00BC0420">
          <w:rPr>
            <w:webHidden/>
          </w:rPr>
          <w:fldChar w:fldCharType="separate"/>
        </w:r>
        <w:r w:rsidR="00070568">
          <w:rPr>
            <w:webHidden/>
          </w:rPr>
          <w:t>24</w:t>
        </w:r>
        <w:r w:rsidR="00BC0420">
          <w:rPr>
            <w:webHidden/>
          </w:rPr>
          <w:fldChar w:fldCharType="end"/>
        </w:r>
      </w:hyperlink>
    </w:p>
    <w:p w14:paraId="1B2AD2A7" w14:textId="6E06FE44" w:rsidR="00BC0420" w:rsidRDefault="006B0140">
      <w:pPr>
        <w:pStyle w:val="TOC2"/>
        <w:rPr>
          <w:rFonts w:asciiTheme="minorHAnsi" w:eastAsiaTheme="minorEastAsia" w:hAnsiTheme="minorHAnsi" w:cstheme="minorBidi"/>
          <w:color w:val="auto"/>
          <w:szCs w:val="22"/>
        </w:rPr>
      </w:pPr>
      <w:hyperlink w:anchor="_Toc24731224" w:history="1">
        <w:r w:rsidR="00BC0420" w:rsidRPr="00FC2E1E">
          <w:rPr>
            <w:rStyle w:val="Hyperlink"/>
          </w:rPr>
          <w:t>What is meant by cohesion</w:t>
        </w:r>
        <w:r w:rsidR="00BC0420">
          <w:rPr>
            <w:webHidden/>
          </w:rPr>
          <w:tab/>
        </w:r>
        <w:r w:rsidR="00BC0420">
          <w:rPr>
            <w:webHidden/>
          </w:rPr>
          <w:fldChar w:fldCharType="begin"/>
        </w:r>
        <w:r w:rsidR="00BC0420">
          <w:rPr>
            <w:webHidden/>
          </w:rPr>
          <w:instrText xml:space="preserve"> PAGEREF _Toc24731224 \h </w:instrText>
        </w:r>
        <w:r w:rsidR="00BC0420">
          <w:rPr>
            <w:webHidden/>
          </w:rPr>
        </w:r>
        <w:r w:rsidR="00BC0420">
          <w:rPr>
            <w:webHidden/>
          </w:rPr>
          <w:fldChar w:fldCharType="separate"/>
        </w:r>
        <w:r w:rsidR="00070568">
          <w:rPr>
            <w:webHidden/>
          </w:rPr>
          <w:t>24</w:t>
        </w:r>
        <w:r w:rsidR="00BC0420">
          <w:rPr>
            <w:webHidden/>
          </w:rPr>
          <w:fldChar w:fldCharType="end"/>
        </w:r>
      </w:hyperlink>
    </w:p>
    <w:p w14:paraId="54E01467" w14:textId="6F417C2C" w:rsidR="00BC0420" w:rsidRDefault="006B0140">
      <w:pPr>
        <w:pStyle w:val="TOC2"/>
        <w:rPr>
          <w:rFonts w:asciiTheme="minorHAnsi" w:eastAsiaTheme="minorEastAsia" w:hAnsiTheme="minorHAnsi" w:cstheme="minorBidi"/>
          <w:color w:val="auto"/>
          <w:szCs w:val="22"/>
        </w:rPr>
      </w:pPr>
      <w:hyperlink w:anchor="_Toc24731225" w:history="1">
        <w:r w:rsidR="00BC0420" w:rsidRPr="00FC2E1E">
          <w:rPr>
            <w:rStyle w:val="Hyperlink"/>
          </w:rPr>
          <w:t>Assessing whether the system is cohesive</w:t>
        </w:r>
        <w:r w:rsidR="00BC0420">
          <w:rPr>
            <w:webHidden/>
          </w:rPr>
          <w:tab/>
        </w:r>
        <w:r w:rsidR="00BC0420">
          <w:rPr>
            <w:webHidden/>
          </w:rPr>
          <w:fldChar w:fldCharType="begin"/>
        </w:r>
        <w:r w:rsidR="00BC0420">
          <w:rPr>
            <w:webHidden/>
          </w:rPr>
          <w:instrText xml:space="preserve"> PAGEREF _Toc24731225 \h </w:instrText>
        </w:r>
        <w:r w:rsidR="00BC0420">
          <w:rPr>
            <w:webHidden/>
          </w:rPr>
        </w:r>
        <w:r w:rsidR="00BC0420">
          <w:rPr>
            <w:webHidden/>
          </w:rPr>
          <w:fldChar w:fldCharType="separate"/>
        </w:r>
        <w:r w:rsidR="00070568">
          <w:rPr>
            <w:webHidden/>
          </w:rPr>
          <w:t>24</w:t>
        </w:r>
        <w:r w:rsidR="00BC0420">
          <w:rPr>
            <w:webHidden/>
          </w:rPr>
          <w:fldChar w:fldCharType="end"/>
        </w:r>
      </w:hyperlink>
    </w:p>
    <w:p w14:paraId="53494CBD" w14:textId="77777777" w:rsidR="006175A8" w:rsidRDefault="006175A8">
      <w:pPr>
        <w:spacing w:before="0" w:after="160" w:line="259" w:lineRule="auto"/>
        <w:rPr>
          <w:b/>
          <w:noProof/>
          <w:color w:val="144E60" w:themeColor="accent1"/>
          <w:szCs w:val="22"/>
        </w:rPr>
      </w:pPr>
      <w:r>
        <w:rPr>
          <w:noProof/>
        </w:rPr>
        <w:br w:type="page"/>
      </w:r>
    </w:p>
    <w:p w14:paraId="337B950D" w14:textId="0D405F39" w:rsidR="00BC0420" w:rsidRDefault="006B0140">
      <w:pPr>
        <w:pStyle w:val="TOC1"/>
        <w:rPr>
          <w:rFonts w:asciiTheme="minorHAnsi" w:eastAsiaTheme="minorEastAsia" w:hAnsiTheme="minorHAnsi" w:cstheme="minorBidi"/>
          <w:b w:val="0"/>
          <w:color w:val="auto"/>
        </w:rPr>
      </w:pPr>
      <w:hyperlink w:anchor="_Toc24731226" w:history="1">
        <w:r w:rsidR="00BC0420" w:rsidRPr="00FC2E1E">
          <w:rPr>
            <w:rStyle w:val="Hyperlink"/>
          </w:rPr>
          <w:t>Consultation questions</w:t>
        </w:r>
        <w:r w:rsidR="00BC0420">
          <w:rPr>
            <w:webHidden/>
          </w:rPr>
          <w:tab/>
        </w:r>
        <w:r w:rsidR="00BC0420">
          <w:rPr>
            <w:webHidden/>
          </w:rPr>
          <w:fldChar w:fldCharType="begin"/>
        </w:r>
        <w:r w:rsidR="00BC0420">
          <w:rPr>
            <w:webHidden/>
          </w:rPr>
          <w:instrText xml:space="preserve"> PAGEREF _Toc24731226 \h </w:instrText>
        </w:r>
        <w:r w:rsidR="00BC0420">
          <w:rPr>
            <w:webHidden/>
          </w:rPr>
        </w:r>
        <w:r w:rsidR="00BC0420">
          <w:rPr>
            <w:webHidden/>
          </w:rPr>
          <w:fldChar w:fldCharType="separate"/>
        </w:r>
        <w:r w:rsidR="00070568">
          <w:rPr>
            <w:webHidden/>
          </w:rPr>
          <w:t>27</w:t>
        </w:r>
        <w:r w:rsidR="00BC0420">
          <w:rPr>
            <w:webHidden/>
          </w:rPr>
          <w:fldChar w:fldCharType="end"/>
        </w:r>
      </w:hyperlink>
    </w:p>
    <w:p w14:paraId="2711E133" w14:textId="6ACEF5A9" w:rsidR="00BC0420" w:rsidRDefault="006B0140">
      <w:pPr>
        <w:pStyle w:val="TOC2"/>
        <w:rPr>
          <w:rFonts w:asciiTheme="minorHAnsi" w:eastAsiaTheme="minorEastAsia" w:hAnsiTheme="minorHAnsi" w:cstheme="minorBidi"/>
          <w:color w:val="auto"/>
          <w:szCs w:val="22"/>
        </w:rPr>
      </w:pPr>
      <w:hyperlink w:anchor="_Toc24731227" w:history="1">
        <w:r w:rsidR="00BC0420" w:rsidRPr="00FC2E1E">
          <w:rPr>
            <w:rStyle w:val="Hyperlink"/>
          </w:rPr>
          <w:t>The retirement income system</w:t>
        </w:r>
        <w:r w:rsidR="00BC0420">
          <w:rPr>
            <w:webHidden/>
          </w:rPr>
          <w:tab/>
        </w:r>
        <w:r w:rsidR="00BC0420">
          <w:rPr>
            <w:webHidden/>
          </w:rPr>
          <w:fldChar w:fldCharType="begin"/>
        </w:r>
        <w:r w:rsidR="00BC0420">
          <w:rPr>
            <w:webHidden/>
          </w:rPr>
          <w:instrText xml:space="preserve"> PAGEREF _Toc24731227 \h </w:instrText>
        </w:r>
        <w:r w:rsidR="00BC0420">
          <w:rPr>
            <w:webHidden/>
          </w:rPr>
        </w:r>
        <w:r w:rsidR="00BC0420">
          <w:rPr>
            <w:webHidden/>
          </w:rPr>
          <w:fldChar w:fldCharType="separate"/>
        </w:r>
        <w:r w:rsidR="00070568">
          <w:rPr>
            <w:webHidden/>
          </w:rPr>
          <w:t>27</w:t>
        </w:r>
        <w:r w:rsidR="00BC0420">
          <w:rPr>
            <w:webHidden/>
          </w:rPr>
          <w:fldChar w:fldCharType="end"/>
        </w:r>
      </w:hyperlink>
    </w:p>
    <w:p w14:paraId="73F93452" w14:textId="1ADE020A" w:rsidR="00BC0420" w:rsidRDefault="006B0140">
      <w:pPr>
        <w:pStyle w:val="TOC2"/>
        <w:rPr>
          <w:rFonts w:asciiTheme="minorHAnsi" w:eastAsiaTheme="minorEastAsia" w:hAnsiTheme="minorHAnsi" w:cstheme="minorBidi"/>
          <w:color w:val="auto"/>
          <w:szCs w:val="22"/>
        </w:rPr>
      </w:pPr>
      <w:hyperlink w:anchor="_Toc24731228" w:history="1">
        <w:r w:rsidR="00BC0420" w:rsidRPr="00FC2E1E">
          <w:rPr>
            <w:rStyle w:val="Hyperlink"/>
          </w:rPr>
          <w:t>Purpose of the system and role of the pillars</w:t>
        </w:r>
        <w:r w:rsidR="00BC0420">
          <w:rPr>
            <w:webHidden/>
          </w:rPr>
          <w:tab/>
        </w:r>
        <w:r w:rsidR="00BC0420">
          <w:rPr>
            <w:webHidden/>
          </w:rPr>
          <w:fldChar w:fldCharType="begin"/>
        </w:r>
        <w:r w:rsidR="00BC0420">
          <w:rPr>
            <w:webHidden/>
          </w:rPr>
          <w:instrText xml:space="preserve"> PAGEREF _Toc24731228 \h </w:instrText>
        </w:r>
        <w:r w:rsidR="00BC0420">
          <w:rPr>
            <w:webHidden/>
          </w:rPr>
        </w:r>
        <w:r w:rsidR="00BC0420">
          <w:rPr>
            <w:webHidden/>
          </w:rPr>
          <w:fldChar w:fldCharType="separate"/>
        </w:r>
        <w:r w:rsidR="00070568">
          <w:rPr>
            <w:webHidden/>
          </w:rPr>
          <w:t>27</w:t>
        </w:r>
        <w:r w:rsidR="00BC0420">
          <w:rPr>
            <w:webHidden/>
          </w:rPr>
          <w:fldChar w:fldCharType="end"/>
        </w:r>
      </w:hyperlink>
    </w:p>
    <w:p w14:paraId="3A5922FA" w14:textId="0921F683" w:rsidR="00BC0420" w:rsidRDefault="006B0140">
      <w:pPr>
        <w:pStyle w:val="TOC2"/>
        <w:rPr>
          <w:rFonts w:asciiTheme="minorHAnsi" w:eastAsiaTheme="minorEastAsia" w:hAnsiTheme="minorHAnsi" w:cstheme="minorBidi"/>
          <w:color w:val="auto"/>
          <w:szCs w:val="22"/>
        </w:rPr>
      </w:pPr>
      <w:hyperlink w:anchor="_Toc24731229" w:history="1">
        <w:r w:rsidR="00BC0420" w:rsidRPr="00FC2E1E">
          <w:rPr>
            <w:rStyle w:val="Hyperlink"/>
          </w:rPr>
          <w:t>The changing Australian landscape</w:t>
        </w:r>
        <w:r w:rsidR="00BC0420">
          <w:rPr>
            <w:webHidden/>
          </w:rPr>
          <w:tab/>
        </w:r>
        <w:r w:rsidR="00BC0420">
          <w:rPr>
            <w:webHidden/>
          </w:rPr>
          <w:fldChar w:fldCharType="begin"/>
        </w:r>
        <w:r w:rsidR="00BC0420">
          <w:rPr>
            <w:webHidden/>
          </w:rPr>
          <w:instrText xml:space="preserve"> PAGEREF _Toc24731229 \h </w:instrText>
        </w:r>
        <w:r w:rsidR="00BC0420">
          <w:rPr>
            <w:webHidden/>
          </w:rPr>
        </w:r>
        <w:r w:rsidR="00BC0420">
          <w:rPr>
            <w:webHidden/>
          </w:rPr>
          <w:fldChar w:fldCharType="separate"/>
        </w:r>
        <w:r w:rsidR="00070568">
          <w:rPr>
            <w:webHidden/>
          </w:rPr>
          <w:t>27</w:t>
        </w:r>
        <w:r w:rsidR="00BC0420">
          <w:rPr>
            <w:webHidden/>
          </w:rPr>
          <w:fldChar w:fldCharType="end"/>
        </w:r>
      </w:hyperlink>
    </w:p>
    <w:p w14:paraId="089FADF6" w14:textId="091F1716" w:rsidR="00BC0420" w:rsidRDefault="006B0140">
      <w:pPr>
        <w:pStyle w:val="TOC2"/>
        <w:rPr>
          <w:rFonts w:asciiTheme="minorHAnsi" w:eastAsiaTheme="minorEastAsia" w:hAnsiTheme="minorHAnsi" w:cstheme="minorBidi"/>
          <w:color w:val="auto"/>
          <w:szCs w:val="22"/>
        </w:rPr>
      </w:pPr>
      <w:hyperlink w:anchor="_Toc24731230" w:history="1">
        <w:r w:rsidR="00BC0420" w:rsidRPr="00FC2E1E">
          <w:rPr>
            <w:rStyle w:val="Hyperlink"/>
          </w:rPr>
          <w:t>Principles for assessing the system</w:t>
        </w:r>
        <w:r w:rsidR="00BC0420">
          <w:rPr>
            <w:webHidden/>
          </w:rPr>
          <w:tab/>
        </w:r>
        <w:r w:rsidR="00BC0420">
          <w:rPr>
            <w:webHidden/>
          </w:rPr>
          <w:fldChar w:fldCharType="begin"/>
        </w:r>
        <w:r w:rsidR="00BC0420">
          <w:rPr>
            <w:webHidden/>
          </w:rPr>
          <w:instrText xml:space="preserve"> PAGEREF _Toc24731230 \h </w:instrText>
        </w:r>
        <w:r w:rsidR="00BC0420">
          <w:rPr>
            <w:webHidden/>
          </w:rPr>
        </w:r>
        <w:r w:rsidR="00BC0420">
          <w:rPr>
            <w:webHidden/>
          </w:rPr>
          <w:fldChar w:fldCharType="separate"/>
        </w:r>
        <w:r w:rsidR="00070568">
          <w:rPr>
            <w:webHidden/>
          </w:rPr>
          <w:t>27</w:t>
        </w:r>
        <w:r w:rsidR="00BC0420">
          <w:rPr>
            <w:webHidden/>
          </w:rPr>
          <w:fldChar w:fldCharType="end"/>
        </w:r>
      </w:hyperlink>
    </w:p>
    <w:p w14:paraId="70E16160" w14:textId="16F5B637" w:rsidR="00BC0420" w:rsidRDefault="006B0140">
      <w:pPr>
        <w:pStyle w:val="TOC2"/>
        <w:rPr>
          <w:rFonts w:asciiTheme="minorHAnsi" w:eastAsiaTheme="minorEastAsia" w:hAnsiTheme="minorHAnsi" w:cstheme="minorBidi"/>
          <w:color w:val="auto"/>
          <w:szCs w:val="22"/>
        </w:rPr>
      </w:pPr>
      <w:hyperlink w:anchor="_Toc24731231" w:history="1">
        <w:r w:rsidR="00BC0420" w:rsidRPr="00FC2E1E">
          <w:rPr>
            <w:rStyle w:val="Hyperlink"/>
          </w:rPr>
          <w:t>Adequacy</w:t>
        </w:r>
        <w:r w:rsidR="00BC0420">
          <w:rPr>
            <w:webHidden/>
          </w:rPr>
          <w:tab/>
        </w:r>
        <w:r w:rsidR="00BC0420">
          <w:rPr>
            <w:webHidden/>
          </w:rPr>
          <w:fldChar w:fldCharType="begin"/>
        </w:r>
        <w:r w:rsidR="00BC0420">
          <w:rPr>
            <w:webHidden/>
          </w:rPr>
          <w:instrText xml:space="preserve"> PAGEREF _Toc24731231 \h </w:instrText>
        </w:r>
        <w:r w:rsidR="00BC0420">
          <w:rPr>
            <w:webHidden/>
          </w:rPr>
        </w:r>
        <w:r w:rsidR="00BC0420">
          <w:rPr>
            <w:webHidden/>
          </w:rPr>
          <w:fldChar w:fldCharType="separate"/>
        </w:r>
        <w:r w:rsidR="00070568">
          <w:rPr>
            <w:webHidden/>
          </w:rPr>
          <w:t>27</w:t>
        </w:r>
        <w:r w:rsidR="00BC0420">
          <w:rPr>
            <w:webHidden/>
          </w:rPr>
          <w:fldChar w:fldCharType="end"/>
        </w:r>
      </w:hyperlink>
    </w:p>
    <w:p w14:paraId="116183C2" w14:textId="487BAE23" w:rsidR="00BC0420" w:rsidRDefault="006B0140">
      <w:pPr>
        <w:pStyle w:val="TOC2"/>
        <w:rPr>
          <w:rFonts w:asciiTheme="minorHAnsi" w:eastAsiaTheme="minorEastAsia" w:hAnsiTheme="minorHAnsi" w:cstheme="minorBidi"/>
          <w:color w:val="auto"/>
          <w:szCs w:val="22"/>
        </w:rPr>
      </w:pPr>
      <w:hyperlink w:anchor="_Toc24731232" w:history="1">
        <w:r w:rsidR="00BC0420" w:rsidRPr="00FC2E1E">
          <w:rPr>
            <w:rStyle w:val="Hyperlink"/>
          </w:rPr>
          <w:t>Equity</w:t>
        </w:r>
        <w:r w:rsidR="00BC0420">
          <w:rPr>
            <w:webHidden/>
          </w:rPr>
          <w:tab/>
        </w:r>
        <w:r w:rsidR="00BC0420">
          <w:rPr>
            <w:webHidden/>
          </w:rPr>
          <w:fldChar w:fldCharType="begin"/>
        </w:r>
        <w:r w:rsidR="00BC0420">
          <w:rPr>
            <w:webHidden/>
          </w:rPr>
          <w:instrText xml:space="preserve"> PAGEREF _Toc24731232 \h </w:instrText>
        </w:r>
        <w:r w:rsidR="00BC0420">
          <w:rPr>
            <w:webHidden/>
          </w:rPr>
        </w:r>
        <w:r w:rsidR="00BC0420">
          <w:rPr>
            <w:webHidden/>
          </w:rPr>
          <w:fldChar w:fldCharType="separate"/>
        </w:r>
        <w:r w:rsidR="00070568">
          <w:rPr>
            <w:webHidden/>
          </w:rPr>
          <w:t>28</w:t>
        </w:r>
        <w:r w:rsidR="00BC0420">
          <w:rPr>
            <w:webHidden/>
          </w:rPr>
          <w:fldChar w:fldCharType="end"/>
        </w:r>
      </w:hyperlink>
    </w:p>
    <w:p w14:paraId="650861E5" w14:textId="2C0CE14B" w:rsidR="00BC0420" w:rsidRDefault="006B0140">
      <w:pPr>
        <w:pStyle w:val="TOC2"/>
        <w:rPr>
          <w:rFonts w:asciiTheme="minorHAnsi" w:eastAsiaTheme="minorEastAsia" w:hAnsiTheme="minorHAnsi" w:cstheme="minorBidi"/>
          <w:color w:val="auto"/>
          <w:szCs w:val="22"/>
        </w:rPr>
      </w:pPr>
      <w:hyperlink w:anchor="_Toc24731233" w:history="1">
        <w:r w:rsidR="00BC0420" w:rsidRPr="00FC2E1E">
          <w:rPr>
            <w:rStyle w:val="Hyperlink"/>
          </w:rPr>
          <w:t>Sustainability</w:t>
        </w:r>
        <w:r w:rsidR="00BC0420">
          <w:rPr>
            <w:webHidden/>
          </w:rPr>
          <w:tab/>
        </w:r>
        <w:r w:rsidR="00BC0420">
          <w:rPr>
            <w:webHidden/>
          </w:rPr>
          <w:fldChar w:fldCharType="begin"/>
        </w:r>
        <w:r w:rsidR="00BC0420">
          <w:rPr>
            <w:webHidden/>
          </w:rPr>
          <w:instrText xml:space="preserve"> PAGEREF _Toc24731233 \h </w:instrText>
        </w:r>
        <w:r w:rsidR="00BC0420">
          <w:rPr>
            <w:webHidden/>
          </w:rPr>
        </w:r>
        <w:r w:rsidR="00BC0420">
          <w:rPr>
            <w:webHidden/>
          </w:rPr>
          <w:fldChar w:fldCharType="separate"/>
        </w:r>
        <w:r w:rsidR="00070568">
          <w:rPr>
            <w:webHidden/>
          </w:rPr>
          <w:t>28</w:t>
        </w:r>
        <w:r w:rsidR="00BC0420">
          <w:rPr>
            <w:webHidden/>
          </w:rPr>
          <w:fldChar w:fldCharType="end"/>
        </w:r>
      </w:hyperlink>
    </w:p>
    <w:p w14:paraId="0DA085C8" w14:textId="79ED8A45" w:rsidR="00BC0420" w:rsidRDefault="006B0140">
      <w:pPr>
        <w:pStyle w:val="TOC2"/>
        <w:rPr>
          <w:rFonts w:asciiTheme="minorHAnsi" w:eastAsiaTheme="minorEastAsia" w:hAnsiTheme="minorHAnsi" w:cstheme="minorBidi"/>
          <w:color w:val="auto"/>
          <w:szCs w:val="22"/>
        </w:rPr>
      </w:pPr>
      <w:hyperlink w:anchor="_Toc24731234" w:history="1">
        <w:r w:rsidR="00BC0420" w:rsidRPr="00FC2E1E">
          <w:rPr>
            <w:rStyle w:val="Hyperlink"/>
          </w:rPr>
          <w:t>Cohesion</w:t>
        </w:r>
        <w:r w:rsidR="00BC0420">
          <w:rPr>
            <w:webHidden/>
          </w:rPr>
          <w:tab/>
        </w:r>
        <w:r w:rsidR="00BC0420">
          <w:rPr>
            <w:webHidden/>
          </w:rPr>
          <w:fldChar w:fldCharType="begin"/>
        </w:r>
        <w:r w:rsidR="00BC0420">
          <w:rPr>
            <w:webHidden/>
          </w:rPr>
          <w:instrText xml:space="preserve"> PAGEREF _Toc24731234 \h </w:instrText>
        </w:r>
        <w:r w:rsidR="00BC0420">
          <w:rPr>
            <w:webHidden/>
          </w:rPr>
        </w:r>
        <w:r w:rsidR="00BC0420">
          <w:rPr>
            <w:webHidden/>
          </w:rPr>
          <w:fldChar w:fldCharType="separate"/>
        </w:r>
        <w:r w:rsidR="00070568">
          <w:rPr>
            <w:webHidden/>
          </w:rPr>
          <w:t>28</w:t>
        </w:r>
        <w:r w:rsidR="00BC0420">
          <w:rPr>
            <w:webHidden/>
          </w:rPr>
          <w:fldChar w:fldCharType="end"/>
        </w:r>
      </w:hyperlink>
    </w:p>
    <w:p w14:paraId="6238F93C" w14:textId="7841306F" w:rsidR="00BC0420" w:rsidRDefault="006B0140">
      <w:pPr>
        <w:pStyle w:val="TOC1"/>
        <w:rPr>
          <w:rFonts w:asciiTheme="minorHAnsi" w:eastAsiaTheme="minorEastAsia" w:hAnsiTheme="minorHAnsi" w:cstheme="minorBidi"/>
          <w:b w:val="0"/>
          <w:color w:val="auto"/>
        </w:rPr>
      </w:pPr>
      <w:hyperlink w:anchor="_Toc24731235" w:history="1">
        <w:r w:rsidR="00BC0420" w:rsidRPr="00FC2E1E">
          <w:rPr>
            <w:rStyle w:val="Hyperlink"/>
          </w:rPr>
          <w:t>References</w:t>
        </w:r>
        <w:r w:rsidR="00BC0420">
          <w:rPr>
            <w:webHidden/>
          </w:rPr>
          <w:tab/>
        </w:r>
        <w:r w:rsidR="00BC0420">
          <w:rPr>
            <w:webHidden/>
          </w:rPr>
          <w:fldChar w:fldCharType="begin"/>
        </w:r>
        <w:r w:rsidR="00BC0420">
          <w:rPr>
            <w:webHidden/>
          </w:rPr>
          <w:instrText xml:space="preserve"> PAGEREF _Toc24731235 \h </w:instrText>
        </w:r>
        <w:r w:rsidR="00BC0420">
          <w:rPr>
            <w:webHidden/>
          </w:rPr>
        </w:r>
        <w:r w:rsidR="00BC0420">
          <w:rPr>
            <w:webHidden/>
          </w:rPr>
          <w:fldChar w:fldCharType="separate"/>
        </w:r>
        <w:r w:rsidR="00070568">
          <w:rPr>
            <w:webHidden/>
          </w:rPr>
          <w:t>29</w:t>
        </w:r>
        <w:r w:rsidR="00BC0420">
          <w:rPr>
            <w:webHidden/>
          </w:rPr>
          <w:fldChar w:fldCharType="end"/>
        </w:r>
      </w:hyperlink>
    </w:p>
    <w:p w14:paraId="4CDCFE4D" w14:textId="29458868" w:rsidR="0031121C" w:rsidRDefault="001B09C4" w:rsidP="0031121C">
      <w:pPr>
        <w:pStyle w:val="SingleParagraph"/>
        <w:tabs>
          <w:tab w:val="right" w:leader="dot" w:pos="9072"/>
        </w:tabs>
        <w:ind w:right="-2"/>
        <w:rPr>
          <w:b/>
          <w:noProof/>
          <w:color w:val="004A7F"/>
        </w:rPr>
      </w:pPr>
      <w:r>
        <w:rPr>
          <w:b/>
          <w:noProof/>
          <w:color w:val="004A7F"/>
          <w:szCs w:val="22"/>
        </w:rPr>
        <w:fldChar w:fldCharType="end"/>
      </w:r>
    </w:p>
    <w:p w14:paraId="749A31DA" w14:textId="77777777" w:rsidR="00777C2F" w:rsidRDefault="00777C2F">
      <w:pPr>
        <w:spacing w:before="0" w:after="160" w:line="259" w:lineRule="auto"/>
        <w:rPr>
          <w:rFonts w:cs="Arial"/>
          <w:color w:val="144E60" w:themeColor="accent1"/>
          <w:kern w:val="32"/>
          <w:sz w:val="48"/>
          <w:szCs w:val="36"/>
        </w:rPr>
      </w:pPr>
      <w:r>
        <w:br w:type="page"/>
      </w:r>
    </w:p>
    <w:p w14:paraId="049526D9" w14:textId="0F0384CC" w:rsidR="0031121C" w:rsidRDefault="002F6160" w:rsidP="00195FE6">
      <w:pPr>
        <w:pStyle w:val="Heading1"/>
      </w:pPr>
      <w:bookmarkStart w:id="9" w:name="_Toc24545110"/>
      <w:bookmarkStart w:id="10" w:name="_Toc24545336"/>
      <w:bookmarkStart w:id="11" w:name="_Toc24547597"/>
      <w:bookmarkStart w:id="12" w:name="_Toc24551377"/>
      <w:bookmarkStart w:id="13" w:name="_Toc24554713"/>
      <w:bookmarkStart w:id="14" w:name="_Toc24556310"/>
      <w:bookmarkStart w:id="15" w:name="_Toc24712755"/>
      <w:bookmarkStart w:id="16" w:name="_Toc24716999"/>
      <w:bookmarkStart w:id="17" w:name="_Toc24721538"/>
      <w:bookmarkStart w:id="18" w:name="_Toc24722252"/>
      <w:bookmarkStart w:id="19" w:name="_Toc24728667"/>
      <w:bookmarkStart w:id="20" w:name="_Toc24731193"/>
      <w:bookmarkEnd w:id="9"/>
      <w:bookmarkEnd w:id="10"/>
      <w:bookmarkEnd w:id="11"/>
      <w:bookmarkEnd w:id="12"/>
      <w:bookmarkEnd w:id="13"/>
      <w:bookmarkEnd w:id="14"/>
      <w:r>
        <w:lastRenderedPageBreak/>
        <w:t>Abbreviations</w:t>
      </w:r>
      <w:bookmarkEnd w:id="15"/>
      <w:bookmarkEnd w:id="16"/>
      <w:bookmarkEnd w:id="17"/>
      <w:bookmarkEnd w:id="18"/>
      <w:bookmarkEnd w:id="19"/>
      <w:bookmarkEnd w:id="20"/>
    </w:p>
    <w:tbl>
      <w:tblPr>
        <w:tblStyle w:val="TableGrid"/>
        <w:tblW w:w="0" w:type="auto"/>
        <w:tblLook w:val="04A0" w:firstRow="1" w:lastRow="0" w:firstColumn="1" w:lastColumn="0" w:noHBand="0" w:noVBand="1"/>
      </w:tblPr>
      <w:tblGrid>
        <w:gridCol w:w="2977"/>
        <w:gridCol w:w="6093"/>
      </w:tblGrid>
      <w:tr w:rsidR="009F34C6" w:rsidRPr="004A6233" w14:paraId="6D8339F9" w14:textId="3C5AAD36" w:rsidTr="00475983">
        <w:tc>
          <w:tcPr>
            <w:tcW w:w="2977" w:type="dxa"/>
            <w:shd w:val="clear" w:color="auto" w:fill="auto"/>
          </w:tcPr>
          <w:p w14:paraId="52010E2B" w14:textId="3C39C433" w:rsidR="009F34C6" w:rsidRPr="004A6233" w:rsidRDefault="009F34C6" w:rsidP="00DF791B">
            <w:pPr>
              <w:spacing w:before="70" w:after="70"/>
              <w:rPr>
                <w:rFonts w:asciiTheme="minorHAnsi" w:hAnsiTheme="minorHAnsi"/>
                <w:sz w:val="22"/>
                <w:szCs w:val="22"/>
              </w:rPr>
            </w:pPr>
            <w:r w:rsidRPr="004A6233">
              <w:rPr>
                <w:rFonts w:asciiTheme="minorHAnsi" w:hAnsiTheme="minorHAnsi"/>
                <w:sz w:val="22"/>
                <w:szCs w:val="22"/>
              </w:rPr>
              <w:t>ABS</w:t>
            </w:r>
          </w:p>
        </w:tc>
        <w:tc>
          <w:tcPr>
            <w:tcW w:w="6093" w:type="dxa"/>
            <w:shd w:val="clear" w:color="auto" w:fill="auto"/>
          </w:tcPr>
          <w:p w14:paraId="0D897612" w14:textId="27DF4B5B" w:rsidR="009F34C6" w:rsidRPr="004A6233" w:rsidRDefault="009F34C6" w:rsidP="00DF791B">
            <w:pPr>
              <w:spacing w:before="70" w:after="70"/>
              <w:rPr>
                <w:rFonts w:asciiTheme="minorHAnsi" w:hAnsiTheme="minorHAnsi"/>
                <w:sz w:val="22"/>
                <w:szCs w:val="22"/>
              </w:rPr>
            </w:pPr>
            <w:r w:rsidRPr="004A6233">
              <w:rPr>
                <w:rFonts w:asciiTheme="minorHAnsi" w:hAnsiTheme="minorHAnsi"/>
                <w:sz w:val="22"/>
                <w:szCs w:val="22"/>
              </w:rPr>
              <w:t>Australian Bureau of Statistics</w:t>
            </w:r>
          </w:p>
        </w:tc>
      </w:tr>
      <w:tr w:rsidR="00300E08" w:rsidRPr="004A6233" w14:paraId="2D41BC95" w14:textId="77777777" w:rsidTr="00475983">
        <w:tc>
          <w:tcPr>
            <w:tcW w:w="2977" w:type="dxa"/>
            <w:shd w:val="clear" w:color="auto" w:fill="auto"/>
          </w:tcPr>
          <w:p w14:paraId="7B5C9FC6" w14:textId="0C95A572" w:rsidR="00300E08" w:rsidRPr="004A6233" w:rsidRDefault="00300E08" w:rsidP="00DF791B">
            <w:pPr>
              <w:spacing w:before="70" w:after="70"/>
              <w:rPr>
                <w:rFonts w:asciiTheme="minorHAnsi" w:hAnsiTheme="minorHAnsi"/>
                <w:sz w:val="22"/>
                <w:szCs w:val="22"/>
              </w:rPr>
            </w:pPr>
            <w:r w:rsidRPr="004A6233">
              <w:rPr>
                <w:rFonts w:asciiTheme="minorHAnsi" w:hAnsiTheme="minorHAnsi"/>
                <w:sz w:val="22"/>
                <w:szCs w:val="22"/>
              </w:rPr>
              <w:t>AIST</w:t>
            </w:r>
          </w:p>
        </w:tc>
        <w:tc>
          <w:tcPr>
            <w:tcW w:w="6093" w:type="dxa"/>
            <w:shd w:val="clear" w:color="auto" w:fill="auto"/>
          </w:tcPr>
          <w:p w14:paraId="2B6A6F6F" w14:textId="0875B0AB" w:rsidR="00300E08" w:rsidRPr="004A6233" w:rsidRDefault="00300E08" w:rsidP="00DF791B">
            <w:pPr>
              <w:spacing w:before="70" w:after="70"/>
              <w:rPr>
                <w:rFonts w:asciiTheme="minorHAnsi" w:hAnsiTheme="minorHAnsi"/>
                <w:sz w:val="22"/>
                <w:szCs w:val="22"/>
              </w:rPr>
            </w:pPr>
            <w:r w:rsidRPr="004A6233">
              <w:rPr>
                <w:rFonts w:asciiTheme="minorHAnsi" w:hAnsiTheme="minorHAnsi"/>
                <w:sz w:val="22"/>
                <w:szCs w:val="22"/>
              </w:rPr>
              <w:t>Australian Institute of Superannuation Trustees</w:t>
            </w:r>
          </w:p>
        </w:tc>
      </w:tr>
      <w:tr w:rsidR="00D91A22" w:rsidRPr="004A6233" w14:paraId="56D78A0A" w14:textId="77777777" w:rsidTr="00475983">
        <w:tc>
          <w:tcPr>
            <w:tcW w:w="2977" w:type="dxa"/>
            <w:shd w:val="clear" w:color="auto" w:fill="auto"/>
          </w:tcPr>
          <w:p w14:paraId="76BC55EC" w14:textId="20B0C95F" w:rsidR="00D91A22" w:rsidRPr="004A6233" w:rsidRDefault="00D91A22" w:rsidP="00DF791B">
            <w:pPr>
              <w:spacing w:before="70" w:after="70"/>
              <w:rPr>
                <w:rFonts w:asciiTheme="minorHAnsi" w:hAnsiTheme="minorHAnsi"/>
                <w:sz w:val="22"/>
                <w:szCs w:val="22"/>
              </w:rPr>
            </w:pPr>
            <w:r w:rsidRPr="004A6233">
              <w:rPr>
                <w:rFonts w:asciiTheme="minorHAnsi" w:hAnsiTheme="minorHAnsi"/>
                <w:sz w:val="22"/>
                <w:szCs w:val="22"/>
              </w:rPr>
              <w:t>APRA</w:t>
            </w:r>
          </w:p>
        </w:tc>
        <w:tc>
          <w:tcPr>
            <w:tcW w:w="6093" w:type="dxa"/>
            <w:shd w:val="clear" w:color="auto" w:fill="auto"/>
          </w:tcPr>
          <w:p w14:paraId="32392F47" w14:textId="63A73943" w:rsidR="00D91A22" w:rsidRPr="004A6233" w:rsidRDefault="00D91A22" w:rsidP="00DF791B">
            <w:pPr>
              <w:spacing w:before="70" w:after="70"/>
              <w:rPr>
                <w:rFonts w:asciiTheme="minorHAnsi" w:hAnsiTheme="minorHAnsi"/>
                <w:sz w:val="22"/>
                <w:szCs w:val="22"/>
              </w:rPr>
            </w:pPr>
            <w:r w:rsidRPr="004A6233">
              <w:rPr>
                <w:rFonts w:asciiTheme="minorHAnsi" w:hAnsiTheme="minorHAnsi"/>
                <w:sz w:val="22"/>
                <w:szCs w:val="22"/>
              </w:rPr>
              <w:t>Australian Prudential Regulation Authority</w:t>
            </w:r>
          </w:p>
        </w:tc>
      </w:tr>
      <w:tr w:rsidR="009F34C6" w:rsidRPr="004A6233" w14:paraId="0C3AB483" w14:textId="284A53FE" w:rsidTr="00475983">
        <w:tc>
          <w:tcPr>
            <w:tcW w:w="2977" w:type="dxa"/>
            <w:shd w:val="clear" w:color="auto" w:fill="auto"/>
          </w:tcPr>
          <w:p w14:paraId="5E53F074" w14:textId="461F80F1" w:rsidR="009F34C6" w:rsidRPr="004A6233" w:rsidRDefault="00475983" w:rsidP="00DF791B">
            <w:pPr>
              <w:spacing w:before="70" w:after="70"/>
              <w:rPr>
                <w:rFonts w:asciiTheme="minorHAnsi" w:hAnsiTheme="minorHAnsi"/>
                <w:sz w:val="22"/>
                <w:szCs w:val="22"/>
              </w:rPr>
            </w:pPr>
            <w:r w:rsidRPr="004A6233">
              <w:rPr>
                <w:rFonts w:asciiTheme="minorHAnsi" w:hAnsiTheme="minorHAnsi"/>
                <w:sz w:val="22"/>
                <w:szCs w:val="22"/>
              </w:rPr>
              <w:t>AS</w:t>
            </w:r>
            <w:r w:rsidR="00424E7E" w:rsidRPr="004A6233">
              <w:rPr>
                <w:rFonts w:asciiTheme="minorHAnsi" w:hAnsiTheme="minorHAnsi"/>
                <w:sz w:val="22"/>
                <w:szCs w:val="22"/>
              </w:rPr>
              <w:t>F</w:t>
            </w:r>
            <w:r w:rsidRPr="004A6233">
              <w:rPr>
                <w:rFonts w:asciiTheme="minorHAnsi" w:hAnsiTheme="minorHAnsi"/>
                <w:sz w:val="22"/>
                <w:szCs w:val="22"/>
              </w:rPr>
              <w:t>A</w:t>
            </w:r>
          </w:p>
        </w:tc>
        <w:tc>
          <w:tcPr>
            <w:tcW w:w="6093" w:type="dxa"/>
            <w:shd w:val="clear" w:color="auto" w:fill="auto"/>
          </w:tcPr>
          <w:p w14:paraId="553C7AAA" w14:textId="10095FF7" w:rsidR="009F34C6" w:rsidRPr="004A6233" w:rsidRDefault="00475983" w:rsidP="00DF791B">
            <w:pPr>
              <w:spacing w:before="70" w:after="70"/>
              <w:rPr>
                <w:rFonts w:asciiTheme="minorHAnsi" w:hAnsiTheme="minorHAnsi"/>
                <w:sz w:val="22"/>
                <w:szCs w:val="22"/>
              </w:rPr>
            </w:pPr>
            <w:r w:rsidRPr="004A6233">
              <w:rPr>
                <w:rFonts w:asciiTheme="minorHAnsi" w:hAnsiTheme="minorHAnsi"/>
                <w:sz w:val="22"/>
                <w:szCs w:val="22"/>
              </w:rPr>
              <w:t>Association of Superannuation Funds of Australia</w:t>
            </w:r>
          </w:p>
        </w:tc>
      </w:tr>
      <w:tr w:rsidR="00475983" w:rsidRPr="004A6233" w14:paraId="6D45E983" w14:textId="240857A8" w:rsidTr="00475983">
        <w:tc>
          <w:tcPr>
            <w:tcW w:w="2977" w:type="dxa"/>
            <w:shd w:val="clear" w:color="auto" w:fill="auto"/>
          </w:tcPr>
          <w:p w14:paraId="0341C238" w14:textId="0079ED91"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ASIC</w:t>
            </w:r>
          </w:p>
        </w:tc>
        <w:tc>
          <w:tcPr>
            <w:tcW w:w="6093" w:type="dxa"/>
            <w:shd w:val="clear" w:color="auto" w:fill="auto"/>
          </w:tcPr>
          <w:p w14:paraId="0CC4999E" w14:textId="48D1FE98"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Australian Securities and Investments Commission</w:t>
            </w:r>
          </w:p>
        </w:tc>
      </w:tr>
      <w:tr w:rsidR="00475983" w:rsidRPr="004A6233" w14:paraId="22D50EA4" w14:textId="78FE5285" w:rsidTr="00475983">
        <w:tc>
          <w:tcPr>
            <w:tcW w:w="2977" w:type="dxa"/>
            <w:shd w:val="clear" w:color="auto" w:fill="auto"/>
          </w:tcPr>
          <w:p w14:paraId="4E0D42C7" w14:textId="0718D5C2"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ATO</w:t>
            </w:r>
          </w:p>
        </w:tc>
        <w:tc>
          <w:tcPr>
            <w:tcW w:w="6093" w:type="dxa"/>
            <w:shd w:val="clear" w:color="auto" w:fill="auto"/>
          </w:tcPr>
          <w:p w14:paraId="6DC7BE1B" w14:textId="5ECD3244"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Australian Taxation Office</w:t>
            </w:r>
          </w:p>
        </w:tc>
      </w:tr>
      <w:tr w:rsidR="00475983" w:rsidRPr="004A6233" w14:paraId="7A4C22B0" w14:textId="0EE37742" w:rsidTr="00475983">
        <w:tc>
          <w:tcPr>
            <w:tcW w:w="2977" w:type="dxa"/>
            <w:shd w:val="clear" w:color="auto" w:fill="auto"/>
          </w:tcPr>
          <w:p w14:paraId="35A35FF7" w14:textId="010E3CCA"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AWOTE</w:t>
            </w:r>
          </w:p>
        </w:tc>
        <w:tc>
          <w:tcPr>
            <w:tcW w:w="6093" w:type="dxa"/>
            <w:shd w:val="clear" w:color="auto" w:fill="auto"/>
          </w:tcPr>
          <w:p w14:paraId="57A544C5" w14:textId="1A3EBBF2"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 xml:space="preserve">average weekly ordinary time earnings </w:t>
            </w:r>
          </w:p>
        </w:tc>
      </w:tr>
      <w:tr w:rsidR="00475983" w:rsidRPr="004A6233" w14:paraId="7D8FC17E" w14:textId="673DC663" w:rsidTr="00475983">
        <w:tc>
          <w:tcPr>
            <w:tcW w:w="2977" w:type="dxa"/>
            <w:shd w:val="clear" w:color="auto" w:fill="auto"/>
          </w:tcPr>
          <w:p w14:paraId="18F8C6BA" w14:textId="2132F96E"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Cat.</w:t>
            </w:r>
            <w:r w:rsidR="00246FF3" w:rsidRPr="004A6233">
              <w:rPr>
                <w:rFonts w:asciiTheme="minorHAnsi" w:hAnsiTheme="minorHAnsi"/>
                <w:sz w:val="22"/>
                <w:szCs w:val="22"/>
              </w:rPr>
              <w:t xml:space="preserve"> no.</w:t>
            </w:r>
          </w:p>
        </w:tc>
        <w:tc>
          <w:tcPr>
            <w:tcW w:w="6093" w:type="dxa"/>
            <w:shd w:val="clear" w:color="auto" w:fill="auto"/>
          </w:tcPr>
          <w:p w14:paraId="1AEC7D4D" w14:textId="31DC5C1F"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catalogue number</w:t>
            </w:r>
          </w:p>
        </w:tc>
      </w:tr>
      <w:tr w:rsidR="00300E08" w:rsidRPr="004A6233" w14:paraId="61D5AABE" w14:textId="77777777" w:rsidTr="00475983">
        <w:tc>
          <w:tcPr>
            <w:tcW w:w="2977" w:type="dxa"/>
            <w:shd w:val="clear" w:color="auto" w:fill="auto"/>
          </w:tcPr>
          <w:p w14:paraId="72378C11" w14:textId="1F22DA5A" w:rsidR="00300E08" w:rsidRPr="004A6233" w:rsidRDefault="00300E08" w:rsidP="00475983">
            <w:pPr>
              <w:spacing w:before="70" w:after="70"/>
              <w:rPr>
                <w:rFonts w:asciiTheme="minorHAnsi" w:hAnsiTheme="minorHAnsi"/>
                <w:sz w:val="22"/>
                <w:szCs w:val="22"/>
              </w:rPr>
            </w:pPr>
            <w:r w:rsidRPr="004A6233">
              <w:rPr>
                <w:rFonts w:asciiTheme="minorHAnsi" w:hAnsiTheme="minorHAnsi"/>
                <w:sz w:val="22"/>
                <w:szCs w:val="22"/>
              </w:rPr>
              <w:t>CEPAR</w:t>
            </w:r>
          </w:p>
        </w:tc>
        <w:tc>
          <w:tcPr>
            <w:tcW w:w="6093" w:type="dxa"/>
            <w:shd w:val="clear" w:color="auto" w:fill="auto"/>
          </w:tcPr>
          <w:p w14:paraId="580563E2" w14:textId="512949D8" w:rsidR="00300E08" w:rsidRPr="004A6233" w:rsidRDefault="00300E08" w:rsidP="00475983">
            <w:pPr>
              <w:spacing w:before="70" w:after="70"/>
              <w:rPr>
                <w:rFonts w:asciiTheme="minorHAnsi" w:hAnsiTheme="minorHAnsi"/>
                <w:sz w:val="22"/>
                <w:szCs w:val="22"/>
              </w:rPr>
            </w:pPr>
            <w:r w:rsidRPr="004A6233">
              <w:rPr>
                <w:rFonts w:asciiTheme="minorHAnsi" w:hAnsiTheme="minorHAnsi"/>
                <w:sz w:val="22"/>
                <w:szCs w:val="22"/>
              </w:rPr>
              <w:t>ARC Centre of Excellence in Population Ageing Research</w:t>
            </w:r>
          </w:p>
        </w:tc>
      </w:tr>
      <w:tr w:rsidR="00475983" w:rsidRPr="004A6233" w14:paraId="53B1B9D5" w14:textId="63A4EEC5" w:rsidTr="00475983">
        <w:tc>
          <w:tcPr>
            <w:tcW w:w="2977" w:type="dxa"/>
            <w:shd w:val="clear" w:color="auto" w:fill="auto"/>
          </w:tcPr>
          <w:p w14:paraId="63798A4B" w14:textId="6DC6E7F4"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CGT</w:t>
            </w:r>
          </w:p>
        </w:tc>
        <w:tc>
          <w:tcPr>
            <w:tcW w:w="6093" w:type="dxa"/>
            <w:shd w:val="clear" w:color="auto" w:fill="auto"/>
          </w:tcPr>
          <w:p w14:paraId="48BB4779" w14:textId="02BD5B8E"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 xml:space="preserve">capital gains tax </w:t>
            </w:r>
          </w:p>
        </w:tc>
      </w:tr>
      <w:tr w:rsidR="00475983" w:rsidRPr="004A6233" w14:paraId="4E0F2DEA" w14:textId="66303BF7" w:rsidTr="00475983">
        <w:tc>
          <w:tcPr>
            <w:tcW w:w="2977" w:type="dxa"/>
            <w:shd w:val="clear" w:color="auto" w:fill="auto"/>
          </w:tcPr>
          <w:p w14:paraId="3F67BFA0" w14:textId="356DF6E2"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CPI</w:t>
            </w:r>
          </w:p>
        </w:tc>
        <w:tc>
          <w:tcPr>
            <w:tcW w:w="6093" w:type="dxa"/>
            <w:shd w:val="clear" w:color="auto" w:fill="auto"/>
          </w:tcPr>
          <w:p w14:paraId="0A2F279B" w14:textId="56A4FA98"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consumer price index</w:t>
            </w:r>
          </w:p>
        </w:tc>
      </w:tr>
      <w:tr w:rsidR="00CE1A93" w:rsidRPr="004A6233" w14:paraId="43751137" w14:textId="77777777" w:rsidTr="00475983">
        <w:tc>
          <w:tcPr>
            <w:tcW w:w="2977" w:type="dxa"/>
            <w:shd w:val="clear" w:color="auto" w:fill="auto"/>
          </w:tcPr>
          <w:p w14:paraId="5CDF5BD1" w14:textId="6EEDC8E6" w:rsidR="00CE1A93" w:rsidRPr="004A6233" w:rsidRDefault="00CE1A93" w:rsidP="00475983">
            <w:pPr>
              <w:spacing w:before="70" w:after="70"/>
              <w:rPr>
                <w:rFonts w:asciiTheme="minorHAnsi" w:hAnsiTheme="minorHAnsi"/>
                <w:sz w:val="22"/>
                <w:szCs w:val="22"/>
              </w:rPr>
            </w:pPr>
            <w:r w:rsidRPr="004A6233">
              <w:rPr>
                <w:rFonts w:asciiTheme="minorHAnsi" w:hAnsiTheme="minorHAnsi"/>
                <w:sz w:val="22"/>
                <w:szCs w:val="22"/>
              </w:rPr>
              <w:t>DSS</w:t>
            </w:r>
          </w:p>
        </w:tc>
        <w:tc>
          <w:tcPr>
            <w:tcW w:w="6093" w:type="dxa"/>
            <w:shd w:val="clear" w:color="auto" w:fill="auto"/>
          </w:tcPr>
          <w:p w14:paraId="7FD25789" w14:textId="4E12B52C" w:rsidR="00CE1A93" w:rsidRPr="004A6233" w:rsidRDefault="00CE1A93" w:rsidP="00475983">
            <w:pPr>
              <w:spacing w:before="70" w:after="70"/>
              <w:rPr>
                <w:rFonts w:asciiTheme="minorHAnsi" w:hAnsiTheme="minorHAnsi"/>
                <w:sz w:val="22"/>
                <w:szCs w:val="22"/>
              </w:rPr>
            </w:pPr>
            <w:r w:rsidRPr="004A6233">
              <w:rPr>
                <w:rFonts w:asciiTheme="minorHAnsi" w:hAnsiTheme="minorHAnsi"/>
                <w:sz w:val="22"/>
                <w:szCs w:val="22"/>
              </w:rPr>
              <w:t>Department of Social Services</w:t>
            </w:r>
          </w:p>
        </w:tc>
      </w:tr>
      <w:tr w:rsidR="00CE1A93" w:rsidRPr="004A6233" w14:paraId="5AF17BA6" w14:textId="77777777" w:rsidTr="00475983">
        <w:tc>
          <w:tcPr>
            <w:tcW w:w="2977" w:type="dxa"/>
            <w:shd w:val="clear" w:color="auto" w:fill="auto"/>
          </w:tcPr>
          <w:p w14:paraId="2C8256E7" w14:textId="7D09EB1F" w:rsidR="00CE1A93" w:rsidRPr="004A6233" w:rsidRDefault="00CE1A93" w:rsidP="00475983">
            <w:pPr>
              <w:spacing w:before="70" w:after="70"/>
              <w:rPr>
                <w:rFonts w:asciiTheme="minorHAnsi" w:hAnsiTheme="minorHAnsi"/>
                <w:sz w:val="22"/>
                <w:szCs w:val="22"/>
              </w:rPr>
            </w:pPr>
            <w:r w:rsidRPr="004A6233">
              <w:rPr>
                <w:rFonts w:asciiTheme="minorHAnsi" w:hAnsiTheme="minorHAnsi"/>
                <w:sz w:val="22"/>
                <w:szCs w:val="22"/>
              </w:rPr>
              <w:t>DVA</w:t>
            </w:r>
          </w:p>
        </w:tc>
        <w:tc>
          <w:tcPr>
            <w:tcW w:w="6093" w:type="dxa"/>
            <w:shd w:val="clear" w:color="auto" w:fill="auto"/>
          </w:tcPr>
          <w:p w14:paraId="1F4CA8B9" w14:textId="21DD1518" w:rsidR="00CE1A93" w:rsidRPr="004A6233" w:rsidRDefault="00CE1A93" w:rsidP="00475983">
            <w:pPr>
              <w:spacing w:before="70" w:after="70"/>
              <w:rPr>
                <w:rFonts w:asciiTheme="minorHAnsi" w:hAnsiTheme="minorHAnsi"/>
                <w:sz w:val="22"/>
                <w:szCs w:val="22"/>
              </w:rPr>
            </w:pPr>
            <w:r w:rsidRPr="004A6233">
              <w:rPr>
                <w:rFonts w:asciiTheme="minorHAnsi" w:hAnsiTheme="minorHAnsi"/>
                <w:sz w:val="22"/>
                <w:szCs w:val="22"/>
              </w:rPr>
              <w:t>Department of Veteran Affairs</w:t>
            </w:r>
          </w:p>
        </w:tc>
      </w:tr>
      <w:tr w:rsidR="00300E08" w:rsidRPr="004A6233" w14:paraId="319647FB" w14:textId="77777777" w:rsidTr="00475983">
        <w:tc>
          <w:tcPr>
            <w:tcW w:w="2977" w:type="dxa"/>
            <w:shd w:val="clear" w:color="auto" w:fill="auto"/>
          </w:tcPr>
          <w:p w14:paraId="5B93C0CD" w14:textId="28FE8412" w:rsidR="00300E08" w:rsidRPr="004A6233" w:rsidRDefault="00300E08" w:rsidP="00475983">
            <w:pPr>
              <w:spacing w:before="70" w:after="70"/>
              <w:rPr>
                <w:rFonts w:asciiTheme="minorHAnsi" w:hAnsiTheme="minorHAnsi"/>
                <w:sz w:val="22"/>
                <w:szCs w:val="22"/>
              </w:rPr>
            </w:pPr>
            <w:r w:rsidRPr="004A6233">
              <w:rPr>
                <w:rFonts w:asciiTheme="minorHAnsi" w:hAnsiTheme="minorHAnsi"/>
                <w:sz w:val="22"/>
                <w:szCs w:val="22"/>
              </w:rPr>
              <w:t>FSC</w:t>
            </w:r>
          </w:p>
        </w:tc>
        <w:tc>
          <w:tcPr>
            <w:tcW w:w="6093" w:type="dxa"/>
            <w:shd w:val="clear" w:color="auto" w:fill="auto"/>
          </w:tcPr>
          <w:p w14:paraId="4E586E8F" w14:textId="1E3B7986" w:rsidR="00300E08" w:rsidRPr="004A6233" w:rsidRDefault="00300E08" w:rsidP="00475983">
            <w:pPr>
              <w:spacing w:before="70" w:after="70"/>
              <w:rPr>
                <w:rFonts w:asciiTheme="minorHAnsi" w:hAnsiTheme="minorHAnsi"/>
                <w:sz w:val="22"/>
                <w:szCs w:val="22"/>
              </w:rPr>
            </w:pPr>
            <w:r w:rsidRPr="004A6233">
              <w:rPr>
                <w:rFonts w:asciiTheme="minorHAnsi" w:hAnsiTheme="minorHAnsi"/>
                <w:sz w:val="22"/>
                <w:szCs w:val="22"/>
              </w:rPr>
              <w:t>Financial Services Council</w:t>
            </w:r>
          </w:p>
        </w:tc>
      </w:tr>
      <w:tr w:rsidR="00475983" w:rsidRPr="004A6233" w14:paraId="424B6570" w14:textId="77777777" w:rsidTr="00475983">
        <w:tc>
          <w:tcPr>
            <w:tcW w:w="2977" w:type="dxa"/>
            <w:shd w:val="clear" w:color="auto" w:fill="auto"/>
          </w:tcPr>
          <w:p w14:paraId="513740A1" w14:textId="70FA2427"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GDP</w:t>
            </w:r>
          </w:p>
        </w:tc>
        <w:tc>
          <w:tcPr>
            <w:tcW w:w="6093" w:type="dxa"/>
            <w:shd w:val="clear" w:color="auto" w:fill="auto"/>
          </w:tcPr>
          <w:p w14:paraId="4FB733CF" w14:textId="3A95733B"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gross domestic product</w:t>
            </w:r>
          </w:p>
        </w:tc>
      </w:tr>
      <w:tr w:rsidR="00475983" w:rsidRPr="004A6233" w14:paraId="3BBD0201" w14:textId="2338DAAA" w:rsidTr="00475983">
        <w:tc>
          <w:tcPr>
            <w:tcW w:w="2977" w:type="dxa"/>
            <w:shd w:val="clear" w:color="auto" w:fill="auto"/>
          </w:tcPr>
          <w:p w14:paraId="0B967B14" w14:textId="122E766F"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The Government</w:t>
            </w:r>
          </w:p>
        </w:tc>
        <w:tc>
          <w:tcPr>
            <w:tcW w:w="6093" w:type="dxa"/>
            <w:shd w:val="clear" w:color="auto" w:fill="auto"/>
          </w:tcPr>
          <w:p w14:paraId="26FC650A" w14:textId="1B82324E"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The Australian Government</w:t>
            </w:r>
          </w:p>
        </w:tc>
      </w:tr>
      <w:tr w:rsidR="00475983" w:rsidRPr="004A6233" w14:paraId="1ACD1DE0" w14:textId="74BD23A3" w:rsidTr="00475983">
        <w:tc>
          <w:tcPr>
            <w:tcW w:w="2977" w:type="dxa"/>
            <w:shd w:val="clear" w:color="auto" w:fill="auto"/>
          </w:tcPr>
          <w:p w14:paraId="3EFF1B67" w14:textId="6CD093BB"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LISTO</w:t>
            </w:r>
          </w:p>
        </w:tc>
        <w:tc>
          <w:tcPr>
            <w:tcW w:w="6093" w:type="dxa"/>
            <w:shd w:val="clear" w:color="auto" w:fill="auto"/>
          </w:tcPr>
          <w:p w14:paraId="5BCB2166" w14:textId="18C04C05"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 xml:space="preserve">low income superannuation tax offset </w:t>
            </w:r>
          </w:p>
        </w:tc>
      </w:tr>
      <w:tr w:rsidR="00475983" w:rsidRPr="004A6233" w14:paraId="3BAEE380" w14:textId="35015DDB" w:rsidTr="00475983">
        <w:tc>
          <w:tcPr>
            <w:tcW w:w="2977" w:type="dxa"/>
            <w:shd w:val="clear" w:color="auto" w:fill="auto"/>
          </w:tcPr>
          <w:p w14:paraId="4FA39956" w14:textId="243122A0"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LITO</w:t>
            </w:r>
          </w:p>
        </w:tc>
        <w:tc>
          <w:tcPr>
            <w:tcW w:w="6093" w:type="dxa"/>
            <w:shd w:val="clear" w:color="auto" w:fill="auto"/>
          </w:tcPr>
          <w:p w14:paraId="523E50CF" w14:textId="0C0A208E"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low income tax offset</w:t>
            </w:r>
          </w:p>
        </w:tc>
      </w:tr>
      <w:tr w:rsidR="00475983" w:rsidRPr="004A6233" w14:paraId="66CA0F78" w14:textId="5EE768E4" w:rsidTr="00475983">
        <w:tc>
          <w:tcPr>
            <w:tcW w:w="2977" w:type="dxa"/>
            <w:shd w:val="clear" w:color="auto" w:fill="auto"/>
          </w:tcPr>
          <w:p w14:paraId="6A08EBAD" w14:textId="7B8FA58C"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LMITO</w:t>
            </w:r>
          </w:p>
        </w:tc>
        <w:tc>
          <w:tcPr>
            <w:tcW w:w="6093" w:type="dxa"/>
            <w:shd w:val="clear" w:color="auto" w:fill="auto"/>
          </w:tcPr>
          <w:p w14:paraId="734630C6" w14:textId="50CEF461"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 xml:space="preserve">low and middle income tax offset </w:t>
            </w:r>
          </w:p>
        </w:tc>
      </w:tr>
      <w:tr w:rsidR="00475983" w:rsidRPr="004A6233" w14:paraId="124D40C9" w14:textId="2E05C2DB" w:rsidTr="00475983">
        <w:tc>
          <w:tcPr>
            <w:tcW w:w="2977" w:type="dxa"/>
            <w:shd w:val="clear" w:color="auto" w:fill="auto"/>
          </w:tcPr>
          <w:p w14:paraId="5067B59B" w14:textId="2E820548"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MTAWE</w:t>
            </w:r>
          </w:p>
        </w:tc>
        <w:tc>
          <w:tcPr>
            <w:tcW w:w="6093" w:type="dxa"/>
            <w:shd w:val="clear" w:color="auto" w:fill="auto"/>
          </w:tcPr>
          <w:p w14:paraId="35AEE9D4" w14:textId="4D115F0A"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male total average weekly earnings</w:t>
            </w:r>
          </w:p>
        </w:tc>
      </w:tr>
      <w:tr w:rsidR="00475983" w:rsidRPr="004A6233" w14:paraId="49FF9D51" w14:textId="77777777" w:rsidTr="00DF791B">
        <w:tc>
          <w:tcPr>
            <w:tcW w:w="2977" w:type="dxa"/>
            <w:shd w:val="clear" w:color="auto" w:fill="auto"/>
          </w:tcPr>
          <w:p w14:paraId="0F265152" w14:textId="130EADA1"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OECD</w:t>
            </w:r>
          </w:p>
        </w:tc>
        <w:tc>
          <w:tcPr>
            <w:tcW w:w="6093" w:type="dxa"/>
            <w:shd w:val="clear" w:color="auto" w:fill="auto"/>
          </w:tcPr>
          <w:p w14:paraId="4C0A80E5" w14:textId="3527BB6D"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Organisation for Economic Co-operation and Development</w:t>
            </w:r>
          </w:p>
        </w:tc>
      </w:tr>
      <w:tr w:rsidR="00475983" w:rsidRPr="004A6233" w14:paraId="2EC9B721" w14:textId="568321EE" w:rsidTr="008E018C">
        <w:tc>
          <w:tcPr>
            <w:tcW w:w="2977" w:type="dxa"/>
            <w:shd w:val="clear" w:color="auto" w:fill="auto"/>
          </w:tcPr>
          <w:p w14:paraId="2D7DEEB6" w14:textId="504E1871"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The Panel</w:t>
            </w:r>
          </w:p>
        </w:tc>
        <w:tc>
          <w:tcPr>
            <w:tcW w:w="6093" w:type="dxa"/>
            <w:shd w:val="clear" w:color="auto" w:fill="auto"/>
          </w:tcPr>
          <w:p w14:paraId="533B8E2A" w14:textId="5F0C8AB4"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The Retirement Income Review Panel</w:t>
            </w:r>
          </w:p>
        </w:tc>
      </w:tr>
      <w:tr w:rsidR="00475983" w:rsidRPr="004A6233" w14:paraId="206BBC33" w14:textId="5A4A50DA" w:rsidTr="008E018C">
        <w:tc>
          <w:tcPr>
            <w:tcW w:w="2977" w:type="dxa"/>
            <w:shd w:val="clear" w:color="auto" w:fill="auto"/>
          </w:tcPr>
          <w:p w14:paraId="34A16D58" w14:textId="35A8ADEA"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RBA</w:t>
            </w:r>
          </w:p>
        </w:tc>
        <w:tc>
          <w:tcPr>
            <w:tcW w:w="6093" w:type="dxa"/>
            <w:shd w:val="clear" w:color="auto" w:fill="auto"/>
          </w:tcPr>
          <w:p w14:paraId="2FEC89B5" w14:textId="40FE7969"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Reserve Bank of Australia</w:t>
            </w:r>
          </w:p>
        </w:tc>
      </w:tr>
      <w:tr w:rsidR="00475983" w:rsidRPr="004A6233" w14:paraId="0644859D" w14:textId="1EDB08EA" w:rsidTr="008E018C">
        <w:tc>
          <w:tcPr>
            <w:tcW w:w="2977" w:type="dxa"/>
            <w:shd w:val="clear" w:color="auto" w:fill="auto"/>
          </w:tcPr>
          <w:p w14:paraId="6AE1181E" w14:textId="305C0DCF"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The Review</w:t>
            </w:r>
          </w:p>
        </w:tc>
        <w:tc>
          <w:tcPr>
            <w:tcW w:w="6093" w:type="dxa"/>
            <w:shd w:val="clear" w:color="auto" w:fill="auto"/>
          </w:tcPr>
          <w:p w14:paraId="5867195A" w14:textId="1DBE0BE5"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The Retirement Income Review</w:t>
            </w:r>
          </w:p>
        </w:tc>
      </w:tr>
      <w:tr w:rsidR="00475983" w:rsidRPr="004A6233" w14:paraId="16EB084A" w14:textId="77777777" w:rsidTr="00DF791B">
        <w:tc>
          <w:tcPr>
            <w:tcW w:w="2977" w:type="dxa"/>
            <w:shd w:val="clear" w:color="auto" w:fill="auto"/>
          </w:tcPr>
          <w:p w14:paraId="091C66F7" w14:textId="3E3A53D6"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SAPTO</w:t>
            </w:r>
          </w:p>
        </w:tc>
        <w:tc>
          <w:tcPr>
            <w:tcW w:w="6093" w:type="dxa"/>
            <w:shd w:val="clear" w:color="auto" w:fill="auto"/>
          </w:tcPr>
          <w:p w14:paraId="21A6CBF4" w14:textId="512D1DF3"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 xml:space="preserve">seniors and pensioners tax offset </w:t>
            </w:r>
          </w:p>
        </w:tc>
      </w:tr>
      <w:tr w:rsidR="00475983" w:rsidRPr="004A6233" w14:paraId="7A6E633B" w14:textId="77777777" w:rsidTr="00DF791B">
        <w:tc>
          <w:tcPr>
            <w:tcW w:w="2977" w:type="dxa"/>
            <w:shd w:val="clear" w:color="auto" w:fill="auto"/>
          </w:tcPr>
          <w:p w14:paraId="3CC7A88D" w14:textId="5D97A05E"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SG</w:t>
            </w:r>
          </w:p>
        </w:tc>
        <w:tc>
          <w:tcPr>
            <w:tcW w:w="6093" w:type="dxa"/>
            <w:shd w:val="clear" w:color="auto" w:fill="auto"/>
          </w:tcPr>
          <w:p w14:paraId="529A0994" w14:textId="1CF028CB" w:rsidR="00475983" w:rsidRPr="004A6233" w:rsidRDefault="00475983" w:rsidP="00475983">
            <w:pPr>
              <w:spacing w:before="70" w:after="70"/>
              <w:rPr>
                <w:rFonts w:asciiTheme="minorHAnsi" w:hAnsiTheme="minorHAnsi"/>
                <w:sz w:val="22"/>
                <w:szCs w:val="22"/>
              </w:rPr>
            </w:pPr>
            <w:r w:rsidRPr="004A6233">
              <w:rPr>
                <w:rFonts w:asciiTheme="minorHAnsi" w:hAnsiTheme="minorHAnsi"/>
                <w:sz w:val="22"/>
                <w:szCs w:val="22"/>
              </w:rPr>
              <w:t>superannuation guarantee</w:t>
            </w:r>
          </w:p>
        </w:tc>
      </w:tr>
    </w:tbl>
    <w:p w14:paraId="36F9BB33" w14:textId="408AA42A" w:rsidR="000E0B74" w:rsidRDefault="000E0B74" w:rsidP="00195FE6">
      <w:pPr>
        <w:pStyle w:val="Heading1"/>
        <w:sectPr w:rsidR="000E0B74" w:rsidSect="00475B7B">
          <w:headerReference w:type="default" r:id="rId24"/>
          <w:pgSz w:w="11906" w:h="16838" w:code="9"/>
          <w:pgMar w:top="1418" w:right="1418" w:bottom="1418" w:left="1418" w:header="709" w:footer="709" w:gutter="0"/>
          <w:pgNumType w:fmt="lowerRoman"/>
          <w:cols w:space="708"/>
          <w:titlePg/>
          <w:docGrid w:linePitch="360"/>
        </w:sectPr>
      </w:pPr>
    </w:p>
    <w:p w14:paraId="258F6B0C" w14:textId="78DDC167" w:rsidR="000E0B74" w:rsidRDefault="000E0B74" w:rsidP="00354FBB">
      <w:pPr>
        <w:pStyle w:val="Heading1"/>
      </w:pPr>
      <w:bookmarkStart w:id="21" w:name="_Toc22894257"/>
      <w:bookmarkStart w:id="22" w:name="_Toc23515075"/>
      <w:bookmarkStart w:id="23" w:name="_Toc23515488"/>
      <w:bookmarkStart w:id="24" w:name="_Toc23521035"/>
      <w:bookmarkStart w:id="25" w:name="_Toc24545111"/>
      <w:bookmarkStart w:id="26" w:name="_Toc24545337"/>
      <w:bookmarkStart w:id="27" w:name="_Toc24547598"/>
      <w:bookmarkStart w:id="28" w:name="_Toc24551378"/>
      <w:bookmarkStart w:id="29" w:name="_Toc24554714"/>
      <w:bookmarkStart w:id="30" w:name="_Toc24556311"/>
      <w:bookmarkStart w:id="31" w:name="_Toc24712756"/>
      <w:bookmarkStart w:id="32" w:name="_Toc24717000"/>
      <w:bookmarkStart w:id="33" w:name="_Toc24721539"/>
      <w:bookmarkStart w:id="34" w:name="_Toc24722253"/>
      <w:bookmarkStart w:id="35" w:name="_Toc24728668"/>
      <w:bookmarkStart w:id="36" w:name="_Toc24731194"/>
      <w:bookmarkStart w:id="37" w:name="_Toc432067103"/>
      <w:r>
        <w:lastRenderedPageBreak/>
        <w:t xml:space="preserve">Consultation </w:t>
      </w:r>
      <w:r w:rsidR="00EF6DD1">
        <w:t>p</w:t>
      </w:r>
      <w:r>
        <w:t>rocess</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0A0A64D5" w14:textId="77777777" w:rsidR="000E0B74" w:rsidRDefault="000E0B74" w:rsidP="000E0B74">
      <w:pPr>
        <w:pStyle w:val="Heading2"/>
      </w:pPr>
      <w:bookmarkStart w:id="38" w:name="_Toc22894258"/>
      <w:bookmarkStart w:id="39" w:name="_Toc23515076"/>
      <w:bookmarkStart w:id="40" w:name="_Toc23515489"/>
      <w:bookmarkStart w:id="41" w:name="_Toc23521036"/>
      <w:bookmarkStart w:id="42" w:name="_Toc24545112"/>
      <w:bookmarkStart w:id="43" w:name="_Toc24545338"/>
      <w:bookmarkStart w:id="44" w:name="_Toc24547599"/>
      <w:bookmarkStart w:id="45" w:name="_Toc24551379"/>
      <w:bookmarkStart w:id="46" w:name="_Toc24554715"/>
      <w:bookmarkStart w:id="47" w:name="_Toc24556312"/>
      <w:bookmarkStart w:id="48" w:name="_Toc24712757"/>
      <w:bookmarkStart w:id="49" w:name="_Toc24717001"/>
      <w:bookmarkStart w:id="50" w:name="_Toc24721540"/>
      <w:bookmarkStart w:id="51" w:name="_Toc24722254"/>
      <w:bookmarkStart w:id="52" w:name="_Toc24728669"/>
      <w:bookmarkStart w:id="53" w:name="_Toc24731195"/>
      <w:r>
        <w:t>Request for feedback and comments</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p w14:paraId="3A7C3CD7" w14:textId="630B3C11" w:rsidR="009462D9" w:rsidRDefault="009462D9" w:rsidP="009462D9">
      <w:r>
        <w:t>Interested parties are invited to comment on the issues and materials raised in this consultation paper by Monday, 3 February 2020.</w:t>
      </w:r>
    </w:p>
    <w:p w14:paraId="69F85F51" w14:textId="0A0C14FF" w:rsidR="009D0B36" w:rsidRDefault="009462D9" w:rsidP="009D0B36">
      <w:r>
        <w:t>While submissions may be lodged electronically or by post, electronic lodgement is preferred.</w:t>
      </w:r>
      <w:r w:rsidR="009D0B36">
        <w:t xml:space="preserve"> For accessibility reasons, please submit responses sent via email in a Word or RTF format. An additional PDF version may also be submitted.</w:t>
      </w:r>
      <w:r w:rsidR="00B50972">
        <w:t xml:space="preserve"> </w:t>
      </w:r>
      <w:r w:rsidR="009D0B36">
        <w:t>All information (including name and address details) contained in submissions will be made available to the public on the Treasury website unless you indicate that you would like all or part of your submission to remain in confidence. Automatically generated confidentiality statements in emails do not suffice for this purpose. Respondents who would like part of their submission to remain in confidence should provide this information marked as such in a separate attachment.</w:t>
      </w:r>
    </w:p>
    <w:p w14:paraId="4BCAFF11" w14:textId="786DA234" w:rsidR="000E0B74" w:rsidRDefault="009D0B36" w:rsidP="009D0B36">
      <w:r>
        <w:t xml:space="preserve">Legal requirements, such as those imposed by the </w:t>
      </w:r>
      <w:r w:rsidRPr="009A15F1">
        <w:rPr>
          <w:i/>
        </w:rPr>
        <w:t>Freedom of Information Act 1982</w:t>
      </w:r>
      <w:r>
        <w:t>, may affect the confidentiality of your submission.</w:t>
      </w:r>
    </w:p>
    <w:p w14:paraId="45A81826" w14:textId="272A763C" w:rsidR="000E0B74" w:rsidRDefault="000E0B74" w:rsidP="00257AEE">
      <w:pPr>
        <w:pStyle w:val="Heading3noTOC"/>
      </w:pPr>
      <w:r>
        <w:t xml:space="preserve">Closing date for submissions: </w:t>
      </w:r>
      <w:r w:rsidR="006103C9">
        <w:rPr>
          <w:rStyle w:val="Heading3Char"/>
        </w:rPr>
        <w:t>3 February 2020</w:t>
      </w:r>
    </w:p>
    <w:tbl>
      <w:tblPr>
        <w:tblStyle w:val="TableGrid"/>
        <w:tblW w:w="0" w:type="auto"/>
        <w:tblLook w:val="04A0" w:firstRow="1" w:lastRow="0" w:firstColumn="1" w:lastColumn="0" w:noHBand="0" w:noVBand="1"/>
      </w:tblPr>
      <w:tblGrid>
        <w:gridCol w:w="1513"/>
        <w:gridCol w:w="7557"/>
      </w:tblGrid>
      <w:tr w:rsidR="000E0B74" w:rsidRPr="00B85F47" w14:paraId="3203D1A3" w14:textId="77777777" w:rsidTr="00276C27">
        <w:tc>
          <w:tcPr>
            <w:tcW w:w="1526" w:type="dxa"/>
            <w:shd w:val="clear" w:color="auto" w:fill="auto"/>
          </w:tcPr>
          <w:p w14:paraId="5CB35600" w14:textId="77777777" w:rsidR="000E0B74" w:rsidRPr="00B85F47" w:rsidRDefault="000E0B74" w:rsidP="0017089D">
            <w:pPr>
              <w:spacing w:before="70" w:after="70"/>
              <w:rPr>
                <w:sz w:val="22"/>
                <w:szCs w:val="22"/>
              </w:rPr>
            </w:pPr>
            <w:r w:rsidRPr="00B85F47">
              <w:rPr>
                <w:sz w:val="22"/>
                <w:szCs w:val="22"/>
              </w:rPr>
              <w:t>Email</w:t>
            </w:r>
          </w:p>
        </w:tc>
        <w:tc>
          <w:tcPr>
            <w:tcW w:w="7654" w:type="dxa"/>
            <w:shd w:val="clear" w:color="auto" w:fill="auto"/>
            <w:vAlign w:val="center"/>
          </w:tcPr>
          <w:p w14:paraId="66F722ED" w14:textId="77777777" w:rsidR="000E0B74" w:rsidRPr="00B85F47" w:rsidRDefault="00276C27" w:rsidP="00276C27">
            <w:pPr>
              <w:pStyle w:val="SingleParagraph"/>
              <w:jc w:val="left"/>
              <w:rPr>
                <w:sz w:val="22"/>
                <w:szCs w:val="22"/>
              </w:rPr>
            </w:pPr>
            <w:r w:rsidRPr="00276C27">
              <w:rPr>
                <w:rFonts w:cs="Arial"/>
                <w:sz w:val="22"/>
                <w:szCs w:val="22"/>
              </w:rPr>
              <w:t>retirementincomereview@treasury.gov.au</w:t>
            </w:r>
          </w:p>
        </w:tc>
      </w:tr>
      <w:tr w:rsidR="000E0B74" w:rsidRPr="00B85F47" w14:paraId="708ED87F" w14:textId="77777777" w:rsidTr="00B85F47">
        <w:tc>
          <w:tcPr>
            <w:tcW w:w="1526" w:type="dxa"/>
            <w:shd w:val="clear" w:color="auto" w:fill="auto"/>
          </w:tcPr>
          <w:p w14:paraId="578E3780" w14:textId="77777777" w:rsidR="008D7F38" w:rsidRPr="00B85F47" w:rsidRDefault="000E0B74" w:rsidP="0017089D">
            <w:pPr>
              <w:spacing w:before="70" w:after="70"/>
              <w:rPr>
                <w:sz w:val="22"/>
                <w:szCs w:val="22"/>
              </w:rPr>
            </w:pPr>
            <w:r w:rsidRPr="00B85F47">
              <w:rPr>
                <w:sz w:val="22"/>
                <w:szCs w:val="22"/>
              </w:rPr>
              <w:t>Mail</w:t>
            </w:r>
          </w:p>
          <w:p w14:paraId="05F408D0" w14:textId="77777777" w:rsidR="008D7F38" w:rsidRPr="00B85F47" w:rsidRDefault="008D7F38" w:rsidP="0017089D">
            <w:pPr>
              <w:spacing w:before="70" w:after="70"/>
              <w:rPr>
                <w:sz w:val="22"/>
                <w:szCs w:val="22"/>
              </w:rPr>
            </w:pPr>
          </w:p>
        </w:tc>
        <w:tc>
          <w:tcPr>
            <w:tcW w:w="7654" w:type="dxa"/>
            <w:shd w:val="clear" w:color="auto" w:fill="auto"/>
          </w:tcPr>
          <w:p w14:paraId="7E02C8D5" w14:textId="77777777" w:rsidR="000E0B74" w:rsidRPr="00B85F47" w:rsidRDefault="00276C27" w:rsidP="0017089D">
            <w:pPr>
              <w:pStyle w:val="SingleParagraph"/>
              <w:rPr>
                <w:rFonts w:cs="Arial"/>
                <w:sz w:val="22"/>
                <w:szCs w:val="22"/>
              </w:rPr>
            </w:pPr>
            <w:r w:rsidRPr="00276C27">
              <w:rPr>
                <w:rFonts w:cs="Arial"/>
                <w:sz w:val="22"/>
                <w:szCs w:val="22"/>
              </w:rPr>
              <w:t>Retirement Income Review Secretariat</w:t>
            </w:r>
          </w:p>
          <w:p w14:paraId="4BDF9933" w14:textId="77777777" w:rsidR="000E0B74" w:rsidRPr="00B85F47" w:rsidRDefault="000E0B74" w:rsidP="0017089D">
            <w:pPr>
              <w:pStyle w:val="SingleParagraph"/>
              <w:rPr>
                <w:rFonts w:cs="Arial"/>
                <w:sz w:val="22"/>
                <w:szCs w:val="22"/>
              </w:rPr>
            </w:pPr>
            <w:r w:rsidRPr="00B85F47">
              <w:rPr>
                <w:rFonts w:cs="Arial"/>
                <w:sz w:val="22"/>
                <w:szCs w:val="22"/>
              </w:rPr>
              <w:t>The Treasury</w:t>
            </w:r>
          </w:p>
          <w:p w14:paraId="5C052340" w14:textId="77777777" w:rsidR="000E0B74" w:rsidRPr="00B85F47" w:rsidRDefault="000E0B74" w:rsidP="0017089D">
            <w:pPr>
              <w:pStyle w:val="SingleParagraph"/>
              <w:rPr>
                <w:rFonts w:cs="Arial"/>
                <w:sz w:val="22"/>
                <w:szCs w:val="22"/>
              </w:rPr>
            </w:pPr>
            <w:r w:rsidRPr="00B85F47">
              <w:rPr>
                <w:rFonts w:cs="Arial"/>
                <w:sz w:val="22"/>
                <w:szCs w:val="22"/>
              </w:rPr>
              <w:t>Langton Crescent</w:t>
            </w:r>
          </w:p>
          <w:p w14:paraId="4C263367" w14:textId="77777777" w:rsidR="000E0B74" w:rsidRPr="00276C27" w:rsidRDefault="000E0B74" w:rsidP="0017089D">
            <w:pPr>
              <w:pStyle w:val="SingleParagraph"/>
              <w:rPr>
                <w:rFonts w:cs="Arial"/>
                <w:sz w:val="22"/>
                <w:szCs w:val="22"/>
              </w:rPr>
            </w:pPr>
            <w:r w:rsidRPr="00276C27">
              <w:rPr>
                <w:rFonts w:cs="Arial"/>
                <w:sz w:val="22"/>
                <w:szCs w:val="22"/>
              </w:rPr>
              <w:t>PARKES ACT 2600</w:t>
            </w:r>
          </w:p>
        </w:tc>
      </w:tr>
      <w:tr w:rsidR="000E0B74" w:rsidRPr="00B85F47" w14:paraId="44DB5332" w14:textId="77777777" w:rsidTr="00B85F47">
        <w:tc>
          <w:tcPr>
            <w:tcW w:w="1526" w:type="dxa"/>
            <w:shd w:val="clear" w:color="auto" w:fill="auto"/>
          </w:tcPr>
          <w:p w14:paraId="3314776C" w14:textId="77777777" w:rsidR="000E0B74" w:rsidRPr="00B85F47" w:rsidRDefault="000E0B74" w:rsidP="0017089D">
            <w:pPr>
              <w:spacing w:before="70" w:after="70"/>
              <w:rPr>
                <w:sz w:val="22"/>
                <w:szCs w:val="22"/>
              </w:rPr>
            </w:pPr>
            <w:r w:rsidRPr="00B85F47">
              <w:rPr>
                <w:sz w:val="22"/>
                <w:szCs w:val="22"/>
              </w:rPr>
              <w:t>Enquiries</w:t>
            </w:r>
          </w:p>
        </w:tc>
        <w:tc>
          <w:tcPr>
            <w:tcW w:w="7654" w:type="dxa"/>
            <w:shd w:val="clear" w:color="auto" w:fill="auto"/>
          </w:tcPr>
          <w:p w14:paraId="33364AAB" w14:textId="66B746D9" w:rsidR="000E0B74" w:rsidRPr="00B85F47" w:rsidRDefault="000E0B74" w:rsidP="00EF6DD1">
            <w:pPr>
              <w:spacing w:before="70" w:after="70"/>
              <w:rPr>
                <w:sz w:val="22"/>
                <w:szCs w:val="22"/>
              </w:rPr>
            </w:pPr>
            <w:r w:rsidRPr="00B85F47">
              <w:rPr>
                <w:rFonts w:cs="Arial"/>
                <w:sz w:val="22"/>
                <w:szCs w:val="22"/>
              </w:rPr>
              <w:t xml:space="preserve">Enquiries can initially </w:t>
            </w:r>
            <w:r w:rsidR="00EF6DD1" w:rsidRPr="00B85F47">
              <w:rPr>
                <w:rFonts w:cs="Arial"/>
                <w:sz w:val="22"/>
                <w:szCs w:val="22"/>
              </w:rPr>
              <w:t xml:space="preserve">be </w:t>
            </w:r>
            <w:r w:rsidRPr="00B85F47">
              <w:rPr>
                <w:rFonts w:cs="Arial"/>
                <w:sz w:val="22"/>
                <w:szCs w:val="22"/>
              </w:rPr>
              <w:t xml:space="preserve">directed to </w:t>
            </w:r>
            <w:r w:rsidR="00A55F37">
              <w:rPr>
                <w:rFonts w:cs="Arial"/>
                <w:sz w:val="22"/>
                <w:szCs w:val="22"/>
              </w:rPr>
              <w:t>Robb Preston</w:t>
            </w:r>
            <w:r w:rsidR="00CD6CE9">
              <w:rPr>
                <w:rFonts w:cs="Arial"/>
                <w:sz w:val="22"/>
                <w:szCs w:val="22"/>
              </w:rPr>
              <w:t>.</w:t>
            </w:r>
          </w:p>
        </w:tc>
      </w:tr>
      <w:tr w:rsidR="000E0B74" w:rsidRPr="00B85F47" w14:paraId="602F8FAE" w14:textId="77777777" w:rsidTr="00B85F47">
        <w:tc>
          <w:tcPr>
            <w:tcW w:w="1526" w:type="dxa"/>
            <w:shd w:val="clear" w:color="auto" w:fill="auto"/>
          </w:tcPr>
          <w:p w14:paraId="2D136D2C" w14:textId="77777777" w:rsidR="000E0B74" w:rsidRPr="00B85F47" w:rsidRDefault="000E0B74" w:rsidP="0017089D">
            <w:pPr>
              <w:spacing w:before="70" w:after="70"/>
              <w:rPr>
                <w:sz w:val="22"/>
                <w:szCs w:val="22"/>
              </w:rPr>
            </w:pPr>
            <w:r w:rsidRPr="00B85F47">
              <w:rPr>
                <w:sz w:val="22"/>
                <w:szCs w:val="22"/>
              </w:rPr>
              <w:t>Phone</w:t>
            </w:r>
          </w:p>
        </w:tc>
        <w:tc>
          <w:tcPr>
            <w:tcW w:w="7654" w:type="dxa"/>
            <w:shd w:val="clear" w:color="auto" w:fill="auto"/>
          </w:tcPr>
          <w:p w14:paraId="5D4FF9D0" w14:textId="175ECBCE" w:rsidR="000E0B74" w:rsidRPr="00B85F47" w:rsidRDefault="000E0B74" w:rsidP="0017089D">
            <w:pPr>
              <w:spacing w:before="70" w:after="70"/>
              <w:rPr>
                <w:sz w:val="22"/>
                <w:szCs w:val="22"/>
              </w:rPr>
            </w:pPr>
            <w:r w:rsidRPr="00B85F47">
              <w:rPr>
                <w:rFonts w:cs="Arial"/>
                <w:sz w:val="22"/>
                <w:szCs w:val="22"/>
              </w:rPr>
              <w:t xml:space="preserve">02 </w:t>
            </w:r>
            <w:r w:rsidRPr="00EE1D40">
              <w:rPr>
                <w:rFonts w:cs="Arial"/>
                <w:sz w:val="22"/>
                <w:szCs w:val="22"/>
              </w:rPr>
              <w:t xml:space="preserve">6263 </w:t>
            </w:r>
            <w:r w:rsidR="00A55F37" w:rsidRPr="00EE1D40">
              <w:rPr>
                <w:rFonts w:cs="Arial"/>
                <w:sz w:val="22"/>
                <w:szCs w:val="22"/>
              </w:rPr>
              <w:t>4186</w:t>
            </w:r>
          </w:p>
        </w:tc>
      </w:tr>
      <w:bookmarkEnd w:id="37"/>
    </w:tbl>
    <w:p w14:paraId="1BA7EE5D" w14:textId="77777777" w:rsidR="00E10D39" w:rsidRDefault="00E10D39" w:rsidP="0007102C"/>
    <w:p w14:paraId="2E491133" w14:textId="77777777" w:rsidR="008D7F38" w:rsidRPr="008D7F38" w:rsidRDefault="008D7F38" w:rsidP="008D7F38"/>
    <w:p w14:paraId="44259A95" w14:textId="77777777" w:rsidR="00E10D39" w:rsidRDefault="00E10D39">
      <w:pPr>
        <w:spacing w:before="0" w:after="160" w:line="259" w:lineRule="auto"/>
        <w:rPr>
          <w:rFonts w:cs="Arial"/>
          <w:color w:val="004A7F"/>
          <w:kern w:val="32"/>
          <w:sz w:val="48"/>
          <w:szCs w:val="36"/>
        </w:rPr>
      </w:pPr>
      <w:r>
        <w:br w:type="page"/>
      </w:r>
    </w:p>
    <w:p w14:paraId="71A823C9" w14:textId="77777777" w:rsidR="000E0B74" w:rsidRPr="00E0603D" w:rsidRDefault="00276C27" w:rsidP="00E0603D">
      <w:pPr>
        <w:pStyle w:val="Heading1"/>
      </w:pPr>
      <w:bookmarkStart w:id="54" w:name="_Toc22894259"/>
      <w:bookmarkStart w:id="55" w:name="_Toc23515077"/>
      <w:bookmarkStart w:id="56" w:name="_Toc23515490"/>
      <w:bookmarkStart w:id="57" w:name="_Toc23521037"/>
      <w:bookmarkStart w:id="58" w:name="_Toc24545113"/>
      <w:bookmarkStart w:id="59" w:name="_Toc24545339"/>
      <w:bookmarkStart w:id="60" w:name="_Toc24547600"/>
      <w:bookmarkStart w:id="61" w:name="_Toc24551380"/>
      <w:bookmarkStart w:id="62" w:name="_Toc24554716"/>
      <w:bookmarkStart w:id="63" w:name="_Toc24556313"/>
      <w:bookmarkStart w:id="64" w:name="_Toc24712758"/>
      <w:bookmarkStart w:id="65" w:name="_Toc24717002"/>
      <w:bookmarkStart w:id="66" w:name="_Toc24721541"/>
      <w:bookmarkStart w:id="67" w:name="_Toc24722255"/>
      <w:bookmarkStart w:id="68" w:name="_Toc24728670"/>
      <w:bookmarkStart w:id="69" w:name="_Toc24731196"/>
      <w:r w:rsidRPr="00E0603D">
        <w:lastRenderedPageBreak/>
        <w:t>Retirement Income Review</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24A1E4FB" w14:textId="67656E0C" w:rsidR="009B26B7" w:rsidRPr="00500760" w:rsidRDefault="009B26B7" w:rsidP="009B26B7">
      <w:bookmarkStart w:id="70" w:name="_Toc22894260"/>
      <w:r>
        <w:t>On 27 September 2019</w:t>
      </w:r>
      <w:r w:rsidR="00B37067">
        <w:t>,</w:t>
      </w:r>
      <w:r>
        <w:t xml:space="preserve"> the Treasurer, The Hon Josh Frydenberg MP, and the Minister for Superannuation, Financial Services and Financial Technology, </w:t>
      </w:r>
      <w:r w:rsidR="0045116E">
        <w:t xml:space="preserve">Senator </w:t>
      </w:r>
      <w:r>
        <w:t>the Hon Jane Hume, announced the Government had commissioned an independent review of the retirement income system</w:t>
      </w:r>
      <w:r w:rsidR="006103C9">
        <w:t>; herein, ‘the Review’</w:t>
      </w:r>
      <w:r>
        <w:t xml:space="preserve">. The </w:t>
      </w:r>
      <w:r w:rsidR="0045116E">
        <w:t>R</w:t>
      </w:r>
      <w:r>
        <w:t>eview is to report to the Government by June 2020 and has the following terms of reference.</w:t>
      </w:r>
    </w:p>
    <w:p w14:paraId="5A71D82B" w14:textId="68CBC506" w:rsidR="000E0B74" w:rsidRDefault="00BD02BE" w:rsidP="000E0B74">
      <w:pPr>
        <w:pStyle w:val="Heading2"/>
      </w:pPr>
      <w:bookmarkStart w:id="71" w:name="_Toc23515078"/>
      <w:bookmarkStart w:id="72" w:name="_Toc23515491"/>
      <w:bookmarkStart w:id="73" w:name="_Toc23521038"/>
      <w:bookmarkStart w:id="74" w:name="_Toc24545114"/>
      <w:bookmarkStart w:id="75" w:name="_Toc24545340"/>
      <w:bookmarkStart w:id="76" w:name="_Toc24547601"/>
      <w:bookmarkStart w:id="77" w:name="_Toc24551381"/>
      <w:bookmarkStart w:id="78" w:name="_Toc24554717"/>
      <w:bookmarkStart w:id="79" w:name="_Toc24556314"/>
      <w:bookmarkStart w:id="80" w:name="_Toc24712759"/>
      <w:bookmarkStart w:id="81" w:name="_Toc24717003"/>
      <w:bookmarkStart w:id="82" w:name="_Toc24721542"/>
      <w:bookmarkStart w:id="83" w:name="_Toc24722256"/>
      <w:bookmarkStart w:id="84" w:name="_Toc24728671"/>
      <w:bookmarkStart w:id="85" w:name="_Toc24731197"/>
      <w:r>
        <w:t xml:space="preserve">Terms of </w:t>
      </w:r>
      <w:r w:rsidR="00467D26">
        <w:t>r</w:t>
      </w:r>
      <w:r>
        <w:t>eference</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5C7ED717" w14:textId="77777777" w:rsidR="00BD02BE" w:rsidRPr="00514FC4" w:rsidRDefault="00BD02BE" w:rsidP="00BD02BE">
      <w:r w:rsidRPr="00514FC4">
        <w:t>As recommended by the Productivity Commission in its report </w:t>
      </w:r>
      <w:r w:rsidRPr="00514FC4">
        <w:rPr>
          <w:i/>
          <w:iCs/>
        </w:rPr>
        <w:t>Superannuation: Assessing Efficiency and Competitiveness </w:t>
      </w:r>
      <w:r w:rsidRPr="00514FC4">
        <w:t>the Government is commissioning an independent Retirement Income Review.</w:t>
      </w:r>
    </w:p>
    <w:p w14:paraId="090E75A9" w14:textId="77777777" w:rsidR="00BD02BE" w:rsidRPr="00514FC4" w:rsidRDefault="00BD02BE" w:rsidP="00BD02BE">
      <w:r w:rsidRPr="00514FC4">
        <w:t>Australia’s retirement income system is based on three pillars:</w:t>
      </w:r>
    </w:p>
    <w:p w14:paraId="0AC481E1" w14:textId="0EC853EB" w:rsidR="00BD02BE" w:rsidRPr="00514FC4" w:rsidRDefault="00BD02BE" w:rsidP="000C6BC1">
      <w:pPr>
        <w:pStyle w:val="Bullet"/>
      </w:pPr>
      <w:r w:rsidRPr="00514FC4">
        <w:t>a means</w:t>
      </w:r>
      <w:r w:rsidR="0042497F">
        <w:t xml:space="preserve"> </w:t>
      </w:r>
      <w:r w:rsidRPr="00514FC4">
        <w:t>tested Age Pension;</w:t>
      </w:r>
    </w:p>
    <w:p w14:paraId="2FB75208" w14:textId="77777777" w:rsidR="00BD02BE" w:rsidRPr="00514FC4" w:rsidRDefault="00BD02BE" w:rsidP="000C6BC1">
      <w:pPr>
        <w:pStyle w:val="Bullet"/>
      </w:pPr>
      <w:r w:rsidRPr="00514FC4">
        <w:t>compulsory superannuation; and</w:t>
      </w:r>
    </w:p>
    <w:p w14:paraId="26D2C6B6" w14:textId="77777777" w:rsidR="00BD02BE" w:rsidRPr="00514FC4" w:rsidRDefault="00BD02BE" w:rsidP="000C6BC1">
      <w:pPr>
        <w:pStyle w:val="Bullet"/>
      </w:pPr>
      <w:r w:rsidRPr="00514FC4">
        <w:t>voluntary savings, including home ownership.</w:t>
      </w:r>
    </w:p>
    <w:p w14:paraId="7F1E0ABB" w14:textId="77777777" w:rsidR="00BD02BE" w:rsidRPr="00514FC4" w:rsidRDefault="00BD02BE" w:rsidP="00BD02BE">
      <w:r w:rsidRPr="00514FC4">
        <w:t>It is important that the system allows Australians to achieve adequate retirement incomes, is fiscally sustainable and provides appropriate incentives for self-provision in retirement.</w:t>
      </w:r>
    </w:p>
    <w:p w14:paraId="3E8EA73D" w14:textId="77777777" w:rsidR="00BD02BE" w:rsidRPr="00514FC4" w:rsidRDefault="00BD02BE" w:rsidP="00BD02BE">
      <w:r w:rsidRPr="00514FC4">
        <w:t>The Review will establish a fact base of the current retirement income system that will improve understanding of its operation and the outcomes it is delivering for Australians. The Retirement Income Review will identify:</w:t>
      </w:r>
    </w:p>
    <w:p w14:paraId="01B29A05" w14:textId="77777777" w:rsidR="00BD02BE" w:rsidRPr="00514FC4" w:rsidRDefault="00BD02BE" w:rsidP="000C6BC1">
      <w:pPr>
        <w:pStyle w:val="Bullet"/>
      </w:pPr>
      <w:r w:rsidRPr="00514FC4">
        <w:t>how the retirement income system supports Australians in retirement;</w:t>
      </w:r>
    </w:p>
    <w:p w14:paraId="3BCB508A" w14:textId="77777777" w:rsidR="00BD02BE" w:rsidRPr="00514FC4" w:rsidRDefault="00BD02BE" w:rsidP="000C6BC1">
      <w:pPr>
        <w:pStyle w:val="Bullet"/>
      </w:pPr>
      <w:r w:rsidRPr="00514FC4">
        <w:t>the role of each pillar in supporting Australians through retirement;</w:t>
      </w:r>
    </w:p>
    <w:p w14:paraId="01DD83BF" w14:textId="77777777" w:rsidR="00BD02BE" w:rsidRPr="00514FC4" w:rsidRDefault="00BD02BE" w:rsidP="000C6BC1">
      <w:pPr>
        <w:pStyle w:val="Bullet"/>
      </w:pPr>
      <w:r w:rsidRPr="00514FC4">
        <w:t>distributional impacts across the population and over time; and</w:t>
      </w:r>
    </w:p>
    <w:p w14:paraId="2A13F70D" w14:textId="77777777" w:rsidR="00BD02BE" w:rsidRPr="00514FC4" w:rsidRDefault="00BD02BE" w:rsidP="000C6BC1">
      <w:pPr>
        <w:pStyle w:val="Bullet"/>
      </w:pPr>
      <w:r w:rsidRPr="00514FC4">
        <w:t>the impact of current policy settings on public finances.</w:t>
      </w:r>
    </w:p>
    <w:p w14:paraId="5AF97E32" w14:textId="19D7E076" w:rsidR="00BD02BE" w:rsidRDefault="009B26B7">
      <w:pPr>
        <w:spacing w:before="0" w:after="160" w:line="259" w:lineRule="auto"/>
        <w:rPr>
          <w:rFonts w:cs="Arial"/>
          <w:iCs/>
          <w:color w:val="002C47"/>
          <w:kern w:val="32"/>
          <w:sz w:val="36"/>
          <w:szCs w:val="28"/>
        </w:rPr>
      </w:pPr>
      <w:r>
        <w:t xml:space="preserve">The Panel conducting the </w:t>
      </w:r>
      <w:r w:rsidR="00D76230">
        <w:t>R</w:t>
      </w:r>
      <w:r>
        <w:t xml:space="preserve">eview </w:t>
      </w:r>
      <w:r w:rsidR="00F64555">
        <w:t>comprises</w:t>
      </w:r>
      <w:r>
        <w:t xml:space="preserve"> </w:t>
      </w:r>
      <w:r w:rsidR="00F64555">
        <w:t>Mr</w:t>
      </w:r>
      <w:r w:rsidR="00F64555" w:rsidRPr="005D2108">
        <w:t xml:space="preserve"> Michael </w:t>
      </w:r>
      <w:r w:rsidR="00F64555">
        <w:t>Callaghan AM PSM (Chair), Ms </w:t>
      </w:r>
      <w:r w:rsidR="00F64555" w:rsidRPr="005D2108">
        <w:t>Carolyn Kay</w:t>
      </w:r>
      <w:r w:rsidR="006103C9">
        <w:t>,</w:t>
      </w:r>
      <w:r w:rsidR="00F64555" w:rsidRPr="005D2108">
        <w:t xml:space="preserve"> </w:t>
      </w:r>
      <w:r w:rsidR="00F64555">
        <w:t>and Dr Deborah Ralston</w:t>
      </w:r>
      <w:r>
        <w:t>.</w:t>
      </w:r>
      <w:r w:rsidR="00BD02BE">
        <w:br w:type="page"/>
      </w:r>
    </w:p>
    <w:p w14:paraId="306B3828" w14:textId="77777777" w:rsidR="000E0B74" w:rsidRDefault="00BD02BE" w:rsidP="000E0B74">
      <w:pPr>
        <w:pStyle w:val="Heading2"/>
      </w:pPr>
      <w:bookmarkStart w:id="86" w:name="_Toc22894261"/>
      <w:bookmarkStart w:id="87" w:name="_Toc23515079"/>
      <w:bookmarkStart w:id="88" w:name="_Toc23515492"/>
      <w:bookmarkStart w:id="89" w:name="_Toc23521039"/>
      <w:bookmarkStart w:id="90" w:name="_Toc24545115"/>
      <w:bookmarkStart w:id="91" w:name="_Toc24545341"/>
      <w:bookmarkStart w:id="92" w:name="_Toc24547602"/>
      <w:bookmarkStart w:id="93" w:name="_Toc24551382"/>
      <w:bookmarkStart w:id="94" w:name="_Toc24554718"/>
      <w:bookmarkStart w:id="95" w:name="_Toc24556315"/>
      <w:bookmarkStart w:id="96" w:name="_Toc24712760"/>
      <w:bookmarkStart w:id="97" w:name="_Toc24717004"/>
      <w:bookmarkStart w:id="98" w:name="_Toc24721543"/>
      <w:bookmarkStart w:id="99" w:name="_Toc24722257"/>
      <w:bookmarkStart w:id="100" w:name="_Toc24728672"/>
      <w:bookmarkStart w:id="101" w:name="_Toc24731198"/>
      <w:r>
        <w:lastRenderedPageBreak/>
        <w:t>Foreword from the Panel</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1C5610E7" w14:textId="486F777B" w:rsidR="00BD02BE" w:rsidRPr="00430523" w:rsidRDefault="00BD02BE" w:rsidP="00BD02BE">
      <w:r w:rsidRPr="00430523">
        <w:t xml:space="preserve">The Panel has been tasked with establishing a fact base to help improve understanding of how </w:t>
      </w:r>
      <w:r w:rsidR="00B25ADB">
        <w:t>the</w:t>
      </w:r>
      <w:r w:rsidRPr="00430523">
        <w:t xml:space="preserve"> </w:t>
      </w:r>
      <w:r w:rsidR="006103C9" w:rsidRPr="00430523">
        <w:t xml:space="preserve">Australian </w:t>
      </w:r>
      <w:r w:rsidRPr="00430523">
        <w:t>retirement income system is operating and how it will respond to an ag</w:t>
      </w:r>
      <w:r>
        <w:t>e</w:t>
      </w:r>
      <w:r w:rsidRPr="00430523">
        <w:t>ing society.</w:t>
      </w:r>
    </w:p>
    <w:p w14:paraId="459A5C26" w14:textId="77777777" w:rsidR="0036797B" w:rsidRDefault="00BD02BE" w:rsidP="00BD02BE">
      <w:r w:rsidRPr="00430523">
        <w:t>The retirement income system is fundamentally important to the Australian community</w:t>
      </w:r>
      <w:r w:rsidRPr="44084728">
        <w:t xml:space="preserve">. </w:t>
      </w:r>
      <w:r>
        <w:t xml:space="preserve">However, </w:t>
      </w:r>
      <w:r w:rsidRPr="00430523">
        <w:t xml:space="preserve">the settings for the system and its underlying principles have historically been a source of significant public debate. As part of its work, the Panel will undertake a holistic assessment of how the retirement income system is functioning and the interaction between the various components of the system. </w:t>
      </w:r>
    </w:p>
    <w:p w14:paraId="3D91F063" w14:textId="4380E9EE" w:rsidR="00BD02BE" w:rsidRPr="00430523" w:rsidRDefault="002116BA" w:rsidP="00BD02BE">
      <w:r>
        <w:t>Decisions around retirement income</w:t>
      </w:r>
      <w:r w:rsidR="00BD02BE" w:rsidRPr="00430523">
        <w:t xml:space="preserve"> invariably involve a range of trade-offs</w:t>
      </w:r>
      <w:r w:rsidR="00B37067">
        <w:t>.</w:t>
      </w:r>
      <w:r w:rsidR="00BD02BE" w:rsidRPr="00430523">
        <w:t xml:space="preserve"> </w:t>
      </w:r>
      <w:r w:rsidR="00B37067">
        <w:t>J</w:t>
      </w:r>
      <w:r w:rsidR="00BD02BE" w:rsidRPr="00430523">
        <w:t xml:space="preserve">udgement is required in determining </w:t>
      </w:r>
      <w:r w:rsidR="00B37067">
        <w:t xml:space="preserve">the value of </w:t>
      </w:r>
      <w:r w:rsidR="00BD02BE" w:rsidRPr="00430523">
        <w:t xml:space="preserve">those trade-offs. It is ultimately </w:t>
      </w:r>
      <w:r>
        <w:t xml:space="preserve">up to </w:t>
      </w:r>
      <w:r w:rsidR="000340BD">
        <w:t xml:space="preserve">the </w:t>
      </w:r>
      <w:r w:rsidR="00BD02BE" w:rsidRPr="00430523">
        <w:t xml:space="preserve">Australian community to make judgements </w:t>
      </w:r>
      <w:r w:rsidR="0045116E" w:rsidRPr="00430523">
        <w:t>a</w:t>
      </w:r>
      <w:r w:rsidR="0045116E">
        <w:t>bout</w:t>
      </w:r>
      <w:r w:rsidR="0045116E" w:rsidRPr="44084728">
        <w:t xml:space="preserve"> </w:t>
      </w:r>
      <w:r w:rsidR="00BD02BE" w:rsidRPr="00430523">
        <w:t xml:space="preserve">the merits of the various trade-offs. The contribution this </w:t>
      </w:r>
      <w:r w:rsidR="00BD02BE">
        <w:t>R</w:t>
      </w:r>
      <w:r w:rsidR="00BD02BE" w:rsidRPr="00430523">
        <w:t xml:space="preserve">eview seeks to make is to </w:t>
      </w:r>
      <w:r w:rsidR="00934712">
        <w:t>identify relevant issues,</w:t>
      </w:r>
      <w:r w:rsidR="00BD02BE" w:rsidRPr="00430523">
        <w:t xml:space="preserve"> provide a better understanding of the nature and consequences of trade</w:t>
      </w:r>
      <w:r w:rsidR="00EE780E">
        <w:noBreakHyphen/>
      </w:r>
      <w:r w:rsidR="00BD02BE" w:rsidRPr="00430523">
        <w:t>offs</w:t>
      </w:r>
      <w:r w:rsidR="00CD6CE9">
        <w:t>,</w:t>
      </w:r>
      <w:r w:rsidR="00BD02BE" w:rsidRPr="00430523">
        <w:t xml:space="preserve"> and </w:t>
      </w:r>
      <w:r w:rsidR="00934712">
        <w:t xml:space="preserve">develop </w:t>
      </w:r>
      <w:r w:rsidR="00BD02BE" w:rsidRPr="00430523">
        <w:t xml:space="preserve">a fact </w:t>
      </w:r>
      <w:r w:rsidR="00BD02BE">
        <w:t>base</w:t>
      </w:r>
      <w:r w:rsidR="00BD02BE" w:rsidRPr="00430523">
        <w:t xml:space="preserve"> to </w:t>
      </w:r>
      <w:r w:rsidR="00BD02BE">
        <w:t>help</w:t>
      </w:r>
      <w:r w:rsidR="00BD02BE" w:rsidRPr="00430523">
        <w:t xml:space="preserve"> the </w:t>
      </w:r>
      <w:r w:rsidR="00BD02BE">
        <w:t>community make</w:t>
      </w:r>
      <w:r w:rsidR="00BD02BE" w:rsidRPr="44084728">
        <w:t xml:space="preserve"> </w:t>
      </w:r>
      <w:r w:rsidR="00BD02BE">
        <w:t>any</w:t>
      </w:r>
      <w:r w:rsidR="00BD02BE" w:rsidRPr="00430523">
        <w:t xml:space="preserve"> decisions. </w:t>
      </w:r>
    </w:p>
    <w:p w14:paraId="22BFD04C" w14:textId="7B314D58" w:rsidR="00BD02BE" w:rsidRDefault="00BD02BE" w:rsidP="00BD02BE">
      <w:r w:rsidRPr="00430523">
        <w:t>In helping to improve understanding of the retirement income system, the Panel will take note of the large range of research papers and reports that have been published on th</w:t>
      </w:r>
      <w:r w:rsidR="006103C9">
        <w:t>is</w:t>
      </w:r>
      <w:r w:rsidRPr="00430523">
        <w:t xml:space="preserve"> topic, </w:t>
      </w:r>
      <w:r>
        <w:t>focusing</w:t>
      </w:r>
      <w:r w:rsidRPr="00430523">
        <w:t xml:space="preserve"> </w:t>
      </w:r>
      <w:r>
        <w:t>o</w:t>
      </w:r>
      <w:r w:rsidRPr="00430523">
        <w:t xml:space="preserve">n identifying the basis for some </w:t>
      </w:r>
      <w:r>
        <w:t xml:space="preserve">of the </w:t>
      </w:r>
      <w:r w:rsidRPr="00430523">
        <w:t xml:space="preserve">very different conclusions </w:t>
      </w:r>
      <w:r>
        <w:t xml:space="preserve">made in those papers and reports. </w:t>
      </w:r>
      <w:r w:rsidR="009B26B7">
        <w:t xml:space="preserve">The Panel will draw on the findings of the Productivity Commission </w:t>
      </w:r>
      <w:r w:rsidR="00CD6CE9">
        <w:t>r</w:t>
      </w:r>
      <w:r w:rsidR="009B26B7">
        <w:t xml:space="preserve">eport </w:t>
      </w:r>
      <w:r w:rsidR="009B26B7">
        <w:rPr>
          <w:i/>
        </w:rPr>
        <w:t>Superannuation: Assessing Efficiency and Competitiveness</w:t>
      </w:r>
      <w:r w:rsidR="00B52CD5">
        <w:rPr>
          <w:i/>
        </w:rPr>
        <w:t xml:space="preserve">, </w:t>
      </w:r>
      <w:r w:rsidR="00B52CD5">
        <w:t>which</w:t>
      </w:r>
      <w:r w:rsidR="00950E67" w:rsidRPr="00B52CD5">
        <w:t xml:space="preserve"> </w:t>
      </w:r>
      <w:r w:rsidR="00DC69B8" w:rsidRPr="002656C2">
        <w:t>assessed</w:t>
      </w:r>
      <w:r w:rsidR="00950E67" w:rsidRPr="002656C2">
        <w:t xml:space="preserve"> the</w:t>
      </w:r>
      <w:r w:rsidR="00DC69B8" w:rsidRPr="00057AE1">
        <w:t xml:space="preserve"> </w:t>
      </w:r>
      <w:r w:rsidR="00950E67" w:rsidRPr="00630569">
        <w:t xml:space="preserve">fees, </w:t>
      </w:r>
      <w:r w:rsidR="00950E67" w:rsidRPr="00B52CD5">
        <w:t>investment</w:t>
      </w:r>
      <w:r w:rsidR="00950E67" w:rsidRPr="002656C2">
        <w:t xml:space="preserve"> returns</w:t>
      </w:r>
      <w:r w:rsidR="00CD6CE9">
        <w:t>,</w:t>
      </w:r>
      <w:r w:rsidR="00950E67" w:rsidRPr="002656C2">
        <w:t xml:space="preserve"> overall efficiency of the superannuation system</w:t>
      </w:r>
      <w:r w:rsidR="00CD6CE9">
        <w:t>,</w:t>
      </w:r>
      <w:r w:rsidR="00B52CD5">
        <w:t xml:space="preserve"> and how the</w:t>
      </w:r>
      <w:r w:rsidR="00CD6CE9">
        <w:t>se factors</w:t>
      </w:r>
      <w:r w:rsidR="00B52CD5">
        <w:t xml:space="preserve"> affect</w:t>
      </w:r>
      <w:r w:rsidR="00950E67" w:rsidRPr="002656C2">
        <w:t xml:space="preserve"> </w:t>
      </w:r>
      <w:r w:rsidR="002619C5" w:rsidRPr="002656C2">
        <w:t>retirement</w:t>
      </w:r>
      <w:r w:rsidR="00950E67" w:rsidRPr="00057AE1">
        <w:t xml:space="preserve"> </w:t>
      </w:r>
      <w:r w:rsidR="00950E67" w:rsidRPr="00B52CD5">
        <w:t>outcomes</w:t>
      </w:r>
      <w:r w:rsidR="00663083">
        <w:t>.</w:t>
      </w:r>
    </w:p>
    <w:p w14:paraId="76A5C9A7" w14:textId="589A23D7" w:rsidR="00356206" w:rsidRDefault="00BD02BE" w:rsidP="00BD02BE">
      <w:r>
        <w:t xml:space="preserve">The Panel will undertake new analysis of the operation of the </w:t>
      </w:r>
      <w:r w:rsidR="009B26B7">
        <w:t xml:space="preserve">retirement income </w:t>
      </w:r>
      <w:r>
        <w:t xml:space="preserve">system, including modelling how the system performs today and how it will perform in the future. </w:t>
      </w:r>
    </w:p>
    <w:p w14:paraId="33A6AE48" w14:textId="43C75EAA" w:rsidR="00BD02BE" w:rsidRDefault="00356206" w:rsidP="00BD02BE">
      <w:r>
        <w:t xml:space="preserve">The Panel welcomes contributions and invites submissions from the Australian community on the issues and material it should examine in establishing the fact </w:t>
      </w:r>
      <w:r w:rsidR="00B37067">
        <w:t>base</w:t>
      </w:r>
      <w:r>
        <w:t xml:space="preserve"> that will help improve understanding of the retirement income system. </w:t>
      </w:r>
      <w:r w:rsidR="00BD02BE">
        <w:t xml:space="preserve">This consultation paper outlines </w:t>
      </w:r>
      <w:r>
        <w:t xml:space="preserve">some of the issues the Panel will be considering and is intended as a guide to those making a submission. While the Panel welcomes responses to the questions outlined in this paper, </w:t>
      </w:r>
      <w:r w:rsidR="002619C5">
        <w:t>submissions</w:t>
      </w:r>
      <w:r>
        <w:t xml:space="preserve"> need not be limited to these issues.</w:t>
      </w:r>
    </w:p>
    <w:p w14:paraId="1C78BC40" w14:textId="395BE3D3" w:rsidR="00BD02BE" w:rsidRPr="00430523" w:rsidRDefault="00BD02BE" w:rsidP="00BD02BE">
      <w:r w:rsidRPr="00430523">
        <w:t>The Panel is interested in hearing views on any issues considered relevant to</w:t>
      </w:r>
      <w:r w:rsidR="00356206">
        <w:t xml:space="preserve"> the Review</w:t>
      </w:r>
      <w:r w:rsidRPr="00430523">
        <w:t xml:space="preserve">. </w:t>
      </w:r>
      <w:r>
        <w:t>However, c</w:t>
      </w:r>
      <w:r w:rsidRPr="00430523">
        <w:t>on</w:t>
      </w:r>
      <w:r>
        <w:t>sistent</w:t>
      </w:r>
      <w:r w:rsidRPr="00430523">
        <w:t xml:space="preserve"> with the focus of this </w:t>
      </w:r>
      <w:r>
        <w:t>R</w:t>
      </w:r>
      <w:r w:rsidRPr="00430523">
        <w:t xml:space="preserve">eview on establishing a fact </w:t>
      </w:r>
      <w:r>
        <w:t>base</w:t>
      </w:r>
      <w:r w:rsidRPr="00430523">
        <w:t xml:space="preserve"> to improve understanding of how the</w:t>
      </w:r>
      <w:r w:rsidR="00CD6CE9">
        <w:t xml:space="preserve"> retirement income</w:t>
      </w:r>
      <w:r w:rsidRPr="00430523">
        <w:t xml:space="preserve"> system</w:t>
      </w:r>
      <w:r w:rsidR="00356206">
        <w:t xml:space="preserve"> operates</w:t>
      </w:r>
      <w:r w:rsidRPr="00430523">
        <w:t xml:space="preserve">, the Panel is seeking that </w:t>
      </w:r>
      <w:r w:rsidR="00544C95">
        <w:t xml:space="preserve">supporting evidence is provided for </w:t>
      </w:r>
      <w:r w:rsidRPr="00430523">
        <w:t>views expressed in submissions to assist the Panel in its consideration</w:t>
      </w:r>
      <w:r>
        <w:t>s</w:t>
      </w:r>
      <w:r w:rsidRPr="00430523">
        <w:t>.</w:t>
      </w:r>
    </w:p>
    <w:p w14:paraId="06B7C280" w14:textId="1EA1770D" w:rsidR="00BD02BE" w:rsidRDefault="00BD02BE">
      <w:pPr>
        <w:spacing w:before="0" w:after="160" w:line="259" w:lineRule="auto"/>
      </w:pPr>
      <w:r>
        <w:br w:type="page"/>
      </w:r>
    </w:p>
    <w:p w14:paraId="52AD5515" w14:textId="44088697" w:rsidR="00BD02BE" w:rsidRDefault="00BD02BE" w:rsidP="00BD02BE">
      <w:pPr>
        <w:pStyle w:val="Heading1"/>
      </w:pPr>
      <w:bookmarkStart w:id="102" w:name="_Toc22742361"/>
      <w:bookmarkStart w:id="103" w:name="_Toc22744318"/>
      <w:bookmarkStart w:id="104" w:name="_Toc22814026"/>
      <w:bookmarkStart w:id="105" w:name="_Toc22815457"/>
      <w:bookmarkStart w:id="106" w:name="_Toc22817193"/>
      <w:bookmarkStart w:id="107" w:name="_Toc22823073"/>
      <w:bookmarkStart w:id="108" w:name="_Toc22828884"/>
      <w:bookmarkStart w:id="109" w:name="_Toc22830439"/>
      <w:bookmarkStart w:id="110" w:name="_Toc22886957"/>
      <w:bookmarkStart w:id="111" w:name="_Toc22888736"/>
      <w:bookmarkStart w:id="112" w:name="_Toc22889654"/>
      <w:bookmarkStart w:id="113" w:name="_Toc22890019"/>
      <w:bookmarkStart w:id="114" w:name="_Toc22891287"/>
      <w:bookmarkStart w:id="115" w:name="_Toc22891485"/>
      <w:bookmarkStart w:id="116" w:name="_Toc22894262"/>
      <w:bookmarkStart w:id="117" w:name="_Toc23515080"/>
      <w:bookmarkStart w:id="118" w:name="_Toc23515493"/>
      <w:bookmarkStart w:id="119" w:name="_Toc23521040"/>
      <w:bookmarkStart w:id="120" w:name="_Toc24712761"/>
      <w:bookmarkStart w:id="121" w:name="_Toc24717005"/>
      <w:bookmarkStart w:id="122" w:name="_Toc24721544"/>
      <w:bookmarkStart w:id="123" w:name="_Toc24722258"/>
      <w:bookmarkStart w:id="124" w:name="_Toc24728673"/>
      <w:bookmarkStart w:id="125" w:name="_Toc24731199"/>
      <w:bookmarkStart w:id="126" w:name="_Toc24545116"/>
      <w:bookmarkStart w:id="127" w:name="_Toc24545342"/>
      <w:bookmarkStart w:id="128" w:name="_Toc24547603"/>
      <w:bookmarkStart w:id="129" w:name="_Toc24551383"/>
      <w:bookmarkStart w:id="130" w:name="_Toc24554719"/>
      <w:bookmarkStart w:id="131" w:name="_Toc24556316"/>
      <w:r>
        <w:lastRenderedPageBreak/>
        <w:t xml:space="preserve">The </w:t>
      </w:r>
      <w:r w:rsidR="0016052A">
        <w:t>r</w:t>
      </w:r>
      <w:r>
        <w:t xml:space="preserve">etirement </w:t>
      </w:r>
      <w:r w:rsidR="0016052A">
        <w:t>i</w:t>
      </w:r>
      <w:r>
        <w:t xml:space="preserve">ncome </w:t>
      </w:r>
      <w:r w:rsidR="0016052A">
        <w:t>s</w:t>
      </w:r>
      <w:r>
        <w:t>ystem</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t xml:space="preserve"> </w:t>
      </w:r>
      <w:bookmarkEnd w:id="126"/>
      <w:bookmarkEnd w:id="127"/>
      <w:bookmarkEnd w:id="128"/>
      <w:bookmarkEnd w:id="129"/>
      <w:bookmarkEnd w:id="130"/>
      <w:bookmarkEnd w:id="131"/>
    </w:p>
    <w:p w14:paraId="07302CC5" w14:textId="1ADA0D8B" w:rsidR="00C7078A" w:rsidRDefault="00356206" w:rsidP="002619C5">
      <w:r>
        <w:t xml:space="preserve">Most developed countries have a </w:t>
      </w:r>
      <w:r w:rsidR="00BD02BE">
        <w:t xml:space="preserve">retirement income system </w:t>
      </w:r>
      <w:r w:rsidR="00CE5A51">
        <w:t xml:space="preserve">to support their citizens as they age and retire from the workforce. Systems vary across countries and range from non-contributory public pensions which may be universal or means tested, compulsory public pensions </w:t>
      </w:r>
      <w:r w:rsidR="00C7078A">
        <w:t>with</w:t>
      </w:r>
      <w:r w:rsidR="00CE5A51">
        <w:t xml:space="preserve"> contributions linked to </w:t>
      </w:r>
      <w:r w:rsidR="00FD4F84">
        <w:t>employment</w:t>
      </w:r>
      <w:r w:rsidR="00CE5A51">
        <w:t xml:space="preserve"> income, and voluntary savings which are often supported by tax concessions.</w:t>
      </w:r>
      <w:r w:rsidR="00D86ABB">
        <w:t xml:space="preserve"> </w:t>
      </w:r>
    </w:p>
    <w:p w14:paraId="08FC8223" w14:textId="3EDD5595" w:rsidR="0016052A" w:rsidRDefault="00BD02BE" w:rsidP="002619C5">
      <w:r>
        <w:t xml:space="preserve">The </w:t>
      </w:r>
      <w:r w:rsidR="00CE5A51">
        <w:t xml:space="preserve">Australian </w:t>
      </w:r>
      <w:r>
        <w:t>retirement income system has evolved o</w:t>
      </w:r>
      <w:r w:rsidRPr="000042FE">
        <w:t>ver the past 1</w:t>
      </w:r>
      <w:r w:rsidR="00B37067">
        <w:t>1</w:t>
      </w:r>
      <w:r w:rsidRPr="000042FE">
        <w:t xml:space="preserve">0 years </w:t>
      </w:r>
      <w:r>
        <w:t xml:space="preserve">from a system which was largely focused on </w:t>
      </w:r>
      <w:r w:rsidRPr="000042FE">
        <w:t xml:space="preserve">poverty alleviation </w:t>
      </w:r>
      <w:r>
        <w:t xml:space="preserve">via </w:t>
      </w:r>
      <w:r w:rsidRPr="000042FE">
        <w:t>the Age Pension</w:t>
      </w:r>
      <w:r w:rsidR="00057AE1">
        <w:t>.</w:t>
      </w:r>
      <w:r w:rsidR="00C7078A">
        <w:t xml:space="preserve"> </w:t>
      </w:r>
      <w:r w:rsidR="00057AE1">
        <w:t>The system</w:t>
      </w:r>
      <w:r w:rsidR="00C7078A">
        <w:t xml:space="preserve"> now consists of</w:t>
      </w:r>
      <w:r w:rsidR="00CE5A51">
        <w:t xml:space="preserve"> </w:t>
      </w:r>
      <w:r w:rsidR="00544C95">
        <w:t>three pillars</w:t>
      </w:r>
      <w:r w:rsidR="00110791">
        <w:t xml:space="preserve"> which </w:t>
      </w:r>
      <w:r w:rsidR="00D47596">
        <w:t>ensure</w:t>
      </w:r>
      <w:r w:rsidR="00110791">
        <w:t xml:space="preserve"> all Australians have some income support in old age, </w:t>
      </w:r>
      <w:r w:rsidR="00E55960">
        <w:t>and</w:t>
      </w:r>
      <w:r w:rsidR="00110791">
        <w:t xml:space="preserve"> encourage </w:t>
      </w:r>
      <w:r w:rsidR="00E67451">
        <w:t>individuals</w:t>
      </w:r>
      <w:r w:rsidR="00110791">
        <w:t xml:space="preserve"> to make provision</w:t>
      </w:r>
      <w:r w:rsidR="00FD4F84">
        <w:t>s</w:t>
      </w:r>
      <w:r w:rsidR="00110791">
        <w:t xml:space="preserve"> during their working lives to support their retirement needs. </w:t>
      </w:r>
    </w:p>
    <w:p w14:paraId="0E224DA9" w14:textId="783CE296" w:rsidR="0016052A" w:rsidRDefault="0016052A" w:rsidP="0016052A">
      <w:pPr>
        <w:pStyle w:val="Heading2"/>
      </w:pPr>
      <w:bookmarkStart w:id="132" w:name="_Toc23515081"/>
      <w:bookmarkStart w:id="133" w:name="_Toc23515494"/>
      <w:bookmarkStart w:id="134" w:name="_Toc23521041"/>
      <w:bookmarkStart w:id="135" w:name="_Toc24545117"/>
      <w:bookmarkStart w:id="136" w:name="_Toc24545343"/>
      <w:bookmarkStart w:id="137" w:name="_Toc24547604"/>
      <w:bookmarkStart w:id="138" w:name="_Toc24551384"/>
      <w:bookmarkStart w:id="139" w:name="_Toc24554720"/>
      <w:bookmarkStart w:id="140" w:name="_Toc24556317"/>
      <w:bookmarkStart w:id="141" w:name="_Toc24712762"/>
      <w:bookmarkStart w:id="142" w:name="_Toc24717006"/>
      <w:bookmarkStart w:id="143" w:name="_Toc24721545"/>
      <w:bookmarkStart w:id="144" w:name="_Toc24722259"/>
      <w:bookmarkStart w:id="145" w:name="_Toc24728674"/>
      <w:bookmarkStart w:id="146" w:name="_Toc24731200"/>
      <w:r>
        <w:t>The three pillars</w:t>
      </w:r>
      <w:bookmarkEnd w:id="132"/>
      <w:bookmarkEnd w:id="133"/>
      <w:bookmarkEnd w:id="134"/>
      <w:r w:rsidR="00A97FE0">
        <w:t xml:space="preserve"> of Australia’s retirement income system</w:t>
      </w:r>
      <w:bookmarkEnd w:id="135"/>
      <w:bookmarkEnd w:id="136"/>
      <w:bookmarkEnd w:id="137"/>
      <w:bookmarkEnd w:id="138"/>
      <w:bookmarkEnd w:id="139"/>
      <w:bookmarkEnd w:id="140"/>
      <w:bookmarkEnd w:id="141"/>
      <w:bookmarkEnd w:id="142"/>
      <w:bookmarkEnd w:id="143"/>
      <w:bookmarkEnd w:id="144"/>
      <w:bookmarkEnd w:id="145"/>
      <w:bookmarkEnd w:id="146"/>
    </w:p>
    <w:p w14:paraId="712441CF" w14:textId="5303CF75" w:rsidR="00544C95" w:rsidRDefault="00110791" w:rsidP="0016052A">
      <w:r>
        <w:t xml:space="preserve">The </w:t>
      </w:r>
      <w:r w:rsidR="0016052A">
        <w:t xml:space="preserve">three </w:t>
      </w:r>
      <w:r>
        <w:t xml:space="preserve">pillars </w:t>
      </w:r>
      <w:r w:rsidR="0016052A">
        <w:t xml:space="preserve">of Australia’s retirement income system </w:t>
      </w:r>
      <w:r w:rsidR="003028AB">
        <w:t>(</w:t>
      </w:r>
      <w:r w:rsidR="003028AB" w:rsidRPr="009E687F">
        <w:rPr>
          <w:szCs w:val="22"/>
        </w:rPr>
        <w:fldChar w:fldCharType="begin"/>
      </w:r>
      <w:r w:rsidR="003028AB" w:rsidRPr="009E687F">
        <w:rPr>
          <w:szCs w:val="22"/>
        </w:rPr>
        <w:instrText xml:space="preserve"> REF _Ref23329463 \h </w:instrText>
      </w:r>
      <w:r w:rsidR="009E687F">
        <w:rPr>
          <w:szCs w:val="22"/>
        </w:rPr>
        <w:instrText xml:space="preserve"> \* MERGEFORMAT </w:instrText>
      </w:r>
      <w:r w:rsidR="003028AB" w:rsidRPr="009E687F">
        <w:rPr>
          <w:szCs w:val="22"/>
        </w:rPr>
      </w:r>
      <w:r w:rsidR="003028AB" w:rsidRPr="009E687F">
        <w:rPr>
          <w:szCs w:val="22"/>
        </w:rPr>
        <w:fldChar w:fldCharType="separate"/>
      </w:r>
      <w:r w:rsidR="00070568" w:rsidRPr="00070568">
        <w:rPr>
          <w:szCs w:val="22"/>
        </w:rPr>
        <w:t>Figure 1</w:t>
      </w:r>
      <w:r w:rsidR="003028AB" w:rsidRPr="009E687F">
        <w:rPr>
          <w:szCs w:val="22"/>
        </w:rPr>
        <w:fldChar w:fldCharType="end"/>
      </w:r>
      <w:r w:rsidR="003028AB">
        <w:t xml:space="preserve">) </w:t>
      </w:r>
      <w:r>
        <w:t>consist of:</w:t>
      </w:r>
    </w:p>
    <w:p w14:paraId="2EEC43D0" w14:textId="21C907CD" w:rsidR="00110791" w:rsidRPr="004C59FA" w:rsidRDefault="00CE5A51" w:rsidP="004C59FA">
      <w:pPr>
        <w:pStyle w:val="Bullet"/>
      </w:pPr>
      <w:r w:rsidRPr="004C59FA">
        <w:t>a publicly funded</w:t>
      </w:r>
      <w:r w:rsidR="00630569" w:rsidRPr="004C59FA">
        <w:t xml:space="preserve"> and</w:t>
      </w:r>
      <w:r w:rsidRPr="004C59FA">
        <w:t xml:space="preserve"> means tested safety net </w:t>
      </w:r>
      <w:r w:rsidR="00C7078A" w:rsidRPr="004C59FA">
        <w:t>in the form of</w:t>
      </w:r>
      <w:r w:rsidRPr="004C59FA">
        <w:t xml:space="preserve"> the Age Pension</w:t>
      </w:r>
      <w:r w:rsidR="00110791" w:rsidRPr="004C59FA">
        <w:t>;</w:t>
      </w:r>
    </w:p>
    <w:p w14:paraId="6B8590F6" w14:textId="3F31AF53" w:rsidR="00110791" w:rsidRPr="004C59FA" w:rsidRDefault="00CE5A51" w:rsidP="004C59FA">
      <w:pPr>
        <w:pStyle w:val="Bullet"/>
      </w:pPr>
      <w:r w:rsidRPr="004C59FA">
        <w:t>compulsory saving</w:t>
      </w:r>
      <w:r w:rsidR="00A97FE0">
        <w:t>s</w:t>
      </w:r>
      <w:r w:rsidRPr="004C59FA">
        <w:t xml:space="preserve"> through </w:t>
      </w:r>
      <w:r w:rsidR="00630569" w:rsidRPr="004C59FA">
        <w:t xml:space="preserve">the </w:t>
      </w:r>
      <w:r w:rsidRPr="004C59FA">
        <w:t xml:space="preserve">superannuation </w:t>
      </w:r>
      <w:r w:rsidR="00630569" w:rsidRPr="004C59FA">
        <w:t>guarantee</w:t>
      </w:r>
      <w:r w:rsidR="00A97FE0">
        <w:t xml:space="preserve"> (SG);</w:t>
      </w:r>
      <w:r w:rsidR="00630569" w:rsidRPr="004C59FA">
        <w:t xml:space="preserve"> </w:t>
      </w:r>
      <w:r w:rsidRPr="004C59FA">
        <w:t>and</w:t>
      </w:r>
    </w:p>
    <w:p w14:paraId="32389DC0" w14:textId="701FE83A" w:rsidR="002619C5" w:rsidRPr="004C59FA" w:rsidRDefault="00CE5A51" w:rsidP="004C59FA">
      <w:pPr>
        <w:pStyle w:val="Bullet"/>
      </w:pPr>
      <w:r w:rsidRPr="004C59FA">
        <w:t>voluntary saving</w:t>
      </w:r>
      <w:r w:rsidR="00A97FE0">
        <w:t>s</w:t>
      </w:r>
      <w:r w:rsidRPr="004C59FA">
        <w:t xml:space="preserve"> through additional </w:t>
      </w:r>
      <w:r w:rsidR="00630569" w:rsidRPr="004C59FA">
        <w:t xml:space="preserve">superannuation </w:t>
      </w:r>
      <w:r w:rsidRPr="004C59FA">
        <w:t xml:space="preserve">contributions </w:t>
      </w:r>
      <w:r w:rsidR="00110791" w:rsidRPr="004C59FA">
        <w:t>and</w:t>
      </w:r>
      <w:r w:rsidRPr="004C59FA">
        <w:t xml:space="preserve"> other financial </w:t>
      </w:r>
      <w:r w:rsidR="00110791" w:rsidRPr="004C59FA">
        <w:t>or</w:t>
      </w:r>
      <w:r w:rsidRPr="004C59FA">
        <w:t xml:space="preserve"> non</w:t>
      </w:r>
      <w:r w:rsidR="00A97FE0">
        <w:noBreakHyphen/>
      </w:r>
      <w:r w:rsidRPr="004C59FA">
        <w:t xml:space="preserve">financial assets. </w:t>
      </w:r>
    </w:p>
    <w:p w14:paraId="6A5095D9" w14:textId="39633D3D" w:rsidR="00BD02BE" w:rsidRPr="00716638" w:rsidRDefault="007F0465" w:rsidP="006175A8">
      <w:pPr>
        <w:pStyle w:val="ChartMainHeading"/>
      </w:pPr>
      <w:bookmarkStart w:id="147" w:name="_Ref23329463"/>
      <w:r w:rsidRPr="00716638">
        <w:t xml:space="preserve">Figure </w:t>
      </w:r>
      <w:r w:rsidR="00EB730F" w:rsidRPr="00716638">
        <w:rPr>
          <w:noProof/>
        </w:rPr>
        <w:fldChar w:fldCharType="begin"/>
      </w:r>
      <w:r w:rsidR="00EB730F" w:rsidRPr="00716638">
        <w:rPr>
          <w:noProof/>
        </w:rPr>
        <w:instrText xml:space="preserve"> SEQ Figure \* ARABIC </w:instrText>
      </w:r>
      <w:r w:rsidR="00EB730F" w:rsidRPr="00716638">
        <w:rPr>
          <w:noProof/>
        </w:rPr>
        <w:fldChar w:fldCharType="separate"/>
      </w:r>
      <w:r w:rsidR="00070568">
        <w:rPr>
          <w:noProof/>
        </w:rPr>
        <w:t>1</w:t>
      </w:r>
      <w:r w:rsidR="00EB730F" w:rsidRPr="00716638">
        <w:rPr>
          <w:noProof/>
        </w:rPr>
        <w:fldChar w:fldCharType="end"/>
      </w:r>
      <w:bookmarkEnd w:id="147"/>
      <w:r w:rsidR="00BD02BE" w:rsidRPr="00716638">
        <w:t xml:space="preserve">: The </w:t>
      </w:r>
      <w:r w:rsidR="00BD02BE" w:rsidRPr="006175A8">
        <w:t>three</w:t>
      </w:r>
      <w:r w:rsidR="00BD02BE" w:rsidRPr="00716638">
        <w:t xml:space="preserve"> pillars</w:t>
      </w:r>
    </w:p>
    <w:p w14:paraId="3091A80F" w14:textId="04C49B95" w:rsidR="00BD02BE" w:rsidRDefault="00BD02BE" w:rsidP="00B921FB">
      <w:pPr>
        <w:pStyle w:val="ChartGraphic"/>
      </w:pPr>
      <w:r w:rsidRPr="00563956">
        <w:rPr>
          <w:noProof/>
        </w:rPr>
        <mc:AlternateContent>
          <mc:Choice Requires="wpg">
            <w:drawing>
              <wp:inline distT="0" distB="0" distL="0" distR="0" wp14:anchorId="21860127" wp14:editId="7C40E14D">
                <wp:extent cx="5901070" cy="2307266"/>
                <wp:effectExtent l="0" t="0" r="4445" b="0"/>
                <wp:docPr id="4" name="Group 4"/>
                <wp:cNvGraphicFramePr/>
                <a:graphic xmlns:a="http://schemas.openxmlformats.org/drawingml/2006/main">
                  <a:graphicData uri="http://schemas.microsoft.com/office/word/2010/wordprocessingGroup">
                    <wpg:wgp>
                      <wpg:cNvGrpSpPr/>
                      <wpg:grpSpPr>
                        <a:xfrm>
                          <a:off x="0" y="0"/>
                          <a:ext cx="5901070" cy="2307266"/>
                          <a:chOff x="0" y="1"/>
                          <a:chExt cx="7636819" cy="3022749"/>
                        </a:xfrm>
                        <a:effectLst/>
                      </wpg:grpSpPr>
                      <wps:wsp>
                        <wps:cNvPr id="5" name="Rectangle 2"/>
                        <wps:cNvSpPr/>
                        <wps:spPr>
                          <a:xfrm>
                            <a:off x="0" y="1"/>
                            <a:ext cx="2304256" cy="3022749"/>
                          </a:xfrm>
                          <a:prstGeom prst="rect">
                            <a:avLst/>
                          </a:prstGeom>
                          <a:solidFill>
                            <a:schemeClr val="accent3"/>
                          </a:solidFill>
                          <a:ln>
                            <a:noFill/>
                          </a:ln>
                          <a:effectLst/>
                        </wps:spPr>
                        <wps:style>
                          <a:lnRef idx="1">
                            <a:schemeClr val="accent1"/>
                          </a:lnRef>
                          <a:fillRef idx="2">
                            <a:schemeClr val="accent1"/>
                          </a:fillRef>
                          <a:effectRef idx="1">
                            <a:schemeClr val="accent1"/>
                          </a:effectRef>
                          <a:fontRef idx="minor">
                            <a:schemeClr val="dk1"/>
                          </a:fontRef>
                        </wps:style>
                        <wps:txbx>
                          <w:txbxContent>
                            <w:p w14:paraId="7CD1FDE8" w14:textId="77777777" w:rsidR="00C46C05" w:rsidRDefault="00C46C05" w:rsidP="00BD02BE">
                              <w:pPr>
                                <w:pStyle w:val="NormalWeb"/>
                                <w:spacing w:after="0"/>
                                <w:jc w:val="center"/>
                              </w:pPr>
                              <w:r>
                                <w:rPr>
                                  <w:rFonts w:asciiTheme="minorHAnsi" w:hAnsi="Calibri" w:cstheme="minorBidi"/>
                                  <w:b/>
                                  <w:bCs/>
                                  <w:color w:val="FFFFFF" w:themeColor="background1"/>
                                  <w:kern w:val="24"/>
                                  <w:sz w:val="36"/>
                                  <w:szCs w:val="36"/>
                                </w:rPr>
                                <w:t>Pillar 1</w:t>
                              </w:r>
                            </w:p>
                            <w:p w14:paraId="1F06A578" w14:textId="0E5108D7" w:rsidR="00C46C05" w:rsidRPr="00D64101" w:rsidRDefault="00C46C05" w:rsidP="00BD02BE">
                              <w:pPr>
                                <w:pStyle w:val="NormalWeb"/>
                                <w:spacing w:after="0"/>
                                <w:jc w:val="center"/>
                                <w:rPr>
                                  <w:sz w:val="18"/>
                                </w:rPr>
                              </w:pPr>
                              <w:r w:rsidRPr="00D64101">
                                <w:rPr>
                                  <w:rFonts w:asciiTheme="minorHAnsi" w:hAnsi="Calibri" w:cstheme="minorBidi"/>
                                  <w:b/>
                                  <w:color w:val="FFFFFF" w:themeColor="background1"/>
                                  <w:kern w:val="24"/>
                                  <w:szCs w:val="36"/>
                                </w:rPr>
                                <w:t>Government funded Age</w:t>
                              </w:r>
                              <w:r>
                                <w:rPr>
                                  <w:rFonts w:asciiTheme="minorHAnsi" w:hAnsi="Calibri" w:cstheme="minorBidi"/>
                                  <w:b/>
                                  <w:color w:val="FFFFFF" w:themeColor="background1"/>
                                  <w:kern w:val="24"/>
                                  <w:szCs w:val="36"/>
                                </w:rPr>
                                <w:t> </w:t>
                              </w:r>
                              <w:r w:rsidRPr="00D64101">
                                <w:rPr>
                                  <w:rFonts w:asciiTheme="minorHAnsi" w:hAnsi="Calibri" w:cstheme="minorBidi"/>
                                  <w:b/>
                                  <w:color w:val="FFFFFF" w:themeColor="background1"/>
                                  <w:kern w:val="24"/>
                                  <w:szCs w:val="36"/>
                                </w:rPr>
                                <w:t>Pension</w:t>
                              </w:r>
                            </w:p>
                            <w:p w14:paraId="5D06AD8E" w14:textId="77777777" w:rsidR="00C46C05" w:rsidRPr="00BF4815" w:rsidRDefault="00C46C05" w:rsidP="00BD02BE">
                              <w:pPr>
                                <w:pStyle w:val="NormalWeb"/>
                                <w:spacing w:before="90" w:after="0" w:line="240" w:lineRule="auto"/>
                                <w:rPr>
                                  <w:sz w:val="20"/>
                                </w:rPr>
                              </w:pPr>
                              <w:r w:rsidRPr="00BF4815">
                                <w:rPr>
                                  <w:rFonts w:asciiTheme="minorHAnsi" w:hAnsi="Calibri" w:cstheme="minorBidi"/>
                                  <w:color w:val="FFFFFF" w:themeColor="background1"/>
                                  <w:kern w:val="24"/>
                                  <w:sz w:val="22"/>
                                  <w:szCs w:val="28"/>
                                </w:rPr>
                                <w:t>Safety</w:t>
                              </w:r>
                              <w:r>
                                <w:rPr>
                                  <w:rFonts w:asciiTheme="minorHAnsi" w:hAnsi="Calibri" w:cstheme="minorBidi"/>
                                  <w:color w:val="FFFFFF" w:themeColor="background1"/>
                                  <w:kern w:val="24"/>
                                  <w:sz w:val="22"/>
                                  <w:szCs w:val="28"/>
                                </w:rPr>
                                <w:t xml:space="preserve"> </w:t>
                              </w:r>
                              <w:r w:rsidRPr="00BF4815">
                                <w:rPr>
                                  <w:rFonts w:asciiTheme="minorHAnsi" w:hAnsi="Calibri" w:cstheme="minorBidi"/>
                                  <w:color w:val="FFFFFF" w:themeColor="background1"/>
                                  <w:kern w:val="24"/>
                                  <w:sz w:val="22"/>
                                  <w:szCs w:val="28"/>
                                </w:rPr>
                                <w:t>net level of income including longevity risk protection</w:t>
                              </w:r>
                            </w:p>
                            <w:p w14:paraId="643D0CEE" w14:textId="77777777" w:rsidR="00C46C05" w:rsidRPr="00BF4815" w:rsidRDefault="00C46C05" w:rsidP="00BD02BE">
                              <w:pPr>
                                <w:pStyle w:val="NormalWeb"/>
                                <w:spacing w:before="90" w:after="0" w:line="240" w:lineRule="auto"/>
                                <w:rPr>
                                  <w:sz w:val="20"/>
                                </w:rPr>
                              </w:pPr>
                              <w:r w:rsidRPr="00BF4815">
                                <w:rPr>
                                  <w:rFonts w:asciiTheme="minorHAnsi" w:hAnsi="Calibri" w:cstheme="minorBidi"/>
                                  <w:color w:val="FFFFFF" w:themeColor="background1"/>
                                  <w:kern w:val="24"/>
                                  <w:sz w:val="22"/>
                                  <w:szCs w:val="28"/>
                                </w:rPr>
                                <w:t>Means tested</w:t>
                              </w:r>
                            </w:p>
                          </w:txbxContent>
                        </wps:txbx>
                        <wps:bodyPr rtlCol="0" anchor="t"/>
                      </wps:wsp>
                      <wpg:grpSp>
                        <wpg:cNvPr id="6" name="Group 4"/>
                        <wpg:cNvGrpSpPr/>
                        <wpg:grpSpPr>
                          <a:xfrm>
                            <a:off x="2405041" y="1"/>
                            <a:ext cx="5231778" cy="3022575"/>
                            <a:chOff x="2405041" y="1"/>
                            <a:chExt cx="5231778" cy="3022575"/>
                          </a:xfrm>
                        </wpg:grpSpPr>
                        <wps:wsp>
                          <wps:cNvPr id="7" name="Rectangle 5"/>
                          <wps:cNvSpPr/>
                          <wps:spPr>
                            <a:xfrm>
                              <a:off x="2405041" y="2"/>
                              <a:ext cx="2232249" cy="3022565"/>
                            </a:xfrm>
                            <a:prstGeom prst="rect">
                              <a:avLst/>
                            </a:prstGeom>
                            <a:solidFill>
                              <a:schemeClr val="accent1"/>
                            </a:solidFill>
                            <a:ln>
                              <a:noFill/>
                            </a:ln>
                            <a:effectLst/>
                          </wps:spPr>
                          <wps:style>
                            <a:lnRef idx="1">
                              <a:schemeClr val="accent3"/>
                            </a:lnRef>
                            <a:fillRef idx="2">
                              <a:schemeClr val="accent3"/>
                            </a:fillRef>
                            <a:effectRef idx="1">
                              <a:schemeClr val="accent3"/>
                            </a:effectRef>
                            <a:fontRef idx="minor">
                              <a:schemeClr val="dk1"/>
                            </a:fontRef>
                          </wps:style>
                          <wps:txbx>
                            <w:txbxContent>
                              <w:p w14:paraId="6CDAD072" w14:textId="77777777" w:rsidR="00C46C05" w:rsidRDefault="00C46C05" w:rsidP="00BD02BE">
                                <w:pPr>
                                  <w:pStyle w:val="NormalWeb"/>
                                  <w:spacing w:after="0"/>
                                  <w:jc w:val="center"/>
                                </w:pPr>
                                <w:r>
                                  <w:rPr>
                                    <w:rFonts w:asciiTheme="minorHAnsi" w:hAnsi="Calibri" w:cstheme="minorBidi"/>
                                    <w:b/>
                                    <w:bCs/>
                                    <w:color w:val="FFFFFF" w:themeColor="background1"/>
                                    <w:kern w:val="24"/>
                                    <w:sz w:val="36"/>
                                    <w:szCs w:val="36"/>
                                  </w:rPr>
                                  <w:t>Pillar 2</w:t>
                                </w:r>
                              </w:p>
                              <w:p w14:paraId="217BA9D1" w14:textId="77777777" w:rsidR="00C46C05" w:rsidRPr="00D64101" w:rsidRDefault="00C46C05" w:rsidP="00BD02BE">
                                <w:pPr>
                                  <w:pStyle w:val="NormalWeb"/>
                                  <w:spacing w:after="0"/>
                                  <w:jc w:val="center"/>
                                  <w:rPr>
                                    <w:sz w:val="18"/>
                                  </w:rPr>
                                </w:pPr>
                                <w:r w:rsidRPr="00D64101">
                                  <w:rPr>
                                    <w:rFonts w:asciiTheme="minorHAnsi" w:hAnsi="Calibri" w:cstheme="minorBidi"/>
                                    <w:b/>
                                    <w:color w:val="FFFFFF" w:themeColor="background1"/>
                                    <w:kern w:val="24"/>
                                    <w:szCs w:val="36"/>
                                  </w:rPr>
                                  <w:t>Compulsory superannuation</w:t>
                                </w:r>
                              </w:p>
                              <w:p w14:paraId="202E68E8" w14:textId="7C249E86" w:rsidR="00C46C05" w:rsidRPr="00BF4815" w:rsidRDefault="00C46C05" w:rsidP="00BD02BE">
                                <w:pPr>
                                  <w:pStyle w:val="NormalWeb"/>
                                  <w:spacing w:before="90" w:after="0" w:line="240" w:lineRule="auto"/>
                                  <w:rPr>
                                    <w:sz w:val="20"/>
                                  </w:rPr>
                                </w:pPr>
                                <w:r>
                                  <w:rPr>
                                    <w:rFonts w:asciiTheme="minorHAnsi" w:hAnsi="Calibri" w:cstheme="minorBidi"/>
                                    <w:color w:val="FFFFFF" w:themeColor="background1"/>
                                    <w:kern w:val="24"/>
                                    <w:sz w:val="22"/>
                                    <w:szCs w:val="28"/>
                                  </w:rPr>
                                  <w:t>Superannuation Guarantee</w:t>
                                </w:r>
                              </w:p>
                              <w:p w14:paraId="2F7B45AD" w14:textId="77777777" w:rsidR="00C46C05" w:rsidRPr="00BF4815" w:rsidRDefault="00C46C05" w:rsidP="00BD02BE">
                                <w:pPr>
                                  <w:pStyle w:val="NormalWeb"/>
                                  <w:spacing w:before="90" w:after="0" w:line="240" w:lineRule="auto"/>
                                  <w:rPr>
                                    <w:sz w:val="20"/>
                                  </w:rPr>
                                </w:pPr>
                                <w:r w:rsidRPr="00BF4815">
                                  <w:rPr>
                                    <w:rFonts w:asciiTheme="minorHAnsi" w:hAnsi="Calibri" w:cstheme="minorBidi"/>
                                    <w:color w:val="FFFFFF" w:themeColor="background1"/>
                                    <w:kern w:val="24"/>
                                    <w:sz w:val="22"/>
                                    <w:szCs w:val="28"/>
                                  </w:rPr>
                                  <w:t>Supported by tax concessions</w:t>
                                </w:r>
                              </w:p>
                            </w:txbxContent>
                          </wps:txbx>
                          <wps:bodyPr rtlCol="0" anchor="t"/>
                        </wps:wsp>
                        <wps:wsp>
                          <wps:cNvPr id="8" name="Rectangle 6"/>
                          <wps:cNvSpPr/>
                          <wps:spPr>
                            <a:xfrm>
                              <a:off x="4747621" y="1"/>
                              <a:ext cx="2889198" cy="865171"/>
                            </a:xfrm>
                            <a:prstGeom prst="rect">
                              <a:avLst/>
                            </a:prstGeom>
                            <a:solidFill>
                              <a:schemeClr val="accent4"/>
                            </a:solidFill>
                            <a:ln>
                              <a:noFill/>
                            </a:ln>
                            <a:effectLst/>
                          </wps:spPr>
                          <wps:style>
                            <a:lnRef idx="1">
                              <a:schemeClr val="accent1"/>
                            </a:lnRef>
                            <a:fillRef idx="2">
                              <a:schemeClr val="accent1"/>
                            </a:fillRef>
                            <a:effectRef idx="1">
                              <a:schemeClr val="accent1"/>
                            </a:effectRef>
                            <a:fontRef idx="minor">
                              <a:schemeClr val="dk1"/>
                            </a:fontRef>
                          </wps:style>
                          <wps:txbx>
                            <w:txbxContent>
                              <w:p w14:paraId="7F24838E" w14:textId="77777777" w:rsidR="00C46C05" w:rsidRPr="007B45F6" w:rsidRDefault="00C46C05" w:rsidP="00BD02BE">
                                <w:pPr>
                                  <w:pStyle w:val="NormalWeb"/>
                                  <w:spacing w:after="0"/>
                                  <w:jc w:val="center"/>
                                  <w:rPr>
                                    <w:color w:val="FFFFFF" w:themeColor="background1"/>
                                  </w:rPr>
                                </w:pPr>
                                <w:r w:rsidRPr="007B45F6">
                                  <w:rPr>
                                    <w:rFonts w:asciiTheme="minorHAnsi" w:hAnsi="Calibri" w:cstheme="minorBidi"/>
                                    <w:b/>
                                    <w:bCs/>
                                    <w:color w:val="FFFFFF" w:themeColor="background1"/>
                                    <w:kern w:val="24"/>
                                    <w:sz w:val="36"/>
                                    <w:szCs w:val="36"/>
                                  </w:rPr>
                                  <w:t>Pillar 3</w:t>
                                </w:r>
                              </w:p>
                              <w:p w14:paraId="36D7CA69" w14:textId="77777777" w:rsidR="00C46C05" w:rsidRPr="007B45F6" w:rsidRDefault="00C46C05" w:rsidP="00BD02BE">
                                <w:pPr>
                                  <w:pStyle w:val="NormalWeb"/>
                                  <w:spacing w:after="0"/>
                                  <w:jc w:val="center"/>
                                  <w:rPr>
                                    <w:color w:val="FFFFFF" w:themeColor="background1"/>
                                    <w:sz w:val="18"/>
                                  </w:rPr>
                                </w:pPr>
                                <w:r w:rsidRPr="007B45F6">
                                  <w:rPr>
                                    <w:rFonts w:asciiTheme="minorHAnsi" w:hAnsi="Calibri" w:cstheme="minorBidi"/>
                                    <w:b/>
                                    <w:color w:val="FFFFFF" w:themeColor="background1"/>
                                    <w:kern w:val="24"/>
                                    <w:szCs w:val="36"/>
                                  </w:rPr>
                                  <w:t>Voluntary savings</w:t>
                                </w:r>
                              </w:p>
                            </w:txbxContent>
                          </wps:txbx>
                          <wps:bodyPr rtlCol="0" anchor="t"/>
                        </wps:wsp>
                        <wps:wsp>
                          <wps:cNvPr id="9" name="Rectangle 8"/>
                          <wps:cNvSpPr/>
                          <wps:spPr>
                            <a:xfrm>
                              <a:off x="4747621" y="935539"/>
                              <a:ext cx="1444600" cy="2086991"/>
                            </a:xfrm>
                            <a:prstGeom prst="rect">
                              <a:avLst/>
                            </a:prstGeom>
                            <a:solidFill>
                              <a:schemeClr val="accent5"/>
                            </a:solidFill>
                            <a:ln>
                              <a:noFill/>
                            </a:ln>
                            <a:effectLst/>
                          </wps:spPr>
                          <wps:style>
                            <a:lnRef idx="1">
                              <a:schemeClr val="accent3"/>
                            </a:lnRef>
                            <a:fillRef idx="2">
                              <a:schemeClr val="accent3"/>
                            </a:fillRef>
                            <a:effectRef idx="1">
                              <a:schemeClr val="accent3"/>
                            </a:effectRef>
                            <a:fontRef idx="minor">
                              <a:schemeClr val="dk1"/>
                            </a:fontRef>
                          </wps:style>
                          <wps:txbx>
                            <w:txbxContent>
                              <w:p w14:paraId="44B5F916" w14:textId="74BE1F3A" w:rsidR="00C46C05" w:rsidRPr="00D64101" w:rsidRDefault="00C46C05" w:rsidP="00BD02BE">
                                <w:pPr>
                                  <w:pStyle w:val="NormalWeb"/>
                                  <w:spacing w:after="0"/>
                                  <w:jc w:val="center"/>
                                  <w:rPr>
                                    <w:sz w:val="18"/>
                                  </w:rPr>
                                </w:pPr>
                                <w:r w:rsidRPr="00D64101">
                                  <w:rPr>
                                    <w:rFonts w:asciiTheme="minorHAnsi" w:hAnsi="Calibri" w:cstheme="minorBidi"/>
                                    <w:b/>
                                    <w:i/>
                                    <w:color w:val="FFFFFF" w:themeColor="background1"/>
                                    <w:kern w:val="24"/>
                                    <w:sz w:val="22"/>
                                    <w:szCs w:val="32"/>
                                  </w:rPr>
                                  <w:t>Voluntary super</w:t>
                                </w:r>
                                <w:r>
                                  <w:rPr>
                                    <w:rFonts w:asciiTheme="minorHAnsi" w:hAnsi="Calibri" w:cstheme="minorBidi"/>
                                    <w:b/>
                                    <w:i/>
                                    <w:color w:val="FFFFFF" w:themeColor="background1"/>
                                    <w:kern w:val="24"/>
                                    <w:sz w:val="22"/>
                                    <w:szCs w:val="32"/>
                                  </w:rPr>
                                  <w:t xml:space="preserve">annuation </w:t>
                                </w:r>
                                <w:r w:rsidRPr="00D64101">
                                  <w:rPr>
                                    <w:rFonts w:asciiTheme="minorHAnsi" w:hAnsi="Calibri" w:cstheme="minorBidi"/>
                                    <w:b/>
                                    <w:i/>
                                    <w:color w:val="FFFFFF" w:themeColor="background1"/>
                                    <w:kern w:val="24"/>
                                    <w:sz w:val="22"/>
                                    <w:szCs w:val="32"/>
                                  </w:rPr>
                                  <w:t>contributions</w:t>
                                </w:r>
                              </w:p>
                              <w:p w14:paraId="14219849" w14:textId="77777777" w:rsidR="00C46C05" w:rsidRDefault="00C46C05" w:rsidP="00BD02BE">
                                <w:pPr>
                                  <w:pStyle w:val="NormalWeb"/>
                                  <w:spacing w:before="90" w:after="0" w:line="240" w:lineRule="auto"/>
                                  <w:rPr>
                                    <w:rFonts w:asciiTheme="minorHAnsi" w:hAnsi="Calibri" w:cstheme="minorBidi"/>
                                    <w:color w:val="FFFFFF" w:themeColor="background1"/>
                                    <w:kern w:val="24"/>
                                    <w:sz w:val="22"/>
                                    <w:szCs w:val="28"/>
                                  </w:rPr>
                                </w:pPr>
                                <w:r>
                                  <w:rPr>
                                    <w:rFonts w:asciiTheme="minorHAnsi" w:hAnsi="Calibri" w:cstheme="minorBidi"/>
                                    <w:color w:val="FFFFFF" w:themeColor="background1"/>
                                    <w:kern w:val="24"/>
                                    <w:sz w:val="22"/>
                                    <w:szCs w:val="28"/>
                                  </w:rPr>
                                  <w:t>Made</w:t>
                                </w:r>
                                <w:r w:rsidRPr="00BF4815">
                                  <w:rPr>
                                    <w:rFonts w:asciiTheme="minorHAnsi" w:hAnsi="Calibri" w:cstheme="minorBidi"/>
                                    <w:color w:val="FFFFFF" w:themeColor="background1"/>
                                    <w:kern w:val="24"/>
                                    <w:sz w:val="22"/>
                                    <w:szCs w:val="28"/>
                                  </w:rPr>
                                  <w:t xml:space="preserve"> by individuals</w:t>
                                </w:r>
                              </w:p>
                              <w:p w14:paraId="67DBF372" w14:textId="77777777" w:rsidR="00C46C05" w:rsidRPr="00BF4815" w:rsidRDefault="00C46C05" w:rsidP="00BD02BE">
                                <w:pPr>
                                  <w:pStyle w:val="NormalWeb"/>
                                  <w:spacing w:before="90" w:after="0" w:line="240" w:lineRule="auto"/>
                                  <w:rPr>
                                    <w:sz w:val="20"/>
                                  </w:rPr>
                                </w:pPr>
                                <w:r>
                                  <w:rPr>
                                    <w:rFonts w:asciiTheme="minorHAnsi" w:hAnsi="Calibri" w:cstheme="minorBidi"/>
                                    <w:color w:val="FFFFFF" w:themeColor="background1"/>
                                    <w:kern w:val="24"/>
                                    <w:sz w:val="22"/>
                                    <w:szCs w:val="28"/>
                                  </w:rPr>
                                  <w:t>Supported by tax concessions</w:t>
                                </w:r>
                              </w:p>
                            </w:txbxContent>
                          </wps:txbx>
                          <wps:bodyPr rtlCol="0" anchor="t"/>
                        </wps:wsp>
                        <wps:wsp>
                          <wps:cNvPr id="10" name="Rectangle 9"/>
                          <wps:cNvSpPr/>
                          <wps:spPr>
                            <a:xfrm>
                              <a:off x="6259789" y="935528"/>
                              <a:ext cx="1377030" cy="2087048"/>
                            </a:xfrm>
                            <a:prstGeom prst="rect">
                              <a:avLst/>
                            </a:prstGeom>
                            <a:solidFill>
                              <a:schemeClr val="accent4"/>
                            </a:solidFill>
                            <a:ln>
                              <a:noFill/>
                            </a:ln>
                            <a:effectLst/>
                          </wps:spPr>
                          <wps:style>
                            <a:lnRef idx="1">
                              <a:schemeClr val="accent1"/>
                            </a:lnRef>
                            <a:fillRef idx="2">
                              <a:schemeClr val="accent1"/>
                            </a:fillRef>
                            <a:effectRef idx="1">
                              <a:schemeClr val="accent1"/>
                            </a:effectRef>
                            <a:fontRef idx="minor">
                              <a:schemeClr val="dk1"/>
                            </a:fontRef>
                          </wps:style>
                          <wps:txbx>
                            <w:txbxContent>
                              <w:p w14:paraId="253802DE" w14:textId="77777777" w:rsidR="00C46C05" w:rsidRPr="007B45F6" w:rsidRDefault="00C46C05" w:rsidP="00BD02BE">
                                <w:pPr>
                                  <w:pStyle w:val="NormalWeb"/>
                                  <w:spacing w:after="0"/>
                                  <w:jc w:val="center"/>
                                  <w:rPr>
                                    <w:rFonts w:asciiTheme="minorHAnsi" w:hAnsi="Calibri" w:cstheme="minorBidi"/>
                                    <w:b/>
                                    <w:i/>
                                    <w:color w:val="FFFFFF" w:themeColor="background1"/>
                                    <w:kern w:val="24"/>
                                    <w:sz w:val="22"/>
                                    <w:szCs w:val="32"/>
                                  </w:rPr>
                                </w:pPr>
                                <w:r w:rsidRPr="007B45F6">
                                  <w:rPr>
                                    <w:rFonts w:asciiTheme="minorHAnsi" w:hAnsi="Calibri" w:cstheme="minorBidi"/>
                                    <w:b/>
                                    <w:i/>
                                    <w:color w:val="FFFFFF" w:themeColor="background1"/>
                                    <w:kern w:val="24"/>
                                    <w:sz w:val="22"/>
                                    <w:szCs w:val="32"/>
                                  </w:rPr>
                                  <w:t>Other</w:t>
                                </w:r>
                              </w:p>
                              <w:p w14:paraId="70D2CF32" w14:textId="57FD42A4" w:rsidR="00C46C05" w:rsidRPr="007B45F6" w:rsidRDefault="00C46C05" w:rsidP="00BD02BE">
                                <w:pPr>
                                  <w:pStyle w:val="NormalWeb"/>
                                  <w:spacing w:before="90" w:after="0" w:line="240" w:lineRule="auto"/>
                                  <w:rPr>
                                    <w:color w:val="FFFFFF" w:themeColor="background1"/>
                                    <w:sz w:val="20"/>
                                  </w:rPr>
                                </w:pPr>
                                <w:r w:rsidRPr="007B45F6">
                                  <w:rPr>
                                    <w:rFonts w:asciiTheme="minorHAnsi" w:hAnsi="Calibri" w:cstheme="minorBidi"/>
                                    <w:color w:val="FFFFFF" w:themeColor="background1"/>
                                    <w:kern w:val="24"/>
                                    <w:sz w:val="22"/>
                                    <w:szCs w:val="28"/>
                                  </w:rPr>
                                  <w:t>Home, investment property, financial and non-financial assets</w:t>
                                </w:r>
                              </w:p>
                            </w:txbxContent>
                          </wps:txbx>
                          <wps:bodyPr rtlCol="0" anchor="t" anchorCtr="0">
                            <a:normAutofit/>
                          </wps:bodyPr>
                        </wps:wsp>
                      </wpg:grpSp>
                    </wpg:wgp>
                  </a:graphicData>
                </a:graphic>
              </wp:inline>
            </w:drawing>
          </mc:Choice>
          <mc:Fallback>
            <w:pict>
              <v:group w14:anchorId="21860127" id="Group 4" o:spid="_x0000_s1026" style="width:464.65pt;height:181.65pt;mso-position-horizontal-relative:char;mso-position-vertical-relative:line" coordorigin="" coordsize="76368,30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">
                <v:rect id="Rectangle 2" o:spid="_x0000_s1027" style="position:absolute;width:23042;height:30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" fillcolor="#604878 [3206]" stroked="f" strokeweight=".5pt">
                  <v:textbox>
                    <w:txbxContent>
                      <w:p w14:paraId="7CD1FDE8" w14:textId="77777777" w:rsidR="00C46C05" w:rsidRDefault="00C46C05" w:rsidP="00BD02BE">
                        <w:pPr>
                          <w:pStyle w:val="NormalWeb"/>
                          <w:spacing w:after="0"/>
                          <w:jc w:val="center"/>
                        </w:pPr>
                        <w:r>
                          <w:rPr>
                            <w:rFonts w:asciiTheme="minorHAnsi" w:hAnsi="Calibri" w:cstheme="minorBidi"/>
                            <w:b/>
                            <w:bCs/>
                            <w:color w:val="FFFFFF" w:themeColor="background1"/>
                            <w:kern w:val="24"/>
                            <w:sz w:val="36"/>
                            <w:szCs w:val="36"/>
                          </w:rPr>
                          <w:t>Pillar 1</w:t>
                        </w:r>
                      </w:p>
                      <w:p w14:paraId="1F06A578" w14:textId="0E5108D7" w:rsidR="00C46C05" w:rsidRPr="00D64101" w:rsidRDefault="00C46C05" w:rsidP="00BD02BE">
                        <w:pPr>
                          <w:pStyle w:val="NormalWeb"/>
                          <w:spacing w:after="0"/>
                          <w:jc w:val="center"/>
                          <w:rPr>
                            <w:sz w:val="18"/>
                          </w:rPr>
                        </w:pPr>
                        <w:r w:rsidRPr="00D64101">
                          <w:rPr>
                            <w:rFonts w:asciiTheme="minorHAnsi" w:hAnsi="Calibri" w:cstheme="minorBidi"/>
                            <w:b/>
                            <w:color w:val="FFFFFF" w:themeColor="background1"/>
                            <w:kern w:val="24"/>
                            <w:szCs w:val="36"/>
                          </w:rPr>
                          <w:t>Government funded Age</w:t>
                        </w:r>
                        <w:r>
                          <w:rPr>
                            <w:rFonts w:asciiTheme="minorHAnsi" w:hAnsi="Calibri" w:cstheme="minorBidi"/>
                            <w:b/>
                            <w:color w:val="FFFFFF" w:themeColor="background1"/>
                            <w:kern w:val="24"/>
                            <w:szCs w:val="36"/>
                          </w:rPr>
                          <w:t> </w:t>
                        </w:r>
                        <w:r w:rsidRPr="00D64101">
                          <w:rPr>
                            <w:rFonts w:asciiTheme="minorHAnsi" w:hAnsi="Calibri" w:cstheme="minorBidi"/>
                            <w:b/>
                            <w:color w:val="FFFFFF" w:themeColor="background1"/>
                            <w:kern w:val="24"/>
                            <w:szCs w:val="36"/>
                          </w:rPr>
                          <w:t>Pension</w:t>
                        </w:r>
                      </w:p>
                      <w:p w14:paraId="5D06AD8E" w14:textId="77777777" w:rsidR="00C46C05" w:rsidRPr="00BF4815" w:rsidRDefault="00C46C05" w:rsidP="00BD02BE">
                        <w:pPr>
                          <w:pStyle w:val="NormalWeb"/>
                          <w:spacing w:before="90" w:after="0" w:line="240" w:lineRule="auto"/>
                          <w:rPr>
                            <w:sz w:val="20"/>
                          </w:rPr>
                        </w:pPr>
                        <w:r w:rsidRPr="00BF4815">
                          <w:rPr>
                            <w:rFonts w:asciiTheme="minorHAnsi" w:hAnsi="Calibri" w:cstheme="minorBidi"/>
                            <w:color w:val="FFFFFF" w:themeColor="background1"/>
                            <w:kern w:val="24"/>
                            <w:sz w:val="22"/>
                            <w:szCs w:val="28"/>
                          </w:rPr>
                          <w:t>Safety</w:t>
                        </w:r>
                        <w:r>
                          <w:rPr>
                            <w:rFonts w:asciiTheme="minorHAnsi" w:hAnsi="Calibri" w:cstheme="minorBidi"/>
                            <w:color w:val="FFFFFF" w:themeColor="background1"/>
                            <w:kern w:val="24"/>
                            <w:sz w:val="22"/>
                            <w:szCs w:val="28"/>
                          </w:rPr>
                          <w:t xml:space="preserve"> </w:t>
                        </w:r>
                        <w:r w:rsidRPr="00BF4815">
                          <w:rPr>
                            <w:rFonts w:asciiTheme="minorHAnsi" w:hAnsi="Calibri" w:cstheme="minorBidi"/>
                            <w:color w:val="FFFFFF" w:themeColor="background1"/>
                            <w:kern w:val="24"/>
                            <w:sz w:val="22"/>
                            <w:szCs w:val="28"/>
                          </w:rPr>
                          <w:t>net level of income including longevity risk protection</w:t>
                        </w:r>
                      </w:p>
                      <w:p w14:paraId="643D0CEE" w14:textId="77777777" w:rsidR="00C46C05" w:rsidRPr="00BF4815" w:rsidRDefault="00C46C05" w:rsidP="00BD02BE">
                        <w:pPr>
                          <w:pStyle w:val="NormalWeb"/>
                          <w:spacing w:before="90" w:after="0" w:line="240" w:lineRule="auto"/>
                          <w:rPr>
                            <w:sz w:val="20"/>
                          </w:rPr>
                        </w:pPr>
                        <w:r w:rsidRPr="00BF4815">
                          <w:rPr>
                            <w:rFonts w:asciiTheme="minorHAnsi" w:hAnsi="Calibri" w:cstheme="minorBidi"/>
                            <w:color w:val="FFFFFF" w:themeColor="background1"/>
                            <w:kern w:val="24"/>
                            <w:sz w:val="22"/>
                            <w:szCs w:val="28"/>
                          </w:rPr>
                          <w:t>Means tested</w:t>
                        </w:r>
                      </w:p>
                    </w:txbxContent>
                  </v:textbox>
                </v:rect>
                <v:group id="_x0000_s1028" style="position:absolute;left:24050;width:52318;height:30225" coordorigin="24050" coordsize="52317,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rect id="Rectangle 5" o:spid="_x0000_s1029" style="position:absolute;left:24050;width:22322;height:30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" fillcolor="#144e60 [3204]" stroked="f" strokeweight=".5pt">
                    <v:textbox>
                      <w:txbxContent>
                        <w:p w14:paraId="6CDAD072" w14:textId="77777777" w:rsidR="00C46C05" w:rsidRDefault="00C46C05" w:rsidP="00BD02BE">
                          <w:pPr>
                            <w:pStyle w:val="NormalWeb"/>
                            <w:spacing w:after="0"/>
                            <w:jc w:val="center"/>
                          </w:pPr>
                          <w:r>
                            <w:rPr>
                              <w:rFonts w:asciiTheme="minorHAnsi" w:hAnsi="Calibri" w:cstheme="minorBidi"/>
                              <w:b/>
                              <w:bCs/>
                              <w:color w:val="FFFFFF" w:themeColor="background1"/>
                              <w:kern w:val="24"/>
                              <w:sz w:val="36"/>
                              <w:szCs w:val="36"/>
                            </w:rPr>
                            <w:t>Pillar 2</w:t>
                          </w:r>
                        </w:p>
                        <w:p w14:paraId="217BA9D1" w14:textId="77777777" w:rsidR="00C46C05" w:rsidRPr="00D64101" w:rsidRDefault="00C46C05" w:rsidP="00BD02BE">
                          <w:pPr>
                            <w:pStyle w:val="NormalWeb"/>
                            <w:spacing w:after="0"/>
                            <w:jc w:val="center"/>
                            <w:rPr>
                              <w:sz w:val="18"/>
                            </w:rPr>
                          </w:pPr>
                          <w:r w:rsidRPr="00D64101">
                            <w:rPr>
                              <w:rFonts w:asciiTheme="minorHAnsi" w:hAnsi="Calibri" w:cstheme="minorBidi"/>
                              <w:b/>
                              <w:color w:val="FFFFFF" w:themeColor="background1"/>
                              <w:kern w:val="24"/>
                              <w:szCs w:val="36"/>
                            </w:rPr>
                            <w:t>Compulsory superannuation</w:t>
                          </w:r>
                        </w:p>
                        <w:p w14:paraId="202E68E8" w14:textId="7C249E86" w:rsidR="00C46C05" w:rsidRPr="00BF4815" w:rsidRDefault="00C46C05" w:rsidP="00BD02BE">
                          <w:pPr>
                            <w:pStyle w:val="NormalWeb"/>
                            <w:spacing w:before="90" w:after="0" w:line="240" w:lineRule="auto"/>
                            <w:rPr>
                              <w:sz w:val="20"/>
                            </w:rPr>
                          </w:pPr>
                          <w:r>
                            <w:rPr>
                              <w:rFonts w:asciiTheme="minorHAnsi" w:hAnsi="Calibri" w:cstheme="minorBidi"/>
                              <w:color w:val="FFFFFF" w:themeColor="background1"/>
                              <w:kern w:val="24"/>
                              <w:sz w:val="22"/>
                              <w:szCs w:val="28"/>
                            </w:rPr>
                            <w:t>Superannuation Guarantee</w:t>
                          </w:r>
                        </w:p>
                        <w:p w14:paraId="2F7B45AD" w14:textId="77777777" w:rsidR="00C46C05" w:rsidRPr="00BF4815" w:rsidRDefault="00C46C05" w:rsidP="00BD02BE">
                          <w:pPr>
                            <w:pStyle w:val="NormalWeb"/>
                            <w:spacing w:before="90" w:after="0" w:line="240" w:lineRule="auto"/>
                            <w:rPr>
                              <w:sz w:val="20"/>
                            </w:rPr>
                          </w:pPr>
                          <w:r w:rsidRPr="00BF4815">
                            <w:rPr>
                              <w:rFonts w:asciiTheme="minorHAnsi" w:hAnsi="Calibri" w:cstheme="minorBidi"/>
                              <w:color w:val="FFFFFF" w:themeColor="background1"/>
                              <w:kern w:val="24"/>
                              <w:sz w:val="22"/>
                              <w:szCs w:val="28"/>
                            </w:rPr>
                            <w:t>Supported by tax concessions</w:t>
                          </w:r>
                        </w:p>
                      </w:txbxContent>
                    </v:textbox>
                  </v:rect>
                  <v:rect id="Rectangle 6" o:spid="_x0000_s1030" style="position:absolute;left:47476;width:28892;height:8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" fillcolor="#30a9b2 [3207]" stroked="f" strokeweight=".5pt">
                    <v:textbox>
                      <w:txbxContent>
                        <w:p w14:paraId="7F24838E" w14:textId="77777777" w:rsidR="00C46C05" w:rsidRPr="007B45F6" w:rsidRDefault="00C46C05" w:rsidP="00BD02BE">
                          <w:pPr>
                            <w:pStyle w:val="NormalWeb"/>
                            <w:spacing w:after="0"/>
                            <w:jc w:val="center"/>
                            <w:rPr>
                              <w:color w:val="FFFFFF" w:themeColor="background1"/>
                            </w:rPr>
                          </w:pPr>
                          <w:r w:rsidRPr="007B45F6">
                            <w:rPr>
                              <w:rFonts w:asciiTheme="minorHAnsi" w:hAnsi="Calibri" w:cstheme="minorBidi"/>
                              <w:b/>
                              <w:bCs/>
                              <w:color w:val="FFFFFF" w:themeColor="background1"/>
                              <w:kern w:val="24"/>
                              <w:sz w:val="36"/>
                              <w:szCs w:val="36"/>
                            </w:rPr>
                            <w:t>Pillar 3</w:t>
                          </w:r>
                        </w:p>
                        <w:p w14:paraId="36D7CA69" w14:textId="77777777" w:rsidR="00C46C05" w:rsidRPr="007B45F6" w:rsidRDefault="00C46C05" w:rsidP="00BD02BE">
                          <w:pPr>
                            <w:pStyle w:val="NormalWeb"/>
                            <w:spacing w:after="0"/>
                            <w:jc w:val="center"/>
                            <w:rPr>
                              <w:color w:val="FFFFFF" w:themeColor="background1"/>
                              <w:sz w:val="18"/>
                            </w:rPr>
                          </w:pPr>
                          <w:r w:rsidRPr="007B45F6">
                            <w:rPr>
                              <w:rFonts w:asciiTheme="minorHAnsi" w:hAnsi="Calibri" w:cstheme="minorBidi"/>
                              <w:b/>
                              <w:color w:val="FFFFFF" w:themeColor="background1"/>
                              <w:kern w:val="24"/>
                              <w:szCs w:val="36"/>
                            </w:rPr>
                            <w:t>Voluntary savings</w:t>
                          </w:r>
                        </w:p>
                      </w:txbxContent>
                    </v:textbox>
                  </v:rect>
                  <v:rect id="Rectangle 8" o:spid="_x0000_s1031" style="position:absolute;left:47476;top:9355;width:14446;height:20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" fillcolor="#d6606d [3208]" stroked="f" strokeweight=".5pt">
                    <v:textbox>
                      <w:txbxContent>
                        <w:p w14:paraId="44B5F916" w14:textId="74BE1F3A" w:rsidR="00C46C05" w:rsidRPr="00D64101" w:rsidRDefault="00C46C05" w:rsidP="00BD02BE">
                          <w:pPr>
                            <w:pStyle w:val="NormalWeb"/>
                            <w:spacing w:after="0"/>
                            <w:jc w:val="center"/>
                            <w:rPr>
                              <w:sz w:val="18"/>
                            </w:rPr>
                          </w:pPr>
                          <w:r w:rsidRPr="00D64101">
                            <w:rPr>
                              <w:rFonts w:asciiTheme="minorHAnsi" w:hAnsi="Calibri" w:cstheme="minorBidi"/>
                              <w:b/>
                              <w:i/>
                              <w:color w:val="FFFFFF" w:themeColor="background1"/>
                              <w:kern w:val="24"/>
                              <w:sz w:val="22"/>
                              <w:szCs w:val="32"/>
                            </w:rPr>
                            <w:t>Voluntary super</w:t>
                          </w:r>
                          <w:r>
                            <w:rPr>
                              <w:rFonts w:asciiTheme="minorHAnsi" w:hAnsi="Calibri" w:cstheme="minorBidi"/>
                              <w:b/>
                              <w:i/>
                              <w:color w:val="FFFFFF" w:themeColor="background1"/>
                              <w:kern w:val="24"/>
                              <w:sz w:val="22"/>
                              <w:szCs w:val="32"/>
                            </w:rPr>
                            <w:t xml:space="preserve">annuation </w:t>
                          </w:r>
                          <w:r w:rsidRPr="00D64101">
                            <w:rPr>
                              <w:rFonts w:asciiTheme="minorHAnsi" w:hAnsi="Calibri" w:cstheme="minorBidi"/>
                              <w:b/>
                              <w:i/>
                              <w:color w:val="FFFFFF" w:themeColor="background1"/>
                              <w:kern w:val="24"/>
                              <w:sz w:val="22"/>
                              <w:szCs w:val="32"/>
                            </w:rPr>
                            <w:t>contributions</w:t>
                          </w:r>
                        </w:p>
                        <w:p w14:paraId="14219849" w14:textId="77777777" w:rsidR="00C46C05" w:rsidRDefault="00C46C05" w:rsidP="00BD02BE">
                          <w:pPr>
                            <w:pStyle w:val="NormalWeb"/>
                            <w:spacing w:before="90" w:after="0" w:line="240" w:lineRule="auto"/>
                            <w:rPr>
                              <w:rFonts w:asciiTheme="minorHAnsi" w:hAnsi="Calibri" w:cstheme="minorBidi"/>
                              <w:color w:val="FFFFFF" w:themeColor="background1"/>
                              <w:kern w:val="24"/>
                              <w:sz w:val="22"/>
                              <w:szCs w:val="28"/>
                            </w:rPr>
                          </w:pPr>
                          <w:r>
                            <w:rPr>
                              <w:rFonts w:asciiTheme="minorHAnsi" w:hAnsi="Calibri" w:cstheme="minorBidi"/>
                              <w:color w:val="FFFFFF" w:themeColor="background1"/>
                              <w:kern w:val="24"/>
                              <w:sz w:val="22"/>
                              <w:szCs w:val="28"/>
                            </w:rPr>
                            <w:t>Made</w:t>
                          </w:r>
                          <w:r w:rsidRPr="00BF4815">
                            <w:rPr>
                              <w:rFonts w:asciiTheme="minorHAnsi" w:hAnsi="Calibri" w:cstheme="minorBidi"/>
                              <w:color w:val="FFFFFF" w:themeColor="background1"/>
                              <w:kern w:val="24"/>
                              <w:sz w:val="22"/>
                              <w:szCs w:val="28"/>
                            </w:rPr>
                            <w:t xml:space="preserve"> by individuals</w:t>
                          </w:r>
                        </w:p>
                        <w:p w14:paraId="67DBF372" w14:textId="77777777" w:rsidR="00C46C05" w:rsidRPr="00BF4815" w:rsidRDefault="00C46C05" w:rsidP="00BD02BE">
                          <w:pPr>
                            <w:pStyle w:val="NormalWeb"/>
                            <w:spacing w:before="90" w:after="0" w:line="240" w:lineRule="auto"/>
                            <w:rPr>
                              <w:sz w:val="20"/>
                            </w:rPr>
                          </w:pPr>
                          <w:r>
                            <w:rPr>
                              <w:rFonts w:asciiTheme="minorHAnsi" w:hAnsi="Calibri" w:cstheme="minorBidi"/>
                              <w:color w:val="FFFFFF" w:themeColor="background1"/>
                              <w:kern w:val="24"/>
                              <w:sz w:val="22"/>
                              <w:szCs w:val="28"/>
                            </w:rPr>
                            <w:t>Supported by tax concessions</w:t>
                          </w:r>
                        </w:p>
                      </w:txbxContent>
                    </v:textbox>
                  </v:rect>
                  <v:rect id="Rectangle 9" o:spid="_x0000_s1032" style="position:absolute;left:62597;top:9355;width:13771;height:20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" fillcolor="#30a9b2 [3207]" stroked="f" strokeweight=".5pt">
                    <v:textbox>
                      <w:txbxContent>
                        <w:p w14:paraId="253802DE" w14:textId="77777777" w:rsidR="00C46C05" w:rsidRPr="007B45F6" w:rsidRDefault="00C46C05" w:rsidP="00BD02BE">
                          <w:pPr>
                            <w:pStyle w:val="NormalWeb"/>
                            <w:spacing w:after="0"/>
                            <w:jc w:val="center"/>
                            <w:rPr>
                              <w:rFonts w:asciiTheme="minorHAnsi" w:hAnsi="Calibri" w:cstheme="minorBidi"/>
                              <w:b/>
                              <w:i/>
                              <w:color w:val="FFFFFF" w:themeColor="background1"/>
                              <w:kern w:val="24"/>
                              <w:sz w:val="22"/>
                              <w:szCs w:val="32"/>
                            </w:rPr>
                          </w:pPr>
                          <w:r w:rsidRPr="007B45F6">
                            <w:rPr>
                              <w:rFonts w:asciiTheme="minorHAnsi" w:hAnsi="Calibri" w:cstheme="minorBidi"/>
                              <w:b/>
                              <w:i/>
                              <w:color w:val="FFFFFF" w:themeColor="background1"/>
                              <w:kern w:val="24"/>
                              <w:sz w:val="22"/>
                              <w:szCs w:val="32"/>
                            </w:rPr>
                            <w:t>Other</w:t>
                          </w:r>
                        </w:p>
                        <w:p w14:paraId="70D2CF32" w14:textId="57FD42A4" w:rsidR="00C46C05" w:rsidRPr="007B45F6" w:rsidRDefault="00C46C05" w:rsidP="00BD02BE">
                          <w:pPr>
                            <w:pStyle w:val="NormalWeb"/>
                            <w:spacing w:before="90" w:after="0" w:line="240" w:lineRule="auto"/>
                            <w:rPr>
                              <w:color w:val="FFFFFF" w:themeColor="background1"/>
                              <w:sz w:val="20"/>
                            </w:rPr>
                          </w:pPr>
                          <w:r w:rsidRPr="007B45F6">
                            <w:rPr>
                              <w:rFonts w:asciiTheme="minorHAnsi" w:hAnsi="Calibri" w:cstheme="minorBidi"/>
                              <w:color w:val="FFFFFF" w:themeColor="background1"/>
                              <w:kern w:val="24"/>
                              <w:sz w:val="22"/>
                              <w:szCs w:val="28"/>
                            </w:rPr>
                            <w:t>Home, investment property, financial and non-financial assets</w:t>
                          </w:r>
                        </w:p>
                      </w:txbxContent>
                    </v:textbox>
                  </v:rect>
                </v:group>
                <w10:anchorlock/>
              </v:group>
            </w:pict>
          </mc:Fallback>
        </mc:AlternateContent>
      </w:r>
    </w:p>
    <w:p w14:paraId="5EE91573" w14:textId="77777777" w:rsidR="00BD02BE" w:rsidRDefault="00BD02BE" w:rsidP="00BD02BE">
      <w:pPr>
        <w:pStyle w:val="Heading3"/>
      </w:pPr>
      <w:r>
        <w:t>Age Pension</w:t>
      </w:r>
    </w:p>
    <w:p w14:paraId="2EE8B9FD" w14:textId="44361968" w:rsidR="00BD02BE" w:rsidRDefault="00BD02BE" w:rsidP="00BD02BE">
      <w:r>
        <w:t>A national Age Pension was first introduced in 1909</w:t>
      </w:r>
      <w:r w:rsidRPr="00FB7709">
        <w:t xml:space="preserve">. </w:t>
      </w:r>
      <w:r w:rsidR="00394B2A">
        <w:t xml:space="preserve">Eligibility for the </w:t>
      </w:r>
      <w:r w:rsidR="00110791">
        <w:t xml:space="preserve">Age Pension is </w:t>
      </w:r>
      <w:r w:rsidR="00394B2A">
        <w:t xml:space="preserve">subject to </w:t>
      </w:r>
      <w:r w:rsidR="00653668">
        <w:t>age, residency</w:t>
      </w:r>
      <w:r w:rsidR="00A97FE0">
        <w:t>,</w:t>
      </w:r>
      <w:r w:rsidR="00653668">
        <w:t xml:space="preserve"> and </w:t>
      </w:r>
      <w:r w:rsidR="00394B2A">
        <w:t>means test</w:t>
      </w:r>
      <w:r w:rsidR="00D76230">
        <w:t xml:space="preserve">ing </w:t>
      </w:r>
      <w:r w:rsidR="00653668">
        <w:t>requirements</w:t>
      </w:r>
      <w:r w:rsidR="00394B2A">
        <w:t xml:space="preserve"> </w:t>
      </w:r>
      <w:r w:rsidR="00A97FE0">
        <w:t xml:space="preserve">to </w:t>
      </w:r>
      <w:r w:rsidR="00110791">
        <w:t xml:space="preserve">target </w:t>
      </w:r>
      <w:r w:rsidR="00A97FE0">
        <w:t xml:space="preserve">it </w:t>
      </w:r>
      <w:r w:rsidR="00110791">
        <w:t xml:space="preserve">to those who need it most. </w:t>
      </w:r>
      <w:r w:rsidR="00C435FC">
        <w:t>Its</w:t>
      </w:r>
      <w:r w:rsidRPr="00FB7709">
        <w:t xml:space="preserve"> coverage and settings have been refined over</w:t>
      </w:r>
      <w:r>
        <w:t xml:space="preserve"> time</w:t>
      </w:r>
      <w:r w:rsidRPr="00FB7709">
        <w:t xml:space="preserve"> to reflect</w:t>
      </w:r>
      <w:r>
        <w:t xml:space="preserve"> changes in community expectations</w:t>
      </w:r>
      <w:r w:rsidRPr="00FB7709">
        <w:t xml:space="preserve">, including through </w:t>
      </w:r>
      <w:r>
        <w:t xml:space="preserve">increases in the level of the Age Pension relative to average wages. </w:t>
      </w:r>
      <w:r w:rsidR="00827BD9">
        <w:t xml:space="preserve">It is a taxable payment, however the seniors and pensioners tax offset </w:t>
      </w:r>
      <w:r w:rsidR="002330AE">
        <w:t>(SAPTO)</w:t>
      </w:r>
      <w:r w:rsidR="00827BD9">
        <w:t xml:space="preserve"> raises the </w:t>
      </w:r>
      <w:r w:rsidR="00C008CA">
        <w:t xml:space="preserve">effective </w:t>
      </w:r>
      <w:r w:rsidR="00827BD9">
        <w:t>tax-free threshold for eligible older Australians above the rate of the Age Pension.</w:t>
      </w:r>
    </w:p>
    <w:p w14:paraId="3133F740" w14:textId="5EACE426" w:rsidR="00BD02BE" w:rsidRDefault="00BD02BE" w:rsidP="00BD02BE">
      <w:r>
        <w:t>The maximum rate of the Age Pension is currently around $24,300 a year for singles, and around $36,600 a year for couples combined, with additional rent assistance available to non</w:t>
      </w:r>
      <w:r w:rsidR="00B25ADB">
        <w:noBreakHyphen/>
      </w:r>
      <w:r>
        <w:t>home</w:t>
      </w:r>
      <w:r w:rsidR="00C80FB3">
        <w:t xml:space="preserve"> </w:t>
      </w:r>
      <w:r>
        <w:t>owners</w:t>
      </w:r>
      <w:r w:rsidR="00EE780E">
        <w:t>.</w:t>
      </w:r>
      <w:r w:rsidR="007224CC" w:rsidRPr="004F496C">
        <w:rPr>
          <w:rStyle w:val="FootnoteReference"/>
          <w:vertAlign w:val="superscript"/>
        </w:rPr>
        <w:footnoteReference w:id="2"/>
      </w:r>
      <w:r>
        <w:t xml:space="preserve"> The rate of the Age Pension is </w:t>
      </w:r>
      <w:r w:rsidR="00E47DEB">
        <w:t xml:space="preserve">indexed twice a year to </w:t>
      </w:r>
      <w:r w:rsidR="002A48D6">
        <w:t xml:space="preserve">movement in </w:t>
      </w:r>
      <w:r w:rsidR="00E47DEB">
        <w:t>prices and then</w:t>
      </w:r>
      <w:r>
        <w:t xml:space="preserve"> benchmarked to </w:t>
      </w:r>
      <w:r>
        <w:lastRenderedPageBreak/>
        <w:t>a proportion of male total average weekly earnings (MTAWE)</w:t>
      </w:r>
      <w:r w:rsidR="006103C9">
        <w:t>.</w:t>
      </w:r>
      <w:r>
        <w:t xml:space="preserve"> The eligibility age is 66 years, increasing incrementally to reach 67 years </w:t>
      </w:r>
      <w:r w:rsidR="0078002B">
        <w:t xml:space="preserve">on 1 </w:t>
      </w:r>
      <w:r>
        <w:t>July 2023.</w:t>
      </w:r>
    </w:p>
    <w:p w14:paraId="31A13202" w14:textId="379443A2" w:rsidR="00BD02BE" w:rsidRDefault="00BD02BE" w:rsidP="00BD02BE">
      <w:pPr>
        <w:pStyle w:val="Heading3"/>
      </w:pPr>
      <w:r>
        <w:t>Compulsory superannuation</w:t>
      </w:r>
    </w:p>
    <w:p w14:paraId="100855D0" w14:textId="3A13124D" w:rsidR="00BD02BE" w:rsidRDefault="00BD02BE" w:rsidP="00BD02BE">
      <w:r>
        <w:t>Compulsory superannuation was introduced in 1992 through the SG.</w:t>
      </w:r>
      <w:r w:rsidR="00A519E6">
        <w:t xml:space="preserve"> </w:t>
      </w:r>
      <w:r>
        <w:t xml:space="preserve">Initially set at </w:t>
      </w:r>
      <w:r w:rsidR="002377EF">
        <w:t>three</w:t>
      </w:r>
      <w:r>
        <w:t xml:space="preserve"> per cent of an employee’s ordinary time earnings, the SG rate has since increased to 9.5</w:t>
      </w:r>
      <w:r w:rsidR="00C435FC">
        <w:t> </w:t>
      </w:r>
      <w:r>
        <w:t>per</w:t>
      </w:r>
      <w:r w:rsidR="00C435FC">
        <w:t> </w:t>
      </w:r>
      <w:r>
        <w:t xml:space="preserve">cent today and is legislated to reach 12 per cent </w:t>
      </w:r>
      <w:r w:rsidR="0078002B">
        <w:t>on</w:t>
      </w:r>
      <w:r>
        <w:t xml:space="preserve"> 1 July 2025. </w:t>
      </w:r>
      <w:r w:rsidR="004F463A" w:rsidRPr="004F463A">
        <w:t xml:space="preserve">As </w:t>
      </w:r>
      <w:r w:rsidR="00C435FC">
        <w:t xml:space="preserve">at </w:t>
      </w:r>
      <w:r w:rsidR="004F463A" w:rsidRPr="004F463A">
        <w:t>June 2018, 15.6</w:t>
      </w:r>
      <w:r w:rsidR="00C435FC">
        <w:t> </w:t>
      </w:r>
      <w:r w:rsidR="002425CB">
        <w:t>million people in Australia had</w:t>
      </w:r>
      <w:r w:rsidR="004F463A" w:rsidRPr="004F463A">
        <w:t xml:space="preserve"> a superannuation account</w:t>
      </w:r>
      <w:r w:rsidR="001B53BB">
        <w:t xml:space="preserve"> (</w:t>
      </w:r>
      <w:r w:rsidR="001F6064">
        <w:t>Productivity Commission 2018, p. 89</w:t>
      </w:r>
      <w:r w:rsidR="001B53BB">
        <w:t>)</w:t>
      </w:r>
      <w:r>
        <w:t xml:space="preserve">, with median superannuation balances </w:t>
      </w:r>
      <w:r w:rsidR="001B53BB">
        <w:t>approaching</w:t>
      </w:r>
      <w:r>
        <w:t xml:space="preserve"> retirement </w:t>
      </w:r>
      <w:r w:rsidR="001B53BB">
        <w:t>age (60-64 years)</w:t>
      </w:r>
      <w:r>
        <w:t xml:space="preserve"> being $1</w:t>
      </w:r>
      <w:r w:rsidR="001B53BB">
        <w:t>22,848</w:t>
      </w:r>
      <w:r>
        <w:t xml:space="preserve"> for women and $1</w:t>
      </w:r>
      <w:r w:rsidR="001B53BB">
        <w:t>54,453</w:t>
      </w:r>
      <w:r>
        <w:t xml:space="preserve"> for men in 2016</w:t>
      </w:r>
      <w:r w:rsidR="749A278E">
        <w:t>-</w:t>
      </w:r>
      <w:r>
        <w:t>17</w:t>
      </w:r>
      <w:r w:rsidR="00711E8B">
        <w:t xml:space="preserve"> (</w:t>
      </w:r>
      <w:r w:rsidR="00105173">
        <w:t>ATO 2019</w:t>
      </w:r>
      <w:r w:rsidR="00711E8B">
        <w:t>)</w:t>
      </w:r>
      <w:r>
        <w:t>.</w:t>
      </w:r>
      <w:r w:rsidR="00BD5F5E">
        <w:t xml:space="preserve"> </w:t>
      </w:r>
    </w:p>
    <w:p w14:paraId="2AD0D34C" w14:textId="1F555B12" w:rsidR="00BD02BE" w:rsidRDefault="00BD02BE" w:rsidP="00BD02BE">
      <w:r>
        <w:t>Tax concessions</w:t>
      </w:r>
      <w:r w:rsidRPr="45C4BAB8">
        <w:t xml:space="preserve"> </w:t>
      </w:r>
      <w:r>
        <w:t xml:space="preserve">are provided for compulsory superannuation through a flat rate of 15 per cent </w:t>
      </w:r>
      <w:r w:rsidR="0078002B">
        <w:t xml:space="preserve">tax </w:t>
      </w:r>
      <w:r>
        <w:t>on contributions and earnings</w:t>
      </w:r>
      <w:r w:rsidR="00D47596" w:rsidRPr="45C4BAB8">
        <w:t>.</w:t>
      </w:r>
      <w:r w:rsidR="00C37074" w:rsidRPr="45C4BAB8">
        <w:t xml:space="preserve"> </w:t>
      </w:r>
      <w:r w:rsidR="005F32DA">
        <w:t>Low income earners (earnings below $37,000 per annum) are effectively refunded the tax on their contributions through the low income superannuation tax offset (LISTO)</w:t>
      </w:r>
      <w:r w:rsidR="00845CA5">
        <w:t xml:space="preserve"> ensuring they do not pay more tax on these contributions than they do on their income</w:t>
      </w:r>
      <w:r w:rsidR="005F32DA" w:rsidRPr="45C4BAB8">
        <w:t xml:space="preserve">. </w:t>
      </w:r>
      <w:r w:rsidR="00BB7CD6">
        <w:t>C</w:t>
      </w:r>
      <w:r w:rsidR="005E220A">
        <w:t>ontributions on behalf of high income earners</w:t>
      </w:r>
      <w:r w:rsidR="006B0246" w:rsidRPr="45C4BAB8">
        <w:t xml:space="preserve"> (</w:t>
      </w:r>
      <w:r w:rsidR="00E14540">
        <w:t>earnings</w:t>
      </w:r>
      <w:r w:rsidR="006B0246">
        <w:t xml:space="preserve"> of $250,000</w:t>
      </w:r>
      <w:r w:rsidR="00BB7CD6" w:rsidRPr="45C4BAB8">
        <w:t xml:space="preserve"> </w:t>
      </w:r>
      <w:r w:rsidR="006B0246">
        <w:t>and over</w:t>
      </w:r>
      <w:r w:rsidR="00DE452D">
        <w:t xml:space="preserve"> per annum</w:t>
      </w:r>
      <w:r w:rsidR="006B0246" w:rsidRPr="45C4BAB8">
        <w:t xml:space="preserve">) </w:t>
      </w:r>
      <w:r w:rsidR="00BB7CD6">
        <w:t>are taxed at 30 per cent,</w:t>
      </w:r>
      <w:r w:rsidR="00D47596" w:rsidRPr="45C4BAB8">
        <w:t xml:space="preserve"> </w:t>
      </w:r>
      <w:r w:rsidR="00033316">
        <w:t xml:space="preserve">which reduces the tax concession to </w:t>
      </w:r>
      <w:r w:rsidR="0078002B">
        <w:t>these individuals</w:t>
      </w:r>
      <w:r w:rsidR="00033316" w:rsidRPr="45C4BAB8">
        <w:t>.</w:t>
      </w:r>
      <w:r w:rsidR="00D47596">
        <w:t xml:space="preserve"> E</w:t>
      </w:r>
      <w:r w:rsidR="00A519E6">
        <w:t xml:space="preserve">arnings and income from superannuation </w:t>
      </w:r>
      <w:r w:rsidR="00A831F9">
        <w:t xml:space="preserve">are </w:t>
      </w:r>
      <w:r w:rsidR="00567A7E">
        <w:t xml:space="preserve">generally </w:t>
      </w:r>
      <w:r w:rsidR="00A519E6">
        <w:t>tax</w:t>
      </w:r>
      <w:r w:rsidR="00F36CB5">
        <w:noBreakHyphen/>
      </w:r>
      <w:r w:rsidR="00A831F9">
        <w:t>exempt</w:t>
      </w:r>
      <w:r w:rsidR="00A519E6" w:rsidRPr="45C4BAB8">
        <w:t xml:space="preserve"> </w:t>
      </w:r>
      <w:r w:rsidR="00AD43F2">
        <w:t>if aged</w:t>
      </w:r>
      <w:r w:rsidR="000233A5">
        <w:t xml:space="preserve"> 60 years</w:t>
      </w:r>
      <w:r w:rsidR="00AD43F2">
        <w:t xml:space="preserve"> or older</w:t>
      </w:r>
      <w:r>
        <w:t>. Savings cannot generally be accessed until an individual reaches their preservation age, which is currently 57 </w:t>
      </w:r>
      <w:r w:rsidRPr="009E0BAF">
        <w:t>years</w:t>
      </w:r>
      <w:r>
        <w:t xml:space="preserve"> and is incrementally increasing to reach 60 years from July 2024. </w:t>
      </w:r>
    </w:p>
    <w:p w14:paraId="2846D012" w14:textId="77777777" w:rsidR="00BD02BE" w:rsidRDefault="00BD02BE" w:rsidP="00BD02BE">
      <w:pPr>
        <w:pStyle w:val="Heading3"/>
      </w:pPr>
      <w:r>
        <w:t>Voluntary savings</w:t>
      </w:r>
    </w:p>
    <w:p w14:paraId="7D56060B" w14:textId="2853C88E" w:rsidR="00E2117A" w:rsidRDefault="00B454E7" w:rsidP="00BD02BE">
      <w:r>
        <w:t>Voluntary savings can occur through many</w:t>
      </w:r>
      <w:r w:rsidR="000233A5">
        <w:t xml:space="preserve"> investment</w:t>
      </w:r>
      <w:r>
        <w:t xml:space="preserve"> vehicles, such as business assets</w:t>
      </w:r>
      <w:r w:rsidR="000233A5">
        <w:t>,</w:t>
      </w:r>
      <w:r>
        <w:t xml:space="preserve"> </w:t>
      </w:r>
      <w:r w:rsidR="002F3F75">
        <w:t xml:space="preserve">real estate including </w:t>
      </w:r>
      <w:r>
        <w:t>owner</w:t>
      </w:r>
      <w:r w:rsidR="000233A5">
        <w:noBreakHyphen/>
      </w:r>
      <w:r>
        <w:t>occupied dwellings</w:t>
      </w:r>
      <w:r w:rsidR="000233A5">
        <w:t>,</w:t>
      </w:r>
      <w:r>
        <w:t xml:space="preserve"> and other financial </w:t>
      </w:r>
      <w:r w:rsidR="002425CB">
        <w:t xml:space="preserve">and non-financial </w:t>
      </w:r>
      <w:r>
        <w:t xml:space="preserve">assets. </w:t>
      </w:r>
      <w:r w:rsidR="000768C1">
        <w:t xml:space="preserve">They may be accrued inside or </w:t>
      </w:r>
      <w:r w:rsidR="06E9F7A2">
        <w:t>outside</w:t>
      </w:r>
      <w:r w:rsidR="55BC95F3">
        <w:t xml:space="preserve"> </w:t>
      </w:r>
      <w:r w:rsidR="06E9F7A2">
        <w:t>of</w:t>
      </w:r>
      <w:r w:rsidR="00A831F9">
        <w:t xml:space="preserve"> </w:t>
      </w:r>
      <w:r w:rsidR="000233A5">
        <w:t xml:space="preserve">the </w:t>
      </w:r>
      <w:r w:rsidR="000768C1">
        <w:t>superannuation</w:t>
      </w:r>
      <w:r w:rsidR="000233A5">
        <w:t xml:space="preserve"> system</w:t>
      </w:r>
      <w:r w:rsidR="000768C1">
        <w:t xml:space="preserve">. </w:t>
      </w:r>
      <w:r w:rsidR="00CE5A51">
        <w:t xml:space="preserve">Voluntary savings </w:t>
      </w:r>
      <w:r w:rsidR="002425CB">
        <w:t>serve</w:t>
      </w:r>
      <w:r w:rsidR="00E2117A">
        <w:t xml:space="preserve"> a number of purposes, including wealth accumulation, and may not </w:t>
      </w:r>
      <w:r w:rsidR="000768C1">
        <w:t>only be intended to provide</w:t>
      </w:r>
      <w:r w:rsidR="00E2117A">
        <w:t xml:space="preserve"> retirement income. The choice of savings vehicles by individuals will depend on their personal circumstances and </w:t>
      </w:r>
      <w:r w:rsidR="000768C1">
        <w:t xml:space="preserve">ambitions. For example, </w:t>
      </w:r>
      <w:r w:rsidR="00E2117A">
        <w:t>small business owner</w:t>
      </w:r>
      <w:r w:rsidR="000768C1">
        <w:t>s</w:t>
      </w:r>
      <w:r w:rsidR="00E2117A">
        <w:t xml:space="preserve"> may choose to </w:t>
      </w:r>
      <w:r w:rsidR="000768C1">
        <w:t>build and hold</w:t>
      </w:r>
      <w:r w:rsidR="00E2117A">
        <w:t xml:space="preserve"> their wealth </w:t>
      </w:r>
      <w:r w:rsidR="000768C1">
        <w:t>in their</w:t>
      </w:r>
      <w:r w:rsidR="00E2117A">
        <w:t xml:space="preserve"> business assets </w:t>
      </w:r>
      <w:r w:rsidR="00C435FC">
        <w:t>through</w:t>
      </w:r>
      <w:r w:rsidR="00E2117A">
        <w:t xml:space="preserve"> a trust structure due to the asset protection this structure </w:t>
      </w:r>
      <w:r w:rsidR="00CE5A51">
        <w:t xml:space="preserve">can </w:t>
      </w:r>
      <w:r w:rsidR="00E2117A">
        <w:t>provide.</w:t>
      </w:r>
    </w:p>
    <w:p w14:paraId="2FBD52B2" w14:textId="1566F827" w:rsidR="00BD02BE" w:rsidRPr="00716638" w:rsidRDefault="007F0465" w:rsidP="006175A8">
      <w:pPr>
        <w:pStyle w:val="ChartMainHeading"/>
      </w:pPr>
      <w:bookmarkStart w:id="148" w:name="_Ref23330752"/>
      <w:r w:rsidRPr="00716638">
        <w:t xml:space="preserve">Figure </w:t>
      </w:r>
      <w:r w:rsidR="00EB730F" w:rsidRPr="00716638">
        <w:rPr>
          <w:noProof/>
        </w:rPr>
        <w:fldChar w:fldCharType="begin"/>
      </w:r>
      <w:r w:rsidR="00EB730F" w:rsidRPr="00716638">
        <w:rPr>
          <w:noProof/>
        </w:rPr>
        <w:instrText xml:space="preserve"> SEQ Figure \* ARABIC </w:instrText>
      </w:r>
      <w:r w:rsidR="00EB730F" w:rsidRPr="00716638">
        <w:rPr>
          <w:noProof/>
        </w:rPr>
        <w:fldChar w:fldCharType="separate"/>
      </w:r>
      <w:r w:rsidR="00070568">
        <w:rPr>
          <w:noProof/>
        </w:rPr>
        <w:t>2</w:t>
      </w:r>
      <w:r w:rsidR="00EB730F" w:rsidRPr="00716638">
        <w:rPr>
          <w:noProof/>
        </w:rPr>
        <w:fldChar w:fldCharType="end"/>
      </w:r>
      <w:bookmarkEnd w:id="148"/>
      <w:r w:rsidR="00BD02BE" w:rsidRPr="00716638">
        <w:t xml:space="preserve">: </w:t>
      </w:r>
      <w:r w:rsidR="000233A5" w:rsidRPr="00716638">
        <w:t xml:space="preserve">Average </w:t>
      </w:r>
      <w:r w:rsidR="001A1DE9" w:rsidRPr="00716638">
        <w:t>n</w:t>
      </w:r>
      <w:r w:rsidR="00BD02BE" w:rsidRPr="00716638">
        <w:t>et</w:t>
      </w:r>
      <w:r w:rsidR="00E67C88" w:rsidRPr="00716638">
        <w:t xml:space="preserve"> Australian</w:t>
      </w:r>
      <w:r w:rsidR="00BD02BE" w:rsidRPr="00716638">
        <w:t xml:space="preserve"> </w:t>
      </w:r>
      <w:r w:rsidR="00BD02BE" w:rsidRPr="006175A8">
        <w:t>household</w:t>
      </w:r>
      <w:r w:rsidR="00BD02BE" w:rsidRPr="00716638">
        <w:t xml:space="preserve"> wealth b</w:t>
      </w:r>
      <w:r w:rsidR="00B52CD5" w:rsidRPr="00716638">
        <w:t>y age group, 2017-18</w:t>
      </w:r>
      <w:r w:rsidR="006E1439" w:rsidRPr="00716638">
        <w:rPr>
          <w:rStyle w:val="FootnoteReference"/>
          <w:sz w:val="22"/>
          <w:szCs w:val="22"/>
          <w:vertAlign w:val="superscript"/>
        </w:rPr>
        <w:footnoteReference w:id="3"/>
      </w:r>
    </w:p>
    <w:p w14:paraId="0D1A4139" w14:textId="79F76A2D" w:rsidR="00BD02BE" w:rsidRDefault="00C46C05" w:rsidP="00493FDB">
      <w:pPr>
        <w:pStyle w:val="ChartGraphic"/>
      </w:pPr>
      <w:r>
        <w:rPr>
          <w:noProof/>
        </w:rPr>
        <w:drawing>
          <wp:inline distT="0" distB="0" distL="0" distR="0" wp14:anchorId="61F89727" wp14:editId="18CBA5BD">
            <wp:extent cx="5529532" cy="2493034"/>
            <wp:effectExtent l="0" t="0" r="0"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A50D081" w14:textId="01B84DE5" w:rsidR="00EA32D6" w:rsidRPr="00DE575A" w:rsidRDefault="00EA32D6" w:rsidP="006103C9">
      <w:pPr>
        <w:pStyle w:val="ChartandTableFootnoteAlpha"/>
        <w:numPr>
          <w:ilvl w:val="0"/>
          <w:numId w:val="0"/>
        </w:numPr>
        <w:ind w:left="284" w:hanging="284"/>
      </w:pPr>
      <w:r w:rsidRPr="00DE575A">
        <w:t xml:space="preserve">Source: ABS </w:t>
      </w:r>
      <w:r w:rsidR="003213D2" w:rsidRPr="00082155">
        <w:t>2019</w:t>
      </w:r>
      <w:r w:rsidR="00082155" w:rsidRPr="00082155">
        <w:t>a</w:t>
      </w:r>
      <w:r w:rsidR="003213D2">
        <w:t xml:space="preserve">, </w:t>
      </w:r>
      <w:r w:rsidRPr="00DE575A">
        <w:t xml:space="preserve">cat. </w:t>
      </w:r>
      <w:r w:rsidR="00246FF3">
        <w:t>no.</w:t>
      </w:r>
      <w:r w:rsidRPr="00DE575A">
        <w:t xml:space="preserve"> 6523.0</w:t>
      </w:r>
      <w:r w:rsidR="003213D2">
        <w:t xml:space="preserve">. </w:t>
      </w:r>
    </w:p>
    <w:p w14:paraId="1A49AE6E" w14:textId="7EE2CFA6" w:rsidR="002B6808" w:rsidRDefault="002B6808" w:rsidP="58B2B291">
      <w:pPr>
        <w:rPr>
          <w:bCs/>
          <w:iCs/>
        </w:rPr>
      </w:pPr>
      <w:bookmarkStart w:id="149" w:name="_Toc22817194"/>
      <w:bookmarkStart w:id="150" w:name="_Toc22742362"/>
      <w:bookmarkStart w:id="151" w:name="_Toc22744319"/>
      <w:bookmarkStart w:id="152" w:name="_Toc22814027"/>
      <w:bookmarkStart w:id="153" w:name="_Toc22815458"/>
      <w:bookmarkStart w:id="154" w:name="_Toc22823074"/>
      <w:bookmarkStart w:id="155" w:name="_Toc22828885"/>
      <w:bookmarkStart w:id="156" w:name="_Toc22830440"/>
      <w:bookmarkStart w:id="157" w:name="_Toc22886958"/>
      <w:bookmarkStart w:id="158" w:name="_Toc22888737"/>
      <w:bookmarkStart w:id="159" w:name="_Toc22889655"/>
      <w:bookmarkStart w:id="160" w:name="_Toc22890020"/>
      <w:bookmarkStart w:id="161" w:name="_Toc22891288"/>
      <w:bookmarkStart w:id="162" w:name="_Toc22891486"/>
      <w:bookmarkStart w:id="163" w:name="_Toc22894263"/>
      <w:r>
        <w:lastRenderedPageBreak/>
        <w:t xml:space="preserve">Voluntary superannuation contributions can be used to facilitate higher superannuation balances at retirement. However, </w:t>
      </w:r>
      <w:r w:rsidR="00350EE8">
        <w:t xml:space="preserve">total superannuation </w:t>
      </w:r>
      <w:r>
        <w:t xml:space="preserve">contributions are </w:t>
      </w:r>
      <w:r w:rsidR="00CE7C20">
        <w:t xml:space="preserve">generally </w:t>
      </w:r>
      <w:r>
        <w:t xml:space="preserve">capped at $25,000 of </w:t>
      </w:r>
      <w:r w:rsidRPr="00F90DEA">
        <w:t>pre</w:t>
      </w:r>
      <w:r w:rsidR="58B2B291" w:rsidRPr="00F90DEA">
        <w:t>-</w:t>
      </w:r>
      <w:r w:rsidR="00BF3077">
        <w:t>tax</w:t>
      </w:r>
      <w:r w:rsidRPr="00F90DEA">
        <w:t xml:space="preserve"> income and $100,000 of post-tax income each year. Voluntary superannuation contrib</w:t>
      </w:r>
      <w:r w:rsidRPr="00D242C6">
        <w:t xml:space="preserve">utions are a particularly important savings option for </w:t>
      </w:r>
      <w:r w:rsidR="00EE40F7">
        <w:t>individuals</w:t>
      </w:r>
      <w:r w:rsidRPr="00D242C6">
        <w:t xml:space="preserve"> who are not covered by compulsory superannuation. </w:t>
      </w:r>
    </w:p>
    <w:p w14:paraId="17B5612B" w14:textId="109B781C" w:rsidR="002B6808" w:rsidRDefault="00315D13" w:rsidP="002B6808">
      <w:r>
        <w:rPr>
          <w:szCs w:val="22"/>
        </w:rPr>
        <w:t xml:space="preserve">As demonstrated by </w:t>
      </w:r>
      <w:r w:rsidR="002B6808" w:rsidRPr="009E687F">
        <w:rPr>
          <w:szCs w:val="22"/>
        </w:rPr>
        <w:fldChar w:fldCharType="begin"/>
      </w:r>
      <w:r w:rsidR="002B6808" w:rsidRPr="009E687F">
        <w:rPr>
          <w:szCs w:val="22"/>
        </w:rPr>
        <w:instrText xml:space="preserve"> REF _Ref23330752 \h </w:instrText>
      </w:r>
      <w:r w:rsidR="009E687F">
        <w:rPr>
          <w:szCs w:val="22"/>
        </w:rPr>
        <w:instrText xml:space="preserve"> \* MERGEFORMAT </w:instrText>
      </w:r>
      <w:r w:rsidR="002B6808" w:rsidRPr="009E687F">
        <w:rPr>
          <w:szCs w:val="22"/>
        </w:rPr>
      </w:r>
      <w:r w:rsidR="002B6808" w:rsidRPr="009E687F">
        <w:rPr>
          <w:szCs w:val="22"/>
        </w:rPr>
        <w:fldChar w:fldCharType="separate"/>
      </w:r>
      <w:r w:rsidR="00070568" w:rsidRPr="00070568">
        <w:rPr>
          <w:szCs w:val="22"/>
        </w:rPr>
        <w:t>Figure 2</w:t>
      </w:r>
      <w:r w:rsidR="002B6808" w:rsidRPr="009E687F">
        <w:rPr>
          <w:szCs w:val="22"/>
        </w:rPr>
        <w:fldChar w:fldCharType="end"/>
      </w:r>
      <w:r>
        <w:rPr>
          <w:szCs w:val="22"/>
        </w:rPr>
        <w:t>,</w:t>
      </w:r>
      <w:r w:rsidR="002B6808">
        <w:t xml:space="preserve"> </w:t>
      </w:r>
      <w:r w:rsidR="000F1FB9">
        <w:t>most</w:t>
      </w:r>
      <w:r w:rsidR="002B6808">
        <w:t xml:space="preserve"> household wealth for </w:t>
      </w:r>
      <w:r w:rsidR="00DA4888">
        <w:t>individuals</w:t>
      </w:r>
      <w:r w:rsidR="002B6808">
        <w:t xml:space="preserve"> aged 65 and over is held outside </w:t>
      </w:r>
      <w:r w:rsidR="00206878">
        <w:t xml:space="preserve">the </w:t>
      </w:r>
      <w:r w:rsidR="002B6808">
        <w:t>superannuation</w:t>
      </w:r>
      <w:r w:rsidR="00206878">
        <w:t xml:space="preserve"> system</w:t>
      </w:r>
      <w:r w:rsidR="002B6808">
        <w:t>, with owner-occupied dwelling</w:t>
      </w:r>
      <w:r w:rsidR="00A831F9">
        <w:t>s</w:t>
      </w:r>
      <w:r w:rsidR="002B6808">
        <w:t xml:space="preserve"> the largest asset for </w:t>
      </w:r>
      <w:r w:rsidR="00A831F9">
        <w:t>th</w:t>
      </w:r>
      <w:r w:rsidR="006C5C56">
        <w:t>ese</w:t>
      </w:r>
      <w:r w:rsidR="00A831F9">
        <w:t xml:space="preserve"> </w:t>
      </w:r>
      <w:r w:rsidR="006C5C56">
        <w:t>cohorts</w:t>
      </w:r>
      <w:r w:rsidR="002B6808" w:rsidRPr="79F17F14">
        <w:t xml:space="preserve">. </w:t>
      </w:r>
      <w:r w:rsidR="005972C8">
        <w:t>Outright h</w:t>
      </w:r>
      <w:r w:rsidR="002B6808" w:rsidRPr="006808D5">
        <w:t xml:space="preserve">ome ownership supports retirement income </w:t>
      </w:r>
      <w:r w:rsidR="002B6808">
        <w:t>by reducing ongoing expenses</w:t>
      </w:r>
      <w:r w:rsidR="002B6808" w:rsidRPr="006808D5">
        <w:t xml:space="preserve"> and </w:t>
      </w:r>
      <w:r w:rsidR="002B6808">
        <w:t>act</w:t>
      </w:r>
      <w:r w:rsidR="79F17F14">
        <w:t>s</w:t>
      </w:r>
      <w:r w:rsidR="002B6808" w:rsidRPr="006808D5">
        <w:t xml:space="preserve"> as a store of wealth that can be accessed in retirement.</w:t>
      </w:r>
      <w:r w:rsidR="002B6808" w:rsidRPr="006103C9">
        <w:rPr>
          <w:rStyle w:val="FootnoteReference"/>
          <w:vertAlign w:val="superscript"/>
        </w:rPr>
        <w:footnoteReference w:id="4"/>
      </w:r>
    </w:p>
    <w:p w14:paraId="59086AC5" w14:textId="77777777" w:rsidR="0021780C" w:rsidRDefault="0021780C" w:rsidP="00764679">
      <w:pPr>
        <w:pStyle w:val="Heading2"/>
      </w:pPr>
      <w:bookmarkStart w:id="164" w:name="_Toc23515495"/>
      <w:bookmarkStart w:id="165" w:name="_Toc23521042"/>
      <w:bookmarkStart w:id="166" w:name="_Toc24545118"/>
      <w:bookmarkStart w:id="167" w:name="_Toc24545344"/>
      <w:bookmarkStart w:id="168" w:name="_Toc24547605"/>
      <w:bookmarkStart w:id="169" w:name="_Toc24551385"/>
      <w:bookmarkStart w:id="170" w:name="_Toc24554721"/>
      <w:bookmarkStart w:id="171" w:name="_Toc24556318"/>
      <w:bookmarkStart w:id="172" w:name="_Toc24712763"/>
      <w:bookmarkStart w:id="173" w:name="_Toc24717007"/>
      <w:bookmarkStart w:id="174" w:name="_Toc24721546"/>
      <w:bookmarkStart w:id="175" w:name="_Toc24722260"/>
      <w:bookmarkStart w:id="176" w:name="_Toc24728675"/>
      <w:bookmarkStart w:id="177" w:name="_Toc24731201"/>
      <w:r>
        <w:t>System interactions</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14:paraId="4FB25080" w14:textId="20BE13DC" w:rsidR="00764679" w:rsidRDefault="005972C8" w:rsidP="00764679">
      <w:r>
        <w:t>F</w:t>
      </w:r>
      <w:r w:rsidR="00764679">
        <w:t xml:space="preserve">or the retirement income system as a whole to deliver for Australians in their retirement the pillars of the system need to interact effectively and </w:t>
      </w:r>
      <w:r>
        <w:t>be</w:t>
      </w:r>
      <w:r w:rsidR="00764679">
        <w:t xml:space="preserve"> </w:t>
      </w:r>
      <w:r>
        <w:t>flexible</w:t>
      </w:r>
      <w:r w:rsidR="00764679">
        <w:t xml:space="preserve"> and responsive to allow </w:t>
      </w:r>
      <w:r w:rsidR="00DA4888">
        <w:t xml:space="preserve">individuals </w:t>
      </w:r>
      <w:r w:rsidR="00764679">
        <w:t xml:space="preserve">in diverse circumstances to achieve adequate </w:t>
      </w:r>
      <w:r>
        <w:t>retirement</w:t>
      </w:r>
      <w:r w:rsidR="00764679">
        <w:t xml:space="preserve"> income</w:t>
      </w:r>
      <w:r w:rsidR="00477569">
        <w:t>s</w:t>
      </w:r>
      <w:r w:rsidR="00764679">
        <w:t xml:space="preserve">. </w:t>
      </w:r>
      <w:r w:rsidR="00DE575A">
        <w:tab/>
      </w:r>
    </w:p>
    <w:p w14:paraId="0DFE56A9" w14:textId="0CAFF226" w:rsidR="007B74C2" w:rsidRDefault="00764679" w:rsidP="00764679">
      <w:r>
        <w:t xml:space="preserve">The retirement income system has many elements </w:t>
      </w:r>
      <w:r w:rsidR="00315D13">
        <w:t>that</w:t>
      </w:r>
      <w:r>
        <w:t xml:space="preserve"> can interact in complex ways. Key interactions between the elements of the retirement income system and other policies are outlined in</w:t>
      </w:r>
      <w:r w:rsidR="00B821E7">
        <w:t xml:space="preserve"> </w:t>
      </w:r>
      <w:r w:rsidR="003A3D97">
        <w:t>Figure 3</w:t>
      </w:r>
      <w:r w:rsidR="00653668">
        <w:rPr>
          <w:szCs w:val="22"/>
        </w:rPr>
        <w:t>.</w:t>
      </w:r>
      <w:r>
        <w:t xml:space="preserve"> The diverse personal circumstances of retirees can</w:t>
      </w:r>
      <w:r w:rsidR="004E03F0">
        <w:t xml:space="preserve"> contribute to</w:t>
      </w:r>
      <w:r>
        <w:t xml:space="preserve"> complex interactions, creating the</w:t>
      </w:r>
      <w:r w:rsidRPr="00431C11">
        <w:t xml:space="preserve"> potential for </w:t>
      </w:r>
      <w:r w:rsidR="004E03F0">
        <w:t xml:space="preserve">significantly </w:t>
      </w:r>
      <w:r w:rsidR="002B725F">
        <w:t>different</w:t>
      </w:r>
      <w:r w:rsidR="004E03F0" w:rsidRPr="330B1C40">
        <w:t xml:space="preserve"> </w:t>
      </w:r>
      <w:r>
        <w:t xml:space="preserve">retirement income </w:t>
      </w:r>
      <w:r w:rsidRPr="00431C11">
        <w:t>outcomes</w:t>
      </w:r>
      <w:r>
        <w:t xml:space="preserve"> between individuals. These outcomes are also affected by interactions with other policy areas – such as aged care, health and taxation. The Review will explore </w:t>
      </w:r>
      <w:r w:rsidR="004E674D">
        <w:t xml:space="preserve">how these </w:t>
      </w:r>
      <w:r>
        <w:t xml:space="preserve">interactions </w:t>
      </w:r>
      <w:r w:rsidR="00477569">
        <w:t xml:space="preserve">affect </w:t>
      </w:r>
      <w:r>
        <w:t>outcomes for retirees, but will not consider these</w:t>
      </w:r>
      <w:r w:rsidR="004E03F0">
        <w:t xml:space="preserve"> policy areas</w:t>
      </w:r>
      <w:r>
        <w:t xml:space="preserve"> in detail. </w:t>
      </w:r>
    </w:p>
    <w:p w14:paraId="56BA7A1D" w14:textId="47A2C106" w:rsidR="007A42DA" w:rsidRDefault="007B74C2" w:rsidP="006175A8">
      <w:pPr>
        <w:pStyle w:val="ChartMainHeading"/>
      </w:pPr>
      <w:bookmarkStart w:id="178" w:name="_Ref24549066"/>
      <w:bookmarkStart w:id="179" w:name="_Ref24549058"/>
      <w:r w:rsidRPr="00716638">
        <w:t xml:space="preserve">Figure </w:t>
      </w:r>
      <w:r w:rsidRPr="00716638">
        <w:rPr>
          <w:b w:val="0"/>
          <w:noProof/>
        </w:rPr>
        <w:fldChar w:fldCharType="begin"/>
      </w:r>
      <w:r w:rsidRPr="00716638">
        <w:rPr>
          <w:noProof/>
        </w:rPr>
        <w:instrText xml:space="preserve"> SEQ Figure \* ARABIC </w:instrText>
      </w:r>
      <w:r w:rsidRPr="00716638">
        <w:rPr>
          <w:b w:val="0"/>
          <w:noProof/>
        </w:rPr>
        <w:fldChar w:fldCharType="separate"/>
      </w:r>
      <w:r w:rsidR="00070568">
        <w:rPr>
          <w:noProof/>
        </w:rPr>
        <w:t>3</w:t>
      </w:r>
      <w:r w:rsidRPr="00716638">
        <w:rPr>
          <w:b w:val="0"/>
          <w:noProof/>
        </w:rPr>
        <w:fldChar w:fldCharType="end"/>
      </w:r>
      <w:r w:rsidRPr="00716638">
        <w:t xml:space="preserve">: Key retirement </w:t>
      </w:r>
      <w:r w:rsidRPr="006175A8">
        <w:t>income</w:t>
      </w:r>
      <w:r w:rsidRPr="00716638">
        <w:t xml:space="preserve"> system interactions</w:t>
      </w:r>
      <w:bookmarkStart w:id="180" w:name="_Toc23515082"/>
      <w:bookmarkStart w:id="181" w:name="_Toc23515496"/>
      <w:bookmarkStart w:id="182" w:name="_Toc23521043"/>
      <w:bookmarkStart w:id="183" w:name="_Toc24545119"/>
      <w:bookmarkStart w:id="184" w:name="_Toc24545345"/>
      <w:bookmarkStart w:id="185" w:name="_Toc24547606"/>
      <w:bookmarkStart w:id="186" w:name="_Toc24551386"/>
      <w:bookmarkStart w:id="187" w:name="_Toc24554722"/>
      <w:bookmarkStart w:id="188" w:name="_Toc24556319"/>
      <w:bookmarkStart w:id="189" w:name="_Toc24712764"/>
      <w:bookmarkStart w:id="190" w:name="_Toc24717008"/>
      <w:bookmarkStart w:id="191" w:name="_Toc24721547"/>
      <w:bookmarkStart w:id="192" w:name="_Toc24722261"/>
      <w:bookmarkStart w:id="193" w:name="_Toc24728676"/>
      <w:bookmarkStart w:id="194" w:name="_Toc24731202"/>
      <w:bookmarkEnd w:id="178"/>
      <w:bookmarkEnd w:id="179"/>
    </w:p>
    <w:p w14:paraId="7D8DA05F" w14:textId="44556D11" w:rsidR="00AE530A" w:rsidRPr="00716638" w:rsidRDefault="007A42DA" w:rsidP="007A42DA">
      <w:pPr>
        <w:pStyle w:val="ChartGraphic"/>
      </w:pPr>
      <w:r w:rsidRPr="00716638">
        <w:rPr>
          <w:noProof/>
        </w:rPr>
        <w:drawing>
          <wp:inline distT="0" distB="0" distL="0" distR="0" wp14:anchorId="1C460982" wp14:editId="4DCEE6C1">
            <wp:extent cx="5832000" cy="315092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32000" cy="3150927"/>
                    </a:xfrm>
                    <a:prstGeom prst="rect">
                      <a:avLst/>
                    </a:prstGeom>
                    <a:solidFill>
                      <a:schemeClr val="bg1"/>
                    </a:solidFill>
                  </pic:spPr>
                </pic:pic>
              </a:graphicData>
            </a:graphic>
          </wp:inline>
        </w:drawing>
      </w:r>
      <w:r w:rsidR="00AE530A" w:rsidRPr="00716638">
        <w:br w:type="page"/>
      </w:r>
    </w:p>
    <w:p w14:paraId="5292A09E" w14:textId="0F26AF9E" w:rsidR="0016052A" w:rsidRDefault="0016052A" w:rsidP="0016052A">
      <w:pPr>
        <w:pStyle w:val="Heading2"/>
      </w:pPr>
      <w:r>
        <w:lastRenderedPageBreak/>
        <w:t xml:space="preserve">How Australia’s system compares </w:t>
      </w:r>
      <w:r w:rsidRPr="000878E0">
        <w:t>internationally</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14:paraId="5E28AD28" w14:textId="28DCAF39" w:rsidR="0016052A" w:rsidRDefault="0016052A" w:rsidP="0016052A">
      <w:r>
        <w:t>Australia has a uniquely structured retirement income system. The ‘first pillar’, the Age Pension</w:t>
      </w:r>
      <w:r w:rsidR="0085574A">
        <w:t xml:space="preserve"> and </w:t>
      </w:r>
      <w:r w:rsidR="00407C63">
        <w:t>Service Pension</w:t>
      </w:r>
      <w:r>
        <w:t xml:space="preserve">, </w:t>
      </w:r>
      <w:r w:rsidR="0085574A">
        <w:t>have</w:t>
      </w:r>
      <w:r>
        <w:t xml:space="preserve"> high coverage (around </w:t>
      </w:r>
      <w:r w:rsidR="00477569">
        <w:t>6</w:t>
      </w:r>
      <w:r w:rsidR="00DD232F">
        <w:t>8</w:t>
      </w:r>
      <w:r>
        <w:t xml:space="preserve"> per cent of retirees</w:t>
      </w:r>
      <w:r w:rsidR="00E21B0C">
        <w:t>)</w:t>
      </w:r>
      <w:r>
        <w:t>, compared with</w:t>
      </w:r>
      <w:r w:rsidR="00F81B5D">
        <w:t xml:space="preserve"> around 30 per </w:t>
      </w:r>
      <w:r w:rsidR="00927EC7">
        <w:t>cent across</w:t>
      </w:r>
      <w:r w:rsidR="0036797B">
        <w:t xml:space="preserve"> </w:t>
      </w:r>
      <w:r w:rsidR="00487580">
        <w:t>Organisation for Economic Co</w:t>
      </w:r>
      <w:r w:rsidR="00376FB6">
        <w:noBreakHyphen/>
      </w:r>
      <w:r w:rsidR="00487580">
        <w:t>Operation and Development</w:t>
      </w:r>
      <w:r>
        <w:t xml:space="preserve"> </w:t>
      </w:r>
      <w:r w:rsidR="00487580">
        <w:t>(</w:t>
      </w:r>
      <w:r>
        <w:t>OECD</w:t>
      </w:r>
      <w:r w:rsidR="00487580">
        <w:t>) countr</w:t>
      </w:r>
      <w:r w:rsidR="00927EC7">
        <w:t>ies</w:t>
      </w:r>
      <w:r w:rsidR="00E21B0C">
        <w:t>. However,</w:t>
      </w:r>
      <w:r>
        <w:t xml:space="preserve"> </w:t>
      </w:r>
      <w:r w:rsidR="00E21B0C">
        <w:t xml:space="preserve">it has a </w:t>
      </w:r>
      <w:r>
        <w:t xml:space="preserve">modest entitlement (relative to average earnings) </w:t>
      </w:r>
      <w:r w:rsidR="00E21B0C">
        <w:t xml:space="preserve">compared to </w:t>
      </w:r>
      <w:r>
        <w:t xml:space="preserve">contributory social security schemes </w:t>
      </w:r>
      <w:r w:rsidR="00E47DEB">
        <w:t xml:space="preserve">where benefits are linked to a proportion of </w:t>
      </w:r>
      <w:r w:rsidR="0036797B">
        <w:t xml:space="preserve">pre-retirement </w:t>
      </w:r>
      <w:r w:rsidR="00E47DEB">
        <w:t>earnings</w:t>
      </w:r>
      <w:r>
        <w:t xml:space="preserve"> (</w:t>
      </w:r>
      <w:r w:rsidRPr="00112B00">
        <w:t xml:space="preserve">CEPAR </w:t>
      </w:r>
      <w:r w:rsidRPr="00D543BD">
        <w:t>2018</w:t>
      </w:r>
      <w:r w:rsidR="005C76B9">
        <w:t>a</w:t>
      </w:r>
      <w:r w:rsidRPr="00D543BD">
        <w:t>, p</w:t>
      </w:r>
      <w:r w:rsidR="00477569">
        <w:t>p</w:t>
      </w:r>
      <w:r w:rsidR="00AE6B0E">
        <w:t>. 10</w:t>
      </w:r>
      <w:r w:rsidR="00AE6B0E">
        <w:noBreakHyphen/>
      </w:r>
      <w:r w:rsidRPr="00D543BD">
        <w:t>12).</w:t>
      </w:r>
      <w:r>
        <w:t xml:space="preserve"> The </w:t>
      </w:r>
      <w:r w:rsidR="5B614507">
        <w:t>p</w:t>
      </w:r>
      <w:r w:rsidR="56D3EE73">
        <w:t>ublicly-funded</w:t>
      </w:r>
      <w:r w:rsidR="56D3EE73" w:rsidRPr="0005589D">
        <w:t xml:space="preserve"> </w:t>
      </w:r>
      <w:r>
        <w:t xml:space="preserve">Age Pension has a flat maximum rate regardless of </w:t>
      </w:r>
      <w:r w:rsidR="005972C8">
        <w:t xml:space="preserve">an individual’s </w:t>
      </w:r>
      <w:r>
        <w:t xml:space="preserve">earnings history. This sets it apart from many international systems where benefit entitlements are funded by payroll taxes (such as </w:t>
      </w:r>
      <w:r w:rsidR="00477569">
        <w:t xml:space="preserve">in </w:t>
      </w:r>
      <w:r>
        <w:t>the United States, Norway and Switzerland). It is also means tested (unlike New</w:t>
      </w:r>
      <w:r w:rsidR="00477569">
        <w:t> </w:t>
      </w:r>
      <w:r>
        <w:t>Zealand</w:t>
      </w:r>
      <w:r w:rsidR="00477569">
        <w:t>, for example</w:t>
      </w:r>
      <w:r>
        <w:t xml:space="preserve">, which pays a pension to all eligible retirees). </w:t>
      </w:r>
    </w:p>
    <w:p w14:paraId="5987B69D" w14:textId="63102CAA" w:rsidR="0016052A" w:rsidRDefault="0016052A" w:rsidP="0016052A">
      <w:r>
        <w:t>Australia’s ‘second pillar’, a privately-managed superannuation system, is also distinct. It is compulsory</w:t>
      </w:r>
      <w:r w:rsidR="4A401B59" w:rsidRPr="5AD76621">
        <w:t xml:space="preserve"> </w:t>
      </w:r>
      <w:r w:rsidR="5AD76621">
        <w:t>for most employees</w:t>
      </w:r>
      <w:r>
        <w:t>, unlike comparable schemes in Canada and the United States. It is primarily a defined contribution scheme, in contrast to the</w:t>
      </w:r>
      <w:r w:rsidR="00477569">
        <w:t xml:space="preserve"> largely</w:t>
      </w:r>
      <w:r>
        <w:t xml:space="preserve"> defined benefit structure of many employer-based saving schemes in the OECD. The flexibility </w:t>
      </w:r>
      <w:r w:rsidR="00351DA7">
        <w:t>that</w:t>
      </w:r>
      <w:r>
        <w:t xml:space="preserve"> Australia</w:t>
      </w:r>
      <w:r w:rsidR="005972C8">
        <w:t>’s system</w:t>
      </w:r>
      <w:r>
        <w:t xml:space="preserve"> provides </w:t>
      </w:r>
      <w:r w:rsidR="00834A97">
        <w:t>to individuals to</w:t>
      </w:r>
      <w:r>
        <w:t xml:space="preserve"> decid</w:t>
      </w:r>
      <w:r w:rsidR="00834A97">
        <w:t>e</w:t>
      </w:r>
      <w:r>
        <w:t xml:space="preserve"> how to draw</w:t>
      </w:r>
      <w:r w:rsidR="005972C8">
        <w:t xml:space="preserve"> down</w:t>
      </w:r>
      <w:r>
        <w:t xml:space="preserve"> </w:t>
      </w:r>
      <w:r w:rsidR="00834A97">
        <w:t>their</w:t>
      </w:r>
      <w:r>
        <w:t xml:space="preserve"> retirement savings is also distinct from other countries which </w:t>
      </w:r>
      <w:r w:rsidR="00927EC7">
        <w:t>generally deliver</w:t>
      </w:r>
      <w:r>
        <w:t xml:space="preserve"> retirement benefits as income stream</w:t>
      </w:r>
      <w:r w:rsidR="00927EC7">
        <w:t>s</w:t>
      </w:r>
      <w:r>
        <w:t xml:space="preserve">. Australia’s defined contribution scheme requires the individual, rather than </w:t>
      </w:r>
      <w:r w:rsidR="00834A97">
        <w:t>the G</w:t>
      </w:r>
      <w:r>
        <w:t>overnment</w:t>
      </w:r>
      <w:r w:rsidR="007E0BAD">
        <w:t xml:space="preserve"> or employers</w:t>
      </w:r>
      <w:r>
        <w:t>, to bear the risks associated with investment, such as longevity risk and inflation. However,</w:t>
      </w:r>
      <w:r w:rsidR="005F08E7">
        <w:t xml:space="preserve"> </w:t>
      </w:r>
      <w:r w:rsidR="00BF3077">
        <w:t xml:space="preserve">as income drawn from this pillar is backed by assets in retirement, </w:t>
      </w:r>
      <w:r w:rsidR="005F08E7">
        <w:t xml:space="preserve">it </w:t>
      </w:r>
      <w:r w:rsidR="00BF3077">
        <w:t>avoids risks of future governments reducing entitlements to address budget</w:t>
      </w:r>
      <w:r w:rsidR="0066700B">
        <w:t>ary</w:t>
      </w:r>
      <w:r w:rsidR="00BF3077">
        <w:t xml:space="preserve"> pressures that can occur in </w:t>
      </w:r>
      <w:r w:rsidR="005F08E7">
        <w:t xml:space="preserve">unfunded or partly funded </w:t>
      </w:r>
      <w:r>
        <w:t xml:space="preserve">social insurance </w:t>
      </w:r>
      <w:r w:rsidR="005F08E7">
        <w:t>scheme</w:t>
      </w:r>
      <w:r w:rsidR="00CB3E11">
        <w:t>s</w:t>
      </w:r>
      <w:r w:rsidRPr="5AD76621">
        <w:t xml:space="preserve">. </w:t>
      </w:r>
    </w:p>
    <w:p w14:paraId="46759221" w14:textId="77777777" w:rsidR="0016052A" w:rsidRDefault="0016052A" w:rsidP="0016052A">
      <w:r>
        <w:t>Australia’s ‘third pillar’ is voluntary savings. For many Australians, the family home is the most significant form of voluntary savings and Australian retirees have historically had a relatively high level of home ownership compared to other countries.</w:t>
      </w:r>
    </w:p>
    <w:p w14:paraId="79F60A23" w14:textId="2172FD3C" w:rsidR="009272FA" w:rsidRPr="00C613DA" w:rsidRDefault="0016052A" w:rsidP="00C613DA">
      <w:r w:rsidRPr="00C613DA">
        <w:t xml:space="preserve">The Melbourne Mercer Global Pension Index (Mercer 2019) ranks the performance of </w:t>
      </w:r>
      <w:r w:rsidR="005F08E7" w:rsidRPr="00C613DA">
        <w:t xml:space="preserve">a range of international </w:t>
      </w:r>
      <w:r w:rsidRPr="00C613DA">
        <w:t>retirement income systems according to adequacy, sustainability</w:t>
      </w:r>
      <w:r w:rsidR="00834A97" w:rsidRPr="00C613DA">
        <w:t>,</w:t>
      </w:r>
      <w:r w:rsidRPr="00C613DA">
        <w:t xml:space="preserve"> and integrity</w:t>
      </w:r>
      <w:r w:rsidR="4144C345" w:rsidRPr="00C613DA">
        <w:t xml:space="preserve"> </w:t>
      </w:r>
      <w:r w:rsidR="7EA207F1" w:rsidRPr="00C613DA">
        <w:t>sub</w:t>
      </w:r>
      <w:r w:rsidR="005972C8" w:rsidRPr="00C613DA">
        <w:noBreakHyphen/>
      </w:r>
      <w:r w:rsidR="7EA207F1" w:rsidRPr="00C613DA">
        <w:t>indices</w:t>
      </w:r>
      <w:r w:rsidR="69F62554" w:rsidRPr="00C613DA">
        <w:t>.</w:t>
      </w:r>
      <w:r w:rsidR="1CBEDE94" w:rsidRPr="00C613DA">
        <w:t xml:space="preserve"> In 20</w:t>
      </w:r>
      <w:r w:rsidR="63C73883" w:rsidRPr="00C613DA">
        <w:t>19</w:t>
      </w:r>
      <w:r w:rsidR="005F08E7" w:rsidRPr="00C613DA">
        <w:t>,</w:t>
      </w:r>
      <w:r w:rsidR="63C73883" w:rsidRPr="00C613DA">
        <w:t xml:space="preserve"> the </w:t>
      </w:r>
      <w:r w:rsidR="005972C8" w:rsidRPr="00C613DA">
        <w:t>i</w:t>
      </w:r>
      <w:r w:rsidR="63C73883" w:rsidRPr="00C613DA">
        <w:t>ndex ran</w:t>
      </w:r>
      <w:r w:rsidRPr="00C613DA">
        <w:t xml:space="preserve">ked </w:t>
      </w:r>
      <w:r w:rsidR="4D9CB26E" w:rsidRPr="00C613DA">
        <w:t xml:space="preserve">the </w:t>
      </w:r>
      <w:r w:rsidRPr="00C613DA">
        <w:t>Australia</w:t>
      </w:r>
      <w:r w:rsidR="4D9CB26E" w:rsidRPr="00C613DA">
        <w:t xml:space="preserve">n retirement </w:t>
      </w:r>
      <w:r w:rsidR="005972C8" w:rsidRPr="00C613DA">
        <w:t xml:space="preserve">income </w:t>
      </w:r>
      <w:r w:rsidR="04F6BDF5" w:rsidRPr="00C613DA">
        <w:t xml:space="preserve">system </w:t>
      </w:r>
      <w:r w:rsidR="005972C8" w:rsidRPr="00C613DA">
        <w:t>third</w:t>
      </w:r>
      <w:r w:rsidRPr="00C613DA">
        <w:t xml:space="preserve"> </w:t>
      </w:r>
      <w:r w:rsidR="199D5B08" w:rsidRPr="00C613DA">
        <w:t xml:space="preserve">out of </w:t>
      </w:r>
      <w:r w:rsidR="54B70EA2" w:rsidRPr="00C613DA">
        <w:t>3</w:t>
      </w:r>
      <w:r w:rsidR="69F62554" w:rsidRPr="00C613DA">
        <w:t>7</w:t>
      </w:r>
      <w:r w:rsidR="00F36CB5" w:rsidRPr="00C613DA">
        <w:t> </w:t>
      </w:r>
      <w:r w:rsidR="00FA06B9" w:rsidRPr="00C613DA">
        <w:t xml:space="preserve">countries’ </w:t>
      </w:r>
      <w:r w:rsidR="7EA207F1" w:rsidRPr="00C613DA">
        <w:t>sy</w:t>
      </w:r>
      <w:r w:rsidR="62B5F0CC" w:rsidRPr="00C613DA">
        <w:t>s</w:t>
      </w:r>
      <w:r w:rsidR="7EA207F1" w:rsidRPr="00C613DA">
        <w:t>tems</w:t>
      </w:r>
      <w:r w:rsidRPr="00C613DA">
        <w:t>, behind th</w:t>
      </w:r>
      <w:r w:rsidR="62B5F0CC" w:rsidRPr="00C613DA">
        <w:t>ose</w:t>
      </w:r>
      <w:r w:rsidRPr="00C613DA">
        <w:t xml:space="preserve"> </w:t>
      </w:r>
      <w:r w:rsidR="62B5F0CC" w:rsidRPr="00C613DA">
        <w:t xml:space="preserve">of the </w:t>
      </w:r>
      <w:r w:rsidRPr="00C613DA">
        <w:t>Netherlands and Denmark.</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9272FA" w14:paraId="16B239F2" w14:textId="77777777" w:rsidTr="00C742C6">
        <w:tc>
          <w:tcPr>
            <w:tcW w:w="5000" w:type="pct"/>
            <w:shd w:val="clear" w:color="auto" w:fill="EBEBEB"/>
          </w:tcPr>
          <w:p w14:paraId="6C5444D4" w14:textId="26DE8955" w:rsidR="009272FA" w:rsidRPr="004F3E81" w:rsidRDefault="009272FA" w:rsidP="00C742C6">
            <w:pPr>
              <w:pStyle w:val="BoxHeading"/>
              <w:spacing w:before="141" w:after="70"/>
            </w:pPr>
            <w:bookmarkStart w:id="195" w:name="_Toc22828886"/>
            <w:bookmarkStart w:id="196" w:name="_Toc22830441"/>
            <w:bookmarkStart w:id="197" w:name="_Toc22886959"/>
            <w:bookmarkStart w:id="198" w:name="_Toc22888738"/>
            <w:bookmarkStart w:id="199" w:name="_Toc22889656"/>
            <w:bookmarkStart w:id="200" w:name="_Toc22890021"/>
            <w:bookmarkStart w:id="201" w:name="_Toc22891289"/>
            <w:bookmarkStart w:id="202" w:name="_Toc22891487"/>
            <w:bookmarkStart w:id="203" w:name="_Toc22894264"/>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t xml:space="preserve">Consultation </w:t>
            </w:r>
            <w:r w:rsidR="002C4B98">
              <w:t>q</w:t>
            </w:r>
            <w:r>
              <w:t>uestion</w:t>
            </w:r>
            <w:r w:rsidRPr="004F3E81">
              <w:t>:</w:t>
            </w:r>
          </w:p>
          <w:p w14:paraId="1F86F002" w14:textId="01EB347D" w:rsidR="009272FA" w:rsidRDefault="00C742C6" w:rsidP="00C742C6">
            <w:pPr>
              <w:pStyle w:val="BoxText"/>
              <w:spacing w:before="70" w:after="70"/>
            </w:pPr>
            <w:bookmarkStart w:id="204" w:name="_Toc24550878"/>
            <w:bookmarkStart w:id="205" w:name="_Toc24728775"/>
            <w:r>
              <w:t>Are th</w:t>
            </w:r>
            <w:r w:rsidR="00834A97">
              <w:t>ere aspects of the design of</w:t>
            </w:r>
            <w:r>
              <w:t xml:space="preserve"> retirement income system</w:t>
            </w:r>
            <w:r w:rsidR="00834A97">
              <w:t>s</w:t>
            </w:r>
            <w:r>
              <w:t xml:space="preserve"> in other countries that are relevant to Australia?</w:t>
            </w:r>
            <w:bookmarkEnd w:id="204"/>
            <w:bookmarkEnd w:id="205"/>
          </w:p>
        </w:tc>
      </w:tr>
    </w:tbl>
    <w:p w14:paraId="1C77B7D1" w14:textId="75C7C556" w:rsidR="008207BC" w:rsidRDefault="008207BC" w:rsidP="001A3917">
      <w:pPr>
        <w:rPr>
          <w:rFonts w:cs="Arial"/>
          <w:color w:val="144E60" w:themeColor="accent1"/>
          <w:kern w:val="32"/>
          <w:sz w:val="48"/>
          <w:szCs w:val="36"/>
        </w:rPr>
      </w:pPr>
      <w:r>
        <w:br w:type="page"/>
      </w:r>
    </w:p>
    <w:p w14:paraId="5F4C7534" w14:textId="4F7D4080" w:rsidR="007F0465" w:rsidRDefault="0042623B">
      <w:pPr>
        <w:pStyle w:val="Heading1"/>
      </w:pPr>
      <w:bookmarkStart w:id="206" w:name="_Toc23515083"/>
      <w:bookmarkStart w:id="207" w:name="_Toc23515497"/>
      <w:bookmarkStart w:id="208" w:name="_Toc23521044"/>
      <w:bookmarkStart w:id="209" w:name="_Toc24545120"/>
      <w:bookmarkStart w:id="210" w:name="_Toc24545346"/>
      <w:bookmarkStart w:id="211" w:name="_Toc24547607"/>
      <w:bookmarkStart w:id="212" w:name="_Toc24551387"/>
      <w:bookmarkStart w:id="213" w:name="_Toc24554723"/>
      <w:bookmarkStart w:id="214" w:name="_Toc24556320"/>
      <w:bookmarkStart w:id="215" w:name="_Toc24712765"/>
      <w:bookmarkStart w:id="216" w:name="_Toc24717009"/>
      <w:bookmarkStart w:id="217" w:name="_Toc24721548"/>
      <w:bookmarkStart w:id="218" w:name="_Toc24722262"/>
      <w:bookmarkStart w:id="219" w:name="_Toc24728677"/>
      <w:bookmarkStart w:id="220" w:name="_Toc24731203"/>
      <w:r>
        <w:lastRenderedPageBreak/>
        <w:t>Purpose of the system and</w:t>
      </w:r>
      <w:r w:rsidR="007F0465">
        <w:t xml:space="preserve"> </w:t>
      </w:r>
      <w:r w:rsidR="007F0465" w:rsidRPr="00EB6572">
        <w:t>role</w:t>
      </w:r>
      <w:r w:rsidR="007F0465">
        <w:t xml:space="preserve"> of the pillars</w:t>
      </w:r>
      <w:bookmarkEnd w:id="195"/>
      <w:bookmarkEnd w:id="196"/>
      <w:bookmarkEnd w:id="197"/>
      <w:bookmarkEnd w:id="198"/>
      <w:bookmarkEnd w:id="199"/>
      <w:bookmarkEnd w:id="200"/>
      <w:bookmarkEnd w:id="201"/>
      <w:bookmarkEnd w:id="202"/>
      <w:bookmarkEnd w:id="203"/>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14:paraId="74821A92" w14:textId="4DA19F9A" w:rsidR="0042623B" w:rsidRDefault="00FA06B9" w:rsidP="0016052A">
      <w:pPr>
        <w:pStyle w:val="Heading2"/>
      </w:pPr>
      <w:bookmarkStart w:id="221" w:name="_Toc23515084"/>
      <w:bookmarkStart w:id="222" w:name="_Toc23515498"/>
      <w:bookmarkStart w:id="223" w:name="_Toc23521045"/>
      <w:bookmarkStart w:id="224" w:name="_Toc24545121"/>
      <w:bookmarkStart w:id="225" w:name="_Toc24547608"/>
      <w:bookmarkStart w:id="226" w:name="_Toc24545347"/>
      <w:bookmarkStart w:id="227" w:name="_Toc24551388"/>
      <w:bookmarkStart w:id="228" w:name="_Toc24554724"/>
      <w:bookmarkStart w:id="229" w:name="_Toc24556321"/>
      <w:bookmarkStart w:id="230" w:name="_Toc24712766"/>
      <w:bookmarkStart w:id="231" w:name="_Toc24717010"/>
      <w:bookmarkStart w:id="232" w:name="_Toc24721549"/>
      <w:bookmarkStart w:id="233" w:name="_Toc24722263"/>
      <w:bookmarkStart w:id="234" w:name="_Toc24728678"/>
      <w:bookmarkStart w:id="235" w:name="_Toc24731204"/>
      <w:r>
        <w:t>P</w:t>
      </w:r>
      <w:r w:rsidR="0042623B">
        <w:t>urpose of the retirement income system</w:t>
      </w:r>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14:paraId="39AF39DA" w14:textId="336B16D5" w:rsidR="00607EFD" w:rsidRDefault="003028AB" w:rsidP="0042623B">
      <w:pPr>
        <w:rPr>
          <w:szCs w:val="22"/>
        </w:rPr>
      </w:pPr>
      <w:r>
        <w:t xml:space="preserve">Australia’s retirement income system aims to allow older </w:t>
      </w:r>
      <w:r>
        <w:rPr>
          <w:szCs w:val="22"/>
        </w:rPr>
        <w:t xml:space="preserve">Australians </w:t>
      </w:r>
      <w:r>
        <w:t>to achieve</w:t>
      </w:r>
      <w:r>
        <w:rPr>
          <w:szCs w:val="22"/>
        </w:rPr>
        <w:t xml:space="preserve"> adequate income in retirement</w:t>
      </w:r>
      <w:r>
        <w:t>, in a way that is sustainable for current and future generations</w:t>
      </w:r>
      <w:r w:rsidR="006E57FD">
        <w:rPr>
          <w:szCs w:val="22"/>
        </w:rPr>
        <w:t xml:space="preserve">. </w:t>
      </w:r>
      <w:r w:rsidR="00834A97">
        <w:rPr>
          <w:szCs w:val="22"/>
        </w:rPr>
        <w:t>Although</w:t>
      </w:r>
      <w:r w:rsidR="003D5736">
        <w:rPr>
          <w:szCs w:val="22"/>
        </w:rPr>
        <w:t xml:space="preserve"> individuals often focus on </w:t>
      </w:r>
      <w:r w:rsidR="00920326">
        <w:rPr>
          <w:szCs w:val="22"/>
        </w:rPr>
        <w:t xml:space="preserve">accumulating assets </w:t>
      </w:r>
      <w:r w:rsidR="00144937">
        <w:rPr>
          <w:szCs w:val="22"/>
        </w:rPr>
        <w:t xml:space="preserve">for a </w:t>
      </w:r>
      <w:r w:rsidR="00607EFD">
        <w:rPr>
          <w:szCs w:val="22"/>
        </w:rPr>
        <w:t>retirement</w:t>
      </w:r>
      <w:r w:rsidR="00144937">
        <w:rPr>
          <w:szCs w:val="22"/>
        </w:rPr>
        <w:t xml:space="preserve"> ‘nest egg’</w:t>
      </w:r>
      <w:r w:rsidR="00607EFD">
        <w:rPr>
          <w:szCs w:val="22"/>
        </w:rPr>
        <w:t xml:space="preserve">, generating income to support consumption in retirement is the primary purpose of the system. </w:t>
      </w:r>
    </w:p>
    <w:p w14:paraId="3E425A5C" w14:textId="1CDA7A20" w:rsidR="0042623B" w:rsidRDefault="00607EFD" w:rsidP="0042623B">
      <w:pPr>
        <w:rPr>
          <w:szCs w:val="22"/>
        </w:rPr>
      </w:pPr>
      <w:r>
        <w:rPr>
          <w:szCs w:val="22"/>
        </w:rPr>
        <w:t xml:space="preserve">The retirement income system </w:t>
      </w:r>
      <w:r w:rsidR="006E57FD">
        <w:rPr>
          <w:szCs w:val="22"/>
        </w:rPr>
        <w:t xml:space="preserve">is not intended to boost private savings </w:t>
      </w:r>
      <w:r w:rsidR="00235222">
        <w:rPr>
          <w:szCs w:val="22"/>
        </w:rPr>
        <w:t>per se</w:t>
      </w:r>
      <w:r w:rsidR="006E57FD">
        <w:rPr>
          <w:szCs w:val="22"/>
        </w:rPr>
        <w:t xml:space="preserve">, </w:t>
      </w:r>
      <w:r w:rsidR="00DF36E4">
        <w:rPr>
          <w:szCs w:val="22"/>
        </w:rPr>
        <w:t xml:space="preserve">nor is it intended </w:t>
      </w:r>
      <w:r w:rsidR="006E57FD">
        <w:rPr>
          <w:szCs w:val="22"/>
        </w:rPr>
        <w:t>to be a</w:t>
      </w:r>
      <w:r w:rsidR="0042623B">
        <w:rPr>
          <w:szCs w:val="22"/>
        </w:rPr>
        <w:t xml:space="preserve"> source of savings for the purchase of large assets during a</w:t>
      </w:r>
      <w:r w:rsidR="00B65F71">
        <w:rPr>
          <w:szCs w:val="22"/>
        </w:rPr>
        <w:t>n individual</w:t>
      </w:r>
      <w:r w:rsidR="0042623B">
        <w:rPr>
          <w:szCs w:val="22"/>
        </w:rPr>
        <w:t>’s life (such as housing), or to assist with wealth accumulation in order to provide for inheritances. This is reflected in</w:t>
      </w:r>
      <w:r w:rsidR="003028AB">
        <w:rPr>
          <w:szCs w:val="22"/>
        </w:rPr>
        <w:t xml:space="preserve"> policy settings such as </w:t>
      </w:r>
      <w:r w:rsidR="0042623B">
        <w:rPr>
          <w:szCs w:val="22"/>
        </w:rPr>
        <w:t>the restricted access to superannuation before preservation age</w:t>
      </w:r>
      <w:r w:rsidR="00F931D4">
        <w:rPr>
          <w:szCs w:val="22"/>
        </w:rPr>
        <w:t>, minimum drawdown rules for superannuation</w:t>
      </w:r>
      <w:r w:rsidR="00E21B0C">
        <w:rPr>
          <w:szCs w:val="22"/>
        </w:rPr>
        <w:t>,</w:t>
      </w:r>
      <w:r w:rsidR="006A7968">
        <w:rPr>
          <w:szCs w:val="22"/>
        </w:rPr>
        <w:t xml:space="preserve"> and the means testing of the Age Pension</w:t>
      </w:r>
      <w:r w:rsidR="0042623B">
        <w:rPr>
          <w:szCs w:val="22"/>
        </w:rPr>
        <w:t xml:space="preserve">. </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0C6BC1" w14:paraId="1DFAFE9F" w14:textId="77777777" w:rsidTr="000C6BC1">
        <w:tc>
          <w:tcPr>
            <w:tcW w:w="5000" w:type="pct"/>
            <w:shd w:val="clear" w:color="auto" w:fill="EBEBEB"/>
          </w:tcPr>
          <w:p w14:paraId="48C20937" w14:textId="0BBFD32B" w:rsidR="000C6BC1" w:rsidRPr="004F3E81" w:rsidRDefault="000C6BC1" w:rsidP="000C6BC1">
            <w:pPr>
              <w:pStyle w:val="BoxHeading"/>
              <w:spacing w:before="141" w:after="70"/>
            </w:pPr>
            <w:r>
              <w:t xml:space="preserve">Consultation </w:t>
            </w:r>
            <w:r w:rsidR="00FA06B9">
              <w:t>q</w:t>
            </w:r>
            <w:r>
              <w:t>uestions</w:t>
            </w:r>
            <w:r w:rsidRPr="004F3E81">
              <w:t>:</w:t>
            </w:r>
          </w:p>
          <w:p w14:paraId="56E8612A" w14:textId="77777777" w:rsidR="000C6BC1" w:rsidRPr="0015207D" w:rsidRDefault="000C6BC1" w:rsidP="000C6BC1">
            <w:pPr>
              <w:pStyle w:val="BoxText"/>
              <w:spacing w:before="70" w:after="70"/>
              <w:rPr>
                <w:sz w:val="22"/>
              </w:rPr>
            </w:pPr>
            <w:bookmarkStart w:id="236" w:name="_Toc24550879"/>
            <w:bookmarkStart w:id="237" w:name="_Toc24728776"/>
            <w:r w:rsidRPr="000244A6">
              <w:t>Is</w:t>
            </w:r>
            <w:r w:rsidRPr="009A143F">
              <w:t xml:space="preserve"> the objective of the Australian retirement income system </w:t>
            </w:r>
            <w:r>
              <w:t xml:space="preserve">well </w:t>
            </w:r>
            <w:r w:rsidRPr="009A143F">
              <w:t>understood within the community?</w:t>
            </w:r>
            <w:r>
              <w:t xml:space="preserve"> What evidence is there to support this?</w:t>
            </w:r>
            <w:bookmarkEnd w:id="236"/>
            <w:bookmarkEnd w:id="237"/>
          </w:p>
          <w:p w14:paraId="25F4089C" w14:textId="2BE46E76" w:rsidR="000C6BC1" w:rsidRDefault="000C6BC1" w:rsidP="000C6BC1">
            <w:pPr>
              <w:pStyle w:val="BoxText"/>
              <w:spacing w:before="70" w:after="70"/>
            </w:pPr>
            <w:bookmarkStart w:id="238" w:name="_Toc24550880"/>
            <w:bookmarkStart w:id="239" w:name="_Toc24728777"/>
            <w:r>
              <w:t>In w</w:t>
            </w:r>
            <w:r w:rsidRPr="000244A6">
              <w:t>hat</w:t>
            </w:r>
            <w:r w:rsidRPr="009A143F">
              <w:t xml:space="preserve"> areas of the retirement income system </w:t>
            </w:r>
            <w:r>
              <w:t>is</w:t>
            </w:r>
            <w:r w:rsidRPr="009A143F">
              <w:t xml:space="preserve"> there </w:t>
            </w:r>
            <w:r>
              <w:t>a</w:t>
            </w:r>
            <w:r w:rsidRPr="009A143F">
              <w:t xml:space="preserve"> need to improve understandin</w:t>
            </w:r>
            <w:r w:rsidRPr="00991725">
              <w:t>g of its operation?</w:t>
            </w:r>
            <w:bookmarkEnd w:id="238"/>
            <w:bookmarkEnd w:id="239"/>
          </w:p>
        </w:tc>
      </w:tr>
    </w:tbl>
    <w:p w14:paraId="7FF8C3B3" w14:textId="43C5AA86" w:rsidR="0042623B" w:rsidRDefault="0042623B" w:rsidP="0016052A">
      <w:pPr>
        <w:pStyle w:val="Heading2"/>
      </w:pPr>
      <w:bookmarkStart w:id="240" w:name="_Toc23515085"/>
      <w:bookmarkStart w:id="241" w:name="_Toc23515499"/>
      <w:bookmarkStart w:id="242" w:name="_Toc23521046"/>
      <w:bookmarkStart w:id="243" w:name="_Toc24545122"/>
      <w:bookmarkStart w:id="244" w:name="_Toc24545348"/>
      <w:bookmarkStart w:id="245" w:name="_Toc24547609"/>
      <w:bookmarkStart w:id="246" w:name="_Toc24551389"/>
      <w:bookmarkStart w:id="247" w:name="_Toc24554725"/>
      <w:bookmarkStart w:id="248" w:name="_Toc24556322"/>
      <w:bookmarkStart w:id="249" w:name="_Toc24712767"/>
      <w:bookmarkStart w:id="250" w:name="_Toc24717011"/>
      <w:bookmarkStart w:id="251" w:name="_Toc24721550"/>
      <w:bookmarkStart w:id="252" w:name="_Toc24722264"/>
      <w:bookmarkStart w:id="253" w:name="_Toc24728679"/>
      <w:bookmarkStart w:id="254" w:name="_Toc24731205"/>
      <w:r>
        <w:t>Role of the pillars</w:t>
      </w:r>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14:paraId="13393492" w14:textId="2AAE7A6D" w:rsidR="007F0465" w:rsidRDefault="007F0465" w:rsidP="007F0465">
      <w:r>
        <w:t xml:space="preserve">The Review has been tasked with identifying the role of each of the pillars </w:t>
      </w:r>
      <w:r w:rsidR="00FE4570">
        <w:t>of</w:t>
      </w:r>
      <w:r>
        <w:t xml:space="preserve"> the retirement income system. There is no legislated objective for any of the pillars, and community expectations regarding their role have changed over time as the system has developed.</w:t>
      </w:r>
      <w:r w:rsidR="007F2BDC">
        <w:t xml:space="preserve"> Debate on the outcomes each pillar should seek to deliver</w:t>
      </w:r>
      <w:r w:rsidR="002F7A45">
        <w:t>, and the appropriate balance between the pillars</w:t>
      </w:r>
      <w:r w:rsidR="007E0BAD">
        <w:t>,</w:t>
      </w:r>
      <w:r w:rsidR="007F2BDC">
        <w:t xml:space="preserve"> is ongoing.</w:t>
      </w:r>
      <w:r>
        <w:t xml:space="preserve"> </w:t>
      </w:r>
    </w:p>
    <w:p w14:paraId="4DB29704" w14:textId="2447F45C" w:rsidR="00D53BF0" w:rsidRPr="00BF0EBD" w:rsidRDefault="00FE4570" w:rsidP="007F0465">
      <w:r>
        <w:t xml:space="preserve">The </w:t>
      </w:r>
      <w:r w:rsidR="00D53BF0">
        <w:t>Government, private sector institutions</w:t>
      </w:r>
      <w:r w:rsidR="00FA06B9">
        <w:t>,</w:t>
      </w:r>
      <w:r w:rsidR="00D53BF0">
        <w:t xml:space="preserve"> and individuals </w:t>
      </w:r>
      <w:r w:rsidR="000350C6">
        <w:t>have shared responsibility</w:t>
      </w:r>
      <w:r w:rsidR="00D53BF0">
        <w:t xml:space="preserve"> </w:t>
      </w:r>
      <w:r w:rsidR="000350C6">
        <w:t>in delivering</w:t>
      </w:r>
      <w:r w:rsidR="00D53BF0">
        <w:t xml:space="preserve"> retirement outcomes.</w:t>
      </w:r>
      <w:r w:rsidR="00BF7D44">
        <w:t xml:space="preserve"> </w:t>
      </w:r>
      <w:r>
        <w:t xml:space="preserve">The </w:t>
      </w:r>
      <w:r w:rsidR="00BF7D44">
        <w:t xml:space="preserve">Government </w:t>
      </w:r>
      <w:r>
        <w:t>is</w:t>
      </w:r>
      <w:r w:rsidR="00200928">
        <w:t xml:space="preserve"> responsible for designing a system that </w:t>
      </w:r>
      <w:r w:rsidR="000F61D4">
        <w:t>generates the right</w:t>
      </w:r>
      <w:r w:rsidR="00BF7D44">
        <w:t xml:space="preserve"> incentives</w:t>
      </w:r>
      <w:r w:rsidR="008832B2">
        <w:t xml:space="preserve">, contains appropriate default settings that still allow for </w:t>
      </w:r>
      <w:r w:rsidR="007F37CD">
        <w:t>choice</w:t>
      </w:r>
      <w:r w:rsidR="008832B2">
        <w:t>,</w:t>
      </w:r>
      <w:r w:rsidR="00BF7D44">
        <w:t xml:space="preserve"> and</w:t>
      </w:r>
      <w:r w:rsidR="000F61D4">
        <w:t xml:space="preserve"> </w:t>
      </w:r>
      <w:r w:rsidR="008832B2">
        <w:t>provides</w:t>
      </w:r>
      <w:r w:rsidR="00BF7D44">
        <w:t xml:space="preserve"> a safety net; </w:t>
      </w:r>
      <w:r w:rsidR="000F61D4">
        <w:t xml:space="preserve">the </w:t>
      </w:r>
      <w:r w:rsidR="00BF7D44">
        <w:t>private sector (</w:t>
      </w:r>
      <w:r>
        <w:t xml:space="preserve">superannuation </w:t>
      </w:r>
      <w:r w:rsidR="00BF7D44">
        <w:t>funds and financial advis</w:t>
      </w:r>
      <w:r w:rsidR="00FA06B9">
        <w:t>e</w:t>
      </w:r>
      <w:r w:rsidR="00BF7D44">
        <w:t xml:space="preserve">rs) </w:t>
      </w:r>
      <w:r>
        <w:t>is</w:t>
      </w:r>
      <w:r w:rsidR="007E0BAD">
        <w:t xml:space="preserve"> </w:t>
      </w:r>
      <w:r w:rsidR="000350C6">
        <w:t>responsibl</w:t>
      </w:r>
      <w:r w:rsidR="007E0BAD">
        <w:t>e</w:t>
      </w:r>
      <w:r w:rsidR="000F61D4">
        <w:t xml:space="preserve"> for ensuring</w:t>
      </w:r>
      <w:r w:rsidR="00BF7D44">
        <w:t xml:space="preserve"> individuals get </w:t>
      </w:r>
      <w:r w:rsidR="000F61D4">
        <w:t xml:space="preserve">the </w:t>
      </w:r>
      <w:r w:rsidR="00BF7D44">
        <w:t>best outcomes from their savings</w:t>
      </w:r>
      <w:r w:rsidR="000F61D4">
        <w:t>; and</w:t>
      </w:r>
      <w:r w:rsidR="00BF7D44">
        <w:t xml:space="preserve"> individuals </w:t>
      </w:r>
      <w:r w:rsidR="006A7968">
        <w:t>are ultimately responsible for</w:t>
      </w:r>
      <w:r w:rsidR="000F61D4">
        <w:t xml:space="preserve"> manag</w:t>
      </w:r>
      <w:r w:rsidR="006A7968">
        <w:t>ing</w:t>
      </w:r>
      <w:r w:rsidR="00BF7D44">
        <w:t xml:space="preserve"> their </w:t>
      </w:r>
      <w:r w:rsidR="00FA06B9">
        <w:t xml:space="preserve">financial </w:t>
      </w:r>
      <w:r w:rsidR="00BF7D44">
        <w:t>affairs</w:t>
      </w:r>
      <w:r w:rsidR="00E6226E">
        <w:t xml:space="preserve"> to deliver the</w:t>
      </w:r>
      <w:r w:rsidR="000350C6">
        <w:t>ir</w:t>
      </w:r>
      <w:r w:rsidR="00E6226E">
        <w:t xml:space="preserve"> desired outcomes</w:t>
      </w:r>
      <w:r w:rsidR="000350C6">
        <w:t xml:space="preserve"> in retirement, including through voluntary saving</w:t>
      </w:r>
      <w:r w:rsidR="000F61D4">
        <w:t>.</w:t>
      </w:r>
    </w:p>
    <w:p w14:paraId="14A26F00" w14:textId="77777777" w:rsidR="007F0465" w:rsidRDefault="007F0465" w:rsidP="0016052A">
      <w:pPr>
        <w:pStyle w:val="Heading3"/>
      </w:pPr>
      <w:r>
        <w:t xml:space="preserve">The Age </w:t>
      </w:r>
      <w:r w:rsidRPr="0042623B">
        <w:t>Pension</w:t>
      </w:r>
    </w:p>
    <w:p w14:paraId="3689220D" w14:textId="344407AB" w:rsidR="007F0465" w:rsidRDefault="007F0465" w:rsidP="007F0465">
      <w:r>
        <w:t xml:space="preserve">When it was first introduced, the Age Pension was </w:t>
      </w:r>
      <w:r w:rsidR="000350C6">
        <w:t>viewed</w:t>
      </w:r>
      <w:r>
        <w:t xml:space="preserve"> as a poverty alleviation measure for older Australians. </w:t>
      </w:r>
      <w:r w:rsidR="000350C6">
        <w:t>The Age Pension continues to be means tested to serve as a safety</w:t>
      </w:r>
      <w:r w:rsidR="00FA06B9">
        <w:t xml:space="preserve"> </w:t>
      </w:r>
      <w:r w:rsidR="000350C6">
        <w:t>net</w:t>
      </w:r>
      <w:r w:rsidR="00FE4570">
        <w:t>;</w:t>
      </w:r>
      <w:r w:rsidR="000350C6">
        <w:t xml:space="preserve"> however</w:t>
      </w:r>
      <w:r w:rsidR="00FA06B9">
        <w:t>,</w:t>
      </w:r>
      <w:r w:rsidR="000350C6">
        <w:t xml:space="preserve"> </w:t>
      </w:r>
      <w:r w:rsidR="00FA06B9">
        <w:t xml:space="preserve">the settings have </w:t>
      </w:r>
      <w:r w:rsidR="000350C6">
        <w:t>change</w:t>
      </w:r>
      <w:r w:rsidR="00FA06B9">
        <w:t xml:space="preserve">d </w:t>
      </w:r>
      <w:r w:rsidR="000350C6">
        <w:t>over time to reflect considerations around adequacy, fairness</w:t>
      </w:r>
      <w:r w:rsidR="00FE4570">
        <w:t>,</w:t>
      </w:r>
      <w:r w:rsidR="000350C6">
        <w:t xml:space="preserve"> and sustainability. </w:t>
      </w:r>
      <w:r>
        <w:t>The Pension Review Report</w:t>
      </w:r>
      <w:r w:rsidR="006F7AEF">
        <w:t xml:space="preserve"> (Harmer</w:t>
      </w:r>
      <w:r>
        <w:t xml:space="preserve"> 2009</w:t>
      </w:r>
      <w:r w:rsidR="006F7AEF">
        <w:t xml:space="preserve">, p. </w:t>
      </w:r>
      <w:r w:rsidR="00F404C7">
        <w:t>8</w:t>
      </w:r>
      <w:r w:rsidR="006F7AEF">
        <w:t>)</w:t>
      </w:r>
      <w:r>
        <w:t xml:space="preserve"> </w:t>
      </w:r>
      <w:r w:rsidR="009D2D18">
        <w:t>considered that</w:t>
      </w:r>
      <w:r>
        <w:t xml:space="preserve"> </w:t>
      </w:r>
      <w:r w:rsidR="009D2D18">
        <w:t>the Age Pension, should</w:t>
      </w:r>
      <w:r>
        <w:t xml:space="preserve"> provide a ‘basic acceptable standard of living, accounting for prevailing community standards’. </w:t>
      </w:r>
      <w:r w:rsidR="0044041C">
        <w:t>Following this review, t</w:t>
      </w:r>
      <w:r>
        <w:t xml:space="preserve">he rate of the Age Pension was lifted and its indexation arrangements </w:t>
      </w:r>
      <w:r w:rsidR="0044041C">
        <w:t>were</w:t>
      </w:r>
      <w:r>
        <w:t xml:space="preserve"> altered</w:t>
      </w:r>
      <w:r w:rsidR="0044041C">
        <w:t xml:space="preserve"> </w:t>
      </w:r>
      <w:r>
        <w:t xml:space="preserve">to better reflect </w:t>
      </w:r>
      <w:r w:rsidR="000350C6">
        <w:t>prevailing</w:t>
      </w:r>
      <w:r>
        <w:t xml:space="preserve"> community expectations. </w:t>
      </w:r>
    </w:p>
    <w:p w14:paraId="45EC1866" w14:textId="77777777" w:rsidR="007F0465" w:rsidRDefault="007F0465" w:rsidP="0016052A">
      <w:pPr>
        <w:pStyle w:val="Heading3"/>
      </w:pPr>
      <w:r>
        <w:t>Compulsory superannuation</w:t>
      </w:r>
    </w:p>
    <w:p w14:paraId="0D70EC6E" w14:textId="70E6D596" w:rsidR="007F0465" w:rsidRDefault="00756D88" w:rsidP="007F0465">
      <w:r>
        <w:t>One reason for the introduction of c</w:t>
      </w:r>
      <w:r w:rsidR="007F0465">
        <w:t xml:space="preserve">ompulsory superannuation </w:t>
      </w:r>
      <w:r w:rsidR="00AF0E8D">
        <w:t>was to counter concern</w:t>
      </w:r>
      <w:r w:rsidR="00717F42">
        <w:t>s</w:t>
      </w:r>
      <w:r w:rsidR="00AF0E8D" w:rsidRPr="17736CC9">
        <w:t xml:space="preserve"> </w:t>
      </w:r>
      <w:r w:rsidR="00DB52A6">
        <w:t xml:space="preserve">that people </w:t>
      </w:r>
      <w:r w:rsidR="0014404C">
        <w:t xml:space="preserve">do </w:t>
      </w:r>
      <w:r w:rsidR="00DB52A6">
        <w:t xml:space="preserve">not </w:t>
      </w:r>
      <w:r w:rsidR="006A7968">
        <w:t xml:space="preserve">voluntarily </w:t>
      </w:r>
      <w:r w:rsidR="00DB52A6">
        <w:t xml:space="preserve">save </w:t>
      </w:r>
      <w:r w:rsidR="006A7968">
        <w:t>enough</w:t>
      </w:r>
      <w:r w:rsidR="00DB52A6">
        <w:t xml:space="preserve"> for </w:t>
      </w:r>
      <w:r w:rsidR="00EF6C26">
        <w:t xml:space="preserve">their </w:t>
      </w:r>
      <w:r w:rsidR="00DB52A6">
        <w:t>retirement</w:t>
      </w:r>
      <w:r w:rsidR="007F0465" w:rsidRPr="17736CC9">
        <w:t>.</w:t>
      </w:r>
      <w:r w:rsidR="00AF0E8D" w:rsidRPr="17736CC9">
        <w:t xml:space="preserve"> </w:t>
      </w:r>
      <w:r w:rsidR="00AF0E8D">
        <w:t xml:space="preserve">Compulsory superannuation enables employees to achieve a </w:t>
      </w:r>
      <w:r w:rsidR="004D2826">
        <w:t xml:space="preserve">higher </w:t>
      </w:r>
      <w:r w:rsidR="00AF0E8D">
        <w:t>level of retireme</w:t>
      </w:r>
      <w:r w:rsidR="00F8390E">
        <w:t xml:space="preserve">nt income </w:t>
      </w:r>
      <w:r w:rsidR="00EB57AD">
        <w:t xml:space="preserve">compared with relying solely on </w:t>
      </w:r>
      <w:r w:rsidR="00F8390E">
        <w:t xml:space="preserve">the Age </w:t>
      </w:r>
      <w:r w:rsidR="002B725F">
        <w:t>Pension</w:t>
      </w:r>
      <w:r w:rsidR="00AF0E8D" w:rsidRPr="17736CC9">
        <w:t>.</w:t>
      </w:r>
      <w:r w:rsidR="007F0465">
        <w:t xml:space="preserve"> When first introduced, </w:t>
      </w:r>
      <w:r w:rsidR="00AF0E8D">
        <w:t>compulsory superannuation</w:t>
      </w:r>
      <w:r w:rsidR="007F0465">
        <w:t xml:space="preserve"> was also seen as a</w:t>
      </w:r>
      <w:r w:rsidR="0014404C">
        <w:t>n important</w:t>
      </w:r>
      <w:r w:rsidR="007F0465">
        <w:t xml:space="preserve"> mechanism for </w:t>
      </w:r>
      <w:r w:rsidR="007F0465">
        <w:lastRenderedPageBreak/>
        <w:t>i</w:t>
      </w:r>
      <w:r w:rsidR="007F0465" w:rsidRPr="00C35518">
        <w:t>ncreasing national savings</w:t>
      </w:r>
      <w:r w:rsidR="00CF1702" w:rsidRPr="17736CC9">
        <w:t xml:space="preserve"> </w:t>
      </w:r>
      <w:r w:rsidR="00541120">
        <w:t>and</w:t>
      </w:r>
      <w:r w:rsidR="009D2D18">
        <w:t xml:space="preserve"> improving</w:t>
      </w:r>
      <w:r w:rsidR="00541120">
        <w:t xml:space="preserve"> </w:t>
      </w:r>
      <w:r w:rsidR="00474E7A">
        <w:t>the flexibility</w:t>
      </w:r>
      <w:r w:rsidR="0066700B">
        <w:t xml:space="preserve"> of</w:t>
      </w:r>
      <w:r w:rsidR="00F5618E">
        <w:t xml:space="preserve"> future</w:t>
      </w:r>
      <w:r w:rsidR="00474E7A">
        <w:t xml:space="preserve"> </w:t>
      </w:r>
      <w:r w:rsidR="00B821E7">
        <w:t>g</w:t>
      </w:r>
      <w:r w:rsidR="00474E7A">
        <w:t xml:space="preserve">overnment </w:t>
      </w:r>
      <w:r w:rsidR="00B821E7">
        <w:t>b</w:t>
      </w:r>
      <w:r w:rsidR="00474E7A">
        <w:t>udget</w:t>
      </w:r>
      <w:r w:rsidR="00B821E7">
        <w:t>s</w:t>
      </w:r>
      <w:r w:rsidR="00541120">
        <w:t xml:space="preserve"> </w:t>
      </w:r>
      <w:r w:rsidR="00B821E7">
        <w:t>in the face of</w:t>
      </w:r>
      <w:r w:rsidR="00541120">
        <w:t xml:space="preserve"> an ageing population</w:t>
      </w:r>
      <w:r w:rsidR="00B27BEC">
        <w:t xml:space="preserve"> </w:t>
      </w:r>
      <w:r w:rsidR="00CF1702" w:rsidRPr="17736CC9">
        <w:t>(</w:t>
      </w:r>
      <w:r w:rsidR="004D2826">
        <w:t>Dawkins</w:t>
      </w:r>
      <w:r w:rsidR="00CF1702" w:rsidRPr="00167708">
        <w:t xml:space="preserve"> 1992</w:t>
      </w:r>
      <w:r w:rsidR="00CF1702" w:rsidRPr="17736CC9">
        <w:t>)</w:t>
      </w:r>
      <w:r w:rsidR="00541120">
        <w:t>.</w:t>
      </w:r>
      <w:r w:rsidR="007F0465" w:rsidRPr="17736CC9">
        <w:t xml:space="preserve"> </w:t>
      </w:r>
    </w:p>
    <w:p w14:paraId="402AF69A" w14:textId="79E6C2F4" w:rsidR="007F0465" w:rsidRPr="00A60448" w:rsidRDefault="007F0465" w:rsidP="007F0465">
      <w:r>
        <w:t>In 2016, attempts</w:t>
      </w:r>
      <w:r w:rsidR="009D2D18">
        <w:t xml:space="preserve"> by the Government</w:t>
      </w:r>
      <w:r>
        <w:t xml:space="preserve"> to legislate </w:t>
      </w:r>
      <w:r w:rsidR="00EB57AD">
        <w:t xml:space="preserve">that the </w:t>
      </w:r>
      <w:r>
        <w:t>objective</w:t>
      </w:r>
      <w:r w:rsidRPr="379258EF">
        <w:t xml:space="preserve"> </w:t>
      </w:r>
      <w:r w:rsidR="009D2D18">
        <w:t>of the</w:t>
      </w:r>
      <w:r w:rsidR="00EB57AD">
        <w:t xml:space="preserve"> </w:t>
      </w:r>
      <w:r>
        <w:t>superannuation</w:t>
      </w:r>
      <w:r w:rsidR="009D2D18">
        <w:t xml:space="preserve"> system</w:t>
      </w:r>
      <w:r>
        <w:t xml:space="preserve"> </w:t>
      </w:r>
      <w:r w:rsidR="00EB57AD">
        <w:t>is</w:t>
      </w:r>
      <w:r w:rsidRPr="379258EF">
        <w:t xml:space="preserve"> </w:t>
      </w:r>
      <w:r w:rsidR="005134A2">
        <w:t>‘</w:t>
      </w:r>
      <w:r w:rsidRPr="0072687D">
        <w:t xml:space="preserve">to provide income in retirement to substitute or supplement the </w:t>
      </w:r>
      <w:r>
        <w:t>Age P</w:t>
      </w:r>
      <w:r w:rsidRPr="0072687D">
        <w:t>ension</w:t>
      </w:r>
      <w:r w:rsidR="007A18AA">
        <w:t>’</w:t>
      </w:r>
      <w:r>
        <w:t xml:space="preserve"> prompted further debate on what level of financial support </w:t>
      </w:r>
      <w:r w:rsidR="005134A2">
        <w:t xml:space="preserve">the </w:t>
      </w:r>
      <w:r>
        <w:t>superannuation</w:t>
      </w:r>
      <w:r w:rsidR="005134A2">
        <w:t xml:space="preserve"> system</w:t>
      </w:r>
      <w:r>
        <w:t xml:space="preserve"> should aspire to provide</w:t>
      </w:r>
      <w:r w:rsidR="005134A2">
        <w:t xml:space="preserve"> to individuals</w:t>
      </w:r>
      <w:r w:rsidR="00F36CB5">
        <w:t>.</w:t>
      </w:r>
      <w:r w:rsidR="009D0B36" w:rsidRPr="002E51F2">
        <w:rPr>
          <w:rStyle w:val="FootnoteReference"/>
          <w:vertAlign w:val="superscript"/>
        </w:rPr>
        <w:footnoteReference w:id="5"/>
      </w:r>
      <w:r w:rsidRPr="002E51F2">
        <w:rPr>
          <w:vertAlign w:val="superscript"/>
        </w:rPr>
        <w:t xml:space="preserve"> </w:t>
      </w:r>
      <w:r>
        <w:t>A range of alternat</w:t>
      </w:r>
      <w:r w:rsidR="005134A2">
        <w:t>e</w:t>
      </w:r>
      <w:r>
        <w:t xml:space="preserve"> </w:t>
      </w:r>
      <w:r w:rsidR="005134A2">
        <w:t>objectives</w:t>
      </w:r>
      <w:r>
        <w:t xml:space="preserve"> were put forward, including that superannuation should seek to deliver a ‘comfortable’ or ‘dignified’ standard of living or ‘adequate’ income in retirement</w:t>
      </w:r>
      <w:r w:rsidR="00A740B6">
        <w:t xml:space="preserve"> (Parliament of Australia </w:t>
      </w:r>
      <w:r w:rsidR="00052A81">
        <w:t>2017</w:t>
      </w:r>
      <w:r w:rsidR="00A740B6" w:rsidRPr="379258EF">
        <w:t>)</w:t>
      </w:r>
      <w:r w:rsidRPr="379258EF">
        <w:t>.</w:t>
      </w:r>
    </w:p>
    <w:p w14:paraId="4B434617" w14:textId="1C23B40D" w:rsidR="007F0465" w:rsidRDefault="007F0465" w:rsidP="0016052A">
      <w:pPr>
        <w:pStyle w:val="Heading3"/>
      </w:pPr>
      <w:r>
        <w:t xml:space="preserve">Voluntary </w:t>
      </w:r>
      <w:r w:rsidR="00326CFA">
        <w:t>s</w:t>
      </w:r>
      <w:r>
        <w:t>avings</w:t>
      </w:r>
    </w:p>
    <w:p w14:paraId="3E978EDD" w14:textId="7580D3CC" w:rsidR="00F64E5C" w:rsidRDefault="00100BC6" w:rsidP="007F0465">
      <w:r>
        <w:t>The appropriate role of voluntary savings</w:t>
      </w:r>
      <w:r w:rsidR="00111621">
        <w:t xml:space="preserve"> (inside or outside </w:t>
      </w:r>
      <w:r w:rsidR="005134A2">
        <w:t xml:space="preserve">of the </w:t>
      </w:r>
      <w:r w:rsidR="00111621">
        <w:t>superannuation</w:t>
      </w:r>
      <w:r w:rsidR="005134A2">
        <w:t xml:space="preserve"> system</w:t>
      </w:r>
      <w:r w:rsidR="00111621">
        <w:t>)</w:t>
      </w:r>
      <w:r>
        <w:t xml:space="preserve"> within the broader retirement income system has never been </w:t>
      </w:r>
      <w:r w:rsidR="00B0048A">
        <w:t>settled</w:t>
      </w:r>
      <w:r>
        <w:t xml:space="preserve">. </w:t>
      </w:r>
    </w:p>
    <w:p w14:paraId="7584E744" w14:textId="6452CA41" w:rsidR="00B537C7" w:rsidRDefault="00B537C7" w:rsidP="007F0465">
      <w:r>
        <w:t xml:space="preserve">The family home is an important voluntary savings vehicle for </w:t>
      </w:r>
      <w:r w:rsidR="005134A2">
        <w:t>the majority of</w:t>
      </w:r>
      <w:r>
        <w:t xml:space="preserve"> Australians as it materially reduces expenses in retirement and as a result improves standards of living</w:t>
      </w:r>
      <w:r w:rsidR="00EB57AD">
        <w:t xml:space="preserve"> in retirement</w:t>
      </w:r>
      <w:r>
        <w:t xml:space="preserve">. </w:t>
      </w:r>
      <w:r w:rsidR="00247AB3">
        <w:t xml:space="preserve">Voluntary savings </w:t>
      </w:r>
      <w:r w:rsidR="00C83255">
        <w:t>are</w:t>
      </w:r>
      <w:r>
        <w:t xml:space="preserve"> also</w:t>
      </w:r>
      <w:r w:rsidR="00C83255">
        <w:t xml:space="preserve"> crucial </w:t>
      </w:r>
      <w:r w:rsidR="00191AA3">
        <w:t>to the retirement incomes of</w:t>
      </w:r>
      <w:r w:rsidR="00247AB3">
        <w:t xml:space="preserve"> those</w:t>
      </w:r>
      <w:r w:rsidR="00191AA3">
        <w:t xml:space="preserve"> individuals</w:t>
      </w:r>
      <w:r w:rsidR="00247AB3">
        <w:t xml:space="preserve"> not covered by compulsory superannuation, such as sole </w:t>
      </w:r>
      <w:r w:rsidR="00C92AC5">
        <w:t>trade</w:t>
      </w:r>
      <w:r w:rsidR="00247AB3">
        <w:t>rs and small business owners</w:t>
      </w:r>
      <w:r>
        <w:t xml:space="preserve"> who may consider their business assets to be an investment for their retirement</w:t>
      </w:r>
      <w:r w:rsidR="00247AB3">
        <w:t>.</w:t>
      </w:r>
      <w:r w:rsidR="00C83255">
        <w:t xml:space="preserve"> </w:t>
      </w:r>
    </w:p>
    <w:p w14:paraId="61F057E0" w14:textId="20CD16A0" w:rsidR="00F52433" w:rsidRDefault="00B9658C" w:rsidP="007F0465">
      <w:r>
        <w:t>More broadly, v</w:t>
      </w:r>
      <w:r w:rsidR="00966319">
        <w:t>oluntary savings allow i</w:t>
      </w:r>
      <w:r w:rsidR="007F0465">
        <w:t xml:space="preserve">ndividuals </w:t>
      </w:r>
      <w:r w:rsidR="00966319">
        <w:t xml:space="preserve">to </w:t>
      </w:r>
      <w:r w:rsidR="007F0465">
        <w:t xml:space="preserve">choose how much </w:t>
      </w:r>
      <w:r w:rsidR="007F0465" w:rsidRPr="006808D5">
        <w:t>they save</w:t>
      </w:r>
      <w:r w:rsidR="00191AA3">
        <w:t xml:space="preserve"> for their retirement</w:t>
      </w:r>
      <w:r w:rsidR="007F0465" w:rsidRPr="006808D5">
        <w:t>, and the investment vehicle in which they save</w:t>
      </w:r>
      <w:r w:rsidR="00B537C7">
        <w:t xml:space="preserve">, providing an opportunity for Australians to </w:t>
      </w:r>
      <w:r w:rsidR="00E32AD4">
        <w:t>tailor their retirement income plans</w:t>
      </w:r>
      <w:r w:rsidR="00094A04">
        <w:t xml:space="preserve"> to suit their goals</w:t>
      </w:r>
      <w:r w:rsidR="00191AA3">
        <w:t xml:space="preserve"> and preferences</w:t>
      </w:r>
      <w:r w:rsidR="00B537C7">
        <w:t>.</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0C6BC1" w14:paraId="5BC2BDE3" w14:textId="77777777" w:rsidTr="000C6BC1">
        <w:tc>
          <w:tcPr>
            <w:tcW w:w="5000" w:type="pct"/>
            <w:shd w:val="clear" w:color="auto" w:fill="EBEBEB"/>
          </w:tcPr>
          <w:p w14:paraId="5ADD72BB" w14:textId="24B435AF" w:rsidR="000C6BC1" w:rsidRPr="004F3E81" w:rsidRDefault="000C6BC1" w:rsidP="000C6BC1">
            <w:pPr>
              <w:pStyle w:val="BoxHeading"/>
              <w:spacing w:before="141" w:after="70"/>
            </w:pPr>
            <w:r>
              <w:t xml:space="preserve">Consultation </w:t>
            </w:r>
            <w:r w:rsidR="00191AA3">
              <w:t>q</w:t>
            </w:r>
            <w:r>
              <w:t>uestions</w:t>
            </w:r>
            <w:r w:rsidRPr="004F3E81">
              <w:t>:</w:t>
            </w:r>
          </w:p>
          <w:p w14:paraId="3B785120" w14:textId="2710164A" w:rsidR="00C742C6" w:rsidRDefault="00C742C6" w:rsidP="000C6BC1">
            <w:pPr>
              <w:pStyle w:val="BoxText"/>
              <w:spacing w:before="70" w:after="70"/>
            </w:pPr>
            <w:bookmarkStart w:id="255" w:name="_Toc24550881"/>
            <w:bookmarkStart w:id="256" w:name="_Toc24728778"/>
            <w:r>
              <w:t xml:space="preserve">What are the respective roles of </w:t>
            </w:r>
            <w:r w:rsidR="00191AA3">
              <w:t>the Government, the private sector</w:t>
            </w:r>
            <w:r w:rsidR="000459EA">
              <w:t>,</w:t>
            </w:r>
            <w:r>
              <w:t xml:space="preserve"> and individuals in </w:t>
            </w:r>
            <w:r w:rsidR="00191AA3">
              <w:t>enabling</w:t>
            </w:r>
            <w:r>
              <w:t xml:space="preserve"> older Australians to achieve adequate retirement incomes?</w:t>
            </w:r>
            <w:bookmarkEnd w:id="255"/>
            <w:bookmarkEnd w:id="256"/>
          </w:p>
          <w:p w14:paraId="7C8752E9" w14:textId="151FC9ED" w:rsidR="000C6BC1" w:rsidRDefault="000C6BC1" w:rsidP="000C6BC1">
            <w:pPr>
              <w:pStyle w:val="BoxText"/>
              <w:spacing w:before="70" w:after="70"/>
            </w:pPr>
            <w:bookmarkStart w:id="257" w:name="_Toc24550882"/>
            <w:bookmarkStart w:id="258" w:name="_Toc24728779"/>
            <w:r w:rsidRPr="004F3E81">
              <w:t xml:space="preserve">The </w:t>
            </w:r>
            <w:r w:rsidR="00191AA3">
              <w:t>P</w:t>
            </w:r>
            <w:r w:rsidRPr="004F3E81">
              <w:t>anel has been asked to identify the role of each of the pillars in the retirement income system. In considering this question, what</w:t>
            </w:r>
            <w:r>
              <w:t xml:space="preserve"> should each pillar seek to deliver and for whom?</w:t>
            </w:r>
            <w:bookmarkEnd w:id="257"/>
            <w:bookmarkEnd w:id="258"/>
          </w:p>
          <w:p w14:paraId="4666406F" w14:textId="5F34836F" w:rsidR="000C6BC1" w:rsidRDefault="000C6BC1" w:rsidP="00401EA5">
            <w:pPr>
              <w:pStyle w:val="BoxText"/>
              <w:spacing w:before="70" w:after="70"/>
            </w:pPr>
            <w:bookmarkStart w:id="259" w:name="_Toc24550883"/>
            <w:bookmarkStart w:id="260" w:name="_Toc24728780"/>
            <w:r>
              <w:t>What</w:t>
            </w:r>
            <w:r w:rsidRPr="004F3E81">
              <w:t xml:space="preserve"> </w:t>
            </w:r>
            <w:r w:rsidR="00C742C6">
              <w:t xml:space="preserve">are </w:t>
            </w:r>
            <w:r w:rsidR="00752A95">
              <w:t xml:space="preserve">the </w:t>
            </w:r>
            <w:r w:rsidR="001E7DFB">
              <w:t>trade-offs between the pillars and how should</w:t>
            </w:r>
            <w:r w:rsidRPr="004F3E81">
              <w:t xml:space="preserve"> the appropriate balance between</w:t>
            </w:r>
            <w:r>
              <w:t xml:space="preserve"> the role of</w:t>
            </w:r>
            <w:r w:rsidRPr="004F3E81">
              <w:t xml:space="preserve"> each pillar </w:t>
            </w:r>
            <w:r w:rsidR="00752A95">
              <w:t>in</w:t>
            </w:r>
            <w:r w:rsidRPr="004F3E81">
              <w:t xml:space="preserve"> the system</w:t>
            </w:r>
            <w:r w:rsidR="001E7DFB">
              <w:t xml:space="preserve"> be determined</w:t>
            </w:r>
            <w:r w:rsidRPr="004F3E81">
              <w:t>?</w:t>
            </w:r>
            <w:bookmarkEnd w:id="259"/>
            <w:bookmarkEnd w:id="260"/>
          </w:p>
        </w:tc>
      </w:tr>
    </w:tbl>
    <w:p w14:paraId="101880F4" w14:textId="77777777" w:rsidR="000C6BC1" w:rsidRDefault="000C6BC1" w:rsidP="007F0465"/>
    <w:p w14:paraId="63A5FC9F" w14:textId="77777777" w:rsidR="007F0465" w:rsidRPr="00C24872" w:rsidRDefault="007F0465" w:rsidP="007F0465">
      <w:pPr>
        <w:pStyle w:val="Heading1"/>
      </w:pPr>
      <w:r>
        <w:br w:type="page"/>
      </w:r>
      <w:bookmarkStart w:id="261" w:name="_Toc22742363"/>
      <w:bookmarkStart w:id="262" w:name="_Toc22744320"/>
      <w:bookmarkStart w:id="263" w:name="_Toc22814028"/>
      <w:bookmarkStart w:id="264" w:name="_Toc22815459"/>
      <w:bookmarkStart w:id="265" w:name="_Toc22817195"/>
      <w:bookmarkStart w:id="266" w:name="_Toc22823075"/>
      <w:bookmarkStart w:id="267" w:name="_Toc22828887"/>
      <w:bookmarkStart w:id="268" w:name="_Toc22830442"/>
      <w:bookmarkStart w:id="269" w:name="_Toc22886960"/>
      <w:bookmarkStart w:id="270" w:name="_Toc22888739"/>
      <w:bookmarkStart w:id="271" w:name="_Toc22889657"/>
      <w:bookmarkStart w:id="272" w:name="_Toc22890022"/>
      <w:bookmarkStart w:id="273" w:name="_Toc22891290"/>
      <w:bookmarkStart w:id="274" w:name="_Toc22891488"/>
      <w:bookmarkStart w:id="275" w:name="_Toc22894265"/>
      <w:bookmarkStart w:id="276" w:name="_Toc23515086"/>
      <w:bookmarkStart w:id="277" w:name="_Toc23515500"/>
      <w:bookmarkStart w:id="278" w:name="_Toc23521047"/>
      <w:bookmarkStart w:id="279" w:name="_Toc24545123"/>
      <w:bookmarkStart w:id="280" w:name="_Toc24545349"/>
      <w:bookmarkStart w:id="281" w:name="_Toc24547610"/>
      <w:bookmarkStart w:id="282" w:name="_Toc24551390"/>
      <w:bookmarkStart w:id="283" w:name="_Toc24554726"/>
      <w:bookmarkStart w:id="284" w:name="_Toc24556323"/>
      <w:bookmarkStart w:id="285" w:name="_Toc24712768"/>
      <w:bookmarkStart w:id="286" w:name="_Toc24717012"/>
      <w:bookmarkStart w:id="287" w:name="_Toc24721551"/>
      <w:bookmarkStart w:id="288" w:name="_Toc24722265"/>
      <w:bookmarkStart w:id="289" w:name="_Toc24728680"/>
      <w:bookmarkStart w:id="290" w:name="_Toc24731206"/>
      <w:r>
        <w:lastRenderedPageBreak/>
        <w:t>The changing Australian landscape</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p>
    <w:p w14:paraId="71D94716" w14:textId="1C744D4A" w:rsidR="007F0465" w:rsidRDefault="007F0465" w:rsidP="007F0465">
      <w:r>
        <w:t>The retirement income system’s ability to support Australians in retirement over time is impacted by broader demographic, economic</w:t>
      </w:r>
      <w:r w:rsidR="00752A95">
        <w:t>,</w:t>
      </w:r>
      <w:r>
        <w:t xml:space="preserve"> and workforce trends. It is important to understand changes in the way Australians work and live to evaluate the system’s</w:t>
      </w:r>
      <w:r w:rsidR="00AA55EB">
        <w:t xml:space="preserve"> ability to deliver now and in</w:t>
      </w:r>
      <w:r>
        <w:t xml:space="preserve"> the future.</w:t>
      </w:r>
    </w:p>
    <w:p w14:paraId="37890357" w14:textId="77777777" w:rsidR="007F0465" w:rsidRDefault="007F0465" w:rsidP="006175A8">
      <w:pPr>
        <w:pStyle w:val="Heading2"/>
        <w:spacing w:before="240"/>
      </w:pPr>
      <w:bookmarkStart w:id="291" w:name="_Toc22742364"/>
      <w:bookmarkStart w:id="292" w:name="_Toc22744321"/>
      <w:bookmarkStart w:id="293" w:name="_Toc22814029"/>
      <w:bookmarkStart w:id="294" w:name="_Toc22815460"/>
      <w:bookmarkStart w:id="295" w:name="_Toc22823076"/>
      <w:bookmarkStart w:id="296" w:name="_Toc22828888"/>
      <w:bookmarkStart w:id="297" w:name="_Toc22830443"/>
      <w:bookmarkStart w:id="298" w:name="_Toc22886961"/>
      <w:bookmarkStart w:id="299" w:name="_Toc22888740"/>
      <w:bookmarkStart w:id="300" w:name="_Toc22889658"/>
      <w:bookmarkStart w:id="301" w:name="_Toc22890023"/>
      <w:bookmarkStart w:id="302" w:name="_Toc22891291"/>
      <w:bookmarkStart w:id="303" w:name="_Toc22891489"/>
      <w:bookmarkStart w:id="304" w:name="_Toc22894266"/>
      <w:bookmarkStart w:id="305" w:name="_Toc23515087"/>
      <w:bookmarkStart w:id="306" w:name="_Toc23515501"/>
      <w:bookmarkStart w:id="307" w:name="_Toc23521048"/>
      <w:bookmarkStart w:id="308" w:name="_Toc24545124"/>
      <w:bookmarkStart w:id="309" w:name="_Toc24545350"/>
      <w:bookmarkStart w:id="310" w:name="_Toc24547611"/>
      <w:bookmarkStart w:id="311" w:name="_Toc24551391"/>
      <w:bookmarkStart w:id="312" w:name="_Toc24554727"/>
      <w:bookmarkStart w:id="313" w:name="_Toc24556324"/>
      <w:bookmarkStart w:id="314" w:name="_Toc24712769"/>
      <w:bookmarkStart w:id="315" w:name="_Toc24717013"/>
      <w:bookmarkStart w:id="316" w:name="_Toc24721552"/>
      <w:bookmarkStart w:id="317" w:name="_Toc24722266"/>
      <w:bookmarkStart w:id="318" w:name="_Toc24728681"/>
      <w:bookmarkStart w:id="319" w:name="_Toc24731207"/>
      <w:r>
        <w:t>Maturity of the superannuation system</w:t>
      </w:r>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p>
    <w:p w14:paraId="1E51ED42" w14:textId="21088D49" w:rsidR="007F0465" w:rsidRDefault="007F0465" w:rsidP="007F0465">
      <w:r>
        <w:t xml:space="preserve">It has been nearly </w:t>
      </w:r>
      <w:r w:rsidR="00405341">
        <w:t>30</w:t>
      </w:r>
      <w:r>
        <w:t xml:space="preserve"> years since the introduction of compulsory superannuation</w:t>
      </w:r>
      <w:r w:rsidR="00B815AE">
        <w:t xml:space="preserve">. Since then, </w:t>
      </w:r>
      <w:r>
        <w:t xml:space="preserve">there has been significant growth in assets held by superannuation funds on behalf of their members. </w:t>
      </w:r>
      <w:r w:rsidR="00752A95">
        <w:t>Funds</w:t>
      </w:r>
      <w:r w:rsidRPr="0009569E">
        <w:t xml:space="preserve"> under management have grown from $229 billion in June 1995 to </w:t>
      </w:r>
      <w:r w:rsidR="00FE7571">
        <w:t xml:space="preserve">nearly </w:t>
      </w:r>
      <w:r w:rsidRPr="0009569E">
        <w:t>$2</w:t>
      </w:r>
      <w:r w:rsidR="00901180">
        <w:t>.</w:t>
      </w:r>
      <w:r w:rsidR="00FE7571">
        <w:t>9</w:t>
      </w:r>
      <w:r w:rsidRPr="0009569E">
        <w:t> </w:t>
      </w:r>
      <w:r w:rsidR="00901180">
        <w:t>tr</w:t>
      </w:r>
      <w:r>
        <w:t>illion</w:t>
      </w:r>
      <w:r w:rsidRPr="0009569E">
        <w:t xml:space="preserve"> in June</w:t>
      </w:r>
      <w:r w:rsidR="005A39F6">
        <w:t> </w:t>
      </w:r>
      <w:r w:rsidRPr="0009569E">
        <w:t>2019</w:t>
      </w:r>
      <w:r w:rsidR="002175F7" w:rsidRPr="0009569E">
        <w:t xml:space="preserve"> (APRA 20</w:t>
      </w:r>
      <w:r w:rsidR="00CE2DB5">
        <w:t>0</w:t>
      </w:r>
      <w:r w:rsidR="006910E0">
        <w:t>5</w:t>
      </w:r>
      <w:r w:rsidR="002175F7" w:rsidRPr="0009569E">
        <w:t>; APRA 2019)</w:t>
      </w:r>
      <w:r w:rsidRPr="0009569E">
        <w:t>.</w:t>
      </w:r>
      <w:r>
        <w:t xml:space="preserve"> This reflects growth </w:t>
      </w:r>
      <w:r w:rsidR="00752A95">
        <w:t>in</w:t>
      </w:r>
      <w:r>
        <w:t xml:space="preserve"> the number of superannuation account</w:t>
      </w:r>
      <w:r w:rsidR="00752A95">
        <w:t xml:space="preserve">s </w:t>
      </w:r>
      <w:r>
        <w:t xml:space="preserve">and </w:t>
      </w:r>
      <w:r w:rsidR="00752A95">
        <w:t xml:space="preserve">the </w:t>
      </w:r>
      <w:r>
        <w:t xml:space="preserve">size of superannuation balances, </w:t>
      </w:r>
      <w:r w:rsidR="00901180">
        <w:t>in part due to</w:t>
      </w:r>
      <w:r>
        <w:t xml:space="preserve"> increases in </w:t>
      </w:r>
      <w:r w:rsidR="0014324A">
        <w:t xml:space="preserve">the </w:t>
      </w:r>
      <w:r>
        <w:t xml:space="preserve">SG rate over time. </w:t>
      </w:r>
      <w:r w:rsidR="00542BFC">
        <w:t xml:space="preserve">It will not be until 2042 that workers will have experienced a SG rate of </w:t>
      </w:r>
      <w:r w:rsidR="00596E6A">
        <w:t>at least</w:t>
      </w:r>
      <w:r w:rsidR="00542BFC">
        <w:t xml:space="preserve"> </w:t>
      </w:r>
      <w:r w:rsidR="00752A95">
        <w:t>nine</w:t>
      </w:r>
      <w:r w:rsidR="00F0336A">
        <w:t> </w:t>
      </w:r>
      <w:r w:rsidR="00542BFC">
        <w:t>per cent for 40 years of their working lives.</w:t>
      </w:r>
      <w:r w:rsidR="007E7588">
        <w:t xml:space="preserve"> </w:t>
      </w:r>
      <w:r w:rsidR="008F1554">
        <w:t>O</w:t>
      </w:r>
      <w:r w:rsidR="008F1554" w:rsidRPr="008F1554">
        <w:t>ver coming decades</w:t>
      </w:r>
      <w:r w:rsidR="007E7588">
        <w:t>,</w:t>
      </w:r>
      <w:r w:rsidR="00542BFC">
        <w:t xml:space="preserve"> </w:t>
      </w:r>
      <w:r w:rsidR="007E7588">
        <w:t>t</w:t>
      </w:r>
      <w:r>
        <w:t>he volume of assets under management is expected to continue to increase as the system approaches maturity.</w:t>
      </w:r>
      <w:r w:rsidR="00BD5F5E">
        <w:t xml:space="preserve"> </w:t>
      </w:r>
    </w:p>
    <w:p w14:paraId="4807CFD9" w14:textId="77777777" w:rsidR="007F0465" w:rsidRDefault="007F0465" w:rsidP="006175A8">
      <w:pPr>
        <w:pStyle w:val="Heading2"/>
        <w:spacing w:before="240"/>
      </w:pPr>
      <w:bookmarkStart w:id="320" w:name="_Toc22886962"/>
      <w:bookmarkStart w:id="321" w:name="_Toc22888741"/>
      <w:bookmarkStart w:id="322" w:name="_Toc22889659"/>
      <w:bookmarkStart w:id="323" w:name="_Toc22890024"/>
      <w:bookmarkStart w:id="324" w:name="_Toc22891292"/>
      <w:bookmarkStart w:id="325" w:name="_Toc22891490"/>
      <w:bookmarkStart w:id="326" w:name="_Toc22894267"/>
      <w:bookmarkStart w:id="327" w:name="_Toc23515088"/>
      <w:bookmarkStart w:id="328" w:name="_Toc23515502"/>
      <w:bookmarkStart w:id="329" w:name="_Toc23521049"/>
      <w:bookmarkStart w:id="330" w:name="_Toc24545125"/>
      <w:bookmarkStart w:id="331" w:name="_Toc24545351"/>
      <w:bookmarkStart w:id="332" w:name="_Toc24547612"/>
      <w:bookmarkStart w:id="333" w:name="_Toc24551392"/>
      <w:bookmarkStart w:id="334" w:name="_Toc24554728"/>
      <w:bookmarkStart w:id="335" w:name="_Toc24556325"/>
      <w:bookmarkStart w:id="336" w:name="_Toc24712770"/>
      <w:bookmarkStart w:id="337" w:name="_Toc24717014"/>
      <w:bookmarkStart w:id="338" w:name="_Toc24721553"/>
      <w:bookmarkStart w:id="339" w:name="_Toc24722267"/>
      <w:bookmarkStart w:id="340" w:name="_Toc24728682"/>
      <w:bookmarkStart w:id="341" w:name="_Toc24731208"/>
      <w:bookmarkStart w:id="342" w:name="_Toc22742365"/>
      <w:bookmarkStart w:id="343" w:name="_Toc22744322"/>
      <w:bookmarkStart w:id="344" w:name="_Toc22814030"/>
      <w:bookmarkStart w:id="345" w:name="_Toc22815461"/>
      <w:bookmarkStart w:id="346" w:name="_Toc22823077"/>
      <w:bookmarkStart w:id="347" w:name="_Toc22828889"/>
      <w:bookmarkStart w:id="348" w:name="_Toc22830444"/>
      <w:r w:rsidRPr="00536174">
        <w:t>Home ownership</w:t>
      </w:r>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536174">
        <w:t xml:space="preserve"> </w:t>
      </w:r>
    </w:p>
    <w:p w14:paraId="6EBD8D9F" w14:textId="11CACE65" w:rsidR="007F0465" w:rsidRDefault="007F0465" w:rsidP="007F0465">
      <w:r>
        <w:t>Over the past 20 years, rates of home ownership have declined across all age groups.</w:t>
      </w:r>
      <w:r w:rsidRPr="00CE3B76">
        <w:rPr>
          <w:rStyle w:val="FootnoteReference"/>
        </w:rPr>
        <w:t xml:space="preserve"> </w:t>
      </w:r>
      <w:r>
        <w:t xml:space="preserve">For </w:t>
      </w:r>
      <w:r w:rsidR="00287F96">
        <w:t xml:space="preserve">households </w:t>
      </w:r>
      <w:r>
        <w:t>aged 35-44,</w:t>
      </w:r>
      <w:r w:rsidR="00901180">
        <w:t xml:space="preserve"> the</w:t>
      </w:r>
      <w:r w:rsidRPr="5BA82C08">
        <w:t xml:space="preserve"> </w:t>
      </w:r>
      <w:r w:rsidR="00B815AE">
        <w:t>home ownership</w:t>
      </w:r>
      <w:r w:rsidR="00901180">
        <w:t xml:space="preserve"> rate has fallen</w:t>
      </w:r>
      <w:r>
        <w:t xml:space="preserve"> from </w:t>
      </w:r>
      <w:r w:rsidR="00CA0806">
        <w:t xml:space="preserve">around </w:t>
      </w:r>
      <w:r>
        <w:t>7</w:t>
      </w:r>
      <w:r w:rsidR="00CA0806">
        <w:t>3</w:t>
      </w:r>
      <w:r>
        <w:t xml:space="preserve"> per cent in </w:t>
      </w:r>
      <w:r w:rsidR="00CA0806">
        <w:t>1995-96</w:t>
      </w:r>
      <w:r>
        <w:t xml:space="preserve"> to 6</w:t>
      </w:r>
      <w:r w:rsidR="00446DA8">
        <w:t>2</w:t>
      </w:r>
      <w:r w:rsidR="00B815AE" w:rsidRPr="5BA82C08">
        <w:t> </w:t>
      </w:r>
      <w:r>
        <w:t>per</w:t>
      </w:r>
      <w:r w:rsidR="00B815AE" w:rsidRPr="5BA82C08">
        <w:t> </w:t>
      </w:r>
      <w:r>
        <w:t xml:space="preserve">cent in </w:t>
      </w:r>
      <w:r w:rsidR="00B815AE">
        <w:t>201</w:t>
      </w:r>
      <w:r w:rsidR="00446DA8">
        <w:t>7</w:t>
      </w:r>
      <w:r w:rsidR="0081116C">
        <w:noBreakHyphen/>
      </w:r>
      <w:r>
        <w:t>1</w:t>
      </w:r>
      <w:r w:rsidR="00446DA8">
        <w:t>8</w:t>
      </w:r>
      <w:r w:rsidRPr="5BA82C08">
        <w:t>.</w:t>
      </w:r>
      <w:r>
        <w:t xml:space="preserve"> While older households continue to have high levels of home ownership, they are increasingly approaching retirement with mortgage debt</w:t>
      </w:r>
      <w:r w:rsidR="00D668E3" w:rsidRPr="0012459F">
        <w:rPr>
          <w:i/>
          <w:iCs/>
        </w:rPr>
        <w:t xml:space="preserve"> – </w:t>
      </w:r>
      <w:r>
        <w:t xml:space="preserve">up from </w:t>
      </w:r>
      <w:r w:rsidR="00372B15">
        <w:t>13</w:t>
      </w:r>
      <w:r w:rsidR="00216ADE">
        <w:t xml:space="preserve"> per cent of households </w:t>
      </w:r>
      <w:r w:rsidR="00287F96">
        <w:t>aged</w:t>
      </w:r>
      <w:r w:rsidR="00D668E3" w:rsidRPr="5BA82C08">
        <w:t> </w:t>
      </w:r>
      <w:r w:rsidR="00287F96">
        <w:t>55</w:t>
      </w:r>
      <w:r w:rsidR="00F0336A">
        <w:noBreakHyphen/>
      </w:r>
      <w:r w:rsidR="00287F96">
        <w:t xml:space="preserve">64 </w:t>
      </w:r>
      <w:r>
        <w:t xml:space="preserve">in 1995-96 to </w:t>
      </w:r>
      <w:r w:rsidR="00287F96">
        <w:t>40 per cent</w:t>
      </w:r>
      <w:r>
        <w:t xml:space="preserve"> in 201</w:t>
      </w:r>
      <w:r w:rsidR="00287F96">
        <w:t>7</w:t>
      </w:r>
      <w:r>
        <w:t>-1</w:t>
      </w:r>
      <w:r w:rsidR="00287F96">
        <w:t>8</w:t>
      </w:r>
      <w:r w:rsidR="002175F7">
        <w:t xml:space="preserve"> (ABS 201</w:t>
      </w:r>
      <w:r w:rsidR="00372B15">
        <w:t>9</w:t>
      </w:r>
      <w:r w:rsidR="00275919">
        <w:t>b</w:t>
      </w:r>
      <w:r w:rsidR="002175F7" w:rsidRPr="5BA82C08">
        <w:t>)</w:t>
      </w:r>
      <w:r w:rsidRPr="5BA82C08">
        <w:t>.</w:t>
      </w:r>
      <w:r w:rsidR="00E375D1" w:rsidRPr="00405341">
        <w:rPr>
          <w:rStyle w:val="FootnoteReference"/>
          <w:vertAlign w:val="superscript"/>
        </w:rPr>
        <w:footnoteReference w:id="6"/>
      </w:r>
      <w:r>
        <w:t xml:space="preserve"> If this trend continues, a growing number of households may enter retirement as renters or while still servicing a mortgage on their home.</w:t>
      </w:r>
    </w:p>
    <w:p w14:paraId="78EF0C23" w14:textId="22BABD51" w:rsidR="007F0465" w:rsidRPr="00476FE4" w:rsidRDefault="007F0465" w:rsidP="006175A8">
      <w:pPr>
        <w:pStyle w:val="Heading2"/>
        <w:spacing w:before="240"/>
      </w:pPr>
      <w:bookmarkStart w:id="349" w:name="_Toc22886963"/>
      <w:bookmarkStart w:id="350" w:name="_Toc22888742"/>
      <w:bookmarkStart w:id="351" w:name="_Toc22889660"/>
      <w:bookmarkStart w:id="352" w:name="_Toc22890025"/>
      <w:bookmarkStart w:id="353" w:name="_Toc22891293"/>
      <w:bookmarkStart w:id="354" w:name="_Toc22891491"/>
      <w:bookmarkStart w:id="355" w:name="_Toc22894268"/>
      <w:bookmarkStart w:id="356" w:name="_Toc23515089"/>
      <w:bookmarkStart w:id="357" w:name="_Toc23515503"/>
      <w:bookmarkStart w:id="358" w:name="_Toc23521050"/>
      <w:bookmarkStart w:id="359" w:name="_Toc24545126"/>
      <w:bookmarkStart w:id="360" w:name="_Toc24545352"/>
      <w:bookmarkStart w:id="361" w:name="_Toc24547613"/>
      <w:bookmarkStart w:id="362" w:name="_Toc24551393"/>
      <w:bookmarkStart w:id="363" w:name="_Toc24554729"/>
      <w:bookmarkStart w:id="364" w:name="_Toc24556326"/>
      <w:bookmarkStart w:id="365" w:name="_Toc24712771"/>
      <w:bookmarkStart w:id="366" w:name="_Toc24717015"/>
      <w:bookmarkStart w:id="367" w:name="_Toc24721554"/>
      <w:bookmarkStart w:id="368" w:name="_Toc24722268"/>
      <w:bookmarkStart w:id="369" w:name="_Toc24728683"/>
      <w:bookmarkStart w:id="370" w:name="_Toc24731209"/>
      <w:r>
        <w:t>L</w:t>
      </w:r>
      <w:r w:rsidRPr="00444814">
        <w:t>ife expectancy</w:t>
      </w:r>
      <w:r>
        <w:t xml:space="preserve"> and </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r w:rsidR="002B725F">
        <w:t>demographic</w:t>
      </w:r>
      <w:r w:rsidR="00C64CF3">
        <w:t xml:space="preserve"> trends</w:t>
      </w:r>
      <w:bookmarkEnd w:id="359"/>
      <w:bookmarkEnd w:id="360"/>
      <w:bookmarkEnd w:id="361"/>
      <w:bookmarkEnd w:id="362"/>
      <w:bookmarkEnd w:id="363"/>
      <w:bookmarkEnd w:id="364"/>
      <w:bookmarkEnd w:id="365"/>
      <w:bookmarkEnd w:id="366"/>
      <w:bookmarkEnd w:id="367"/>
      <w:bookmarkEnd w:id="368"/>
      <w:bookmarkEnd w:id="369"/>
      <w:bookmarkEnd w:id="370"/>
    </w:p>
    <w:p w14:paraId="264C2BF6" w14:textId="31A0B04C" w:rsidR="00763C4A" w:rsidRDefault="007F0465" w:rsidP="007F0465">
      <w:r>
        <w:t xml:space="preserve">Life expectancy has increased significantly </w:t>
      </w:r>
      <w:r w:rsidR="00436DBE">
        <w:t xml:space="preserve">since the introduction of the Age Pension </w:t>
      </w:r>
      <w:r>
        <w:t>over 100 years</w:t>
      </w:r>
      <w:r w:rsidR="00436DBE">
        <w:t xml:space="preserve"> ago.</w:t>
      </w:r>
      <w:r>
        <w:t xml:space="preserve"> Compared with the early 20</w:t>
      </w:r>
      <w:r w:rsidRPr="005B1E86">
        <w:rPr>
          <w:vertAlign w:val="superscript"/>
        </w:rPr>
        <w:t>th</w:t>
      </w:r>
      <w:r>
        <w:t xml:space="preserve"> century, more men and women will reach old age and those that do can expect to spend more time in retirement. On average, both men and women are expected to live into their 80s rather than their 50s</w:t>
      </w:r>
      <w:r w:rsidR="00EB57AD">
        <w:t>, which was the case when the Age Pension was introduced</w:t>
      </w:r>
      <w:r w:rsidR="005C5DCC">
        <w:t xml:space="preserve"> (</w:t>
      </w:r>
      <w:r w:rsidR="00584CC1" w:rsidRPr="00405341">
        <w:t xml:space="preserve">ABS </w:t>
      </w:r>
      <w:r w:rsidR="006C6007" w:rsidRPr="00405341">
        <w:t>20</w:t>
      </w:r>
      <w:r w:rsidR="00F64B68" w:rsidRPr="00405341">
        <w:t>19</w:t>
      </w:r>
      <w:r w:rsidR="00275919" w:rsidRPr="00405341">
        <w:t>c</w:t>
      </w:r>
      <w:r w:rsidR="006C6007" w:rsidRPr="00405341">
        <w:t>;</w:t>
      </w:r>
      <w:r w:rsidR="00584CC1" w:rsidRPr="00405341">
        <w:t xml:space="preserve"> ABS </w:t>
      </w:r>
      <w:r w:rsidR="006C6007" w:rsidRPr="00405341">
        <w:t>2019</w:t>
      </w:r>
      <w:r w:rsidR="00275919" w:rsidRPr="00405341">
        <w:t>d</w:t>
      </w:r>
      <w:r w:rsidR="005C5DCC" w:rsidRPr="00405341">
        <w:t>)</w:t>
      </w:r>
      <w:r w:rsidR="00673589" w:rsidRPr="00405341">
        <w:t>.</w:t>
      </w:r>
    </w:p>
    <w:p w14:paraId="05B192D4" w14:textId="29E7A8B1" w:rsidR="007F0465" w:rsidRDefault="00763C4A" w:rsidP="007F0465">
      <w:r>
        <w:t xml:space="preserve">Despite improvements in population life expectancy over the last century, life expectancy </w:t>
      </w:r>
      <w:r w:rsidR="00C66C87">
        <w:t>at birth</w:t>
      </w:r>
      <w:r>
        <w:t xml:space="preserve"> for Aboriginal and Torres Strait Islander Australians remains below that of the broader population, at </w:t>
      </w:r>
      <w:r w:rsidR="0084717E">
        <w:t>almost 72 years for men and 76 years for women</w:t>
      </w:r>
      <w:r w:rsidR="006C6007">
        <w:t xml:space="preserve"> (</w:t>
      </w:r>
      <w:r w:rsidR="00C66C87">
        <w:t>ABS 2018)</w:t>
      </w:r>
      <w:r w:rsidR="0084717E">
        <w:t>.</w:t>
      </w:r>
      <w:r>
        <w:t xml:space="preserve"> </w:t>
      </w:r>
    </w:p>
    <w:p w14:paraId="085A8917" w14:textId="2CAD5479" w:rsidR="007F0465" w:rsidRDefault="00B815AE" w:rsidP="007F0465">
      <w:r>
        <w:t xml:space="preserve">The age profile of the population has also changed. </w:t>
      </w:r>
      <w:r w:rsidR="007F0465">
        <w:t xml:space="preserve">Australians aged over 65 </w:t>
      </w:r>
      <w:r w:rsidR="00EB57AD">
        <w:t>currently</w:t>
      </w:r>
      <w:r w:rsidR="007F0465">
        <w:t xml:space="preserve"> make up </w:t>
      </w:r>
      <w:r w:rsidR="003A3480">
        <w:t>around</w:t>
      </w:r>
      <w:r w:rsidR="007F0465">
        <w:t xml:space="preserve"> 1</w:t>
      </w:r>
      <w:r w:rsidR="00BA2C69">
        <w:t>6</w:t>
      </w:r>
      <w:r w:rsidR="00436DBE">
        <w:t> </w:t>
      </w:r>
      <w:r w:rsidR="007F0465">
        <w:t>per</w:t>
      </w:r>
      <w:r w:rsidR="00436DBE">
        <w:t> </w:t>
      </w:r>
      <w:r w:rsidR="007F0465">
        <w:t xml:space="preserve">cent of the population, compared to </w:t>
      </w:r>
      <w:r w:rsidR="00DA3F91">
        <w:t>around</w:t>
      </w:r>
      <w:r w:rsidR="007F0465">
        <w:t xml:space="preserve"> </w:t>
      </w:r>
      <w:r w:rsidR="006D18E6">
        <w:t>8</w:t>
      </w:r>
      <w:r w:rsidR="00436DBE">
        <w:t> </w:t>
      </w:r>
      <w:r w:rsidR="007F0465">
        <w:t>per</w:t>
      </w:r>
      <w:r w:rsidR="00436DBE">
        <w:t> </w:t>
      </w:r>
      <w:r w:rsidR="007F0465">
        <w:t>cent in 1971</w:t>
      </w:r>
      <w:r w:rsidR="00584CC1">
        <w:t xml:space="preserve"> (</w:t>
      </w:r>
      <w:r w:rsidR="00584CC1" w:rsidRPr="00DE452D">
        <w:t>ABS</w:t>
      </w:r>
      <w:r w:rsidR="008C164D" w:rsidRPr="00405341">
        <w:t xml:space="preserve"> 2019</w:t>
      </w:r>
      <w:r w:rsidR="00275919" w:rsidRPr="00405341">
        <w:t>e</w:t>
      </w:r>
      <w:r w:rsidR="00584CC1">
        <w:t>)</w:t>
      </w:r>
      <w:r w:rsidR="002A4963">
        <w:t>.</w:t>
      </w:r>
      <w:r w:rsidR="007F0465">
        <w:t xml:space="preserve"> </w:t>
      </w:r>
      <w:r w:rsidR="002A4963">
        <w:t xml:space="preserve">This is </w:t>
      </w:r>
      <w:r w:rsidR="002666C6">
        <w:t xml:space="preserve">partly </w:t>
      </w:r>
      <w:r w:rsidR="002A4963">
        <w:t xml:space="preserve">a consequence of changes in life expectancy and a historic decline in fertility rates. </w:t>
      </w:r>
      <w:r w:rsidR="00CA0806">
        <w:t>These trends have partly</w:t>
      </w:r>
      <w:r w:rsidR="002A4963">
        <w:t xml:space="preserve"> been offset</w:t>
      </w:r>
      <w:r w:rsidR="007F0465">
        <w:t xml:space="preserve"> </w:t>
      </w:r>
      <w:r w:rsidR="002A4963">
        <w:t>by</w:t>
      </w:r>
      <w:r w:rsidR="0015461C">
        <w:t xml:space="preserve"> an increase in net overseas migration</w:t>
      </w:r>
      <w:r w:rsidR="00FD3DC5">
        <w:t>,</w:t>
      </w:r>
      <w:r w:rsidR="00CA0296">
        <w:t xml:space="preserve"> </w:t>
      </w:r>
      <w:r w:rsidR="002E6591">
        <w:t xml:space="preserve">as </w:t>
      </w:r>
      <w:r w:rsidR="00620717">
        <w:t>im</w:t>
      </w:r>
      <w:r w:rsidR="002E6591">
        <w:t>migrants</w:t>
      </w:r>
      <w:r w:rsidR="00CA0296">
        <w:t xml:space="preserve"> are generally of working age.</w:t>
      </w:r>
      <w:r w:rsidR="0015461C">
        <w:t xml:space="preserve"> </w:t>
      </w:r>
      <w:r>
        <w:t>Changing age profiles</w:t>
      </w:r>
      <w:r w:rsidR="007F0465">
        <w:t xml:space="preserve"> have implications for the size of the population relying on retirement incomes and the </w:t>
      </w:r>
      <w:r w:rsidR="0014324A">
        <w:t>length of time retirement savings need to last</w:t>
      </w:r>
      <w:r w:rsidR="007F0465">
        <w:t>.</w:t>
      </w:r>
    </w:p>
    <w:p w14:paraId="1449E211" w14:textId="77777777" w:rsidR="007F0465" w:rsidRDefault="007F0465" w:rsidP="006175A8">
      <w:pPr>
        <w:pStyle w:val="Heading2"/>
        <w:spacing w:before="240"/>
      </w:pPr>
      <w:bookmarkStart w:id="371" w:name="_Toc22742366"/>
      <w:bookmarkStart w:id="372" w:name="_Toc22744323"/>
      <w:bookmarkStart w:id="373" w:name="_Toc22814031"/>
      <w:bookmarkStart w:id="374" w:name="_Toc22815462"/>
      <w:bookmarkStart w:id="375" w:name="_Toc22823078"/>
      <w:bookmarkStart w:id="376" w:name="_Toc22828890"/>
      <w:bookmarkStart w:id="377" w:name="_Toc22830445"/>
      <w:bookmarkStart w:id="378" w:name="_Toc22886964"/>
      <w:bookmarkStart w:id="379" w:name="_Toc22888743"/>
      <w:bookmarkStart w:id="380" w:name="_Toc22889661"/>
      <w:bookmarkStart w:id="381" w:name="_Toc22890026"/>
      <w:bookmarkStart w:id="382" w:name="_Toc22891294"/>
      <w:bookmarkStart w:id="383" w:name="_Toc22891492"/>
      <w:bookmarkStart w:id="384" w:name="_Toc22894269"/>
      <w:bookmarkStart w:id="385" w:name="_Toc23515090"/>
      <w:bookmarkStart w:id="386" w:name="_Toc23515504"/>
      <w:bookmarkStart w:id="387" w:name="_Toc23521051"/>
      <w:bookmarkStart w:id="388" w:name="_Toc24545127"/>
      <w:bookmarkStart w:id="389" w:name="_Toc24545353"/>
      <w:bookmarkStart w:id="390" w:name="_Toc24547614"/>
      <w:bookmarkStart w:id="391" w:name="_Toc24551394"/>
      <w:bookmarkStart w:id="392" w:name="_Toc24554730"/>
      <w:bookmarkStart w:id="393" w:name="_Toc24556327"/>
      <w:bookmarkStart w:id="394" w:name="_Toc24712772"/>
      <w:bookmarkStart w:id="395" w:name="_Toc24717016"/>
      <w:bookmarkStart w:id="396" w:name="_Toc24721555"/>
      <w:bookmarkStart w:id="397" w:name="_Toc24722269"/>
      <w:bookmarkStart w:id="398" w:name="_Toc24728684"/>
      <w:bookmarkStart w:id="399" w:name="_Toc24731210"/>
      <w:r>
        <w:t>Labour market participation</w:t>
      </w:r>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p>
    <w:p w14:paraId="71726E2E" w14:textId="1D08F193" w:rsidR="007F0465" w:rsidRDefault="007F0465" w:rsidP="007F0465">
      <w:r>
        <w:t xml:space="preserve">The composition of Australia’s workforce has changed over time. </w:t>
      </w:r>
      <w:r w:rsidR="00901180">
        <w:t>T</w:t>
      </w:r>
      <w:r>
        <w:t xml:space="preserve">he trend has been towards more working age Australians participating in the labour market. </w:t>
      </w:r>
      <w:r w:rsidR="00901180">
        <w:t>R</w:t>
      </w:r>
      <w:r>
        <w:t>ates of</w:t>
      </w:r>
      <w:r w:rsidR="00901180">
        <w:t xml:space="preserve"> workforce</w:t>
      </w:r>
      <w:r>
        <w:t xml:space="preserve"> participation have </w:t>
      </w:r>
      <w:r>
        <w:lastRenderedPageBreak/>
        <w:t xml:space="preserve">grown from </w:t>
      </w:r>
      <w:r w:rsidR="00624BDD">
        <w:t>an average of</w:t>
      </w:r>
      <w:r>
        <w:t xml:space="preserve"> 60.</w:t>
      </w:r>
      <w:r w:rsidR="00624BDD">
        <w:t>7</w:t>
      </w:r>
      <w:r>
        <w:t xml:space="preserve"> per cent in 19</w:t>
      </w:r>
      <w:r w:rsidR="00624BDD">
        <w:t>79</w:t>
      </w:r>
      <w:r>
        <w:t xml:space="preserve"> to 66.</w:t>
      </w:r>
      <w:r w:rsidR="00D679BD">
        <w:t>0</w:t>
      </w:r>
      <w:r>
        <w:t xml:space="preserve"> per cent in </w:t>
      </w:r>
      <w:r w:rsidR="00D679BD">
        <w:t>October</w:t>
      </w:r>
      <w:r w:rsidR="002F55D0">
        <w:t> </w:t>
      </w:r>
      <w:r>
        <w:t>2019</w:t>
      </w:r>
      <w:r w:rsidR="00D84E98">
        <w:t xml:space="preserve"> (ABS 2019</w:t>
      </w:r>
      <w:r w:rsidR="00275919">
        <w:t>f</w:t>
      </w:r>
      <w:r w:rsidR="007D696E">
        <w:t>; ABS</w:t>
      </w:r>
      <w:r w:rsidR="001F7D7D">
        <w:t> </w:t>
      </w:r>
      <w:r w:rsidR="007D696E">
        <w:t>2019</w:t>
      </w:r>
      <w:r w:rsidR="00275919">
        <w:t>g</w:t>
      </w:r>
      <w:r w:rsidR="00D84E98">
        <w:t>)</w:t>
      </w:r>
      <w:r>
        <w:t xml:space="preserve">. </w:t>
      </w:r>
      <w:r w:rsidR="001B02E2">
        <w:t>Perhaps the biggest change</w:t>
      </w:r>
      <w:r w:rsidR="002F55D0">
        <w:t xml:space="preserve"> </w:t>
      </w:r>
      <w:r w:rsidR="001B02E2">
        <w:t xml:space="preserve">has </w:t>
      </w:r>
      <w:r>
        <w:t xml:space="preserve">been the increase in female participation from </w:t>
      </w:r>
      <w:r w:rsidR="00624BDD">
        <w:t>an average of</w:t>
      </w:r>
      <w:r>
        <w:t xml:space="preserve"> </w:t>
      </w:r>
      <w:r w:rsidR="00624BDD">
        <w:t>43.5</w:t>
      </w:r>
      <w:r>
        <w:t xml:space="preserve"> per cent in 19</w:t>
      </w:r>
      <w:r w:rsidR="00624BDD">
        <w:t>79</w:t>
      </w:r>
      <w:r>
        <w:t xml:space="preserve"> to 61.2 per cent in </w:t>
      </w:r>
      <w:r w:rsidR="00D679BD">
        <w:t>October</w:t>
      </w:r>
      <w:r w:rsidR="002F55D0">
        <w:t> </w:t>
      </w:r>
      <w:r>
        <w:t>2019</w:t>
      </w:r>
      <w:r w:rsidR="00D84E98">
        <w:t xml:space="preserve"> (ABS 2019</w:t>
      </w:r>
      <w:r w:rsidR="00275919">
        <w:t>f</w:t>
      </w:r>
      <w:r w:rsidR="007D696E">
        <w:t>; ABS 2019</w:t>
      </w:r>
      <w:r w:rsidR="00275919">
        <w:t>g</w:t>
      </w:r>
      <w:r w:rsidR="00D84E98">
        <w:t>)</w:t>
      </w:r>
      <w:r>
        <w:t>.</w:t>
      </w:r>
      <w:r w:rsidR="36FFA747" w:rsidRPr="568C4FA1">
        <w:t xml:space="preserve"> </w:t>
      </w:r>
    </w:p>
    <w:p w14:paraId="4DF9C9E7" w14:textId="31F80932" w:rsidR="007F0465" w:rsidRDefault="007F0465" w:rsidP="007F0465">
      <w:r>
        <w:t>The profile of work</w:t>
      </w:r>
      <w:r w:rsidR="002F55D0">
        <w:t xml:space="preserve">ing </w:t>
      </w:r>
      <w:r>
        <w:t xml:space="preserve">life </w:t>
      </w:r>
      <w:r w:rsidR="002F55D0">
        <w:t>has</w:t>
      </w:r>
      <w:r>
        <w:t xml:space="preserve"> also shift</w:t>
      </w:r>
      <w:r w:rsidR="002F55D0">
        <w:t>ed</w:t>
      </w:r>
      <w:r>
        <w:t>. The average Australian is now taking longer to commence full time work and</w:t>
      </w:r>
      <w:r w:rsidR="002F55D0">
        <w:t xml:space="preserve"> is</w:t>
      </w:r>
      <w:r>
        <w:t xml:space="preserve"> expecting to retire later in life. These trends are reflected in an increase in </w:t>
      </w:r>
      <w:r w:rsidR="00747F80">
        <w:t xml:space="preserve">the participation rate among </w:t>
      </w:r>
      <w:r>
        <w:t>over</w:t>
      </w:r>
      <w:r w:rsidR="002E2470">
        <w:t xml:space="preserve"> </w:t>
      </w:r>
      <w:r>
        <w:t>65s and a decline in the p</w:t>
      </w:r>
      <w:r w:rsidR="001E5F1B">
        <w:t>rop</w:t>
      </w:r>
      <w:r>
        <w:t>ortion of Australians in their early 20s who have commenced full time work</w:t>
      </w:r>
      <w:r w:rsidR="007D696E">
        <w:t xml:space="preserve"> (ABS 2019</w:t>
      </w:r>
      <w:r w:rsidR="00275919">
        <w:t>g</w:t>
      </w:r>
      <w:r w:rsidR="007D696E">
        <w:t>; ABS 2019</w:t>
      </w:r>
      <w:r w:rsidR="00E05E2A">
        <w:t>h</w:t>
      </w:r>
      <w:r w:rsidR="007D696E">
        <w:t>)</w:t>
      </w:r>
      <w:r>
        <w:t>.</w:t>
      </w:r>
      <w:r w:rsidR="00A90326">
        <w:t xml:space="preserve"> </w:t>
      </w:r>
      <w:r>
        <w:t>Th</w:t>
      </w:r>
      <w:r w:rsidR="00F94F1A">
        <w:t>e</w:t>
      </w:r>
      <w:r>
        <w:t xml:space="preserve"> changing pattern of work a</w:t>
      </w:r>
      <w:r w:rsidR="001E5F1B">
        <w:t xml:space="preserve">ffects </w:t>
      </w:r>
      <w:r w:rsidR="00DA4888">
        <w:t>individuals’</w:t>
      </w:r>
      <w:r w:rsidR="001E5F1B">
        <w:t xml:space="preserve"> abilit</w:t>
      </w:r>
      <w:r w:rsidR="00FD3DC5">
        <w:t>y to</w:t>
      </w:r>
      <w:r w:rsidRPr="00B063A9">
        <w:t xml:space="preserve"> </w:t>
      </w:r>
      <w:r>
        <w:t xml:space="preserve">save for retirement, for example, by delaying when </w:t>
      </w:r>
      <w:r w:rsidR="002F55D0">
        <w:t>they</w:t>
      </w:r>
      <w:r>
        <w:t xml:space="preserve"> start</w:t>
      </w:r>
      <w:r w:rsidRPr="00B063A9">
        <w:t xml:space="preserve"> accumulating savings for </w:t>
      </w:r>
      <w:r>
        <w:t xml:space="preserve">retirement. </w:t>
      </w:r>
      <w:r w:rsidR="001E7DFB">
        <w:t xml:space="preserve">However, the increase in older Australians participating in the workforce also provides a greater opportunity for those workers to boost their retirement incomes. </w:t>
      </w:r>
      <w:r w:rsidR="00C54C37">
        <w:t>Nevertheless</w:t>
      </w:r>
      <w:r w:rsidR="002F55D0">
        <w:t>, s</w:t>
      </w:r>
      <w:r w:rsidR="00747F80">
        <w:t xml:space="preserve">ome older workers report being unable to </w:t>
      </w:r>
      <w:r w:rsidR="002F55D0">
        <w:t>retain</w:t>
      </w:r>
      <w:r w:rsidR="00747F80">
        <w:t xml:space="preserve"> or find employment, despite a willingness to remain in the workforce.</w:t>
      </w:r>
    </w:p>
    <w:p w14:paraId="02C3920A" w14:textId="243D6B80" w:rsidR="007F0465" w:rsidRPr="00B063A9" w:rsidRDefault="007F0465" w:rsidP="006175A8">
      <w:pPr>
        <w:spacing w:after="0"/>
      </w:pPr>
      <w:r>
        <w:t>Finally, t</w:t>
      </w:r>
      <w:r w:rsidRPr="00B063A9">
        <w:t>here is increasing commentary that the way Australians work is changing</w:t>
      </w:r>
      <w:r>
        <w:t xml:space="preserve">, including through the emergence of the </w:t>
      </w:r>
      <w:r w:rsidR="0038243B">
        <w:t>sharing</w:t>
      </w:r>
      <w:r>
        <w:t xml:space="preserve"> economy. </w:t>
      </w:r>
      <w:r w:rsidR="00C64CF3">
        <w:t>T</w:t>
      </w:r>
      <w:r>
        <w:t>here is</w:t>
      </w:r>
      <w:r w:rsidR="00C64CF3">
        <w:t>, however</w:t>
      </w:r>
      <w:r w:rsidR="002B725F">
        <w:t>, limited</w:t>
      </w:r>
      <w:r w:rsidRPr="735DB500">
        <w:t xml:space="preserve"> </w:t>
      </w:r>
      <w:r w:rsidR="001E5F1B">
        <w:t>data to determine whether this i</w:t>
      </w:r>
      <w:r>
        <w:t>s a long-term trend</w:t>
      </w:r>
      <w:r w:rsidRPr="735DB500">
        <w:t xml:space="preserve"> </w:t>
      </w:r>
      <w:r w:rsidR="00C64CF3">
        <w:t>and its significance to the</w:t>
      </w:r>
      <w:r w:rsidR="00C64CF3" w:rsidRPr="735DB500">
        <w:t xml:space="preserve"> </w:t>
      </w:r>
      <w:r>
        <w:t>broader labour market</w:t>
      </w:r>
      <w:r w:rsidRPr="735DB500">
        <w:t xml:space="preserve">. </w:t>
      </w:r>
    </w:p>
    <w:p w14:paraId="6A83FE01" w14:textId="777F4F93" w:rsidR="007D2FD9" w:rsidRPr="001E5F1B" w:rsidRDefault="007D2FD9" w:rsidP="006175A8">
      <w:pPr>
        <w:pStyle w:val="Heading2"/>
        <w:spacing w:before="240"/>
      </w:pPr>
      <w:bookmarkStart w:id="400" w:name="_Toc22828891"/>
      <w:bookmarkStart w:id="401" w:name="_Toc22830446"/>
      <w:bookmarkStart w:id="402" w:name="_Toc23515091"/>
      <w:bookmarkStart w:id="403" w:name="_Toc23515505"/>
      <w:bookmarkStart w:id="404" w:name="_Toc23521052"/>
      <w:bookmarkStart w:id="405" w:name="_Toc24545128"/>
      <w:bookmarkStart w:id="406" w:name="_Toc24545354"/>
      <w:bookmarkStart w:id="407" w:name="_Toc24547615"/>
      <w:bookmarkStart w:id="408" w:name="_Toc24551395"/>
      <w:bookmarkStart w:id="409" w:name="_Toc24554731"/>
      <w:bookmarkStart w:id="410" w:name="_Toc24556328"/>
      <w:bookmarkStart w:id="411" w:name="_Toc24712773"/>
      <w:bookmarkStart w:id="412" w:name="_Toc24717017"/>
      <w:bookmarkStart w:id="413" w:name="_Toc24721556"/>
      <w:bookmarkStart w:id="414" w:name="_Toc24722270"/>
      <w:bookmarkStart w:id="415" w:name="_Toc24728685"/>
      <w:bookmarkStart w:id="416" w:name="_Toc24731211"/>
      <w:bookmarkEnd w:id="400"/>
      <w:bookmarkEnd w:id="401"/>
      <w:r w:rsidRPr="001E5F1B">
        <w:t>Broader economic trends</w:t>
      </w:r>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p w14:paraId="33E818B4" w14:textId="37438C42" w:rsidR="0022189C" w:rsidRDefault="00624BDD" w:rsidP="007F0465">
      <w:r>
        <w:t>T</w:t>
      </w:r>
      <w:r w:rsidR="009768E6">
        <w:t xml:space="preserve">he Australian economy </w:t>
      </w:r>
      <w:r>
        <w:t xml:space="preserve">has </w:t>
      </w:r>
      <w:r w:rsidR="009768E6">
        <w:t xml:space="preserve">experienced </w:t>
      </w:r>
      <w:r>
        <w:t>28 consecutive years of annual economic growth</w:t>
      </w:r>
      <w:r w:rsidR="009768E6">
        <w:t xml:space="preserve">. </w:t>
      </w:r>
      <w:r>
        <w:t>Over th</w:t>
      </w:r>
      <w:r w:rsidR="002F55D0">
        <w:t>is period</w:t>
      </w:r>
      <w:r>
        <w:t>, a</w:t>
      </w:r>
      <w:r w:rsidR="00EC0900">
        <w:t xml:space="preserve">verage </w:t>
      </w:r>
      <w:r w:rsidR="009768E6">
        <w:t xml:space="preserve">economic growth has been </w:t>
      </w:r>
      <w:r w:rsidR="00534F43">
        <w:t>3.</w:t>
      </w:r>
      <w:r>
        <w:t>1</w:t>
      </w:r>
      <w:r w:rsidR="001E5F1B">
        <w:t xml:space="preserve"> per cent </w:t>
      </w:r>
      <w:r>
        <w:t>per year</w:t>
      </w:r>
      <w:r w:rsidR="0063063E">
        <w:t xml:space="preserve"> and the</w:t>
      </w:r>
      <w:r w:rsidR="001E5F1B">
        <w:t xml:space="preserve"> </w:t>
      </w:r>
      <w:r>
        <w:t>growth</w:t>
      </w:r>
      <w:r w:rsidR="000C1C32">
        <w:t xml:space="preserve"> in the </w:t>
      </w:r>
      <w:r w:rsidR="00C73895">
        <w:t>c</w:t>
      </w:r>
      <w:r w:rsidR="000C1C32">
        <w:t xml:space="preserve">onsumer </w:t>
      </w:r>
      <w:r w:rsidR="00C73895">
        <w:t>p</w:t>
      </w:r>
      <w:r w:rsidR="001E5F1B">
        <w:t xml:space="preserve">rice </w:t>
      </w:r>
      <w:r w:rsidR="00C73895">
        <w:t>i</w:t>
      </w:r>
      <w:r w:rsidR="001E5F1B">
        <w:t xml:space="preserve">ndex </w:t>
      </w:r>
      <w:r w:rsidR="00AE77E7">
        <w:t>(CPI)</w:t>
      </w:r>
      <w:r w:rsidR="001E5F1B">
        <w:t xml:space="preserve"> </w:t>
      </w:r>
      <w:r>
        <w:t xml:space="preserve">has averaged </w:t>
      </w:r>
      <w:r w:rsidR="001E5F1B">
        <w:t>2.4 </w:t>
      </w:r>
      <w:r w:rsidR="00A90326">
        <w:t>per </w:t>
      </w:r>
      <w:r w:rsidR="000C1C32">
        <w:t>cent</w:t>
      </w:r>
      <w:r>
        <w:t xml:space="preserve"> per year</w:t>
      </w:r>
      <w:r w:rsidR="0087445D">
        <w:t xml:space="preserve"> (ABS 2019</w:t>
      </w:r>
      <w:r w:rsidR="00B4638B">
        <w:t>i</w:t>
      </w:r>
      <w:r w:rsidR="006910E0">
        <w:t>;</w:t>
      </w:r>
      <w:r w:rsidR="0087445D">
        <w:t xml:space="preserve"> ABS 2019</w:t>
      </w:r>
      <w:r w:rsidR="00B4638B">
        <w:t>j</w:t>
      </w:r>
      <w:r w:rsidR="0087445D">
        <w:t>)</w:t>
      </w:r>
      <w:r w:rsidR="00ED0421">
        <w:t>.</w:t>
      </w:r>
      <w:r w:rsidR="000C1C32">
        <w:t xml:space="preserve"> </w:t>
      </w:r>
    </w:p>
    <w:p w14:paraId="552DA998" w14:textId="33DAB0ED" w:rsidR="00C3442D" w:rsidRDefault="000C1C32" w:rsidP="007F0465">
      <w:r>
        <w:t xml:space="preserve">The unemployment rate </w:t>
      </w:r>
      <w:r w:rsidR="008B48BD">
        <w:t>was 5.</w:t>
      </w:r>
      <w:r w:rsidR="00C403F4">
        <w:t>3</w:t>
      </w:r>
      <w:r w:rsidR="008B48BD">
        <w:t xml:space="preserve"> per cent </w:t>
      </w:r>
      <w:r w:rsidR="0063063E">
        <w:t>in</w:t>
      </w:r>
      <w:r w:rsidR="008B48BD">
        <w:t xml:space="preserve"> </w:t>
      </w:r>
      <w:r w:rsidR="00C403F4">
        <w:t xml:space="preserve">October </w:t>
      </w:r>
      <w:r w:rsidR="008B48BD">
        <w:t>2019</w:t>
      </w:r>
      <w:r w:rsidR="0063063E">
        <w:t>,</w:t>
      </w:r>
      <w:r w:rsidR="008B48BD">
        <w:t xml:space="preserve"> which is</w:t>
      </w:r>
      <w:r>
        <w:t xml:space="preserve"> low by historical standards and </w:t>
      </w:r>
      <w:r w:rsidR="008B48BD">
        <w:t>below its</w:t>
      </w:r>
      <w:r w:rsidR="0063063E">
        <w:t xml:space="preserve"> most</w:t>
      </w:r>
      <w:r w:rsidR="008B48BD">
        <w:t xml:space="preserve"> recent peak of</w:t>
      </w:r>
      <w:r>
        <w:t xml:space="preserve"> 6</w:t>
      </w:r>
      <w:r w:rsidR="008B48BD">
        <w:t>.4</w:t>
      </w:r>
      <w:r>
        <w:t xml:space="preserve"> per cent </w:t>
      </w:r>
      <w:r w:rsidR="008B48BD">
        <w:t>in October 2014</w:t>
      </w:r>
      <w:r w:rsidR="008C164D">
        <w:t xml:space="preserve"> </w:t>
      </w:r>
      <w:r w:rsidR="008C164D" w:rsidRPr="00C403F4">
        <w:t>(ABS</w:t>
      </w:r>
      <w:r w:rsidR="00C403F4" w:rsidRPr="00C403F4">
        <w:t xml:space="preserve"> 2019</w:t>
      </w:r>
      <w:r w:rsidR="00275919">
        <w:t>g</w:t>
      </w:r>
      <w:r w:rsidR="008C164D" w:rsidRPr="00C403F4">
        <w:t>)</w:t>
      </w:r>
      <w:r w:rsidRPr="00C403F4">
        <w:t>.</w:t>
      </w:r>
      <w:r w:rsidR="003C03FB">
        <w:t xml:space="preserve"> However</w:t>
      </w:r>
      <w:r w:rsidR="0063063E">
        <w:t>,</w:t>
      </w:r>
      <w:r w:rsidR="008B48BD">
        <w:t xml:space="preserve"> wage growth in Australia, as in other advanced economies, has been</w:t>
      </w:r>
      <w:r w:rsidR="003C03FB">
        <w:t xml:space="preserve"> subdued in recent years. Persistent low wage growth can affect the income achieved during</w:t>
      </w:r>
      <w:r w:rsidR="00005E29">
        <w:t xml:space="preserve"> working li</w:t>
      </w:r>
      <w:r w:rsidR="00DA4888">
        <w:t>fe</w:t>
      </w:r>
      <w:r w:rsidR="003C03FB" w:rsidRPr="1EF3F0DB">
        <w:t xml:space="preserve"> </w:t>
      </w:r>
      <w:r w:rsidR="00FA691C">
        <w:t xml:space="preserve">as well </w:t>
      </w:r>
      <w:r w:rsidR="0022189C">
        <w:t xml:space="preserve">as </w:t>
      </w:r>
      <w:r w:rsidR="00DA4888">
        <w:t>individuals’</w:t>
      </w:r>
      <w:r w:rsidR="0063063E">
        <w:t xml:space="preserve"> </w:t>
      </w:r>
      <w:r w:rsidR="00524E86">
        <w:t>abilit</w:t>
      </w:r>
      <w:r w:rsidR="1EF3F0DB">
        <w:t>y</w:t>
      </w:r>
      <w:r w:rsidR="003C03FB">
        <w:t xml:space="preserve"> to save for retirement. </w:t>
      </w:r>
    </w:p>
    <w:p w14:paraId="18ED248C" w14:textId="750B8972" w:rsidR="0038243B" w:rsidRDefault="00FA691C" w:rsidP="007F0465">
      <w:r w:rsidRPr="00F90DEA">
        <w:t xml:space="preserve">The </w:t>
      </w:r>
      <w:r w:rsidR="00AE77E7">
        <w:t>Reserve Bank of Australia</w:t>
      </w:r>
      <w:r w:rsidR="0063063E">
        <w:t>’s</w:t>
      </w:r>
      <w:r w:rsidR="00AE77E7">
        <w:t xml:space="preserve"> (</w:t>
      </w:r>
      <w:r w:rsidRPr="00F90DEA">
        <w:t>RBA</w:t>
      </w:r>
      <w:r w:rsidR="00AE77E7">
        <w:t>)</w:t>
      </w:r>
      <w:r w:rsidRPr="00F90DEA">
        <w:t xml:space="preserve"> target cash rate has been falling </w:t>
      </w:r>
      <w:r w:rsidR="008B48BD">
        <w:t>from its recent</w:t>
      </w:r>
      <w:r w:rsidRPr="00F90DEA">
        <w:t xml:space="preserve"> peak in </w:t>
      </w:r>
      <w:r w:rsidR="008B48BD">
        <w:t>October</w:t>
      </w:r>
      <w:r w:rsidR="0063063E">
        <w:t> </w:t>
      </w:r>
      <w:r w:rsidRPr="00F90DEA">
        <w:t>2011</w:t>
      </w:r>
      <w:r w:rsidR="008B48BD">
        <w:t xml:space="preserve"> of</w:t>
      </w:r>
      <w:r w:rsidRPr="00F90DEA">
        <w:t xml:space="preserve"> 4.75</w:t>
      </w:r>
      <w:r w:rsidR="0063063E">
        <w:t> </w:t>
      </w:r>
      <w:r w:rsidRPr="00F90DEA">
        <w:t>per cent to a current record low of 0.75 per cent.</w:t>
      </w:r>
      <w:r w:rsidRPr="06013FEB">
        <w:rPr>
          <w:i/>
          <w:iCs/>
        </w:rPr>
        <w:t xml:space="preserve"> </w:t>
      </w:r>
      <w:r w:rsidR="0028128E" w:rsidRPr="00F90DEA">
        <w:t>Consistent with this,</w:t>
      </w:r>
      <w:r w:rsidRPr="00F90DEA">
        <w:t xml:space="preserve"> r</w:t>
      </w:r>
      <w:r w:rsidR="00005E29">
        <w:t xml:space="preserve">eturns on fixed interest investments, such as </w:t>
      </w:r>
      <w:r w:rsidR="00BD7FB4">
        <w:t xml:space="preserve">bank deposits and </w:t>
      </w:r>
      <w:r w:rsidR="008F1554">
        <w:t>government bonds</w:t>
      </w:r>
      <w:r w:rsidR="00005E29">
        <w:t xml:space="preserve">, </w:t>
      </w:r>
      <w:r w:rsidR="0028128E">
        <w:t>have been</w:t>
      </w:r>
      <w:r w:rsidR="00005E29">
        <w:t xml:space="preserve"> steadily declining </w:t>
      </w:r>
      <w:r>
        <w:t>over this period</w:t>
      </w:r>
      <w:r w:rsidR="00005E29">
        <w:t xml:space="preserve">. </w:t>
      </w:r>
    </w:p>
    <w:p w14:paraId="58A59B49" w14:textId="159C6904" w:rsidR="00FB0B36" w:rsidRDefault="00005E29" w:rsidP="007F0465">
      <w:r>
        <w:t>However, t</w:t>
      </w:r>
      <w:r w:rsidR="00745A36">
        <w:t>he Australian equity market and many of its international counterparts have performed strongly over the past decade</w:t>
      </w:r>
      <w:r w:rsidR="003C60DB">
        <w:t>,</w:t>
      </w:r>
      <w:r w:rsidR="00A7532C">
        <w:t xml:space="preserve"> albeit with some</w:t>
      </w:r>
      <w:r w:rsidR="00524E86">
        <w:t xml:space="preserve"> </w:t>
      </w:r>
      <w:r w:rsidR="008B48BD">
        <w:t>periods of turbulence in the past few years</w:t>
      </w:r>
      <w:r w:rsidR="00745A36">
        <w:t>.</w:t>
      </w:r>
      <w:r w:rsidR="003E74D1">
        <w:t xml:space="preserve"> </w:t>
      </w:r>
      <w:r>
        <w:t xml:space="preserve">Australia’s </w:t>
      </w:r>
      <w:r w:rsidR="0028128E">
        <w:t xml:space="preserve">superannuation funds have a </w:t>
      </w:r>
      <w:r>
        <w:t>relatively high exposure to growth assets</w:t>
      </w:r>
      <w:r w:rsidR="003E74D1">
        <w:t xml:space="preserve"> </w:t>
      </w:r>
      <w:r w:rsidR="0028128E">
        <w:t xml:space="preserve">by international standards. This </w:t>
      </w:r>
      <w:r w:rsidR="003E74D1">
        <w:t xml:space="preserve">has supported </w:t>
      </w:r>
      <w:r w:rsidR="00E93EFF">
        <w:t>solid</w:t>
      </w:r>
      <w:r w:rsidR="003E74D1">
        <w:t xml:space="preserve"> investment performance</w:t>
      </w:r>
      <w:r w:rsidR="00875CFF">
        <w:t xml:space="preserve">, with a ‘balanced’ investment strategy </w:t>
      </w:r>
      <w:r w:rsidR="00B92747">
        <w:t xml:space="preserve">averaging returns </w:t>
      </w:r>
      <w:r w:rsidR="00875CFF">
        <w:t>of 6.7 per cent</w:t>
      </w:r>
      <w:r w:rsidR="00B92747">
        <w:t xml:space="preserve"> over the </w:t>
      </w:r>
      <w:r w:rsidR="00276517">
        <w:t>p</w:t>
      </w:r>
      <w:r w:rsidR="00B92747">
        <w:t>ast decade</w:t>
      </w:r>
      <w:r w:rsidR="00584CC1">
        <w:t xml:space="preserve"> (Chant </w:t>
      </w:r>
      <w:r w:rsidR="00BE64E3" w:rsidRPr="00BE64E3">
        <w:t>West</w:t>
      </w:r>
      <w:r w:rsidR="00584CC1" w:rsidRPr="00BE64E3">
        <w:t xml:space="preserve"> </w:t>
      </w:r>
      <w:r w:rsidR="00BE64E3" w:rsidRPr="00BE64E3">
        <w:t>2019</w:t>
      </w:r>
      <w:r w:rsidR="00584CC1" w:rsidRPr="00BE64E3">
        <w:t>)</w:t>
      </w:r>
      <w:r w:rsidR="00875CFF" w:rsidRPr="00BE64E3">
        <w:t>.</w:t>
      </w:r>
      <w:r w:rsidR="00292182">
        <w:t xml:space="preserve"> </w:t>
      </w:r>
    </w:p>
    <w:p w14:paraId="201A3DEC" w14:textId="38E67850" w:rsidR="006E50E2" w:rsidRDefault="00C3442D" w:rsidP="007F0465">
      <w:r>
        <w:t xml:space="preserve">These broader economic trends </w:t>
      </w:r>
      <w:r w:rsidR="00141DE4">
        <w:t>affect</w:t>
      </w:r>
      <w:r>
        <w:t xml:space="preserve"> the outcomes delivered by the retirement income system</w:t>
      </w:r>
      <w:r w:rsidR="003B68A2">
        <w:t>;</w:t>
      </w:r>
      <w:r>
        <w:t xml:space="preserve"> </w:t>
      </w:r>
      <w:r w:rsidR="003B68A2">
        <w:t>f</w:t>
      </w:r>
      <w:r>
        <w:t>or</w:t>
      </w:r>
      <w:r w:rsidR="002017E3">
        <w:t> </w:t>
      </w:r>
      <w:r>
        <w:t xml:space="preserve">example, </w:t>
      </w:r>
      <w:r w:rsidR="00563955">
        <w:t xml:space="preserve">through </w:t>
      </w:r>
      <w:r>
        <w:t>the ability of working</w:t>
      </w:r>
      <w:r w:rsidR="00483940">
        <w:t xml:space="preserve"> </w:t>
      </w:r>
      <w:r>
        <w:t>age Australians to gain employment and make superannuation contributions</w:t>
      </w:r>
      <w:r w:rsidR="002017E3">
        <w:t>,</w:t>
      </w:r>
      <w:r>
        <w:t xml:space="preserve"> and the </w:t>
      </w:r>
      <w:r w:rsidR="003E74D1">
        <w:t>earnings achieved by savings.</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0C6BC1" w14:paraId="0C3B1B78" w14:textId="77777777" w:rsidTr="000C6BC1">
        <w:tc>
          <w:tcPr>
            <w:tcW w:w="5000" w:type="pct"/>
            <w:shd w:val="clear" w:color="auto" w:fill="EBEBEB"/>
          </w:tcPr>
          <w:p w14:paraId="73639BA2" w14:textId="42668480" w:rsidR="000C6BC1" w:rsidRPr="004F3E81" w:rsidRDefault="000C6BC1" w:rsidP="000C6BC1">
            <w:pPr>
              <w:pStyle w:val="BoxHeading"/>
              <w:spacing w:before="141" w:after="70"/>
            </w:pPr>
            <w:r w:rsidRPr="004F3E81">
              <w:t xml:space="preserve">Consultation </w:t>
            </w:r>
            <w:r w:rsidR="003B68A2">
              <w:t>q</w:t>
            </w:r>
            <w:r w:rsidR="000459EA">
              <w:t>uestion</w:t>
            </w:r>
            <w:r w:rsidRPr="004F3E81">
              <w:t>:</w:t>
            </w:r>
          </w:p>
          <w:p w14:paraId="7D4647BD" w14:textId="630765A1" w:rsidR="000C6BC1" w:rsidRDefault="000C6BC1" w:rsidP="000C6BC1">
            <w:pPr>
              <w:pStyle w:val="BoxText"/>
              <w:spacing w:before="70" w:after="70"/>
            </w:pPr>
            <w:bookmarkStart w:id="417" w:name="_Toc24550884"/>
            <w:bookmarkStart w:id="418" w:name="_Toc24728781"/>
            <w:r>
              <w:t>Demographic</w:t>
            </w:r>
            <w:r w:rsidRPr="004F3E81">
              <w:t>, labour market</w:t>
            </w:r>
            <w:r w:rsidR="003B68A2">
              <w:t>,</w:t>
            </w:r>
            <w:r w:rsidRPr="004F3E81">
              <w:t xml:space="preserve"> and home ownership </w:t>
            </w:r>
            <w:r>
              <w:t xml:space="preserve">trends </w:t>
            </w:r>
            <w:r w:rsidRPr="004F3E81">
              <w:t xml:space="preserve">affect the operation of the retirement income system now and into the future. </w:t>
            </w:r>
            <w:r>
              <w:t xml:space="preserve">What are the main impacts of these trends? </w:t>
            </w:r>
            <w:r w:rsidRPr="004F3E81">
              <w:t xml:space="preserve">To what extent is the system responsive to these </w:t>
            </w:r>
            <w:r>
              <w:t>trends</w:t>
            </w:r>
            <w:r w:rsidRPr="004F3E81">
              <w:t>?</w:t>
            </w:r>
            <w:r>
              <w:t xml:space="preserve"> </w:t>
            </w:r>
            <w:r w:rsidRPr="004F3E81">
              <w:t xml:space="preserve">Are there additional trends which the Review should consider when assessing how the </w:t>
            </w:r>
            <w:r>
              <w:t>system is performing and will perform in the future</w:t>
            </w:r>
            <w:r w:rsidRPr="004F3E81">
              <w:t>?</w:t>
            </w:r>
            <w:bookmarkEnd w:id="417"/>
            <w:bookmarkEnd w:id="418"/>
          </w:p>
        </w:tc>
      </w:tr>
    </w:tbl>
    <w:p w14:paraId="28108503" w14:textId="77777777" w:rsidR="0066700B" w:rsidRDefault="0066700B" w:rsidP="003944A0">
      <w:pPr>
        <w:rPr>
          <w:rFonts w:cs="Arial"/>
          <w:color w:val="144E60" w:themeColor="accent1"/>
          <w:kern w:val="32"/>
          <w:sz w:val="48"/>
          <w:szCs w:val="36"/>
        </w:rPr>
      </w:pPr>
      <w:bookmarkStart w:id="419" w:name="_Toc22742368"/>
      <w:bookmarkStart w:id="420" w:name="_Toc22744325"/>
      <w:bookmarkStart w:id="421" w:name="_Toc22814033"/>
      <w:bookmarkStart w:id="422" w:name="_Toc22815464"/>
      <w:bookmarkStart w:id="423" w:name="_Toc22823080"/>
      <w:bookmarkStart w:id="424" w:name="_Toc22828892"/>
      <w:bookmarkStart w:id="425" w:name="_Toc22830447"/>
      <w:bookmarkStart w:id="426" w:name="_Toc22886965"/>
      <w:bookmarkStart w:id="427" w:name="_Toc22888744"/>
      <w:bookmarkStart w:id="428" w:name="_Toc22889662"/>
      <w:bookmarkStart w:id="429" w:name="_Toc22890027"/>
      <w:bookmarkStart w:id="430" w:name="_Toc22891295"/>
      <w:bookmarkStart w:id="431" w:name="_Toc22891493"/>
      <w:bookmarkStart w:id="432" w:name="_Toc22894270"/>
      <w:bookmarkStart w:id="433" w:name="_Toc23515092"/>
      <w:bookmarkStart w:id="434" w:name="_Toc23515506"/>
      <w:bookmarkStart w:id="435" w:name="_Toc23521053"/>
      <w:bookmarkStart w:id="436" w:name="_Toc24712774"/>
      <w:bookmarkStart w:id="437" w:name="_Toc24717018"/>
      <w:bookmarkStart w:id="438" w:name="_Toc24721557"/>
      <w:bookmarkStart w:id="439" w:name="_Toc24722271"/>
      <w:bookmarkStart w:id="440" w:name="_Toc24545129"/>
      <w:bookmarkStart w:id="441" w:name="_Toc24545355"/>
      <w:bookmarkStart w:id="442" w:name="_Toc24547616"/>
      <w:bookmarkStart w:id="443" w:name="_Toc24551396"/>
      <w:bookmarkStart w:id="444" w:name="_Toc24554732"/>
      <w:bookmarkStart w:id="445" w:name="_Toc24556329"/>
      <w:r>
        <w:br w:type="page"/>
      </w:r>
    </w:p>
    <w:p w14:paraId="10409C2D" w14:textId="0D44EBA3" w:rsidR="007F0465" w:rsidRPr="00D862DA" w:rsidRDefault="007F0465" w:rsidP="007F0465">
      <w:pPr>
        <w:pStyle w:val="Heading1"/>
      </w:pPr>
      <w:bookmarkStart w:id="446" w:name="_Toc24728686"/>
      <w:bookmarkStart w:id="447" w:name="_Toc24731212"/>
      <w:r>
        <w:lastRenderedPageBreak/>
        <w:t>Principles for assessing how the system is performing</w:t>
      </w:r>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6"/>
      <w:bookmarkEnd w:id="447"/>
      <w:r>
        <w:t xml:space="preserve"> </w:t>
      </w:r>
      <w:bookmarkEnd w:id="440"/>
      <w:bookmarkEnd w:id="441"/>
      <w:bookmarkEnd w:id="442"/>
      <w:bookmarkEnd w:id="443"/>
      <w:bookmarkEnd w:id="444"/>
      <w:bookmarkEnd w:id="445"/>
    </w:p>
    <w:p w14:paraId="19B42279" w14:textId="2CBCE2E3" w:rsidR="007F0465" w:rsidRPr="001B3DCE" w:rsidRDefault="00F25451" w:rsidP="007F0465">
      <w:r>
        <w:t xml:space="preserve">The Panel has been tasked with </w:t>
      </w:r>
      <w:r w:rsidR="007E4146">
        <w:t>identifying the facts</w:t>
      </w:r>
      <w:r w:rsidRPr="0F869CF8">
        <w:t xml:space="preserve"> </w:t>
      </w:r>
      <w:r w:rsidR="007E4146">
        <w:t xml:space="preserve">that will help </w:t>
      </w:r>
      <w:r>
        <w:t>improv</w:t>
      </w:r>
      <w:r w:rsidR="007E4146">
        <w:t>e</w:t>
      </w:r>
      <w:r>
        <w:t xml:space="preserve"> understanding of </w:t>
      </w:r>
      <w:r w:rsidR="00E25467">
        <w:t>how</w:t>
      </w:r>
      <w:r w:rsidR="007E4146">
        <w:t xml:space="preserve"> the retirement income </w:t>
      </w:r>
      <w:r>
        <w:t xml:space="preserve">system </w:t>
      </w:r>
      <w:r w:rsidR="00E25467">
        <w:t xml:space="preserve">operates </w:t>
      </w:r>
      <w:r>
        <w:t>and the outcomes it is delivering</w:t>
      </w:r>
      <w:r w:rsidR="007E4146">
        <w:t xml:space="preserve"> for Australians</w:t>
      </w:r>
      <w:r w:rsidRPr="0F869CF8">
        <w:t xml:space="preserve">. </w:t>
      </w:r>
      <w:r w:rsidR="00E25467">
        <w:t xml:space="preserve">The terms of reference for the Review state that </w:t>
      </w:r>
      <w:r w:rsidR="00C54C37" w:rsidRPr="0F869CF8">
        <w:t>‘</w:t>
      </w:r>
      <w:r w:rsidR="00E25467">
        <w:t>it is important that the system allows Australians to achieve adequate retirement incomes, is fiscally sustainable and provides appropriate incentives for self</w:t>
      </w:r>
      <w:r w:rsidR="00751D73">
        <w:noBreakHyphen/>
      </w:r>
      <w:r w:rsidR="00E25467">
        <w:t>provision in retirement.</w:t>
      </w:r>
      <w:r w:rsidR="007A18AA" w:rsidRPr="0F869CF8">
        <w:t>’</w:t>
      </w:r>
      <w:r w:rsidR="006E50E2" w:rsidRPr="0F869CF8">
        <w:t xml:space="preserve"> </w:t>
      </w:r>
      <w:r w:rsidR="00945BAB">
        <w:t xml:space="preserve">In </w:t>
      </w:r>
      <w:r w:rsidR="00E25467">
        <w:t>this context</w:t>
      </w:r>
      <w:r w:rsidR="00945BAB">
        <w:t>, t</w:t>
      </w:r>
      <w:r w:rsidR="007F0465">
        <w:t xml:space="preserve">he Panel has identified four principles </w:t>
      </w:r>
      <w:r w:rsidR="00B92747">
        <w:t xml:space="preserve">it </w:t>
      </w:r>
      <w:r>
        <w:t>proposes to</w:t>
      </w:r>
      <w:r w:rsidR="000622E5">
        <w:t xml:space="preserve"> use to</w:t>
      </w:r>
      <w:r w:rsidR="00B92747">
        <w:t xml:space="preserve"> assess</w:t>
      </w:r>
      <w:r w:rsidR="007F0465">
        <w:t xml:space="preserve"> the performance</w:t>
      </w:r>
      <w:r w:rsidR="00945BAB" w:rsidRPr="0F869CF8">
        <w:t xml:space="preserve"> </w:t>
      </w:r>
      <w:r w:rsidR="007F0465">
        <w:t xml:space="preserve">of </w:t>
      </w:r>
      <w:r w:rsidR="003B68A2">
        <w:t>Australia’s</w:t>
      </w:r>
      <w:r w:rsidR="007F0465">
        <w:t xml:space="preserve"> retirement income system</w:t>
      </w:r>
      <w:r w:rsidR="00945BAB">
        <w:t>. They are</w:t>
      </w:r>
      <w:r w:rsidR="007F0465" w:rsidRPr="0F869CF8">
        <w:t>:</w:t>
      </w:r>
    </w:p>
    <w:p w14:paraId="2E9B314F" w14:textId="7CFD31E6" w:rsidR="007F0465" w:rsidRPr="004C59FA" w:rsidRDefault="007F0465" w:rsidP="004C59FA">
      <w:pPr>
        <w:pStyle w:val="Bullet"/>
      </w:pPr>
      <w:r w:rsidRPr="004C59FA">
        <w:t xml:space="preserve">Adequacy – whether the system allows for Australians to achieve an </w:t>
      </w:r>
      <w:r w:rsidR="00C07DD4">
        <w:t>adequate</w:t>
      </w:r>
      <w:r w:rsidR="00C07DD4" w:rsidRPr="004C59FA">
        <w:t xml:space="preserve"> </w:t>
      </w:r>
      <w:r w:rsidRPr="004C59FA">
        <w:t>standard of living in retirement.</w:t>
      </w:r>
    </w:p>
    <w:p w14:paraId="12BF63C4" w14:textId="77777777" w:rsidR="007F0465" w:rsidRPr="004C59FA" w:rsidRDefault="007F0465" w:rsidP="004C59FA">
      <w:pPr>
        <w:pStyle w:val="Bullet"/>
      </w:pPr>
      <w:r w:rsidRPr="004C59FA">
        <w:t xml:space="preserve">Equity – whether the system produces fair outcomes for different groups of Australians. </w:t>
      </w:r>
    </w:p>
    <w:p w14:paraId="5363154B" w14:textId="185FE6B8" w:rsidR="007F0465" w:rsidRPr="004C59FA" w:rsidRDefault="007F0465" w:rsidP="004C59FA">
      <w:pPr>
        <w:pStyle w:val="Bullet"/>
      </w:pPr>
      <w:r w:rsidRPr="004C59FA">
        <w:t>Sustainability – whether the system is able to continue to meet its objectives into the future</w:t>
      </w:r>
      <w:r w:rsidR="00C5718B" w:rsidRPr="004C59FA">
        <w:t xml:space="preserve"> and maintain broad community support</w:t>
      </w:r>
      <w:r w:rsidRPr="004C59FA">
        <w:t>.</w:t>
      </w:r>
    </w:p>
    <w:p w14:paraId="1B34B5D7" w14:textId="550BFA86" w:rsidR="007F0465" w:rsidRPr="004C59FA" w:rsidRDefault="007F0465" w:rsidP="004C59FA">
      <w:pPr>
        <w:pStyle w:val="Bullet"/>
      </w:pPr>
      <w:r w:rsidRPr="004C59FA">
        <w:t xml:space="preserve">Cohesion – whether the incentives across the system reinforce or </w:t>
      </w:r>
      <w:r w:rsidR="00401EA5" w:rsidRPr="004C59FA">
        <w:t>co</w:t>
      </w:r>
      <w:r w:rsidR="00401EA5">
        <w:t>nflic</w:t>
      </w:r>
      <w:r w:rsidR="00401EA5" w:rsidRPr="004C59FA">
        <w:t>t</w:t>
      </w:r>
      <w:r w:rsidR="0066700B">
        <w:t xml:space="preserve"> with</w:t>
      </w:r>
      <w:r w:rsidR="00401EA5" w:rsidRPr="004C59FA">
        <w:t xml:space="preserve"> </w:t>
      </w:r>
      <w:r w:rsidRPr="004C59FA">
        <w:t>the system’s objectives both before and during retirement.</w:t>
      </w:r>
    </w:p>
    <w:p w14:paraId="5030B98B" w14:textId="3814042E" w:rsidR="007F0465" w:rsidRDefault="007F0465" w:rsidP="007F0465">
      <w:r>
        <w:t xml:space="preserve">These principles each provide a different lens on the performance of the retirement income system. </w:t>
      </w:r>
      <w:r w:rsidR="00751D73">
        <w:t>They</w:t>
      </w:r>
      <w:r>
        <w:t xml:space="preserve"> may </w:t>
      </w:r>
      <w:r w:rsidR="001E7DFB">
        <w:t>reinforce</w:t>
      </w:r>
      <w:r>
        <w:t xml:space="preserve"> or conflict with each other </w:t>
      </w:r>
      <w:r w:rsidR="00FF49C0">
        <w:t>for different aspects</w:t>
      </w:r>
      <w:r>
        <w:t xml:space="preserve"> of the system, reflecting the trade-offs that exist within the system</w:t>
      </w:r>
      <w:r w:rsidR="00751D73">
        <w:t>.</w:t>
      </w:r>
    </w:p>
    <w:p w14:paraId="270D7E6F" w14:textId="6CAC26F9" w:rsidR="006E50E2" w:rsidRDefault="007F0465" w:rsidP="007F0465">
      <w:r>
        <w:t xml:space="preserve">The Review will seek to </w:t>
      </w:r>
      <w:r w:rsidR="001218CD">
        <w:t>establish evidence to assess how</w:t>
      </w:r>
      <w:r>
        <w:t xml:space="preserve"> the system performs against each of the principles, as well as wh</w:t>
      </w:r>
      <w:r w:rsidR="00FF49C0">
        <w:t>ere</w:t>
      </w:r>
      <w:r>
        <w:t xml:space="preserve"> trade-offs exist </w:t>
      </w:r>
      <w:r w:rsidR="00FF49C0">
        <w:t>between them</w:t>
      </w:r>
      <w:r>
        <w:t>.</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0C6BC1" w14:paraId="45EDF1B9" w14:textId="77777777" w:rsidTr="000C6BC1">
        <w:tc>
          <w:tcPr>
            <w:tcW w:w="5000" w:type="pct"/>
            <w:shd w:val="clear" w:color="auto" w:fill="EBEBEB"/>
          </w:tcPr>
          <w:p w14:paraId="3C6E4EE7" w14:textId="07F8EED4" w:rsidR="000C6BC1" w:rsidRPr="00D42153" w:rsidRDefault="000C6BC1" w:rsidP="000C6BC1">
            <w:pPr>
              <w:pStyle w:val="BoxHeading"/>
              <w:spacing w:before="141" w:after="70"/>
            </w:pPr>
            <w:r w:rsidRPr="00D42153">
              <w:t xml:space="preserve">Consultation </w:t>
            </w:r>
            <w:r w:rsidR="00401EA5">
              <w:t>q</w:t>
            </w:r>
            <w:r w:rsidRPr="00D42153">
              <w:t>uestions:</w:t>
            </w:r>
          </w:p>
          <w:p w14:paraId="6ED5C07E" w14:textId="23511A01" w:rsidR="000C6BC1" w:rsidRPr="00D42153" w:rsidRDefault="000C6BC1" w:rsidP="000C6BC1">
            <w:pPr>
              <w:pStyle w:val="BoxText"/>
              <w:spacing w:before="70" w:after="70"/>
            </w:pPr>
            <w:bookmarkStart w:id="448" w:name="_Toc24550885"/>
            <w:bookmarkStart w:id="449" w:name="_Toc24728782"/>
            <w:r w:rsidRPr="00D42153">
              <w:t xml:space="preserve">Are the principles </w:t>
            </w:r>
            <w:r>
              <w:t>proposed</w:t>
            </w:r>
            <w:r w:rsidRPr="00D42153">
              <w:t xml:space="preserve"> by the Panel (adequacy, equity, sustainability</w:t>
            </w:r>
            <w:r w:rsidR="00401EA5">
              <w:t>,</w:t>
            </w:r>
            <w:r w:rsidRPr="00D42153">
              <w:t xml:space="preserve"> and cohesion) appropriate benchmarks for </w:t>
            </w:r>
            <w:r>
              <w:t>assessing</w:t>
            </w:r>
            <w:r w:rsidRPr="00D42153">
              <w:t xml:space="preserve"> the outcomes the retirement income system is delivering for Australians now and in the future? Are there other principles that should be included?</w:t>
            </w:r>
            <w:bookmarkEnd w:id="448"/>
            <w:bookmarkEnd w:id="449"/>
          </w:p>
          <w:p w14:paraId="57FAA738" w14:textId="761BC3BE" w:rsidR="000C6BC1" w:rsidRDefault="000C6BC1" w:rsidP="000C6BC1">
            <w:pPr>
              <w:pStyle w:val="BoxText"/>
              <w:spacing w:before="70" w:after="70"/>
            </w:pPr>
            <w:bookmarkStart w:id="450" w:name="_Toc24550886"/>
            <w:bookmarkStart w:id="451" w:name="_Toc24728783"/>
            <w:r w:rsidRPr="00D42153">
              <w:t xml:space="preserve">How does the system balance each of the principles and the trade-offs between principles (e.g. sustainability and adequacy) under current settings? What is the evidence to support </w:t>
            </w:r>
            <w:r>
              <w:t>whether the current</w:t>
            </w:r>
            <w:r w:rsidRPr="00D42153">
              <w:t xml:space="preserve"> balance is appropriate?</w:t>
            </w:r>
            <w:bookmarkEnd w:id="450"/>
            <w:bookmarkEnd w:id="451"/>
          </w:p>
        </w:tc>
      </w:tr>
    </w:tbl>
    <w:p w14:paraId="05F8839A" w14:textId="77777777" w:rsidR="0066700B" w:rsidRDefault="0066700B">
      <w:pPr>
        <w:spacing w:before="0" w:after="160" w:line="259" w:lineRule="auto"/>
        <w:rPr>
          <w:rFonts w:cs="Arial"/>
          <w:color w:val="144E60" w:themeColor="accent1"/>
          <w:kern w:val="32"/>
          <w:sz w:val="48"/>
          <w:szCs w:val="36"/>
        </w:rPr>
      </w:pPr>
      <w:bookmarkStart w:id="452" w:name="_Toc22742369"/>
      <w:bookmarkStart w:id="453" w:name="_Toc22744326"/>
      <w:bookmarkStart w:id="454" w:name="_Toc22814034"/>
      <w:bookmarkStart w:id="455" w:name="_Toc22815465"/>
      <w:bookmarkStart w:id="456" w:name="_Toc22823081"/>
      <w:bookmarkStart w:id="457" w:name="_Toc22828893"/>
      <w:bookmarkStart w:id="458" w:name="_Toc22830448"/>
      <w:bookmarkStart w:id="459" w:name="_Toc22886966"/>
      <w:bookmarkStart w:id="460" w:name="_Toc22888745"/>
      <w:bookmarkStart w:id="461" w:name="_Toc22889663"/>
      <w:bookmarkStart w:id="462" w:name="_Toc22890028"/>
      <w:bookmarkStart w:id="463" w:name="_Toc22891296"/>
      <w:bookmarkStart w:id="464" w:name="_Toc22891494"/>
      <w:bookmarkStart w:id="465" w:name="_Toc22894271"/>
      <w:bookmarkStart w:id="466" w:name="_Toc23515093"/>
      <w:bookmarkStart w:id="467" w:name="_Toc23515507"/>
      <w:bookmarkStart w:id="468" w:name="_Toc23521054"/>
      <w:bookmarkStart w:id="469" w:name="_Toc24545130"/>
      <w:bookmarkStart w:id="470" w:name="_Toc24545356"/>
      <w:bookmarkStart w:id="471" w:name="_Toc24547617"/>
      <w:bookmarkStart w:id="472" w:name="_Toc24551397"/>
      <w:bookmarkStart w:id="473" w:name="_Toc24554733"/>
      <w:bookmarkStart w:id="474" w:name="_Toc24556330"/>
      <w:bookmarkStart w:id="475" w:name="_Toc24712775"/>
      <w:bookmarkStart w:id="476" w:name="_Toc24717019"/>
      <w:bookmarkStart w:id="477" w:name="_Toc24721558"/>
      <w:bookmarkStart w:id="478" w:name="_Toc24722272"/>
      <w:r>
        <w:br w:type="page"/>
      </w:r>
    </w:p>
    <w:p w14:paraId="7D5871FE" w14:textId="51C176D4" w:rsidR="007F0465" w:rsidRDefault="007F0465" w:rsidP="007F0465">
      <w:pPr>
        <w:pStyle w:val="Heading1"/>
      </w:pPr>
      <w:bookmarkStart w:id="479" w:name="_Toc24728687"/>
      <w:bookmarkStart w:id="480" w:name="_Toc24731213"/>
      <w:r>
        <w:lastRenderedPageBreak/>
        <w:t>Adequacy</w:t>
      </w:r>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p>
    <w:p w14:paraId="451A116A" w14:textId="77777777" w:rsidR="007F0465" w:rsidRDefault="007F0465" w:rsidP="007F0465">
      <w:pPr>
        <w:pStyle w:val="Heading2"/>
      </w:pPr>
      <w:bookmarkStart w:id="481" w:name="_Toc22742370"/>
      <w:bookmarkStart w:id="482" w:name="_Toc22744327"/>
      <w:bookmarkStart w:id="483" w:name="_Toc22814035"/>
      <w:bookmarkStart w:id="484" w:name="_Toc22815466"/>
      <w:bookmarkStart w:id="485" w:name="_Toc22823082"/>
      <w:bookmarkStart w:id="486" w:name="_Toc22828894"/>
      <w:bookmarkStart w:id="487" w:name="_Toc22830449"/>
      <w:bookmarkStart w:id="488" w:name="_Toc22886967"/>
      <w:bookmarkStart w:id="489" w:name="_Toc22888746"/>
      <w:bookmarkStart w:id="490" w:name="_Toc22889664"/>
      <w:bookmarkStart w:id="491" w:name="_Toc22890029"/>
      <w:bookmarkStart w:id="492" w:name="_Toc22891297"/>
      <w:bookmarkStart w:id="493" w:name="_Toc22891495"/>
      <w:bookmarkStart w:id="494" w:name="_Toc22894272"/>
      <w:bookmarkStart w:id="495" w:name="_Toc23515094"/>
      <w:bookmarkStart w:id="496" w:name="_Toc23515508"/>
      <w:bookmarkStart w:id="497" w:name="_Toc23521055"/>
      <w:bookmarkStart w:id="498" w:name="_Toc24545131"/>
      <w:bookmarkStart w:id="499" w:name="_Toc24545357"/>
      <w:bookmarkStart w:id="500" w:name="_Toc24547618"/>
      <w:bookmarkStart w:id="501" w:name="_Toc24551398"/>
      <w:bookmarkStart w:id="502" w:name="_Toc24554734"/>
      <w:bookmarkStart w:id="503" w:name="_Toc24556331"/>
      <w:bookmarkStart w:id="504" w:name="_Toc24712776"/>
      <w:bookmarkStart w:id="505" w:name="_Toc24717020"/>
      <w:bookmarkStart w:id="506" w:name="_Toc24721559"/>
      <w:bookmarkStart w:id="507" w:name="_Toc24722273"/>
      <w:bookmarkStart w:id="508" w:name="_Toc24728688"/>
      <w:bookmarkStart w:id="509" w:name="_Toc24731214"/>
      <w:r w:rsidRPr="00336601">
        <w:t xml:space="preserve">What </w:t>
      </w:r>
      <w:r>
        <w:t>is</w:t>
      </w:r>
      <w:r w:rsidRPr="00336601">
        <w:t xml:space="preserve"> mean</w:t>
      </w:r>
      <w:r>
        <w:t>t</w:t>
      </w:r>
      <w:r w:rsidRPr="00336601">
        <w:t xml:space="preserve"> by </w:t>
      </w:r>
      <w:r>
        <w:t>adequacy</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14:paraId="64DBEB01" w14:textId="311283B9" w:rsidR="007F0465" w:rsidRDefault="00751D73" w:rsidP="007F0465">
      <w:r>
        <w:t>N</w:t>
      </w:r>
      <w:r w:rsidR="007F0465">
        <w:t xml:space="preserve">o consensus </w:t>
      </w:r>
      <w:r w:rsidR="00671D59">
        <w:t xml:space="preserve">exists </w:t>
      </w:r>
      <w:r w:rsidR="00401EA5">
        <w:t>on</w:t>
      </w:r>
      <w:r w:rsidR="007F0465">
        <w:t xml:space="preserve"> what </w:t>
      </w:r>
      <w:r w:rsidR="00DB601F">
        <w:t>is</w:t>
      </w:r>
      <w:r w:rsidR="007F0465">
        <w:t xml:space="preserve"> </w:t>
      </w:r>
      <w:r w:rsidR="00671D59">
        <w:t>the best metric to measure an</w:t>
      </w:r>
      <w:r w:rsidR="007F0465">
        <w:t xml:space="preserve"> adequate retirement income</w:t>
      </w:r>
      <w:r w:rsidR="00C8158F">
        <w:t>, moreover, it will vary between individuals, based on personal preferences and circumstances, including working life income.</w:t>
      </w:r>
      <w:r w:rsidR="00434393">
        <w:t xml:space="preserve"> </w:t>
      </w:r>
      <w:r w:rsidR="00BA0CB2">
        <w:t>Despite this</w:t>
      </w:r>
      <w:r w:rsidR="00DF26C6">
        <w:t xml:space="preserve">, </w:t>
      </w:r>
      <w:r w:rsidR="00BA0CB2">
        <w:t>a</w:t>
      </w:r>
      <w:r w:rsidR="009E1184">
        <w:t xml:space="preserve"> measure of adequacy</w:t>
      </w:r>
      <w:r w:rsidR="00DF26C6">
        <w:t xml:space="preserve"> can</w:t>
      </w:r>
      <w:r w:rsidR="00991725">
        <w:t xml:space="preserve"> </w:t>
      </w:r>
      <w:r w:rsidR="002B725F">
        <w:t>provide</w:t>
      </w:r>
      <w:r w:rsidR="00991725">
        <w:t xml:space="preserve"> a</w:t>
      </w:r>
      <w:r w:rsidR="007F0465">
        <w:t xml:space="preserve"> reference point for Australians to help them understand their needs in retirement</w:t>
      </w:r>
      <w:r w:rsidR="00991725">
        <w:t xml:space="preserve"> and the level of savings required to support those needs</w:t>
      </w:r>
      <w:r w:rsidR="007F0465">
        <w:t xml:space="preserve">. </w:t>
      </w:r>
      <w:r w:rsidR="004609DF">
        <w:t>Adequacy measures are also useful</w:t>
      </w:r>
      <w:r w:rsidR="007F0465">
        <w:t xml:space="preserve"> for assessing </w:t>
      </w:r>
      <w:r w:rsidR="001218CD">
        <w:t>whether</w:t>
      </w:r>
      <w:r w:rsidR="007F0465">
        <w:t xml:space="preserve"> outcomes delivered to different groups by the retirement income system</w:t>
      </w:r>
      <w:r w:rsidR="001218CD">
        <w:t xml:space="preserve"> are appropriate</w:t>
      </w:r>
      <w:r w:rsidR="007F0465">
        <w:t>.</w:t>
      </w:r>
    </w:p>
    <w:tbl>
      <w:tblPr>
        <w:tblW w:w="5000" w:type="pct"/>
        <w:shd w:val="clear" w:color="auto" w:fill="DFD7E7" w:themeFill="accent3" w:themeFillTint="33"/>
        <w:tblLook w:val="01E0" w:firstRow="1" w:lastRow="1" w:firstColumn="1" w:lastColumn="1" w:noHBand="0" w:noVBand="0"/>
      </w:tblPr>
      <w:tblGrid>
        <w:gridCol w:w="9070"/>
      </w:tblGrid>
      <w:tr w:rsidR="000C6BC1" w14:paraId="4CD3CFA6" w14:textId="77777777" w:rsidTr="000C6BC1">
        <w:tc>
          <w:tcPr>
            <w:tcW w:w="5000" w:type="pct"/>
            <w:shd w:val="clear" w:color="auto" w:fill="DFD7E7" w:themeFill="accent3" w:themeFillTint="33"/>
          </w:tcPr>
          <w:p w14:paraId="1F2379C8" w14:textId="77777777" w:rsidR="000C6BC1" w:rsidRDefault="000C6BC1" w:rsidP="000C6BC1">
            <w:pPr>
              <w:pStyle w:val="BoxHeading"/>
              <w:spacing w:before="141" w:after="70"/>
            </w:pPr>
            <w:r>
              <w:t>Adequacy considerations</w:t>
            </w:r>
          </w:p>
          <w:p w14:paraId="2F03AF38" w14:textId="77777777" w:rsidR="000C6BC1" w:rsidRPr="007F0465" w:rsidRDefault="000C6BC1" w:rsidP="000C6BC1">
            <w:pPr>
              <w:pStyle w:val="BoxText"/>
              <w:spacing w:before="70" w:after="70"/>
            </w:pPr>
            <w:bookmarkStart w:id="510" w:name="_Toc24550887"/>
            <w:bookmarkStart w:id="511" w:name="_Toc24728784"/>
            <w:r w:rsidRPr="007F0465">
              <w:t xml:space="preserve">There are a number of questions the Panel proposes to consider when assessing the </w:t>
            </w:r>
            <w:r>
              <w:t>adequacy</w:t>
            </w:r>
            <w:r w:rsidRPr="007F0465">
              <w:t xml:space="preserve"> of the retirement income system.</w:t>
            </w:r>
            <w:r>
              <w:t xml:space="preserve"> These include:</w:t>
            </w:r>
            <w:bookmarkEnd w:id="510"/>
            <w:bookmarkEnd w:id="511"/>
          </w:p>
          <w:p w14:paraId="3B65CEB6" w14:textId="271AE2B6" w:rsidR="000C6BC1" w:rsidRDefault="000C6BC1" w:rsidP="000C6BC1">
            <w:pPr>
              <w:pStyle w:val="BoxBullet"/>
              <w:tabs>
                <w:tab w:val="clear" w:pos="283"/>
                <w:tab w:val="num" w:pos="166"/>
              </w:tabs>
              <w:spacing w:after="70"/>
              <w:ind w:left="166" w:hanging="166"/>
            </w:pPr>
            <w:r>
              <w:t>What are the relative strengths and weaknesses of different measures of adequacy?</w:t>
            </w:r>
          </w:p>
          <w:p w14:paraId="4BB7EE03" w14:textId="77777777" w:rsidR="000C6BC1" w:rsidRDefault="000C6BC1" w:rsidP="000C6BC1">
            <w:pPr>
              <w:pStyle w:val="BoxDash"/>
              <w:tabs>
                <w:tab w:val="clear" w:pos="567"/>
                <w:tab w:val="num" w:pos="334"/>
              </w:tabs>
              <w:spacing w:after="70"/>
              <w:ind w:left="334" w:hanging="167"/>
            </w:pPr>
            <w:r>
              <w:t xml:space="preserve">Are there circumstances where one measure of adequacy is superior to another? </w:t>
            </w:r>
          </w:p>
          <w:p w14:paraId="6A32D762" w14:textId="77777777" w:rsidR="000C6BC1" w:rsidRDefault="000C6BC1" w:rsidP="000C6BC1">
            <w:pPr>
              <w:pStyle w:val="BoxDash"/>
              <w:tabs>
                <w:tab w:val="clear" w:pos="567"/>
                <w:tab w:val="num" w:pos="334"/>
              </w:tabs>
              <w:spacing w:after="70"/>
              <w:ind w:left="334" w:hanging="167"/>
            </w:pPr>
            <w:r>
              <w:t>What are appropriate assumptions to use when determining adequacy?</w:t>
            </w:r>
          </w:p>
          <w:p w14:paraId="3B7DB2D4" w14:textId="77777777" w:rsidR="000C6BC1" w:rsidRDefault="000C6BC1" w:rsidP="000C6BC1">
            <w:pPr>
              <w:pStyle w:val="BoxBullet"/>
              <w:tabs>
                <w:tab w:val="clear" w:pos="283"/>
                <w:tab w:val="num" w:pos="166"/>
              </w:tabs>
              <w:spacing w:after="70"/>
              <w:ind w:left="166" w:hanging="166"/>
            </w:pPr>
            <w:r>
              <w:t>What factors affect whether retirement income is adequate?</w:t>
            </w:r>
          </w:p>
          <w:p w14:paraId="60423BE4" w14:textId="77777777" w:rsidR="000C6BC1" w:rsidRDefault="000C6BC1" w:rsidP="000C6BC1">
            <w:pPr>
              <w:pStyle w:val="BoxDash"/>
              <w:tabs>
                <w:tab w:val="clear" w:pos="567"/>
                <w:tab w:val="num" w:pos="334"/>
              </w:tabs>
              <w:spacing w:after="70"/>
              <w:ind w:left="334" w:hanging="167"/>
            </w:pPr>
            <w:r>
              <w:t xml:space="preserve">How does the pattern of consumption needs during retirement affect the level of income that is adequate? </w:t>
            </w:r>
          </w:p>
          <w:p w14:paraId="2EE61C2E" w14:textId="6800819A" w:rsidR="000C6BC1" w:rsidRPr="008950C5" w:rsidRDefault="000C6BC1" w:rsidP="004D1D0A">
            <w:pPr>
              <w:pStyle w:val="BoxDash"/>
              <w:tabs>
                <w:tab w:val="clear" w:pos="567"/>
                <w:tab w:val="num" w:pos="334"/>
              </w:tabs>
              <w:spacing w:after="70"/>
              <w:ind w:left="334" w:hanging="167"/>
            </w:pPr>
            <w:bookmarkStart w:id="512" w:name="_Toc24550888"/>
            <w:r>
              <w:t>How do measures of adequacy take into account the different characteristics of retirees and the level of government support they receive?</w:t>
            </w:r>
            <w:bookmarkEnd w:id="512"/>
          </w:p>
        </w:tc>
      </w:tr>
    </w:tbl>
    <w:p w14:paraId="37C07240" w14:textId="77777777" w:rsidR="000C6BC1" w:rsidRDefault="000C6BC1" w:rsidP="00F63ED1">
      <w:pPr>
        <w:pStyle w:val="SingleParagraph"/>
      </w:pP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F63ED1" w14:paraId="2C5AC787" w14:textId="77777777" w:rsidTr="00C742C6">
        <w:tc>
          <w:tcPr>
            <w:tcW w:w="5000" w:type="pct"/>
            <w:shd w:val="clear" w:color="auto" w:fill="EBEBEB"/>
          </w:tcPr>
          <w:p w14:paraId="4ACB128E" w14:textId="31CAB68B" w:rsidR="00F63ED1" w:rsidRPr="007D282C" w:rsidRDefault="00F63ED1" w:rsidP="00F63ED1">
            <w:pPr>
              <w:pStyle w:val="BoxHeading"/>
              <w:spacing w:before="141" w:after="70"/>
            </w:pPr>
            <w:bookmarkStart w:id="513" w:name="_Toc22814036"/>
            <w:bookmarkStart w:id="514" w:name="_Toc22815467"/>
            <w:bookmarkStart w:id="515" w:name="_Toc22823083"/>
            <w:bookmarkStart w:id="516" w:name="_Toc22828895"/>
            <w:bookmarkStart w:id="517" w:name="_Toc22830450"/>
            <w:bookmarkStart w:id="518" w:name="_Toc22886968"/>
            <w:bookmarkStart w:id="519" w:name="_Toc22888747"/>
            <w:bookmarkStart w:id="520" w:name="_Toc22889665"/>
            <w:bookmarkStart w:id="521" w:name="_Toc22890030"/>
            <w:bookmarkStart w:id="522" w:name="_Toc22891298"/>
            <w:bookmarkStart w:id="523" w:name="_Toc22891496"/>
            <w:bookmarkStart w:id="524" w:name="_Toc22894273"/>
            <w:r w:rsidRPr="001955CF">
              <w:t xml:space="preserve">Consultation </w:t>
            </w:r>
            <w:r w:rsidR="00401EA5">
              <w:t>q</w:t>
            </w:r>
            <w:r w:rsidRPr="001955CF">
              <w:t>uestion:</w:t>
            </w:r>
          </w:p>
          <w:p w14:paraId="2AEEF5DC" w14:textId="6B93B4F1" w:rsidR="00F63ED1" w:rsidRDefault="00F63ED1" w:rsidP="00F63ED1">
            <w:pPr>
              <w:pStyle w:val="BoxText"/>
              <w:spacing w:before="70" w:after="70"/>
            </w:pPr>
            <w:bookmarkStart w:id="525" w:name="_Toc23490843"/>
            <w:bookmarkStart w:id="526" w:name="_Toc23495450"/>
            <w:bookmarkStart w:id="527" w:name="_Toc23512793"/>
            <w:bookmarkStart w:id="528" w:name="_Toc23515474"/>
            <w:bookmarkStart w:id="529" w:name="_Toc23515719"/>
            <w:bookmarkStart w:id="530" w:name="_Toc24550889"/>
            <w:bookmarkStart w:id="531" w:name="_Toc24728785"/>
            <w:r>
              <w:t>What should the Panel consider when assessing the adequacy of the retirement income system?</w:t>
            </w:r>
            <w:bookmarkEnd w:id="525"/>
            <w:bookmarkEnd w:id="526"/>
            <w:bookmarkEnd w:id="527"/>
            <w:bookmarkEnd w:id="528"/>
            <w:bookmarkEnd w:id="529"/>
            <w:bookmarkEnd w:id="530"/>
            <w:bookmarkEnd w:id="531"/>
          </w:p>
        </w:tc>
      </w:tr>
    </w:tbl>
    <w:p w14:paraId="63D3821E" w14:textId="1E0A2A1F" w:rsidR="007F0465" w:rsidRDefault="007F0465" w:rsidP="007F0465">
      <w:pPr>
        <w:pStyle w:val="Heading2"/>
      </w:pPr>
      <w:bookmarkStart w:id="532" w:name="_Toc23515095"/>
      <w:bookmarkStart w:id="533" w:name="_Toc23515509"/>
      <w:bookmarkStart w:id="534" w:name="_Toc23521056"/>
      <w:bookmarkStart w:id="535" w:name="_Toc24545132"/>
      <w:bookmarkStart w:id="536" w:name="_Toc24545358"/>
      <w:bookmarkStart w:id="537" w:name="_Toc24547619"/>
      <w:bookmarkStart w:id="538" w:name="_Toc24551399"/>
      <w:bookmarkStart w:id="539" w:name="_Toc24554735"/>
      <w:bookmarkStart w:id="540" w:name="_Toc24556332"/>
      <w:bookmarkStart w:id="541" w:name="_Toc24712777"/>
      <w:bookmarkStart w:id="542" w:name="_Toc24717021"/>
      <w:bookmarkStart w:id="543" w:name="_Toc24721560"/>
      <w:bookmarkStart w:id="544" w:name="_Toc24722274"/>
      <w:bookmarkStart w:id="545" w:name="_Toc24728689"/>
      <w:bookmarkStart w:id="546" w:name="_Toc24731215"/>
      <w:r>
        <w:t xml:space="preserve">Measures of </w:t>
      </w:r>
      <w:r w:rsidRPr="00D50ADA">
        <w:t>adequacy</w:t>
      </w:r>
      <w:bookmarkEnd w:id="513"/>
      <w:bookmarkEnd w:id="514"/>
      <w:bookmarkEnd w:id="515"/>
      <w:bookmarkEnd w:id="516"/>
      <w:bookmarkEnd w:id="517"/>
      <w:bookmarkEnd w:id="518"/>
      <w:bookmarkEnd w:id="519"/>
      <w:bookmarkEnd w:id="520"/>
      <w:bookmarkEnd w:id="521"/>
      <w:bookmarkEnd w:id="522"/>
      <w:bookmarkEnd w:id="523"/>
      <w:bookmarkEnd w:id="524"/>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p>
    <w:p w14:paraId="4433A34C" w14:textId="77777777" w:rsidR="007F0465" w:rsidRDefault="007F0465" w:rsidP="007F0465">
      <w:r>
        <w:t>Measures of retirement income</w:t>
      </w:r>
      <w:r w:rsidRPr="00F1262F">
        <w:t xml:space="preserve"> </w:t>
      </w:r>
      <w:r>
        <w:t>adequacy can be classified as either absolute or relative measures.</w:t>
      </w:r>
      <w:r w:rsidDel="004B16D3">
        <w:t xml:space="preserve"> </w:t>
      </w:r>
    </w:p>
    <w:p w14:paraId="0C0C71C1" w14:textId="77777777" w:rsidR="007F0465" w:rsidRPr="0004261B" w:rsidRDefault="007F0465" w:rsidP="004B0B4F">
      <w:pPr>
        <w:pStyle w:val="Heading3"/>
        <w:spacing w:before="0"/>
        <w:rPr>
          <w:color w:val="0F3A47" w:themeColor="accent1" w:themeShade="BF"/>
        </w:rPr>
      </w:pPr>
      <w:r w:rsidRPr="0004261B">
        <w:t xml:space="preserve">Relative </w:t>
      </w:r>
      <w:r w:rsidRPr="009D3BD4">
        <w:t>measures</w:t>
      </w:r>
      <w:r w:rsidRPr="0004261B">
        <w:t xml:space="preserve"> </w:t>
      </w:r>
    </w:p>
    <w:p w14:paraId="5474B61B" w14:textId="12ECE5D7" w:rsidR="007F0465" w:rsidRDefault="007F0465" w:rsidP="00E74637">
      <w:pPr>
        <w:pStyle w:val="Bullet"/>
        <w:numPr>
          <w:ilvl w:val="0"/>
          <w:numId w:val="0"/>
        </w:numPr>
      </w:pPr>
      <w:r w:rsidRPr="004B16D3">
        <w:t>Relative adequacy measures</w:t>
      </w:r>
      <w:r w:rsidRPr="03DB79B5">
        <w:t xml:space="preserve"> </w:t>
      </w:r>
      <w:r w:rsidR="00B32D45">
        <w:t>estimate</w:t>
      </w:r>
      <w:r w:rsidR="00B32D45" w:rsidRPr="03DB79B5">
        <w:t xml:space="preserve"> </w:t>
      </w:r>
      <w:r w:rsidRPr="004B16D3">
        <w:t xml:space="preserve">retirement income requirements </w:t>
      </w:r>
      <w:r>
        <w:t xml:space="preserve">by defining benchmark replacement rates based on </w:t>
      </w:r>
      <w:r w:rsidR="00401EA5">
        <w:t>a</w:t>
      </w:r>
      <w:r w:rsidR="00B65F71">
        <w:t>n</w:t>
      </w:r>
      <w:r>
        <w:t xml:space="preserve"> </w:t>
      </w:r>
      <w:r w:rsidR="00B65F71">
        <w:t>individual</w:t>
      </w:r>
      <w:r>
        <w:t xml:space="preserve">’s </w:t>
      </w:r>
      <w:r w:rsidR="03DB79B5">
        <w:t>income</w:t>
      </w:r>
      <w:r w:rsidR="009E1184">
        <w:t xml:space="preserve"> or expenses</w:t>
      </w:r>
      <w:r w:rsidR="03DB79B5">
        <w:t xml:space="preserve"> </w:t>
      </w:r>
      <w:r>
        <w:t>prior to retirement.</w:t>
      </w:r>
    </w:p>
    <w:p w14:paraId="1C7AFE1B" w14:textId="2CE075F8" w:rsidR="007F0465" w:rsidRDefault="00401EA5" w:rsidP="00E74637">
      <w:pPr>
        <w:pStyle w:val="Bullet"/>
        <w:numPr>
          <w:ilvl w:val="0"/>
          <w:numId w:val="0"/>
        </w:numPr>
      </w:pPr>
      <w:r>
        <w:t>A</w:t>
      </w:r>
      <w:r w:rsidR="007F0465">
        <w:t xml:space="preserve"> benchmark replacement rate in retirement could be set to allow </w:t>
      </w:r>
      <w:r>
        <w:t>an</w:t>
      </w:r>
      <w:r w:rsidR="007F0465">
        <w:t xml:space="preserve"> individual to maintain a similar lifestyle in retirement (i.e. achieve ‘consumption smoothing’) </w:t>
      </w:r>
      <w:r w:rsidR="00EE2B75">
        <w:t>to that enjoyed pre-retirement</w:t>
      </w:r>
      <w:r w:rsidR="007F0465">
        <w:t xml:space="preserve">. </w:t>
      </w:r>
      <w:r>
        <w:t>Given</w:t>
      </w:r>
      <w:r w:rsidR="007F0465">
        <w:t xml:space="preserve"> replacement rates are usually framed as a percentage of pre-retirement income or expenditure, </w:t>
      </w:r>
      <w:r>
        <w:t>th</w:t>
      </w:r>
      <w:r w:rsidR="0017533B">
        <w:t>ey may</w:t>
      </w:r>
      <w:r w:rsidR="00DF26C6">
        <w:t xml:space="preserve"> </w:t>
      </w:r>
      <w:r w:rsidR="00EE2B75">
        <w:t xml:space="preserve">allow </w:t>
      </w:r>
      <w:r w:rsidR="0033692F">
        <w:t>indivi</w:t>
      </w:r>
      <w:r w:rsidR="00DA4888">
        <w:t>duals</w:t>
      </w:r>
      <w:r w:rsidR="00EE2B75">
        <w:t xml:space="preserve"> to </w:t>
      </w:r>
      <w:r w:rsidR="007F0465">
        <w:t xml:space="preserve">calculate a retirement income goal for their own circumstances. </w:t>
      </w:r>
    </w:p>
    <w:p w14:paraId="3573128C" w14:textId="43C45EDA" w:rsidR="007F0465" w:rsidRPr="00F1262F" w:rsidRDefault="007F0465" w:rsidP="007F0465">
      <w:r w:rsidRPr="00845BBF">
        <w:t xml:space="preserve">A </w:t>
      </w:r>
      <w:r w:rsidR="001D471F">
        <w:t xml:space="preserve">key </w:t>
      </w:r>
      <w:r w:rsidRPr="00845BBF">
        <w:t xml:space="preserve">weakness of </w:t>
      </w:r>
      <w:r w:rsidR="00EF016D">
        <w:t>system</w:t>
      </w:r>
      <w:r w:rsidR="001D471F">
        <w:noBreakHyphen/>
      </w:r>
      <w:r w:rsidR="00EF016D">
        <w:t xml:space="preserve">wide measures of </w:t>
      </w:r>
      <w:r>
        <w:t>replacement rates</w:t>
      </w:r>
      <w:r w:rsidRPr="00845BBF">
        <w:t xml:space="preserve"> </w:t>
      </w:r>
      <w:r>
        <w:t>is</w:t>
      </w:r>
      <w:r w:rsidRPr="00845BBF">
        <w:t xml:space="preserve"> </w:t>
      </w:r>
      <w:r>
        <w:t>they need to be higher for</w:t>
      </w:r>
      <w:r w:rsidRPr="00845BBF">
        <w:t xml:space="preserve"> </w:t>
      </w:r>
      <w:r w:rsidR="00DA4888">
        <w:t>individuals</w:t>
      </w:r>
      <w:r w:rsidRPr="00845BBF">
        <w:t xml:space="preserve"> on low </w:t>
      </w:r>
      <w:r>
        <w:t>incomes to avoid the risk the replacement rate results in incomes associated with poverty</w:t>
      </w:r>
      <w:r w:rsidRPr="00845BBF">
        <w:t>.</w:t>
      </w:r>
      <w:r>
        <w:t xml:space="preserve"> To avoid this outcome, </w:t>
      </w:r>
      <w:r w:rsidR="00EE2B75">
        <w:t xml:space="preserve">a </w:t>
      </w:r>
      <w:r w:rsidR="0017573D">
        <w:t xml:space="preserve">different replacement rate could be set for those on higher incomes </w:t>
      </w:r>
      <w:r w:rsidR="001D471F">
        <w:t>to</w:t>
      </w:r>
      <w:r w:rsidR="0017573D">
        <w:t xml:space="preserve"> those on lower incomes. </w:t>
      </w:r>
      <w:r w:rsidR="00EE2B75">
        <w:t xml:space="preserve">Alternatively, </w:t>
      </w:r>
      <w:r w:rsidR="001B53BB">
        <w:t>a replacement rate</w:t>
      </w:r>
      <w:r w:rsidR="00EE2B75">
        <w:t xml:space="preserve"> could </w:t>
      </w:r>
      <w:r>
        <w:t>be combined with an absolute minimum</w:t>
      </w:r>
      <w:r w:rsidR="00EE2B75">
        <w:t xml:space="preserve"> </w:t>
      </w:r>
      <w:r w:rsidR="001B53BB">
        <w:t xml:space="preserve">income target </w:t>
      </w:r>
      <w:r w:rsidR="00EE2B75">
        <w:t>to establish a baseline income</w:t>
      </w:r>
      <w:r>
        <w:t>.</w:t>
      </w:r>
    </w:p>
    <w:p w14:paraId="30B764EF" w14:textId="5BA3A5B1" w:rsidR="00A7532C" w:rsidRDefault="00F06662" w:rsidP="007F0465">
      <w:r>
        <w:t xml:space="preserve">Most benchmark replacement rates </w:t>
      </w:r>
      <w:r w:rsidR="000D6E09">
        <w:t xml:space="preserve">deliver a </w:t>
      </w:r>
      <w:r>
        <w:t xml:space="preserve">lower level of income in retirement relative to </w:t>
      </w:r>
      <w:r w:rsidR="000D6E09">
        <w:t>working life income</w:t>
      </w:r>
      <w:r>
        <w:t xml:space="preserve">. This is based on an assumption that retirees </w:t>
      </w:r>
      <w:r w:rsidR="000D6E09">
        <w:t>do</w:t>
      </w:r>
      <w:r>
        <w:t xml:space="preserve"> not face a number of </w:t>
      </w:r>
      <w:r w:rsidR="004609DF">
        <w:t xml:space="preserve">key </w:t>
      </w:r>
      <w:r>
        <w:t xml:space="preserve">working life expenses such as mortgage repayments. </w:t>
      </w:r>
      <w:r w:rsidR="00084050">
        <w:t>While a</w:t>
      </w:r>
      <w:r>
        <w:t xml:space="preserve"> </w:t>
      </w:r>
      <w:r w:rsidR="00084050">
        <w:t>number</w:t>
      </w:r>
      <w:r>
        <w:t xml:space="preserve"> of benchmark replacement rates have been </w:t>
      </w:r>
      <w:r>
        <w:lastRenderedPageBreak/>
        <w:t>proposed</w:t>
      </w:r>
      <w:r w:rsidR="00084050">
        <w:t xml:space="preserve"> by different groups</w:t>
      </w:r>
      <w:r>
        <w:t>,</w:t>
      </w:r>
      <w:r w:rsidR="00084050">
        <w:t xml:space="preserve"> </w:t>
      </w:r>
      <w:r>
        <w:t>these generally suggest a replac</w:t>
      </w:r>
      <w:r w:rsidR="00530F7D">
        <w:t>ement rate of between 60</w:t>
      </w:r>
      <w:r w:rsidR="007367EF">
        <w:t> per cent</w:t>
      </w:r>
      <w:r w:rsidR="00530F7D">
        <w:t xml:space="preserve"> and 70 per </w:t>
      </w:r>
      <w:r>
        <w:t xml:space="preserve">cent is appropriate for most people. For example, the </w:t>
      </w:r>
      <w:r w:rsidR="007F0465">
        <w:t xml:space="preserve">OECD </w:t>
      </w:r>
      <w:r w:rsidR="008706BD">
        <w:t>(2012</w:t>
      </w:r>
      <w:r w:rsidR="00111676">
        <w:t>, p. 161</w:t>
      </w:r>
      <w:r w:rsidR="008706BD">
        <w:t>)</w:t>
      </w:r>
      <w:r w:rsidR="007F0465">
        <w:t xml:space="preserve"> suggest</w:t>
      </w:r>
      <w:r w:rsidR="001D471F">
        <w:t>ed</w:t>
      </w:r>
      <w:r w:rsidR="007F0465">
        <w:t xml:space="preserve"> a benchmark replacement rate of 70</w:t>
      </w:r>
      <w:r w:rsidR="00EE2B75">
        <w:t> </w:t>
      </w:r>
      <w:r w:rsidR="007F0465">
        <w:t>per</w:t>
      </w:r>
      <w:r w:rsidR="00EE2B75">
        <w:t> </w:t>
      </w:r>
      <w:r w:rsidR="007F0465">
        <w:t>cent of pre-retirement</w:t>
      </w:r>
      <w:r w:rsidR="00084050">
        <w:t xml:space="preserve"> income,</w:t>
      </w:r>
      <w:r>
        <w:t xml:space="preserve"> while</w:t>
      </w:r>
      <w:r w:rsidR="007F0465" w:rsidDel="004B16D3">
        <w:t xml:space="preserve"> the </w:t>
      </w:r>
      <w:r w:rsidR="00E11A7A">
        <w:t>Superannuation Charter Group (2013</w:t>
      </w:r>
      <w:r w:rsidR="00111676">
        <w:t>, p. 21</w:t>
      </w:r>
      <w:r w:rsidR="00E11A7A">
        <w:t>)</w:t>
      </w:r>
      <w:r w:rsidR="007F0465" w:rsidDel="004B16D3">
        <w:t xml:space="preserve"> recommended a replacement rate of 60</w:t>
      </w:r>
      <w:r w:rsidR="007367EF">
        <w:t> per cent</w:t>
      </w:r>
      <w:r w:rsidR="007F0465" w:rsidDel="004B16D3">
        <w:t xml:space="preserve"> to 70</w:t>
      </w:r>
      <w:r w:rsidR="007367EF">
        <w:t> </w:t>
      </w:r>
      <w:r w:rsidR="007F0465" w:rsidDel="004B16D3">
        <w:t>per</w:t>
      </w:r>
      <w:r w:rsidR="007367EF">
        <w:t> </w:t>
      </w:r>
      <w:r w:rsidR="007F0465" w:rsidDel="004B16D3">
        <w:t>cent</w:t>
      </w:r>
      <w:r w:rsidR="00084050">
        <w:t>,</w:t>
      </w:r>
      <w:r>
        <w:t xml:space="preserve"> and</w:t>
      </w:r>
      <w:r w:rsidR="00EF016D">
        <w:t xml:space="preserve"> </w:t>
      </w:r>
      <w:r w:rsidR="00A7532C">
        <w:t>Rice</w:t>
      </w:r>
      <w:r w:rsidR="007367EF">
        <w:t> </w:t>
      </w:r>
      <w:r w:rsidR="00332D8D">
        <w:t>and Bonarius</w:t>
      </w:r>
      <w:r w:rsidR="00332D8D" w:rsidRPr="00332D8D">
        <w:t xml:space="preserve"> </w:t>
      </w:r>
      <w:r w:rsidR="00A7532C">
        <w:t>(2019</w:t>
      </w:r>
      <w:r w:rsidR="00111676">
        <w:t>, p. 18</w:t>
      </w:r>
      <w:r w:rsidR="00A7532C">
        <w:t>)</w:t>
      </w:r>
      <w:r w:rsidR="004F51E5">
        <w:t xml:space="preserve"> have</w:t>
      </w:r>
      <w:r w:rsidR="00A7532C">
        <w:t xml:space="preserve"> </w:t>
      </w:r>
      <w:r>
        <w:t>suggested a</w:t>
      </w:r>
      <w:r w:rsidR="00A7532C">
        <w:t xml:space="preserve"> benchmark of 75 per cent.</w:t>
      </w:r>
    </w:p>
    <w:p w14:paraId="1A9B5C4E" w14:textId="5C144FF0" w:rsidR="007F0465" w:rsidRDefault="003C158A" w:rsidP="007F0465">
      <w:r w:rsidRPr="00BE0337">
        <w:t xml:space="preserve">An alternative method for calculating a relative adequacy benchmark is to </w:t>
      </w:r>
      <w:r w:rsidR="007F0465" w:rsidRPr="003C158A">
        <w:t>define retirement income</w:t>
      </w:r>
      <w:r w:rsidR="00463999" w:rsidRPr="003C158A">
        <w:t xml:space="preserve"> requirements</w:t>
      </w:r>
      <w:r w:rsidR="007F0465" w:rsidRPr="003C158A">
        <w:t xml:space="preserve"> </w:t>
      </w:r>
      <w:r w:rsidR="00EF016D" w:rsidRPr="003C158A">
        <w:t>against</w:t>
      </w:r>
      <w:r w:rsidR="007F0465" w:rsidRPr="003C158A">
        <w:t xml:space="preserve"> a</w:t>
      </w:r>
      <w:r>
        <w:t>n</w:t>
      </w:r>
      <w:r w:rsidR="007F0465" w:rsidRPr="003C158A">
        <w:t xml:space="preserve"> indicator of community living standards, such as an absolute poverty indicator or </w:t>
      </w:r>
      <w:r w:rsidR="001D471F" w:rsidRPr="003C158A">
        <w:t>a</w:t>
      </w:r>
      <w:r w:rsidR="007F0465" w:rsidRPr="003C158A">
        <w:t xml:space="preserve">verage </w:t>
      </w:r>
      <w:r w:rsidR="001D471F" w:rsidRPr="003C158A">
        <w:t>w</w:t>
      </w:r>
      <w:r w:rsidR="007F0465" w:rsidRPr="003C158A">
        <w:t xml:space="preserve">eekly </w:t>
      </w:r>
      <w:r w:rsidR="001D471F" w:rsidRPr="003C158A">
        <w:t>o</w:t>
      </w:r>
      <w:r w:rsidR="007F0465" w:rsidRPr="003C158A">
        <w:t xml:space="preserve">rdinary </w:t>
      </w:r>
      <w:r w:rsidR="001D471F" w:rsidRPr="003C158A">
        <w:t>t</w:t>
      </w:r>
      <w:r w:rsidR="007F0465" w:rsidRPr="003C158A">
        <w:t xml:space="preserve">ime </w:t>
      </w:r>
      <w:r w:rsidR="001D471F" w:rsidRPr="003C158A">
        <w:t>e</w:t>
      </w:r>
      <w:r w:rsidR="007F0465" w:rsidRPr="003C158A">
        <w:t>arnings</w:t>
      </w:r>
      <w:r w:rsidR="00A2578F" w:rsidRPr="003C158A">
        <w:t xml:space="preserve"> (AWOTE)</w:t>
      </w:r>
      <w:r w:rsidR="007F0465" w:rsidRPr="003C158A">
        <w:t xml:space="preserve">. While </w:t>
      </w:r>
      <w:r w:rsidRPr="00BE0337">
        <w:t xml:space="preserve">this </w:t>
      </w:r>
      <w:r>
        <w:t xml:space="preserve">kind of </w:t>
      </w:r>
      <w:r w:rsidRPr="00BE0337">
        <w:t>method</w:t>
      </w:r>
      <w:r w:rsidR="007F0465" w:rsidRPr="003C158A">
        <w:t xml:space="preserve"> may indicate whether </w:t>
      </w:r>
      <w:r w:rsidR="00EF016D" w:rsidRPr="003C158A">
        <w:t>a</w:t>
      </w:r>
      <w:r w:rsidR="00B65F71" w:rsidRPr="003C158A">
        <w:t>n individual</w:t>
      </w:r>
      <w:r w:rsidR="007F0465" w:rsidRPr="003C158A">
        <w:t xml:space="preserve"> will experience poverty in retirement, </w:t>
      </w:r>
      <w:r w:rsidRPr="00BE0337">
        <w:t>it</w:t>
      </w:r>
      <w:r w:rsidR="007F0465" w:rsidRPr="003C158A">
        <w:t xml:space="preserve"> do</w:t>
      </w:r>
      <w:r w:rsidRPr="00BE0337">
        <w:t>es</w:t>
      </w:r>
      <w:r w:rsidR="007F0465" w:rsidRPr="003C158A">
        <w:t xml:space="preserve"> not consider the person’s pre</w:t>
      </w:r>
      <w:r w:rsidR="007F0465" w:rsidRPr="003C158A">
        <w:noBreakHyphen/>
        <w:t>retirement living standards</w:t>
      </w:r>
      <w:r w:rsidR="00463999" w:rsidRPr="003C158A">
        <w:t xml:space="preserve"> and therefore may not meet expectations</w:t>
      </w:r>
      <w:r w:rsidR="007F0465" w:rsidRPr="003C158A">
        <w:t xml:space="preserve">. </w:t>
      </w:r>
    </w:p>
    <w:p w14:paraId="5530CED6" w14:textId="6DFEEBFC" w:rsidR="007F0465" w:rsidRDefault="005D5640" w:rsidP="007F0465">
      <w:r>
        <w:t>V</w:t>
      </w:r>
      <w:r w:rsidR="007F0465">
        <w:t xml:space="preserve">iews differ about </w:t>
      </w:r>
      <w:r w:rsidR="00DC2B6C">
        <w:t>how</w:t>
      </w:r>
      <w:r w:rsidR="007F0465">
        <w:t xml:space="preserve"> to calculate replacement rates.</w:t>
      </w:r>
      <w:r>
        <w:t xml:space="preserve"> For example</w:t>
      </w:r>
      <w:r w:rsidR="00B54ED3">
        <w:t>,</w:t>
      </w:r>
      <w:r w:rsidR="007F0465">
        <w:t xml:space="preserve"> </w:t>
      </w:r>
      <w:r>
        <w:t>t</w:t>
      </w:r>
      <w:r w:rsidR="007F0465">
        <w:t xml:space="preserve">he </w:t>
      </w:r>
      <w:r w:rsidR="00B54ED3">
        <w:t>same</w:t>
      </w:r>
      <w:r w:rsidR="007F0465">
        <w:t xml:space="preserve"> replacement rate may </w:t>
      </w:r>
      <w:r w:rsidR="00B54ED3">
        <w:t>generate a different income level</w:t>
      </w:r>
      <w:r w:rsidR="007F0465">
        <w:t xml:space="preserve"> depending on the period of retirement and working life which </w:t>
      </w:r>
      <w:r w:rsidR="00B54ED3">
        <w:t xml:space="preserve">form the basis of the underlying </w:t>
      </w:r>
      <w:r w:rsidR="00430AF6">
        <w:t>calculation</w:t>
      </w:r>
      <w:r w:rsidR="007F0465">
        <w:t>, since neither working life nor retirement income</w:t>
      </w:r>
      <w:r w:rsidR="00BD4C1E">
        <w:t xml:space="preserve"> and </w:t>
      </w:r>
      <w:r w:rsidR="007F0465">
        <w:t xml:space="preserve">expenditure is generally constant. </w:t>
      </w:r>
      <w:r w:rsidR="007F0465" w:rsidDel="004B16D3">
        <w:t xml:space="preserve">This is particularly the case for </w:t>
      </w:r>
      <w:r w:rsidR="00E67451">
        <w:t>individuals</w:t>
      </w:r>
      <w:r w:rsidR="007F0465" w:rsidDel="004B16D3">
        <w:t xml:space="preserve"> with broken work patterns. </w:t>
      </w:r>
      <w:r w:rsidR="00F20E63">
        <w:t>The World Bank (1994, p</w:t>
      </w:r>
      <w:r w:rsidR="00C31E22">
        <w:t>p</w:t>
      </w:r>
      <w:r w:rsidR="00F20E63">
        <w:t xml:space="preserve">. </w:t>
      </w:r>
      <w:r w:rsidR="00BD4C1E">
        <w:t>293-</w:t>
      </w:r>
      <w:r w:rsidR="00F20E63">
        <w:t>294) identifie</w:t>
      </w:r>
      <w:r w:rsidR="00F358A8">
        <w:t>d</w:t>
      </w:r>
      <w:r w:rsidR="00F20E63">
        <w:t xml:space="preserve"> how the period of pre-retirement earnings used</w:t>
      </w:r>
      <w:r w:rsidR="00B06447">
        <w:t xml:space="preserve"> in calculating replacement rates</w:t>
      </w:r>
      <w:r w:rsidR="00BD4C1E">
        <w:t>,</w:t>
      </w:r>
      <w:r w:rsidR="00B06447">
        <w:t xml:space="preserve"> along with </w:t>
      </w:r>
      <w:r w:rsidR="00BD4C1E">
        <w:t>whether the calculation uses pre or post-tax income</w:t>
      </w:r>
      <w:r w:rsidR="00F358A8">
        <w:t>,</w:t>
      </w:r>
      <w:r w:rsidR="00F20E63">
        <w:t xml:space="preserve"> </w:t>
      </w:r>
      <w:r w:rsidR="005D0103">
        <w:t>can result in</w:t>
      </w:r>
      <w:r w:rsidR="00F20E63">
        <w:t xml:space="preserve"> </w:t>
      </w:r>
      <w:r w:rsidR="007367EF">
        <w:t>a</w:t>
      </w:r>
      <w:r w:rsidR="00F20E63">
        <w:t xml:space="preserve"> </w:t>
      </w:r>
      <w:r w:rsidR="00BD4C1E">
        <w:t>replacement rate</w:t>
      </w:r>
      <w:r w:rsidR="005D0103">
        <w:t xml:space="preserve"> yielding significantly</w:t>
      </w:r>
      <w:r w:rsidR="00F76116">
        <w:t xml:space="preserve"> different</w:t>
      </w:r>
      <w:r w:rsidR="005D0103">
        <w:t xml:space="preserve"> </w:t>
      </w:r>
      <w:r w:rsidR="00BD4C1E">
        <w:t>retirement income</w:t>
      </w:r>
      <w:r w:rsidR="00F358A8">
        <w:t>s</w:t>
      </w:r>
      <w:r w:rsidR="00F20E63">
        <w:t xml:space="preserve">. </w:t>
      </w:r>
    </w:p>
    <w:p w14:paraId="63123F07" w14:textId="37FBCCE0" w:rsidR="00FD5C81" w:rsidRDefault="00FD5C81" w:rsidP="007F0465">
      <w:r>
        <w:t>The</w:t>
      </w:r>
      <w:r w:rsidR="00F358A8">
        <w:t xml:space="preserve"> largely</w:t>
      </w:r>
      <w:r>
        <w:t xml:space="preserve"> defined contribution structure of Australia’s superannuation system may </w:t>
      </w:r>
      <w:r w:rsidR="00CA1D32">
        <w:t xml:space="preserve">also </w:t>
      </w:r>
      <w:r>
        <w:t xml:space="preserve">influence the ability of the system to achieve targeted replacement rates for all Australians. </w:t>
      </w:r>
      <w:r w:rsidR="001D2C4A">
        <w:t>Recognising this challenge</w:t>
      </w:r>
      <w:r>
        <w:t xml:space="preserve">, the </w:t>
      </w:r>
      <w:r w:rsidR="00A85AD9">
        <w:t xml:space="preserve">Australia’s Future Tax System </w:t>
      </w:r>
      <w:r>
        <w:t xml:space="preserve">Review </w:t>
      </w:r>
      <w:r w:rsidR="00D5469C">
        <w:t>(</w:t>
      </w:r>
      <w:r w:rsidR="00A85AD9">
        <w:t xml:space="preserve">Henry </w:t>
      </w:r>
      <w:r w:rsidR="00D5469C">
        <w:t>2009</w:t>
      </w:r>
      <w:r w:rsidR="00C31E22">
        <w:t>, p. 1</w:t>
      </w:r>
      <w:r w:rsidR="00D5469C">
        <w:t>)</w:t>
      </w:r>
      <w:r>
        <w:t xml:space="preserve"> </w:t>
      </w:r>
      <w:r w:rsidR="00430AF6">
        <w:t>suggested</w:t>
      </w:r>
      <w:r w:rsidR="00C31E22">
        <w:t xml:space="preserve"> superannuation guarantee contributions be ‘benchmarked by reference to</w:t>
      </w:r>
      <w:r w:rsidR="000978FC">
        <w:t xml:space="preserve"> moderate potential</w:t>
      </w:r>
      <w:r w:rsidR="00430AF6">
        <w:t xml:space="preserve"> </w:t>
      </w:r>
      <w:r>
        <w:t xml:space="preserve">replacement </w:t>
      </w:r>
      <w:r w:rsidR="00A860E1">
        <w:t xml:space="preserve">rates </w:t>
      </w:r>
      <w:r w:rsidR="00C31E22">
        <w:t>for</w:t>
      </w:r>
      <w:r>
        <w:t xml:space="preserve"> retirees with </w:t>
      </w:r>
      <w:r w:rsidR="00A860E1">
        <w:t xml:space="preserve">a </w:t>
      </w:r>
      <w:r w:rsidR="00C31E22">
        <w:t xml:space="preserve">full history of contribution at </w:t>
      </w:r>
      <w:r w:rsidR="00A860E1">
        <w:t>median to average earnings.</w:t>
      </w:r>
      <w:r w:rsidR="00C31E22">
        <w:t>’</w:t>
      </w:r>
      <w:r>
        <w:t xml:space="preserve"> </w:t>
      </w:r>
    </w:p>
    <w:p w14:paraId="4C7BD1EA" w14:textId="77777777" w:rsidR="007F0465" w:rsidRPr="0004261B" w:rsidRDefault="007F0465" w:rsidP="004B0B4F">
      <w:pPr>
        <w:pStyle w:val="Heading3"/>
        <w:spacing w:before="0"/>
        <w:rPr>
          <w:color w:val="0F3A47" w:themeColor="accent1" w:themeShade="BF"/>
        </w:rPr>
      </w:pPr>
      <w:r w:rsidRPr="0004261B">
        <w:t xml:space="preserve">Absolute </w:t>
      </w:r>
      <w:r w:rsidRPr="009D3BD4">
        <w:t>measures</w:t>
      </w:r>
    </w:p>
    <w:p w14:paraId="7C5541F2" w14:textId="44D1D997" w:rsidR="00A90EA9" w:rsidRDefault="007F0465" w:rsidP="00A90EA9">
      <w:r w:rsidRPr="00AD00BB">
        <w:t xml:space="preserve">Absolute measures </w:t>
      </w:r>
      <w:r w:rsidR="00430AF6">
        <w:t xml:space="preserve">of adequacy </w:t>
      </w:r>
      <w:r w:rsidRPr="00AD00BB">
        <w:t xml:space="preserve">attempt to place a dollar value on the income or expenditure required to support a particular lifestyle in retirement, with no reference to the </w:t>
      </w:r>
      <w:r w:rsidR="00B65F71">
        <w:t>individual</w:t>
      </w:r>
      <w:r w:rsidR="00B65F71" w:rsidRPr="00AD00BB">
        <w:t xml:space="preserve">’s </w:t>
      </w:r>
      <w:r w:rsidRPr="00AD00BB">
        <w:t>pre</w:t>
      </w:r>
      <w:r w:rsidR="004609DF">
        <w:noBreakHyphen/>
      </w:r>
      <w:r w:rsidRPr="00AD00BB">
        <w:t>retirement lifestyle.</w:t>
      </w:r>
      <w:r w:rsidRPr="00AD00BB" w:rsidDel="009F5AD2">
        <w:t xml:space="preserve"> </w:t>
      </w:r>
      <w:r>
        <w:t xml:space="preserve">These measures </w:t>
      </w:r>
      <w:r w:rsidR="00A90EA9">
        <w:t xml:space="preserve">can define the income or expenditure required to achieve a minimum </w:t>
      </w:r>
      <w:r w:rsidR="00B36468">
        <w:t xml:space="preserve">adequate </w:t>
      </w:r>
      <w:r w:rsidR="00A90EA9">
        <w:t>standard of living. Alternatively, they can define the income or expenditure required to achieve a higher standard of living by including discretionary spending.</w:t>
      </w:r>
      <w:r w:rsidR="00D6396A">
        <w:t xml:space="preserve"> Measures that are more aspirational will incorporate more discretionary spending and target higher incomes.</w:t>
      </w:r>
    </w:p>
    <w:p w14:paraId="000BB808" w14:textId="35C05B79" w:rsidR="007F0465" w:rsidRDefault="00A90EA9" w:rsidP="007F0465">
      <w:r>
        <w:t xml:space="preserve">Absolute measures </w:t>
      </w:r>
      <w:r w:rsidR="007F0465">
        <w:t xml:space="preserve">may be useful for </w:t>
      </w:r>
      <w:r w:rsidR="00E67451">
        <w:t>individuals</w:t>
      </w:r>
      <w:r w:rsidR="007F0465">
        <w:t xml:space="preserve"> who want to achieve a particular lifestyle in retirement. The</w:t>
      </w:r>
      <w:r w:rsidR="005D5640">
        <w:t>y</w:t>
      </w:r>
      <w:r w:rsidR="007F0465">
        <w:t xml:space="preserve"> are also easy to </w:t>
      </w:r>
      <w:r>
        <w:t>understand</w:t>
      </w:r>
      <w:r w:rsidR="007F0465">
        <w:t xml:space="preserve">, especially when they define </w:t>
      </w:r>
      <w:r>
        <w:t>the</w:t>
      </w:r>
      <w:r w:rsidR="007F0465">
        <w:t xml:space="preserve"> level of savings required at retirement</w:t>
      </w:r>
      <w:r w:rsidR="00C31E22">
        <w:t xml:space="preserve"> to achieve a particular income</w:t>
      </w:r>
      <w:r w:rsidR="009D2594">
        <w:t>, which can assist with retirement planning</w:t>
      </w:r>
      <w:r w:rsidR="007F0465">
        <w:t>.</w:t>
      </w:r>
    </w:p>
    <w:p w14:paraId="5C9FB7B6" w14:textId="44E2E466" w:rsidR="007F0465" w:rsidRDefault="004609DF" w:rsidP="004C59FA">
      <w:r>
        <w:t>A</w:t>
      </w:r>
      <w:r w:rsidR="007F0465">
        <w:t xml:space="preserve"> key weakness of </w:t>
      </w:r>
      <w:r w:rsidR="000738F3">
        <w:t xml:space="preserve">absolute </w:t>
      </w:r>
      <w:r w:rsidR="007F0465">
        <w:t>measure</w:t>
      </w:r>
      <w:r w:rsidR="000738F3">
        <w:t>s</w:t>
      </w:r>
      <w:r w:rsidR="007F0465">
        <w:t xml:space="preserve"> is that </w:t>
      </w:r>
      <w:r w:rsidR="000738F3">
        <w:t xml:space="preserve">they </w:t>
      </w:r>
      <w:r w:rsidR="007F0465">
        <w:t>do not consider</w:t>
      </w:r>
      <w:r w:rsidR="00B06447">
        <w:t xml:space="preserve"> a</w:t>
      </w:r>
      <w:r w:rsidR="00B65F71">
        <w:t>n individual</w:t>
      </w:r>
      <w:r w:rsidR="007F0465">
        <w:t>’s pre</w:t>
      </w:r>
      <w:r>
        <w:noBreakHyphen/>
      </w:r>
      <w:r w:rsidR="007F0465">
        <w:t xml:space="preserve">retirement living standards (i.e. </w:t>
      </w:r>
      <w:r w:rsidR="00B06447">
        <w:t xml:space="preserve">they </w:t>
      </w:r>
      <w:r w:rsidR="007F0465">
        <w:t xml:space="preserve">do not attempt to facilitate ‘consumption smoothing’). As a result, </w:t>
      </w:r>
      <w:r w:rsidR="00F43870">
        <w:t>they do</w:t>
      </w:r>
      <w:r w:rsidR="007F0465">
        <w:t xml:space="preserve"> not take into account the trade-off between </w:t>
      </w:r>
      <w:r w:rsidR="00A90EA9">
        <w:t>working</w:t>
      </w:r>
      <w:r w:rsidR="007F0465">
        <w:t xml:space="preserve"> </w:t>
      </w:r>
      <w:r w:rsidR="009D2594">
        <w:t>life</w:t>
      </w:r>
      <w:r w:rsidR="007F0465">
        <w:t xml:space="preserve"> and retirement living standards.</w:t>
      </w:r>
    </w:p>
    <w:p w14:paraId="494DC54D" w14:textId="0B0E6E26" w:rsidR="007F0465" w:rsidRDefault="007F0465" w:rsidP="004C59FA">
      <w:r>
        <w:t xml:space="preserve">An example of an absolute measure is the Association of Superannuation Funds of Australia’s </w:t>
      </w:r>
      <w:r w:rsidR="008819F4">
        <w:t>(ASFA</w:t>
      </w:r>
      <w:r w:rsidR="005637E0">
        <w:t xml:space="preserve"> 2018</w:t>
      </w:r>
      <w:r w:rsidR="008819F4">
        <w:t>)</w:t>
      </w:r>
      <w:r>
        <w:t xml:space="preserve"> </w:t>
      </w:r>
      <w:r w:rsidR="009D2594">
        <w:t>Retirement Standard</w:t>
      </w:r>
      <w:r w:rsidR="00ED7DAB">
        <w:t>s</w:t>
      </w:r>
      <w:r w:rsidR="009D2594">
        <w:t xml:space="preserve">. </w:t>
      </w:r>
      <w:r w:rsidR="00ED7DAB">
        <w:t>These</w:t>
      </w:r>
      <w:r w:rsidR="009D2594">
        <w:t xml:space="preserve"> define</w:t>
      </w:r>
      <w:r>
        <w:t xml:space="preserve"> the annual expenditure </w:t>
      </w:r>
      <w:r w:rsidR="009D2594">
        <w:t>and</w:t>
      </w:r>
      <w:r>
        <w:t xml:space="preserve"> superannuation balance needed for singles and couples to fund either a ‘comfortable’ or ‘modest’ standard of living in </w:t>
      </w:r>
      <w:r w:rsidR="00F737CA">
        <w:t>retirement</w:t>
      </w:r>
      <w:r w:rsidR="00A40964">
        <w:t>.</w:t>
      </w:r>
      <w:r w:rsidR="00773DEB" w:rsidRPr="00C601DB">
        <w:rPr>
          <w:rStyle w:val="FootnoteReference"/>
          <w:vertAlign w:val="superscript"/>
        </w:rPr>
        <w:footnoteReference w:id="7"/>
      </w:r>
      <w:r>
        <w:t xml:space="preserve"> </w:t>
      </w:r>
    </w:p>
    <w:p w14:paraId="5151CA14" w14:textId="081980FC" w:rsidR="007F0465" w:rsidRPr="00DE740A" w:rsidRDefault="007F0465" w:rsidP="004B0B4F">
      <w:pPr>
        <w:pStyle w:val="Heading3"/>
        <w:spacing w:before="0"/>
      </w:pPr>
      <w:r w:rsidRPr="00DE740A">
        <w:lastRenderedPageBreak/>
        <w:t xml:space="preserve">Additional issues </w:t>
      </w:r>
      <w:r w:rsidR="005B7205">
        <w:t>affecting</w:t>
      </w:r>
      <w:r w:rsidRPr="00DE740A">
        <w:t xml:space="preserve"> both types of measures</w:t>
      </w:r>
    </w:p>
    <w:p w14:paraId="49C252B5" w14:textId="655E661C" w:rsidR="007F0465" w:rsidRDefault="007F0465" w:rsidP="007F0465">
      <w:r>
        <w:t xml:space="preserve">The </w:t>
      </w:r>
      <w:r w:rsidRPr="002C4FC7">
        <w:t>following factors</w:t>
      </w:r>
      <w:r>
        <w:t xml:space="preserve"> can affect </w:t>
      </w:r>
      <w:r w:rsidRPr="002C4FC7">
        <w:t xml:space="preserve">both </w:t>
      </w:r>
      <w:r>
        <w:t xml:space="preserve">the replacement rate required to maintain </w:t>
      </w:r>
      <w:r w:rsidRPr="002C4FC7">
        <w:t>living standards and the income</w:t>
      </w:r>
      <w:r>
        <w:t xml:space="preserve"> and consumption required to </w:t>
      </w:r>
      <w:r w:rsidRPr="002C4FC7">
        <w:t xml:space="preserve">achieve </w:t>
      </w:r>
      <w:r>
        <w:t>a particular lifestyle</w:t>
      </w:r>
      <w:r w:rsidR="005D2387">
        <w:t>.</w:t>
      </w:r>
    </w:p>
    <w:p w14:paraId="3EEBC3BE" w14:textId="28B593AC" w:rsidR="007F0465" w:rsidRPr="004C59FA" w:rsidRDefault="007F0465" w:rsidP="69347C2D">
      <w:pPr>
        <w:pStyle w:val="Bullet"/>
      </w:pPr>
      <w:r w:rsidRPr="008819F4">
        <w:t xml:space="preserve">Indexation of income or </w:t>
      </w:r>
      <w:r w:rsidR="00F737CA">
        <w:t>expenses</w:t>
      </w:r>
      <w:r w:rsidR="002E1E8A" w:rsidRPr="69347C2D">
        <w:t xml:space="preserve">. </w:t>
      </w:r>
      <w:r>
        <w:t xml:space="preserve">There are differing views about the </w:t>
      </w:r>
      <w:r w:rsidR="005D2387">
        <w:t>appropriate indexation of</w:t>
      </w:r>
      <w:r>
        <w:t xml:space="preserve"> pre</w:t>
      </w:r>
      <w:r w:rsidRPr="004C59FA">
        <w:noBreakHyphen/>
        <w:t xml:space="preserve">retirement and retirement income and </w:t>
      </w:r>
      <w:r w:rsidR="00F737CA" w:rsidRPr="004C59FA">
        <w:t>expenses</w:t>
      </w:r>
      <w:r w:rsidRPr="004C59FA">
        <w:t>. Proponents of wage</w:t>
      </w:r>
      <w:r w:rsidR="00ED7DAB">
        <w:noBreakHyphen/>
      </w:r>
      <w:r w:rsidRPr="004C59FA">
        <w:t>based indexation argue retirees should benefit from productivity improvements in the broader economy, despite no longer being in the workforce. Proponents of inflation</w:t>
      </w:r>
      <w:r w:rsidR="69347C2D">
        <w:t>-</w:t>
      </w:r>
      <w:r w:rsidRPr="004C59FA">
        <w:t>based indexation argue wage</w:t>
      </w:r>
      <w:r w:rsidR="69347C2D" w:rsidRPr="004C59FA">
        <w:t>-</w:t>
      </w:r>
      <w:r w:rsidRPr="004C59FA">
        <w:t xml:space="preserve">based indexation overstates the financial requirements of retirees, as </w:t>
      </w:r>
      <w:r w:rsidR="00E67451" w:rsidRPr="004C59FA">
        <w:t>individuals</w:t>
      </w:r>
      <w:r w:rsidRPr="004C59FA">
        <w:t xml:space="preserve"> generally spend less as they grow older, but are nonetheless affected by changes in overall prices. </w:t>
      </w:r>
    </w:p>
    <w:p w14:paraId="75C12FA1" w14:textId="13DDDBA4" w:rsidR="007F0465" w:rsidRPr="004C59FA" w:rsidRDefault="007F0465" w:rsidP="004C59FA">
      <w:pPr>
        <w:pStyle w:val="Bullet"/>
      </w:pPr>
      <w:r w:rsidRPr="004C59FA">
        <w:rPr>
          <w:rFonts w:eastAsiaTheme="minorHAnsi"/>
        </w:rPr>
        <w:t xml:space="preserve">Pattern of consumption needs during retirement. There is debate about </w:t>
      </w:r>
      <w:r w:rsidR="00F737CA" w:rsidRPr="004C59FA">
        <w:rPr>
          <w:rFonts w:eastAsiaTheme="minorHAnsi"/>
        </w:rPr>
        <w:t>expenditure patterns</w:t>
      </w:r>
      <w:r w:rsidRPr="004C59FA">
        <w:rPr>
          <w:rFonts w:eastAsiaTheme="minorHAnsi"/>
        </w:rPr>
        <w:t xml:space="preserve"> during retirement. </w:t>
      </w:r>
      <w:r w:rsidRPr="004C59FA">
        <w:t xml:space="preserve">Some analysis of core consumption needs </w:t>
      </w:r>
      <w:r w:rsidR="009F3A5F" w:rsidRPr="004C59FA">
        <w:t>(</w:t>
      </w:r>
      <w:r w:rsidR="005D2387">
        <w:t>AIST</w:t>
      </w:r>
      <w:r w:rsidR="009F3A5F" w:rsidRPr="004C59FA">
        <w:t xml:space="preserve"> 2016</w:t>
      </w:r>
      <w:r w:rsidR="00F702C2">
        <w:t>, p. 22</w:t>
      </w:r>
      <w:r w:rsidR="009F3A5F" w:rsidRPr="004C59FA">
        <w:t>)</w:t>
      </w:r>
      <w:r w:rsidRPr="004C59FA">
        <w:t xml:space="preserve"> suggest</w:t>
      </w:r>
      <w:r w:rsidR="005D2387">
        <w:t>s</w:t>
      </w:r>
      <w:r w:rsidRPr="004C59FA">
        <w:t xml:space="preserve"> they remain constant during retirement because some expenses increase while others decrease.</w:t>
      </w:r>
      <w:r w:rsidRPr="004D1D0A">
        <w:rPr>
          <w:rStyle w:val="FootnoteReference"/>
          <w:vertAlign w:val="superscript"/>
        </w:rPr>
        <w:footnoteReference w:id="8"/>
      </w:r>
      <w:r w:rsidRPr="00F43120">
        <w:rPr>
          <w:rStyle w:val="FootnoteReference"/>
        </w:rPr>
        <w:t xml:space="preserve"> </w:t>
      </w:r>
      <w:r w:rsidRPr="004C59FA">
        <w:t xml:space="preserve">Other analysis </w:t>
      </w:r>
      <w:r w:rsidR="009F3A5F" w:rsidRPr="004C59FA">
        <w:t>(</w:t>
      </w:r>
      <w:r w:rsidR="00CF3D06" w:rsidRPr="004C59FA">
        <w:t>CEPAR</w:t>
      </w:r>
      <w:r w:rsidR="009F3A5F" w:rsidRPr="004C59FA">
        <w:t xml:space="preserve"> 2018</w:t>
      </w:r>
      <w:r w:rsidR="005C76B9" w:rsidRPr="004C59FA">
        <w:t>a</w:t>
      </w:r>
      <w:r w:rsidR="00FA6F6E" w:rsidRPr="004C59FA">
        <w:t>, p. 22</w:t>
      </w:r>
      <w:r w:rsidR="009F3A5F" w:rsidRPr="004C59FA">
        <w:t>)</w:t>
      </w:r>
      <w:r w:rsidRPr="004C59FA">
        <w:t xml:space="preserve"> suggests </w:t>
      </w:r>
      <w:r w:rsidR="00F737CA" w:rsidRPr="004C59FA">
        <w:t>expenditure</w:t>
      </w:r>
      <w:r w:rsidRPr="004C59FA">
        <w:t xml:space="preserve"> </w:t>
      </w:r>
      <w:r w:rsidR="00CF3D06" w:rsidRPr="004C59FA">
        <w:t>declines for older households after age 60, largely due to lower spending on transport, food</w:t>
      </w:r>
      <w:r w:rsidR="005D2387">
        <w:t>,</w:t>
      </w:r>
      <w:r w:rsidR="00CF3D06" w:rsidRPr="004C59FA">
        <w:t xml:space="preserve"> and clothing</w:t>
      </w:r>
      <w:r w:rsidRPr="004C59FA">
        <w:t>.</w:t>
      </w:r>
    </w:p>
    <w:p w14:paraId="0F4D2B01" w14:textId="08BE0E53" w:rsidR="007F0465" w:rsidRDefault="007F0465" w:rsidP="004C59FA">
      <w:pPr>
        <w:pStyle w:val="Bullet"/>
      </w:pPr>
      <w:r w:rsidRPr="004C59FA">
        <w:t xml:space="preserve">Characteristics of the individual and </w:t>
      </w:r>
      <w:r w:rsidR="00F737CA" w:rsidRPr="004C59FA">
        <w:t>g</w:t>
      </w:r>
      <w:r w:rsidRPr="004C59FA">
        <w:t>overnment support. Variation in the characteristics of individuals (e.g. home ownership status,</w:t>
      </w:r>
      <w:r w:rsidR="00F57C40" w:rsidRPr="004C59FA">
        <w:t xml:space="preserve"> relationship status</w:t>
      </w:r>
      <w:r w:rsidR="005D2387">
        <w:t xml:space="preserve"> and</w:t>
      </w:r>
      <w:r w:rsidRPr="004C59FA">
        <w:t xml:space="preserve"> workforce participation) and </w:t>
      </w:r>
      <w:r w:rsidR="00F737CA" w:rsidRPr="004C59FA">
        <w:t>g</w:t>
      </w:r>
      <w:r w:rsidRPr="004C59FA">
        <w:t xml:space="preserve">overnment support can </w:t>
      </w:r>
      <w:r w:rsidR="005D2387">
        <w:t>affect the</w:t>
      </w:r>
      <w:r w:rsidRPr="004C59FA">
        <w:t xml:space="preserve"> level of income or consumption required to achieve a particular lifestyle or maintain living standards</w:t>
      </w:r>
      <w:r w:rsidR="005D2387">
        <w:t xml:space="preserve"> in retirement</w:t>
      </w:r>
      <w:r w:rsidRPr="004C59FA">
        <w:t xml:space="preserve">. </w:t>
      </w:r>
      <w:r w:rsidR="00F737CA" w:rsidRPr="004C59FA">
        <w:t xml:space="preserve">Such variation </w:t>
      </w:r>
      <w:r w:rsidR="00F737CA">
        <w:t xml:space="preserve">may mean there is no one-size-fits-all replacement rate or income benchmark. </w:t>
      </w:r>
    </w:p>
    <w:p w14:paraId="428AB37B" w14:textId="043EB9FA" w:rsidR="00E378E0" w:rsidRPr="00DE740A" w:rsidRDefault="00E378E0" w:rsidP="004B0B4F">
      <w:pPr>
        <w:pStyle w:val="Heading2"/>
        <w:spacing w:before="0"/>
      </w:pPr>
      <w:bookmarkStart w:id="547" w:name="_Toc24545133"/>
      <w:bookmarkStart w:id="548" w:name="_Toc24545359"/>
      <w:bookmarkStart w:id="549" w:name="_Toc24547620"/>
      <w:bookmarkStart w:id="550" w:name="_Toc24551400"/>
      <w:bookmarkStart w:id="551" w:name="_Toc24554736"/>
      <w:bookmarkStart w:id="552" w:name="_Toc24556333"/>
      <w:bookmarkStart w:id="553" w:name="_Toc24712778"/>
      <w:bookmarkStart w:id="554" w:name="_Toc24717022"/>
      <w:bookmarkStart w:id="555" w:name="_Toc24721561"/>
      <w:bookmarkStart w:id="556" w:name="_Toc24722275"/>
      <w:bookmarkStart w:id="557" w:name="_Toc24728690"/>
      <w:bookmarkStart w:id="558" w:name="_Toc24731216"/>
      <w:r>
        <w:t>Assessing</w:t>
      </w:r>
      <w:r w:rsidR="00BB754A">
        <w:t xml:space="preserve"> the</w:t>
      </w:r>
      <w:r>
        <w:t xml:space="preserve"> adequacy</w:t>
      </w:r>
      <w:r w:rsidR="00BB754A">
        <w:t xml:space="preserve"> of the system</w:t>
      </w:r>
      <w:bookmarkEnd w:id="547"/>
      <w:bookmarkEnd w:id="548"/>
      <w:bookmarkEnd w:id="549"/>
      <w:bookmarkEnd w:id="550"/>
      <w:bookmarkEnd w:id="551"/>
      <w:bookmarkEnd w:id="552"/>
      <w:bookmarkEnd w:id="553"/>
      <w:bookmarkEnd w:id="554"/>
      <w:bookmarkEnd w:id="555"/>
      <w:bookmarkEnd w:id="556"/>
      <w:bookmarkEnd w:id="557"/>
      <w:bookmarkEnd w:id="558"/>
    </w:p>
    <w:p w14:paraId="7C0FE104" w14:textId="6D0E31C9" w:rsidR="007F68E0" w:rsidRDefault="00E378E0" w:rsidP="00382FDD">
      <w:r>
        <w:t>As discussed above, what constitutes an ‘</w:t>
      </w:r>
      <w:r w:rsidR="00B36468" w:rsidRPr="00BE0337">
        <w:t xml:space="preserve">adequate </w:t>
      </w:r>
      <w:r w:rsidRPr="00BE0337">
        <w:t>standard of living’</w:t>
      </w:r>
      <w:r>
        <w:t xml:space="preserve"> will vary between individuals, based on their personal preferences and circumstances, as well as their expenditure needs in retirement. As a result, the Panel proposes to assess the extent to which the system delivers </w:t>
      </w:r>
      <w:r w:rsidR="00ED7DAB">
        <w:t xml:space="preserve">fair and adequate </w:t>
      </w:r>
      <w:r w:rsidR="004035F2">
        <w:t xml:space="preserve">outcomes </w:t>
      </w:r>
      <w:r w:rsidR="00AF09C6">
        <w:t>for different</w:t>
      </w:r>
      <w:r>
        <w:t xml:space="preserve"> individuals </w:t>
      </w:r>
      <w:r w:rsidR="00B4475A">
        <w:t>and groups</w:t>
      </w:r>
      <w:r>
        <w:t>.</w:t>
      </w:r>
      <w:r w:rsidR="00F21639">
        <w:t xml:space="preserve"> </w:t>
      </w:r>
      <w:r w:rsidR="004035F2">
        <w:t xml:space="preserve">Factors which may have a particular bearing on the adequacy of retirement incomes include </w:t>
      </w:r>
      <w:r w:rsidR="004F5F99">
        <w:t xml:space="preserve">gender, </w:t>
      </w:r>
      <w:r w:rsidR="004035F2">
        <w:t>marital status,</w:t>
      </w:r>
      <w:r w:rsidR="005D2387">
        <w:t xml:space="preserve"> longevity,</w:t>
      </w:r>
      <w:r w:rsidR="004035F2">
        <w:t xml:space="preserve"> health and aged care costs, and</w:t>
      </w:r>
      <w:r w:rsidR="005D2387">
        <w:t>,</w:t>
      </w:r>
      <w:r w:rsidR="004035F2">
        <w:t xml:space="preserve"> for non-home owners, accommodation costs</w:t>
      </w:r>
      <w:r w:rsidR="00F43120">
        <w:t>.</w:t>
      </w:r>
    </w:p>
    <w:p w14:paraId="5FF4776A" w14:textId="77777777" w:rsidR="00BA7A61" w:rsidRDefault="00F21639" w:rsidP="00BA7A61">
      <w:r>
        <w:t xml:space="preserve">Analysis of adequacy in this context will be supplemented with consideration of measures of financial hardship for individuals and groups with different characteristics. </w:t>
      </w:r>
      <w:r w:rsidR="00BA7A61">
        <w:t>This will help identify whether or not the system delivers adequate retirement incomes for such groups.</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F63ED1" w14:paraId="2F2AE8D1" w14:textId="77777777" w:rsidTr="00C742C6">
        <w:tc>
          <w:tcPr>
            <w:tcW w:w="5000" w:type="pct"/>
            <w:shd w:val="clear" w:color="auto" w:fill="EBEBEB"/>
          </w:tcPr>
          <w:p w14:paraId="0F610C5F" w14:textId="430F56C6" w:rsidR="00F63ED1" w:rsidRPr="001955CF" w:rsidRDefault="00F63ED1" w:rsidP="00F63ED1">
            <w:pPr>
              <w:pStyle w:val="BoxHeading"/>
              <w:spacing w:before="141" w:after="70"/>
            </w:pPr>
            <w:r w:rsidRPr="001955CF">
              <w:t xml:space="preserve">Consultation </w:t>
            </w:r>
            <w:r w:rsidR="001B7838">
              <w:t>q</w:t>
            </w:r>
            <w:r w:rsidRPr="001955CF">
              <w:t>uestions:</w:t>
            </w:r>
          </w:p>
          <w:p w14:paraId="1924591A" w14:textId="77777777" w:rsidR="00F63ED1" w:rsidRPr="001955CF" w:rsidRDefault="00F63ED1" w:rsidP="00F63ED1">
            <w:pPr>
              <w:pStyle w:val="BoxText"/>
              <w:spacing w:before="70" w:after="70"/>
            </w:pPr>
            <w:bookmarkStart w:id="559" w:name="_Toc24550890"/>
            <w:bookmarkStart w:id="560" w:name="_Toc24728786"/>
            <w:r>
              <w:t xml:space="preserve">What measures should the Panel use to assess whether the retirement income system allows Australians to achieve an adequate retirement income? </w:t>
            </w:r>
            <w:r w:rsidRPr="001955CF">
              <w:t>Should the system be measured against whether it delivers a minimum income level in retirement; reflects a proportion of pre-retirement income</w:t>
            </w:r>
            <w:r>
              <w:t xml:space="preserve"> (and if so, what period of pre-retirement income)</w:t>
            </w:r>
            <w:r w:rsidRPr="001955CF">
              <w:t>; or matches a certain level of expenses?</w:t>
            </w:r>
            <w:bookmarkEnd w:id="559"/>
            <w:bookmarkEnd w:id="560"/>
            <w:r w:rsidRPr="001955CF">
              <w:t xml:space="preserve"> </w:t>
            </w:r>
          </w:p>
          <w:p w14:paraId="4715ECD1" w14:textId="227B03F4" w:rsidR="00F63ED1" w:rsidRDefault="00F63ED1" w:rsidP="00F63ED1">
            <w:pPr>
              <w:pStyle w:val="BoxText"/>
              <w:spacing w:before="70" w:after="70"/>
            </w:pPr>
            <w:bookmarkStart w:id="561" w:name="_Toc24550891"/>
            <w:bookmarkStart w:id="562" w:name="_Toc24728787"/>
            <w:r>
              <w:t>What evidence is available to assess whether retirees have an adequate level of inco</w:t>
            </w:r>
            <w:bookmarkEnd w:id="561"/>
            <w:r>
              <w:t>me?</w:t>
            </w:r>
            <w:bookmarkEnd w:id="562"/>
          </w:p>
        </w:tc>
      </w:tr>
    </w:tbl>
    <w:p w14:paraId="66C5B466" w14:textId="3203A6BF" w:rsidR="007F0465" w:rsidRDefault="007F0465">
      <w:pPr>
        <w:spacing w:before="0" w:after="160" w:line="259" w:lineRule="auto"/>
        <w:rPr>
          <w:rFonts w:cs="Arial"/>
          <w:color w:val="144E60" w:themeColor="accent1"/>
          <w:kern w:val="32"/>
          <w:sz w:val="48"/>
          <w:szCs w:val="36"/>
        </w:rPr>
      </w:pPr>
      <w:r>
        <w:br w:type="page"/>
      </w:r>
      <w:bookmarkStart w:id="563" w:name="_Toc22742371"/>
      <w:bookmarkStart w:id="564" w:name="_Toc22744328"/>
      <w:bookmarkStart w:id="565" w:name="_Toc22814037"/>
      <w:bookmarkStart w:id="566" w:name="_Toc22815468"/>
      <w:bookmarkStart w:id="567" w:name="_Toc22823084"/>
      <w:bookmarkStart w:id="568" w:name="_Toc22828896"/>
      <w:bookmarkStart w:id="569" w:name="_Toc22830451"/>
      <w:bookmarkStart w:id="570" w:name="_Toc22886969"/>
      <w:bookmarkStart w:id="571" w:name="_Toc22888748"/>
      <w:bookmarkStart w:id="572" w:name="_Toc22889666"/>
      <w:bookmarkStart w:id="573" w:name="_Toc22890031"/>
    </w:p>
    <w:p w14:paraId="49A6986D" w14:textId="77777777" w:rsidR="007F0465" w:rsidRPr="00851D99" w:rsidRDefault="007F0465" w:rsidP="007F0465">
      <w:pPr>
        <w:pStyle w:val="Heading1"/>
      </w:pPr>
      <w:bookmarkStart w:id="574" w:name="_Toc22891299"/>
      <w:bookmarkStart w:id="575" w:name="_Toc22891497"/>
      <w:bookmarkStart w:id="576" w:name="_Toc22894274"/>
      <w:bookmarkStart w:id="577" w:name="_Toc23515096"/>
      <w:bookmarkStart w:id="578" w:name="_Toc23515510"/>
      <w:bookmarkStart w:id="579" w:name="_Toc23521057"/>
      <w:bookmarkStart w:id="580" w:name="_Toc24545134"/>
      <w:bookmarkStart w:id="581" w:name="_Toc24545360"/>
      <w:bookmarkStart w:id="582" w:name="_Toc24547621"/>
      <w:bookmarkStart w:id="583" w:name="_Toc24551401"/>
      <w:bookmarkStart w:id="584" w:name="_Toc24554737"/>
      <w:bookmarkStart w:id="585" w:name="_Toc24556334"/>
      <w:bookmarkStart w:id="586" w:name="_Toc24712779"/>
      <w:bookmarkStart w:id="587" w:name="_Toc24717023"/>
      <w:bookmarkStart w:id="588" w:name="_Toc24721562"/>
      <w:bookmarkStart w:id="589" w:name="_Toc24722276"/>
      <w:bookmarkStart w:id="590" w:name="_Toc24728691"/>
      <w:bookmarkStart w:id="591" w:name="_Toc24731217"/>
      <w:r>
        <w:lastRenderedPageBreak/>
        <w:t>Equity</w:t>
      </w:r>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p>
    <w:p w14:paraId="1732729B" w14:textId="77777777" w:rsidR="007F0465" w:rsidRDefault="007F0465" w:rsidP="007F0465">
      <w:pPr>
        <w:pStyle w:val="Heading2"/>
      </w:pPr>
      <w:bookmarkStart w:id="592" w:name="_Toc22742372"/>
      <w:bookmarkStart w:id="593" w:name="_Toc22744329"/>
      <w:bookmarkStart w:id="594" w:name="_Toc22814038"/>
      <w:bookmarkStart w:id="595" w:name="_Toc22815469"/>
      <w:bookmarkStart w:id="596" w:name="_Toc22823085"/>
      <w:bookmarkStart w:id="597" w:name="_Toc22828897"/>
      <w:bookmarkStart w:id="598" w:name="_Toc22830452"/>
      <w:bookmarkStart w:id="599" w:name="_Toc22886970"/>
      <w:bookmarkStart w:id="600" w:name="_Toc22888749"/>
      <w:bookmarkStart w:id="601" w:name="_Toc22889667"/>
      <w:bookmarkStart w:id="602" w:name="_Toc22890032"/>
      <w:bookmarkStart w:id="603" w:name="_Toc22891300"/>
      <w:bookmarkStart w:id="604" w:name="_Toc22891498"/>
      <w:bookmarkStart w:id="605" w:name="_Toc22894275"/>
      <w:bookmarkStart w:id="606" w:name="_Toc23515097"/>
      <w:bookmarkStart w:id="607" w:name="_Toc23515511"/>
      <w:bookmarkStart w:id="608" w:name="_Toc23521058"/>
      <w:bookmarkStart w:id="609" w:name="_Toc24545135"/>
      <w:bookmarkStart w:id="610" w:name="_Toc24545361"/>
      <w:bookmarkStart w:id="611" w:name="_Toc24547622"/>
      <w:bookmarkStart w:id="612" w:name="_Toc24551402"/>
      <w:bookmarkStart w:id="613" w:name="_Toc24554738"/>
      <w:bookmarkStart w:id="614" w:name="_Toc24556335"/>
      <w:bookmarkStart w:id="615" w:name="_Toc24712780"/>
      <w:bookmarkStart w:id="616" w:name="_Toc24717024"/>
      <w:bookmarkStart w:id="617" w:name="_Toc24721563"/>
      <w:bookmarkStart w:id="618" w:name="_Toc24722277"/>
      <w:bookmarkStart w:id="619" w:name="_Toc24728692"/>
      <w:bookmarkStart w:id="620" w:name="_Toc24731218"/>
      <w:r w:rsidRPr="00336601">
        <w:t xml:space="preserve">What </w:t>
      </w:r>
      <w:r w:rsidRPr="00E76722">
        <w:t>is</w:t>
      </w:r>
      <w:r w:rsidRPr="00336601">
        <w:t xml:space="preserve"> mean</w:t>
      </w:r>
      <w:r>
        <w:t>t</w:t>
      </w:r>
      <w:r w:rsidRPr="00336601">
        <w:t xml:space="preserve"> by equity</w:t>
      </w:r>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p w14:paraId="05635218" w14:textId="515985D5" w:rsidR="007F0465" w:rsidRDefault="007F0465" w:rsidP="007F0465">
      <w:r>
        <w:t>The outcomes the retirement income system delivers vary depending on an individual’s circumstances and life experience. Equity considers the systemic issues that affect whether those outcomes are fair and adequate in the circumstances, including whether individuals in similar circumstances achieve similar outcomes in retirement, and whether public support is appropriately targeted to those who need it most.</w:t>
      </w:r>
    </w:p>
    <w:tbl>
      <w:tblPr>
        <w:tblW w:w="5000" w:type="pct"/>
        <w:shd w:val="clear" w:color="auto" w:fill="DFD7E7" w:themeFill="accent3" w:themeFillTint="33"/>
        <w:tblLook w:val="01E0" w:firstRow="1" w:lastRow="1" w:firstColumn="1" w:lastColumn="1" w:noHBand="0" w:noVBand="0"/>
      </w:tblPr>
      <w:tblGrid>
        <w:gridCol w:w="9070"/>
      </w:tblGrid>
      <w:tr w:rsidR="00F63ED1" w14:paraId="0811A61E" w14:textId="77777777" w:rsidTr="00C742C6">
        <w:tc>
          <w:tcPr>
            <w:tcW w:w="5000" w:type="pct"/>
            <w:shd w:val="clear" w:color="auto" w:fill="DFD7E7" w:themeFill="accent3" w:themeFillTint="33"/>
          </w:tcPr>
          <w:p w14:paraId="1B8557EF" w14:textId="77777777" w:rsidR="00F63ED1" w:rsidRDefault="00F63ED1" w:rsidP="00F63ED1">
            <w:pPr>
              <w:pStyle w:val="BoxHeading"/>
              <w:spacing w:before="141" w:after="70"/>
            </w:pPr>
            <w:r>
              <w:t>Equity considerations</w:t>
            </w:r>
          </w:p>
          <w:p w14:paraId="658B3B8C" w14:textId="74277E83" w:rsidR="00F63ED1" w:rsidRPr="007F0465" w:rsidRDefault="00F63ED1" w:rsidP="00F63ED1">
            <w:pPr>
              <w:pStyle w:val="BoxText"/>
              <w:spacing w:before="70" w:after="70"/>
            </w:pPr>
            <w:bookmarkStart w:id="621" w:name="_Toc24550892"/>
            <w:bookmarkStart w:id="622" w:name="_Toc24728788"/>
            <w:r w:rsidRPr="007F0465">
              <w:t>There are a number of questions the Panel proposes to consider when assessing the equity of the retirement income system.</w:t>
            </w:r>
            <w:r>
              <w:t xml:space="preserve"> These include:</w:t>
            </w:r>
            <w:bookmarkEnd w:id="621"/>
            <w:bookmarkEnd w:id="622"/>
          </w:p>
          <w:p w14:paraId="29785964" w14:textId="1477B30C" w:rsidR="00F63ED1" w:rsidRPr="007F0465" w:rsidRDefault="00F63ED1" w:rsidP="00F63ED1">
            <w:pPr>
              <w:pStyle w:val="BoxBullet"/>
              <w:tabs>
                <w:tab w:val="clear" w:pos="283"/>
                <w:tab w:val="num" w:pos="166"/>
              </w:tabs>
              <w:spacing w:after="70"/>
              <w:ind w:left="166" w:hanging="166"/>
            </w:pPr>
            <w:r w:rsidRPr="007F0465">
              <w:t xml:space="preserve">Whether </w:t>
            </w:r>
            <w:r w:rsidRPr="00F63ED1">
              <w:t>outcomes</w:t>
            </w:r>
            <w:r w:rsidRPr="007F0465">
              <w:t xml:space="preserve"> for individuals </w:t>
            </w:r>
            <w:r>
              <w:t xml:space="preserve">in different circumstances </w:t>
            </w:r>
            <w:r w:rsidRPr="007F0465">
              <w:t>are fair and adequate</w:t>
            </w:r>
            <w:r w:rsidR="00716638">
              <w:t>.</w:t>
            </w:r>
          </w:p>
          <w:p w14:paraId="090A264D" w14:textId="77777777" w:rsidR="00F63ED1" w:rsidRPr="007F0465" w:rsidRDefault="00F63ED1" w:rsidP="00F63ED1">
            <w:pPr>
              <w:pStyle w:val="BoxDash"/>
              <w:tabs>
                <w:tab w:val="clear" w:pos="567"/>
                <w:tab w:val="num" w:pos="334"/>
              </w:tabs>
              <w:spacing w:after="70"/>
              <w:ind w:left="334" w:hanging="167"/>
            </w:pPr>
            <w:r w:rsidRPr="007F0465">
              <w:t xml:space="preserve">Does the system provide </w:t>
            </w:r>
            <w:r>
              <w:t>equitable outcomes</w:t>
            </w:r>
            <w:r w:rsidRPr="007F0465">
              <w:t xml:space="preserve"> for women, given they are more likely to </w:t>
            </w:r>
            <w:r>
              <w:t>take</w:t>
            </w:r>
            <w:r w:rsidRPr="007F0465">
              <w:t xml:space="preserve"> career breaks</w:t>
            </w:r>
            <w:r>
              <w:t xml:space="preserve">, work part-time and have </w:t>
            </w:r>
            <w:r w:rsidRPr="007F0465">
              <w:t>lower lifetime earnings</w:t>
            </w:r>
            <w:r>
              <w:t xml:space="preserve"> and longer life expectancy</w:t>
            </w:r>
            <w:r w:rsidRPr="007F0465">
              <w:t xml:space="preserve">? </w:t>
            </w:r>
          </w:p>
          <w:p w14:paraId="656C0AB2" w14:textId="77777777" w:rsidR="00F63ED1" w:rsidRPr="007F0465" w:rsidRDefault="00F63ED1" w:rsidP="00F63ED1">
            <w:pPr>
              <w:pStyle w:val="BoxDash"/>
              <w:tabs>
                <w:tab w:val="clear" w:pos="567"/>
                <w:tab w:val="num" w:pos="334"/>
              </w:tabs>
              <w:spacing w:after="70"/>
              <w:ind w:left="334" w:hanging="167"/>
            </w:pPr>
            <w:r w:rsidRPr="007F0465">
              <w:t>Are individuals’ needs for income before and after retirement appropriately balanced?</w:t>
            </w:r>
          </w:p>
          <w:p w14:paraId="7CE34DBD" w14:textId="10D41553" w:rsidR="00F63ED1" w:rsidRPr="007F0465" w:rsidRDefault="00F63ED1" w:rsidP="00F63ED1">
            <w:pPr>
              <w:pStyle w:val="BoxDash"/>
              <w:tabs>
                <w:tab w:val="clear" w:pos="567"/>
                <w:tab w:val="num" w:pos="334"/>
              </w:tabs>
              <w:spacing w:after="70"/>
              <w:ind w:left="334" w:hanging="167"/>
            </w:pPr>
            <w:r w:rsidRPr="007F0465">
              <w:t xml:space="preserve">Do similar individuals in different generations bear greater costs or receive greater benefits </w:t>
            </w:r>
            <w:r w:rsidR="001B7838">
              <w:t>from the system</w:t>
            </w:r>
            <w:r w:rsidRPr="007F0465">
              <w:t>?</w:t>
            </w:r>
          </w:p>
          <w:p w14:paraId="372A4E43" w14:textId="657ABD9C" w:rsidR="00F63ED1" w:rsidRPr="007F0465" w:rsidRDefault="00F63ED1" w:rsidP="00F63ED1">
            <w:pPr>
              <w:pStyle w:val="BoxDash"/>
              <w:tabs>
                <w:tab w:val="clear" w:pos="567"/>
                <w:tab w:val="num" w:pos="334"/>
              </w:tabs>
              <w:spacing w:after="70"/>
              <w:ind w:left="334" w:hanging="167"/>
            </w:pPr>
            <w:r>
              <w:t>What outcomes does the system deliver</w:t>
            </w:r>
            <w:r w:rsidRPr="007F0465">
              <w:t xml:space="preserve"> for </w:t>
            </w:r>
            <w:r>
              <w:t xml:space="preserve">individuals who experience </w:t>
            </w:r>
            <w:r w:rsidRPr="007F0465">
              <w:t>circumstances such as disability,</w:t>
            </w:r>
            <w:r w:rsidR="001B7838">
              <w:t xml:space="preserve"> </w:t>
            </w:r>
            <w:r w:rsidR="008B51DF">
              <w:t>lower l</w:t>
            </w:r>
            <w:r w:rsidR="00C07DD4">
              <w:t>ife expectancy</w:t>
            </w:r>
            <w:r w:rsidR="008B51DF">
              <w:t xml:space="preserve">, </w:t>
            </w:r>
            <w:r w:rsidR="001B7838">
              <w:t>financial hardship,</w:t>
            </w:r>
            <w:r w:rsidRPr="007F0465">
              <w:t xml:space="preserve"> involuntary retirement, career breaks, and relationship breakdowns?</w:t>
            </w:r>
          </w:p>
          <w:p w14:paraId="6D092AE4" w14:textId="17146A22" w:rsidR="00F63ED1" w:rsidRPr="007F0465" w:rsidRDefault="00F63ED1" w:rsidP="00F63ED1">
            <w:pPr>
              <w:pStyle w:val="BoxBullet"/>
              <w:tabs>
                <w:tab w:val="clear" w:pos="283"/>
                <w:tab w:val="num" w:pos="166"/>
              </w:tabs>
              <w:spacing w:after="70"/>
              <w:ind w:left="166" w:hanging="166"/>
            </w:pPr>
            <w:r w:rsidRPr="007F0465">
              <w:t>Whether individuals in similar circumstances achieve similar outcomes</w:t>
            </w:r>
            <w:r w:rsidR="00716638">
              <w:t>.</w:t>
            </w:r>
          </w:p>
          <w:p w14:paraId="13BF62C5" w14:textId="77777777" w:rsidR="00F63ED1" w:rsidRPr="007F0465" w:rsidRDefault="00F63ED1" w:rsidP="00F63ED1">
            <w:pPr>
              <w:pStyle w:val="BoxDash"/>
              <w:tabs>
                <w:tab w:val="clear" w:pos="567"/>
                <w:tab w:val="num" w:pos="334"/>
              </w:tabs>
              <w:spacing w:after="70"/>
              <w:ind w:left="334" w:hanging="167"/>
            </w:pPr>
            <w:r w:rsidRPr="007F0465">
              <w:t xml:space="preserve">Does the system deliver similar outcomes for </w:t>
            </w:r>
            <w:r>
              <w:t>individuals</w:t>
            </w:r>
            <w:r w:rsidRPr="007F0465">
              <w:t xml:space="preserve"> who have the same lifetime income, regardless of how they are employed?</w:t>
            </w:r>
          </w:p>
          <w:p w14:paraId="303CCF72" w14:textId="77777777" w:rsidR="00F63ED1" w:rsidRPr="007F0465" w:rsidRDefault="00F63ED1" w:rsidP="00F63ED1">
            <w:pPr>
              <w:pStyle w:val="BoxDash"/>
              <w:tabs>
                <w:tab w:val="clear" w:pos="567"/>
                <w:tab w:val="num" w:pos="334"/>
              </w:tabs>
              <w:spacing w:after="70"/>
              <w:ind w:left="334" w:hanging="167"/>
            </w:pPr>
            <w:r w:rsidRPr="007F0465">
              <w:t xml:space="preserve">Does the system deliver similar outcomes for </w:t>
            </w:r>
            <w:r>
              <w:t>individuals</w:t>
            </w:r>
            <w:r w:rsidRPr="007F0465">
              <w:t xml:space="preserve"> with similar levels of total wealth, regardless of how their assets are held?</w:t>
            </w:r>
          </w:p>
          <w:p w14:paraId="27EF24E1" w14:textId="3FCFA74B" w:rsidR="00F63ED1" w:rsidRPr="007F0465" w:rsidRDefault="00F63ED1" w:rsidP="00F63ED1">
            <w:pPr>
              <w:pStyle w:val="BoxBullet"/>
              <w:tabs>
                <w:tab w:val="clear" w:pos="283"/>
                <w:tab w:val="num" w:pos="166"/>
              </w:tabs>
              <w:spacing w:after="70"/>
              <w:ind w:left="166" w:hanging="166"/>
            </w:pPr>
            <w:r w:rsidRPr="007F0465">
              <w:t>Whether public support is appropriately targeted</w:t>
            </w:r>
            <w:r w:rsidR="00716638">
              <w:t>.</w:t>
            </w:r>
          </w:p>
          <w:p w14:paraId="1C6684C3" w14:textId="77777777" w:rsidR="00F63ED1" w:rsidRPr="007F0465" w:rsidRDefault="00F63ED1" w:rsidP="00F63ED1">
            <w:pPr>
              <w:pStyle w:val="BoxDash"/>
              <w:tabs>
                <w:tab w:val="clear" w:pos="567"/>
                <w:tab w:val="num" w:pos="334"/>
              </w:tabs>
              <w:spacing w:after="70"/>
              <w:ind w:left="334" w:hanging="167"/>
            </w:pPr>
            <w:r w:rsidRPr="007F0465">
              <w:t>Does the system provide most support to those with the least capacity to save for and support themselves in retirement?</w:t>
            </w:r>
          </w:p>
          <w:p w14:paraId="395835B8" w14:textId="740A1306" w:rsidR="00F63ED1" w:rsidRPr="008950C5" w:rsidRDefault="00F63ED1" w:rsidP="00BA1EA3">
            <w:pPr>
              <w:pStyle w:val="BoxDash"/>
              <w:tabs>
                <w:tab w:val="clear" w:pos="567"/>
                <w:tab w:val="num" w:pos="334"/>
              </w:tabs>
              <w:spacing w:after="70"/>
              <w:ind w:left="335" w:hanging="167"/>
            </w:pPr>
            <w:r w:rsidRPr="007F0465">
              <w:t>Is support for non-home</w:t>
            </w:r>
            <w:r w:rsidR="00C80FB3">
              <w:t xml:space="preserve"> </w:t>
            </w:r>
            <w:r w:rsidRPr="007F0465">
              <w:t xml:space="preserve">owners </w:t>
            </w:r>
            <w:r>
              <w:t>equitable</w:t>
            </w:r>
            <w:r w:rsidRPr="007F0465">
              <w:t>?</w:t>
            </w:r>
          </w:p>
        </w:tc>
      </w:tr>
    </w:tbl>
    <w:p w14:paraId="72701EAF" w14:textId="77777777" w:rsidR="00F63ED1" w:rsidRDefault="00F63ED1" w:rsidP="00F63ED1">
      <w:pPr>
        <w:pStyle w:val="SingleParagraph"/>
      </w:pP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F63ED1" w14:paraId="4159980C" w14:textId="77777777" w:rsidTr="00C742C6">
        <w:tc>
          <w:tcPr>
            <w:tcW w:w="5000" w:type="pct"/>
            <w:shd w:val="clear" w:color="auto" w:fill="EBEBEB"/>
          </w:tcPr>
          <w:p w14:paraId="3F9CFCC3" w14:textId="74BF8576" w:rsidR="00F63ED1" w:rsidRPr="007D282C" w:rsidRDefault="00F63ED1" w:rsidP="00F63ED1">
            <w:pPr>
              <w:pStyle w:val="BoxHeading"/>
              <w:spacing w:before="141" w:after="70"/>
            </w:pPr>
            <w:bookmarkStart w:id="623" w:name="_Toc22815471"/>
            <w:bookmarkStart w:id="624" w:name="_Toc22823087"/>
            <w:bookmarkStart w:id="625" w:name="_Toc22828899"/>
            <w:bookmarkStart w:id="626" w:name="_Toc22830454"/>
            <w:bookmarkStart w:id="627" w:name="_Toc22886972"/>
            <w:bookmarkStart w:id="628" w:name="_Toc22888751"/>
            <w:bookmarkStart w:id="629" w:name="_Toc22889669"/>
            <w:bookmarkStart w:id="630" w:name="_Toc22890034"/>
            <w:bookmarkStart w:id="631" w:name="_Toc22891302"/>
            <w:bookmarkStart w:id="632" w:name="_Toc22891500"/>
            <w:r w:rsidRPr="001955CF">
              <w:t xml:space="preserve">Consultation </w:t>
            </w:r>
            <w:r w:rsidR="00863850">
              <w:t>q</w:t>
            </w:r>
            <w:r w:rsidRPr="001955CF">
              <w:t>uestion:</w:t>
            </w:r>
          </w:p>
          <w:p w14:paraId="03ADE5E8" w14:textId="0499AC52" w:rsidR="00F63ED1" w:rsidRDefault="00F63ED1" w:rsidP="00F63ED1">
            <w:pPr>
              <w:pStyle w:val="BoxText"/>
              <w:spacing w:before="70" w:after="70"/>
            </w:pPr>
            <w:bookmarkStart w:id="633" w:name="_Toc24550893"/>
            <w:bookmarkStart w:id="634" w:name="_Toc24728789"/>
            <w:r>
              <w:t>What should the Panel consider when assessing the equity of the retirement income system?</w:t>
            </w:r>
            <w:bookmarkEnd w:id="633"/>
            <w:bookmarkEnd w:id="634"/>
          </w:p>
        </w:tc>
      </w:tr>
    </w:tbl>
    <w:p w14:paraId="32E2C6F0" w14:textId="77777777" w:rsidR="007F0465" w:rsidRDefault="007F0465" w:rsidP="007F0465">
      <w:pPr>
        <w:pStyle w:val="Heading2"/>
      </w:pPr>
      <w:bookmarkStart w:id="635" w:name="_Toc22894276"/>
      <w:bookmarkStart w:id="636" w:name="_Toc23515098"/>
      <w:bookmarkStart w:id="637" w:name="_Toc23515512"/>
      <w:bookmarkStart w:id="638" w:name="_Toc23521059"/>
      <w:bookmarkStart w:id="639" w:name="_Toc24545136"/>
      <w:bookmarkStart w:id="640" w:name="_Toc24545362"/>
      <w:bookmarkStart w:id="641" w:name="_Toc24547623"/>
      <w:bookmarkStart w:id="642" w:name="_Toc24551403"/>
      <w:bookmarkStart w:id="643" w:name="_Toc24554739"/>
      <w:bookmarkStart w:id="644" w:name="_Toc24556336"/>
      <w:bookmarkStart w:id="645" w:name="_Toc24712781"/>
      <w:bookmarkStart w:id="646" w:name="_Toc24717025"/>
      <w:bookmarkStart w:id="647" w:name="_Toc24721564"/>
      <w:bookmarkStart w:id="648" w:name="_Toc24722278"/>
      <w:bookmarkStart w:id="649" w:name="_Toc24728693"/>
      <w:bookmarkStart w:id="650" w:name="_Toc24731219"/>
      <w:r>
        <w:t>Assessing whether the system is equitable</w:t>
      </w:r>
      <w:bookmarkEnd w:id="623"/>
      <w:bookmarkEnd w:id="624"/>
      <w:bookmarkEnd w:id="625"/>
      <w:bookmarkEnd w:id="626"/>
      <w:bookmarkEnd w:id="627"/>
      <w:bookmarkEnd w:id="628"/>
      <w:bookmarkEnd w:id="629"/>
      <w:bookmarkEnd w:id="630"/>
      <w:bookmarkEnd w:id="631"/>
      <w:bookmarkEnd w:id="632"/>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p>
    <w:p w14:paraId="40F6ADA5" w14:textId="21CEFBD3" w:rsidR="007F0465" w:rsidRDefault="00BC6AFC" w:rsidP="007F0465">
      <w:pPr>
        <w:pStyle w:val="Heading3"/>
      </w:pPr>
      <w:r>
        <w:t>F</w:t>
      </w:r>
      <w:r w:rsidR="007F0465">
        <w:t xml:space="preserve">air and adequate </w:t>
      </w:r>
      <w:r>
        <w:t xml:space="preserve">outcomes </w:t>
      </w:r>
    </w:p>
    <w:p w14:paraId="52705F38" w14:textId="1113202C" w:rsidR="007F0465" w:rsidRDefault="007F0465" w:rsidP="007F0465">
      <w:r>
        <w:t>The retirement income system should deliver outcomes both before and in retirement, for all generations and for individuals in particular circumstances</w:t>
      </w:r>
      <w:r w:rsidR="003B270F">
        <w:t>,</w:t>
      </w:r>
      <w:r>
        <w:t xml:space="preserve"> that are fair and adequate given the circumstances and the degree of control individuals have over those circumstances.</w:t>
      </w:r>
    </w:p>
    <w:p w14:paraId="41565F51" w14:textId="02271FE6" w:rsidR="000956B0" w:rsidRDefault="000956B0" w:rsidP="32930055">
      <w:pPr>
        <w:pStyle w:val="Bullet"/>
      </w:pPr>
      <w:r>
        <w:t>Women are more likely than men to</w:t>
      </w:r>
      <w:r w:rsidR="00C94D15">
        <w:t xml:space="preserve"> have </w:t>
      </w:r>
      <w:r w:rsidR="00E8518E">
        <w:t>broken</w:t>
      </w:r>
      <w:r w:rsidR="00C94D15">
        <w:t xml:space="preserve"> work patterns </w:t>
      </w:r>
      <w:r w:rsidR="00295B60">
        <w:t xml:space="preserve">due to </w:t>
      </w:r>
      <w:r w:rsidR="00C94D15">
        <w:t>family responsibilities. Time out of the workforce and part-time work affect women’s</w:t>
      </w:r>
      <w:r w:rsidR="001B1168">
        <w:t xml:space="preserve"> lifetime income levels and their </w:t>
      </w:r>
      <w:r w:rsidR="001B1168">
        <w:lastRenderedPageBreak/>
        <w:t>ability to save for retirement.</w:t>
      </w:r>
      <w:r w:rsidR="00F37143">
        <w:t xml:space="preserve"> </w:t>
      </w:r>
      <w:r w:rsidR="001B1168">
        <w:t xml:space="preserve">In addition, during career breaks women </w:t>
      </w:r>
      <w:r w:rsidR="00CB3350">
        <w:t xml:space="preserve">tend to </w:t>
      </w:r>
      <w:r w:rsidR="001B1168">
        <w:t>forgo</w:t>
      </w:r>
      <w:r>
        <w:t xml:space="preserve"> </w:t>
      </w:r>
      <w:r w:rsidRPr="00567A90">
        <w:t>compulsory superannuation</w:t>
      </w:r>
      <w:r>
        <w:t xml:space="preserve">. </w:t>
      </w:r>
      <w:r w:rsidR="003B270F">
        <w:t xml:space="preserve">The wages gap between men and women further affects women’s ability to save for retirement. </w:t>
      </w:r>
      <w:r>
        <w:t>Th</w:t>
      </w:r>
      <w:r w:rsidR="001B1168">
        <w:t>ese</w:t>
      </w:r>
      <w:r>
        <w:t xml:space="preserve"> factor</w:t>
      </w:r>
      <w:r w:rsidR="001B1168">
        <w:t>s</w:t>
      </w:r>
      <w:r>
        <w:t>, among others,</w:t>
      </w:r>
      <w:r w:rsidR="00883812">
        <w:t xml:space="preserve"> ha</w:t>
      </w:r>
      <w:r w:rsidR="001B1168">
        <w:t>ve</w:t>
      </w:r>
      <w:r>
        <w:t xml:space="preserve"> </w:t>
      </w:r>
      <w:r w:rsidR="00883812">
        <w:t>led to</w:t>
      </w:r>
      <w:r w:rsidRPr="00567A90">
        <w:t xml:space="preserve"> women retiring </w:t>
      </w:r>
      <w:r w:rsidRPr="004C59FA">
        <w:t>with</w:t>
      </w:r>
      <w:r w:rsidRPr="00567A90">
        <w:t xml:space="preserve"> lower </w:t>
      </w:r>
      <w:r w:rsidR="00883812">
        <w:t xml:space="preserve">average </w:t>
      </w:r>
      <w:r w:rsidRPr="00567A90">
        <w:t>superannuation balances than men</w:t>
      </w:r>
      <w:r>
        <w:t xml:space="preserve"> (CEPAR 2018b, </w:t>
      </w:r>
      <w:r w:rsidR="00DE452D">
        <w:t>p</w:t>
      </w:r>
      <w:r>
        <w:t>p. 15-17)</w:t>
      </w:r>
      <w:r w:rsidRPr="32930055">
        <w:t xml:space="preserve">. </w:t>
      </w:r>
    </w:p>
    <w:p w14:paraId="3C01BDBD" w14:textId="26878191" w:rsidR="007F0465" w:rsidRDefault="007F0465" w:rsidP="004C59FA">
      <w:pPr>
        <w:pStyle w:val="Bullet"/>
      </w:pPr>
      <w:r>
        <w:t xml:space="preserve">There is generally a trade-off between consumption before and during retirement. </w:t>
      </w:r>
      <w:r w:rsidR="0013657B">
        <w:t>While the</w:t>
      </w:r>
      <w:r>
        <w:t xml:space="preserve"> degree to which compulsory superannuation is paid for by employees in the form of reduced </w:t>
      </w:r>
      <w:r w:rsidR="00CB3350">
        <w:t xml:space="preserve">take-home </w:t>
      </w:r>
      <w:r>
        <w:t xml:space="preserve">wages is </w:t>
      </w:r>
      <w:r w:rsidR="00772079">
        <w:t>debated</w:t>
      </w:r>
      <w:r>
        <w:t xml:space="preserve">, the policy of preservation means these resources are </w:t>
      </w:r>
      <w:r w:rsidR="001E2624">
        <w:t xml:space="preserve">generally </w:t>
      </w:r>
      <w:r>
        <w:t>not available for needs arising during working life. Voluntary retirement savings</w:t>
      </w:r>
      <w:r w:rsidR="005D67D7">
        <w:t>,</w:t>
      </w:r>
      <w:r>
        <w:t xml:space="preserve"> </w:t>
      </w:r>
      <w:r w:rsidR="00D0326A">
        <w:t>however,</w:t>
      </w:r>
      <w:r w:rsidR="005D67D7">
        <w:t xml:space="preserve"> </w:t>
      </w:r>
      <w:r>
        <w:t xml:space="preserve">result in a direct reduction in pre-retirement consumption. </w:t>
      </w:r>
      <w:r w:rsidR="008977E1">
        <w:t>Ideally, the</w:t>
      </w:r>
      <w:r w:rsidR="00CB3350">
        <w:t xml:space="preserve"> retirement income</w:t>
      </w:r>
      <w:r w:rsidR="008977E1">
        <w:t xml:space="preserve"> system should support individuals to </w:t>
      </w:r>
      <w:r w:rsidR="00563329">
        <w:t xml:space="preserve">save enough to allow consumption smoothing over their lifetime without </w:t>
      </w:r>
      <w:r w:rsidRPr="004A5061">
        <w:t>defer</w:t>
      </w:r>
      <w:r w:rsidR="00563329">
        <w:t>ring</w:t>
      </w:r>
      <w:r w:rsidRPr="004A5061">
        <w:t xml:space="preserve"> too much consumption to their retirement</w:t>
      </w:r>
      <w:r w:rsidR="008977E1">
        <w:t xml:space="preserve"> at the expense of living standards du</w:t>
      </w:r>
      <w:r w:rsidR="00563329">
        <w:t>ring working life</w:t>
      </w:r>
      <w:r>
        <w:t>.</w:t>
      </w:r>
      <w:r w:rsidR="00854F5E">
        <w:t xml:space="preserve"> </w:t>
      </w:r>
    </w:p>
    <w:p w14:paraId="7B3EE6CD" w14:textId="58C5ABCA" w:rsidR="007F0465" w:rsidRDefault="007F0465" w:rsidP="004C59FA">
      <w:pPr>
        <w:pStyle w:val="Bullet"/>
      </w:pPr>
      <w:r>
        <w:t xml:space="preserve">Where one generation is required to fund their own retirement as well as the retirement of a previous or future generation they </w:t>
      </w:r>
      <w:r w:rsidR="0014103E">
        <w:t>may</w:t>
      </w:r>
      <w:r>
        <w:t xml:space="preserve"> view this as inequitable. Age Pension expenditure is funded from government revenue, affecting the tax impost on working Australians. Australia’s ageing population means there will be a declining </w:t>
      </w:r>
      <w:r w:rsidRPr="004C59FA">
        <w:t>number</w:t>
      </w:r>
      <w:r>
        <w:t xml:space="preserve"> of workers for every retiree</w:t>
      </w:r>
      <w:r w:rsidR="007F36D8">
        <w:t>.</w:t>
      </w:r>
      <w:r>
        <w:t xml:space="preserve"> </w:t>
      </w:r>
      <w:r w:rsidR="007F36D8">
        <w:t>I</w:t>
      </w:r>
      <w:r>
        <w:t>t is</w:t>
      </w:r>
      <w:r w:rsidR="007F36D8">
        <w:t xml:space="preserve"> therefore</w:t>
      </w:r>
      <w:r>
        <w:t xml:space="preserve"> important the </w:t>
      </w:r>
      <w:r w:rsidR="005B7B19">
        <w:t xml:space="preserve">retirement income </w:t>
      </w:r>
      <w:r>
        <w:t xml:space="preserve">system does not place an undue </w:t>
      </w:r>
      <w:r w:rsidR="005B7B19">
        <w:t xml:space="preserve">fiscal </w:t>
      </w:r>
      <w:r>
        <w:t>burden on future generations.</w:t>
      </w:r>
    </w:p>
    <w:p w14:paraId="37295031" w14:textId="7E2230BF" w:rsidR="007F0465" w:rsidRDefault="007F0465" w:rsidP="004C59FA">
      <w:pPr>
        <w:pStyle w:val="Bullet"/>
      </w:pPr>
      <w:r>
        <w:t xml:space="preserve">Retirement outcomes for individuals and groups will be affected by a range of life events and circumstances. Where those events </w:t>
      </w:r>
      <w:r w:rsidR="00810C5E">
        <w:t>reflect an individual’s choices (e.g. voluntary early retirement)</w:t>
      </w:r>
      <w:r>
        <w:t xml:space="preserve"> there does not appear to be a strong rationale for the system to compensate for any forgone retirement income. However,</w:t>
      </w:r>
      <w:r w:rsidR="00757B06">
        <w:t xml:space="preserve"> in</w:t>
      </w:r>
      <w:r>
        <w:t xml:space="preserve"> circumstances </w:t>
      </w:r>
      <w:r w:rsidR="00757B06">
        <w:t xml:space="preserve">that are beyond the control of the individual </w:t>
      </w:r>
      <w:r>
        <w:t>such as disability</w:t>
      </w:r>
      <w:r w:rsidR="00540BA4">
        <w:t>, involuntary retirement</w:t>
      </w:r>
      <w:r w:rsidR="005B7B19">
        <w:t>,</w:t>
      </w:r>
      <w:r w:rsidDel="008B51DF">
        <w:t xml:space="preserve"> </w:t>
      </w:r>
      <w:r>
        <w:t>financial hardship</w:t>
      </w:r>
      <w:r w:rsidR="008B51DF">
        <w:t>, and lower than average life expectancy</w:t>
      </w:r>
      <w:r w:rsidDel="00757B06">
        <w:t xml:space="preserve"> </w:t>
      </w:r>
      <w:r w:rsidR="00AA317C">
        <w:t xml:space="preserve">(e.g. Aboriginal and Torres Strait Islander people) </w:t>
      </w:r>
      <w:r>
        <w:t xml:space="preserve">there may be benefit </w:t>
      </w:r>
      <w:r w:rsidR="008819F4">
        <w:t>in</w:t>
      </w:r>
      <w:r>
        <w:t xml:space="preserve"> ensuring </w:t>
      </w:r>
      <w:r w:rsidR="008819F4">
        <w:t>that</w:t>
      </w:r>
      <w:r>
        <w:t xml:space="preserve"> </w:t>
      </w:r>
      <w:r w:rsidR="005B7B19">
        <w:t>individuals</w:t>
      </w:r>
      <w:r w:rsidDel="00757B06">
        <w:t xml:space="preserve"> </w:t>
      </w:r>
      <w:r>
        <w:t>are not unreasonably disadvantaged in retirement.</w:t>
      </w:r>
    </w:p>
    <w:p w14:paraId="46F63C3F" w14:textId="0B67B3DF" w:rsidR="007F0465" w:rsidRPr="00E744F4" w:rsidRDefault="007F0465" w:rsidP="007F0465">
      <w:pPr>
        <w:pStyle w:val="Heading3"/>
      </w:pPr>
      <w:r>
        <w:t xml:space="preserve">Individuals in similar circumstances </w:t>
      </w:r>
      <w:r w:rsidR="00AC3616">
        <w:t xml:space="preserve">achieve </w:t>
      </w:r>
      <w:r>
        <w:t>similar outcomes</w:t>
      </w:r>
    </w:p>
    <w:p w14:paraId="6F720B8F" w14:textId="77777777" w:rsidR="007F0465" w:rsidRDefault="007F0465" w:rsidP="007F0465">
      <w:r>
        <w:t>Individuals who have the same lifetime earnings and the same levels of total wealth at retirement should expect to have similar outcomes in retirement. However, this does not necessarily occur.</w:t>
      </w:r>
    </w:p>
    <w:p w14:paraId="05326284" w14:textId="30D15B4F" w:rsidR="007F0465" w:rsidRPr="001B6646" w:rsidRDefault="007F0465">
      <w:pPr>
        <w:pStyle w:val="Bullet"/>
      </w:pPr>
      <w:r>
        <w:t>The s</w:t>
      </w:r>
      <w:r w:rsidRPr="00F672C2">
        <w:t xml:space="preserve">elf-employed and workers earning less than $450 per month </w:t>
      </w:r>
      <w:r w:rsidR="007F36D8">
        <w:t>from an individual employer</w:t>
      </w:r>
      <w:r w:rsidRPr="00F672C2">
        <w:t xml:space="preserve"> </w:t>
      </w:r>
      <w:r w:rsidR="00976D57">
        <w:t>are not required to be paid</w:t>
      </w:r>
      <w:r w:rsidRPr="00F672C2">
        <w:t xml:space="preserve"> compulsory superannuation</w:t>
      </w:r>
      <w:r w:rsidR="00B71AFA">
        <w:t>. This</w:t>
      </w:r>
      <w:r>
        <w:t xml:space="preserve"> </w:t>
      </w:r>
      <w:r w:rsidRPr="00F672C2">
        <w:t xml:space="preserve">can result in these </w:t>
      </w:r>
      <w:r>
        <w:t>individuals</w:t>
      </w:r>
      <w:r w:rsidRPr="00F672C2">
        <w:t xml:space="preserve"> retiring with significantly lower levels of </w:t>
      </w:r>
      <w:r w:rsidR="005B7B19">
        <w:t>retirement savings</w:t>
      </w:r>
      <w:r w:rsidRPr="00F672C2">
        <w:t xml:space="preserve"> than </w:t>
      </w:r>
      <w:r w:rsidRPr="004C59FA">
        <w:t>individuals</w:t>
      </w:r>
      <w:r w:rsidRPr="00F672C2">
        <w:t xml:space="preserve"> covered by compulsory superannuation</w:t>
      </w:r>
      <w:r>
        <w:t>, even where their total lifetime earnings are the same</w:t>
      </w:r>
      <w:r w:rsidRPr="00F672C2">
        <w:t>.</w:t>
      </w:r>
      <w:r w:rsidR="008819F4" w:rsidRPr="004D1D0A">
        <w:rPr>
          <w:rStyle w:val="FootnoteReference"/>
          <w:vertAlign w:val="superscript"/>
        </w:rPr>
        <w:footnoteReference w:id="9"/>
      </w:r>
      <w:r w:rsidRPr="004D1D0A">
        <w:rPr>
          <w:vertAlign w:val="superscript"/>
        </w:rPr>
        <w:t xml:space="preserve"> </w:t>
      </w:r>
      <w:r w:rsidR="00917247">
        <w:t>In addition, w</w:t>
      </w:r>
      <w:r w:rsidR="00F927A4">
        <w:t xml:space="preserve">here </w:t>
      </w:r>
      <w:r w:rsidR="00917247">
        <w:t>individual</w:t>
      </w:r>
      <w:r w:rsidR="00F927A4">
        <w:t>s have employers who don’</w:t>
      </w:r>
      <w:r w:rsidR="00917247">
        <w:t>t meet their SG obligations</w:t>
      </w:r>
      <w:r w:rsidR="007367EF">
        <w:t xml:space="preserve"> this can affect superannuation balances at</w:t>
      </w:r>
      <w:r w:rsidR="00F927A4">
        <w:t xml:space="preserve"> retirement</w:t>
      </w:r>
      <w:r w:rsidR="00917247">
        <w:t>.</w:t>
      </w:r>
    </w:p>
    <w:p w14:paraId="78FA1547" w14:textId="1DDA0D81" w:rsidR="007F0465" w:rsidRPr="009827A3" w:rsidRDefault="007F0465" w:rsidP="53AA67D5">
      <w:pPr>
        <w:pStyle w:val="Bullet"/>
      </w:pPr>
      <w:r>
        <w:t>S</w:t>
      </w:r>
      <w:r w:rsidRPr="009D4D99">
        <w:t xml:space="preserve">imilar </w:t>
      </w:r>
      <w:r w:rsidR="005B7B19">
        <w:t xml:space="preserve">Age Pension payments </w:t>
      </w:r>
      <w:r>
        <w:t xml:space="preserve">can be </w:t>
      </w:r>
      <w:r w:rsidRPr="009D4D99">
        <w:t xml:space="preserve">provided to </w:t>
      </w:r>
      <w:r w:rsidR="00E67451">
        <w:t>individuals</w:t>
      </w:r>
      <w:r w:rsidRPr="009D4D99">
        <w:t xml:space="preserve"> with different</w:t>
      </w:r>
      <w:r>
        <w:t xml:space="preserve"> levels of</w:t>
      </w:r>
      <w:r w:rsidRPr="53AA67D5">
        <w:t xml:space="preserve"> </w:t>
      </w:r>
      <w:r>
        <w:t>total wealth</w:t>
      </w:r>
      <w:r w:rsidRPr="53AA67D5">
        <w:t xml:space="preserve"> </w:t>
      </w:r>
      <w:r>
        <w:t xml:space="preserve">due to the </w:t>
      </w:r>
      <w:r w:rsidR="00FC3AFB">
        <w:t xml:space="preserve">design of the </w:t>
      </w:r>
      <w:r w:rsidR="007F36D8">
        <w:t xml:space="preserve">means </w:t>
      </w:r>
      <w:r w:rsidR="00AB121B">
        <w:t xml:space="preserve">tests for income and assets. </w:t>
      </w:r>
      <w:r w:rsidR="00B71AFA">
        <w:t>T</w:t>
      </w:r>
      <w:r w:rsidRPr="009D4D99">
        <w:t xml:space="preserve">he </w:t>
      </w:r>
      <w:r>
        <w:t xml:space="preserve">income test uses </w:t>
      </w:r>
      <w:r w:rsidRPr="00BD0FD5">
        <w:t>proxy</w:t>
      </w:r>
      <w:r w:rsidR="00810C5E" w:rsidRPr="00BD0FD5">
        <w:t xml:space="preserve"> or deemed</w:t>
      </w:r>
      <w:r w:rsidRPr="53AA67D5">
        <w:t xml:space="preserve"> </w:t>
      </w:r>
      <w:r>
        <w:t xml:space="preserve">rates of return to determine income </w:t>
      </w:r>
      <w:r w:rsidRPr="000E338A">
        <w:t xml:space="preserve">from financial assets rather than </w:t>
      </w:r>
      <w:r w:rsidR="007F36D8">
        <w:t>assessing</w:t>
      </w:r>
      <w:r w:rsidRPr="000E338A">
        <w:t xml:space="preserve"> actual income</w:t>
      </w:r>
      <w:r w:rsidR="007F36D8">
        <w:t>. This means that</w:t>
      </w:r>
      <w:r>
        <w:t xml:space="preserve"> a</w:t>
      </w:r>
      <w:r w:rsidR="00B65F71">
        <w:t>n individual</w:t>
      </w:r>
      <w:r>
        <w:t>’s rate of Age Pension depends not only on their level of wealth but also how they hold their wealth</w:t>
      </w:r>
      <w:r w:rsidR="00810C5E">
        <w:t xml:space="preserve"> and the deemed rates applied</w:t>
      </w:r>
      <w:r>
        <w:t xml:space="preserve">. </w:t>
      </w:r>
      <w:r w:rsidR="00B71AFA">
        <w:t>Additionally,</w:t>
      </w:r>
      <w:r>
        <w:t xml:space="preserve"> non</w:t>
      </w:r>
      <w:r w:rsidR="00483940">
        <w:noBreakHyphen/>
      </w:r>
      <w:r w:rsidRPr="004C59FA">
        <w:t>home</w:t>
      </w:r>
      <w:r w:rsidR="00C80FB3">
        <w:t xml:space="preserve"> </w:t>
      </w:r>
      <w:r w:rsidRPr="004C59FA">
        <w:t>owners</w:t>
      </w:r>
      <w:r>
        <w:t xml:space="preserve"> can h</w:t>
      </w:r>
      <w:r w:rsidR="00370CAC">
        <w:t>ave</w:t>
      </w:r>
      <w:r>
        <w:t xml:space="preserve"> around $210,000 more </w:t>
      </w:r>
      <w:r w:rsidR="00A03814">
        <w:t xml:space="preserve">in </w:t>
      </w:r>
      <w:r>
        <w:t xml:space="preserve">assets </w:t>
      </w:r>
      <w:r w:rsidR="00A03814">
        <w:t>than a home</w:t>
      </w:r>
      <w:r w:rsidR="00C80FB3">
        <w:t xml:space="preserve"> </w:t>
      </w:r>
      <w:r w:rsidR="00A03814">
        <w:t>owner</w:t>
      </w:r>
      <w:r>
        <w:t xml:space="preserve"> before their pension is affected </w:t>
      </w:r>
      <w:r w:rsidR="00A03814">
        <w:t>by the assets means test,</w:t>
      </w:r>
      <w:r>
        <w:t xml:space="preserve"> </w:t>
      </w:r>
      <w:r w:rsidR="007A3B64">
        <w:t xml:space="preserve">in recognition that they do not benefit from the </w:t>
      </w:r>
      <w:r w:rsidR="00E41BDE">
        <w:t>exemption of the family</w:t>
      </w:r>
      <w:r w:rsidR="007A3B64">
        <w:t xml:space="preserve"> home </w:t>
      </w:r>
      <w:r w:rsidR="00E41BDE">
        <w:t>from the assets test</w:t>
      </w:r>
      <w:r w:rsidR="007A3B64">
        <w:t>.</w:t>
      </w:r>
      <w:r>
        <w:t xml:space="preserve"> </w:t>
      </w:r>
      <w:r w:rsidR="007A3B64">
        <w:t>They</w:t>
      </w:r>
      <w:r>
        <w:t xml:space="preserve"> may </w:t>
      </w:r>
      <w:r w:rsidR="0014103E">
        <w:t xml:space="preserve">also </w:t>
      </w:r>
      <w:r>
        <w:t xml:space="preserve">be eligible for Commonwealth Rent Assistance. </w:t>
      </w:r>
    </w:p>
    <w:p w14:paraId="2D0F2EE5" w14:textId="77777777" w:rsidR="007F0465" w:rsidRPr="00E744F4" w:rsidRDefault="007F0465" w:rsidP="007F0465">
      <w:pPr>
        <w:pStyle w:val="Heading3"/>
      </w:pPr>
      <w:r>
        <w:lastRenderedPageBreak/>
        <w:t>Public support is appropriately targeted</w:t>
      </w:r>
    </w:p>
    <w:p w14:paraId="3A86C276" w14:textId="3E173A8D" w:rsidR="007F0465" w:rsidRDefault="007F0465" w:rsidP="007F0465">
      <w:r>
        <w:t xml:space="preserve">The overall level of public support provided by the </w:t>
      </w:r>
      <w:r w:rsidR="00370CAC">
        <w:t xml:space="preserve">retirement income </w:t>
      </w:r>
      <w:r>
        <w:t>system should</w:t>
      </w:r>
      <w:r w:rsidR="00370CAC">
        <w:t xml:space="preserve"> be</w:t>
      </w:r>
      <w:r>
        <w:t xml:space="preserve"> target</w:t>
      </w:r>
      <w:r w:rsidR="00370CAC">
        <w:t>ed to</w:t>
      </w:r>
      <w:r>
        <w:t xml:space="preserve"> those who need it most. </w:t>
      </w:r>
      <w:r w:rsidRPr="00DF4EFE">
        <w:t>H</w:t>
      </w:r>
      <w:r w:rsidRPr="00405EB0">
        <w:t xml:space="preserve">igher income </w:t>
      </w:r>
      <w:r w:rsidR="00370CAC">
        <w:t>earner</w:t>
      </w:r>
      <w:r w:rsidRPr="00405EB0">
        <w:t xml:space="preserve">s generally have a greater capacity to </w:t>
      </w:r>
      <w:r w:rsidR="00892AC8">
        <w:t>accumulate</w:t>
      </w:r>
      <w:r>
        <w:t xml:space="preserve"> savings pre</w:t>
      </w:r>
      <w:r w:rsidR="00B71AFA">
        <w:noBreakHyphen/>
      </w:r>
      <w:r>
        <w:t xml:space="preserve">retirement and make larger superannuation contributions. This can </w:t>
      </w:r>
      <w:r w:rsidR="00370CAC">
        <w:t>lead to</w:t>
      </w:r>
      <w:r w:rsidR="00A737E8">
        <w:t xml:space="preserve"> higher </w:t>
      </w:r>
      <w:r>
        <w:t>tax concession</w:t>
      </w:r>
      <w:r w:rsidR="00A737E8">
        <w:t>s being provided</w:t>
      </w:r>
      <w:r>
        <w:t xml:space="preserve"> to this group as a result of</w:t>
      </w:r>
      <w:r w:rsidRPr="68AB4052">
        <w:t xml:space="preserve"> </w:t>
      </w:r>
      <w:r>
        <w:t>the generally flat rates</w:t>
      </w:r>
      <w:r w:rsidRPr="00405EB0">
        <w:t xml:space="preserve"> of</w:t>
      </w:r>
      <w:r>
        <w:t xml:space="preserve"> tax on</w:t>
      </w:r>
      <w:r w:rsidRPr="00405EB0">
        <w:t xml:space="preserve"> superannuatio</w:t>
      </w:r>
      <w:r>
        <w:t>n contributions and earnings.</w:t>
      </w:r>
      <w:r w:rsidR="008C0101">
        <w:t xml:space="preserve"> The application of an additional 15 per cent tax on superannuation contributions for those </w:t>
      </w:r>
      <w:r w:rsidR="00B51AE1">
        <w:t xml:space="preserve">with total remuneration of </w:t>
      </w:r>
      <w:r w:rsidR="008C0101">
        <w:t>$250,000</w:t>
      </w:r>
      <w:r w:rsidR="00370CAC">
        <w:t xml:space="preserve"> or more,</w:t>
      </w:r>
      <w:r w:rsidR="008C0101">
        <w:t xml:space="preserve"> combined with the </w:t>
      </w:r>
      <w:r w:rsidR="00126287">
        <w:t>LISTO</w:t>
      </w:r>
      <w:r w:rsidR="008C0101">
        <w:t xml:space="preserve"> </w:t>
      </w:r>
      <w:r w:rsidR="00354598">
        <w:t>(</w:t>
      </w:r>
      <w:r w:rsidR="008C0101">
        <w:t>which effectively refunds contributions tax for low income earners</w:t>
      </w:r>
      <w:r w:rsidR="00354598">
        <w:t>)</w:t>
      </w:r>
      <w:r w:rsidR="008C0101">
        <w:t xml:space="preserve"> are designed to reduce the ‘gap’ in tax concessions between low and high income earners.</w:t>
      </w:r>
      <w:r w:rsidRPr="00405EB0">
        <w:t xml:space="preserve"> The Age Pension means </w:t>
      </w:r>
      <w:r>
        <w:t>test</w:t>
      </w:r>
      <w:r w:rsidRPr="00405EB0">
        <w:t xml:space="preserve"> </w:t>
      </w:r>
      <w:r w:rsidR="008C0101">
        <w:t xml:space="preserve">also </w:t>
      </w:r>
      <w:r w:rsidRPr="00405EB0">
        <w:t>acts to narrow the gap in retirement outcomes across groups with dif</w:t>
      </w:r>
      <w:r>
        <w:t xml:space="preserve">ferent levels of household wealth by targeting government support in retirement to lower wealth households. Nevertheless, </w:t>
      </w:r>
      <w:r w:rsidR="006972B2">
        <w:t xml:space="preserve">cameo </w:t>
      </w:r>
      <w:r w:rsidR="004F17E6">
        <w:t>modelling suggests that</w:t>
      </w:r>
      <w:r>
        <w:t xml:space="preserve"> over a lifetime</w:t>
      </w:r>
      <w:r w:rsidR="006B0E80">
        <w:t>,</w:t>
      </w:r>
      <w:r>
        <w:t xml:space="preserve"> more public support </w:t>
      </w:r>
      <w:r w:rsidR="004F17E6">
        <w:t>may be</w:t>
      </w:r>
      <w:r>
        <w:t xml:space="preserve"> provided to those in higher income brackets</w:t>
      </w:r>
      <w:r w:rsidR="0014103E" w:rsidRPr="68AB4052">
        <w:t xml:space="preserve"> (</w:t>
      </w:r>
      <w:r w:rsidR="00A104B6">
        <w:fldChar w:fldCharType="begin"/>
      </w:r>
      <w:r w:rsidR="00A104B6">
        <w:instrText xml:space="preserve"> REF _Ref23495805 \h </w:instrText>
      </w:r>
      <w:r w:rsidR="00A104B6">
        <w:fldChar w:fldCharType="separate"/>
      </w:r>
      <w:r w:rsidR="00070568" w:rsidRPr="00716638">
        <w:t xml:space="preserve">Figure </w:t>
      </w:r>
      <w:r w:rsidR="00070568">
        <w:rPr>
          <w:noProof/>
        </w:rPr>
        <w:t>4</w:t>
      </w:r>
      <w:r w:rsidR="00A104B6">
        <w:fldChar w:fldCharType="end"/>
      </w:r>
      <w:r w:rsidR="00A104B6" w:rsidRPr="68AB4052">
        <w:t>)</w:t>
      </w:r>
      <w:r w:rsidRPr="68AB4052">
        <w:t>.</w:t>
      </w:r>
    </w:p>
    <w:p w14:paraId="5EDEF657" w14:textId="4B49C397" w:rsidR="007F0465" w:rsidRPr="00716638" w:rsidRDefault="007F0465" w:rsidP="00883D8C">
      <w:pPr>
        <w:pStyle w:val="ChartMainHeading"/>
      </w:pPr>
      <w:bookmarkStart w:id="651" w:name="_Ref23495805"/>
      <w:r w:rsidRPr="00716638">
        <w:t xml:space="preserve">Figure </w:t>
      </w:r>
      <w:r w:rsidR="008B4A14" w:rsidRPr="00716638">
        <w:rPr>
          <w:noProof/>
        </w:rPr>
        <w:fldChar w:fldCharType="begin"/>
      </w:r>
      <w:r w:rsidR="008B4A14" w:rsidRPr="00716638">
        <w:rPr>
          <w:noProof/>
        </w:rPr>
        <w:instrText xml:space="preserve"> SEQ Figure \* ARABIC </w:instrText>
      </w:r>
      <w:r w:rsidR="008B4A14" w:rsidRPr="00716638">
        <w:rPr>
          <w:noProof/>
        </w:rPr>
        <w:fldChar w:fldCharType="separate"/>
      </w:r>
      <w:r w:rsidR="00070568">
        <w:rPr>
          <w:noProof/>
        </w:rPr>
        <w:t>4</w:t>
      </w:r>
      <w:r w:rsidR="008B4A14" w:rsidRPr="00716638">
        <w:rPr>
          <w:noProof/>
        </w:rPr>
        <w:fldChar w:fldCharType="end"/>
      </w:r>
      <w:bookmarkEnd w:id="651"/>
      <w:r w:rsidRPr="00716638">
        <w:t>: Lifetime</w:t>
      </w:r>
      <w:r w:rsidR="006B0E80" w:rsidRPr="00716638">
        <w:t xml:space="preserve"> </w:t>
      </w:r>
      <w:r w:rsidR="006972B2" w:rsidRPr="00716638">
        <w:t>g</w:t>
      </w:r>
      <w:r w:rsidR="006B0E80" w:rsidRPr="00716638">
        <w:t>overnment</w:t>
      </w:r>
      <w:r w:rsidRPr="00716638">
        <w:t xml:space="preserve"> </w:t>
      </w:r>
      <w:r w:rsidRPr="00883D8C">
        <w:t>support</w:t>
      </w:r>
      <w:r w:rsidRPr="00716638">
        <w:t xml:space="preserve"> provided </w:t>
      </w:r>
      <w:r w:rsidR="006B0E80" w:rsidRPr="00716638">
        <w:t>through</w:t>
      </w:r>
      <w:r w:rsidRPr="00716638">
        <w:t xml:space="preserve"> the retirement income system</w:t>
      </w:r>
      <w:r w:rsidR="004F17E6" w:rsidRPr="00716638">
        <w:rPr>
          <w:rStyle w:val="FootnoteReference"/>
          <w:sz w:val="22"/>
          <w:szCs w:val="22"/>
          <w:vertAlign w:val="superscript"/>
        </w:rPr>
        <w:footnoteReference w:id="10"/>
      </w:r>
    </w:p>
    <w:p w14:paraId="2A9D60C4" w14:textId="13E1872B" w:rsidR="007F0465" w:rsidRPr="00073053" w:rsidRDefault="00DD5D5A" w:rsidP="00B921FB">
      <w:pPr>
        <w:pStyle w:val="ChartGraphic"/>
      </w:pPr>
      <w:r>
        <w:rPr>
          <w:noProof/>
        </w:rPr>
        <w:drawing>
          <wp:inline distT="0" distB="0" distL="0" distR="0" wp14:anchorId="24818BFB" wp14:editId="42268C31">
            <wp:extent cx="5759450" cy="2902585"/>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056D768" w14:textId="660263BF" w:rsidR="00A104B6" w:rsidRPr="00A104B6" w:rsidRDefault="00A104B6" w:rsidP="004D1D0A">
      <w:pPr>
        <w:pStyle w:val="ChartandTableFootnoteAlpha"/>
        <w:numPr>
          <w:ilvl w:val="0"/>
          <w:numId w:val="0"/>
        </w:numPr>
        <w:ind w:left="284" w:hanging="284"/>
      </w:pPr>
      <w:r w:rsidRPr="00A104B6">
        <w:t xml:space="preserve">Source: </w:t>
      </w:r>
      <w:r w:rsidR="00DD5D5A" w:rsidRPr="00A104B6">
        <w:t xml:space="preserve">Treasury </w:t>
      </w:r>
      <w:r w:rsidR="00DD5D5A">
        <w:t>calculations using a hypothetical cameo model</w:t>
      </w:r>
    </w:p>
    <w:p w14:paraId="4A1B76D9" w14:textId="553B8F2A" w:rsidR="00FA5030" w:rsidRDefault="00682712" w:rsidP="007F0465">
      <w:r>
        <w:t>The family home is an important a</w:t>
      </w:r>
      <w:r w:rsidR="00587E83">
        <w:t>sset for retirement.</w:t>
      </w:r>
      <w:r>
        <w:t xml:space="preserve"> </w:t>
      </w:r>
      <w:r w:rsidR="00587E83">
        <w:t>P</w:t>
      </w:r>
      <w:r w:rsidR="00515E8E">
        <w:t xml:space="preserve">ensioners </w:t>
      </w:r>
      <w:r w:rsidR="00A737E8">
        <w:t xml:space="preserve">aged </w:t>
      </w:r>
      <w:r w:rsidR="00515E8E">
        <w:t>over 65</w:t>
      </w:r>
      <w:r>
        <w:t xml:space="preserve"> who live in their own home </w:t>
      </w:r>
      <w:r w:rsidR="00515E8E">
        <w:t>have much lower rates of</w:t>
      </w:r>
      <w:r>
        <w:t xml:space="preserve"> financial hardship than those renting privately</w:t>
      </w:r>
      <w:r w:rsidR="00B434CD">
        <w:t xml:space="preserve"> (Daley and Coates 2018)</w:t>
      </w:r>
      <w:r>
        <w:t xml:space="preserve">. </w:t>
      </w:r>
      <w:r w:rsidR="007F0465">
        <w:t xml:space="preserve">The family home can store equity for use in retirement through downsizing or a reverse mortgage. In addition, home owners with no mortgage are likely to have lower housing costs than those with mortgages </w:t>
      </w:r>
      <w:r w:rsidR="006B0E80">
        <w:t>and</w:t>
      </w:r>
      <w:r w:rsidR="00587E83">
        <w:t xml:space="preserve"> those who </w:t>
      </w:r>
      <w:r w:rsidR="007F0465">
        <w:t>rent. The</w:t>
      </w:r>
      <w:r w:rsidR="007F0465" w:rsidRPr="000E6426">
        <w:t xml:space="preserve"> </w:t>
      </w:r>
      <w:r w:rsidR="007F0465">
        <w:t>family home</w:t>
      </w:r>
      <w:r w:rsidR="007F0465" w:rsidRPr="000E6426">
        <w:t xml:space="preserve"> is exempt from the</w:t>
      </w:r>
      <w:r w:rsidR="007F0465">
        <w:t xml:space="preserve"> Age Pension means test</w:t>
      </w:r>
      <w:r w:rsidR="007F23C7">
        <w:t xml:space="preserve">. </w:t>
      </w:r>
      <w:r w:rsidR="00FC5A5D">
        <w:t xml:space="preserve">The financial benefit of owning a home can be </w:t>
      </w:r>
      <w:r w:rsidR="007F0465">
        <w:t>well in excess of the support available through Commonwealth Rent Assistance</w:t>
      </w:r>
      <w:r w:rsidR="00FC5A5D">
        <w:t xml:space="preserve"> to renters</w:t>
      </w:r>
      <w:r w:rsidR="007F0465">
        <w:t>.</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F63ED1" w14:paraId="10EBBD7F" w14:textId="77777777" w:rsidTr="00C742C6">
        <w:tc>
          <w:tcPr>
            <w:tcW w:w="5000" w:type="pct"/>
            <w:shd w:val="clear" w:color="auto" w:fill="EBEBEB"/>
          </w:tcPr>
          <w:p w14:paraId="20730A0E" w14:textId="4A906BEE" w:rsidR="00F63ED1" w:rsidRPr="001955CF" w:rsidRDefault="00F63ED1" w:rsidP="00F63ED1">
            <w:pPr>
              <w:pStyle w:val="BoxHeading"/>
              <w:spacing w:before="141" w:after="70"/>
            </w:pPr>
            <w:bookmarkStart w:id="652" w:name="_Toc22892109"/>
            <w:bookmarkStart w:id="653" w:name="_Toc22892314"/>
            <w:bookmarkStart w:id="654" w:name="_Toc22892529"/>
            <w:bookmarkStart w:id="655" w:name="_Toc22894277"/>
            <w:bookmarkStart w:id="656" w:name="_Toc23515099"/>
            <w:bookmarkStart w:id="657" w:name="_Toc23515513"/>
            <w:r w:rsidRPr="001955CF">
              <w:lastRenderedPageBreak/>
              <w:t xml:space="preserve">Consultation </w:t>
            </w:r>
            <w:r w:rsidR="006B0E80">
              <w:t>q</w:t>
            </w:r>
            <w:r w:rsidRPr="001955CF">
              <w:t>uestions:</w:t>
            </w:r>
          </w:p>
          <w:p w14:paraId="78557D52" w14:textId="55730B4E" w:rsidR="00F63ED1" w:rsidRDefault="00F63ED1" w:rsidP="00F63ED1">
            <w:pPr>
              <w:pStyle w:val="BoxText"/>
              <w:spacing w:before="70" w:after="70"/>
            </w:pPr>
            <w:bookmarkStart w:id="658" w:name="_Toc24550894"/>
            <w:bookmarkStart w:id="659" w:name="_Toc24728790"/>
            <w:r>
              <w:t>What factors and information should the Panel consider when examining whether the retirement income system is delivering fair outcomes in retirement? What evidence</w:t>
            </w:r>
            <w:r w:rsidRPr="001955CF">
              <w:t xml:space="preserve"> </w:t>
            </w:r>
            <w:r w:rsidR="006B0E80">
              <w:t xml:space="preserve">is available to assess whether </w:t>
            </w:r>
            <w:r w:rsidRPr="001955CF">
              <w:t>the current settings of the retirement income system support fair outcomes in retirement</w:t>
            </w:r>
            <w:r>
              <w:t xml:space="preserve"> </w:t>
            </w:r>
            <w:r w:rsidRPr="00423D9D">
              <w:t>for individuals with different characteristics and/or in different circumstances (e.g. women, renters, etc.)?</w:t>
            </w:r>
            <w:bookmarkEnd w:id="658"/>
            <w:bookmarkEnd w:id="659"/>
          </w:p>
          <w:p w14:paraId="02B5A283" w14:textId="3A626DCB" w:rsidR="00F63ED1" w:rsidRDefault="00F63ED1" w:rsidP="00F63ED1">
            <w:pPr>
              <w:pStyle w:val="BoxText"/>
              <w:spacing w:before="70" w:after="70"/>
            </w:pPr>
            <w:bookmarkStart w:id="660" w:name="_Toc24550895"/>
            <w:bookmarkStart w:id="661" w:name="_Toc24728791"/>
            <w:r>
              <w:t>Is there evidence the system encourages and supports older Australians who wish to remain in the workforce past retirement age?</w:t>
            </w:r>
            <w:bookmarkEnd w:id="660"/>
            <w:bookmarkEnd w:id="661"/>
          </w:p>
          <w:p w14:paraId="0D28287A" w14:textId="77777777" w:rsidR="00F63ED1" w:rsidRPr="00E52EA5" w:rsidRDefault="00F63ED1" w:rsidP="00F63ED1">
            <w:pPr>
              <w:pStyle w:val="BoxText"/>
              <w:spacing w:before="70" w:after="70"/>
            </w:pPr>
            <w:bookmarkStart w:id="662" w:name="_Toc24550896"/>
            <w:bookmarkStart w:id="663" w:name="_Toc24728792"/>
            <w:r>
              <w:t>To what extent does the retirement income system compensate for, or exacerbate, inequities experienced during working li</w:t>
            </w:r>
            <w:bookmarkEnd w:id="662"/>
            <w:r>
              <w:t>fe?</w:t>
            </w:r>
            <w:bookmarkEnd w:id="663"/>
          </w:p>
          <w:p w14:paraId="043F7157" w14:textId="78F459D9" w:rsidR="00F63ED1" w:rsidRDefault="00F63ED1" w:rsidP="00F63ED1">
            <w:pPr>
              <w:pStyle w:val="BoxText"/>
              <w:spacing w:before="70" w:after="70"/>
            </w:pPr>
            <w:bookmarkStart w:id="664" w:name="_Toc24550897"/>
            <w:bookmarkStart w:id="665" w:name="_Toc24728793"/>
            <w:r w:rsidRPr="001955CF">
              <w:t xml:space="preserve">What </w:t>
            </w:r>
            <w:r>
              <w:t xml:space="preserve">are the </w:t>
            </w:r>
            <w:r w:rsidRPr="001955CF">
              <w:t xml:space="preserve">implications </w:t>
            </w:r>
            <w:r>
              <w:t>of</w:t>
            </w:r>
            <w:r w:rsidRPr="001955CF">
              <w:t xml:space="preserve"> a maturing </w:t>
            </w:r>
            <w:r w:rsidR="006860DE">
              <w:t>SG</w:t>
            </w:r>
            <w:r w:rsidRPr="001955CF">
              <w:t xml:space="preserve"> system for those who are not covered by compul</w:t>
            </w:r>
            <w:r>
              <w:t>sory superannuation?</w:t>
            </w:r>
            <w:bookmarkEnd w:id="664"/>
            <w:bookmarkEnd w:id="665"/>
          </w:p>
        </w:tc>
      </w:tr>
    </w:tbl>
    <w:p w14:paraId="667ADA15" w14:textId="566D2F3D" w:rsidR="000E67D7" w:rsidRDefault="000E67D7" w:rsidP="000E67D7">
      <w:r>
        <w:br w:type="page"/>
      </w:r>
    </w:p>
    <w:p w14:paraId="6F7C594A" w14:textId="688D8473" w:rsidR="007F0465" w:rsidRPr="004B1E15" w:rsidRDefault="007F0465" w:rsidP="004B1E15">
      <w:pPr>
        <w:pStyle w:val="Heading1"/>
      </w:pPr>
      <w:bookmarkStart w:id="666" w:name="_Toc23521060"/>
      <w:bookmarkStart w:id="667" w:name="_Toc24545137"/>
      <w:bookmarkStart w:id="668" w:name="_Toc24545363"/>
      <w:bookmarkStart w:id="669" w:name="_Toc24547624"/>
      <w:bookmarkStart w:id="670" w:name="_Toc24551404"/>
      <w:bookmarkStart w:id="671" w:name="_Toc24554740"/>
      <w:bookmarkStart w:id="672" w:name="_Toc24556337"/>
      <w:bookmarkStart w:id="673" w:name="_Toc24712782"/>
      <w:bookmarkStart w:id="674" w:name="_Toc24717026"/>
      <w:bookmarkStart w:id="675" w:name="_Toc24721565"/>
      <w:bookmarkStart w:id="676" w:name="_Toc24722279"/>
      <w:bookmarkStart w:id="677" w:name="_Toc24728694"/>
      <w:bookmarkStart w:id="678" w:name="_Toc24731220"/>
      <w:r w:rsidRPr="004B1E15">
        <w:lastRenderedPageBreak/>
        <w:t>Sustainability</w:t>
      </w:r>
      <w:bookmarkEnd w:id="652"/>
      <w:bookmarkEnd w:id="653"/>
      <w:bookmarkEnd w:id="654"/>
      <w:bookmarkEnd w:id="655"/>
      <w:bookmarkEnd w:id="656"/>
      <w:bookmarkEnd w:id="657"/>
      <w:bookmarkEnd w:id="666"/>
      <w:bookmarkEnd w:id="667"/>
      <w:bookmarkEnd w:id="668"/>
      <w:bookmarkEnd w:id="669"/>
      <w:bookmarkEnd w:id="670"/>
      <w:bookmarkEnd w:id="671"/>
      <w:bookmarkEnd w:id="672"/>
      <w:bookmarkEnd w:id="673"/>
      <w:bookmarkEnd w:id="674"/>
      <w:bookmarkEnd w:id="675"/>
      <w:bookmarkEnd w:id="676"/>
      <w:bookmarkEnd w:id="677"/>
      <w:bookmarkEnd w:id="678"/>
    </w:p>
    <w:p w14:paraId="107A692B" w14:textId="77777777" w:rsidR="007F0465" w:rsidRDefault="007F0465" w:rsidP="007F0465">
      <w:pPr>
        <w:pStyle w:val="Heading2"/>
      </w:pPr>
      <w:bookmarkStart w:id="679" w:name="_Toc22742374"/>
      <w:bookmarkStart w:id="680" w:name="_Toc22744331"/>
      <w:bookmarkStart w:id="681" w:name="_Toc22814041"/>
      <w:bookmarkStart w:id="682" w:name="_Toc22815473"/>
      <w:bookmarkStart w:id="683" w:name="_Toc22823089"/>
      <w:bookmarkStart w:id="684" w:name="_Toc22828901"/>
      <w:bookmarkStart w:id="685" w:name="_Toc22830456"/>
      <w:bookmarkStart w:id="686" w:name="_Toc22886974"/>
      <w:bookmarkStart w:id="687" w:name="_Toc22888753"/>
      <w:bookmarkStart w:id="688" w:name="_Toc22890036"/>
      <w:bookmarkStart w:id="689" w:name="_Toc22892110"/>
      <w:bookmarkStart w:id="690" w:name="_Toc22892315"/>
      <w:bookmarkStart w:id="691" w:name="_Toc22892530"/>
      <w:bookmarkStart w:id="692" w:name="_Toc22894278"/>
      <w:bookmarkStart w:id="693" w:name="_Toc23515100"/>
      <w:bookmarkStart w:id="694" w:name="_Toc23515514"/>
      <w:bookmarkStart w:id="695" w:name="_Toc23521061"/>
      <w:bookmarkStart w:id="696" w:name="_Toc24545138"/>
      <w:bookmarkStart w:id="697" w:name="_Toc24545364"/>
      <w:bookmarkStart w:id="698" w:name="_Toc24547625"/>
      <w:bookmarkStart w:id="699" w:name="_Toc24551405"/>
      <w:bookmarkStart w:id="700" w:name="_Toc24554741"/>
      <w:bookmarkStart w:id="701" w:name="_Toc24556338"/>
      <w:bookmarkStart w:id="702" w:name="_Toc24712783"/>
      <w:bookmarkStart w:id="703" w:name="_Toc24717027"/>
      <w:bookmarkStart w:id="704" w:name="_Toc24721566"/>
      <w:bookmarkStart w:id="705" w:name="_Toc24722280"/>
      <w:bookmarkStart w:id="706" w:name="_Toc24728695"/>
      <w:bookmarkStart w:id="707" w:name="_Toc24731221"/>
      <w:r w:rsidRPr="00BE0AA5">
        <w:t xml:space="preserve">What </w:t>
      </w:r>
      <w:r>
        <w:t>is</w:t>
      </w:r>
      <w:r w:rsidRPr="00BE0AA5">
        <w:t xml:space="preserve"> mean</w:t>
      </w:r>
      <w:r>
        <w:t>t</w:t>
      </w:r>
      <w:r w:rsidRPr="00BE0AA5">
        <w:t xml:space="preserve"> by </w:t>
      </w:r>
      <w:r>
        <w:t>sustainability</w:t>
      </w:r>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14:paraId="43213EB5" w14:textId="3202BEB9" w:rsidR="007F0465" w:rsidRDefault="007F0465" w:rsidP="007F0465">
      <w:r>
        <w:t xml:space="preserve">Sustainability considers the extent to which the system will be able to continue to deliver adequate retirement incomes in the future and the degree of public confidence in the system. </w:t>
      </w:r>
    </w:p>
    <w:p w14:paraId="6D6F8669" w14:textId="264D407B" w:rsidR="007F0465" w:rsidRDefault="00B61626" w:rsidP="007F0465">
      <w:r>
        <w:t>There is a natural tension between</w:t>
      </w:r>
      <w:r w:rsidR="009C5CAE">
        <w:t xml:space="preserve"> the principles of</w:t>
      </w:r>
      <w:r>
        <w:t xml:space="preserve"> s</w:t>
      </w:r>
      <w:r w:rsidR="007F0465">
        <w:t>ustainability and adequacy</w:t>
      </w:r>
      <w:r w:rsidR="00D37318">
        <w:t>. Higher levels</w:t>
      </w:r>
      <w:r w:rsidR="007F0465">
        <w:t xml:space="preserve"> of retirement income </w:t>
      </w:r>
      <w:r w:rsidR="00D37318">
        <w:t>risk</w:t>
      </w:r>
      <w:r w:rsidR="007F0465">
        <w:t xml:space="preserve"> being </w:t>
      </w:r>
      <w:r w:rsidR="009C5CAE">
        <w:t>un</w:t>
      </w:r>
      <w:r w:rsidR="007F0465">
        <w:t>sustain</w:t>
      </w:r>
      <w:r w:rsidR="009C5CAE">
        <w:t>able</w:t>
      </w:r>
      <w:r w:rsidR="007F0465">
        <w:t xml:space="preserve"> over the long term</w:t>
      </w:r>
      <w:r w:rsidR="008C621D">
        <w:t xml:space="preserve"> (Mercer</w:t>
      </w:r>
      <w:r w:rsidR="00A21130">
        <w:t xml:space="preserve"> </w:t>
      </w:r>
      <w:r w:rsidR="00465E87">
        <w:t>2016</w:t>
      </w:r>
      <w:r w:rsidR="00DC5D02">
        <w:t>, p. 9</w:t>
      </w:r>
      <w:r w:rsidR="008C621D">
        <w:t>)</w:t>
      </w:r>
      <w:r w:rsidR="007F0465">
        <w:t xml:space="preserve">. The system needs to balance these two principles by providing </w:t>
      </w:r>
      <w:r w:rsidR="009C5CAE">
        <w:t>government</w:t>
      </w:r>
      <w:r w:rsidR="007F0465">
        <w:t xml:space="preserve"> support</w:t>
      </w:r>
      <w:r w:rsidR="009C5CAE">
        <w:t xml:space="preserve"> to individuals that delivers</w:t>
      </w:r>
      <w:r w:rsidR="007F0465">
        <w:t xml:space="preserve"> a level of retirement income that is adequate and which can be </w:t>
      </w:r>
      <w:r w:rsidR="00144C13">
        <w:t>maintained over the long term.</w:t>
      </w:r>
    </w:p>
    <w:tbl>
      <w:tblPr>
        <w:tblW w:w="5000" w:type="pct"/>
        <w:shd w:val="clear" w:color="auto" w:fill="DFD7E7" w:themeFill="accent3" w:themeFillTint="33"/>
        <w:tblLook w:val="01E0" w:firstRow="1" w:lastRow="1" w:firstColumn="1" w:lastColumn="1" w:noHBand="0" w:noVBand="0"/>
      </w:tblPr>
      <w:tblGrid>
        <w:gridCol w:w="9070"/>
      </w:tblGrid>
      <w:tr w:rsidR="00144C13" w14:paraId="004A402B" w14:textId="77777777" w:rsidTr="00C742C6">
        <w:tc>
          <w:tcPr>
            <w:tcW w:w="5000" w:type="pct"/>
            <w:shd w:val="clear" w:color="auto" w:fill="DFD7E7" w:themeFill="accent3" w:themeFillTint="33"/>
          </w:tcPr>
          <w:p w14:paraId="402571B8" w14:textId="77777777" w:rsidR="00144C13" w:rsidRDefault="00144C13" w:rsidP="00144C13">
            <w:pPr>
              <w:pStyle w:val="BoxHeading"/>
              <w:spacing w:before="141" w:after="70"/>
            </w:pPr>
            <w:r>
              <w:t>Sustainability considerations</w:t>
            </w:r>
          </w:p>
          <w:p w14:paraId="77886BD1" w14:textId="2288C08D" w:rsidR="00144C13" w:rsidRPr="007F0465" w:rsidRDefault="00144C13" w:rsidP="00144C13">
            <w:pPr>
              <w:pStyle w:val="BoxText"/>
              <w:spacing w:before="70" w:after="70"/>
            </w:pPr>
            <w:bookmarkStart w:id="708" w:name="_Toc24550898"/>
            <w:bookmarkStart w:id="709" w:name="_Toc24728794"/>
            <w:r w:rsidRPr="007F0465">
              <w:t xml:space="preserve">There are a number of questions the Panel proposes to consider when assessing the sustainability of the retirement income system both in the short term and </w:t>
            </w:r>
            <w:r>
              <w:t>longer term</w:t>
            </w:r>
            <w:r w:rsidRPr="007F0465">
              <w:t>.</w:t>
            </w:r>
            <w:bookmarkEnd w:id="708"/>
            <w:r w:rsidR="00D44FA7">
              <w:t xml:space="preserve"> These include:</w:t>
            </w:r>
            <w:bookmarkEnd w:id="709"/>
          </w:p>
          <w:p w14:paraId="479D382C" w14:textId="77777777" w:rsidR="00144C13" w:rsidRPr="007F0465" w:rsidRDefault="00144C13" w:rsidP="00144C13">
            <w:pPr>
              <w:pStyle w:val="BoxBullet"/>
              <w:tabs>
                <w:tab w:val="clear" w:pos="283"/>
                <w:tab w:val="num" w:pos="166"/>
              </w:tabs>
              <w:spacing w:after="70"/>
              <w:ind w:left="166" w:hanging="166"/>
            </w:pPr>
            <w:r w:rsidRPr="007F0465">
              <w:t>What is the cost of the system to public and private finances?</w:t>
            </w:r>
          </w:p>
          <w:p w14:paraId="7580C493" w14:textId="7536135F" w:rsidR="00144C13" w:rsidRDefault="00144C13" w:rsidP="00144C13">
            <w:pPr>
              <w:pStyle w:val="BoxBullet"/>
              <w:tabs>
                <w:tab w:val="clear" w:pos="283"/>
                <w:tab w:val="num" w:pos="166"/>
              </w:tabs>
              <w:spacing w:after="70"/>
              <w:ind w:left="166" w:hanging="166"/>
            </w:pPr>
            <w:r w:rsidRPr="007F0465">
              <w:t>To what degree is there public confidence that the system is delivering</w:t>
            </w:r>
            <w:r w:rsidR="00D44FA7">
              <w:t>,</w:t>
            </w:r>
            <w:r w:rsidRPr="007F0465">
              <w:t xml:space="preserve"> and will continue to deliver</w:t>
            </w:r>
            <w:r w:rsidR="00D44FA7">
              <w:t>,</w:t>
            </w:r>
            <w:r w:rsidRPr="007F0465">
              <w:t xml:space="preserve"> on its intended outcomes?</w:t>
            </w:r>
          </w:p>
          <w:p w14:paraId="68023E60" w14:textId="77777777" w:rsidR="00144C13" w:rsidRPr="007F0465" w:rsidRDefault="00144C13" w:rsidP="00144C13">
            <w:pPr>
              <w:pStyle w:val="BoxBullet"/>
              <w:tabs>
                <w:tab w:val="clear" w:pos="283"/>
                <w:tab w:val="num" w:pos="166"/>
              </w:tabs>
              <w:spacing w:after="70"/>
              <w:ind w:left="166" w:hanging="166"/>
            </w:pPr>
            <w:r w:rsidRPr="007F0465">
              <w:t xml:space="preserve">What is the system’s ability to adjust for trends and </w:t>
            </w:r>
            <w:r>
              <w:t>withstand</w:t>
            </w:r>
            <w:r w:rsidRPr="007F0465">
              <w:t xml:space="preserve"> one-off shocks?</w:t>
            </w:r>
          </w:p>
          <w:p w14:paraId="49CAB338" w14:textId="4B05575C" w:rsidR="00144C13" w:rsidRPr="008950C5" w:rsidRDefault="00144C13" w:rsidP="004D1D0A">
            <w:pPr>
              <w:pStyle w:val="BoxBullet"/>
              <w:tabs>
                <w:tab w:val="clear" w:pos="283"/>
                <w:tab w:val="num" w:pos="166"/>
              </w:tabs>
              <w:spacing w:after="70"/>
              <w:ind w:left="167" w:hanging="167"/>
            </w:pPr>
            <w:bookmarkStart w:id="710" w:name="_Toc24550899"/>
            <w:r>
              <w:t xml:space="preserve">Is there evidence individuals are saving more than they need to </w:t>
            </w:r>
            <w:r w:rsidR="00D44FA7">
              <w:t xml:space="preserve">deliver adequate </w:t>
            </w:r>
            <w:r>
              <w:t>retirement income</w:t>
            </w:r>
            <w:r w:rsidRPr="007F0465">
              <w:t>?</w:t>
            </w:r>
            <w:bookmarkEnd w:id="710"/>
          </w:p>
        </w:tc>
      </w:tr>
    </w:tbl>
    <w:p w14:paraId="57BEBF4C" w14:textId="72BF1012" w:rsidR="00144C13" w:rsidRDefault="00144C13" w:rsidP="00144C13">
      <w:pPr>
        <w:pStyle w:val="SingleParagraph"/>
      </w:pP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144C13" w14:paraId="5499D302" w14:textId="77777777" w:rsidTr="00C742C6">
        <w:tc>
          <w:tcPr>
            <w:tcW w:w="5000" w:type="pct"/>
            <w:shd w:val="clear" w:color="auto" w:fill="EBEBEB"/>
          </w:tcPr>
          <w:p w14:paraId="3FFA46C9" w14:textId="31FC2971" w:rsidR="00144C13" w:rsidRPr="003A73A2" w:rsidRDefault="00144C13" w:rsidP="00144C13">
            <w:pPr>
              <w:pStyle w:val="BoxHeading"/>
              <w:spacing w:before="141" w:after="70"/>
            </w:pPr>
            <w:r>
              <w:t xml:space="preserve">Consultation </w:t>
            </w:r>
            <w:r w:rsidR="00D44FA7">
              <w:t>q</w:t>
            </w:r>
            <w:r>
              <w:t>uestion</w:t>
            </w:r>
            <w:r w:rsidRPr="003A73A2">
              <w:t>:</w:t>
            </w:r>
          </w:p>
          <w:p w14:paraId="7CF4C0EA" w14:textId="7F7A7398" w:rsidR="00144C13" w:rsidRDefault="00144C13" w:rsidP="00144C13">
            <w:pPr>
              <w:pStyle w:val="BoxText"/>
              <w:spacing w:before="70" w:after="70"/>
            </w:pPr>
            <w:bookmarkStart w:id="711" w:name="_Toc24550900"/>
            <w:bookmarkStart w:id="712" w:name="_Toc24728795"/>
            <w:r>
              <w:t>What should the Panel consider when assessing the sustainability of the retirement income system?</w:t>
            </w:r>
            <w:bookmarkEnd w:id="711"/>
            <w:bookmarkEnd w:id="712"/>
          </w:p>
        </w:tc>
      </w:tr>
    </w:tbl>
    <w:p w14:paraId="610B3E14" w14:textId="77777777" w:rsidR="007F0465" w:rsidRPr="004C46DB" w:rsidRDefault="007F0465" w:rsidP="007F0465">
      <w:pPr>
        <w:pStyle w:val="Heading2"/>
      </w:pPr>
      <w:bookmarkStart w:id="713" w:name="_Toc22830457"/>
      <w:bookmarkStart w:id="714" w:name="_Toc22886975"/>
      <w:bookmarkStart w:id="715" w:name="_Toc22888754"/>
      <w:bookmarkStart w:id="716" w:name="_Toc22890037"/>
      <w:bookmarkStart w:id="717" w:name="_Toc22892111"/>
      <w:bookmarkStart w:id="718" w:name="_Toc22892316"/>
      <w:bookmarkStart w:id="719" w:name="_Toc22892531"/>
      <w:bookmarkStart w:id="720" w:name="_Toc22894279"/>
      <w:bookmarkStart w:id="721" w:name="_Toc23515101"/>
      <w:bookmarkStart w:id="722" w:name="_Toc23515515"/>
      <w:bookmarkStart w:id="723" w:name="_Toc23521062"/>
      <w:bookmarkStart w:id="724" w:name="_Toc24545139"/>
      <w:bookmarkStart w:id="725" w:name="_Toc24545365"/>
      <w:bookmarkStart w:id="726" w:name="_Toc24547626"/>
      <w:bookmarkStart w:id="727" w:name="_Toc24551406"/>
      <w:bookmarkStart w:id="728" w:name="_Toc24554742"/>
      <w:bookmarkStart w:id="729" w:name="_Toc24556339"/>
      <w:bookmarkStart w:id="730" w:name="_Toc24712784"/>
      <w:bookmarkStart w:id="731" w:name="_Toc24717028"/>
      <w:bookmarkStart w:id="732" w:name="_Toc24721567"/>
      <w:bookmarkStart w:id="733" w:name="_Toc24722281"/>
      <w:bookmarkStart w:id="734" w:name="_Toc24728696"/>
      <w:bookmarkStart w:id="735" w:name="_Toc24731222"/>
      <w:r>
        <w:t>Assessing whether the system is sustainable</w:t>
      </w:r>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p>
    <w:p w14:paraId="0759718A" w14:textId="77777777" w:rsidR="007F0465" w:rsidRPr="000367A6" w:rsidRDefault="007F0465" w:rsidP="007F0465">
      <w:pPr>
        <w:pStyle w:val="Heading3"/>
      </w:pPr>
      <w:r>
        <w:t>Cost to public finances</w:t>
      </w:r>
    </w:p>
    <w:p w14:paraId="0D6580AB" w14:textId="4FC4256B" w:rsidR="007F0465" w:rsidRDefault="004F6E99" w:rsidP="007F0465">
      <w:r>
        <w:t xml:space="preserve">The </w:t>
      </w:r>
      <w:r w:rsidR="00D44FA7">
        <w:t xml:space="preserve">retirement income </w:t>
      </w:r>
      <w:r>
        <w:t xml:space="preserve">system’s sustainability is influenced by </w:t>
      </w:r>
      <w:r w:rsidR="00664071">
        <w:t>its</w:t>
      </w:r>
      <w:r>
        <w:t xml:space="preserve"> cost</w:t>
      </w:r>
      <w:r w:rsidR="00664071">
        <w:t xml:space="preserve"> to </w:t>
      </w:r>
      <w:r>
        <w:t>taxpayer</w:t>
      </w:r>
      <w:r w:rsidR="00664071">
        <w:t>s</w:t>
      </w:r>
      <w:r>
        <w:t xml:space="preserve"> and how effectively these public resources are used. </w:t>
      </w:r>
      <w:r w:rsidR="007F0465">
        <w:t xml:space="preserve">The Government provides a wide range of tax concessions </w:t>
      </w:r>
      <w:r w:rsidR="00D44FA7">
        <w:t>on</w:t>
      </w:r>
      <w:r w:rsidR="007F0465">
        <w:t xml:space="preserve"> compulsory superannuation and voluntary savings</w:t>
      </w:r>
      <w:r w:rsidR="007F23C7">
        <w:t>. In addition, it provides</w:t>
      </w:r>
      <w:r w:rsidR="007F0465">
        <w:t xml:space="preserve"> direct support in the form of the Age Pension and subsidies </w:t>
      </w:r>
      <w:r w:rsidR="007F23C7">
        <w:t>on</w:t>
      </w:r>
      <w:r w:rsidR="007F0465">
        <w:t xml:space="preserve"> health and aged care services. Understanding future trends in these direct and indirect expenditures will help </w:t>
      </w:r>
      <w:r w:rsidR="007C7643">
        <w:t>inform</w:t>
      </w:r>
      <w:r w:rsidR="007F0465">
        <w:t xml:space="preserve"> the sustainability of the system.</w:t>
      </w:r>
    </w:p>
    <w:p w14:paraId="7B01E4E6" w14:textId="45F62C39" w:rsidR="005222D4" w:rsidRDefault="005222D4" w:rsidP="005222D4">
      <w:r>
        <w:t>A tax concession arises where special conditions – such as exemptions, deductions</w:t>
      </w:r>
      <w:r w:rsidR="00D44FA7">
        <w:t>,</w:t>
      </w:r>
      <w:r>
        <w:t xml:space="preserve"> or concessional tax rates in the case of superannuation – differ from the standard or ‘benchmark’ tax arrangements. </w:t>
      </w:r>
      <w:r w:rsidR="00EB0BE6">
        <w:t>Measuring tax concessions require</w:t>
      </w:r>
      <w:r w:rsidR="00D44FA7">
        <w:t>s</w:t>
      </w:r>
      <w:r w:rsidR="00EB0BE6">
        <w:t xml:space="preserve"> judgments about how </w:t>
      </w:r>
      <w:r w:rsidR="00DA4888">
        <w:t>individuals</w:t>
      </w:r>
      <w:r w:rsidR="00EB0BE6">
        <w:t xml:space="preserve"> would behave in the absence of the concession</w:t>
      </w:r>
      <w:r>
        <w:t>.</w:t>
      </w:r>
      <w:r w:rsidR="00EB0BE6">
        <w:t xml:space="preserve"> Different assumptions will give a different result for the size of a particular tax concession.</w:t>
      </w:r>
      <w:r>
        <w:t xml:space="preserve"> </w:t>
      </w:r>
    </w:p>
    <w:p w14:paraId="1FCF4103" w14:textId="62332817" w:rsidR="007F0465" w:rsidRDefault="007F0465" w:rsidP="007F0465">
      <w:r>
        <w:t>Superannuation earnings attract the largest superannuation-related tax concession</w:t>
      </w:r>
      <w:r w:rsidR="000356D2">
        <w:t xml:space="preserve"> in dollar terms</w:t>
      </w:r>
      <w:r>
        <w:t xml:space="preserve">, closely followed by employer superannuation contributions. The revenue forgone </w:t>
      </w:r>
      <w:r w:rsidR="00B62B01">
        <w:t>as a result of</w:t>
      </w:r>
      <w:r>
        <w:t xml:space="preserve"> superannuation tax concessions is expected to </w:t>
      </w:r>
      <w:r w:rsidR="00B62B01">
        <w:t>continue to</w:t>
      </w:r>
      <w:r w:rsidR="006977F3">
        <w:t xml:space="preserve"> grow</w:t>
      </w:r>
      <w:r>
        <w:t xml:space="preserve"> </w:t>
      </w:r>
      <w:r w:rsidR="00B62B01">
        <w:t>as</w:t>
      </w:r>
      <w:r>
        <w:t xml:space="preserve"> the superannuation system</w:t>
      </w:r>
      <w:r w:rsidR="00B62B01">
        <w:t xml:space="preserve"> matures</w:t>
      </w:r>
      <w:r>
        <w:t>. Tax concessions are also available on other savings vehicles</w:t>
      </w:r>
      <w:r w:rsidR="00B37172">
        <w:t>; f</w:t>
      </w:r>
      <w:r>
        <w:t xml:space="preserve">or example, the sale of the primary residence is exempt from CGT and </w:t>
      </w:r>
      <w:r w:rsidR="006977F3">
        <w:t>most</w:t>
      </w:r>
      <w:r>
        <w:t xml:space="preserve"> other </w:t>
      </w:r>
      <w:r w:rsidR="002E1E8A">
        <w:t>assets</w:t>
      </w:r>
      <w:r>
        <w:t xml:space="preserve"> attract a 50 per ce</w:t>
      </w:r>
      <w:r w:rsidR="006977F3">
        <w:t>nt CGT discount if owned for 12 </w:t>
      </w:r>
      <w:r>
        <w:t>months or more.</w:t>
      </w:r>
    </w:p>
    <w:p w14:paraId="6CFDC583" w14:textId="7E792C31" w:rsidR="007F0465" w:rsidRDefault="00B62B01" w:rsidP="007F0465">
      <w:r>
        <w:lastRenderedPageBreak/>
        <w:t>In 2018-19, a</w:t>
      </w:r>
      <w:r w:rsidR="007F0465">
        <w:t>round 2.5 million older Australians receive</w:t>
      </w:r>
      <w:r>
        <w:t>d</w:t>
      </w:r>
      <w:r w:rsidR="007F0465">
        <w:t xml:space="preserve"> direct support through the Age Pension</w:t>
      </w:r>
      <w:r>
        <w:t>,</w:t>
      </w:r>
      <w:r w:rsidR="007F0465">
        <w:t xml:space="preserve"> at a cost o</w:t>
      </w:r>
      <w:r w:rsidR="006977F3">
        <w:t xml:space="preserve">f </w:t>
      </w:r>
      <w:r w:rsidR="00D44FA7">
        <w:t xml:space="preserve">around </w:t>
      </w:r>
      <w:r w:rsidR="006977F3">
        <w:t>$47</w:t>
      </w:r>
      <w:r w:rsidR="007F0465">
        <w:t xml:space="preserve"> billion</w:t>
      </w:r>
      <w:r w:rsidR="00BF7638">
        <w:t xml:space="preserve"> (</w:t>
      </w:r>
      <w:r w:rsidR="008348CA">
        <w:t>2.4</w:t>
      </w:r>
      <w:r w:rsidR="00902B12">
        <w:t xml:space="preserve"> per cent of GDP</w:t>
      </w:r>
      <w:r>
        <w:t>)</w:t>
      </w:r>
      <w:r w:rsidR="007F0465">
        <w:t>.</w:t>
      </w:r>
      <w:r w:rsidR="00A90326">
        <w:t xml:space="preserve"> O</w:t>
      </w:r>
      <w:r w:rsidR="007F0465">
        <w:t>ver the past 20 years, the proportion of the eligible population on the Age Pension</w:t>
      </w:r>
      <w:r w:rsidR="00FD3B5D">
        <w:t xml:space="preserve"> or a </w:t>
      </w:r>
      <w:r w:rsidR="004B0B4F">
        <w:t>S</w:t>
      </w:r>
      <w:r w:rsidR="00FD3B5D">
        <w:t xml:space="preserve">ervice </w:t>
      </w:r>
      <w:r w:rsidR="004B0B4F">
        <w:t>P</w:t>
      </w:r>
      <w:r w:rsidR="00FD3B5D">
        <w:t>ension</w:t>
      </w:r>
      <w:r w:rsidR="007F0465">
        <w:t xml:space="preserve"> has declined from over 80 per cent, to around </w:t>
      </w:r>
      <w:r w:rsidR="00F0336A">
        <w:t>68</w:t>
      </w:r>
      <w:r w:rsidR="007F0465" w:rsidRPr="00CA4447">
        <w:t xml:space="preserve"> per cent</w:t>
      </w:r>
      <w:r w:rsidR="007F0465">
        <w:t>.</w:t>
      </w:r>
      <w:r w:rsidR="00FD3B5D" w:rsidRPr="004B0B4F">
        <w:rPr>
          <w:rStyle w:val="FootnoteReference"/>
          <w:vertAlign w:val="superscript"/>
        </w:rPr>
        <w:footnoteReference w:id="11"/>
      </w:r>
      <w:r w:rsidR="007F0465" w:rsidRPr="004B0B4F">
        <w:rPr>
          <w:vertAlign w:val="superscript"/>
        </w:rPr>
        <w:t xml:space="preserve"> </w:t>
      </w:r>
      <w:r>
        <w:t>This has largely been due to a decrease in the proportion of full rate</w:t>
      </w:r>
      <w:r w:rsidR="00D44FA7">
        <w:t xml:space="preserve"> Age P</w:t>
      </w:r>
      <w:r>
        <w:t xml:space="preserve">ensioners, </w:t>
      </w:r>
      <w:r w:rsidR="00ED4D9F">
        <w:t>with</w:t>
      </w:r>
      <w:r w:rsidR="007F0465">
        <w:t xml:space="preserve"> the proportion of the eligible population on a part</w:t>
      </w:r>
      <w:r w:rsidR="00EC0900">
        <w:t xml:space="preserve"> rate</w:t>
      </w:r>
      <w:r w:rsidR="00D44FA7">
        <w:t xml:space="preserve"> Age</w:t>
      </w:r>
      <w:r w:rsidR="007F0465">
        <w:t xml:space="preserve"> </w:t>
      </w:r>
      <w:r w:rsidR="00D44FA7">
        <w:t>P</w:t>
      </w:r>
      <w:r w:rsidR="007F0465">
        <w:t>ension largely unchanged</w:t>
      </w:r>
      <w:r w:rsidR="00ED4D9F">
        <w:t xml:space="preserve"> (</w:t>
      </w:r>
      <w:r w:rsidR="002E1E8A">
        <w:fldChar w:fldCharType="begin"/>
      </w:r>
      <w:r w:rsidR="002E1E8A">
        <w:instrText xml:space="preserve"> REF _Ref23415508 \h </w:instrText>
      </w:r>
      <w:r w:rsidR="002E1E8A">
        <w:fldChar w:fldCharType="separate"/>
      </w:r>
      <w:r w:rsidR="00070568" w:rsidRPr="00716638">
        <w:rPr>
          <w:szCs w:val="22"/>
        </w:rPr>
        <w:t xml:space="preserve">Figure </w:t>
      </w:r>
      <w:r w:rsidR="00070568">
        <w:rPr>
          <w:noProof/>
          <w:szCs w:val="22"/>
        </w:rPr>
        <w:t>5</w:t>
      </w:r>
      <w:r w:rsidR="002E1E8A">
        <w:fldChar w:fldCharType="end"/>
      </w:r>
      <w:r w:rsidR="00ED4D9F">
        <w:t>)</w:t>
      </w:r>
      <w:r w:rsidR="007F0465">
        <w:t xml:space="preserve">. </w:t>
      </w:r>
      <w:r w:rsidR="00F8294A">
        <w:t>Ol</w:t>
      </w:r>
      <w:r w:rsidR="00F109E0">
        <w:t>der Australians are also</w:t>
      </w:r>
      <w:r w:rsidR="00F8294A">
        <w:t xml:space="preserve"> increasingly</w:t>
      </w:r>
      <w:r w:rsidR="00F109E0">
        <w:t xml:space="preserve"> choosing to extend their working lives through part</w:t>
      </w:r>
      <w:r w:rsidR="00B37172">
        <w:noBreakHyphen/>
      </w:r>
      <w:r w:rsidR="00F109E0">
        <w:t>time work</w:t>
      </w:r>
      <w:r w:rsidR="00F267DA">
        <w:t xml:space="preserve"> (</w:t>
      </w:r>
      <w:r w:rsidR="00AF73D3">
        <w:t>AIHW 2015, p. 229</w:t>
      </w:r>
      <w:r w:rsidR="00F267DA">
        <w:t>)</w:t>
      </w:r>
      <w:r w:rsidR="00F109E0">
        <w:t xml:space="preserve">. </w:t>
      </w:r>
      <w:r w:rsidR="007F0465" w:rsidRPr="000612C2">
        <w:t xml:space="preserve">At June 2019, around </w:t>
      </w:r>
      <w:r w:rsidR="00BF6117">
        <w:t>130</w:t>
      </w:r>
      <w:r w:rsidR="007F0465" w:rsidRPr="000612C2">
        <w:t>,000 individuals over Age Pension age</w:t>
      </w:r>
      <w:r w:rsidR="007F0465">
        <w:t xml:space="preserve"> </w:t>
      </w:r>
      <w:r w:rsidR="007F0465" w:rsidRPr="000612C2">
        <w:t>received some other form of income support payment,</w:t>
      </w:r>
      <w:r w:rsidR="00EC0900">
        <w:t xml:space="preserve"> such as the</w:t>
      </w:r>
      <w:r w:rsidR="007F0465" w:rsidRPr="000612C2">
        <w:t xml:space="preserve"> Disability Support Pension, Ca</w:t>
      </w:r>
      <w:r w:rsidR="007F0465">
        <w:t xml:space="preserve">rer Payment or Special Benefit. </w:t>
      </w:r>
      <w:r w:rsidR="002F48C7">
        <w:t>OECD analysis (2017, p. 143)</w:t>
      </w:r>
      <w:r w:rsidR="002F48C7" w:rsidRPr="00D82229">
        <w:t xml:space="preserve"> shows that Australia’s </w:t>
      </w:r>
      <w:r w:rsidR="002F48C7">
        <w:t>public expenditure on cash benefits for old-age pensions and survivor benefits</w:t>
      </w:r>
      <w:r w:rsidR="002F48C7" w:rsidRPr="00D82229">
        <w:t xml:space="preserve"> </w:t>
      </w:r>
      <w:r w:rsidR="002F48C7">
        <w:t xml:space="preserve">as a </w:t>
      </w:r>
      <w:r w:rsidR="002F48C7" w:rsidRPr="00D82229">
        <w:t xml:space="preserve">percentage of GDP </w:t>
      </w:r>
      <w:r w:rsidR="002F48C7">
        <w:t xml:space="preserve">is lower than the OECD average. </w:t>
      </w:r>
    </w:p>
    <w:p w14:paraId="5E8F1FFC" w14:textId="4E1C0FD0" w:rsidR="007F0465" w:rsidRPr="00716638" w:rsidRDefault="007F0465" w:rsidP="00144C13">
      <w:pPr>
        <w:pStyle w:val="ChartMainHeading"/>
        <w:rPr>
          <w:szCs w:val="22"/>
        </w:rPr>
      </w:pPr>
      <w:bookmarkStart w:id="736" w:name="_Ref23415508"/>
      <w:r w:rsidRPr="00716638">
        <w:rPr>
          <w:szCs w:val="22"/>
        </w:rPr>
        <w:t xml:space="preserve">Figure </w:t>
      </w:r>
      <w:r w:rsidR="008B4A14" w:rsidRPr="00716638">
        <w:rPr>
          <w:noProof/>
          <w:szCs w:val="22"/>
        </w:rPr>
        <w:fldChar w:fldCharType="begin"/>
      </w:r>
      <w:r w:rsidR="008B4A14" w:rsidRPr="00716638">
        <w:rPr>
          <w:noProof/>
          <w:szCs w:val="22"/>
        </w:rPr>
        <w:instrText xml:space="preserve"> SEQ Figure \* ARABIC </w:instrText>
      </w:r>
      <w:r w:rsidR="008B4A14" w:rsidRPr="00716638">
        <w:rPr>
          <w:noProof/>
          <w:szCs w:val="22"/>
        </w:rPr>
        <w:fldChar w:fldCharType="separate"/>
      </w:r>
      <w:r w:rsidR="00070568">
        <w:rPr>
          <w:noProof/>
          <w:szCs w:val="22"/>
        </w:rPr>
        <w:t>5</w:t>
      </w:r>
      <w:r w:rsidR="008B4A14" w:rsidRPr="00716638">
        <w:rPr>
          <w:noProof/>
          <w:szCs w:val="22"/>
        </w:rPr>
        <w:fldChar w:fldCharType="end"/>
      </w:r>
      <w:bookmarkEnd w:id="736"/>
      <w:r w:rsidRPr="00716638">
        <w:rPr>
          <w:szCs w:val="22"/>
        </w:rPr>
        <w:t xml:space="preserve">: </w:t>
      </w:r>
      <w:r w:rsidR="00013072" w:rsidRPr="00716638">
        <w:rPr>
          <w:szCs w:val="22"/>
        </w:rPr>
        <w:t>P</w:t>
      </w:r>
      <w:r w:rsidRPr="00716638">
        <w:rPr>
          <w:szCs w:val="22"/>
        </w:rPr>
        <w:t xml:space="preserve">roportion of eligible population receiving the Age </w:t>
      </w:r>
      <w:r w:rsidR="004B0B4F" w:rsidRPr="00716638">
        <w:rPr>
          <w:szCs w:val="22"/>
        </w:rPr>
        <w:t>and Service P</w:t>
      </w:r>
      <w:r w:rsidR="00DE452D" w:rsidRPr="00716638">
        <w:rPr>
          <w:szCs w:val="22"/>
        </w:rPr>
        <w:t>ensions</w:t>
      </w:r>
      <w:r w:rsidR="00D44FA7" w:rsidRPr="00716638">
        <w:rPr>
          <w:szCs w:val="22"/>
        </w:rPr>
        <w:t xml:space="preserve"> over time</w:t>
      </w:r>
    </w:p>
    <w:p w14:paraId="21FC2720" w14:textId="290FB894" w:rsidR="007424BC" w:rsidRDefault="00493FDB" w:rsidP="00493FDB">
      <w:pPr>
        <w:pStyle w:val="ChartGraphic"/>
      </w:pPr>
      <w:r>
        <w:rPr>
          <w:noProof/>
        </w:rPr>
        <w:drawing>
          <wp:inline distT="0" distB="0" distL="0" distR="0" wp14:anchorId="6C75E2D9" wp14:editId="01D82BFC">
            <wp:extent cx="5539659" cy="2340000"/>
            <wp:effectExtent l="0" t="0" r="4445" b="0"/>
            <wp:docPr id="22" name="Chart 22">
              <a:extLst xmlns:a="http://schemas.openxmlformats.org/drawingml/2006/main">
                <a:ext uri="{FF2B5EF4-FFF2-40B4-BE49-F238E27FC236}">
                  <a16:creationId xmlns:a16="http://schemas.microsoft.com/office/drawing/2014/main" id="{52D76A29-C546-4111-A2B5-15304E2AE7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89F5DC2" w14:textId="0138E229" w:rsidR="00904430" w:rsidRPr="00493FDB" w:rsidRDefault="00904430" w:rsidP="00711DF2">
      <w:pPr>
        <w:pStyle w:val="ChartandTableFootnoteAlpha"/>
        <w:numPr>
          <w:ilvl w:val="0"/>
          <w:numId w:val="0"/>
        </w:numPr>
        <w:ind w:left="284"/>
        <w:rPr>
          <w:highlight w:val="yellow"/>
        </w:rPr>
      </w:pPr>
      <w:r w:rsidRPr="001B13AF">
        <w:t xml:space="preserve">Source: </w:t>
      </w:r>
      <w:r w:rsidR="008D64AE" w:rsidRPr="001B13AF">
        <w:t>Rice Warner, based on ABS population and DSS and DVA pension statistics</w:t>
      </w:r>
    </w:p>
    <w:p w14:paraId="0A2E7AB5" w14:textId="333884F7" w:rsidR="007F0465" w:rsidRDefault="007F0465" w:rsidP="007F0465">
      <w:r>
        <w:t>The</w:t>
      </w:r>
      <w:r w:rsidR="00C24202">
        <w:t xml:space="preserve"> Australian</w:t>
      </w:r>
      <w:r>
        <w:t xml:space="preserve"> Government also provides</w:t>
      </w:r>
      <w:r w:rsidDel="00E4162A">
        <w:t xml:space="preserve"> </w:t>
      </w:r>
      <w:r>
        <w:t>discounted health services and medicines, among</w:t>
      </w:r>
      <w:r w:rsidR="00892AC8">
        <w:t>st</w:t>
      </w:r>
      <w:r>
        <w:t xml:space="preserve"> other things, through the Pensioner Concession Card and the Commonwealth Seniors Heath Card. State</w:t>
      </w:r>
      <w:r w:rsidR="00DC3822">
        <w:t>,</w:t>
      </w:r>
      <w:r>
        <w:t xml:space="preserve"> </w:t>
      </w:r>
      <w:r w:rsidR="009D6E1F">
        <w:t>t</w:t>
      </w:r>
      <w:r>
        <w:t>erritory</w:t>
      </w:r>
      <w:r w:rsidR="00DC3822">
        <w:t>, and local</w:t>
      </w:r>
      <w:r>
        <w:t xml:space="preserve"> </w:t>
      </w:r>
      <w:r w:rsidR="009D6E1F">
        <w:t>g</w:t>
      </w:r>
      <w:r>
        <w:t xml:space="preserve">overnments and private enterprises also provide benefits to holders of these cards. </w:t>
      </w:r>
    </w:p>
    <w:p w14:paraId="34262EAC" w14:textId="572C4DF7" w:rsidR="007F0465" w:rsidRDefault="007F0465" w:rsidP="007F0465">
      <w:r>
        <w:t xml:space="preserve">Both </w:t>
      </w:r>
      <w:r w:rsidR="00C24202">
        <w:t xml:space="preserve">the Australian </w:t>
      </w:r>
      <w:r w:rsidR="009D6E1F">
        <w:t xml:space="preserve">Government </w:t>
      </w:r>
      <w:r>
        <w:t xml:space="preserve">and </w:t>
      </w:r>
      <w:r w:rsidR="009D6E1F">
        <w:t>s</w:t>
      </w:r>
      <w:r>
        <w:t xml:space="preserve">tate and </w:t>
      </w:r>
      <w:r w:rsidR="009D6E1F">
        <w:t>t</w:t>
      </w:r>
      <w:r>
        <w:t xml:space="preserve">erritory </w:t>
      </w:r>
      <w:r w:rsidR="009D6E1F">
        <w:t>g</w:t>
      </w:r>
      <w:r>
        <w:t>overnments provide substantial assistance to older Australians through aged care and health services.</w:t>
      </w:r>
      <w:r w:rsidR="004E0ECD">
        <w:t xml:space="preserve"> In 201</w:t>
      </w:r>
      <w:r w:rsidR="00554305">
        <w:t>7</w:t>
      </w:r>
      <w:r w:rsidR="004E0ECD">
        <w:t>-1</w:t>
      </w:r>
      <w:r w:rsidR="00554305">
        <w:t>8</w:t>
      </w:r>
      <w:r w:rsidR="004E0ECD">
        <w:t>, Australian Government expenditure on aged care was $</w:t>
      </w:r>
      <w:r w:rsidR="00554305">
        <w:t>18.1</w:t>
      </w:r>
      <w:r w:rsidR="004E0ECD">
        <w:t xml:space="preserve"> billion, making up </w:t>
      </w:r>
      <w:r w:rsidR="008031D3">
        <w:t xml:space="preserve">around </w:t>
      </w:r>
      <w:r w:rsidR="00CB63C5">
        <w:t>68 per cent</w:t>
      </w:r>
      <w:r w:rsidR="004E0ECD">
        <w:t xml:space="preserve"> of </w:t>
      </w:r>
      <w:r w:rsidR="00CB63C5">
        <w:t>residential</w:t>
      </w:r>
      <w:r w:rsidR="004E0ECD">
        <w:t xml:space="preserve"> care </w:t>
      </w:r>
      <w:r w:rsidR="002B0094">
        <w:t>providers’</w:t>
      </w:r>
      <w:r w:rsidR="00CB63C5">
        <w:t xml:space="preserve"> </w:t>
      </w:r>
      <w:r w:rsidR="008031D3">
        <w:t xml:space="preserve">revenue </w:t>
      </w:r>
      <w:r w:rsidR="00CB63C5">
        <w:t>and over 90 per cent of home care providers’</w:t>
      </w:r>
      <w:r w:rsidR="004E0ECD">
        <w:t xml:space="preserve"> revenue</w:t>
      </w:r>
      <w:r w:rsidR="00CB63C5">
        <w:t xml:space="preserve"> (ACFA 2019). </w:t>
      </w:r>
      <w:r w:rsidDel="00154513">
        <w:t xml:space="preserve">While not </w:t>
      </w:r>
      <w:r w:rsidR="00ED4D9F" w:rsidDel="00154513">
        <w:t>formally</w:t>
      </w:r>
      <w:r w:rsidDel="00154513">
        <w:t xml:space="preserve"> part of the retirement income system, this assistance has implications for </w:t>
      </w:r>
      <w:r w:rsidR="002B725F" w:rsidDel="00154513">
        <w:t>its adequacy</w:t>
      </w:r>
      <w:r w:rsidDel="00154513">
        <w:t xml:space="preserve"> and sustainability</w:t>
      </w:r>
      <w:r w:rsidR="00587E83" w:rsidDel="00E86AE6">
        <w:t>.</w:t>
      </w:r>
      <w:r w:rsidRPr="00EE45E2">
        <w:t xml:space="preserve"> </w:t>
      </w:r>
    </w:p>
    <w:p w14:paraId="276CF724" w14:textId="77777777" w:rsidR="00C1231E" w:rsidRPr="00013BF8" w:rsidRDefault="00C1231E" w:rsidP="00C1231E">
      <w:pPr>
        <w:pStyle w:val="Heading3"/>
      </w:pPr>
      <w:r>
        <w:t>Public c</w:t>
      </w:r>
      <w:r w:rsidRPr="00013BF8">
        <w:t>onfidence in the system</w:t>
      </w:r>
    </w:p>
    <w:p w14:paraId="1A51F619" w14:textId="64860C1C" w:rsidR="00C1231E" w:rsidRDefault="00C1231E" w:rsidP="00C1231E">
      <w:r>
        <w:t>The ability of the</w:t>
      </w:r>
      <w:r w:rsidR="00B61EAC">
        <w:t xml:space="preserve"> retirement income</w:t>
      </w:r>
      <w:r>
        <w:t xml:space="preserve"> system to deliver on its purpose partly depends on Australians </w:t>
      </w:r>
      <w:r w:rsidR="00B61EAC">
        <w:t>having</w:t>
      </w:r>
      <w:r w:rsidR="00396356">
        <w:t xml:space="preserve"> confidence</w:t>
      </w:r>
      <w:r>
        <w:t xml:space="preserve"> in </w:t>
      </w:r>
      <w:r w:rsidR="00396356">
        <w:t>its</w:t>
      </w:r>
      <w:r>
        <w:t xml:space="preserve"> </w:t>
      </w:r>
      <w:r w:rsidR="00ED4D9F">
        <w:t>settings and</w:t>
      </w:r>
      <w:r>
        <w:t xml:space="preserve"> long</w:t>
      </w:r>
      <w:r w:rsidR="00154513">
        <w:t xml:space="preserve"> </w:t>
      </w:r>
      <w:r>
        <w:t>term sustainability</w:t>
      </w:r>
      <w:r w:rsidR="00396356">
        <w:t>.</w:t>
      </w:r>
      <w:r>
        <w:t xml:space="preserve"> Where </w:t>
      </w:r>
      <w:r w:rsidR="00EE40F7">
        <w:t>individuals</w:t>
      </w:r>
      <w:r>
        <w:t xml:space="preserve"> </w:t>
      </w:r>
      <w:r w:rsidR="00396356">
        <w:t>do not have</w:t>
      </w:r>
      <w:r>
        <w:t xml:space="preserve"> </w:t>
      </w:r>
      <w:r w:rsidR="00396356">
        <w:t>confidence in the system</w:t>
      </w:r>
      <w:r w:rsidR="00ED4D9F">
        <w:t>,</w:t>
      </w:r>
      <w:r>
        <w:t xml:space="preserve"> they may reduce voluntary savings or </w:t>
      </w:r>
      <w:r w:rsidR="00B0706F">
        <w:t>save excessively as a precautionary measure</w:t>
      </w:r>
      <w:r>
        <w:t>. A</w:t>
      </w:r>
      <w:r w:rsidR="00FC5A5D">
        <w:t> </w:t>
      </w:r>
      <w:r>
        <w:t>perception of a lack of stability in the system may</w:t>
      </w:r>
      <w:r w:rsidR="00AD08F3">
        <w:t xml:space="preserve"> also</w:t>
      </w:r>
      <w:r>
        <w:t xml:space="preserve"> have implications for community confidence</w:t>
      </w:r>
      <w:r w:rsidR="00ED4D9F">
        <w:t>. This is particularly the case</w:t>
      </w:r>
      <w:r>
        <w:t xml:space="preserve"> for superannuation given the long lead times individuals face when planning for retirement</w:t>
      </w:r>
      <w:r w:rsidR="0040541C">
        <w:t xml:space="preserve"> (Financial System Inquiry 2014</w:t>
      </w:r>
      <w:r w:rsidR="00FE3891">
        <w:t>, p. 2-118</w:t>
      </w:r>
      <w:r w:rsidR="0040541C">
        <w:t>)</w:t>
      </w:r>
      <w:r>
        <w:t>.</w:t>
      </w:r>
    </w:p>
    <w:p w14:paraId="3361523D" w14:textId="15C28B82" w:rsidR="00AA0C1D" w:rsidRDefault="00C1231E" w:rsidP="004D3071">
      <w:r>
        <w:t>Saving for retirement requires long</w:t>
      </w:r>
      <w:r w:rsidR="00154513">
        <w:t xml:space="preserve"> </w:t>
      </w:r>
      <w:r>
        <w:t>term decision making. Over time, successive governments have made changes to the retirement income system. While some of these</w:t>
      </w:r>
      <w:r w:rsidR="00C157DE">
        <w:t xml:space="preserve"> changes</w:t>
      </w:r>
      <w:r>
        <w:t xml:space="preserve"> have</w:t>
      </w:r>
      <w:r w:rsidR="00C157DE">
        <w:t xml:space="preserve"> </w:t>
      </w:r>
      <w:r w:rsidR="00154513">
        <w:t>focused</w:t>
      </w:r>
      <w:r>
        <w:t xml:space="preserve"> on </w:t>
      </w:r>
      <w:r>
        <w:lastRenderedPageBreak/>
        <w:t xml:space="preserve">improving </w:t>
      </w:r>
      <w:r w:rsidR="00ED4D9F">
        <w:t xml:space="preserve">consumer </w:t>
      </w:r>
      <w:r>
        <w:t>outcomes, other</w:t>
      </w:r>
      <w:r w:rsidR="00C157DE">
        <w:t xml:space="preserve"> changes</w:t>
      </w:r>
      <w:r>
        <w:t xml:space="preserve"> may </w:t>
      </w:r>
      <w:r w:rsidR="00587E83">
        <w:t>have</w:t>
      </w:r>
      <w:r>
        <w:t xml:space="preserve"> substantially </w:t>
      </w:r>
      <w:r w:rsidR="00ED4D9F">
        <w:t>affect</w:t>
      </w:r>
      <w:r w:rsidR="00587E83">
        <w:t>ed</w:t>
      </w:r>
      <w:r>
        <w:t xml:space="preserve"> retirement planning decisions. Some stakeholders have suggested that </w:t>
      </w:r>
      <w:r w:rsidR="00EE40F7">
        <w:t xml:space="preserve">any </w:t>
      </w:r>
      <w:r>
        <w:t>changes to superannuation or</w:t>
      </w:r>
      <w:r w:rsidRPr="7A641539" w:rsidDel="006260E0">
        <w:t xml:space="preserve"> </w:t>
      </w:r>
      <w:r>
        <w:t>Age Pension settings could be considered retrospective for current retirees</w:t>
      </w:r>
      <w:r w:rsidR="00A60F75">
        <w:t xml:space="preserve"> (Hammond and O’Brien 2017)</w:t>
      </w:r>
      <w:r>
        <w:t>.</w:t>
      </w:r>
      <w:r w:rsidRPr="7A641539">
        <w:t xml:space="preserve"> </w:t>
      </w:r>
      <w:r>
        <w:t>Others have suggested this undermines confidence in the longevity of the system’s features, reducing confidence in retirement planning decisions and promoting disengagement</w:t>
      </w:r>
      <w:r w:rsidR="00053FA5">
        <w:t xml:space="preserve"> (for example, SMSF</w:t>
      </w:r>
      <w:r w:rsidR="004B5BEB">
        <w:t xml:space="preserve"> Association</w:t>
      </w:r>
      <w:r w:rsidR="00053FA5">
        <w:t xml:space="preserve"> 2017,</w:t>
      </w:r>
      <w:r w:rsidR="002A2E67">
        <w:t xml:space="preserve"> </w:t>
      </w:r>
      <w:r w:rsidR="00053FA5">
        <w:t>p.</w:t>
      </w:r>
      <w:r w:rsidR="00DE452D">
        <w:t xml:space="preserve"> </w:t>
      </w:r>
      <w:r w:rsidR="00053FA5">
        <w:t xml:space="preserve">3; </w:t>
      </w:r>
      <w:r w:rsidR="00E61847">
        <w:t>FSC</w:t>
      </w:r>
      <w:r w:rsidR="004309D3">
        <w:t xml:space="preserve"> 2014</w:t>
      </w:r>
      <w:r w:rsidR="00E61847">
        <w:t>, p.</w:t>
      </w:r>
      <w:r w:rsidR="00DE452D">
        <w:t xml:space="preserve"> </w:t>
      </w:r>
      <w:r w:rsidR="00E61847">
        <w:t>33</w:t>
      </w:r>
      <w:r w:rsidR="00AF4EEB">
        <w:t>; ASFA 2017</w:t>
      </w:r>
      <w:r w:rsidR="00CB4E89">
        <w:t>)</w:t>
      </w:r>
      <w:r>
        <w:t xml:space="preserve">. </w:t>
      </w:r>
    </w:p>
    <w:p w14:paraId="050DCFCA" w14:textId="09163915" w:rsidR="00C1231E" w:rsidRDefault="00AA0C1D" w:rsidP="004D3071">
      <w:r>
        <w:t xml:space="preserve">The degree to which individuals can easily understand the outcomes the system is likely to deliver for them, given their personal circumstances, also </w:t>
      </w:r>
      <w:r w:rsidR="00AD08F3">
        <w:t>affects</w:t>
      </w:r>
      <w:r>
        <w:t xml:space="preserve"> overall confidence in the system. This issue is discussed further in </w:t>
      </w:r>
      <w:r w:rsidR="00AD08F3">
        <w:t xml:space="preserve">the chapter on </w:t>
      </w:r>
      <w:r w:rsidR="004C59FA">
        <w:t xml:space="preserve">Cohesion. </w:t>
      </w:r>
    </w:p>
    <w:p w14:paraId="37D949D0" w14:textId="67F28C6A" w:rsidR="007F0465" w:rsidRDefault="007F0465" w:rsidP="007F0465">
      <w:pPr>
        <w:pStyle w:val="Heading3"/>
        <w:rPr>
          <w:rFonts w:cs="Times New Roman"/>
        </w:rPr>
      </w:pPr>
      <w:r>
        <w:t>Effects on</w:t>
      </w:r>
      <w:r w:rsidR="00B0706F">
        <w:t xml:space="preserve"> overall</w:t>
      </w:r>
      <w:r>
        <w:t xml:space="preserve"> private savings</w:t>
      </w:r>
    </w:p>
    <w:p w14:paraId="3DFEC0B1" w14:textId="61DF243A" w:rsidR="00FC6ABB" w:rsidRDefault="00ED4D9F" w:rsidP="00FC6ABB">
      <w:r>
        <w:t>Compulsory superannuation has resulted in h</w:t>
      </w:r>
      <w:r w:rsidR="007F0465">
        <w:t>ouseholds on average hav</w:t>
      </w:r>
      <w:r>
        <w:t>ing</w:t>
      </w:r>
      <w:r w:rsidR="007F0465">
        <w:t xml:space="preserve"> more wealth at retirement today than in the past </w:t>
      </w:r>
      <w:r w:rsidR="0097577B">
        <w:t>(CEPAR 2018</w:t>
      </w:r>
      <w:r w:rsidR="009F7C57">
        <w:t>a</w:t>
      </w:r>
      <w:r w:rsidR="00AF31D4">
        <w:t xml:space="preserve">, </w:t>
      </w:r>
      <w:r w:rsidR="00DE452D">
        <w:t>p</w:t>
      </w:r>
      <w:r w:rsidR="00AF31D4">
        <w:t>p. 18-20</w:t>
      </w:r>
      <w:r w:rsidR="0097577B">
        <w:t>)</w:t>
      </w:r>
      <w:r w:rsidR="007F0465">
        <w:t xml:space="preserve">. </w:t>
      </w:r>
      <w:r w:rsidR="007F0465" w:rsidRPr="00C26086">
        <w:t>Superannuation is becoming an increasingly important asset for retirees as the</w:t>
      </w:r>
      <w:r w:rsidR="00C157DE">
        <w:t xml:space="preserve"> superannuation</w:t>
      </w:r>
      <w:r w:rsidR="007F0465" w:rsidRPr="00C26086">
        <w:t xml:space="preserve"> system matures. </w:t>
      </w:r>
      <w:r>
        <w:t>Between</w:t>
      </w:r>
      <w:r w:rsidR="007F0465" w:rsidRPr="00C26086">
        <w:t xml:space="preserve"> 2013</w:t>
      </w:r>
      <w:r w:rsidR="30BA05C8" w:rsidRPr="00C26086">
        <w:t>-</w:t>
      </w:r>
      <w:r w:rsidR="007F0465" w:rsidRPr="00C26086">
        <w:t xml:space="preserve">14 </w:t>
      </w:r>
      <w:r>
        <w:t>and</w:t>
      </w:r>
      <w:r w:rsidR="007F0465" w:rsidRPr="00C26086">
        <w:t xml:space="preserve"> 2017</w:t>
      </w:r>
      <w:r>
        <w:noBreakHyphen/>
      </w:r>
      <w:r w:rsidR="007F0465" w:rsidRPr="00C26086">
        <w:t>18, average household wealth held in superannuation increased by</w:t>
      </w:r>
      <w:r w:rsidR="007F0465">
        <w:t xml:space="preserve"> </w:t>
      </w:r>
      <w:r w:rsidR="0033550B">
        <w:t>around 16</w:t>
      </w:r>
      <w:r w:rsidR="007F0465">
        <w:t xml:space="preserve"> per cent to $374,000 for </w:t>
      </w:r>
      <w:r w:rsidR="00EE40F7">
        <w:t>individuals</w:t>
      </w:r>
      <w:r w:rsidR="007F0465">
        <w:t xml:space="preserve"> aged 55 to 64</w:t>
      </w:r>
      <w:r w:rsidR="0033550B">
        <w:t xml:space="preserve"> (</w:t>
      </w:r>
      <w:r w:rsidR="0033550B" w:rsidRPr="00B51AE1">
        <w:t>ABS</w:t>
      </w:r>
      <w:r w:rsidR="005A15AD" w:rsidRPr="00DE452D">
        <w:t xml:space="preserve"> </w:t>
      </w:r>
      <w:r w:rsidR="005A15AD" w:rsidRPr="006C3C2C">
        <w:t>2019</w:t>
      </w:r>
      <w:r w:rsidR="00082155" w:rsidRPr="00695E99">
        <w:t>a</w:t>
      </w:r>
      <w:r w:rsidR="0033550B">
        <w:t>)</w:t>
      </w:r>
      <w:r w:rsidR="007F0465">
        <w:t xml:space="preserve">. </w:t>
      </w:r>
      <w:r w:rsidR="00C71A47">
        <w:t>In addition to</w:t>
      </w:r>
      <w:r w:rsidR="00FC6ABB">
        <w:t xml:space="preserve"> compulsory superannuation contributions, significant voluntary contributions are made into superannuation, </w:t>
      </w:r>
      <w:r w:rsidR="00C71A47">
        <w:t>particular</w:t>
      </w:r>
      <w:r w:rsidR="00FC6ABB" w:rsidRPr="005215EB">
        <w:t>ly</w:t>
      </w:r>
      <w:r w:rsidR="00FC6ABB">
        <w:t xml:space="preserve"> by </w:t>
      </w:r>
      <w:r w:rsidR="00EE40F7">
        <w:t>individuals</w:t>
      </w:r>
      <w:r w:rsidR="00FC6ABB">
        <w:t xml:space="preserve"> approaching retirement. Superannuation concessions are likely to encourage this, though the extent to which these savings would otherwise have been made is not clear.</w:t>
      </w:r>
    </w:p>
    <w:p w14:paraId="1331E338" w14:textId="413CE76A" w:rsidR="002D7080" w:rsidRDefault="00C71A47" w:rsidP="00FC6ABB">
      <w:r>
        <w:t>C</w:t>
      </w:r>
      <w:r w:rsidR="00ED4D9F">
        <w:t>ompulsory s</w:t>
      </w:r>
      <w:r w:rsidR="007F0465">
        <w:t>uperannuation</w:t>
      </w:r>
      <w:r w:rsidR="00ED4D9F">
        <w:t xml:space="preserve"> has led to more wealth on average at retirement,</w:t>
      </w:r>
      <w:r>
        <w:t xml:space="preserve"> however,</w:t>
      </w:r>
      <w:r w:rsidR="00ED4D9F">
        <w:t xml:space="preserve"> it</w:t>
      </w:r>
      <w:r w:rsidR="007F0465">
        <w:t xml:space="preserve"> may have</w:t>
      </w:r>
      <w:r w:rsidR="00ED4D9F">
        <w:t xml:space="preserve"> also</w:t>
      </w:r>
      <w:r w:rsidR="007F0465">
        <w:t xml:space="preserve"> led to some households saving less through other means</w:t>
      </w:r>
      <w:r w:rsidR="00A551B4">
        <w:t xml:space="preserve"> (Connolly 2007)</w:t>
      </w:r>
      <w:r w:rsidR="007F0465">
        <w:t>.</w:t>
      </w:r>
      <w:r w:rsidR="007F0465" w:rsidRPr="004D1D0A">
        <w:rPr>
          <w:rStyle w:val="FootnoteReference"/>
          <w:vertAlign w:val="superscript"/>
        </w:rPr>
        <w:footnoteReference w:id="12"/>
      </w:r>
      <w:r w:rsidR="007F0465" w:rsidRPr="004D1D0A">
        <w:rPr>
          <w:vertAlign w:val="superscript"/>
        </w:rPr>
        <w:t xml:space="preserve"> </w:t>
      </w:r>
      <w:r w:rsidR="00B0706F">
        <w:t xml:space="preserve">While there are many factors affecting household borrowing, taking on more debt may be associated with growth in retirement assets on household balance sheets. </w:t>
      </w:r>
      <w:r w:rsidR="002D7080" w:rsidRPr="00275260">
        <w:t>Household debt as a percentage of</w:t>
      </w:r>
      <w:r w:rsidR="002D7080">
        <w:t xml:space="preserve"> annualised</w:t>
      </w:r>
      <w:r w:rsidR="002D7080" w:rsidRPr="00275260">
        <w:t xml:space="preserve"> household </w:t>
      </w:r>
      <w:r w:rsidR="002D7080">
        <w:t xml:space="preserve">disposable </w:t>
      </w:r>
      <w:r w:rsidR="002D7080" w:rsidRPr="00275260">
        <w:t xml:space="preserve">income has risen from </w:t>
      </w:r>
      <w:r w:rsidR="002D7080">
        <w:t xml:space="preserve">71 </w:t>
      </w:r>
      <w:r w:rsidR="002D7080" w:rsidRPr="00275260">
        <w:t xml:space="preserve">per cent in </w:t>
      </w:r>
      <w:r w:rsidR="002D7080">
        <w:t xml:space="preserve">June </w:t>
      </w:r>
      <w:r w:rsidR="002D7080" w:rsidRPr="00275260">
        <w:t xml:space="preserve">1992, </w:t>
      </w:r>
      <w:r w:rsidR="00FC6ABB">
        <w:t xml:space="preserve">when </w:t>
      </w:r>
      <w:r w:rsidR="002D7080" w:rsidRPr="00275260">
        <w:t xml:space="preserve">compulsory superannuation </w:t>
      </w:r>
      <w:r w:rsidR="002D7080">
        <w:t>was introduced, to 191</w:t>
      </w:r>
      <w:r w:rsidR="002D7080" w:rsidRPr="00275260">
        <w:t xml:space="preserve"> per cent in </w:t>
      </w:r>
      <w:r w:rsidR="002D7080">
        <w:t xml:space="preserve">June </w:t>
      </w:r>
      <w:r w:rsidR="002D7080" w:rsidRPr="003A3640">
        <w:t>2019</w:t>
      </w:r>
      <w:r w:rsidR="00CF1FD0" w:rsidRPr="003A3640">
        <w:t xml:space="preserve"> (RBA</w:t>
      </w:r>
      <w:r w:rsidR="003A3640" w:rsidRPr="003A3640">
        <w:t xml:space="preserve"> 2019</w:t>
      </w:r>
      <w:r w:rsidR="00CF1FD0" w:rsidRPr="003A3640">
        <w:t>)</w:t>
      </w:r>
      <w:r w:rsidR="002D7080" w:rsidRPr="003A3640">
        <w:t xml:space="preserve">. This increase has </w:t>
      </w:r>
      <w:r w:rsidR="00FC6ABB" w:rsidRPr="003A3640">
        <w:t>largely been driven</w:t>
      </w:r>
      <w:r w:rsidR="002D7080" w:rsidRPr="003A3640">
        <w:t xml:space="preserve"> by mortgage debt and has contributed to more households approaching</w:t>
      </w:r>
      <w:r w:rsidR="002D7080" w:rsidRPr="00275260">
        <w:t xml:space="preserve"> retirement with </w:t>
      </w:r>
      <w:r w:rsidR="00B6769C">
        <w:t>mortgages</w:t>
      </w:r>
      <w:r w:rsidR="002D7080" w:rsidRPr="00275260">
        <w:t xml:space="preserve">. </w:t>
      </w:r>
    </w:p>
    <w:p w14:paraId="3B32874D" w14:textId="28D9ECF5" w:rsidR="007F0465" w:rsidRDefault="00FC6ABB" w:rsidP="007F0465">
      <w:r>
        <w:t>Nevertheless, g</w:t>
      </w:r>
      <w:r w:rsidR="007F0465">
        <w:t xml:space="preserve">rowing household wealth at retirement has resulted in a reduction in the proportion of the eligible population receiving the Age Pension over the past two decades. </w:t>
      </w:r>
    </w:p>
    <w:p w14:paraId="1C7D715D" w14:textId="6BFD4A71" w:rsidR="007F0465" w:rsidRDefault="002D4C61" w:rsidP="007F0465">
      <w:pPr>
        <w:pStyle w:val="Heading3"/>
      </w:pPr>
      <w:r>
        <w:t>C</w:t>
      </w:r>
      <w:r w:rsidR="007F0465">
        <w:t>hanging trends and one-off shocks</w:t>
      </w:r>
    </w:p>
    <w:p w14:paraId="1372AED7" w14:textId="7F923787" w:rsidR="007F0465" w:rsidRDefault="007F0465" w:rsidP="007F0465">
      <w:r>
        <w:t>The retirement income system needs to be able to accommodate a range of demographic and economic trends</w:t>
      </w:r>
      <w:r w:rsidRPr="00DA5E3C">
        <w:t xml:space="preserve"> </w:t>
      </w:r>
      <w:r>
        <w:t xml:space="preserve">without requiring a significant increase in </w:t>
      </w:r>
      <w:r w:rsidR="00C71A47">
        <w:t xml:space="preserve">government </w:t>
      </w:r>
      <w:r>
        <w:t xml:space="preserve">support. </w:t>
      </w:r>
      <w:r w:rsidR="007A562D">
        <w:t>The system also needs to be able to withstand one-off shocks without significantly compromising its ability to deliver on its objective.</w:t>
      </w:r>
    </w:p>
    <w:p w14:paraId="68C58C8E" w14:textId="7DCD9E38" w:rsidR="007F0465" w:rsidRDefault="00E457E2" w:rsidP="004C59FA">
      <w:pPr>
        <w:pStyle w:val="Bullet"/>
      </w:pPr>
      <w:r>
        <w:t>Increasing</w:t>
      </w:r>
      <w:r w:rsidR="007F0465">
        <w:t xml:space="preserve"> life expectancy and </w:t>
      </w:r>
      <w:r>
        <w:t>decreasing</w:t>
      </w:r>
      <w:r w:rsidR="007F0465">
        <w:t xml:space="preserve"> home ownership could see higher </w:t>
      </w:r>
      <w:r w:rsidR="008D6E28">
        <w:t>expenses in retirement</w:t>
      </w:r>
      <w:r w:rsidR="007F0465">
        <w:t xml:space="preserve"> and an increase in longevity risk for individuals. These factors could lead to a higher level of savings required to support an adequate retirement income. </w:t>
      </w:r>
    </w:p>
    <w:p w14:paraId="16196F1F" w14:textId="41D32679" w:rsidR="008E5DB5" w:rsidRDefault="00E77C7C" w:rsidP="004C59FA">
      <w:pPr>
        <w:pStyle w:val="Bullet"/>
      </w:pPr>
      <w:r>
        <w:t>O</w:t>
      </w:r>
      <w:r w:rsidR="000D5E57">
        <w:t>ver the past ten years</w:t>
      </w:r>
      <w:r>
        <w:t>,</w:t>
      </w:r>
      <w:r w:rsidR="000D5E57">
        <w:t xml:space="preserve"> </w:t>
      </w:r>
      <w:r>
        <w:t>ret</w:t>
      </w:r>
      <w:r w:rsidR="00E8647D">
        <w:t>urn</w:t>
      </w:r>
      <w:r>
        <w:t>s</w:t>
      </w:r>
      <w:r w:rsidR="00E8647D">
        <w:t xml:space="preserve"> on low</w:t>
      </w:r>
      <w:r w:rsidR="00C71A47">
        <w:t xml:space="preserve"> </w:t>
      </w:r>
      <w:r w:rsidR="00E8647D">
        <w:t>risk</w:t>
      </w:r>
      <w:r w:rsidR="000D5E57">
        <w:t xml:space="preserve"> </w:t>
      </w:r>
      <w:r w:rsidR="00E8647D">
        <w:t>investments such as term deposits</w:t>
      </w:r>
      <w:r>
        <w:t xml:space="preserve"> have </w:t>
      </w:r>
      <w:r w:rsidR="00C71A47">
        <w:t>fallen</w:t>
      </w:r>
      <w:r w:rsidR="007F0465">
        <w:t>.</w:t>
      </w:r>
      <w:r w:rsidR="007F0465" w:rsidRPr="006272AE">
        <w:rPr>
          <w:rStyle w:val="FootnoteReference"/>
        </w:rPr>
        <w:t xml:space="preserve"> </w:t>
      </w:r>
      <w:r w:rsidR="00CD1F1B">
        <w:t>Some i</w:t>
      </w:r>
      <w:r w:rsidR="00E457E2">
        <w:t>ndividuals</w:t>
      </w:r>
      <w:r w:rsidR="007F0465">
        <w:t xml:space="preserve"> nearing or in retirement</w:t>
      </w:r>
      <w:r w:rsidR="00804718">
        <w:t xml:space="preserve"> </w:t>
      </w:r>
      <w:r w:rsidR="0000663A">
        <w:t xml:space="preserve">may </w:t>
      </w:r>
      <w:r w:rsidR="00804718">
        <w:t>invest conservatively</w:t>
      </w:r>
      <w:r w:rsidR="007F0465">
        <w:t xml:space="preserve"> to reduce the risk of capital loss</w:t>
      </w:r>
      <w:r w:rsidR="00CD1F1B">
        <w:t xml:space="preserve"> through fixed interest</w:t>
      </w:r>
      <w:r w:rsidR="003944A0">
        <w:t xml:space="preserve"> assets</w:t>
      </w:r>
      <w:r w:rsidR="007F0465">
        <w:t xml:space="preserve">. Where low interest rates persist, higher total savings </w:t>
      </w:r>
      <w:r w:rsidR="007F68E0">
        <w:t xml:space="preserve">or increased investment in riskier assets </w:t>
      </w:r>
      <w:r w:rsidR="008D6E28">
        <w:t>may</w:t>
      </w:r>
      <w:r w:rsidR="007F0465">
        <w:t xml:space="preserve"> be needed to support the same </w:t>
      </w:r>
      <w:r w:rsidR="008D6E28">
        <w:t>level</w:t>
      </w:r>
      <w:r w:rsidR="007F0465">
        <w:t xml:space="preserve"> of </w:t>
      </w:r>
      <w:r w:rsidR="008D6E28">
        <w:t>income</w:t>
      </w:r>
      <w:r w:rsidR="007F0465">
        <w:t xml:space="preserve"> </w:t>
      </w:r>
      <w:r w:rsidR="008D6E28">
        <w:t>over</w:t>
      </w:r>
      <w:r w:rsidR="007F0465">
        <w:t xml:space="preserve"> </w:t>
      </w:r>
      <w:r w:rsidR="003A02EC">
        <w:t>the</w:t>
      </w:r>
      <w:r w:rsidR="007F0465">
        <w:t xml:space="preserve"> same </w:t>
      </w:r>
      <w:r w:rsidR="008D6E28">
        <w:t xml:space="preserve">time period. </w:t>
      </w:r>
      <w:r w:rsidR="008E5DB5">
        <w:t xml:space="preserve">Additionally, the </w:t>
      </w:r>
      <w:r w:rsidR="00716444">
        <w:t xml:space="preserve">trend </w:t>
      </w:r>
      <w:r w:rsidR="0032579D">
        <w:t xml:space="preserve">in interest rates </w:t>
      </w:r>
      <w:r w:rsidR="00716444">
        <w:t xml:space="preserve">identified above </w:t>
      </w:r>
      <w:r w:rsidR="00AE404D">
        <w:t xml:space="preserve">has, </w:t>
      </w:r>
      <w:r w:rsidR="00716444">
        <w:t>and may continue</w:t>
      </w:r>
      <w:r w:rsidR="00AE404D">
        <w:t>,</w:t>
      </w:r>
      <w:r w:rsidR="00716444">
        <w:t xml:space="preserve"> to affect the </w:t>
      </w:r>
      <w:r w:rsidR="007F68E0">
        <w:t xml:space="preserve">public </w:t>
      </w:r>
      <w:r w:rsidR="00716444">
        <w:t>cost of the</w:t>
      </w:r>
      <w:r w:rsidR="00C71A47">
        <w:t xml:space="preserve"> retirement income</w:t>
      </w:r>
      <w:r w:rsidR="00716444">
        <w:t xml:space="preserve"> system through changes in </w:t>
      </w:r>
      <w:r w:rsidR="008E5DB5">
        <w:t>the social security deeming rates and the interest rate use</w:t>
      </w:r>
      <w:r w:rsidR="00A87C54">
        <w:t xml:space="preserve">d by the </w:t>
      </w:r>
      <w:r w:rsidR="00A52160">
        <w:t>P</w:t>
      </w:r>
      <w:r w:rsidR="00A87C54">
        <w:t xml:space="preserve">ension </w:t>
      </w:r>
      <w:r w:rsidR="00A52160">
        <w:t>L</w:t>
      </w:r>
      <w:r w:rsidR="00A87C54">
        <w:t>oan</w:t>
      </w:r>
      <w:r w:rsidR="00A52160">
        <w:t>s</w:t>
      </w:r>
      <w:r w:rsidR="00A87C54">
        <w:t xml:space="preserve"> </w:t>
      </w:r>
      <w:r w:rsidR="00A52160">
        <w:t>S</w:t>
      </w:r>
      <w:r w:rsidR="00A87C54">
        <w:t>cheme.</w:t>
      </w:r>
    </w:p>
    <w:p w14:paraId="20094D5B" w14:textId="36FD80C7" w:rsidR="00E92470" w:rsidRDefault="00E92470" w:rsidP="004C59FA">
      <w:pPr>
        <w:pStyle w:val="Bullet"/>
      </w:pPr>
      <w:r>
        <w:lastRenderedPageBreak/>
        <w:t>Changes in labour market trends could affect the proportion of the population covered by compulsory superannuation.</w:t>
      </w:r>
    </w:p>
    <w:p w14:paraId="19D12E64" w14:textId="2FEFDD4B" w:rsidR="007F0465" w:rsidRDefault="007F0465" w:rsidP="004C59FA">
      <w:pPr>
        <w:pStyle w:val="Bullet"/>
      </w:pPr>
      <w:r>
        <w:t xml:space="preserve">Major economic crises, such as a global recession or downturn could place </w:t>
      </w:r>
      <w:r w:rsidR="008D6E28">
        <w:t>pressure</w:t>
      </w:r>
      <w:r>
        <w:t xml:space="preserve"> on the retirement income system. A major economic crisis </w:t>
      </w:r>
      <w:r w:rsidR="00C53C33">
        <w:t>c</w:t>
      </w:r>
      <w:r>
        <w:t>ould see low investment returns and a fall in asset prices</w:t>
      </w:r>
      <w:r w:rsidR="008D6E28">
        <w:t>, potentially</w:t>
      </w:r>
      <w:r>
        <w:t xml:space="preserve"> </w:t>
      </w:r>
      <w:r w:rsidR="002D745D">
        <w:t>resulting in</w:t>
      </w:r>
      <w:r>
        <w:t xml:space="preserve"> increased dependency on the Age Pension. </w:t>
      </w:r>
    </w:p>
    <w:p w14:paraId="08ED5FD0" w14:textId="68F02635" w:rsidR="007F0465" w:rsidRDefault="002D4C61" w:rsidP="007F0465">
      <w:pPr>
        <w:pStyle w:val="Heading3"/>
      </w:pPr>
      <w:r>
        <w:t>Individual</w:t>
      </w:r>
      <w:r w:rsidR="007F68E0">
        <w:t>s</w:t>
      </w:r>
      <w:r>
        <w:t xml:space="preserve"> saving </w:t>
      </w:r>
      <w:r w:rsidR="00B113EC">
        <w:t xml:space="preserve">beyond their retirement income </w:t>
      </w:r>
      <w:r w:rsidR="007F68E0">
        <w:t>need</w:t>
      </w:r>
      <w:r w:rsidR="00B113EC">
        <w:t>s</w:t>
      </w:r>
    </w:p>
    <w:p w14:paraId="506EEFDF" w14:textId="6B71D0A5" w:rsidR="00B113EC" w:rsidRDefault="00B113EC" w:rsidP="00B113EC">
      <w:pPr>
        <w:rPr>
          <w:bCs/>
          <w:iCs/>
        </w:rPr>
      </w:pPr>
      <w:r>
        <w:rPr>
          <w:bCs/>
          <w:iCs/>
        </w:rPr>
        <w:t>During their working lives, individuals may choose to save more for retirement than would be required to provide an adequate lifestyle in retirement. This could be because they wish to have a high</w:t>
      </w:r>
      <w:r w:rsidR="00A52160">
        <w:rPr>
          <w:bCs/>
          <w:iCs/>
        </w:rPr>
        <w:t>er</w:t>
      </w:r>
      <w:r>
        <w:rPr>
          <w:bCs/>
          <w:iCs/>
        </w:rPr>
        <w:t xml:space="preserve"> standard of living in retirement, or because they lack confidence in the long</w:t>
      </w:r>
      <w:r w:rsidR="00C71A47">
        <w:rPr>
          <w:bCs/>
          <w:iCs/>
        </w:rPr>
        <w:t xml:space="preserve"> </w:t>
      </w:r>
      <w:r>
        <w:rPr>
          <w:bCs/>
          <w:iCs/>
        </w:rPr>
        <w:t>term structure and settings of the system (as discussed above) and want to ensure they have sufficient savings</w:t>
      </w:r>
      <w:r w:rsidR="00C71A47">
        <w:rPr>
          <w:bCs/>
          <w:iCs/>
        </w:rPr>
        <w:t xml:space="preserve"> for retirement</w:t>
      </w:r>
      <w:r w:rsidR="00A058BC">
        <w:rPr>
          <w:bCs/>
          <w:iCs/>
        </w:rPr>
        <w:t>.</w:t>
      </w:r>
    </w:p>
    <w:p w14:paraId="108AFDA6" w14:textId="19E78249" w:rsidR="001A1B43" w:rsidRDefault="001A1B43" w:rsidP="001A1B43">
      <w:pPr>
        <w:rPr>
          <w:bCs/>
          <w:iCs/>
        </w:rPr>
      </w:pPr>
      <w:r>
        <w:rPr>
          <w:bCs/>
          <w:iCs/>
        </w:rPr>
        <w:t>Research has shown that many households in retirement are net savers</w:t>
      </w:r>
      <w:r w:rsidR="00A058BC">
        <w:rPr>
          <w:bCs/>
          <w:iCs/>
        </w:rPr>
        <w:t xml:space="preserve"> (i.e. </w:t>
      </w:r>
      <w:r>
        <w:rPr>
          <w:bCs/>
          <w:iCs/>
        </w:rPr>
        <w:t xml:space="preserve">their income </w:t>
      </w:r>
      <w:r w:rsidR="002D745D">
        <w:rPr>
          <w:bCs/>
          <w:iCs/>
        </w:rPr>
        <w:t>is</w:t>
      </w:r>
      <w:r>
        <w:rPr>
          <w:bCs/>
          <w:iCs/>
        </w:rPr>
        <w:t xml:space="preserve"> greater than their expenditure</w:t>
      </w:r>
      <w:r w:rsidR="00A058BC">
        <w:rPr>
          <w:bCs/>
          <w:iCs/>
        </w:rPr>
        <w:t>) (CEPAR 2018a, p. 22)</w:t>
      </w:r>
      <w:r>
        <w:rPr>
          <w:bCs/>
          <w:iCs/>
        </w:rPr>
        <w:t xml:space="preserve">. </w:t>
      </w:r>
      <w:r w:rsidR="00DD0191">
        <w:rPr>
          <w:bCs/>
          <w:iCs/>
        </w:rPr>
        <w:t>In addition</w:t>
      </w:r>
      <w:r w:rsidR="006E0446">
        <w:rPr>
          <w:bCs/>
          <w:iCs/>
        </w:rPr>
        <w:t>,</w:t>
      </w:r>
      <w:r w:rsidR="006E0446" w:rsidRPr="006E0446">
        <w:rPr>
          <w:bCs/>
          <w:iCs/>
        </w:rPr>
        <w:t xml:space="preserve"> </w:t>
      </w:r>
      <w:r w:rsidR="006E0446">
        <w:rPr>
          <w:bCs/>
          <w:iCs/>
        </w:rPr>
        <w:t>superannuation balances are forming an increasing part of bequests</w:t>
      </w:r>
      <w:r w:rsidR="00DD0191">
        <w:rPr>
          <w:bCs/>
          <w:iCs/>
        </w:rPr>
        <w:t xml:space="preserve">. </w:t>
      </w:r>
      <w:r>
        <w:rPr>
          <w:bCs/>
          <w:iCs/>
        </w:rPr>
        <w:t>There are a number of possible explanations for</w:t>
      </w:r>
      <w:r w:rsidR="00DD0191">
        <w:rPr>
          <w:bCs/>
          <w:iCs/>
        </w:rPr>
        <w:t xml:space="preserve"> these</w:t>
      </w:r>
      <w:r>
        <w:rPr>
          <w:bCs/>
          <w:iCs/>
        </w:rPr>
        <w:t xml:space="preserve"> behaviour</w:t>
      </w:r>
      <w:r w:rsidR="00DD0191">
        <w:rPr>
          <w:bCs/>
          <w:iCs/>
        </w:rPr>
        <w:t>s,</w:t>
      </w:r>
      <w:r w:rsidR="00DD0191" w:rsidRPr="00DD0191">
        <w:rPr>
          <w:bCs/>
          <w:iCs/>
        </w:rPr>
        <w:t xml:space="preserve"> </w:t>
      </w:r>
      <w:r w:rsidR="00B113EC">
        <w:rPr>
          <w:bCs/>
          <w:iCs/>
        </w:rPr>
        <w:t>many</w:t>
      </w:r>
      <w:r w:rsidR="006E0446">
        <w:rPr>
          <w:bCs/>
          <w:iCs/>
        </w:rPr>
        <w:t xml:space="preserve"> of which are rational on the part of the individual. </w:t>
      </w:r>
      <w:r w:rsidR="00DD0191">
        <w:rPr>
          <w:bCs/>
          <w:iCs/>
        </w:rPr>
        <w:t xml:space="preserve">However, where individual choices place pressure on public finances, they affect the sustainability of the </w:t>
      </w:r>
      <w:r w:rsidR="00C71A47">
        <w:rPr>
          <w:bCs/>
          <w:iCs/>
        </w:rPr>
        <w:t xml:space="preserve">retirement income </w:t>
      </w:r>
      <w:r w:rsidR="00DD0191">
        <w:rPr>
          <w:bCs/>
          <w:iCs/>
        </w:rPr>
        <w:t xml:space="preserve">system. </w:t>
      </w:r>
    </w:p>
    <w:p w14:paraId="760715FA" w14:textId="27697F01" w:rsidR="00DD0191" w:rsidRDefault="001A1B43" w:rsidP="00DD0191">
      <w:pPr>
        <w:rPr>
          <w:bCs/>
          <w:iCs/>
        </w:rPr>
      </w:pPr>
      <w:r>
        <w:rPr>
          <w:bCs/>
          <w:iCs/>
        </w:rPr>
        <w:t>Once in retirement, i</w:t>
      </w:r>
      <w:r w:rsidR="002D4C61">
        <w:rPr>
          <w:bCs/>
          <w:iCs/>
        </w:rPr>
        <w:t xml:space="preserve">ndividuals may consume less than their savings </w:t>
      </w:r>
      <w:r w:rsidR="00BB13AE">
        <w:rPr>
          <w:bCs/>
          <w:iCs/>
        </w:rPr>
        <w:t>w</w:t>
      </w:r>
      <w:r w:rsidR="002D4C61">
        <w:rPr>
          <w:bCs/>
          <w:iCs/>
        </w:rPr>
        <w:t>ould allow because they lack confidence in their ability to manage longevity risk</w:t>
      </w:r>
      <w:r w:rsidR="005670E1">
        <w:rPr>
          <w:bCs/>
          <w:iCs/>
        </w:rPr>
        <w:t>;</w:t>
      </w:r>
      <w:r w:rsidR="002D4C61">
        <w:rPr>
          <w:bCs/>
          <w:iCs/>
        </w:rPr>
        <w:t xml:space="preserve"> </w:t>
      </w:r>
      <w:r w:rsidR="00BB13AE">
        <w:rPr>
          <w:bCs/>
          <w:iCs/>
        </w:rPr>
        <w:t>are concerned about needing to pay for</w:t>
      </w:r>
      <w:r w:rsidR="002D4C61">
        <w:rPr>
          <w:bCs/>
          <w:iCs/>
        </w:rPr>
        <w:t xml:space="preserve"> aged care</w:t>
      </w:r>
      <w:r w:rsidR="00BB13AE">
        <w:rPr>
          <w:bCs/>
          <w:iCs/>
        </w:rPr>
        <w:t xml:space="preserve"> later in life</w:t>
      </w:r>
      <w:r w:rsidR="005670E1">
        <w:rPr>
          <w:bCs/>
          <w:iCs/>
        </w:rPr>
        <w:t>;</w:t>
      </w:r>
      <w:r w:rsidR="002D4C61">
        <w:rPr>
          <w:bCs/>
          <w:iCs/>
        </w:rPr>
        <w:t xml:space="preserve"> or </w:t>
      </w:r>
      <w:r w:rsidR="00BB13AE">
        <w:rPr>
          <w:bCs/>
          <w:iCs/>
        </w:rPr>
        <w:t>wish to leave an inheritance</w:t>
      </w:r>
      <w:r w:rsidR="007F0465">
        <w:rPr>
          <w:bCs/>
          <w:iCs/>
        </w:rPr>
        <w:t xml:space="preserve">. </w:t>
      </w:r>
      <w:r w:rsidR="006E0446">
        <w:rPr>
          <w:bCs/>
          <w:iCs/>
        </w:rPr>
        <w:t xml:space="preserve">It is also possible that individuals </w:t>
      </w:r>
      <w:r w:rsidR="00DA7D2F">
        <w:rPr>
          <w:bCs/>
          <w:iCs/>
        </w:rPr>
        <w:t xml:space="preserve">would like to consume more in retirement but </w:t>
      </w:r>
      <w:r w:rsidR="006E0446">
        <w:rPr>
          <w:bCs/>
          <w:iCs/>
        </w:rPr>
        <w:t xml:space="preserve">lack financial literacy </w:t>
      </w:r>
      <w:r w:rsidR="00DA7D2F">
        <w:rPr>
          <w:bCs/>
          <w:iCs/>
        </w:rPr>
        <w:t xml:space="preserve">and </w:t>
      </w:r>
      <w:r w:rsidR="006E0446">
        <w:rPr>
          <w:bCs/>
          <w:iCs/>
        </w:rPr>
        <w:t>would benefit from more i</w:t>
      </w:r>
      <w:r w:rsidR="00DA7D2F">
        <w:rPr>
          <w:bCs/>
          <w:iCs/>
        </w:rPr>
        <w:t>nformation, guidance</w:t>
      </w:r>
      <w:r w:rsidR="00935158">
        <w:rPr>
          <w:bCs/>
          <w:iCs/>
        </w:rPr>
        <w:t>,</w:t>
      </w:r>
      <w:r w:rsidR="00DA7D2F">
        <w:rPr>
          <w:bCs/>
          <w:iCs/>
        </w:rPr>
        <w:t xml:space="preserve"> and advice</w:t>
      </w:r>
      <w:r w:rsidR="00DA7D2F" w:rsidRPr="00DA7D2F">
        <w:rPr>
          <w:bCs/>
          <w:iCs/>
        </w:rPr>
        <w:t xml:space="preserve"> </w:t>
      </w:r>
      <w:r w:rsidR="00DA7D2F">
        <w:rPr>
          <w:bCs/>
          <w:iCs/>
        </w:rPr>
        <w:t xml:space="preserve">to confidently make decisions about their retirement incomes. </w:t>
      </w:r>
      <w:r w:rsidR="00DD0191">
        <w:rPr>
          <w:bCs/>
          <w:iCs/>
        </w:rPr>
        <w:t>These reasons may explain why households with superannuation accounts tend to only draw</w:t>
      </w:r>
      <w:r w:rsidR="00935158">
        <w:rPr>
          <w:bCs/>
          <w:iCs/>
        </w:rPr>
        <w:t xml:space="preserve"> </w:t>
      </w:r>
      <w:r w:rsidR="00DD0191">
        <w:rPr>
          <w:bCs/>
          <w:iCs/>
        </w:rPr>
        <w:t>down at</w:t>
      </w:r>
      <w:r w:rsidR="00A46150">
        <w:rPr>
          <w:bCs/>
          <w:iCs/>
        </w:rPr>
        <w:t xml:space="preserve"> or near</w:t>
      </w:r>
      <w:r w:rsidR="00DD0191">
        <w:rPr>
          <w:bCs/>
          <w:iCs/>
        </w:rPr>
        <w:t xml:space="preserve"> minimum </w:t>
      </w:r>
      <w:r w:rsidR="00A058BC">
        <w:rPr>
          <w:bCs/>
          <w:iCs/>
        </w:rPr>
        <w:t xml:space="preserve">legislated </w:t>
      </w:r>
      <w:r w:rsidR="00DD0191">
        <w:rPr>
          <w:bCs/>
          <w:iCs/>
        </w:rPr>
        <w:t>rates</w:t>
      </w:r>
      <w:r w:rsidR="00013072">
        <w:rPr>
          <w:bCs/>
          <w:iCs/>
        </w:rPr>
        <w:t xml:space="preserve"> (</w:t>
      </w:r>
      <w:r w:rsidR="00013072">
        <w:t xml:space="preserve">Balnozan 2018; </w:t>
      </w:r>
      <w:r w:rsidR="00B910BF">
        <w:t xml:space="preserve">Reeson </w:t>
      </w:r>
      <w:r w:rsidR="00013072">
        <w:t>et al. 2016)</w:t>
      </w:r>
      <w:r w:rsidR="00DD0191">
        <w:rPr>
          <w:bCs/>
          <w:iCs/>
        </w:rPr>
        <w:t xml:space="preserve">. Additionally, home owners </w:t>
      </w:r>
      <w:r w:rsidR="00AD487B">
        <w:rPr>
          <w:bCs/>
          <w:iCs/>
        </w:rPr>
        <w:t>may be reluctant to</w:t>
      </w:r>
      <w:r w:rsidR="00DD0191">
        <w:rPr>
          <w:bCs/>
          <w:iCs/>
        </w:rPr>
        <w:t xml:space="preserve"> release equity from their homes to supplement their retirement incomes despite public and private initiatives. </w:t>
      </w:r>
    </w:p>
    <w:p w14:paraId="3567D1DB" w14:textId="35C874D1" w:rsidR="00EA1975" w:rsidRDefault="00EA1975" w:rsidP="007F0465">
      <w:pPr>
        <w:rPr>
          <w:bCs/>
          <w:iCs/>
        </w:rPr>
      </w:pPr>
      <w:r>
        <w:rPr>
          <w:bCs/>
          <w:iCs/>
        </w:rPr>
        <w:t xml:space="preserve">Separately, </w:t>
      </w:r>
      <w:r w:rsidR="00EA620E">
        <w:rPr>
          <w:bCs/>
          <w:iCs/>
        </w:rPr>
        <w:t xml:space="preserve">the tax advantaged status of superannuation may encourage some individuals to partly use superannuation for wealth accumulation and estate planning, rather than </w:t>
      </w:r>
      <w:r w:rsidR="00ED7188">
        <w:rPr>
          <w:bCs/>
          <w:iCs/>
        </w:rPr>
        <w:t xml:space="preserve">solely </w:t>
      </w:r>
      <w:r w:rsidR="00FE3891">
        <w:rPr>
          <w:bCs/>
          <w:iCs/>
        </w:rPr>
        <w:t xml:space="preserve">for </w:t>
      </w:r>
      <w:r w:rsidR="00EA620E">
        <w:rPr>
          <w:bCs/>
          <w:iCs/>
        </w:rPr>
        <w:t xml:space="preserve">retirement income purposes. </w:t>
      </w:r>
    </w:p>
    <w:p w14:paraId="5F673AC8" w14:textId="72C839A8" w:rsidR="003A73A2" w:rsidRDefault="007F0465" w:rsidP="007F0465">
      <w:pPr>
        <w:rPr>
          <w:bCs/>
          <w:iCs/>
        </w:rPr>
      </w:pPr>
      <w:r>
        <w:rPr>
          <w:bCs/>
          <w:iCs/>
        </w:rPr>
        <w:t>Understanding which of these drivers is behind the observed saving and consumption behaviour will help inform the assessment</w:t>
      </w:r>
      <w:r w:rsidR="007F68E0">
        <w:rPr>
          <w:bCs/>
          <w:iCs/>
        </w:rPr>
        <w:t xml:space="preserve"> of the</w:t>
      </w:r>
      <w:r w:rsidR="00935158">
        <w:rPr>
          <w:bCs/>
          <w:iCs/>
        </w:rPr>
        <w:t xml:space="preserve"> retirement income</w:t>
      </w:r>
      <w:r w:rsidR="007F68E0">
        <w:rPr>
          <w:bCs/>
          <w:iCs/>
        </w:rPr>
        <w:t xml:space="preserve"> system’s sustainability</w:t>
      </w:r>
      <w:r w:rsidR="00034C88">
        <w:rPr>
          <w:bCs/>
          <w:iCs/>
        </w:rPr>
        <w:t>.</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144C13" w14:paraId="3701AE32" w14:textId="77777777" w:rsidTr="00C742C6">
        <w:tc>
          <w:tcPr>
            <w:tcW w:w="5000" w:type="pct"/>
            <w:shd w:val="clear" w:color="auto" w:fill="EBEBEB"/>
          </w:tcPr>
          <w:p w14:paraId="17C9696F" w14:textId="55C66027" w:rsidR="00144C13" w:rsidRPr="003A73A2" w:rsidRDefault="00144C13" w:rsidP="00144C13">
            <w:pPr>
              <w:pStyle w:val="BoxHeading"/>
              <w:spacing w:before="141" w:after="70"/>
            </w:pPr>
            <w:r w:rsidRPr="003A73A2">
              <w:t xml:space="preserve">Consultation </w:t>
            </w:r>
            <w:r w:rsidR="00935158">
              <w:t>q</w:t>
            </w:r>
            <w:r w:rsidRPr="003A73A2">
              <w:t>uestions:</w:t>
            </w:r>
          </w:p>
          <w:p w14:paraId="24DE7F99" w14:textId="3FB0FD47" w:rsidR="00144C13" w:rsidRPr="003A73A2" w:rsidRDefault="00144C13" w:rsidP="00144C13">
            <w:pPr>
              <w:pStyle w:val="BoxText"/>
              <w:spacing w:before="70" w:after="70"/>
            </w:pPr>
            <w:bookmarkStart w:id="737" w:name="_Toc24550901"/>
            <w:bookmarkStart w:id="738" w:name="_Toc24728796"/>
            <w:r>
              <w:t>What factors should be considered in assessing h</w:t>
            </w:r>
            <w:r w:rsidRPr="003A73A2">
              <w:t>ow the current settings of the retirement income system (e</w:t>
            </w:r>
            <w:r w:rsidR="00935158">
              <w:t>.</w:t>
            </w:r>
            <w:r w:rsidRPr="003A73A2">
              <w:t>g</w:t>
            </w:r>
            <w:r w:rsidR="00935158">
              <w:t>.</w:t>
            </w:r>
            <w:r w:rsidR="00FE3891">
              <w:t> </w:t>
            </w:r>
            <w:r w:rsidRPr="003A73A2">
              <w:t>tax concessions, superannuation contribution caps,</w:t>
            </w:r>
            <w:r w:rsidR="00935158">
              <w:t xml:space="preserve"> and</w:t>
            </w:r>
            <w:r w:rsidRPr="003A73A2">
              <w:t xml:space="preserve"> Age Pension means testing) affect its</w:t>
            </w:r>
            <w:r>
              <w:t xml:space="preserve"> fiscal sustainability</w:t>
            </w:r>
            <w:r w:rsidRPr="003A73A2">
              <w:t>? Which elements of the system have the greatest impact on its long</w:t>
            </w:r>
            <w:r>
              <w:t>-</w:t>
            </w:r>
            <w:r w:rsidRPr="003A73A2">
              <w:t>term sustainability?</w:t>
            </w:r>
            <w:bookmarkEnd w:id="737"/>
            <w:bookmarkEnd w:id="738"/>
          </w:p>
          <w:p w14:paraId="6A616F8F" w14:textId="06D1D3DF" w:rsidR="00144C13" w:rsidRDefault="00144C13" w:rsidP="00144C13">
            <w:pPr>
              <w:pStyle w:val="BoxText"/>
              <w:spacing w:before="70" w:after="70"/>
            </w:pPr>
            <w:bookmarkStart w:id="739" w:name="_Toc24550902"/>
            <w:bookmarkStart w:id="740" w:name="_Toc24728797"/>
            <w:r>
              <w:t>How can the overall level of public confidence be assessed? What evidence is available to demonstrate the level of confidence in the system?</w:t>
            </w:r>
            <w:bookmarkEnd w:id="739"/>
            <w:bookmarkEnd w:id="740"/>
          </w:p>
        </w:tc>
      </w:tr>
    </w:tbl>
    <w:p w14:paraId="0CA8CDBA" w14:textId="77777777" w:rsidR="00144C13" w:rsidRDefault="00144C13" w:rsidP="007F0465"/>
    <w:p w14:paraId="0E62A0E1" w14:textId="77777777" w:rsidR="001B09C4" w:rsidRDefault="001B09C4" w:rsidP="00C00A25">
      <w:pPr>
        <w:rPr>
          <w:rFonts w:cs="Arial"/>
          <w:color w:val="144E60" w:themeColor="accent1"/>
          <w:kern w:val="32"/>
          <w:sz w:val="48"/>
          <w:szCs w:val="36"/>
        </w:rPr>
      </w:pPr>
      <w:bookmarkStart w:id="741" w:name="_Toc22742376"/>
      <w:bookmarkStart w:id="742" w:name="_Toc22744333"/>
      <w:bookmarkStart w:id="743" w:name="_Toc22814043"/>
      <w:bookmarkStart w:id="744" w:name="_Toc22815475"/>
      <w:bookmarkStart w:id="745" w:name="_Toc22823091"/>
      <w:bookmarkStart w:id="746" w:name="_Toc22828903"/>
      <w:bookmarkStart w:id="747" w:name="_Toc22830458"/>
      <w:bookmarkStart w:id="748" w:name="_Toc22886976"/>
      <w:bookmarkStart w:id="749" w:name="_Toc22888755"/>
      <w:bookmarkStart w:id="750" w:name="_Toc22890038"/>
      <w:bookmarkStart w:id="751" w:name="_Toc22892112"/>
      <w:bookmarkStart w:id="752" w:name="_Toc22892317"/>
      <w:bookmarkStart w:id="753" w:name="_Toc22892532"/>
      <w:r>
        <w:br w:type="page"/>
      </w:r>
    </w:p>
    <w:p w14:paraId="56A9B97B" w14:textId="68422616" w:rsidR="007F0465" w:rsidRDefault="007F0465" w:rsidP="007F0465">
      <w:pPr>
        <w:pStyle w:val="Heading1"/>
      </w:pPr>
      <w:bookmarkStart w:id="754" w:name="_Toc22894280"/>
      <w:bookmarkStart w:id="755" w:name="_Toc23515102"/>
      <w:bookmarkStart w:id="756" w:name="_Toc23515516"/>
      <w:bookmarkStart w:id="757" w:name="_Toc23521063"/>
      <w:bookmarkStart w:id="758" w:name="_Toc24545140"/>
      <w:bookmarkStart w:id="759" w:name="_Toc24545366"/>
      <w:bookmarkStart w:id="760" w:name="_Toc24547627"/>
      <w:bookmarkStart w:id="761" w:name="_Toc24551407"/>
      <w:bookmarkStart w:id="762" w:name="_Toc24554743"/>
      <w:bookmarkStart w:id="763" w:name="_Toc24712785"/>
      <w:bookmarkStart w:id="764" w:name="_Toc24717029"/>
      <w:bookmarkStart w:id="765" w:name="_Toc24721568"/>
      <w:bookmarkStart w:id="766" w:name="_Toc24722282"/>
      <w:bookmarkStart w:id="767" w:name="_Toc24728697"/>
      <w:bookmarkStart w:id="768" w:name="_Toc24731223"/>
      <w:bookmarkStart w:id="769" w:name="_Toc24556340"/>
      <w:r>
        <w:lastRenderedPageBreak/>
        <w:t>Cohesion</w:t>
      </w:r>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p>
    <w:p w14:paraId="483D846A" w14:textId="77777777" w:rsidR="007F0465" w:rsidRDefault="007F0465" w:rsidP="007F0465">
      <w:pPr>
        <w:pStyle w:val="Heading2"/>
      </w:pPr>
      <w:bookmarkStart w:id="770" w:name="_Toc22742377"/>
      <w:bookmarkStart w:id="771" w:name="_Toc22744334"/>
      <w:bookmarkStart w:id="772" w:name="_Toc22814044"/>
      <w:bookmarkStart w:id="773" w:name="_Toc22815476"/>
      <w:bookmarkStart w:id="774" w:name="_Toc22823092"/>
      <w:bookmarkStart w:id="775" w:name="_Toc22828904"/>
      <w:bookmarkStart w:id="776" w:name="_Toc22830459"/>
      <w:bookmarkStart w:id="777" w:name="_Toc22886977"/>
      <w:bookmarkStart w:id="778" w:name="_Toc22888756"/>
      <w:bookmarkStart w:id="779" w:name="_Toc22890039"/>
      <w:bookmarkStart w:id="780" w:name="_Toc22892113"/>
      <w:bookmarkStart w:id="781" w:name="_Toc22892318"/>
      <w:bookmarkStart w:id="782" w:name="_Toc22892533"/>
      <w:bookmarkStart w:id="783" w:name="_Toc22894281"/>
      <w:bookmarkStart w:id="784" w:name="_Toc23515103"/>
      <w:bookmarkStart w:id="785" w:name="_Toc23515517"/>
      <w:bookmarkStart w:id="786" w:name="_Toc23521064"/>
      <w:bookmarkStart w:id="787" w:name="_Toc24545141"/>
      <w:bookmarkStart w:id="788" w:name="_Toc24545367"/>
      <w:bookmarkStart w:id="789" w:name="_Toc24547628"/>
      <w:bookmarkStart w:id="790" w:name="_Toc24551408"/>
      <w:bookmarkStart w:id="791" w:name="_Toc24554744"/>
      <w:bookmarkStart w:id="792" w:name="_Toc24556341"/>
      <w:bookmarkStart w:id="793" w:name="_Toc24712786"/>
      <w:bookmarkStart w:id="794" w:name="_Toc24717030"/>
      <w:bookmarkStart w:id="795" w:name="_Toc24721569"/>
      <w:bookmarkStart w:id="796" w:name="_Toc24722283"/>
      <w:bookmarkStart w:id="797" w:name="_Toc24728698"/>
      <w:bookmarkStart w:id="798" w:name="_Toc24731224"/>
      <w:bookmarkEnd w:id="769"/>
      <w:r>
        <w:t>What is meant by cohesion</w:t>
      </w:r>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p>
    <w:p w14:paraId="7B0DC373" w14:textId="41563AB7" w:rsidR="007F0465" w:rsidRDefault="00FC2B30" w:rsidP="007F0465">
      <w:r>
        <w:t>A</w:t>
      </w:r>
      <w:r w:rsidR="007F0465">
        <w:t xml:space="preserve">ll elements of the retirement income system </w:t>
      </w:r>
      <w:r>
        <w:t xml:space="preserve">should </w:t>
      </w:r>
      <w:r w:rsidR="007F0465">
        <w:t xml:space="preserve">work together to </w:t>
      </w:r>
      <w:r w:rsidR="003370F4">
        <w:t xml:space="preserve">support </w:t>
      </w:r>
      <w:r w:rsidR="007F0465">
        <w:t>the outcomes the system intends to achieve for individuals. Cohesion considers the drivers, processes</w:t>
      </w:r>
      <w:r w:rsidR="00935158">
        <w:t>,</w:t>
      </w:r>
      <w:r w:rsidR="007F0465">
        <w:t xml:space="preserve"> and incentives that exist in the system</w:t>
      </w:r>
      <w:r w:rsidR="005670E1">
        <w:t>.</w:t>
      </w:r>
      <w:r w:rsidR="007F0465">
        <w:t xml:space="preserve"> </w:t>
      </w:r>
      <w:r w:rsidR="005670E1">
        <w:t>It looks at</w:t>
      </w:r>
      <w:r w:rsidR="007F0465">
        <w:t xml:space="preserve"> whether they reinforce outcomes in line with the system’s objectives, or </w:t>
      </w:r>
      <w:r w:rsidR="00935158">
        <w:t xml:space="preserve">conflict with </w:t>
      </w:r>
      <w:r w:rsidR="007F0465">
        <w:t>one</w:t>
      </w:r>
      <w:r w:rsidR="00935158">
        <w:t xml:space="preserve"> </w:t>
      </w:r>
      <w:r w:rsidR="007F0465">
        <w:t>another</w:t>
      </w:r>
      <w:r w:rsidR="00C07DAE">
        <w:t>. It also considers how</w:t>
      </w:r>
      <w:r w:rsidR="007F0465">
        <w:t xml:space="preserve"> the </w:t>
      </w:r>
      <w:r>
        <w:t xml:space="preserve">retirement income </w:t>
      </w:r>
      <w:r w:rsidR="00C07DAE">
        <w:t>system interacts</w:t>
      </w:r>
      <w:r w:rsidR="007F0465">
        <w:t xml:space="preserve"> with other systems. In particular, </w:t>
      </w:r>
      <w:r w:rsidR="00C07DAE">
        <w:t>cohesion</w:t>
      </w:r>
      <w:r w:rsidR="007F0465">
        <w:t xml:space="preserve"> is concerned with whether these factors support individuals to achieve outcomes that are right for them.</w:t>
      </w:r>
    </w:p>
    <w:tbl>
      <w:tblPr>
        <w:tblW w:w="5000" w:type="pct"/>
        <w:shd w:val="clear" w:color="auto" w:fill="DFD7E7" w:themeFill="accent3" w:themeFillTint="33"/>
        <w:tblLook w:val="01E0" w:firstRow="1" w:lastRow="1" w:firstColumn="1" w:lastColumn="1" w:noHBand="0" w:noVBand="0"/>
      </w:tblPr>
      <w:tblGrid>
        <w:gridCol w:w="9070"/>
      </w:tblGrid>
      <w:tr w:rsidR="00144C13" w14:paraId="64AF0ABD" w14:textId="77777777" w:rsidTr="00C742C6">
        <w:tc>
          <w:tcPr>
            <w:tcW w:w="5000" w:type="pct"/>
            <w:shd w:val="clear" w:color="auto" w:fill="DFD7E7" w:themeFill="accent3" w:themeFillTint="33"/>
          </w:tcPr>
          <w:p w14:paraId="0E7D63DF" w14:textId="77777777" w:rsidR="00144C13" w:rsidRDefault="00144C13" w:rsidP="00144C13">
            <w:pPr>
              <w:pStyle w:val="BoxHeading"/>
              <w:spacing w:before="141" w:after="70"/>
            </w:pPr>
            <w:r>
              <w:t>Cohesion considerations</w:t>
            </w:r>
          </w:p>
          <w:p w14:paraId="7B6D1110" w14:textId="77777777" w:rsidR="00144C13" w:rsidRPr="007F0465" w:rsidRDefault="00144C13" w:rsidP="00144C13">
            <w:pPr>
              <w:pStyle w:val="BoxText"/>
              <w:spacing w:before="70" w:after="70"/>
            </w:pPr>
            <w:bookmarkStart w:id="799" w:name="_Toc24550903"/>
            <w:bookmarkStart w:id="800" w:name="_Toc24728798"/>
            <w:r w:rsidRPr="007F0465">
              <w:t>There are a number of questions the Panel proposes to consider when assessing the cohesiveness of the retirement income system.</w:t>
            </w:r>
            <w:r>
              <w:t xml:space="preserve"> These include:</w:t>
            </w:r>
            <w:bookmarkEnd w:id="799"/>
            <w:bookmarkEnd w:id="800"/>
          </w:p>
          <w:p w14:paraId="223495B7" w14:textId="77777777" w:rsidR="00144C13" w:rsidRPr="007F0465" w:rsidRDefault="00144C13" w:rsidP="00144C13">
            <w:pPr>
              <w:pStyle w:val="BoxBullet"/>
              <w:tabs>
                <w:tab w:val="clear" w:pos="283"/>
                <w:tab w:val="num" w:pos="166"/>
              </w:tabs>
              <w:spacing w:after="70"/>
              <w:ind w:left="166" w:hanging="166"/>
            </w:pPr>
            <w:r>
              <w:t>W</w:t>
            </w:r>
            <w:r w:rsidRPr="007F0465">
              <w:t>hether the incentives</w:t>
            </w:r>
            <w:r>
              <w:t xml:space="preserve"> in the system</w:t>
            </w:r>
            <w:r w:rsidRPr="007F0465">
              <w:t xml:space="preserve"> are delivering their intended outcomes.</w:t>
            </w:r>
          </w:p>
          <w:p w14:paraId="56604D8B" w14:textId="2FD637FF" w:rsidR="00144C13" w:rsidRPr="007F0465" w:rsidRDefault="00144C13" w:rsidP="00144C13">
            <w:pPr>
              <w:pStyle w:val="BoxDash"/>
              <w:tabs>
                <w:tab w:val="clear" w:pos="567"/>
                <w:tab w:val="num" w:pos="334"/>
              </w:tabs>
              <w:spacing w:after="70"/>
              <w:ind w:left="334" w:hanging="167"/>
            </w:pPr>
            <w:r w:rsidRPr="007F0465">
              <w:t>Does the system encourage retirees to use their assets and savings to maximise their retirement income?</w:t>
            </w:r>
          </w:p>
          <w:p w14:paraId="478BB2F3" w14:textId="77777777" w:rsidR="00144C13" w:rsidRPr="007F0465" w:rsidRDefault="00144C13" w:rsidP="00144C13">
            <w:pPr>
              <w:pStyle w:val="BoxBullet"/>
              <w:tabs>
                <w:tab w:val="clear" w:pos="283"/>
                <w:tab w:val="num" w:pos="166"/>
              </w:tabs>
              <w:spacing w:after="70"/>
              <w:ind w:left="166" w:hanging="166"/>
            </w:pPr>
            <w:r w:rsidRPr="007F0465">
              <w:t>How incentives in the system interact to encourage or discourage behaviours, and the outcomes these interactions produce.</w:t>
            </w:r>
          </w:p>
          <w:p w14:paraId="555CEBDE" w14:textId="77777777" w:rsidR="00144C13" w:rsidRPr="007F0465" w:rsidRDefault="00144C13" w:rsidP="00144C13">
            <w:pPr>
              <w:pStyle w:val="BoxDash"/>
              <w:tabs>
                <w:tab w:val="clear" w:pos="567"/>
                <w:tab w:val="num" w:pos="334"/>
              </w:tabs>
              <w:spacing w:after="70"/>
              <w:ind w:left="334" w:hanging="167"/>
            </w:pPr>
            <w:r w:rsidRPr="007F0465">
              <w:t>How do different eligibility ages and rules around access to superannuation and Age Pension drive outcomes?</w:t>
            </w:r>
          </w:p>
          <w:p w14:paraId="68D18A73" w14:textId="77777777" w:rsidR="00144C13" w:rsidRPr="007F0465" w:rsidRDefault="00144C13" w:rsidP="00144C13">
            <w:pPr>
              <w:pStyle w:val="BoxBullet"/>
              <w:tabs>
                <w:tab w:val="clear" w:pos="283"/>
                <w:tab w:val="num" w:pos="166"/>
              </w:tabs>
              <w:spacing w:after="70"/>
              <w:ind w:left="166" w:hanging="166"/>
            </w:pPr>
            <w:r w:rsidRPr="007F0465">
              <w:t xml:space="preserve">How the system interacts with other systems and </w:t>
            </w:r>
            <w:r>
              <w:t>the</w:t>
            </w:r>
            <w:r w:rsidRPr="007F0465">
              <w:t xml:space="preserve"> impact </w:t>
            </w:r>
            <w:r>
              <w:t xml:space="preserve">of </w:t>
            </w:r>
            <w:r w:rsidRPr="007F0465">
              <w:t xml:space="preserve">this behaviour </w:t>
            </w:r>
            <w:r>
              <w:t>on</w:t>
            </w:r>
            <w:r w:rsidRPr="007F0465">
              <w:t xml:space="preserve"> outcomes.</w:t>
            </w:r>
          </w:p>
          <w:p w14:paraId="49B93FB5" w14:textId="207FDDC1" w:rsidR="00144C13" w:rsidRPr="007F0465" w:rsidRDefault="00144C13" w:rsidP="00144C13">
            <w:pPr>
              <w:pStyle w:val="BoxDash"/>
              <w:tabs>
                <w:tab w:val="clear" w:pos="567"/>
                <w:tab w:val="num" w:pos="334"/>
              </w:tabs>
              <w:spacing w:after="70"/>
              <w:ind w:left="334" w:hanging="167"/>
            </w:pPr>
            <w:r w:rsidRPr="007F0465">
              <w:t xml:space="preserve">How do </w:t>
            </w:r>
            <w:r>
              <w:t>individuals’</w:t>
            </w:r>
            <w:r w:rsidRPr="007F0465">
              <w:t xml:space="preserve"> expectations about lump sum expenses (e.g. aged care and health care) affect how they draw income from their savings?</w:t>
            </w:r>
          </w:p>
          <w:p w14:paraId="62CDEC1A" w14:textId="77777777" w:rsidR="00144C13" w:rsidRPr="007F0465" w:rsidRDefault="00144C13" w:rsidP="00144C13">
            <w:pPr>
              <w:pStyle w:val="BoxBullet"/>
              <w:tabs>
                <w:tab w:val="clear" w:pos="283"/>
                <w:tab w:val="num" w:pos="166"/>
              </w:tabs>
              <w:spacing w:after="70"/>
              <w:ind w:left="166" w:hanging="166"/>
            </w:pPr>
            <w:r w:rsidRPr="007F0465">
              <w:t>Whether individuals understand how to achieve desired outcomes within the system and the extent to which the system is being used to achieve outcomes other than those for which it is designed.</w:t>
            </w:r>
          </w:p>
          <w:p w14:paraId="10E78A20" w14:textId="77777777" w:rsidR="00144C13" w:rsidRPr="007F0465" w:rsidRDefault="00144C13" w:rsidP="00144C13">
            <w:pPr>
              <w:pStyle w:val="BoxDash"/>
              <w:tabs>
                <w:tab w:val="clear" w:pos="567"/>
                <w:tab w:val="num" w:pos="334"/>
              </w:tabs>
              <w:spacing w:after="70"/>
              <w:ind w:left="334" w:hanging="167"/>
            </w:pPr>
            <w:r w:rsidRPr="007F0465">
              <w:t xml:space="preserve">Can </w:t>
            </w:r>
            <w:r>
              <w:t>individuals</w:t>
            </w:r>
            <w:r w:rsidRPr="007F0465">
              <w:t xml:space="preserve"> navigate the system simply or is financial or other advice needed to achieve good outcomes?</w:t>
            </w:r>
          </w:p>
          <w:p w14:paraId="0F164704" w14:textId="1DAA9796" w:rsidR="00144C13" w:rsidRPr="008950C5" w:rsidRDefault="00144C13" w:rsidP="004D1D0A">
            <w:pPr>
              <w:pStyle w:val="BoxDash"/>
              <w:tabs>
                <w:tab w:val="clear" w:pos="567"/>
                <w:tab w:val="num" w:pos="334"/>
              </w:tabs>
              <w:spacing w:after="70"/>
              <w:ind w:left="334" w:hanging="167"/>
            </w:pPr>
            <w:bookmarkStart w:id="801" w:name="_Toc24550904"/>
            <w:r w:rsidRPr="007F0465">
              <w:t xml:space="preserve">Do </w:t>
            </w:r>
            <w:r>
              <w:t>individuals</w:t>
            </w:r>
            <w:r w:rsidRPr="007F0465">
              <w:t xml:space="preserve"> have sufficient access to retirement income products that manage the level and longevity of their income?</w:t>
            </w:r>
            <w:bookmarkEnd w:id="801"/>
          </w:p>
        </w:tc>
      </w:tr>
    </w:tbl>
    <w:p w14:paraId="0A08A85B" w14:textId="77777777" w:rsidR="00144C13" w:rsidRDefault="00144C13" w:rsidP="00144C13">
      <w:pPr>
        <w:pStyle w:val="SingleParagraph"/>
      </w:pP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144C13" w14:paraId="786B48E3" w14:textId="77777777" w:rsidTr="00C742C6">
        <w:tc>
          <w:tcPr>
            <w:tcW w:w="5000" w:type="pct"/>
            <w:shd w:val="clear" w:color="auto" w:fill="EBEBEB"/>
          </w:tcPr>
          <w:p w14:paraId="66B98F01" w14:textId="68FFB7E3" w:rsidR="00144C13" w:rsidRPr="007D282C" w:rsidRDefault="00144C13" w:rsidP="00144C13">
            <w:pPr>
              <w:pStyle w:val="BoxHeading"/>
              <w:spacing w:before="141" w:after="70"/>
            </w:pPr>
            <w:bookmarkStart w:id="802" w:name="_Toc22823093"/>
            <w:bookmarkStart w:id="803" w:name="_Toc22828905"/>
            <w:bookmarkStart w:id="804" w:name="_Toc22830460"/>
            <w:bookmarkStart w:id="805" w:name="_Toc22886978"/>
            <w:bookmarkStart w:id="806" w:name="_Toc22888757"/>
            <w:bookmarkStart w:id="807" w:name="_Toc22890040"/>
            <w:bookmarkStart w:id="808" w:name="_Toc22892114"/>
            <w:bookmarkStart w:id="809" w:name="_Toc22892319"/>
            <w:bookmarkStart w:id="810" w:name="_Toc22892534"/>
            <w:r w:rsidRPr="003A73A2">
              <w:t xml:space="preserve">Consultation </w:t>
            </w:r>
            <w:r w:rsidR="00935158">
              <w:t>q</w:t>
            </w:r>
            <w:r w:rsidRPr="003A73A2">
              <w:t>uestion:</w:t>
            </w:r>
          </w:p>
          <w:p w14:paraId="08A3366A" w14:textId="77B01285" w:rsidR="00144C13" w:rsidRDefault="00144C13" w:rsidP="00144C13">
            <w:pPr>
              <w:pStyle w:val="BoxText"/>
              <w:spacing w:before="70" w:after="70"/>
            </w:pPr>
            <w:bookmarkStart w:id="811" w:name="_Toc24550905"/>
            <w:bookmarkStart w:id="812" w:name="_Toc24728799"/>
            <w:r w:rsidRPr="00CE48C2">
              <w:t xml:space="preserve">What </w:t>
            </w:r>
            <w:r>
              <w:t>should the Panel</w:t>
            </w:r>
            <w:r w:rsidRPr="00CE48C2">
              <w:t xml:space="preserve"> consider in assessing whether the retirement income system is cohesive?</w:t>
            </w:r>
            <w:bookmarkEnd w:id="811"/>
            <w:bookmarkEnd w:id="812"/>
          </w:p>
        </w:tc>
      </w:tr>
    </w:tbl>
    <w:p w14:paraId="2A8C0A91" w14:textId="77777777" w:rsidR="007F0465" w:rsidRDefault="007F0465" w:rsidP="007F0465">
      <w:pPr>
        <w:pStyle w:val="Heading2"/>
      </w:pPr>
      <w:bookmarkStart w:id="813" w:name="_Toc22894282"/>
      <w:bookmarkStart w:id="814" w:name="_Toc23515104"/>
      <w:bookmarkStart w:id="815" w:name="_Toc23515518"/>
      <w:bookmarkStart w:id="816" w:name="_Toc23521065"/>
      <w:bookmarkStart w:id="817" w:name="_Toc24545142"/>
      <w:bookmarkStart w:id="818" w:name="_Toc24545368"/>
      <w:bookmarkStart w:id="819" w:name="_Toc24547629"/>
      <w:bookmarkStart w:id="820" w:name="_Toc24551409"/>
      <w:bookmarkStart w:id="821" w:name="_Toc24554745"/>
      <w:bookmarkStart w:id="822" w:name="_Toc24556342"/>
      <w:bookmarkStart w:id="823" w:name="_Toc24712787"/>
      <w:bookmarkStart w:id="824" w:name="_Toc24717031"/>
      <w:bookmarkStart w:id="825" w:name="_Toc24721570"/>
      <w:bookmarkStart w:id="826" w:name="_Toc24722284"/>
      <w:bookmarkStart w:id="827" w:name="_Toc24728699"/>
      <w:bookmarkStart w:id="828" w:name="_Toc24731225"/>
      <w:r>
        <w:t>Assessing whether the system is cohesive</w:t>
      </w:r>
      <w:bookmarkEnd w:id="802"/>
      <w:bookmarkEnd w:id="803"/>
      <w:bookmarkEnd w:id="804"/>
      <w:bookmarkEnd w:id="805"/>
      <w:bookmarkEnd w:id="806"/>
      <w:bookmarkEnd w:id="807"/>
      <w:bookmarkEnd w:id="808"/>
      <w:bookmarkEnd w:id="809"/>
      <w:bookmarkEnd w:id="810"/>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p>
    <w:p w14:paraId="597E20B6" w14:textId="77777777" w:rsidR="007F0465" w:rsidRPr="00DD5AAB" w:rsidRDefault="007F0465" w:rsidP="007F0465">
      <w:pPr>
        <w:pStyle w:val="Heading3"/>
      </w:pPr>
      <w:r w:rsidRPr="005419FA">
        <w:t>Incentives in the system</w:t>
      </w:r>
    </w:p>
    <w:p w14:paraId="56B9BD42" w14:textId="03734CE9" w:rsidR="007F0465" w:rsidRDefault="007F0465" w:rsidP="75C3D608">
      <w:pPr>
        <w:rPr>
          <w:bCs/>
          <w:iCs/>
        </w:rPr>
      </w:pPr>
      <w:r w:rsidRPr="00F90DEA">
        <w:t xml:space="preserve">Both the Age Pension and superannuation </w:t>
      </w:r>
      <w:r w:rsidR="4AE30DBB" w:rsidRPr="00B11342">
        <w:t>s</w:t>
      </w:r>
      <w:r w:rsidR="75C3D608">
        <w:t xml:space="preserve">ystem </w:t>
      </w:r>
      <w:r w:rsidRPr="00F90DEA">
        <w:t xml:space="preserve">have rules </w:t>
      </w:r>
      <w:r w:rsidR="00FE3891">
        <w:t xml:space="preserve">designed </w:t>
      </w:r>
      <w:r w:rsidRPr="00F90DEA">
        <w:t>to encourage retirees to draw on their savings to fund retirement where they have capacity to do so.</w:t>
      </w:r>
    </w:p>
    <w:p w14:paraId="2E9E7055" w14:textId="2B15B073" w:rsidR="007F0465" w:rsidRPr="00ED7CA1" w:rsidRDefault="007F0465" w:rsidP="004C59FA">
      <w:pPr>
        <w:pStyle w:val="Bullet"/>
      </w:pPr>
      <w:r>
        <w:t xml:space="preserve">The Age Pension assets test </w:t>
      </w:r>
      <w:r w:rsidR="00ED0A61">
        <w:t>encourage</w:t>
      </w:r>
      <w:r w:rsidR="00EE0914">
        <w:t>s</w:t>
      </w:r>
      <w:r w:rsidR="001344C5">
        <w:t xml:space="preserve"> individuals to draw</w:t>
      </w:r>
      <w:r>
        <w:t xml:space="preserve"> on </w:t>
      </w:r>
      <w:r w:rsidR="001344C5">
        <w:t xml:space="preserve">their </w:t>
      </w:r>
      <w:r w:rsidR="00EE0914">
        <w:t xml:space="preserve">own </w:t>
      </w:r>
      <w:r>
        <w:t xml:space="preserve">assets to fund </w:t>
      </w:r>
      <w:r w:rsidR="00935158">
        <w:t xml:space="preserve">their </w:t>
      </w:r>
      <w:r>
        <w:t xml:space="preserve">retirement </w:t>
      </w:r>
      <w:r w:rsidR="00EE0914">
        <w:t>before calling on taxpayer funds for support</w:t>
      </w:r>
      <w:r w:rsidR="00935158">
        <w:t>. T</w:t>
      </w:r>
      <w:r w:rsidR="00EE0914">
        <w:t>he rate of Age Pension paid to a</w:t>
      </w:r>
      <w:r w:rsidR="00B65F71">
        <w:t>n individual</w:t>
      </w:r>
      <w:r w:rsidR="00EE0914">
        <w:t xml:space="preserve"> </w:t>
      </w:r>
      <w:r w:rsidR="00935158">
        <w:t xml:space="preserve">decreases </w:t>
      </w:r>
      <w:r w:rsidR="00EE0914">
        <w:t xml:space="preserve">as their capacity for self-support increases. </w:t>
      </w:r>
    </w:p>
    <w:p w14:paraId="0F48412D" w14:textId="36484296" w:rsidR="007F0465" w:rsidRDefault="007F0465" w:rsidP="004C59FA">
      <w:pPr>
        <w:pStyle w:val="Bullet"/>
      </w:pPr>
      <w:r>
        <w:lastRenderedPageBreak/>
        <w:t>Minimum drawdown rules for superannuation mandate the withdrawal of a certain percentage of assets from superannuation each</w:t>
      </w:r>
      <w:r w:rsidR="006272AE">
        <w:t xml:space="preserve"> year</w:t>
      </w:r>
      <w:r>
        <w:t>. These rates increase as a retiree ages and are designed to ensure that superannuation is used for its intended purpose of providing income in retirement.</w:t>
      </w:r>
    </w:p>
    <w:p w14:paraId="46E310B8" w14:textId="157E0447" w:rsidR="00AD487B" w:rsidRDefault="00AD487B" w:rsidP="004C59FA">
      <w:pPr>
        <w:pStyle w:val="Bullet"/>
      </w:pPr>
      <w:r>
        <w:t>In addition, the Age Pension income test, including the Work Bonus, incentivises older Australians to continue in part-time paid employment where they have capacity to do so.</w:t>
      </w:r>
    </w:p>
    <w:p w14:paraId="61F91C15" w14:textId="024F420F" w:rsidR="007F0465" w:rsidRDefault="007F0465" w:rsidP="007F0465">
      <w:pPr>
        <w:rPr>
          <w:bCs/>
          <w:iCs/>
        </w:rPr>
      </w:pPr>
      <w:r>
        <w:rPr>
          <w:bCs/>
          <w:iCs/>
        </w:rPr>
        <w:t xml:space="preserve">However, it can be complex for retirees to determine </w:t>
      </w:r>
      <w:r w:rsidR="00E01B62">
        <w:rPr>
          <w:bCs/>
          <w:iCs/>
        </w:rPr>
        <w:t>the extent</w:t>
      </w:r>
      <w:r>
        <w:rPr>
          <w:bCs/>
          <w:iCs/>
        </w:rPr>
        <w:t xml:space="preserve"> they should draw on their savings to provide income each year in retirement</w:t>
      </w:r>
      <w:r w:rsidR="00C07DAE">
        <w:rPr>
          <w:bCs/>
          <w:iCs/>
        </w:rPr>
        <w:t>.</w:t>
      </w:r>
      <w:r>
        <w:rPr>
          <w:bCs/>
          <w:iCs/>
        </w:rPr>
        <w:t xml:space="preserve"> </w:t>
      </w:r>
      <w:r w:rsidR="00C07DAE">
        <w:rPr>
          <w:bCs/>
          <w:iCs/>
        </w:rPr>
        <w:t>Un</w:t>
      </w:r>
      <w:r>
        <w:rPr>
          <w:bCs/>
          <w:iCs/>
        </w:rPr>
        <w:t xml:space="preserve">certainty regarding future expenditure needs can </w:t>
      </w:r>
      <w:r w:rsidR="00C07DAE">
        <w:rPr>
          <w:bCs/>
          <w:iCs/>
        </w:rPr>
        <w:t>also</w:t>
      </w:r>
      <w:r>
        <w:rPr>
          <w:bCs/>
          <w:iCs/>
        </w:rPr>
        <w:t xml:space="preserve"> affect the income retirees draw from their savings. </w:t>
      </w:r>
    </w:p>
    <w:p w14:paraId="2CB74F6F" w14:textId="7384F7DC" w:rsidR="007F0465" w:rsidRDefault="007F0465" w:rsidP="007F0465">
      <w:r>
        <w:t>Research</w:t>
      </w:r>
      <w:r w:rsidR="00DA311E">
        <w:t xml:space="preserve"> </w:t>
      </w:r>
      <w:r>
        <w:t xml:space="preserve">shows that many retirees ‘default’ their income from superannuation </w:t>
      </w:r>
      <w:r w:rsidR="00AC7C8E">
        <w:t xml:space="preserve">at or near </w:t>
      </w:r>
      <w:r>
        <w:t>the minimum drawdown rate</w:t>
      </w:r>
      <w:r w:rsidR="00EE0914">
        <w:t xml:space="preserve"> (Balnozan 2018; </w:t>
      </w:r>
      <w:r w:rsidR="00B910BF">
        <w:t xml:space="preserve">Reeson </w:t>
      </w:r>
      <w:r w:rsidR="00EE0914">
        <w:t>et al. 2016)</w:t>
      </w:r>
      <w:r>
        <w:t xml:space="preserve">. </w:t>
      </w:r>
      <w:r w:rsidR="009076C5">
        <w:t>When combined</w:t>
      </w:r>
      <w:r>
        <w:t xml:space="preserve"> with Age Pension</w:t>
      </w:r>
      <w:r w:rsidR="009076C5">
        <w:t xml:space="preserve"> payments</w:t>
      </w:r>
      <w:r>
        <w:t xml:space="preserve">, this </w:t>
      </w:r>
      <w:r w:rsidR="009076C5">
        <w:t>can lead</w:t>
      </w:r>
      <w:r>
        <w:t xml:space="preserve"> to income that grows in real terms </w:t>
      </w:r>
      <w:r w:rsidR="00AC7C8E">
        <w:t>during</w:t>
      </w:r>
      <w:r>
        <w:t xml:space="preserve"> retirement. However, studies</w:t>
      </w:r>
      <w:r w:rsidR="001F2863">
        <w:t xml:space="preserve"> (Gebler 2018</w:t>
      </w:r>
      <w:r w:rsidR="006F420F">
        <w:t>, p. 22</w:t>
      </w:r>
      <w:r w:rsidR="001F2863">
        <w:t xml:space="preserve">; </w:t>
      </w:r>
      <w:r w:rsidR="00D3274E">
        <w:t>CEPAR</w:t>
      </w:r>
      <w:r w:rsidR="001F2863">
        <w:t xml:space="preserve"> 2018</w:t>
      </w:r>
      <w:r w:rsidR="009F7C57">
        <w:t>a</w:t>
      </w:r>
      <w:r w:rsidR="002847E2">
        <w:t>;</w:t>
      </w:r>
      <w:r w:rsidR="00F172C9">
        <w:t xml:space="preserve"> </w:t>
      </w:r>
      <w:r w:rsidR="00AC7C8E">
        <w:t>AIST</w:t>
      </w:r>
      <w:r w:rsidR="00F172C9">
        <w:t xml:space="preserve"> 2016</w:t>
      </w:r>
      <w:r w:rsidR="00F702C2">
        <w:t>, p.</w:t>
      </w:r>
      <w:r w:rsidR="00DE452D">
        <w:t xml:space="preserve"> </w:t>
      </w:r>
      <w:r w:rsidR="00F702C2">
        <w:t>22</w:t>
      </w:r>
      <w:r w:rsidR="001F2863">
        <w:t>)</w:t>
      </w:r>
      <w:r>
        <w:t xml:space="preserve"> </w:t>
      </w:r>
      <w:r w:rsidR="009076C5">
        <w:t>suggest</w:t>
      </w:r>
      <w:r>
        <w:t xml:space="preserve"> that retirees’ expenditure remains constant or decreases as they age.</w:t>
      </w:r>
      <w:r w:rsidR="006272AE" w:rsidRPr="006272AE">
        <w:rPr>
          <w:rStyle w:val="FootnoteReference"/>
        </w:rPr>
        <w:t xml:space="preserve"> </w:t>
      </w:r>
      <w:r w:rsidR="00EE0914">
        <w:t>This may</w:t>
      </w:r>
      <w:r>
        <w:t xml:space="preserve"> </w:t>
      </w:r>
      <w:r w:rsidR="00EE0914">
        <w:t>result in</w:t>
      </w:r>
      <w:r>
        <w:t xml:space="preserve"> </w:t>
      </w:r>
      <w:r w:rsidR="003370F4">
        <w:t xml:space="preserve">retirees having </w:t>
      </w:r>
      <w:r>
        <w:t xml:space="preserve">higher </w:t>
      </w:r>
      <w:r w:rsidR="003370F4">
        <w:t xml:space="preserve">overall retirement </w:t>
      </w:r>
      <w:r>
        <w:t xml:space="preserve">income at a time when </w:t>
      </w:r>
      <w:r w:rsidR="003370F4">
        <w:t>they</w:t>
      </w:r>
      <w:r>
        <w:t xml:space="preserve"> are less likely to have significant expenses</w:t>
      </w:r>
      <w:r w:rsidR="006272AE">
        <w:t>,</w:t>
      </w:r>
      <w:r>
        <w:t xml:space="preserve"> and lower income when retirees are more active and </w:t>
      </w:r>
      <w:r w:rsidR="009076C5">
        <w:t xml:space="preserve">may wish to </w:t>
      </w:r>
      <w:r>
        <w:t>have higher expenditure.</w:t>
      </w:r>
    </w:p>
    <w:p w14:paraId="0F6F2E31" w14:textId="77777777" w:rsidR="007F0465" w:rsidRDefault="007F0465" w:rsidP="007F0465">
      <w:pPr>
        <w:pStyle w:val="Heading3"/>
      </w:pPr>
      <w:r w:rsidRPr="00F86227">
        <w:t>Interactions between the pillars</w:t>
      </w:r>
    </w:p>
    <w:p w14:paraId="374BD19D" w14:textId="2E06B450" w:rsidR="007F0465" w:rsidRDefault="007F0465" w:rsidP="007F0465">
      <w:r>
        <w:t xml:space="preserve">There are a number of areas where the interactions between superannuation, the Age Pension and </w:t>
      </w:r>
      <w:r w:rsidR="001143BE">
        <w:t xml:space="preserve">voluntary </w:t>
      </w:r>
      <w:r>
        <w:t>savings may drive behaviour. These include:</w:t>
      </w:r>
    </w:p>
    <w:p w14:paraId="72B53645" w14:textId="10216CC0" w:rsidR="007F0465" w:rsidRDefault="007F0465" w:rsidP="00154876">
      <w:pPr>
        <w:pStyle w:val="Bullet"/>
      </w:pPr>
      <w:r>
        <w:t>The difference in the age at which superannuation and the Age Pension can be accessed</w:t>
      </w:r>
      <w:r w:rsidR="009076C5">
        <w:t xml:space="preserve">. This </w:t>
      </w:r>
      <w:r>
        <w:t xml:space="preserve">may affect decision making around when to </w:t>
      </w:r>
      <w:r w:rsidR="005A45E9">
        <w:t>retir</w:t>
      </w:r>
      <w:r>
        <w:t xml:space="preserve">e, and how heavily </w:t>
      </w:r>
      <w:r w:rsidR="00AC7C8E">
        <w:t>new</w:t>
      </w:r>
      <w:r>
        <w:t xml:space="preserve"> retirees draw on superannuation to fund retirement ahead of meeting the age requirements for the Age Pension.</w:t>
      </w:r>
    </w:p>
    <w:p w14:paraId="2CEFE4C9" w14:textId="01C5F24E" w:rsidR="007F0465" w:rsidRPr="0023023F" w:rsidRDefault="007F0465" w:rsidP="00154876">
      <w:pPr>
        <w:pStyle w:val="Bullet"/>
      </w:pPr>
      <w:r>
        <w:t>The way assets are treated under the Age Pensio</w:t>
      </w:r>
      <w:r w:rsidR="00C6542A">
        <w:t>n means test. Some stakeholders</w:t>
      </w:r>
      <w:r w:rsidR="00452EFD">
        <w:t xml:space="preserve"> </w:t>
      </w:r>
      <w:r>
        <w:t>suggest that the current assets test taper rate creates high effective marginal tax rates on savings</w:t>
      </w:r>
      <w:r w:rsidR="00896784">
        <w:t xml:space="preserve"> (Asher and De Ravin 2018)</w:t>
      </w:r>
      <w:r>
        <w:t>.</w:t>
      </w:r>
      <w:r w:rsidRPr="004D1D0A">
        <w:rPr>
          <w:rStyle w:val="FootnoteReference"/>
          <w:vertAlign w:val="superscript"/>
        </w:rPr>
        <w:footnoteReference w:id="13"/>
      </w:r>
      <w:r>
        <w:t xml:space="preserve"> </w:t>
      </w:r>
      <w:r w:rsidR="005E5D0D">
        <w:t xml:space="preserve">It has been claimed that this </w:t>
      </w:r>
      <w:r>
        <w:t>may discourage working</w:t>
      </w:r>
      <w:r w:rsidR="00483940">
        <w:t xml:space="preserve"> </w:t>
      </w:r>
      <w:r>
        <w:t xml:space="preserve">age Australians from making superannuation contributions and </w:t>
      </w:r>
      <w:r w:rsidRPr="00154876">
        <w:t>encourage</w:t>
      </w:r>
      <w:r>
        <w:t xml:space="preserve"> retirees to </w:t>
      </w:r>
      <w:r w:rsidR="004C386A">
        <w:t>dissipate</w:t>
      </w:r>
      <w:r>
        <w:t xml:space="preserve"> their assets in </w:t>
      </w:r>
      <w:r w:rsidR="005E5D0D">
        <w:t>retirement</w:t>
      </w:r>
      <w:r>
        <w:t>.</w:t>
      </w:r>
    </w:p>
    <w:p w14:paraId="0A28C645" w14:textId="2D94C294" w:rsidR="007F0465" w:rsidRDefault="007F0465" w:rsidP="00154876">
      <w:pPr>
        <w:pStyle w:val="Bullet"/>
        <w:rPr>
          <w:bCs/>
          <w:iCs/>
        </w:rPr>
      </w:pPr>
      <w:r>
        <w:t xml:space="preserve">The way the family home is treated under the Age Pension means test. There has been debate about whether the exclusion of the value of an owned </w:t>
      </w:r>
      <w:r w:rsidRPr="00154876">
        <w:t>primary</w:t>
      </w:r>
      <w:r>
        <w:t xml:space="preserve"> residence from the Age Pension means test may result in Australians overinvesting in their family home</w:t>
      </w:r>
      <w:r w:rsidR="00F73D36">
        <w:t xml:space="preserve"> (</w:t>
      </w:r>
      <w:r w:rsidR="00A22DF5">
        <w:t>Senate Standing Committee on Economics</w:t>
      </w:r>
      <w:r w:rsidR="00272F8A">
        <w:t xml:space="preserve"> 2015, p. 198</w:t>
      </w:r>
      <w:r w:rsidR="00F73D36">
        <w:t>)</w:t>
      </w:r>
      <w:r>
        <w:t>.</w:t>
      </w:r>
      <w:r w:rsidRPr="004D1D0A">
        <w:rPr>
          <w:rStyle w:val="FootnoteReference"/>
          <w:vertAlign w:val="superscript"/>
        </w:rPr>
        <w:footnoteReference w:id="14"/>
      </w:r>
    </w:p>
    <w:p w14:paraId="594AF0F9" w14:textId="27E0BBBC" w:rsidR="007F0465" w:rsidRPr="00F86227" w:rsidRDefault="007F0465" w:rsidP="007F0465">
      <w:pPr>
        <w:pStyle w:val="Heading3"/>
      </w:pPr>
      <w:r w:rsidRPr="00F86227">
        <w:t>Interactions with other systems</w:t>
      </w:r>
    </w:p>
    <w:p w14:paraId="1C94EB89" w14:textId="527E61CC" w:rsidR="009076C5" w:rsidRDefault="00A14EEE" w:rsidP="00154876">
      <w:r>
        <w:t xml:space="preserve">The retirement income system interacts with other systems in ways that can be difficult </w:t>
      </w:r>
      <w:r w:rsidR="00AC7C8E">
        <w:t xml:space="preserve">for individuals </w:t>
      </w:r>
      <w:r>
        <w:t xml:space="preserve">to navigate or drive unintended behaviour. </w:t>
      </w:r>
    </w:p>
    <w:p w14:paraId="6C34AD95" w14:textId="27415A4C" w:rsidR="009D13B5" w:rsidRDefault="005C5D6F" w:rsidP="00154876">
      <w:r>
        <w:t xml:space="preserve">The potential need to contribute to aged care costs is a major point of interaction for the retirement income system. </w:t>
      </w:r>
      <w:r w:rsidR="009D13B5">
        <w:t>U</w:t>
      </w:r>
      <w:r w:rsidR="007F0465">
        <w:t xml:space="preserve">ncertainty about the possible need </w:t>
      </w:r>
      <w:r w:rsidR="009E5821">
        <w:t>for</w:t>
      </w:r>
      <w:r w:rsidR="007F0465">
        <w:t xml:space="preserve"> a lump sum to </w:t>
      </w:r>
      <w:r w:rsidR="009D13B5">
        <w:t>access</w:t>
      </w:r>
      <w:r w:rsidR="007F0465">
        <w:t xml:space="preserve"> residential aged care can lead to retirees not drawing on savings at the rate that they might otherwise do so.</w:t>
      </w:r>
      <w:r>
        <w:t xml:space="preserve"> </w:t>
      </w:r>
      <w:r w:rsidR="00FE3891">
        <w:t>In addition, t</w:t>
      </w:r>
      <w:r w:rsidR="009D13B5">
        <w:t xml:space="preserve">he means test for the Age </w:t>
      </w:r>
      <w:r w:rsidR="007B43D8">
        <w:t>P</w:t>
      </w:r>
      <w:r w:rsidR="009D13B5">
        <w:t xml:space="preserve">ension is structured differently to the means test for aged care and the interaction </w:t>
      </w:r>
      <w:r w:rsidR="004B6E7D">
        <w:t xml:space="preserve">can be </w:t>
      </w:r>
      <w:r w:rsidR="009D13B5">
        <w:t>complex</w:t>
      </w:r>
      <w:r w:rsidR="00A14EEE">
        <w:t xml:space="preserve"> to understand</w:t>
      </w:r>
      <w:r w:rsidR="009D13B5">
        <w:t>.</w:t>
      </w:r>
    </w:p>
    <w:p w14:paraId="701D8A0D" w14:textId="3E0873B1" w:rsidR="007F0465" w:rsidRDefault="007F0465" w:rsidP="003E63C9">
      <w:r>
        <w:lastRenderedPageBreak/>
        <w:t>Interactions between the retirement income system and the tax system can affect the saving</w:t>
      </w:r>
      <w:r w:rsidR="00AC7C8E">
        <w:t>s</w:t>
      </w:r>
      <w:r>
        <w:t xml:space="preserve"> vehicle Australians use to store assets and the level of tax paid in retirement</w:t>
      </w:r>
      <w:r w:rsidR="009E5821">
        <w:t>.</w:t>
      </w:r>
      <w:r w:rsidDel="00FC61BC">
        <w:t xml:space="preserve"> </w:t>
      </w:r>
      <w:r w:rsidR="005C5D6F">
        <w:t>These interactions can make it difficult for</w:t>
      </w:r>
      <w:r w:rsidR="00AC7C8E">
        <w:t xml:space="preserve"> individuals</w:t>
      </w:r>
      <w:r w:rsidR="005C5D6F">
        <w:t xml:space="preserve"> to optimally plan for retirement.</w:t>
      </w:r>
      <w:r w:rsidDel="00FC61BC">
        <w:t xml:space="preserve"> </w:t>
      </w:r>
      <w:r w:rsidR="009E5821">
        <w:t>T</w:t>
      </w:r>
      <w:r>
        <w:t>his may</w:t>
      </w:r>
      <w:r w:rsidR="005C5D6F">
        <w:t xml:space="preserve"> also</w:t>
      </w:r>
      <w:r>
        <w:t xml:space="preserve"> lead to unequal tax treatment for the same level of income. </w:t>
      </w:r>
    </w:p>
    <w:p w14:paraId="384609D6" w14:textId="77777777" w:rsidR="007F0465" w:rsidRDefault="007F0465" w:rsidP="007F0465">
      <w:pPr>
        <w:pStyle w:val="Heading3"/>
      </w:pPr>
      <w:r w:rsidRPr="00F86227">
        <w:t>How individuals engage with the system</w:t>
      </w:r>
    </w:p>
    <w:p w14:paraId="733F59E0" w14:textId="14BFA3EB" w:rsidR="006B296C" w:rsidRDefault="007F0465" w:rsidP="2DFF165E">
      <w:r>
        <w:t xml:space="preserve">Research shows that </w:t>
      </w:r>
      <w:r w:rsidR="00A14EEE">
        <w:t>m</w:t>
      </w:r>
      <w:r w:rsidR="000F51D5">
        <w:t xml:space="preserve">ost Australians </w:t>
      </w:r>
      <w:r w:rsidR="00A14EEE">
        <w:t>do not actively engage</w:t>
      </w:r>
      <w:r w:rsidR="0062481A">
        <w:t xml:space="preserve"> with </w:t>
      </w:r>
      <w:r w:rsidR="00A14EEE">
        <w:t xml:space="preserve">their </w:t>
      </w:r>
      <w:r w:rsidR="0062481A">
        <w:t xml:space="preserve">superannuation </w:t>
      </w:r>
      <w:r w:rsidR="00A14EEE">
        <w:t xml:space="preserve">or in </w:t>
      </w:r>
      <w:r w:rsidR="0062481A">
        <w:t>long term retirement</w:t>
      </w:r>
      <w:r w:rsidR="005C5D6F">
        <w:t xml:space="preserve"> </w:t>
      </w:r>
      <w:r w:rsidR="0062481A">
        <w:t>planning</w:t>
      </w:r>
      <w:r w:rsidR="004B6E7D">
        <w:t xml:space="preserve"> (Productivity Commission 2018, p. 248)</w:t>
      </w:r>
      <w:r>
        <w:t>.</w:t>
      </w:r>
      <w:r w:rsidR="000F51D5">
        <w:t xml:space="preserve"> O</w:t>
      </w:r>
      <w:r>
        <w:t xml:space="preserve">nce Australians reach retirement, the complexity </w:t>
      </w:r>
      <w:r w:rsidR="0034666B">
        <w:t>of</w:t>
      </w:r>
      <w:r>
        <w:t xml:space="preserve"> how </w:t>
      </w:r>
      <w:r w:rsidR="000F51D5">
        <w:t>the pillars interact – including how</w:t>
      </w:r>
      <w:r>
        <w:t xml:space="preserve"> different assets</w:t>
      </w:r>
      <w:r w:rsidR="0034666B">
        <w:t>, income,</w:t>
      </w:r>
      <w:r>
        <w:t xml:space="preserve"> and personal circumstances are treated by the system </w:t>
      </w:r>
      <w:r w:rsidR="000F51D5">
        <w:t>–</w:t>
      </w:r>
      <w:r>
        <w:t xml:space="preserve"> </w:t>
      </w:r>
      <w:r w:rsidR="0034666B">
        <w:t xml:space="preserve">can </w:t>
      </w:r>
      <w:r>
        <w:t>make it difficult</w:t>
      </w:r>
      <w:r w:rsidR="0034666B">
        <w:t xml:space="preserve"> for individuals</w:t>
      </w:r>
      <w:r>
        <w:t xml:space="preserve"> to determine how to efficiently maximise</w:t>
      </w:r>
      <w:r w:rsidR="0034666B">
        <w:t xml:space="preserve"> their</w:t>
      </w:r>
      <w:r>
        <w:t xml:space="preserve"> retirement income. Interactions between the superannuation, social security, aged care</w:t>
      </w:r>
      <w:r w:rsidR="009E5821">
        <w:t>,</w:t>
      </w:r>
      <w:r>
        <w:t xml:space="preserve"> and health systems add to the complexity and the </w:t>
      </w:r>
      <w:r w:rsidR="0045314B">
        <w:t>difficulties</w:t>
      </w:r>
      <w:r>
        <w:t xml:space="preserve"> </w:t>
      </w:r>
      <w:r w:rsidR="0034666B">
        <w:t xml:space="preserve">individuals </w:t>
      </w:r>
      <w:r>
        <w:t xml:space="preserve">face in determining how to best use their savings in retirement. </w:t>
      </w:r>
      <w:r w:rsidR="006B296C">
        <w:t xml:space="preserve">Financial literacy may also </w:t>
      </w:r>
      <w:r w:rsidR="0034666B">
        <w:t>affect</w:t>
      </w:r>
      <w:r w:rsidR="006B296C">
        <w:t xml:space="preserve"> how effectively Australians can navigate the system and engage in long term retirement planning.</w:t>
      </w:r>
    </w:p>
    <w:p w14:paraId="2A4B18C2" w14:textId="417D9667" w:rsidR="008149B3" w:rsidRDefault="007F0465" w:rsidP="007F0465">
      <w:r>
        <w:t>Financial advice may assist retirees in navigating the retirement income system</w:t>
      </w:r>
      <w:r w:rsidR="002D0594">
        <w:t xml:space="preserve">. </w:t>
      </w:r>
      <w:r w:rsidR="00900ED1">
        <w:t>A</w:t>
      </w:r>
      <w:r w:rsidR="002D0594">
        <w:t xml:space="preserve"> range of financial advice</w:t>
      </w:r>
      <w:r w:rsidR="00900ED1">
        <w:t xml:space="preserve"> </w:t>
      </w:r>
      <w:r w:rsidR="00A86C31">
        <w:t>options are</w:t>
      </w:r>
      <w:r w:rsidR="00900ED1">
        <w:t xml:space="preserve"> available</w:t>
      </w:r>
      <w:r w:rsidR="00A86C31">
        <w:t xml:space="preserve"> to help </w:t>
      </w:r>
      <w:r w:rsidR="00EE40F7">
        <w:t>individuals</w:t>
      </w:r>
      <w:r w:rsidR="00A86C31">
        <w:t xml:space="preserve"> understand their entitlements and their po</w:t>
      </w:r>
      <w:r w:rsidR="0034666B">
        <w:t>tential</w:t>
      </w:r>
      <w:r w:rsidR="00A86C31">
        <w:t xml:space="preserve"> retirement income. These range</w:t>
      </w:r>
      <w:r w:rsidR="002D0594">
        <w:t xml:space="preserve"> </w:t>
      </w:r>
      <w:r w:rsidR="00900ED1">
        <w:t>from</w:t>
      </w:r>
      <w:r w:rsidR="00210E12">
        <w:t xml:space="preserve"> </w:t>
      </w:r>
      <w:r w:rsidR="0034666B">
        <w:t>comprehensive</w:t>
      </w:r>
      <w:r w:rsidR="00210E12">
        <w:t xml:space="preserve"> personal advice</w:t>
      </w:r>
      <w:r w:rsidR="00900ED1">
        <w:t xml:space="preserve"> from a financial adviser</w:t>
      </w:r>
      <w:r w:rsidR="00A86C31">
        <w:t>,</w:t>
      </w:r>
      <w:r w:rsidR="00210E12">
        <w:t xml:space="preserve"> </w:t>
      </w:r>
      <w:r w:rsidR="00900ED1">
        <w:t xml:space="preserve">through to general information </w:t>
      </w:r>
      <w:r w:rsidR="007D329A">
        <w:t>through resources such as</w:t>
      </w:r>
      <w:r w:rsidR="00900ED1">
        <w:t xml:space="preserve"> the </w:t>
      </w:r>
      <w:r w:rsidR="00BB59D6">
        <w:t xml:space="preserve">Australian Securities </w:t>
      </w:r>
      <w:r w:rsidR="00DF791B">
        <w:t>and</w:t>
      </w:r>
      <w:r w:rsidR="00BB59D6">
        <w:t xml:space="preserve"> Investment</w:t>
      </w:r>
      <w:r w:rsidR="00DF791B">
        <w:t>s</w:t>
      </w:r>
      <w:r w:rsidR="00BB59D6">
        <w:t xml:space="preserve"> Commission</w:t>
      </w:r>
      <w:r w:rsidR="00CC3BC0">
        <w:t>’s</w:t>
      </w:r>
      <w:r w:rsidR="00BB59D6">
        <w:t xml:space="preserve"> (</w:t>
      </w:r>
      <w:r w:rsidR="00900ED1">
        <w:t>ASIC</w:t>
      </w:r>
      <w:r w:rsidR="00BB59D6">
        <w:t>)</w:t>
      </w:r>
      <w:r w:rsidR="00900ED1">
        <w:t xml:space="preserve"> MoneySmart website</w:t>
      </w:r>
      <w:r w:rsidR="00210E12">
        <w:t>.</w:t>
      </w:r>
      <w:r w:rsidR="00900ED1">
        <w:t xml:space="preserve"> </w:t>
      </w:r>
      <w:r w:rsidR="00900ED1" w:rsidRPr="003430BD">
        <w:t>Th</w:t>
      </w:r>
      <w:r w:rsidR="0034666B">
        <w:t>ese arrangements</w:t>
      </w:r>
      <w:r w:rsidR="00900ED1" w:rsidRPr="003430BD">
        <w:t xml:space="preserve"> </w:t>
      </w:r>
      <w:r w:rsidR="007D329A" w:rsidRPr="003430BD">
        <w:t>provide</w:t>
      </w:r>
      <w:r w:rsidR="00C829E3" w:rsidRPr="003430BD">
        <w:t xml:space="preserve"> everyone with</w:t>
      </w:r>
      <w:r w:rsidR="007D329A" w:rsidRPr="003430BD">
        <w:t xml:space="preserve"> </w:t>
      </w:r>
      <w:r w:rsidR="00C829E3" w:rsidRPr="003430BD">
        <w:t>access to a level of</w:t>
      </w:r>
      <w:r w:rsidR="007D329A" w:rsidRPr="003430BD">
        <w:t xml:space="preserve"> </w:t>
      </w:r>
      <w:r w:rsidR="00210E12" w:rsidRPr="003430BD">
        <w:t xml:space="preserve">financial </w:t>
      </w:r>
      <w:r w:rsidR="00C829E3" w:rsidRPr="003430BD">
        <w:t>information</w:t>
      </w:r>
      <w:r w:rsidR="007D329A" w:rsidRPr="003430BD">
        <w:t xml:space="preserve"> </w:t>
      </w:r>
      <w:r w:rsidR="00C829E3" w:rsidRPr="003430BD">
        <w:t xml:space="preserve">or </w:t>
      </w:r>
      <w:r w:rsidR="00210E12" w:rsidRPr="003430BD">
        <w:t>advice</w:t>
      </w:r>
      <w:r w:rsidR="00900ED1" w:rsidRPr="003430BD">
        <w:t>, regardless of their means or the complexity of their financial affairs</w:t>
      </w:r>
      <w:r w:rsidR="00210E12" w:rsidRPr="003430BD">
        <w:t>.</w:t>
      </w:r>
      <w:r w:rsidR="00775D23">
        <w:t xml:space="preserve"> Superannuation funds are also an important source of information and advice for many Australians</w:t>
      </w:r>
      <w:r w:rsidR="0034666B">
        <w:t>, particularly</w:t>
      </w:r>
      <w:r w:rsidR="00775D23">
        <w:t xml:space="preserve"> as they approach retirement.</w:t>
      </w:r>
      <w:r w:rsidR="007C1033">
        <w:t xml:space="preserve"> </w:t>
      </w:r>
      <w:r w:rsidR="009B0B19">
        <w:t>It</w:t>
      </w:r>
      <w:r w:rsidR="007C1033">
        <w:t xml:space="preserve"> is</w:t>
      </w:r>
      <w:r w:rsidR="009B0B19">
        <w:t xml:space="preserve"> however</w:t>
      </w:r>
      <w:r w:rsidR="007C1033">
        <w:t xml:space="preserve"> not clear the system is sufficiently simple to navigate</w:t>
      </w:r>
      <w:r w:rsidR="00C829E3">
        <w:t xml:space="preserve"> without resorting to some form of financial advice</w:t>
      </w:r>
      <w:r w:rsidR="007C1033">
        <w:t xml:space="preserve">, or </w:t>
      </w:r>
      <w:r w:rsidR="00FE3891">
        <w:t xml:space="preserve">that </w:t>
      </w:r>
      <w:r w:rsidR="007C1033">
        <w:t xml:space="preserve">there is sufficient support provided to ensure individuals feel confident making financial decisions </w:t>
      </w:r>
      <w:r w:rsidR="0034666B">
        <w:t>about</w:t>
      </w:r>
      <w:r w:rsidR="007C1033">
        <w:t xml:space="preserve"> their retirement</w:t>
      </w:r>
      <w:r w:rsidR="002D0594">
        <w:t>.</w:t>
      </w:r>
      <w:r>
        <w:t xml:space="preserve"> </w:t>
      </w:r>
    </w:p>
    <w:p w14:paraId="6488A468" w14:textId="3DAB0F84" w:rsidR="00B443B0" w:rsidRDefault="00330C17" w:rsidP="007F0465">
      <w:r>
        <w:t xml:space="preserve">Given the complexity of the retirement income system, it is important </w:t>
      </w:r>
      <w:r w:rsidR="00EE40F7">
        <w:t>individuals</w:t>
      </w:r>
      <w:r w:rsidR="00B443B0">
        <w:t xml:space="preserve"> are able to achieve good outcomes even where they </w:t>
      </w:r>
      <w:r w:rsidR="00F83041">
        <w:t>have</w:t>
      </w:r>
      <w:r w:rsidR="00B443B0">
        <w:t xml:space="preserve"> not engaged in </w:t>
      </w:r>
      <w:r w:rsidR="00F83041">
        <w:t>retirement planning</w:t>
      </w:r>
      <w:r>
        <w:t>. Default settings have the potential to improve outcomes by</w:t>
      </w:r>
      <w:r w:rsidR="00B443B0">
        <w:t xml:space="preserve"> </w:t>
      </w:r>
      <w:r w:rsidR="000E4D34">
        <w:t>guid</w:t>
      </w:r>
      <w:r w:rsidR="00B443B0">
        <w:t>ing</w:t>
      </w:r>
      <w:r w:rsidR="000E4D34">
        <w:t xml:space="preserve"> individuals’ behaviour in saving for, and consuming</w:t>
      </w:r>
      <w:r w:rsidR="0034666B">
        <w:t>,</w:t>
      </w:r>
      <w:r w:rsidR="000E4D34">
        <w:t xml:space="preserve"> their retirement incomes</w:t>
      </w:r>
      <w:r w:rsidR="00B443B0">
        <w:t>, whilst still providing support for individual choice and decision making.</w:t>
      </w:r>
      <w:r w:rsidR="00F83041">
        <w:t xml:space="preserve"> </w:t>
      </w:r>
    </w:p>
    <w:p w14:paraId="53A774DD" w14:textId="756E358C" w:rsidR="003A73A2" w:rsidRDefault="007F0465" w:rsidP="007F0465">
      <w:r>
        <w:t xml:space="preserve">The degree to which </w:t>
      </w:r>
      <w:r w:rsidR="0034666B">
        <w:t>individual</w:t>
      </w:r>
      <w:r>
        <w:t>s can understand how the system affects them</w:t>
      </w:r>
      <w:r w:rsidR="00416C11">
        <w:t>,</w:t>
      </w:r>
      <w:r>
        <w:t xml:space="preserve"> the impact of their decisions on their income</w:t>
      </w:r>
      <w:r w:rsidR="00416C11">
        <w:t xml:space="preserve"> during their working life and in retirement,</w:t>
      </w:r>
      <w:r>
        <w:t xml:space="preserve"> and whether the</w:t>
      </w:r>
      <w:r w:rsidR="001425C1">
        <w:t xml:space="preserve"> system supports them to</w:t>
      </w:r>
      <w:r>
        <w:t xml:space="preserve"> engage </w:t>
      </w:r>
      <w:r w:rsidR="007C1033">
        <w:t xml:space="preserve">without difficulty </w:t>
      </w:r>
      <w:r>
        <w:t xml:space="preserve">will </w:t>
      </w:r>
      <w:r w:rsidR="007C1033">
        <w:t>affect</w:t>
      </w:r>
      <w:r>
        <w:t xml:space="preserve"> its overall adequacy and sustainability.</w:t>
      </w:r>
    </w:p>
    <w:tbl>
      <w:tblPr>
        <w:tblStyle w:val="TableGrid"/>
        <w:tblW w:w="5000" w:type="pct"/>
        <w:tblBorders>
          <w:bottom w:val="single" w:sz="12" w:space="0" w:color="604878" w:themeColor="accent3"/>
        </w:tblBorders>
        <w:shd w:val="clear" w:color="auto" w:fill="EBEBEB"/>
        <w:tblLook w:val="04A0" w:firstRow="1" w:lastRow="0" w:firstColumn="1" w:lastColumn="0" w:noHBand="0" w:noVBand="1"/>
      </w:tblPr>
      <w:tblGrid>
        <w:gridCol w:w="9070"/>
      </w:tblGrid>
      <w:tr w:rsidR="00144C13" w14:paraId="2DCAF4EF" w14:textId="77777777" w:rsidTr="0E74CB45">
        <w:tc>
          <w:tcPr>
            <w:tcW w:w="5000" w:type="pct"/>
            <w:shd w:val="clear" w:color="auto" w:fill="EBEBEB"/>
          </w:tcPr>
          <w:p w14:paraId="071F2651" w14:textId="390320D4" w:rsidR="00144C13" w:rsidRPr="003A73A2" w:rsidRDefault="00144C13" w:rsidP="00144C13">
            <w:pPr>
              <w:pStyle w:val="BoxHeading"/>
              <w:spacing w:before="141" w:after="70"/>
            </w:pPr>
            <w:r w:rsidRPr="003A73A2">
              <w:t xml:space="preserve">Consultation </w:t>
            </w:r>
            <w:r w:rsidR="00416C11">
              <w:t>q</w:t>
            </w:r>
            <w:r w:rsidRPr="003A73A2">
              <w:t>uestion</w:t>
            </w:r>
            <w:r w:rsidR="00416C11">
              <w:t>s</w:t>
            </w:r>
            <w:r w:rsidRPr="003A73A2">
              <w:t>:</w:t>
            </w:r>
          </w:p>
          <w:p w14:paraId="510D99D0" w14:textId="00DAB7A8" w:rsidR="00144C13" w:rsidRDefault="00A31C11" w:rsidP="00144C13">
            <w:pPr>
              <w:pStyle w:val="BoxText"/>
              <w:spacing w:before="70" w:after="70"/>
            </w:pPr>
            <w:bookmarkStart w:id="829" w:name="_Toc24550906"/>
            <w:bookmarkStart w:id="830" w:name="_Toc24728800"/>
            <w:r>
              <w:t>Does the retirement income system effectively incentivise saving decisions by individuals and households across their lifetimes?</w:t>
            </w:r>
            <w:bookmarkEnd w:id="829"/>
            <w:bookmarkEnd w:id="830"/>
          </w:p>
          <w:p w14:paraId="11D296BC" w14:textId="77777777" w:rsidR="00144C13" w:rsidRPr="00CE48C2" w:rsidRDefault="00144C13" w:rsidP="00144C13">
            <w:pPr>
              <w:pStyle w:val="BoxText"/>
              <w:spacing w:before="70" w:after="70"/>
            </w:pPr>
            <w:bookmarkStart w:id="831" w:name="_Toc24550907"/>
            <w:bookmarkStart w:id="832" w:name="_Toc24728801"/>
            <w:r>
              <w:t xml:space="preserve">What </w:t>
            </w:r>
            <w:r w:rsidRPr="00CE48C2">
              <w:t>evidence</w:t>
            </w:r>
            <w:r>
              <w:t xml:space="preserve"> is available to show how</w:t>
            </w:r>
            <w:r w:rsidRPr="00CE48C2">
              <w:t xml:space="preserve"> interactions between the </w:t>
            </w:r>
            <w:r>
              <w:t xml:space="preserve">pillars of the retirement income system </w:t>
            </w:r>
            <w:r w:rsidRPr="00CE48C2">
              <w:t>are influencing behaviour?</w:t>
            </w:r>
            <w:bookmarkEnd w:id="831"/>
            <w:bookmarkEnd w:id="832"/>
          </w:p>
          <w:p w14:paraId="56ED596D" w14:textId="585B794A" w:rsidR="00144C13" w:rsidRPr="00CE48C2" w:rsidRDefault="00144C13" w:rsidP="00144C13">
            <w:pPr>
              <w:pStyle w:val="BoxText"/>
              <w:spacing w:before="70" w:after="70"/>
            </w:pPr>
            <w:bookmarkStart w:id="833" w:name="_Toc24550908"/>
            <w:bookmarkStart w:id="834" w:name="_Toc24728802"/>
            <w:r>
              <w:t>What</w:t>
            </w:r>
            <w:r w:rsidRPr="00CE48C2">
              <w:t xml:space="preserve"> </w:t>
            </w:r>
            <w:r>
              <w:t xml:space="preserve">is the </w:t>
            </w:r>
            <w:r w:rsidRPr="00CE48C2">
              <w:t>evidence that the outcomes the retirement income system delivers and its interactions with other areas (such as aged care) are well</w:t>
            </w:r>
            <w:r w:rsidR="00416C11">
              <w:t xml:space="preserve"> </w:t>
            </w:r>
            <w:r w:rsidRPr="00CE48C2">
              <w:t>understood?</w:t>
            </w:r>
            <w:bookmarkEnd w:id="833"/>
            <w:bookmarkEnd w:id="834"/>
            <w:r w:rsidRPr="00CE48C2">
              <w:t xml:space="preserve"> </w:t>
            </w:r>
          </w:p>
          <w:p w14:paraId="69EF2F72" w14:textId="13DE6F16" w:rsidR="00144C13" w:rsidRDefault="00144C13" w:rsidP="00144C13">
            <w:pPr>
              <w:pStyle w:val="BoxText"/>
              <w:spacing w:before="70" w:after="70"/>
            </w:pPr>
            <w:bookmarkStart w:id="835" w:name="_Toc24550909"/>
            <w:bookmarkStart w:id="836" w:name="_Toc24728803"/>
            <w:r>
              <w:t xml:space="preserve">What </w:t>
            </w:r>
            <w:r w:rsidRPr="00CE48C2">
              <w:t xml:space="preserve">evidence </w:t>
            </w:r>
            <w:r>
              <w:t xml:space="preserve">is there </w:t>
            </w:r>
            <w:r w:rsidRPr="00CE48C2">
              <w:t xml:space="preserve">that Australians </w:t>
            </w:r>
            <w:r>
              <w:t>are able</w:t>
            </w:r>
            <w:r w:rsidRPr="00CE48C2">
              <w:t xml:space="preserve"> to achieve their desired retirement</w:t>
            </w:r>
            <w:r w:rsidR="00416C11">
              <w:t xml:space="preserve"> income</w:t>
            </w:r>
            <w:r w:rsidRPr="00CE48C2">
              <w:t xml:space="preserve"> outcomes </w:t>
            </w:r>
            <w:r>
              <w:t>without seeking formal financial advice</w:t>
            </w:r>
            <w:r w:rsidRPr="00CE48C2">
              <w:t>?</w:t>
            </w:r>
            <w:bookmarkEnd w:id="835"/>
            <w:bookmarkEnd w:id="836"/>
          </w:p>
          <w:p w14:paraId="75C8A766" w14:textId="1681C9FB" w:rsidR="006B296C" w:rsidRDefault="006B296C" w:rsidP="00144C13">
            <w:pPr>
              <w:pStyle w:val="BoxText"/>
              <w:spacing w:before="70" w:after="70"/>
            </w:pPr>
            <w:bookmarkStart w:id="837" w:name="_Toc24550910"/>
            <w:bookmarkStart w:id="838" w:name="_Toc24728804"/>
            <w:r>
              <w:t xml:space="preserve">Is there sufficient integration between the Age Pension and </w:t>
            </w:r>
            <w:r w:rsidR="008408B1">
              <w:t xml:space="preserve">the </w:t>
            </w:r>
            <w:r>
              <w:t>superannuation system?</w:t>
            </w:r>
            <w:bookmarkEnd w:id="837"/>
            <w:bookmarkEnd w:id="838"/>
          </w:p>
        </w:tc>
      </w:tr>
    </w:tbl>
    <w:p w14:paraId="5C2A95FD" w14:textId="77777777" w:rsidR="00A31C11" w:rsidRDefault="00A31C11">
      <w:pPr>
        <w:spacing w:before="0" w:after="160" w:line="259" w:lineRule="auto"/>
        <w:rPr>
          <w:rFonts w:cs="Arial"/>
          <w:color w:val="144E60" w:themeColor="accent1"/>
          <w:kern w:val="32"/>
          <w:sz w:val="48"/>
          <w:szCs w:val="36"/>
        </w:rPr>
      </w:pPr>
      <w:bookmarkStart w:id="839" w:name="_Toc23515105"/>
      <w:bookmarkStart w:id="840" w:name="_Toc23515519"/>
      <w:bookmarkStart w:id="841" w:name="_Toc23521066"/>
      <w:bookmarkStart w:id="842" w:name="_Toc24545143"/>
      <w:bookmarkStart w:id="843" w:name="_Toc24545369"/>
      <w:bookmarkStart w:id="844" w:name="_Toc24547630"/>
      <w:bookmarkStart w:id="845" w:name="_Toc24551410"/>
      <w:bookmarkStart w:id="846" w:name="_Toc24554746"/>
      <w:bookmarkStart w:id="847" w:name="_Toc24556343"/>
      <w:bookmarkStart w:id="848" w:name="_Toc24712788"/>
      <w:bookmarkStart w:id="849" w:name="_Toc24717032"/>
      <w:bookmarkStart w:id="850" w:name="_Toc24721571"/>
      <w:bookmarkStart w:id="851" w:name="_Toc24722285"/>
      <w:bookmarkStart w:id="852" w:name="_Toc24728700"/>
      <w:bookmarkStart w:id="853" w:name="_Toc24731226"/>
      <w:r>
        <w:br w:type="page"/>
      </w:r>
    </w:p>
    <w:p w14:paraId="5BC05D69" w14:textId="0FE4EB7B" w:rsidR="007F0465" w:rsidRDefault="002D722B" w:rsidP="007F0465">
      <w:pPr>
        <w:pStyle w:val="Heading1"/>
        <w:keepNext w:val="0"/>
      </w:pPr>
      <w:r>
        <w:lastRenderedPageBreak/>
        <w:t>Consultation questions</w:t>
      </w:r>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p>
    <w:p w14:paraId="5C19EC27" w14:textId="77777777" w:rsidR="00E140E3" w:rsidRPr="00E140E3" w:rsidRDefault="00E140E3" w:rsidP="00B36968">
      <w:pPr>
        <w:pStyle w:val="Heading2"/>
      </w:pPr>
      <w:bookmarkStart w:id="854" w:name="_Toc24728701"/>
      <w:bookmarkStart w:id="855" w:name="_Toc24731227"/>
      <w:r w:rsidRPr="00E140E3">
        <w:t>T</w:t>
      </w:r>
      <w:bookmarkEnd w:id="854"/>
      <w:r w:rsidRPr="00E140E3">
        <w:t>he retirement income system</w:t>
      </w:r>
      <w:bookmarkEnd w:id="855"/>
    </w:p>
    <w:p w14:paraId="6B7DEDF3" w14:textId="77777777" w:rsidR="00653F4D" w:rsidRDefault="00653F4D" w:rsidP="00653F4D">
      <w:pPr>
        <w:pStyle w:val="OutlineNumbered1"/>
      </w:pPr>
      <w:r w:rsidRPr="00653F4D">
        <w:t>Are there aspects of the design of retirement income systems in other countries that are relevant to Australia?</w:t>
      </w:r>
      <w:bookmarkStart w:id="856" w:name="_Toc24731228"/>
    </w:p>
    <w:p w14:paraId="3E86B826" w14:textId="0932589B" w:rsidR="00E140E3" w:rsidRPr="00E140E3" w:rsidRDefault="007A7D8C" w:rsidP="00B36968">
      <w:pPr>
        <w:pStyle w:val="Heading2"/>
      </w:pPr>
      <w:r>
        <w:t>Purpose of the system and role of the pillars</w:t>
      </w:r>
      <w:bookmarkEnd w:id="856"/>
    </w:p>
    <w:p w14:paraId="7EF48A2B" w14:textId="77777777" w:rsidR="00653F4D" w:rsidRDefault="00653F4D" w:rsidP="00653F4D">
      <w:pPr>
        <w:pStyle w:val="OutlineNumbered1"/>
      </w:pPr>
      <w:r>
        <w:t>Is the objective of the Australian retirement income system well understood within the community? What evidence is there to support this?</w:t>
      </w:r>
    </w:p>
    <w:p w14:paraId="21721D12" w14:textId="77777777" w:rsidR="00653F4D" w:rsidRDefault="00653F4D" w:rsidP="00653F4D">
      <w:pPr>
        <w:pStyle w:val="OutlineNumbered1"/>
      </w:pPr>
      <w:r>
        <w:t>In what areas of the retirement income system is there a need to improve understanding of its operation?</w:t>
      </w:r>
    </w:p>
    <w:p w14:paraId="33A23A4A" w14:textId="7FC1BBD7" w:rsidR="00653F4D" w:rsidRDefault="00653F4D" w:rsidP="00653F4D">
      <w:pPr>
        <w:pStyle w:val="OutlineNumbered1"/>
      </w:pPr>
      <w:r>
        <w:t>What are the respective roles of the Government, the private sector</w:t>
      </w:r>
      <w:r w:rsidR="008408B1">
        <w:t>,</w:t>
      </w:r>
      <w:r>
        <w:t xml:space="preserve"> and individuals in enabling older Australians to achieve adequate retirement incomes?</w:t>
      </w:r>
    </w:p>
    <w:p w14:paraId="71A2EFEA" w14:textId="77777777" w:rsidR="00653F4D" w:rsidRDefault="00653F4D" w:rsidP="00653F4D">
      <w:pPr>
        <w:pStyle w:val="OutlineNumbered1"/>
      </w:pPr>
      <w:r w:rsidRPr="004F3E81">
        <w:t xml:space="preserve">The </w:t>
      </w:r>
      <w:r>
        <w:t>P</w:t>
      </w:r>
      <w:r w:rsidRPr="004F3E81">
        <w:t>anel has been asked to identify the role of each of the pillars in the retirement income system. In considering this question, what</w:t>
      </w:r>
      <w:r>
        <w:t xml:space="preserve"> should each pillar seek to deliver and for whom?</w:t>
      </w:r>
    </w:p>
    <w:p w14:paraId="30ECA1F6" w14:textId="4ADB4358" w:rsidR="00E140E3" w:rsidRDefault="00653F4D" w:rsidP="00653F4D">
      <w:pPr>
        <w:pStyle w:val="OutlineNumbered1"/>
      </w:pPr>
      <w:r>
        <w:t>What</w:t>
      </w:r>
      <w:r w:rsidRPr="004F3E81">
        <w:t xml:space="preserve"> </w:t>
      </w:r>
      <w:r>
        <w:t>are the trade-offs between the pillars and how should</w:t>
      </w:r>
      <w:r w:rsidRPr="004F3E81">
        <w:t xml:space="preserve"> the appropriate balance between</w:t>
      </w:r>
      <w:r>
        <w:t xml:space="preserve"> the role of</w:t>
      </w:r>
      <w:r w:rsidRPr="004F3E81">
        <w:t xml:space="preserve"> each pillar </w:t>
      </w:r>
      <w:r>
        <w:t>in</w:t>
      </w:r>
      <w:r w:rsidRPr="004F3E81">
        <w:t xml:space="preserve"> the system</w:t>
      </w:r>
      <w:r>
        <w:t xml:space="preserve"> be determined</w:t>
      </w:r>
      <w:r w:rsidRPr="004F3E81">
        <w:t>?</w:t>
      </w:r>
    </w:p>
    <w:p w14:paraId="7AA90971" w14:textId="0D34A658" w:rsidR="007A7D8C" w:rsidRPr="00E140E3" w:rsidRDefault="007A7D8C" w:rsidP="00B36968">
      <w:pPr>
        <w:pStyle w:val="Heading2"/>
      </w:pPr>
      <w:bookmarkStart w:id="857" w:name="_Toc24731229"/>
      <w:r>
        <w:t>The changing Australian landscape</w:t>
      </w:r>
      <w:bookmarkEnd w:id="857"/>
    </w:p>
    <w:p w14:paraId="722C1061" w14:textId="22E6BEEE" w:rsidR="00E140E3" w:rsidRPr="00E140E3" w:rsidRDefault="00653F4D" w:rsidP="00653F4D">
      <w:pPr>
        <w:pStyle w:val="OutlineNumbered1"/>
      </w:pPr>
      <w:r w:rsidRPr="00653F4D">
        <w:t>Demographic, labour market, and home ownership trends affect the operation of the retirement income system now and into the future. What are the main impacts of these trends? To what extent is the system responsive to these trends? Are there additional trends which the Review should consider when assessing how the system is performing and will perform in the future?</w:t>
      </w:r>
    </w:p>
    <w:p w14:paraId="24FFF8E6" w14:textId="1B99B04F" w:rsidR="00E140E3" w:rsidRPr="00E140E3" w:rsidRDefault="00E140E3" w:rsidP="00B36968">
      <w:pPr>
        <w:pStyle w:val="Heading2"/>
      </w:pPr>
      <w:bookmarkStart w:id="858" w:name="_Toc24728702"/>
      <w:bookmarkStart w:id="859" w:name="_Toc24731230"/>
      <w:r w:rsidRPr="00E140E3">
        <w:t>Principles for assessing the system</w:t>
      </w:r>
      <w:bookmarkEnd w:id="858"/>
      <w:bookmarkEnd w:id="859"/>
    </w:p>
    <w:p w14:paraId="2DF3081A" w14:textId="77777777" w:rsidR="00653F4D" w:rsidRPr="00D42153" w:rsidRDefault="00653F4D" w:rsidP="00653F4D">
      <w:pPr>
        <w:pStyle w:val="OutlineNumbered1"/>
      </w:pPr>
      <w:r w:rsidRPr="00D42153">
        <w:t xml:space="preserve">Are the principles </w:t>
      </w:r>
      <w:r>
        <w:t>proposed</w:t>
      </w:r>
      <w:r w:rsidRPr="00D42153">
        <w:t xml:space="preserve"> by the Panel (adequacy, equity, sustainability</w:t>
      </w:r>
      <w:r>
        <w:t>,</w:t>
      </w:r>
      <w:r w:rsidRPr="00D42153">
        <w:t xml:space="preserve"> and cohesion) appropriate benchmarks for </w:t>
      </w:r>
      <w:r>
        <w:t>assessing</w:t>
      </w:r>
      <w:r w:rsidRPr="00D42153">
        <w:t xml:space="preserve"> the outcomes the retirement income system is delivering for Australians now and in the future? Are there other principles that should be included?</w:t>
      </w:r>
    </w:p>
    <w:p w14:paraId="25EBA0AA" w14:textId="5F8A9394" w:rsidR="00E140E3" w:rsidRDefault="00653F4D" w:rsidP="00653F4D">
      <w:pPr>
        <w:pStyle w:val="OutlineNumbered1"/>
      </w:pPr>
      <w:r w:rsidRPr="00D42153">
        <w:t xml:space="preserve">How does the system balance each of the principles and the trade-offs between principles (e.g. sustainability and adequacy) under current settings? What is the evidence to support </w:t>
      </w:r>
      <w:r>
        <w:t>whether the current</w:t>
      </w:r>
      <w:r w:rsidRPr="00D42153">
        <w:t xml:space="preserve"> balance is appropriate?</w:t>
      </w:r>
    </w:p>
    <w:p w14:paraId="1684E335" w14:textId="0B039A78" w:rsidR="007A7D8C" w:rsidRPr="00E140E3" w:rsidRDefault="007A7D8C" w:rsidP="00B36968">
      <w:pPr>
        <w:pStyle w:val="Heading2"/>
      </w:pPr>
      <w:bookmarkStart w:id="860" w:name="_Toc24728703"/>
      <w:bookmarkStart w:id="861" w:name="_Toc24731231"/>
      <w:r>
        <w:t>Adequacy</w:t>
      </w:r>
      <w:bookmarkEnd w:id="860"/>
      <w:bookmarkEnd w:id="861"/>
    </w:p>
    <w:p w14:paraId="15597980" w14:textId="4B97A95B" w:rsidR="007A7D8C" w:rsidRDefault="00EC0900" w:rsidP="00B36968">
      <w:pPr>
        <w:pStyle w:val="OutlineNumbered1"/>
      </w:pPr>
      <w:r>
        <w:t>What should the Panel consider when assessing the adequacy of the retirement income system?</w:t>
      </w:r>
    </w:p>
    <w:p w14:paraId="7D75966D" w14:textId="77777777" w:rsidR="00EC0900" w:rsidRPr="001955CF" w:rsidRDefault="00EC0900" w:rsidP="002319B4">
      <w:pPr>
        <w:pStyle w:val="OutlineNumbered1"/>
      </w:pPr>
      <w:r>
        <w:t xml:space="preserve">What measures should the Panel use to assess whether the retirement income system allows Australians to achieve an adequate retirement income? </w:t>
      </w:r>
      <w:r w:rsidRPr="001955CF">
        <w:t xml:space="preserve">Should the system be measured against whether it delivers a minimum income level in retirement; reflects a </w:t>
      </w:r>
      <w:r w:rsidRPr="001955CF">
        <w:lastRenderedPageBreak/>
        <w:t>proportion of pre-retirement income</w:t>
      </w:r>
      <w:r>
        <w:t xml:space="preserve"> (and if so, what period of pre-retirement income)</w:t>
      </w:r>
      <w:r w:rsidRPr="001955CF">
        <w:t xml:space="preserve">; or matches a certain level of expenses? </w:t>
      </w:r>
    </w:p>
    <w:p w14:paraId="19CC7029" w14:textId="2318C09F" w:rsidR="00B36968" w:rsidRDefault="00EC0900" w:rsidP="00EC0900">
      <w:pPr>
        <w:pStyle w:val="OutlineNumbered1"/>
      </w:pPr>
      <w:r>
        <w:t>What evidence is available to assess whether retirees have an adequate level of income?</w:t>
      </w:r>
    </w:p>
    <w:p w14:paraId="67563A38" w14:textId="2879C120" w:rsidR="007A7D8C" w:rsidRDefault="007A7D8C" w:rsidP="00B36968">
      <w:pPr>
        <w:pStyle w:val="Heading2"/>
      </w:pPr>
      <w:bookmarkStart w:id="862" w:name="_Toc24728704"/>
      <w:bookmarkStart w:id="863" w:name="_Toc24731232"/>
      <w:r>
        <w:t>Equity</w:t>
      </w:r>
      <w:bookmarkEnd w:id="862"/>
      <w:bookmarkEnd w:id="863"/>
    </w:p>
    <w:p w14:paraId="4AFE4501" w14:textId="0FE8713E" w:rsidR="00B36968" w:rsidRDefault="00EC0900" w:rsidP="00B36968">
      <w:pPr>
        <w:pStyle w:val="OutlineNumbered1"/>
      </w:pPr>
      <w:r>
        <w:t>What should the Panel consider when assessing the equity of the retirement income system?</w:t>
      </w:r>
    </w:p>
    <w:p w14:paraId="07F83FE7" w14:textId="77777777" w:rsidR="00EC0900" w:rsidRDefault="00EC0900" w:rsidP="00EC0900">
      <w:pPr>
        <w:pStyle w:val="OutlineNumbered1"/>
      </w:pPr>
      <w:r>
        <w:t>What factors and information should the Panel consider when examining whether the retirement income system is delivering fair outcomes in retirement? What evidence</w:t>
      </w:r>
      <w:r w:rsidRPr="001955CF">
        <w:t xml:space="preserve"> </w:t>
      </w:r>
      <w:r>
        <w:t xml:space="preserve">is available to assess whether </w:t>
      </w:r>
      <w:r w:rsidRPr="001955CF">
        <w:t>the current settings of the retirement income system support fair outcomes in retirement</w:t>
      </w:r>
      <w:r>
        <w:t xml:space="preserve"> </w:t>
      </w:r>
      <w:r w:rsidRPr="00423D9D">
        <w:t>for individuals with different characteristics and/or in different circumstances (e.g. women, renters, etc.)?</w:t>
      </w:r>
    </w:p>
    <w:p w14:paraId="59B827BB" w14:textId="77777777" w:rsidR="00EC0900" w:rsidRDefault="00EC0900" w:rsidP="00EC0900">
      <w:pPr>
        <w:pStyle w:val="OutlineNumbered1"/>
      </w:pPr>
      <w:r>
        <w:t>Is there evidence the system encourages and supports older Australians who wish to remain in the workforce past retirement age?</w:t>
      </w:r>
    </w:p>
    <w:p w14:paraId="08D90E39" w14:textId="77777777" w:rsidR="00EC0900" w:rsidRPr="00E52EA5" w:rsidRDefault="00EC0900" w:rsidP="00EC0900">
      <w:pPr>
        <w:pStyle w:val="OutlineNumbered1"/>
      </w:pPr>
      <w:r>
        <w:t>To what extent does the retirement income system compensate for, or exacerbate, inequities experienced during working life?</w:t>
      </w:r>
    </w:p>
    <w:p w14:paraId="77D16FC0" w14:textId="0A0359A8" w:rsidR="00B36968" w:rsidRPr="00E140E3" w:rsidRDefault="00EC0900" w:rsidP="00EC0900">
      <w:pPr>
        <w:pStyle w:val="OutlineNumbered1"/>
      </w:pPr>
      <w:r w:rsidRPr="001955CF">
        <w:t xml:space="preserve">What </w:t>
      </w:r>
      <w:r>
        <w:t xml:space="preserve">are the </w:t>
      </w:r>
      <w:r w:rsidRPr="001955CF">
        <w:t xml:space="preserve">implications </w:t>
      </w:r>
      <w:r>
        <w:t>of</w:t>
      </w:r>
      <w:r w:rsidRPr="001955CF">
        <w:t xml:space="preserve"> a maturing </w:t>
      </w:r>
      <w:r>
        <w:t>SG</w:t>
      </w:r>
      <w:r w:rsidRPr="001955CF">
        <w:t xml:space="preserve"> system for those who are not covered by compul</w:t>
      </w:r>
      <w:r>
        <w:t>sory superannuation?</w:t>
      </w:r>
    </w:p>
    <w:p w14:paraId="11D54A6E" w14:textId="4674EFD1" w:rsidR="00B36968" w:rsidRPr="00E140E3" w:rsidRDefault="00B36968" w:rsidP="00B36968">
      <w:pPr>
        <w:pStyle w:val="Heading2"/>
      </w:pPr>
      <w:bookmarkStart w:id="864" w:name="_Toc24731233"/>
      <w:r>
        <w:t>Sustainability</w:t>
      </w:r>
      <w:bookmarkEnd w:id="864"/>
    </w:p>
    <w:p w14:paraId="04F6D60E" w14:textId="34BF2FB4" w:rsidR="00E140E3" w:rsidRPr="00E140E3" w:rsidRDefault="00FF4653" w:rsidP="00B36968">
      <w:pPr>
        <w:pStyle w:val="OutlineNumbered1"/>
      </w:pPr>
      <w:r>
        <w:t>What should the Panel consider when assessing the sustainability of the retirement income system?</w:t>
      </w:r>
    </w:p>
    <w:p w14:paraId="3CCE92F7" w14:textId="77777777" w:rsidR="00FF4653" w:rsidRPr="003A73A2" w:rsidRDefault="00FF4653" w:rsidP="00FF4653">
      <w:pPr>
        <w:pStyle w:val="OutlineNumbered1"/>
      </w:pPr>
      <w:r>
        <w:t>What factors should be considered in assessing h</w:t>
      </w:r>
      <w:r w:rsidRPr="003A73A2">
        <w:t>ow the current settings of the retirement income system (e</w:t>
      </w:r>
      <w:r>
        <w:t>.</w:t>
      </w:r>
      <w:r w:rsidRPr="003A73A2">
        <w:t>g</w:t>
      </w:r>
      <w:r>
        <w:t>. </w:t>
      </w:r>
      <w:r w:rsidRPr="003A73A2">
        <w:t>tax concessions, superannuation contribution caps,</w:t>
      </w:r>
      <w:r>
        <w:t xml:space="preserve"> and</w:t>
      </w:r>
      <w:r w:rsidRPr="003A73A2">
        <w:t xml:space="preserve"> Age Pension means testing) affect its</w:t>
      </w:r>
      <w:r>
        <w:t xml:space="preserve"> fiscal sustainability</w:t>
      </w:r>
      <w:r w:rsidRPr="003A73A2">
        <w:t>? Which elements of the system have the greatest impact on its long</w:t>
      </w:r>
      <w:r>
        <w:t>-</w:t>
      </w:r>
      <w:r w:rsidRPr="003A73A2">
        <w:t>term sustainability?</w:t>
      </w:r>
    </w:p>
    <w:p w14:paraId="6DC5A15B" w14:textId="5BE8E7F1" w:rsidR="00E140E3" w:rsidRPr="00575627" w:rsidRDefault="00FF4653" w:rsidP="00FF4653">
      <w:pPr>
        <w:pStyle w:val="OutlineNumbered1"/>
      </w:pPr>
      <w:r w:rsidRPr="00575627">
        <w:t>How can the overall level of public confidence be assessed? What evidence is available to demonstrate the level of confidence in the system?</w:t>
      </w:r>
    </w:p>
    <w:p w14:paraId="07682F6C" w14:textId="4967AD4C" w:rsidR="00B36968" w:rsidRPr="00E140E3" w:rsidRDefault="00B36968" w:rsidP="00B36968">
      <w:pPr>
        <w:pStyle w:val="Heading2"/>
      </w:pPr>
      <w:bookmarkStart w:id="865" w:name="_Toc24728706"/>
      <w:bookmarkStart w:id="866" w:name="_Toc24731234"/>
      <w:r>
        <w:t>Cohesion</w:t>
      </w:r>
      <w:bookmarkEnd w:id="865"/>
      <w:bookmarkEnd w:id="866"/>
    </w:p>
    <w:p w14:paraId="3C625712" w14:textId="16D2C35C" w:rsidR="00E140E3" w:rsidRPr="00E140E3" w:rsidRDefault="00575627" w:rsidP="00B36968">
      <w:pPr>
        <w:pStyle w:val="OutlineNumbered1"/>
      </w:pPr>
      <w:r w:rsidRPr="00CE48C2">
        <w:t xml:space="preserve">What </w:t>
      </w:r>
      <w:r>
        <w:t>should the Panel</w:t>
      </w:r>
      <w:r w:rsidRPr="00CE48C2">
        <w:t xml:space="preserve"> consider in assessing whether the retirement income system is cohesive?</w:t>
      </w:r>
    </w:p>
    <w:p w14:paraId="15026BBD" w14:textId="5E92717D" w:rsidR="00575627" w:rsidRDefault="00575627" w:rsidP="00575627">
      <w:pPr>
        <w:pStyle w:val="OutlineNumbered1"/>
      </w:pPr>
      <w:r>
        <w:t>Does the retirement income system effectively incentivise saving decisions by individuals and households across their lifetimes?</w:t>
      </w:r>
    </w:p>
    <w:p w14:paraId="18EBED3B" w14:textId="77777777" w:rsidR="00575627" w:rsidRPr="00CE48C2" w:rsidRDefault="00575627" w:rsidP="00575627">
      <w:pPr>
        <w:pStyle w:val="OutlineNumbered1"/>
      </w:pPr>
      <w:r>
        <w:t xml:space="preserve">What </w:t>
      </w:r>
      <w:r w:rsidRPr="00CE48C2">
        <w:t>evidence</w:t>
      </w:r>
      <w:r>
        <w:t xml:space="preserve"> is available to show how</w:t>
      </w:r>
      <w:r w:rsidRPr="00CE48C2">
        <w:t xml:space="preserve"> interactions between the </w:t>
      </w:r>
      <w:r>
        <w:t xml:space="preserve">pillars of the retirement income system </w:t>
      </w:r>
      <w:r w:rsidRPr="00CE48C2">
        <w:t>are influencing behaviour?</w:t>
      </w:r>
    </w:p>
    <w:p w14:paraId="2DF8B36C" w14:textId="05B5554D" w:rsidR="00575627" w:rsidRPr="00CE48C2" w:rsidRDefault="00575627" w:rsidP="00575627">
      <w:pPr>
        <w:pStyle w:val="OutlineNumbered1"/>
      </w:pPr>
      <w:r>
        <w:t>What</w:t>
      </w:r>
      <w:r w:rsidRPr="00CE48C2">
        <w:t xml:space="preserve"> </w:t>
      </w:r>
      <w:r>
        <w:t xml:space="preserve">is the </w:t>
      </w:r>
      <w:r w:rsidRPr="00CE48C2">
        <w:t>evidence that the outcomes the retirement income system delivers and its interactions with other areas (such as aged care) are well</w:t>
      </w:r>
      <w:r>
        <w:t xml:space="preserve"> </w:t>
      </w:r>
      <w:r w:rsidRPr="00CE48C2">
        <w:t xml:space="preserve">understood? </w:t>
      </w:r>
    </w:p>
    <w:p w14:paraId="3907F88C" w14:textId="77777777" w:rsidR="00575627" w:rsidRDefault="00575627" w:rsidP="00575627">
      <w:pPr>
        <w:pStyle w:val="OutlineNumbered1"/>
      </w:pPr>
      <w:r>
        <w:t xml:space="preserve">What </w:t>
      </w:r>
      <w:r w:rsidRPr="00CE48C2">
        <w:t xml:space="preserve">evidence </w:t>
      </w:r>
      <w:r>
        <w:t xml:space="preserve">is there </w:t>
      </w:r>
      <w:r w:rsidRPr="00CE48C2">
        <w:t xml:space="preserve">that Australians </w:t>
      </w:r>
      <w:r>
        <w:t>are able</w:t>
      </w:r>
      <w:r w:rsidRPr="00CE48C2">
        <w:t xml:space="preserve"> to achieve their desired retirement</w:t>
      </w:r>
      <w:r>
        <w:t xml:space="preserve"> income</w:t>
      </w:r>
      <w:r w:rsidRPr="00CE48C2">
        <w:t xml:space="preserve"> outcomes </w:t>
      </w:r>
      <w:r>
        <w:t>without seeking formal financial advice</w:t>
      </w:r>
      <w:r w:rsidRPr="00CE48C2">
        <w:t>?</w:t>
      </w:r>
    </w:p>
    <w:p w14:paraId="12CBE45B" w14:textId="59C1CC98" w:rsidR="00E140E3" w:rsidRPr="00E140E3" w:rsidRDefault="00575627" w:rsidP="00575627">
      <w:pPr>
        <w:pStyle w:val="OutlineNumbered1"/>
      </w:pPr>
      <w:r>
        <w:t xml:space="preserve">Is there sufficient integration between the Age Pension and </w:t>
      </w:r>
      <w:r w:rsidR="008408B1">
        <w:t xml:space="preserve">the </w:t>
      </w:r>
      <w:r>
        <w:t>superannuation system?</w:t>
      </w:r>
    </w:p>
    <w:p w14:paraId="1A89D417" w14:textId="46B32D05" w:rsidR="007F0465" w:rsidRDefault="00E74637" w:rsidP="0029321A">
      <w:pPr>
        <w:pStyle w:val="Heading1"/>
      </w:pPr>
      <w:bookmarkStart w:id="867" w:name="_Toc23515106"/>
      <w:bookmarkStart w:id="868" w:name="_Toc23515520"/>
      <w:bookmarkStart w:id="869" w:name="_Toc23521067"/>
      <w:bookmarkStart w:id="870" w:name="_Toc24545150"/>
      <w:bookmarkStart w:id="871" w:name="_Toc24545376"/>
      <w:bookmarkStart w:id="872" w:name="_Toc24547637"/>
      <w:bookmarkStart w:id="873" w:name="_Toc24551417"/>
      <w:bookmarkStart w:id="874" w:name="_Toc24554753"/>
      <w:bookmarkStart w:id="875" w:name="_Toc24556350"/>
      <w:bookmarkStart w:id="876" w:name="_Toc24712795"/>
      <w:bookmarkStart w:id="877" w:name="_Toc24717039"/>
      <w:bookmarkStart w:id="878" w:name="_Toc24721578"/>
      <w:bookmarkStart w:id="879" w:name="_Toc24722292"/>
      <w:bookmarkStart w:id="880" w:name="_Toc24728707"/>
      <w:bookmarkStart w:id="881" w:name="_Toc24731235"/>
      <w:r>
        <w:lastRenderedPageBreak/>
        <w:t>References</w:t>
      </w:r>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p>
    <w:p w14:paraId="2860AA4C" w14:textId="6FD87E95" w:rsidR="00032717" w:rsidRDefault="00032717" w:rsidP="0045314B">
      <w:r>
        <w:t>ABS (</w:t>
      </w:r>
      <w:r w:rsidRPr="00032717">
        <w:t>Australian Bureau of Statistics</w:t>
      </w:r>
      <w:r>
        <w:t>)</w:t>
      </w:r>
      <w:r w:rsidRPr="00032717">
        <w:t xml:space="preserve"> 2018</w:t>
      </w:r>
      <w:r>
        <w:t>, c</w:t>
      </w:r>
      <w:r w:rsidRPr="00032717">
        <w:t xml:space="preserve">at. </w:t>
      </w:r>
      <w:r>
        <w:t xml:space="preserve">no. </w:t>
      </w:r>
      <w:r w:rsidRPr="00032717">
        <w:t>3302.0.55.003 – Life Tables for Aboriginal and Torres Strait Islander Australians, 2015-2017, Summary of Headline Estimates</w:t>
      </w:r>
      <w:r>
        <w:t>.</w:t>
      </w:r>
    </w:p>
    <w:p w14:paraId="09ACD530" w14:textId="27DD2B75" w:rsidR="0033550B" w:rsidRPr="0033550B" w:rsidRDefault="00564F52" w:rsidP="0045314B">
      <w:r w:rsidRPr="00B36968">
        <w:t>ABS (</w:t>
      </w:r>
      <w:r w:rsidR="008319BA" w:rsidRPr="00564F52">
        <w:t>Australian Bureau of Statistics</w:t>
      </w:r>
      <w:r w:rsidRPr="00B36968">
        <w:t>)</w:t>
      </w:r>
      <w:r w:rsidR="0033550B" w:rsidRPr="00564F52">
        <w:t xml:space="preserve"> </w:t>
      </w:r>
      <w:r w:rsidR="005A15AD" w:rsidRPr="00DE452D">
        <w:t>2019</w:t>
      </w:r>
      <w:r w:rsidR="00082155" w:rsidRPr="00DE452D">
        <w:t>a</w:t>
      </w:r>
      <w:r w:rsidR="005A15AD" w:rsidRPr="00DE452D">
        <w:t xml:space="preserve">, </w:t>
      </w:r>
      <w:r w:rsidRPr="00DE452D">
        <w:t>c</w:t>
      </w:r>
      <w:r w:rsidR="007271E7" w:rsidRPr="00564F52">
        <w:t xml:space="preserve">at. </w:t>
      </w:r>
      <w:r w:rsidRPr="00DE452D">
        <w:t>no</w:t>
      </w:r>
      <w:r w:rsidR="007271E7" w:rsidRPr="00564F52">
        <w:t xml:space="preserve">. </w:t>
      </w:r>
      <w:r w:rsidR="0033550B" w:rsidRPr="00564F52">
        <w:t>6523.0</w:t>
      </w:r>
      <w:r w:rsidR="00D54CE4">
        <w:rPr>
          <w:i/>
        </w:rPr>
        <w:t xml:space="preserve"> </w:t>
      </w:r>
      <w:r w:rsidR="00D54CE4" w:rsidRPr="006910E0">
        <w:rPr>
          <w:i/>
        </w:rPr>
        <w:t>–</w:t>
      </w:r>
      <w:r w:rsidR="00D54CE4">
        <w:rPr>
          <w:i/>
        </w:rPr>
        <w:t xml:space="preserve"> </w:t>
      </w:r>
      <w:r w:rsidR="0033550B" w:rsidRPr="00564F52">
        <w:t xml:space="preserve">Household Income and Wealth Australia, 2017-18, </w:t>
      </w:r>
      <w:r w:rsidR="0089352B" w:rsidRPr="00B36968">
        <w:t>T</w:t>
      </w:r>
      <w:r w:rsidR="0033550B" w:rsidRPr="00564F52">
        <w:t xml:space="preserve">able 10.2; 2013-14, </w:t>
      </w:r>
      <w:r w:rsidR="0089352B" w:rsidRPr="00DE452D">
        <w:t>T</w:t>
      </w:r>
      <w:r w:rsidR="0089352B" w:rsidRPr="00564F52">
        <w:t xml:space="preserve">able </w:t>
      </w:r>
      <w:r w:rsidR="0033550B" w:rsidRPr="00564F52">
        <w:t>12.2</w:t>
      </w:r>
      <w:r w:rsidR="00DB6113">
        <w:t>.</w:t>
      </w:r>
    </w:p>
    <w:p w14:paraId="2BC9D144" w14:textId="77777777" w:rsidR="00DB6113" w:rsidRPr="00C9658E" w:rsidRDefault="00564F52" w:rsidP="00DB6113">
      <w:r w:rsidRPr="00564F52">
        <w:t>ABS (</w:t>
      </w:r>
      <w:r w:rsidR="00C66C87" w:rsidRPr="00564F52">
        <w:t>Australian Bureau of Statistics</w:t>
      </w:r>
      <w:r w:rsidRPr="00564F52">
        <w:t xml:space="preserve">) </w:t>
      </w:r>
      <w:r w:rsidR="00DB6113" w:rsidRPr="00C9658E">
        <w:t>2019b, cat. no. 4130.0 – Housing Occupancy and Costs, Australia, 2017-18, Table 1</w:t>
      </w:r>
      <w:r w:rsidR="00DB6113">
        <w:t>.</w:t>
      </w:r>
    </w:p>
    <w:p w14:paraId="53FF14F7" w14:textId="40B66D56" w:rsidR="00DB6113" w:rsidRPr="00C9658E" w:rsidRDefault="00DB6113" w:rsidP="00DB6113">
      <w:pPr>
        <w:rPr>
          <w:i/>
        </w:rPr>
      </w:pPr>
      <w:r w:rsidRPr="00C9658E">
        <w:t>ABS (</w:t>
      </w:r>
      <w:r w:rsidR="00C66C87" w:rsidRPr="00564F52" w:rsidDel="00564F52">
        <w:t>Australian Bureau of Statistics</w:t>
      </w:r>
      <w:r w:rsidRPr="00C9658E">
        <w:t>) 2019c, cat. no. 3105.0.65.001</w:t>
      </w:r>
      <w:r w:rsidR="00D54CE4">
        <w:rPr>
          <w:i/>
        </w:rPr>
        <w:t xml:space="preserve"> </w:t>
      </w:r>
      <w:r w:rsidR="00D54CE4" w:rsidRPr="006910E0">
        <w:rPr>
          <w:i/>
        </w:rPr>
        <w:t>–</w:t>
      </w:r>
      <w:r w:rsidR="00D54CE4">
        <w:rPr>
          <w:i/>
        </w:rPr>
        <w:t xml:space="preserve"> </w:t>
      </w:r>
      <w:r w:rsidRPr="00C9658E">
        <w:t>Australian Historical Population Statistics, 2016, Table 6.1</w:t>
      </w:r>
      <w:r>
        <w:t>.</w:t>
      </w:r>
    </w:p>
    <w:p w14:paraId="7BD41B7F" w14:textId="77777777" w:rsidR="00DB6113" w:rsidRPr="00C9658E" w:rsidRDefault="00DB6113" w:rsidP="00DB6113">
      <w:r w:rsidRPr="00C9658E">
        <w:t>ABS (Australian Bureau of Statistics) 2019d, cat. no. 3302.0.55.001 – Life Tables, States, Territories and Australia, 2016-</w:t>
      </w:r>
      <w:r w:rsidR="00C66C87" w:rsidRPr="00564F52">
        <w:t>2018</w:t>
      </w:r>
      <w:r w:rsidRPr="00C9658E">
        <w:t>, Table 1</w:t>
      </w:r>
      <w:r>
        <w:t>.</w:t>
      </w:r>
    </w:p>
    <w:p w14:paraId="7F01D783" w14:textId="584EC6EE" w:rsidR="00DB6113" w:rsidRPr="0033550B" w:rsidRDefault="00DB6113" w:rsidP="0045314B">
      <w:r w:rsidRPr="00C9658E">
        <w:t>ABS (Australian Bureau of Statistics) 2019e, cat. no. 3101.0 – Australian Demographic Statistics, Mar 2019, Table 59</w:t>
      </w:r>
      <w:r>
        <w:t>.</w:t>
      </w:r>
    </w:p>
    <w:p w14:paraId="17F85AA0" w14:textId="187CEB04" w:rsidR="007D696E" w:rsidRPr="00564F52" w:rsidRDefault="00564F52" w:rsidP="0045314B">
      <w:pPr>
        <w:rPr>
          <w:lang w:val="en"/>
        </w:rPr>
      </w:pPr>
      <w:r w:rsidRPr="00DE452D">
        <w:t>ABS (</w:t>
      </w:r>
      <w:r w:rsidR="008319BA" w:rsidRPr="00564F52">
        <w:t>Australian Bureau of Statistics</w:t>
      </w:r>
      <w:r w:rsidRPr="00DE452D">
        <w:t>)</w:t>
      </w:r>
      <w:r w:rsidR="008319BA" w:rsidRPr="00564F52" w:rsidDel="008319BA">
        <w:t xml:space="preserve"> </w:t>
      </w:r>
      <w:r w:rsidR="00D84E98" w:rsidRPr="00564F52">
        <w:t>2019</w:t>
      </w:r>
      <w:r w:rsidR="00275919" w:rsidRPr="00B36968">
        <w:t>f</w:t>
      </w:r>
      <w:r w:rsidRPr="00B36968">
        <w:t>,</w:t>
      </w:r>
      <w:r w:rsidR="00D84E98" w:rsidRPr="00564F52">
        <w:t xml:space="preserve"> </w:t>
      </w:r>
      <w:r w:rsidRPr="00DE452D">
        <w:t>cat. no.</w:t>
      </w:r>
      <w:r w:rsidR="00D84E98" w:rsidRPr="00564F52">
        <w:t xml:space="preserve"> </w:t>
      </w:r>
      <w:r w:rsidR="00D84E98" w:rsidRPr="00564F52">
        <w:rPr>
          <w:lang w:val="en"/>
        </w:rPr>
        <w:t>6204.0</w:t>
      </w:r>
      <w:r w:rsidR="003E6453">
        <w:rPr>
          <w:lang w:val="en"/>
        </w:rPr>
        <w:t xml:space="preserve"> </w:t>
      </w:r>
      <w:r w:rsidR="00D54CE4" w:rsidRPr="006910E0">
        <w:rPr>
          <w:i/>
        </w:rPr>
        <w:t>–</w:t>
      </w:r>
      <w:r w:rsidR="00D54CE4">
        <w:rPr>
          <w:i/>
        </w:rPr>
        <w:t xml:space="preserve"> </w:t>
      </w:r>
      <w:r w:rsidR="003E6453">
        <w:rPr>
          <w:lang w:val="en"/>
        </w:rPr>
        <w:t>The Labour Force</w:t>
      </w:r>
      <w:r w:rsidR="00D84E98" w:rsidRPr="00564F52">
        <w:rPr>
          <w:lang w:val="en"/>
        </w:rPr>
        <w:t xml:space="preserve">, Australia, </w:t>
      </w:r>
      <w:r w:rsidR="003E6453">
        <w:rPr>
          <w:lang w:val="en"/>
        </w:rPr>
        <w:t>1979</w:t>
      </w:r>
      <w:r w:rsidR="00721D33">
        <w:rPr>
          <w:lang w:val="en"/>
        </w:rPr>
        <w:t>.</w:t>
      </w:r>
      <w:r w:rsidR="00D84E98" w:rsidRPr="00564F52">
        <w:rPr>
          <w:lang w:val="en"/>
        </w:rPr>
        <w:t xml:space="preserve"> </w:t>
      </w:r>
    </w:p>
    <w:p w14:paraId="37773561" w14:textId="77986619" w:rsidR="007D696E" w:rsidRPr="00564F52" w:rsidRDefault="00564F52" w:rsidP="0045314B">
      <w:pPr>
        <w:rPr>
          <w:lang w:val="en"/>
        </w:rPr>
      </w:pPr>
      <w:r w:rsidRPr="00DE452D">
        <w:t>ABS (</w:t>
      </w:r>
      <w:r w:rsidR="00E45D43" w:rsidRPr="00DE452D">
        <w:t>Australian Bureau of Statistics</w:t>
      </w:r>
      <w:r w:rsidRPr="00DE452D">
        <w:t>)</w:t>
      </w:r>
      <w:r w:rsidR="00E45D43" w:rsidRPr="00DE452D" w:rsidDel="008319BA">
        <w:t xml:space="preserve"> </w:t>
      </w:r>
      <w:r w:rsidR="007D696E" w:rsidRPr="00564F52">
        <w:rPr>
          <w:lang w:val="en"/>
        </w:rPr>
        <w:t>2019</w:t>
      </w:r>
      <w:r w:rsidR="00275919" w:rsidRPr="00B36968">
        <w:rPr>
          <w:lang w:val="en"/>
        </w:rPr>
        <w:t>g</w:t>
      </w:r>
      <w:r w:rsidR="00D84E98" w:rsidRPr="00564F52">
        <w:rPr>
          <w:lang w:val="en"/>
        </w:rPr>
        <w:t xml:space="preserve">, </w:t>
      </w:r>
      <w:r w:rsidRPr="00DE452D">
        <w:t xml:space="preserve">cat. no. </w:t>
      </w:r>
      <w:r w:rsidR="00D84E98" w:rsidRPr="00564F52">
        <w:rPr>
          <w:lang w:val="en"/>
        </w:rPr>
        <w:t>6202.0</w:t>
      </w:r>
      <w:r w:rsidR="00D54CE4">
        <w:rPr>
          <w:i/>
        </w:rPr>
        <w:t xml:space="preserve"> </w:t>
      </w:r>
      <w:r w:rsidR="00D54CE4" w:rsidRPr="006910E0">
        <w:rPr>
          <w:i/>
        </w:rPr>
        <w:t>–</w:t>
      </w:r>
      <w:r w:rsidR="00D54CE4">
        <w:rPr>
          <w:i/>
        </w:rPr>
        <w:t xml:space="preserve"> </w:t>
      </w:r>
      <w:r w:rsidR="00D84E98" w:rsidRPr="00564F52">
        <w:rPr>
          <w:lang w:val="en"/>
        </w:rPr>
        <w:t xml:space="preserve">Labour Force, Australia, </w:t>
      </w:r>
      <w:r w:rsidR="00C403F4" w:rsidRPr="00B36968">
        <w:rPr>
          <w:lang w:val="en"/>
        </w:rPr>
        <w:t>Oct</w:t>
      </w:r>
      <w:r w:rsidR="003D6A38">
        <w:rPr>
          <w:lang w:val="en"/>
        </w:rPr>
        <w:t xml:space="preserve"> 2019, Table </w:t>
      </w:r>
      <w:r w:rsidR="007D696E" w:rsidRPr="00564F52">
        <w:rPr>
          <w:lang w:val="en"/>
        </w:rPr>
        <w:t>1</w:t>
      </w:r>
      <w:r w:rsidR="00DB6113">
        <w:rPr>
          <w:lang w:val="en"/>
        </w:rPr>
        <w:t>.</w:t>
      </w:r>
    </w:p>
    <w:p w14:paraId="52D9C890" w14:textId="19A2BA6D" w:rsidR="007D696E" w:rsidRPr="00564F52" w:rsidRDefault="00564F52" w:rsidP="0045314B">
      <w:pPr>
        <w:rPr>
          <w:lang w:val="en"/>
        </w:rPr>
      </w:pPr>
      <w:r w:rsidRPr="00DE452D">
        <w:t>ABS (</w:t>
      </w:r>
      <w:r w:rsidR="00E45D43" w:rsidRPr="00DE452D">
        <w:t>Australian Bureau of Statistics</w:t>
      </w:r>
      <w:r w:rsidRPr="00DE452D">
        <w:t>)</w:t>
      </w:r>
      <w:r w:rsidR="00E45D43" w:rsidRPr="00DE452D" w:rsidDel="008319BA">
        <w:t xml:space="preserve"> </w:t>
      </w:r>
      <w:r w:rsidR="007D696E" w:rsidRPr="00564F52">
        <w:t>2019</w:t>
      </w:r>
      <w:r w:rsidR="00E05E2A" w:rsidRPr="00B36968">
        <w:t>h</w:t>
      </w:r>
      <w:r w:rsidRPr="00B36968">
        <w:t>,</w:t>
      </w:r>
      <w:r w:rsidR="007D696E" w:rsidRPr="00564F52">
        <w:t xml:space="preserve"> </w:t>
      </w:r>
      <w:r w:rsidRPr="00DE452D">
        <w:t>cat. no.</w:t>
      </w:r>
      <w:r w:rsidR="007D696E" w:rsidRPr="00564F52">
        <w:t xml:space="preserve"> </w:t>
      </w:r>
      <w:r w:rsidR="007D696E" w:rsidRPr="00564F52">
        <w:rPr>
          <w:lang w:val="en"/>
        </w:rPr>
        <w:t>6291.0.55.001</w:t>
      </w:r>
      <w:r w:rsidR="00D54CE4">
        <w:rPr>
          <w:i/>
        </w:rPr>
        <w:t xml:space="preserve"> </w:t>
      </w:r>
      <w:r w:rsidR="00D54CE4" w:rsidRPr="006910E0">
        <w:rPr>
          <w:i/>
        </w:rPr>
        <w:t>–</w:t>
      </w:r>
      <w:r w:rsidR="00D54CE4">
        <w:rPr>
          <w:i/>
        </w:rPr>
        <w:t xml:space="preserve"> </w:t>
      </w:r>
      <w:r w:rsidR="007D696E" w:rsidRPr="00564F52">
        <w:rPr>
          <w:lang w:val="en"/>
        </w:rPr>
        <w:t>Labour Force, Australia, Detailed</w:t>
      </w:r>
      <w:r w:rsidR="004C3F61">
        <w:rPr>
          <w:i/>
        </w:rPr>
        <w:t xml:space="preserve"> </w:t>
      </w:r>
      <w:r w:rsidR="004C3F61" w:rsidRPr="006910E0">
        <w:rPr>
          <w:i/>
        </w:rPr>
        <w:t>–</w:t>
      </w:r>
      <w:r w:rsidR="004C3F61">
        <w:rPr>
          <w:i/>
        </w:rPr>
        <w:t xml:space="preserve"> </w:t>
      </w:r>
      <w:r w:rsidR="007D696E" w:rsidRPr="00564F52">
        <w:rPr>
          <w:lang w:val="en"/>
        </w:rPr>
        <w:t>Electronic Delivery, Aug 2019, Table 1</w:t>
      </w:r>
      <w:r w:rsidR="00DB6113">
        <w:rPr>
          <w:lang w:val="en"/>
        </w:rPr>
        <w:t>.</w:t>
      </w:r>
    </w:p>
    <w:p w14:paraId="663B75D7" w14:textId="467A40C7" w:rsidR="0087445D" w:rsidRPr="00564F52" w:rsidRDefault="00564F52" w:rsidP="0087445D">
      <w:pPr>
        <w:rPr>
          <w:lang w:val="en"/>
        </w:rPr>
      </w:pPr>
      <w:r w:rsidRPr="00DE452D">
        <w:t>ABS (</w:t>
      </w:r>
      <w:r w:rsidR="00E45D43" w:rsidRPr="00DE452D">
        <w:t>Australian Bureau of Statistics</w:t>
      </w:r>
      <w:r w:rsidRPr="00DE452D">
        <w:t>)</w:t>
      </w:r>
      <w:r w:rsidR="00E45D43" w:rsidRPr="00DE452D" w:rsidDel="008319BA">
        <w:t xml:space="preserve"> </w:t>
      </w:r>
      <w:r w:rsidR="0087445D" w:rsidRPr="00564F52">
        <w:t>2019</w:t>
      </w:r>
      <w:r w:rsidR="00B4638B" w:rsidRPr="00B36968">
        <w:t>i</w:t>
      </w:r>
      <w:r w:rsidRPr="00B36968">
        <w:t>,</w:t>
      </w:r>
      <w:r w:rsidR="0087445D" w:rsidRPr="00564F52">
        <w:t xml:space="preserve"> </w:t>
      </w:r>
      <w:r w:rsidRPr="00DE452D">
        <w:t>cat. no.</w:t>
      </w:r>
      <w:r w:rsidR="0087445D" w:rsidRPr="00564F52">
        <w:t xml:space="preserve"> </w:t>
      </w:r>
      <w:r w:rsidR="0087445D" w:rsidRPr="00564F52">
        <w:rPr>
          <w:lang w:val="en"/>
        </w:rPr>
        <w:t>6401.0 – Consumer Price Index, Australia, Sep 2019, Table 1</w:t>
      </w:r>
      <w:r w:rsidR="00DB6113">
        <w:rPr>
          <w:lang w:val="en"/>
        </w:rPr>
        <w:t>.</w:t>
      </w:r>
    </w:p>
    <w:p w14:paraId="2F339E4A" w14:textId="5809EBE1" w:rsidR="00756686" w:rsidRPr="00DE452D" w:rsidRDefault="00564F52" w:rsidP="0045314B">
      <w:pPr>
        <w:rPr>
          <w:lang w:val="en"/>
        </w:rPr>
      </w:pPr>
      <w:r w:rsidRPr="00DE452D">
        <w:t>ABS (</w:t>
      </w:r>
      <w:r w:rsidR="00E45D43" w:rsidRPr="00DE452D">
        <w:t>Australian Bureau of Statistics</w:t>
      </w:r>
      <w:r w:rsidRPr="00DE452D">
        <w:t>)</w:t>
      </w:r>
      <w:r w:rsidR="00E45D43" w:rsidRPr="00DE452D" w:rsidDel="008319BA">
        <w:t xml:space="preserve"> </w:t>
      </w:r>
      <w:r w:rsidR="0087445D" w:rsidRPr="00564F52">
        <w:t>2019</w:t>
      </w:r>
      <w:r w:rsidR="00B4638B" w:rsidRPr="00B36968">
        <w:t>j</w:t>
      </w:r>
      <w:r w:rsidRPr="00B36968">
        <w:t>,</w:t>
      </w:r>
      <w:r w:rsidRPr="00DE452D">
        <w:t xml:space="preserve"> cat. no.</w:t>
      </w:r>
      <w:r w:rsidRPr="00B36968">
        <w:t xml:space="preserve"> </w:t>
      </w:r>
      <w:r w:rsidR="009F2756" w:rsidRPr="00564F52">
        <w:t>5206.0 – Australian National Accounts: National Income, Expenditure and Product, June 2019,</w:t>
      </w:r>
      <w:r w:rsidR="0087445D" w:rsidRPr="00564F52">
        <w:rPr>
          <w:lang w:val="en"/>
        </w:rPr>
        <w:t xml:space="preserve"> Table 1</w:t>
      </w:r>
      <w:r w:rsidR="00DB6113">
        <w:rPr>
          <w:lang w:val="en"/>
        </w:rPr>
        <w:t>.</w:t>
      </w:r>
    </w:p>
    <w:p w14:paraId="2F8A2E35" w14:textId="5C324D81" w:rsidR="00DB6113" w:rsidRPr="00C9658E" w:rsidRDefault="00DB6113" w:rsidP="00DB6113">
      <w:r w:rsidRPr="00C9658E">
        <w:t xml:space="preserve">ACFA (Aged Care Financing Authority) 2019, </w:t>
      </w:r>
      <w:r w:rsidRPr="00C9658E">
        <w:rPr>
          <w:i/>
        </w:rPr>
        <w:t xml:space="preserve">Seventh report on the Funding and Financing of the Aged Care Industry, </w:t>
      </w:r>
      <w:r w:rsidRPr="00030DC3">
        <w:t>Australian Government,</w:t>
      </w:r>
      <w:r>
        <w:t xml:space="preserve"> Canberra.</w:t>
      </w:r>
    </w:p>
    <w:p w14:paraId="1C9E0A3B" w14:textId="6DA3F816" w:rsidR="00DB6113" w:rsidRDefault="00DB6113" w:rsidP="00DB6113">
      <w:r>
        <w:t>AFSA (Association of Superannua</w:t>
      </w:r>
      <w:r w:rsidR="008269E3">
        <w:t xml:space="preserve">tion Funds of Australia) 2017, </w:t>
      </w:r>
      <w:r w:rsidRPr="008269E3">
        <w:rPr>
          <w:i/>
        </w:rPr>
        <w:t>Super needs value adding, not ad hoc reviews and reform</w:t>
      </w:r>
      <w:r>
        <w:t>, Media release, 14 January 2017, Sydney.</w:t>
      </w:r>
    </w:p>
    <w:p w14:paraId="6FFD6C26" w14:textId="77777777" w:rsidR="00DB6113" w:rsidRDefault="00DB6113" w:rsidP="00DB6113">
      <w:r>
        <w:t xml:space="preserve">AFSA (Association of Superannuation Funds of Australia) 2018, </w:t>
      </w:r>
      <w:r w:rsidRPr="003C0752">
        <w:rPr>
          <w:i/>
        </w:rPr>
        <w:t>ASFA Retirement Standard</w:t>
      </w:r>
      <w:r>
        <w:t>, Association of Superannuation Funds of Australia, Sydney.</w:t>
      </w:r>
    </w:p>
    <w:p w14:paraId="682AE158" w14:textId="631951C2" w:rsidR="00DB6113" w:rsidRDefault="00DB6113" w:rsidP="00DB6113">
      <w:r>
        <w:t xml:space="preserve">AIHW (Australian Institute of Health and Welfare) 2015, </w:t>
      </w:r>
      <w:r w:rsidRPr="00C9658E">
        <w:rPr>
          <w:i/>
        </w:rPr>
        <w:t>Australia’s welfare 2015</w:t>
      </w:r>
      <w:r>
        <w:rPr>
          <w:i/>
        </w:rPr>
        <w:t>,</w:t>
      </w:r>
      <w:r>
        <w:t xml:space="preserve"> Aust</w:t>
      </w:r>
      <w:r w:rsidR="00575627">
        <w:t>ralia’s welfare series no. 12. c</w:t>
      </w:r>
      <w:r>
        <w:t>at. no. AUS 189, AIHW, Canberra.</w:t>
      </w:r>
    </w:p>
    <w:p w14:paraId="450353F3" w14:textId="2A742FDB" w:rsidR="00DB6113" w:rsidRPr="00564F52" w:rsidRDefault="00DB6113" w:rsidP="0045314B">
      <w:r>
        <w:t xml:space="preserve">AIST (Australian Institute of Superannuation Trustees) 2016, </w:t>
      </w:r>
      <w:r w:rsidRPr="005C76B9">
        <w:rPr>
          <w:i/>
        </w:rPr>
        <w:t>Expenditure patterns in retirement</w:t>
      </w:r>
      <w:r>
        <w:t>, Australian Institute of Superannuation Trustees, Melbourne.</w:t>
      </w:r>
    </w:p>
    <w:p w14:paraId="760A4C36" w14:textId="70515B07" w:rsidR="00DB6113" w:rsidRDefault="00DB6113" w:rsidP="001535FD">
      <w:r w:rsidRPr="00C9658E">
        <w:t>APRA (</w:t>
      </w:r>
      <w:r w:rsidRPr="006910E0">
        <w:t>Australian Prudential Regulation Authority</w:t>
      </w:r>
      <w:r w:rsidRPr="00C9658E">
        <w:t>)</w:t>
      </w:r>
      <w:r w:rsidRPr="006910E0">
        <w:t xml:space="preserve"> </w:t>
      </w:r>
      <w:r w:rsidRPr="00C9658E">
        <w:t>2005</w:t>
      </w:r>
      <w:r w:rsidRPr="006910E0">
        <w:t xml:space="preserve">, </w:t>
      </w:r>
      <w:r w:rsidRPr="00C9658E">
        <w:rPr>
          <w:i/>
        </w:rPr>
        <w:t>Statistics</w:t>
      </w:r>
      <w:r w:rsidR="00D54CE4">
        <w:rPr>
          <w:i/>
        </w:rPr>
        <w:t xml:space="preserve"> </w:t>
      </w:r>
      <w:r w:rsidR="00D54CE4" w:rsidRPr="006910E0">
        <w:rPr>
          <w:i/>
        </w:rPr>
        <w:t>–</w:t>
      </w:r>
      <w:r w:rsidR="00D54CE4">
        <w:rPr>
          <w:i/>
        </w:rPr>
        <w:t xml:space="preserve"> </w:t>
      </w:r>
      <w:r w:rsidRPr="00C9658E">
        <w:rPr>
          <w:i/>
        </w:rPr>
        <w:t>Superannuation Trends, September 2004</w:t>
      </w:r>
      <w:r w:rsidRPr="00C9658E">
        <w:t>, APRA, Sydney.</w:t>
      </w:r>
    </w:p>
    <w:p w14:paraId="3C8B716B" w14:textId="14B8CBA9" w:rsidR="002175F7" w:rsidRPr="006910E0" w:rsidRDefault="002175F7" w:rsidP="001535FD">
      <w:r w:rsidRPr="006910E0">
        <w:t>APRA</w:t>
      </w:r>
      <w:r w:rsidR="007D696E" w:rsidRPr="006910E0">
        <w:t xml:space="preserve"> (Australian Prudential Regulation Authority) 2019</w:t>
      </w:r>
      <w:r w:rsidR="00C756CA" w:rsidRPr="00B36968">
        <w:t>,</w:t>
      </w:r>
      <w:r w:rsidRPr="006910E0">
        <w:t xml:space="preserve"> </w:t>
      </w:r>
      <w:r w:rsidR="00A63D2F" w:rsidRPr="006910E0">
        <w:rPr>
          <w:i/>
        </w:rPr>
        <w:t xml:space="preserve">Statistics – Quarterly Superannuation Performance, </w:t>
      </w:r>
      <w:r w:rsidRPr="006910E0">
        <w:rPr>
          <w:i/>
        </w:rPr>
        <w:t xml:space="preserve">June </w:t>
      </w:r>
      <w:r w:rsidR="00A63D2F" w:rsidRPr="006910E0">
        <w:rPr>
          <w:i/>
        </w:rPr>
        <w:t xml:space="preserve">2019, </w:t>
      </w:r>
      <w:r w:rsidR="00A63D2F" w:rsidRPr="006910E0">
        <w:t xml:space="preserve">APRA, Sydney. </w:t>
      </w:r>
    </w:p>
    <w:p w14:paraId="3759DCB9" w14:textId="7C9535FA" w:rsidR="00896784" w:rsidRDefault="00896784" w:rsidP="001535FD">
      <w:r>
        <w:t>Asher, A and De Ravin, J 2018</w:t>
      </w:r>
      <w:r w:rsidR="00E45D43">
        <w:t>,</w:t>
      </w:r>
      <w:r>
        <w:t xml:space="preserve"> </w:t>
      </w:r>
      <w:r>
        <w:rPr>
          <w:i/>
        </w:rPr>
        <w:t>The Age Pension means tests:</w:t>
      </w:r>
      <w:r w:rsidR="00634F79">
        <w:rPr>
          <w:i/>
        </w:rPr>
        <w:t xml:space="preserve"> </w:t>
      </w:r>
      <w:r>
        <w:rPr>
          <w:i/>
        </w:rPr>
        <w:t xml:space="preserve">contorting Australian retirement, </w:t>
      </w:r>
      <w:r>
        <w:t>Actuaries Institute</w:t>
      </w:r>
      <w:r w:rsidR="009E17E4">
        <w:t>.</w:t>
      </w:r>
    </w:p>
    <w:p w14:paraId="549F6679" w14:textId="6894B365" w:rsidR="003439DB" w:rsidRPr="0045314B" w:rsidRDefault="003439DB" w:rsidP="00167708">
      <w:pPr>
        <w:rPr>
          <w:i/>
        </w:rPr>
      </w:pPr>
      <w:r w:rsidRPr="00F827C3">
        <w:t>ATO (</w:t>
      </w:r>
      <w:r w:rsidR="00F0617D" w:rsidRPr="00F827C3">
        <w:t xml:space="preserve">Australian Taxation Office) </w:t>
      </w:r>
      <w:r w:rsidRPr="00F827C3">
        <w:t>2019</w:t>
      </w:r>
      <w:r w:rsidR="00F0617D" w:rsidRPr="00B36968">
        <w:t>,</w:t>
      </w:r>
      <w:r w:rsidRPr="00F827C3">
        <w:t xml:space="preserve"> </w:t>
      </w:r>
      <w:r w:rsidRPr="00F827C3">
        <w:rPr>
          <w:i/>
        </w:rPr>
        <w:t>Taxation statistics 2016–17</w:t>
      </w:r>
      <w:r w:rsidRPr="00F827C3">
        <w:t xml:space="preserve">, </w:t>
      </w:r>
      <w:r w:rsidR="00F827C3" w:rsidRPr="00B36968">
        <w:t>S</w:t>
      </w:r>
      <w:r w:rsidR="00A403C6" w:rsidRPr="00F827C3">
        <w:t xml:space="preserve">napshot 5, </w:t>
      </w:r>
      <w:r w:rsidR="00F827C3" w:rsidRPr="00DE452D">
        <w:t>T</w:t>
      </w:r>
      <w:r w:rsidR="00A403C6" w:rsidRPr="00F827C3">
        <w:t>able 12</w:t>
      </w:r>
      <w:r w:rsidR="00A15C9A">
        <w:t>.</w:t>
      </w:r>
    </w:p>
    <w:p w14:paraId="157D4F33" w14:textId="13525D1C" w:rsidR="00167708" w:rsidRDefault="00167708" w:rsidP="00167708">
      <w:r>
        <w:t>Balnozan, I 2018</w:t>
      </w:r>
      <w:r w:rsidR="00AE4802">
        <w:t>,</w:t>
      </w:r>
      <w:r w:rsidRPr="00EB35B7">
        <w:t xml:space="preserve"> </w:t>
      </w:r>
      <w:r w:rsidRPr="005C76B9">
        <w:rPr>
          <w:i/>
        </w:rPr>
        <w:t>Slow and Steady: Drawdown Behaviours in Phased Withdrawal Retirement Income Products</w:t>
      </w:r>
      <w:r>
        <w:t>, UNSW Business School, Sydney</w:t>
      </w:r>
      <w:r w:rsidR="009D5B56">
        <w:t>.</w:t>
      </w:r>
      <w:r>
        <w:t xml:space="preserve"> </w:t>
      </w:r>
    </w:p>
    <w:p w14:paraId="5591C0DA" w14:textId="040366BA" w:rsidR="0012131D" w:rsidRDefault="00F0617D" w:rsidP="0012131D">
      <w:r>
        <w:lastRenderedPageBreak/>
        <w:t>CEPAR (</w:t>
      </w:r>
      <w:r w:rsidR="0012131D">
        <w:t>ARC Centre of Excellence in Population Ageing Research</w:t>
      </w:r>
      <w:r>
        <w:t>)</w:t>
      </w:r>
      <w:r w:rsidR="0012131D">
        <w:t xml:space="preserve"> 2018a</w:t>
      </w:r>
      <w:r w:rsidR="009D5B56">
        <w:t>,</w:t>
      </w:r>
      <w:r w:rsidR="0012131D">
        <w:t xml:space="preserve"> </w:t>
      </w:r>
      <w:r w:rsidR="0012131D" w:rsidRPr="005C76B9">
        <w:rPr>
          <w:i/>
        </w:rPr>
        <w:t xml:space="preserve">Retirement income in Australia: Part </w:t>
      </w:r>
      <w:r w:rsidR="0012131D">
        <w:rPr>
          <w:i/>
        </w:rPr>
        <w:t>1</w:t>
      </w:r>
      <w:r w:rsidR="0012131D" w:rsidRPr="005C76B9">
        <w:rPr>
          <w:i/>
        </w:rPr>
        <w:t xml:space="preserve"> – Overview</w:t>
      </w:r>
      <w:r w:rsidR="0012131D">
        <w:t xml:space="preserve">, </w:t>
      </w:r>
      <w:r w:rsidR="009D5B56">
        <w:t>ARC Centre of Excellence in Population Ageing Research</w:t>
      </w:r>
      <w:r w:rsidR="0012131D">
        <w:t>, Sydney</w:t>
      </w:r>
      <w:r w:rsidR="009D5B56">
        <w:t>.</w:t>
      </w:r>
    </w:p>
    <w:p w14:paraId="71C6684C" w14:textId="744DCFED" w:rsidR="0012131D" w:rsidRDefault="00F0617D" w:rsidP="0012131D">
      <w:r>
        <w:t>CEPAR (</w:t>
      </w:r>
      <w:r w:rsidR="0012131D">
        <w:t>ARC Centre of Excellence in Population Ageing Research</w:t>
      </w:r>
      <w:r>
        <w:t>)</w:t>
      </w:r>
      <w:r w:rsidR="0012131D">
        <w:t xml:space="preserve"> 2018b</w:t>
      </w:r>
      <w:r w:rsidR="009D5B56">
        <w:t>,</w:t>
      </w:r>
      <w:r w:rsidR="0012131D">
        <w:t xml:space="preserve"> </w:t>
      </w:r>
      <w:r w:rsidR="0012131D" w:rsidRPr="005C76B9">
        <w:rPr>
          <w:i/>
        </w:rPr>
        <w:t>Retirement income in Australia: Part 3 – Private resources</w:t>
      </w:r>
      <w:r w:rsidR="0012131D">
        <w:t xml:space="preserve">, </w:t>
      </w:r>
      <w:r w:rsidR="009D5B56">
        <w:t>ARC Centre of Excellence in Population Ageing Research</w:t>
      </w:r>
      <w:r w:rsidR="0012131D">
        <w:t>, Sydney</w:t>
      </w:r>
      <w:r w:rsidR="009D5B56">
        <w:t>.</w:t>
      </w:r>
    </w:p>
    <w:p w14:paraId="369883E0" w14:textId="70F6E519" w:rsidR="00BE64E3" w:rsidRPr="00BE64E3" w:rsidRDefault="00BE64E3" w:rsidP="00167708">
      <w:pPr>
        <w:rPr>
          <w:bCs/>
          <w:iCs/>
        </w:rPr>
      </w:pPr>
      <w:r>
        <w:rPr>
          <w:bCs/>
          <w:iCs/>
        </w:rPr>
        <w:t xml:space="preserve">Chant West 2019, </w:t>
      </w:r>
      <w:r w:rsidRPr="00DE452D">
        <w:rPr>
          <w:i/>
        </w:rPr>
        <w:t>Another Financial Year Off To A Positive Start</w:t>
      </w:r>
      <w:r>
        <w:rPr>
          <w:bCs/>
          <w:i/>
          <w:iCs/>
        </w:rPr>
        <w:t xml:space="preserve">, </w:t>
      </w:r>
      <w:r>
        <w:rPr>
          <w:bCs/>
          <w:iCs/>
        </w:rPr>
        <w:t xml:space="preserve">Chant West, viewed 15 November 2019. </w:t>
      </w:r>
      <w:r w:rsidR="00A9724F" w:rsidRPr="00B36968">
        <w:t>https://www.chantwest.com.au/resources/another-financial-year-off-to-a-positive-start</w:t>
      </w:r>
      <w:r>
        <w:rPr>
          <w:bCs/>
          <w:iCs/>
        </w:rPr>
        <w:t xml:space="preserve"> </w:t>
      </w:r>
    </w:p>
    <w:p w14:paraId="6E2159D8" w14:textId="38AA7E58" w:rsidR="00167708" w:rsidRPr="001008E3" w:rsidRDefault="009C7BBD" w:rsidP="00167708">
      <w:pPr>
        <w:rPr>
          <w:bCs/>
          <w:iCs/>
        </w:rPr>
      </w:pPr>
      <w:r>
        <w:rPr>
          <w:bCs/>
          <w:iCs/>
        </w:rPr>
        <w:t>Connolly, E 2007</w:t>
      </w:r>
      <w:r w:rsidR="009D5B56">
        <w:rPr>
          <w:bCs/>
          <w:iCs/>
        </w:rPr>
        <w:t>,</w:t>
      </w:r>
      <w:r>
        <w:rPr>
          <w:bCs/>
          <w:iCs/>
        </w:rPr>
        <w:t xml:space="preserve"> </w:t>
      </w:r>
      <w:r w:rsidR="00167708" w:rsidRPr="008269E3">
        <w:rPr>
          <w:i/>
        </w:rPr>
        <w:t>The effect of the Australian superannuation guarantee on household saving behaviour</w:t>
      </w:r>
      <w:r w:rsidR="00167708">
        <w:rPr>
          <w:bCs/>
          <w:iCs/>
        </w:rPr>
        <w:t>,</w:t>
      </w:r>
      <w:r w:rsidR="00167708" w:rsidRPr="008269E3">
        <w:rPr>
          <w:bCs/>
          <w:iCs/>
        </w:rPr>
        <w:t xml:space="preserve"> </w:t>
      </w:r>
      <w:r w:rsidR="00167708" w:rsidRPr="008269E3">
        <w:t>Reserve Bank of Australia Research Discussion Paper No 2007-08</w:t>
      </w:r>
      <w:r w:rsidR="00167708">
        <w:rPr>
          <w:bCs/>
          <w:iCs/>
        </w:rPr>
        <w:t xml:space="preserve">, </w:t>
      </w:r>
      <w:r w:rsidR="009D5B56">
        <w:rPr>
          <w:bCs/>
          <w:iCs/>
        </w:rPr>
        <w:t>Reserve Bank of Australia</w:t>
      </w:r>
      <w:r w:rsidR="00167708">
        <w:rPr>
          <w:bCs/>
          <w:iCs/>
        </w:rPr>
        <w:t>, Sydney</w:t>
      </w:r>
      <w:r w:rsidR="009D5B56">
        <w:rPr>
          <w:bCs/>
          <w:iCs/>
        </w:rPr>
        <w:t>.</w:t>
      </w:r>
    </w:p>
    <w:p w14:paraId="7F41EF31" w14:textId="0D295748" w:rsidR="00167708" w:rsidRDefault="009C7BBD" w:rsidP="00167708">
      <w:r>
        <w:t xml:space="preserve">Daley, J </w:t>
      </w:r>
      <w:r w:rsidR="007B4C3E">
        <w:t>and Coates, B</w:t>
      </w:r>
      <w:r>
        <w:t xml:space="preserve"> 2018, </w:t>
      </w:r>
      <w:r w:rsidR="00167708" w:rsidRPr="009C7BBD">
        <w:rPr>
          <w:i/>
        </w:rPr>
        <w:t>Money in retirement: More than enough</w:t>
      </w:r>
      <w:r w:rsidR="00167708">
        <w:t>, Grattan Institute, Melbourne</w:t>
      </w:r>
      <w:r w:rsidR="009D5B56">
        <w:t>.</w:t>
      </w:r>
    </w:p>
    <w:p w14:paraId="27921713" w14:textId="36071FE8" w:rsidR="006757B1" w:rsidRDefault="006757B1" w:rsidP="004D2826">
      <w:r>
        <w:t>Dawkins,</w:t>
      </w:r>
      <w:r w:rsidRPr="006757B1">
        <w:t xml:space="preserve"> </w:t>
      </w:r>
      <w:r>
        <w:t xml:space="preserve">J 1992, Superannuation Guarantee (Administration) </w:t>
      </w:r>
      <w:r w:rsidR="009A4D29">
        <w:t>B</w:t>
      </w:r>
      <w:r>
        <w:t xml:space="preserve">ill, </w:t>
      </w:r>
      <w:r w:rsidR="009D5B56">
        <w:t>s</w:t>
      </w:r>
      <w:r>
        <w:t>econd reading speech, April 2.</w:t>
      </w:r>
    </w:p>
    <w:p w14:paraId="37B47ED1" w14:textId="7ACA04A4" w:rsidR="001535FD" w:rsidRDefault="001535FD" w:rsidP="001535FD">
      <w:r>
        <w:t>F</w:t>
      </w:r>
      <w:r w:rsidR="009C7BBD">
        <w:t>inancial System Inquiry 2014</w:t>
      </w:r>
      <w:r w:rsidR="004D3CE2">
        <w:t>,</w:t>
      </w:r>
      <w:r w:rsidR="009C7BBD">
        <w:t xml:space="preserve"> </w:t>
      </w:r>
      <w:r w:rsidRPr="009C7BBD">
        <w:rPr>
          <w:i/>
        </w:rPr>
        <w:t>Financial System Inquiry – Interim Report</w:t>
      </w:r>
      <w:r>
        <w:t>, Australian Government, Canberra</w:t>
      </w:r>
      <w:r w:rsidR="0023605B">
        <w:t>.</w:t>
      </w:r>
    </w:p>
    <w:p w14:paraId="0975E31F" w14:textId="2AF09843" w:rsidR="00DB6113" w:rsidRDefault="00DB6113" w:rsidP="001535FD">
      <w:r>
        <w:t xml:space="preserve">FSC (Financial Services Council) 2014, </w:t>
      </w:r>
      <w:r w:rsidRPr="0045314B">
        <w:rPr>
          <w:i/>
        </w:rPr>
        <w:t>FSC-ING DIRECT Report</w:t>
      </w:r>
      <w:r>
        <w:rPr>
          <w:i/>
        </w:rPr>
        <w:t xml:space="preserve">: </w:t>
      </w:r>
      <w:r w:rsidRPr="004309D3">
        <w:rPr>
          <w:i/>
        </w:rPr>
        <w:t>Superannuation</w:t>
      </w:r>
      <w:r>
        <w:rPr>
          <w:i/>
        </w:rPr>
        <w:t xml:space="preserve"> Sentiment Index 2014, </w:t>
      </w:r>
      <w:r w:rsidRPr="00C9658E">
        <w:t>Financial Services Council, Sydney.</w:t>
      </w:r>
      <w:r>
        <w:t xml:space="preserve"> </w:t>
      </w:r>
    </w:p>
    <w:p w14:paraId="5F2C1F8A" w14:textId="05212AF9" w:rsidR="00BC18A2" w:rsidRDefault="00BC18A2" w:rsidP="00BC18A2">
      <w:r>
        <w:t>Gebler, J 2018</w:t>
      </w:r>
      <w:r w:rsidR="004D3CE2">
        <w:t>,</w:t>
      </w:r>
      <w:r>
        <w:t xml:space="preserve"> </w:t>
      </w:r>
      <w:r w:rsidRPr="00F05D48">
        <w:rPr>
          <w:i/>
        </w:rPr>
        <w:t>Analysis: Retirees spending falls faster than expected into old age</w:t>
      </w:r>
      <w:r>
        <w:rPr>
          <w:i/>
        </w:rPr>
        <w:t>,</w:t>
      </w:r>
      <w:r>
        <w:t xml:space="preserve"> Milliman</w:t>
      </w:r>
      <w:r w:rsidR="004D3CE2">
        <w:t>, Sydney, viewed</w:t>
      </w:r>
      <w:r>
        <w:t xml:space="preserve"> </w:t>
      </w:r>
      <w:r w:rsidR="004D3CE2">
        <w:t>24 October 2019.</w:t>
      </w:r>
      <w:r>
        <w:t xml:space="preserve"> </w:t>
      </w:r>
      <w:r w:rsidR="00A9724F" w:rsidRPr="00B36968">
        <w:t>http://www.milliman.com/insight/2018/Analysis-Retirees-spending-falls-faster-than-expected-into-old-age/</w:t>
      </w:r>
      <w:r w:rsidRPr="007201EA">
        <w:t xml:space="preserve"> </w:t>
      </w:r>
    </w:p>
    <w:p w14:paraId="36C995C4" w14:textId="73504463" w:rsidR="001535FD" w:rsidRDefault="001535FD" w:rsidP="001535FD">
      <w:pPr>
        <w:rPr>
          <w:bCs/>
          <w:iCs/>
        </w:rPr>
      </w:pPr>
      <w:r>
        <w:rPr>
          <w:bCs/>
          <w:iCs/>
        </w:rPr>
        <w:t>Hammond, J</w:t>
      </w:r>
      <w:r w:rsidR="0023605B">
        <w:rPr>
          <w:bCs/>
          <w:iCs/>
        </w:rPr>
        <w:t xml:space="preserve"> and</w:t>
      </w:r>
      <w:r>
        <w:rPr>
          <w:bCs/>
          <w:iCs/>
        </w:rPr>
        <w:t xml:space="preserve"> O’Brien, T 2017</w:t>
      </w:r>
      <w:r w:rsidR="0023605B">
        <w:rPr>
          <w:bCs/>
          <w:iCs/>
        </w:rPr>
        <w:t>,</w:t>
      </w:r>
      <w:r>
        <w:rPr>
          <w:bCs/>
          <w:iCs/>
        </w:rPr>
        <w:t xml:space="preserve"> </w:t>
      </w:r>
      <w:r w:rsidRPr="00452EFD">
        <w:rPr>
          <w:bCs/>
          <w:i/>
          <w:iCs/>
        </w:rPr>
        <w:t>A retirement income and savings trap caused by the Coalition’s 2017 superannuation and Age Pension change</w:t>
      </w:r>
      <w:r>
        <w:rPr>
          <w:bCs/>
          <w:i/>
          <w:iCs/>
        </w:rPr>
        <w:t>s</w:t>
      </w:r>
      <w:r w:rsidR="0023605B">
        <w:rPr>
          <w:bCs/>
          <w:iCs/>
        </w:rPr>
        <w:t xml:space="preserve">, Save Our Super, viewed 20 October 2019. </w:t>
      </w:r>
      <w:r w:rsidR="00A9724F" w:rsidRPr="00B36968">
        <w:t>http://saveoursuper.org.au/retirement-income-savings-trap-caused-coalitions-2017-superannuation-age-pension-changes/</w:t>
      </w:r>
      <w:r>
        <w:rPr>
          <w:bCs/>
          <w:iCs/>
        </w:rPr>
        <w:t xml:space="preserve"> </w:t>
      </w:r>
    </w:p>
    <w:p w14:paraId="449EDB21" w14:textId="6C90819E" w:rsidR="001535FD" w:rsidRDefault="009C7BBD" w:rsidP="001535FD">
      <w:r>
        <w:t>Harmer, J 2009</w:t>
      </w:r>
      <w:r w:rsidR="0023605B">
        <w:t>,</w:t>
      </w:r>
      <w:r>
        <w:t xml:space="preserve"> </w:t>
      </w:r>
      <w:r w:rsidR="001535FD" w:rsidRPr="009C7BBD">
        <w:rPr>
          <w:i/>
        </w:rPr>
        <w:t>Pension Review Report</w:t>
      </w:r>
      <w:r w:rsidR="001535FD">
        <w:t>,</w:t>
      </w:r>
      <w:r w:rsidR="00D02F0B" w:rsidRPr="00D02F0B">
        <w:t xml:space="preserve"> </w:t>
      </w:r>
      <w:r w:rsidR="001535FD" w:rsidRPr="00603283">
        <w:t>Department of Families, Housing, Community Services and Indigenous Affairs</w:t>
      </w:r>
      <w:r w:rsidR="001535FD">
        <w:t>,</w:t>
      </w:r>
      <w:r w:rsidR="001535FD" w:rsidRPr="00603283">
        <w:t xml:space="preserve"> </w:t>
      </w:r>
      <w:r w:rsidR="001535FD">
        <w:t>Canberra</w:t>
      </w:r>
      <w:r w:rsidR="0023605B">
        <w:t>.</w:t>
      </w:r>
    </w:p>
    <w:p w14:paraId="0EA70A26" w14:textId="3CC5CCD7" w:rsidR="005E646F" w:rsidRDefault="005E646F" w:rsidP="001535FD">
      <w:r>
        <w:t>Henry, K 2009</w:t>
      </w:r>
      <w:r w:rsidR="00B910BF">
        <w:t>,</w:t>
      </w:r>
      <w:r>
        <w:t xml:space="preserve"> </w:t>
      </w:r>
      <w:r>
        <w:rPr>
          <w:i/>
        </w:rPr>
        <w:t>Australia’s future tax system</w:t>
      </w:r>
      <w:r w:rsidR="00721D33" w:rsidRPr="009C7BBD">
        <w:rPr>
          <w:i/>
        </w:rPr>
        <w:t xml:space="preserve"> – </w:t>
      </w:r>
      <w:r w:rsidR="004A63BD">
        <w:rPr>
          <w:i/>
        </w:rPr>
        <w:t>The retirement income sy</w:t>
      </w:r>
      <w:r>
        <w:rPr>
          <w:i/>
        </w:rPr>
        <w:t>stem:</w:t>
      </w:r>
      <w:r w:rsidR="004A63BD">
        <w:rPr>
          <w:i/>
        </w:rPr>
        <w:t xml:space="preserve"> Report on strategic issues</w:t>
      </w:r>
      <w:r w:rsidR="004A63BD">
        <w:t>, Commonwealth of Australia</w:t>
      </w:r>
      <w:r w:rsidR="00A85AD9">
        <w:t>,</w:t>
      </w:r>
      <w:r w:rsidR="004A63BD">
        <w:t xml:space="preserve"> Canberra</w:t>
      </w:r>
      <w:r w:rsidR="00B910BF">
        <w:t>.</w:t>
      </w:r>
    </w:p>
    <w:p w14:paraId="65564A59" w14:textId="3927D094" w:rsidR="001535FD" w:rsidRPr="0083583B" w:rsidRDefault="001535FD" w:rsidP="001535FD">
      <w:pPr>
        <w:spacing w:before="0" w:after="0"/>
        <w:rPr>
          <w:rFonts w:asciiTheme="minorHAnsi" w:hAnsiTheme="minorHAnsi" w:cs="Arial"/>
          <w:shd w:val="clear" w:color="auto" w:fill="FFFFFF"/>
        </w:rPr>
      </w:pPr>
      <w:r>
        <w:t>Mercer 2016</w:t>
      </w:r>
      <w:r w:rsidR="009A4D29">
        <w:t>,</w:t>
      </w:r>
      <w:r>
        <w:t xml:space="preserve"> </w:t>
      </w:r>
      <w:r w:rsidRPr="009C7BBD">
        <w:rPr>
          <w:i/>
        </w:rPr>
        <w:t>Melbourne Mercer Global Pension Index 2016</w:t>
      </w:r>
      <w:r>
        <w:t>, Australian Centre for Financial Studies, Melbourne</w:t>
      </w:r>
      <w:r w:rsidR="009A4D29">
        <w:t>.</w:t>
      </w:r>
    </w:p>
    <w:p w14:paraId="3A6F279A" w14:textId="29902D43" w:rsidR="001535FD" w:rsidRPr="0083583B" w:rsidRDefault="001535FD" w:rsidP="001535FD">
      <w:pPr>
        <w:rPr>
          <w:rFonts w:asciiTheme="minorHAnsi" w:hAnsiTheme="minorHAnsi" w:cs="Arial"/>
          <w:shd w:val="clear" w:color="auto" w:fill="FFFFFF"/>
        </w:rPr>
      </w:pPr>
      <w:r w:rsidRPr="0083583B">
        <w:rPr>
          <w:rFonts w:asciiTheme="minorHAnsi" w:hAnsiTheme="minorHAnsi" w:cs="Arial"/>
          <w:shd w:val="clear" w:color="auto" w:fill="FFFFFF"/>
        </w:rPr>
        <w:t>Merc</w:t>
      </w:r>
      <w:r w:rsidR="009C7BBD">
        <w:rPr>
          <w:rFonts w:asciiTheme="minorHAnsi" w:hAnsiTheme="minorHAnsi" w:cs="Arial"/>
          <w:shd w:val="clear" w:color="auto" w:fill="FFFFFF"/>
        </w:rPr>
        <w:t>er 2019</w:t>
      </w:r>
      <w:r w:rsidR="009A4D29">
        <w:rPr>
          <w:rFonts w:asciiTheme="minorHAnsi" w:hAnsiTheme="minorHAnsi" w:cs="Arial"/>
          <w:shd w:val="clear" w:color="auto" w:fill="FFFFFF"/>
        </w:rPr>
        <w:t>,</w:t>
      </w:r>
      <w:r w:rsidR="009C7BBD">
        <w:rPr>
          <w:rFonts w:asciiTheme="minorHAnsi" w:hAnsiTheme="minorHAnsi" w:cs="Arial"/>
          <w:shd w:val="clear" w:color="auto" w:fill="FFFFFF"/>
        </w:rPr>
        <w:t xml:space="preserve"> </w:t>
      </w:r>
      <w:r w:rsidRPr="009C7BBD">
        <w:rPr>
          <w:rFonts w:asciiTheme="minorHAnsi" w:hAnsiTheme="minorHAnsi" w:cs="Arial"/>
          <w:i/>
          <w:shd w:val="clear" w:color="auto" w:fill="FFFFFF"/>
        </w:rPr>
        <w:t>Melbourne Mercer Global Pension Index 2019</w:t>
      </w:r>
      <w:r w:rsidRPr="004D6391">
        <w:rPr>
          <w:rFonts w:asciiTheme="minorHAnsi" w:hAnsiTheme="minorHAnsi" w:cs="Arial"/>
          <w:shd w:val="clear" w:color="auto" w:fill="FFFFFF"/>
        </w:rPr>
        <w:t xml:space="preserve">, </w:t>
      </w:r>
      <w:r>
        <w:rPr>
          <w:rFonts w:asciiTheme="minorHAnsi" w:hAnsiTheme="minorHAnsi" w:cs="Arial"/>
          <w:shd w:val="clear" w:color="auto" w:fill="FFFFFF"/>
        </w:rPr>
        <w:t>Monash Centre for Financial Studies, Melbourne</w:t>
      </w:r>
      <w:r w:rsidR="009A4D29">
        <w:rPr>
          <w:rFonts w:asciiTheme="minorHAnsi" w:hAnsiTheme="minorHAnsi" w:cs="Arial"/>
          <w:shd w:val="clear" w:color="auto" w:fill="FFFFFF"/>
        </w:rPr>
        <w:t>.</w:t>
      </w:r>
    </w:p>
    <w:p w14:paraId="64C1B846" w14:textId="5114423E" w:rsidR="00DB6113" w:rsidRDefault="00DB6113" w:rsidP="001535FD">
      <w:r>
        <w:t xml:space="preserve">OECD (Organisation for Economic Co-operation and Development) 2012, </w:t>
      </w:r>
      <w:r w:rsidRPr="009C7BBD">
        <w:rPr>
          <w:i/>
        </w:rPr>
        <w:t>OECD Pensions Outlook 2012</w:t>
      </w:r>
      <w:r>
        <w:rPr>
          <w:i/>
        </w:rPr>
        <w:t xml:space="preserve">, </w:t>
      </w:r>
      <w:r>
        <w:t>OECD Publishing, Paris.</w:t>
      </w:r>
    </w:p>
    <w:p w14:paraId="28CFCB7D" w14:textId="6314A7F4" w:rsidR="001535FD" w:rsidRDefault="009C7BBD" w:rsidP="001535FD">
      <w:r>
        <w:t>OECD (</w:t>
      </w:r>
      <w:r w:rsidR="001535FD">
        <w:t>Organisation for Economic Co-op</w:t>
      </w:r>
      <w:r>
        <w:t>eration and Development) 2017</w:t>
      </w:r>
      <w:r w:rsidR="009A4D29">
        <w:t>,</w:t>
      </w:r>
      <w:r>
        <w:t xml:space="preserve"> </w:t>
      </w:r>
      <w:r w:rsidR="001535FD" w:rsidRPr="009C7BBD">
        <w:rPr>
          <w:i/>
        </w:rPr>
        <w:t>Pensions at a Glance 2017: OECD and G20 Indicators</w:t>
      </w:r>
      <w:r w:rsidR="001535FD">
        <w:t>, OECD Publishing, Paris</w:t>
      </w:r>
      <w:r w:rsidR="009A4D29">
        <w:t>.</w:t>
      </w:r>
    </w:p>
    <w:p w14:paraId="41102691" w14:textId="2EEF5374" w:rsidR="00CF2907" w:rsidRDefault="00CF2907" w:rsidP="001535FD">
      <w:r w:rsidRPr="00052A81">
        <w:t xml:space="preserve">Parliament of Australia 2017, </w:t>
      </w:r>
      <w:r w:rsidRPr="00DE452D">
        <w:rPr>
          <w:i/>
        </w:rPr>
        <w:t>Bills Digest no. 69 of 2016-17</w:t>
      </w:r>
      <w:r w:rsidRPr="00052A81">
        <w:t xml:space="preserve">, </w:t>
      </w:r>
      <w:r w:rsidRPr="00052A81">
        <w:rPr>
          <w:lang w:val="en"/>
        </w:rPr>
        <w:t xml:space="preserve">Superannuation (Objective) Bill 2016, </w:t>
      </w:r>
      <w:r>
        <w:rPr>
          <w:lang w:val="en"/>
        </w:rPr>
        <w:t>Canberra</w:t>
      </w:r>
      <w:r w:rsidR="003921FE">
        <w:rPr>
          <w:lang w:val="en"/>
        </w:rPr>
        <w:t>.</w:t>
      </w:r>
    </w:p>
    <w:p w14:paraId="62804BB2" w14:textId="1F73C449" w:rsidR="001535FD" w:rsidRDefault="001535FD" w:rsidP="001535FD">
      <w:r>
        <w:t xml:space="preserve">Productivity Commission 2018, </w:t>
      </w:r>
      <w:r w:rsidRPr="008269E3">
        <w:rPr>
          <w:i/>
        </w:rPr>
        <w:t>Superannuation: Assessing Efficiency and Competitiveness</w:t>
      </w:r>
      <w:r>
        <w:rPr>
          <w:i/>
        </w:rPr>
        <w:t>,</w:t>
      </w:r>
      <w:r w:rsidRPr="008269E3">
        <w:t xml:space="preserve"> Report No. 91</w:t>
      </w:r>
      <w:r>
        <w:t xml:space="preserve">, </w:t>
      </w:r>
      <w:r w:rsidR="003921FE">
        <w:t xml:space="preserve">Productivity Commission, </w:t>
      </w:r>
      <w:r>
        <w:t>Canberra</w:t>
      </w:r>
      <w:r w:rsidR="003921FE">
        <w:t>.</w:t>
      </w:r>
    </w:p>
    <w:p w14:paraId="62870807" w14:textId="56216B0C" w:rsidR="009A63FA" w:rsidRDefault="009A63FA" w:rsidP="001535FD">
      <w:r>
        <w:t>RBA (Reserve Ban</w:t>
      </w:r>
      <w:r w:rsidR="0036665B">
        <w:t>k of Australia)</w:t>
      </w:r>
      <w:r w:rsidR="003A3640">
        <w:t xml:space="preserve"> 2019</w:t>
      </w:r>
      <w:r w:rsidR="0036665B">
        <w:t xml:space="preserve">, </w:t>
      </w:r>
      <w:r w:rsidR="0036665B" w:rsidRPr="00DE452D">
        <w:rPr>
          <w:i/>
        </w:rPr>
        <w:t>Statistical Tables, Household Finances – Selected Ratios</w:t>
      </w:r>
      <w:r w:rsidR="00D54CE4">
        <w:rPr>
          <w:i/>
        </w:rPr>
        <w:t xml:space="preserve"> </w:t>
      </w:r>
      <w:r w:rsidR="00D54CE4" w:rsidRPr="006910E0">
        <w:rPr>
          <w:i/>
        </w:rPr>
        <w:t>–</w:t>
      </w:r>
      <w:r w:rsidR="00D54CE4">
        <w:rPr>
          <w:i/>
        </w:rPr>
        <w:t xml:space="preserve"> </w:t>
      </w:r>
      <w:r w:rsidR="0050386C" w:rsidRPr="00DE452D">
        <w:rPr>
          <w:i/>
        </w:rPr>
        <w:t>Table</w:t>
      </w:r>
      <w:r w:rsidR="00721D33">
        <w:rPr>
          <w:i/>
        </w:rPr>
        <w:t> </w:t>
      </w:r>
      <w:r w:rsidR="0036665B" w:rsidRPr="00DE452D">
        <w:rPr>
          <w:i/>
        </w:rPr>
        <w:t>E2</w:t>
      </w:r>
      <w:r w:rsidR="0050386C">
        <w:t>, viewed 14 November 2019.</w:t>
      </w:r>
    </w:p>
    <w:p w14:paraId="310E281D" w14:textId="4866E35D" w:rsidR="00DB6113" w:rsidRPr="00DE452D" w:rsidRDefault="00DB6113" w:rsidP="001535FD">
      <w:r>
        <w:lastRenderedPageBreak/>
        <w:t>Reeson, A, Zhu, Z, Sneddon, T, Stephenson, A,</w:t>
      </w:r>
      <w:r w:rsidR="008269E3">
        <w:t xml:space="preserve"> Hobman, L and Toscas, P 2016, </w:t>
      </w:r>
      <w:r w:rsidRPr="008269E3">
        <w:rPr>
          <w:i/>
        </w:rPr>
        <w:t>Superannuation Drawdown Behaviour: An Analysis of Longitudinal Data</w:t>
      </w:r>
      <w:r>
        <w:t>,</w:t>
      </w:r>
      <w:r w:rsidRPr="008269E3">
        <w:t xml:space="preserve"> CSIRO-Monash Working Paper No 2016-04</w:t>
      </w:r>
      <w:r>
        <w:t xml:space="preserve">, </w:t>
      </w:r>
      <w:r w:rsidRPr="00A06FE0">
        <w:t xml:space="preserve">CSIRO-Monash </w:t>
      </w:r>
      <w:r>
        <w:t>Superannuation Research Cluster, Canberra.</w:t>
      </w:r>
    </w:p>
    <w:p w14:paraId="64EC8366" w14:textId="77AA238A" w:rsidR="001535FD" w:rsidRDefault="0087096F" w:rsidP="001535FD">
      <w:pPr>
        <w:rPr>
          <w:bCs/>
          <w:iCs/>
        </w:rPr>
      </w:pPr>
      <w:r>
        <w:rPr>
          <w:bCs/>
          <w:iCs/>
        </w:rPr>
        <w:t>Rice, M and Bonarius, N</w:t>
      </w:r>
      <w:r w:rsidR="001535FD">
        <w:rPr>
          <w:bCs/>
          <w:iCs/>
        </w:rPr>
        <w:t xml:space="preserve"> 2019</w:t>
      </w:r>
      <w:r>
        <w:rPr>
          <w:bCs/>
          <w:iCs/>
        </w:rPr>
        <w:t>,</w:t>
      </w:r>
      <w:r w:rsidR="001535FD">
        <w:rPr>
          <w:bCs/>
          <w:iCs/>
        </w:rPr>
        <w:t xml:space="preserve"> </w:t>
      </w:r>
      <w:r w:rsidR="00275BD1">
        <w:rPr>
          <w:bCs/>
          <w:i/>
          <w:iCs/>
        </w:rPr>
        <w:t>What is the right level of superannuation guarantee?</w:t>
      </w:r>
      <w:r>
        <w:rPr>
          <w:bCs/>
          <w:i/>
          <w:iCs/>
        </w:rPr>
        <w:t xml:space="preserve">, </w:t>
      </w:r>
      <w:r w:rsidRPr="00DE452D">
        <w:t>Rice Warner, Sydney.</w:t>
      </w:r>
      <w:r w:rsidR="00037CC2">
        <w:rPr>
          <w:bCs/>
          <w:iCs/>
        </w:rPr>
        <w:t xml:space="preserve"> </w:t>
      </w:r>
    </w:p>
    <w:p w14:paraId="521CC589" w14:textId="0B48B18A" w:rsidR="00272F8A" w:rsidRDefault="00726BD5" w:rsidP="002B3432">
      <w:r>
        <w:t xml:space="preserve">Senate Standing Committees on Economics </w:t>
      </w:r>
      <w:r w:rsidR="00272F8A">
        <w:t>2015</w:t>
      </w:r>
      <w:r w:rsidR="003921FE">
        <w:t>,</w:t>
      </w:r>
      <w:r w:rsidR="00272F8A">
        <w:t xml:space="preserve"> </w:t>
      </w:r>
      <w:r w:rsidR="00272F8A" w:rsidRPr="009C7BBD">
        <w:rPr>
          <w:i/>
        </w:rPr>
        <w:t>Out of reach? The Australian housing affordability challenge</w:t>
      </w:r>
      <w:r w:rsidR="00272F8A">
        <w:t xml:space="preserve">, </w:t>
      </w:r>
      <w:r>
        <w:t>Parliament of Australia,</w:t>
      </w:r>
      <w:r w:rsidR="00272F8A">
        <w:t xml:space="preserve"> </w:t>
      </w:r>
      <w:r w:rsidR="00A06FE0">
        <w:t>Canberra</w:t>
      </w:r>
      <w:r w:rsidR="003921FE">
        <w:t>.</w:t>
      </w:r>
    </w:p>
    <w:p w14:paraId="63C3E30B" w14:textId="72C3C6F8" w:rsidR="008A2BDE" w:rsidRDefault="008A2BDE" w:rsidP="001535FD">
      <w:r>
        <w:t>S</w:t>
      </w:r>
      <w:r w:rsidR="001363DB">
        <w:t>M</w:t>
      </w:r>
      <w:r>
        <w:t xml:space="preserve">SF Association 2017, </w:t>
      </w:r>
      <w:r w:rsidR="00332D8D" w:rsidRPr="00B36968">
        <w:rPr>
          <w:i/>
        </w:rPr>
        <w:t xml:space="preserve">SMSF Association </w:t>
      </w:r>
      <w:r w:rsidRPr="00B36968">
        <w:rPr>
          <w:i/>
        </w:rPr>
        <w:t>submission to the Productivity Commission Superannuation Issues Paper</w:t>
      </w:r>
      <w:r>
        <w:t xml:space="preserve">, </w:t>
      </w:r>
      <w:r w:rsidR="0081365F">
        <w:t>SMSF Association, Adelaide.</w:t>
      </w:r>
      <w:r>
        <w:t xml:space="preserve"> </w:t>
      </w:r>
    </w:p>
    <w:p w14:paraId="5F2A6EF1" w14:textId="5247CBCE" w:rsidR="001535FD" w:rsidRDefault="001535FD" w:rsidP="001535FD">
      <w:r>
        <w:t>Super</w:t>
      </w:r>
      <w:r w:rsidR="009C7BBD">
        <w:t>annuation Charter Group 2013</w:t>
      </w:r>
      <w:r w:rsidR="003921FE">
        <w:t>,</w:t>
      </w:r>
      <w:r w:rsidR="009C7BBD">
        <w:t xml:space="preserve"> </w:t>
      </w:r>
      <w:r w:rsidRPr="009C7BBD">
        <w:rPr>
          <w:i/>
        </w:rPr>
        <w:t>A super charter: fewer changes, better outcomes</w:t>
      </w:r>
      <w:r>
        <w:t>, Australian Treasury, Canberra</w:t>
      </w:r>
      <w:r w:rsidR="003921FE">
        <w:t>.</w:t>
      </w:r>
      <w:r>
        <w:rPr>
          <w:rStyle w:val="CommentReference"/>
          <w:rFonts w:asciiTheme="minorHAnsi" w:eastAsiaTheme="minorHAnsi" w:hAnsiTheme="minorHAnsi" w:cstheme="minorBidi"/>
          <w:lang w:eastAsia="en-US"/>
        </w:rPr>
        <w:t xml:space="preserve"> </w:t>
      </w:r>
    </w:p>
    <w:p w14:paraId="2921D9C7" w14:textId="6BD59708" w:rsidR="002B3432" w:rsidRDefault="00F64A05" w:rsidP="002B3432">
      <w:r>
        <w:t xml:space="preserve">World Bank </w:t>
      </w:r>
      <w:r w:rsidR="00F33CFB">
        <w:t>1994</w:t>
      </w:r>
      <w:r w:rsidR="003921FE">
        <w:t>,</w:t>
      </w:r>
      <w:r>
        <w:t xml:space="preserve"> </w:t>
      </w:r>
      <w:r w:rsidRPr="00DE452D">
        <w:rPr>
          <w:i/>
        </w:rPr>
        <w:t xml:space="preserve">Averting the Old Age </w:t>
      </w:r>
      <w:r w:rsidRPr="00B36968">
        <w:rPr>
          <w:i/>
        </w:rPr>
        <w:t>Crisis</w:t>
      </w:r>
      <w:r w:rsidR="00BF0775">
        <w:t>,</w:t>
      </w:r>
      <w:r>
        <w:t xml:space="preserve"> World Bank, Washington</w:t>
      </w:r>
      <w:r w:rsidR="003921FE">
        <w:t>.</w:t>
      </w:r>
    </w:p>
    <w:p w14:paraId="0CF1B388" w14:textId="697F2860" w:rsidR="002B3432" w:rsidRPr="00592579" w:rsidRDefault="002B3432" w:rsidP="002B3432"/>
    <w:sectPr w:rsidR="002B3432" w:rsidRPr="00592579" w:rsidSect="0012459F">
      <w:headerReference w:type="even" r:id="rId29"/>
      <w:headerReference w:type="default" r:id="rId30"/>
      <w:footerReference w:type="even" r:id="rId31"/>
      <w:footerReference w:type="default" r:id="rId32"/>
      <w:headerReference w:type="first" r:id="rId33"/>
      <w:footerReference w:type="first" r:id="rId34"/>
      <w:pgSz w:w="11906" w:h="16838" w:code="9"/>
      <w:pgMar w:top="1418" w:right="1418" w:bottom="1418" w:left="1418" w:header="709" w:footer="709" w:gutter="0"/>
      <w:pgNumType w:start="1"/>
      <w:cols w:space="708"/>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43E5EA99" w16cid:durableId="4C3E3472"/>
  <w16cid:commentId w16cid:paraId="504A4EB9" w16cid:durableId="2E6AA671"/>
  <w16cid:commentId w16cid:paraId="3FAAD39F" w16cid:durableId="45BD9617"/>
  <w16cid:commentId w16cid:paraId="50D3BCA2" w16cid:durableId="77F8481F"/>
  <w16cid:commentId w16cid:paraId="43D8E20A" w16cid:durableId="7B0D8231"/>
  <w16cid:commentId w16cid:paraId="0974FD9F" w16cid:durableId="021601DF"/>
  <w16cid:commentId w16cid:paraId="2F6C3657" w16cid:durableId="3D506A5B"/>
  <w16cid:commentId w16cid:paraId="328290DB" w16cid:durableId="448D27A2"/>
  <w16cid:commentId w16cid:paraId="04E0BC16" w16cid:durableId="6A963690"/>
  <w16cid:commentId w16cid:paraId="03019958" w16cid:durableId="3831BC4D"/>
  <w16cid:commentId w16cid:paraId="5B1B263F" w16cid:durableId="5EF8A675"/>
  <w16cid:commentId w16cid:paraId="69F970F7" w16cid:durableId="3235555E"/>
  <w16cid:commentId w16cid:paraId="27E8077B" w16cid:durableId="40EB2120"/>
  <w16cid:commentId w16cid:paraId="4837C43D" w16cid:durableId="727E692A"/>
  <w16cid:commentId w16cid:paraId="50A9809A" w16cid:durableId="306C8CA9"/>
  <w16cid:commentId w16cid:paraId="55C3A1C2" w16cid:durableId="007B2493"/>
  <w16cid:commentId w16cid:paraId="35D90998" w16cid:durableId="61001D16"/>
  <w16cid:commentId w16cid:paraId="6424CD78" w16cid:durableId="1745230E"/>
  <w16cid:commentId w16cid:paraId="7707944E" w16cid:durableId="4B646ACC"/>
  <w16cid:commentId w16cid:paraId="30FFEB27" w16cid:durableId="56BF6AFB"/>
  <w16cid:commentId w16cid:paraId="218A9335" w16cid:durableId="2A510E01"/>
  <w16cid:commentId w16cid:paraId="02F89112" w16cid:durableId="6CA506CA"/>
  <w16cid:commentId w16cid:paraId="3BEA1459" w16cid:durableId="04D3FFB6"/>
  <w16cid:commentId w16cid:paraId="6DEE88EA" w16cid:durableId="42CC0C42"/>
  <w16cid:commentId w16cid:paraId="188DC442" w16cid:durableId="40DEE4A3"/>
  <w16cid:commentId w16cid:paraId="4714C818" w16cid:durableId="6D94A8C4"/>
  <w16cid:commentId w16cid:paraId="70FC94C6" w16cid:durableId="3F4F2D00"/>
  <w16cid:commentId w16cid:paraId="2016DBBD" w16cid:durableId="10E5F548"/>
  <w16cid:commentId w16cid:paraId="79BB4960" w16cid:durableId="23BC0096"/>
  <w16cid:commentId w16cid:paraId="3BB1D386" w16cid:durableId="5EC5322F"/>
  <w16cid:commentId w16cid:paraId="5E6A0A07" w16cid:durableId="71908519"/>
  <w16cid:commentId w16cid:paraId="4A59A8AE" w16cid:durableId="75C362B8"/>
  <w16cid:commentId w16cid:paraId="7F7CEFEB" w16cid:durableId="50A56143"/>
  <w16cid:commentId w16cid:paraId="009A730E" w16cid:durableId="433C9952"/>
  <w16cid:commentId w16cid:paraId="48F21474" w16cid:durableId="47B1B42B"/>
  <w16cid:commentId w16cid:paraId="21CF0347" w16cid:durableId="45F8F070"/>
  <w16cid:commentId w16cid:paraId="331951AF" w16cid:durableId="31843B9D"/>
  <w16cid:commentId w16cid:paraId="4DB78EFF" w16cid:durableId="47DB6E5C"/>
  <w16cid:commentId w16cid:paraId="4C0386F7" w16cid:durableId="1BA4EA6E"/>
  <w16cid:commentId w16cid:paraId="5E6D52AD" w16cid:durableId="7BBFEF2E"/>
  <w16cid:commentId w16cid:paraId="732ED915" w16cid:durableId="3FE670C6"/>
  <w16cid:commentId w16cid:paraId="3141C082" w16cid:durableId="469C2EFF"/>
  <w16cid:commentId w16cid:paraId="34FB0501" w16cid:durableId="2057E7D9"/>
  <w16cid:commentId w16cid:paraId="2D4BAD02" w16cid:durableId="44D61BC9"/>
  <w16cid:commentId w16cid:paraId="42A7400F" w16cid:durableId="76593407"/>
  <w16cid:commentId w16cid:paraId="2513C75B" w16cid:durableId="0086A86E"/>
  <w16cid:commentId w16cid:paraId="1E195A54" w16cid:durableId="2C14C603"/>
  <w16cid:commentId w16cid:paraId="3D743451" w16cid:durableId="69D3CCDD"/>
  <w16cid:commentId w16cid:paraId="12D2A88F" w16cid:durableId="47678AC9"/>
  <w16cid:commentId w16cid:paraId="7DA805B9" w16cid:durableId="55309E42"/>
  <w16cid:commentId w16cid:paraId="27EB7482" w16cid:durableId="4A6A26CF"/>
  <w16cid:commentId w16cid:paraId="086A69E9" w16cid:durableId="216FD3FB"/>
  <w16cid:commentId w16cid:paraId="48ED2934" w16cid:durableId="0D9EB68F"/>
  <w16cid:commentId w16cid:paraId="03072F3A" w16cid:durableId="3E5FBDCC"/>
  <w16cid:commentId w16cid:paraId="2C76B806" w16cid:durableId="3BEBD52C"/>
  <w16cid:commentId w16cid:paraId="0C78DFBB" w16cid:durableId="0E8CD50F"/>
  <w16cid:commentId w16cid:paraId="0D7183D9" w16cid:durableId="5FC95433"/>
  <w16cid:commentId w16cid:paraId="5D317047" w16cid:durableId="0A6A2351"/>
  <w16cid:commentId w16cid:paraId="58E6DB4D" w16cid:durableId="7943F999"/>
  <w16cid:commentId w16cid:paraId="6427ADF8" w16cid:durableId="5E29C3F6"/>
  <w16cid:commentId w16cid:paraId="1C12B69E" w16cid:durableId="3551CDA7"/>
  <w16cid:commentId w16cid:paraId="750343B0" w16cid:durableId="10353608"/>
  <w16cid:commentId w16cid:paraId="6A0586F3" w16cid:durableId="7D9A5171"/>
  <w16cid:commentId w16cid:paraId="25245257" w16cid:durableId="5076A983"/>
  <w16cid:commentId w16cid:paraId="0854C8F3" w16cid:durableId="7B71164E"/>
  <w16cid:commentId w16cid:paraId="46FA3B9D" w16cid:durableId="60481E3D"/>
  <w16cid:commentId w16cid:paraId="5861FCD8" w16cid:durableId="5F470DBD"/>
  <w16cid:commentId w16cid:paraId="3965942C" w16cid:durableId="27A2ADAF"/>
  <w16cid:commentId w16cid:paraId="502BEF65" w16cid:durableId="0CF17A80"/>
  <w16cid:commentId w16cid:paraId="7262068C" w16cid:durableId="0E394A5E"/>
  <w16cid:commentId w16cid:paraId="0E28D77A" w16cid:durableId="6461BE48"/>
  <w16cid:commentId w16cid:paraId="50323E2D" w16cid:durableId="7CD75361"/>
  <w16cid:commentId w16cid:paraId="32FE90BB" w16cid:durableId="5210903A"/>
  <w16cid:commentId w16cid:paraId="1F010F43" w16cid:durableId="207EF79D"/>
  <w16cid:commentId w16cid:paraId="5EE0E688" w16cid:durableId="5E30993D"/>
  <w16cid:commentId w16cid:paraId="1CF9A5F1" w16cid:durableId="3908B2F2"/>
  <w16cid:commentId w16cid:paraId="5FE48DC3" w16cid:durableId="40AFC3AB"/>
  <w16cid:commentId w16cid:paraId="68D7D9AE" w16cid:durableId="0EE3A31E"/>
  <w16cid:commentId w16cid:paraId="016C7078" w16cid:durableId="5060A688"/>
  <w16cid:commentId w16cid:paraId="70830A4E" w16cid:durableId="4553A447"/>
  <w16cid:commentId w16cid:paraId="6A48D284" w16cid:durableId="6B1D664C"/>
  <w16cid:commentId w16cid:paraId="306B94E4" w16cid:durableId="1187EEA3"/>
  <w16cid:commentId w16cid:paraId="09F6A80C" w16cid:durableId="7979D114"/>
  <w16cid:commentId w16cid:paraId="3C5906DC" w16cid:durableId="4D4FBD15"/>
  <w16cid:commentId w16cid:paraId="014D07B6" w16cid:durableId="158D3E65"/>
  <w16cid:commentId w16cid:paraId="13A9CA34" w16cid:durableId="40211D02"/>
  <w16cid:commentId w16cid:paraId="69213D4F" w16cid:durableId="3E81CC02"/>
  <w16cid:commentId w16cid:paraId="05383EE2" w16cid:durableId="06C91B6A"/>
  <w16cid:commentId w16cid:paraId="4143F4F6" w16cid:durableId="347462A4"/>
  <w16cid:commentId w16cid:paraId="759ECF2C" w16cid:durableId="006E195E"/>
  <w16cid:commentId w16cid:paraId="0C1DACCA" w16cid:durableId="3706BCB9"/>
  <w16cid:commentId w16cid:paraId="43735AB9" w16cid:durableId="208F749D"/>
  <w16cid:commentId w16cid:paraId="526A022C" w16cid:durableId="72E89CC6"/>
  <w16cid:commentId w16cid:paraId="4477E54A" w16cid:durableId="50D8CED1"/>
  <w16cid:commentId w16cid:paraId="3042FBBC" w16cid:durableId="194D1A0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9584FA" w14:textId="77777777" w:rsidR="00C46C05" w:rsidRDefault="00C46C05">
      <w:pPr>
        <w:spacing w:before="0" w:after="0"/>
      </w:pPr>
      <w:r>
        <w:separator/>
      </w:r>
    </w:p>
  </w:endnote>
  <w:endnote w:type="continuationSeparator" w:id="0">
    <w:p w14:paraId="3F3C8103" w14:textId="77777777" w:rsidR="00C46C05" w:rsidRDefault="00C46C05">
      <w:pPr>
        <w:spacing w:before="0" w:after="0"/>
      </w:pPr>
      <w:r>
        <w:continuationSeparator/>
      </w:r>
    </w:p>
  </w:endnote>
  <w:endnote w:type="continuationNotice" w:id="1">
    <w:p w14:paraId="7916E09D" w14:textId="77777777" w:rsidR="00C46C05" w:rsidRDefault="00C46C0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Rockwell">
    <w:panose1 w:val="02060603020205020403"/>
    <w:charset w:val="00"/>
    <w:family w:val="roman"/>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7628D5" w14:textId="38FA4EFD" w:rsidR="00C46C05" w:rsidRPr="00E1136B" w:rsidRDefault="00C46C05" w:rsidP="00E1136B">
    <w:pPr>
      <w:pStyle w:val="Footer"/>
    </w:pPr>
    <w:r>
      <w:fldChar w:fldCharType="begin"/>
    </w:r>
    <w:r>
      <w:instrText xml:space="preserve"> PAGE   \* MERGEFORMAT </w:instrText>
    </w:r>
    <w:r>
      <w:fldChar w:fldCharType="separate"/>
    </w:r>
    <w:r w:rsidR="006B0140">
      <w:rPr>
        <w:noProof/>
      </w:rPr>
      <w:t>v</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E11A47" w14:textId="77777777" w:rsidR="00C46C05" w:rsidRPr="00E77C89" w:rsidRDefault="00C46C05" w:rsidP="0017089D">
    <w:r>
      <w:fldChar w:fldCharType="begin"/>
    </w:r>
    <w:r>
      <w:instrText xml:space="preserve"> PAGE  \* Arabic  \* MERGEFORMAT </w:instrText>
    </w:r>
    <w:r>
      <w:fldChar w:fldCharType="separate"/>
    </w:r>
    <w:r>
      <w:t>6</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7C94C" w14:textId="77777777" w:rsidR="00C46C05" w:rsidRPr="00E77C89" w:rsidRDefault="00C46C05" w:rsidP="0017089D"/>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C57A75" w14:textId="5657ACFC" w:rsidR="00C46C05" w:rsidRPr="00E1136B" w:rsidRDefault="00C46C05" w:rsidP="00E1136B">
    <w:pPr>
      <w:pStyle w:val="Footer"/>
    </w:pPr>
    <w:r>
      <w:fldChar w:fldCharType="begin"/>
    </w:r>
    <w:r>
      <w:instrText xml:space="preserve"> PAGE   \* MERGEFORMAT </w:instrText>
    </w:r>
    <w:r>
      <w:fldChar w:fldCharType="separate"/>
    </w:r>
    <w:r w:rsidR="006B0140">
      <w:rPr>
        <w:noProof/>
      </w:rPr>
      <w:t>16</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EE5628" w14:textId="77777777" w:rsidR="00C46C05" w:rsidRDefault="00C46C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871D43" w14:textId="77777777" w:rsidR="00C46C05" w:rsidRDefault="00C46C05">
      <w:pPr>
        <w:spacing w:before="0" w:after="0"/>
      </w:pPr>
      <w:r>
        <w:separator/>
      </w:r>
    </w:p>
  </w:footnote>
  <w:footnote w:type="continuationSeparator" w:id="0">
    <w:p w14:paraId="43E698F4" w14:textId="77777777" w:rsidR="00C46C05" w:rsidRDefault="00C46C05">
      <w:pPr>
        <w:spacing w:before="0" w:after="0"/>
      </w:pPr>
      <w:r>
        <w:continuationSeparator/>
      </w:r>
    </w:p>
  </w:footnote>
  <w:footnote w:type="continuationNotice" w:id="1">
    <w:p w14:paraId="47B81E7E" w14:textId="77777777" w:rsidR="00C46C05" w:rsidRDefault="00C46C05">
      <w:pPr>
        <w:spacing w:before="0" w:after="0"/>
      </w:pPr>
    </w:p>
  </w:footnote>
  <w:footnote w:id="2">
    <w:p w14:paraId="2CEA6686" w14:textId="4D9BF63C" w:rsidR="00C46C05" w:rsidRDefault="00C46C05">
      <w:pPr>
        <w:pStyle w:val="FootnoteText"/>
      </w:pPr>
      <w:r>
        <w:rPr>
          <w:rStyle w:val="FootnoteReference"/>
        </w:rPr>
        <w:footnoteRef/>
      </w:r>
      <w:r>
        <w:t xml:space="preserve"> </w:t>
      </w:r>
      <w:r>
        <w:tab/>
        <w:t>As at September 2019.</w:t>
      </w:r>
    </w:p>
  </w:footnote>
  <w:footnote w:id="3">
    <w:p w14:paraId="5E0EEC4C" w14:textId="7E186DCA" w:rsidR="00C46C05" w:rsidRDefault="00C46C05">
      <w:pPr>
        <w:pStyle w:val="FootnoteText"/>
      </w:pPr>
      <w:r>
        <w:rPr>
          <w:rStyle w:val="FootnoteReference"/>
        </w:rPr>
        <w:footnoteRef/>
      </w:r>
      <w:r>
        <w:t xml:space="preserve"> </w:t>
      </w:r>
      <w:r>
        <w:tab/>
        <w:t>Note</w:t>
      </w:r>
      <w:r w:rsidRPr="006E1439">
        <w:t xml:space="preserve">: ‘Other financial assets’ is all financial assets excluding superannuation. ‘Other non-financial assets’ is all </w:t>
      </w:r>
      <w:r>
        <w:t>non</w:t>
      </w:r>
      <w:r>
        <w:noBreakHyphen/>
      </w:r>
      <w:r w:rsidRPr="006E1439">
        <w:t>financial assets excluding owner-occupied dwelling. *Data for age bracket 15-24</w:t>
      </w:r>
      <w:r>
        <w:t xml:space="preserve"> years</w:t>
      </w:r>
      <w:r w:rsidRPr="006E1439">
        <w:t xml:space="preserve"> include standard deviations of up to 50 per cent and should therefore be used with caution</w:t>
      </w:r>
      <w:r>
        <w:t>.</w:t>
      </w:r>
    </w:p>
    <w:p w14:paraId="0A503668" w14:textId="4235AB5B" w:rsidR="00C46C05" w:rsidRDefault="00C46C05">
      <w:pPr>
        <w:pStyle w:val="FootnoteText"/>
      </w:pPr>
      <w:r>
        <w:tab/>
      </w:r>
    </w:p>
  </w:footnote>
  <w:footnote w:id="4">
    <w:p w14:paraId="30074E0B" w14:textId="72C67C46" w:rsidR="00C46C05" w:rsidRPr="00DE575A" w:rsidRDefault="00C46C05" w:rsidP="00DE575A">
      <w:pPr>
        <w:pStyle w:val="FootnoteText"/>
      </w:pPr>
      <w:r w:rsidRPr="00DE575A">
        <w:rPr>
          <w:rStyle w:val="FootnoteReference"/>
        </w:rPr>
        <w:footnoteRef/>
      </w:r>
      <w:r w:rsidRPr="00DE575A">
        <w:tab/>
        <w:t xml:space="preserve">For the purposes of this paper, ‘home ownership’ refers to </w:t>
      </w:r>
      <w:r>
        <w:t>‘</w:t>
      </w:r>
      <w:r w:rsidRPr="00DE575A">
        <w:t>ownership of one’s pri</w:t>
      </w:r>
      <w:r>
        <w:t>ncipal</w:t>
      </w:r>
      <w:r w:rsidRPr="00DE575A">
        <w:t xml:space="preserve"> place of residence</w:t>
      </w:r>
      <w:r>
        <w:t>’</w:t>
      </w:r>
      <w:r w:rsidRPr="00DE575A">
        <w:t xml:space="preserve"> (with or without a mortgage) rather than ownership of residential real estate for investment purposes.</w:t>
      </w:r>
    </w:p>
  </w:footnote>
  <w:footnote w:id="5">
    <w:p w14:paraId="39AB21A8" w14:textId="64DD216B" w:rsidR="00C46C05" w:rsidRDefault="00C46C05">
      <w:pPr>
        <w:pStyle w:val="FootnoteText"/>
      </w:pPr>
      <w:r>
        <w:rPr>
          <w:rStyle w:val="FootnoteReference"/>
        </w:rPr>
        <w:footnoteRef/>
      </w:r>
      <w:r>
        <w:t xml:space="preserve"> </w:t>
      </w:r>
      <w:r>
        <w:tab/>
        <w:t>In 2016 the Government introduced the Superannuation (Objective) Bill 2016. The Bill lapsed in the Parliament of Australia when the 2019 Federal Election was called.</w:t>
      </w:r>
    </w:p>
  </w:footnote>
  <w:footnote w:id="6">
    <w:p w14:paraId="3449985D" w14:textId="5F1CFB27" w:rsidR="00C46C05" w:rsidRDefault="00C46C05">
      <w:pPr>
        <w:pStyle w:val="FootnoteText"/>
      </w:pPr>
      <w:r>
        <w:rPr>
          <w:rStyle w:val="FootnoteReference"/>
        </w:rPr>
        <w:footnoteRef/>
      </w:r>
      <w:r>
        <w:t xml:space="preserve"> </w:t>
      </w:r>
      <w:r>
        <w:tab/>
        <w:t>Household age group refers to the age of household reference person.</w:t>
      </w:r>
    </w:p>
  </w:footnote>
  <w:footnote w:id="7">
    <w:p w14:paraId="3B2774FF" w14:textId="57CB8C11" w:rsidR="00C46C05" w:rsidRPr="00A90326" w:rsidRDefault="00C46C05" w:rsidP="00773DEB">
      <w:pPr>
        <w:pStyle w:val="FootnoteText"/>
        <w:rPr>
          <w:szCs w:val="18"/>
        </w:rPr>
      </w:pPr>
      <w:r w:rsidRPr="00F63ED1">
        <w:rPr>
          <w:rStyle w:val="FootnoteReference"/>
        </w:rPr>
        <w:footnoteRef/>
      </w:r>
      <w:r w:rsidRPr="00493FDB">
        <w:tab/>
      </w:r>
      <w:r w:rsidRPr="00A90326">
        <w:t>ASFA considers a ‘modest’ retirement lifestyle is better than the Age Pension, but only allows for the basic</w:t>
      </w:r>
      <w:r>
        <w:t xml:space="preserve"> consumption needs</w:t>
      </w:r>
      <w:r w:rsidRPr="00A90326">
        <w:t>. A</w:t>
      </w:r>
      <w:r>
        <w:t> </w:t>
      </w:r>
      <w:r w:rsidRPr="00A90326">
        <w:t xml:space="preserve">‘comfortable’ retirement lifestyle enables a healthy retiree to be involved in a broad range of leisure and recreational activities and to have a good standard of living through the purchase of things such as household goods, private health insurance, a </w:t>
      </w:r>
      <w:r>
        <w:t>‘</w:t>
      </w:r>
      <w:r w:rsidRPr="00A90326">
        <w:t>reasonable</w:t>
      </w:r>
      <w:r>
        <w:t>’</w:t>
      </w:r>
      <w:r w:rsidRPr="00A90326">
        <w:t xml:space="preserve"> car, good clothes, a range of electronic </w:t>
      </w:r>
      <w:r w:rsidRPr="00A90326">
        <w:rPr>
          <w:szCs w:val="18"/>
        </w:rPr>
        <w:t xml:space="preserve">equipment, and domestic and occasionally international holiday travel. Both standards assume outright home ownership. </w:t>
      </w:r>
    </w:p>
  </w:footnote>
  <w:footnote w:id="8">
    <w:p w14:paraId="0D04CFDC" w14:textId="2C6059FE" w:rsidR="00C46C05" w:rsidRPr="00A90326" w:rsidRDefault="00C46C05" w:rsidP="00DE575A">
      <w:pPr>
        <w:pStyle w:val="FootnoteText"/>
      </w:pPr>
      <w:r w:rsidRPr="00F63ED1">
        <w:rPr>
          <w:rStyle w:val="FootnoteReference"/>
        </w:rPr>
        <w:footnoteRef/>
      </w:r>
      <w:r>
        <w:tab/>
      </w:r>
      <w:r w:rsidRPr="00A90326">
        <w:t xml:space="preserve">This analysis found households do not show a decline in expenditure through the course of retirement, although expenditure on food decreased slightly and expenditure on utilities increased slightly after age 75. </w:t>
      </w:r>
    </w:p>
  </w:footnote>
  <w:footnote w:id="9">
    <w:p w14:paraId="08F8FF35" w14:textId="6291863D" w:rsidR="00C46C05" w:rsidRPr="00A90326" w:rsidRDefault="00C46C05" w:rsidP="00DE575A">
      <w:pPr>
        <w:pStyle w:val="FootnoteText"/>
      </w:pPr>
      <w:r w:rsidRPr="00F63ED1">
        <w:rPr>
          <w:rStyle w:val="FootnoteReference"/>
        </w:rPr>
        <w:footnoteRef/>
      </w:r>
      <w:r>
        <w:tab/>
      </w:r>
      <w:r w:rsidRPr="00A90326">
        <w:t xml:space="preserve">Tax concessions are provided to some of these </w:t>
      </w:r>
      <w:r>
        <w:t>individuals</w:t>
      </w:r>
      <w:r w:rsidRPr="00A90326">
        <w:t xml:space="preserve"> to support voluntary saving</w:t>
      </w:r>
      <w:r>
        <w:t>s</w:t>
      </w:r>
      <w:r w:rsidRPr="00A90326">
        <w:t xml:space="preserve">. For example, small business owners can access the small business </w:t>
      </w:r>
      <w:r>
        <w:t>CGT</w:t>
      </w:r>
      <w:r w:rsidRPr="00A90326">
        <w:t xml:space="preserve"> concession</w:t>
      </w:r>
      <w:r>
        <w:t>s</w:t>
      </w:r>
      <w:r w:rsidRPr="00A90326">
        <w:t>, which can support higher retirement incomes for this group.</w:t>
      </w:r>
      <w:r>
        <w:t xml:space="preserve"> Workers outside the compulsory superannuation system may also be able to claim a personal income tax deduction for voluntary contributions to superannuation. </w:t>
      </w:r>
    </w:p>
  </w:footnote>
  <w:footnote w:id="10">
    <w:p w14:paraId="50172051" w14:textId="50A140A6" w:rsidR="00C46C05" w:rsidRDefault="00C46C05" w:rsidP="00DE575A">
      <w:pPr>
        <w:pStyle w:val="FootnoteText"/>
      </w:pPr>
      <w:r w:rsidRPr="00F63ED1">
        <w:rPr>
          <w:rStyle w:val="FootnoteReference"/>
        </w:rPr>
        <w:footnoteRef/>
      </w:r>
      <w:r>
        <w:tab/>
        <w:t>Calculations assume that individuals commence work in 2018-19 at age 27 and work until age 67, with a predicted life expectancy of 92. Accumulated superannuation benefits are invested in an account based pension and individuals are assumed to draw down their assets at current age based minimum drawdown rates. The level of tax assistance and Age Pension entitlements are discounted by nominal gross domestic product (around 5 per cent per annum) to give a net present value in 2018-19 dollars. Annual incomes are calculated for each percentile based on the distribution of earners at each single year of age. Assumes no non-concessional contributions.</w:t>
      </w:r>
    </w:p>
  </w:footnote>
  <w:footnote w:id="11">
    <w:p w14:paraId="1B4B5CAF" w14:textId="43E2FF2B" w:rsidR="00C46C05" w:rsidRDefault="00C46C05">
      <w:pPr>
        <w:pStyle w:val="FootnoteText"/>
      </w:pPr>
      <w:r>
        <w:rPr>
          <w:rStyle w:val="FootnoteReference"/>
        </w:rPr>
        <w:footnoteRef/>
      </w:r>
      <w:r>
        <w:t xml:space="preserve"> </w:t>
      </w:r>
      <w:r>
        <w:tab/>
        <w:t>Service pensions are paid by the Department of Veteran’s Affairs to eligible ex-servicemen and women of Service Pension age.</w:t>
      </w:r>
    </w:p>
  </w:footnote>
  <w:footnote w:id="12">
    <w:p w14:paraId="1B1E6FFF" w14:textId="7BF6AA50" w:rsidR="00C46C05" w:rsidRDefault="00C46C05" w:rsidP="00DE575A">
      <w:pPr>
        <w:pStyle w:val="FootnoteText"/>
      </w:pPr>
      <w:r w:rsidRPr="00F63ED1">
        <w:rPr>
          <w:rStyle w:val="FootnoteReference"/>
        </w:rPr>
        <w:footnoteRef/>
      </w:r>
      <w:r w:rsidRPr="00493FDB">
        <w:tab/>
      </w:r>
      <w:r w:rsidRPr="00B94052">
        <w:t xml:space="preserve">This research estimates that an extra dollar in compulsory superannuation savings leads to a reduction in voluntary savings of 10 to 30 cents. </w:t>
      </w:r>
    </w:p>
  </w:footnote>
  <w:footnote w:id="13">
    <w:p w14:paraId="0AB3F624" w14:textId="164BA3DE" w:rsidR="00C46C05" w:rsidRPr="00B94052" w:rsidRDefault="00C46C05" w:rsidP="00DE575A">
      <w:pPr>
        <w:pStyle w:val="FootnoteText"/>
      </w:pPr>
      <w:r w:rsidRPr="00F63ED1">
        <w:rPr>
          <w:rStyle w:val="FootnoteReference"/>
        </w:rPr>
        <w:footnoteRef/>
      </w:r>
      <w:r w:rsidRPr="00493FDB">
        <w:tab/>
      </w:r>
      <w:r w:rsidRPr="00B94052">
        <w:t>The Age Pension assets test reduces a</w:t>
      </w:r>
      <w:r>
        <w:t>n individual</w:t>
      </w:r>
      <w:r w:rsidRPr="00B94052">
        <w:t>’s Age Pension by $3 for every additional $1,000 in assessable assets above the relevant free area</w:t>
      </w:r>
      <w:r>
        <w:t>. This is a taper rate of 7.8 per cent per annum, which may be higher than the earnings potential of associated assets. This can result in more income being lost through the Age Pension than could be generated by the underlying assets, provided they are not drawn down upon for self-support.</w:t>
      </w:r>
    </w:p>
  </w:footnote>
  <w:footnote w:id="14">
    <w:p w14:paraId="068EFCCA" w14:textId="6EDA3471" w:rsidR="00C46C05" w:rsidRDefault="00C46C05" w:rsidP="00DE575A">
      <w:pPr>
        <w:pStyle w:val="FootnoteText"/>
      </w:pPr>
      <w:r w:rsidRPr="00F63ED1">
        <w:rPr>
          <w:rStyle w:val="FootnoteReference"/>
        </w:rPr>
        <w:footnoteRef/>
      </w:r>
      <w:r w:rsidRPr="00493FDB">
        <w:tab/>
      </w:r>
      <w:r w:rsidRPr="00B94052">
        <w:t>There is an implicit value of an owned primary residence of around $2</w:t>
      </w:r>
      <w:r>
        <w:t>1</w:t>
      </w:r>
      <w:r w:rsidRPr="00B94052">
        <w:t xml:space="preserve">0,000 incorporated in the lower assets test thresholds of home owners compared to non-home owners.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290068" w14:textId="77777777" w:rsidR="00C46C05" w:rsidRPr="001F3912" w:rsidRDefault="00C46C05" w:rsidP="0017089D">
    <w:r>
      <w:fldChar w:fldCharType="begin"/>
    </w:r>
    <w:r>
      <w:instrText xml:space="preserve"> macrobutton nomacro [Click and add Publication Title] </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6E49B" w14:textId="77777777" w:rsidR="00C46C05" w:rsidRPr="001F3912" w:rsidRDefault="00C46C05" w:rsidP="0017089D"/>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97784" w14:textId="6D38DCE7" w:rsidR="00C46C05" w:rsidRPr="001F3912" w:rsidRDefault="00C46C05" w:rsidP="001606CF">
    <w:pPr>
      <w:pStyle w:val="Header"/>
    </w:pPr>
    <w:r>
      <w:rPr>
        <w:noProof/>
      </w:rPr>
      <w:t>Retirement Income Review Consultation Paper</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731F4F" w14:textId="77777777" w:rsidR="00C46C05" w:rsidRPr="001F3912" w:rsidRDefault="00C46C05" w:rsidP="0017089D"/>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F8ABE" w14:textId="59B4317E" w:rsidR="00C46C05" w:rsidRPr="00F2786B" w:rsidRDefault="00C46C05" w:rsidP="00F2786B">
    <w:pPr>
      <w:pStyle w:val="Header"/>
    </w:pPr>
    <w:r>
      <w:rPr>
        <w:noProof/>
      </w:rPr>
      <w:t>Retirement Income Review Consultation Paper</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495230" w14:textId="77777777" w:rsidR="00C46C05" w:rsidRDefault="00C46C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D3FC7"/>
    <w:multiLevelType w:val="multilevel"/>
    <w:tmpl w:val="79E48CD8"/>
    <w:styleLink w:val="BoxBulletedList"/>
    <w:lvl w:ilvl="0">
      <w:start w:val="1"/>
      <w:numFmt w:val="bullet"/>
      <w:lvlRestart w:val="0"/>
      <w:pStyle w:val="BoxBullet"/>
      <w:lvlText w:val="•"/>
      <w:lvlJc w:val="left"/>
      <w:pPr>
        <w:tabs>
          <w:tab w:val="num" w:pos="283"/>
        </w:tabs>
        <w:ind w:left="283" w:hanging="283"/>
      </w:pPr>
      <w:rPr>
        <w:rFonts w:ascii="Times New Roman" w:hAnsi="Times New Roman" w:cs="Times New Roman" w:hint="default"/>
        <w:b w:val="0"/>
        <w:i w:val="0"/>
        <w:sz w:val="20"/>
      </w:rPr>
    </w:lvl>
    <w:lvl w:ilvl="1">
      <w:start w:val="1"/>
      <w:numFmt w:val="bullet"/>
      <w:pStyle w:val="BoxDash"/>
      <w:lvlText w:val="–"/>
      <w:lvlJc w:val="left"/>
      <w:pPr>
        <w:tabs>
          <w:tab w:val="num" w:pos="567"/>
        </w:tabs>
        <w:ind w:left="567" w:hanging="284"/>
      </w:pPr>
      <w:rPr>
        <w:rFonts w:hint="default"/>
        <w:b w:val="0"/>
        <w:i w:val="0"/>
      </w:rPr>
    </w:lvl>
    <w:lvl w:ilvl="2">
      <w:start w:val="1"/>
      <w:numFmt w:val="bullet"/>
      <w:pStyle w:val="BoxDoubleDot"/>
      <w:lvlText w:val=":"/>
      <w:lvlJc w:val="left"/>
      <w:pPr>
        <w:tabs>
          <w:tab w:val="num" w:pos="850"/>
        </w:tabs>
        <w:ind w:left="850" w:hanging="283"/>
      </w:pPr>
      <w:rPr>
        <w:rFonts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1" w15:restartNumberingAfterBreak="0">
    <w:nsid w:val="0B8F13AF"/>
    <w:multiLevelType w:val="multilevel"/>
    <w:tmpl w:val="4192E21C"/>
    <w:lvl w:ilvl="0">
      <w:start w:val="1"/>
      <w:numFmt w:val="lowerLetter"/>
      <w:lvlText w:val="%1."/>
      <w:lvlJc w:val="left"/>
      <w:pPr>
        <w:tabs>
          <w:tab w:val="num" w:pos="425"/>
        </w:tabs>
        <w:ind w:left="425"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EAA51A0"/>
    <w:multiLevelType w:val="hybridMultilevel"/>
    <w:tmpl w:val="509608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10653560"/>
    <w:multiLevelType w:val="multilevel"/>
    <w:tmpl w:val="72F8140E"/>
    <w:styleLink w:val="OutlineList"/>
    <w:lvl w:ilvl="0">
      <w:start w:val="1"/>
      <w:numFmt w:val="decimal"/>
      <w:pStyle w:val="OutlineNumbered1"/>
      <w:lvlText w:val="%1."/>
      <w:lvlJc w:val="left"/>
      <w:pPr>
        <w:tabs>
          <w:tab w:val="num" w:pos="851"/>
        </w:tabs>
        <w:ind w:left="851" w:hanging="851"/>
      </w:pPr>
      <w:rPr>
        <w:rFonts w:hint="default"/>
      </w:rPr>
    </w:lvl>
    <w:lvl w:ilvl="1">
      <w:start w:val="1"/>
      <w:numFmt w:val="decimal"/>
      <w:pStyle w:val="OutlineNumbered2"/>
      <w:lvlText w:val="%1.%2"/>
      <w:lvlJc w:val="left"/>
      <w:pPr>
        <w:tabs>
          <w:tab w:val="num" w:pos="1134"/>
        </w:tabs>
        <w:ind w:left="1134" w:hanging="1134"/>
      </w:pPr>
      <w:rPr>
        <w:rFonts w:hint="default"/>
      </w:rPr>
    </w:lvl>
    <w:lvl w:ilvl="2">
      <w:start w:val="1"/>
      <w:numFmt w:val="decimal"/>
      <w:pStyle w:val="OutlineNumbered3"/>
      <w:lvlText w:val="%1.%2.%3"/>
      <w:lvlJc w:val="left"/>
      <w:pPr>
        <w:tabs>
          <w:tab w:val="num" w:pos="1418"/>
        </w:tabs>
        <w:ind w:left="1418" w:hanging="141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6CC4E5D"/>
    <w:multiLevelType w:val="multilevel"/>
    <w:tmpl w:val="D10E9CF6"/>
    <w:numStyleLink w:val="OneLevelList"/>
  </w:abstractNum>
  <w:abstractNum w:abstractNumId="5" w15:restartNumberingAfterBreak="0">
    <w:nsid w:val="16DF2D97"/>
    <w:multiLevelType w:val="hybridMultilevel"/>
    <w:tmpl w:val="5A40E64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15:restartNumberingAfterBreak="0">
    <w:nsid w:val="17DF7717"/>
    <w:multiLevelType w:val="multilevel"/>
    <w:tmpl w:val="B91AC3AC"/>
    <w:lvl w:ilvl="0">
      <w:start w:val="1"/>
      <w:numFmt w:val="decimal"/>
      <w:pStyle w:val="Heading1Numbered"/>
      <w:lvlText w:val="%1."/>
      <w:lvlJc w:val="left"/>
      <w:pPr>
        <w:ind w:left="360" w:hanging="360"/>
      </w:pPr>
      <w:rPr>
        <w:rFonts w:hint="default"/>
      </w:rPr>
    </w:lvl>
    <w:lvl w:ilvl="1">
      <w:start w:val="1"/>
      <w:numFmt w:val="decimal"/>
      <w:pStyle w:val="Heading2Numbered"/>
      <w:lvlText w:val="%1.%2"/>
      <w:lvlJc w:val="left"/>
      <w:pPr>
        <w:ind w:left="720" w:hanging="360"/>
      </w:pPr>
      <w:rPr>
        <w:rFonts w:hint="default"/>
      </w:rPr>
    </w:lvl>
    <w:lvl w:ilvl="2">
      <w:start w:val="1"/>
      <w:numFmt w:val="decimal"/>
      <w:pStyle w:val="Heading3Numbered"/>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7E8485D"/>
    <w:multiLevelType w:val="multilevel"/>
    <w:tmpl w:val="9342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343960"/>
    <w:multiLevelType w:val="hybridMultilevel"/>
    <w:tmpl w:val="96FA60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27826BF0"/>
    <w:multiLevelType w:val="multilevel"/>
    <w:tmpl w:val="2A44CE48"/>
    <w:lvl w:ilvl="0">
      <w:start w:val="1"/>
      <w:numFmt w:val="lowerRoman"/>
      <w:pStyle w:val="Romannumeral"/>
      <w:lvlText w:val="%1."/>
      <w:lvlJc w:val="left"/>
      <w:pPr>
        <w:tabs>
          <w:tab w:val="num" w:pos="720"/>
        </w:tabs>
        <w:ind w:left="720" w:hanging="720"/>
      </w:pPr>
      <w:rPr>
        <w:rFonts w:hint="default"/>
      </w:rPr>
    </w:lvl>
    <w:lvl w:ilvl="1">
      <w:start w:val="1"/>
      <w:numFmt w:val="lowerLetter"/>
      <w:pStyle w:val="AlphaParagraph"/>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F160E2D"/>
    <w:multiLevelType w:val="multilevel"/>
    <w:tmpl w:val="105E4612"/>
    <w:lvl w:ilvl="0">
      <w:start w:val="1"/>
      <w:numFmt w:val="bullet"/>
      <w:lvlText w:val="•"/>
      <w:lvlJc w:val="left"/>
      <w:pPr>
        <w:tabs>
          <w:tab w:val="num" w:pos="520"/>
        </w:tabs>
        <w:ind w:left="520" w:hanging="520"/>
      </w:pPr>
      <w:rPr>
        <w:rFonts w:ascii="Times New Roman" w:hAnsi="Times New Roman" w:cs="Times New Roman"/>
      </w:rPr>
    </w:lvl>
    <w:lvl w:ilvl="1">
      <w:start w:val="1"/>
      <w:numFmt w:val="bullet"/>
      <w:lvlText w:val="–"/>
      <w:lvlJc w:val="left"/>
      <w:pPr>
        <w:tabs>
          <w:tab w:val="num" w:pos="1040"/>
        </w:tabs>
        <w:ind w:left="1040" w:hanging="520"/>
      </w:pPr>
      <w:rPr>
        <w:rFonts w:ascii="Times New Roman" w:hAnsi="Times New Roman" w:cs="Times New Roman"/>
      </w:rPr>
    </w:lvl>
    <w:lvl w:ilvl="2">
      <w:start w:val="1"/>
      <w:numFmt w:val="bullet"/>
      <w:lvlText w:val=":"/>
      <w:lvlJc w:val="left"/>
      <w:pPr>
        <w:tabs>
          <w:tab w:val="num" w:pos="1560"/>
        </w:tabs>
        <w:ind w:left="1560" w:hanging="520"/>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308C2710"/>
    <w:multiLevelType w:val="multilevel"/>
    <w:tmpl w:val="0D723674"/>
    <w:styleLink w:val="BulletedList"/>
    <w:lvl w:ilvl="0">
      <w:start w:val="1"/>
      <w:numFmt w:val="bullet"/>
      <w:lvlRestart w:val="0"/>
      <w:pStyle w:val="Bullet"/>
      <w:lvlText w:val="•"/>
      <w:lvlJc w:val="left"/>
      <w:pPr>
        <w:tabs>
          <w:tab w:val="num" w:pos="283"/>
        </w:tabs>
        <w:ind w:left="283" w:hanging="283"/>
      </w:pPr>
      <w:rPr>
        <w:rFonts w:ascii="Times New Roman" w:hAnsi="Times New Roman" w:cs="Times New Roman" w:hint="default"/>
        <w:b w:val="0"/>
        <w:i w:val="0"/>
      </w:rPr>
    </w:lvl>
    <w:lvl w:ilvl="1">
      <w:start w:val="1"/>
      <w:numFmt w:val="bullet"/>
      <w:pStyle w:val="Dash"/>
      <w:lvlText w:val="–"/>
      <w:lvlJc w:val="left"/>
      <w:pPr>
        <w:tabs>
          <w:tab w:val="num" w:pos="567"/>
        </w:tabs>
        <w:ind w:left="567" w:hanging="284"/>
      </w:pPr>
      <w:rPr>
        <w:rFonts w:ascii="Times New Roman" w:hAnsi="Times New Roman" w:cs="Times New Roman" w:hint="default"/>
        <w:b w:val="0"/>
        <w:i w:val="0"/>
      </w:rPr>
    </w:lvl>
    <w:lvl w:ilvl="2">
      <w:start w:val="1"/>
      <w:numFmt w:val="bullet"/>
      <w:pStyle w:val="DoubleDot"/>
      <w:lvlText w:val=":"/>
      <w:lvlJc w:val="left"/>
      <w:pPr>
        <w:tabs>
          <w:tab w:val="num" w:pos="850"/>
        </w:tabs>
        <w:ind w:left="850" w:hanging="283"/>
      </w:pPr>
      <w:rPr>
        <w:rFonts w:ascii="Times New Roman" w:hAnsi="Times New Roman" w:cs="Times New Roman"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12" w15:restartNumberingAfterBreak="0">
    <w:nsid w:val="3238442C"/>
    <w:multiLevelType w:val="multilevel"/>
    <w:tmpl w:val="846213BC"/>
    <w:styleLink w:val="ChartandTableFootnoteAlphaList"/>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30C16AD"/>
    <w:multiLevelType w:val="multilevel"/>
    <w:tmpl w:val="D10E9CF6"/>
    <w:styleLink w:val="OneLevelList"/>
    <w:lvl w:ilvl="0">
      <w:start w:val="1"/>
      <w:numFmt w:val="decimal"/>
      <w:pStyle w:val="OneLevelNumberedParagraph"/>
      <w:lvlText w:val="%1."/>
      <w:lvlJc w:val="left"/>
      <w:pPr>
        <w:tabs>
          <w:tab w:val="num" w:pos="284"/>
        </w:tabs>
        <w:ind w:left="284" w:hanging="28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D6B037B"/>
    <w:multiLevelType w:val="multilevel"/>
    <w:tmpl w:val="8078E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86012C"/>
    <w:multiLevelType w:val="multilevel"/>
    <w:tmpl w:val="5A84F802"/>
    <w:name w:val="StandardBulletedList"/>
    <w:lvl w:ilvl="0">
      <w:start w:val="1"/>
      <w:numFmt w:val="bullet"/>
      <w:lvlText w:val="•"/>
      <w:lvlJc w:val="left"/>
      <w:pPr>
        <w:tabs>
          <w:tab w:val="num" w:pos="520"/>
        </w:tabs>
        <w:ind w:left="520" w:hanging="520"/>
      </w:pPr>
      <w:rPr>
        <w:rFonts w:ascii="Times New Roman" w:hAnsi="Times New Roman" w:cs="Times New Roman"/>
      </w:rPr>
    </w:lvl>
    <w:lvl w:ilvl="1">
      <w:start w:val="1"/>
      <w:numFmt w:val="bullet"/>
      <w:lvlText w:val="–"/>
      <w:lvlJc w:val="left"/>
      <w:pPr>
        <w:tabs>
          <w:tab w:val="num" w:pos="1040"/>
        </w:tabs>
        <w:ind w:left="1040" w:hanging="520"/>
      </w:pPr>
      <w:rPr>
        <w:rFonts w:ascii="Times New Roman" w:hAnsi="Times New Roman" w:cs="Times New Roman"/>
      </w:rPr>
    </w:lvl>
    <w:lvl w:ilvl="2">
      <w:start w:val="1"/>
      <w:numFmt w:val="bullet"/>
      <w:lvlText w:val=":"/>
      <w:lvlJc w:val="left"/>
      <w:pPr>
        <w:tabs>
          <w:tab w:val="num" w:pos="1560"/>
        </w:tabs>
        <w:ind w:left="1560" w:hanging="520"/>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510D2021"/>
    <w:multiLevelType w:val="multilevel"/>
    <w:tmpl w:val="72F8140E"/>
    <w:numStyleLink w:val="OutlineList"/>
  </w:abstractNum>
  <w:abstractNum w:abstractNumId="17" w15:restartNumberingAfterBreak="0">
    <w:nsid w:val="6A7B332B"/>
    <w:multiLevelType w:val="hybridMultilevel"/>
    <w:tmpl w:val="0F9059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7EBF275E"/>
    <w:multiLevelType w:val="multilevel"/>
    <w:tmpl w:val="A6800B9E"/>
    <w:lvl w:ilvl="0">
      <w:start w:val="1"/>
      <w:numFmt w:val="decimal"/>
      <w:lvlRestart w:val="0"/>
      <w:lvlText w:val="%1."/>
      <w:lvlJc w:val="left"/>
      <w:pPr>
        <w:tabs>
          <w:tab w:val="num" w:pos="567"/>
        </w:tabs>
        <w:ind w:left="567" w:hanging="567"/>
      </w:pPr>
      <w:rPr>
        <w:rFonts w:hint="default"/>
        <w:b w:val="0"/>
        <w:i w:val="0"/>
      </w:rPr>
    </w:lvl>
    <w:lvl w:ilvl="1">
      <w:start w:val="1"/>
      <w:numFmt w:val="decimal"/>
      <w:lvlText w:val="%1.%2."/>
      <w:lvlJc w:val="left"/>
      <w:pPr>
        <w:tabs>
          <w:tab w:val="num" w:pos="1134"/>
        </w:tabs>
        <w:ind w:left="1134" w:hanging="567"/>
      </w:pPr>
      <w:rPr>
        <w:rFonts w:hint="default"/>
        <w:b w:val="0"/>
        <w:i w:val="0"/>
      </w:rPr>
    </w:lvl>
    <w:lvl w:ilvl="2">
      <w:start w:val="1"/>
      <w:numFmt w:val="decimal"/>
      <w:lvlText w:val="%1.%2.%3."/>
      <w:lvlJc w:val="left"/>
      <w:pPr>
        <w:tabs>
          <w:tab w:val="num" w:pos="1984"/>
        </w:tabs>
        <w:ind w:left="1984" w:hanging="850"/>
      </w:pPr>
      <w:rPr>
        <w:rFonts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num w:numId="1">
    <w:abstractNumId w:val="11"/>
  </w:num>
  <w:num w:numId="2">
    <w:abstractNumId w:val="0"/>
  </w:num>
  <w:num w:numId="3">
    <w:abstractNumId w:val="13"/>
  </w:num>
  <w:num w:numId="4">
    <w:abstractNumId w:val="3"/>
  </w:num>
  <w:num w:numId="5">
    <w:abstractNumId w:val="4"/>
  </w:num>
  <w:num w:numId="6">
    <w:abstractNumId w:val="16"/>
  </w:num>
  <w:num w:numId="7">
    <w:abstractNumId w:val="12"/>
    <w:lvlOverride w:ilvl="0">
      <w:lvl w:ilvl="0">
        <w:start w:val="1"/>
        <w:numFmt w:val="lowerLetter"/>
        <w:pStyle w:val="ChartandTableFootnoteAlpha"/>
        <w:lvlText w:val="(%1)"/>
        <w:lvlJc w:val="left"/>
        <w:pPr>
          <w:ind w:left="360" w:hanging="360"/>
        </w:pPr>
        <w:rPr>
          <w:rFonts w:ascii="Calibri" w:hAnsi="Calibri" w:hint="default"/>
          <w:b w:val="0"/>
          <w:i w:val="0"/>
          <w:caps w:val="0"/>
          <w:strike w:val="0"/>
          <w:dstrike w:val="0"/>
          <w:vanish w:val="0"/>
          <w:sz w:val="18"/>
          <w:vertAlign w:val="baseline"/>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8">
    <w:abstractNumId w:val="6"/>
  </w:num>
  <w:num w:numId="9">
    <w:abstractNumId w:val="1"/>
  </w:num>
  <w:num w:numId="10">
    <w:abstractNumId w:val="9"/>
  </w:num>
  <w:num w:numId="11">
    <w:abstractNumId w:val="18"/>
  </w:num>
  <w:num w:numId="12">
    <w:abstractNumId w:val="16"/>
  </w:num>
  <w:num w:numId="13">
    <w:abstractNumId w:val="9"/>
  </w:num>
  <w:num w:numId="14">
    <w:abstractNumId w:val="12"/>
    <w:lvlOverride w:ilvl="0">
      <w:lvl w:ilvl="0">
        <w:start w:val="1"/>
        <w:numFmt w:val="lowerLetter"/>
        <w:pStyle w:val="ChartandTableFootnoteAlpha"/>
        <w:lvlText w:val="(%1)"/>
        <w:lvlJc w:val="left"/>
        <w:pPr>
          <w:tabs>
            <w:tab w:val="num" w:pos="284"/>
          </w:tabs>
          <w:ind w:left="284" w:hanging="284"/>
        </w:pPr>
        <w:rPr>
          <w:rFonts w:asciiTheme="minorHAnsi" w:hAnsiTheme="minorHAnsi" w:hint="default"/>
          <w:b w:val="0"/>
          <w:i w:val="0"/>
          <w:sz w:val="16"/>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5">
    <w:abstractNumId w:val="7"/>
  </w:num>
  <w:num w:numId="16">
    <w:abstractNumId w:val="14"/>
  </w:num>
  <w:num w:numId="17">
    <w:abstractNumId w:val="8"/>
  </w:num>
  <w:num w:numId="18">
    <w:abstractNumId w:val="2"/>
  </w:num>
  <w:num w:numId="19">
    <w:abstractNumId w:val="5"/>
  </w:num>
  <w:num w:numId="20">
    <w:abstractNumId w:val="15"/>
  </w:num>
  <w:num w:numId="21">
    <w:abstractNumId w:val="1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7"/>
  </w:num>
  <w:num w:numId="24">
    <w:abstractNumId w:val="17"/>
  </w:num>
  <w:num w:numId="25">
    <w:abstractNumId w:val="15"/>
  </w:num>
  <w:num w:numId="26">
    <w:abstractNumId w:val="15"/>
  </w:num>
  <w:num w:numId="27">
    <w:abstractNumId w:val="12"/>
    <w:lvlOverride w:ilvl="0">
      <w:startOverride w:val="1"/>
      <w:lvl w:ilvl="0">
        <w:start w:val="1"/>
        <w:numFmt w:val="lowerLetter"/>
        <w:pStyle w:val="ChartandTableFootnoteAlpha"/>
        <w:lvlText w:val="(%1)"/>
        <w:lvlJc w:val="left"/>
        <w:pPr>
          <w:tabs>
            <w:tab w:val="num" w:pos="284"/>
          </w:tabs>
          <w:ind w:left="284" w:hanging="284"/>
        </w:pPr>
        <w:rPr>
          <w:rFonts w:asciiTheme="minorHAnsi" w:hAnsiTheme="minorHAnsi" w:hint="default"/>
          <w:b w:val="0"/>
          <w:i w:val="0"/>
          <w:sz w:val="16"/>
        </w:rPr>
      </w:lvl>
    </w:lvlOverride>
    <w:lvlOverride w:ilvl="1">
      <w:startOverride w:val="1"/>
      <w:lvl w:ilvl="1">
        <w:start w:val="1"/>
        <w:numFmt w:val="lowerLetter"/>
        <w:lvlText w:val="%2)"/>
        <w:lvlJc w:val="left"/>
        <w:pPr>
          <w:ind w:left="720" w:hanging="360"/>
        </w:pPr>
        <w:rPr>
          <w:rFonts w:hint="default"/>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8">
    <w:abstractNumId w:val="12"/>
    <w:lvlOverride w:ilvl="0">
      <w:startOverride w:val="1"/>
      <w:lvl w:ilvl="0">
        <w:start w:val="1"/>
        <w:numFmt w:val="lowerLetter"/>
        <w:pStyle w:val="ChartandTableFootnoteAlpha"/>
        <w:lvlText w:val="(%1)"/>
        <w:lvlJc w:val="left"/>
        <w:pPr>
          <w:tabs>
            <w:tab w:val="num" w:pos="284"/>
          </w:tabs>
          <w:ind w:left="284" w:hanging="284"/>
        </w:pPr>
        <w:rPr>
          <w:rFonts w:asciiTheme="minorHAnsi" w:hAnsiTheme="minorHAnsi" w:hint="default"/>
          <w:b w:val="0"/>
          <w:i w:val="0"/>
          <w:sz w:val="16"/>
        </w:rPr>
      </w:lvl>
    </w:lvlOverride>
    <w:lvlOverride w:ilvl="1">
      <w:startOverride w:val="1"/>
      <w:lvl w:ilvl="1">
        <w:start w:val="1"/>
        <w:numFmt w:val="lowerLetter"/>
        <w:lvlText w:val="%2)"/>
        <w:lvlJc w:val="left"/>
        <w:pPr>
          <w:ind w:left="720" w:hanging="360"/>
        </w:pPr>
        <w:rPr>
          <w:rFonts w:hint="default"/>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9">
    <w:abstractNumId w:val="12"/>
  </w:num>
  <w:num w:numId="30">
    <w:abstractNumId w:val="0"/>
  </w:num>
  <w:num w:numId="31">
    <w:abstractNumId w:val="0"/>
  </w:num>
  <w:num w:numId="32">
    <w:abstractNumId w:val="0"/>
  </w:num>
  <w:num w:numId="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attachedTemplate r:id="rId1"/>
  <w:defaultTabStop w:val="720"/>
  <w:characterSpacingControl w:val="doNotCompress"/>
  <w:hdrShapeDefaults>
    <o:shapedefaults v:ext="edit" spidmax="1003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C27"/>
    <w:rsid w:val="000002A5"/>
    <w:rsid w:val="00000B30"/>
    <w:rsid w:val="00002022"/>
    <w:rsid w:val="00002A46"/>
    <w:rsid w:val="00003463"/>
    <w:rsid w:val="000044EF"/>
    <w:rsid w:val="000044F5"/>
    <w:rsid w:val="0000539F"/>
    <w:rsid w:val="0000575B"/>
    <w:rsid w:val="00005E29"/>
    <w:rsid w:val="0000663A"/>
    <w:rsid w:val="0000739B"/>
    <w:rsid w:val="00007437"/>
    <w:rsid w:val="0001095D"/>
    <w:rsid w:val="00011538"/>
    <w:rsid w:val="00011639"/>
    <w:rsid w:val="00011725"/>
    <w:rsid w:val="000119F4"/>
    <w:rsid w:val="00012C62"/>
    <w:rsid w:val="0001301A"/>
    <w:rsid w:val="00013072"/>
    <w:rsid w:val="0001356C"/>
    <w:rsid w:val="00015CCB"/>
    <w:rsid w:val="00016E27"/>
    <w:rsid w:val="00017355"/>
    <w:rsid w:val="00020348"/>
    <w:rsid w:val="00021274"/>
    <w:rsid w:val="00022199"/>
    <w:rsid w:val="000233A5"/>
    <w:rsid w:val="000244A6"/>
    <w:rsid w:val="00024521"/>
    <w:rsid w:val="0002544D"/>
    <w:rsid w:val="0002574C"/>
    <w:rsid w:val="000260CC"/>
    <w:rsid w:val="000302E5"/>
    <w:rsid w:val="00030DC3"/>
    <w:rsid w:val="00031E2A"/>
    <w:rsid w:val="00032717"/>
    <w:rsid w:val="00033316"/>
    <w:rsid w:val="00033F24"/>
    <w:rsid w:val="00034043"/>
    <w:rsid w:val="000340BD"/>
    <w:rsid w:val="000348B6"/>
    <w:rsid w:val="00034C88"/>
    <w:rsid w:val="00034FFA"/>
    <w:rsid w:val="00034FFC"/>
    <w:rsid w:val="000350C6"/>
    <w:rsid w:val="000353F7"/>
    <w:rsid w:val="00035431"/>
    <w:rsid w:val="000356D2"/>
    <w:rsid w:val="000359D4"/>
    <w:rsid w:val="00037CC2"/>
    <w:rsid w:val="00037DA2"/>
    <w:rsid w:val="0004032C"/>
    <w:rsid w:val="00041A8B"/>
    <w:rsid w:val="0004274D"/>
    <w:rsid w:val="00044C0A"/>
    <w:rsid w:val="000450F7"/>
    <w:rsid w:val="000459EA"/>
    <w:rsid w:val="000462BC"/>
    <w:rsid w:val="000471B7"/>
    <w:rsid w:val="00047648"/>
    <w:rsid w:val="00047EBD"/>
    <w:rsid w:val="00050296"/>
    <w:rsid w:val="00050B76"/>
    <w:rsid w:val="000526F0"/>
    <w:rsid w:val="00052A81"/>
    <w:rsid w:val="00053FA5"/>
    <w:rsid w:val="0005586C"/>
    <w:rsid w:val="0005589D"/>
    <w:rsid w:val="000567DF"/>
    <w:rsid w:val="00056880"/>
    <w:rsid w:val="00057AE1"/>
    <w:rsid w:val="00057FCD"/>
    <w:rsid w:val="00060320"/>
    <w:rsid w:val="00060FAC"/>
    <w:rsid w:val="0006158B"/>
    <w:rsid w:val="00061626"/>
    <w:rsid w:val="000622E5"/>
    <w:rsid w:val="00063EE0"/>
    <w:rsid w:val="00064BF2"/>
    <w:rsid w:val="00065102"/>
    <w:rsid w:val="00065480"/>
    <w:rsid w:val="00066634"/>
    <w:rsid w:val="00066ACC"/>
    <w:rsid w:val="000675D1"/>
    <w:rsid w:val="000676D0"/>
    <w:rsid w:val="00067C3B"/>
    <w:rsid w:val="00070568"/>
    <w:rsid w:val="00070803"/>
    <w:rsid w:val="0007102C"/>
    <w:rsid w:val="00071AD5"/>
    <w:rsid w:val="00071C66"/>
    <w:rsid w:val="00072352"/>
    <w:rsid w:val="000723E9"/>
    <w:rsid w:val="00073521"/>
    <w:rsid w:val="000737FE"/>
    <w:rsid w:val="000738F3"/>
    <w:rsid w:val="000742B7"/>
    <w:rsid w:val="00075876"/>
    <w:rsid w:val="00075A27"/>
    <w:rsid w:val="000768C1"/>
    <w:rsid w:val="00076B0D"/>
    <w:rsid w:val="00076EFD"/>
    <w:rsid w:val="000775DE"/>
    <w:rsid w:val="00077899"/>
    <w:rsid w:val="000800B2"/>
    <w:rsid w:val="00080AF4"/>
    <w:rsid w:val="00081877"/>
    <w:rsid w:val="00082155"/>
    <w:rsid w:val="0008332D"/>
    <w:rsid w:val="00083CFA"/>
    <w:rsid w:val="00084050"/>
    <w:rsid w:val="000858F2"/>
    <w:rsid w:val="00086D71"/>
    <w:rsid w:val="00087FAF"/>
    <w:rsid w:val="00090C79"/>
    <w:rsid w:val="00090CE7"/>
    <w:rsid w:val="000938CF"/>
    <w:rsid w:val="000943DA"/>
    <w:rsid w:val="00094583"/>
    <w:rsid w:val="00094A04"/>
    <w:rsid w:val="0009569E"/>
    <w:rsid w:val="000956B0"/>
    <w:rsid w:val="00096492"/>
    <w:rsid w:val="0009720A"/>
    <w:rsid w:val="000978FC"/>
    <w:rsid w:val="000A0DDD"/>
    <w:rsid w:val="000A12F5"/>
    <w:rsid w:val="000A193A"/>
    <w:rsid w:val="000A24E5"/>
    <w:rsid w:val="000A2601"/>
    <w:rsid w:val="000A322E"/>
    <w:rsid w:val="000A3C81"/>
    <w:rsid w:val="000A60B4"/>
    <w:rsid w:val="000B0E35"/>
    <w:rsid w:val="000B2859"/>
    <w:rsid w:val="000B33BE"/>
    <w:rsid w:val="000B5D72"/>
    <w:rsid w:val="000B723C"/>
    <w:rsid w:val="000C1638"/>
    <w:rsid w:val="000C18D1"/>
    <w:rsid w:val="000C1C32"/>
    <w:rsid w:val="000C5F40"/>
    <w:rsid w:val="000C6BC1"/>
    <w:rsid w:val="000C765F"/>
    <w:rsid w:val="000D2553"/>
    <w:rsid w:val="000D5E57"/>
    <w:rsid w:val="000D6C2A"/>
    <w:rsid w:val="000D6E09"/>
    <w:rsid w:val="000D7EC7"/>
    <w:rsid w:val="000E036F"/>
    <w:rsid w:val="000E0B74"/>
    <w:rsid w:val="000E18C9"/>
    <w:rsid w:val="000E23AB"/>
    <w:rsid w:val="000E3AE7"/>
    <w:rsid w:val="000E439A"/>
    <w:rsid w:val="000E4D34"/>
    <w:rsid w:val="000E52C7"/>
    <w:rsid w:val="000E67D7"/>
    <w:rsid w:val="000E798C"/>
    <w:rsid w:val="000F03A6"/>
    <w:rsid w:val="000F0BF8"/>
    <w:rsid w:val="000F11DE"/>
    <w:rsid w:val="000F1FB9"/>
    <w:rsid w:val="000F255B"/>
    <w:rsid w:val="000F2A84"/>
    <w:rsid w:val="000F2F3B"/>
    <w:rsid w:val="000F4136"/>
    <w:rsid w:val="000F41CC"/>
    <w:rsid w:val="000F4A30"/>
    <w:rsid w:val="000F4A51"/>
    <w:rsid w:val="000F51D5"/>
    <w:rsid w:val="000F5D1C"/>
    <w:rsid w:val="000F61D4"/>
    <w:rsid w:val="000F6241"/>
    <w:rsid w:val="000F7517"/>
    <w:rsid w:val="001008E3"/>
    <w:rsid w:val="00100BC6"/>
    <w:rsid w:val="00100F86"/>
    <w:rsid w:val="00102839"/>
    <w:rsid w:val="00102AF3"/>
    <w:rsid w:val="00105173"/>
    <w:rsid w:val="0010527B"/>
    <w:rsid w:val="00106116"/>
    <w:rsid w:val="00106580"/>
    <w:rsid w:val="00107158"/>
    <w:rsid w:val="00107AAA"/>
    <w:rsid w:val="00107DC0"/>
    <w:rsid w:val="00110791"/>
    <w:rsid w:val="00111544"/>
    <w:rsid w:val="00111621"/>
    <w:rsid w:val="00111676"/>
    <w:rsid w:val="00112B00"/>
    <w:rsid w:val="001143BE"/>
    <w:rsid w:val="00120AEF"/>
    <w:rsid w:val="0012131D"/>
    <w:rsid w:val="001218CD"/>
    <w:rsid w:val="001222CA"/>
    <w:rsid w:val="00123693"/>
    <w:rsid w:val="0012459F"/>
    <w:rsid w:val="00124F1A"/>
    <w:rsid w:val="001258E3"/>
    <w:rsid w:val="00126287"/>
    <w:rsid w:val="00126FF8"/>
    <w:rsid w:val="0012729A"/>
    <w:rsid w:val="00127F85"/>
    <w:rsid w:val="00130BD0"/>
    <w:rsid w:val="00130DD9"/>
    <w:rsid w:val="00132155"/>
    <w:rsid w:val="00132157"/>
    <w:rsid w:val="00132B52"/>
    <w:rsid w:val="001339FC"/>
    <w:rsid w:val="001344C5"/>
    <w:rsid w:val="00134CFE"/>
    <w:rsid w:val="00134D49"/>
    <w:rsid w:val="0013589A"/>
    <w:rsid w:val="00136163"/>
    <w:rsid w:val="001363DB"/>
    <w:rsid w:val="0013657B"/>
    <w:rsid w:val="001368CB"/>
    <w:rsid w:val="00136F57"/>
    <w:rsid w:val="0014091C"/>
    <w:rsid w:val="0014103E"/>
    <w:rsid w:val="00141DE4"/>
    <w:rsid w:val="00141E81"/>
    <w:rsid w:val="001425C1"/>
    <w:rsid w:val="0014324A"/>
    <w:rsid w:val="0014404C"/>
    <w:rsid w:val="00144726"/>
    <w:rsid w:val="00144937"/>
    <w:rsid w:val="00144C13"/>
    <w:rsid w:val="0014735F"/>
    <w:rsid w:val="00147D2A"/>
    <w:rsid w:val="001501A8"/>
    <w:rsid w:val="0015207D"/>
    <w:rsid w:val="001520C7"/>
    <w:rsid w:val="0015225E"/>
    <w:rsid w:val="0015239C"/>
    <w:rsid w:val="001535FD"/>
    <w:rsid w:val="00154513"/>
    <w:rsid w:val="001545D7"/>
    <w:rsid w:val="0015461C"/>
    <w:rsid w:val="00154876"/>
    <w:rsid w:val="001577A9"/>
    <w:rsid w:val="0016052A"/>
    <w:rsid w:val="001606CF"/>
    <w:rsid w:val="001609C6"/>
    <w:rsid w:val="00161116"/>
    <w:rsid w:val="0016126F"/>
    <w:rsid w:val="0016128D"/>
    <w:rsid w:val="00161EE6"/>
    <w:rsid w:val="00162470"/>
    <w:rsid w:val="00164F0B"/>
    <w:rsid w:val="00167708"/>
    <w:rsid w:val="00170507"/>
    <w:rsid w:val="0017063D"/>
    <w:rsid w:val="0017089D"/>
    <w:rsid w:val="00171574"/>
    <w:rsid w:val="00172DCA"/>
    <w:rsid w:val="0017331C"/>
    <w:rsid w:val="0017533B"/>
    <w:rsid w:val="0017573D"/>
    <w:rsid w:val="001757CB"/>
    <w:rsid w:val="0018094C"/>
    <w:rsid w:val="00181228"/>
    <w:rsid w:val="001813BC"/>
    <w:rsid w:val="00182310"/>
    <w:rsid w:val="00182DD0"/>
    <w:rsid w:val="00182E9D"/>
    <w:rsid w:val="001858D0"/>
    <w:rsid w:val="00186B13"/>
    <w:rsid w:val="0018727A"/>
    <w:rsid w:val="00187AA4"/>
    <w:rsid w:val="0019101A"/>
    <w:rsid w:val="00191AA3"/>
    <w:rsid w:val="00192B44"/>
    <w:rsid w:val="00193D2E"/>
    <w:rsid w:val="0019427A"/>
    <w:rsid w:val="001954A6"/>
    <w:rsid w:val="001955CF"/>
    <w:rsid w:val="00195FE6"/>
    <w:rsid w:val="001961EE"/>
    <w:rsid w:val="001977A4"/>
    <w:rsid w:val="0019781D"/>
    <w:rsid w:val="001A0FA3"/>
    <w:rsid w:val="001A1B43"/>
    <w:rsid w:val="001A1DE9"/>
    <w:rsid w:val="001A2007"/>
    <w:rsid w:val="001A20B6"/>
    <w:rsid w:val="001A2519"/>
    <w:rsid w:val="001A29FB"/>
    <w:rsid w:val="001A3917"/>
    <w:rsid w:val="001A443D"/>
    <w:rsid w:val="001A4546"/>
    <w:rsid w:val="001A5335"/>
    <w:rsid w:val="001A6477"/>
    <w:rsid w:val="001A6A47"/>
    <w:rsid w:val="001A6EE7"/>
    <w:rsid w:val="001B0144"/>
    <w:rsid w:val="001B02E2"/>
    <w:rsid w:val="001B09C4"/>
    <w:rsid w:val="001B1168"/>
    <w:rsid w:val="001B13AF"/>
    <w:rsid w:val="001B188D"/>
    <w:rsid w:val="001B1E37"/>
    <w:rsid w:val="001B3E79"/>
    <w:rsid w:val="001B53BB"/>
    <w:rsid w:val="001B7838"/>
    <w:rsid w:val="001C114D"/>
    <w:rsid w:val="001C1ACD"/>
    <w:rsid w:val="001C24CC"/>
    <w:rsid w:val="001C2905"/>
    <w:rsid w:val="001C358D"/>
    <w:rsid w:val="001C4333"/>
    <w:rsid w:val="001C6D9E"/>
    <w:rsid w:val="001C78CA"/>
    <w:rsid w:val="001D02C7"/>
    <w:rsid w:val="001D0F8A"/>
    <w:rsid w:val="001D1EEF"/>
    <w:rsid w:val="001D2C4A"/>
    <w:rsid w:val="001D2DB6"/>
    <w:rsid w:val="001D2E3C"/>
    <w:rsid w:val="001D2EC3"/>
    <w:rsid w:val="001D3A72"/>
    <w:rsid w:val="001D471F"/>
    <w:rsid w:val="001D4EAA"/>
    <w:rsid w:val="001D69AD"/>
    <w:rsid w:val="001E2624"/>
    <w:rsid w:val="001E281B"/>
    <w:rsid w:val="001E3130"/>
    <w:rsid w:val="001E390C"/>
    <w:rsid w:val="001E4E5B"/>
    <w:rsid w:val="001E5F1B"/>
    <w:rsid w:val="001E6100"/>
    <w:rsid w:val="001E7DFB"/>
    <w:rsid w:val="001F0B5D"/>
    <w:rsid w:val="001F20B9"/>
    <w:rsid w:val="001F25A2"/>
    <w:rsid w:val="001F2863"/>
    <w:rsid w:val="001F6064"/>
    <w:rsid w:val="001F6E6E"/>
    <w:rsid w:val="001F7D7D"/>
    <w:rsid w:val="00200928"/>
    <w:rsid w:val="002017E3"/>
    <w:rsid w:val="002017EC"/>
    <w:rsid w:val="00201CD0"/>
    <w:rsid w:val="002025B3"/>
    <w:rsid w:val="0020461D"/>
    <w:rsid w:val="002067FA"/>
    <w:rsid w:val="00206878"/>
    <w:rsid w:val="00207EA9"/>
    <w:rsid w:val="0021099C"/>
    <w:rsid w:val="00210E12"/>
    <w:rsid w:val="002112B1"/>
    <w:rsid w:val="002116BA"/>
    <w:rsid w:val="00212521"/>
    <w:rsid w:val="002145B2"/>
    <w:rsid w:val="002154C6"/>
    <w:rsid w:val="00216ADE"/>
    <w:rsid w:val="00217115"/>
    <w:rsid w:val="002175F7"/>
    <w:rsid w:val="0021780C"/>
    <w:rsid w:val="00220671"/>
    <w:rsid w:val="0022189C"/>
    <w:rsid w:val="0022190E"/>
    <w:rsid w:val="00224BF7"/>
    <w:rsid w:val="00225206"/>
    <w:rsid w:val="00225BA0"/>
    <w:rsid w:val="00225DE1"/>
    <w:rsid w:val="002276EC"/>
    <w:rsid w:val="00230408"/>
    <w:rsid w:val="00231049"/>
    <w:rsid w:val="002314D2"/>
    <w:rsid w:val="002319B4"/>
    <w:rsid w:val="00232B65"/>
    <w:rsid w:val="00232D27"/>
    <w:rsid w:val="002330AE"/>
    <w:rsid w:val="00235222"/>
    <w:rsid w:val="0023596A"/>
    <w:rsid w:val="00235C33"/>
    <w:rsid w:val="00235ED2"/>
    <w:rsid w:val="00235F80"/>
    <w:rsid w:val="0023605B"/>
    <w:rsid w:val="002369E4"/>
    <w:rsid w:val="002372A6"/>
    <w:rsid w:val="002377EF"/>
    <w:rsid w:val="00237F8D"/>
    <w:rsid w:val="00241378"/>
    <w:rsid w:val="00241516"/>
    <w:rsid w:val="0024198B"/>
    <w:rsid w:val="002425CB"/>
    <w:rsid w:val="002440E0"/>
    <w:rsid w:val="00245604"/>
    <w:rsid w:val="00245A76"/>
    <w:rsid w:val="00246EBB"/>
    <w:rsid w:val="00246FF3"/>
    <w:rsid w:val="002474C2"/>
    <w:rsid w:val="002474E8"/>
    <w:rsid w:val="002477D8"/>
    <w:rsid w:val="00247AB3"/>
    <w:rsid w:val="002513B0"/>
    <w:rsid w:val="00252CE5"/>
    <w:rsid w:val="00253F37"/>
    <w:rsid w:val="002565E3"/>
    <w:rsid w:val="0025714A"/>
    <w:rsid w:val="00257AEE"/>
    <w:rsid w:val="0026082B"/>
    <w:rsid w:val="00261343"/>
    <w:rsid w:val="002619C5"/>
    <w:rsid w:val="00261C1E"/>
    <w:rsid w:val="00262E85"/>
    <w:rsid w:val="00263741"/>
    <w:rsid w:val="00263B6C"/>
    <w:rsid w:val="00264A66"/>
    <w:rsid w:val="00265055"/>
    <w:rsid w:val="002656C2"/>
    <w:rsid w:val="0026611C"/>
    <w:rsid w:val="00266179"/>
    <w:rsid w:val="002666C6"/>
    <w:rsid w:val="00267CA0"/>
    <w:rsid w:val="002706F7"/>
    <w:rsid w:val="00270E7F"/>
    <w:rsid w:val="00271EA5"/>
    <w:rsid w:val="00272F8A"/>
    <w:rsid w:val="00275260"/>
    <w:rsid w:val="0027590B"/>
    <w:rsid w:val="00275919"/>
    <w:rsid w:val="00275BD1"/>
    <w:rsid w:val="002761AD"/>
    <w:rsid w:val="00276517"/>
    <w:rsid w:val="00276C27"/>
    <w:rsid w:val="00276F49"/>
    <w:rsid w:val="00280176"/>
    <w:rsid w:val="0028128E"/>
    <w:rsid w:val="00281322"/>
    <w:rsid w:val="00281901"/>
    <w:rsid w:val="002847E2"/>
    <w:rsid w:val="00284888"/>
    <w:rsid w:val="00284B1F"/>
    <w:rsid w:val="00285969"/>
    <w:rsid w:val="00286E98"/>
    <w:rsid w:val="002877A6"/>
    <w:rsid w:val="00287F96"/>
    <w:rsid w:val="00291B9C"/>
    <w:rsid w:val="00292182"/>
    <w:rsid w:val="0029321A"/>
    <w:rsid w:val="0029365D"/>
    <w:rsid w:val="002940EC"/>
    <w:rsid w:val="002946DD"/>
    <w:rsid w:val="0029538C"/>
    <w:rsid w:val="00295406"/>
    <w:rsid w:val="002955C5"/>
    <w:rsid w:val="00295B60"/>
    <w:rsid w:val="00295E28"/>
    <w:rsid w:val="00297A09"/>
    <w:rsid w:val="002A0312"/>
    <w:rsid w:val="002A1557"/>
    <w:rsid w:val="002A2E67"/>
    <w:rsid w:val="002A3DA7"/>
    <w:rsid w:val="002A41C3"/>
    <w:rsid w:val="002A474E"/>
    <w:rsid w:val="002A48D6"/>
    <w:rsid w:val="002A4963"/>
    <w:rsid w:val="002A5F1D"/>
    <w:rsid w:val="002A6287"/>
    <w:rsid w:val="002A62E4"/>
    <w:rsid w:val="002B0094"/>
    <w:rsid w:val="002B0163"/>
    <w:rsid w:val="002B17CF"/>
    <w:rsid w:val="002B19DB"/>
    <w:rsid w:val="002B26AF"/>
    <w:rsid w:val="002B3432"/>
    <w:rsid w:val="002B3829"/>
    <w:rsid w:val="002B3EBF"/>
    <w:rsid w:val="002B4BF2"/>
    <w:rsid w:val="002B4D4D"/>
    <w:rsid w:val="002B532C"/>
    <w:rsid w:val="002B5C39"/>
    <w:rsid w:val="002B67D3"/>
    <w:rsid w:val="002B6808"/>
    <w:rsid w:val="002B725F"/>
    <w:rsid w:val="002B7D50"/>
    <w:rsid w:val="002B7E48"/>
    <w:rsid w:val="002BBEC9"/>
    <w:rsid w:val="002C038B"/>
    <w:rsid w:val="002C318A"/>
    <w:rsid w:val="002C407B"/>
    <w:rsid w:val="002C4B98"/>
    <w:rsid w:val="002C57FF"/>
    <w:rsid w:val="002C5A20"/>
    <w:rsid w:val="002C5D2B"/>
    <w:rsid w:val="002C62D5"/>
    <w:rsid w:val="002C75E2"/>
    <w:rsid w:val="002C78EB"/>
    <w:rsid w:val="002D0594"/>
    <w:rsid w:val="002D0CD6"/>
    <w:rsid w:val="002D173D"/>
    <w:rsid w:val="002D1828"/>
    <w:rsid w:val="002D3172"/>
    <w:rsid w:val="002D47ED"/>
    <w:rsid w:val="002D488F"/>
    <w:rsid w:val="002D4C61"/>
    <w:rsid w:val="002D4FB3"/>
    <w:rsid w:val="002D568E"/>
    <w:rsid w:val="002D60BB"/>
    <w:rsid w:val="002D611F"/>
    <w:rsid w:val="002D7080"/>
    <w:rsid w:val="002D722B"/>
    <w:rsid w:val="002D745D"/>
    <w:rsid w:val="002D7483"/>
    <w:rsid w:val="002D7C88"/>
    <w:rsid w:val="002E0AF5"/>
    <w:rsid w:val="002E0F23"/>
    <w:rsid w:val="002E1978"/>
    <w:rsid w:val="002E1E8A"/>
    <w:rsid w:val="002E2470"/>
    <w:rsid w:val="002E3557"/>
    <w:rsid w:val="002E418C"/>
    <w:rsid w:val="002E4919"/>
    <w:rsid w:val="002E51F2"/>
    <w:rsid w:val="002E54C9"/>
    <w:rsid w:val="002E6591"/>
    <w:rsid w:val="002E7474"/>
    <w:rsid w:val="002F0735"/>
    <w:rsid w:val="002F2788"/>
    <w:rsid w:val="002F3F75"/>
    <w:rsid w:val="002F48C7"/>
    <w:rsid w:val="002F5329"/>
    <w:rsid w:val="002F55D0"/>
    <w:rsid w:val="002F6160"/>
    <w:rsid w:val="002F617F"/>
    <w:rsid w:val="002F7A45"/>
    <w:rsid w:val="00300ABF"/>
    <w:rsid w:val="00300E08"/>
    <w:rsid w:val="00301186"/>
    <w:rsid w:val="003028AB"/>
    <w:rsid w:val="00304FD0"/>
    <w:rsid w:val="0030502D"/>
    <w:rsid w:val="003051DB"/>
    <w:rsid w:val="00305655"/>
    <w:rsid w:val="00306273"/>
    <w:rsid w:val="0030668A"/>
    <w:rsid w:val="0031121C"/>
    <w:rsid w:val="003116F3"/>
    <w:rsid w:val="003122F4"/>
    <w:rsid w:val="0031310E"/>
    <w:rsid w:val="00313B9E"/>
    <w:rsid w:val="00313F9E"/>
    <w:rsid w:val="0031403F"/>
    <w:rsid w:val="00314C77"/>
    <w:rsid w:val="00315D13"/>
    <w:rsid w:val="003202CE"/>
    <w:rsid w:val="003213D2"/>
    <w:rsid w:val="00322DE3"/>
    <w:rsid w:val="003232F9"/>
    <w:rsid w:val="00323D23"/>
    <w:rsid w:val="003245A5"/>
    <w:rsid w:val="0032579D"/>
    <w:rsid w:val="00326720"/>
    <w:rsid w:val="003268D5"/>
    <w:rsid w:val="003269F6"/>
    <w:rsid w:val="00326CFA"/>
    <w:rsid w:val="00327539"/>
    <w:rsid w:val="00327886"/>
    <w:rsid w:val="0032794B"/>
    <w:rsid w:val="003279C6"/>
    <w:rsid w:val="00330C17"/>
    <w:rsid w:val="00331E8B"/>
    <w:rsid w:val="00332D8D"/>
    <w:rsid w:val="00333837"/>
    <w:rsid w:val="00333BB7"/>
    <w:rsid w:val="0033550B"/>
    <w:rsid w:val="0033692F"/>
    <w:rsid w:val="00336B64"/>
    <w:rsid w:val="00336D1A"/>
    <w:rsid w:val="003370F4"/>
    <w:rsid w:val="00340122"/>
    <w:rsid w:val="00341477"/>
    <w:rsid w:val="00341E9D"/>
    <w:rsid w:val="00342939"/>
    <w:rsid w:val="003430BD"/>
    <w:rsid w:val="003439DB"/>
    <w:rsid w:val="00344779"/>
    <w:rsid w:val="00346163"/>
    <w:rsid w:val="003462CA"/>
    <w:rsid w:val="0034666B"/>
    <w:rsid w:val="00350EE8"/>
    <w:rsid w:val="00351723"/>
    <w:rsid w:val="00351DA7"/>
    <w:rsid w:val="00354598"/>
    <w:rsid w:val="00354D27"/>
    <w:rsid w:val="00354FBB"/>
    <w:rsid w:val="00355FD2"/>
    <w:rsid w:val="00356206"/>
    <w:rsid w:val="00357091"/>
    <w:rsid w:val="00357883"/>
    <w:rsid w:val="003578E6"/>
    <w:rsid w:val="00361140"/>
    <w:rsid w:val="00362715"/>
    <w:rsid w:val="0036665B"/>
    <w:rsid w:val="00366E77"/>
    <w:rsid w:val="0036797B"/>
    <w:rsid w:val="00370039"/>
    <w:rsid w:val="00370A99"/>
    <w:rsid w:val="00370CAC"/>
    <w:rsid w:val="00370DB0"/>
    <w:rsid w:val="00371E3B"/>
    <w:rsid w:val="00372B15"/>
    <w:rsid w:val="00372BF3"/>
    <w:rsid w:val="00373232"/>
    <w:rsid w:val="00375564"/>
    <w:rsid w:val="00375FE8"/>
    <w:rsid w:val="00376FB6"/>
    <w:rsid w:val="0038226C"/>
    <w:rsid w:val="0038243B"/>
    <w:rsid w:val="0038267E"/>
    <w:rsid w:val="00382FDD"/>
    <w:rsid w:val="003839F0"/>
    <w:rsid w:val="003845CE"/>
    <w:rsid w:val="003858A6"/>
    <w:rsid w:val="003921FE"/>
    <w:rsid w:val="00392914"/>
    <w:rsid w:val="00392DCC"/>
    <w:rsid w:val="003944A0"/>
    <w:rsid w:val="00394B2A"/>
    <w:rsid w:val="00395A66"/>
    <w:rsid w:val="00396356"/>
    <w:rsid w:val="003978BF"/>
    <w:rsid w:val="00397D3E"/>
    <w:rsid w:val="003A02EC"/>
    <w:rsid w:val="003A1284"/>
    <w:rsid w:val="003A1A66"/>
    <w:rsid w:val="003A287B"/>
    <w:rsid w:val="003A3480"/>
    <w:rsid w:val="003A3640"/>
    <w:rsid w:val="003A3D97"/>
    <w:rsid w:val="003A58E9"/>
    <w:rsid w:val="003A73A2"/>
    <w:rsid w:val="003B04B4"/>
    <w:rsid w:val="003B270F"/>
    <w:rsid w:val="003B5DD5"/>
    <w:rsid w:val="003B68A2"/>
    <w:rsid w:val="003B69FF"/>
    <w:rsid w:val="003B73DB"/>
    <w:rsid w:val="003C039F"/>
    <w:rsid w:val="003C03FB"/>
    <w:rsid w:val="003C0752"/>
    <w:rsid w:val="003C11B9"/>
    <w:rsid w:val="003C158A"/>
    <w:rsid w:val="003C1CAC"/>
    <w:rsid w:val="003C1CEB"/>
    <w:rsid w:val="003C376C"/>
    <w:rsid w:val="003C3E1B"/>
    <w:rsid w:val="003C41AC"/>
    <w:rsid w:val="003C4C52"/>
    <w:rsid w:val="003C60DB"/>
    <w:rsid w:val="003D02C6"/>
    <w:rsid w:val="003D1652"/>
    <w:rsid w:val="003D1659"/>
    <w:rsid w:val="003D20A6"/>
    <w:rsid w:val="003D54C2"/>
    <w:rsid w:val="003D5736"/>
    <w:rsid w:val="003D6029"/>
    <w:rsid w:val="003D69C0"/>
    <w:rsid w:val="003D6A38"/>
    <w:rsid w:val="003D750D"/>
    <w:rsid w:val="003D7F70"/>
    <w:rsid w:val="003E1875"/>
    <w:rsid w:val="003E191C"/>
    <w:rsid w:val="003E3E0D"/>
    <w:rsid w:val="003E49A1"/>
    <w:rsid w:val="003E4D87"/>
    <w:rsid w:val="003E63C9"/>
    <w:rsid w:val="003E63FD"/>
    <w:rsid w:val="003E6453"/>
    <w:rsid w:val="003E74D1"/>
    <w:rsid w:val="003F07FB"/>
    <w:rsid w:val="003F330F"/>
    <w:rsid w:val="003F4A61"/>
    <w:rsid w:val="003F5373"/>
    <w:rsid w:val="003F71F2"/>
    <w:rsid w:val="003F7791"/>
    <w:rsid w:val="0040149D"/>
    <w:rsid w:val="00401868"/>
    <w:rsid w:val="00401EA5"/>
    <w:rsid w:val="004035F2"/>
    <w:rsid w:val="00404FB2"/>
    <w:rsid w:val="00405160"/>
    <w:rsid w:val="00405341"/>
    <w:rsid w:val="0040541C"/>
    <w:rsid w:val="00407C63"/>
    <w:rsid w:val="00407D07"/>
    <w:rsid w:val="00411FF2"/>
    <w:rsid w:val="00412645"/>
    <w:rsid w:val="00412D09"/>
    <w:rsid w:val="00412EA1"/>
    <w:rsid w:val="00413D31"/>
    <w:rsid w:val="00415206"/>
    <w:rsid w:val="00416762"/>
    <w:rsid w:val="00416C11"/>
    <w:rsid w:val="00421351"/>
    <w:rsid w:val="00422B45"/>
    <w:rsid w:val="0042363E"/>
    <w:rsid w:val="004238D1"/>
    <w:rsid w:val="00423D9D"/>
    <w:rsid w:val="0042497F"/>
    <w:rsid w:val="00424BBA"/>
    <w:rsid w:val="00424E7E"/>
    <w:rsid w:val="0042623B"/>
    <w:rsid w:val="004309D3"/>
    <w:rsid w:val="00430AD9"/>
    <w:rsid w:val="00430AF6"/>
    <w:rsid w:val="00431C11"/>
    <w:rsid w:val="00433829"/>
    <w:rsid w:val="00434379"/>
    <w:rsid w:val="00434393"/>
    <w:rsid w:val="00436700"/>
    <w:rsid w:val="00436DBE"/>
    <w:rsid w:val="00436FB1"/>
    <w:rsid w:val="00437F03"/>
    <w:rsid w:val="0044000D"/>
    <w:rsid w:val="004403B2"/>
    <w:rsid w:val="0044041C"/>
    <w:rsid w:val="00441B7B"/>
    <w:rsid w:val="00441D1B"/>
    <w:rsid w:val="00445265"/>
    <w:rsid w:val="00446C9E"/>
    <w:rsid w:val="00446DA8"/>
    <w:rsid w:val="00447B23"/>
    <w:rsid w:val="00447E23"/>
    <w:rsid w:val="0045003D"/>
    <w:rsid w:val="0045116E"/>
    <w:rsid w:val="004515FF"/>
    <w:rsid w:val="00452EFD"/>
    <w:rsid w:val="0045314B"/>
    <w:rsid w:val="004559CE"/>
    <w:rsid w:val="00455A5F"/>
    <w:rsid w:val="0045643E"/>
    <w:rsid w:val="00457B80"/>
    <w:rsid w:val="004609DF"/>
    <w:rsid w:val="00463999"/>
    <w:rsid w:val="00465305"/>
    <w:rsid w:val="00465E87"/>
    <w:rsid w:val="00467055"/>
    <w:rsid w:val="00467D26"/>
    <w:rsid w:val="00470767"/>
    <w:rsid w:val="00470893"/>
    <w:rsid w:val="004711EE"/>
    <w:rsid w:val="00471DDA"/>
    <w:rsid w:val="00474E7A"/>
    <w:rsid w:val="0047546A"/>
    <w:rsid w:val="00475983"/>
    <w:rsid w:val="00475B7B"/>
    <w:rsid w:val="00475ECC"/>
    <w:rsid w:val="00475F4D"/>
    <w:rsid w:val="00477569"/>
    <w:rsid w:val="00477F2A"/>
    <w:rsid w:val="00480BA3"/>
    <w:rsid w:val="004829FA"/>
    <w:rsid w:val="00482AD1"/>
    <w:rsid w:val="00483049"/>
    <w:rsid w:val="00483141"/>
    <w:rsid w:val="00483702"/>
    <w:rsid w:val="00483940"/>
    <w:rsid w:val="00484DF8"/>
    <w:rsid w:val="00486361"/>
    <w:rsid w:val="00487580"/>
    <w:rsid w:val="004875EF"/>
    <w:rsid w:val="00490332"/>
    <w:rsid w:val="00490726"/>
    <w:rsid w:val="0049271F"/>
    <w:rsid w:val="00492FCB"/>
    <w:rsid w:val="004938D1"/>
    <w:rsid w:val="00493FDB"/>
    <w:rsid w:val="004951A8"/>
    <w:rsid w:val="00495B5F"/>
    <w:rsid w:val="00496151"/>
    <w:rsid w:val="004965AB"/>
    <w:rsid w:val="004969E7"/>
    <w:rsid w:val="004A0419"/>
    <w:rsid w:val="004A0573"/>
    <w:rsid w:val="004A14A9"/>
    <w:rsid w:val="004A2292"/>
    <w:rsid w:val="004A348F"/>
    <w:rsid w:val="004A3688"/>
    <w:rsid w:val="004A3A7D"/>
    <w:rsid w:val="004A3E44"/>
    <w:rsid w:val="004A4893"/>
    <w:rsid w:val="004A5061"/>
    <w:rsid w:val="004A50BE"/>
    <w:rsid w:val="004A5FE6"/>
    <w:rsid w:val="004A6233"/>
    <w:rsid w:val="004A63BD"/>
    <w:rsid w:val="004A6D9D"/>
    <w:rsid w:val="004A741A"/>
    <w:rsid w:val="004A7644"/>
    <w:rsid w:val="004A7BC2"/>
    <w:rsid w:val="004B08DB"/>
    <w:rsid w:val="004B0B4F"/>
    <w:rsid w:val="004B1638"/>
    <w:rsid w:val="004B1E15"/>
    <w:rsid w:val="004B5BEB"/>
    <w:rsid w:val="004B5EFA"/>
    <w:rsid w:val="004B6E7D"/>
    <w:rsid w:val="004B722C"/>
    <w:rsid w:val="004B7735"/>
    <w:rsid w:val="004B7A8F"/>
    <w:rsid w:val="004C0617"/>
    <w:rsid w:val="004C2AA6"/>
    <w:rsid w:val="004C2DF8"/>
    <w:rsid w:val="004C386A"/>
    <w:rsid w:val="004C3F61"/>
    <w:rsid w:val="004C44E2"/>
    <w:rsid w:val="004C59FA"/>
    <w:rsid w:val="004C6DC3"/>
    <w:rsid w:val="004C6EF9"/>
    <w:rsid w:val="004D0D23"/>
    <w:rsid w:val="004D122D"/>
    <w:rsid w:val="004D1D0A"/>
    <w:rsid w:val="004D2826"/>
    <w:rsid w:val="004D28D3"/>
    <w:rsid w:val="004D3071"/>
    <w:rsid w:val="004D3CE2"/>
    <w:rsid w:val="004D3F4A"/>
    <w:rsid w:val="004D4C21"/>
    <w:rsid w:val="004D593B"/>
    <w:rsid w:val="004D6391"/>
    <w:rsid w:val="004D7B10"/>
    <w:rsid w:val="004E023A"/>
    <w:rsid w:val="004E03F0"/>
    <w:rsid w:val="004E0DA7"/>
    <w:rsid w:val="004E0ECD"/>
    <w:rsid w:val="004E1FB2"/>
    <w:rsid w:val="004E348F"/>
    <w:rsid w:val="004E36FA"/>
    <w:rsid w:val="004E3FB4"/>
    <w:rsid w:val="004E4529"/>
    <w:rsid w:val="004E674D"/>
    <w:rsid w:val="004E6CC8"/>
    <w:rsid w:val="004E7716"/>
    <w:rsid w:val="004F1164"/>
    <w:rsid w:val="004F17E6"/>
    <w:rsid w:val="004F2EE2"/>
    <w:rsid w:val="004F3E81"/>
    <w:rsid w:val="004F463A"/>
    <w:rsid w:val="004F4646"/>
    <w:rsid w:val="004F496C"/>
    <w:rsid w:val="004F51E5"/>
    <w:rsid w:val="004F51E9"/>
    <w:rsid w:val="004F5A2F"/>
    <w:rsid w:val="004F5F99"/>
    <w:rsid w:val="004F6A78"/>
    <w:rsid w:val="004F6E99"/>
    <w:rsid w:val="00501219"/>
    <w:rsid w:val="0050227E"/>
    <w:rsid w:val="005027D3"/>
    <w:rsid w:val="00502D2C"/>
    <w:rsid w:val="00503683"/>
    <w:rsid w:val="0050386C"/>
    <w:rsid w:val="00504373"/>
    <w:rsid w:val="00504AD6"/>
    <w:rsid w:val="00505745"/>
    <w:rsid w:val="00505847"/>
    <w:rsid w:val="00505B5C"/>
    <w:rsid w:val="005063B0"/>
    <w:rsid w:val="005072F6"/>
    <w:rsid w:val="00507930"/>
    <w:rsid w:val="005108DB"/>
    <w:rsid w:val="00511005"/>
    <w:rsid w:val="00512C5A"/>
    <w:rsid w:val="005134A2"/>
    <w:rsid w:val="00513745"/>
    <w:rsid w:val="005139B4"/>
    <w:rsid w:val="00515A45"/>
    <w:rsid w:val="00515E8E"/>
    <w:rsid w:val="00516479"/>
    <w:rsid w:val="00516785"/>
    <w:rsid w:val="00517BAD"/>
    <w:rsid w:val="00520BDA"/>
    <w:rsid w:val="00521828"/>
    <w:rsid w:val="005222D4"/>
    <w:rsid w:val="00522AA4"/>
    <w:rsid w:val="0052419D"/>
    <w:rsid w:val="00524C7F"/>
    <w:rsid w:val="00524E86"/>
    <w:rsid w:val="005253B6"/>
    <w:rsid w:val="005257AA"/>
    <w:rsid w:val="005275F4"/>
    <w:rsid w:val="005301F8"/>
    <w:rsid w:val="00530321"/>
    <w:rsid w:val="0053043B"/>
    <w:rsid w:val="00530F7D"/>
    <w:rsid w:val="005312FC"/>
    <w:rsid w:val="005323E3"/>
    <w:rsid w:val="00534F43"/>
    <w:rsid w:val="0053603D"/>
    <w:rsid w:val="005365BB"/>
    <w:rsid w:val="00537F12"/>
    <w:rsid w:val="00540BA4"/>
    <w:rsid w:val="00541120"/>
    <w:rsid w:val="00542AD3"/>
    <w:rsid w:val="00542BFC"/>
    <w:rsid w:val="0054300F"/>
    <w:rsid w:val="00544597"/>
    <w:rsid w:val="00544C95"/>
    <w:rsid w:val="00546D3F"/>
    <w:rsid w:val="00552641"/>
    <w:rsid w:val="00553642"/>
    <w:rsid w:val="005538B3"/>
    <w:rsid w:val="005542D5"/>
    <w:rsid w:val="00554305"/>
    <w:rsid w:val="00554AD0"/>
    <w:rsid w:val="00555371"/>
    <w:rsid w:val="005567B9"/>
    <w:rsid w:val="00556AB6"/>
    <w:rsid w:val="00556D3B"/>
    <w:rsid w:val="00557657"/>
    <w:rsid w:val="00560F0D"/>
    <w:rsid w:val="00561AA5"/>
    <w:rsid w:val="0056269F"/>
    <w:rsid w:val="00563329"/>
    <w:rsid w:val="005637E0"/>
    <w:rsid w:val="00563955"/>
    <w:rsid w:val="00564A71"/>
    <w:rsid w:val="00564F52"/>
    <w:rsid w:val="00564F6F"/>
    <w:rsid w:val="0056646C"/>
    <w:rsid w:val="00566790"/>
    <w:rsid w:val="00566E5C"/>
    <w:rsid w:val="005670E1"/>
    <w:rsid w:val="0056720A"/>
    <w:rsid w:val="00567A7E"/>
    <w:rsid w:val="005716F0"/>
    <w:rsid w:val="00572A6D"/>
    <w:rsid w:val="00572D0B"/>
    <w:rsid w:val="0057312D"/>
    <w:rsid w:val="0057463A"/>
    <w:rsid w:val="00575627"/>
    <w:rsid w:val="005762C7"/>
    <w:rsid w:val="005764CC"/>
    <w:rsid w:val="00580F1A"/>
    <w:rsid w:val="0058189F"/>
    <w:rsid w:val="0058244C"/>
    <w:rsid w:val="00582E2D"/>
    <w:rsid w:val="00584CC1"/>
    <w:rsid w:val="00585178"/>
    <w:rsid w:val="005868DE"/>
    <w:rsid w:val="00587C07"/>
    <w:rsid w:val="00587E83"/>
    <w:rsid w:val="00591006"/>
    <w:rsid w:val="005912CC"/>
    <w:rsid w:val="00591407"/>
    <w:rsid w:val="00591A20"/>
    <w:rsid w:val="00591BCA"/>
    <w:rsid w:val="00592579"/>
    <w:rsid w:val="00593818"/>
    <w:rsid w:val="00593978"/>
    <w:rsid w:val="00594A4E"/>
    <w:rsid w:val="00595A81"/>
    <w:rsid w:val="005961C4"/>
    <w:rsid w:val="005961EF"/>
    <w:rsid w:val="00596E6A"/>
    <w:rsid w:val="005972C8"/>
    <w:rsid w:val="005A1313"/>
    <w:rsid w:val="005A15AD"/>
    <w:rsid w:val="005A33AA"/>
    <w:rsid w:val="005A39F6"/>
    <w:rsid w:val="005A45E9"/>
    <w:rsid w:val="005A579D"/>
    <w:rsid w:val="005A7F76"/>
    <w:rsid w:val="005B1D4E"/>
    <w:rsid w:val="005B31B1"/>
    <w:rsid w:val="005B33FA"/>
    <w:rsid w:val="005B3926"/>
    <w:rsid w:val="005B5F55"/>
    <w:rsid w:val="005B6A8B"/>
    <w:rsid w:val="005B7205"/>
    <w:rsid w:val="005B7B19"/>
    <w:rsid w:val="005C04C9"/>
    <w:rsid w:val="005C1093"/>
    <w:rsid w:val="005C19D6"/>
    <w:rsid w:val="005C293F"/>
    <w:rsid w:val="005C54E6"/>
    <w:rsid w:val="005C5D6F"/>
    <w:rsid w:val="005C5DCC"/>
    <w:rsid w:val="005C6AFA"/>
    <w:rsid w:val="005C76B9"/>
    <w:rsid w:val="005D0103"/>
    <w:rsid w:val="005D1FD9"/>
    <w:rsid w:val="005D2387"/>
    <w:rsid w:val="005D2E7D"/>
    <w:rsid w:val="005D301B"/>
    <w:rsid w:val="005D3438"/>
    <w:rsid w:val="005D37AA"/>
    <w:rsid w:val="005D3CB6"/>
    <w:rsid w:val="005D5640"/>
    <w:rsid w:val="005D5847"/>
    <w:rsid w:val="005D5CD0"/>
    <w:rsid w:val="005D67D7"/>
    <w:rsid w:val="005D6FDF"/>
    <w:rsid w:val="005E0D79"/>
    <w:rsid w:val="005E10D5"/>
    <w:rsid w:val="005E21F7"/>
    <w:rsid w:val="005E220A"/>
    <w:rsid w:val="005E2524"/>
    <w:rsid w:val="005E51C2"/>
    <w:rsid w:val="005E5D0D"/>
    <w:rsid w:val="005E646F"/>
    <w:rsid w:val="005F08E7"/>
    <w:rsid w:val="005F0C17"/>
    <w:rsid w:val="005F2F1D"/>
    <w:rsid w:val="005F32DA"/>
    <w:rsid w:val="005F3E78"/>
    <w:rsid w:val="005F45D7"/>
    <w:rsid w:val="005F4699"/>
    <w:rsid w:val="005F5221"/>
    <w:rsid w:val="005F5584"/>
    <w:rsid w:val="005F64CD"/>
    <w:rsid w:val="005F7608"/>
    <w:rsid w:val="0060053C"/>
    <w:rsid w:val="006007CB"/>
    <w:rsid w:val="00600A87"/>
    <w:rsid w:val="00601B73"/>
    <w:rsid w:val="00603283"/>
    <w:rsid w:val="006043C7"/>
    <w:rsid w:val="00604C64"/>
    <w:rsid w:val="006052F8"/>
    <w:rsid w:val="0060595B"/>
    <w:rsid w:val="00605AFD"/>
    <w:rsid w:val="00605F16"/>
    <w:rsid w:val="00605F5A"/>
    <w:rsid w:val="00607A5E"/>
    <w:rsid w:val="00607C7C"/>
    <w:rsid w:val="00607EFD"/>
    <w:rsid w:val="00610335"/>
    <w:rsid w:val="006103C9"/>
    <w:rsid w:val="006123D4"/>
    <w:rsid w:val="00612E49"/>
    <w:rsid w:val="00613094"/>
    <w:rsid w:val="00614924"/>
    <w:rsid w:val="00615820"/>
    <w:rsid w:val="006175A8"/>
    <w:rsid w:val="00620717"/>
    <w:rsid w:val="00620CEA"/>
    <w:rsid w:val="006215AF"/>
    <w:rsid w:val="00621FFB"/>
    <w:rsid w:val="00622501"/>
    <w:rsid w:val="00622629"/>
    <w:rsid w:val="006232EA"/>
    <w:rsid w:val="00623842"/>
    <w:rsid w:val="00624109"/>
    <w:rsid w:val="006247B2"/>
    <w:rsid w:val="0062481A"/>
    <w:rsid w:val="00624BDD"/>
    <w:rsid w:val="00626D3E"/>
    <w:rsid w:val="006272AE"/>
    <w:rsid w:val="00630569"/>
    <w:rsid w:val="0063063E"/>
    <w:rsid w:val="0063166B"/>
    <w:rsid w:val="006319E2"/>
    <w:rsid w:val="0063205F"/>
    <w:rsid w:val="006320CD"/>
    <w:rsid w:val="00632A22"/>
    <w:rsid w:val="00632F12"/>
    <w:rsid w:val="006336A5"/>
    <w:rsid w:val="00634F79"/>
    <w:rsid w:val="00637C14"/>
    <w:rsid w:val="00637D87"/>
    <w:rsid w:val="006406EA"/>
    <w:rsid w:val="00640C28"/>
    <w:rsid w:val="00640C2A"/>
    <w:rsid w:val="00641113"/>
    <w:rsid w:val="00642CA4"/>
    <w:rsid w:val="0064310E"/>
    <w:rsid w:val="0064706C"/>
    <w:rsid w:val="0064779A"/>
    <w:rsid w:val="0065049B"/>
    <w:rsid w:val="00650FD2"/>
    <w:rsid w:val="006525E2"/>
    <w:rsid w:val="006528D5"/>
    <w:rsid w:val="00653668"/>
    <w:rsid w:val="00653F4D"/>
    <w:rsid w:val="0065436C"/>
    <w:rsid w:val="00654DC4"/>
    <w:rsid w:val="006554E7"/>
    <w:rsid w:val="0065578D"/>
    <w:rsid w:val="00655A64"/>
    <w:rsid w:val="00655B40"/>
    <w:rsid w:val="00656356"/>
    <w:rsid w:val="0065658E"/>
    <w:rsid w:val="0065705D"/>
    <w:rsid w:val="00657576"/>
    <w:rsid w:val="006579DA"/>
    <w:rsid w:val="00657E4A"/>
    <w:rsid w:val="00660818"/>
    <w:rsid w:val="00660B2C"/>
    <w:rsid w:val="00662148"/>
    <w:rsid w:val="00662EC0"/>
    <w:rsid w:val="00663083"/>
    <w:rsid w:val="00663397"/>
    <w:rsid w:val="0066381E"/>
    <w:rsid w:val="00664071"/>
    <w:rsid w:val="0066439D"/>
    <w:rsid w:val="00664F34"/>
    <w:rsid w:val="00666317"/>
    <w:rsid w:val="00666FFB"/>
    <w:rsid w:val="0066700B"/>
    <w:rsid w:val="00667268"/>
    <w:rsid w:val="006677E0"/>
    <w:rsid w:val="00670604"/>
    <w:rsid w:val="006716A5"/>
    <w:rsid w:val="00671D59"/>
    <w:rsid w:val="00673589"/>
    <w:rsid w:val="006739FF"/>
    <w:rsid w:val="00673B40"/>
    <w:rsid w:val="00673EEA"/>
    <w:rsid w:val="00674001"/>
    <w:rsid w:val="006755BF"/>
    <w:rsid w:val="006756DE"/>
    <w:rsid w:val="006757B1"/>
    <w:rsid w:val="00682712"/>
    <w:rsid w:val="00682FCE"/>
    <w:rsid w:val="006860DE"/>
    <w:rsid w:val="00686165"/>
    <w:rsid w:val="00687FC0"/>
    <w:rsid w:val="006901DE"/>
    <w:rsid w:val="00690DD2"/>
    <w:rsid w:val="006910E0"/>
    <w:rsid w:val="00691960"/>
    <w:rsid w:val="00691CB5"/>
    <w:rsid w:val="006931C7"/>
    <w:rsid w:val="00693502"/>
    <w:rsid w:val="00693740"/>
    <w:rsid w:val="00695B21"/>
    <w:rsid w:val="00695C43"/>
    <w:rsid w:val="00695D2C"/>
    <w:rsid w:val="00695E13"/>
    <w:rsid w:val="00695E99"/>
    <w:rsid w:val="006961EA"/>
    <w:rsid w:val="00696876"/>
    <w:rsid w:val="006972B2"/>
    <w:rsid w:val="0069753D"/>
    <w:rsid w:val="006975C6"/>
    <w:rsid w:val="006977F3"/>
    <w:rsid w:val="006A090C"/>
    <w:rsid w:val="006A1034"/>
    <w:rsid w:val="006A150B"/>
    <w:rsid w:val="006A182B"/>
    <w:rsid w:val="006A2885"/>
    <w:rsid w:val="006A3896"/>
    <w:rsid w:val="006A48C5"/>
    <w:rsid w:val="006A4CD6"/>
    <w:rsid w:val="006A6D79"/>
    <w:rsid w:val="006A6EE1"/>
    <w:rsid w:val="006A70D3"/>
    <w:rsid w:val="006A7392"/>
    <w:rsid w:val="006A780E"/>
    <w:rsid w:val="006A7968"/>
    <w:rsid w:val="006B0140"/>
    <w:rsid w:val="006B0246"/>
    <w:rsid w:val="006B0E80"/>
    <w:rsid w:val="006B1AFF"/>
    <w:rsid w:val="006B296C"/>
    <w:rsid w:val="006B2C18"/>
    <w:rsid w:val="006B42AD"/>
    <w:rsid w:val="006B4C77"/>
    <w:rsid w:val="006B5E7C"/>
    <w:rsid w:val="006B6C0C"/>
    <w:rsid w:val="006B7188"/>
    <w:rsid w:val="006C0445"/>
    <w:rsid w:val="006C2916"/>
    <w:rsid w:val="006C2EE4"/>
    <w:rsid w:val="006C3C2C"/>
    <w:rsid w:val="006C3EC7"/>
    <w:rsid w:val="006C4828"/>
    <w:rsid w:val="006C51D7"/>
    <w:rsid w:val="006C5C56"/>
    <w:rsid w:val="006C6007"/>
    <w:rsid w:val="006C645D"/>
    <w:rsid w:val="006C754C"/>
    <w:rsid w:val="006D18E6"/>
    <w:rsid w:val="006D419A"/>
    <w:rsid w:val="006D42C7"/>
    <w:rsid w:val="006E0446"/>
    <w:rsid w:val="006E1439"/>
    <w:rsid w:val="006E3CC3"/>
    <w:rsid w:val="006E4093"/>
    <w:rsid w:val="006E50E2"/>
    <w:rsid w:val="006E519E"/>
    <w:rsid w:val="006E57FD"/>
    <w:rsid w:val="006E5D2C"/>
    <w:rsid w:val="006E7D62"/>
    <w:rsid w:val="006F162D"/>
    <w:rsid w:val="006F2795"/>
    <w:rsid w:val="006F34AD"/>
    <w:rsid w:val="006F39B4"/>
    <w:rsid w:val="006F3DAE"/>
    <w:rsid w:val="006F420F"/>
    <w:rsid w:val="006F5A32"/>
    <w:rsid w:val="006F63D7"/>
    <w:rsid w:val="006F656C"/>
    <w:rsid w:val="006F6911"/>
    <w:rsid w:val="006F6C3D"/>
    <w:rsid w:val="006F7223"/>
    <w:rsid w:val="006F7AEF"/>
    <w:rsid w:val="006F7C99"/>
    <w:rsid w:val="007014B2"/>
    <w:rsid w:val="00701EDA"/>
    <w:rsid w:val="00702D28"/>
    <w:rsid w:val="00702E27"/>
    <w:rsid w:val="00704BA8"/>
    <w:rsid w:val="00704BE3"/>
    <w:rsid w:val="00705228"/>
    <w:rsid w:val="00705504"/>
    <w:rsid w:val="00707014"/>
    <w:rsid w:val="0070724D"/>
    <w:rsid w:val="00707D90"/>
    <w:rsid w:val="00711713"/>
    <w:rsid w:val="00711DF2"/>
    <w:rsid w:val="00711E8B"/>
    <w:rsid w:val="00712937"/>
    <w:rsid w:val="007136EA"/>
    <w:rsid w:val="0071557C"/>
    <w:rsid w:val="00716444"/>
    <w:rsid w:val="00716638"/>
    <w:rsid w:val="00717F42"/>
    <w:rsid w:val="007201EA"/>
    <w:rsid w:val="00721D33"/>
    <w:rsid w:val="00721F0F"/>
    <w:rsid w:val="007224CC"/>
    <w:rsid w:val="00722502"/>
    <w:rsid w:val="00724583"/>
    <w:rsid w:val="007246B6"/>
    <w:rsid w:val="00724A40"/>
    <w:rsid w:val="00725632"/>
    <w:rsid w:val="00725895"/>
    <w:rsid w:val="0072635D"/>
    <w:rsid w:val="00726BD5"/>
    <w:rsid w:val="007271E7"/>
    <w:rsid w:val="007275AE"/>
    <w:rsid w:val="007308C1"/>
    <w:rsid w:val="00730AB3"/>
    <w:rsid w:val="0073515B"/>
    <w:rsid w:val="007351BE"/>
    <w:rsid w:val="007367EF"/>
    <w:rsid w:val="00740430"/>
    <w:rsid w:val="00740BE5"/>
    <w:rsid w:val="00740E78"/>
    <w:rsid w:val="00740F07"/>
    <w:rsid w:val="007424BC"/>
    <w:rsid w:val="00745A36"/>
    <w:rsid w:val="00745A87"/>
    <w:rsid w:val="00747F80"/>
    <w:rsid w:val="00751195"/>
    <w:rsid w:val="00751D73"/>
    <w:rsid w:val="00751E81"/>
    <w:rsid w:val="00752A95"/>
    <w:rsid w:val="00753A4C"/>
    <w:rsid w:val="00753C2F"/>
    <w:rsid w:val="0075462D"/>
    <w:rsid w:val="00756686"/>
    <w:rsid w:val="00756C30"/>
    <w:rsid w:val="00756D88"/>
    <w:rsid w:val="007574D9"/>
    <w:rsid w:val="00757B06"/>
    <w:rsid w:val="007600BE"/>
    <w:rsid w:val="00760431"/>
    <w:rsid w:val="00761683"/>
    <w:rsid w:val="00763197"/>
    <w:rsid w:val="007638A2"/>
    <w:rsid w:val="00763C4A"/>
    <w:rsid w:val="007644A0"/>
    <w:rsid w:val="00764538"/>
    <w:rsid w:val="00764679"/>
    <w:rsid w:val="00765128"/>
    <w:rsid w:val="00766285"/>
    <w:rsid w:val="00772079"/>
    <w:rsid w:val="007728CD"/>
    <w:rsid w:val="00772BA2"/>
    <w:rsid w:val="00773DEB"/>
    <w:rsid w:val="00775D23"/>
    <w:rsid w:val="00776C7C"/>
    <w:rsid w:val="00777C2F"/>
    <w:rsid w:val="0078002B"/>
    <w:rsid w:val="00780494"/>
    <w:rsid w:val="007816DC"/>
    <w:rsid w:val="00781DDB"/>
    <w:rsid w:val="007821F4"/>
    <w:rsid w:val="00782A81"/>
    <w:rsid w:val="007844D0"/>
    <w:rsid w:val="0078509F"/>
    <w:rsid w:val="00785142"/>
    <w:rsid w:val="007856E2"/>
    <w:rsid w:val="00787ACC"/>
    <w:rsid w:val="0079036F"/>
    <w:rsid w:val="0079095B"/>
    <w:rsid w:val="00791CCE"/>
    <w:rsid w:val="00794499"/>
    <w:rsid w:val="00794D4F"/>
    <w:rsid w:val="00795048"/>
    <w:rsid w:val="00796694"/>
    <w:rsid w:val="0079699F"/>
    <w:rsid w:val="00796BEB"/>
    <w:rsid w:val="007A18AA"/>
    <w:rsid w:val="007A1AFC"/>
    <w:rsid w:val="007A1DE2"/>
    <w:rsid w:val="007A1EEC"/>
    <w:rsid w:val="007A2318"/>
    <w:rsid w:val="007A3B64"/>
    <w:rsid w:val="007A42DA"/>
    <w:rsid w:val="007A49A3"/>
    <w:rsid w:val="007A562D"/>
    <w:rsid w:val="007A70D0"/>
    <w:rsid w:val="007A77BF"/>
    <w:rsid w:val="007A7CB4"/>
    <w:rsid w:val="007A7D8C"/>
    <w:rsid w:val="007B216B"/>
    <w:rsid w:val="007B3EAD"/>
    <w:rsid w:val="007B4341"/>
    <w:rsid w:val="007B43D8"/>
    <w:rsid w:val="007B4570"/>
    <w:rsid w:val="007B45F6"/>
    <w:rsid w:val="007B4A94"/>
    <w:rsid w:val="007B4C3E"/>
    <w:rsid w:val="007B5C12"/>
    <w:rsid w:val="007B6641"/>
    <w:rsid w:val="007B74C2"/>
    <w:rsid w:val="007B75D4"/>
    <w:rsid w:val="007B7ECF"/>
    <w:rsid w:val="007C0189"/>
    <w:rsid w:val="007C1033"/>
    <w:rsid w:val="007C109F"/>
    <w:rsid w:val="007C49E5"/>
    <w:rsid w:val="007C5298"/>
    <w:rsid w:val="007C6272"/>
    <w:rsid w:val="007C64E1"/>
    <w:rsid w:val="007C6525"/>
    <w:rsid w:val="007C67A4"/>
    <w:rsid w:val="007C7643"/>
    <w:rsid w:val="007C7DCC"/>
    <w:rsid w:val="007C7F66"/>
    <w:rsid w:val="007D282C"/>
    <w:rsid w:val="007D2F7B"/>
    <w:rsid w:val="007D2FD9"/>
    <w:rsid w:val="007D328F"/>
    <w:rsid w:val="007D329A"/>
    <w:rsid w:val="007D32BB"/>
    <w:rsid w:val="007D3794"/>
    <w:rsid w:val="007D5207"/>
    <w:rsid w:val="007D5AA6"/>
    <w:rsid w:val="007D5BF2"/>
    <w:rsid w:val="007D696E"/>
    <w:rsid w:val="007E0BAD"/>
    <w:rsid w:val="007E1A6C"/>
    <w:rsid w:val="007E2AB9"/>
    <w:rsid w:val="007E4146"/>
    <w:rsid w:val="007E6456"/>
    <w:rsid w:val="007E6C3E"/>
    <w:rsid w:val="007E7588"/>
    <w:rsid w:val="007E7AAF"/>
    <w:rsid w:val="007F027F"/>
    <w:rsid w:val="007F0465"/>
    <w:rsid w:val="007F0936"/>
    <w:rsid w:val="007F2081"/>
    <w:rsid w:val="007F23C7"/>
    <w:rsid w:val="007F281F"/>
    <w:rsid w:val="007F2BDC"/>
    <w:rsid w:val="007F2EDB"/>
    <w:rsid w:val="007F33A2"/>
    <w:rsid w:val="007F36D8"/>
    <w:rsid w:val="007F37AC"/>
    <w:rsid w:val="007F37CD"/>
    <w:rsid w:val="007F40AB"/>
    <w:rsid w:val="007F57AC"/>
    <w:rsid w:val="007F60A4"/>
    <w:rsid w:val="007F68E0"/>
    <w:rsid w:val="008009FA"/>
    <w:rsid w:val="00800BE0"/>
    <w:rsid w:val="00802735"/>
    <w:rsid w:val="00802D09"/>
    <w:rsid w:val="00802EE0"/>
    <w:rsid w:val="008031D3"/>
    <w:rsid w:val="00803F69"/>
    <w:rsid w:val="00804718"/>
    <w:rsid w:val="00804826"/>
    <w:rsid w:val="008052C8"/>
    <w:rsid w:val="008060A8"/>
    <w:rsid w:val="008076D8"/>
    <w:rsid w:val="00807897"/>
    <w:rsid w:val="008102CD"/>
    <w:rsid w:val="00810C5E"/>
    <w:rsid w:val="00810EF3"/>
    <w:rsid w:val="0081116C"/>
    <w:rsid w:val="00811880"/>
    <w:rsid w:val="0081365F"/>
    <w:rsid w:val="008149B3"/>
    <w:rsid w:val="00814B09"/>
    <w:rsid w:val="00814F44"/>
    <w:rsid w:val="008163DA"/>
    <w:rsid w:val="00816E2F"/>
    <w:rsid w:val="008171E5"/>
    <w:rsid w:val="00820230"/>
    <w:rsid w:val="008207BC"/>
    <w:rsid w:val="008207EA"/>
    <w:rsid w:val="00821444"/>
    <w:rsid w:val="00821CFD"/>
    <w:rsid w:val="00822D67"/>
    <w:rsid w:val="00823E29"/>
    <w:rsid w:val="00823EB0"/>
    <w:rsid w:val="00825DF7"/>
    <w:rsid w:val="0082604B"/>
    <w:rsid w:val="0082651A"/>
    <w:rsid w:val="008269E3"/>
    <w:rsid w:val="00827890"/>
    <w:rsid w:val="00827BD9"/>
    <w:rsid w:val="008319BA"/>
    <w:rsid w:val="00833E0D"/>
    <w:rsid w:val="00834243"/>
    <w:rsid w:val="008348CA"/>
    <w:rsid w:val="00834A97"/>
    <w:rsid w:val="0083583B"/>
    <w:rsid w:val="00835C0C"/>
    <w:rsid w:val="00836361"/>
    <w:rsid w:val="00836BD1"/>
    <w:rsid w:val="0083727E"/>
    <w:rsid w:val="00837FB0"/>
    <w:rsid w:val="008408B1"/>
    <w:rsid w:val="00840D46"/>
    <w:rsid w:val="00841250"/>
    <w:rsid w:val="0084194D"/>
    <w:rsid w:val="00842242"/>
    <w:rsid w:val="008443E2"/>
    <w:rsid w:val="008445F3"/>
    <w:rsid w:val="00845CA5"/>
    <w:rsid w:val="00846271"/>
    <w:rsid w:val="0084639C"/>
    <w:rsid w:val="008470F9"/>
    <w:rsid w:val="0084717E"/>
    <w:rsid w:val="00850E88"/>
    <w:rsid w:val="008532C9"/>
    <w:rsid w:val="0085389B"/>
    <w:rsid w:val="00853B6B"/>
    <w:rsid w:val="008540B8"/>
    <w:rsid w:val="00854F5E"/>
    <w:rsid w:val="0085551B"/>
    <w:rsid w:val="00855618"/>
    <w:rsid w:val="0085574A"/>
    <w:rsid w:val="00855982"/>
    <w:rsid w:val="0085691E"/>
    <w:rsid w:val="0085764E"/>
    <w:rsid w:val="00857969"/>
    <w:rsid w:val="0086245F"/>
    <w:rsid w:val="00862EB6"/>
    <w:rsid w:val="00863850"/>
    <w:rsid w:val="0086481D"/>
    <w:rsid w:val="008706BD"/>
    <w:rsid w:val="0087096F"/>
    <w:rsid w:val="008716C9"/>
    <w:rsid w:val="00872143"/>
    <w:rsid w:val="00872641"/>
    <w:rsid w:val="00873465"/>
    <w:rsid w:val="00873660"/>
    <w:rsid w:val="0087445D"/>
    <w:rsid w:val="00874C31"/>
    <w:rsid w:val="008752D7"/>
    <w:rsid w:val="00875310"/>
    <w:rsid w:val="00875390"/>
    <w:rsid w:val="00875798"/>
    <w:rsid w:val="00875CFF"/>
    <w:rsid w:val="00876B79"/>
    <w:rsid w:val="00880BB8"/>
    <w:rsid w:val="008819F4"/>
    <w:rsid w:val="008829DA"/>
    <w:rsid w:val="008832B2"/>
    <w:rsid w:val="00883812"/>
    <w:rsid w:val="00883D8C"/>
    <w:rsid w:val="00885457"/>
    <w:rsid w:val="008856B2"/>
    <w:rsid w:val="008856F7"/>
    <w:rsid w:val="00886151"/>
    <w:rsid w:val="0088676B"/>
    <w:rsid w:val="00887829"/>
    <w:rsid w:val="0089053B"/>
    <w:rsid w:val="008914C2"/>
    <w:rsid w:val="00892AC8"/>
    <w:rsid w:val="00893305"/>
    <w:rsid w:val="0089352B"/>
    <w:rsid w:val="008939FA"/>
    <w:rsid w:val="008950D8"/>
    <w:rsid w:val="008960F5"/>
    <w:rsid w:val="00896305"/>
    <w:rsid w:val="00896784"/>
    <w:rsid w:val="00896A68"/>
    <w:rsid w:val="00896D29"/>
    <w:rsid w:val="008977E1"/>
    <w:rsid w:val="008977F4"/>
    <w:rsid w:val="008A1187"/>
    <w:rsid w:val="008A1E81"/>
    <w:rsid w:val="008A2714"/>
    <w:rsid w:val="008A2BDE"/>
    <w:rsid w:val="008A5427"/>
    <w:rsid w:val="008A7B75"/>
    <w:rsid w:val="008B03A4"/>
    <w:rsid w:val="008B0B58"/>
    <w:rsid w:val="008B1411"/>
    <w:rsid w:val="008B1499"/>
    <w:rsid w:val="008B1805"/>
    <w:rsid w:val="008B362D"/>
    <w:rsid w:val="008B3A78"/>
    <w:rsid w:val="008B48BD"/>
    <w:rsid w:val="008B4A14"/>
    <w:rsid w:val="008B4D29"/>
    <w:rsid w:val="008B51DF"/>
    <w:rsid w:val="008B7659"/>
    <w:rsid w:val="008B7C62"/>
    <w:rsid w:val="008C0101"/>
    <w:rsid w:val="008C164D"/>
    <w:rsid w:val="008C225C"/>
    <w:rsid w:val="008C3210"/>
    <w:rsid w:val="008C3657"/>
    <w:rsid w:val="008C4A57"/>
    <w:rsid w:val="008C621D"/>
    <w:rsid w:val="008D069B"/>
    <w:rsid w:val="008D11F2"/>
    <w:rsid w:val="008D1346"/>
    <w:rsid w:val="008D1705"/>
    <w:rsid w:val="008D1C51"/>
    <w:rsid w:val="008D1F78"/>
    <w:rsid w:val="008D2EC6"/>
    <w:rsid w:val="008D339F"/>
    <w:rsid w:val="008D3459"/>
    <w:rsid w:val="008D3DCE"/>
    <w:rsid w:val="008D4B7A"/>
    <w:rsid w:val="008D64AE"/>
    <w:rsid w:val="008D6E28"/>
    <w:rsid w:val="008D7C66"/>
    <w:rsid w:val="008D7F38"/>
    <w:rsid w:val="008E018C"/>
    <w:rsid w:val="008E0CBD"/>
    <w:rsid w:val="008E119D"/>
    <w:rsid w:val="008E1FBB"/>
    <w:rsid w:val="008E22B8"/>
    <w:rsid w:val="008E3463"/>
    <w:rsid w:val="008E4155"/>
    <w:rsid w:val="008E5DB5"/>
    <w:rsid w:val="008E6292"/>
    <w:rsid w:val="008E6ABA"/>
    <w:rsid w:val="008E7B72"/>
    <w:rsid w:val="008F0011"/>
    <w:rsid w:val="008F05B7"/>
    <w:rsid w:val="008F0616"/>
    <w:rsid w:val="008F1554"/>
    <w:rsid w:val="008F3760"/>
    <w:rsid w:val="008F565D"/>
    <w:rsid w:val="008F5B06"/>
    <w:rsid w:val="008F5F84"/>
    <w:rsid w:val="008F7AAC"/>
    <w:rsid w:val="009002AA"/>
    <w:rsid w:val="00900ED1"/>
    <w:rsid w:val="00901058"/>
    <w:rsid w:val="00901170"/>
    <w:rsid w:val="00901180"/>
    <w:rsid w:val="00901507"/>
    <w:rsid w:val="009018AE"/>
    <w:rsid w:val="009027D7"/>
    <w:rsid w:val="00902930"/>
    <w:rsid w:val="00902B12"/>
    <w:rsid w:val="00902ECA"/>
    <w:rsid w:val="00903869"/>
    <w:rsid w:val="00904430"/>
    <w:rsid w:val="00904AB7"/>
    <w:rsid w:val="00905EEF"/>
    <w:rsid w:val="009076C5"/>
    <w:rsid w:val="009101C2"/>
    <w:rsid w:val="0091036C"/>
    <w:rsid w:val="00910726"/>
    <w:rsid w:val="00911B55"/>
    <w:rsid w:val="00913511"/>
    <w:rsid w:val="00914B65"/>
    <w:rsid w:val="00916080"/>
    <w:rsid w:val="00917247"/>
    <w:rsid w:val="00920326"/>
    <w:rsid w:val="00921719"/>
    <w:rsid w:val="00921E37"/>
    <w:rsid w:val="00923142"/>
    <w:rsid w:val="00923284"/>
    <w:rsid w:val="00923596"/>
    <w:rsid w:val="00924393"/>
    <w:rsid w:val="009252A3"/>
    <w:rsid w:val="00925AA5"/>
    <w:rsid w:val="00926237"/>
    <w:rsid w:val="009272FA"/>
    <w:rsid w:val="00927693"/>
    <w:rsid w:val="00927EC7"/>
    <w:rsid w:val="0093084F"/>
    <w:rsid w:val="00930C27"/>
    <w:rsid w:val="009312C3"/>
    <w:rsid w:val="00931825"/>
    <w:rsid w:val="00932628"/>
    <w:rsid w:val="009339A0"/>
    <w:rsid w:val="00934712"/>
    <w:rsid w:val="00935158"/>
    <w:rsid w:val="0094019D"/>
    <w:rsid w:val="00940FDA"/>
    <w:rsid w:val="00942817"/>
    <w:rsid w:val="00942967"/>
    <w:rsid w:val="00942C11"/>
    <w:rsid w:val="009446BF"/>
    <w:rsid w:val="00945BAB"/>
    <w:rsid w:val="009462D9"/>
    <w:rsid w:val="00950E67"/>
    <w:rsid w:val="00951EC9"/>
    <w:rsid w:val="0095208B"/>
    <w:rsid w:val="009520B4"/>
    <w:rsid w:val="00952A3F"/>
    <w:rsid w:val="00954121"/>
    <w:rsid w:val="009548C7"/>
    <w:rsid w:val="0095545E"/>
    <w:rsid w:val="00955DF0"/>
    <w:rsid w:val="00956800"/>
    <w:rsid w:val="00956CE9"/>
    <w:rsid w:val="00962B40"/>
    <w:rsid w:val="00962E0B"/>
    <w:rsid w:val="009639F6"/>
    <w:rsid w:val="00964335"/>
    <w:rsid w:val="00964576"/>
    <w:rsid w:val="00966319"/>
    <w:rsid w:val="00966E8B"/>
    <w:rsid w:val="009675B9"/>
    <w:rsid w:val="009701B9"/>
    <w:rsid w:val="00970CCB"/>
    <w:rsid w:val="00971345"/>
    <w:rsid w:val="00971E32"/>
    <w:rsid w:val="00972B0E"/>
    <w:rsid w:val="009732EC"/>
    <w:rsid w:val="0097370E"/>
    <w:rsid w:val="0097577B"/>
    <w:rsid w:val="009762F9"/>
    <w:rsid w:val="00976597"/>
    <w:rsid w:val="009768E6"/>
    <w:rsid w:val="00976B71"/>
    <w:rsid w:val="00976D57"/>
    <w:rsid w:val="00976E81"/>
    <w:rsid w:val="00977D02"/>
    <w:rsid w:val="009821CE"/>
    <w:rsid w:val="00983E04"/>
    <w:rsid w:val="00984382"/>
    <w:rsid w:val="009852A6"/>
    <w:rsid w:val="009852CF"/>
    <w:rsid w:val="00986343"/>
    <w:rsid w:val="009864EB"/>
    <w:rsid w:val="0099034F"/>
    <w:rsid w:val="0099079E"/>
    <w:rsid w:val="00990FB6"/>
    <w:rsid w:val="00991619"/>
    <w:rsid w:val="00991725"/>
    <w:rsid w:val="00993377"/>
    <w:rsid w:val="00993EC4"/>
    <w:rsid w:val="00995D63"/>
    <w:rsid w:val="00996618"/>
    <w:rsid w:val="00996E0D"/>
    <w:rsid w:val="009A0F15"/>
    <w:rsid w:val="009A143F"/>
    <w:rsid w:val="009A15F1"/>
    <w:rsid w:val="009A2061"/>
    <w:rsid w:val="009A249E"/>
    <w:rsid w:val="009A29A3"/>
    <w:rsid w:val="009A323C"/>
    <w:rsid w:val="009A4197"/>
    <w:rsid w:val="009A41A9"/>
    <w:rsid w:val="009A4D29"/>
    <w:rsid w:val="009A63FA"/>
    <w:rsid w:val="009A658F"/>
    <w:rsid w:val="009A668A"/>
    <w:rsid w:val="009A6F5E"/>
    <w:rsid w:val="009A7031"/>
    <w:rsid w:val="009A7C1A"/>
    <w:rsid w:val="009B02B7"/>
    <w:rsid w:val="009B0B19"/>
    <w:rsid w:val="009B2682"/>
    <w:rsid w:val="009B26B7"/>
    <w:rsid w:val="009B3CE8"/>
    <w:rsid w:val="009B571B"/>
    <w:rsid w:val="009B723F"/>
    <w:rsid w:val="009B77D3"/>
    <w:rsid w:val="009B7FF1"/>
    <w:rsid w:val="009C2ADE"/>
    <w:rsid w:val="009C2B6C"/>
    <w:rsid w:val="009C32B1"/>
    <w:rsid w:val="009C4096"/>
    <w:rsid w:val="009C41E4"/>
    <w:rsid w:val="009C5CAE"/>
    <w:rsid w:val="009C6793"/>
    <w:rsid w:val="009C7BBD"/>
    <w:rsid w:val="009D0B36"/>
    <w:rsid w:val="009D0FD3"/>
    <w:rsid w:val="009D13B5"/>
    <w:rsid w:val="009D2594"/>
    <w:rsid w:val="009D2D18"/>
    <w:rsid w:val="009D3BD4"/>
    <w:rsid w:val="009D5B56"/>
    <w:rsid w:val="009D5F06"/>
    <w:rsid w:val="009D60D8"/>
    <w:rsid w:val="009D6E1F"/>
    <w:rsid w:val="009D767E"/>
    <w:rsid w:val="009E012F"/>
    <w:rsid w:val="009E0478"/>
    <w:rsid w:val="009E1184"/>
    <w:rsid w:val="009E17E4"/>
    <w:rsid w:val="009E44ED"/>
    <w:rsid w:val="009E4BB2"/>
    <w:rsid w:val="009E5821"/>
    <w:rsid w:val="009E5D58"/>
    <w:rsid w:val="009E687F"/>
    <w:rsid w:val="009E6D73"/>
    <w:rsid w:val="009E7C26"/>
    <w:rsid w:val="009F11B7"/>
    <w:rsid w:val="009F2756"/>
    <w:rsid w:val="009F3014"/>
    <w:rsid w:val="009F325B"/>
    <w:rsid w:val="009F34C6"/>
    <w:rsid w:val="009F3925"/>
    <w:rsid w:val="009F3A5F"/>
    <w:rsid w:val="009F462B"/>
    <w:rsid w:val="009F4E1A"/>
    <w:rsid w:val="009F4E7E"/>
    <w:rsid w:val="009F61F8"/>
    <w:rsid w:val="009F789C"/>
    <w:rsid w:val="009F7C57"/>
    <w:rsid w:val="00A00BDD"/>
    <w:rsid w:val="00A00ECC"/>
    <w:rsid w:val="00A01160"/>
    <w:rsid w:val="00A0207F"/>
    <w:rsid w:val="00A03814"/>
    <w:rsid w:val="00A04A56"/>
    <w:rsid w:val="00A050D0"/>
    <w:rsid w:val="00A058BC"/>
    <w:rsid w:val="00A06FE0"/>
    <w:rsid w:val="00A10224"/>
    <w:rsid w:val="00A104B6"/>
    <w:rsid w:val="00A11630"/>
    <w:rsid w:val="00A13152"/>
    <w:rsid w:val="00A13255"/>
    <w:rsid w:val="00A135DF"/>
    <w:rsid w:val="00A14022"/>
    <w:rsid w:val="00A145B7"/>
    <w:rsid w:val="00A14A1B"/>
    <w:rsid w:val="00A14EEE"/>
    <w:rsid w:val="00A15C82"/>
    <w:rsid w:val="00A15C9A"/>
    <w:rsid w:val="00A15F2D"/>
    <w:rsid w:val="00A16E03"/>
    <w:rsid w:val="00A1724E"/>
    <w:rsid w:val="00A2061D"/>
    <w:rsid w:val="00A21130"/>
    <w:rsid w:val="00A21DBE"/>
    <w:rsid w:val="00A22DF5"/>
    <w:rsid w:val="00A22E7E"/>
    <w:rsid w:val="00A2375E"/>
    <w:rsid w:val="00A25011"/>
    <w:rsid w:val="00A2548D"/>
    <w:rsid w:val="00A2578F"/>
    <w:rsid w:val="00A260CD"/>
    <w:rsid w:val="00A265B2"/>
    <w:rsid w:val="00A27111"/>
    <w:rsid w:val="00A27B97"/>
    <w:rsid w:val="00A27FDA"/>
    <w:rsid w:val="00A3107F"/>
    <w:rsid w:val="00A31C11"/>
    <w:rsid w:val="00A327C3"/>
    <w:rsid w:val="00A328AB"/>
    <w:rsid w:val="00A33625"/>
    <w:rsid w:val="00A34055"/>
    <w:rsid w:val="00A34620"/>
    <w:rsid w:val="00A3735E"/>
    <w:rsid w:val="00A3749B"/>
    <w:rsid w:val="00A37AAD"/>
    <w:rsid w:val="00A403C6"/>
    <w:rsid w:val="00A4050D"/>
    <w:rsid w:val="00A407A8"/>
    <w:rsid w:val="00A40964"/>
    <w:rsid w:val="00A41A17"/>
    <w:rsid w:val="00A42427"/>
    <w:rsid w:val="00A44722"/>
    <w:rsid w:val="00A449BE"/>
    <w:rsid w:val="00A44E95"/>
    <w:rsid w:val="00A46150"/>
    <w:rsid w:val="00A50813"/>
    <w:rsid w:val="00A515A7"/>
    <w:rsid w:val="00A51985"/>
    <w:rsid w:val="00A519E6"/>
    <w:rsid w:val="00A51C44"/>
    <w:rsid w:val="00A52160"/>
    <w:rsid w:val="00A53001"/>
    <w:rsid w:val="00A535DC"/>
    <w:rsid w:val="00A54CAE"/>
    <w:rsid w:val="00A54F46"/>
    <w:rsid w:val="00A551B4"/>
    <w:rsid w:val="00A55F37"/>
    <w:rsid w:val="00A5659F"/>
    <w:rsid w:val="00A602B3"/>
    <w:rsid w:val="00A60F75"/>
    <w:rsid w:val="00A62E42"/>
    <w:rsid w:val="00A62EE4"/>
    <w:rsid w:val="00A63328"/>
    <w:rsid w:val="00A63D2F"/>
    <w:rsid w:val="00A63F04"/>
    <w:rsid w:val="00A64A71"/>
    <w:rsid w:val="00A64B28"/>
    <w:rsid w:val="00A64EF0"/>
    <w:rsid w:val="00A65145"/>
    <w:rsid w:val="00A65BA6"/>
    <w:rsid w:val="00A65C11"/>
    <w:rsid w:val="00A664B5"/>
    <w:rsid w:val="00A67DB8"/>
    <w:rsid w:val="00A70542"/>
    <w:rsid w:val="00A705C2"/>
    <w:rsid w:val="00A70E70"/>
    <w:rsid w:val="00A715CD"/>
    <w:rsid w:val="00A721A9"/>
    <w:rsid w:val="00A737E8"/>
    <w:rsid w:val="00A740B6"/>
    <w:rsid w:val="00A7532C"/>
    <w:rsid w:val="00A7603A"/>
    <w:rsid w:val="00A76600"/>
    <w:rsid w:val="00A7714E"/>
    <w:rsid w:val="00A80D38"/>
    <w:rsid w:val="00A81880"/>
    <w:rsid w:val="00A82993"/>
    <w:rsid w:val="00A831F9"/>
    <w:rsid w:val="00A83E3A"/>
    <w:rsid w:val="00A85AD9"/>
    <w:rsid w:val="00A85B1D"/>
    <w:rsid w:val="00A860E1"/>
    <w:rsid w:val="00A86C31"/>
    <w:rsid w:val="00A87059"/>
    <w:rsid w:val="00A87C54"/>
    <w:rsid w:val="00A90326"/>
    <w:rsid w:val="00A9076B"/>
    <w:rsid w:val="00A90E59"/>
    <w:rsid w:val="00A90EA9"/>
    <w:rsid w:val="00A917A5"/>
    <w:rsid w:val="00A92377"/>
    <w:rsid w:val="00A92BA6"/>
    <w:rsid w:val="00A94331"/>
    <w:rsid w:val="00A94C2E"/>
    <w:rsid w:val="00A95ECA"/>
    <w:rsid w:val="00A9724F"/>
    <w:rsid w:val="00A97FE0"/>
    <w:rsid w:val="00AA0C1D"/>
    <w:rsid w:val="00AA0C3B"/>
    <w:rsid w:val="00AA1DB4"/>
    <w:rsid w:val="00AA317C"/>
    <w:rsid w:val="00AA3951"/>
    <w:rsid w:val="00AA5424"/>
    <w:rsid w:val="00AA55EB"/>
    <w:rsid w:val="00AA5951"/>
    <w:rsid w:val="00AA5A27"/>
    <w:rsid w:val="00AA6D8C"/>
    <w:rsid w:val="00AB0FDA"/>
    <w:rsid w:val="00AB121B"/>
    <w:rsid w:val="00AB1238"/>
    <w:rsid w:val="00AB161C"/>
    <w:rsid w:val="00AB181C"/>
    <w:rsid w:val="00AB3284"/>
    <w:rsid w:val="00AB4E41"/>
    <w:rsid w:val="00AB5B38"/>
    <w:rsid w:val="00AC02CB"/>
    <w:rsid w:val="00AC049A"/>
    <w:rsid w:val="00AC1119"/>
    <w:rsid w:val="00AC11A7"/>
    <w:rsid w:val="00AC244D"/>
    <w:rsid w:val="00AC2CB9"/>
    <w:rsid w:val="00AC3616"/>
    <w:rsid w:val="00AC63B5"/>
    <w:rsid w:val="00AC6B35"/>
    <w:rsid w:val="00AC6E7D"/>
    <w:rsid w:val="00AC7C8E"/>
    <w:rsid w:val="00AD08F3"/>
    <w:rsid w:val="00AD10E2"/>
    <w:rsid w:val="00AD142E"/>
    <w:rsid w:val="00AD43F2"/>
    <w:rsid w:val="00AD487B"/>
    <w:rsid w:val="00AD4EA6"/>
    <w:rsid w:val="00AD546A"/>
    <w:rsid w:val="00AD5522"/>
    <w:rsid w:val="00AD55A7"/>
    <w:rsid w:val="00AD6071"/>
    <w:rsid w:val="00AD684A"/>
    <w:rsid w:val="00AD77DB"/>
    <w:rsid w:val="00AE1035"/>
    <w:rsid w:val="00AE209C"/>
    <w:rsid w:val="00AE2F90"/>
    <w:rsid w:val="00AE369E"/>
    <w:rsid w:val="00AE404D"/>
    <w:rsid w:val="00AE4802"/>
    <w:rsid w:val="00AE530A"/>
    <w:rsid w:val="00AE5539"/>
    <w:rsid w:val="00AE6AD7"/>
    <w:rsid w:val="00AE6B0E"/>
    <w:rsid w:val="00AE77E7"/>
    <w:rsid w:val="00AF09C6"/>
    <w:rsid w:val="00AF0E47"/>
    <w:rsid w:val="00AF0E8D"/>
    <w:rsid w:val="00AF2184"/>
    <w:rsid w:val="00AF231C"/>
    <w:rsid w:val="00AF31D4"/>
    <w:rsid w:val="00AF4EEB"/>
    <w:rsid w:val="00AF5AF3"/>
    <w:rsid w:val="00AF73D3"/>
    <w:rsid w:val="00AF73DB"/>
    <w:rsid w:val="00AF7AED"/>
    <w:rsid w:val="00B0048A"/>
    <w:rsid w:val="00B005A3"/>
    <w:rsid w:val="00B024DF"/>
    <w:rsid w:val="00B032E1"/>
    <w:rsid w:val="00B043FC"/>
    <w:rsid w:val="00B06447"/>
    <w:rsid w:val="00B0706F"/>
    <w:rsid w:val="00B0790A"/>
    <w:rsid w:val="00B07A95"/>
    <w:rsid w:val="00B10115"/>
    <w:rsid w:val="00B11342"/>
    <w:rsid w:val="00B113EC"/>
    <w:rsid w:val="00B12420"/>
    <w:rsid w:val="00B129F1"/>
    <w:rsid w:val="00B16EDA"/>
    <w:rsid w:val="00B177DF"/>
    <w:rsid w:val="00B17976"/>
    <w:rsid w:val="00B20A02"/>
    <w:rsid w:val="00B20C78"/>
    <w:rsid w:val="00B210E9"/>
    <w:rsid w:val="00B211D4"/>
    <w:rsid w:val="00B213D8"/>
    <w:rsid w:val="00B21D9E"/>
    <w:rsid w:val="00B22145"/>
    <w:rsid w:val="00B24138"/>
    <w:rsid w:val="00B246E2"/>
    <w:rsid w:val="00B24E81"/>
    <w:rsid w:val="00B24F34"/>
    <w:rsid w:val="00B25ADB"/>
    <w:rsid w:val="00B27BEC"/>
    <w:rsid w:val="00B31106"/>
    <w:rsid w:val="00B3149D"/>
    <w:rsid w:val="00B31BBC"/>
    <w:rsid w:val="00B3229D"/>
    <w:rsid w:val="00B32D45"/>
    <w:rsid w:val="00B333E0"/>
    <w:rsid w:val="00B340BD"/>
    <w:rsid w:val="00B3426F"/>
    <w:rsid w:val="00B35BEA"/>
    <w:rsid w:val="00B35C5D"/>
    <w:rsid w:val="00B36468"/>
    <w:rsid w:val="00B36968"/>
    <w:rsid w:val="00B36B05"/>
    <w:rsid w:val="00B37067"/>
    <w:rsid w:val="00B37172"/>
    <w:rsid w:val="00B416E9"/>
    <w:rsid w:val="00B41C57"/>
    <w:rsid w:val="00B41DBC"/>
    <w:rsid w:val="00B41ED4"/>
    <w:rsid w:val="00B42C5C"/>
    <w:rsid w:val="00B434CD"/>
    <w:rsid w:val="00B435E4"/>
    <w:rsid w:val="00B443B0"/>
    <w:rsid w:val="00B4475A"/>
    <w:rsid w:val="00B450F8"/>
    <w:rsid w:val="00B454E7"/>
    <w:rsid w:val="00B45CBB"/>
    <w:rsid w:val="00B461E0"/>
    <w:rsid w:val="00B4638B"/>
    <w:rsid w:val="00B465DB"/>
    <w:rsid w:val="00B467FE"/>
    <w:rsid w:val="00B50303"/>
    <w:rsid w:val="00B50972"/>
    <w:rsid w:val="00B50BBD"/>
    <w:rsid w:val="00B51AE1"/>
    <w:rsid w:val="00B51DA3"/>
    <w:rsid w:val="00B5236F"/>
    <w:rsid w:val="00B52CD5"/>
    <w:rsid w:val="00B5335A"/>
    <w:rsid w:val="00B537C7"/>
    <w:rsid w:val="00B54ED3"/>
    <w:rsid w:val="00B55BD0"/>
    <w:rsid w:val="00B55FF1"/>
    <w:rsid w:val="00B56723"/>
    <w:rsid w:val="00B5729D"/>
    <w:rsid w:val="00B61626"/>
    <w:rsid w:val="00B61B65"/>
    <w:rsid w:val="00B61EAC"/>
    <w:rsid w:val="00B62989"/>
    <w:rsid w:val="00B62B01"/>
    <w:rsid w:val="00B65F71"/>
    <w:rsid w:val="00B6769C"/>
    <w:rsid w:val="00B706D7"/>
    <w:rsid w:val="00B70EFD"/>
    <w:rsid w:val="00B71AFA"/>
    <w:rsid w:val="00B71FAE"/>
    <w:rsid w:val="00B72CB7"/>
    <w:rsid w:val="00B737EC"/>
    <w:rsid w:val="00B73852"/>
    <w:rsid w:val="00B741BA"/>
    <w:rsid w:val="00B74DA4"/>
    <w:rsid w:val="00B74E1F"/>
    <w:rsid w:val="00B75810"/>
    <w:rsid w:val="00B76761"/>
    <w:rsid w:val="00B770FF"/>
    <w:rsid w:val="00B7720E"/>
    <w:rsid w:val="00B77F4E"/>
    <w:rsid w:val="00B81564"/>
    <w:rsid w:val="00B815AE"/>
    <w:rsid w:val="00B821E7"/>
    <w:rsid w:val="00B82264"/>
    <w:rsid w:val="00B82EF9"/>
    <w:rsid w:val="00B84013"/>
    <w:rsid w:val="00B8405E"/>
    <w:rsid w:val="00B85F47"/>
    <w:rsid w:val="00B86AE5"/>
    <w:rsid w:val="00B87927"/>
    <w:rsid w:val="00B90126"/>
    <w:rsid w:val="00B910BF"/>
    <w:rsid w:val="00B921FB"/>
    <w:rsid w:val="00B92619"/>
    <w:rsid w:val="00B926C7"/>
    <w:rsid w:val="00B92747"/>
    <w:rsid w:val="00B94052"/>
    <w:rsid w:val="00B9447D"/>
    <w:rsid w:val="00B956F2"/>
    <w:rsid w:val="00B961C3"/>
    <w:rsid w:val="00B9658C"/>
    <w:rsid w:val="00BA0CB2"/>
    <w:rsid w:val="00BA15B9"/>
    <w:rsid w:val="00BA1EA3"/>
    <w:rsid w:val="00BA2C69"/>
    <w:rsid w:val="00BA48E0"/>
    <w:rsid w:val="00BA6268"/>
    <w:rsid w:val="00BA78FA"/>
    <w:rsid w:val="00BA7A61"/>
    <w:rsid w:val="00BB07C2"/>
    <w:rsid w:val="00BB0D7A"/>
    <w:rsid w:val="00BB0FC8"/>
    <w:rsid w:val="00BB1330"/>
    <w:rsid w:val="00BB1376"/>
    <w:rsid w:val="00BB13AE"/>
    <w:rsid w:val="00BB21F4"/>
    <w:rsid w:val="00BB264F"/>
    <w:rsid w:val="00BB2883"/>
    <w:rsid w:val="00BB2DE6"/>
    <w:rsid w:val="00BB505D"/>
    <w:rsid w:val="00BB59D6"/>
    <w:rsid w:val="00BB61A5"/>
    <w:rsid w:val="00BB620C"/>
    <w:rsid w:val="00BB6246"/>
    <w:rsid w:val="00BB6B18"/>
    <w:rsid w:val="00BB6B63"/>
    <w:rsid w:val="00BB7343"/>
    <w:rsid w:val="00BB754A"/>
    <w:rsid w:val="00BB759A"/>
    <w:rsid w:val="00BB79E1"/>
    <w:rsid w:val="00BB7CD6"/>
    <w:rsid w:val="00BC0420"/>
    <w:rsid w:val="00BC0E82"/>
    <w:rsid w:val="00BC18A2"/>
    <w:rsid w:val="00BC1C2D"/>
    <w:rsid w:val="00BC5466"/>
    <w:rsid w:val="00BC60AD"/>
    <w:rsid w:val="00BC610A"/>
    <w:rsid w:val="00BC6854"/>
    <w:rsid w:val="00BC68B7"/>
    <w:rsid w:val="00BC69CD"/>
    <w:rsid w:val="00BC6A16"/>
    <w:rsid w:val="00BC6AFC"/>
    <w:rsid w:val="00BC7E55"/>
    <w:rsid w:val="00BD005D"/>
    <w:rsid w:val="00BD02BE"/>
    <w:rsid w:val="00BD0BB4"/>
    <w:rsid w:val="00BD0FD5"/>
    <w:rsid w:val="00BD12BC"/>
    <w:rsid w:val="00BD2D31"/>
    <w:rsid w:val="00BD2FFE"/>
    <w:rsid w:val="00BD44A8"/>
    <w:rsid w:val="00BD44F1"/>
    <w:rsid w:val="00BD4C1E"/>
    <w:rsid w:val="00BD5650"/>
    <w:rsid w:val="00BD5F5E"/>
    <w:rsid w:val="00BD7FB4"/>
    <w:rsid w:val="00BE0337"/>
    <w:rsid w:val="00BE1B74"/>
    <w:rsid w:val="00BE2D1F"/>
    <w:rsid w:val="00BE3736"/>
    <w:rsid w:val="00BE3CFA"/>
    <w:rsid w:val="00BE40E8"/>
    <w:rsid w:val="00BE430A"/>
    <w:rsid w:val="00BE5B56"/>
    <w:rsid w:val="00BE5C0E"/>
    <w:rsid w:val="00BE6459"/>
    <w:rsid w:val="00BE64E3"/>
    <w:rsid w:val="00BF0775"/>
    <w:rsid w:val="00BF185D"/>
    <w:rsid w:val="00BF2CE3"/>
    <w:rsid w:val="00BF3077"/>
    <w:rsid w:val="00BF36AA"/>
    <w:rsid w:val="00BF467C"/>
    <w:rsid w:val="00BF4C4B"/>
    <w:rsid w:val="00BF50D4"/>
    <w:rsid w:val="00BF5F18"/>
    <w:rsid w:val="00BF6117"/>
    <w:rsid w:val="00BF6819"/>
    <w:rsid w:val="00BF7573"/>
    <w:rsid w:val="00BF7638"/>
    <w:rsid w:val="00BF779F"/>
    <w:rsid w:val="00BF7985"/>
    <w:rsid w:val="00BF7D44"/>
    <w:rsid w:val="00C0072E"/>
    <w:rsid w:val="00C008CA"/>
    <w:rsid w:val="00C00A25"/>
    <w:rsid w:val="00C0208A"/>
    <w:rsid w:val="00C022F7"/>
    <w:rsid w:val="00C02D05"/>
    <w:rsid w:val="00C02D46"/>
    <w:rsid w:val="00C03AC6"/>
    <w:rsid w:val="00C0639B"/>
    <w:rsid w:val="00C0732E"/>
    <w:rsid w:val="00C07DAE"/>
    <w:rsid w:val="00C07DD4"/>
    <w:rsid w:val="00C10A4A"/>
    <w:rsid w:val="00C10C27"/>
    <w:rsid w:val="00C1231E"/>
    <w:rsid w:val="00C1421C"/>
    <w:rsid w:val="00C157DE"/>
    <w:rsid w:val="00C158B5"/>
    <w:rsid w:val="00C1627D"/>
    <w:rsid w:val="00C1726B"/>
    <w:rsid w:val="00C17DDF"/>
    <w:rsid w:val="00C17F0A"/>
    <w:rsid w:val="00C17F78"/>
    <w:rsid w:val="00C20435"/>
    <w:rsid w:val="00C22431"/>
    <w:rsid w:val="00C224B6"/>
    <w:rsid w:val="00C22FB4"/>
    <w:rsid w:val="00C23785"/>
    <w:rsid w:val="00C239AF"/>
    <w:rsid w:val="00C24088"/>
    <w:rsid w:val="00C24202"/>
    <w:rsid w:val="00C24CD2"/>
    <w:rsid w:val="00C30297"/>
    <w:rsid w:val="00C31E22"/>
    <w:rsid w:val="00C32E70"/>
    <w:rsid w:val="00C33246"/>
    <w:rsid w:val="00C3442D"/>
    <w:rsid w:val="00C36AE3"/>
    <w:rsid w:val="00C37074"/>
    <w:rsid w:val="00C403F4"/>
    <w:rsid w:val="00C40F24"/>
    <w:rsid w:val="00C435FC"/>
    <w:rsid w:val="00C45BB6"/>
    <w:rsid w:val="00C46368"/>
    <w:rsid w:val="00C46BDD"/>
    <w:rsid w:val="00C46C05"/>
    <w:rsid w:val="00C51934"/>
    <w:rsid w:val="00C51CEE"/>
    <w:rsid w:val="00C52448"/>
    <w:rsid w:val="00C5309F"/>
    <w:rsid w:val="00C530F0"/>
    <w:rsid w:val="00C533A6"/>
    <w:rsid w:val="00C53BF3"/>
    <w:rsid w:val="00C53C33"/>
    <w:rsid w:val="00C54C37"/>
    <w:rsid w:val="00C54C49"/>
    <w:rsid w:val="00C54D2E"/>
    <w:rsid w:val="00C54E4E"/>
    <w:rsid w:val="00C55282"/>
    <w:rsid w:val="00C56553"/>
    <w:rsid w:val="00C5718B"/>
    <w:rsid w:val="00C601DB"/>
    <w:rsid w:val="00C6085E"/>
    <w:rsid w:val="00C613DA"/>
    <w:rsid w:val="00C62CE6"/>
    <w:rsid w:val="00C630C5"/>
    <w:rsid w:val="00C63B41"/>
    <w:rsid w:val="00C6457D"/>
    <w:rsid w:val="00C64CF3"/>
    <w:rsid w:val="00C6542A"/>
    <w:rsid w:val="00C65C14"/>
    <w:rsid w:val="00C663AB"/>
    <w:rsid w:val="00C66645"/>
    <w:rsid w:val="00C66C87"/>
    <w:rsid w:val="00C66D75"/>
    <w:rsid w:val="00C67A98"/>
    <w:rsid w:val="00C7078A"/>
    <w:rsid w:val="00C71705"/>
    <w:rsid w:val="00C71A47"/>
    <w:rsid w:val="00C71E89"/>
    <w:rsid w:val="00C727C5"/>
    <w:rsid w:val="00C73895"/>
    <w:rsid w:val="00C742C6"/>
    <w:rsid w:val="00C756CA"/>
    <w:rsid w:val="00C75E7B"/>
    <w:rsid w:val="00C76EE1"/>
    <w:rsid w:val="00C7756E"/>
    <w:rsid w:val="00C80FB3"/>
    <w:rsid w:val="00C8158F"/>
    <w:rsid w:val="00C82070"/>
    <w:rsid w:val="00C829E3"/>
    <w:rsid w:val="00C83255"/>
    <w:rsid w:val="00C838F9"/>
    <w:rsid w:val="00C83B36"/>
    <w:rsid w:val="00C85314"/>
    <w:rsid w:val="00C86DED"/>
    <w:rsid w:val="00C879E8"/>
    <w:rsid w:val="00C87D65"/>
    <w:rsid w:val="00C90E23"/>
    <w:rsid w:val="00C92AC5"/>
    <w:rsid w:val="00C942AE"/>
    <w:rsid w:val="00C94CE5"/>
    <w:rsid w:val="00C94D15"/>
    <w:rsid w:val="00C96162"/>
    <w:rsid w:val="00C97396"/>
    <w:rsid w:val="00C97428"/>
    <w:rsid w:val="00CA0296"/>
    <w:rsid w:val="00CA0806"/>
    <w:rsid w:val="00CA1D32"/>
    <w:rsid w:val="00CA3284"/>
    <w:rsid w:val="00CA3D6B"/>
    <w:rsid w:val="00CA4447"/>
    <w:rsid w:val="00CA46D6"/>
    <w:rsid w:val="00CA4BC0"/>
    <w:rsid w:val="00CB00EE"/>
    <w:rsid w:val="00CB06DA"/>
    <w:rsid w:val="00CB0F9B"/>
    <w:rsid w:val="00CB189F"/>
    <w:rsid w:val="00CB258A"/>
    <w:rsid w:val="00CB3350"/>
    <w:rsid w:val="00CB3465"/>
    <w:rsid w:val="00CB3E11"/>
    <w:rsid w:val="00CB482D"/>
    <w:rsid w:val="00CB4E89"/>
    <w:rsid w:val="00CB60F1"/>
    <w:rsid w:val="00CB63C5"/>
    <w:rsid w:val="00CB6AA5"/>
    <w:rsid w:val="00CB710E"/>
    <w:rsid w:val="00CB7364"/>
    <w:rsid w:val="00CC0781"/>
    <w:rsid w:val="00CC08C8"/>
    <w:rsid w:val="00CC168A"/>
    <w:rsid w:val="00CC2131"/>
    <w:rsid w:val="00CC2A1F"/>
    <w:rsid w:val="00CC31FE"/>
    <w:rsid w:val="00CC367F"/>
    <w:rsid w:val="00CC3BC0"/>
    <w:rsid w:val="00CC4371"/>
    <w:rsid w:val="00CC559D"/>
    <w:rsid w:val="00CC5B22"/>
    <w:rsid w:val="00CC63E7"/>
    <w:rsid w:val="00CD1715"/>
    <w:rsid w:val="00CD1D47"/>
    <w:rsid w:val="00CD1F1B"/>
    <w:rsid w:val="00CD34C3"/>
    <w:rsid w:val="00CD420C"/>
    <w:rsid w:val="00CD654B"/>
    <w:rsid w:val="00CD6BD4"/>
    <w:rsid w:val="00CD6CE9"/>
    <w:rsid w:val="00CD74C8"/>
    <w:rsid w:val="00CE0367"/>
    <w:rsid w:val="00CE1A93"/>
    <w:rsid w:val="00CE223E"/>
    <w:rsid w:val="00CE2DB5"/>
    <w:rsid w:val="00CE4769"/>
    <w:rsid w:val="00CE48C2"/>
    <w:rsid w:val="00CE57E7"/>
    <w:rsid w:val="00CE5A51"/>
    <w:rsid w:val="00CE5B0C"/>
    <w:rsid w:val="00CE5D18"/>
    <w:rsid w:val="00CE675C"/>
    <w:rsid w:val="00CE7C20"/>
    <w:rsid w:val="00CF0550"/>
    <w:rsid w:val="00CF1702"/>
    <w:rsid w:val="00CF18A3"/>
    <w:rsid w:val="00CF1FD0"/>
    <w:rsid w:val="00CF261C"/>
    <w:rsid w:val="00CF2907"/>
    <w:rsid w:val="00CF2E55"/>
    <w:rsid w:val="00CF3D06"/>
    <w:rsid w:val="00CF3F90"/>
    <w:rsid w:val="00CF4CEC"/>
    <w:rsid w:val="00D00F2E"/>
    <w:rsid w:val="00D013F3"/>
    <w:rsid w:val="00D02F0B"/>
    <w:rsid w:val="00D0326A"/>
    <w:rsid w:val="00D0328D"/>
    <w:rsid w:val="00D046A8"/>
    <w:rsid w:val="00D07687"/>
    <w:rsid w:val="00D10F16"/>
    <w:rsid w:val="00D11681"/>
    <w:rsid w:val="00D145F5"/>
    <w:rsid w:val="00D146F9"/>
    <w:rsid w:val="00D14A44"/>
    <w:rsid w:val="00D16349"/>
    <w:rsid w:val="00D2206E"/>
    <w:rsid w:val="00D222B2"/>
    <w:rsid w:val="00D22A58"/>
    <w:rsid w:val="00D23F2A"/>
    <w:rsid w:val="00D24161"/>
    <w:rsid w:val="00D242C6"/>
    <w:rsid w:val="00D24E74"/>
    <w:rsid w:val="00D25D98"/>
    <w:rsid w:val="00D270C7"/>
    <w:rsid w:val="00D27281"/>
    <w:rsid w:val="00D275E5"/>
    <w:rsid w:val="00D30490"/>
    <w:rsid w:val="00D31B2B"/>
    <w:rsid w:val="00D3274E"/>
    <w:rsid w:val="00D3390A"/>
    <w:rsid w:val="00D33EC8"/>
    <w:rsid w:val="00D34ECA"/>
    <w:rsid w:val="00D355F0"/>
    <w:rsid w:val="00D37318"/>
    <w:rsid w:val="00D40030"/>
    <w:rsid w:val="00D40726"/>
    <w:rsid w:val="00D42153"/>
    <w:rsid w:val="00D44082"/>
    <w:rsid w:val="00D44E18"/>
    <w:rsid w:val="00D44FA7"/>
    <w:rsid w:val="00D4514D"/>
    <w:rsid w:val="00D458AB"/>
    <w:rsid w:val="00D45AF8"/>
    <w:rsid w:val="00D45D01"/>
    <w:rsid w:val="00D461B8"/>
    <w:rsid w:val="00D468FA"/>
    <w:rsid w:val="00D47596"/>
    <w:rsid w:val="00D50123"/>
    <w:rsid w:val="00D51C05"/>
    <w:rsid w:val="00D52C6C"/>
    <w:rsid w:val="00D52F8C"/>
    <w:rsid w:val="00D53BF0"/>
    <w:rsid w:val="00D543BD"/>
    <w:rsid w:val="00D5469C"/>
    <w:rsid w:val="00D546FE"/>
    <w:rsid w:val="00D5473E"/>
    <w:rsid w:val="00D5493E"/>
    <w:rsid w:val="00D54CE4"/>
    <w:rsid w:val="00D56192"/>
    <w:rsid w:val="00D569AA"/>
    <w:rsid w:val="00D56B17"/>
    <w:rsid w:val="00D57F59"/>
    <w:rsid w:val="00D60F98"/>
    <w:rsid w:val="00D615F2"/>
    <w:rsid w:val="00D6396A"/>
    <w:rsid w:val="00D65809"/>
    <w:rsid w:val="00D65F33"/>
    <w:rsid w:val="00D66783"/>
    <w:rsid w:val="00D668E3"/>
    <w:rsid w:val="00D67111"/>
    <w:rsid w:val="00D679BD"/>
    <w:rsid w:val="00D67ECF"/>
    <w:rsid w:val="00D70DFE"/>
    <w:rsid w:val="00D71146"/>
    <w:rsid w:val="00D714B4"/>
    <w:rsid w:val="00D734DF"/>
    <w:rsid w:val="00D76230"/>
    <w:rsid w:val="00D769C9"/>
    <w:rsid w:val="00D76B5F"/>
    <w:rsid w:val="00D77BAA"/>
    <w:rsid w:val="00D77F6B"/>
    <w:rsid w:val="00D813E0"/>
    <w:rsid w:val="00D81406"/>
    <w:rsid w:val="00D81A7A"/>
    <w:rsid w:val="00D832AD"/>
    <w:rsid w:val="00D83BD9"/>
    <w:rsid w:val="00D84B36"/>
    <w:rsid w:val="00D84E98"/>
    <w:rsid w:val="00D86ABB"/>
    <w:rsid w:val="00D877A8"/>
    <w:rsid w:val="00D91A22"/>
    <w:rsid w:val="00D920A4"/>
    <w:rsid w:val="00D93D76"/>
    <w:rsid w:val="00D95EE1"/>
    <w:rsid w:val="00D95FB9"/>
    <w:rsid w:val="00D97C80"/>
    <w:rsid w:val="00DA0701"/>
    <w:rsid w:val="00DA2230"/>
    <w:rsid w:val="00DA311E"/>
    <w:rsid w:val="00DA3306"/>
    <w:rsid w:val="00DA3F91"/>
    <w:rsid w:val="00DA4888"/>
    <w:rsid w:val="00DA591D"/>
    <w:rsid w:val="00DA5949"/>
    <w:rsid w:val="00DA632E"/>
    <w:rsid w:val="00DA686B"/>
    <w:rsid w:val="00DA7D2F"/>
    <w:rsid w:val="00DB0602"/>
    <w:rsid w:val="00DB1237"/>
    <w:rsid w:val="00DB1383"/>
    <w:rsid w:val="00DB1545"/>
    <w:rsid w:val="00DB2F68"/>
    <w:rsid w:val="00DB3800"/>
    <w:rsid w:val="00DB3F60"/>
    <w:rsid w:val="00DB52A6"/>
    <w:rsid w:val="00DB5CAD"/>
    <w:rsid w:val="00DB5F55"/>
    <w:rsid w:val="00DB601F"/>
    <w:rsid w:val="00DB6113"/>
    <w:rsid w:val="00DB6CB2"/>
    <w:rsid w:val="00DB73D4"/>
    <w:rsid w:val="00DB7672"/>
    <w:rsid w:val="00DB7D95"/>
    <w:rsid w:val="00DB7F09"/>
    <w:rsid w:val="00DC00E8"/>
    <w:rsid w:val="00DC10BE"/>
    <w:rsid w:val="00DC2699"/>
    <w:rsid w:val="00DC2B6C"/>
    <w:rsid w:val="00DC3822"/>
    <w:rsid w:val="00DC4159"/>
    <w:rsid w:val="00DC51B6"/>
    <w:rsid w:val="00DC5D02"/>
    <w:rsid w:val="00DC5D72"/>
    <w:rsid w:val="00DC69B8"/>
    <w:rsid w:val="00DC6B36"/>
    <w:rsid w:val="00DC74BC"/>
    <w:rsid w:val="00DD00AF"/>
    <w:rsid w:val="00DD0191"/>
    <w:rsid w:val="00DD1F5B"/>
    <w:rsid w:val="00DD232F"/>
    <w:rsid w:val="00DD2672"/>
    <w:rsid w:val="00DD2BB8"/>
    <w:rsid w:val="00DD3FC7"/>
    <w:rsid w:val="00DD4045"/>
    <w:rsid w:val="00DD5D5A"/>
    <w:rsid w:val="00DD77E4"/>
    <w:rsid w:val="00DE0288"/>
    <w:rsid w:val="00DE0965"/>
    <w:rsid w:val="00DE0DCB"/>
    <w:rsid w:val="00DE16D0"/>
    <w:rsid w:val="00DE1703"/>
    <w:rsid w:val="00DE1F7B"/>
    <w:rsid w:val="00DE2C6F"/>
    <w:rsid w:val="00DE452D"/>
    <w:rsid w:val="00DE575A"/>
    <w:rsid w:val="00DE6251"/>
    <w:rsid w:val="00DE72E1"/>
    <w:rsid w:val="00DE788F"/>
    <w:rsid w:val="00DF26C6"/>
    <w:rsid w:val="00DF29EB"/>
    <w:rsid w:val="00DF3176"/>
    <w:rsid w:val="00DF36E4"/>
    <w:rsid w:val="00DF41F8"/>
    <w:rsid w:val="00DF5B3B"/>
    <w:rsid w:val="00DF695A"/>
    <w:rsid w:val="00DF7883"/>
    <w:rsid w:val="00DF791B"/>
    <w:rsid w:val="00E00398"/>
    <w:rsid w:val="00E0067F"/>
    <w:rsid w:val="00E01B62"/>
    <w:rsid w:val="00E02DB2"/>
    <w:rsid w:val="00E038D3"/>
    <w:rsid w:val="00E03E44"/>
    <w:rsid w:val="00E046C5"/>
    <w:rsid w:val="00E0596D"/>
    <w:rsid w:val="00E05E2A"/>
    <w:rsid w:val="00E0603D"/>
    <w:rsid w:val="00E060AA"/>
    <w:rsid w:val="00E06121"/>
    <w:rsid w:val="00E062A7"/>
    <w:rsid w:val="00E064D5"/>
    <w:rsid w:val="00E07302"/>
    <w:rsid w:val="00E07617"/>
    <w:rsid w:val="00E10D39"/>
    <w:rsid w:val="00E1136B"/>
    <w:rsid w:val="00E11A7A"/>
    <w:rsid w:val="00E1289F"/>
    <w:rsid w:val="00E12D7F"/>
    <w:rsid w:val="00E12EDC"/>
    <w:rsid w:val="00E140E3"/>
    <w:rsid w:val="00E14540"/>
    <w:rsid w:val="00E14B93"/>
    <w:rsid w:val="00E14CDB"/>
    <w:rsid w:val="00E15D73"/>
    <w:rsid w:val="00E16643"/>
    <w:rsid w:val="00E20FFD"/>
    <w:rsid w:val="00E2117A"/>
    <w:rsid w:val="00E21766"/>
    <w:rsid w:val="00E21B0C"/>
    <w:rsid w:val="00E22ABC"/>
    <w:rsid w:val="00E22D51"/>
    <w:rsid w:val="00E23033"/>
    <w:rsid w:val="00E23BD4"/>
    <w:rsid w:val="00E24F89"/>
    <w:rsid w:val="00E25045"/>
    <w:rsid w:val="00E25467"/>
    <w:rsid w:val="00E25A74"/>
    <w:rsid w:val="00E305CF"/>
    <w:rsid w:val="00E30AC4"/>
    <w:rsid w:val="00E326E9"/>
    <w:rsid w:val="00E32AD4"/>
    <w:rsid w:val="00E3382D"/>
    <w:rsid w:val="00E34F35"/>
    <w:rsid w:val="00E35FA1"/>
    <w:rsid w:val="00E375D1"/>
    <w:rsid w:val="00E378B4"/>
    <w:rsid w:val="00E378E0"/>
    <w:rsid w:val="00E40211"/>
    <w:rsid w:val="00E41BDE"/>
    <w:rsid w:val="00E4283D"/>
    <w:rsid w:val="00E44731"/>
    <w:rsid w:val="00E457E2"/>
    <w:rsid w:val="00E45D43"/>
    <w:rsid w:val="00E4789B"/>
    <w:rsid w:val="00E47DEB"/>
    <w:rsid w:val="00E50868"/>
    <w:rsid w:val="00E50E7C"/>
    <w:rsid w:val="00E51545"/>
    <w:rsid w:val="00E52EA5"/>
    <w:rsid w:val="00E537EE"/>
    <w:rsid w:val="00E54135"/>
    <w:rsid w:val="00E5414C"/>
    <w:rsid w:val="00E54CF6"/>
    <w:rsid w:val="00E54F51"/>
    <w:rsid w:val="00E55326"/>
    <w:rsid w:val="00E55608"/>
    <w:rsid w:val="00E55960"/>
    <w:rsid w:val="00E61847"/>
    <w:rsid w:val="00E6226E"/>
    <w:rsid w:val="00E633E6"/>
    <w:rsid w:val="00E63A7D"/>
    <w:rsid w:val="00E6525B"/>
    <w:rsid w:val="00E67451"/>
    <w:rsid w:val="00E67C88"/>
    <w:rsid w:val="00E67DEE"/>
    <w:rsid w:val="00E711D7"/>
    <w:rsid w:val="00E729FF"/>
    <w:rsid w:val="00E72AFA"/>
    <w:rsid w:val="00E73249"/>
    <w:rsid w:val="00E735D6"/>
    <w:rsid w:val="00E73D57"/>
    <w:rsid w:val="00E7409B"/>
    <w:rsid w:val="00E74637"/>
    <w:rsid w:val="00E756EA"/>
    <w:rsid w:val="00E757A9"/>
    <w:rsid w:val="00E757C7"/>
    <w:rsid w:val="00E760FE"/>
    <w:rsid w:val="00E76416"/>
    <w:rsid w:val="00E76FA4"/>
    <w:rsid w:val="00E77C7C"/>
    <w:rsid w:val="00E800C5"/>
    <w:rsid w:val="00E81167"/>
    <w:rsid w:val="00E813DF"/>
    <w:rsid w:val="00E82FD5"/>
    <w:rsid w:val="00E83906"/>
    <w:rsid w:val="00E8392F"/>
    <w:rsid w:val="00E83DD2"/>
    <w:rsid w:val="00E84B56"/>
    <w:rsid w:val="00E8518E"/>
    <w:rsid w:val="00E86080"/>
    <w:rsid w:val="00E8647D"/>
    <w:rsid w:val="00E86AE6"/>
    <w:rsid w:val="00E877BF"/>
    <w:rsid w:val="00E902B0"/>
    <w:rsid w:val="00E902E8"/>
    <w:rsid w:val="00E92470"/>
    <w:rsid w:val="00E92FC2"/>
    <w:rsid w:val="00E93EFF"/>
    <w:rsid w:val="00EA1975"/>
    <w:rsid w:val="00EA22AF"/>
    <w:rsid w:val="00EA32D6"/>
    <w:rsid w:val="00EA3BBD"/>
    <w:rsid w:val="00EA620E"/>
    <w:rsid w:val="00EA70BE"/>
    <w:rsid w:val="00EA72CC"/>
    <w:rsid w:val="00EA7477"/>
    <w:rsid w:val="00EA77CC"/>
    <w:rsid w:val="00EB030F"/>
    <w:rsid w:val="00EB0AC6"/>
    <w:rsid w:val="00EB0BE6"/>
    <w:rsid w:val="00EB266D"/>
    <w:rsid w:val="00EB32A5"/>
    <w:rsid w:val="00EB3D0C"/>
    <w:rsid w:val="00EB3E5F"/>
    <w:rsid w:val="00EB3EB9"/>
    <w:rsid w:val="00EB4886"/>
    <w:rsid w:val="00EB57AD"/>
    <w:rsid w:val="00EB6B23"/>
    <w:rsid w:val="00EB707F"/>
    <w:rsid w:val="00EB717E"/>
    <w:rsid w:val="00EB730F"/>
    <w:rsid w:val="00EB7474"/>
    <w:rsid w:val="00EB748A"/>
    <w:rsid w:val="00EC084A"/>
    <w:rsid w:val="00EC0900"/>
    <w:rsid w:val="00EC124B"/>
    <w:rsid w:val="00EC2781"/>
    <w:rsid w:val="00EC2BC1"/>
    <w:rsid w:val="00EC300F"/>
    <w:rsid w:val="00EC4DF3"/>
    <w:rsid w:val="00EC5242"/>
    <w:rsid w:val="00EC5515"/>
    <w:rsid w:val="00EC565C"/>
    <w:rsid w:val="00EC5BF8"/>
    <w:rsid w:val="00EC6B16"/>
    <w:rsid w:val="00EC6EF2"/>
    <w:rsid w:val="00ED0421"/>
    <w:rsid w:val="00ED0A61"/>
    <w:rsid w:val="00ED0E26"/>
    <w:rsid w:val="00ED1F31"/>
    <w:rsid w:val="00ED27C6"/>
    <w:rsid w:val="00ED48B1"/>
    <w:rsid w:val="00ED4D9F"/>
    <w:rsid w:val="00ED50BF"/>
    <w:rsid w:val="00ED5A45"/>
    <w:rsid w:val="00ED6330"/>
    <w:rsid w:val="00ED7188"/>
    <w:rsid w:val="00ED7DAB"/>
    <w:rsid w:val="00EE0914"/>
    <w:rsid w:val="00EE1D40"/>
    <w:rsid w:val="00EE1DF3"/>
    <w:rsid w:val="00EE2241"/>
    <w:rsid w:val="00EE254A"/>
    <w:rsid w:val="00EE26C5"/>
    <w:rsid w:val="00EE281B"/>
    <w:rsid w:val="00EE2B75"/>
    <w:rsid w:val="00EE346C"/>
    <w:rsid w:val="00EE40F7"/>
    <w:rsid w:val="00EE4A0E"/>
    <w:rsid w:val="00EE4F03"/>
    <w:rsid w:val="00EE4F68"/>
    <w:rsid w:val="00EE53D4"/>
    <w:rsid w:val="00EE5DB7"/>
    <w:rsid w:val="00EE677F"/>
    <w:rsid w:val="00EE6F26"/>
    <w:rsid w:val="00EE780E"/>
    <w:rsid w:val="00EE7CFF"/>
    <w:rsid w:val="00EE7E85"/>
    <w:rsid w:val="00EF016D"/>
    <w:rsid w:val="00EF044A"/>
    <w:rsid w:val="00EF0912"/>
    <w:rsid w:val="00EF15BA"/>
    <w:rsid w:val="00EF1DCB"/>
    <w:rsid w:val="00EF2F94"/>
    <w:rsid w:val="00EF3143"/>
    <w:rsid w:val="00EF4EBC"/>
    <w:rsid w:val="00EF5B6E"/>
    <w:rsid w:val="00EF6A4B"/>
    <w:rsid w:val="00EF6C26"/>
    <w:rsid w:val="00EF6DD1"/>
    <w:rsid w:val="00EF70BF"/>
    <w:rsid w:val="00F0082D"/>
    <w:rsid w:val="00F00E8F"/>
    <w:rsid w:val="00F02588"/>
    <w:rsid w:val="00F028A9"/>
    <w:rsid w:val="00F0336A"/>
    <w:rsid w:val="00F033C6"/>
    <w:rsid w:val="00F0349A"/>
    <w:rsid w:val="00F0411A"/>
    <w:rsid w:val="00F04FC5"/>
    <w:rsid w:val="00F05CA2"/>
    <w:rsid w:val="00F05D48"/>
    <w:rsid w:val="00F0617D"/>
    <w:rsid w:val="00F06662"/>
    <w:rsid w:val="00F07254"/>
    <w:rsid w:val="00F07932"/>
    <w:rsid w:val="00F07A16"/>
    <w:rsid w:val="00F07C90"/>
    <w:rsid w:val="00F101E7"/>
    <w:rsid w:val="00F109E0"/>
    <w:rsid w:val="00F10D9F"/>
    <w:rsid w:val="00F1161E"/>
    <w:rsid w:val="00F1213D"/>
    <w:rsid w:val="00F1590C"/>
    <w:rsid w:val="00F15E67"/>
    <w:rsid w:val="00F16441"/>
    <w:rsid w:val="00F172C9"/>
    <w:rsid w:val="00F20469"/>
    <w:rsid w:val="00F20858"/>
    <w:rsid w:val="00F20E63"/>
    <w:rsid w:val="00F21639"/>
    <w:rsid w:val="00F217C6"/>
    <w:rsid w:val="00F22BF8"/>
    <w:rsid w:val="00F25451"/>
    <w:rsid w:val="00F25C74"/>
    <w:rsid w:val="00F26746"/>
    <w:rsid w:val="00F267DA"/>
    <w:rsid w:val="00F2786B"/>
    <w:rsid w:val="00F302C9"/>
    <w:rsid w:val="00F309ED"/>
    <w:rsid w:val="00F31268"/>
    <w:rsid w:val="00F31A44"/>
    <w:rsid w:val="00F31AB8"/>
    <w:rsid w:val="00F323BD"/>
    <w:rsid w:val="00F32BE7"/>
    <w:rsid w:val="00F33A23"/>
    <w:rsid w:val="00F33CFB"/>
    <w:rsid w:val="00F34E07"/>
    <w:rsid w:val="00F358A8"/>
    <w:rsid w:val="00F35B01"/>
    <w:rsid w:val="00F36CB5"/>
    <w:rsid w:val="00F370BC"/>
    <w:rsid w:val="00F37143"/>
    <w:rsid w:val="00F37703"/>
    <w:rsid w:val="00F404C7"/>
    <w:rsid w:val="00F4132D"/>
    <w:rsid w:val="00F41C3B"/>
    <w:rsid w:val="00F4250E"/>
    <w:rsid w:val="00F42C46"/>
    <w:rsid w:val="00F43120"/>
    <w:rsid w:val="00F4352C"/>
    <w:rsid w:val="00F43870"/>
    <w:rsid w:val="00F45768"/>
    <w:rsid w:val="00F46057"/>
    <w:rsid w:val="00F477C1"/>
    <w:rsid w:val="00F47C72"/>
    <w:rsid w:val="00F506BE"/>
    <w:rsid w:val="00F50A59"/>
    <w:rsid w:val="00F50AAB"/>
    <w:rsid w:val="00F52433"/>
    <w:rsid w:val="00F55D8F"/>
    <w:rsid w:val="00F5618E"/>
    <w:rsid w:val="00F57C40"/>
    <w:rsid w:val="00F61102"/>
    <w:rsid w:val="00F61B92"/>
    <w:rsid w:val="00F6250A"/>
    <w:rsid w:val="00F62949"/>
    <w:rsid w:val="00F63ED1"/>
    <w:rsid w:val="00F64555"/>
    <w:rsid w:val="00F64A05"/>
    <w:rsid w:val="00F64B2D"/>
    <w:rsid w:val="00F64B68"/>
    <w:rsid w:val="00F64E5C"/>
    <w:rsid w:val="00F65B58"/>
    <w:rsid w:val="00F6682A"/>
    <w:rsid w:val="00F66B9F"/>
    <w:rsid w:val="00F67618"/>
    <w:rsid w:val="00F6775F"/>
    <w:rsid w:val="00F702C2"/>
    <w:rsid w:val="00F71A0E"/>
    <w:rsid w:val="00F7291B"/>
    <w:rsid w:val="00F737CA"/>
    <w:rsid w:val="00F73D36"/>
    <w:rsid w:val="00F73FDE"/>
    <w:rsid w:val="00F749E5"/>
    <w:rsid w:val="00F75A64"/>
    <w:rsid w:val="00F76116"/>
    <w:rsid w:val="00F8154F"/>
    <w:rsid w:val="00F81A6E"/>
    <w:rsid w:val="00F81B5D"/>
    <w:rsid w:val="00F8214E"/>
    <w:rsid w:val="00F821B7"/>
    <w:rsid w:val="00F827C3"/>
    <w:rsid w:val="00F8294A"/>
    <w:rsid w:val="00F82F61"/>
    <w:rsid w:val="00F83041"/>
    <w:rsid w:val="00F8390E"/>
    <w:rsid w:val="00F85AC3"/>
    <w:rsid w:val="00F85E32"/>
    <w:rsid w:val="00F906CF"/>
    <w:rsid w:val="00F90DEA"/>
    <w:rsid w:val="00F92279"/>
    <w:rsid w:val="00F927A4"/>
    <w:rsid w:val="00F931D4"/>
    <w:rsid w:val="00F94F1A"/>
    <w:rsid w:val="00F96178"/>
    <w:rsid w:val="00FA05FA"/>
    <w:rsid w:val="00FA06B9"/>
    <w:rsid w:val="00FA20AB"/>
    <w:rsid w:val="00FA32A4"/>
    <w:rsid w:val="00FA34EC"/>
    <w:rsid w:val="00FA5030"/>
    <w:rsid w:val="00FA691C"/>
    <w:rsid w:val="00FA6CD1"/>
    <w:rsid w:val="00FA6F6E"/>
    <w:rsid w:val="00FB0B36"/>
    <w:rsid w:val="00FB24DB"/>
    <w:rsid w:val="00FB31CB"/>
    <w:rsid w:val="00FB38A7"/>
    <w:rsid w:val="00FB4303"/>
    <w:rsid w:val="00FB5D6F"/>
    <w:rsid w:val="00FB64AA"/>
    <w:rsid w:val="00FB74E7"/>
    <w:rsid w:val="00FC0810"/>
    <w:rsid w:val="00FC12D6"/>
    <w:rsid w:val="00FC2B30"/>
    <w:rsid w:val="00FC2E02"/>
    <w:rsid w:val="00FC33D8"/>
    <w:rsid w:val="00FC3AFB"/>
    <w:rsid w:val="00FC3CF0"/>
    <w:rsid w:val="00FC42A0"/>
    <w:rsid w:val="00FC4521"/>
    <w:rsid w:val="00FC5148"/>
    <w:rsid w:val="00FC5A5D"/>
    <w:rsid w:val="00FC5AC8"/>
    <w:rsid w:val="00FC6ABB"/>
    <w:rsid w:val="00FC6ADA"/>
    <w:rsid w:val="00FD0F9E"/>
    <w:rsid w:val="00FD1897"/>
    <w:rsid w:val="00FD2234"/>
    <w:rsid w:val="00FD303C"/>
    <w:rsid w:val="00FD3B5D"/>
    <w:rsid w:val="00FD3DC5"/>
    <w:rsid w:val="00FD447F"/>
    <w:rsid w:val="00FD46E8"/>
    <w:rsid w:val="00FD4F84"/>
    <w:rsid w:val="00FD5C81"/>
    <w:rsid w:val="00FD5DBB"/>
    <w:rsid w:val="00FE195A"/>
    <w:rsid w:val="00FE23FE"/>
    <w:rsid w:val="00FE3891"/>
    <w:rsid w:val="00FE4570"/>
    <w:rsid w:val="00FE4960"/>
    <w:rsid w:val="00FE4E76"/>
    <w:rsid w:val="00FE613C"/>
    <w:rsid w:val="00FE61A1"/>
    <w:rsid w:val="00FE6FF6"/>
    <w:rsid w:val="00FE7571"/>
    <w:rsid w:val="00FF0F0E"/>
    <w:rsid w:val="00FF1349"/>
    <w:rsid w:val="00FF4653"/>
    <w:rsid w:val="00FF49C0"/>
    <w:rsid w:val="00FF4B0D"/>
    <w:rsid w:val="00FF4CBD"/>
    <w:rsid w:val="03DB79B5"/>
    <w:rsid w:val="04F6BDF5"/>
    <w:rsid w:val="06013FEB"/>
    <w:rsid w:val="06E9F7A2"/>
    <w:rsid w:val="08625C55"/>
    <w:rsid w:val="0D3A81C2"/>
    <w:rsid w:val="0E74CB45"/>
    <w:rsid w:val="0F869CF8"/>
    <w:rsid w:val="0FE52AE4"/>
    <w:rsid w:val="11385B58"/>
    <w:rsid w:val="17736CC9"/>
    <w:rsid w:val="199D5B08"/>
    <w:rsid w:val="1C0B32EB"/>
    <w:rsid w:val="1C8CBCEA"/>
    <w:rsid w:val="1CBEDE94"/>
    <w:rsid w:val="1E4E26EC"/>
    <w:rsid w:val="1EF3F0DB"/>
    <w:rsid w:val="1FCD3586"/>
    <w:rsid w:val="211D2FE2"/>
    <w:rsid w:val="227C129E"/>
    <w:rsid w:val="23430A41"/>
    <w:rsid w:val="26DEF515"/>
    <w:rsid w:val="27BD3AF9"/>
    <w:rsid w:val="2BCCBF84"/>
    <w:rsid w:val="2DFF165E"/>
    <w:rsid w:val="2F3C9F13"/>
    <w:rsid w:val="3090BFB6"/>
    <w:rsid w:val="30BA05C8"/>
    <w:rsid w:val="32930055"/>
    <w:rsid w:val="330B1C40"/>
    <w:rsid w:val="335A15D7"/>
    <w:rsid w:val="34427028"/>
    <w:rsid w:val="3659EA8E"/>
    <w:rsid w:val="36FFA747"/>
    <w:rsid w:val="379258EF"/>
    <w:rsid w:val="38419015"/>
    <w:rsid w:val="393DF86D"/>
    <w:rsid w:val="3AAED714"/>
    <w:rsid w:val="3C4353C5"/>
    <w:rsid w:val="3D9D3ED9"/>
    <w:rsid w:val="3F9EF2D8"/>
    <w:rsid w:val="406BD84D"/>
    <w:rsid w:val="4144C345"/>
    <w:rsid w:val="42DE5BA1"/>
    <w:rsid w:val="44084728"/>
    <w:rsid w:val="45C4BAB8"/>
    <w:rsid w:val="48A01124"/>
    <w:rsid w:val="48CE51A6"/>
    <w:rsid w:val="4A401B59"/>
    <w:rsid w:val="4AE30DBB"/>
    <w:rsid w:val="4D9CB26E"/>
    <w:rsid w:val="512C5398"/>
    <w:rsid w:val="53815037"/>
    <w:rsid w:val="53AA67D5"/>
    <w:rsid w:val="54B70EA2"/>
    <w:rsid w:val="552A4776"/>
    <w:rsid w:val="55BC95F3"/>
    <w:rsid w:val="5632960A"/>
    <w:rsid w:val="568C4FA1"/>
    <w:rsid w:val="56D3EE73"/>
    <w:rsid w:val="57E77ED5"/>
    <w:rsid w:val="58B2B291"/>
    <w:rsid w:val="5AD76621"/>
    <w:rsid w:val="5B614507"/>
    <w:rsid w:val="5BA82C08"/>
    <w:rsid w:val="6061811E"/>
    <w:rsid w:val="60A74617"/>
    <w:rsid w:val="61CCDD58"/>
    <w:rsid w:val="6204B023"/>
    <w:rsid w:val="62B5F0CC"/>
    <w:rsid w:val="63C73883"/>
    <w:rsid w:val="6615FEB0"/>
    <w:rsid w:val="672DFF1C"/>
    <w:rsid w:val="68AB347C"/>
    <w:rsid w:val="68AB4052"/>
    <w:rsid w:val="69347C2D"/>
    <w:rsid w:val="69F62554"/>
    <w:rsid w:val="6B3B44E7"/>
    <w:rsid w:val="6EAA29D5"/>
    <w:rsid w:val="735DB500"/>
    <w:rsid w:val="749A278E"/>
    <w:rsid w:val="75C3D608"/>
    <w:rsid w:val="7698B4D4"/>
    <w:rsid w:val="79F17F14"/>
    <w:rsid w:val="7A641539"/>
    <w:rsid w:val="7EA207F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0353"/>
    <o:shapelayout v:ext="edit">
      <o:idmap v:ext="edit" data="1"/>
    </o:shapelayout>
  </w:shapeDefaults>
  <w:decimalSymbol w:val="."/>
  <w:listSeparator w:val=","/>
  <w14:docId w14:val="3B538AC0"/>
  <w15:docId w15:val="{772307B6-8A04-4453-BA87-7F3D9E046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6BC1"/>
    <w:pPr>
      <w:spacing w:before="120" w:after="120" w:line="240" w:lineRule="auto"/>
    </w:pPr>
    <w:rPr>
      <w:rFonts w:ascii="Calibri" w:eastAsia="Times New Roman" w:hAnsi="Calibri" w:cs="Times New Roman"/>
      <w:szCs w:val="20"/>
      <w:lang w:eastAsia="en-AU"/>
    </w:rPr>
  </w:style>
  <w:style w:type="paragraph" w:styleId="Heading1">
    <w:name w:val="heading 1"/>
    <w:basedOn w:val="HeadingBase"/>
    <w:next w:val="Normal"/>
    <w:link w:val="Heading1Char"/>
    <w:qFormat/>
    <w:rsid w:val="000C6BC1"/>
    <w:pPr>
      <w:spacing w:before="480"/>
      <w:outlineLvl w:val="0"/>
    </w:pPr>
    <w:rPr>
      <w:bCs w:val="0"/>
      <w:color w:val="144E60" w:themeColor="accent1"/>
      <w:sz w:val="48"/>
    </w:rPr>
  </w:style>
  <w:style w:type="paragraph" w:styleId="Heading2">
    <w:name w:val="heading 2"/>
    <w:basedOn w:val="HeadingBase"/>
    <w:next w:val="Normal"/>
    <w:link w:val="Heading2Char"/>
    <w:qFormat/>
    <w:rsid w:val="000C6BC1"/>
    <w:pPr>
      <w:spacing w:before="360"/>
      <w:outlineLvl w:val="1"/>
    </w:pPr>
    <w:rPr>
      <w:bCs w:val="0"/>
      <w:iCs/>
      <w:color w:val="604878" w:themeColor="accent3"/>
      <w:sz w:val="36"/>
      <w:szCs w:val="28"/>
    </w:rPr>
  </w:style>
  <w:style w:type="paragraph" w:styleId="Heading3">
    <w:name w:val="heading 3"/>
    <w:basedOn w:val="HeadingBase"/>
    <w:next w:val="Normal"/>
    <w:link w:val="Heading3Char"/>
    <w:qFormat/>
    <w:rsid w:val="000C6BC1"/>
    <w:pPr>
      <w:spacing w:before="240"/>
      <w:outlineLvl w:val="2"/>
    </w:pPr>
    <w:rPr>
      <w:bCs w:val="0"/>
      <w:color w:val="30A9B2" w:themeColor="accent4"/>
      <w:sz w:val="28"/>
      <w:szCs w:val="26"/>
    </w:rPr>
  </w:style>
  <w:style w:type="paragraph" w:styleId="Heading4">
    <w:name w:val="heading 4"/>
    <w:basedOn w:val="HeadingBase"/>
    <w:next w:val="Normal"/>
    <w:link w:val="Heading4Char"/>
    <w:qFormat/>
    <w:rsid w:val="000C6BC1"/>
    <w:pPr>
      <w:outlineLvl w:val="3"/>
    </w:pPr>
    <w:rPr>
      <w:bCs w:val="0"/>
      <w:color w:val="144E60" w:themeColor="accent1"/>
      <w:sz w:val="26"/>
      <w:szCs w:val="26"/>
    </w:rPr>
  </w:style>
  <w:style w:type="paragraph" w:styleId="Heading5">
    <w:name w:val="heading 5"/>
    <w:basedOn w:val="HeadingBase"/>
    <w:next w:val="Normal"/>
    <w:link w:val="Heading5Char"/>
    <w:qFormat/>
    <w:rsid w:val="000C6BC1"/>
    <w:pPr>
      <w:outlineLvl w:val="4"/>
    </w:pPr>
    <w:rPr>
      <w:b/>
      <w:bCs w:val="0"/>
      <w:iCs/>
      <w:color w:val="144E60" w:themeColor="accent1"/>
    </w:rPr>
  </w:style>
  <w:style w:type="paragraph" w:styleId="Heading6">
    <w:name w:val="heading 6"/>
    <w:basedOn w:val="HeadingBase"/>
    <w:next w:val="Normal"/>
    <w:link w:val="Heading6Char"/>
    <w:qFormat/>
    <w:rsid w:val="000C6BC1"/>
    <w:pPr>
      <w:outlineLvl w:val="5"/>
    </w:pPr>
    <w:rPr>
      <w:bCs w:val="0"/>
      <w:color w:val="144E60" w:themeColor="accent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BC1"/>
    <w:rPr>
      <w:rFonts w:ascii="Calibri" w:eastAsia="Times New Roman" w:hAnsi="Calibri" w:cs="Arial"/>
      <w:color w:val="144E60" w:themeColor="accent1"/>
      <w:kern w:val="32"/>
      <w:sz w:val="48"/>
      <w:szCs w:val="36"/>
      <w:lang w:eastAsia="en-AU"/>
    </w:rPr>
  </w:style>
  <w:style w:type="character" w:customStyle="1" w:styleId="Heading2Char">
    <w:name w:val="Heading 2 Char"/>
    <w:basedOn w:val="DefaultParagraphFont"/>
    <w:link w:val="Heading2"/>
    <w:rsid w:val="000C6BC1"/>
    <w:rPr>
      <w:rFonts w:ascii="Calibri" w:eastAsia="Times New Roman" w:hAnsi="Calibri" w:cs="Arial"/>
      <w:iCs/>
      <w:color w:val="604878" w:themeColor="accent3"/>
      <w:kern w:val="32"/>
      <w:sz w:val="36"/>
      <w:szCs w:val="28"/>
      <w:lang w:eastAsia="en-AU"/>
    </w:rPr>
  </w:style>
  <w:style w:type="character" w:customStyle="1" w:styleId="Heading3Char">
    <w:name w:val="Heading 3 Char"/>
    <w:basedOn w:val="DefaultParagraphFont"/>
    <w:link w:val="Heading3"/>
    <w:rsid w:val="000C6BC1"/>
    <w:rPr>
      <w:rFonts w:ascii="Calibri" w:eastAsia="Times New Roman" w:hAnsi="Calibri" w:cs="Arial"/>
      <w:color w:val="30A9B2" w:themeColor="accent4"/>
      <w:kern w:val="32"/>
      <w:sz w:val="28"/>
      <w:szCs w:val="26"/>
      <w:lang w:eastAsia="en-AU"/>
    </w:rPr>
  </w:style>
  <w:style w:type="character" w:customStyle="1" w:styleId="Heading4Char">
    <w:name w:val="Heading 4 Char"/>
    <w:basedOn w:val="DefaultParagraphFont"/>
    <w:link w:val="Heading4"/>
    <w:rsid w:val="000C6BC1"/>
    <w:rPr>
      <w:rFonts w:ascii="Calibri" w:eastAsia="Times New Roman" w:hAnsi="Calibri" w:cs="Arial"/>
      <w:color w:val="144E60" w:themeColor="accent1"/>
      <w:kern w:val="32"/>
      <w:sz w:val="26"/>
      <w:szCs w:val="26"/>
      <w:lang w:eastAsia="en-AU"/>
    </w:rPr>
  </w:style>
  <w:style w:type="character" w:customStyle="1" w:styleId="Heading5Char">
    <w:name w:val="Heading 5 Char"/>
    <w:basedOn w:val="DefaultParagraphFont"/>
    <w:link w:val="Heading5"/>
    <w:rsid w:val="000C6BC1"/>
    <w:rPr>
      <w:rFonts w:ascii="Calibri" w:eastAsia="Times New Roman" w:hAnsi="Calibri" w:cs="Arial"/>
      <w:b/>
      <w:iCs/>
      <w:color w:val="144E60" w:themeColor="accent1"/>
      <w:kern w:val="32"/>
      <w:szCs w:val="36"/>
      <w:lang w:eastAsia="en-AU"/>
    </w:rPr>
  </w:style>
  <w:style w:type="character" w:customStyle="1" w:styleId="Heading6Char">
    <w:name w:val="Heading 6 Char"/>
    <w:basedOn w:val="DefaultParagraphFont"/>
    <w:link w:val="Heading6"/>
    <w:rsid w:val="000C6BC1"/>
    <w:rPr>
      <w:rFonts w:ascii="Calibri" w:eastAsia="Times New Roman" w:hAnsi="Calibri" w:cs="Arial"/>
      <w:color w:val="144E60" w:themeColor="accent1"/>
      <w:kern w:val="32"/>
      <w:lang w:eastAsia="en-AU"/>
    </w:rPr>
  </w:style>
  <w:style w:type="paragraph" w:customStyle="1" w:styleId="ChartGraphic">
    <w:name w:val="Chart Graphic"/>
    <w:basedOn w:val="Normal"/>
    <w:next w:val="Normal"/>
    <w:rsid w:val="000C6BC1"/>
    <w:pPr>
      <w:keepNext/>
      <w:spacing w:before="0" w:after="0"/>
      <w:jc w:val="center"/>
    </w:pPr>
    <w:rPr>
      <w:color w:val="004A7F"/>
      <w:sz w:val="20"/>
    </w:rPr>
  </w:style>
  <w:style w:type="paragraph" w:customStyle="1" w:styleId="AlphaParagraph">
    <w:name w:val="Alpha Paragraph"/>
    <w:basedOn w:val="Normal"/>
    <w:qFormat/>
    <w:rsid w:val="000C6BC1"/>
    <w:pPr>
      <w:numPr>
        <w:ilvl w:val="1"/>
        <w:numId w:val="10"/>
      </w:numPr>
      <w:spacing w:before="0"/>
    </w:pPr>
  </w:style>
  <w:style w:type="paragraph" w:customStyle="1" w:styleId="BoxBullet">
    <w:name w:val="Box Bullet"/>
    <w:basedOn w:val="Normal"/>
    <w:rsid w:val="000C6BC1"/>
    <w:pPr>
      <w:numPr>
        <w:numId w:val="2"/>
      </w:numPr>
      <w:spacing w:before="0"/>
    </w:pPr>
  </w:style>
  <w:style w:type="paragraph" w:customStyle="1" w:styleId="BoxDash">
    <w:name w:val="Box Dash"/>
    <w:basedOn w:val="Normal"/>
    <w:rsid w:val="000C6BC1"/>
    <w:pPr>
      <w:numPr>
        <w:ilvl w:val="1"/>
        <w:numId w:val="2"/>
      </w:numPr>
      <w:spacing w:before="0"/>
    </w:pPr>
  </w:style>
  <w:style w:type="paragraph" w:customStyle="1" w:styleId="BoxDoubleDot">
    <w:name w:val="Box Double Dot"/>
    <w:basedOn w:val="Normal"/>
    <w:rsid w:val="000C6BC1"/>
    <w:pPr>
      <w:numPr>
        <w:ilvl w:val="2"/>
        <w:numId w:val="2"/>
      </w:numPr>
      <w:spacing w:before="0"/>
      <w:ind w:left="851" w:hanging="284"/>
    </w:pPr>
  </w:style>
  <w:style w:type="paragraph" w:customStyle="1" w:styleId="BoxHeading">
    <w:name w:val="Box Heading"/>
    <w:basedOn w:val="Normal"/>
    <w:next w:val="Normal"/>
    <w:rsid w:val="000C6BC1"/>
    <w:pPr>
      <w:keepNext/>
      <w:spacing w:before="240"/>
    </w:pPr>
    <w:rPr>
      <w:b/>
      <w:color w:val="604878" w:themeColor="accent3"/>
      <w:sz w:val="26"/>
      <w:szCs w:val="26"/>
    </w:rPr>
  </w:style>
  <w:style w:type="paragraph" w:customStyle="1" w:styleId="BoxText">
    <w:name w:val="Box Text"/>
    <w:basedOn w:val="Normal"/>
    <w:rsid w:val="000C6BC1"/>
  </w:style>
  <w:style w:type="paragraph" w:customStyle="1" w:styleId="Bullet">
    <w:name w:val="Bullet"/>
    <w:basedOn w:val="Normal"/>
    <w:link w:val="BulletChar"/>
    <w:rsid w:val="000C6BC1"/>
    <w:pPr>
      <w:numPr>
        <w:numId w:val="1"/>
      </w:numPr>
      <w:spacing w:before="0"/>
      <w:ind w:left="284" w:hanging="284"/>
    </w:pPr>
  </w:style>
  <w:style w:type="paragraph" w:customStyle="1" w:styleId="ChartandTableFootnoteAlpha">
    <w:name w:val="Chart and Table Footnote Alpha"/>
    <w:rsid w:val="000C6BC1"/>
    <w:pPr>
      <w:numPr>
        <w:numId w:val="14"/>
      </w:numPr>
      <w:spacing w:after="0" w:line="240" w:lineRule="auto"/>
      <w:jc w:val="both"/>
    </w:pPr>
    <w:rPr>
      <w:rFonts w:ascii="Calibri" w:eastAsia="Times New Roman" w:hAnsi="Calibri" w:cs="Times New Roman"/>
      <w:color w:val="000000"/>
      <w:sz w:val="18"/>
      <w:szCs w:val="16"/>
      <w:lang w:eastAsia="en-AU"/>
    </w:rPr>
  </w:style>
  <w:style w:type="paragraph" w:customStyle="1" w:styleId="ChartMainHeading">
    <w:name w:val="Chart Main Heading"/>
    <w:basedOn w:val="TableMainHeading"/>
    <w:next w:val="ChartGraphic"/>
    <w:rsid w:val="00B921FB"/>
    <w:pPr>
      <w:jc w:val="center"/>
    </w:pPr>
  </w:style>
  <w:style w:type="paragraph" w:customStyle="1" w:styleId="ChartorTableNote">
    <w:name w:val="Chart or Table Note"/>
    <w:next w:val="Normal"/>
    <w:rsid w:val="000C6BC1"/>
    <w:pPr>
      <w:spacing w:after="0" w:line="240" w:lineRule="auto"/>
      <w:jc w:val="both"/>
    </w:pPr>
    <w:rPr>
      <w:rFonts w:ascii="Calibri" w:eastAsia="Times New Roman" w:hAnsi="Calibri" w:cs="Times New Roman"/>
      <w:color w:val="000000"/>
      <w:sz w:val="18"/>
      <w:szCs w:val="20"/>
      <w:lang w:eastAsia="en-AU"/>
    </w:rPr>
  </w:style>
  <w:style w:type="paragraph" w:customStyle="1" w:styleId="ChartSecondHeading">
    <w:name w:val="Chart Second Heading"/>
    <w:basedOn w:val="TableSecondHeading"/>
    <w:next w:val="ChartGraphic"/>
    <w:rsid w:val="000C6BC1"/>
    <w:pPr>
      <w:jc w:val="center"/>
    </w:pPr>
  </w:style>
  <w:style w:type="paragraph" w:customStyle="1" w:styleId="ReportDate">
    <w:name w:val="Report Date"/>
    <w:basedOn w:val="Normal"/>
    <w:link w:val="ReportDateChar"/>
    <w:rsid w:val="000C6BC1"/>
    <w:pPr>
      <w:keepNext/>
      <w:spacing w:before="0" w:after="360"/>
    </w:pPr>
    <w:rPr>
      <w:color w:val="FFFFFF" w:themeColor="background1"/>
      <w:sz w:val="44"/>
    </w:rPr>
  </w:style>
  <w:style w:type="paragraph" w:customStyle="1" w:styleId="Dash">
    <w:name w:val="Dash"/>
    <w:basedOn w:val="Normal"/>
    <w:rsid w:val="000C6BC1"/>
    <w:pPr>
      <w:numPr>
        <w:ilvl w:val="1"/>
        <w:numId w:val="1"/>
      </w:numPr>
      <w:spacing w:before="0"/>
      <w:ind w:left="568"/>
    </w:pPr>
  </w:style>
  <w:style w:type="paragraph" w:customStyle="1" w:styleId="DoubleDot">
    <w:name w:val="Double Dot"/>
    <w:basedOn w:val="Normal"/>
    <w:rsid w:val="000C6BC1"/>
    <w:pPr>
      <w:numPr>
        <w:ilvl w:val="2"/>
        <w:numId w:val="1"/>
      </w:numPr>
      <w:spacing w:before="0"/>
      <w:ind w:left="851" w:hanging="284"/>
    </w:pPr>
  </w:style>
  <w:style w:type="paragraph" w:customStyle="1" w:styleId="TableMainHeading">
    <w:name w:val="Table Main Heading"/>
    <w:basedOn w:val="Heading3"/>
    <w:next w:val="Normal"/>
    <w:rsid w:val="00B921FB"/>
    <w:pPr>
      <w:spacing w:before="120" w:after="0"/>
    </w:pPr>
    <w:rPr>
      <w:b/>
      <w:color w:val="604878" w:themeColor="accent3"/>
      <w:sz w:val="22"/>
    </w:rPr>
  </w:style>
  <w:style w:type="paragraph" w:customStyle="1" w:styleId="FooterEven">
    <w:name w:val="Footer Even"/>
    <w:basedOn w:val="Footer"/>
    <w:rsid w:val="000C6BC1"/>
    <w:pPr>
      <w:keepNext/>
      <w:tabs>
        <w:tab w:val="clear" w:pos="4513"/>
        <w:tab w:val="clear" w:pos="9026"/>
      </w:tabs>
    </w:pPr>
    <w:rPr>
      <w:noProof/>
    </w:rPr>
  </w:style>
  <w:style w:type="paragraph" w:customStyle="1" w:styleId="FooterOdd">
    <w:name w:val="Footer Odd"/>
    <w:basedOn w:val="Footer"/>
    <w:rsid w:val="000C6BC1"/>
    <w:pPr>
      <w:keepNext/>
      <w:tabs>
        <w:tab w:val="clear" w:pos="4513"/>
        <w:tab w:val="clear" w:pos="9026"/>
      </w:tabs>
      <w:jc w:val="right"/>
    </w:pPr>
  </w:style>
  <w:style w:type="character" w:styleId="Hyperlink">
    <w:name w:val="Hyperlink"/>
    <w:basedOn w:val="DefaultParagraphFont"/>
    <w:uiPriority w:val="99"/>
    <w:rsid w:val="000C6BC1"/>
    <w:rPr>
      <w:color w:val="3A6FAF"/>
      <w:u w:val="none"/>
    </w:rPr>
  </w:style>
  <w:style w:type="paragraph" w:customStyle="1" w:styleId="OutlineNumbered1">
    <w:name w:val="Outline Numbered 1"/>
    <w:basedOn w:val="Normal"/>
    <w:rsid w:val="000C6BC1"/>
    <w:pPr>
      <w:numPr>
        <w:numId w:val="6"/>
      </w:numPr>
      <w:spacing w:before="0"/>
    </w:pPr>
  </w:style>
  <w:style w:type="paragraph" w:customStyle="1" w:styleId="OneLevelNumberedParagraph">
    <w:name w:val="One Level Numbered Paragraph"/>
    <w:basedOn w:val="Normal"/>
    <w:rsid w:val="003051DB"/>
    <w:pPr>
      <w:numPr>
        <w:numId w:val="5"/>
      </w:numPr>
      <w:tabs>
        <w:tab w:val="clear" w:pos="284"/>
        <w:tab w:val="num" w:pos="567"/>
      </w:tabs>
      <w:spacing w:before="0"/>
      <w:ind w:left="567" w:hanging="567"/>
    </w:pPr>
  </w:style>
  <w:style w:type="paragraph" w:customStyle="1" w:styleId="OutlineNumbered2">
    <w:name w:val="Outline Numbered 2"/>
    <w:basedOn w:val="Normal"/>
    <w:rsid w:val="000C6BC1"/>
    <w:pPr>
      <w:numPr>
        <w:ilvl w:val="1"/>
        <w:numId w:val="6"/>
      </w:numPr>
      <w:spacing w:before="0"/>
    </w:pPr>
  </w:style>
  <w:style w:type="paragraph" w:customStyle="1" w:styleId="OutlineNumbered3">
    <w:name w:val="Outline Numbered 3"/>
    <w:basedOn w:val="Normal"/>
    <w:rsid w:val="000C6BC1"/>
    <w:pPr>
      <w:numPr>
        <w:ilvl w:val="2"/>
        <w:numId w:val="6"/>
      </w:numPr>
      <w:spacing w:before="0"/>
    </w:pPr>
  </w:style>
  <w:style w:type="paragraph" w:customStyle="1" w:styleId="Romannumeral">
    <w:name w:val="Roman numeral"/>
    <w:basedOn w:val="Normal"/>
    <w:rsid w:val="000C6BC1"/>
    <w:pPr>
      <w:numPr>
        <w:numId w:val="10"/>
      </w:numPr>
      <w:tabs>
        <w:tab w:val="clear" w:pos="720"/>
        <w:tab w:val="left" w:pos="851"/>
      </w:tabs>
      <w:spacing w:before="0"/>
      <w:ind w:left="851" w:hanging="851"/>
    </w:pPr>
  </w:style>
  <w:style w:type="paragraph" w:customStyle="1" w:styleId="SingleParagraph">
    <w:name w:val="Single Paragraph"/>
    <w:basedOn w:val="Normal"/>
    <w:link w:val="SingleParagraphChar"/>
    <w:rsid w:val="000C6BC1"/>
    <w:pPr>
      <w:spacing w:before="0" w:after="0"/>
    </w:pPr>
  </w:style>
  <w:style w:type="paragraph" w:customStyle="1" w:styleId="TableSecondHeading">
    <w:name w:val="Table Second Heading"/>
    <w:basedOn w:val="Normal"/>
    <w:next w:val="Normal"/>
    <w:rsid w:val="000C6BC1"/>
    <w:pPr>
      <w:keepNext/>
      <w:spacing w:before="0" w:after="20"/>
    </w:pPr>
    <w:rPr>
      <w:b/>
      <w:color w:val="004A7F"/>
    </w:rPr>
  </w:style>
  <w:style w:type="paragraph" w:customStyle="1" w:styleId="TableColumnHeadingCentred">
    <w:name w:val="Table Column Heading Centred"/>
    <w:basedOn w:val="TableTextLeft"/>
    <w:rsid w:val="000C6BC1"/>
    <w:pPr>
      <w:jc w:val="center"/>
    </w:pPr>
    <w:rPr>
      <w:b/>
      <w:color w:val="004A7F"/>
      <w:sz w:val="20"/>
    </w:rPr>
  </w:style>
  <w:style w:type="paragraph" w:customStyle="1" w:styleId="TableColumnHeadingLeft">
    <w:name w:val="Table Column Heading Left"/>
    <w:basedOn w:val="TableTextLeft"/>
    <w:rsid w:val="000C6BC1"/>
    <w:rPr>
      <w:b/>
      <w:color w:val="004A7F"/>
      <w:sz w:val="20"/>
    </w:rPr>
  </w:style>
  <w:style w:type="paragraph" w:customStyle="1" w:styleId="TableColumnHeadingRight">
    <w:name w:val="Table Column Heading Right"/>
    <w:basedOn w:val="TableTextLeft"/>
    <w:rsid w:val="000C6BC1"/>
    <w:pPr>
      <w:jc w:val="right"/>
    </w:pPr>
    <w:rPr>
      <w:b/>
      <w:color w:val="004A7F"/>
      <w:sz w:val="20"/>
    </w:rPr>
  </w:style>
  <w:style w:type="table" w:styleId="TableGrid">
    <w:name w:val="Table Grid"/>
    <w:basedOn w:val="TableNormal"/>
    <w:rsid w:val="000C6BC1"/>
    <w:pPr>
      <w:spacing w:after="240" w:line="260" w:lineRule="exact"/>
      <w:jc w:val="both"/>
    </w:pPr>
    <w:rPr>
      <w:rFonts w:ascii="Times New Roman" w:eastAsia="Times New Roman" w:hAnsi="Times New Roman" w:cs="Times New Roman"/>
      <w:sz w:val="20"/>
      <w:szCs w:val="20"/>
      <w:lang w:eastAsia="en-AU"/>
    </w:rPr>
    <w:tblPr/>
    <w:tcPr>
      <w:shd w:val="clear" w:color="auto" w:fill="E6E6E6"/>
    </w:tcPr>
  </w:style>
  <w:style w:type="paragraph" w:customStyle="1" w:styleId="TableTextCentered">
    <w:name w:val="Table Text Centered"/>
    <w:basedOn w:val="TableTextRight"/>
    <w:rsid w:val="000C6BC1"/>
    <w:pPr>
      <w:jc w:val="center"/>
    </w:pPr>
  </w:style>
  <w:style w:type="paragraph" w:customStyle="1" w:styleId="TableTextLeft">
    <w:name w:val="Table Text Left"/>
    <w:basedOn w:val="TableTextRight"/>
    <w:rsid w:val="000C6BC1"/>
    <w:pPr>
      <w:jc w:val="left"/>
    </w:pPr>
  </w:style>
  <w:style w:type="paragraph" w:customStyle="1" w:styleId="TableTextRight">
    <w:name w:val="Table Text Right"/>
    <w:basedOn w:val="Normal"/>
    <w:rsid w:val="000C6BC1"/>
    <w:pPr>
      <w:spacing w:before="40" w:after="40"/>
      <w:jc w:val="right"/>
    </w:pPr>
    <w:rPr>
      <w:color w:val="000000"/>
      <w:sz w:val="18"/>
    </w:rPr>
  </w:style>
  <w:style w:type="paragraph" w:styleId="TOC1">
    <w:name w:val="toc 1"/>
    <w:basedOn w:val="Normal"/>
    <w:next w:val="Normal"/>
    <w:uiPriority w:val="39"/>
    <w:qFormat/>
    <w:rsid w:val="000C6BC1"/>
    <w:pPr>
      <w:keepNext/>
      <w:tabs>
        <w:tab w:val="right" w:leader="dot" w:pos="9072"/>
      </w:tabs>
      <w:spacing w:before="180" w:after="0"/>
      <w:ind w:right="-2"/>
    </w:pPr>
    <w:rPr>
      <w:b/>
      <w:noProof/>
      <w:color w:val="144E60" w:themeColor="accent1"/>
      <w:szCs w:val="22"/>
    </w:rPr>
  </w:style>
  <w:style w:type="paragraph" w:styleId="TOC2">
    <w:name w:val="toc 2"/>
    <w:basedOn w:val="Normal"/>
    <w:next w:val="Normal"/>
    <w:uiPriority w:val="39"/>
    <w:qFormat/>
    <w:rsid w:val="000C6BC1"/>
    <w:pPr>
      <w:keepNext/>
      <w:tabs>
        <w:tab w:val="right" w:leader="dot" w:pos="9072"/>
      </w:tabs>
      <w:spacing w:before="40" w:after="20"/>
      <w:ind w:right="-2"/>
    </w:pPr>
    <w:rPr>
      <w:noProof/>
      <w:color w:val="604878" w:themeColor="accent3"/>
    </w:rPr>
  </w:style>
  <w:style w:type="paragraph" w:styleId="TOC3">
    <w:name w:val="toc 3"/>
    <w:basedOn w:val="Normal"/>
    <w:next w:val="Normal"/>
    <w:uiPriority w:val="39"/>
    <w:qFormat/>
    <w:rsid w:val="000C6BC1"/>
    <w:pPr>
      <w:tabs>
        <w:tab w:val="right" w:leader="dot" w:pos="9072"/>
      </w:tabs>
      <w:spacing w:before="20" w:after="0"/>
      <w:ind w:left="284" w:right="-2"/>
    </w:pPr>
    <w:rPr>
      <w:rFonts w:cs="Calibri"/>
      <w:noProof/>
      <w:color w:val="999999" w:themeColor="accent6"/>
    </w:rPr>
  </w:style>
  <w:style w:type="numbering" w:customStyle="1" w:styleId="OutlineList">
    <w:name w:val="OutlineList"/>
    <w:uiPriority w:val="99"/>
    <w:rsid w:val="000C6BC1"/>
    <w:pPr>
      <w:numPr>
        <w:numId w:val="4"/>
      </w:numPr>
    </w:pPr>
  </w:style>
  <w:style w:type="numbering" w:customStyle="1" w:styleId="BulletedList">
    <w:name w:val="Bulleted List"/>
    <w:uiPriority w:val="99"/>
    <w:rsid w:val="000C6BC1"/>
    <w:pPr>
      <w:numPr>
        <w:numId w:val="1"/>
      </w:numPr>
    </w:pPr>
  </w:style>
  <w:style w:type="numbering" w:customStyle="1" w:styleId="BoxBulletedList">
    <w:name w:val="Box Bulleted List"/>
    <w:uiPriority w:val="99"/>
    <w:rsid w:val="000C6BC1"/>
    <w:pPr>
      <w:numPr>
        <w:numId w:val="2"/>
      </w:numPr>
    </w:pPr>
  </w:style>
  <w:style w:type="numbering" w:customStyle="1" w:styleId="OneLevelList">
    <w:name w:val="OneLevelList"/>
    <w:uiPriority w:val="99"/>
    <w:rsid w:val="000C6BC1"/>
    <w:pPr>
      <w:numPr>
        <w:numId w:val="3"/>
      </w:numPr>
    </w:pPr>
  </w:style>
  <w:style w:type="numbering" w:customStyle="1" w:styleId="ChartandTableFootnoteAlphaList">
    <w:name w:val="ChartandTableFootnoteAlphaList"/>
    <w:uiPriority w:val="99"/>
    <w:rsid w:val="000C6BC1"/>
    <w:pPr>
      <w:numPr>
        <w:numId w:val="29"/>
      </w:numPr>
    </w:pPr>
  </w:style>
  <w:style w:type="paragraph" w:customStyle="1" w:styleId="Crest">
    <w:name w:val="Crest"/>
    <w:basedOn w:val="Header"/>
    <w:rsid w:val="000C6BC1"/>
    <w:pPr>
      <w:spacing w:after="480"/>
      <w:jc w:val="center"/>
    </w:pPr>
    <w:rPr>
      <w:color w:val="000000" w:themeColor="text1"/>
    </w:rPr>
  </w:style>
  <w:style w:type="paragraph" w:customStyle="1" w:styleId="Heading1Numbered">
    <w:name w:val="Heading 1 Numbered"/>
    <w:basedOn w:val="Heading1"/>
    <w:next w:val="Normal"/>
    <w:rsid w:val="000C6BC1"/>
    <w:pPr>
      <w:numPr>
        <w:numId w:val="8"/>
      </w:numPr>
    </w:pPr>
  </w:style>
  <w:style w:type="character" w:customStyle="1" w:styleId="SingleParagraphChar">
    <w:name w:val="Single Paragraph Char"/>
    <w:basedOn w:val="DefaultParagraphFont"/>
    <w:link w:val="SingleParagraph"/>
    <w:rsid w:val="000C6BC1"/>
    <w:rPr>
      <w:rFonts w:ascii="Calibri" w:eastAsia="Times New Roman" w:hAnsi="Calibri" w:cs="Times New Roman"/>
      <w:szCs w:val="20"/>
      <w:lang w:eastAsia="en-AU"/>
    </w:rPr>
  </w:style>
  <w:style w:type="paragraph" w:customStyle="1" w:styleId="Heading2Numbered">
    <w:name w:val="Heading 2 Numbered"/>
    <w:basedOn w:val="Heading2"/>
    <w:next w:val="Normal"/>
    <w:rsid w:val="000C6BC1"/>
    <w:pPr>
      <w:numPr>
        <w:ilvl w:val="1"/>
        <w:numId w:val="8"/>
      </w:numPr>
      <w:ind w:left="284" w:hanging="284"/>
    </w:pPr>
  </w:style>
  <w:style w:type="paragraph" w:customStyle="1" w:styleId="Heading3Numbered">
    <w:name w:val="Heading 3 Numbered"/>
    <w:basedOn w:val="Heading3"/>
    <w:qFormat/>
    <w:rsid w:val="000C6BC1"/>
    <w:pPr>
      <w:numPr>
        <w:ilvl w:val="2"/>
        <w:numId w:val="8"/>
      </w:numPr>
      <w:ind w:left="284" w:hanging="284"/>
    </w:pPr>
  </w:style>
  <w:style w:type="paragraph" w:styleId="Title">
    <w:name w:val="Title"/>
    <w:basedOn w:val="Normal"/>
    <w:next w:val="Normal"/>
    <w:link w:val="TitleChar"/>
    <w:uiPriority w:val="10"/>
    <w:qFormat/>
    <w:rsid w:val="000C6BC1"/>
    <w:pPr>
      <w:spacing w:before="0" w:after="300"/>
      <w:contextualSpacing/>
    </w:pPr>
    <w:rPr>
      <w:rFonts w:eastAsiaTheme="majorEastAsia" w:cstheme="majorBidi"/>
      <w:b/>
      <w:color w:val="FFFFFF" w:themeColor="background1"/>
      <w:spacing w:val="5"/>
      <w:kern w:val="28"/>
      <w:sz w:val="72"/>
      <w:szCs w:val="52"/>
    </w:rPr>
  </w:style>
  <w:style w:type="character" w:customStyle="1" w:styleId="TitleChar">
    <w:name w:val="Title Char"/>
    <w:basedOn w:val="DefaultParagraphFont"/>
    <w:link w:val="Title"/>
    <w:uiPriority w:val="10"/>
    <w:rsid w:val="000C6BC1"/>
    <w:rPr>
      <w:rFonts w:ascii="Calibri" w:eastAsiaTheme="majorEastAsia" w:hAnsi="Calibri" w:cstheme="majorBidi"/>
      <w:b/>
      <w:color w:val="FFFFFF" w:themeColor="background1"/>
      <w:spacing w:val="5"/>
      <w:kern w:val="28"/>
      <w:sz w:val="72"/>
      <w:szCs w:val="52"/>
      <w:lang w:eastAsia="en-AU"/>
    </w:rPr>
  </w:style>
  <w:style w:type="paragraph" w:styleId="Subtitle">
    <w:name w:val="Subtitle"/>
    <w:basedOn w:val="Normal"/>
    <w:next w:val="Normal"/>
    <w:link w:val="SubtitleChar"/>
    <w:uiPriority w:val="11"/>
    <w:qFormat/>
    <w:rsid w:val="000C6BC1"/>
    <w:pPr>
      <w:numPr>
        <w:ilvl w:val="1"/>
      </w:numPr>
    </w:pPr>
    <w:rPr>
      <w:rFonts w:eastAsiaTheme="majorEastAsia" w:cstheme="majorBidi"/>
      <w:iCs/>
      <w:color w:val="FFFFFF" w:themeColor="background1"/>
      <w:sz w:val="44"/>
      <w:szCs w:val="44"/>
    </w:rPr>
  </w:style>
  <w:style w:type="character" w:customStyle="1" w:styleId="SubtitleChar">
    <w:name w:val="Subtitle Char"/>
    <w:basedOn w:val="DefaultParagraphFont"/>
    <w:link w:val="Subtitle"/>
    <w:uiPriority w:val="11"/>
    <w:rsid w:val="000C6BC1"/>
    <w:rPr>
      <w:rFonts w:ascii="Calibri" w:eastAsiaTheme="majorEastAsia" w:hAnsi="Calibri" w:cstheme="majorBidi"/>
      <w:iCs/>
      <w:color w:val="FFFFFF" w:themeColor="background1"/>
      <w:sz w:val="44"/>
      <w:szCs w:val="44"/>
      <w:lang w:eastAsia="en-AU"/>
    </w:rPr>
  </w:style>
  <w:style w:type="character" w:styleId="SubtleEmphasis">
    <w:name w:val="Subtle Emphasis"/>
    <w:basedOn w:val="DefaultParagraphFont"/>
    <w:uiPriority w:val="19"/>
    <w:qFormat/>
    <w:rsid w:val="000C6BC1"/>
    <w:rPr>
      <w:i/>
      <w:iCs/>
      <w:color w:val="808080" w:themeColor="text1" w:themeTint="7F"/>
    </w:rPr>
  </w:style>
  <w:style w:type="paragraph" w:styleId="Footer">
    <w:name w:val="footer"/>
    <w:basedOn w:val="Normal"/>
    <w:link w:val="FooterChar"/>
    <w:unhideWhenUsed/>
    <w:rsid w:val="000C6BC1"/>
    <w:pPr>
      <w:tabs>
        <w:tab w:val="center" w:pos="4513"/>
        <w:tab w:val="right" w:pos="9026"/>
      </w:tabs>
      <w:spacing w:before="0" w:after="0"/>
      <w:jc w:val="center"/>
    </w:pPr>
    <w:rPr>
      <w:color w:val="144E60" w:themeColor="accent1"/>
      <w:sz w:val="20"/>
    </w:rPr>
  </w:style>
  <w:style w:type="character" w:customStyle="1" w:styleId="FooterChar">
    <w:name w:val="Footer Char"/>
    <w:basedOn w:val="DefaultParagraphFont"/>
    <w:link w:val="Footer"/>
    <w:rsid w:val="000C6BC1"/>
    <w:rPr>
      <w:rFonts w:ascii="Calibri" w:eastAsia="Times New Roman" w:hAnsi="Calibri" w:cs="Times New Roman"/>
      <w:color w:val="144E60" w:themeColor="accent1"/>
      <w:sz w:val="20"/>
      <w:szCs w:val="20"/>
      <w:lang w:eastAsia="en-AU"/>
    </w:rPr>
  </w:style>
  <w:style w:type="paragraph" w:styleId="Header">
    <w:name w:val="header"/>
    <w:basedOn w:val="Normal"/>
    <w:link w:val="HeaderChar"/>
    <w:uiPriority w:val="99"/>
    <w:unhideWhenUsed/>
    <w:rsid w:val="000C6BC1"/>
    <w:pPr>
      <w:keepNext/>
      <w:spacing w:before="0" w:after="0"/>
      <w:jc w:val="right"/>
    </w:pPr>
    <w:rPr>
      <w:color w:val="144E60" w:themeColor="accent1"/>
      <w:sz w:val="20"/>
    </w:rPr>
  </w:style>
  <w:style w:type="character" w:customStyle="1" w:styleId="HeaderChar">
    <w:name w:val="Header Char"/>
    <w:basedOn w:val="DefaultParagraphFont"/>
    <w:link w:val="Header"/>
    <w:uiPriority w:val="99"/>
    <w:rsid w:val="000C6BC1"/>
    <w:rPr>
      <w:rFonts w:ascii="Calibri" w:eastAsia="Times New Roman" w:hAnsi="Calibri" w:cs="Times New Roman"/>
      <w:color w:val="144E60" w:themeColor="accent1"/>
      <w:sz w:val="20"/>
      <w:szCs w:val="20"/>
      <w:lang w:eastAsia="en-AU"/>
    </w:rPr>
  </w:style>
  <w:style w:type="character" w:styleId="PlaceholderText">
    <w:name w:val="Placeholder Text"/>
    <w:basedOn w:val="DefaultParagraphFont"/>
    <w:uiPriority w:val="99"/>
    <w:semiHidden/>
    <w:rsid w:val="000C6BC1"/>
    <w:rPr>
      <w:color w:val="808080"/>
    </w:rPr>
  </w:style>
  <w:style w:type="paragraph" w:customStyle="1" w:styleId="AppendixHeading">
    <w:name w:val="Appendix Heading"/>
    <w:basedOn w:val="Normal"/>
    <w:next w:val="Normal"/>
    <w:rsid w:val="000C6BC1"/>
    <w:pPr>
      <w:keepNext/>
      <w:spacing w:before="720" w:after="360"/>
    </w:pPr>
    <w:rPr>
      <w:rFonts w:ascii="Arial Bold" w:hAnsi="Arial Bold"/>
      <w:b/>
      <w:smallCaps/>
      <w:color w:val="004A7F"/>
      <w:sz w:val="36"/>
      <w:szCs w:val="36"/>
    </w:rPr>
  </w:style>
  <w:style w:type="paragraph" w:customStyle="1" w:styleId="HeadingBase">
    <w:name w:val="Heading Base"/>
    <w:qFormat/>
    <w:rsid w:val="000C6BC1"/>
    <w:pPr>
      <w:keepNext/>
      <w:spacing w:after="120" w:line="240" w:lineRule="auto"/>
    </w:pPr>
    <w:rPr>
      <w:rFonts w:ascii="Calibri" w:eastAsia="Times New Roman" w:hAnsi="Calibri" w:cs="Arial"/>
      <w:bCs/>
      <w:color w:val="002C47"/>
      <w:kern w:val="32"/>
      <w:szCs w:val="36"/>
      <w:lang w:eastAsia="en-AU"/>
    </w:rPr>
  </w:style>
  <w:style w:type="character" w:customStyle="1" w:styleId="ReportDateChar">
    <w:name w:val="Report Date Char"/>
    <w:basedOn w:val="DefaultParagraphFont"/>
    <w:link w:val="ReportDate"/>
    <w:rsid w:val="000C6BC1"/>
    <w:rPr>
      <w:rFonts w:ascii="Calibri" w:eastAsia="Times New Roman" w:hAnsi="Calibri" w:cs="Times New Roman"/>
      <w:color w:val="FFFFFF" w:themeColor="background1"/>
      <w:sz w:val="44"/>
      <w:szCs w:val="20"/>
      <w:lang w:eastAsia="en-AU"/>
    </w:rPr>
  </w:style>
  <w:style w:type="paragraph" w:customStyle="1" w:styleId="Disclaimer">
    <w:name w:val="Disclaimer"/>
    <w:basedOn w:val="ReportDate"/>
    <w:rsid w:val="000C6BC1"/>
    <w:pPr>
      <w:spacing w:after="1800"/>
      <w:ind w:right="142"/>
    </w:pPr>
    <w:rPr>
      <w:rFonts w:ascii="Century Gothic" w:hAnsi="Century Gothic"/>
      <w:b/>
      <w:bCs/>
      <w:color w:val="0D3038" w:themeColor="text2"/>
      <w:sz w:val="22"/>
    </w:rPr>
  </w:style>
  <w:style w:type="paragraph" w:customStyle="1" w:styleId="NotesHeading">
    <w:name w:val="Notes Heading"/>
    <w:basedOn w:val="Normal"/>
    <w:rsid w:val="000C6BC1"/>
    <w:pPr>
      <w:keepNext/>
      <w:spacing w:before="240" w:after="360"/>
      <w:jc w:val="center"/>
    </w:pPr>
    <w:rPr>
      <w:rFonts w:ascii="Century Gothic" w:hAnsi="Century Gothic"/>
      <w:smallCaps/>
      <w:color w:val="0D3038" w:themeColor="text2"/>
      <w:sz w:val="36"/>
      <w:szCs w:val="36"/>
    </w:rPr>
  </w:style>
  <w:style w:type="paragraph" w:customStyle="1" w:styleId="Divider">
    <w:name w:val="Divider"/>
    <w:basedOn w:val="ReportDate"/>
    <w:qFormat/>
    <w:rsid w:val="000C6BC1"/>
    <w:pPr>
      <w:spacing w:after="1800"/>
    </w:pPr>
    <w:rPr>
      <w:rFonts w:ascii="Rockwell" w:hAnsi="Rockwell"/>
      <w:sz w:val="24"/>
    </w:rPr>
  </w:style>
  <w:style w:type="character" w:customStyle="1" w:styleId="FramedFooter">
    <w:name w:val="Framed Footer"/>
    <w:rsid w:val="000C6BC1"/>
    <w:rPr>
      <w:rFonts w:ascii="Arial" w:hAnsi="Arial"/>
      <w:color w:val="004A7F"/>
      <w:sz w:val="18"/>
    </w:rPr>
  </w:style>
  <w:style w:type="character" w:customStyle="1" w:styleId="FramedHeader">
    <w:name w:val="Framed Header"/>
    <w:basedOn w:val="DefaultParagraphFont"/>
    <w:rsid w:val="000C6BC1"/>
    <w:rPr>
      <w:rFonts w:ascii="Arial" w:hAnsi="Arial"/>
      <w:dstrike w:val="0"/>
      <w:color w:val="auto"/>
      <w:sz w:val="18"/>
      <w:vertAlign w:val="baseline"/>
    </w:rPr>
  </w:style>
  <w:style w:type="paragraph" w:customStyle="1" w:styleId="TableTextIndented">
    <w:name w:val="Table Text Indented"/>
    <w:basedOn w:val="TableTextLeft"/>
    <w:qFormat/>
    <w:rsid w:val="000C6BC1"/>
    <w:pPr>
      <w:ind w:left="284"/>
    </w:pPr>
  </w:style>
  <w:style w:type="paragraph" w:customStyle="1" w:styleId="TableHeadingContinued">
    <w:name w:val="Table Heading Continued"/>
    <w:basedOn w:val="TableMainHeading"/>
    <w:next w:val="TableGraphic"/>
    <w:qFormat/>
    <w:rsid w:val="000C6BC1"/>
  </w:style>
  <w:style w:type="paragraph" w:customStyle="1" w:styleId="TableGraphic">
    <w:name w:val="Table Graphic"/>
    <w:basedOn w:val="HeadingBase"/>
    <w:next w:val="Normal"/>
    <w:qFormat/>
    <w:rsid w:val="000C6BC1"/>
    <w:pPr>
      <w:spacing w:after="0"/>
    </w:pPr>
  </w:style>
  <w:style w:type="character" w:styleId="FootnoteReference">
    <w:name w:val="footnote reference"/>
    <w:basedOn w:val="DefaultParagraphFont"/>
    <w:uiPriority w:val="99"/>
    <w:rsid w:val="00DE575A"/>
    <w:rPr>
      <w:sz w:val="18"/>
    </w:rPr>
  </w:style>
  <w:style w:type="paragraph" w:styleId="FootnoteText">
    <w:name w:val="footnote text"/>
    <w:basedOn w:val="Normal"/>
    <w:link w:val="FootnoteTextChar"/>
    <w:uiPriority w:val="99"/>
    <w:rsid w:val="00DE575A"/>
    <w:pPr>
      <w:tabs>
        <w:tab w:val="left" w:pos="426"/>
      </w:tabs>
      <w:spacing w:before="0" w:after="0"/>
      <w:ind w:left="426" w:hanging="426"/>
    </w:pPr>
    <w:rPr>
      <w:sz w:val="18"/>
    </w:rPr>
  </w:style>
  <w:style w:type="character" w:customStyle="1" w:styleId="FootnoteTextChar">
    <w:name w:val="Footnote Text Char"/>
    <w:basedOn w:val="DefaultParagraphFont"/>
    <w:link w:val="FootnoteText"/>
    <w:uiPriority w:val="99"/>
    <w:rsid w:val="00DE575A"/>
    <w:rPr>
      <w:rFonts w:ascii="Calibri" w:eastAsia="Times New Roman" w:hAnsi="Calibri" w:cs="Times New Roman"/>
      <w:sz w:val="18"/>
      <w:szCs w:val="20"/>
      <w:lang w:eastAsia="en-AU"/>
    </w:rPr>
  </w:style>
  <w:style w:type="paragraph" w:customStyle="1" w:styleId="Heading3noTOC">
    <w:name w:val="Heading 3 no TOC"/>
    <w:basedOn w:val="Heading3"/>
    <w:qFormat/>
    <w:rsid w:val="000C6BC1"/>
    <w:rPr>
      <w:rFonts w:cs="Calibri"/>
    </w:rPr>
  </w:style>
  <w:style w:type="paragraph" w:styleId="BalloonText">
    <w:name w:val="Balloon Text"/>
    <w:basedOn w:val="Normal"/>
    <w:link w:val="BalloonTextChar"/>
    <w:uiPriority w:val="99"/>
    <w:semiHidden/>
    <w:unhideWhenUsed/>
    <w:rsid w:val="000C6BC1"/>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6BC1"/>
    <w:rPr>
      <w:rFonts w:ascii="Tahoma" w:eastAsia="Times New Roman" w:hAnsi="Tahoma" w:cs="Tahoma"/>
      <w:sz w:val="16"/>
      <w:szCs w:val="16"/>
      <w:lang w:eastAsia="en-AU"/>
    </w:rPr>
  </w:style>
  <w:style w:type="paragraph" w:styleId="NormalWeb">
    <w:name w:val="Normal (Web)"/>
    <w:basedOn w:val="Normal"/>
    <w:uiPriority w:val="99"/>
    <w:unhideWhenUsed/>
    <w:rsid w:val="00BD02BE"/>
    <w:pPr>
      <w:spacing w:before="0" w:after="200" w:line="276" w:lineRule="auto"/>
    </w:pPr>
    <w:rPr>
      <w:rFonts w:ascii="Times New Roman" w:eastAsiaTheme="minorHAnsi" w:hAnsi="Times New Roman"/>
      <w:sz w:val="24"/>
      <w:szCs w:val="24"/>
      <w:lang w:eastAsia="en-US"/>
    </w:rPr>
  </w:style>
  <w:style w:type="paragraph" w:styleId="Caption">
    <w:name w:val="caption"/>
    <w:basedOn w:val="Normal"/>
    <w:next w:val="Normal"/>
    <w:uiPriority w:val="35"/>
    <w:unhideWhenUsed/>
    <w:qFormat/>
    <w:rsid w:val="000A60B4"/>
    <w:pPr>
      <w:keepNext/>
      <w:spacing w:before="0" w:after="0"/>
    </w:pPr>
    <w:rPr>
      <w:rFonts w:asciiTheme="minorHAnsi" w:eastAsiaTheme="minorHAnsi" w:hAnsiTheme="minorHAnsi" w:cstheme="minorBidi"/>
      <w:b/>
      <w:i/>
      <w:iCs/>
      <w:color w:val="0D3038" w:themeColor="text2"/>
      <w:szCs w:val="18"/>
      <w:lang w:eastAsia="en-US"/>
    </w:rPr>
  </w:style>
  <w:style w:type="paragraph" w:styleId="CommentText">
    <w:name w:val="annotation text"/>
    <w:basedOn w:val="Normal"/>
    <w:link w:val="CommentTextChar"/>
    <w:uiPriority w:val="99"/>
    <w:unhideWhenUsed/>
    <w:rsid w:val="007F0465"/>
    <w:pPr>
      <w:spacing w:before="0" w:after="200" w:line="276" w:lineRule="auto"/>
    </w:pPr>
    <w:rPr>
      <w:rFonts w:asciiTheme="minorHAnsi" w:eastAsiaTheme="minorHAnsi" w:hAnsiTheme="minorHAnsi" w:cstheme="minorBidi"/>
      <w:sz w:val="20"/>
      <w:lang w:eastAsia="en-US"/>
    </w:rPr>
  </w:style>
  <w:style w:type="character" w:customStyle="1" w:styleId="CommentTextChar">
    <w:name w:val="Comment Text Char"/>
    <w:basedOn w:val="DefaultParagraphFont"/>
    <w:link w:val="CommentText"/>
    <w:uiPriority w:val="99"/>
    <w:rsid w:val="007F0465"/>
    <w:rPr>
      <w:sz w:val="20"/>
      <w:szCs w:val="20"/>
    </w:rPr>
  </w:style>
  <w:style w:type="character" w:customStyle="1" w:styleId="BulletChar">
    <w:name w:val="Bullet Char"/>
    <w:basedOn w:val="DefaultParagraphFont"/>
    <w:link w:val="Bullet"/>
    <w:locked/>
    <w:rsid w:val="003E63C9"/>
    <w:rPr>
      <w:rFonts w:ascii="Calibri" w:eastAsia="Times New Roman" w:hAnsi="Calibri" w:cs="Times New Roman"/>
      <w:szCs w:val="20"/>
      <w:lang w:eastAsia="en-AU"/>
    </w:rPr>
  </w:style>
  <w:style w:type="paragraph" w:styleId="IntenseQuote">
    <w:name w:val="Intense Quote"/>
    <w:basedOn w:val="Normal"/>
    <w:next w:val="Normal"/>
    <w:link w:val="IntenseQuoteChar"/>
    <w:uiPriority w:val="30"/>
    <w:qFormat/>
    <w:rsid w:val="007F0465"/>
    <w:pPr>
      <w:pBdr>
        <w:top w:val="single" w:sz="4" w:space="10" w:color="144E60" w:themeColor="accent1"/>
        <w:bottom w:val="single" w:sz="4" w:space="10" w:color="144E60" w:themeColor="accent1"/>
      </w:pBdr>
      <w:spacing w:before="360" w:after="360"/>
      <w:ind w:left="864" w:right="864"/>
      <w:jc w:val="center"/>
    </w:pPr>
    <w:rPr>
      <w:i/>
      <w:iCs/>
      <w:color w:val="144E60" w:themeColor="accent1"/>
    </w:rPr>
  </w:style>
  <w:style w:type="character" w:customStyle="1" w:styleId="IntenseQuoteChar">
    <w:name w:val="Intense Quote Char"/>
    <w:basedOn w:val="DefaultParagraphFont"/>
    <w:link w:val="IntenseQuote"/>
    <w:uiPriority w:val="30"/>
    <w:rsid w:val="007F0465"/>
    <w:rPr>
      <w:rFonts w:ascii="Calibri" w:eastAsia="Times New Roman" w:hAnsi="Calibri" w:cs="Times New Roman"/>
      <w:i/>
      <w:iCs/>
      <w:color w:val="144E60" w:themeColor="accent1"/>
      <w:szCs w:val="20"/>
      <w:lang w:eastAsia="en-AU"/>
    </w:rPr>
  </w:style>
  <w:style w:type="character" w:styleId="CommentReference">
    <w:name w:val="annotation reference"/>
    <w:basedOn w:val="DefaultParagraphFont"/>
    <w:uiPriority w:val="99"/>
    <w:semiHidden/>
    <w:unhideWhenUsed/>
    <w:rsid w:val="00C0639B"/>
    <w:rPr>
      <w:sz w:val="16"/>
      <w:szCs w:val="16"/>
    </w:rPr>
  </w:style>
  <w:style w:type="paragraph" w:styleId="CommentSubject">
    <w:name w:val="annotation subject"/>
    <w:basedOn w:val="CommentText"/>
    <w:next w:val="CommentText"/>
    <w:link w:val="CommentSubjectChar"/>
    <w:uiPriority w:val="99"/>
    <w:semiHidden/>
    <w:unhideWhenUsed/>
    <w:rsid w:val="00C0639B"/>
    <w:pPr>
      <w:spacing w:before="120" w:after="120" w:line="240" w:lineRule="auto"/>
    </w:pPr>
    <w:rPr>
      <w:rFonts w:ascii="Calibri" w:eastAsia="Times New Roman" w:hAnsi="Calibri" w:cs="Times New Roman"/>
      <w:b/>
      <w:bCs/>
      <w:lang w:eastAsia="en-AU"/>
    </w:rPr>
  </w:style>
  <w:style w:type="character" w:customStyle="1" w:styleId="CommentSubjectChar">
    <w:name w:val="Comment Subject Char"/>
    <w:basedOn w:val="CommentTextChar"/>
    <w:link w:val="CommentSubject"/>
    <w:uiPriority w:val="99"/>
    <w:semiHidden/>
    <w:rsid w:val="00C0639B"/>
    <w:rPr>
      <w:rFonts w:ascii="Calibri" w:eastAsia="Times New Roman" w:hAnsi="Calibri" w:cs="Times New Roman"/>
      <w:b/>
      <w:bCs/>
      <w:sz w:val="20"/>
      <w:szCs w:val="20"/>
      <w:lang w:eastAsia="en-AU"/>
    </w:rPr>
  </w:style>
  <w:style w:type="paragraph" w:styleId="Revision">
    <w:name w:val="Revision"/>
    <w:hidden/>
    <w:uiPriority w:val="99"/>
    <w:semiHidden/>
    <w:rsid w:val="008207BC"/>
    <w:pPr>
      <w:spacing w:after="0" w:line="240" w:lineRule="auto"/>
    </w:pPr>
    <w:rPr>
      <w:rFonts w:ascii="Calibri" w:eastAsia="Times New Roman" w:hAnsi="Calibri" w:cs="Times New Roman"/>
      <w:szCs w:val="20"/>
      <w:lang w:eastAsia="en-AU"/>
    </w:rPr>
  </w:style>
  <w:style w:type="paragraph" w:styleId="ListParagraph">
    <w:name w:val="List Paragraph"/>
    <w:basedOn w:val="Normal"/>
    <w:uiPriority w:val="34"/>
    <w:qFormat/>
    <w:rsid w:val="0005586C"/>
    <w:pPr>
      <w:spacing w:before="0" w:after="0"/>
      <w:ind w:left="720"/>
    </w:pPr>
    <w:rPr>
      <w:rFonts w:eastAsiaTheme="minorHAnsi"/>
      <w:szCs w:val="22"/>
      <w:lang w:eastAsia="en-US"/>
    </w:rPr>
  </w:style>
  <w:style w:type="character" w:styleId="HTMLCite">
    <w:name w:val="HTML Cite"/>
    <w:basedOn w:val="DefaultParagraphFont"/>
    <w:uiPriority w:val="99"/>
    <w:semiHidden/>
    <w:unhideWhenUsed/>
    <w:rsid w:val="002656C2"/>
    <w:rPr>
      <w:i/>
      <w:iCs/>
    </w:rPr>
  </w:style>
  <w:style w:type="character" w:styleId="FollowedHyperlink">
    <w:name w:val="FollowedHyperlink"/>
    <w:basedOn w:val="DefaultParagraphFont"/>
    <w:uiPriority w:val="99"/>
    <w:semiHidden/>
    <w:unhideWhenUsed/>
    <w:rsid w:val="00902930"/>
    <w:rPr>
      <w:color w:val="E61E2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7064579">
      <w:bodyDiv w:val="1"/>
      <w:marLeft w:val="0"/>
      <w:marRight w:val="0"/>
      <w:marTop w:val="0"/>
      <w:marBottom w:val="0"/>
      <w:divBdr>
        <w:top w:val="none" w:sz="0" w:space="0" w:color="auto"/>
        <w:left w:val="none" w:sz="0" w:space="0" w:color="auto"/>
        <w:bottom w:val="none" w:sz="0" w:space="0" w:color="auto"/>
        <w:right w:val="none" w:sz="0" w:space="0" w:color="auto"/>
      </w:divBdr>
    </w:div>
    <w:div w:id="1754008569">
      <w:bodyDiv w:val="1"/>
      <w:marLeft w:val="0"/>
      <w:marRight w:val="0"/>
      <w:marTop w:val="0"/>
      <w:marBottom w:val="0"/>
      <w:divBdr>
        <w:top w:val="none" w:sz="0" w:space="0" w:color="auto"/>
        <w:left w:val="none" w:sz="0" w:space="0" w:color="auto"/>
        <w:bottom w:val="none" w:sz="0" w:space="0" w:color="auto"/>
        <w:right w:val="none" w:sz="0" w:space="0" w:color="auto"/>
      </w:divBdr>
    </w:div>
    <w:div w:id="1966080210">
      <w:bodyDiv w:val="1"/>
      <w:marLeft w:val="0"/>
      <w:marRight w:val="0"/>
      <w:marTop w:val="0"/>
      <w:marBottom w:val="0"/>
      <w:divBdr>
        <w:top w:val="none" w:sz="0" w:space="0" w:color="auto"/>
        <w:left w:val="none" w:sz="0" w:space="0" w:color="auto"/>
        <w:bottom w:val="none" w:sz="0" w:space="0" w:color="auto"/>
        <w:right w:val="none" w:sz="0" w:space="0" w:color="auto"/>
      </w:divBdr>
      <w:divsChild>
        <w:div w:id="2033458838">
          <w:marLeft w:val="0"/>
          <w:marRight w:val="0"/>
          <w:marTop w:val="0"/>
          <w:marBottom w:val="0"/>
          <w:divBdr>
            <w:top w:val="none" w:sz="0" w:space="0" w:color="auto"/>
            <w:left w:val="none" w:sz="0" w:space="0" w:color="auto"/>
            <w:bottom w:val="none" w:sz="0" w:space="0" w:color="auto"/>
            <w:right w:val="none" w:sz="0" w:space="0" w:color="auto"/>
          </w:divBdr>
        </w:div>
      </w:divsChild>
    </w:div>
    <w:div w:id="2065519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hyperlink" Target="http://creativecommons.org/licenses/by/3.0/au/deed.en" TargetMode="External"/><Relationship Id="rId26" Type="http://schemas.openxmlformats.org/officeDocument/2006/relationships/image" Target="media/image3.png"/><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footer" Target="footer5.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2.wmf"/><Relationship Id="rId25" Type="http://schemas.openxmlformats.org/officeDocument/2006/relationships/chart" Target="charts/chart1.xml"/><Relationship Id="rId33"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hyperlink" Target="http://creativecommons.org/licenses/by/3.0/au/legalcode" TargetMode="External"/><Relationship Id="rId20" Type="http://schemas.openxmlformats.org/officeDocument/2006/relationships/hyperlink" Target="mailto:media@treasury.gov.au" TargetMode="Externa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eader" Target="header3.xml"/><Relationship Id="rId32"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hyperlink" Target="http://creativecommons.org/licenses/by/3.0/au/deed.en" TargetMode="External"/><Relationship Id="rId23" Type="http://schemas.openxmlformats.org/officeDocument/2006/relationships/footer" Target="footer2.xml"/><Relationship Id="rId28" Type="http://schemas.openxmlformats.org/officeDocument/2006/relationships/chart" Target="charts/chart3.xml"/><Relationship Id="rId36"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hyperlink" Target="http://www.pmc.gov.au/government/commonwealth-coat-arms" TargetMode="External"/><Relationship Id="rId31" Type="http://schemas.openxmlformats.org/officeDocument/2006/relationships/footer" Target="footer3.xml"/><Relationship Id="Ra495ddcff2da41db"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footer" Target="footer1.xml"/><Relationship Id="rId22" Type="http://schemas.openxmlformats.org/officeDocument/2006/relationships/header" Target="header2.xml"/><Relationship Id="rId27" Type="http://schemas.openxmlformats.org/officeDocument/2006/relationships/chart" Target="charts/chart2.xml"/><Relationship Id="rId30" Type="http://schemas.openxmlformats.org/officeDocument/2006/relationships/header" Target="header5.xml"/><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Publications\RIR_Consultation%20Discussion%20Paper.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BIB\AppData\Local\Microsoft\Windows\Temporary%20Internet%20Files\Content.Outlook\6MCYJDOL\Household%20income%20and%20wealth%20by%20age%20group.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oleObject" Target="file:///\\romulus\csg_h$\MCD\Publishing\Graphic%20Design%20Services%20Team\Projects\2019\Retirement%20Income%20Review%2029901\charts\Rice%20Warner%20-%20age%20pension%20split%201998-2018.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825289566433376E-2"/>
          <c:y val="2.4201494028949905E-2"/>
          <c:w val="0.88038054398533161"/>
          <c:h val="0.70514702908302529"/>
        </c:manualLayout>
      </c:layout>
      <c:barChart>
        <c:barDir val="col"/>
        <c:grouping val="stacked"/>
        <c:varyColors val="0"/>
        <c:ser>
          <c:idx val="0"/>
          <c:order val="0"/>
          <c:tx>
            <c:strRef>
              <c:f>'[Household income and wealth by age group.xlsx]CHARTS'!$A$4</c:f>
              <c:strCache>
                <c:ptCount val="1"/>
                <c:pt idx="0">
                  <c:v>Liabilities</c:v>
                </c:pt>
              </c:strCache>
            </c:strRef>
          </c:tx>
          <c:spPr>
            <a:solidFill>
              <a:schemeClr val="accent1"/>
            </a:solidFill>
            <a:ln>
              <a:noFill/>
            </a:ln>
            <a:effectLst/>
          </c:spPr>
          <c:invertIfNegative val="0"/>
          <c:cat>
            <c:strRef>
              <c:f>'[Household income and wealth by age group.xlsx]CHARTS'!$B$3:$I$3</c:f>
              <c:strCache>
                <c:ptCount val="8"/>
                <c:pt idx="0">
                  <c:v>15-24*</c:v>
                </c:pt>
                <c:pt idx="1">
                  <c:v>25-34</c:v>
                </c:pt>
                <c:pt idx="2">
                  <c:v>35-44</c:v>
                </c:pt>
                <c:pt idx="3">
                  <c:v>45-54</c:v>
                </c:pt>
                <c:pt idx="4">
                  <c:v>55-64</c:v>
                </c:pt>
                <c:pt idx="5">
                  <c:v>65-74</c:v>
                </c:pt>
                <c:pt idx="6">
                  <c:v>75 and over</c:v>
                </c:pt>
                <c:pt idx="7">
                  <c:v>All households</c:v>
                </c:pt>
              </c:strCache>
            </c:strRef>
          </c:cat>
          <c:val>
            <c:numRef>
              <c:f>'[Household income and wealth by age group.xlsx]CHARTS'!$B$4:$I$4</c:f>
              <c:numCache>
                <c:formatCode>_-* #,##0.0_-;\-* #,##0.00_-;_-* "-"??_-;_-@_-</c:formatCode>
                <c:ptCount val="8"/>
                <c:pt idx="0">
                  <c:v>-54.1</c:v>
                </c:pt>
                <c:pt idx="1">
                  <c:v>-205.9</c:v>
                </c:pt>
                <c:pt idx="2">
                  <c:v>-312.3</c:v>
                </c:pt>
                <c:pt idx="3">
                  <c:v>-275</c:v>
                </c:pt>
                <c:pt idx="4">
                  <c:v>-162.19999999999999</c:v>
                </c:pt>
                <c:pt idx="5">
                  <c:v>-46.9</c:v>
                </c:pt>
                <c:pt idx="6">
                  <c:v>-16.100000000000001</c:v>
                </c:pt>
                <c:pt idx="7">
                  <c:v>-183.9</c:v>
                </c:pt>
              </c:numCache>
            </c:numRef>
          </c:val>
          <c:extLst>
            <c:ext xmlns:c16="http://schemas.microsoft.com/office/drawing/2014/chart" uri="{C3380CC4-5D6E-409C-BE32-E72D297353CC}">
              <c16:uniqueId val="{00000000-7B6A-45E8-BD07-6AC5DD7C749F}"/>
            </c:ext>
          </c:extLst>
        </c:ser>
        <c:ser>
          <c:idx val="1"/>
          <c:order val="1"/>
          <c:tx>
            <c:strRef>
              <c:f>'[Household income and wealth by age group.xlsx]CHARTS'!$A$5</c:f>
              <c:strCache>
                <c:ptCount val="1"/>
                <c:pt idx="0">
                  <c:v>Owner occupied dwelling</c:v>
                </c:pt>
              </c:strCache>
            </c:strRef>
          </c:tx>
          <c:spPr>
            <a:solidFill>
              <a:schemeClr val="accent3"/>
            </a:solidFill>
            <a:ln>
              <a:noFill/>
            </a:ln>
            <a:effectLst/>
          </c:spPr>
          <c:invertIfNegative val="0"/>
          <c:cat>
            <c:strRef>
              <c:f>'[Household income and wealth by age group.xlsx]CHARTS'!$B$3:$I$3</c:f>
              <c:strCache>
                <c:ptCount val="8"/>
                <c:pt idx="0">
                  <c:v>15-24*</c:v>
                </c:pt>
                <c:pt idx="1">
                  <c:v>25-34</c:v>
                </c:pt>
                <c:pt idx="2">
                  <c:v>35-44</c:v>
                </c:pt>
                <c:pt idx="3">
                  <c:v>45-54</c:v>
                </c:pt>
                <c:pt idx="4">
                  <c:v>55-64</c:v>
                </c:pt>
                <c:pt idx="5">
                  <c:v>65-74</c:v>
                </c:pt>
                <c:pt idx="6">
                  <c:v>75 and over</c:v>
                </c:pt>
                <c:pt idx="7">
                  <c:v>All households</c:v>
                </c:pt>
              </c:strCache>
            </c:strRef>
          </c:cat>
          <c:val>
            <c:numRef>
              <c:f>'[Household income and wealth by age group.xlsx]CHARTS'!$B$5:$I$5</c:f>
              <c:numCache>
                <c:formatCode>_-* #,##0.0_-;\-* #,##0.00_-;_-* "-"??_-;_-@_-</c:formatCode>
                <c:ptCount val="8"/>
                <c:pt idx="0">
                  <c:v>30.3</c:v>
                </c:pt>
                <c:pt idx="1">
                  <c:v>221.9</c:v>
                </c:pt>
                <c:pt idx="2">
                  <c:v>443.7</c:v>
                </c:pt>
                <c:pt idx="3">
                  <c:v>620.1</c:v>
                </c:pt>
                <c:pt idx="4">
                  <c:v>606</c:v>
                </c:pt>
                <c:pt idx="5">
                  <c:v>632</c:v>
                </c:pt>
                <c:pt idx="6">
                  <c:v>588.6</c:v>
                </c:pt>
                <c:pt idx="7">
                  <c:v>500.6</c:v>
                </c:pt>
              </c:numCache>
            </c:numRef>
          </c:val>
          <c:extLst>
            <c:ext xmlns:c16="http://schemas.microsoft.com/office/drawing/2014/chart" uri="{C3380CC4-5D6E-409C-BE32-E72D297353CC}">
              <c16:uniqueId val="{00000001-7B6A-45E8-BD07-6AC5DD7C749F}"/>
            </c:ext>
          </c:extLst>
        </c:ser>
        <c:ser>
          <c:idx val="2"/>
          <c:order val="2"/>
          <c:tx>
            <c:strRef>
              <c:f>'[Household income and wealth by age group.xlsx]CHARTS'!$A$6</c:f>
              <c:strCache>
                <c:ptCount val="1"/>
                <c:pt idx="0">
                  <c:v>Superannuation</c:v>
                </c:pt>
              </c:strCache>
            </c:strRef>
          </c:tx>
          <c:spPr>
            <a:solidFill>
              <a:schemeClr val="accent2"/>
            </a:solidFill>
            <a:ln>
              <a:noFill/>
            </a:ln>
            <a:effectLst/>
          </c:spPr>
          <c:invertIfNegative val="0"/>
          <c:cat>
            <c:strRef>
              <c:f>'[Household income and wealth by age group.xlsx]CHARTS'!$B$3:$I$3</c:f>
              <c:strCache>
                <c:ptCount val="8"/>
                <c:pt idx="0">
                  <c:v>15-24*</c:v>
                </c:pt>
                <c:pt idx="1">
                  <c:v>25-34</c:v>
                </c:pt>
                <c:pt idx="2">
                  <c:v>35-44</c:v>
                </c:pt>
                <c:pt idx="3">
                  <c:v>45-54</c:v>
                </c:pt>
                <c:pt idx="4">
                  <c:v>55-64</c:v>
                </c:pt>
                <c:pt idx="5">
                  <c:v>65-74</c:v>
                </c:pt>
                <c:pt idx="6">
                  <c:v>75 and over</c:v>
                </c:pt>
                <c:pt idx="7">
                  <c:v>All households</c:v>
                </c:pt>
              </c:strCache>
            </c:strRef>
          </c:cat>
          <c:val>
            <c:numRef>
              <c:f>'[Household income and wealth by age group.xlsx]CHARTS'!$B$6:$I$6</c:f>
              <c:numCache>
                <c:formatCode>_-* #,##0.0_-;\-* #,##0.00_-;_-* "-"??_-;_-@_-</c:formatCode>
                <c:ptCount val="8"/>
                <c:pt idx="0">
                  <c:v>19.7</c:v>
                </c:pt>
                <c:pt idx="1">
                  <c:v>72.099999999999994</c:v>
                </c:pt>
                <c:pt idx="2">
                  <c:v>137.69999999999999</c:v>
                </c:pt>
                <c:pt idx="3">
                  <c:v>245.7</c:v>
                </c:pt>
                <c:pt idx="4">
                  <c:v>374</c:v>
                </c:pt>
                <c:pt idx="5">
                  <c:v>343.6</c:v>
                </c:pt>
                <c:pt idx="6">
                  <c:v>132.6</c:v>
                </c:pt>
                <c:pt idx="7">
                  <c:v>213.7</c:v>
                </c:pt>
              </c:numCache>
            </c:numRef>
          </c:val>
          <c:extLst>
            <c:ext xmlns:c16="http://schemas.microsoft.com/office/drawing/2014/chart" uri="{C3380CC4-5D6E-409C-BE32-E72D297353CC}">
              <c16:uniqueId val="{00000002-7B6A-45E8-BD07-6AC5DD7C749F}"/>
            </c:ext>
          </c:extLst>
        </c:ser>
        <c:ser>
          <c:idx val="3"/>
          <c:order val="3"/>
          <c:tx>
            <c:strRef>
              <c:f>'[Household income and wealth by age group.xlsx]CHARTS'!$A$7</c:f>
              <c:strCache>
                <c:ptCount val="1"/>
                <c:pt idx="0">
                  <c:v>Other non-financial assets</c:v>
                </c:pt>
              </c:strCache>
            </c:strRef>
          </c:tx>
          <c:spPr>
            <a:solidFill>
              <a:schemeClr val="accent4"/>
            </a:solidFill>
            <a:ln>
              <a:noFill/>
            </a:ln>
            <a:effectLst/>
          </c:spPr>
          <c:invertIfNegative val="0"/>
          <c:cat>
            <c:strRef>
              <c:f>'[Household income and wealth by age group.xlsx]CHARTS'!$B$3:$I$3</c:f>
              <c:strCache>
                <c:ptCount val="8"/>
                <c:pt idx="0">
                  <c:v>15-24*</c:v>
                </c:pt>
                <c:pt idx="1">
                  <c:v>25-34</c:v>
                </c:pt>
                <c:pt idx="2">
                  <c:v>35-44</c:v>
                </c:pt>
                <c:pt idx="3">
                  <c:v>45-54</c:v>
                </c:pt>
                <c:pt idx="4">
                  <c:v>55-64</c:v>
                </c:pt>
                <c:pt idx="5">
                  <c:v>65-74</c:v>
                </c:pt>
                <c:pt idx="6">
                  <c:v>75 and over</c:v>
                </c:pt>
                <c:pt idx="7">
                  <c:v>All households</c:v>
                </c:pt>
              </c:strCache>
            </c:strRef>
          </c:cat>
          <c:val>
            <c:numRef>
              <c:f>'[Household income and wealth by age group.xlsx]CHARTS'!$B$7:$I$7</c:f>
              <c:numCache>
                <c:formatCode>_(* #,##0.00_);_(* \(#,##0.00\);_(* "-"??_);_(@_)</c:formatCode>
                <c:ptCount val="8"/>
                <c:pt idx="0">
                  <c:v>86.2</c:v>
                </c:pt>
                <c:pt idx="1">
                  <c:v>181.99999999999997</c:v>
                </c:pt>
                <c:pt idx="2">
                  <c:v>264.7</c:v>
                </c:pt>
                <c:pt idx="3">
                  <c:v>377.29999999999995</c:v>
                </c:pt>
                <c:pt idx="4">
                  <c:v>337.79999999999995</c:v>
                </c:pt>
                <c:pt idx="5">
                  <c:v>296.39999999999998</c:v>
                </c:pt>
                <c:pt idx="6">
                  <c:v>239.19999999999993</c:v>
                </c:pt>
                <c:pt idx="7">
                  <c:v>278.19999999999993</c:v>
                </c:pt>
              </c:numCache>
            </c:numRef>
          </c:val>
          <c:extLst>
            <c:ext xmlns:c16="http://schemas.microsoft.com/office/drawing/2014/chart" uri="{C3380CC4-5D6E-409C-BE32-E72D297353CC}">
              <c16:uniqueId val="{00000003-7B6A-45E8-BD07-6AC5DD7C749F}"/>
            </c:ext>
          </c:extLst>
        </c:ser>
        <c:ser>
          <c:idx val="4"/>
          <c:order val="4"/>
          <c:tx>
            <c:strRef>
              <c:f>'[Household income and wealth by age group.xlsx]CHARTS'!$A$8</c:f>
              <c:strCache>
                <c:ptCount val="1"/>
                <c:pt idx="0">
                  <c:v>Other financial assets</c:v>
                </c:pt>
              </c:strCache>
            </c:strRef>
          </c:tx>
          <c:spPr>
            <a:solidFill>
              <a:schemeClr val="accent5"/>
            </a:solidFill>
            <a:ln>
              <a:noFill/>
            </a:ln>
            <a:effectLst/>
          </c:spPr>
          <c:invertIfNegative val="0"/>
          <c:cat>
            <c:strRef>
              <c:f>'[Household income and wealth by age group.xlsx]CHARTS'!$B$3:$I$3</c:f>
              <c:strCache>
                <c:ptCount val="8"/>
                <c:pt idx="0">
                  <c:v>15-24*</c:v>
                </c:pt>
                <c:pt idx="1">
                  <c:v>25-34</c:v>
                </c:pt>
                <c:pt idx="2">
                  <c:v>35-44</c:v>
                </c:pt>
                <c:pt idx="3">
                  <c:v>45-54</c:v>
                </c:pt>
                <c:pt idx="4">
                  <c:v>55-64</c:v>
                </c:pt>
                <c:pt idx="5">
                  <c:v>65-74</c:v>
                </c:pt>
                <c:pt idx="6">
                  <c:v>75 and over</c:v>
                </c:pt>
                <c:pt idx="7">
                  <c:v>All households</c:v>
                </c:pt>
              </c:strCache>
            </c:strRef>
          </c:cat>
          <c:val>
            <c:numRef>
              <c:f>'[Household income and wealth by age group.xlsx]CHARTS'!$B$8:$I$8</c:f>
              <c:numCache>
                <c:formatCode>_(* #,##0.00_);_(* \(#,##0.00\);_(* "-"??_);_(@_)</c:formatCode>
                <c:ptCount val="8"/>
                <c:pt idx="0">
                  <c:v>164.5</c:v>
                </c:pt>
                <c:pt idx="1">
                  <c:v>78.400000000000006</c:v>
                </c:pt>
                <c:pt idx="2">
                  <c:v>129.60000000000002</c:v>
                </c:pt>
                <c:pt idx="3">
                  <c:v>247.5</c:v>
                </c:pt>
                <c:pt idx="4">
                  <c:v>306</c:v>
                </c:pt>
                <c:pt idx="5">
                  <c:v>304.29999999999995</c:v>
                </c:pt>
                <c:pt idx="6">
                  <c:v>198.29999999999998</c:v>
                </c:pt>
                <c:pt idx="7">
                  <c:v>214</c:v>
                </c:pt>
              </c:numCache>
            </c:numRef>
          </c:val>
          <c:extLst>
            <c:ext xmlns:c16="http://schemas.microsoft.com/office/drawing/2014/chart" uri="{C3380CC4-5D6E-409C-BE32-E72D297353CC}">
              <c16:uniqueId val="{00000004-7B6A-45E8-BD07-6AC5DD7C749F}"/>
            </c:ext>
          </c:extLst>
        </c:ser>
        <c:dLbls>
          <c:showLegendKey val="0"/>
          <c:showVal val="0"/>
          <c:showCatName val="0"/>
          <c:showSerName val="0"/>
          <c:showPercent val="0"/>
          <c:showBubbleSize val="0"/>
        </c:dLbls>
        <c:gapWidth val="50"/>
        <c:overlap val="100"/>
        <c:axId val="286510480"/>
        <c:axId val="285546304"/>
      </c:barChart>
      <c:lineChart>
        <c:grouping val="standard"/>
        <c:varyColors val="0"/>
        <c:ser>
          <c:idx val="6"/>
          <c:order val="6"/>
          <c:tx>
            <c:strRef>
              <c:f>'[Household income and wealth by age group.xlsx]CHARTS'!$A$9</c:f>
              <c:strCache>
                <c:ptCount val="1"/>
                <c:pt idx="0">
                  <c:v>Average net worth</c:v>
                </c:pt>
              </c:strCache>
            </c:strRef>
          </c:tx>
          <c:spPr>
            <a:ln w="34925" cap="rnd">
              <a:solidFill>
                <a:schemeClr val="tx2"/>
              </a:solidFill>
              <a:round/>
            </a:ln>
            <a:effectLst/>
          </c:spPr>
          <c:marker>
            <c:symbol val="none"/>
          </c:marker>
          <c:val>
            <c:numRef>
              <c:f>'[Household income and wealth by age group.xlsx]CHARTS'!$B$9:$I$9</c:f>
              <c:numCache>
                <c:formatCode>_-* #,##0.0_-;\-* #,##0.00_-;_-* "-"??_-;_-@_-</c:formatCode>
                <c:ptCount val="8"/>
                <c:pt idx="0">
                  <c:v>240.1</c:v>
                </c:pt>
                <c:pt idx="1">
                  <c:v>345.9</c:v>
                </c:pt>
                <c:pt idx="2">
                  <c:v>663.8</c:v>
                </c:pt>
                <c:pt idx="3">
                  <c:v>1233.0999999999999</c:v>
                </c:pt>
                <c:pt idx="4">
                  <c:v>1461.1</c:v>
                </c:pt>
                <c:pt idx="5">
                  <c:v>1521.3</c:v>
                </c:pt>
                <c:pt idx="6">
                  <c:v>1135.9000000000001</c:v>
                </c:pt>
                <c:pt idx="7">
                  <c:v>1022.2</c:v>
                </c:pt>
              </c:numCache>
            </c:numRef>
          </c:val>
          <c:smooth val="0"/>
          <c:extLst>
            <c:ext xmlns:c16="http://schemas.microsoft.com/office/drawing/2014/chart" uri="{C3380CC4-5D6E-409C-BE32-E72D297353CC}">
              <c16:uniqueId val="{00000005-7B6A-45E8-BD07-6AC5DD7C749F}"/>
            </c:ext>
          </c:extLst>
        </c:ser>
        <c:ser>
          <c:idx val="7"/>
          <c:order val="7"/>
          <c:tx>
            <c:v>Median net worth</c:v>
          </c:tx>
          <c:spPr>
            <a:ln w="34925" cap="rnd">
              <a:solidFill>
                <a:schemeClr val="tx2"/>
              </a:solidFill>
              <a:prstDash val="sysDash"/>
              <a:round/>
            </a:ln>
            <a:effectLst/>
          </c:spPr>
          <c:marker>
            <c:symbol val="none"/>
          </c:marker>
          <c:cat>
            <c:numRef>
              <c:f>'[Household income and wealth by age group.xlsx]DATA - ABS 6523.0 Table 10.2'!$M$8:$T$8</c:f>
              <c:numCache>
                <c:formatCode>General</c:formatCode>
                <c:ptCount val="8"/>
              </c:numCache>
            </c:numRef>
          </c:cat>
          <c:val>
            <c:numRef>
              <c:f>'[Household income and wealth by age group.xlsx]CHARTS'!$B$10:$I$10</c:f>
              <c:numCache>
                <c:formatCode>General</c:formatCode>
                <c:ptCount val="8"/>
                <c:pt idx="0">
                  <c:v>33.5</c:v>
                </c:pt>
                <c:pt idx="1">
                  <c:v>150.6</c:v>
                </c:pt>
                <c:pt idx="2">
                  <c:v>424.3</c:v>
                </c:pt>
                <c:pt idx="3">
                  <c:v>739.3</c:v>
                </c:pt>
                <c:pt idx="4">
                  <c:v>936.1</c:v>
                </c:pt>
                <c:pt idx="5">
                  <c:v>895</c:v>
                </c:pt>
                <c:pt idx="6">
                  <c:v>722</c:v>
                </c:pt>
                <c:pt idx="7">
                  <c:v>558.9</c:v>
                </c:pt>
              </c:numCache>
            </c:numRef>
          </c:val>
          <c:smooth val="0"/>
          <c:extLst>
            <c:ext xmlns:c16="http://schemas.microsoft.com/office/drawing/2014/chart" uri="{C3380CC4-5D6E-409C-BE32-E72D297353CC}">
              <c16:uniqueId val="{00000006-7B6A-45E8-BD07-6AC5DD7C749F}"/>
            </c:ext>
          </c:extLst>
        </c:ser>
        <c:dLbls>
          <c:showLegendKey val="0"/>
          <c:showVal val="0"/>
          <c:showCatName val="0"/>
          <c:showSerName val="0"/>
          <c:showPercent val="0"/>
          <c:showBubbleSize val="0"/>
        </c:dLbls>
        <c:marker val="1"/>
        <c:smooth val="0"/>
        <c:axId val="286510480"/>
        <c:axId val="285546304"/>
      </c:lineChart>
      <c:lineChart>
        <c:grouping val="standard"/>
        <c:varyColors val="0"/>
        <c:dLbls>
          <c:showLegendKey val="0"/>
          <c:showVal val="0"/>
          <c:showCatName val="0"/>
          <c:showSerName val="0"/>
          <c:showPercent val="0"/>
          <c:showBubbleSize val="0"/>
        </c:dLbls>
        <c:marker val="1"/>
        <c:smooth val="0"/>
        <c:axId val="516211344"/>
        <c:axId val="516216832"/>
        <c:extLst>
          <c:ext xmlns:c15="http://schemas.microsoft.com/office/drawing/2012/chart" uri="{02D57815-91ED-43cb-92C2-25804820EDAC}">
            <c15:filteredLineSeries>
              <c15:ser>
                <c:idx val="5"/>
                <c:order val="5"/>
                <c:tx>
                  <c:v>DUMMY</c:v>
                </c:tx>
                <c:spPr>
                  <a:ln w="28575" cap="rnd">
                    <a:noFill/>
                    <a:round/>
                  </a:ln>
                  <a:effectLst/>
                  <a:extLst>
                    <a:ext uri="{91240B29-F687-4F45-9708-019B960494DF}">
                      <a14:hiddenLine xmlns:a14="http://schemas.microsoft.com/office/drawing/2010/main" w="28575" cap="rnd">
                        <a:solidFill>
                          <a:srgbClr val="844D9E"/>
                        </a:solidFill>
                        <a:round/>
                      </a14:hiddenLine>
                    </a:ext>
                  </a:extLst>
                </c:spPr>
                <c:marker>
                  <c:symbol val="none"/>
                </c:marker>
                <c:val>
                  <c:numLit>
                    <c:formatCode>General</c:formatCode>
                    <c:ptCount val="1"/>
                    <c:pt idx="0">
                      <c:v>0</c:v>
                    </c:pt>
                  </c:numLit>
                </c:val>
                <c:smooth val="0"/>
                <c:extLst>
                  <c:ext xmlns:c16="http://schemas.microsoft.com/office/drawing/2014/chart" uri="{C3380CC4-5D6E-409C-BE32-E72D297353CC}">
                    <c16:uniqueId val="{00000007-7B6A-45E8-BD07-6AC5DD7C749F}"/>
                  </c:ext>
                </c:extLst>
              </c15:ser>
            </c15:filteredLineSeries>
          </c:ext>
        </c:extLst>
      </c:lineChart>
      <c:catAx>
        <c:axId val="286510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900">
                    <a:solidFill>
                      <a:sysClr val="windowText" lastClr="000000"/>
                    </a:solidFill>
                  </a:rPr>
                  <a:t>Age range</a:t>
                </a:r>
              </a:p>
            </c:rich>
          </c:tx>
          <c:layout>
            <c:manualLayout>
              <c:xMode val="edge"/>
              <c:yMode val="edge"/>
              <c:x val="0.45334360052931233"/>
              <c:y val="0.7814986156655605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cross"/>
        <c:minorTickMark val="none"/>
        <c:tickLblPos val="low"/>
        <c:spPr>
          <a:noFill/>
          <a:ln w="12700" cap="flat" cmpd="sng" algn="ctr">
            <a:solidFill>
              <a:srgbClr val="808080"/>
            </a:solidFill>
            <a:prstDash val="solid"/>
            <a:round/>
          </a:ln>
          <a:effectLst/>
        </c:spPr>
        <c:txPr>
          <a:bodyPr rot="-60000000"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285546304"/>
        <c:crosses val="autoZero"/>
        <c:auto val="1"/>
        <c:lblAlgn val="ctr"/>
        <c:lblOffset val="100"/>
        <c:tickMarkSkip val="1"/>
        <c:noMultiLvlLbl val="0"/>
      </c:catAx>
      <c:valAx>
        <c:axId val="285546304"/>
        <c:scaling>
          <c:orientation val="minMax"/>
          <c:max val="1800"/>
          <c:min val="-400"/>
        </c:scaling>
        <c:delete val="0"/>
        <c:axPos val="l"/>
        <c:title>
          <c:tx>
            <c:rich>
              <a:bodyPr rot="0" spcFirstLastPara="1" vertOverflow="ellipsis" wrap="square" anchor="ctr" anchorCtr="1"/>
              <a:lstStyle/>
              <a:p>
                <a:pPr>
                  <a:defRPr sz="800" b="0" i="0" u="none" strike="noStrike" kern="1200" baseline="0">
                    <a:solidFill>
                      <a:srgbClr val="000000"/>
                    </a:solidFill>
                    <a:latin typeface="Arial"/>
                    <a:ea typeface="Arial"/>
                    <a:cs typeface="Arial"/>
                  </a:defRPr>
                </a:pPr>
                <a:r>
                  <a:rPr lang="en-US"/>
                  <a:t>million $</a:t>
                </a:r>
              </a:p>
            </c:rich>
          </c:tx>
          <c:layout>
            <c:manualLayout>
              <c:xMode val="edge"/>
              <c:yMode val="edge"/>
              <c:x val="6.6282627155813637E-2"/>
              <c:y val="0"/>
            </c:manualLayout>
          </c:layout>
          <c:overlay val="0"/>
          <c:spPr>
            <a:noFill/>
            <a:ln>
              <a:noFill/>
            </a:ln>
            <a:effectLst/>
          </c:spPr>
          <c:txPr>
            <a:bodyPr rot="0" spcFirstLastPara="1" vertOverflow="ellipsis" wrap="square" anchor="ctr" anchorCtr="1"/>
            <a:lstStyle/>
            <a:p>
              <a:pPr>
                <a:defRPr sz="800" b="0" i="0" u="none" strike="noStrike" kern="1200" baseline="0">
                  <a:solidFill>
                    <a:srgbClr val="000000"/>
                  </a:solidFill>
                  <a:latin typeface="Arial"/>
                  <a:ea typeface="Arial"/>
                  <a:cs typeface="Arial"/>
                </a:defRPr>
              </a:pPr>
              <a:endParaRPr lang="en-US"/>
            </a:p>
          </c:txPr>
        </c:title>
        <c:numFmt formatCode="0.0," sourceLinked="0"/>
        <c:majorTickMark val="in"/>
        <c:minorTickMark val="none"/>
        <c:tickLblPos val="nextTo"/>
        <c:spPr>
          <a:noFill/>
          <a:ln w="12700">
            <a:solidFill>
              <a:srgbClr val="808080"/>
            </a:solidFill>
            <a:prstDash val="solid"/>
          </a:ln>
          <a:effectLst/>
        </c:spPr>
        <c:txPr>
          <a:bodyPr rot="-60000000"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286510480"/>
        <c:crosses val="autoZero"/>
        <c:crossBetween val="between"/>
        <c:majorUnit val="200"/>
      </c:valAx>
      <c:valAx>
        <c:axId val="516216832"/>
        <c:scaling>
          <c:orientation val="minMax"/>
          <c:max val="1800"/>
          <c:min val="-400"/>
        </c:scaling>
        <c:delete val="0"/>
        <c:axPos val="r"/>
        <c:title>
          <c:tx>
            <c:rich>
              <a:bodyPr rot="0" spcFirstLastPara="1" vertOverflow="ellipsis" wrap="square" anchor="ctr" anchorCtr="1"/>
              <a:lstStyle/>
              <a:p>
                <a:pPr>
                  <a:defRPr sz="800" b="0" i="0" u="none" strike="noStrike" kern="1200" baseline="0">
                    <a:solidFill>
                      <a:srgbClr val="000000"/>
                    </a:solidFill>
                    <a:latin typeface="Arial"/>
                    <a:ea typeface="Arial"/>
                    <a:cs typeface="Arial"/>
                  </a:defRPr>
                </a:pPr>
                <a:r>
                  <a:rPr lang="en-US"/>
                  <a:t>million $</a:t>
                </a:r>
              </a:p>
            </c:rich>
          </c:tx>
          <c:layout>
            <c:manualLayout>
              <c:xMode val="edge"/>
              <c:yMode val="edge"/>
              <c:x val="0.84069910798984415"/>
              <c:y val="0"/>
            </c:manualLayout>
          </c:layout>
          <c:overlay val="0"/>
          <c:spPr>
            <a:noFill/>
            <a:ln>
              <a:noFill/>
            </a:ln>
            <a:effectLst/>
          </c:spPr>
          <c:txPr>
            <a:bodyPr rot="0" spcFirstLastPara="1" vertOverflow="ellipsis" wrap="square" anchor="ctr" anchorCtr="1"/>
            <a:lstStyle/>
            <a:p>
              <a:pPr>
                <a:defRPr sz="800" b="0" i="0" u="none" strike="noStrike" kern="1200" baseline="0">
                  <a:solidFill>
                    <a:srgbClr val="000000"/>
                  </a:solidFill>
                  <a:latin typeface="Arial"/>
                  <a:ea typeface="Arial"/>
                  <a:cs typeface="Arial"/>
                </a:defRPr>
              </a:pPr>
              <a:endParaRPr lang="en-US"/>
            </a:p>
          </c:txPr>
        </c:title>
        <c:numFmt formatCode="0.0," sourceLinked="0"/>
        <c:majorTickMark val="in"/>
        <c:minorTickMark val="none"/>
        <c:tickLblPos val="nextTo"/>
        <c:spPr>
          <a:noFill/>
          <a:ln w="12700">
            <a:solidFill>
              <a:srgbClr val="808080"/>
            </a:solidFill>
            <a:prstDash val="solid"/>
          </a:ln>
          <a:effectLst/>
        </c:spPr>
        <c:txPr>
          <a:bodyPr rot="-60000000"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516211344"/>
        <c:crosses val="max"/>
        <c:crossBetween val="between"/>
        <c:majorUnit val="200"/>
        <c:minorUnit val="40"/>
      </c:valAx>
      <c:catAx>
        <c:axId val="516211344"/>
        <c:scaling>
          <c:orientation val="minMax"/>
        </c:scaling>
        <c:delete val="1"/>
        <c:axPos val="b"/>
        <c:majorTickMark val="out"/>
        <c:minorTickMark val="none"/>
        <c:tickLblPos val="nextTo"/>
        <c:crossAx val="516216832"/>
        <c:crosses val="autoZero"/>
        <c:auto val="1"/>
        <c:lblAlgn val="ctr"/>
        <c:lblOffset val="100"/>
        <c:noMultiLvlLbl val="0"/>
      </c:catAx>
      <c:spPr>
        <a:noFill/>
        <a:ln w="25400">
          <a:noFill/>
        </a:ln>
        <a:effectLst/>
        <a:extLst>
          <a:ext uri="{909E8E84-426E-40DD-AFC4-6F175D3DCCD1}">
            <a14:hiddenFill xmlns:a14="http://schemas.microsoft.com/office/drawing/2010/main">
              <a:noFill/>
            </a14:hiddenFill>
          </a:ext>
        </a:extLst>
      </c:spPr>
    </c:plotArea>
    <c:legend>
      <c:legendPos val="b"/>
      <c:layout>
        <c:manualLayout>
          <c:xMode val="edge"/>
          <c:yMode val="edge"/>
          <c:x val="6.2408148572051575E-4"/>
          <c:y val="0.8497598896069446"/>
          <c:w val="0.99937591851427954"/>
          <c:h val="0.150240110393055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25400" cap="flat" cmpd="sng" algn="ctr">
      <a:noFill/>
      <a:round/>
    </a:ln>
    <a:effectLst/>
    <a:extLst>
      <a:ext uri="{909E8E84-426E-40DD-AFC4-6F175D3DCCD1}">
        <a14:hiddenFill xmlns:a14="http://schemas.microsoft.com/office/drawing/2010/main">
          <a:solidFill>
            <a:sysClr val="window" lastClr="FFFFFF"/>
          </a:solidFill>
        </a14:hiddenFill>
      </a:ext>
    </a:ex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9.1039426523297495E-3"/>
          <c:y val="3.745773381485145E-2"/>
          <c:w val="0.98367697132616483"/>
          <c:h val="0.86030409518324447"/>
        </c:manualLayout>
      </c:layout>
      <c:barChart>
        <c:barDir val="col"/>
        <c:grouping val="stacked"/>
        <c:varyColors val="0"/>
        <c:ser>
          <c:idx val="2"/>
          <c:order val="0"/>
          <c:tx>
            <c:strRef>
              <c:f>'[20191114 EMORI (other links)_updated distribution chart.xlsb]Results'!$F$20</c:f>
              <c:strCache>
                <c:ptCount val="1"/>
                <c:pt idx="0">
                  <c:v>Age Pension</c:v>
                </c:pt>
              </c:strCache>
            </c:strRef>
          </c:tx>
          <c:spPr>
            <a:solidFill>
              <a:srgbClr val="604878"/>
            </a:solidFill>
            <a:ln>
              <a:noFill/>
            </a:ln>
            <a:effectLst/>
          </c:spPr>
          <c:invertIfNegative val="0"/>
          <c:cat>
            <c:numRef>
              <c:f>[10]Results!$D$18:$D$28</c:f>
              <c:numCache>
                <c:formatCode>General</c:formatCode>
                <c:ptCount val="11"/>
                <c:pt idx="0">
                  <c:v>10</c:v>
                </c:pt>
                <c:pt idx="1">
                  <c:v>20</c:v>
                </c:pt>
                <c:pt idx="2">
                  <c:v>30</c:v>
                </c:pt>
                <c:pt idx="3">
                  <c:v>40</c:v>
                </c:pt>
                <c:pt idx="4">
                  <c:v>50</c:v>
                </c:pt>
                <c:pt idx="5">
                  <c:v>60</c:v>
                </c:pt>
                <c:pt idx="6">
                  <c:v>70</c:v>
                </c:pt>
                <c:pt idx="7">
                  <c:v>80</c:v>
                </c:pt>
                <c:pt idx="8">
                  <c:v>90</c:v>
                </c:pt>
                <c:pt idx="9">
                  <c:v>95</c:v>
                </c:pt>
                <c:pt idx="10">
                  <c:v>99</c:v>
                </c:pt>
              </c:numCache>
            </c:numRef>
          </c:cat>
          <c:val>
            <c:numRef>
              <c:f>Results!$L$18:$L$28</c:f>
              <c:numCache>
                <c:formatCode>#,##0.00</c:formatCode>
                <c:ptCount val="11"/>
                <c:pt idx="0">
                  <c:v>289803.06</c:v>
                </c:pt>
                <c:pt idx="1">
                  <c:v>255904</c:v>
                </c:pt>
                <c:pt idx="2">
                  <c:v>202868.36</c:v>
                </c:pt>
                <c:pt idx="3">
                  <c:v>143459.73000000001</c:v>
                </c:pt>
                <c:pt idx="4">
                  <c:v>89012.34</c:v>
                </c:pt>
                <c:pt idx="5">
                  <c:v>51118.78</c:v>
                </c:pt>
                <c:pt idx="6">
                  <c:v>25293.68</c:v>
                </c:pt>
                <c:pt idx="7">
                  <c:v>5369.31</c:v>
                </c:pt>
                <c:pt idx="8">
                  <c:v>0</c:v>
                </c:pt>
                <c:pt idx="9">
                  <c:v>0</c:v>
                </c:pt>
                <c:pt idx="10">
                  <c:v>0</c:v>
                </c:pt>
              </c:numCache>
            </c:numRef>
          </c:val>
          <c:extLst>
            <c:ext xmlns:c16="http://schemas.microsoft.com/office/drawing/2014/chart" uri="{C3380CC4-5D6E-409C-BE32-E72D297353CC}">
              <c16:uniqueId val="{00000000-ACA6-4E7C-8549-32B61C2B2D41}"/>
            </c:ext>
          </c:extLst>
        </c:ser>
        <c:ser>
          <c:idx val="1"/>
          <c:order val="1"/>
          <c:tx>
            <c:strRef>
              <c:f>'[20191114 EMORI (other links)_updated distribution chart.xlsb]Results'!$F$19</c:f>
              <c:strCache>
                <c:ptCount val="1"/>
                <c:pt idx="0">
                  <c:v>Contributions tax concessions</c:v>
                </c:pt>
              </c:strCache>
            </c:strRef>
          </c:tx>
          <c:spPr>
            <a:solidFill>
              <a:srgbClr val="30A9B2"/>
            </a:solidFill>
            <a:ln>
              <a:noFill/>
            </a:ln>
            <a:effectLst/>
          </c:spPr>
          <c:invertIfNegative val="0"/>
          <c:cat>
            <c:numRef>
              <c:f>[10]Results!$D$18:$D$28</c:f>
              <c:numCache>
                <c:formatCode>General</c:formatCode>
                <c:ptCount val="11"/>
                <c:pt idx="0">
                  <c:v>10</c:v>
                </c:pt>
                <c:pt idx="1">
                  <c:v>20</c:v>
                </c:pt>
                <c:pt idx="2">
                  <c:v>30</c:v>
                </c:pt>
                <c:pt idx="3">
                  <c:v>40</c:v>
                </c:pt>
                <c:pt idx="4">
                  <c:v>50</c:v>
                </c:pt>
                <c:pt idx="5">
                  <c:v>60</c:v>
                </c:pt>
                <c:pt idx="6">
                  <c:v>70</c:v>
                </c:pt>
                <c:pt idx="7">
                  <c:v>80</c:v>
                </c:pt>
                <c:pt idx="8">
                  <c:v>90</c:v>
                </c:pt>
                <c:pt idx="9">
                  <c:v>95</c:v>
                </c:pt>
                <c:pt idx="10">
                  <c:v>99</c:v>
                </c:pt>
              </c:numCache>
            </c:numRef>
          </c:cat>
          <c:val>
            <c:numRef>
              <c:f>Results!$K$18:$K$28</c:f>
              <c:numCache>
                <c:formatCode>#,##0.00</c:formatCode>
                <c:ptCount val="11"/>
                <c:pt idx="0">
                  <c:v>16470.150000000001</c:v>
                </c:pt>
                <c:pt idx="1">
                  <c:v>25643.87</c:v>
                </c:pt>
                <c:pt idx="2">
                  <c:v>33109.69</c:v>
                </c:pt>
                <c:pt idx="3">
                  <c:v>41213.85</c:v>
                </c:pt>
                <c:pt idx="4">
                  <c:v>49082.94</c:v>
                </c:pt>
                <c:pt idx="5">
                  <c:v>58606.62</c:v>
                </c:pt>
                <c:pt idx="6">
                  <c:v>70392.460000000006</c:v>
                </c:pt>
                <c:pt idx="7">
                  <c:v>87749.85</c:v>
                </c:pt>
                <c:pt idx="8">
                  <c:v>175346.8</c:v>
                </c:pt>
                <c:pt idx="9">
                  <c:v>153433.54</c:v>
                </c:pt>
                <c:pt idx="10">
                  <c:v>140262.47</c:v>
                </c:pt>
              </c:numCache>
            </c:numRef>
          </c:val>
          <c:extLst>
            <c:ext xmlns:c16="http://schemas.microsoft.com/office/drawing/2014/chart" uri="{C3380CC4-5D6E-409C-BE32-E72D297353CC}">
              <c16:uniqueId val="{00000001-ACA6-4E7C-8549-32B61C2B2D41}"/>
            </c:ext>
          </c:extLst>
        </c:ser>
        <c:ser>
          <c:idx val="0"/>
          <c:order val="2"/>
          <c:tx>
            <c:strRef>
              <c:f>'[20191114 EMORI (other links)_updated distribution chart.xlsb]Results'!$F$18</c:f>
              <c:strCache>
                <c:ptCount val="1"/>
                <c:pt idx="0">
                  <c:v>Earnings tax concessions</c:v>
                </c:pt>
              </c:strCache>
            </c:strRef>
          </c:tx>
          <c:spPr>
            <a:solidFill>
              <a:srgbClr val="144E60"/>
            </a:solidFill>
            <a:ln>
              <a:noFill/>
            </a:ln>
            <a:effectLst/>
          </c:spPr>
          <c:invertIfNegative val="0"/>
          <c:cat>
            <c:numRef>
              <c:f>[10]Results!$D$18:$D$28</c:f>
              <c:numCache>
                <c:formatCode>General</c:formatCode>
                <c:ptCount val="11"/>
                <c:pt idx="0">
                  <c:v>10</c:v>
                </c:pt>
                <c:pt idx="1">
                  <c:v>20</c:v>
                </c:pt>
                <c:pt idx="2">
                  <c:v>30</c:v>
                </c:pt>
                <c:pt idx="3">
                  <c:v>40</c:v>
                </c:pt>
                <c:pt idx="4">
                  <c:v>50</c:v>
                </c:pt>
                <c:pt idx="5">
                  <c:v>60</c:v>
                </c:pt>
                <c:pt idx="6">
                  <c:v>70</c:v>
                </c:pt>
                <c:pt idx="7">
                  <c:v>80</c:v>
                </c:pt>
                <c:pt idx="8">
                  <c:v>90</c:v>
                </c:pt>
                <c:pt idx="9">
                  <c:v>95</c:v>
                </c:pt>
                <c:pt idx="10">
                  <c:v>99</c:v>
                </c:pt>
              </c:numCache>
            </c:numRef>
          </c:cat>
          <c:val>
            <c:numRef>
              <c:f>Results!$J$18:$J$28</c:f>
              <c:numCache>
                <c:formatCode>"$"#,##0.00_);\("$"#,##0.00\)</c:formatCode>
                <c:ptCount val="11"/>
                <c:pt idx="0">
                  <c:v>38769.03</c:v>
                </c:pt>
                <c:pt idx="1">
                  <c:v>66015.929999999993</c:v>
                </c:pt>
                <c:pt idx="2">
                  <c:v>78118.63</c:v>
                </c:pt>
                <c:pt idx="3">
                  <c:v>87902.67</c:v>
                </c:pt>
                <c:pt idx="4">
                  <c:v>103160.15</c:v>
                </c:pt>
                <c:pt idx="5">
                  <c:v>128848.74</c:v>
                </c:pt>
                <c:pt idx="6">
                  <c:v>167036.82999999999</c:v>
                </c:pt>
                <c:pt idx="7">
                  <c:v>296026.59999999998</c:v>
                </c:pt>
                <c:pt idx="8">
                  <c:v>459647.87</c:v>
                </c:pt>
                <c:pt idx="9">
                  <c:v>504687.24</c:v>
                </c:pt>
                <c:pt idx="10">
                  <c:v>571123.26</c:v>
                </c:pt>
              </c:numCache>
            </c:numRef>
          </c:val>
          <c:extLst>
            <c:ext xmlns:c16="http://schemas.microsoft.com/office/drawing/2014/chart" uri="{C3380CC4-5D6E-409C-BE32-E72D297353CC}">
              <c16:uniqueId val="{00000002-ACA6-4E7C-8549-32B61C2B2D41}"/>
            </c:ext>
          </c:extLst>
        </c:ser>
        <c:dLbls>
          <c:showLegendKey val="0"/>
          <c:showVal val="0"/>
          <c:showCatName val="0"/>
          <c:showSerName val="0"/>
          <c:showPercent val="0"/>
          <c:showBubbleSize val="0"/>
        </c:dLbls>
        <c:gapWidth val="50"/>
        <c:overlap val="100"/>
        <c:axId val="516212520"/>
        <c:axId val="516212912"/>
      </c:barChart>
      <c:barChart>
        <c:barDir val="col"/>
        <c:grouping val="stacked"/>
        <c:varyColors val="0"/>
        <c:ser>
          <c:idx val="3"/>
          <c:order val="3"/>
          <c:tx>
            <c:v>DUMMY</c:v>
          </c:tx>
          <c:spPr>
            <a:noFill/>
            <a:ln>
              <a:noFill/>
            </a:ln>
            <a:effectLst/>
            <a:extLst>
              <a:ext uri="{909E8E84-426E-40DD-AFC4-6F175D3DCCD1}">
                <a14:hiddenFill xmlns:a14="http://schemas.microsoft.com/office/drawing/2010/main">
                  <a:solidFill>
                    <a:srgbClr val="8064A2"/>
                  </a:solidFill>
                </a14:hiddenFill>
              </a:ext>
              <a:ext uri="{91240B29-F687-4F45-9708-019B960494DF}">
                <a14:hiddenLine xmlns:a14="http://schemas.microsoft.com/office/drawing/2010/main">
                  <a:noFill/>
                </a14:hiddenLine>
              </a:ext>
            </a:extLst>
          </c:spPr>
          <c:invertIfNegative val="0"/>
          <c:val>
            <c:numLit>
              <c:formatCode>General</c:formatCode>
              <c:ptCount val="1"/>
              <c:pt idx="0">
                <c:v>0</c:v>
              </c:pt>
            </c:numLit>
          </c:val>
          <c:extLst>
            <c:ext xmlns:c16="http://schemas.microsoft.com/office/drawing/2014/chart" uri="{C3380CC4-5D6E-409C-BE32-E72D297353CC}">
              <c16:uniqueId val="{00000003-ACA6-4E7C-8549-32B61C2B2D41}"/>
            </c:ext>
          </c:extLst>
        </c:ser>
        <c:dLbls>
          <c:showLegendKey val="0"/>
          <c:showVal val="0"/>
          <c:showCatName val="0"/>
          <c:showSerName val="0"/>
          <c:showPercent val="0"/>
          <c:showBubbleSize val="0"/>
        </c:dLbls>
        <c:gapWidth val="150"/>
        <c:overlap val="100"/>
        <c:axId val="516217616"/>
        <c:axId val="516216440"/>
      </c:barChart>
      <c:catAx>
        <c:axId val="51621252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Income Percentile</a:t>
                </a:r>
              </a:p>
            </c:rich>
          </c:tx>
          <c:layout>
            <c:manualLayout>
              <c:xMode val="edge"/>
              <c:yMode val="edge"/>
              <c:x val="0.41328529633906014"/>
              <c:y val="0.8846355920670712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in"/>
        <c:minorTickMark val="none"/>
        <c:tickLblPos val="low"/>
        <c:spPr>
          <a:noFill/>
          <a:ln w="12700" cap="flat" cmpd="sng" algn="ctr">
            <a:solidFill>
              <a:srgbClr val="808080"/>
            </a:solidFill>
            <a:prstDash val="solid"/>
            <a:round/>
          </a:ln>
          <a:effectLst/>
        </c:spPr>
        <c:txPr>
          <a:bodyPr rot="-60000000"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516212912"/>
        <c:crosses val="autoZero"/>
        <c:auto val="1"/>
        <c:lblAlgn val="ctr"/>
        <c:lblOffset val="100"/>
        <c:tickMarkSkip val="1"/>
        <c:noMultiLvlLbl val="0"/>
      </c:catAx>
      <c:valAx>
        <c:axId val="516212912"/>
        <c:scaling>
          <c:orientation val="minMax"/>
        </c:scaling>
        <c:delete val="0"/>
        <c:axPos val="l"/>
        <c:majorGridlines>
          <c:spPr>
            <a:ln w="25400" cap="flat" cmpd="sng" algn="ctr">
              <a:noFill/>
              <a:round/>
            </a:ln>
            <a:effectLst/>
          </c:spPr>
        </c:majorGridlines>
        <c:title>
          <c:tx>
            <c:rich>
              <a:bodyPr rot="0" spcFirstLastPara="1" vertOverflow="ellipsis" wrap="square" anchor="ctr" anchorCtr="1"/>
              <a:lstStyle/>
              <a:p>
                <a:pPr>
                  <a:defRPr sz="800" b="0" i="0" u="none" strike="noStrike" kern="1200" baseline="0">
                    <a:solidFill>
                      <a:srgbClr val="000000"/>
                    </a:solidFill>
                    <a:latin typeface="Arial"/>
                    <a:ea typeface="Arial"/>
                    <a:cs typeface="Arial"/>
                  </a:defRPr>
                </a:pPr>
                <a:r>
                  <a:rPr lang="en-US"/>
                  <a:t>Net Present Value</a:t>
                </a:r>
              </a:p>
            </c:rich>
          </c:tx>
          <c:layout>
            <c:manualLayout>
              <c:xMode val="edge"/>
              <c:yMode val="edge"/>
              <c:x val="8.0145756951093425E-2"/>
              <c:y val="0"/>
            </c:manualLayout>
          </c:layout>
          <c:overlay val="0"/>
          <c:spPr>
            <a:noFill/>
            <a:ln>
              <a:noFill/>
            </a:ln>
            <a:effectLst/>
          </c:spPr>
          <c:txPr>
            <a:bodyPr rot="0" spcFirstLastPara="1" vertOverflow="ellipsis" wrap="square" anchor="ctr" anchorCtr="1"/>
            <a:lstStyle/>
            <a:p>
              <a:pPr>
                <a:defRPr sz="800" b="0" i="0" u="none" strike="noStrike" kern="1200" baseline="0">
                  <a:solidFill>
                    <a:srgbClr val="000000"/>
                  </a:solidFill>
                  <a:latin typeface="Arial"/>
                  <a:ea typeface="Arial"/>
                  <a:cs typeface="Arial"/>
                </a:defRPr>
              </a:pPr>
              <a:endParaRPr lang="en-US"/>
            </a:p>
          </c:txPr>
        </c:title>
        <c:numFmt formatCode="&quot;$&quot;#,##0" sourceLinked="0"/>
        <c:majorTickMark val="in"/>
        <c:minorTickMark val="none"/>
        <c:tickLblPos val="nextTo"/>
        <c:spPr>
          <a:noFill/>
          <a:ln w="12700">
            <a:solidFill>
              <a:srgbClr val="808080"/>
            </a:solidFill>
            <a:prstDash val="solid"/>
          </a:ln>
          <a:effectLst/>
        </c:spPr>
        <c:txPr>
          <a:bodyPr rot="-60000000"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516212520"/>
        <c:crosses val="autoZero"/>
        <c:crossBetween val="between"/>
      </c:valAx>
      <c:valAx>
        <c:axId val="516216440"/>
        <c:scaling>
          <c:orientation val="minMax"/>
          <c:max val="800000"/>
          <c:min val="0"/>
        </c:scaling>
        <c:delete val="0"/>
        <c:axPos val="r"/>
        <c:title>
          <c:tx>
            <c:rich>
              <a:bodyPr rot="0" spcFirstLastPara="1" vertOverflow="ellipsis" wrap="square" anchor="ctr" anchorCtr="1"/>
              <a:lstStyle/>
              <a:p>
                <a:pPr>
                  <a:defRPr sz="800" b="0" i="0" u="none" strike="noStrike" kern="1200" baseline="0">
                    <a:solidFill>
                      <a:srgbClr val="000000"/>
                    </a:solidFill>
                    <a:latin typeface="Arial"/>
                    <a:ea typeface="Arial"/>
                    <a:cs typeface="Arial"/>
                  </a:defRPr>
                </a:pPr>
                <a:r>
                  <a:rPr lang="en-US"/>
                  <a:t>Net Present Value</a:t>
                </a:r>
              </a:p>
            </c:rich>
          </c:tx>
          <c:layout>
            <c:manualLayout>
              <c:xMode val="edge"/>
              <c:yMode val="edge"/>
              <c:x val="0.76873677174035715"/>
              <c:y val="3.3439158543160674E-3"/>
            </c:manualLayout>
          </c:layout>
          <c:overlay val="0"/>
          <c:spPr>
            <a:noFill/>
            <a:ln>
              <a:noFill/>
            </a:ln>
            <a:effectLst/>
          </c:spPr>
          <c:txPr>
            <a:bodyPr rot="0" spcFirstLastPara="1" vertOverflow="ellipsis" wrap="square" anchor="ctr" anchorCtr="1"/>
            <a:lstStyle/>
            <a:p>
              <a:pPr>
                <a:defRPr sz="800" b="0" i="0" u="none" strike="noStrike" kern="1200" baseline="0">
                  <a:solidFill>
                    <a:srgbClr val="000000"/>
                  </a:solidFill>
                  <a:latin typeface="Arial"/>
                  <a:ea typeface="Arial"/>
                  <a:cs typeface="Arial"/>
                </a:defRPr>
              </a:pPr>
              <a:endParaRPr lang="en-US"/>
            </a:p>
          </c:txPr>
        </c:title>
        <c:numFmt formatCode="&quot;$&quot;#,##0" sourceLinked="0"/>
        <c:majorTickMark val="in"/>
        <c:minorTickMark val="none"/>
        <c:tickLblPos val="nextTo"/>
        <c:spPr>
          <a:noFill/>
          <a:ln w="12700">
            <a:solidFill>
              <a:srgbClr val="808080"/>
            </a:solidFill>
            <a:prstDash val="solid"/>
          </a:ln>
          <a:effectLst/>
        </c:spPr>
        <c:txPr>
          <a:bodyPr rot="-60000000"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516217616"/>
        <c:crosses val="max"/>
        <c:crossBetween val="between"/>
        <c:majorUnit val="100000"/>
        <c:minorUnit val="20000"/>
      </c:valAx>
      <c:catAx>
        <c:axId val="516217616"/>
        <c:scaling>
          <c:orientation val="minMax"/>
        </c:scaling>
        <c:delete val="1"/>
        <c:axPos val="b"/>
        <c:majorTickMark val="out"/>
        <c:minorTickMark val="none"/>
        <c:tickLblPos val="nextTo"/>
        <c:crossAx val="516216440"/>
        <c:crosses val="autoZero"/>
        <c:auto val="1"/>
        <c:lblAlgn val="ctr"/>
        <c:lblOffset val="100"/>
        <c:noMultiLvlLbl val="0"/>
      </c:catAx>
      <c:spPr>
        <a:noFill/>
        <a:ln w="25400">
          <a:noFill/>
        </a:ln>
        <a:effectLst/>
        <a:extLst>
          <a:ext uri="{909E8E84-426E-40DD-AFC4-6F175D3DCCD1}">
            <a14:hiddenFill xmlns:a14="http://schemas.microsoft.com/office/drawing/2010/main">
              <a:noFill/>
            </a14:hiddenFill>
          </a:ext>
        </a:extLst>
      </c:spPr>
    </c:plotArea>
    <c:legend>
      <c:legendPos val="b"/>
      <c:legendEntry>
        <c:idx val="3"/>
        <c:delete val="1"/>
      </c:legendEntry>
      <c:layout>
        <c:manualLayout>
          <c:xMode val="edge"/>
          <c:yMode val="edge"/>
          <c:x val="0.15059111547109533"/>
          <c:y val="0.93919799075651533"/>
          <c:w val="0.74953441734887882"/>
          <c:h val="5.6426738365806209E-2"/>
        </c:manualLayout>
      </c:layout>
      <c:overlay val="0"/>
      <c:spPr>
        <a:noFill/>
        <a:ln w="25400">
          <a:noFill/>
        </a:ln>
        <a:effectLst/>
        <a:extLst>
          <a:ext uri="{909E8E84-426E-40DD-AFC4-6F175D3DCCD1}">
            <a14:hiddenFill xmlns:a14="http://schemas.microsoft.com/office/drawing/2010/main">
              <a:noFill/>
            </a14:hiddenFill>
          </a:ext>
        </a:ex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25400" cap="flat" cmpd="sng" algn="ctr">
      <a:noFill/>
      <a:round/>
    </a:ln>
    <a:effectLst/>
    <a:extLst>
      <a:ext uri="{909E8E84-426E-40DD-AFC4-6F175D3DCCD1}">
        <a14:hiddenFill xmlns:a14="http://schemas.microsoft.com/office/drawing/2010/main">
          <a:solidFill>
            <a:sysClr val="window" lastClr="FFFFFF"/>
          </a:solidFill>
        </a14:hiddenFill>
      </a:ext>
    </a:ex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867050661421581E-2"/>
          <c:y val="7.3092735042735044E-2"/>
          <c:w val="0.88431381787218311"/>
          <c:h val="0.83851282051282039"/>
        </c:manualLayout>
      </c:layout>
      <c:lineChart>
        <c:grouping val="standard"/>
        <c:varyColors val="0"/>
        <c:ser>
          <c:idx val="0"/>
          <c:order val="0"/>
          <c:tx>
            <c:strRef>
              <c:f>'Age Pension Split'!$A$3</c:f>
              <c:strCache>
                <c:ptCount val="1"/>
                <c:pt idx="0">
                  <c:v>% Full Rate</c:v>
                </c:pt>
              </c:strCache>
            </c:strRef>
          </c:tx>
          <c:spPr>
            <a:ln w="34925" cap="rnd">
              <a:solidFill>
                <a:schemeClr val="accent3"/>
              </a:solidFill>
              <a:round/>
            </a:ln>
            <a:effectLst/>
          </c:spPr>
          <c:marker>
            <c:symbol val="none"/>
          </c:marker>
          <c:cat>
            <c:numRef>
              <c:f>'Age Pension Split'!$B$2:$V$2</c:f>
              <c:numCache>
                <c:formatCode>General</c:formatCode>
                <c:ptCount val="21"/>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numCache>
            </c:numRef>
          </c:cat>
          <c:val>
            <c:numRef>
              <c:f>'Age Pension Split'!$B$3:$V$3</c:f>
              <c:numCache>
                <c:formatCode>0.00</c:formatCode>
                <c:ptCount val="21"/>
                <c:pt idx="0">
                  <c:v>55.1627441467746</c:v>
                </c:pt>
                <c:pt idx="1">
                  <c:v>54.503912191520463</c:v>
                </c:pt>
                <c:pt idx="2">
                  <c:v>53.300495172682339</c:v>
                </c:pt>
                <c:pt idx="3">
                  <c:v>54.101333569915951</c:v>
                </c:pt>
                <c:pt idx="4">
                  <c:v>54.680327382289398</c:v>
                </c:pt>
                <c:pt idx="5">
                  <c:v>53.712047413837816</c:v>
                </c:pt>
                <c:pt idx="6">
                  <c:v>50.608174372066564</c:v>
                </c:pt>
                <c:pt idx="7">
                  <c:v>50.218144970862632</c:v>
                </c:pt>
                <c:pt idx="8">
                  <c:v>48.25672751165007</c:v>
                </c:pt>
                <c:pt idx="9">
                  <c:v>46.514493191984783</c:v>
                </c:pt>
                <c:pt idx="10">
                  <c:v>44.103367408709659</c:v>
                </c:pt>
                <c:pt idx="11">
                  <c:v>50.75448338408308</c:v>
                </c:pt>
                <c:pt idx="12">
                  <c:v>47.220778665323223</c:v>
                </c:pt>
                <c:pt idx="13">
                  <c:v>46.253753871046563</c:v>
                </c:pt>
                <c:pt idx="14">
                  <c:v>44.909268243752273</c:v>
                </c:pt>
                <c:pt idx="15">
                  <c:v>45.791393957354551</c:v>
                </c:pt>
                <c:pt idx="16">
                  <c:v>44.076181579318622</c:v>
                </c:pt>
                <c:pt idx="17">
                  <c:v>43.651050591795141</c:v>
                </c:pt>
                <c:pt idx="18">
                  <c:v>43.572520834050799</c:v>
                </c:pt>
                <c:pt idx="19">
                  <c:v>44.117790484896098</c:v>
                </c:pt>
                <c:pt idx="20" formatCode="General">
                  <c:v>42.38</c:v>
                </c:pt>
              </c:numCache>
            </c:numRef>
          </c:val>
          <c:smooth val="0"/>
          <c:extLst>
            <c:ext xmlns:c16="http://schemas.microsoft.com/office/drawing/2014/chart" uri="{C3380CC4-5D6E-409C-BE32-E72D297353CC}">
              <c16:uniqueId val="{00000000-9CC0-4CE8-875B-C6C81E585484}"/>
            </c:ext>
          </c:extLst>
        </c:ser>
        <c:ser>
          <c:idx val="1"/>
          <c:order val="1"/>
          <c:tx>
            <c:strRef>
              <c:f>'Age Pension Split'!$A$4</c:f>
              <c:strCache>
                <c:ptCount val="1"/>
                <c:pt idx="0">
                  <c:v>% Part Rate</c:v>
                </c:pt>
              </c:strCache>
            </c:strRef>
          </c:tx>
          <c:spPr>
            <a:ln w="34925" cap="rnd">
              <a:solidFill>
                <a:schemeClr val="accent4"/>
              </a:solidFill>
              <a:round/>
            </a:ln>
            <a:effectLst/>
          </c:spPr>
          <c:marker>
            <c:symbol val="none"/>
          </c:marker>
          <c:cat>
            <c:numRef>
              <c:f>'Age Pension Split'!$B$2:$V$2</c:f>
              <c:numCache>
                <c:formatCode>General</c:formatCode>
                <c:ptCount val="21"/>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numCache>
            </c:numRef>
          </c:cat>
          <c:val>
            <c:numRef>
              <c:f>'Age Pension Split'!$B$4:$V$4</c:f>
              <c:numCache>
                <c:formatCode>0.00</c:formatCode>
                <c:ptCount val="21"/>
                <c:pt idx="0">
                  <c:v>26.37412760493029</c:v>
                </c:pt>
                <c:pt idx="1">
                  <c:v>25.398166065685036</c:v>
                </c:pt>
                <c:pt idx="2">
                  <c:v>26.400959869257157</c:v>
                </c:pt>
                <c:pt idx="3">
                  <c:v>26.063426631911017</c:v>
                </c:pt>
                <c:pt idx="4">
                  <c:v>25.006087021729819</c:v>
                </c:pt>
                <c:pt idx="5">
                  <c:v>24.751328188563239</c:v>
                </c:pt>
                <c:pt idx="6">
                  <c:v>26.398787457819228</c:v>
                </c:pt>
                <c:pt idx="7">
                  <c:v>27.264333731547552</c:v>
                </c:pt>
                <c:pt idx="8">
                  <c:v>27.802047557645281</c:v>
                </c:pt>
                <c:pt idx="9">
                  <c:v>28.934296417164006</c:v>
                </c:pt>
                <c:pt idx="10">
                  <c:v>31.906482639232784</c:v>
                </c:pt>
                <c:pt idx="11">
                  <c:v>26.789364374666842</c:v>
                </c:pt>
                <c:pt idx="12">
                  <c:v>29.674893087738376</c:v>
                </c:pt>
                <c:pt idx="13">
                  <c:v>29.507772697903199</c:v>
                </c:pt>
                <c:pt idx="14">
                  <c:v>29.380083103393417</c:v>
                </c:pt>
                <c:pt idx="15">
                  <c:v>30.116887464255054</c:v>
                </c:pt>
                <c:pt idx="16">
                  <c:v>29.41144330937097</c:v>
                </c:pt>
                <c:pt idx="17">
                  <c:v>29.823203528500407</c:v>
                </c:pt>
                <c:pt idx="18">
                  <c:v>28.676555926043878</c:v>
                </c:pt>
                <c:pt idx="19">
                  <c:v>25.168155536349563</c:v>
                </c:pt>
                <c:pt idx="20" formatCode="General">
                  <c:v>25.33</c:v>
                </c:pt>
              </c:numCache>
            </c:numRef>
          </c:val>
          <c:smooth val="0"/>
          <c:extLst>
            <c:ext xmlns:c16="http://schemas.microsoft.com/office/drawing/2014/chart" uri="{C3380CC4-5D6E-409C-BE32-E72D297353CC}">
              <c16:uniqueId val="{00000001-9CC0-4CE8-875B-C6C81E585484}"/>
            </c:ext>
          </c:extLst>
        </c:ser>
        <c:ser>
          <c:idx val="2"/>
          <c:order val="2"/>
          <c:tx>
            <c:strRef>
              <c:f>'Age Pension Split'!$A$5</c:f>
              <c:strCache>
                <c:ptCount val="1"/>
                <c:pt idx="0">
                  <c:v>% Receiving Pension</c:v>
                </c:pt>
              </c:strCache>
            </c:strRef>
          </c:tx>
          <c:spPr>
            <a:ln w="34925" cap="rnd">
              <a:solidFill>
                <a:schemeClr val="accent1"/>
              </a:solidFill>
              <a:round/>
            </a:ln>
            <a:effectLst/>
          </c:spPr>
          <c:marker>
            <c:symbol val="none"/>
          </c:marker>
          <c:cat>
            <c:numRef>
              <c:f>'Age Pension Split'!$B$2:$V$2</c:f>
              <c:numCache>
                <c:formatCode>General</c:formatCode>
                <c:ptCount val="21"/>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numCache>
            </c:numRef>
          </c:cat>
          <c:val>
            <c:numRef>
              <c:f>'Age Pension Split'!$B$5:$V$5</c:f>
              <c:numCache>
                <c:formatCode>0.00</c:formatCode>
                <c:ptCount val="21"/>
                <c:pt idx="0">
                  <c:v>81.536871751704894</c:v>
                </c:pt>
                <c:pt idx="1">
                  <c:v>79.902078257205503</c:v>
                </c:pt>
                <c:pt idx="2">
                  <c:v>79.701455041939496</c:v>
                </c:pt>
                <c:pt idx="3">
                  <c:v>80.164760201826965</c:v>
                </c:pt>
                <c:pt idx="4">
                  <c:v>79.686414404019217</c:v>
                </c:pt>
                <c:pt idx="5">
                  <c:v>78.463375602401058</c:v>
                </c:pt>
                <c:pt idx="6">
                  <c:v>77.006961829885796</c:v>
                </c:pt>
                <c:pt idx="7">
                  <c:v>77.482478702410191</c:v>
                </c:pt>
                <c:pt idx="8">
                  <c:v>76.058775069295351</c:v>
                </c:pt>
                <c:pt idx="9">
                  <c:v>75.44878960914879</c:v>
                </c:pt>
                <c:pt idx="10">
                  <c:v>76.00985004794245</c:v>
                </c:pt>
                <c:pt idx="11">
                  <c:v>77.543847758749919</c:v>
                </c:pt>
                <c:pt idx="12">
                  <c:v>76.895671753061606</c:v>
                </c:pt>
                <c:pt idx="13">
                  <c:v>75.761526568949762</c:v>
                </c:pt>
                <c:pt idx="14">
                  <c:v>74.289351347145697</c:v>
                </c:pt>
                <c:pt idx="15">
                  <c:v>75.908281421609601</c:v>
                </c:pt>
                <c:pt idx="16">
                  <c:v>73.487624888689595</c:v>
                </c:pt>
                <c:pt idx="17">
                  <c:v>73.474254120295541</c:v>
                </c:pt>
                <c:pt idx="18">
                  <c:v>72.249076760094681</c:v>
                </c:pt>
                <c:pt idx="19">
                  <c:v>69.285946021245664</c:v>
                </c:pt>
                <c:pt idx="20" formatCode="General">
                  <c:v>67.710000000000008</c:v>
                </c:pt>
              </c:numCache>
            </c:numRef>
          </c:val>
          <c:smooth val="0"/>
          <c:extLst>
            <c:ext xmlns:c16="http://schemas.microsoft.com/office/drawing/2014/chart" uri="{C3380CC4-5D6E-409C-BE32-E72D297353CC}">
              <c16:uniqueId val="{00000002-9CC0-4CE8-875B-C6C81E585484}"/>
            </c:ext>
          </c:extLst>
        </c:ser>
        <c:dLbls>
          <c:showLegendKey val="0"/>
          <c:showVal val="0"/>
          <c:showCatName val="0"/>
          <c:showSerName val="0"/>
          <c:showPercent val="0"/>
          <c:showBubbleSize val="0"/>
        </c:dLbls>
        <c:marker val="1"/>
        <c:smooth val="0"/>
        <c:axId val="516213304"/>
        <c:axId val="516218008"/>
      </c:lineChart>
      <c:lineChart>
        <c:grouping val="standard"/>
        <c:varyColors val="0"/>
        <c:ser>
          <c:idx val="3"/>
          <c:order val="3"/>
          <c:tx>
            <c:v>DUMMY</c:v>
          </c:tx>
          <c:spPr>
            <a:ln w="28575" cap="rnd">
              <a:noFill/>
              <a:round/>
            </a:ln>
            <a:effectLst/>
            <a:extLst>
              <a:ext uri="{91240B29-F687-4F45-9708-019B960494DF}">
                <a14:hiddenLine xmlns:a14="http://schemas.microsoft.com/office/drawing/2010/main" w="28575" cap="rnd">
                  <a:solidFill>
                    <a:srgbClr val="F7901E"/>
                  </a:solidFill>
                  <a:round/>
                </a14:hiddenLine>
              </a:ext>
            </a:extLst>
          </c:spPr>
          <c:marker>
            <c:symbol val="none"/>
          </c:marker>
          <c:val>
            <c:numLit>
              <c:formatCode>General</c:formatCode>
              <c:ptCount val="1"/>
              <c:pt idx="0">
                <c:v>0</c:v>
              </c:pt>
            </c:numLit>
          </c:val>
          <c:smooth val="0"/>
          <c:extLst>
            <c:ext xmlns:c16="http://schemas.microsoft.com/office/drawing/2014/chart" uri="{C3380CC4-5D6E-409C-BE32-E72D297353CC}">
              <c16:uniqueId val="{00000003-9CC0-4CE8-875B-C6C81E585484}"/>
            </c:ext>
          </c:extLst>
        </c:ser>
        <c:dLbls>
          <c:showLegendKey val="0"/>
          <c:showVal val="0"/>
          <c:showCatName val="0"/>
          <c:showSerName val="0"/>
          <c:showPercent val="0"/>
          <c:showBubbleSize val="0"/>
        </c:dLbls>
        <c:marker val="1"/>
        <c:smooth val="0"/>
        <c:axId val="516213696"/>
        <c:axId val="516215656"/>
      </c:lineChart>
      <c:catAx>
        <c:axId val="516213304"/>
        <c:scaling>
          <c:orientation val="minMax"/>
        </c:scaling>
        <c:delete val="0"/>
        <c:axPos val="b"/>
        <c:numFmt formatCode="General" sourceLinked="1"/>
        <c:majorTickMark val="in"/>
        <c:minorTickMark val="none"/>
        <c:tickLblPos val="low"/>
        <c:spPr>
          <a:noFill/>
          <a:ln w="12700" cap="flat" cmpd="sng" algn="ctr">
            <a:solidFill>
              <a:srgbClr val="808080"/>
            </a:solidFill>
            <a:prstDash val="solid"/>
            <a:round/>
          </a:ln>
          <a:effectLst/>
        </c:spPr>
        <c:txPr>
          <a:bodyPr rot="-60000000"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516218008"/>
        <c:crosses val="autoZero"/>
        <c:auto val="1"/>
        <c:lblAlgn val="ctr"/>
        <c:lblOffset val="100"/>
        <c:tickLblSkip val="2"/>
        <c:noMultiLvlLbl val="0"/>
      </c:catAx>
      <c:valAx>
        <c:axId val="516218008"/>
        <c:scaling>
          <c:orientation val="minMax"/>
          <c:max val="100"/>
        </c:scaling>
        <c:delete val="0"/>
        <c:axPos val="l"/>
        <c:title>
          <c:tx>
            <c:rich>
              <a:bodyPr rot="0" spcFirstLastPara="1" vertOverflow="ellipsis" wrap="square" anchor="ctr" anchorCtr="1"/>
              <a:lstStyle/>
              <a:p>
                <a:pPr>
                  <a:defRPr sz="800" b="0" i="0" u="none" strike="noStrike" kern="1200" baseline="0">
                    <a:solidFill>
                      <a:srgbClr val="000000"/>
                    </a:solidFill>
                    <a:latin typeface="Arial"/>
                    <a:ea typeface="Arial"/>
                    <a:cs typeface="Arial"/>
                  </a:defRPr>
                </a:pPr>
                <a:r>
                  <a:rPr lang="en-US"/>
                  <a:t>Per cent</a:t>
                </a:r>
              </a:p>
            </c:rich>
          </c:tx>
          <c:layout>
            <c:manualLayout>
              <c:xMode val="edge"/>
              <c:yMode val="edge"/>
              <c:x val="6.1899116895101303E-2"/>
              <c:y val="0"/>
            </c:manualLayout>
          </c:layout>
          <c:overlay val="0"/>
          <c:spPr>
            <a:noFill/>
            <a:ln>
              <a:noFill/>
            </a:ln>
            <a:effectLst/>
          </c:spPr>
          <c:txPr>
            <a:bodyPr rot="0" spcFirstLastPara="1" vertOverflow="ellipsis" wrap="square" anchor="ctr" anchorCtr="1"/>
            <a:lstStyle/>
            <a:p>
              <a:pPr>
                <a:defRPr sz="800" b="0" i="0" u="none" strike="noStrike" kern="1200" baseline="0">
                  <a:solidFill>
                    <a:srgbClr val="000000"/>
                  </a:solidFill>
                  <a:latin typeface="Arial"/>
                  <a:ea typeface="Arial"/>
                  <a:cs typeface="Arial"/>
                </a:defRPr>
              </a:pPr>
              <a:endParaRPr lang="en-US"/>
            </a:p>
          </c:txPr>
        </c:title>
        <c:numFmt formatCode="0" sourceLinked="0"/>
        <c:majorTickMark val="in"/>
        <c:minorTickMark val="none"/>
        <c:tickLblPos val="nextTo"/>
        <c:spPr>
          <a:noFill/>
          <a:ln w="12700">
            <a:solidFill>
              <a:srgbClr val="808080"/>
            </a:solidFill>
            <a:prstDash val="solid"/>
          </a:ln>
          <a:effectLst/>
        </c:spPr>
        <c:txPr>
          <a:bodyPr rot="-60000000"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516213304"/>
        <c:crosses val="autoZero"/>
        <c:crossBetween val="between"/>
      </c:valAx>
      <c:valAx>
        <c:axId val="516215656"/>
        <c:scaling>
          <c:orientation val="minMax"/>
          <c:max val="100"/>
          <c:min val="0"/>
        </c:scaling>
        <c:delete val="0"/>
        <c:axPos val="r"/>
        <c:title>
          <c:tx>
            <c:rich>
              <a:bodyPr rot="0" spcFirstLastPara="1" vertOverflow="ellipsis" wrap="square" anchor="ctr" anchorCtr="1"/>
              <a:lstStyle/>
              <a:p>
                <a:pPr>
                  <a:defRPr sz="800" b="0" i="0" u="none" strike="noStrike" kern="1200" baseline="0">
                    <a:solidFill>
                      <a:srgbClr val="000000"/>
                    </a:solidFill>
                    <a:latin typeface="Arial"/>
                    <a:ea typeface="Arial"/>
                    <a:cs typeface="Arial"/>
                  </a:defRPr>
                </a:pPr>
                <a:r>
                  <a:rPr lang="en-US"/>
                  <a:t>Per cent</a:t>
                </a:r>
              </a:p>
            </c:rich>
          </c:tx>
          <c:layout>
            <c:manualLayout>
              <c:xMode val="edge"/>
              <c:yMode val="edge"/>
              <c:x val="0.86483953635108923"/>
              <c:y val="0"/>
            </c:manualLayout>
          </c:layout>
          <c:overlay val="0"/>
          <c:spPr>
            <a:noFill/>
            <a:ln>
              <a:noFill/>
            </a:ln>
            <a:effectLst/>
          </c:spPr>
          <c:txPr>
            <a:bodyPr rot="0" spcFirstLastPara="1" vertOverflow="ellipsis" wrap="square" anchor="ctr" anchorCtr="1"/>
            <a:lstStyle/>
            <a:p>
              <a:pPr>
                <a:defRPr sz="800" b="0" i="0" u="none" strike="noStrike" kern="1200" baseline="0">
                  <a:solidFill>
                    <a:srgbClr val="000000"/>
                  </a:solidFill>
                  <a:latin typeface="Arial"/>
                  <a:ea typeface="Arial"/>
                  <a:cs typeface="Arial"/>
                </a:defRPr>
              </a:pPr>
              <a:endParaRPr lang="en-US"/>
            </a:p>
          </c:txPr>
        </c:title>
        <c:numFmt formatCode="0" sourceLinked="0"/>
        <c:majorTickMark val="in"/>
        <c:minorTickMark val="none"/>
        <c:tickLblPos val="nextTo"/>
        <c:spPr>
          <a:noFill/>
          <a:ln w="12700">
            <a:solidFill>
              <a:srgbClr val="808080"/>
            </a:solidFill>
            <a:prstDash val="solid"/>
          </a:ln>
          <a:effectLst/>
        </c:spPr>
        <c:txPr>
          <a:bodyPr rot="-60000000"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516213696"/>
        <c:crosses val="max"/>
        <c:crossBetween val="between"/>
        <c:majorUnit val="10"/>
        <c:minorUnit val="2"/>
      </c:valAx>
      <c:catAx>
        <c:axId val="516213696"/>
        <c:scaling>
          <c:orientation val="minMax"/>
        </c:scaling>
        <c:delete val="1"/>
        <c:axPos val="b"/>
        <c:majorTickMark val="out"/>
        <c:minorTickMark val="none"/>
        <c:tickLblPos val="nextTo"/>
        <c:crossAx val="516215656"/>
        <c:crosses val="autoZero"/>
        <c:auto val="1"/>
        <c:lblAlgn val="ctr"/>
        <c:lblOffset val="100"/>
        <c:noMultiLvlLbl val="0"/>
      </c:catAx>
      <c:spPr>
        <a:noFill/>
        <a:ln w="25400">
          <a:noFill/>
        </a:ln>
        <a:effectLst/>
        <a:extLst>
          <a:ext uri="{909E8E84-426E-40DD-AFC4-6F175D3DCCD1}">
            <a14:hiddenFill xmlns:a14="http://schemas.microsoft.com/office/drawing/2010/main">
              <a:noFill/>
            </a14:hiddenFill>
          </a:ext>
        </a:extLst>
      </c:spPr>
    </c:plotArea>
    <c:legend>
      <c:legendPos val="t"/>
      <c:legendEntry>
        <c:idx val="3"/>
        <c:delete val="1"/>
      </c:legendEntry>
      <c:layout>
        <c:manualLayout>
          <c:xMode val="edge"/>
          <c:yMode val="edge"/>
          <c:x val="0.18533391224755622"/>
          <c:y val="4.8846675712347354E-2"/>
          <c:w val="0.62933199497030656"/>
          <c:h val="9.1588157993140962E-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25400" cap="flat" cmpd="sng" algn="ctr">
      <a:noFill/>
      <a:round/>
    </a:ln>
    <a:effectLst/>
    <a:extLst>
      <a:ext uri="{909E8E84-426E-40DD-AFC4-6F175D3DCCD1}">
        <a14:hiddenFill xmlns:a14="http://schemas.microsoft.com/office/drawing/2010/main">
          <a:solidFill>
            <a:sysClr val="window" lastClr="FFFFFF"/>
          </a:solidFill>
        </a14:hiddenFill>
      </a:ext>
    </a:ex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Retirement Income Review">
      <a:dk1>
        <a:sysClr val="windowText" lastClr="000000"/>
      </a:dk1>
      <a:lt1>
        <a:sysClr val="window" lastClr="FFFFFF"/>
      </a:lt1>
      <a:dk2>
        <a:srgbClr val="0D3038"/>
      </a:dk2>
      <a:lt2>
        <a:srgbClr val="F9A521"/>
      </a:lt2>
      <a:accent1>
        <a:srgbClr val="144E60"/>
      </a:accent1>
      <a:accent2>
        <a:srgbClr val="4E8542"/>
      </a:accent2>
      <a:accent3>
        <a:srgbClr val="604878"/>
      </a:accent3>
      <a:accent4>
        <a:srgbClr val="30A9B2"/>
      </a:accent4>
      <a:accent5>
        <a:srgbClr val="D6606D"/>
      </a:accent5>
      <a:accent6>
        <a:srgbClr val="999999"/>
      </a:accent6>
      <a:hlink>
        <a:srgbClr val="3A6FAF"/>
      </a:hlink>
      <a:folHlink>
        <a:srgbClr val="E61E2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f563589-9cf9-4143-b1eb-fb0534803d38">
      <Value>41</Value>
      <Value>40</Value>
      <Value>73</Value>
      <Value>38</Value>
      <Value>71</Value>
    </TaxCatchAll>
    <_dlc_DocId xmlns="0f563589-9cf9-4143-b1eb-fb0534803d38">2019W4FKTRDU-1221012675-63</_dlc_DocId>
    <_dlc_DocIdUrl xmlns="0f563589-9cf9-4143-b1eb-fb0534803d38">
      <Url>http://tweb/sites/reviews/rir/_layouts/15/DocIdRedir.aspx?ID=2019W4FKTRDU-1221012675-63</Url>
      <Description>2019W4FKTRDU-1221012675-63</Description>
    </_dlc_DocIdUrl>
    <lb508a4dc5e84436a0fe496b536466aa xmlns="2cc670f7-e1dc-43af-b04a-749b6003bd01">
      <Terms xmlns="http://schemas.microsoft.com/office/infopath/2007/PartnerControls">
        <TermInfo xmlns="http://schemas.microsoft.com/office/infopath/2007/PartnerControls">
          <TermName xmlns="http://schemas.microsoft.com/office/infopath/2007/PartnerControls">AE-20337-Destroy 7 years after action completed</TermName>
          <TermId xmlns="http://schemas.microsoft.com/office/infopath/2007/PartnerControls">668ae28e-5138-4c7c-82db-1c8c6afc81a6</TermId>
        </TermInfo>
      </Terms>
    </lb508a4dc5e84436a0fe496b536466aa>
    <Subtheme xmlns="39089fec-1fcb-41e6-919c-1b396ae2d83f" xsi:nil="true"/>
    <n7a21ff0763942a68fbfec21cdf60bf2 xmlns="39089fec-1fcb-41e6-919c-1b396ae2d83f">
      <Terms xmlns="http://schemas.microsoft.com/office/infopath/2007/PartnerControls">
        <TermInfo xmlns="http://schemas.microsoft.com/office/infopath/2007/PartnerControls">
          <TermName xmlns="http://schemas.microsoft.com/office/infopath/2007/PartnerControls">Discussion paper</TermName>
          <TermId xmlns="http://schemas.microsoft.com/office/infopath/2007/PartnerControls">03fc4fcb-f0a8-4f9c-8244-0fdc343fbb16</TermId>
        </TermInfo>
      </Terms>
    </n7a21ff0763942a68fbfec21cdf60bf2>
    <TOR_x0020_Theme xmlns="39089fec-1fcb-41e6-919c-1b396ae2d83f" xsi:nil="true"/>
    <TOR_x0020_Subject xmlns="39089fec-1fcb-41e6-919c-1b396ae2d83f" xsi:nil="true"/>
    <TaxKeywordTaxHTField xmlns="0f563589-9cf9-4143-b1eb-fb0534803d38">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467dcdbd-83bd-4b0c-b70e-daaa4381da6d</TermId>
        </TermInfo>
      </Terms>
    </TaxKeywordTaxHTField>
    <n476d676fdc44032ad5c49735cc0ea47 xmlns="39089fec-1fcb-41e6-919c-1b396ae2d83f">
      <Terms xmlns="http://schemas.microsoft.com/office/infopath/2007/PartnerControls">
        <TermInfo xmlns="http://schemas.microsoft.com/office/infopath/2007/PartnerControls">
          <TermName xmlns="http://schemas.microsoft.com/office/infopath/2007/PartnerControls">Retirement Income System</TermName>
          <TermId xmlns="http://schemas.microsoft.com/office/infopath/2007/PartnerControls">8a314b92-f5b5-41b0-9fd6-3015e9e2c135</TermId>
        </TermInfo>
      </Terms>
    </n476d676fdc44032ad5c49735cc0ea47>
    <k977c4109bf84aa7bcc0315daa795d4f xmlns="39089fec-1fcb-41e6-919c-1b396ae2d83f">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a735c317-480a-4197-826d-c2d46a35bfbd</TermId>
        </TermInfo>
      </Terms>
    </k977c4109bf84aa7bcc0315daa795d4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reasury Document" ma:contentTypeID="0x010100E31AEF9C4B01784C837F0EC186083C4D00AC02C98ADDFD75429E72D7C907481107" ma:contentTypeVersion="6337" ma:contentTypeDescription="" ma:contentTypeScope="" ma:versionID="81189962299dd64e7896e0afa940d3c8">
  <xsd:schema xmlns:xsd="http://www.w3.org/2001/XMLSchema" xmlns:xs="http://www.w3.org/2001/XMLSchema" xmlns:p="http://schemas.microsoft.com/office/2006/metadata/properties" xmlns:ns1="http://schemas.microsoft.com/sharepoint/v3" xmlns:ns2="0f563589-9cf9-4143-b1eb-fb0534803d38" xmlns:ns3="2cc670f7-e1dc-43af-b04a-749b6003bd01" xmlns:ns4="39089fec-1fcb-41e6-919c-1b396ae2d83f" targetNamespace="http://schemas.microsoft.com/office/2006/metadata/properties" ma:root="true" ma:fieldsID="baadd575daee47ba7369e4b595d84f1d" ns1:_="" ns2:_="" ns3:_="" ns4:_="">
    <xsd:import namespace="http://schemas.microsoft.com/sharepoint/v3"/>
    <xsd:import namespace="0f563589-9cf9-4143-b1eb-fb0534803d38"/>
    <xsd:import namespace="2cc670f7-e1dc-43af-b04a-749b6003bd01"/>
    <xsd:import namespace="39089fec-1fcb-41e6-919c-1b396ae2d83f"/>
    <xsd:element name="properties">
      <xsd:complexType>
        <xsd:sequence>
          <xsd:element name="documentManagement">
            <xsd:complexType>
              <xsd:all>
                <xsd:element ref="ns2:_dlc_DocId" minOccurs="0"/>
                <xsd:element ref="ns2:_dlc_DocIdUrl" minOccurs="0"/>
                <xsd:element ref="ns2:_dlc_DocIdPersistId" minOccurs="0"/>
                <xsd:element ref="ns3:lb508a4dc5e84436a0fe496b536466aa" minOccurs="0"/>
                <xsd:element ref="ns2:TaxCatchAll" minOccurs="0"/>
                <xsd:element ref="ns2:TaxCatchAllLabel" minOccurs="0"/>
                <xsd:element ref="ns2:TaxKeywordTaxHTField" minOccurs="0"/>
                <xsd:element ref="ns1:_dlc_Exempt" minOccurs="0"/>
                <xsd:element ref="ns4:TOR_x0020_Theme" minOccurs="0"/>
                <xsd:element ref="ns4:n476d676fdc44032ad5c49735cc0ea47" minOccurs="0"/>
                <xsd:element ref="ns4:TOR_x0020_Subject" minOccurs="0"/>
                <xsd:element ref="ns4:Subtheme" minOccurs="0"/>
                <xsd:element ref="ns4:n7a21ff0763942a68fbfec21cdf60bf2" minOccurs="0"/>
                <xsd:element ref="ns4:k977c4109bf84aa7bcc0315daa795d4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7"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563589-9cf9-4143-b1eb-fb0534803d3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2" nillable="true" ma:displayName="Taxonomy Catch All Column" ma:hidden="true" ma:list="{6da52a0c-7689-4ee4-ab81-d9d1ffef60ee}" ma:internalName="TaxCatchAll" ma:showField="CatchAllData" ma:web="2cc670f7-e1dc-43af-b04a-749b6003bd0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6da52a0c-7689-4ee4-ab81-d9d1ffef60ee}" ma:internalName="TaxCatchAllLabel" ma:readOnly="true" ma:showField="CatchAllDataLabel" ma:web="2cc670f7-e1dc-43af-b04a-749b6003bd01">
      <xsd:complexType>
        <xsd:complexContent>
          <xsd:extension base="dms:MultiChoiceLookup">
            <xsd:sequence>
              <xsd:element name="Value" type="dms:Lookup" maxOccurs="unbounded" minOccurs="0" nillable="true"/>
            </xsd:sequence>
          </xsd:extension>
        </xsd:complexContent>
      </xsd:complexType>
    </xsd:element>
    <xsd:element name="TaxKeywordTaxHTField" ma:index="15" nillable="true" ma:taxonomy="true" ma:internalName="TaxKeywordTaxHTField" ma:taxonomyFieldName="TaxKeyword" ma:displayName="Document Tags" ma:readOnly="false" ma:fieldId="{23f27201-bee3-471e-b2e7-b64fd8b7ca38}" ma:taxonomyMulti="true" ma:sspId="77b7a547-5880-464f-83f8-cefe583c3af4"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cc670f7-e1dc-43af-b04a-749b6003bd01" elementFormDefault="qualified">
    <xsd:import namespace="http://schemas.microsoft.com/office/2006/documentManagement/types"/>
    <xsd:import namespace="http://schemas.microsoft.com/office/infopath/2007/PartnerControls"/>
    <xsd:element name="lb508a4dc5e84436a0fe496b536466aa" ma:index="11" nillable="true" ma:taxonomy="true" ma:internalName="lb508a4dc5e84436a0fe496b536466aa" ma:taxonomyFieldName="TSYRecordClass" ma:displayName="Record Class" ma:readOnly="false" ma:fieldId="{5b508a4d-c5e8-4436-a0fe-496b536466aa}" ma:sspId="77b7a547-5880-464f-83f8-cefe583c3af4" ma:termSetId="8c8a1de6-dea5-4e66-bd5a-b7b3daae0f37"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9089fec-1fcb-41e6-919c-1b396ae2d83f" elementFormDefault="qualified">
    <xsd:import namespace="http://schemas.microsoft.com/office/2006/documentManagement/types"/>
    <xsd:import namespace="http://schemas.microsoft.com/office/infopath/2007/PartnerControls"/>
    <xsd:element name="TOR_x0020_Theme" ma:index="18" nillable="true" ma:displayName="TOR Theme" ma:indexed="true" ma:list="{6EBF1AD5-2B5F-44B6-8BD7-D250DEFC347F}" ma:internalName="TOR_x0020_Theme" ma:showField="Title" ma:web="39089fec-1fcb-41e6-919c-1b396ae2d83f">
      <xsd:simpleType>
        <xsd:restriction base="dms:Lookup"/>
      </xsd:simpleType>
    </xsd:element>
    <xsd:element name="n476d676fdc44032ad5c49735cc0ea47" ma:index="20" ma:taxonomy="true" ma:internalName="n476d676fdc44032ad5c49735cc0ea47" ma:taxonomyFieldName="Pillar" ma:displayName="Pillar" ma:indexed="true" ma:default="" ma:fieldId="{7476d676-fdc4-4032-ad5c-49735cc0ea47}" ma:sspId="77b7a547-5880-464f-83f8-cefe583c3af4" ma:termSetId="a1b650ce-c55d-4ed4-a13a-4e4ddef8ba78" ma:anchorId="00000000-0000-0000-0000-000000000000" ma:open="false" ma:isKeyword="false">
      <xsd:complexType>
        <xsd:sequence>
          <xsd:element ref="pc:Terms" minOccurs="0" maxOccurs="1"/>
        </xsd:sequence>
      </xsd:complexType>
    </xsd:element>
    <xsd:element name="TOR_x0020_Subject" ma:index="21" nillable="true" ma:displayName="TOR Subject" ma:indexed="true" ma:list="{AF7BBB31-1343-4334-AF3C-A1BE75EA503D}" ma:internalName="TOR_x0020_Subject" ma:showField="Title" ma:web="39089fec-1fcb-41e6-919c-1b396ae2d83f">
      <xsd:simpleType>
        <xsd:restriction base="dms:Lookup"/>
      </xsd:simpleType>
    </xsd:element>
    <xsd:element name="Subtheme" ma:index="22" nillable="true" ma:displayName="Subtheme" ma:indexed="true" ma:list="{EE333A81-B3F8-4800-9FBD-C2453AB12389}" ma:internalName="Subtheme" ma:showField="Title" ma:web="39089fec-1fcb-41e6-919c-1b396ae2d83f">
      <xsd:simpleType>
        <xsd:restriction base="dms:Lookup"/>
      </xsd:simpleType>
    </xsd:element>
    <xsd:element name="n7a21ff0763942a68fbfec21cdf60bf2" ma:index="24" ma:taxonomy="true" ma:internalName="n7a21ff0763942a68fbfec21cdf60bf2" ma:taxonomyFieldName="Output_x0020_or_x0020_target_x0020_event" ma:displayName="Output or target event" ma:indexed="true" ma:default="" ma:fieldId="{77a21ff0-7639-42a6-8fbf-ec21cdf60bf2}" ma:sspId="77b7a547-5880-464f-83f8-cefe583c3af4" ma:termSetId="c2222ce3-d6a8-4ea4-8496-7c3afa99701e" ma:anchorId="00000000-0000-0000-0000-000000000000" ma:open="false" ma:isKeyword="false">
      <xsd:complexType>
        <xsd:sequence>
          <xsd:element ref="pc:Terms" minOccurs="0" maxOccurs="1"/>
        </xsd:sequence>
      </xsd:complexType>
    </xsd:element>
    <xsd:element name="k977c4109bf84aa7bcc0315daa795d4f" ma:index="26" ma:taxonomy="true" ma:internalName="k977c4109bf84aa7bcc0315daa795d4f" ma:taxonomyFieldName="Docuemnt_x0020_type" ma:displayName="Document type" ma:indexed="true" ma:default="" ma:fieldId="{4977c410-9bf8-4aa7-bcc0-315daa795d4f}" ma:sspId="77b7a547-5880-464f-83f8-cefe583c3af4" ma:termSetId="7423030e-ea57-4a48-a1bb-7f70c446216a"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Policy Auditing</Name>
    <Synchronization>Synchronous</Synchronization>
    <Type>10001</Type>
    <SequenceNumber>1100</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10002</Type>
    <SequenceNumber>1101</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10004</Type>
    <SequenceNumber>1102</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10006</Type>
    <SequenceNumber>1103</SequenceNumber>
    <Url/>
    <Assembly>Microsoft.Office.Policy, Version=15.0.0.0, Culture=neutral, PublicKeyToken=71e9bce111e9429c</Assembly>
    <Class>Microsoft.Office.RecordsManagement.Internal.AuditHandler</Class>
    <Data/>
    <Filter/>
  </Receiver>
</spe:Receivers>
</file>

<file path=customXml/item5.xml><?xml version="1.0" encoding="utf-8"?>
<?mso-contentType ?>
<p:Policy xmlns:p="office.server.policy" id="" local="true">
  <p:Name>Treasury Document Audit Policy</p:Name>
  <p:Description/>
  <p:Statement/>
  <p:PolicyItems>
    <p:PolicyItem featureId="Microsoft.Office.RecordsManagement.PolicyFeatures.PolicyAudit" staticId="0x010100E31AEF9C4B01784C837F0EC186083C4D|1757814118" UniqueId="9ffd8100-7485-41f4-92bb-81c2039aada5">
      <p:Name>Auditing</p:Name>
      <p:Description>Audits user actions on documents and list items to the Audit Log.</p:Description>
      <p:CustomData>
        <Audit>
          <Update/>
          <CheckInOut/>
          <MoveCopy/>
          <DeleteRestore/>
        </Audit>
      </p:CustomData>
    </p:PolicyItem>
  </p:PolicyItems>
</p:Policy>
</file>

<file path=customXml/item6.xml><?xml version="1.0" encoding="utf-8"?>
<b:Sources xmlns:b="http://schemas.openxmlformats.org/officeDocument/2006/bibliography" xmlns="http://schemas.openxmlformats.org/officeDocument/2006/bibliography" SelectedStyle="\APASixthEditionOfficeOnline.xsl" StyleName="APA" Version="6">
  <b:Source>
    <b:Tag>Org17</b:Tag>
    <b:SourceType>Report</b:SourceType>
    <b:Guid>{DB45FDD4-6405-4D0A-874A-0AE13C824C08}</b:Guid>
    <b:Title>Pensions at a Glance 2017: OECD and G20 Indicators</b:Title>
    <b:Year>2017</b:Year>
    <b:City>Paris</b:City>
    <b:Publisher>OECD Publishing</b:Publisher>
    <b:Author>
      <b:Author>
        <b:Corporate>Organisation for Economic Co-operation and Development</b:Corporate>
      </b:Author>
    </b:Author>
    <b:RefOrder>1</b:RefOrder>
  </b:Source>
  <b:Source>
    <b:Tag>Sen15</b:Tag>
    <b:SourceType>Report</b:SourceType>
    <b:Guid>{80C68A8F-8D52-446C-812D-D613D44FEDE7}</b:Guid>
    <b:Author>
      <b:Author>
        <b:Corporate>Senate Standing Committee on Economics</b:Corporate>
      </b:Author>
    </b:Author>
    <b:Title>Out of reach? The Australian housing affordability challenge</b:Title>
    <b:Year>2015</b:Year>
    <b:Publisher>Parliament of Australia</b:Publisher>
    <b:City>Canberra</b:City>
    <b:RefOrder>2</b:RefOrder>
  </b:Source>
  <b:Source>
    <b:Tag>Pro18</b:Tag>
    <b:SourceType>Report</b:SourceType>
    <b:Guid>{FAF52DD2-B849-46F3-8480-30FDA38F0998}</b:Guid>
    <b:Author>
      <b:Author>
        <b:Corporate>Productivity Commission</b:Corporate>
      </b:Author>
    </b:Author>
    <b:Title>Superannuation: Assessing Efficiency and Competitiveness</b:Title>
    <b:Year>2018</b:Year>
    <b:City>Canberra</b:City>
    <b:RefOrder>3</b:RefOrder>
  </b:Source>
</b:Sources>
</file>

<file path=customXml/itemProps1.xml><?xml version="1.0" encoding="utf-8"?>
<ds:datastoreItem xmlns:ds="http://schemas.openxmlformats.org/officeDocument/2006/customXml" ds:itemID="{B4B30699-69F8-4528-BCBE-48025D0F38A0}">
  <ds:schemaRefs>
    <ds:schemaRef ds:uri="http://schemas.microsoft.com/office/2006/metadata/properties"/>
    <ds:schemaRef ds:uri="http://schemas.microsoft.com/office/infopath/2007/PartnerControls"/>
    <ds:schemaRef ds:uri="http://www.w3.org/XML/1998/namespace"/>
    <ds:schemaRef ds:uri="http://purl.org/dc/elements/1.1/"/>
    <ds:schemaRef ds:uri="http://purl.org/dc/terms/"/>
    <ds:schemaRef ds:uri="http://schemas.openxmlformats.org/package/2006/metadata/core-properties"/>
    <ds:schemaRef ds:uri="http://schemas.microsoft.com/office/2006/documentManagement/types"/>
    <ds:schemaRef ds:uri="39089fec-1fcb-41e6-919c-1b396ae2d83f"/>
    <ds:schemaRef ds:uri="http://purl.org/dc/dcmitype/"/>
    <ds:schemaRef ds:uri="2cc670f7-e1dc-43af-b04a-749b6003bd01"/>
    <ds:schemaRef ds:uri="0f563589-9cf9-4143-b1eb-fb0534803d38"/>
    <ds:schemaRef ds:uri="http://schemas.microsoft.com/sharepoint/v3"/>
  </ds:schemaRefs>
</ds:datastoreItem>
</file>

<file path=customXml/itemProps2.xml><?xml version="1.0" encoding="utf-8"?>
<ds:datastoreItem xmlns:ds="http://schemas.openxmlformats.org/officeDocument/2006/customXml" ds:itemID="{FDDDCA92-EBDE-416F-9086-1F46E8940B72}">
  <ds:schemaRefs>
    <ds:schemaRef ds:uri="http://schemas.microsoft.com/sharepoint/v3/contenttype/forms"/>
  </ds:schemaRefs>
</ds:datastoreItem>
</file>

<file path=customXml/itemProps3.xml><?xml version="1.0" encoding="utf-8"?>
<ds:datastoreItem xmlns:ds="http://schemas.openxmlformats.org/officeDocument/2006/customXml" ds:itemID="{800E6A99-9255-4229-BFCF-B85E1C2F18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f563589-9cf9-4143-b1eb-fb0534803d38"/>
    <ds:schemaRef ds:uri="2cc670f7-e1dc-43af-b04a-749b6003bd01"/>
    <ds:schemaRef ds:uri="39089fec-1fcb-41e6-919c-1b396ae2d8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226C920-E5A6-4F13-910B-EFC619C35800}">
  <ds:schemaRefs>
    <ds:schemaRef ds:uri="http://schemas.microsoft.com/sharepoint/events"/>
  </ds:schemaRefs>
</ds:datastoreItem>
</file>

<file path=customXml/itemProps5.xml><?xml version="1.0" encoding="utf-8"?>
<ds:datastoreItem xmlns:ds="http://schemas.openxmlformats.org/officeDocument/2006/customXml" ds:itemID="{4506018D-3846-4688-A5A8-CF4435469383}">
  <ds:schemaRefs>
    <ds:schemaRef ds:uri="office.server.policy"/>
  </ds:schemaRefs>
</ds:datastoreItem>
</file>

<file path=customXml/itemProps6.xml><?xml version="1.0" encoding="utf-8"?>
<ds:datastoreItem xmlns:ds="http://schemas.openxmlformats.org/officeDocument/2006/customXml" ds:itemID="{AA67B87F-8369-4F01-8C71-9018986B5D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RIR_Consultation Discussion Paper.dotm</Template>
  <TotalTime>4</TotalTime>
  <Pages>36</Pages>
  <Words>12350</Words>
  <Characters>70523</Characters>
  <Application>Microsoft Office Word</Application>
  <DocSecurity>0</DocSecurity>
  <Lines>1173</Lines>
  <Paragraphs>490</Paragraphs>
  <ScaleCrop>false</ScaleCrop>
  <HeadingPairs>
    <vt:vector size="2" baseType="variant">
      <vt:variant>
        <vt:lpstr>Title</vt:lpstr>
      </vt:variant>
      <vt:variant>
        <vt:i4>1</vt:i4>
      </vt:variant>
    </vt:vector>
  </HeadingPairs>
  <TitlesOfParts>
    <vt:vector size="1" baseType="lpstr">
      <vt:lpstr>Retirement Income Review</vt:lpstr>
    </vt:vector>
  </TitlesOfParts>
  <Company>Australian Government - The Treasury</Company>
  <LinksUpToDate>false</LinksUpToDate>
  <CharactersWithSpaces>82568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Retirement Income Review</dc:title>
  <dc:subject/>
  <dc:creator>Australian Government </dc:creator>
  <cp:keywords>Final</cp:keywords>
  <dc:description/>
  <cp:lastModifiedBy>Hill, Christine</cp:lastModifiedBy>
  <cp:revision>4</cp:revision>
  <cp:lastPrinted>2019-11-19T23:30:00Z</cp:lastPrinted>
  <dcterms:created xsi:type="dcterms:W3CDTF">2019-11-25T01:07:00Z</dcterms:created>
  <dcterms:modified xsi:type="dcterms:W3CDTF">2019-11-25T02:04:00Z</dcterms:modified>
  <cp:contentStatus/>
</cp:coreProperties>
</file>