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F2DB64" w14:textId="67558B49" w:rsidR="00AA5852" w:rsidRPr="00D72682" w:rsidRDefault="00AA5852" w:rsidP="00DB29B5">
      <w:pPr>
        <w:pStyle w:val="Heading3"/>
      </w:pPr>
      <w:bookmarkStart w:id="0" w:name="_GoBack"/>
      <w:bookmarkEnd w:id="0"/>
      <w:r w:rsidRPr="00D72682">
        <w:t>ATTACHMENT A – One page summary</w:t>
      </w:r>
      <w:r w:rsidR="001B7888">
        <w:t xml:space="preserve"> of submissions for publication on Treasury website, together with non-confidential submissions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10834"/>
      </w:tblGrid>
      <w:tr w:rsidR="00DB29B5" w:rsidRPr="00DB29B5" w14:paraId="1B8B84F7" w14:textId="77777777" w:rsidTr="00DB29B5">
        <w:tc>
          <w:tcPr>
            <w:tcW w:w="3114" w:type="dxa"/>
            <w:shd w:val="clear" w:color="auto" w:fill="002C47" w:themeFill="accent1"/>
          </w:tcPr>
          <w:p w14:paraId="5CD73F41" w14:textId="77777777" w:rsidR="00AA5852" w:rsidRPr="00DB29B5" w:rsidRDefault="00AA5852" w:rsidP="00DB29B5">
            <w:pPr>
              <w:pStyle w:val="TableColumnHeadingLeft"/>
              <w:rPr>
                <w:color w:val="FFFFFF" w:themeColor="background1"/>
              </w:rPr>
            </w:pPr>
            <w:r w:rsidRPr="00DB29B5">
              <w:rPr>
                <w:color w:val="FFFFFF" w:themeColor="background1"/>
              </w:rPr>
              <w:t>Issues</w:t>
            </w:r>
          </w:p>
        </w:tc>
        <w:tc>
          <w:tcPr>
            <w:tcW w:w="10834" w:type="dxa"/>
            <w:shd w:val="clear" w:color="auto" w:fill="002C47" w:themeFill="accent1"/>
          </w:tcPr>
          <w:p w14:paraId="48A275BC" w14:textId="77777777" w:rsidR="00AA5852" w:rsidRPr="00DB29B5" w:rsidRDefault="00AA5852" w:rsidP="00DB29B5">
            <w:pPr>
              <w:pStyle w:val="TableColumnHeadingLeft"/>
              <w:rPr>
                <w:color w:val="FFFFFF" w:themeColor="background1"/>
              </w:rPr>
            </w:pPr>
            <w:r w:rsidRPr="00DB29B5">
              <w:rPr>
                <w:color w:val="FFFFFF" w:themeColor="background1"/>
              </w:rPr>
              <w:t>Stakeholder views</w:t>
            </w:r>
          </w:p>
        </w:tc>
      </w:tr>
      <w:tr w:rsidR="00AA5852" w:rsidRPr="00D72682" w14:paraId="3E4451A6" w14:textId="77777777" w:rsidTr="00DB29B5">
        <w:tc>
          <w:tcPr>
            <w:tcW w:w="3114" w:type="dxa"/>
            <w:tcBorders>
              <w:bottom w:val="single" w:sz="4" w:space="0" w:color="7F7F7F" w:themeColor="text1" w:themeTint="80"/>
            </w:tcBorders>
            <w:shd w:val="clear" w:color="auto" w:fill="FFFFFF" w:themeFill="background1"/>
            <w:tcMar>
              <w:top w:w="57" w:type="dxa"/>
              <w:bottom w:w="57" w:type="dxa"/>
            </w:tcMar>
          </w:tcPr>
          <w:p w14:paraId="5278BF23" w14:textId="77777777" w:rsidR="00AA5852" w:rsidRPr="00D72682" w:rsidRDefault="00AA5852" w:rsidP="00DB29B5">
            <w:pPr>
              <w:pStyle w:val="TableSecondHeading"/>
              <w:jc w:val="left"/>
            </w:pPr>
            <w:r w:rsidRPr="00D72682">
              <w:t xml:space="preserve">Removing Regulation 7.1.33 </w:t>
            </w:r>
          </w:p>
        </w:tc>
        <w:tc>
          <w:tcPr>
            <w:tcW w:w="10834" w:type="dxa"/>
            <w:tcBorders>
              <w:bottom w:val="single" w:sz="4" w:space="0" w:color="7F7F7F" w:themeColor="text1" w:themeTint="80"/>
            </w:tcBorders>
            <w:shd w:val="clear" w:color="auto" w:fill="FFFFFF" w:themeFill="background1"/>
            <w:tcMar>
              <w:top w:w="57" w:type="dxa"/>
              <w:bottom w:w="57" w:type="dxa"/>
            </w:tcMar>
          </w:tcPr>
          <w:p w14:paraId="7D497F86" w14:textId="780C1C89" w:rsidR="00AA5852" w:rsidRPr="00FF5A53" w:rsidRDefault="00530B6B" w:rsidP="00DB29B5">
            <w:pPr>
              <w:pStyle w:val="Bullet"/>
            </w:pPr>
            <w:r>
              <w:t xml:space="preserve">There was broad support </w:t>
            </w:r>
            <w:r w:rsidR="001B7888">
              <w:t>for</w:t>
            </w:r>
            <w:r w:rsidR="001B7888" w:rsidRPr="00FF5A53">
              <w:t xml:space="preserve"> </w:t>
            </w:r>
            <w:r w:rsidR="00AA5852" w:rsidRPr="00FF5A53">
              <w:t>removing the claims handling exemption from the definition of ‘financial service’ and subjecting claims handling and settlement activities to ASIC’s regulatory oversight.</w:t>
            </w:r>
          </w:p>
          <w:p w14:paraId="07AE2168" w14:textId="497D1AB9" w:rsidR="00AA5852" w:rsidRPr="00FF5A53" w:rsidRDefault="00B02E51" w:rsidP="00DB29B5">
            <w:pPr>
              <w:pStyle w:val="Bullet"/>
            </w:pPr>
            <w:r>
              <w:t>A number of</w:t>
            </w:r>
            <w:r w:rsidR="00AA5852" w:rsidRPr="00FF5A53">
              <w:t xml:space="preserve"> stakeholders </w:t>
            </w:r>
            <w:r w:rsidR="00530B6B">
              <w:t>raised concerns</w:t>
            </w:r>
            <w:r w:rsidR="00AA5852" w:rsidRPr="00FF5A53">
              <w:t xml:space="preserve"> </w:t>
            </w:r>
            <w:r w:rsidR="00E95EC7">
              <w:t>that</w:t>
            </w:r>
            <w:r w:rsidR="00E95EC7" w:rsidRPr="00FF5A53">
              <w:t xml:space="preserve"> </w:t>
            </w:r>
            <w:r w:rsidR="00AA5852" w:rsidRPr="00FF5A53">
              <w:t>removing the exemption will trigger</w:t>
            </w:r>
            <w:r w:rsidR="001B7888">
              <w:t xml:space="preserve"> </w:t>
            </w:r>
            <w:r w:rsidR="00AA5852" w:rsidRPr="00FF5A53">
              <w:t>financial advice obligations in the course of handling and settlement of claims</w:t>
            </w:r>
            <w:r w:rsidR="009547BB">
              <w:t xml:space="preserve"> that are not necessary or appropriate</w:t>
            </w:r>
            <w:r w:rsidR="00AA5852">
              <w:t>.</w:t>
            </w:r>
          </w:p>
        </w:tc>
      </w:tr>
      <w:tr w:rsidR="00AA5852" w:rsidRPr="00D72682" w14:paraId="25BD31E3" w14:textId="77777777" w:rsidTr="00DB29B5">
        <w:tc>
          <w:tcPr>
            <w:tcW w:w="3114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FFFFF" w:themeFill="background1"/>
            <w:tcMar>
              <w:top w:w="57" w:type="dxa"/>
              <w:bottom w:w="57" w:type="dxa"/>
            </w:tcMar>
          </w:tcPr>
          <w:p w14:paraId="10440E1B" w14:textId="5CD9AE4F" w:rsidR="00AA5852" w:rsidRPr="009547BB" w:rsidRDefault="00E95EC7" w:rsidP="00DB29B5">
            <w:pPr>
              <w:pStyle w:val="TableSecondHeading"/>
              <w:jc w:val="left"/>
            </w:pPr>
            <w:r w:rsidRPr="00D72682">
              <w:t>Wh</w:t>
            </w:r>
            <w:r>
              <w:t xml:space="preserve">ich </w:t>
            </w:r>
            <w:r w:rsidR="001B7888">
              <w:t>services and service providers</w:t>
            </w:r>
            <w:r w:rsidR="001B7888" w:rsidRPr="00D72682">
              <w:t xml:space="preserve"> </w:t>
            </w:r>
            <w:r w:rsidR="00AA5852" w:rsidRPr="00D72682">
              <w:t>should be captured</w:t>
            </w:r>
            <w:r w:rsidR="0037142F">
              <w:t>?</w:t>
            </w:r>
          </w:p>
        </w:tc>
        <w:tc>
          <w:tcPr>
            <w:tcW w:w="10834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FFFFF" w:themeFill="background1"/>
            <w:tcMar>
              <w:top w:w="57" w:type="dxa"/>
              <w:bottom w:w="57" w:type="dxa"/>
            </w:tcMar>
          </w:tcPr>
          <w:p w14:paraId="505B5013" w14:textId="45C0FBFC" w:rsidR="00AA5852" w:rsidRPr="00FF5A53" w:rsidRDefault="00530B6B" w:rsidP="00DB29B5">
            <w:pPr>
              <w:pStyle w:val="Bullet"/>
            </w:pPr>
            <w:r>
              <w:t xml:space="preserve">There </w:t>
            </w:r>
            <w:r w:rsidR="00E95EC7">
              <w:t>were</w:t>
            </w:r>
            <w:r w:rsidR="00E95EC7" w:rsidRPr="00FF5A53">
              <w:t xml:space="preserve"> </w:t>
            </w:r>
            <w:r w:rsidR="00AA5852" w:rsidRPr="00FF5A53">
              <w:t xml:space="preserve">different opinions on the scope of </w:t>
            </w:r>
            <w:r w:rsidR="00E95EC7">
              <w:t>services</w:t>
            </w:r>
            <w:r w:rsidR="00E95EC7" w:rsidRPr="00FF5A53">
              <w:t xml:space="preserve"> </w:t>
            </w:r>
            <w:r w:rsidR="001B7888">
              <w:t>to fall within the definition of</w:t>
            </w:r>
            <w:r w:rsidR="00AA5852" w:rsidRPr="00FF5A53">
              <w:t xml:space="preserve"> claims handling and settlement activities</w:t>
            </w:r>
            <w:r w:rsidR="0037142F">
              <w:t>, to be</w:t>
            </w:r>
            <w:r w:rsidR="001B7888">
              <w:t xml:space="preserve"> regulated as financial service</w:t>
            </w:r>
            <w:r w:rsidR="00E534BC">
              <w:t>s</w:t>
            </w:r>
            <w:r w:rsidR="00AA5852" w:rsidRPr="00FF5A53">
              <w:t>.</w:t>
            </w:r>
          </w:p>
          <w:p w14:paraId="771618AA" w14:textId="6A123542" w:rsidR="00AA5852" w:rsidRPr="00E95EC7" w:rsidRDefault="00AA5852" w:rsidP="00DB29B5">
            <w:pPr>
              <w:pStyle w:val="Bullet"/>
            </w:pPr>
            <w:r w:rsidRPr="00FF5A53">
              <w:t xml:space="preserve">Some </w:t>
            </w:r>
            <w:r w:rsidR="00E95EC7">
              <w:t>stakeholders</w:t>
            </w:r>
            <w:r w:rsidR="00E95EC7" w:rsidRPr="00FF5A53">
              <w:t xml:space="preserve"> </w:t>
            </w:r>
            <w:r w:rsidRPr="00FF5A53">
              <w:t xml:space="preserve">supported </w:t>
            </w:r>
            <w:r w:rsidR="00E534BC">
              <w:t>regulating all parties involved in claims handling as providers of financial services, including</w:t>
            </w:r>
            <w:r w:rsidR="00E534BC" w:rsidRPr="00FF5A53">
              <w:t xml:space="preserve"> </w:t>
            </w:r>
            <w:r w:rsidRPr="00FF5A53">
              <w:t>third party representatives (TPRs)</w:t>
            </w:r>
            <w:r w:rsidR="00E534BC">
              <w:t>.</w:t>
            </w:r>
            <w:r w:rsidR="00EE5FA5">
              <w:t xml:space="preserve"> </w:t>
            </w:r>
            <w:r w:rsidR="00E534BC">
              <w:t>O</w:t>
            </w:r>
            <w:r w:rsidRPr="00FF5A53">
              <w:t xml:space="preserve">thers expressed concern about </w:t>
            </w:r>
            <w:r>
              <w:t>captur</w:t>
            </w:r>
            <w:r w:rsidR="00E95EC7">
              <w:t>ing</w:t>
            </w:r>
            <w:r w:rsidRPr="00FF5A53">
              <w:t xml:space="preserve"> </w:t>
            </w:r>
            <w:r w:rsidR="0037142F">
              <w:t>TPRs</w:t>
            </w:r>
            <w:r w:rsidR="0037142F" w:rsidRPr="00FF5A53">
              <w:t xml:space="preserve"> </w:t>
            </w:r>
            <w:r w:rsidRPr="00FF5A53">
              <w:t>contracted by insurer</w:t>
            </w:r>
            <w:r w:rsidR="00530B6B">
              <w:t>s</w:t>
            </w:r>
            <w:r w:rsidR="00EE5FA5">
              <w:t>,</w:t>
            </w:r>
            <w:r w:rsidRPr="00FF5A53">
              <w:t xml:space="preserve"> such as lawyers, builders, and smash repairers</w:t>
            </w:r>
            <w:r w:rsidR="00EE5FA5">
              <w:t>,</w:t>
            </w:r>
            <w:r w:rsidR="0037142F">
              <w:t xml:space="preserve"> to assist with assessing or handling a claim</w:t>
            </w:r>
            <w:r w:rsidR="00E95EC7">
              <w:t>, arguing their inclusion would</w:t>
            </w:r>
            <w:r w:rsidRPr="00FF5A53">
              <w:t xml:space="preserve"> </w:t>
            </w:r>
            <w:r>
              <w:t>provid</w:t>
            </w:r>
            <w:r w:rsidR="00E95EC7">
              <w:t>e</w:t>
            </w:r>
            <w:r>
              <w:t xml:space="preserve"> </w:t>
            </w:r>
            <w:r w:rsidRPr="00FF5A53">
              <w:t>limited benefits</w:t>
            </w:r>
            <w:r>
              <w:t xml:space="preserve"> for consumers</w:t>
            </w:r>
            <w:r w:rsidR="0037142F">
              <w:t xml:space="preserve"> while increasing costs</w:t>
            </w:r>
            <w:r w:rsidRPr="00FF5A53">
              <w:t>.</w:t>
            </w:r>
          </w:p>
        </w:tc>
      </w:tr>
      <w:tr w:rsidR="00AA5852" w:rsidRPr="00D72682" w14:paraId="589BDB92" w14:textId="77777777" w:rsidTr="00DB29B5">
        <w:tc>
          <w:tcPr>
            <w:tcW w:w="3114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FFFFF" w:themeFill="background1"/>
            <w:tcMar>
              <w:top w:w="57" w:type="dxa"/>
              <w:bottom w:w="57" w:type="dxa"/>
            </w:tcMar>
          </w:tcPr>
          <w:p w14:paraId="662F9C51" w14:textId="30A5BDAE" w:rsidR="00AA5852" w:rsidRPr="00D72682" w:rsidRDefault="00AA5852" w:rsidP="00DB29B5">
            <w:pPr>
              <w:pStyle w:val="TableSecondHeading"/>
              <w:jc w:val="left"/>
            </w:pPr>
            <w:r w:rsidRPr="00D72682">
              <w:t xml:space="preserve">What </w:t>
            </w:r>
            <w:r w:rsidR="00E95EC7">
              <w:t xml:space="preserve">products and distribution channels </w:t>
            </w:r>
            <w:r w:rsidRPr="00D72682">
              <w:t>should be captured</w:t>
            </w:r>
            <w:r w:rsidR="0037142F">
              <w:t>?</w:t>
            </w:r>
          </w:p>
        </w:tc>
        <w:tc>
          <w:tcPr>
            <w:tcW w:w="10834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FFFFF" w:themeFill="background1"/>
            <w:tcMar>
              <w:top w:w="57" w:type="dxa"/>
              <w:bottom w:w="57" w:type="dxa"/>
            </w:tcMar>
          </w:tcPr>
          <w:p w14:paraId="4B8CBADF" w14:textId="3CE8E7E7" w:rsidR="00AA5852" w:rsidRPr="00FF5A53" w:rsidRDefault="00AA5852" w:rsidP="00DB29B5">
            <w:pPr>
              <w:pStyle w:val="Bullet"/>
            </w:pPr>
            <w:r w:rsidRPr="00FF5A53">
              <w:t>Some stakeholders consider</w:t>
            </w:r>
            <w:r w:rsidR="008470AF">
              <w:t>ed</w:t>
            </w:r>
            <w:r w:rsidRPr="00FF5A53">
              <w:t xml:space="preserve"> that the proposal should extend</w:t>
            </w:r>
            <w:r w:rsidR="00E534BC">
              <w:t xml:space="preserve"> beyond the provision of services to</w:t>
            </w:r>
            <w:r w:rsidRPr="00FF5A53">
              <w:t xml:space="preserve"> </w:t>
            </w:r>
            <w:r w:rsidR="009547BB">
              <w:t>‘</w:t>
            </w:r>
            <w:r w:rsidRPr="00FF5A53">
              <w:t>retail clients</w:t>
            </w:r>
            <w:r w:rsidR="009547BB">
              <w:t>’</w:t>
            </w:r>
            <w:r w:rsidRPr="00FF5A53">
              <w:t>.</w:t>
            </w:r>
            <w:r w:rsidR="009D2E40">
              <w:rPr>
                <w:rStyle w:val="FootnoteReference"/>
                <w:rFonts w:ascii="Times New Roman" w:hAnsi="Times New Roman"/>
              </w:rPr>
              <w:t xml:space="preserve"> </w:t>
            </w:r>
            <w:r w:rsidR="009D2E40">
              <w:rPr>
                <w:rStyle w:val="FootnoteReference"/>
                <w:rFonts w:ascii="Times New Roman" w:hAnsi="Times New Roman"/>
              </w:rPr>
              <w:footnoteReference w:id="1"/>
            </w:r>
            <w:r w:rsidRPr="00FF5A53">
              <w:t xml:space="preserve">   </w:t>
            </w:r>
          </w:p>
          <w:p w14:paraId="7F172A88" w14:textId="3C48B02E" w:rsidR="00AA5852" w:rsidRDefault="00AA5852" w:rsidP="00DB29B5">
            <w:pPr>
              <w:pStyle w:val="Bullet"/>
            </w:pPr>
            <w:r>
              <w:t>While s</w:t>
            </w:r>
            <w:r w:rsidRPr="00FF5A53">
              <w:t>ome stakeholders consider</w:t>
            </w:r>
            <w:r w:rsidR="008470AF">
              <w:t>ed</w:t>
            </w:r>
            <w:r w:rsidRPr="00FF5A53">
              <w:t xml:space="preserve"> that the claims handling proposal should not</w:t>
            </w:r>
            <w:r>
              <w:t xml:space="preserve"> </w:t>
            </w:r>
            <w:r w:rsidRPr="00FF5A53">
              <w:t>apply to trustees of superannuation fund</w:t>
            </w:r>
            <w:r w:rsidR="0088654C">
              <w:t>s</w:t>
            </w:r>
            <w:r w:rsidRPr="00FF5A53">
              <w:t xml:space="preserve"> as they </w:t>
            </w:r>
            <w:r>
              <w:t>already need to comply</w:t>
            </w:r>
            <w:r w:rsidRPr="00FF5A53">
              <w:t xml:space="preserve"> with similar conduct requirements</w:t>
            </w:r>
            <w:r>
              <w:t xml:space="preserve">, other stakeholders </w:t>
            </w:r>
            <w:r w:rsidR="00487AAA">
              <w:t>argued that trustees should be held to the same standard as others in the claims handling process</w:t>
            </w:r>
            <w:r w:rsidRPr="00FF5A53">
              <w:t>.</w:t>
            </w:r>
          </w:p>
          <w:p w14:paraId="70E9E8FB" w14:textId="10209BE9" w:rsidR="00E95EC7" w:rsidRPr="00FF5A53" w:rsidRDefault="00E95EC7" w:rsidP="00DB29B5">
            <w:pPr>
              <w:pStyle w:val="Bullet"/>
            </w:pPr>
            <w:r>
              <w:t>Some s</w:t>
            </w:r>
            <w:r w:rsidRPr="00FF5A53">
              <w:t xml:space="preserve">takeholders </w:t>
            </w:r>
            <w:r>
              <w:t>rais</w:t>
            </w:r>
            <w:r w:rsidRPr="00FF5A53">
              <w:t>ed concerns about removing</w:t>
            </w:r>
            <w:r>
              <w:t xml:space="preserve"> the</w:t>
            </w:r>
            <w:r w:rsidRPr="00FF5A53">
              <w:t xml:space="preserve"> claims handling exemption for medical indemnity insurance</w:t>
            </w:r>
            <w:r>
              <w:t xml:space="preserve"> as this</w:t>
            </w:r>
            <w:r w:rsidRPr="00FF5A53">
              <w:t xml:space="preserve"> would impose additional regulation to an already highly regulated area</w:t>
            </w:r>
            <w:r w:rsidR="0088654C">
              <w:t xml:space="preserve"> and the nature of medical indemnity insurance was fundamentally different as the insured and beneficiaries are different parties</w:t>
            </w:r>
            <w:r w:rsidRPr="00FF5A53">
              <w:t xml:space="preserve">.  </w:t>
            </w:r>
          </w:p>
        </w:tc>
      </w:tr>
      <w:tr w:rsidR="00AA5852" w14:paraId="727CF3EC" w14:textId="77777777" w:rsidTr="00DB29B5">
        <w:tc>
          <w:tcPr>
            <w:tcW w:w="3114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FFFFF" w:themeFill="background1"/>
            <w:tcMar>
              <w:top w:w="57" w:type="dxa"/>
              <w:bottom w:w="57" w:type="dxa"/>
            </w:tcMar>
          </w:tcPr>
          <w:p w14:paraId="6E434993" w14:textId="77777777" w:rsidR="00AA5852" w:rsidRPr="00016667" w:rsidRDefault="00AA5852" w:rsidP="00DB29B5">
            <w:pPr>
              <w:pStyle w:val="TableSecondHeading"/>
              <w:jc w:val="left"/>
            </w:pPr>
            <w:r w:rsidRPr="00016667">
              <w:t>Impact on existing licensing framework</w:t>
            </w:r>
          </w:p>
        </w:tc>
        <w:tc>
          <w:tcPr>
            <w:tcW w:w="10834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FFFFF" w:themeFill="background1"/>
            <w:tcMar>
              <w:top w:w="57" w:type="dxa"/>
              <w:bottom w:w="57" w:type="dxa"/>
            </w:tcMar>
          </w:tcPr>
          <w:p w14:paraId="266A8EEE" w14:textId="22EB7899" w:rsidR="00AA5852" w:rsidRPr="00FF5A53" w:rsidRDefault="00CB1A19" w:rsidP="00DB29B5">
            <w:pPr>
              <w:pStyle w:val="Bullet"/>
            </w:pPr>
            <w:r>
              <w:t>Most</w:t>
            </w:r>
            <w:r w:rsidRPr="00FF5A53">
              <w:t xml:space="preserve"> </w:t>
            </w:r>
            <w:r w:rsidR="00AA5852" w:rsidRPr="00FF5A53">
              <w:t xml:space="preserve">stakeholders </w:t>
            </w:r>
            <w:r>
              <w:t xml:space="preserve">agreed with the proposal to regulate claims handling through the </w:t>
            </w:r>
            <w:r w:rsidR="00C312D3">
              <w:t xml:space="preserve">Australian Financial Services </w:t>
            </w:r>
            <w:r>
              <w:t>Licence regime.</w:t>
            </w:r>
            <w:r w:rsidR="00AA5852" w:rsidRPr="00FF5A53">
              <w:t xml:space="preserve"> </w:t>
            </w:r>
          </w:p>
          <w:p w14:paraId="60FA041F" w14:textId="679BCE99" w:rsidR="00AA5852" w:rsidRPr="00FF5A53" w:rsidRDefault="00B02E51" w:rsidP="00DB29B5">
            <w:pPr>
              <w:pStyle w:val="Bullet"/>
            </w:pPr>
            <w:r>
              <w:t>A number of</w:t>
            </w:r>
            <w:r w:rsidR="00CB1A19">
              <w:t xml:space="preserve"> </w:t>
            </w:r>
            <w:r w:rsidR="00AA5852">
              <w:t xml:space="preserve">stakeholders highlighted </w:t>
            </w:r>
            <w:r w:rsidR="00AA5852" w:rsidRPr="00FF5A53">
              <w:t xml:space="preserve">concerns </w:t>
            </w:r>
            <w:r w:rsidR="00AA5852">
              <w:t>with</w:t>
            </w:r>
            <w:r w:rsidR="00CB1A19">
              <w:t xml:space="preserve"> the potential application of</w:t>
            </w:r>
            <w:r w:rsidR="00AA5852" w:rsidRPr="00FF5A53">
              <w:t xml:space="preserve"> disclosure requirements</w:t>
            </w:r>
            <w:r w:rsidR="00CB1A19">
              <w:t xml:space="preserve"> under that regime,</w:t>
            </w:r>
            <w:r w:rsidR="00AA5852" w:rsidRPr="00FF5A53">
              <w:t xml:space="preserve"> such as </w:t>
            </w:r>
            <w:r w:rsidR="00AA5852">
              <w:t>requirements to provide</w:t>
            </w:r>
            <w:r w:rsidR="00AA5852" w:rsidRPr="00FF5A53">
              <w:t xml:space="preserve"> a Financial Service Guide, general advice warnings </w:t>
            </w:r>
            <w:r w:rsidR="00EE5FA5">
              <w:t>or</w:t>
            </w:r>
            <w:r w:rsidR="00AA5852" w:rsidRPr="00FF5A53">
              <w:t xml:space="preserve"> </w:t>
            </w:r>
            <w:r w:rsidR="00EE5FA5">
              <w:t xml:space="preserve">a </w:t>
            </w:r>
            <w:r w:rsidR="00AA5852" w:rsidRPr="00FF5A53">
              <w:t>Statement of Advice</w:t>
            </w:r>
            <w:r w:rsidR="00487AAA">
              <w:t xml:space="preserve"> in certain circumstances</w:t>
            </w:r>
            <w:r w:rsidR="00AA5852" w:rsidRPr="00FF5A53">
              <w:t xml:space="preserve">. </w:t>
            </w:r>
          </w:p>
        </w:tc>
      </w:tr>
      <w:tr w:rsidR="00AA5852" w14:paraId="6B429D35" w14:textId="77777777" w:rsidTr="00DB29B5">
        <w:tc>
          <w:tcPr>
            <w:tcW w:w="3114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FFFFF" w:themeFill="background1"/>
            <w:tcMar>
              <w:top w:w="57" w:type="dxa"/>
              <w:bottom w:w="57" w:type="dxa"/>
            </w:tcMar>
          </w:tcPr>
          <w:p w14:paraId="3EA69CB2" w14:textId="77777777" w:rsidR="00AA5852" w:rsidRPr="00016667" w:rsidRDefault="00AA5852" w:rsidP="00DB29B5">
            <w:pPr>
              <w:pStyle w:val="TableSecondHeading"/>
              <w:jc w:val="left"/>
            </w:pPr>
            <w:r w:rsidRPr="00016667">
              <w:t>Penalties</w:t>
            </w:r>
          </w:p>
        </w:tc>
        <w:tc>
          <w:tcPr>
            <w:tcW w:w="10834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FFFFF" w:themeFill="background1"/>
            <w:tcMar>
              <w:top w:w="57" w:type="dxa"/>
              <w:bottom w:w="57" w:type="dxa"/>
            </w:tcMar>
          </w:tcPr>
          <w:p w14:paraId="18D62B2A" w14:textId="45EA95FD" w:rsidR="00AA5852" w:rsidRPr="00FF5A53" w:rsidRDefault="00AA5852" w:rsidP="00DB29B5">
            <w:pPr>
              <w:pStyle w:val="Bullet"/>
            </w:pPr>
            <w:r>
              <w:t>Many</w:t>
            </w:r>
            <w:r w:rsidRPr="00FF5A53">
              <w:t xml:space="preserve"> stakeholders suggest</w:t>
            </w:r>
            <w:r>
              <w:t>ed</w:t>
            </w:r>
            <w:r w:rsidRPr="00FF5A53">
              <w:t xml:space="preserve"> align</w:t>
            </w:r>
            <w:r w:rsidR="00E534BC">
              <w:t>ing</w:t>
            </w:r>
            <w:r w:rsidRPr="00FF5A53">
              <w:t xml:space="preserve"> the </w:t>
            </w:r>
            <w:r w:rsidR="00C312D3" w:rsidRPr="00FF5A53">
              <w:t>penalt</w:t>
            </w:r>
            <w:r w:rsidR="00C312D3">
              <w:t xml:space="preserve">ies </w:t>
            </w:r>
            <w:r>
              <w:t>with other financial services</w:t>
            </w:r>
            <w:r w:rsidRPr="00FF5A53">
              <w:t xml:space="preserve"> for breaching conduct </w:t>
            </w:r>
            <w:r>
              <w:t>in the course of providing</w:t>
            </w:r>
            <w:r w:rsidRPr="00FF5A53">
              <w:t xml:space="preserve"> claims handling and settlement</w:t>
            </w:r>
            <w:r w:rsidR="00730AAA">
              <w:t xml:space="preserve"> services</w:t>
            </w:r>
            <w:r w:rsidRPr="00FF5A53">
              <w:t>.</w:t>
            </w:r>
          </w:p>
        </w:tc>
      </w:tr>
    </w:tbl>
    <w:p w14:paraId="7B13D282" w14:textId="77777777" w:rsidR="00A83CDC" w:rsidRPr="00AA5852" w:rsidRDefault="00A83CDC" w:rsidP="00AA5852"/>
    <w:sectPr w:rsidR="00A83CDC" w:rsidRPr="00AA5852" w:rsidSect="009547B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822299" w14:textId="77777777" w:rsidR="009547BB" w:rsidRDefault="009547BB" w:rsidP="009547BB">
      <w:pPr>
        <w:spacing w:after="0"/>
      </w:pPr>
      <w:r>
        <w:separator/>
      </w:r>
    </w:p>
  </w:endnote>
  <w:endnote w:type="continuationSeparator" w:id="0">
    <w:p w14:paraId="6AFBA59F" w14:textId="77777777" w:rsidR="009547BB" w:rsidRDefault="009547BB" w:rsidP="009547B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2AA91C" w14:textId="77777777" w:rsidR="009547BB" w:rsidRDefault="009547BB" w:rsidP="009547BB">
      <w:pPr>
        <w:spacing w:after="0"/>
      </w:pPr>
      <w:r>
        <w:separator/>
      </w:r>
    </w:p>
  </w:footnote>
  <w:footnote w:type="continuationSeparator" w:id="0">
    <w:p w14:paraId="3DA49DBA" w14:textId="77777777" w:rsidR="009547BB" w:rsidRDefault="009547BB" w:rsidP="009547BB">
      <w:pPr>
        <w:spacing w:after="0"/>
      </w:pPr>
      <w:r>
        <w:continuationSeparator/>
      </w:r>
    </w:p>
  </w:footnote>
  <w:footnote w:id="1">
    <w:p w14:paraId="12F0DA07" w14:textId="77777777" w:rsidR="009D2E40" w:rsidRDefault="009D2E40" w:rsidP="009D2E40">
      <w:pPr>
        <w:pStyle w:val="FootnoteText"/>
      </w:pPr>
      <w:r>
        <w:rPr>
          <w:rStyle w:val="FootnoteReference"/>
        </w:rPr>
        <w:footnoteRef/>
      </w:r>
      <w:r>
        <w:t xml:space="preserve"> ‘Retail clients’ refers to the purchase of motor, home building, home contents, sickness &amp; accident, consumer credit, travel and domestic &amp; personal property insurance (or </w:t>
      </w:r>
      <w:r w:rsidRPr="003351C8">
        <w:t>a kind of insurance prescribed by regulations</w:t>
      </w:r>
      <w:r>
        <w:t>) by an individual or small business (up to 20 employees, or 100 if in manufacturing).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D3FC7"/>
    <w:multiLevelType w:val="multilevel"/>
    <w:tmpl w:val="79E48CD8"/>
    <w:styleLink w:val="BoxBulletedList"/>
    <w:lvl w:ilvl="0">
      <w:start w:val="1"/>
      <w:numFmt w:val="bullet"/>
      <w:lvlRestart w:val="0"/>
      <w:pStyle w:val="BoxBullet"/>
      <w:lvlText w:val="•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i w:val="0"/>
        <w:sz w:val="20"/>
      </w:rPr>
    </w:lvl>
    <w:lvl w:ilvl="1">
      <w:start w:val="1"/>
      <w:numFmt w:val="bullet"/>
      <w:pStyle w:val="BoxDash"/>
      <w:lvlText w:val="–"/>
      <w:lvlJc w:val="left"/>
      <w:pPr>
        <w:tabs>
          <w:tab w:val="num" w:pos="567"/>
        </w:tabs>
        <w:ind w:left="567" w:hanging="284"/>
      </w:pPr>
      <w:rPr>
        <w:rFonts w:hint="default"/>
        <w:b w:val="0"/>
        <w:i w:val="0"/>
      </w:rPr>
    </w:lvl>
    <w:lvl w:ilvl="2">
      <w:start w:val="1"/>
      <w:numFmt w:val="bullet"/>
      <w:pStyle w:val="BoxDoubleDot"/>
      <w:lvlText w:val=":"/>
      <w:lvlJc w:val="left"/>
      <w:pPr>
        <w:tabs>
          <w:tab w:val="num" w:pos="850"/>
        </w:tabs>
        <w:ind w:left="850" w:hanging="283"/>
      </w:pPr>
      <w:rPr>
        <w:rFonts w:hint="default"/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  <w:b w:val="0"/>
        <w:i w:val="0"/>
      </w:rPr>
    </w:lvl>
  </w:abstractNum>
  <w:abstractNum w:abstractNumId="1" w15:restartNumberingAfterBreak="0">
    <w:nsid w:val="0B8F13AF"/>
    <w:multiLevelType w:val="multilevel"/>
    <w:tmpl w:val="0C7091F8"/>
    <w:lvl w:ilvl="0">
      <w:start w:val="1"/>
      <w:numFmt w:val="low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0653560"/>
    <w:multiLevelType w:val="multilevel"/>
    <w:tmpl w:val="72F8140E"/>
    <w:styleLink w:val="OutlineList"/>
    <w:lvl w:ilvl="0">
      <w:start w:val="1"/>
      <w:numFmt w:val="decimal"/>
      <w:pStyle w:val="OutlineNumbered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OutlineNumbered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OutlineNumbered3"/>
      <w:lvlText w:val="%1.%2.%3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6CC4E5D"/>
    <w:multiLevelType w:val="multilevel"/>
    <w:tmpl w:val="D10E9CF6"/>
    <w:numStyleLink w:val="OneLevelList"/>
  </w:abstractNum>
  <w:abstractNum w:abstractNumId="4" w15:restartNumberingAfterBreak="0">
    <w:nsid w:val="17DF7717"/>
    <w:multiLevelType w:val="multilevel"/>
    <w:tmpl w:val="B91AC3AC"/>
    <w:lvl w:ilvl="0">
      <w:start w:val="1"/>
      <w:numFmt w:val="decimal"/>
      <w:pStyle w:val="Heading1Numbered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Numbered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Heading3Numbered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27440C8B"/>
    <w:multiLevelType w:val="multilevel"/>
    <w:tmpl w:val="9AFC5FD2"/>
    <w:lvl w:ilvl="0">
      <w:start w:val="1"/>
      <w:numFmt w:val="bullet"/>
      <w:lvlRestart w:val="0"/>
      <w:lvlText w:val="•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84"/>
      </w:pPr>
      <w:rPr>
        <w:rFonts w:ascii="Times New Roman" w:hAnsi="Times New Roman" w:cs="Times New Roman"/>
        <w:b w:val="0"/>
        <w:i w:val="0"/>
      </w:rPr>
    </w:lvl>
    <w:lvl w:ilvl="2">
      <w:start w:val="1"/>
      <w:numFmt w:val="bullet"/>
      <w:lvlText w:val=":"/>
      <w:lvlJc w:val="left"/>
      <w:pPr>
        <w:tabs>
          <w:tab w:val="num" w:pos="850"/>
        </w:tabs>
        <w:ind w:left="850" w:hanging="283"/>
      </w:pPr>
      <w:rPr>
        <w:rFonts w:ascii="Times New Roman" w:hAnsi="Times New Roman" w:cs="Times New Roman"/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b w:val="0"/>
        <w:i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b w:val="0"/>
        <w:i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b w:val="0"/>
        <w:i w:val="0"/>
      </w:rPr>
    </w:lvl>
  </w:abstractNum>
  <w:abstractNum w:abstractNumId="6" w15:restartNumberingAfterBreak="0">
    <w:nsid w:val="27826BF0"/>
    <w:multiLevelType w:val="multilevel"/>
    <w:tmpl w:val="6D0AA75C"/>
    <w:lvl w:ilvl="0">
      <w:start w:val="1"/>
      <w:numFmt w:val="lowerRoman"/>
      <w:pStyle w:val="Romannumer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pStyle w:val="AlphaParagraph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308C2710"/>
    <w:multiLevelType w:val="multilevel"/>
    <w:tmpl w:val="0D723674"/>
    <w:styleLink w:val="BulletedList"/>
    <w:lvl w:ilvl="0">
      <w:start w:val="1"/>
      <w:numFmt w:val="bullet"/>
      <w:lvlRestart w:val="0"/>
      <w:pStyle w:val="Bullet"/>
      <w:lvlText w:val="•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bullet"/>
      <w:pStyle w:val="Dash"/>
      <w:lvlText w:val="–"/>
      <w:lvlJc w:val="left"/>
      <w:pPr>
        <w:tabs>
          <w:tab w:val="num" w:pos="567"/>
        </w:tabs>
        <w:ind w:left="567" w:hanging="284"/>
      </w:pPr>
      <w:rPr>
        <w:rFonts w:ascii="Times New Roman" w:hAnsi="Times New Roman" w:cs="Times New Roman" w:hint="default"/>
        <w:b w:val="0"/>
        <w:i w:val="0"/>
      </w:rPr>
    </w:lvl>
    <w:lvl w:ilvl="2">
      <w:start w:val="1"/>
      <w:numFmt w:val="bullet"/>
      <w:pStyle w:val="DoubleDot"/>
      <w:lvlText w:val=":"/>
      <w:lvlJc w:val="left"/>
      <w:pPr>
        <w:tabs>
          <w:tab w:val="num" w:pos="850"/>
        </w:tabs>
        <w:ind w:left="850" w:hanging="283"/>
      </w:pPr>
      <w:rPr>
        <w:rFonts w:ascii="Times New Roman" w:hAnsi="Times New Roman" w:cs="Times New Roman" w:hint="default"/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  <w:b w:val="0"/>
        <w:i w:val="0"/>
      </w:rPr>
    </w:lvl>
  </w:abstractNum>
  <w:abstractNum w:abstractNumId="8" w15:restartNumberingAfterBreak="0">
    <w:nsid w:val="31E3079A"/>
    <w:multiLevelType w:val="multilevel"/>
    <w:tmpl w:val="03AE776C"/>
    <w:name w:val="StandardBulletedList"/>
    <w:lvl w:ilvl="0">
      <w:start w:val="1"/>
      <w:numFmt w:val="bullet"/>
      <w:lvlText w:val="•"/>
      <w:lvlJc w:val="left"/>
      <w:pPr>
        <w:tabs>
          <w:tab w:val="num" w:pos="520"/>
        </w:tabs>
        <w:ind w:left="520" w:hanging="520"/>
      </w:pPr>
      <w:rPr>
        <w:rFonts w:ascii="Times New Roman" w:hAnsi="Times New Roman" w:cs="Times New Roman"/>
      </w:rPr>
    </w:lvl>
    <w:lvl w:ilvl="1">
      <w:start w:val="1"/>
      <w:numFmt w:val="bullet"/>
      <w:lvlText w:val="–"/>
      <w:lvlJc w:val="left"/>
      <w:pPr>
        <w:tabs>
          <w:tab w:val="num" w:pos="1040"/>
        </w:tabs>
        <w:ind w:left="1040" w:hanging="520"/>
      </w:pPr>
      <w:rPr>
        <w:rFonts w:ascii="Times New Roman" w:hAnsi="Times New Roman" w:cs="Times New Roman"/>
      </w:rPr>
    </w:lvl>
    <w:lvl w:ilvl="2">
      <w:start w:val="1"/>
      <w:numFmt w:val="bullet"/>
      <w:lvlText w:val=":"/>
      <w:lvlJc w:val="left"/>
      <w:pPr>
        <w:tabs>
          <w:tab w:val="num" w:pos="1560"/>
        </w:tabs>
        <w:ind w:left="1560" w:hanging="52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238442C"/>
    <w:multiLevelType w:val="multilevel"/>
    <w:tmpl w:val="20C6D62C"/>
    <w:styleLink w:val="ChartandTableFootnoteAlphaList"/>
    <w:lvl w:ilvl="0">
      <w:start w:val="1"/>
      <w:numFmt w:val="lowerLetter"/>
      <w:pStyle w:val="ChartandTableFootnoteAlpha"/>
      <w:lvlText w:val="(%1)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sz w:val="1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330C16AD"/>
    <w:multiLevelType w:val="multilevel"/>
    <w:tmpl w:val="D10E9CF6"/>
    <w:styleLink w:val="OneLevelList"/>
    <w:lvl w:ilvl="0">
      <w:start w:val="1"/>
      <w:numFmt w:val="decimal"/>
      <w:pStyle w:val="OneLevelNumberedParagraph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4CE06931"/>
    <w:multiLevelType w:val="singleLevel"/>
    <w:tmpl w:val="36E09474"/>
    <w:lvl w:ilvl="0">
      <w:start w:val="1"/>
      <w:numFmt w:val="lowerLetter"/>
      <w:lvlText w:val="(%1)"/>
      <w:lvlJc w:val="left"/>
      <w:pPr>
        <w:ind w:left="360" w:hanging="360"/>
      </w:pPr>
      <w:rPr>
        <w:rFonts w:ascii="Arial" w:hAnsi="Arial" w:cs="Arial" w:hint="default"/>
        <w:b w:val="0"/>
        <w:i w:val="0"/>
        <w:sz w:val="16"/>
      </w:rPr>
    </w:lvl>
  </w:abstractNum>
  <w:abstractNum w:abstractNumId="12" w15:restartNumberingAfterBreak="0">
    <w:nsid w:val="510D2021"/>
    <w:multiLevelType w:val="multilevel"/>
    <w:tmpl w:val="72F8140E"/>
    <w:numStyleLink w:val="OutlineList"/>
  </w:abstractNum>
  <w:abstractNum w:abstractNumId="13" w15:restartNumberingAfterBreak="0">
    <w:nsid w:val="5EFF1E76"/>
    <w:multiLevelType w:val="multilevel"/>
    <w:tmpl w:val="D9FE9894"/>
    <w:lvl w:ilvl="0">
      <w:start w:val="1"/>
      <w:numFmt w:val="lowerRoman"/>
      <w:lvlText w:val="%1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77A70C5A"/>
    <w:multiLevelType w:val="multilevel"/>
    <w:tmpl w:val="34C48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7EBF275E"/>
    <w:multiLevelType w:val="multilevel"/>
    <w:tmpl w:val="A6800B9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984"/>
        </w:tabs>
        <w:ind w:left="1984" w:hanging="850"/>
      </w:pPr>
      <w:rPr>
        <w:rFonts w:hint="default"/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  <w:b w:val="0"/>
        <w:i w:val="0"/>
      </w:rPr>
    </w:lvl>
  </w:abstractNum>
  <w:abstractNum w:abstractNumId="16" w15:restartNumberingAfterBreak="0">
    <w:nsid w:val="7F2E57A2"/>
    <w:multiLevelType w:val="multilevel"/>
    <w:tmpl w:val="D1ECFDF4"/>
    <w:lvl w:ilvl="0">
      <w:start w:val="1"/>
      <w:numFmt w:val="decimal"/>
      <w:lvlRestart w:val="0"/>
      <w:suff w:val="nothing"/>
      <w:lvlText w:val=""/>
      <w:lvlJc w:val="left"/>
      <w:pPr>
        <w:ind w:left="0" w:firstLine="0"/>
      </w:pPr>
      <w:rPr>
        <w:rFonts w:ascii="Arial" w:hAnsi="Arial" w:cs="Arial"/>
        <w:b/>
        <w:i w:val="0"/>
        <w:color w:val="000080"/>
        <w:sz w:val="24"/>
      </w:rPr>
    </w:lvl>
    <w:lvl w:ilvl="1">
      <w:start w:val="1"/>
      <w:numFmt w:val="lowerLetter"/>
      <w:lvlText w:val="(%2)"/>
      <w:lvlJc w:val="left"/>
      <w:pPr>
        <w:tabs>
          <w:tab w:val="num" w:pos="992"/>
        </w:tabs>
        <w:ind w:left="992" w:hanging="425"/>
      </w:pPr>
      <w:rPr>
        <w:rFonts w:ascii="Arial" w:hAnsi="Arial" w:cs="Arial"/>
        <w:b/>
        <w:i w:val="0"/>
        <w:color w:val="235292"/>
        <w:sz w:val="22"/>
      </w:rPr>
    </w:lvl>
    <w:lvl w:ilvl="2">
      <w:start w:val="1"/>
      <w:numFmt w:val="decimal"/>
      <w:lvlText w:val="%3"/>
      <w:lvlJc w:val="left"/>
      <w:pPr>
        <w:tabs>
          <w:tab w:val="num" w:pos="1418"/>
        </w:tabs>
        <w:ind w:left="1418" w:hanging="426"/>
      </w:pPr>
      <w:rPr>
        <w:rFonts w:ascii="Times New Roman" w:hAnsi="Times New Roman" w:cs="Times New Roman"/>
        <w:b w:val="0"/>
        <w:i w:val="0"/>
        <w:color w:val="000000"/>
      </w:rPr>
    </w:lvl>
    <w:lvl w:ilvl="3">
      <w:start w:val="1"/>
      <w:numFmt w:val="decimal"/>
      <w:lvlText w:val="%4"/>
      <w:lvlJc w:val="left"/>
      <w:pPr>
        <w:tabs>
          <w:tab w:val="num" w:pos="2268"/>
        </w:tabs>
        <w:ind w:left="2268" w:hanging="567"/>
      </w:pPr>
      <w:rPr>
        <w:rFonts w:ascii="Times New Roman" w:hAnsi="Times New Roman" w:cs="Times New Roman"/>
        <w:b w:val="0"/>
        <w:i w:val="0"/>
        <w:color w:val="000000"/>
      </w:rPr>
    </w:lvl>
    <w:lvl w:ilvl="4">
      <w:start w:val="1"/>
      <w:numFmt w:val="decimal"/>
      <w:lvlText w:val="%5"/>
      <w:lvlJc w:val="left"/>
      <w:pPr>
        <w:tabs>
          <w:tab w:val="num" w:pos="2835"/>
        </w:tabs>
        <w:ind w:left="2835" w:hanging="567"/>
      </w:pPr>
      <w:rPr>
        <w:rFonts w:ascii="Times New Roman" w:hAnsi="Times New Roman" w:cs="Times New Roman"/>
        <w:b w:val="0"/>
        <w:i w:val="0"/>
        <w:color w:val="000000"/>
      </w:rPr>
    </w:lvl>
    <w:lvl w:ilvl="5">
      <w:start w:val="1"/>
      <w:numFmt w:val="decimal"/>
      <w:lvlText w:val="%6"/>
      <w:lvlJc w:val="left"/>
      <w:pPr>
        <w:tabs>
          <w:tab w:val="num" w:pos="3402"/>
        </w:tabs>
        <w:ind w:left="3402" w:hanging="567"/>
      </w:pPr>
      <w:rPr>
        <w:rFonts w:ascii="Times New Roman" w:hAnsi="Times New Roman" w:cs="Times New Roman"/>
        <w:b w:val="0"/>
        <w:i w:val="0"/>
        <w:color w:val="000000"/>
      </w:rPr>
    </w:lvl>
    <w:lvl w:ilvl="6">
      <w:start w:val="1"/>
      <w:numFmt w:val="decimal"/>
      <w:lvlText w:val="%7"/>
      <w:lvlJc w:val="left"/>
      <w:pPr>
        <w:tabs>
          <w:tab w:val="num" w:pos="3969"/>
        </w:tabs>
        <w:ind w:left="3969" w:hanging="567"/>
      </w:pPr>
      <w:rPr>
        <w:rFonts w:ascii="Times New Roman" w:hAnsi="Times New Roman" w:cs="Times New Roman"/>
        <w:b w:val="0"/>
        <w:i w:val="0"/>
        <w:color w:val="000000"/>
      </w:rPr>
    </w:lvl>
    <w:lvl w:ilvl="7">
      <w:start w:val="1"/>
      <w:numFmt w:val="decimal"/>
      <w:lvlText w:val="%8"/>
      <w:lvlJc w:val="left"/>
      <w:pPr>
        <w:tabs>
          <w:tab w:val="num" w:pos="4536"/>
        </w:tabs>
        <w:ind w:left="4536" w:hanging="567"/>
      </w:pPr>
      <w:rPr>
        <w:rFonts w:ascii="Times New Roman" w:hAnsi="Times New Roman" w:cs="Times New Roman"/>
        <w:b w:val="0"/>
        <w:i w:val="0"/>
        <w:color w:val="000000"/>
      </w:rPr>
    </w:lvl>
    <w:lvl w:ilvl="8">
      <w:start w:val="1"/>
      <w:numFmt w:val="decimal"/>
      <w:lvlText w:val="%9"/>
      <w:lvlJc w:val="left"/>
      <w:pPr>
        <w:tabs>
          <w:tab w:val="num" w:pos="5103"/>
        </w:tabs>
        <w:ind w:left="5103" w:hanging="567"/>
      </w:pPr>
      <w:rPr>
        <w:rFonts w:ascii="Times New Roman" w:hAnsi="Times New Roman" w:cs="Times New Roman"/>
        <w:b w:val="0"/>
        <w:i w:val="0"/>
        <w:color w:val="000000"/>
      </w:r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10"/>
  </w:num>
  <w:num w:numId="5">
    <w:abstractNumId w:val="2"/>
  </w:num>
  <w:num w:numId="6">
    <w:abstractNumId w:val="3"/>
  </w:num>
  <w:num w:numId="7">
    <w:abstractNumId w:val="12"/>
  </w:num>
  <w:num w:numId="8">
    <w:abstractNumId w:val="9"/>
    <w:lvlOverride w:ilvl="0">
      <w:lvl w:ilvl="0">
        <w:start w:val="1"/>
        <w:numFmt w:val="lowerLetter"/>
        <w:pStyle w:val="ChartandTableFootnoteAlpha"/>
        <w:lvlText w:val="(%1)"/>
        <w:lvlJc w:val="left"/>
        <w:pPr>
          <w:ind w:left="360" w:hanging="360"/>
        </w:pPr>
        <w:rPr>
          <w:rFonts w:ascii="Calibri" w:hAnsi="Calibri" w:hint="default"/>
          <w:b w:val="0"/>
          <w:i w:val="0"/>
          <w:caps w:val="0"/>
          <w:strike w:val="0"/>
          <w:dstrike w:val="0"/>
          <w:vanish w:val="0"/>
          <w:sz w:val="18"/>
          <w:vertAlign w:val="baseline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08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80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9">
    <w:abstractNumId w:val="4"/>
  </w:num>
  <w:num w:numId="10">
    <w:abstractNumId w:val="1"/>
  </w:num>
  <w:num w:numId="11">
    <w:abstractNumId w:val="6"/>
  </w:num>
  <w:num w:numId="12">
    <w:abstractNumId w:val="15"/>
  </w:num>
  <w:num w:numId="13">
    <w:abstractNumId w:val="16"/>
  </w:num>
  <w:num w:numId="14">
    <w:abstractNumId w:val="11"/>
  </w:num>
  <w:num w:numId="15">
    <w:abstractNumId w:val="5"/>
  </w:num>
  <w:num w:numId="16">
    <w:abstractNumId w:val="13"/>
  </w:num>
  <w:num w:numId="17">
    <w:abstractNumId w:val="9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linkStyl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FCA"/>
    <w:rsid w:val="00045BF1"/>
    <w:rsid w:val="00130C6A"/>
    <w:rsid w:val="001671ED"/>
    <w:rsid w:val="001B7888"/>
    <w:rsid w:val="001D1B9E"/>
    <w:rsid w:val="003351C8"/>
    <w:rsid w:val="0037142F"/>
    <w:rsid w:val="00381074"/>
    <w:rsid w:val="0039311A"/>
    <w:rsid w:val="003A213E"/>
    <w:rsid w:val="003E1353"/>
    <w:rsid w:val="00403BAC"/>
    <w:rsid w:val="004047B6"/>
    <w:rsid w:val="00487AAA"/>
    <w:rsid w:val="004964E8"/>
    <w:rsid w:val="004B7A25"/>
    <w:rsid w:val="004C1D91"/>
    <w:rsid w:val="004C73DC"/>
    <w:rsid w:val="00530B6B"/>
    <w:rsid w:val="005A0F2A"/>
    <w:rsid w:val="005B6ED6"/>
    <w:rsid w:val="00605058"/>
    <w:rsid w:val="00617045"/>
    <w:rsid w:val="00713E70"/>
    <w:rsid w:val="00730AAA"/>
    <w:rsid w:val="007D7E54"/>
    <w:rsid w:val="007F7D7E"/>
    <w:rsid w:val="008051D9"/>
    <w:rsid w:val="008177B0"/>
    <w:rsid w:val="008470AF"/>
    <w:rsid w:val="0088654C"/>
    <w:rsid w:val="008B5725"/>
    <w:rsid w:val="008C224D"/>
    <w:rsid w:val="009547BB"/>
    <w:rsid w:val="00983622"/>
    <w:rsid w:val="009D2E40"/>
    <w:rsid w:val="00A42A33"/>
    <w:rsid w:val="00A72AEB"/>
    <w:rsid w:val="00A824DF"/>
    <w:rsid w:val="00A83CDC"/>
    <w:rsid w:val="00AA5852"/>
    <w:rsid w:val="00AF3495"/>
    <w:rsid w:val="00B02E51"/>
    <w:rsid w:val="00B62DEF"/>
    <w:rsid w:val="00B8341F"/>
    <w:rsid w:val="00BE3FCA"/>
    <w:rsid w:val="00C312D3"/>
    <w:rsid w:val="00C40CE7"/>
    <w:rsid w:val="00C914E4"/>
    <w:rsid w:val="00CB1A19"/>
    <w:rsid w:val="00CE7E35"/>
    <w:rsid w:val="00D11059"/>
    <w:rsid w:val="00D412DB"/>
    <w:rsid w:val="00D71B19"/>
    <w:rsid w:val="00D91E0D"/>
    <w:rsid w:val="00DB29B5"/>
    <w:rsid w:val="00DD0606"/>
    <w:rsid w:val="00E534BC"/>
    <w:rsid w:val="00E95EC7"/>
    <w:rsid w:val="00E96FAE"/>
    <w:rsid w:val="00EC7DF5"/>
    <w:rsid w:val="00ED3495"/>
    <w:rsid w:val="00EE5FA5"/>
    <w:rsid w:val="00F03E19"/>
    <w:rsid w:val="00F175B3"/>
    <w:rsid w:val="00F81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C08DA4"/>
  <w15:chartTrackingRefBased/>
  <w15:docId w15:val="{1302EE55-E57C-445E-8C86-A91AD8E2A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0C6A"/>
    <w:pPr>
      <w:spacing w:before="120" w:after="120" w:line="240" w:lineRule="auto"/>
    </w:pPr>
    <w:rPr>
      <w:rFonts w:ascii="Calibri" w:eastAsia="Times New Roman" w:hAnsi="Calibri" w:cs="Times New Roman"/>
      <w:szCs w:val="20"/>
      <w:lang w:eastAsia="en-AU"/>
    </w:rPr>
  </w:style>
  <w:style w:type="paragraph" w:styleId="Heading1">
    <w:name w:val="heading 1"/>
    <w:basedOn w:val="HeadingBase"/>
    <w:next w:val="Normal"/>
    <w:link w:val="Heading1Char"/>
    <w:qFormat/>
    <w:rsid w:val="00130C6A"/>
    <w:pPr>
      <w:spacing w:before="480"/>
      <w:outlineLvl w:val="0"/>
    </w:pPr>
    <w:rPr>
      <w:bCs w:val="0"/>
    </w:rPr>
  </w:style>
  <w:style w:type="paragraph" w:styleId="Heading2">
    <w:name w:val="heading 2"/>
    <w:basedOn w:val="HeadingBase"/>
    <w:next w:val="Normal"/>
    <w:link w:val="Heading2Char"/>
    <w:qFormat/>
    <w:rsid w:val="00130C6A"/>
    <w:pPr>
      <w:spacing w:before="360"/>
      <w:outlineLvl w:val="1"/>
    </w:pPr>
    <w:rPr>
      <w:bCs w:val="0"/>
      <w:iCs/>
      <w:sz w:val="36"/>
      <w:szCs w:val="28"/>
    </w:rPr>
  </w:style>
  <w:style w:type="paragraph" w:styleId="Heading3">
    <w:name w:val="heading 3"/>
    <w:basedOn w:val="HeadingBase"/>
    <w:next w:val="Normal"/>
    <w:link w:val="Heading3Char"/>
    <w:qFormat/>
    <w:rsid w:val="00130C6A"/>
    <w:pPr>
      <w:spacing w:before="240"/>
      <w:outlineLvl w:val="2"/>
    </w:pPr>
    <w:rPr>
      <w:bCs w:val="0"/>
      <w:color w:val="3A6FAF"/>
      <w:sz w:val="28"/>
      <w:szCs w:val="26"/>
    </w:rPr>
  </w:style>
  <w:style w:type="paragraph" w:styleId="Heading4">
    <w:name w:val="heading 4"/>
    <w:basedOn w:val="HeadingBase"/>
    <w:next w:val="Normal"/>
    <w:link w:val="Heading4Char"/>
    <w:qFormat/>
    <w:rsid w:val="00130C6A"/>
    <w:pPr>
      <w:outlineLvl w:val="3"/>
    </w:pPr>
    <w:rPr>
      <w:bCs w:val="0"/>
      <w:color w:val="336E98"/>
      <w:sz w:val="26"/>
      <w:szCs w:val="26"/>
    </w:rPr>
  </w:style>
  <w:style w:type="paragraph" w:styleId="Heading5">
    <w:name w:val="heading 5"/>
    <w:basedOn w:val="HeadingBase"/>
    <w:next w:val="Normal"/>
    <w:link w:val="Heading5Char"/>
    <w:qFormat/>
    <w:rsid w:val="00130C6A"/>
    <w:pPr>
      <w:outlineLvl w:val="4"/>
    </w:pPr>
    <w:rPr>
      <w:b/>
      <w:bCs w:val="0"/>
      <w:iCs/>
      <w:sz w:val="22"/>
    </w:rPr>
  </w:style>
  <w:style w:type="paragraph" w:styleId="Heading6">
    <w:name w:val="heading 6"/>
    <w:basedOn w:val="HeadingBase"/>
    <w:next w:val="Normal"/>
    <w:link w:val="Heading6Char"/>
    <w:qFormat/>
    <w:rsid w:val="00130C6A"/>
    <w:pPr>
      <w:outlineLvl w:val="5"/>
    </w:pPr>
    <w:rPr>
      <w:bCs w:val="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  <w:rsid w:val="00130C6A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130C6A"/>
  </w:style>
  <w:style w:type="table" w:styleId="TableGrid">
    <w:name w:val="Table Grid"/>
    <w:basedOn w:val="TableNormal"/>
    <w:rsid w:val="00130C6A"/>
    <w:pPr>
      <w:spacing w:after="240" w:line="260" w:lineRule="exact"/>
      <w:jc w:val="both"/>
    </w:pPr>
    <w:rPr>
      <w:rFonts w:ascii="Times New Roman" w:eastAsia="Times New Roman" w:hAnsi="Times New Roman" w:cs="Times New Roman"/>
      <w:sz w:val="20"/>
      <w:szCs w:val="20"/>
      <w:lang w:eastAsia="en-AU"/>
    </w:rPr>
    <w:tblPr/>
    <w:tcPr>
      <w:shd w:val="clear" w:color="auto" w:fill="E6E6E6"/>
    </w:tcPr>
  </w:style>
  <w:style w:type="paragraph" w:customStyle="1" w:styleId="Bullet">
    <w:name w:val="Bullet"/>
    <w:basedOn w:val="Normal"/>
    <w:link w:val="BulletChar"/>
    <w:rsid w:val="00130C6A"/>
    <w:pPr>
      <w:numPr>
        <w:numId w:val="2"/>
      </w:numPr>
      <w:spacing w:before="0"/>
      <w:ind w:left="284" w:hanging="284"/>
    </w:pPr>
  </w:style>
  <w:style w:type="character" w:customStyle="1" w:styleId="BulletChar">
    <w:name w:val="Bullet Char"/>
    <w:basedOn w:val="DefaultParagraphFont"/>
    <w:link w:val="Bullet"/>
    <w:rsid w:val="008177B0"/>
    <w:rPr>
      <w:rFonts w:ascii="Calibri" w:eastAsia="Times New Roman" w:hAnsi="Calibri" w:cs="Times New Roman"/>
      <w:szCs w:val="20"/>
      <w:lang w:eastAsia="en-AU"/>
    </w:rPr>
  </w:style>
  <w:style w:type="paragraph" w:customStyle="1" w:styleId="Dash">
    <w:name w:val="Dash"/>
    <w:basedOn w:val="Normal"/>
    <w:link w:val="DashChar"/>
    <w:rsid w:val="00130C6A"/>
    <w:pPr>
      <w:numPr>
        <w:ilvl w:val="1"/>
        <w:numId w:val="2"/>
      </w:numPr>
      <w:spacing w:before="0"/>
      <w:ind w:left="568"/>
    </w:pPr>
  </w:style>
  <w:style w:type="character" w:customStyle="1" w:styleId="DashChar">
    <w:name w:val="Dash Char"/>
    <w:basedOn w:val="DefaultParagraphFont"/>
    <w:link w:val="Dash"/>
    <w:rsid w:val="008177B0"/>
    <w:rPr>
      <w:rFonts w:ascii="Calibri" w:eastAsia="Times New Roman" w:hAnsi="Calibri" w:cs="Times New Roman"/>
      <w:szCs w:val="20"/>
      <w:lang w:eastAsia="en-AU"/>
    </w:rPr>
  </w:style>
  <w:style w:type="paragraph" w:customStyle="1" w:styleId="DoubleDot">
    <w:name w:val="Double Dot"/>
    <w:basedOn w:val="Normal"/>
    <w:link w:val="DoubleDotChar"/>
    <w:rsid w:val="00130C6A"/>
    <w:pPr>
      <w:numPr>
        <w:ilvl w:val="2"/>
        <w:numId w:val="2"/>
      </w:numPr>
      <w:spacing w:before="0"/>
      <w:ind w:left="851" w:hanging="284"/>
    </w:pPr>
  </w:style>
  <w:style w:type="character" w:customStyle="1" w:styleId="DoubleDotChar">
    <w:name w:val="Double Dot Char"/>
    <w:basedOn w:val="DefaultParagraphFont"/>
    <w:link w:val="DoubleDot"/>
    <w:rsid w:val="008177B0"/>
    <w:rPr>
      <w:rFonts w:ascii="Calibri" w:eastAsia="Times New Roman" w:hAnsi="Calibri" w:cs="Times New Roman"/>
      <w:szCs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0C6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C6A"/>
    <w:rPr>
      <w:rFonts w:ascii="Tahoma" w:eastAsia="Times New Roman" w:hAnsi="Tahoma" w:cs="Tahoma"/>
      <w:sz w:val="16"/>
      <w:szCs w:val="16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E534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534B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34B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34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34BC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rsid w:val="00130C6A"/>
    <w:pPr>
      <w:spacing w:before="0" w:after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30C6A"/>
    <w:rPr>
      <w:rFonts w:ascii="Calibri" w:eastAsia="Times New Roman" w:hAnsi="Calibri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rsid w:val="00130C6A"/>
    <w:rPr>
      <w:rFonts w:ascii="Calibri" w:hAnsi="Calibri"/>
      <w:sz w:val="20"/>
      <w:vertAlign w:val="superscript"/>
    </w:rPr>
  </w:style>
  <w:style w:type="character" w:customStyle="1" w:styleId="Heading1Char">
    <w:name w:val="Heading 1 Char"/>
    <w:basedOn w:val="DefaultParagraphFont"/>
    <w:link w:val="Heading1"/>
    <w:rsid w:val="00130C6A"/>
    <w:rPr>
      <w:rFonts w:ascii="Calibri" w:eastAsia="Times New Roman" w:hAnsi="Calibri" w:cs="Arial"/>
      <w:color w:val="002C4A"/>
      <w:kern w:val="32"/>
      <w:sz w:val="48"/>
      <w:szCs w:val="36"/>
      <w:lang w:eastAsia="en-AU"/>
    </w:rPr>
  </w:style>
  <w:style w:type="character" w:customStyle="1" w:styleId="Heading2Char">
    <w:name w:val="Heading 2 Char"/>
    <w:basedOn w:val="DefaultParagraphFont"/>
    <w:link w:val="Heading2"/>
    <w:rsid w:val="00130C6A"/>
    <w:rPr>
      <w:rFonts w:ascii="Calibri" w:eastAsia="Times New Roman" w:hAnsi="Calibri" w:cs="Arial"/>
      <w:iCs/>
      <w:color w:val="002C4A"/>
      <w:kern w:val="32"/>
      <w:sz w:val="36"/>
      <w:szCs w:val="28"/>
      <w:lang w:eastAsia="en-AU"/>
    </w:rPr>
  </w:style>
  <w:style w:type="character" w:customStyle="1" w:styleId="Heading3Char">
    <w:name w:val="Heading 3 Char"/>
    <w:basedOn w:val="DefaultParagraphFont"/>
    <w:link w:val="Heading3"/>
    <w:rsid w:val="00130C6A"/>
    <w:rPr>
      <w:rFonts w:ascii="Calibri" w:eastAsia="Times New Roman" w:hAnsi="Calibri" w:cs="Arial"/>
      <w:color w:val="3A6FAF"/>
      <w:kern w:val="32"/>
      <w:sz w:val="28"/>
      <w:szCs w:val="26"/>
      <w:lang w:eastAsia="en-AU"/>
    </w:rPr>
  </w:style>
  <w:style w:type="character" w:customStyle="1" w:styleId="Heading4Char">
    <w:name w:val="Heading 4 Char"/>
    <w:basedOn w:val="DefaultParagraphFont"/>
    <w:link w:val="Heading4"/>
    <w:rsid w:val="00130C6A"/>
    <w:rPr>
      <w:rFonts w:ascii="Calibri" w:eastAsia="Times New Roman" w:hAnsi="Calibri" w:cs="Arial"/>
      <w:color w:val="336E98"/>
      <w:kern w:val="32"/>
      <w:sz w:val="26"/>
      <w:szCs w:val="26"/>
      <w:lang w:eastAsia="en-AU"/>
    </w:rPr>
  </w:style>
  <w:style w:type="character" w:customStyle="1" w:styleId="Heading5Char">
    <w:name w:val="Heading 5 Char"/>
    <w:basedOn w:val="DefaultParagraphFont"/>
    <w:link w:val="Heading5"/>
    <w:rsid w:val="00130C6A"/>
    <w:rPr>
      <w:rFonts w:ascii="Calibri" w:eastAsia="Times New Roman" w:hAnsi="Calibri" w:cs="Arial"/>
      <w:b/>
      <w:iCs/>
      <w:color w:val="002C4A"/>
      <w:kern w:val="32"/>
      <w:szCs w:val="36"/>
      <w:lang w:eastAsia="en-AU"/>
    </w:rPr>
  </w:style>
  <w:style w:type="character" w:customStyle="1" w:styleId="Heading6Char">
    <w:name w:val="Heading 6 Char"/>
    <w:basedOn w:val="DefaultParagraphFont"/>
    <w:link w:val="Heading6"/>
    <w:rsid w:val="00130C6A"/>
    <w:rPr>
      <w:rFonts w:ascii="Calibri" w:eastAsia="Times New Roman" w:hAnsi="Calibri" w:cs="Arial"/>
      <w:color w:val="002C4A"/>
      <w:kern w:val="32"/>
      <w:lang w:eastAsia="en-AU"/>
    </w:rPr>
  </w:style>
  <w:style w:type="paragraph" w:customStyle="1" w:styleId="ChartGraphic">
    <w:name w:val="Chart Graphic"/>
    <w:basedOn w:val="Normal"/>
    <w:next w:val="Normal"/>
    <w:rsid w:val="00130C6A"/>
    <w:pPr>
      <w:keepNext/>
      <w:spacing w:before="0" w:after="0"/>
      <w:jc w:val="center"/>
    </w:pPr>
    <w:rPr>
      <w:color w:val="004A7F"/>
      <w:sz w:val="20"/>
    </w:rPr>
  </w:style>
  <w:style w:type="paragraph" w:customStyle="1" w:styleId="AlphaParagraph">
    <w:name w:val="Alpha Paragraph"/>
    <w:basedOn w:val="Normal"/>
    <w:qFormat/>
    <w:rsid w:val="00130C6A"/>
    <w:pPr>
      <w:numPr>
        <w:ilvl w:val="1"/>
        <w:numId w:val="11"/>
      </w:numPr>
      <w:spacing w:before="0"/>
    </w:pPr>
  </w:style>
  <w:style w:type="paragraph" w:customStyle="1" w:styleId="BoxBullet">
    <w:name w:val="Box Bullet"/>
    <w:basedOn w:val="Normal"/>
    <w:rsid w:val="00130C6A"/>
    <w:pPr>
      <w:numPr>
        <w:numId w:val="3"/>
      </w:numPr>
      <w:spacing w:before="0"/>
      <w:ind w:left="284" w:hanging="284"/>
    </w:pPr>
  </w:style>
  <w:style w:type="paragraph" w:customStyle="1" w:styleId="BoxDash">
    <w:name w:val="Box Dash"/>
    <w:basedOn w:val="Normal"/>
    <w:rsid w:val="00130C6A"/>
    <w:pPr>
      <w:numPr>
        <w:ilvl w:val="1"/>
        <w:numId w:val="3"/>
      </w:numPr>
      <w:spacing w:before="0"/>
      <w:ind w:left="568"/>
    </w:pPr>
  </w:style>
  <w:style w:type="paragraph" w:customStyle="1" w:styleId="BoxDoubleDot">
    <w:name w:val="Box Double Dot"/>
    <w:basedOn w:val="Normal"/>
    <w:rsid w:val="00130C6A"/>
    <w:pPr>
      <w:numPr>
        <w:ilvl w:val="2"/>
        <w:numId w:val="3"/>
      </w:numPr>
      <w:spacing w:before="0"/>
      <w:ind w:left="851" w:hanging="284"/>
    </w:pPr>
  </w:style>
  <w:style w:type="paragraph" w:customStyle="1" w:styleId="BoxHeading">
    <w:name w:val="Box Heading"/>
    <w:basedOn w:val="Normal"/>
    <w:next w:val="Normal"/>
    <w:rsid w:val="00130C6A"/>
    <w:pPr>
      <w:keepNext/>
      <w:spacing w:before="240"/>
    </w:pPr>
    <w:rPr>
      <w:b/>
      <w:color w:val="004A7F"/>
      <w:sz w:val="26"/>
      <w:szCs w:val="26"/>
    </w:rPr>
  </w:style>
  <w:style w:type="paragraph" w:customStyle="1" w:styleId="BoxText">
    <w:name w:val="Box Text"/>
    <w:basedOn w:val="Normal"/>
    <w:rsid w:val="00130C6A"/>
  </w:style>
  <w:style w:type="paragraph" w:customStyle="1" w:styleId="ChartandTableFootnoteAlpha">
    <w:name w:val="Chart and Table Footnote Alpha"/>
    <w:rsid w:val="00130C6A"/>
    <w:pPr>
      <w:numPr>
        <w:numId w:val="17"/>
      </w:numPr>
      <w:spacing w:after="0" w:line="240" w:lineRule="auto"/>
      <w:jc w:val="both"/>
    </w:pPr>
    <w:rPr>
      <w:rFonts w:ascii="Calibri" w:eastAsia="Times New Roman" w:hAnsi="Calibri" w:cs="Times New Roman"/>
      <w:color w:val="000000"/>
      <w:sz w:val="18"/>
      <w:szCs w:val="16"/>
      <w:lang w:eastAsia="en-AU"/>
    </w:rPr>
  </w:style>
  <w:style w:type="paragraph" w:customStyle="1" w:styleId="ChartMainHeading">
    <w:name w:val="Chart Main Heading"/>
    <w:basedOn w:val="TableMainHeading"/>
    <w:next w:val="ChartGraphic"/>
    <w:rsid w:val="00130C6A"/>
    <w:pPr>
      <w:jc w:val="center"/>
    </w:pPr>
  </w:style>
  <w:style w:type="paragraph" w:customStyle="1" w:styleId="ChartorTableNote">
    <w:name w:val="Chart or Table Note"/>
    <w:next w:val="Normal"/>
    <w:rsid w:val="00130C6A"/>
    <w:pPr>
      <w:spacing w:after="0" w:line="240" w:lineRule="auto"/>
      <w:jc w:val="both"/>
    </w:pPr>
    <w:rPr>
      <w:rFonts w:ascii="Calibri" w:eastAsia="Times New Roman" w:hAnsi="Calibri" w:cs="Times New Roman"/>
      <w:color w:val="000000"/>
      <w:sz w:val="18"/>
      <w:szCs w:val="20"/>
      <w:lang w:eastAsia="en-AU"/>
    </w:rPr>
  </w:style>
  <w:style w:type="paragraph" w:customStyle="1" w:styleId="ChartSecondHeading">
    <w:name w:val="Chart Second Heading"/>
    <w:basedOn w:val="TableSecondHeading"/>
    <w:next w:val="ChartGraphic"/>
    <w:rsid w:val="00130C6A"/>
    <w:pPr>
      <w:jc w:val="center"/>
    </w:pPr>
  </w:style>
  <w:style w:type="paragraph" w:customStyle="1" w:styleId="ReportDate">
    <w:name w:val="Report Date"/>
    <w:basedOn w:val="Normal"/>
    <w:link w:val="ReportDateChar"/>
    <w:rsid w:val="00130C6A"/>
    <w:pPr>
      <w:keepNext/>
      <w:spacing w:before="0" w:after="360"/>
    </w:pPr>
    <w:rPr>
      <w:color w:val="00827F"/>
      <w:sz w:val="44"/>
    </w:rPr>
  </w:style>
  <w:style w:type="paragraph" w:customStyle="1" w:styleId="TableMainHeading">
    <w:name w:val="Table Main Heading"/>
    <w:basedOn w:val="Heading3"/>
    <w:next w:val="Normal"/>
    <w:rsid w:val="00130C6A"/>
    <w:pPr>
      <w:spacing w:before="120" w:after="0"/>
    </w:pPr>
    <w:rPr>
      <w:b/>
    </w:rPr>
  </w:style>
  <w:style w:type="paragraph" w:customStyle="1" w:styleId="FooterEven">
    <w:name w:val="Footer Even"/>
    <w:basedOn w:val="Footer"/>
    <w:rsid w:val="00130C6A"/>
    <w:pPr>
      <w:keepNext/>
      <w:tabs>
        <w:tab w:val="clear" w:pos="4513"/>
        <w:tab w:val="clear" w:pos="9026"/>
      </w:tabs>
      <w:jc w:val="left"/>
    </w:pPr>
    <w:rPr>
      <w:noProof/>
    </w:rPr>
  </w:style>
  <w:style w:type="paragraph" w:customStyle="1" w:styleId="FooterOdd">
    <w:name w:val="Footer Odd"/>
    <w:basedOn w:val="Footer"/>
    <w:rsid w:val="00130C6A"/>
    <w:pPr>
      <w:keepNext/>
      <w:tabs>
        <w:tab w:val="clear" w:pos="4513"/>
        <w:tab w:val="clear" w:pos="9026"/>
      </w:tabs>
      <w:jc w:val="right"/>
    </w:pPr>
  </w:style>
  <w:style w:type="character" w:styleId="Hyperlink">
    <w:name w:val="Hyperlink"/>
    <w:basedOn w:val="DefaultParagraphFont"/>
    <w:uiPriority w:val="99"/>
    <w:rsid w:val="00130C6A"/>
    <w:rPr>
      <w:color w:val="3A6FAF"/>
      <w:u w:val="none"/>
    </w:rPr>
  </w:style>
  <w:style w:type="paragraph" w:customStyle="1" w:styleId="OutlineNumbered1">
    <w:name w:val="Outline Numbered 1"/>
    <w:basedOn w:val="Normal"/>
    <w:rsid w:val="00130C6A"/>
    <w:pPr>
      <w:numPr>
        <w:numId w:val="7"/>
      </w:numPr>
      <w:spacing w:before="0"/>
    </w:pPr>
  </w:style>
  <w:style w:type="paragraph" w:customStyle="1" w:styleId="OneLevelNumberedParagraph">
    <w:name w:val="One Level Numbered Paragraph"/>
    <w:basedOn w:val="Normal"/>
    <w:rsid w:val="00130C6A"/>
    <w:pPr>
      <w:numPr>
        <w:numId w:val="6"/>
      </w:numPr>
      <w:spacing w:before="0"/>
    </w:pPr>
  </w:style>
  <w:style w:type="paragraph" w:customStyle="1" w:styleId="OutlineNumbered2">
    <w:name w:val="Outline Numbered 2"/>
    <w:basedOn w:val="Normal"/>
    <w:rsid w:val="00130C6A"/>
    <w:pPr>
      <w:numPr>
        <w:ilvl w:val="1"/>
        <w:numId w:val="7"/>
      </w:numPr>
      <w:spacing w:before="0"/>
    </w:pPr>
  </w:style>
  <w:style w:type="paragraph" w:customStyle="1" w:styleId="OutlineNumbered3">
    <w:name w:val="Outline Numbered 3"/>
    <w:basedOn w:val="Normal"/>
    <w:rsid w:val="00130C6A"/>
    <w:pPr>
      <w:numPr>
        <w:ilvl w:val="2"/>
        <w:numId w:val="7"/>
      </w:numPr>
      <w:spacing w:before="0"/>
    </w:pPr>
  </w:style>
  <w:style w:type="paragraph" w:customStyle="1" w:styleId="Romannumeral">
    <w:name w:val="Roman numeral"/>
    <w:basedOn w:val="Normal"/>
    <w:rsid w:val="00130C6A"/>
    <w:pPr>
      <w:numPr>
        <w:numId w:val="11"/>
      </w:numPr>
      <w:tabs>
        <w:tab w:val="clear" w:pos="720"/>
        <w:tab w:val="num" w:pos="851"/>
      </w:tabs>
      <w:spacing w:before="0"/>
      <w:ind w:left="851" w:hanging="851"/>
    </w:pPr>
  </w:style>
  <w:style w:type="paragraph" w:customStyle="1" w:styleId="SingleParagraph">
    <w:name w:val="Single Paragraph"/>
    <w:basedOn w:val="Normal"/>
    <w:link w:val="SingleParagraphChar"/>
    <w:rsid w:val="00130C6A"/>
    <w:pPr>
      <w:spacing w:before="0" w:after="0"/>
    </w:pPr>
  </w:style>
  <w:style w:type="paragraph" w:customStyle="1" w:styleId="TableSecondHeading">
    <w:name w:val="Table Second Heading"/>
    <w:basedOn w:val="Normal"/>
    <w:next w:val="Normal"/>
    <w:rsid w:val="00130C6A"/>
    <w:pPr>
      <w:keepNext/>
      <w:spacing w:before="0" w:after="20"/>
    </w:pPr>
    <w:rPr>
      <w:b/>
      <w:color w:val="004A7F"/>
    </w:rPr>
  </w:style>
  <w:style w:type="paragraph" w:customStyle="1" w:styleId="TableColumnHeadingCentred">
    <w:name w:val="Table Column Heading Centred"/>
    <w:basedOn w:val="TableTextLeft"/>
    <w:rsid w:val="00130C6A"/>
    <w:pPr>
      <w:jc w:val="center"/>
    </w:pPr>
    <w:rPr>
      <w:b/>
      <w:color w:val="004A7F"/>
      <w:sz w:val="20"/>
    </w:rPr>
  </w:style>
  <w:style w:type="paragraph" w:customStyle="1" w:styleId="TableColumnHeadingLeft">
    <w:name w:val="Table Column Heading Left"/>
    <w:basedOn w:val="TableTextLeft"/>
    <w:rsid w:val="00130C6A"/>
    <w:rPr>
      <w:b/>
      <w:color w:val="004A7F"/>
      <w:sz w:val="20"/>
    </w:rPr>
  </w:style>
  <w:style w:type="paragraph" w:customStyle="1" w:styleId="TableColumnHeadingRight">
    <w:name w:val="Table Column Heading Right"/>
    <w:basedOn w:val="TableTextLeft"/>
    <w:rsid w:val="00130C6A"/>
    <w:pPr>
      <w:jc w:val="right"/>
    </w:pPr>
    <w:rPr>
      <w:b/>
      <w:color w:val="004A7F"/>
      <w:sz w:val="20"/>
    </w:rPr>
  </w:style>
  <w:style w:type="paragraph" w:customStyle="1" w:styleId="TableTextCentered">
    <w:name w:val="Table Text Centered"/>
    <w:basedOn w:val="TableTextRight"/>
    <w:rsid w:val="00130C6A"/>
    <w:pPr>
      <w:jc w:val="center"/>
    </w:pPr>
  </w:style>
  <w:style w:type="paragraph" w:customStyle="1" w:styleId="TableTextLeft">
    <w:name w:val="Table Text Left"/>
    <w:basedOn w:val="TableTextRight"/>
    <w:rsid w:val="00130C6A"/>
    <w:pPr>
      <w:jc w:val="left"/>
    </w:pPr>
  </w:style>
  <w:style w:type="paragraph" w:customStyle="1" w:styleId="TableTextRight">
    <w:name w:val="Table Text Right"/>
    <w:basedOn w:val="Normal"/>
    <w:rsid w:val="00130C6A"/>
    <w:pPr>
      <w:spacing w:before="40" w:after="40"/>
      <w:jc w:val="right"/>
    </w:pPr>
    <w:rPr>
      <w:color w:val="000000"/>
      <w:sz w:val="18"/>
    </w:rPr>
  </w:style>
  <w:style w:type="paragraph" w:styleId="TOC1">
    <w:name w:val="toc 1"/>
    <w:basedOn w:val="Normal"/>
    <w:next w:val="Normal"/>
    <w:uiPriority w:val="39"/>
    <w:qFormat/>
    <w:rsid w:val="00130C6A"/>
    <w:pPr>
      <w:keepNext/>
      <w:tabs>
        <w:tab w:val="right" w:leader="dot" w:pos="9072"/>
      </w:tabs>
      <w:spacing w:before="180" w:after="0"/>
      <w:ind w:right="-2"/>
    </w:pPr>
    <w:rPr>
      <w:b/>
      <w:noProof/>
      <w:color w:val="002C4A"/>
      <w:szCs w:val="22"/>
    </w:rPr>
  </w:style>
  <w:style w:type="paragraph" w:styleId="TOC2">
    <w:name w:val="toc 2"/>
    <w:basedOn w:val="Normal"/>
    <w:next w:val="Normal"/>
    <w:uiPriority w:val="39"/>
    <w:qFormat/>
    <w:rsid w:val="00130C6A"/>
    <w:pPr>
      <w:keepNext/>
      <w:tabs>
        <w:tab w:val="right" w:leader="dot" w:pos="9072"/>
      </w:tabs>
      <w:spacing w:before="40" w:after="20"/>
      <w:ind w:right="-2"/>
    </w:pPr>
    <w:rPr>
      <w:noProof/>
      <w:color w:val="004A7F"/>
    </w:rPr>
  </w:style>
  <w:style w:type="paragraph" w:styleId="TOC3">
    <w:name w:val="toc 3"/>
    <w:basedOn w:val="Normal"/>
    <w:next w:val="Normal"/>
    <w:uiPriority w:val="39"/>
    <w:qFormat/>
    <w:rsid w:val="00130C6A"/>
    <w:pPr>
      <w:tabs>
        <w:tab w:val="right" w:leader="dot" w:pos="9072"/>
      </w:tabs>
      <w:spacing w:before="20" w:after="0"/>
      <w:ind w:left="284" w:right="-2"/>
    </w:pPr>
    <w:rPr>
      <w:rFonts w:cs="Calibri"/>
      <w:noProof/>
    </w:rPr>
  </w:style>
  <w:style w:type="numbering" w:customStyle="1" w:styleId="OutlineList">
    <w:name w:val="OutlineList"/>
    <w:uiPriority w:val="99"/>
    <w:rsid w:val="00130C6A"/>
    <w:pPr>
      <w:numPr>
        <w:numId w:val="5"/>
      </w:numPr>
    </w:pPr>
  </w:style>
  <w:style w:type="numbering" w:customStyle="1" w:styleId="BulletedList">
    <w:name w:val="Bulleted List"/>
    <w:uiPriority w:val="99"/>
    <w:rsid w:val="00130C6A"/>
    <w:pPr>
      <w:numPr>
        <w:numId w:val="2"/>
      </w:numPr>
    </w:pPr>
  </w:style>
  <w:style w:type="numbering" w:customStyle="1" w:styleId="BoxBulletedList">
    <w:name w:val="Box Bulleted List"/>
    <w:uiPriority w:val="99"/>
    <w:rsid w:val="00130C6A"/>
    <w:pPr>
      <w:numPr>
        <w:numId w:val="3"/>
      </w:numPr>
    </w:pPr>
  </w:style>
  <w:style w:type="numbering" w:customStyle="1" w:styleId="OneLevelList">
    <w:name w:val="OneLevelList"/>
    <w:uiPriority w:val="99"/>
    <w:rsid w:val="00130C6A"/>
    <w:pPr>
      <w:numPr>
        <w:numId w:val="4"/>
      </w:numPr>
    </w:pPr>
  </w:style>
  <w:style w:type="numbering" w:customStyle="1" w:styleId="ChartandTableFootnoteAlphaList">
    <w:name w:val="ChartandTableFootnoteAlphaList"/>
    <w:uiPriority w:val="99"/>
    <w:rsid w:val="00130C6A"/>
    <w:pPr>
      <w:numPr>
        <w:numId w:val="17"/>
      </w:numPr>
    </w:pPr>
  </w:style>
  <w:style w:type="paragraph" w:customStyle="1" w:styleId="Crest">
    <w:name w:val="Crest"/>
    <w:basedOn w:val="Header"/>
    <w:rsid w:val="00130C6A"/>
    <w:pPr>
      <w:spacing w:after="480"/>
      <w:jc w:val="center"/>
    </w:pPr>
    <w:rPr>
      <w:color w:val="000000" w:themeColor="text1"/>
    </w:rPr>
  </w:style>
  <w:style w:type="paragraph" w:customStyle="1" w:styleId="Heading1Numbered">
    <w:name w:val="Heading 1 Numbered"/>
    <w:basedOn w:val="Heading1"/>
    <w:next w:val="Normal"/>
    <w:rsid w:val="00130C6A"/>
    <w:pPr>
      <w:numPr>
        <w:numId w:val="9"/>
      </w:numPr>
    </w:pPr>
  </w:style>
  <w:style w:type="character" w:customStyle="1" w:styleId="SingleParagraphChar">
    <w:name w:val="Single Paragraph Char"/>
    <w:basedOn w:val="DefaultParagraphFont"/>
    <w:link w:val="SingleParagraph"/>
    <w:rsid w:val="00130C6A"/>
    <w:rPr>
      <w:rFonts w:ascii="Calibri" w:eastAsia="Times New Roman" w:hAnsi="Calibri" w:cs="Times New Roman"/>
      <w:szCs w:val="20"/>
      <w:lang w:eastAsia="en-AU"/>
    </w:rPr>
  </w:style>
  <w:style w:type="paragraph" w:customStyle="1" w:styleId="Heading2Numbered">
    <w:name w:val="Heading 2 Numbered"/>
    <w:basedOn w:val="Heading2"/>
    <w:next w:val="Normal"/>
    <w:rsid w:val="00130C6A"/>
    <w:pPr>
      <w:numPr>
        <w:ilvl w:val="1"/>
        <w:numId w:val="9"/>
      </w:numPr>
      <w:ind w:left="284" w:hanging="284"/>
    </w:pPr>
  </w:style>
  <w:style w:type="paragraph" w:customStyle="1" w:styleId="Heading3Numbered">
    <w:name w:val="Heading 3 Numbered"/>
    <w:basedOn w:val="Heading3"/>
    <w:qFormat/>
    <w:rsid w:val="00130C6A"/>
    <w:pPr>
      <w:numPr>
        <w:ilvl w:val="2"/>
        <w:numId w:val="9"/>
      </w:numPr>
      <w:ind w:left="284" w:hanging="284"/>
    </w:pPr>
  </w:style>
  <w:style w:type="paragraph" w:styleId="Title">
    <w:name w:val="Title"/>
    <w:basedOn w:val="Normal"/>
    <w:next w:val="Normal"/>
    <w:link w:val="TitleChar"/>
    <w:uiPriority w:val="10"/>
    <w:qFormat/>
    <w:rsid w:val="00130C6A"/>
    <w:pPr>
      <w:spacing w:before="0" w:after="300"/>
      <w:contextualSpacing/>
    </w:pPr>
    <w:rPr>
      <w:rFonts w:eastAsiaTheme="majorEastAsia" w:cstheme="majorBidi"/>
      <w:b/>
      <w:color w:val="002C4A"/>
      <w:spacing w:val="5"/>
      <w:kern w:val="28"/>
      <w:sz w:val="7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30C6A"/>
    <w:rPr>
      <w:rFonts w:ascii="Calibri" w:eastAsiaTheme="majorEastAsia" w:hAnsi="Calibri" w:cstheme="majorBidi"/>
      <w:b/>
      <w:color w:val="002C4A"/>
      <w:spacing w:val="5"/>
      <w:kern w:val="28"/>
      <w:sz w:val="72"/>
      <w:szCs w:val="52"/>
      <w:lang w:eastAsia="en-AU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0C6A"/>
    <w:pPr>
      <w:numPr>
        <w:ilvl w:val="1"/>
      </w:numPr>
    </w:pPr>
    <w:rPr>
      <w:rFonts w:eastAsiaTheme="majorEastAsia" w:cstheme="majorBidi"/>
      <w:iCs/>
      <w:color w:val="002C4A"/>
      <w:sz w:val="44"/>
      <w:szCs w:val="44"/>
    </w:rPr>
  </w:style>
  <w:style w:type="character" w:customStyle="1" w:styleId="SubtitleChar">
    <w:name w:val="Subtitle Char"/>
    <w:basedOn w:val="DefaultParagraphFont"/>
    <w:link w:val="Subtitle"/>
    <w:uiPriority w:val="11"/>
    <w:rsid w:val="00130C6A"/>
    <w:rPr>
      <w:rFonts w:ascii="Calibri" w:eastAsiaTheme="majorEastAsia" w:hAnsi="Calibri" w:cstheme="majorBidi"/>
      <w:iCs/>
      <w:color w:val="002C4A"/>
      <w:sz w:val="44"/>
      <w:szCs w:val="44"/>
      <w:lang w:eastAsia="en-AU"/>
    </w:rPr>
  </w:style>
  <w:style w:type="character" w:styleId="SubtleEmphasis">
    <w:name w:val="Subtle Emphasis"/>
    <w:basedOn w:val="DefaultParagraphFont"/>
    <w:uiPriority w:val="19"/>
    <w:qFormat/>
    <w:rsid w:val="00130C6A"/>
    <w:rPr>
      <w:i/>
      <w:iCs/>
      <w:color w:val="808080" w:themeColor="text1" w:themeTint="7F"/>
    </w:rPr>
  </w:style>
  <w:style w:type="paragraph" w:styleId="Footer">
    <w:name w:val="footer"/>
    <w:basedOn w:val="Normal"/>
    <w:link w:val="FooterChar"/>
    <w:unhideWhenUsed/>
    <w:rsid w:val="00130C6A"/>
    <w:pPr>
      <w:tabs>
        <w:tab w:val="center" w:pos="4513"/>
        <w:tab w:val="right" w:pos="9026"/>
      </w:tabs>
      <w:spacing w:before="0" w:after="0"/>
      <w:jc w:val="center"/>
    </w:pPr>
    <w:rPr>
      <w:color w:val="002C47"/>
      <w:sz w:val="20"/>
    </w:rPr>
  </w:style>
  <w:style w:type="character" w:customStyle="1" w:styleId="FooterChar">
    <w:name w:val="Footer Char"/>
    <w:basedOn w:val="DefaultParagraphFont"/>
    <w:link w:val="Footer"/>
    <w:rsid w:val="00130C6A"/>
    <w:rPr>
      <w:rFonts w:ascii="Calibri" w:eastAsia="Times New Roman" w:hAnsi="Calibri" w:cs="Times New Roman"/>
      <w:color w:val="002C47"/>
      <w:sz w:val="20"/>
      <w:szCs w:val="20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130C6A"/>
    <w:pPr>
      <w:keepNext/>
      <w:spacing w:before="0" w:after="0"/>
      <w:jc w:val="right"/>
    </w:pPr>
    <w:rPr>
      <w:color w:val="004A7F"/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130C6A"/>
    <w:rPr>
      <w:rFonts w:ascii="Calibri" w:eastAsia="Times New Roman" w:hAnsi="Calibri" w:cs="Times New Roman"/>
      <w:color w:val="004A7F"/>
      <w:sz w:val="20"/>
      <w:szCs w:val="20"/>
      <w:lang w:eastAsia="en-AU"/>
    </w:rPr>
  </w:style>
  <w:style w:type="character" w:styleId="PlaceholderText">
    <w:name w:val="Placeholder Text"/>
    <w:basedOn w:val="DefaultParagraphFont"/>
    <w:uiPriority w:val="99"/>
    <w:semiHidden/>
    <w:rsid w:val="00130C6A"/>
    <w:rPr>
      <w:color w:val="808080"/>
    </w:rPr>
  </w:style>
  <w:style w:type="paragraph" w:customStyle="1" w:styleId="AppendixHeading">
    <w:name w:val="Appendix Heading"/>
    <w:basedOn w:val="Normal"/>
    <w:next w:val="Normal"/>
    <w:rsid w:val="00130C6A"/>
    <w:pPr>
      <w:keepNext/>
      <w:spacing w:before="720" w:after="360"/>
    </w:pPr>
    <w:rPr>
      <w:rFonts w:ascii="Arial Bold" w:hAnsi="Arial Bold"/>
      <w:b/>
      <w:smallCaps/>
      <w:color w:val="004A7F"/>
      <w:sz w:val="36"/>
      <w:szCs w:val="36"/>
    </w:rPr>
  </w:style>
  <w:style w:type="paragraph" w:customStyle="1" w:styleId="HeadingBase">
    <w:name w:val="Heading Base"/>
    <w:qFormat/>
    <w:rsid w:val="00130C6A"/>
    <w:pPr>
      <w:keepNext/>
      <w:spacing w:after="120" w:line="240" w:lineRule="auto"/>
    </w:pPr>
    <w:rPr>
      <w:rFonts w:ascii="Calibri" w:eastAsia="Times New Roman" w:hAnsi="Calibri" w:cs="Arial"/>
      <w:bCs/>
      <w:color w:val="002C4A"/>
      <w:kern w:val="32"/>
      <w:sz w:val="48"/>
      <w:szCs w:val="36"/>
      <w:lang w:eastAsia="en-AU"/>
    </w:rPr>
  </w:style>
  <w:style w:type="character" w:customStyle="1" w:styleId="ReportDateChar">
    <w:name w:val="Report Date Char"/>
    <w:basedOn w:val="DefaultParagraphFont"/>
    <w:link w:val="ReportDate"/>
    <w:rsid w:val="00130C6A"/>
    <w:rPr>
      <w:rFonts w:ascii="Calibri" w:eastAsia="Times New Roman" w:hAnsi="Calibri" w:cs="Times New Roman"/>
      <w:color w:val="00827F"/>
      <w:sz w:val="44"/>
      <w:szCs w:val="20"/>
      <w:lang w:eastAsia="en-AU"/>
    </w:rPr>
  </w:style>
  <w:style w:type="paragraph" w:customStyle="1" w:styleId="Disclaimer">
    <w:name w:val="Disclaimer"/>
    <w:basedOn w:val="ReportDate"/>
    <w:rsid w:val="00130C6A"/>
    <w:pPr>
      <w:spacing w:after="1800"/>
      <w:ind w:right="142"/>
    </w:pPr>
    <w:rPr>
      <w:rFonts w:ascii="Century Gothic" w:hAnsi="Century Gothic"/>
      <w:b/>
      <w:bCs/>
      <w:color w:val="F06252" w:themeColor="text2"/>
      <w:sz w:val="22"/>
    </w:rPr>
  </w:style>
  <w:style w:type="paragraph" w:customStyle="1" w:styleId="NotesHeading">
    <w:name w:val="Notes Heading"/>
    <w:basedOn w:val="Normal"/>
    <w:rsid w:val="00130C6A"/>
    <w:pPr>
      <w:keepNext/>
      <w:spacing w:before="240" w:after="360"/>
      <w:jc w:val="center"/>
    </w:pPr>
    <w:rPr>
      <w:rFonts w:ascii="Century Gothic" w:hAnsi="Century Gothic"/>
      <w:smallCaps/>
      <w:color w:val="F06252" w:themeColor="text2"/>
      <w:sz w:val="36"/>
      <w:szCs w:val="36"/>
    </w:rPr>
  </w:style>
  <w:style w:type="paragraph" w:customStyle="1" w:styleId="Divider">
    <w:name w:val="Divider"/>
    <w:basedOn w:val="ReportDate"/>
    <w:qFormat/>
    <w:rsid w:val="00130C6A"/>
    <w:pPr>
      <w:spacing w:after="1800"/>
    </w:pPr>
    <w:rPr>
      <w:rFonts w:ascii="Rockwell" w:hAnsi="Rockwell"/>
      <w:sz w:val="24"/>
    </w:rPr>
  </w:style>
  <w:style w:type="character" w:customStyle="1" w:styleId="FramedFooter">
    <w:name w:val="Framed Footer"/>
    <w:rsid w:val="00130C6A"/>
    <w:rPr>
      <w:rFonts w:ascii="Arial" w:hAnsi="Arial"/>
      <w:color w:val="002C47"/>
      <w:sz w:val="18"/>
    </w:rPr>
  </w:style>
  <w:style w:type="character" w:customStyle="1" w:styleId="FramedHeader">
    <w:name w:val="Framed Header"/>
    <w:basedOn w:val="DefaultParagraphFont"/>
    <w:rsid w:val="00130C6A"/>
    <w:rPr>
      <w:rFonts w:ascii="Arial" w:hAnsi="Arial"/>
      <w:dstrike w:val="0"/>
      <w:color w:val="auto"/>
      <w:sz w:val="18"/>
      <w:vertAlign w:val="baseline"/>
    </w:rPr>
  </w:style>
  <w:style w:type="paragraph" w:customStyle="1" w:styleId="TableTextIndented">
    <w:name w:val="Table Text Indented"/>
    <w:basedOn w:val="TableTextLeft"/>
    <w:qFormat/>
    <w:rsid w:val="00130C6A"/>
    <w:pPr>
      <w:ind w:left="284"/>
    </w:pPr>
  </w:style>
  <w:style w:type="paragraph" w:customStyle="1" w:styleId="TableHeadingContinued">
    <w:name w:val="Table Heading Continued"/>
    <w:basedOn w:val="TableMainHeading"/>
    <w:next w:val="TableGraphic"/>
    <w:qFormat/>
    <w:rsid w:val="00130C6A"/>
  </w:style>
  <w:style w:type="paragraph" w:customStyle="1" w:styleId="TableGraphic">
    <w:name w:val="Table Graphic"/>
    <w:basedOn w:val="HeadingBase"/>
    <w:next w:val="Normal"/>
    <w:qFormat/>
    <w:rsid w:val="00130C6A"/>
    <w:pPr>
      <w:spacing w:after="0"/>
    </w:pPr>
  </w:style>
  <w:style w:type="paragraph" w:customStyle="1" w:styleId="HeaderEven">
    <w:name w:val="Header Even"/>
    <w:basedOn w:val="Header"/>
    <w:qFormat/>
    <w:rsid w:val="00130C6A"/>
    <w:pPr>
      <w:jc w:val="left"/>
    </w:pPr>
    <w:rPr>
      <w:color w:val="002C47"/>
    </w:rPr>
  </w:style>
  <w:style w:type="paragraph" w:customStyle="1" w:styleId="HeaderOdd">
    <w:name w:val="Header Odd"/>
    <w:basedOn w:val="Header"/>
    <w:qFormat/>
    <w:rsid w:val="00130C6A"/>
    <w:rPr>
      <w:color w:val="002C4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19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21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11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14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24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884056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504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227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1409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Treasury\Workgroup%20Templates\Publications\Basic%20A4%20Report.dotm" TargetMode="External"/></Relationships>
</file>

<file path=word/theme/theme1.xml><?xml version="1.0" encoding="utf-8"?>
<a:theme xmlns:a="http://schemas.openxmlformats.org/drawingml/2006/main" name="Office Theme">
  <a:themeElements>
    <a:clrScheme name="Corporate">
      <a:dk1>
        <a:sysClr val="windowText" lastClr="000000"/>
      </a:dk1>
      <a:lt1>
        <a:sysClr val="window" lastClr="FFFFFF"/>
      </a:lt1>
      <a:dk2>
        <a:srgbClr val="F06252"/>
      </a:dk2>
      <a:lt2>
        <a:srgbClr val="E2E0CB"/>
      </a:lt2>
      <a:accent1>
        <a:srgbClr val="002C47"/>
      </a:accent1>
      <a:accent2>
        <a:srgbClr val="3A6FAF"/>
      </a:accent2>
      <a:accent3>
        <a:srgbClr val="00827F"/>
      </a:accent3>
      <a:accent4>
        <a:srgbClr val="F7901E"/>
      </a:accent4>
      <a:accent5>
        <a:srgbClr val="00ABBD"/>
      </a:accent5>
      <a:accent6>
        <a:srgbClr val="844D9E"/>
      </a:accent6>
      <a:hlink>
        <a:srgbClr val="3A6FAF"/>
      </a:hlink>
      <a:folHlink>
        <a:srgbClr val="E61E26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f563589-9cf9-4143-b1eb-fb0534803d38">
      <Value>186</Value>
    </TaxCatchAll>
    <_dlc_DocId xmlns="0f563589-9cf9-4143-b1eb-fb0534803d38">2019CSSG-835809292-642</_dlc_DocId>
    <_dlc_DocIdUrl xmlns="0f563589-9cf9-4143-b1eb-fb0534803d38">
      <Url>http://tweb/sites/cssg/ped/pu/pt/_layouts/15/DocIdRedir.aspx?ID=2019CSSG-835809292-642</Url>
      <Description>2019CSSG-835809292-642</Description>
    </_dlc_DocIdUrl>
    <lb508a4dc5e84436a0fe496b536466aa xmlns="eb47d8b7-fefc-4923-b53c-9685ba6b7210">
      <Terms xmlns="http://schemas.microsoft.com/office/infopath/2007/PartnerControls">
        <TermInfo xmlns="http://schemas.microsoft.com/office/infopath/2007/PartnerControls">
          <TermName xmlns="http://schemas.microsoft.com/office/infopath/2007/PartnerControls">TSY RA-9081 - Retain as national archives</TermName>
          <TermId xmlns="http://schemas.microsoft.com/office/infopath/2007/PartnerControls">bbf0bcde-1687-4ff2-bc57-f31b5d545d4b</TermId>
        </TermInfo>
      </Terms>
    </lb508a4dc5e84436a0fe496b536466aa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Policy Auditing</Name>
    <Synchronization>Synchronous</Synchronization>
    <Type>10001</Type>
    <SequenceNumber>1100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/>
    <Synchronization>Asynchronous</Synchronization>
    <Type>10003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10009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10103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102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10002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reasury Document" ma:contentTypeID="0x010100605AAC981168BE40A9BD548B81A50DF6006FAAEFECF4B76B4B9E1AE4C08850A518" ma:contentTypeVersion="22429" ma:contentTypeDescription="" ma:contentTypeScope="" ma:versionID="58c4a269325a7a4ad8a43a854f2a0233">
  <xsd:schema xmlns:xsd="http://www.w3.org/2001/XMLSchema" xmlns:xs="http://www.w3.org/2001/XMLSchema" xmlns:p="http://schemas.microsoft.com/office/2006/metadata/properties" xmlns:ns2="0f563589-9cf9-4143-b1eb-fb0534803d38" xmlns:ns3="eb47d8b7-fefc-4923-b53c-9685ba6b7210" targetNamespace="http://schemas.microsoft.com/office/2006/metadata/properties" ma:root="true" ma:fieldsID="894ff6b0f651bd4a0153d85b65cb7b64" ns2:_="" ns3:_="">
    <xsd:import namespace="0f563589-9cf9-4143-b1eb-fb0534803d38"/>
    <xsd:import namespace="eb47d8b7-fefc-4923-b53c-9685ba6b721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lb508a4dc5e84436a0fe496b536466aa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63589-9cf9-4143-b1eb-fb0534803d3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2" nillable="true" ma:displayName="Taxonomy Catch All Column" ma:hidden="true" ma:list="{ab587f53-e282-4719-ab13-46559658bd12}" ma:internalName="TaxCatchAll" ma:showField="CatchAllData" ma:web="eb47d8b7-fefc-4923-b53c-9685ba6b72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ab587f53-e282-4719-ab13-46559658bd12}" ma:internalName="TaxCatchAllLabel" ma:readOnly="true" ma:showField="CatchAllDataLabel" ma:web="eb47d8b7-fefc-4923-b53c-9685ba6b72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7d8b7-fefc-4923-b53c-9685ba6b7210" elementFormDefault="qualified">
    <xsd:import namespace="http://schemas.microsoft.com/office/2006/documentManagement/types"/>
    <xsd:import namespace="http://schemas.microsoft.com/office/infopath/2007/PartnerControls"/>
    <xsd:element name="lb508a4dc5e84436a0fe496b536466aa" ma:index="11" nillable="true" ma:taxonomy="true" ma:internalName="lb508a4dc5e84436a0fe496b536466aa" ma:taxonomyFieldName="TSYRecordClass" ma:displayName="Record Class" ma:readOnly="false" ma:default="75;#AE-20337-Destroy 7 years after action completed|668ae28e-5138-4c7c-82db-1c8c6afc81a6" ma:fieldId="{5b508a4d-c5e8-4436-a0fe-496b536466aa}" ma:sspId="77b7a547-5880-464f-83f8-cefe583c3af4" ma:termSetId="8c8a1de6-dea5-4e66-bd5a-b7b3daae0f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40A18E-D035-47B7-B12A-91AA7C3E47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9AD019-A333-4503-BF53-DC79B377FAF0}">
  <ds:schemaRefs>
    <ds:schemaRef ds:uri="http://www.w3.org/XML/1998/namespace"/>
    <ds:schemaRef ds:uri="http://schemas.microsoft.com/office/infopath/2007/PartnerControls"/>
    <ds:schemaRef ds:uri="http://schemas.microsoft.com/office/2006/metadata/properties"/>
    <ds:schemaRef ds:uri="eb47d8b7-fefc-4923-b53c-9685ba6b7210"/>
    <ds:schemaRef ds:uri="http://purl.org/dc/dcmitype/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0f563589-9cf9-4143-b1eb-fb0534803d38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0C704CE7-7EAA-40A9-9179-FD62706B47F7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8F65F14-16CC-41A5-AB20-CE39D9B19F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563589-9cf9-4143-b1eb-fb0534803d38"/>
    <ds:schemaRef ds:uri="eb47d8b7-fefc-4923-b53c-9685ba6b72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BB3629C-8F0D-41BD-BD6B-F8592ACEE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Basic A4 Report.dotm</Template>
  <TotalTime>3</TotalTime>
  <Pages>1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 - The Treasury</Company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Keogh, Vicky</dc:creator>
  <cp:keywords/>
  <dc:description/>
  <cp:lastModifiedBy>Keogh, Vicky</cp:lastModifiedBy>
  <cp:revision>4</cp:revision>
  <cp:lastPrinted>2019-08-29T04:55:00Z</cp:lastPrinted>
  <dcterms:created xsi:type="dcterms:W3CDTF">2019-08-29T01:00:00Z</dcterms:created>
  <dcterms:modified xsi:type="dcterms:W3CDTF">2019-08-29T04:56:00Z</dcterms:modified>
</cp:coreProperties>
</file>