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4E1" w:rsidRPr="0031417C" w:rsidRDefault="006E1958" w:rsidP="000265A9">
      <w:pPr>
        <w:pStyle w:val="Title"/>
        <w:rPr>
          <w:b w:val="0"/>
          <w:caps w:val="0"/>
        </w:rPr>
      </w:pPr>
      <w:r w:rsidRPr="0031417C">
        <w:t>Restoring trust in</w:t>
      </w:r>
      <w:bookmarkStart w:id="0" w:name="_GoBack"/>
      <w:bookmarkEnd w:id="0"/>
      <w:r w:rsidRPr="0031417C">
        <w:t xml:space="preserve"> Australia’s financial system</w:t>
      </w:r>
    </w:p>
    <w:p w:rsidR="000E0B74" w:rsidRPr="00C067E2" w:rsidRDefault="002C3D99" w:rsidP="00291155">
      <w:pPr>
        <w:pStyle w:val="Subtitle"/>
      </w:pPr>
      <w:r>
        <w:t>Financial Services Royal Commission</w:t>
      </w:r>
      <w:r>
        <w:br/>
      </w:r>
      <w:r w:rsidR="008120A3">
        <w:t>Implementation Roadmap</w:t>
      </w:r>
    </w:p>
    <w:p w:rsidR="000E0B74" w:rsidRPr="008F6C74" w:rsidRDefault="007D77C8" w:rsidP="00C067E2">
      <w:pPr>
        <w:pStyle w:val="ReportDate"/>
        <w:rPr>
          <w:rStyle w:val="ReportDateChar"/>
          <w:b/>
        </w:rPr>
        <w:sectPr w:rsidR="000E0B74" w:rsidRPr="008F6C74" w:rsidSect="000265A9">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1418" w:right="1418" w:bottom="1418" w:left="1418" w:header="709" w:footer="709" w:gutter="0"/>
          <w:cols w:space="720"/>
          <w:vAlign w:val="center"/>
        </w:sectPr>
      </w:pPr>
      <w:r>
        <w:rPr>
          <w:rStyle w:val="ReportDateChar"/>
          <w:b/>
          <w:bCs/>
        </w:rPr>
        <w:t xml:space="preserve">August </w:t>
      </w:r>
      <w:r w:rsidR="006B7128">
        <w:rPr>
          <w:rStyle w:val="ReportDateChar"/>
          <w:b/>
          <w:bCs/>
        </w:rPr>
        <w:t>2019</w:t>
      </w:r>
    </w:p>
    <w:p w:rsidR="000E0B74" w:rsidRDefault="000E0B74" w:rsidP="000E0B74">
      <w:pPr>
        <w:spacing w:before="240"/>
      </w:pPr>
      <w:r w:rsidRPr="00661BF0">
        <w:lastRenderedPageBreak/>
        <w:t xml:space="preserve">© Commonwealth of Australia </w:t>
      </w:r>
      <w:r w:rsidRPr="00065ABA">
        <w:t>201</w:t>
      </w:r>
      <w:r w:rsidR="00B473EA">
        <w:t>9</w:t>
      </w:r>
    </w:p>
    <w:p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5" w:history="1">
        <w:r w:rsidRPr="001F1B27">
          <w:rPr>
            <w:rStyle w:val="Hyperlink"/>
          </w:rPr>
          <w:t>http://creativecommons.org/licenses/by/3.0/au/legalcode</w:t>
        </w:r>
      </w:hyperlink>
      <w:r w:rsidRPr="006627B4">
        <w:rPr>
          <w:rStyle w:val="Hyperlink"/>
        </w:rPr>
        <w:t>.</w:t>
      </w:r>
    </w:p>
    <w:p w:rsidR="000E0B74" w:rsidRDefault="000E0B74" w:rsidP="000265A9">
      <w:pPr>
        <w:pStyle w:val="ChartGraphic"/>
        <w:spacing w:line="240" w:lineRule="auto"/>
        <w:jc w:val="left"/>
      </w:pPr>
      <w:r w:rsidRPr="00E56DFB">
        <w:rPr>
          <w:noProof/>
        </w:rPr>
        <w:drawing>
          <wp:inline distT="0" distB="0" distL="0" distR="0" wp14:anchorId="313F6175" wp14:editId="678A99CC">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he following attribution:</w:t>
      </w:r>
    </w:p>
    <w:p w:rsidR="000E0B74" w:rsidRPr="00A13A11" w:rsidRDefault="000E0B74" w:rsidP="000E0B74">
      <w:pPr>
        <w:ind w:firstLine="720"/>
      </w:pPr>
      <w:r w:rsidRPr="002F1BC2">
        <w:rPr>
          <w:i/>
        </w:rPr>
        <w:t xml:space="preserve">Source: The </w:t>
      </w:r>
      <w:r w:rsidRPr="002F1BC2">
        <w:rPr>
          <w:i/>
          <w:iCs/>
        </w:rPr>
        <w:t>Aus</w:t>
      </w:r>
      <w:r w:rsidR="00065ABA">
        <w:rPr>
          <w:i/>
          <w:iCs/>
        </w:rPr>
        <w:t>tralian Government the Treasury</w:t>
      </w:r>
      <w:r>
        <w:t>.</w:t>
      </w:r>
    </w:p>
    <w:p w:rsidR="000E0B74" w:rsidRPr="006627B4" w:rsidRDefault="000E0B74" w:rsidP="000E0B74">
      <w:pPr>
        <w:spacing w:before="240"/>
      </w:pPr>
      <w:r w:rsidRPr="00CC63CC">
        <w:rPr>
          <w:b/>
        </w:rPr>
        <w:t>Derivative</w:t>
      </w:r>
      <w:r w:rsidRPr="006627B4">
        <w:t xml:space="preserve"> </w:t>
      </w:r>
      <w:r w:rsidRPr="00CC63CC">
        <w:rPr>
          <w:b/>
        </w:rPr>
        <w:t>material</w:t>
      </w:r>
    </w:p>
    <w:p w:rsidR="000E0B74" w:rsidRPr="006627B4" w:rsidRDefault="000E0B74" w:rsidP="000E0B74">
      <w:r w:rsidRPr="006627B4">
        <w:t>If you have modified or transformed Treasury material, or derived new material from those of the Treasury in any way, then Treasury prefers the following attribution:</w:t>
      </w:r>
    </w:p>
    <w:p w:rsidR="000E0B74" w:rsidRPr="006627B4" w:rsidRDefault="000E0B74" w:rsidP="000E0B74">
      <w:pPr>
        <w:ind w:firstLine="720"/>
      </w:pPr>
      <w:r w:rsidRPr="002C3D99">
        <w:rPr>
          <w:i/>
        </w:rPr>
        <w:t>Based on The Australian Government data</w:t>
      </w:r>
      <w:r w:rsidRPr="002C3D99">
        <w:t>.</w:t>
      </w:r>
    </w:p>
    <w:p w:rsidR="000E0B74" w:rsidRPr="006627B4" w:rsidRDefault="000E0B74" w:rsidP="000E0B74">
      <w:pPr>
        <w:spacing w:before="240"/>
        <w:rPr>
          <w:b/>
        </w:rPr>
      </w:pPr>
      <w:r w:rsidRPr="006627B4">
        <w:rPr>
          <w:b/>
        </w:rPr>
        <w:t>Use of the Coat of Arms</w:t>
      </w:r>
    </w:p>
    <w:p w:rsidR="00EA6F73" w:rsidRPr="00EA6F73" w:rsidRDefault="00EA6F73" w:rsidP="00EA6F73">
      <w:pPr>
        <w:spacing w:before="240"/>
      </w:pPr>
      <w:r w:rsidRPr="00EA6F73">
        <w:t xml:space="preserve">The terms under which the Coat of Arms can be used are set out on the Department of the Prime Minister and Cabinet website </w:t>
      </w:r>
      <w:r w:rsidR="00A07F36">
        <w:br/>
      </w:r>
      <w:r w:rsidRPr="00EA6F73">
        <w:t xml:space="preserve">(see </w:t>
      </w:r>
      <w:hyperlink r:id="rId18" w:history="1">
        <w:r w:rsidRPr="00EA6F73">
          <w:rPr>
            <w:rStyle w:val="Hyperlink"/>
          </w:rPr>
          <w:t>www.pmc.gov.au/government/commonwealth-coat-arm</w:t>
        </w:r>
      </w:hyperlink>
      <w:r w:rsidRPr="00FC03AD">
        <w:rPr>
          <w:rStyle w:val="Hyperlink"/>
        </w:rPr>
        <w:t>s</w:t>
      </w:r>
      <w:r w:rsidRPr="00EA6F73">
        <w:t>).</w:t>
      </w:r>
    </w:p>
    <w:p w:rsidR="000E0B74" w:rsidRPr="006627B4" w:rsidRDefault="000E0B74" w:rsidP="000E0B74">
      <w:pPr>
        <w:spacing w:before="240"/>
        <w:rPr>
          <w:b/>
        </w:rPr>
      </w:pPr>
      <w:r>
        <w:rPr>
          <w:b/>
        </w:rPr>
        <w:t>Other u</w:t>
      </w:r>
      <w:r w:rsidRPr="006627B4">
        <w:rPr>
          <w:b/>
        </w:rPr>
        <w:t>ses</w:t>
      </w:r>
    </w:p>
    <w:p w:rsidR="000E0B74" w:rsidRPr="006627B4" w:rsidRDefault="000E0B74" w:rsidP="000E0B74">
      <w:r>
        <w:t>E</w:t>
      </w:r>
      <w:r w:rsidRPr="006627B4">
        <w:t>nquiries regarding this licence and any other use of this document are welcome at:</w:t>
      </w:r>
    </w:p>
    <w:p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9" w:history="1">
        <w:r w:rsidRPr="00B31CFB">
          <w:rPr>
            <w:rStyle w:val="Hyperlink"/>
          </w:rPr>
          <w:t>medialiaison@treasury.gov.au</w:t>
        </w:r>
      </w:hyperlink>
    </w:p>
    <w:p w:rsidR="00F836F9" w:rsidRDefault="00F836F9" w:rsidP="00931327"/>
    <w:p w:rsidR="00F836F9" w:rsidRDefault="00F836F9" w:rsidP="00931327">
      <w:pPr>
        <w:sectPr w:rsidR="00F836F9" w:rsidSect="00931327">
          <w:headerReference w:type="even" r:id="rId20"/>
          <w:headerReference w:type="default" r:id="rId21"/>
          <w:footerReference w:type="default" r:id="rId22"/>
          <w:headerReference w:type="first" r:id="rId23"/>
          <w:footerReference w:type="first" r:id="rId24"/>
          <w:type w:val="nextColumn"/>
          <w:pgSz w:w="11906" w:h="16838" w:code="9"/>
          <w:pgMar w:top="1418" w:right="1418" w:bottom="1418" w:left="1418" w:header="709" w:footer="709" w:gutter="0"/>
          <w:pgNumType w:fmt="lowerRoman"/>
          <w:cols w:space="708"/>
          <w:titlePg/>
          <w:docGrid w:linePitch="360"/>
        </w:sectPr>
      </w:pPr>
    </w:p>
    <w:p w:rsidR="000E0B74" w:rsidRDefault="000E0B74" w:rsidP="000265A9">
      <w:pPr>
        <w:pStyle w:val="Heading1-NoTOC"/>
      </w:pPr>
      <w:bookmarkStart w:id="1" w:name="_Toc511308202"/>
      <w:bookmarkStart w:id="2" w:name="_Toc536801057"/>
      <w:bookmarkStart w:id="3" w:name="_Toc536801402"/>
      <w:bookmarkStart w:id="4" w:name="_Toc536802894"/>
      <w:bookmarkStart w:id="5" w:name="_Toc536803031"/>
      <w:bookmarkStart w:id="6" w:name="_Toc536803472"/>
      <w:bookmarkStart w:id="7" w:name="_Toc536804204"/>
      <w:bookmarkStart w:id="8" w:name="_Toc536804314"/>
      <w:bookmarkStart w:id="9" w:name="_Toc536804326"/>
      <w:bookmarkStart w:id="10" w:name="_Toc536804394"/>
      <w:bookmarkStart w:id="11" w:name="_Toc536805598"/>
      <w:bookmarkStart w:id="12" w:name="_Toc536805941"/>
      <w:bookmarkStart w:id="13" w:name="_Toc536806514"/>
      <w:bookmarkStart w:id="14" w:name="_Toc536807654"/>
      <w:bookmarkStart w:id="15" w:name="_Toc536807715"/>
      <w:bookmarkStart w:id="16" w:name="_Toc536808262"/>
      <w:bookmarkStart w:id="17" w:name="_Toc536809087"/>
      <w:bookmarkStart w:id="18" w:name="_Toc536809217"/>
      <w:bookmarkStart w:id="19" w:name="_Toc536811091"/>
      <w:bookmarkStart w:id="20" w:name="_Toc536811386"/>
      <w:bookmarkStart w:id="21" w:name="_Toc536811988"/>
      <w:bookmarkStart w:id="22" w:name="_Toc536812019"/>
      <w:bookmarkStart w:id="23" w:name="_Toc536813274"/>
      <w:bookmarkStart w:id="24" w:name="_Toc536815973"/>
      <w:bookmarkStart w:id="25" w:name="_Toc536816281"/>
      <w:bookmarkStart w:id="26" w:name="_Toc536816906"/>
      <w:bookmarkStart w:id="27" w:name="_Toc536817140"/>
      <w:bookmarkStart w:id="28" w:name="_Toc536817853"/>
      <w:bookmarkStart w:id="29" w:name="_Toc536818146"/>
      <w:bookmarkStart w:id="30" w:name="_Toc536818369"/>
      <w:bookmarkStart w:id="31" w:name="_Toc536818522"/>
      <w:bookmarkStart w:id="32" w:name="_Toc536821573"/>
      <w:bookmarkStart w:id="33" w:name="_Toc536823450"/>
      <w:bookmarkStart w:id="34" w:name="_Toc536824353"/>
      <w:bookmarkStart w:id="35" w:name="_Toc536824585"/>
      <w:bookmarkStart w:id="36" w:name="_Toc536827832"/>
      <w:bookmarkStart w:id="37" w:name="_Toc536828733"/>
      <w:bookmarkStart w:id="38" w:name="_Toc536828813"/>
      <w:bookmarkStart w:id="39" w:name="_Toc536828838"/>
      <w:bookmarkStart w:id="40" w:name="_Toc536860336"/>
      <w:bookmarkStart w:id="41" w:name="_Toc536860376"/>
      <w:bookmarkStart w:id="42" w:name="_Toc536860498"/>
      <w:bookmarkStart w:id="43" w:name="_Toc536860592"/>
      <w:bookmarkStart w:id="44" w:name="_Toc536861137"/>
      <w:bookmarkStart w:id="45" w:name="_Toc536861445"/>
      <w:bookmarkStart w:id="46" w:name="_Toc536861461"/>
      <w:bookmarkStart w:id="47" w:name="_Toc536865374"/>
      <w:bookmarkStart w:id="48" w:name="_Toc536865578"/>
      <w:bookmarkStart w:id="49" w:name="_Toc536809225"/>
      <w:bookmarkStart w:id="50" w:name="_Toc536865610"/>
      <w:bookmarkStart w:id="51" w:name="_Toc536865531"/>
      <w:bookmarkStart w:id="52" w:name="_Toc5615"/>
      <w:bookmarkStart w:id="53" w:name="_Toc536861429"/>
      <w:bookmarkStart w:id="54" w:name="_Toc536865634"/>
      <w:bookmarkStart w:id="55" w:name="_Toc536865627"/>
      <w:bookmarkStart w:id="56" w:name="_Toc10152"/>
      <w:bookmarkStart w:id="57" w:name="_Toc10332"/>
      <w:bookmarkStart w:id="58" w:name="_Toc14448"/>
      <w:bookmarkStart w:id="59" w:name="_Toc536865643"/>
      <w:bookmarkStart w:id="60" w:name="_Toc536809233"/>
      <w:bookmarkStart w:id="61" w:name="_Toc16361"/>
      <w:bookmarkStart w:id="62" w:name="_Toc20641"/>
      <w:bookmarkStart w:id="63" w:name="_Toc22923"/>
      <w:bookmarkStart w:id="64" w:name="_Toc28096"/>
      <w:bookmarkStart w:id="65" w:name="_Toc30090"/>
      <w:bookmarkStart w:id="66" w:name="_Toc31302"/>
      <w:bookmarkStart w:id="67" w:name="_Toc536861437"/>
      <w:bookmarkStart w:id="68" w:name="_Toc90058"/>
      <w:bookmarkStart w:id="69" w:name="_Toc90256"/>
      <w:bookmarkStart w:id="70" w:name="_Toc536865707"/>
      <w:bookmarkStart w:id="71" w:name="_Toc91027"/>
      <w:bookmarkStart w:id="72" w:name="_Toc91229"/>
      <w:bookmarkStart w:id="73" w:name="_Toc92094"/>
      <w:bookmarkStart w:id="74" w:name="_Toc92205"/>
      <w:bookmarkStart w:id="75" w:name="_Toc92334"/>
      <w:bookmarkStart w:id="76" w:name="_Toc93201"/>
      <w:bookmarkStart w:id="77" w:name="_Toc94121"/>
      <w:bookmarkStart w:id="78" w:name="_Toc96138"/>
      <w:bookmarkStart w:id="79" w:name="_Toc536861485"/>
      <w:bookmarkStart w:id="80" w:name="_Toc98151"/>
      <w:bookmarkStart w:id="81" w:name="_Toc104719"/>
      <w:bookmarkStart w:id="82" w:name="_Toc104738"/>
      <w:bookmarkStart w:id="83" w:name="_Toc107872"/>
      <w:bookmarkStart w:id="84" w:name="_Toc108323"/>
      <w:bookmarkStart w:id="85" w:name="_Toc108922"/>
      <w:bookmarkStart w:id="86" w:name="_Toc108950"/>
      <w:bookmarkStart w:id="87" w:name="_Toc536861517"/>
      <w:bookmarkStart w:id="88" w:name="_Toc110045"/>
      <w:bookmarkStart w:id="89" w:name="_Toc111822"/>
      <w:bookmarkStart w:id="90" w:name="_Toc112596"/>
      <w:bookmarkStart w:id="91" w:name="_Toc114006"/>
      <w:bookmarkStart w:id="92" w:name="_Toc115762"/>
      <w:bookmarkStart w:id="93" w:name="_Toc115846"/>
      <w:bookmarkStart w:id="94" w:name="_Toc536860362"/>
      <w:bookmarkStart w:id="95" w:name="_Toc121860"/>
      <w:bookmarkStart w:id="96" w:name="_Toc123352"/>
      <w:bookmarkStart w:id="97" w:name="_Toc123650"/>
      <w:bookmarkStart w:id="98" w:name="_Toc123873"/>
      <w:bookmarkStart w:id="99" w:name="_Toc4164500"/>
      <w:bookmarkStart w:id="100" w:name="_Toc4419487"/>
      <w:bookmarkStart w:id="101" w:name="_Toc4419589"/>
      <w:bookmarkStart w:id="102" w:name="_Toc4426691"/>
      <w:bookmarkStart w:id="103" w:name="_Toc4427569"/>
      <w:bookmarkStart w:id="104" w:name="_Toc4496291"/>
      <w:bookmarkStart w:id="105" w:name="_Toc4500969"/>
      <w:bookmarkStart w:id="106" w:name="_Toc4503482"/>
      <w:bookmarkStart w:id="107" w:name="_Toc4504379"/>
      <w:bookmarkStart w:id="108" w:name="_Toc4507183"/>
      <w:bookmarkStart w:id="109" w:name="_Toc4507252"/>
      <w:bookmarkStart w:id="110" w:name="_Toc4577570"/>
      <w:bookmarkStart w:id="111" w:name="_Toc4579331"/>
      <w:bookmarkStart w:id="112" w:name="_Toc4585962"/>
      <w:bookmarkStart w:id="113" w:name="_Toc4591041"/>
      <w:bookmarkStart w:id="114" w:name="_Toc4591380"/>
      <w:bookmarkStart w:id="115" w:name="_Toc4598687"/>
      <w:bookmarkStart w:id="116" w:name="_Toc4603188"/>
      <w:bookmarkStart w:id="117" w:name="_Toc4753180"/>
      <w:bookmarkStart w:id="118" w:name="_Toc4753951"/>
      <w:bookmarkStart w:id="119" w:name="_Toc4755124"/>
      <w:bookmarkStart w:id="120" w:name="_Toc5029181"/>
      <w:bookmarkStart w:id="121" w:name="_Toc5117707"/>
      <w:bookmarkStart w:id="122" w:name="_Toc5118516"/>
      <w:bookmarkStart w:id="123" w:name="_Toc5118558"/>
      <w:r w:rsidRPr="001F1B27">
        <w:lastRenderedPageBreak/>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bookmarkStart w:id="124" w:name="_Toc432067103"/>
    <w:bookmarkStart w:id="125" w:name="_Toc452635030"/>
    <w:p w:rsidR="00CF3546" w:rsidRDefault="00DD6DCB">
      <w:pPr>
        <w:pStyle w:val="TOC1"/>
        <w:rPr>
          <w:rFonts w:asciiTheme="minorHAnsi" w:eastAsiaTheme="minorEastAsia" w:hAnsiTheme="minorHAnsi" w:cstheme="minorBidi"/>
          <w:b w:val="0"/>
          <w:caps w:val="0"/>
          <w:color w:val="auto"/>
        </w:rPr>
      </w:pPr>
      <w:r>
        <w:rPr>
          <w:b w:val="0"/>
          <w:color w:val="004A7F"/>
        </w:rPr>
        <w:fldChar w:fldCharType="begin"/>
      </w:r>
      <w:r>
        <w:rPr>
          <w:b w:val="0"/>
        </w:rPr>
        <w:instrText xml:space="preserve"> TOC \o "1-2" \h \z \u </w:instrText>
      </w:r>
      <w:r>
        <w:rPr>
          <w:b w:val="0"/>
          <w:color w:val="004A7F"/>
        </w:rPr>
        <w:fldChar w:fldCharType="separate"/>
      </w:r>
      <w:hyperlink w:anchor="_Toc17057986" w:history="1">
        <w:r w:rsidR="00CF3546" w:rsidRPr="00EE30FD">
          <w:rPr>
            <w:rStyle w:val="Hyperlink"/>
          </w:rPr>
          <w:t>Foreword</w:t>
        </w:r>
        <w:r w:rsidR="00CF3546">
          <w:rPr>
            <w:webHidden/>
          </w:rPr>
          <w:tab/>
        </w:r>
        <w:r w:rsidR="00CF3546">
          <w:rPr>
            <w:webHidden/>
          </w:rPr>
          <w:fldChar w:fldCharType="begin"/>
        </w:r>
        <w:r w:rsidR="00CF3546">
          <w:rPr>
            <w:webHidden/>
          </w:rPr>
          <w:instrText xml:space="preserve"> PAGEREF _Toc17057986 \h </w:instrText>
        </w:r>
        <w:r w:rsidR="00CF3546">
          <w:rPr>
            <w:webHidden/>
          </w:rPr>
        </w:r>
        <w:r w:rsidR="00CF3546">
          <w:rPr>
            <w:webHidden/>
          </w:rPr>
          <w:fldChar w:fldCharType="separate"/>
        </w:r>
        <w:r w:rsidR="00227A69">
          <w:rPr>
            <w:webHidden/>
          </w:rPr>
          <w:t>iv</w:t>
        </w:r>
        <w:r w:rsidR="00CF3546">
          <w:rPr>
            <w:webHidden/>
          </w:rPr>
          <w:fldChar w:fldCharType="end"/>
        </w:r>
      </w:hyperlink>
    </w:p>
    <w:p w:rsidR="00CF3546" w:rsidRDefault="00227A69">
      <w:pPr>
        <w:pStyle w:val="TOC1"/>
        <w:rPr>
          <w:rFonts w:asciiTheme="minorHAnsi" w:eastAsiaTheme="minorEastAsia" w:hAnsiTheme="minorHAnsi" w:cstheme="minorBidi"/>
          <w:b w:val="0"/>
          <w:caps w:val="0"/>
          <w:color w:val="auto"/>
        </w:rPr>
      </w:pPr>
      <w:hyperlink w:anchor="_Toc17057987" w:history="1">
        <w:r w:rsidR="00CF3546" w:rsidRPr="00EE30FD">
          <w:rPr>
            <w:rStyle w:val="Hyperlink"/>
          </w:rPr>
          <w:t>An implementation roadmap</w:t>
        </w:r>
        <w:r w:rsidR="00CF3546">
          <w:rPr>
            <w:webHidden/>
          </w:rPr>
          <w:tab/>
        </w:r>
        <w:r w:rsidR="00CF3546">
          <w:rPr>
            <w:webHidden/>
          </w:rPr>
          <w:fldChar w:fldCharType="begin"/>
        </w:r>
        <w:r w:rsidR="00CF3546">
          <w:rPr>
            <w:webHidden/>
          </w:rPr>
          <w:instrText xml:space="preserve"> PAGEREF _Toc17057987 \h </w:instrText>
        </w:r>
        <w:r w:rsidR="00CF3546">
          <w:rPr>
            <w:webHidden/>
          </w:rPr>
        </w:r>
        <w:r w:rsidR="00CF3546">
          <w:rPr>
            <w:webHidden/>
          </w:rPr>
          <w:fldChar w:fldCharType="separate"/>
        </w:r>
        <w:r>
          <w:rPr>
            <w:webHidden/>
          </w:rPr>
          <w:t>1</w:t>
        </w:r>
        <w:r w:rsidR="00CF3546">
          <w:rPr>
            <w:webHidden/>
          </w:rPr>
          <w:fldChar w:fldCharType="end"/>
        </w:r>
      </w:hyperlink>
    </w:p>
    <w:p w:rsidR="00CF3546" w:rsidRDefault="00227A69">
      <w:pPr>
        <w:pStyle w:val="TOC2"/>
        <w:rPr>
          <w:rFonts w:asciiTheme="minorHAnsi" w:eastAsiaTheme="minorEastAsia" w:hAnsiTheme="minorHAnsi" w:cstheme="minorBidi"/>
          <w:color w:val="auto"/>
          <w:szCs w:val="22"/>
        </w:rPr>
      </w:pPr>
      <w:hyperlink w:anchor="_Toc17057988" w:history="1">
        <w:r w:rsidR="00CF3546" w:rsidRPr="00EE30FD">
          <w:rPr>
            <w:rStyle w:val="Hyperlink"/>
          </w:rPr>
          <w:t>The Government’s comprehensive reform agenda</w:t>
        </w:r>
        <w:r w:rsidR="00CF3546">
          <w:rPr>
            <w:webHidden/>
          </w:rPr>
          <w:tab/>
        </w:r>
        <w:r w:rsidR="00CF3546">
          <w:rPr>
            <w:webHidden/>
          </w:rPr>
          <w:fldChar w:fldCharType="begin"/>
        </w:r>
        <w:r w:rsidR="00CF3546">
          <w:rPr>
            <w:webHidden/>
          </w:rPr>
          <w:instrText xml:space="preserve"> PAGEREF _Toc17057988 \h </w:instrText>
        </w:r>
        <w:r w:rsidR="00CF3546">
          <w:rPr>
            <w:webHidden/>
          </w:rPr>
        </w:r>
        <w:r w:rsidR="00CF3546">
          <w:rPr>
            <w:webHidden/>
          </w:rPr>
          <w:fldChar w:fldCharType="separate"/>
        </w:r>
        <w:r>
          <w:rPr>
            <w:webHidden/>
          </w:rPr>
          <w:t>1</w:t>
        </w:r>
        <w:r w:rsidR="00CF3546">
          <w:rPr>
            <w:webHidden/>
          </w:rPr>
          <w:fldChar w:fldCharType="end"/>
        </w:r>
      </w:hyperlink>
    </w:p>
    <w:p w:rsidR="00CF3546" w:rsidRDefault="00227A69">
      <w:pPr>
        <w:pStyle w:val="TOC2"/>
        <w:rPr>
          <w:rFonts w:asciiTheme="minorHAnsi" w:eastAsiaTheme="minorEastAsia" w:hAnsiTheme="minorHAnsi" w:cstheme="minorBidi"/>
          <w:color w:val="auto"/>
          <w:szCs w:val="22"/>
        </w:rPr>
      </w:pPr>
      <w:hyperlink w:anchor="_Toc17057989" w:history="1">
        <w:r w:rsidR="00CF3546" w:rsidRPr="00EE30FD">
          <w:rPr>
            <w:rStyle w:val="Hyperlink"/>
          </w:rPr>
          <w:t>Significant progress has already been made</w:t>
        </w:r>
        <w:r w:rsidR="00CF3546">
          <w:rPr>
            <w:webHidden/>
          </w:rPr>
          <w:tab/>
        </w:r>
        <w:r w:rsidR="00CF3546">
          <w:rPr>
            <w:webHidden/>
          </w:rPr>
          <w:fldChar w:fldCharType="begin"/>
        </w:r>
        <w:r w:rsidR="00CF3546">
          <w:rPr>
            <w:webHidden/>
          </w:rPr>
          <w:instrText xml:space="preserve"> PAGEREF _Toc17057989 \h </w:instrText>
        </w:r>
        <w:r w:rsidR="00CF3546">
          <w:rPr>
            <w:webHidden/>
          </w:rPr>
        </w:r>
        <w:r w:rsidR="00CF3546">
          <w:rPr>
            <w:webHidden/>
          </w:rPr>
          <w:fldChar w:fldCharType="separate"/>
        </w:r>
        <w:r>
          <w:rPr>
            <w:webHidden/>
          </w:rPr>
          <w:t>1</w:t>
        </w:r>
        <w:r w:rsidR="00CF3546">
          <w:rPr>
            <w:webHidden/>
          </w:rPr>
          <w:fldChar w:fldCharType="end"/>
        </w:r>
      </w:hyperlink>
    </w:p>
    <w:p w:rsidR="00CF3546" w:rsidRDefault="00227A69">
      <w:pPr>
        <w:pStyle w:val="TOC2"/>
        <w:rPr>
          <w:rFonts w:asciiTheme="minorHAnsi" w:eastAsiaTheme="minorEastAsia" w:hAnsiTheme="minorHAnsi" w:cstheme="minorBidi"/>
          <w:color w:val="auto"/>
          <w:szCs w:val="22"/>
        </w:rPr>
      </w:pPr>
      <w:hyperlink w:anchor="_Toc17057990" w:history="1">
        <w:r w:rsidR="00CF3546" w:rsidRPr="00EE30FD">
          <w:rPr>
            <w:rStyle w:val="Hyperlink"/>
          </w:rPr>
          <w:t>The Government’s implementation plan</w:t>
        </w:r>
        <w:r w:rsidR="00CF3546">
          <w:rPr>
            <w:webHidden/>
          </w:rPr>
          <w:tab/>
        </w:r>
        <w:r w:rsidR="00CF3546">
          <w:rPr>
            <w:webHidden/>
          </w:rPr>
          <w:fldChar w:fldCharType="begin"/>
        </w:r>
        <w:r w:rsidR="00CF3546">
          <w:rPr>
            <w:webHidden/>
          </w:rPr>
          <w:instrText xml:space="preserve"> PAGEREF _Toc17057990 \h </w:instrText>
        </w:r>
        <w:r w:rsidR="00CF3546">
          <w:rPr>
            <w:webHidden/>
          </w:rPr>
        </w:r>
        <w:r w:rsidR="00CF3546">
          <w:rPr>
            <w:webHidden/>
          </w:rPr>
          <w:fldChar w:fldCharType="separate"/>
        </w:r>
        <w:r>
          <w:rPr>
            <w:webHidden/>
          </w:rPr>
          <w:t>5</w:t>
        </w:r>
        <w:r w:rsidR="00CF3546">
          <w:rPr>
            <w:webHidden/>
          </w:rPr>
          <w:fldChar w:fldCharType="end"/>
        </w:r>
      </w:hyperlink>
    </w:p>
    <w:p w:rsidR="00CF3546" w:rsidRDefault="00227A69">
      <w:pPr>
        <w:pStyle w:val="TOC2"/>
        <w:rPr>
          <w:rFonts w:asciiTheme="minorHAnsi" w:eastAsiaTheme="minorEastAsia" w:hAnsiTheme="minorHAnsi" w:cstheme="minorBidi"/>
          <w:color w:val="auto"/>
          <w:szCs w:val="22"/>
        </w:rPr>
      </w:pPr>
      <w:hyperlink w:anchor="_Toc17057991" w:history="1">
        <w:r w:rsidR="00CF3546" w:rsidRPr="00EE30FD">
          <w:rPr>
            <w:rStyle w:val="Hyperlink"/>
          </w:rPr>
          <w:t>Keeping industry accountable</w:t>
        </w:r>
        <w:r w:rsidR="00CF3546">
          <w:rPr>
            <w:webHidden/>
          </w:rPr>
          <w:tab/>
        </w:r>
        <w:r w:rsidR="00CF3546">
          <w:rPr>
            <w:webHidden/>
          </w:rPr>
          <w:fldChar w:fldCharType="begin"/>
        </w:r>
        <w:r w:rsidR="00CF3546">
          <w:rPr>
            <w:webHidden/>
          </w:rPr>
          <w:instrText xml:space="preserve"> PAGEREF _Toc17057991 \h </w:instrText>
        </w:r>
        <w:r w:rsidR="00CF3546">
          <w:rPr>
            <w:webHidden/>
          </w:rPr>
        </w:r>
        <w:r w:rsidR="00CF3546">
          <w:rPr>
            <w:webHidden/>
          </w:rPr>
          <w:fldChar w:fldCharType="separate"/>
        </w:r>
        <w:r>
          <w:rPr>
            <w:webHidden/>
          </w:rPr>
          <w:t>7</w:t>
        </w:r>
        <w:r w:rsidR="00CF3546">
          <w:rPr>
            <w:webHidden/>
          </w:rPr>
          <w:fldChar w:fldCharType="end"/>
        </w:r>
      </w:hyperlink>
    </w:p>
    <w:p w:rsidR="00CF3546" w:rsidRDefault="00227A69">
      <w:pPr>
        <w:pStyle w:val="TOC1"/>
        <w:rPr>
          <w:rFonts w:asciiTheme="minorHAnsi" w:eastAsiaTheme="minorEastAsia" w:hAnsiTheme="minorHAnsi" w:cstheme="minorBidi"/>
          <w:b w:val="0"/>
          <w:caps w:val="0"/>
          <w:color w:val="auto"/>
        </w:rPr>
      </w:pPr>
      <w:hyperlink w:anchor="_Toc17057992" w:history="1">
        <w:r w:rsidR="00CF3546" w:rsidRPr="00EE30FD">
          <w:rPr>
            <w:rStyle w:val="Hyperlink"/>
          </w:rPr>
          <w:t>Appendix A: Government Implementation Plan</w:t>
        </w:r>
        <w:r w:rsidR="00CF3546">
          <w:rPr>
            <w:webHidden/>
          </w:rPr>
          <w:tab/>
        </w:r>
        <w:r w:rsidR="00CF3546">
          <w:rPr>
            <w:webHidden/>
          </w:rPr>
          <w:fldChar w:fldCharType="begin"/>
        </w:r>
        <w:r w:rsidR="00CF3546">
          <w:rPr>
            <w:webHidden/>
          </w:rPr>
          <w:instrText xml:space="preserve"> PAGEREF _Toc17057992 \h </w:instrText>
        </w:r>
        <w:r w:rsidR="00CF3546">
          <w:rPr>
            <w:webHidden/>
          </w:rPr>
        </w:r>
        <w:r w:rsidR="00CF3546">
          <w:rPr>
            <w:webHidden/>
          </w:rPr>
          <w:fldChar w:fldCharType="separate"/>
        </w:r>
        <w:r>
          <w:rPr>
            <w:webHidden/>
          </w:rPr>
          <w:t>8</w:t>
        </w:r>
        <w:r w:rsidR="00CF3546">
          <w:rPr>
            <w:webHidden/>
          </w:rPr>
          <w:fldChar w:fldCharType="end"/>
        </w:r>
      </w:hyperlink>
    </w:p>
    <w:p w:rsidR="00CF3546" w:rsidRDefault="00227A69">
      <w:pPr>
        <w:pStyle w:val="TOC1"/>
        <w:rPr>
          <w:rFonts w:asciiTheme="minorHAnsi" w:eastAsiaTheme="minorEastAsia" w:hAnsiTheme="minorHAnsi" w:cstheme="minorBidi"/>
          <w:b w:val="0"/>
          <w:caps w:val="0"/>
          <w:color w:val="auto"/>
        </w:rPr>
      </w:pPr>
      <w:hyperlink w:anchor="_Toc17057993" w:history="1">
        <w:r w:rsidR="00CF3546" w:rsidRPr="00EE30FD">
          <w:rPr>
            <w:rStyle w:val="Hyperlink"/>
          </w:rPr>
          <w:t>Appendix B: Regulator Implementation Plans</w:t>
        </w:r>
        <w:r w:rsidR="00CF3546">
          <w:rPr>
            <w:webHidden/>
          </w:rPr>
          <w:tab/>
        </w:r>
        <w:r w:rsidR="00CF3546">
          <w:rPr>
            <w:webHidden/>
          </w:rPr>
          <w:fldChar w:fldCharType="begin"/>
        </w:r>
        <w:r w:rsidR="00CF3546">
          <w:rPr>
            <w:webHidden/>
          </w:rPr>
          <w:instrText xml:space="preserve"> PAGEREF _Toc17057993 \h </w:instrText>
        </w:r>
        <w:r w:rsidR="00CF3546">
          <w:rPr>
            <w:webHidden/>
          </w:rPr>
        </w:r>
        <w:r w:rsidR="00CF3546">
          <w:rPr>
            <w:webHidden/>
          </w:rPr>
          <w:fldChar w:fldCharType="separate"/>
        </w:r>
        <w:r>
          <w:rPr>
            <w:webHidden/>
          </w:rPr>
          <w:t>11</w:t>
        </w:r>
        <w:r w:rsidR="00CF3546">
          <w:rPr>
            <w:webHidden/>
          </w:rPr>
          <w:fldChar w:fldCharType="end"/>
        </w:r>
      </w:hyperlink>
    </w:p>
    <w:p w:rsidR="00CF3546" w:rsidRDefault="00227A69">
      <w:pPr>
        <w:pStyle w:val="TOC1"/>
        <w:rPr>
          <w:rFonts w:asciiTheme="minorHAnsi" w:eastAsiaTheme="minorEastAsia" w:hAnsiTheme="minorHAnsi" w:cstheme="minorBidi"/>
          <w:b w:val="0"/>
          <w:caps w:val="0"/>
          <w:color w:val="auto"/>
        </w:rPr>
      </w:pPr>
      <w:hyperlink w:anchor="_Toc17057994" w:history="1">
        <w:r w:rsidR="00CF3546" w:rsidRPr="00EE30FD">
          <w:rPr>
            <w:rStyle w:val="Hyperlink"/>
          </w:rPr>
          <w:t>Appendix C: Industry Implementation</w:t>
        </w:r>
        <w:r w:rsidR="00CF3546">
          <w:rPr>
            <w:webHidden/>
          </w:rPr>
          <w:tab/>
        </w:r>
        <w:r w:rsidR="00CF3546">
          <w:rPr>
            <w:webHidden/>
          </w:rPr>
          <w:fldChar w:fldCharType="begin"/>
        </w:r>
        <w:r w:rsidR="00CF3546">
          <w:rPr>
            <w:webHidden/>
          </w:rPr>
          <w:instrText xml:space="preserve"> PAGEREF _Toc17057994 \h </w:instrText>
        </w:r>
        <w:r w:rsidR="00CF3546">
          <w:rPr>
            <w:webHidden/>
          </w:rPr>
        </w:r>
        <w:r w:rsidR="00CF3546">
          <w:rPr>
            <w:webHidden/>
          </w:rPr>
          <w:fldChar w:fldCharType="separate"/>
        </w:r>
        <w:r>
          <w:rPr>
            <w:webHidden/>
          </w:rPr>
          <w:t>13</w:t>
        </w:r>
        <w:r w:rsidR="00CF3546">
          <w:rPr>
            <w:webHidden/>
          </w:rPr>
          <w:fldChar w:fldCharType="end"/>
        </w:r>
      </w:hyperlink>
    </w:p>
    <w:p w:rsidR="00F836F9" w:rsidRPr="00931327" w:rsidRDefault="00DD6DCB" w:rsidP="00931327">
      <w:r>
        <w:fldChar w:fldCharType="end"/>
      </w:r>
    </w:p>
    <w:p w:rsidR="00931327" w:rsidRPr="00931327" w:rsidRDefault="00931327" w:rsidP="00931327"/>
    <w:p w:rsidR="00931327" w:rsidRPr="00931327" w:rsidRDefault="00931327" w:rsidP="00931327"/>
    <w:p w:rsidR="00F836F9" w:rsidRDefault="00F836F9" w:rsidP="0056582C">
      <w:pPr>
        <w:pStyle w:val="SingleParagraph"/>
        <w:ind w:right="-2"/>
        <w:sectPr w:rsidR="00F836F9" w:rsidSect="00931327">
          <w:headerReference w:type="even" r:id="rId25"/>
          <w:headerReference w:type="default" r:id="rId26"/>
          <w:footerReference w:type="even" r:id="rId27"/>
          <w:headerReference w:type="first" r:id="rId28"/>
          <w:footerReference w:type="first" r:id="rId29"/>
          <w:type w:val="oddPage"/>
          <w:pgSz w:w="11906" w:h="16838" w:code="9"/>
          <w:pgMar w:top="1418" w:right="1418" w:bottom="1418" w:left="1418" w:header="709" w:footer="709" w:gutter="0"/>
          <w:pgNumType w:fmt="lowerRoman"/>
          <w:cols w:space="708"/>
          <w:docGrid w:linePitch="360"/>
        </w:sectPr>
      </w:pPr>
    </w:p>
    <w:p w:rsidR="00641C90" w:rsidRDefault="00A07F36" w:rsidP="007850D3">
      <w:pPr>
        <w:pStyle w:val="Heading1"/>
      </w:pPr>
      <w:bookmarkStart w:id="126" w:name="_Toc536801058"/>
      <w:bookmarkStart w:id="127" w:name="_Toc536801403"/>
      <w:bookmarkStart w:id="128" w:name="_Toc536802895"/>
      <w:bookmarkStart w:id="129" w:name="_Toc536803032"/>
      <w:bookmarkStart w:id="130" w:name="_Toc536803473"/>
      <w:bookmarkStart w:id="131" w:name="_Toc536804205"/>
      <w:bookmarkStart w:id="132" w:name="_Toc536804315"/>
      <w:bookmarkStart w:id="133" w:name="_Toc536804395"/>
      <w:bookmarkStart w:id="134" w:name="_Toc536805208"/>
      <w:bookmarkStart w:id="135" w:name="_Toc536805599"/>
      <w:bookmarkStart w:id="136" w:name="_Toc536805942"/>
      <w:bookmarkStart w:id="137" w:name="_Toc536806515"/>
      <w:bookmarkStart w:id="138" w:name="_Toc536807655"/>
      <w:bookmarkStart w:id="139" w:name="_Toc536807716"/>
      <w:bookmarkStart w:id="140" w:name="_Toc536808263"/>
      <w:bookmarkStart w:id="141" w:name="_Toc536809088"/>
      <w:bookmarkStart w:id="142" w:name="_Toc536809218"/>
      <w:bookmarkStart w:id="143" w:name="_Toc536811092"/>
      <w:bookmarkStart w:id="144" w:name="_Toc536811387"/>
      <w:bookmarkStart w:id="145" w:name="_Toc536811989"/>
      <w:bookmarkStart w:id="146" w:name="_Toc536812020"/>
      <w:bookmarkStart w:id="147" w:name="_Toc536813275"/>
      <w:bookmarkStart w:id="148" w:name="_Toc536815974"/>
      <w:bookmarkStart w:id="149" w:name="_Toc536816282"/>
      <w:bookmarkStart w:id="150" w:name="_Toc536816907"/>
      <w:bookmarkStart w:id="151" w:name="_Toc536817141"/>
      <w:bookmarkStart w:id="152" w:name="_Toc536817854"/>
      <w:bookmarkStart w:id="153" w:name="_Toc536818147"/>
      <w:bookmarkStart w:id="154" w:name="_Toc536818370"/>
      <w:bookmarkStart w:id="155" w:name="_Toc536818523"/>
      <w:bookmarkStart w:id="156" w:name="_Toc536821574"/>
      <w:bookmarkStart w:id="157" w:name="_Toc536823451"/>
      <w:bookmarkStart w:id="158" w:name="_Toc536824354"/>
      <w:bookmarkStart w:id="159" w:name="_Toc536824586"/>
      <w:bookmarkStart w:id="160" w:name="_Toc536827833"/>
      <w:bookmarkStart w:id="161" w:name="_Toc536828734"/>
      <w:bookmarkStart w:id="162" w:name="_Toc536828814"/>
      <w:bookmarkStart w:id="163" w:name="_Toc536828839"/>
      <w:bookmarkStart w:id="164" w:name="_Toc536860337"/>
      <w:bookmarkStart w:id="165" w:name="_Toc536860377"/>
      <w:bookmarkStart w:id="166" w:name="_Toc536860499"/>
      <w:bookmarkStart w:id="167" w:name="_Toc536860593"/>
      <w:bookmarkStart w:id="168" w:name="_Toc536861138"/>
      <w:bookmarkStart w:id="169" w:name="_Toc536861446"/>
      <w:bookmarkStart w:id="170" w:name="_Toc536861462"/>
      <w:bookmarkStart w:id="171" w:name="_Toc536865375"/>
      <w:bookmarkStart w:id="172" w:name="_Toc536865579"/>
      <w:bookmarkStart w:id="173" w:name="_Toc536809226"/>
      <w:bookmarkStart w:id="174" w:name="_Toc536865611"/>
      <w:bookmarkStart w:id="175" w:name="_Toc536865532"/>
      <w:bookmarkStart w:id="176" w:name="_Toc5616"/>
      <w:bookmarkStart w:id="177" w:name="_Toc536861430"/>
      <w:bookmarkStart w:id="178" w:name="_Toc536865635"/>
      <w:bookmarkStart w:id="179" w:name="_Toc536865628"/>
      <w:bookmarkStart w:id="180" w:name="_Toc10153"/>
      <w:bookmarkStart w:id="181" w:name="_Toc10333"/>
      <w:bookmarkStart w:id="182" w:name="_Toc14449"/>
      <w:bookmarkStart w:id="183" w:name="_Toc536865644"/>
      <w:bookmarkStart w:id="184" w:name="_Toc536809234"/>
      <w:bookmarkStart w:id="185" w:name="_Toc16362"/>
      <w:bookmarkStart w:id="186" w:name="_Toc20642"/>
      <w:bookmarkStart w:id="187" w:name="_Toc22924"/>
      <w:bookmarkStart w:id="188" w:name="_Toc28097"/>
      <w:bookmarkStart w:id="189" w:name="_Toc30091"/>
      <w:bookmarkStart w:id="190" w:name="_Toc31303"/>
      <w:bookmarkStart w:id="191" w:name="_Toc536861438"/>
      <w:bookmarkStart w:id="192" w:name="_Toc90059"/>
      <w:bookmarkStart w:id="193" w:name="_Toc90257"/>
      <w:bookmarkStart w:id="194" w:name="_Toc536865708"/>
      <w:bookmarkStart w:id="195" w:name="_Toc91028"/>
      <w:bookmarkStart w:id="196" w:name="_Toc91230"/>
      <w:bookmarkStart w:id="197" w:name="_Toc92095"/>
      <w:bookmarkStart w:id="198" w:name="_Toc92206"/>
      <w:bookmarkStart w:id="199" w:name="_Toc92335"/>
      <w:bookmarkStart w:id="200" w:name="_Toc93202"/>
      <w:bookmarkStart w:id="201" w:name="_Toc94122"/>
      <w:bookmarkStart w:id="202" w:name="_Toc96139"/>
      <w:bookmarkStart w:id="203" w:name="_Toc536861486"/>
      <w:bookmarkStart w:id="204" w:name="_Toc98152"/>
      <w:bookmarkStart w:id="205" w:name="_Toc104720"/>
      <w:bookmarkStart w:id="206" w:name="_Toc104739"/>
      <w:bookmarkStart w:id="207" w:name="_Toc107873"/>
      <w:bookmarkStart w:id="208" w:name="_Toc108324"/>
      <w:bookmarkStart w:id="209" w:name="_Toc108923"/>
      <w:bookmarkStart w:id="210" w:name="_Toc108951"/>
      <w:bookmarkStart w:id="211" w:name="_Toc536861518"/>
      <w:bookmarkStart w:id="212" w:name="_Toc110046"/>
      <w:bookmarkStart w:id="213" w:name="_Toc111823"/>
      <w:bookmarkStart w:id="214" w:name="_Toc112597"/>
      <w:bookmarkStart w:id="215" w:name="_Toc114007"/>
      <w:bookmarkStart w:id="216" w:name="_Toc115763"/>
      <w:bookmarkStart w:id="217" w:name="_Toc115847"/>
      <w:bookmarkStart w:id="218" w:name="_Toc536860363"/>
      <w:bookmarkStart w:id="219" w:name="_Toc121861"/>
      <w:bookmarkStart w:id="220" w:name="_Toc123353"/>
      <w:bookmarkStart w:id="221" w:name="_Toc123651"/>
      <w:bookmarkStart w:id="222" w:name="_Toc123874"/>
      <w:bookmarkStart w:id="223" w:name="_Toc4164501"/>
      <w:bookmarkStart w:id="224" w:name="_Toc4419488"/>
      <w:bookmarkStart w:id="225" w:name="_Toc4419590"/>
      <w:bookmarkStart w:id="226" w:name="_Toc4426692"/>
      <w:bookmarkStart w:id="227" w:name="_Toc4427570"/>
      <w:bookmarkStart w:id="228" w:name="_Toc4496292"/>
      <w:bookmarkStart w:id="229" w:name="_Toc4500970"/>
      <w:bookmarkStart w:id="230" w:name="_Toc4577571"/>
      <w:bookmarkStart w:id="231" w:name="_Toc4579332"/>
      <w:bookmarkStart w:id="232" w:name="_Toc4585963"/>
      <w:bookmarkStart w:id="233" w:name="_Toc4591042"/>
      <w:bookmarkStart w:id="234" w:name="_Toc4591381"/>
      <w:bookmarkStart w:id="235" w:name="_Toc4598688"/>
      <w:bookmarkStart w:id="236" w:name="_Toc4603189"/>
      <w:bookmarkStart w:id="237" w:name="_Toc4753181"/>
      <w:bookmarkStart w:id="238" w:name="_Toc4753952"/>
      <w:bookmarkStart w:id="239" w:name="_Toc4755125"/>
      <w:bookmarkStart w:id="240" w:name="_Toc5029182"/>
      <w:bookmarkStart w:id="241" w:name="_Toc5117708"/>
      <w:bookmarkStart w:id="242" w:name="_Toc5118517"/>
      <w:bookmarkStart w:id="243" w:name="_Toc5118559"/>
      <w:bookmarkStart w:id="244" w:name="_Toc4507184"/>
      <w:bookmarkStart w:id="245" w:name="_Toc5187982"/>
      <w:bookmarkStart w:id="246" w:name="_Toc5196788"/>
      <w:bookmarkStart w:id="247" w:name="_Toc5198534"/>
      <w:bookmarkStart w:id="248" w:name="_Toc5199573"/>
      <w:bookmarkStart w:id="249" w:name="_Toc5199688"/>
      <w:bookmarkStart w:id="250" w:name="_Toc5200550"/>
      <w:bookmarkStart w:id="251" w:name="_Toc5204130"/>
      <w:bookmarkStart w:id="252" w:name="_Toc13049860"/>
      <w:bookmarkStart w:id="253" w:name="_Toc17057986"/>
      <w:r w:rsidRPr="0083051B">
        <w:rPr>
          <w:noProof/>
        </w:rPr>
        <w:lastRenderedPageBreak/>
        <w:drawing>
          <wp:anchor distT="0" distB="144145" distL="215900" distR="114300" simplePos="0" relativeHeight="251658240" behindDoc="0" locked="0" layoutInCell="1" allowOverlap="1" wp14:anchorId="4B3B0E36" wp14:editId="3D387631">
            <wp:simplePos x="0" y="0"/>
            <wp:positionH relativeFrom="margin">
              <wp:align>right</wp:align>
            </wp:positionH>
            <wp:positionV relativeFrom="margin">
              <wp:posOffset>15240</wp:posOffset>
            </wp:positionV>
            <wp:extent cx="1714500" cy="1838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Headshot.png"/>
                    <pic:cNvPicPr/>
                  </pic:nvPicPr>
                  <pic:blipFill rotWithShape="1">
                    <a:blip r:embed="rId30" cstate="print">
                      <a:extLst>
                        <a:ext uri="{28A0092B-C50C-407E-A947-70E740481C1C}">
                          <a14:useLocalDpi xmlns:a14="http://schemas.microsoft.com/office/drawing/2010/main" val="0"/>
                        </a:ext>
                      </a:extLst>
                    </a:blip>
                    <a:srcRect l="3553" r="11271"/>
                    <a:stretch/>
                  </pic:blipFill>
                  <pic:spPr bwMode="auto">
                    <a:xfrm>
                      <a:off x="0" y="0"/>
                      <a:ext cx="1714500" cy="1838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5085" w:rsidRPr="0031417C">
        <w:t>Foreword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16705E" w:rsidRDefault="0016705E" w:rsidP="0016705E">
      <w:pPr>
        <w:jc w:val="both"/>
      </w:pPr>
      <w:r>
        <w:t xml:space="preserve">On 4 February 2019, I released </w:t>
      </w:r>
      <w:r>
        <w:rPr>
          <w:i/>
        </w:rPr>
        <w:t>Restoring trust in Australia’s financial system</w:t>
      </w:r>
      <w:r>
        <w:t>, the Morrison Government’s comprehensive response to the Royal Commission into Misconduct in the Banking, Superannuation and Financial Services Industry. In it, the Government committed to take action on all 76 of the Royal Commission’s recommendations and, in a number of important areas, go further. It represents the largest and most comprehensive corporate and financial services law reform package since the 1990s.</w:t>
      </w:r>
    </w:p>
    <w:p w:rsidR="0016705E" w:rsidRDefault="0016705E" w:rsidP="0016705E">
      <w:r>
        <w:t>Of the Royal Commission’s 76 recommendations, 54 were directed to the Government, 12 to the regulators and 10 to the industry.  Of the 54 recommendations directed to the Government, over 40 require legislation.</w:t>
      </w:r>
    </w:p>
    <w:p w:rsidR="0016705E" w:rsidRDefault="0016705E" w:rsidP="0016705E">
      <w:r>
        <w:t xml:space="preserve">In addition to the Commission’s 76 recommendations, the Government in its response announced a further 18 commitments to address issues raised in the Final Report. </w:t>
      </w:r>
    </w:p>
    <w:p w:rsidR="0016705E" w:rsidRDefault="0016705E" w:rsidP="0016705E">
      <w:r>
        <w:t xml:space="preserve">The Government has implemented 15 of the commitments it outlined in response to the Royal Commission’s Final Report.  This comprises </w:t>
      </w:r>
      <w:r w:rsidR="00473767">
        <w:t>eight</w:t>
      </w:r>
      <w:r>
        <w:t xml:space="preserve"> out of the 54 recommendations that were directed to the Government and </w:t>
      </w:r>
      <w:r w:rsidR="00473767">
        <w:t>seven</w:t>
      </w:r>
      <w:r>
        <w:t xml:space="preserve"> of the 18 additional commitments the Government made as part of its response.  Significant progress has also been made on a further </w:t>
      </w:r>
      <w:r w:rsidR="000B1DF5">
        <w:t>five</w:t>
      </w:r>
      <w:r>
        <w:t xml:space="preserve"> recommendations with draft legislation either introduced to the Parliament, released for comment or detailed consultation papers issued.</w:t>
      </w:r>
    </w:p>
    <w:p w:rsidR="0016705E" w:rsidRDefault="0016705E" w:rsidP="0016705E">
      <w:pPr>
        <w:jc w:val="both"/>
      </w:pPr>
      <w:r>
        <w:t>The Government’s impleme</w:t>
      </w:r>
      <w:r w:rsidR="00DC5286">
        <w:t xml:space="preserve">ntation timetable is ambitious. </w:t>
      </w:r>
      <w:r>
        <w:t xml:space="preserve">Excluding the reviews that are to be conducted in 2022, under the Implementation Roadmap by mid-2020, </w:t>
      </w:r>
      <w:r w:rsidR="00473767">
        <w:t>close to</w:t>
      </w:r>
      <w:r>
        <w:t xml:space="preserve"> 90 per cent of our commitments will have been i</w:t>
      </w:r>
      <w:r w:rsidR="000B1DF5">
        <w:t xml:space="preserve">mplemented. By the end of 2020 </w:t>
      </w:r>
      <w:r>
        <w:t xml:space="preserve">remaining Royal Commission recommendations requiring legislation will have been introduced. </w:t>
      </w:r>
    </w:p>
    <w:p w:rsidR="0016705E" w:rsidRDefault="0016705E" w:rsidP="0016705E">
      <w:pPr>
        <w:jc w:val="both"/>
      </w:pPr>
      <w:r>
        <w:t>In this Implementation Roadmap, we set out how we will deliver on the remaining R</w:t>
      </w:r>
      <w:r w:rsidR="00934239">
        <w:t>oyal Commission recommendations</w:t>
      </w:r>
      <w:r>
        <w:t xml:space="preserve"> and additional actions committed to. This will provide clarity and certainty to consumers, industry and regulators on the roll out of the reforms. </w:t>
      </w:r>
    </w:p>
    <w:p w:rsidR="0016705E" w:rsidRDefault="0016705E" w:rsidP="0016705E">
      <w:r>
        <w:t>Of course, the Government’s actions alone will not be sufficient to address the widespread misconduct identified by the Royal Commission. Individual firms must make the changes needed to their culture and remuneration practices to put consumers at the core of their business.  I expect industry to also align with the urgency and priority the Government is giving to its implementation task.</w:t>
      </w:r>
    </w:p>
    <w:p w:rsidR="0016705E" w:rsidRDefault="0016705E" w:rsidP="0016705E">
      <w:r>
        <w:t xml:space="preserve">The Government will ensure that key firms in the financial sector continue to address the issues identified by the Royal Commission. At the request of Government, the House of Representatives Standing Committee on Economics will inquire into progress made by major financial institutions, including the four major banks, and leading financial services associations in implementing the recommendations of the Royal Commission. As previously announced, we will also establish an independent </w:t>
      </w:r>
      <w:r w:rsidR="00473767">
        <w:t>review</w:t>
      </w:r>
      <w:r>
        <w:t xml:space="preserve"> in three years’ time to assess the extent to which changes in industry practices have led to improved consumer outcomes.</w:t>
      </w:r>
    </w:p>
    <w:p w:rsidR="0016705E" w:rsidRDefault="0016705E" w:rsidP="0016705E">
      <w:pPr>
        <w:pStyle w:val="SingleParagraph"/>
      </w:pPr>
      <w:r>
        <w:t xml:space="preserve">The Government is delivering lasting change in the financial sector to ensure public confidence is restored. </w:t>
      </w:r>
    </w:p>
    <w:p w:rsidR="0016705E" w:rsidRDefault="0016705E" w:rsidP="0016705E">
      <w:pPr>
        <w:pStyle w:val="SingleParagraph"/>
      </w:pPr>
    </w:p>
    <w:p w:rsidR="004B6A7C" w:rsidRDefault="0016705E" w:rsidP="004B6A7C">
      <w:pPr>
        <w:pStyle w:val="SingleParagraph"/>
        <w:rPr>
          <w:szCs w:val="22"/>
        </w:rPr>
        <w:sectPr w:rsidR="004B6A7C" w:rsidSect="00931327">
          <w:headerReference w:type="even" r:id="rId31"/>
          <w:headerReference w:type="default" r:id="rId32"/>
          <w:footerReference w:type="even" r:id="rId33"/>
          <w:footerReference w:type="default" r:id="rId34"/>
          <w:headerReference w:type="first" r:id="rId35"/>
          <w:footerReference w:type="first" r:id="rId36"/>
          <w:pgSz w:w="11906" w:h="16838" w:code="9"/>
          <w:pgMar w:top="1418" w:right="1418" w:bottom="1418" w:left="1418" w:header="709" w:footer="709" w:gutter="0"/>
          <w:pgNumType w:fmt="lowerRoman"/>
          <w:cols w:space="708"/>
          <w:titlePg/>
          <w:docGrid w:linePitch="360"/>
        </w:sectPr>
      </w:pPr>
      <w:r>
        <w:t>The Hon Josh Frydenberg MP</w:t>
      </w:r>
      <w:r>
        <w:br/>
      </w:r>
      <w:r>
        <w:rPr>
          <w:szCs w:val="22"/>
        </w:rPr>
        <w:t>Treasurer</w:t>
      </w:r>
      <w:bookmarkStart w:id="254" w:name="_Toc4164502"/>
      <w:bookmarkStart w:id="255" w:name="_Toc4419489"/>
      <w:bookmarkStart w:id="256" w:name="_Toc4419591"/>
      <w:bookmarkStart w:id="257" w:name="_Toc4426693"/>
      <w:bookmarkStart w:id="258" w:name="_Toc4427571"/>
      <w:bookmarkStart w:id="259" w:name="_Toc4496293"/>
      <w:bookmarkStart w:id="260" w:name="_Toc4500971"/>
      <w:bookmarkStart w:id="261" w:name="_Toc4503483"/>
      <w:bookmarkStart w:id="262" w:name="_Toc4504380"/>
      <w:bookmarkStart w:id="263" w:name="_Toc4507185"/>
      <w:bookmarkStart w:id="264" w:name="_Toc4507253"/>
      <w:bookmarkStart w:id="265" w:name="_Toc4577572"/>
      <w:bookmarkStart w:id="266" w:name="_Toc4579333"/>
      <w:bookmarkStart w:id="267" w:name="_Toc4585964"/>
      <w:bookmarkStart w:id="268" w:name="_Toc4591043"/>
      <w:bookmarkStart w:id="269" w:name="_Toc4591382"/>
      <w:bookmarkStart w:id="270" w:name="_Toc4598689"/>
      <w:bookmarkStart w:id="271" w:name="_Toc4603190"/>
      <w:bookmarkStart w:id="272" w:name="_Toc4753182"/>
      <w:bookmarkStart w:id="273" w:name="_Toc4753953"/>
      <w:bookmarkStart w:id="274" w:name="_Toc4755126"/>
      <w:bookmarkStart w:id="275" w:name="_Toc5029183"/>
      <w:bookmarkStart w:id="276" w:name="_Toc5117709"/>
      <w:bookmarkStart w:id="277" w:name="_Toc5118518"/>
      <w:bookmarkStart w:id="278" w:name="_Toc5118560"/>
      <w:bookmarkStart w:id="279" w:name="_Toc536819821"/>
      <w:bookmarkStart w:id="280" w:name="_Toc536827958"/>
      <w:bookmarkStart w:id="281" w:name="_Toc536801059"/>
      <w:bookmarkStart w:id="282" w:name="_Toc536801404"/>
      <w:bookmarkStart w:id="283" w:name="_Toc536802896"/>
      <w:bookmarkStart w:id="284" w:name="_Toc536803033"/>
      <w:bookmarkStart w:id="285" w:name="_Toc536804206"/>
      <w:bookmarkStart w:id="286" w:name="_Toc536804316"/>
      <w:bookmarkStart w:id="287" w:name="_Toc536804396"/>
      <w:bookmarkStart w:id="288" w:name="_Toc536805209"/>
      <w:bookmarkStart w:id="289" w:name="_Toc536805600"/>
      <w:bookmarkStart w:id="290" w:name="_Toc536805943"/>
      <w:bookmarkStart w:id="291" w:name="_Toc536806516"/>
      <w:bookmarkStart w:id="292" w:name="_Toc536807717"/>
      <w:bookmarkStart w:id="293" w:name="_Toc536808264"/>
      <w:bookmarkStart w:id="294" w:name="_Toc536809089"/>
      <w:bookmarkStart w:id="295" w:name="_Toc536809219"/>
      <w:bookmarkStart w:id="296" w:name="_Toc536811093"/>
      <w:bookmarkStart w:id="297" w:name="_Toc536811388"/>
      <w:bookmarkStart w:id="298" w:name="_Toc536811990"/>
      <w:bookmarkStart w:id="299" w:name="_Toc536812021"/>
      <w:bookmarkStart w:id="300" w:name="_Toc536813276"/>
      <w:bookmarkStart w:id="301" w:name="_Toc536815975"/>
      <w:bookmarkStart w:id="302" w:name="_Toc536816283"/>
      <w:bookmarkStart w:id="303" w:name="_Toc536816908"/>
      <w:bookmarkStart w:id="304" w:name="_Toc536817142"/>
      <w:bookmarkStart w:id="305" w:name="_Toc536817855"/>
      <w:bookmarkStart w:id="306" w:name="_Toc536818148"/>
      <w:bookmarkStart w:id="307" w:name="_Toc536818371"/>
      <w:bookmarkStart w:id="308" w:name="_Toc536818524"/>
      <w:bookmarkStart w:id="309" w:name="_Toc536821575"/>
      <w:bookmarkStart w:id="310" w:name="_Toc536823452"/>
      <w:bookmarkStart w:id="311" w:name="_Toc536824355"/>
      <w:bookmarkStart w:id="312" w:name="_Toc536824587"/>
      <w:bookmarkStart w:id="313" w:name="_Toc536827834"/>
      <w:bookmarkStart w:id="314" w:name="_Toc536828735"/>
      <w:bookmarkStart w:id="315" w:name="_Toc536828815"/>
      <w:bookmarkStart w:id="316" w:name="_Toc536828840"/>
      <w:bookmarkStart w:id="317" w:name="_Toc536860105"/>
      <w:bookmarkStart w:id="318" w:name="_Toc536860338"/>
      <w:bookmarkStart w:id="319" w:name="_Toc536860378"/>
      <w:bookmarkStart w:id="320" w:name="_Toc536860500"/>
      <w:bookmarkStart w:id="321" w:name="_Toc536860594"/>
      <w:bookmarkStart w:id="322" w:name="_Toc536861139"/>
      <w:bookmarkStart w:id="323" w:name="_Toc536861447"/>
      <w:bookmarkStart w:id="324" w:name="_Toc536861463"/>
      <w:bookmarkStart w:id="325" w:name="_Toc536865376"/>
      <w:bookmarkStart w:id="326" w:name="_Toc536865580"/>
      <w:bookmarkStart w:id="327" w:name="_Toc536809227"/>
      <w:bookmarkStart w:id="328" w:name="_Toc536865612"/>
      <w:bookmarkStart w:id="329" w:name="_Toc536865533"/>
      <w:bookmarkStart w:id="330" w:name="_Toc5617"/>
      <w:bookmarkStart w:id="331" w:name="_Toc536861431"/>
      <w:bookmarkStart w:id="332" w:name="_Toc536865636"/>
      <w:bookmarkStart w:id="333" w:name="_Toc536865629"/>
      <w:bookmarkStart w:id="334" w:name="_Toc10154"/>
      <w:bookmarkStart w:id="335" w:name="_Toc9305"/>
      <w:bookmarkStart w:id="336" w:name="_Toc9902"/>
      <w:bookmarkStart w:id="337" w:name="_Toc10164"/>
      <w:bookmarkStart w:id="338" w:name="_Toc20643"/>
      <w:bookmarkStart w:id="339" w:name="_Toc22925"/>
      <w:bookmarkStart w:id="340" w:name="_Toc28098"/>
      <w:bookmarkStart w:id="341" w:name="_Toc30092"/>
      <w:bookmarkStart w:id="342" w:name="_Toc31304"/>
      <w:bookmarkStart w:id="343" w:name="_Toc536861439"/>
      <w:bookmarkStart w:id="344" w:name="_Toc90060"/>
      <w:bookmarkStart w:id="345" w:name="_Toc90258"/>
      <w:bookmarkStart w:id="346" w:name="_Toc536865709"/>
      <w:bookmarkStart w:id="347" w:name="_Toc91029"/>
      <w:bookmarkStart w:id="348" w:name="_Toc91231"/>
      <w:bookmarkStart w:id="349" w:name="_Toc92096"/>
      <w:bookmarkStart w:id="350" w:name="_Toc92207"/>
      <w:bookmarkStart w:id="351" w:name="_Toc92336"/>
      <w:bookmarkStart w:id="352" w:name="_Toc93203"/>
      <w:bookmarkStart w:id="353" w:name="_Toc94123"/>
      <w:bookmarkStart w:id="354" w:name="_Toc96140"/>
      <w:bookmarkStart w:id="355" w:name="_Toc536861487"/>
      <w:bookmarkStart w:id="356" w:name="_Toc98153"/>
      <w:bookmarkStart w:id="357" w:name="_Toc104721"/>
      <w:bookmarkStart w:id="358" w:name="_Toc104740"/>
      <w:bookmarkStart w:id="359" w:name="_Toc107874"/>
      <w:bookmarkStart w:id="360" w:name="_Toc108325"/>
      <w:bookmarkStart w:id="361" w:name="_Toc108924"/>
      <w:bookmarkStart w:id="362" w:name="_Toc108952"/>
      <w:bookmarkStart w:id="363" w:name="_Toc536861519"/>
      <w:bookmarkStart w:id="364" w:name="_Toc110047"/>
      <w:bookmarkStart w:id="365" w:name="_Toc111824"/>
      <w:bookmarkStart w:id="366" w:name="_Toc112598"/>
      <w:bookmarkStart w:id="367" w:name="_Toc114008"/>
      <w:bookmarkStart w:id="368" w:name="_Toc115764"/>
      <w:bookmarkStart w:id="369" w:name="_Toc115848"/>
      <w:bookmarkStart w:id="370" w:name="_Toc536860364"/>
      <w:bookmarkStart w:id="371" w:name="_Toc121862"/>
      <w:bookmarkStart w:id="372" w:name="_Toc123354"/>
      <w:bookmarkStart w:id="373" w:name="_Toc123652"/>
      <w:bookmarkStart w:id="374" w:name="_Toc123875"/>
    </w:p>
    <w:p w:rsidR="00133BBA" w:rsidRDefault="006E1958" w:rsidP="00133BBA">
      <w:pPr>
        <w:pStyle w:val="Heading1"/>
      </w:pPr>
      <w:bookmarkStart w:id="375" w:name="_Toc5187983"/>
      <w:bookmarkStart w:id="376" w:name="_Toc5196789"/>
      <w:bookmarkStart w:id="377" w:name="_Toc5198535"/>
      <w:bookmarkStart w:id="378" w:name="_Toc5199574"/>
      <w:bookmarkStart w:id="379" w:name="_Toc5199689"/>
      <w:bookmarkStart w:id="380" w:name="_Toc5200551"/>
      <w:bookmarkStart w:id="381" w:name="_Toc5204131"/>
      <w:bookmarkStart w:id="382" w:name="_Toc13049861"/>
      <w:bookmarkStart w:id="383" w:name="_Toc17057987"/>
      <w:r>
        <w:lastRenderedPageBreak/>
        <w:t>An i</w:t>
      </w:r>
      <w:r w:rsidR="00133BBA">
        <w:t xml:space="preserve">mplementation </w:t>
      </w:r>
      <w:r>
        <w:t>r</w:t>
      </w:r>
      <w:r w:rsidR="00133BBA">
        <w:t>oadmap</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375"/>
      <w:bookmarkEnd w:id="376"/>
      <w:bookmarkEnd w:id="377"/>
      <w:bookmarkEnd w:id="378"/>
      <w:bookmarkEnd w:id="379"/>
      <w:bookmarkEnd w:id="380"/>
      <w:bookmarkEnd w:id="381"/>
      <w:bookmarkEnd w:id="382"/>
      <w:bookmarkEnd w:id="383"/>
    </w:p>
    <w:p w:rsidR="008120A3" w:rsidRPr="008120A3" w:rsidRDefault="008120A3" w:rsidP="00085AD4">
      <w:pPr>
        <w:pStyle w:val="Heading2"/>
      </w:pPr>
      <w:bookmarkStart w:id="384" w:name="_Toc4164503"/>
      <w:bookmarkStart w:id="385" w:name="_Toc4419490"/>
      <w:bookmarkStart w:id="386" w:name="_Toc4419592"/>
      <w:bookmarkStart w:id="387" w:name="_Toc4426694"/>
      <w:bookmarkStart w:id="388" w:name="_Toc4427572"/>
      <w:bookmarkStart w:id="389" w:name="_Toc4496294"/>
      <w:bookmarkStart w:id="390" w:name="_Toc4500972"/>
      <w:bookmarkStart w:id="391" w:name="_Toc4503484"/>
      <w:bookmarkStart w:id="392" w:name="_Toc4504381"/>
      <w:bookmarkStart w:id="393" w:name="_Toc4507186"/>
      <w:bookmarkStart w:id="394" w:name="_Toc4507254"/>
      <w:bookmarkStart w:id="395" w:name="_Toc4577573"/>
      <w:bookmarkStart w:id="396" w:name="_Toc4579334"/>
      <w:bookmarkStart w:id="397" w:name="_Toc4585965"/>
      <w:bookmarkStart w:id="398" w:name="_Toc4591044"/>
      <w:bookmarkStart w:id="399" w:name="_Toc4591383"/>
      <w:bookmarkStart w:id="400" w:name="_Toc4598690"/>
      <w:bookmarkStart w:id="401" w:name="_Toc4603191"/>
      <w:bookmarkStart w:id="402" w:name="_Toc4753183"/>
      <w:bookmarkStart w:id="403" w:name="_Toc4753954"/>
      <w:bookmarkStart w:id="404" w:name="_Toc4755127"/>
      <w:bookmarkStart w:id="405" w:name="_Toc5029184"/>
      <w:bookmarkStart w:id="406" w:name="_Toc5117710"/>
      <w:bookmarkStart w:id="407" w:name="_Toc5118519"/>
      <w:bookmarkStart w:id="408" w:name="_Toc5118561"/>
      <w:bookmarkStart w:id="409" w:name="_Toc5187984"/>
      <w:bookmarkStart w:id="410" w:name="_Toc5196790"/>
      <w:bookmarkStart w:id="411" w:name="_Toc5198536"/>
      <w:bookmarkStart w:id="412" w:name="_Toc5199575"/>
      <w:bookmarkStart w:id="413" w:name="_Toc5199690"/>
      <w:bookmarkStart w:id="414" w:name="_Toc5200552"/>
      <w:bookmarkStart w:id="415" w:name="_Toc5204132"/>
      <w:bookmarkStart w:id="416" w:name="_Toc13049862"/>
      <w:bookmarkStart w:id="417" w:name="_Toc17057988"/>
      <w:r w:rsidRPr="008120A3">
        <w:t>The Government</w:t>
      </w:r>
      <w:r w:rsidR="00EE11E4">
        <w:t>’s</w:t>
      </w:r>
      <w:r w:rsidRPr="008120A3">
        <w:t xml:space="preserve"> </w:t>
      </w:r>
      <w:r w:rsidRPr="00085AD4">
        <w:t>comprehensive</w:t>
      </w:r>
      <w:r w:rsidRPr="008120A3">
        <w:t xml:space="preserve"> reform agenda</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E87505" w:rsidRDefault="006E1958" w:rsidP="00D7334B">
      <w:r>
        <w:t xml:space="preserve">The </w:t>
      </w:r>
      <w:r w:rsidR="008120A3">
        <w:t>Government</w:t>
      </w:r>
      <w:r>
        <w:t xml:space="preserve">’s </w:t>
      </w:r>
      <w:r w:rsidR="008120A3">
        <w:t>response to the Royal Commission</w:t>
      </w:r>
      <w:r>
        <w:t>,</w:t>
      </w:r>
      <w:r w:rsidR="008120A3" w:rsidRPr="003C3E01">
        <w:t xml:space="preserve"> </w:t>
      </w:r>
      <w:r w:rsidRPr="00623B32">
        <w:rPr>
          <w:i/>
        </w:rPr>
        <w:t>Restoring trust in Australia’s financial system</w:t>
      </w:r>
      <w:r>
        <w:rPr>
          <w:i/>
        </w:rPr>
        <w:t xml:space="preserve">, </w:t>
      </w:r>
      <w:r w:rsidR="008120A3">
        <w:t>committ</w:t>
      </w:r>
      <w:r>
        <w:t>ed</w:t>
      </w:r>
      <w:r w:rsidR="008120A3">
        <w:t xml:space="preserve"> </w:t>
      </w:r>
      <w:r>
        <w:t xml:space="preserve">the Government to </w:t>
      </w:r>
      <w:r w:rsidR="00506944">
        <w:t xml:space="preserve">taking </w:t>
      </w:r>
      <w:r w:rsidR="008120A3">
        <w:t xml:space="preserve">action on all 76 recommendations </w:t>
      </w:r>
      <w:r>
        <w:t>of the Royal Commission</w:t>
      </w:r>
      <w:r w:rsidR="008120A3" w:rsidRPr="005468EB">
        <w:t>.</w:t>
      </w:r>
    </w:p>
    <w:p w:rsidR="00D7334B" w:rsidRDefault="00DE4C06" w:rsidP="00D7334B">
      <w:r>
        <w:t>Of the 76 recommendations, 54 were directed to Government</w:t>
      </w:r>
      <w:r w:rsidR="00196706">
        <w:t xml:space="preserve">. </w:t>
      </w:r>
      <w:r>
        <w:t xml:space="preserve">18 further </w:t>
      </w:r>
      <w:r w:rsidRPr="00DE4C06">
        <w:t>commitments</w:t>
      </w:r>
      <w:r>
        <w:t xml:space="preserve"> were</w:t>
      </w:r>
      <w:r w:rsidRPr="00DE4C06">
        <w:t xml:space="preserve"> made by the Gov</w:t>
      </w:r>
      <w:r>
        <w:t xml:space="preserve">ernment based on comments and observations in the Royal Commission’s final report.   </w:t>
      </w:r>
    </w:p>
    <w:p w:rsidR="008120A3" w:rsidRDefault="00623B32" w:rsidP="008120A3">
      <w:r>
        <w:t xml:space="preserve">The </w:t>
      </w:r>
      <w:r w:rsidR="008120A3">
        <w:t xml:space="preserve">response represents a comprehensive package of reforms </w:t>
      </w:r>
      <w:r w:rsidR="00591AF2">
        <w:t>to:</w:t>
      </w:r>
    </w:p>
    <w:p w:rsidR="008120A3" w:rsidRDefault="00C67174" w:rsidP="009160FC">
      <w:pPr>
        <w:pStyle w:val="Bullet"/>
      </w:pPr>
      <w:r>
        <w:t>s</w:t>
      </w:r>
      <w:r w:rsidR="008120A3">
        <w:t>trengthen and expand protections for consumers, small businesses and those in rural and remote communities;</w:t>
      </w:r>
    </w:p>
    <w:p w:rsidR="00930046" w:rsidRDefault="00930046" w:rsidP="009160FC">
      <w:pPr>
        <w:pStyle w:val="Bullet"/>
      </w:pPr>
      <w:r>
        <w:t>ensure we have strong, effective regulators;</w:t>
      </w:r>
    </w:p>
    <w:p w:rsidR="008120A3" w:rsidRDefault="00D41267" w:rsidP="009160FC">
      <w:pPr>
        <w:pStyle w:val="Bullet"/>
      </w:pPr>
      <w:r>
        <w:t>enhance</w:t>
      </w:r>
      <w:r w:rsidR="000007BF">
        <w:t xml:space="preserve"> the </w:t>
      </w:r>
      <w:r w:rsidR="008120A3">
        <w:t>accountability of financial firms</w:t>
      </w:r>
      <w:r w:rsidR="00F4741A">
        <w:t>, their senior executives and boards</w:t>
      </w:r>
      <w:r w:rsidR="008120A3">
        <w:t>;</w:t>
      </w:r>
      <w:r w:rsidR="00930046">
        <w:t xml:space="preserve"> and</w:t>
      </w:r>
    </w:p>
    <w:p w:rsidR="008120A3" w:rsidRDefault="00756C3D" w:rsidP="009160FC">
      <w:pPr>
        <w:pStyle w:val="Bullet"/>
      </w:pPr>
      <w:r>
        <w:t>further improve remediation and redress for consumers and small businesses harmed by misconduct</w:t>
      </w:r>
      <w:r w:rsidR="008120A3">
        <w:t>.</w:t>
      </w:r>
    </w:p>
    <w:p w:rsidR="000E7142" w:rsidRPr="000E7142" w:rsidDel="00D7334B" w:rsidRDefault="00EF2D7B" w:rsidP="000E7142">
      <w:r w:rsidRPr="00FB5827" w:rsidDel="00D7334B">
        <w:t xml:space="preserve">In addition to the </w:t>
      </w:r>
      <w:r w:rsidR="005468EB" w:rsidRPr="00467669" w:rsidDel="00D7334B">
        <w:t xml:space="preserve">recommendations </w:t>
      </w:r>
      <w:r w:rsidR="00106048" w:rsidDel="00D7334B">
        <w:t>the</w:t>
      </w:r>
      <w:r w:rsidR="0064302E" w:rsidRPr="000259A6" w:rsidDel="00D7334B">
        <w:t xml:space="preserve"> </w:t>
      </w:r>
      <w:r w:rsidRPr="00CE0592" w:rsidDel="00D7334B">
        <w:t xml:space="preserve">Government </w:t>
      </w:r>
      <w:r w:rsidR="0064302E" w:rsidRPr="00CE0592" w:rsidDel="00D7334B">
        <w:t>will</w:t>
      </w:r>
      <w:r w:rsidRPr="00CE0592" w:rsidDel="00D7334B">
        <w:t xml:space="preserve"> progress, </w:t>
      </w:r>
      <w:r w:rsidR="00CE0592" w:rsidRPr="00CE0592" w:rsidDel="00D7334B">
        <w:t>1</w:t>
      </w:r>
      <w:r w:rsidR="00471B94" w:rsidDel="00D7334B">
        <w:t>2</w:t>
      </w:r>
      <w:r w:rsidR="00CE0592" w:rsidRPr="00CE0592" w:rsidDel="00D7334B">
        <w:t> </w:t>
      </w:r>
      <w:r w:rsidRPr="00CE0592" w:rsidDel="00D7334B">
        <w:t xml:space="preserve">recommendations require action by the regulators — </w:t>
      </w:r>
      <w:r w:rsidR="005468EB" w:rsidRPr="00CE0592" w:rsidDel="00D7334B">
        <w:t>the Australian Securities</w:t>
      </w:r>
      <w:r w:rsidRPr="00CE0592" w:rsidDel="00D7334B">
        <w:t xml:space="preserve"> and </w:t>
      </w:r>
      <w:r w:rsidR="005468EB" w:rsidRPr="00CE0592" w:rsidDel="00D7334B">
        <w:t>Investments Commission (</w:t>
      </w:r>
      <w:r w:rsidRPr="00CE0592" w:rsidDel="00D7334B">
        <w:t>ASIC</w:t>
      </w:r>
      <w:r w:rsidR="005468EB" w:rsidRPr="00CE0592" w:rsidDel="00D7334B">
        <w:t>)</w:t>
      </w:r>
      <w:r w:rsidRPr="00CE0592" w:rsidDel="00D7334B">
        <w:t xml:space="preserve"> and </w:t>
      </w:r>
      <w:r w:rsidR="005468EB" w:rsidRPr="00CE0592" w:rsidDel="00D7334B">
        <w:t>the Australian Prudential Regulation Authority (</w:t>
      </w:r>
      <w:r w:rsidRPr="00CE0592" w:rsidDel="00D7334B">
        <w:t>APRA</w:t>
      </w:r>
      <w:r w:rsidR="005468EB" w:rsidRPr="00CE0592" w:rsidDel="00D7334B">
        <w:t>)</w:t>
      </w:r>
      <w:r w:rsidRPr="00CE0592" w:rsidDel="00D7334B">
        <w:t xml:space="preserve"> — and 10 recommendations </w:t>
      </w:r>
      <w:r w:rsidR="00EB5B5C" w:rsidRPr="00CE0592" w:rsidDel="00D7334B">
        <w:t xml:space="preserve">require action </w:t>
      </w:r>
      <w:r w:rsidRPr="00CE0592" w:rsidDel="00D7334B">
        <w:t xml:space="preserve">by industry. </w:t>
      </w:r>
    </w:p>
    <w:p w:rsidR="008120A3" w:rsidRPr="008120A3" w:rsidRDefault="002E6D80" w:rsidP="008120A3">
      <w:pPr>
        <w:pStyle w:val="Heading2"/>
      </w:pPr>
      <w:bookmarkStart w:id="418" w:name="_Toc13049863"/>
      <w:bookmarkStart w:id="419" w:name="_Toc17057989"/>
      <w:r>
        <w:t>Significant progress has already been made</w:t>
      </w:r>
      <w:bookmarkEnd w:id="418"/>
      <w:bookmarkEnd w:id="419"/>
    </w:p>
    <w:p w:rsidR="006D05C4" w:rsidRPr="00C95C85" w:rsidRDefault="00AE3C16" w:rsidP="00A07F36">
      <w:r>
        <w:t xml:space="preserve">Upon </w:t>
      </w:r>
      <w:r w:rsidR="008C234A">
        <w:t xml:space="preserve">releasing </w:t>
      </w:r>
      <w:r w:rsidR="00CE0592">
        <w:t xml:space="preserve">the </w:t>
      </w:r>
      <w:r>
        <w:t>Government</w:t>
      </w:r>
      <w:r w:rsidR="00CE0592">
        <w:t>’s</w:t>
      </w:r>
      <w:r>
        <w:t xml:space="preserve"> response</w:t>
      </w:r>
      <w:r w:rsidR="008C234A">
        <w:t xml:space="preserve">, </w:t>
      </w:r>
      <w:r>
        <w:t xml:space="preserve">we immediately </w:t>
      </w:r>
      <w:r w:rsidR="004B2B31">
        <w:t>began taking action to</w:t>
      </w:r>
      <w:r>
        <w:t xml:space="preserve"> implement</w:t>
      </w:r>
      <w:r w:rsidR="001502D8">
        <w:t xml:space="preserve"> </w:t>
      </w:r>
      <w:r w:rsidR="00106048">
        <w:t>our reform agenda</w:t>
      </w:r>
      <w:r w:rsidR="001502D8">
        <w:t xml:space="preserve">. </w:t>
      </w:r>
      <w:r w:rsidR="00DD0546">
        <w:t>To date, t</w:t>
      </w:r>
      <w:r w:rsidR="00AA7292">
        <w:t xml:space="preserve">he Government has </w:t>
      </w:r>
      <w:r w:rsidR="00AA7292" w:rsidRPr="00AA7292">
        <w:t xml:space="preserve">implemented </w:t>
      </w:r>
      <w:r w:rsidR="009D4950">
        <w:t>1</w:t>
      </w:r>
      <w:r w:rsidR="003515F0">
        <w:t>5</w:t>
      </w:r>
      <w:r w:rsidR="009D4950">
        <w:t xml:space="preserve"> </w:t>
      </w:r>
      <w:r w:rsidR="001502D8">
        <w:t xml:space="preserve">commitments </w:t>
      </w:r>
      <w:r w:rsidR="00AA7292">
        <w:t xml:space="preserve">and </w:t>
      </w:r>
      <w:r w:rsidR="00AA7292" w:rsidRPr="00AA7292">
        <w:t>ha</w:t>
      </w:r>
      <w:r w:rsidR="00874603">
        <w:t>s</w:t>
      </w:r>
      <w:r w:rsidR="00AA7292" w:rsidRPr="00AA7292">
        <w:t xml:space="preserve"> progressed </w:t>
      </w:r>
      <w:r w:rsidR="00F053FA">
        <w:t xml:space="preserve">publicly the </w:t>
      </w:r>
      <w:r w:rsidR="00AA7292" w:rsidRPr="00AA7292">
        <w:t xml:space="preserve">implementation of </w:t>
      </w:r>
      <w:r w:rsidR="00CE0592">
        <w:t xml:space="preserve">another </w:t>
      </w:r>
      <w:r w:rsidR="00FF4A99">
        <w:t>five</w:t>
      </w:r>
      <w:r w:rsidR="00FF4A99" w:rsidRPr="00AA7292">
        <w:t xml:space="preserve"> </w:t>
      </w:r>
      <w:r w:rsidR="001502D8">
        <w:t>commitments</w:t>
      </w:r>
      <w:r w:rsidR="00EB5B5C">
        <w:t xml:space="preserve"> (Table 1)</w:t>
      </w:r>
      <w:r w:rsidR="00AA7292">
        <w:t>.</w:t>
      </w:r>
    </w:p>
    <w:p w:rsidR="00A07F36" w:rsidRDefault="00A07F36">
      <w:pPr>
        <w:spacing w:after="160" w:line="259" w:lineRule="auto"/>
      </w:pPr>
      <w:r>
        <w:br w:type="page"/>
      </w:r>
    </w:p>
    <w:p w:rsidR="00A07F36" w:rsidRPr="00CE0C85" w:rsidRDefault="00A07F36" w:rsidP="00A07F36">
      <w:pPr>
        <w:pStyle w:val="TableMainHeading"/>
        <w:jc w:val="left"/>
        <w:rPr>
          <w:b/>
        </w:rPr>
      </w:pPr>
      <w:r w:rsidRPr="00CE0C85">
        <w:rPr>
          <w:b/>
        </w:rPr>
        <w:lastRenderedPageBreak/>
        <w:t xml:space="preserve">Table 1: </w:t>
      </w:r>
      <w:r w:rsidR="000C75AF" w:rsidRPr="00CE0C85">
        <w:rPr>
          <w:b/>
        </w:rPr>
        <w:t>Government actions to date</w:t>
      </w:r>
    </w:p>
    <w:tbl>
      <w:tblPr>
        <w:tblW w:w="9071" w:type="dxa"/>
        <w:tblInd w:w="-3" w:type="dxa"/>
        <w:tblBorders>
          <w:top w:val="single" w:sz="2" w:space="0" w:color="3A6FAF" w:themeColor="accent2"/>
          <w:left w:val="single" w:sz="2" w:space="0" w:color="3A6FAF" w:themeColor="accent2"/>
          <w:bottom w:val="single" w:sz="2" w:space="0" w:color="3A6FAF" w:themeColor="accent2"/>
          <w:right w:val="single" w:sz="2" w:space="0" w:color="3A6FAF" w:themeColor="accent2"/>
          <w:insideH w:val="single" w:sz="2" w:space="0" w:color="3A6FAF" w:themeColor="accent2"/>
          <w:insideV w:val="single" w:sz="2" w:space="0" w:color="3A6FAF" w:themeColor="accent2"/>
        </w:tblBorders>
        <w:tblLayout w:type="fixed"/>
        <w:tblLook w:val="04A0" w:firstRow="1" w:lastRow="0" w:firstColumn="1" w:lastColumn="0" w:noHBand="0" w:noVBand="1"/>
      </w:tblPr>
      <w:tblGrid>
        <w:gridCol w:w="1191"/>
        <w:gridCol w:w="7880"/>
      </w:tblGrid>
      <w:tr w:rsidR="000C75AF" w:rsidTr="00B94A87">
        <w:trPr>
          <w:cantSplit/>
          <w:trHeight w:val="20"/>
          <w:tblHeader/>
        </w:trPr>
        <w:tc>
          <w:tcPr>
            <w:tcW w:w="1191" w:type="dxa"/>
            <w:shd w:val="clear" w:color="auto" w:fill="3A6FAF" w:themeFill="accent2"/>
            <w:vAlign w:val="bottom"/>
          </w:tcPr>
          <w:p w:rsidR="000C75AF" w:rsidRDefault="000C75AF" w:rsidP="006A170A">
            <w:pPr>
              <w:pStyle w:val="TableColumnHeadingLeft"/>
            </w:pPr>
            <w:r>
              <w:t>Stage</w:t>
            </w:r>
          </w:p>
        </w:tc>
        <w:tc>
          <w:tcPr>
            <w:tcW w:w="7880" w:type="dxa"/>
            <w:shd w:val="clear" w:color="auto" w:fill="3A6FAF" w:themeFill="accent2"/>
            <w:vAlign w:val="bottom"/>
          </w:tcPr>
          <w:p w:rsidR="000C75AF" w:rsidRDefault="00B61E02" w:rsidP="00B61E02">
            <w:pPr>
              <w:pStyle w:val="TableColumnHeadingLeft"/>
            </w:pPr>
            <w:r>
              <w:t xml:space="preserve">Recommendation or commitment </w:t>
            </w:r>
          </w:p>
        </w:tc>
      </w:tr>
      <w:tr w:rsidR="009D29A2" w:rsidTr="002B335F">
        <w:trPr>
          <w:cantSplit/>
          <w:trHeight w:val="1516"/>
        </w:trPr>
        <w:tc>
          <w:tcPr>
            <w:tcW w:w="1191" w:type="dxa"/>
            <w:vMerge w:val="restart"/>
          </w:tcPr>
          <w:p w:rsidR="009D29A2" w:rsidRPr="004454F4" w:rsidRDefault="009D29A2" w:rsidP="003B1F25">
            <w:pPr>
              <w:pStyle w:val="TableTextLeft"/>
              <w:rPr>
                <w:b/>
              </w:rPr>
            </w:pPr>
            <w:r w:rsidRPr="004454F4">
              <w:rPr>
                <w:b/>
              </w:rPr>
              <w:t>Completed</w:t>
            </w:r>
          </w:p>
          <w:p w:rsidR="009D29A2" w:rsidRDefault="009D29A2" w:rsidP="003B1F25">
            <w:pPr>
              <w:pStyle w:val="TableTextLeft"/>
            </w:pPr>
          </w:p>
          <w:p w:rsidR="009D29A2" w:rsidRDefault="009D29A2" w:rsidP="003B1F25">
            <w:pPr>
              <w:pStyle w:val="TableTextLeft"/>
            </w:pPr>
          </w:p>
          <w:p w:rsidR="009D29A2" w:rsidRDefault="009D29A2" w:rsidP="003B1F25">
            <w:pPr>
              <w:pStyle w:val="TableTextLeft"/>
            </w:pPr>
          </w:p>
          <w:p w:rsidR="009D29A2" w:rsidRDefault="009D29A2" w:rsidP="003B1F25">
            <w:pPr>
              <w:pStyle w:val="TableTextLeft"/>
            </w:pPr>
          </w:p>
          <w:p w:rsidR="009D29A2" w:rsidRDefault="009D29A2" w:rsidP="003B1F25">
            <w:pPr>
              <w:pStyle w:val="TableTextLeft"/>
            </w:pPr>
          </w:p>
          <w:p w:rsidR="009D29A2" w:rsidRDefault="009D29A2" w:rsidP="003B1F25">
            <w:pPr>
              <w:pStyle w:val="TableTextLeft"/>
            </w:pPr>
          </w:p>
          <w:p w:rsidR="009D29A2" w:rsidRPr="004454F4" w:rsidRDefault="009D29A2" w:rsidP="00B94A87">
            <w:pPr>
              <w:pStyle w:val="TableTextLeft"/>
              <w:rPr>
                <w:b/>
              </w:rPr>
            </w:pPr>
          </w:p>
        </w:tc>
        <w:tc>
          <w:tcPr>
            <w:tcW w:w="7880" w:type="dxa"/>
          </w:tcPr>
          <w:p w:rsidR="009D29A2" w:rsidRPr="006B369E" w:rsidRDefault="009D29A2" w:rsidP="003B1F25">
            <w:pPr>
              <w:pStyle w:val="TableTextLeft"/>
              <w:rPr>
                <w:b/>
              </w:rPr>
            </w:pPr>
            <w:r>
              <w:rPr>
                <w:b/>
              </w:rPr>
              <w:t>Recommendation 3.6 — No treating of employers</w:t>
            </w:r>
          </w:p>
          <w:p w:rsidR="009D29A2" w:rsidRPr="00521995" w:rsidRDefault="009D29A2" w:rsidP="003B1F25">
            <w:pPr>
              <w:pStyle w:val="TableTextLeft"/>
              <w:rPr>
                <w:b/>
              </w:rPr>
            </w:pPr>
            <w:r>
              <w:rPr>
                <w:b/>
              </w:rPr>
              <w:t xml:space="preserve">Recommendation 3.7 — Civil penalties for breach of covenants and like obligations </w:t>
            </w:r>
          </w:p>
          <w:p w:rsidR="009D29A2" w:rsidRDefault="009D29A2" w:rsidP="003B1F25">
            <w:pPr>
              <w:pStyle w:val="TableTextLeft"/>
              <w:rPr>
                <w:b/>
              </w:rPr>
            </w:pPr>
            <w:r w:rsidRPr="00BE35DC">
              <w:t xml:space="preserve">These changes were implemented as part of the </w:t>
            </w:r>
            <w:r w:rsidRPr="00D1023F">
              <w:rPr>
                <w:i/>
              </w:rPr>
              <w:t>Treasury Laws Amendment (Improving Accountability and Member Outcomes in Superannuation Measures No. 1) Act 2019</w:t>
            </w:r>
            <w:r w:rsidRPr="00BE35DC" w:rsidDel="00B22EDA">
              <w:t xml:space="preserve">, </w:t>
            </w:r>
            <w:r w:rsidRPr="00BE35DC">
              <w:t xml:space="preserve">which received Royal Assent </w:t>
            </w:r>
            <w:r w:rsidRPr="00CA77F6">
              <w:t>on 5 April 2019</w:t>
            </w:r>
            <w:r w:rsidRPr="00BE35DC">
              <w:t>.</w:t>
            </w:r>
          </w:p>
        </w:tc>
      </w:tr>
      <w:tr w:rsidR="009D29A2" w:rsidTr="00B94A87">
        <w:trPr>
          <w:cantSplit/>
          <w:trHeight w:val="20"/>
        </w:trPr>
        <w:tc>
          <w:tcPr>
            <w:tcW w:w="1191" w:type="dxa"/>
            <w:vMerge/>
          </w:tcPr>
          <w:p w:rsidR="009D29A2" w:rsidRDefault="009D29A2" w:rsidP="00B94A87">
            <w:pPr>
              <w:pStyle w:val="TableTextLeft"/>
            </w:pPr>
          </w:p>
        </w:tc>
        <w:tc>
          <w:tcPr>
            <w:tcW w:w="7880" w:type="dxa"/>
          </w:tcPr>
          <w:p w:rsidR="009D29A2" w:rsidRPr="00264E5E" w:rsidRDefault="009D29A2" w:rsidP="003B1F25">
            <w:pPr>
              <w:pStyle w:val="TableTextLeft"/>
              <w:rPr>
                <w:b/>
              </w:rPr>
            </w:pPr>
            <w:r w:rsidRPr="00264E5E">
              <w:rPr>
                <w:b/>
              </w:rPr>
              <w:t>Recommendation 4.11</w:t>
            </w:r>
            <w:r>
              <w:rPr>
                <w:b/>
              </w:rPr>
              <w:t xml:space="preserve"> — </w:t>
            </w:r>
            <w:r w:rsidRPr="00264E5E">
              <w:rPr>
                <w:b/>
              </w:rPr>
              <w:t xml:space="preserve">Require financial firms to cooperate with </w:t>
            </w:r>
            <w:r>
              <w:rPr>
                <w:b/>
              </w:rPr>
              <w:t>the Australian Financial Complaints Authority (</w:t>
            </w:r>
            <w:r w:rsidRPr="00264E5E">
              <w:rPr>
                <w:b/>
              </w:rPr>
              <w:t>AFCA</w:t>
            </w:r>
            <w:r>
              <w:rPr>
                <w:b/>
              </w:rPr>
              <w:t>)</w:t>
            </w:r>
          </w:p>
          <w:p w:rsidR="009D29A2" w:rsidRPr="00264E5E" w:rsidRDefault="009D29A2" w:rsidP="003B1F25">
            <w:pPr>
              <w:pStyle w:val="TableTextLeft"/>
            </w:pPr>
            <w:r w:rsidRPr="00264E5E">
              <w:t>On 4 April</w:t>
            </w:r>
            <w:r>
              <w:t xml:space="preserve"> 2019</w:t>
            </w:r>
            <w:r w:rsidRPr="00264E5E">
              <w:t xml:space="preserve">, </w:t>
            </w:r>
            <w:r>
              <w:t>r</w:t>
            </w:r>
            <w:r w:rsidRPr="00264E5E">
              <w:t>egulations were made requiring all compulsory AFCA members to take reasonable steps to cooperate with AFCA in the resolution of disputes.</w:t>
            </w:r>
          </w:p>
        </w:tc>
      </w:tr>
      <w:tr w:rsidR="009D29A2" w:rsidTr="00B94A87">
        <w:trPr>
          <w:cantSplit/>
          <w:trHeight w:val="20"/>
        </w:trPr>
        <w:tc>
          <w:tcPr>
            <w:tcW w:w="1191" w:type="dxa"/>
            <w:vMerge/>
          </w:tcPr>
          <w:p w:rsidR="009D29A2" w:rsidRDefault="009D29A2" w:rsidP="00B94A87">
            <w:pPr>
              <w:pStyle w:val="TableTextLeft"/>
            </w:pPr>
          </w:p>
        </w:tc>
        <w:tc>
          <w:tcPr>
            <w:tcW w:w="7880" w:type="dxa"/>
          </w:tcPr>
          <w:p w:rsidR="009D29A2" w:rsidRPr="00FA6203" w:rsidRDefault="009D29A2" w:rsidP="003B1F25">
            <w:pPr>
              <w:pStyle w:val="TableTextLeft"/>
              <w:rPr>
                <w:b/>
                <w:highlight w:val="yellow"/>
              </w:rPr>
            </w:pPr>
            <w:r>
              <w:rPr>
                <w:b/>
              </w:rPr>
              <w:t>Recommendation 4.13 — Undertake a review of the merits of universal terms for MySuper products</w:t>
            </w:r>
          </w:p>
          <w:p w:rsidR="009D29A2" w:rsidRPr="00264E5E" w:rsidRDefault="009D29A2" w:rsidP="003B1F25">
            <w:pPr>
              <w:pStyle w:val="TableTextLeft"/>
            </w:pPr>
            <w:r>
              <w:t xml:space="preserve">From 28 March to 26 April 2019, the Government consulted on a consultation paper: </w:t>
            </w:r>
            <w:r>
              <w:rPr>
                <w:i/>
              </w:rPr>
              <w:t>Universal terms for insurance within MySuper</w:t>
            </w:r>
            <w:r>
              <w:t>. The Government is considering its response to the outcomes of those consultations.</w:t>
            </w:r>
          </w:p>
        </w:tc>
      </w:tr>
      <w:tr w:rsidR="009D29A2" w:rsidTr="00B94A87">
        <w:trPr>
          <w:cantSplit/>
          <w:trHeight w:val="20"/>
        </w:trPr>
        <w:tc>
          <w:tcPr>
            <w:tcW w:w="1191" w:type="dxa"/>
            <w:vMerge/>
          </w:tcPr>
          <w:p w:rsidR="009D29A2" w:rsidRDefault="009D29A2" w:rsidP="00B94A87">
            <w:pPr>
              <w:pStyle w:val="TableTextLeft"/>
            </w:pPr>
          </w:p>
        </w:tc>
        <w:tc>
          <w:tcPr>
            <w:tcW w:w="7880" w:type="dxa"/>
          </w:tcPr>
          <w:p w:rsidR="009D29A2" w:rsidRDefault="009D29A2" w:rsidP="003B1F25">
            <w:pPr>
              <w:pStyle w:val="TableTextLeft"/>
              <w:rPr>
                <w:b/>
              </w:rPr>
            </w:pPr>
            <w:r w:rsidRPr="00D93FAA">
              <w:rPr>
                <w:b/>
              </w:rPr>
              <w:t>Recommendation 6.13</w:t>
            </w:r>
            <w:r>
              <w:rPr>
                <w:b/>
              </w:rPr>
              <w:t xml:space="preserve"> — </w:t>
            </w:r>
            <w:r w:rsidRPr="00D93FAA">
              <w:rPr>
                <w:b/>
              </w:rPr>
              <w:t>Regular Capability Reviews</w:t>
            </w:r>
            <w:r>
              <w:rPr>
                <w:b/>
              </w:rPr>
              <w:t xml:space="preserve"> — </w:t>
            </w:r>
            <w:r w:rsidRPr="00D93FAA">
              <w:rPr>
                <w:b/>
              </w:rPr>
              <w:t>undertake an APRA capability review</w:t>
            </w:r>
          </w:p>
          <w:p w:rsidR="009D29A2" w:rsidRPr="00D93FAA" w:rsidRDefault="009D29A2" w:rsidP="003B1F25">
            <w:pPr>
              <w:pStyle w:val="TableTextLeft"/>
              <w:rPr>
                <w:b/>
              </w:rPr>
            </w:pPr>
            <w:r w:rsidRPr="00D93FAA">
              <w:t>The Government committed to regular capability reviews, commencing with an APRA Capability Review led by Graeme Samuel AC (Chair), Diane Smith</w:t>
            </w:r>
            <w:r>
              <w:noBreakHyphen/>
            </w:r>
            <w:r w:rsidRPr="00D93FAA">
              <w:t>Gander and Grant Spencer in March 2019. On 17 July 2019, the Government released its response to the Capability Review, agreeing to take action on all five of the recommendations directed to it</w:t>
            </w:r>
            <w:r w:rsidRPr="00E51D1E">
              <w:t>. APRA also released its response, indicating support for all 19 of the recommendations directed to it.</w:t>
            </w:r>
          </w:p>
        </w:tc>
      </w:tr>
      <w:tr w:rsidR="009D29A2" w:rsidTr="002B335F">
        <w:trPr>
          <w:cantSplit/>
          <w:trHeight w:val="20"/>
        </w:trPr>
        <w:tc>
          <w:tcPr>
            <w:tcW w:w="1191" w:type="dxa"/>
            <w:vMerge/>
          </w:tcPr>
          <w:p w:rsidR="009D29A2" w:rsidRDefault="009D29A2" w:rsidP="00B94A87">
            <w:pPr>
              <w:pStyle w:val="TableTextLeft"/>
            </w:pPr>
          </w:p>
        </w:tc>
        <w:tc>
          <w:tcPr>
            <w:tcW w:w="7880" w:type="dxa"/>
          </w:tcPr>
          <w:p w:rsidR="009D29A2" w:rsidRPr="00264E5E" w:rsidRDefault="009D29A2" w:rsidP="003B1F25">
            <w:pPr>
              <w:pStyle w:val="TableTextLeft"/>
              <w:rPr>
                <w:b/>
              </w:rPr>
            </w:pPr>
            <w:r w:rsidRPr="00264E5E">
              <w:rPr>
                <w:b/>
              </w:rPr>
              <w:t xml:space="preserve">Additional </w:t>
            </w:r>
            <w:r>
              <w:rPr>
                <w:b/>
              </w:rPr>
              <w:t>commitment</w:t>
            </w:r>
            <w:r w:rsidRPr="00264E5E">
              <w:rPr>
                <w:b/>
              </w:rPr>
              <w:t xml:space="preserve"> in response to Recommendation 2.4</w:t>
            </w:r>
            <w:r>
              <w:rPr>
                <w:b/>
              </w:rPr>
              <w:t xml:space="preserve"> — </w:t>
            </w:r>
            <w:r w:rsidRPr="00264E5E">
              <w:rPr>
                <w:b/>
              </w:rPr>
              <w:t xml:space="preserve">Direct ASIC to undertake grandfathering review </w:t>
            </w:r>
          </w:p>
          <w:p w:rsidR="009D29A2" w:rsidRPr="00D63AFB" w:rsidRDefault="009D29A2" w:rsidP="003B1F25">
            <w:pPr>
              <w:pStyle w:val="TableTextLeft"/>
            </w:pPr>
            <w:r w:rsidRPr="00264E5E">
              <w:t>On 22 February</w:t>
            </w:r>
            <w:r>
              <w:t xml:space="preserve"> 2019</w:t>
            </w:r>
            <w:r w:rsidRPr="00264E5E">
              <w:t>, the Government directed ASIC to monitor and report on industry actions</w:t>
            </w:r>
            <w:r>
              <w:t xml:space="preserve"> from 1 July 2019 to 1 January 2021 (</w:t>
            </w:r>
            <w:r w:rsidRPr="00264E5E">
              <w:t>the period leading up to the end of grandfathered conflicted remuneration for financial advisers</w:t>
            </w:r>
            <w:r>
              <w:t>)</w:t>
            </w:r>
            <w:r w:rsidRPr="00264E5E">
              <w:t>.</w:t>
            </w:r>
          </w:p>
        </w:tc>
      </w:tr>
      <w:tr w:rsidR="009D29A2" w:rsidTr="002B335F">
        <w:trPr>
          <w:cantSplit/>
          <w:trHeight w:val="20"/>
        </w:trPr>
        <w:tc>
          <w:tcPr>
            <w:tcW w:w="1191" w:type="dxa"/>
            <w:vMerge/>
          </w:tcPr>
          <w:p w:rsidR="009D29A2" w:rsidRDefault="009D29A2" w:rsidP="00B94A87">
            <w:pPr>
              <w:pStyle w:val="TableTextLeft"/>
            </w:pPr>
          </w:p>
        </w:tc>
        <w:tc>
          <w:tcPr>
            <w:tcW w:w="7880" w:type="dxa"/>
          </w:tcPr>
          <w:p w:rsidR="009D29A2" w:rsidRPr="000960EE" w:rsidRDefault="009D29A2" w:rsidP="003B1F25">
            <w:pPr>
              <w:pStyle w:val="TableTextLeft"/>
              <w:rPr>
                <w:b/>
              </w:rPr>
            </w:pPr>
            <w:r w:rsidRPr="000960EE">
              <w:rPr>
                <w:b/>
              </w:rPr>
              <w:t xml:space="preserve">Additional </w:t>
            </w:r>
            <w:r>
              <w:rPr>
                <w:b/>
              </w:rPr>
              <w:t>commitment</w:t>
            </w:r>
            <w:r w:rsidRPr="000960EE">
              <w:rPr>
                <w:b/>
              </w:rPr>
              <w:t xml:space="preserve"> in response to Recommendation 7.1 — Payment of unpaid external dispute resolution </w:t>
            </w:r>
            <w:r>
              <w:rPr>
                <w:b/>
              </w:rPr>
              <w:t xml:space="preserve">(EDR) </w:t>
            </w:r>
            <w:r w:rsidRPr="000960EE">
              <w:rPr>
                <w:b/>
              </w:rPr>
              <w:t>determinations</w:t>
            </w:r>
          </w:p>
          <w:p w:rsidR="009D29A2" w:rsidRPr="000960EE" w:rsidRDefault="009D29A2" w:rsidP="003B1F25">
            <w:pPr>
              <w:pStyle w:val="TableTextLeft"/>
            </w:pPr>
            <w:r w:rsidRPr="000960EE">
              <w:t xml:space="preserve">On 4 April 2019, regulations were made to enable the payment of unpaid determinations made under the Financial Ombudsman Service </w:t>
            </w:r>
            <w:r>
              <w:t>(FOS)</w:t>
            </w:r>
            <w:r w:rsidRPr="000960EE">
              <w:t xml:space="preserve"> Terms of Reference and the Credit &amp; Investments Ombudsman </w:t>
            </w:r>
            <w:r>
              <w:t xml:space="preserve">(CIO) </w:t>
            </w:r>
            <w:r w:rsidRPr="000960EE">
              <w:t>Rules.</w:t>
            </w:r>
          </w:p>
          <w:p w:rsidR="009D29A2" w:rsidRPr="0028631C" w:rsidRDefault="009D29A2" w:rsidP="00473767">
            <w:pPr>
              <w:pStyle w:val="TableTextLeft"/>
            </w:pPr>
            <w:r w:rsidRPr="000960EE">
              <w:t xml:space="preserve">The Department of Industry, Innovation and Science </w:t>
            </w:r>
            <w:r w:rsidR="00473767">
              <w:t>is</w:t>
            </w:r>
            <w:r w:rsidRPr="000960EE">
              <w:t xml:space="preserve"> administer</w:t>
            </w:r>
            <w:r w:rsidR="00473767">
              <w:t>ing</w:t>
            </w:r>
            <w:r w:rsidRPr="000960EE">
              <w:t xml:space="preserve"> the payments of unpaid EDR determinations through the Business Grants Hub</w:t>
            </w:r>
            <w:r w:rsidR="00473767">
              <w:t>.</w:t>
            </w:r>
          </w:p>
        </w:tc>
      </w:tr>
      <w:tr w:rsidR="009D29A2" w:rsidTr="00B94A87">
        <w:trPr>
          <w:cantSplit/>
          <w:trHeight w:val="20"/>
        </w:trPr>
        <w:tc>
          <w:tcPr>
            <w:tcW w:w="1191" w:type="dxa"/>
            <w:vMerge/>
          </w:tcPr>
          <w:p w:rsidR="009D29A2" w:rsidRDefault="009D29A2" w:rsidP="003B1F25">
            <w:pPr>
              <w:pStyle w:val="TableTextLeft"/>
            </w:pPr>
          </w:p>
        </w:tc>
        <w:tc>
          <w:tcPr>
            <w:tcW w:w="7880" w:type="dxa"/>
          </w:tcPr>
          <w:p w:rsidR="009D29A2" w:rsidRDefault="009D29A2" w:rsidP="003B1F25">
            <w:pPr>
              <w:pStyle w:val="TableTextLeft"/>
              <w:rPr>
                <w:b/>
              </w:rPr>
            </w:pPr>
            <w:r>
              <w:rPr>
                <w:b/>
              </w:rPr>
              <w:t>Additional commitment in response to Recommendation 7.1 — Expanding AFCA’s remit to consider past disputes</w:t>
            </w:r>
          </w:p>
          <w:p w:rsidR="009D29A2" w:rsidRPr="002313B9" w:rsidRDefault="009D29A2" w:rsidP="003B1F25">
            <w:pPr>
              <w:pStyle w:val="TableTextLeft"/>
            </w:pPr>
            <w:r>
              <w:t>On 20 February 2019, the Government extended AFCA’s remit to consider financial complaints dating back to 1 January 2008, providing expanded access to redress for consumers and small businesses harmed by financial misconduct. AFCA commenced receiving legacy complaints from 1 July 2019.</w:t>
            </w:r>
          </w:p>
        </w:tc>
      </w:tr>
    </w:tbl>
    <w:p w:rsidR="00DD5019" w:rsidRDefault="00DD5019">
      <w:r>
        <w:br w:type="page"/>
      </w:r>
    </w:p>
    <w:tbl>
      <w:tblPr>
        <w:tblW w:w="9071" w:type="dxa"/>
        <w:tblInd w:w="-3" w:type="dxa"/>
        <w:tblBorders>
          <w:top w:val="single" w:sz="2" w:space="0" w:color="3A6FAF" w:themeColor="accent2"/>
          <w:left w:val="single" w:sz="2" w:space="0" w:color="3A6FAF" w:themeColor="accent2"/>
          <w:bottom w:val="single" w:sz="2" w:space="0" w:color="3A6FAF" w:themeColor="accent2"/>
          <w:right w:val="single" w:sz="2" w:space="0" w:color="3A6FAF" w:themeColor="accent2"/>
          <w:insideH w:val="single" w:sz="2" w:space="0" w:color="3A6FAF" w:themeColor="accent2"/>
          <w:insideV w:val="single" w:sz="2" w:space="0" w:color="3A6FAF" w:themeColor="accent2"/>
        </w:tblBorders>
        <w:tblLayout w:type="fixed"/>
        <w:tblLook w:val="04A0" w:firstRow="1" w:lastRow="0" w:firstColumn="1" w:lastColumn="0" w:noHBand="0" w:noVBand="1"/>
      </w:tblPr>
      <w:tblGrid>
        <w:gridCol w:w="1191"/>
        <w:gridCol w:w="7880"/>
      </w:tblGrid>
      <w:tr w:rsidR="00DD5019" w:rsidTr="00DD5019">
        <w:trPr>
          <w:cantSplit/>
          <w:trHeight w:val="20"/>
        </w:trPr>
        <w:tc>
          <w:tcPr>
            <w:tcW w:w="1191" w:type="dxa"/>
            <w:shd w:val="clear" w:color="auto" w:fill="0070B5" w:themeFill="accent1" w:themeFillTint="BF"/>
            <w:vAlign w:val="bottom"/>
          </w:tcPr>
          <w:p w:rsidR="00DD5019" w:rsidRDefault="00DD5019" w:rsidP="00DD5019">
            <w:pPr>
              <w:pStyle w:val="TableColumnHeadingLeft"/>
            </w:pPr>
            <w:r>
              <w:lastRenderedPageBreak/>
              <w:t>Stage</w:t>
            </w:r>
          </w:p>
        </w:tc>
        <w:tc>
          <w:tcPr>
            <w:tcW w:w="7880" w:type="dxa"/>
            <w:shd w:val="clear" w:color="auto" w:fill="0070B5" w:themeFill="accent1" w:themeFillTint="BF"/>
            <w:vAlign w:val="bottom"/>
          </w:tcPr>
          <w:p w:rsidR="00DD5019" w:rsidRPr="00DD5019" w:rsidRDefault="00DD5019" w:rsidP="00DD5019">
            <w:pPr>
              <w:pStyle w:val="TableColumnHeadingLeft"/>
            </w:pPr>
            <w:r>
              <w:t xml:space="preserve">Recommendation or commitment </w:t>
            </w:r>
          </w:p>
        </w:tc>
      </w:tr>
      <w:tr w:rsidR="00DD5019" w:rsidTr="00B94A87">
        <w:trPr>
          <w:cantSplit/>
          <w:trHeight w:val="20"/>
        </w:trPr>
        <w:tc>
          <w:tcPr>
            <w:tcW w:w="1191" w:type="dxa"/>
            <w:vMerge w:val="restart"/>
          </w:tcPr>
          <w:p w:rsidR="00DD5019" w:rsidRPr="004454F4" w:rsidRDefault="00DD5019" w:rsidP="00DD5019">
            <w:pPr>
              <w:pStyle w:val="TableTextLeft"/>
              <w:rPr>
                <w:b/>
              </w:rPr>
            </w:pPr>
            <w:r w:rsidRPr="004454F4">
              <w:rPr>
                <w:b/>
              </w:rPr>
              <w:t>Completed</w:t>
            </w:r>
          </w:p>
          <w:p w:rsidR="00DD5019" w:rsidRDefault="00DD5019" w:rsidP="00DD5019">
            <w:pPr>
              <w:pStyle w:val="TableTextLeft"/>
            </w:pPr>
            <w:r>
              <w:t>(continued)</w:t>
            </w:r>
          </w:p>
        </w:tc>
        <w:tc>
          <w:tcPr>
            <w:tcW w:w="7880" w:type="dxa"/>
          </w:tcPr>
          <w:p w:rsidR="00DD5019" w:rsidRDefault="00DD5019" w:rsidP="00DD5019">
            <w:pPr>
              <w:pStyle w:val="TableTextLeft"/>
              <w:rPr>
                <w:b/>
              </w:rPr>
            </w:pPr>
            <w:r>
              <w:rPr>
                <w:b/>
              </w:rPr>
              <w:t>Additional commitment — Extend legislation for the Product Intervention Power and Design and Distribution Obligations to additional products</w:t>
            </w:r>
          </w:p>
          <w:p w:rsidR="00DD5019" w:rsidRDefault="00DD5019" w:rsidP="00DD5019">
            <w:pPr>
              <w:pStyle w:val="TableTextLeft"/>
              <w:rPr>
                <w:b/>
              </w:rPr>
            </w:pPr>
            <w:r>
              <w:t xml:space="preserve">The Government extended the Product Intervention Power and Design and Distribution Obligations legislation so that it applied to </w:t>
            </w:r>
            <w:r w:rsidRPr="004F0DEA">
              <w:t xml:space="preserve">credit and </w:t>
            </w:r>
            <w:r w:rsidRPr="00EF48D4">
              <w:rPr>
                <w:i/>
              </w:rPr>
              <w:t>Australian Securities and Investments Commission Act 2001</w:t>
            </w:r>
            <w:r>
              <w:t xml:space="preserve"> </w:t>
            </w:r>
            <w:r w:rsidRPr="004F0DEA">
              <w:t>products.</w:t>
            </w:r>
            <w:r>
              <w:t xml:space="preserve"> The legislation received Royal Assent on 5 April 2019.</w:t>
            </w:r>
          </w:p>
        </w:tc>
      </w:tr>
      <w:tr w:rsidR="00DD5019" w:rsidTr="00B94A87">
        <w:trPr>
          <w:cantSplit/>
          <w:trHeight w:val="20"/>
        </w:trPr>
        <w:tc>
          <w:tcPr>
            <w:tcW w:w="1191" w:type="dxa"/>
            <w:vMerge/>
          </w:tcPr>
          <w:p w:rsidR="00DD5019" w:rsidRDefault="00DD5019" w:rsidP="00DD5019">
            <w:pPr>
              <w:pStyle w:val="TableTextLeft"/>
            </w:pPr>
          </w:p>
        </w:tc>
        <w:tc>
          <w:tcPr>
            <w:tcW w:w="7880" w:type="dxa"/>
          </w:tcPr>
          <w:p w:rsidR="00DD5019" w:rsidRPr="00544001" w:rsidRDefault="00DD5019" w:rsidP="00DD5019">
            <w:pPr>
              <w:pStyle w:val="TableTextLeft"/>
              <w:rPr>
                <w:b/>
              </w:rPr>
            </w:pPr>
            <w:r w:rsidRPr="00544001">
              <w:rPr>
                <w:b/>
              </w:rPr>
              <w:t xml:space="preserve">Additional </w:t>
            </w:r>
            <w:r>
              <w:rPr>
                <w:b/>
              </w:rPr>
              <w:t xml:space="preserve">commitment — </w:t>
            </w:r>
            <w:r w:rsidRPr="00544001">
              <w:rPr>
                <w:b/>
              </w:rPr>
              <w:t>Commence a review of financial counselling</w:t>
            </w:r>
          </w:p>
          <w:p w:rsidR="00DD5019" w:rsidRPr="0028631C" w:rsidRDefault="00DD5019" w:rsidP="00DD5019">
            <w:pPr>
              <w:pStyle w:val="TableTextLeft"/>
              <w:rPr>
                <w:i/>
              </w:rPr>
            </w:pPr>
            <w:r w:rsidRPr="00E604DF">
              <w:t>On 7 February</w:t>
            </w:r>
            <w:r>
              <w:t xml:space="preserve"> 2019</w:t>
            </w:r>
            <w:r w:rsidRPr="00E604DF">
              <w:t xml:space="preserve">, the Government commissioned a review of the coordination and funding of financial counselling services, led by Louise Sylvan AM. </w:t>
            </w:r>
            <w:r w:rsidRPr="00E604DF">
              <w:rPr>
                <w:rFonts w:eastAsiaTheme="minorHAnsi"/>
              </w:rPr>
              <w:t>That review has now been completed and the Government is considering its response.</w:t>
            </w:r>
          </w:p>
        </w:tc>
      </w:tr>
      <w:tr w:rsidR="00DD5019" w:rsidTr="00B94A87">
        <w:trPr>
          <w:cantSplit/>
          <w:trHeight w:val="20"/>
        </w:trPr>
        <w:tc>
          <w:tcPr>
            <w:tcW w:w="1191" w:type="dxa"/>
            <w:vMerge/>
          </w:tcPr>
          <w:p w:rsidR="00DD5019" w:rsidRDefault="00DD5019" w:rsidP="00DD5019">
            <w:pPr>
              <w:pStyle w:val="TableTextLeft"/>
            </w:pPr>
          </w:p>
        </w:tc>
        <w:tc>
          <w:tcPr>
            <w:tcW w:w="7880" w:type="dxa"/>
          </w:tcPr>
          <w:p w:rsidR="00DD5019" w:rsidRDefault="00DD5019" w:rsidP="00DD5019">
            <w:pPr>
              <w:pStyle w:val="TableTextLeft"/>
              <w:rPr>
                <w:b/>
              </w:rPr>
            </w:pPr>
            <w:r>
              <w:rPr>
                <w:b/>
              </w:rPr>
              <w:t>Additional commitment — Consult on superannuation binding death benefit nominations for Indigenous people</w:t>
            </w:r>
          </w:p>
          <w:p w:rsidR="00DD5019" w:rsidRPr="000960EE" w:rsidRDefault="00DD5019" w:rsidP="00DD5019">
            <w:pPr>
              <w:pStyle w:val="TableTextLeft"/>
              <w:rPr>
                <w:b/>
              </w:rPr>
            </w:pPr>
            <w:r>
              <w:t>From</w:t>
            </w:r>
            <w:r w:rsidRPr="00CA77F6">
              <w:t xml:space="preserve"> 29 March</w:t>
            </w:r>
            <w:r>
              <w:t xml:space="preserve"> to 24 May 2019</w:t>
            </w:r>
            <w:r w:rsidRPr="00CA77F6">
              <w:t xml:space="preserve">, the Government consulted on a discussion paper: </w:t>
            </w:r>
            <w:r w:rsidRPr="00CA77F6">
              <w:rPr>
                <w:i/>
              </w:rPr>
              <w:t>Superannuation binding death benefit nominations and kinship structures</w:t>
            </w:r>
            <w:r>
              <w:t>. The Government is considering its response to the outcomes of those consultations.</w:t>
            </w:r>
          </w:p>
        </w:tc>
      </w:tr>
      <w:tr w:rsidR="00DD5019" w:rsidTr="00B94A87">
        <w:trPr>
          <w:cantSplit/>
          <w:trHeight w:val="20"/>
        </w:trPr>
        <w:tc>
          <w:tcPr>
            <w:tcW w:w="1191" w:type="dxa"/>
            <w:vMerge/>
          </w:tcPr>
          <w:p w:rsidR="00DD5019" w:rsidRDefault="00DD5019" w:rsidP="00DD5019">
            <w:pPr>
              <w:pStyle w:val="TableTextLeft"/>
            </w:pPr>
          </w:p>
        </w:tc>
        <w:tc>
          <w:tcPr>
            <w:tcW w:w="7880" w:type="dxa"/>
          </w:tcPr>
          <w:p w:rsidR="00DD5019" w:rsidRPr="000960EE" w:rsidRDefault="00DD5019" w:rsidP="00DD5019">
            <w:pPr>
              <w:pStyle w:val="TableTextLeft"/>
              <w:rPr>
                <w:b/>
              </w:rPr>
            </w:pPr>
            <w:r w:rsidRPr="000960EE">
              <w:rPr>
                <w:b/>
              </w:rPr>
              <w:t xml:space="preserve">Additional </w:t>
            </w:r>
            <w:r>
              <w:rPr>
                <w:b/>
              </w:rPr>
              <w:t>commitment</w:t>
            </w:r>
            <w:r w:rsidRPr="000960EE">
              <w:rPr>
                <w:b/>
              </w:rPr>
              <w:t xml:space="preserve"> — Review of the effects of vertical and horizontal integration in the financial system</w:t>
            </w:r>
          </w:p>
          <w:p w:rsidR="00DD5019" w:rsidRPr="000960EE" w:rsidRDefault="00DD5019" w:rsidP="00DD5019">
            <w:pPr>
              <w:pStyle w:val="TableTextLeft"/>
              <w:rPr>
                <w:b/>
              </w:rPr>
            </w:pPr>
            <w:r w:rsidRPr="000960EE">
              <w:t xml:space="preserve">The Australian Competition and Consumer Commission </w:t>
            </w:r>
            <w:r>
              <w:t>now considers</w:t>
            </w:r>
            <w:r w:rsidRPr="000960EE">
              <w:t xml:space="preserve"> integration issues in the financial system where they are identified as part of its market studies work.</w:t>
            </w:r>
          </w:p>
        </w:tc>
      </w:tr>
      <w:tr w:rsidR="00DD5019" w:rsidTr="00B94A87">
        <w:trPr>
          <w:cantSplit/>
          <w:trHeight w:val="20"/>
        </w:trPr>
        <w:tc>
          <w:tcPr>
            <w:tcW w:w="1191" w:type="dxa"/>
            <w:vMerge w:val="restart"/>
          </w:tcPr>
          <w:p w:rsidR="00DD5019" w:rsidRPr="00932511" w:rsidRDefault="00DD5019" w:rsidP="00DD5019">
            <w:pPr>
              <w:pStyle w:val="TableTextLeft"/>
              <w:rPr>
                <w:b/>
              </w:rPr>
            </w:pPr>
            <w:r w:rsidRPr="00932511">
              <w:rPr>
                <w:b/>
              </w:rPr>
              <w:t>Completed</w:t>
            </w:r>
          </w:p>
          <w:p w:rsidR="00DD5019" w:rsidRDefault="00DD5019" w:rsidP="00DD5019">
            <w:pPr>
              <w:pStyle w:val="TableTextLeft"/>
            </w:pPr>
            <w:r>
              <w:t xml:space="preserve">(no action required) </w:t>
            </w:r>
          </w:p>
        </w:tc>
        <w:tc>
          <w:tcPr>
            <w:tcW w:w="7880" w:type="dxa"/>
          </w:tcPr>
          <w:p w:rsidR="00DD5019" w:rsidRDefault="00DD5019" w:rsidP="00DD5019">
            <w:pPr>
              <w:pStyle w:val="TableTextLeft"/>
              <w:rPr>
                <w:b/>
              </w:rPr>
            </w:pPr>
            <w:r w:rsidRPr="006C4155">
              <w:rPr>
                <w:b/>
              </w:rPr>
              <w:t>Recommendation 1.1 –  No change to th</w:t>
            </w:r>
            <w:r>
              <w:rPr>
                <w:b/>
              </w:rPr>
              <w:t>e National Consumer Credit Protection Act 2009 (NCCP Act)</w:t>
            </w:r>
          </w:p>
          <w:p w:rsidR="00DD5019" w:rsidRPr="000960EE" w:rsidRDefault="00DD5019" w:rsidP="00DD5019">
            <w:pPr>
              <w:pStyle w:val="TableTextLeft"/>
              <w:rPr>
                <w:b/>
              </w:rPr>
            </w:pPr>
            <w:r>
              <w:t>The Government agreed not to amend the NCCP Act obligation to assess unsuitability of credit contracts.</w:t>
            </w:r>
          </w:p>
        </w:tc>
      </w:tr>
      <w:tr w:rsidR="00DD5019" w:rsidTr="00B94A87">
        <w:trPr>
          <w:cantSplit/>
          <w:trHeight w:val="20"/>
        </w:trPr>
        <w:tc>
          <w:tcPr>
            <w:tcW w:w="1191" w:type="dxa"/>
            <w:vMerge/>
          </w:tcPr>
          <w:p w:rsidR="00DD5019" w:rsidRDefault="00DD5019" w:rsidP="00DD5019">
            <w:pPr>
              <w:pStyle w:val="TableTextLeft"/>
            </w:pPr>
          </w:p>
        </w:tc>
        <w:tc>
          <w:tcPr>
            <w:tcW w:w="7880" w:type="dxa"/>
          </w:tcPr>
          <w:p w:rsidR="00DD5019" w:rsidRDefault="00DD5019" w:rsidP="00DD5019">
            <w:pPr>
              <w:pStyle w:val="TableTextLeft"/>
              <w:rPr>
                <w:b/>
              </w:rPr>
            </w:pPr>
            <w:r w:rsidRPr="006C4155">
              <w:rPr>
                <w:b/>
              </w:rPr>
              <w:t>Recommendation 1.9 – No extension of the NCCP Act to small business</w:t>
            </w:r>
            <w:r>
              <w:rPr>
                <w:b/>
              </w:rPr>
              <w:t xml:space="preserve"> lending</w:t>
            </w:r>
          </w:p>
          <w:p w:rsidR="00DD5019" w:rsidRPr="00F80F5D" w:rsidRDefault="00DD5019" w:rsidP="00DD5019">
            <w:pPr>
              <w:pStyle w:val="TableTextLeft"/>
            </w:pPr>
            <w:r w:rsidRPr="00F80F5D">
              <w:t>The Government agreed not to extend the NCCP Act to small business lending.</w:t>
            </w:r>
          </w:p>
        </w:tc>
      </w:tr>
      <w:tr w:rsidR="00DD5019" w:rsidTr="00B94A87">
        <w:trPr>
          <w:cantSplit/>
          <w:trHeight w:val="20"/>
        </w:trPr>
        <w:tc>
          <w:tcPr>
            <w:tcW w:w="1191" w:type="dxa"/>
            <w:vMerge/>
          </w:tcPr>
          <w:p w:rsidR="00DD5019" w:rsidRDefault="00DD5019" w:rsidP="00DD5019">
            <w:pPr>
              <w:pStyle w:val="TableTextLeft"/>
            </w:pPr>
          </w:p>
        </w:tc>
        <w:tc>
          <w:tcPr>
            <w:tcW w:w="7880" w:type="dxa"/>
          </w:tcPr>
          <w:p w:rsidR="00DD5019" w:rsidRDefault="00DD5019" w:rsidP="00DD5019">
            <w:pPr>
              <w:pStyle w:val="TableTextLeft"/>
              <w:rPr>
                <w:b/>
              </w:rPr>
            </w:pPr>
            <w:r w:rsidRPr="006C4155">
              <w:rPr>
                <w:b/>
              </w:rPr>
              <w:t xml:space="preserve">Recommendation 6.1 – Retain twin peaks </w:t>
            </w:r>
          </w:p>
          <w:p w:rsidR="00DD5019" w:rsidRDefault="00DD5019" w:rsidP="00DD5019">
            <w:pPr>
              <w:pStyle w:val="TableTextLeft"/>
              <w:rPr>
                <w:b/>
              </w:rPr>
            </w:pPr>
            <w:r>
              <w:t xml:space="preserve">The Government committed to retain the twin peaks model of financial regulation. </w:t>
            </w:r>
          </w:p>
        </w:tc>
      </w:tr>
      <w:tr w:rsidR="00A327E1" w:rsidTr="00B94A87">
        <w:trPr>
          <w:cantSplit/>
          <w:trHeight w:val="20"/>
        </w:trPr>
        <w:tc>
          <w:tcPr>
            <w:tcW w:w="1191" w:type="dxa"/>
            <w:vMerge w:val="restart"/>
          </w:tcPr>
          <w:p w:rsidR="00A327E1" w:rsidRPr="00CE0C85" w:rsidRDefault="00A327E1" w:rsidP="00DD5019">
            <w:pPr>
              <w:pStyle w:val="TableTextLeft"/>
              <w:rPr>
                <w:b/>
              </w:rPr>
            </w:pPr>
            <w:r w:rsidRPr="006E6FF1">
              <w:rPr>
                <w:b/>
              </w:rPr>
              <w:t>In progress</w:t>
            </w:r>
          </w:p>
          <w:p w:rsidR="00A327E1" w:rsidRPr="00CE0C85" w:rsidRDefault="00A327E1" w:rsidP="00DD5019">
            <w:pPr>
              <w:pStyle w:val="TableTextLeft"/>
              <w:rPr>
                <w:b/>
              </w:rPr>
            </w:pPr>
          </w:p>
        </w:tc>
        <w:tc>
          <w:tcPr>
            <w:tcW w:w="7880" w:type="dxa"/>
          </w:tcPr>
          <w:p w:rsidR="00A327E1" w:rsidRPr="000960EE" w:rsidRDefault="00A327E1" w:rsidP="00DD5019">
            <w:pPr>
              <w:pStyle w:val="TableTextLeft"/>
              <w:rPr>
                <w:b/>
              </w:rPr>
            </w:pPr>
            <w:r w:rsidRPr="000960EE">
              <w:rPr>
                <w:b/>
              </w:rPr>
              <w:t>Recommendation 1.11 — Implement a national farm debt mediation scheme</w:t>
            </w:r>
          </w:p>
          <w:p w:rsidR="00A327E1" w:rsidRDefault="00A327E1" w:rsidP="00DD5019">
            <w:pPr>
              <w:pStyle w:val="TableTextLeft"/>
              <w:rPr>
                <w:b/>
              </w:rPr>
            </w:pPr>
            <w:r w:rsidRPr="000960EE">
              <w:t>On 9 February 2019, the Government and the states and territories agreed to continue moving towards a national farm debt mediation scheme, building on earlier work undertaken by senior officials from the Commonwealth (Department of Agriculture), states and territories.</w:t>
            </w:r>
          </w:p>
        </w:tc>
      </w:tr>
      <w:tr w:rsidR="00A327E1" w:rsidTr="00B94A87">
        <w:trPr>
          <w:cantSplit/>
          <w:trHeight w:val="20"/>
        </w:trPr>
        <w:tc>
          <w:tcPr>
            <w:tcW w:w="1191" w:type="dxa"/>
            <w:vMerge/>
          </w:tcPr>
          <w:p w:rsidR="00A327E1" w:rsidRDefault="00A327E1" w:rsidP="00DD5019">
            <w:pPr>
              <w:pStyle w:val="TableTextLeft"/>
            </w:pPr>
          </w:p>
        </w:tc>
        <w:tc>
          <w:tcPr>
            <w:tcW w:w="7880" w:type="dxa"/>
          </w:tcPr>
          <w:p w:rsidR="00A327E1" w:rsidRDefault="00A327E1" w:rsidP="00DD5019">
            <w:pPr>
              <w:pStyle w:val="TableTextLeft"/>
              <w:rPr>
                <w:b/>
              </w:rPr>
            </w:pPr>
            <w:r>
              <w:rPr>
                <w:b/>
              </w:rPr>
              <w:t>Recommendation 1.15 — Make provisions of industry codes enforceable</w:t>
            </w:r>
          </w:p>
          <w:p w:rsidR="00A327E1" w:rsidRPr="000960EE" w:rsidRDefault="00A327E1" w:rsidP="00DD5019">
            <w:pPr>
              <w:pStyle w:val="TableTextLeft"/>
              <w:rPr>
                <w:b/>
              </w:rPr>
            </w:pPr>
            <w:r>
              <w:t xml:space="preserve">On 18 March 2019, the Government released a consultation paper: </w:t>
            </w:r>
            <w:r>
              <w:rPr>
                <w:i/>
              </w:rPr>
              <w:t>Enforceability of financial services industry codes</w:t>
            </w:r>
            <w:r>
              <w:t xml:space="preserve">. The paper </w:t>
            </w:r>
            <w:r w:rsidRPr="006B2B92">
              <w:t xml:space="preserve">sets out a series of questions </w:t>
            </w:r>
            <w:r>
              <w:t>that</w:t>
            </w:r>
            <w:r w:rsidRPr="006B2B92">
              <w:t xml:space="preserve"> will inform the development of legislation to enact the Government</w:t>
            </w:r>
            <w:r>
              <w:t>’</w:t>
            </w:r>
            <w:r w:rsidRPr="006B2B92">
              <w:t>s commitment to implement Recommendation 1.15.</w:t>
            </w:r>
            <w:r>
              <w:t xml:space="preserve"> Consultation closed on 12 April 2019.</w:t>
            </w:r>
          </w:p>
        </w:tc>
      </w:tr>
      <w:tr w:rsidR="00A327E1" w:rsidTr="00B94A87">
        <w:trPr>
          <w:cantSplit/>
          <w:trHeight w:val="20"/>
        </w:trPr>
        <w:tc>
          <w:tcPr>
            <w:tcW w:w="1191" w:type="dxa"/>
            <w:vMerge/>
          </w:tcPr>
          <w:p w:rsidR="00A327E1" w:rsidRPr="00DD5019" w:rsidRDefault="00A327E1" w:rsidP="00DD5019">
            <w:pPr>
              <w:pStyle w:val="TableTextLeft"/>
            </w:pPr>
          </w:p>
        </w:tc>
        <w:tc>
          <w:tcPr>
            <w:tcW w:w="7880" w:type="dxa"/>
          </w:tcPr>
          <w:p w:rsidR="00A327E1" w:rsidRDefault="00A327E1" w:rsidP="00DD5019">
            <w:pPr>
              <w:pStyle w:val="TableTextLeft"/>
            </w:pPr>
            <w:r w:rsidRPr="003515F0">
              <w:rPr>
                <w:b/>
              </w:rPr>
              <w:t>Recommendation 2.4 – Ending grandfathered commissions for financial advisers</w:t>
            </w:r>
            <w:r w:rsidRPr="002B335F">
              <w:t xml:space="preserve"> </w:t>
            </w:r>
          </w:p>
          <w:p w:rsidR="00A327E1" w:rsidRPr="002B335F" w:rsidRDefault="00A327E1" w:rsidP="00DD5019">
            <w:pPr>
              <w:pStyle w:val="TableTextLeft"/>
            </w:pPr>
            <w:r w:rsidRPr="002B335F">
              <w:t>The Government introduced legislation on 1 August 2019 to end grandfathered commissions by 1 January 2021 and require rebating of commissions to retail clients.</w:t>
            </w:r>
          </w:p>
          <w:p w:rsidR="00A327E1" w:rsidRPr="000960EE" w:rsidRDefault="00A327E1" w:rsidP="00DD5019">
            <w:pPr>
              <w:pStyle w:val="TableTextLeft"/>
              <w:rPr>
                <w:b/>
              </w:rPr>
            </w:pPr>
            <w:r w:rsidRPr="002B335F">
              <w:t>The Government has also consulted on draft regulations, which outline the requirement for financial product manufacturers to pass through to their retail clients the benefits of any previously grandfathered conflicted remuneration still in contracts after 1 January 2021.</w:t>
            </w:r>
          </w:p>
        </w:tc>
      </w:tr>
    </w:tbl>
    <w:p w:rsidR="00A327E1" w:rsidRDefault="00A327E1">
      <w:r>
        <w:br w:type="page"/>
      </w:r>
    </w:p>
    <w:tbl>
      <w:tblPr>
        <w:tblW w:w="9071" w:type="dxa"/>
        <w:tblInd w:w="-3" w:type="dxa"/>
        <w:tblBorders>
          <w:top w:val="single" w:sz="2" w:space="0" w:color="3A6FAF" w:themeColor="accent2"/>
          <w:left w:val="single" w:sz="2" w:space="0" w:color="3A6FAF" w:themeColor="accent2"/>
          <w:bottom w:val="single" w:sz="2" w:space="0" w:color="3A6FAF" w:themeColor="accent2"/>
          <w:right w:val="single" w:sz="2" w:space="0" w:color="3A6FAF" w:themeColor="accent2"/>
          <w:insideH w:val="single" w:sz="2" w:space="0" w:color="3A6FAF" w:themeColor="accent2"/>
          <w:insideV w:val="single" w:sz="2" w:space="0" w:color="3A6FAF" w:themeColor="accent2"/>
        </w:tblBorders>
        <w:tblLayout w:type="fixed"/>
        <w:tblLook w:val="04A0" w:firstRow="1" w:lastRow="0" w:firstColumn="1" w:lastColumn="0" w:noHBand="0" w:noVBand="1"/>
      </w:tblPr>
      <w:tblGrid>
        <w:gridCol w:w="1191"/>
        <w:gridCol w:w="7880"/>
      </w:tblGrid>
      <w:tr w:rsidR="00A327E1" w:rsidTr="00A327E1">
        <w:trPr>
          <w:cantSplit/>
          <w:trHeight w:val="20"/>
        </w:trPr>
        <w:tc>
          <w:tcPr>
            <w:tcW w:w="1191" w:type="dxa"/>
            <w:tcBorders>
              <w:bottom w:val="single" w:sz="4" w:space="0" w:color="0070B5" w:themeColor="accent1" w:themeTint="BF"/>
            </w:tcBorders>
            <w:shd w:val="clear" w:color="auto" w:fill="0070B5" w:themeFill="accent1" w:themeFillTint="BF"/>
            <w:vAlign w:val="bottom"/>
          </w:tcPr>
          <w:p w:rsidR="00A327E1" w:rsidRDefault="00A327E1" w:rsidP="00A327E1">
            <w:pPr>
              <w:pStyle w:val="TableColumnHeadingLeft"/>
            </w:pPr>
            <w:r>
              <w:lastRenderedPageBreak/>
              <w:t>Stage</w:t>
            </w:r>
          </w:p>
        </w:tc>
        <w:tc>
          <w:tcPr>
            <w:tcW w:w="7880" w:type="dxa"/>
            <w:tcBorders>
              <w:bottom w:val="single" w:sz="4" w:space="0" w:color="0070B5" w:themeColor="accent1" w:themeTint="BF"/>
            </w:tcBorders>
            <w:shd w:val="clear" w:color="auto" w:fill="0070B5" w:themeFill="accent1" w:themeFillTint="BF"/>
            <w:vAlign w:val="bottom"/>
          </w:tcPr>
          <w:p w:rsidR="00A327E1" w:rsidRPr="00A327E1" w:rsidRDefault="00A327E1" w:rsidP="00A327E1">
            <w:pPr>
              <w:pStyle w:val="TableTextLeft"/>
              <w:rPr>
                <w:b/>
                <w:color w:val="FFFFFF" w:themeColor="background1"/>
                <w:sz w:val="24"/>
              </w:rPr>
            </w:pPr>
            <w:r w:rsidRPr="00A327E1">
              <w:rPr>
                <w:b/>
                <w:color w:val="FFFFFF" w:themeColor="background1"/>
                <w:sz w:val="24"/>
              </w:rPr>
              <w:t xml:space="preserve">Recommendation or commitment </w:t>
            </w:r>
          </w:p>
        </w:tc>
      </w:tr>
      <w:tr w:rsidR="00A327E1" w:rsidTr="00A327E1">
        <w:trPr>
          <w:cantSplit/>
          <w:trHeight w:val="20"/>
        </w:trPr>
        <w:tc>
          <w:tcPr>
            <w:tcW w:w="1191" w:type="dxa"/>
            <w:vMerge w:val="restart"/>
            <w:tcBorders>
              <w:top w:val="single" w:sz="4" w:space="0" w:color="0070B5" w:themeColor="accent1" w:themeTint="BF"/>
            </w:tcBorders>
          </w:tcPr>
          <w:p w:rsidR="00A327E1" w:rsidRDefault="00A327E1" w:rsidP="00A327E1">
            <w:pPr>
              <w:pStyle w:val="TableTextLeft"/>
              <w:rPr>
                <w:b/>
              </w:rPr>
            </w:pPr>
            <w:r w:rsidRPr="00DD5019">
              <w:rPr>
                <w:b/>
              </w:rPr>
              <w:t>In progress</w:t>
            </w:r>
          </w:p>
          <w:p w:rsidR="00A327E1" w:rsidRDefault="00A327E1" w:rsidP="00A327E1">
            <w:pPr>
              <w:pStyle w:val="TableTextLeft"/>
            </w:pPr>
            <w:r>
              <w:t>(continued)</w:t>
            </w:r>
          </w:p>
        </w:tc>
        <w:tc>
          <w:tcPr>
            <w:tcW w:w="7880" w:type="dxa"/>
            <w:tcBorders>
              <w:top w:val="single" w:sz="4" w:space="0" w:color="0070B5" w:themeColor="accent1" w:themeTint="BF"/>
            </w:tcBorders>
          </w:tcPr>
          <w:p w:rsidR="00A327E1" w:rsidRPr="000960EE" w:rsidRDefault="00A327E1" w:rsidP="00A327E1">
            <w:pPr>
              <w:pStyle w:val="TableTextLeft"/>
              <w:rPr>
                <w:b/>
              </w:rPr>
            </w:pPr>
            <w:r w:rsidRPr="000960EE">
              <w:rPr>
                <w:b/>
              </w:rPr>
              <w:t>Recommendation 4.7 — Extending unfair contract terms to insurance contracts</w:t>
            </w:r>
          </w:p>
          <w:p w:rsidR="00A327E1" w:rsidRPr="00827EE2" w:rsidRDefault="00A327E1" w:rsidP="00A327E1">
            <w:pPr>
              <w:pStyle w:val="TableTextLeft"/>
              <w:rPr>
                <w:b/>
              </w:rPr>
            </w:pPr>
            <w:r>
              <w:t xml:space="preserve">On </w:t>
            </w:r>
            <w:r w:rsidRPr="000960EE">
              <w:t xml:space="preserve">30 July </w:t>
            </w:r>
            <w:r>
              <w:t>2019</w:t>
            </w:r>
            <w:r w:rsidR="00EF48D4">
              <w:t>,</w:t>
            </w:r>
            <w:r w:rsidRPr="000960EE">
              <w:t xml:space="preserve"> the Government </w:t>
            </w:r>
            <w:r>
              <w:t>released</w:t>
            </w:r>
            <w:r w:rsidRPr="000960EE">
              <w:t xml:space="preserve"> exposure draft legislation to extend the unfair contract terms regime to insurance contracts.</w:t>
            </w:r>
            <w:r>
              <w:t xml:space="preserve"> Consultation closes on 28 August </w:t>
            </w:r>
            <w:r w:rsidRPr="000960EE">
              <w:t>2019</w:t>
            </w:r>
            <w:r>
              <w:t>.</w:t>
            </w:r>
          </w:p>
        </w:tc>
      </w:tr>
      <w:tr w:rsidR="00A327E1" w:rsidTr="00B94A87">
        <w:trPr>
          <w:cantSplit/>
          <w:trHeight w:val="20"/>
        </w:trPr>
        <w:tc>
          <w:tcPr>
            <w:tcW w:w="1191" w:type="dxa"/>
            <w:vMerge/>
          </w:tcPr>
          <w:p w:rsidR="00A327E1" w:rsidRDefault="00A327E1" w:rsidP="00A327E1">
            <w:pPr>
              <w:pStyle w:val="TableTextLeft"/>
            </w:pPr>
          </w:p>
        </w:tc>
        <w:tc>
          <w:tcPr>
            <w:tcW w:w="7880" w:type="dxa"/>
          </w:tcPr>
          <w:p w:rsidR="00A327E1" w:rsidRDefault="00A327E1" w:rsidP="00A327E1">
            <w:pPr>
              <w:pStyle w:val="TableTextLeft"/>
              <w:rPr>
                <w:b/>
              </w:rPr>
            </w:pPr>
            <w:r>
              <w:rPr>
                <w:b/>
              </w:rPr>
              <w:t>Recommendation 4.8 — Removal of claims handling exemption</w:t>
            </w:r>
          </w:p>
          <w:p w:rsidR="00A327E1" w:rsidRPr="000960EE" w:rsidRDefault="00A327E1" w:rsidP="00A327E1">
            <w:pPr>
              <w:pStyle w:val="TableTextLeft"/>
              <w:rPr>
                <w:b/>
              </w:rPr>
            </w:pPr>
            <w:r>
              <w:t xml:space="preserve">On 1 March 2019, the Government released a consultation paper: </w:t>
            </w:r>
            <w:r>
              <w:rPr>
                <w:i/>
              </w:rPr>
              <w:t>Insurance Claims Handling</w:t>
            </w:r>
            <w:r>
              <w:t xml:space="preserve">. This paper looks at the removal of the exemption for insurance claims handling from the definition of ‘financial service’ under the </w:t>
            </w:r>
            <w:r>
              <w:rPr>
                <w:i/>
              </w:rPr>
              <w:t>Corporations Act 2001</w:t>
            </w:r>
            <w:r>
              <w:t>. Consultation closed on 29 March 2019.</w:t>
            </w:r>
          </w:p>
        </w:tc>
      </w:tr>
    </w:tbl>
    <w:p w:rsidR="00A83ED2" w:rsidRDefault="00A83ED2" w:rsidP="00CE0C85">
      <w:pPr>
        <w:pStyle w:val="SingleParagraph"/>
      </w:pPr>
    </w:p>
    <w:p w:rsidR="00F632B4" w:rsidRPr="00CE0C85" w:rsidRDefault="008120A3" w:rsidP="002B335F">
      <w:pPr>
        <w:spacing w:after="160" w:line="259" w:lineRule="auto"/>
      </w:pPr>
      <w:r w:rsidRPr="00CE0C85">
        <w:t xml:space="preserve">The Government also, in the 2019-20 Budget, provided </w:t>
      </w:r>
      <w:r w:rsidR="0069495D" w:rsidRPr="00CE0C85">
        <w:t>a record level of funding</w:t>
      </w:r>
      <w:r w:rsidRPr="00CE0C85">
        <w:t xml:space="preserve"> to</w:t>
      </w:r>
      <w:r w:rsidR="00B24179" w:rsidRPr="00CE0C85">
        <w:t xml:space="preserve"> the financial regulators</w:t>
      </w:r>
      <w:r w:rsidR="00B0180A" w:rsidRPr="00CE0C85">
        <w:t xml:space="preserve">. </w:t>
      </w:r>
      <w:r w:rsidR="0069495D" w:rsidRPr="00CE0C85">
        <w:t xml:space="preserve">ASIC received funding of </w:t>
      </w:r>
      <w:r w:rsidR="00B61CB3" w:rsidRPr="00CE0C85">
        <w:t>$</w:t>
      </w:r>
      <w:r w:rsidR="004666AC" w:rsidRPr="00CE0C85">
        <w:t>404.8</w:t>
      </w:r>
      <w:r w:rsidR="00B61CB3" w:rsidRPr="00CE0C85">
        <w:t xml:space="preserve"> million</w:t>
      </w:r>
      <w:r w:rsidR="00B24179" w:rsidRPr="00CE0C85">
        <w:t xml:space="preserve"> (an </w:t>
      </w:r>
      <w:r w:rsidR="00F632B4" w:rsidRPr="00CE0C85">
        <w:t xml:space="preserve">increase of 25 per cent </w:t>
      </w:r>
      <w:r w:rsidR="0069495D" w:rsidRPr="00CE0C85">
        <w:t xml:space="preserve">on average in its annual </w:t>
      </w:r>
      <w:r w:rsidR="00F31EA1" w:rsidRPr="00CE0C85">
        <w:t xml:space="preserve">budget </w:t>
      </w:r>
      <w:r w:rsidR="00DD36EE" w:rsidRPr="00CE0C85">
        <w:t>over the forward estimates compared to</w:t>
      </w:r>
      <w:r w:rsidR="00F632B4" w:rsidRPr="00CE0C85">
        <w:t xml:space="preserve"> 2017-18) and </w:t>
      </w:r>
      <w:r w:rsidRPr="00CE0C85">
        <w:t>APRA</w:t>
      </w:r>
      <w:r w:rsidR="00B61CB3" w:rsidRPr="00CE0C85">
        <w:t xml:space="preserve"> </w:t>
      </w:r>
      <w:r w:rsidR="0069495D" w:rsidRPr="00CE0C85">
        <w:t xml:space="preserve">received funding of more than </w:t>
      </w:r>
      <w:r w:rsidR="00B61CB3" w:rsidRPr="00CE0C85">
        <w:t>$</w:t>
      </w:r>
      <w:r w:rsidR="004666AC" w:rsidRPr="00CE0C85">
        <w:t>151.7</w:t>
      </w:r>
      <w:r w:rsidR="00B61CB3" w:rsidRPr="00CE0C85">
        <w:t xml:space="preserve"> million</w:t>
      </w:r>
      <w:r w:rsidR="0069495D" w:rsidRPr="00CE0C85">
        <w:t xml:space="preserve"> (an increase of</w:t>
      </w:r>
      <w:r w:rsidR="00F31EA1" w:rsidRPr="00CE0C85">
        <w:t xml:space="preserve"> </w:t>
      </w:r>
      <w:r w:rsidR="0069495D" w:rsidRPr="00CE0C85">
        <w:t xml:space="preserve">30 per cent on average in its annual </w:t>
      </w:r>
      <w:r w:rsidR="006F2BA8" w:rsidRPr="00CE0C85">
        <w:t>budget</w:t>
      </w:r>
      <w:r w:rsidR="0069495D" w:rsidRPr="00CE0C85">
        <w:t xml:space="preserve"> </w:t>
      </w:r>
      <w:r w:rsidR="00F31EA1" w:rsidRPr="00CE0C85">
        <w:t xml:space="preserve">over the forward estimates </w:t>
      </w:r>
      <w:r w:rsidR="006F2BA8" w:rsidRPr="00CE0C85">
        <w:t xml:space="preserve">compared to </w:t>
      </w:r>
      <w:r w:rsidR="0069495D" w:rsidRPr="00CE0C85">
        <w:t>2017-18)</w:t>
      </w:r>
      <w:r w:rsidRPr="00CE0C85">
        <w:t xml:space="preserve">. </w:t>
      </w:r>
    </w:p>
    <w:p w:rsidR="008120A3" w:rsidRDefault="00B61CB3" w:rsidP="00A07F36">
      <w:r>
        <w:t>Th</w:t>
      </w:r>
      <w:r w:rsidR="00E23DD8">
        <w:t>is</w:t>
      </w:r>
      <w:r>
        <w:t xml:space="preserve"> additional funding will </w:t>
      </w:r>
      <w:r w:rsidR="00E23DD8">
        <w:t xml:space="preserve">enable </w:t>
      </w:r>
      <w:r w:rsidR="00E229A5">
        <w:t xml:space="preserve">our financial regulators to </w:t>
      </w:r>
      <w:r>
        <w:t>strengthen and intensify their enforcement and supervision activities, and take on expanded responsibilities</w:t>
      </w:r>
      <w:r w:rsidR="003B78B2">
        <w:t>,</w:t>
      </w:r>
      <w:r>
        <w:t xml:space="preserve"> as recommended by the Royal Commission. </w:t>
      </w:r>
    </w:p>
    <w:p w:rsidR="001E204C" w:rsidRDefault="000A6D05" w:rsidP="00C448F0">
      <w:r>
        <w:t>Both ASIC and APRA have committed to act on the Royal Commission recommendations directed to them and have publicly announced their planned actions for each recommendation and the matters referred to them for investigation.</w:t>
      </w:r>
      <w:r w:rsidRPr="009D0433">
        <w:rPr>
          <w:rStyle w:val="FootnoteReference"/>
        </w:rPr>
        <w:footnoteReference w:id="2"/>
      </w:r>
      <w:r w:rsidR="00C448F0">
        <w:t xml:space="preserve"> </w:t>
      </w:r>
    </w:p>
    <w:p w:rsidR="004B2B31" w:rsidRDefault="00466A7B" w:rsidP="00D25DB5">
      <w:pPr>
        <w:rPr>
          <w:rFonts w:eastAsia="Calibri"/>
        </w:rPr>
      </w:pPr>
      <w:r>
        <w:t>In the 2019-20 Budget, t</w:t>
      </w:r>
      <w:r w:rsidR="00207284">
        <w:t xml:space="preserve">he Government also </w:t>
      </w:r>
      <w:r w:rsidR="00207284" w:rsidRPr="009D0433">
        <w:t>committed</w:t>
      </w:r>
      <w:r w:rsidR="00397EDF">
        <w:t xml:space="preserve"> funding</w:t>
      </w:r>
      <w:r w:rsidR="00207284" w:rsidRPr="009D0433">
        <w:t xml:space="preserve"> </w:t>
      </w:r>
      <w:r w:rsidR="00207284">
        <w:rPr>
          <w:rFonts w:eastAsia="Calibri"/>
        </w:rPr>
        <w:t>to</w:t>
      </w:r>
      <w:r>
        <w:rPr>
          <w:rFonts w:eastAsia="Calibri"/>
        </w:rPr>
        <w:t xml:space="preserve"> </w:t>
      </w:r>
      <w:r w:rsidR="009A37EF">
        <w:rPr>
          <w:rFonts w:eastAsia="Calibri"/>
        </w:rPr>
        <w:t xml:space="preserve">the following </w:t>
      </w:r>
      <w:r>
        <w:rPr>
          <w:rFonts w:eastAsia="Calibri"/>
        </w:rPr>
        <w:t>Royal Commission recommendations to</w:t>
      </w:r>
      <w:r w:rsidR="00F2650C">
        <w:t>:</w:t>
      </w:r>
      <w:r w:rsidR="00207284" w:rsidRPr="009D0433">
        <w:rPr>
          <w:rFonts w:eastAsia="Calibri"/>
        </w:rPr>
        <w:t xml:space="preserve"> </w:t>
      </w:r>
    </w:p>
    <w:p w:rsidR="004B2B31" w:rsidRPr="00BA6452" w:rsidRDefault="00207284" w:rsidP="00BA6452">
      <w:pPr>
        <w:pStyle w:val="Bullet"/>
        <w:rPr>
          <w:rFonts w:cs="Arial"/>
          <w:color w:val="404040" w:themeColor="text1" w:themeTint="BF"/>
          <w:kern w:val="32"/>
          <w:sz w:val="28"/>
          <w:szCs w:val="26"/>
        </w:rPr>
      </w:pPr>
      <w:r>
        <w:rPr>
          <w:rFonts w:eastAsia="Calibri"/>
        </w:rPr>
        <w:t xml:space="preserve">provide compensation to consumers and small businesses who </w:t>
      </w:r>
      <w:r w:rsidR="00C87DA6">
        <w:rPr>
          <w:rFonts w:eastAsia="Calibri"/>
        </w:rPr>
        <w:t xml:space="preserve">had </w:t>
      </w:r>
      <w:r w:rsidR="00E04068">
        <w:rPr>
          <w:rFonts w:eastAsia="Calibri"/>
        </w:rPr>
        <w:t xml:space="preserve">existing </w:t>
      </w:r>
      <w:r>
        <w:rPr>
          <w:rFonts w:eastAsia="Calibri"/>
        </w:rPr>
        <w:t xml:space="preserve">unpaid </w:t>
      </w:r>
      <w:r w:rsidR="003B78B2">
        <w:rPr>
          <w:rFonts w:eastAsia="Calibri"/>
        </w:rPr>
        <w:t>EDR</w:t>
      </w:r>
      <w:r>
        <w:rPr>
          <w:rFonts w:eastAsia="Calibri"/>
        </w:rPr>
        <w:t xml:space="preserve"> determinations</w:t>
      </w:r>
      <w:r w:rsidR="00C11E0B">
        <w:rPr>
          <w:rFonts w:eastAsia="Calibri"/>
        </w:rPr>
        <w:t xml:space="preserve"> from FOS and CIO</w:t>
      </w:r>
      <w:r w:rsidR="00F1502F">
        <w:rPr>
          <w:rFonts w:eastAsia="Calibri"/>
        </w:rPr>
        <w:t xml:space="preserve">; </w:t>
      </w:r>
    </w:p>
    <w:p w:rsidR="004B2B31" w:rsidRPr="00BA6452" w:rsidRDefault="004D4BF8" w:rsidP="00BA6452">
      <w:pPr>
        <w:pStyle w:val="Bullet"/>
        <w:rPr>
          <w:rFonts w:cs="Arial"/>
          <w:color w:val="404040" w:themeColor="text1" w:themeTint="BF"/>
          <w:kern w:val="32"/>
          <w:sz w:val="28"/>
          <w:szCs w:val="26"/>
        </w:rPr>
      </w:pPr>
      <w:r>
        <w:rPr>
          <w:rFonts w:eastAsia="Calibri"/>
        </w:rPr>
        <w:t>design and implement</w:t>
      </w:r>
      <w:r w:rsidR="00207284">
        <w:rPr>
          <w:rFonts w:eastAsia="Calibri"/>
        </w:rPr>
        <w:t xml:space="preserve"> a forward</w:t>
      </w:r>
      <w:r w:rsidR="00207284">
        <w:rPr>
          <w:rFonts w:eastAsia="Calibri"/>
        </w:rPr>
        <w:noBreakHyphen/>
        <w:t>looking, industry</w:t>
      </w:r>
      <w:r w:rsidR="00207284">
        <w:rPr>
          <w:rFonts w:eastAsia="Calibri"/>
        </w:rPr>
        <w:noBreakHyphen/>
        <w:t>funded</w:t>
      </w:r>
      <w:r w:rsidR="00E6317A">
        <w:rPr>
          <w:rFonts w:eastAsia="Calibri"/>
        </w:rPr>
        <w:t>,</w:t>
      </w:r>
      <w:r w:rsidR="00207284">
        <w:rPr>
          <w:rFonts w:eastAsia="Calibri"/>
        </w:rPr>
        <w:t xml:space="preserve"> compensation scheme of last resort;</w:t>
      </w:r>
      <w:r w:rsidR="006A0D4E">
        <w:rPr>
          <w:rFonts w:eastAsia="Calibri"/>
        </w:rPr>
        <w:t xml:space="preserve"> </w:t>
      </w:r>
    </w:p>
    <w:p w:rsidR="008F30B2" w:rsidRPr="008F30B2" w:rsidRDefault="008F30B2" w:rsidP="008F30B2">
      <w:pPr>
        <w:pStyle w:val="Bullet"/>
        <w:rPr>
          <w:rFonts w:cs="Arial"/>
          <w:color w:val="404040" w:themeColor="text1" w:themeTint="BF"/>
          <w:kern w:val="32"/>
          <w:sz w:val="28"/>
          <w:szCs w:val="26"/>
        </w:rPr>
      </w:pPr>
      <w:r>
        <w:rPr>
          <w:rFonts w:eastAsia="Calibri"/>
        </w:rPr>
        <w:t xml:space="preserve">assist </w:t>
      </w:r>
      <w:r w:rsidR="00217BEA">
        <w:rPr>
          <w:rFonts w:eastAsia="Calibri"/>
        </w:rPr>
        <w:t>AFCA</w:t>
      </w:r>
      <w:r>
        <w:rPr>
          <w:rFonts w:eastAsia="Calibri"/>
        </w:rPr>
        <w:t xml:space="preserve"> to extend it</w:t>
      </w:r>
      <w:r w:rsidR="00217BEA">
        <w:rPr>
          <w:rFonts w:eastAsia="Calibri"/>
        </w:rPr>
        <w:t xml:space="preserve">s remit </w:t>
      </w:r>
      <w:r w:rsidR="00207284">
        <w:rPr>
          <w:rFonts w:eastAsia="Calibri"/>
        </w:rPr>
        <w:t>to enable it to consider</w:t>
      </w:r>
      <w:r w:rsidR="00CC72ED">
        <w:rPr>
          <w:rFonts w:eastAsia="Calibri"/>
        </w:rPr>
        <w:t xml:space="preserve"> legacy </w:t>
      </w:r>
      <w:r w:rsidR="00207284">
        <w:rPr>
          <w:rFonts w:eastAsia="Calibri"/>
        </w:rPr>
        <w:t xml:space="preserve">complaints </w:t>
      </w:r>
      <w:r w:rsidR="00CC72ED">
        <w:rPr>
          <w:rFonts w:eastAsia="Calibri"/>
        </w:rPr>
        <w:t>dating back to</w:t>
      </w:r>
      <w:r w:rsidR="00207284">
        <w:rPr>
          <w:rFonts w:eastAsia="Calibri"/>
        </w:rPr>
        <w:t xml:space="preserve"> </w:t>
      </w:r>
      <w:r w:rsidR="00D2441A">
        <w:rPr>
          <w:rFonts w:eastAsia="Calibri"/>
        </w:rPr>
        <w:t>1 </w:t>
      </w:r>
      <w:r w:rsidR="00207284">
        <w:rPr>
          <w:rFonts w:eastAsia="Calibri"/>
        </w:rPr>
        <w:t>January 2008;</w:t>
      </w:r>
    </w:p>
    <w:p w:rsidR="004B2B31" w:rsidRPr="00BA6452" w:rsidRDefault="00207284" w:rsidP="00BA6452">
      <w:pPr>
        <w:pStyle w:val="Bullet"/>
        <w:rPr>
          <w:rFonts w:cs="Arial"/>
          <w:color w:val="404040" w:themeColor="text1" w:themeTint="BF"/>
          <w:kern w:val="32"/>
          <w:sz w:val="28"/>
          <w:szCs w:val="26"/>
        </w:rPr>
      </w:pPr>
      <w:r>
        <w:rPr>
          <w:rFonts w:eastAsia="Calibri"/>
        </w:rPr>
        <w:t>undertake a</w:t>
      </w:r>
      <w:r w:rsidR="001E3D10">
        <w:rPr>
          <w:rFonts w:eastAsia="Calibri"/>
        </w:rPr>
        <w:t>n APRA Capability Review</w:t>
      </w:r>
      <w:r w:rsidR="00AD0909">
        <w:rPr>
          <w:rFonts w:eastAsia="Calibri"/>
        </w:rPr>
        <w:t>;</w:t>
      </w:r>
      <w:r w:rsidR="006A0D4E">
        <w:rPr>
          <w:rFonts w:eastAsia="Calibri"/>
        </w:rPr>
        <w:t xml:space="preserve"> </w:t>
      </w:r>
    </w:p>
    <w:p w:rsidR="004B2B31" w:rsidRPr="00BA6452" w:rsidRDefault="006A0D4E" w:rsidP="00BA6452">
      <w:pPr>
        <w:pStyle w:val="Bullet"/>
        <w:rPr>
          <w:rFonts w:cs="Arial"/>
          <w:color w:val="404040" w:themeColor="text1" w:themeTint="BF"/>
          <w:kern w:val="32"/>
          <w:sz w:val="28"/>
          <w:szCs w:val="26"/>
        </w:rPr>
      </w:pPr>
      <w:r>
        <w:rPr>
          <w:rFonts w:eastAsia="Calibri"/>
        </w:rPr>
        <w:t xml:space="preserve">undertake </w:t>
      </w:r>
      <w:r w:rsidR="001E3D10">
        <w:rPr>
          <w:rFonts w:eastAsia="Calibri"/>
        </w:rPr>
        <w:t>a</w:t>
      </w:r>
      <w:r w:rsidR="00207284">
        <w:rPr>
          <w:rFonts w:eastAsia="Calibri"/>
        </w:rPr>
        <w:t xml:space="preserve"> Financial Advice Review; and</w:t>
      </w:r>
      <w:r w:rsidR="00F2650C">
        <w:rPr>
          <w:rFonts w:eastAsia="Calibri"/>
        </w:rPr>
        <w:t xml:space="preserve"> </w:t>
      </w:r>
    </w:p>
    <w:p w:rsidR="00EB5A84" w:rsidRDefault="00207284" w:rsidP="00BA6452">
      <w:pPr>
        <w:pStyle w:val="Bullet"/>
        <w:rPr>
          <w:rFonts w:cs="Arial"/>
          <w:color w:val="404040" w:themeColor="text1" w:themeTint="BF"/>
          <w:kern w:val="32"/>
          <w:sz w:val="28"/>
          <w:szCs w:val="26"/>
        </w:rPr>
      </w:pPr>
      <w:r>
        <w:rPr>
          <w:rFonts w:eastAsia="Calibri"/>
        </w:rPr>
        <w:t xml:space="preserve">establish a </w:t>
      </w:r>
      <w:r w:rsidR="00E6317A">
        <w:rPr>
          <w:rFonts w:eastAsia="Calibri"/>
        </w:rPr>
        <w:t>f</w:t>
      </w:r>
      <w:r>
        <w:rPr>
          <w:rFonts w:eastAsia="Calibri"/>
        </w:rPr>
        <w:t xml:space="preserve">inancial </w:t>
      </w:r>
      <w:r w:rsidR="00E6317A">
        <w:rPr>
          <w:rFonts w:eastAsia="Calibri"/>
        </w:rPr>
        <w:t>r</w:t>
      </w:r>
      <w:r>
        <w:rPr>
          <w:rFonts w:eastAsia="Calibri"/>
        </w:rPr>
        <w:t xml:space="preserve">egulator </w:t>
      </w:r>
      <w:r w:rsidR="00E6317A">
        <w:rPr>
          <w:rFonts w:eastAsia="Calibri"/>
        </w:rPr>
        <w:t>o</w:t>
      </w:r>
      <w:r>
        <w:rPr>
          <w:rFonts w:eastAsia="Calibri"/>
        </w:rPr>
        <w:t xml:space="preserve">versight </w:t>
      </w:r>
      <w:r w:rsidR="00E6317A">
        <w:rPr>
          <w:rFonts w:eastAsia="Calibri"/>
        </w:rPr>
        <w:t>a</w:t>
      </w:r>
      <w:r>
        <w:rPr>
          <w:rFonts w:eastAsia="Calibri"/>
        </w:rPr>
        <w:t>uthority.</w:t>
      </w:r>
    </w:p>
    <w:p w:rsidR="00181369" w:rsidRDefault="008C234A" w:rsidP="00181369">
      <w:pPr>
        <w:spacing w:after="160" w:line="259" w:lineRule="auto"/>
      </w:pPr>
      <w:r>
        <w:t xml:space="preserve">As </w:t>
      </w:r>
      <w:r w:rsidR="001E48D1">
        <w:t xml:space="preserve">the Government progressively </w:t>
      </w:r>
      <w:r>
        <w:t>implement</w:t>
      </w:r>
      <w:r w:rsidR="001E48D1">
        <w:t>s its response to the</w:t>
      </w:r>
      <w:r>
        <w:t xml:space="preserve"> Royal Commission, </w:t>
      </w:r>
      <w:r w:rsidR="001E48D1">
        <w:t>it</w:t>
      </w:r>
      <w:r>
        <w:t xml:space="preserve"> will continue to assess the resourcing needs of the regulators and, where appropriate, provide additional funding to support </w:t>
      </w:r>
      <w:r w:rsidR="00B626A1">
        <w:t xml:space="preserve">their </w:t>
      </w:r>
      <w:r>
        <w:t>policy</w:t>
      </w:r>
      <w:r>
        <w:noBreakHyphen/>
        <w:t>related work, and supervisory and enforcement activities.</w:t>
      </w:r>
      <w:r w:rsidR="00B626A1">
        <w:t xml:space="preserve"> </w:t>
      </w:r>
    </w:p>
    <w:p w:rsidR="00207284" w:rsidRDefault="00207284" w:rsidP="00207284">
      <w:pPr>
        <w:pStyle w:val="Heading3"/>
      </w:pPr>
      <w:r>
        <w:lastRenderedPageBreak/>
        <w:t>Financial Services Reform Taskforce</w:t>
      </w:r>
    </w:p>
    <w:p w:rsidR="00C448F0" w:rsidRPr="009B221C" w:rsidRDefault="00442ECA" w:rsidP="00442ECA">
      <w:r>
        <w:t>To support efficient and effective implementation</w:t>
      </w:r>
      <w:r w:rsidR="00A056F1">
        <w:t xml:space="preserve"> of the Government’s response</w:t>
      </w:r>
      <w:r w:rsidR="00ED07FA">
        <w:t xml:space="preserve">, </w:t>
      </w:r>
      <w:r>
        <w:t xml:space="preserve">the Treasury </w:t>
      </w:r>
      <w:r w:rsidRPr="009B221C">
        <w:t xml:space="preserve">Royal Commission Taskforce </w:t>
      </w:r>
      <w:r w:rsidR="0030683C" w:rsidRPr="009B221C">
        <w:t>has continued</w:t>
      </w:r>
      <w:r w:rsidRPr="009B221C">
        <w:t xml:space="preserve"> as the Financial Services Reform Taskforce. </w:t>
      </w:r>
    </w:p>
    <w:p w:rsidR="00D069ED" w:rsidRPr="00720184" w:rsidRDefault="00CC72ED" w:rsidP="00610A05">
      <w:r w:rsidRPr="00720184">
        <w:t>T</w:t>
      </w:r>
      <w:r w:rsidR="000A3D07" w:rsidRPr="00720184">
        <w:t xml:space="preserve">he Government has provided </w:t>
      </w:r>
      <w:r w:rsidR="000860C7">
        <w:t>$12.1 million to</w:t>
      </w:r>
      <w:r w:rsidR="000A3D07">
        <w:t xml:space="preserve"> Treasury and the Office of Parliamentary Counsel</w:t>
      </w:r>
      <w:r w:rsidR="009542CC">
        <w:t xml:space="preserve"> (OPC)</w:t>
      </w:r>
      <w:r w:rsidR="004D781E">
        <w:t xml:space="preserve"> </w:t>
      </w:r>
      <w:r w:rsidR="00D23A74">
        <w:t>for implementation</w:t>
      </w:r>
      <w:r w:rsidR="004B3F25">
        <w:noBreakHyphen/>
      </w:r>
      <w:r w:rsidR="00D23A74">
        <w:t>related work</w:t>
      </w:r>
      <w:r w:rsidR="009542CC">
        <w:t xml:space="preserve"> </w:t>
      </w:r>
      <w:r w:rsidR="009542CC" w:rsidRPr="00BB6621">
        <w:t>in the 2019-20 Budget</w:t>
      </w:r>
      <w:r w:rsidR="009542CC">
        <w:t xml:space="preserve"> and</w:t>
      </w:r>
      <w:r w:rsidR="001A29AC">
        <w:t xml:space="preserve"> </w:t>
      </w:r>
      <w:r w:rsidR="001A29AC" w:rsidRPr="001A29AC">
        <w:t>will now provide</w:t>
      </w:r>
      <w:r w:rsidR="009542CC">
        <w:t xml:space="preserve"> an additional </w:t>
      </w:r>
      <w:r w:rsidR="009542CC" w:rsidRPr="001A29AC">
        <w:t>$9</w:t>
      </w:r>
      <w:r w:rsidR="000860C7">
        <w:t>.3</w:t>
      </w:r>
      <w:r w:rsidR="009542CC" w:rsidRPr="001A29AC">
        <w:t xml:space="preserve"> million to Treasury </w:t>
      </w:r>
      <w:r w:rsidR="00473767">
        <w:t>and</w:t>
      </w:r>
      <w:r w:rsidR="009542CC" w:rsidRPr="001A29AC">
        <w:t xml:space="preserve"> OPC</w:t>
      </w:r>
      <w:r w:rsidR="000A3D07" w:rsidRPr="001A29AC">
        <w:t>.</w:t>
      </w:r>
      <w:r w:rsidR="00C448F0">
        <w:t xml:space="preserve"> </w:t>
      </w:r>
      <w:r w:rsidR="00382819">
        <w:t xml:space="preserve">The </w:t>
      </w:r>
      <w:r w:rsidR="00610A05">
        <w:t>additional</w:t>
      </w:r>
      <w:r w:rsidR="001A29AC" w:rsidRPr="001A29AC">
        <w:t xml:space="preserve"> funding</w:t>
      </w:r>
      <w:r w:rsidR="00610A05">
        <w:t xml:space="preserve"> </w:t>
      </w:r>
      <w:r w:rsidR="009542CC">
        <w:t>wil</w:t>
      </w:r>
      <w:r w:rsidR="00382819">
        <w:t xml:space="preserve">l support the delivery of the Government’s ambitious plans for the </w:t>
      </w:r>
      <w:r w:rsidR="00E5522A" w:rsidRPr="001A29AC">
        <w:t>impl</w:t>
      </w:r>
      <w:r w:rsidR="00E5522A">
        <w:t>eme</w:t>
      </w:r>
      <w:r w:rsidR="00E5522A" w:rsidRPr="001A29AC">
        <w:t>ntation</w:t>
      </w:r>
      <w:r w:rsidR="00382819">
        <w:t xml:space="preserve"> of the Royal Commission recommendations. </w:t>
      </w:r>
    </w:p>
    <w:p w:rsidR="00610A05" w:rsidRDefault="00382819" w:rsidP="00610A05">
      <w:r w:rsidRPr="00720184">
        <w:t xml:space="preserve">The additional funding </w:t>
      </w:r>
      <w:r w:rsidRPr="001A29AC">
        <w:t xml:space="preserve">also includes resourcing </w:t>
      </w:r>
      <w:r w:rsidR="00902B0F">
        <w:t>for</w:t>
      </w:r>
      <w:r w:rsidR="00D069ED" w:rsidRPr="00554F6D">
        <w:t xml:space="preserve"> Treasury to begin</w:t>
      </w:r>
      <w:r w:rsidRPr="009B221C">
        <w:t xml:space="preserve"> the </w:t>
      </w:r>
      <w:r w:rsidR="001A29AC" w:rsidRPr="00554F6D">
        <w:t xml:space="preserve">longer term </w:t>
      </w:r>
      <w:r w:rsidRPr="009B221C">
        <w:t xml:space="preserve">task of </w:t>
      </w:r>
      <w:r w:rsidR="001A29AC" w:rsidRPr="00554F6D">
        <w:t>considering how to simplify</w:t>
      </w:r>
      <w:r w:rsidRPr="009B221C">
        <w:t xml:space="preserve"> the law</w:t>
      </w:r>
      <w:r w:rsidR="00C11E0B">
        <w:t>,</w:t>
      </w:r>
      <w:r w:rsidRPr="009B221C">
        <w:t xml:space="preserve"> </w:t>
      </w:r>
      <w:r w:rsidR="00D069ED" w:rsidRPr="00554F6D">
        <w:t xml:space="preserve">consistent </w:t>
      </w:r>
      <w:r w:rsidR="00E5522A">
        <w:t xml:space="preserve">with </w:t>
      </w:r>
      <w:r w:rsidR="008D76BF" w:rsidRPr="00554F6D">
        <w:t>recommendation</w:t>
      </w:r>
      <w:r w:rsidR="00945ACB">
        <w:t>s</w:t>
      </w:r>
      <w:r w:rsidR="008D76BF" w:rsidRPr="00554F6D">
        <w:t xml:space="preserve"> </w:t>
      </w:r>
      <w:r w:rsidR="00945ACB">
        <w:t xml:space="preserve">7.3 and </w:t>
      </w:r>
      <w:r w:rsidR="008D76BF" w:rsidRPr="00554F6D">
        <w:t xml:space="preserve">7.4 of the </w:t>
      </w:r>
      <w:r w:rsidRPr="009B221C">
        <w:t>Royal Commission</w:t>
      </w:r>
      <w:r w:rsidR="001A29AC" w:rsidRPr="009B221C">
        <w:t>.</w:t>
      </w:r>
    </w:p>
    <w:p w:rsidR="00207284" w:rsidRDefault="00207284" w:rsidP="00207284">
      <w:pPr>
        <w:pStyle w:val="Heading3"/>
      </w:pPr>
      <w:r>
        <w:t>Implementation Steering Committee</w:t>
      </w:r>
    </w:p>
    <w:p w:rsidR="00207284" w:rsidRDefault="00525BF7" w:rsidP="00207284">
      <w:pPr>
        <w:rPr>
          <w:b/>
          <w:bCs/>
        </w:rPr>
      </w:pPr>
      <w:r>
        <w:t>A</w:t>
      </w:r>
      <w:r w:rsidR="00207284">
        <w:t xml:space="preserve"> Financial Services Reform Implementation Steering Committee (ISC)</w:t>
      </w:r>
      <w:r w:rsidR="00AA7807">
        <w:t xml:space="preserve"> has </w:t>
      </w:r>
      <w:r w:rsidR="00282323">
        <w:t xml:space="preserve">also </w:t>
      </w:r>
      <w:r w:rsidR="00AA7807">
        <w:t>been established</w:t>
      </w:r>
      <w:r w:rsidR="00207284">
        <w:t xml:space="preserve">, consisting of senior executives </w:t>
      </w:r>
      <w:r w:rsidR="00EF48D4">
        <w:t>of the Treasury, ASIC, APRA and OPC</w:t>
      </w:r>
      <w:r w:rsidR="003736C2">
        <w:t>,</w:t>
      </w:r>
      <w:r w:rsidR="00207284">
        <w:t xml:space="preserve"> with participation from other agencies as required.</w:t>
      </w:r>
    </w:p>
    <w:p w:rsidR="00207284" w:rsidRDefault="009C6FB7" w:rsidP="00207284">
      <w:r>
        <w:t xml:space="preserve">The ISC’s </w:t>
      </w:r>
      <w:r w:rsidR="00361ACE">
        <w:t>role</w:t>
      </w:r>
      <w:r w:rsidR="00505E76">
        <w:t xml:space="preserve"> </w:t>
      </w:r>
      <w:r w:rsidR="00AA3E69">
        <w:t>is</w:t>
      </w:r>
      <w:r w:rsidR="008F30B2">
        <w:t xml:space="preserve"> </w:t>
      </w:r>
      <w:r w:rsidR="00361ACE">
        <w:t xml:space="preserve">to </w:t>
      </w:r>
      <w:r w:rsidR="00505E76">
        <w:t xml:space="preserve">ensure </w:t>
      </w:r>
      <w:r w:rsidR="00361ACE">
        <w:t>that</w:t>
      </w:r>
      <w:r w:rsidR="00505E76">
        <w:t xml:space="preserve"> reforms and regulato</w:t>
      </w:r>
      <w:r w:rsidR="00895CFB">
        <w:t>r</w:t>
      </w:r>
      <w:r w:rsidR="00505E76">
        <w:t xml:space="preserve"> efforts are effectively co-ordinated and risks to implementation </w:t>
      </w:r>
      <w:r w:rsidR="00361ACE">
        <w:t xml:space="preserve">are </w:t>
      </w:r>
      <w:r w:rsidR="00505E76">
        <w:t>addressed</w:t>
      </w:r>
      <w:r w:rsidR="00895CFB">
        <w:t xml:space="preserve"> </w:t>
      </w:r>
      <w:r w:rsidR="00361ACE">
        <w:t xml:space="preserve">promptly </w:t>
      </w:r>
      <w:r w:rsidR="00895CFB">
        <w:t>as they arise</w:t>
      </w:r>
      <w:r w:rsidR="00505E76">
        <w:t xml:space="preserve">. </w:t>
      </w:r>
      <w:r>
        <w:t xml:space="preserve">The ISC </w:t>
      </w:r>
      <w:r w:rsidR="008F30B2">
        <w:t xml:space="preserve">also </w:t>
      </w:r>
      <w:r w:rsidR="00207284">
        <w:t>report</w:t>
      </w:r>
      <w:r w:rsidR="00F12CD2">
        <w:t>s</w:t>
      </w:r>
      <w:r w:rsidR="00207284">
        <w:t xml:space="preserve"> to</w:t>
      </w:r>
      <w:r w:rsidR="00646562">
        <w:t xml:space="preserve"> the</w:t>
      </w:r>
      <w:r w:rsidR="00207284">
        <w:t xml:space="preserve"> Government</w:t>
      </w:r>
      <w:r w:rsidR="00895CFB">
        <w:t xml:space="preserve"> on </w:t>
      </w:r>
      <w:r w:rsidR="00024D4B">
        <w:t xml:space="preserve">progress in </w:t>
      </w:r>
      <w:r w:rsidR="00895CFB">
        <w:t>implement</w:t>
      </w:r>
      <w:r w:rsidR="00024D4B">
        <w:t xml:space="preserve">ing </w:t>
      </w:r>
      <w:r w:rsidR="00895CFB">
        <w:t xml:space="preserve">the </w:t>
      </w:r>
      <w:r w:rsidR="00024D4B">
        <w:t xml:space="preserve">Government’s </w:t>
      </w:r>
      <w:r w:rsidR="00895CFB">
        <w:t>reform agenda</w:t>
      </w:r>
      <w:r w:rsidR="00207284">
        <w:t>.</w:t>
      </w:r>
      <w:r w:rsidR="003835EA">
        <w:t xml:space="preserve"> </w:t>
      </w:r>
    </w:p>
    <w:p w:rsidR="008120A3" w:rsidRPr="008120A3" w:rsidRDefault="00FE6DA3" w:rsidP="00FE6DA3">
      <w:pPr>
        <w:pStyle w:val="Heading2"/>
      </w:pPr>
      <w:bookmarkStart w:id="420" w:name="_Toc13049864"/>
      <w:bookmarkStart w:id="421" w:name="_Toc17057990"/>
      <w:bookmarkStart w:id="422" w:name="_Toc4164505"/>
      <w:bookmarkStart w:id="423" w:name="_Toc4419492"/>
      <w:bookmarkStart w:id="424" w:name="_Toc4419594"/>
      <w:bookmarkStart w:id="425" w:name="_Toc4426696"/>
      <w:bookmarkStart w:id="426" w:name="_Toc4427574"/>
      <w:bookmarkStart w:id="427" w:name="_Toc4496296"/>
      <w:bookmarkStart w:id="428" w:name="_Toc4500974"/>
      <w:bookmarkStart w:id="429" w:name="_Toc4503486"/>
      <w:bookmarkStart w:id="430" w:name="_Toc4504383"/>
      <w:bookmarkStart w:id="431" w:name="_Toc4507188"/>
      <w:bookmarkStart w:id="432" w:name="_Toc4507256"/>
      <w:bookmarkStart w:id="433" w:name="_Toc4577575"/>
      <w:bookmarkStart w:id="434" w:name="_Toc4579336"/>
      <w:bookmarkStart w:id="435" w:name="_Toc4585967"/>
      <w:bookmarkStart w:id="436" w:name="_Toc4591046"/>
      <w:bookmarkStart w:id="437" w:name="_Toc4591385"/>
      <w:bookmarkStart w:id="438" w:name="_Toc4598692"/>
      <w:bookmarkStart w:id="439" w:name="_Toc4603193"/>
      <w:bookmarkStart w:id="440" w:name="_Toc4753185"/>
      <w:bookmarkStart w:id="441" w:name="_Toc4753956"/>
      <w:bookmarkStart w:id="442" w:name="_Toc4755129"/>
      <w:bookmarkStart w:id="443" w:name="_Toc5029186"/>
      <w:bookmarkStart w:id="444" w:name="_Toc5117712"/>
      <w:bookmarkStart w:id="445" w:name="_Toc5118521"/>
      <w:bookmarkStart w:id="446" w:name="_Toc5118563"/>
      <w:bookmarkStart w:id="447" w:name="_Toc5187986"/>
      <w:bookmarkStart w:id="448" w:name="_Toc5196792"/>
      <w:bookmarkStart w:id="449" w:name="_Toc5198538"/>
      <w:bookmarkStart w:id="450" w:name="_Toc5199577"/>
      <w:bookmarkStart w:id="451" w:name="_Toc5199692"/>
      <w:bookmarkStart w:id="452" w:name="_Toc5200554"/>
      <w:bookmarkStart w:id="453" w:name="_Toc5204134"/>
      <w:r>
        <w:t>T</w:t>
      </w:r>
      <w:r w:rsidR="00611AC7">
        <w:t>he Government’s i</w:t>
      </w:r>
      <w:r w:rsidR="008120A3" w:rsidRPr="008120A3">
        <w:t>mplementation p</w:t>
      </w:r>
      <w:r w:rsidR="00200915">
        <w:t>lan</w:t>
      </w:r>
      <w:bookmarkEnd w:id="420"/>
      <w:bookmarkEnd w:id="421"/>
      <w:r w:rsidR="00200915">
        <w:t xml:space="preserve"> </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8C234A" w:rsidRDefault="008C234A" w:rsidP="008C234A">
      <w:pPr>
        <w:pStyle w:val="Bullet"/>
        <w:numPr>
          <w:ilvl w:val="0"/>
          <w:numId w:val="0"/>
        </w:numPr>
      </w:pPr>
      <w:r>
        <w:t xml:space="preserve">In its comprehensive response to the Royal Commission, the Government committed to </w:t>
      </w:r>
      <w:r w:rsidR="00D92792">
        <w:t>take action on all 76</w:t>
      </w:r>
      <w:r w:rsidR="00935CA0">
        <w:t xml:space="preserve"> recommendations of the</w:t>
      </w:r>
      <w:r w:rsidR="00D92792">
        <w:t xml:space="preserve"> Royal Commission</w:t>
      </w:r>
      <w:r w:rsidR="00473767">
        <w:t xml:space="preserve"> and</w:t>
      </w:r>
      <w:r w:rsidR="00D92792">
        <w:t xml:space="preserve"> </w:t>
      </w:r>
      <w:r w:rsidR="00C11E0B">
        <w:t>made 18 additional commitments</w:t>
      </w:r>
      <w:r>
        <w:t xml:space="preserve">. </w:t>
      </w:r>
    </w:p>
    <w:p w:rsidR="00AA2BAD" w:rsidRDefault="00AA2BAD" w:rsidP="00FD63B5">
      <w:pPr>
        <w:pStyle w:val="Bullet"/>
        <w:numPr>
          <w:ilvl w:val="0"/>
          <w:numId w:val="0"/>
        </w:numPr>
      </w:pPr>
      <w:r w:rsidRPr="00A95535">
        <w:t xml:space="preserve">A table outlining </w:t>
      </w:r>
      <w:r>
        <w:t>indicative</w:t>
      </w:r>
      <w:r w:rsidRPr="00A95535">
        <w:t xml:space="preserve"> time</w:t>
      </w:r>
      <w:r w:rsidR="00A04452">
        <w:t>lines for implementation</w:t>
      </w:r>
      <w:r w:rsidRPr="00A95535">
        <w:t xml:space="preserve"> of recommendations and additional </w:t>
      </w:r>
      <w:r w:rsidR="002742B3">
        <w:t>commitments</w:t>
      </w:r>
      <w:r w:rsidRPr="00A95535">
        <w:t xml:space="preserve"> requiring Government action is at </w:t>
      </w:r>
      <w:r w:rsidRPr="00A95535">
        <w:rPr>
          <w:b/>
        </w:rPr>
        <w:t>Appendix A</w:t>
      </w:r>
      <w:r w:rsidRPr="00A95535">
        <w:t xml:space="preserve"> and regulator action </w:t>
      </w:r>
      <w:r>
        <w:t xml:space="preserve">is </w:t>
      </w:r>
      <w:r w:rsidRPr="00A95535">
        <w:t xml:space="preserve">at </w:t>
      </w:r>
      <w:r w:rsidRPr="00A95535">
        <w:rPr>
          <w:b/>
        </w:rPr>
        <w:t>Appendix B</w:t>
      </w:r>
      <w:r w:rsidRPr="00A95535">
        <w:t xml:space="preserve">. </w:t>
      </w:r>
    </w:p>
    <w:p w:rsidR="00527AED" w:rsidRDefault="00FA3F04" w:rsidP="005A2B38">
      <w:r>
        <w:t>In progressing</w:t>
      </w:r>
      <w:r w:rsidR="00D611A5">
        <w:t xml:space="preserve"> the design and</w:t>
      </w:r>
      <w:r>
        <w:t xml:space="preserve"> implementation of the reforms, </w:t>
      </w:r>
      <w:r w:rsidR="004D781E">
        <w:t xml:space="preserve">the Government </w:t>
      </w:r>
      <w:r>
        <w:t xml:space="preserve">will look to do so in a way that is consistent with the Royal Commission’s recommendations </w:t>
      </w:r>
      <w:r w:rsidR="00D62F5F">
        <w:t>that</w:t>
      </w:r>
      <w:r w:rsidR="002934F4">
        <w:t>,</w:t>
      </w:r>
      <w:r>
        <w:t xml:space="preserve"> as far as possible</w:t>
      </w:r>
      <w:r w:rsidR="00527AED">
        <w:t>:</w:t>
      </w:r>
      <w:r w:rsidR="000B0BAD">
        <w:t xml:space="preserve"> </w:t>
      </w:r>
    </w:p>
    <w:p w:rsidR="00527AED" w:rsidRDefault="00FA3F04" w:rsidP="00A45912">
      <w:pPr>
        <w:pStyle w:val="Bullet"/>
      </w:pPr>
      <w:r w:rsidRPr="007C5948">
        <w:t xml:space="preserve">exceptions and qualifications to generally applicable norms </w:t>
      </w:r>
      <w:r w:rsidRPr="00E81C92">
        <w:t>of conduct be eliminated</w:t>
      </w:r>
      <w:r w:rsidR="00527AED">
        <w:t>;</w:t>
      </w:r>
      <w:r w:rsidRPr="00E81C92">
        <w:t xml:space="preserve"> and</w:t>
      </w:r>
      <w:r w:rsidR="000B0BAD" w:rsidRPr="00E81C92">
        <w:t xml:space="preserve"> </w:t>
      </w:r>
    </w:p>
    <w:p w:rsidR="00FA3F04" w:rsidRPr="00E81C92" w:rsidRDefault="00FA3F04" w:rsidP="00A45912">
      <w:pPr>
        <w:pStyle w:val="Bullet"/>
      </w:pPr>
      <w:r w:rsidRPr="00E81C92">
        <w:t xml:space="preserve">legislation applying to financial services </w:t>
      </w:r>
      <w:r w:rsidR="004275D4" w:rsidRPr="00E81C92">
        <w:t xml:space="preserve">firms </w:t>
      </w:r>
      <w:r w:rsidRPr="00E81C92">
        <w:t>expressly identify what fundamental norms of behaviour are being pursued.</w:t>
      </w:r>
    </w:p>
    <w:p w:rsidR="008120A3" w:rsidRPr="00A45912" w:rsidRDefault="008120A3" w:rsidP="00017DF0">
      <w:pPr>
        <w:pStyle w:val="Heading3"/>
      </w:pPr>
      <w:r w:rsidRPr="00A45912">
        <w:t>Strengthening protections for consumers, small business</w:t>
      </w:r>
      <w:r w:rsidR="002934F4" w:rsidRPr="00A45912">
        <w:t>es</w:t>
      </w:r>
      <w:r w:rsidRPr="00A45912">
        <w:t xml:space="preserve"> and rural and regional communities</w:t>
      </w:r>
    </w:p>
    <w:p w:rsidR="000D26C6" w:rsidRDefault="005C4DC8" w:rsidP="0058120F">
      <w:pPr>
        <w:pStyle w:val="Dash"/>
        <w:numPr>
          <w:ilvl w:val="0"/>
          <w:numId w:val="0"/>
        </w:numPr>
        <w:spacing w:after="220"/>
      </w:pPr>
      <w:r w:rsidRPr="005C4DC8">
        <w:t xml:space="preserve">All Australians have the right to be treated fairly in their dealings with </w:t>
      </w:r>
      <w:r>
        <w:t>their financial firms</w:t>
      </w:r>
      <w:r w:rsidRPr="005C4DC8">
        <w:t xml:space="preserve">. </w:t>
      </w:r>
      <w:r w:rsidR="00BC5CCB">
        <w:t xml:space="preserve">This is critical to ensuring </w:t>
      </w:r>
      <w:r w:rsidR="00EA6E9B">
        <w:t xml:space="preserve">that </w:t>
      </w:r>
      <w:r w:rsidR="00611324">
        <w:t xml:space="preserve">Australians can confidently engage with, and </w:t>
      </w:r>
      <w:r w:rsidR="00EA6E9B">
        <w:t xml:space="preserve">have trust </w:t>
      </w:r>
      <w:r w:rsidRPr="005C4DC8">
        <w:t>in</w:t>
      </w:r>
      <w:r w:rsidR="00611324">
        <w:t>,</w:t>
      </w:r>
      <w:r w:rsidRPr="005C4DC8">
        <w:t xml:space="preserve"> the financial system.</w:t>
      </w:r>
    </w:p>
    <w:p w:rsidR="00B01F6A" w:rsidRPr="00B01F6A" w:rsidRDefault="00BC4046" w:rsidP="0058120F">
      <w:pPr>
        <w:pStyle w:val="Dash"/>
        <w:numPr>
          <w:ilvl w:val="0"/>
          <w:numId w:val="0"/>
        </w:numPr>
        <w:spacing w:after="220"/>
      </w:pPr>
      <w:r w:rsidRPr="00FC65B9">
        <w:t xml:space="preserve">The Government is taking action to </w:t>
      </w:r>
      <w:r w:rsidR="00FC65B9">
        <w:t xml:space="preserve">address conflicts of interest and </w:t>
      </w:r>
      <w:r w:rsidR="00FB672A">
        <w:t xml:space="preserve">better align the interests of </w:t>
      </w:r>
      <w:r w:rsidR="000216F7" w:rsidRPr="00D509D4">
        <w:t xml:space="preserve">firms and </w:t>
      </w:r>
      <w:r w:rsidR="002934F4">
        <w:t>consumer</w:t>
      </w:r>
      <w:r w:rsidR="000216F7" w:rsidRPr="00D509D4">
        <w:t xml:space="preserve">s, </w:t>
      </w:r>
      <w:r w:rsidR="00A30249" w:rsidRPr="00D509D4">
        <w:t xml:space="preserve">including where </w:t>
      </w:r>
      <w:r w:rsidR="002934F4">
        <w:t>consumer</w:t>
      </w:r>
      <w:r w:rsidR="00A30249" w:rsidRPr="00D509D4">
        <w:t xml:space="preserve">s </w:t>
      </w:r>
      <w:r w:rsidR="00EF48D4">
        <w:t>use</w:t>
      </w:r>
      <w:r w:rsidR="0020097D" w:rsidRPr="00D509D4">
        <w:t xml:space="preserve"> an</w:t>
      </w:r>
      <w:r w:rsidR="00A30249" w:rsidRPr="00D509D4">
        <w:t xml:space="preserve"> intermediary such as a financial adviser or </w:t>
      </w:r>
      <w:r w:rsidR="00A7203A">
        <w:t xml:space="preserve">mortgage </w:t>
      </w:r>
      <w:r w:rsidR="00A30249" w:rsidRPr="00D509D4">
        <w:t>broker</w:t>
      </w:r>
      <w:r w:rsidR="0020097D" w:rsidRPr="00D509D4">
        <w:t>.</w:t>
      </w:r>
      <w:r w:rsidR="00FC65B9">
        <w:t xml:space="preserve"> The Government is also </w:t>
      </w:r>
      <w:r w:rsidR="001939F7">
        <w:t xml:space="preserve">implementing </w:t>
      </w:r>
      <w:r w:rsidR="00FC65B9">
        <w:t xml:space="preserve">reforms to </w:t>
      </w:r>
      <w:r w:rsidR="00FC65B9" w:rsidRPr="000D514E">
        <w:t xml:space="preserve">ensure that </w:t>
      </w:r>
      <w:r w:rsidR="002934F4">
        <w:t>consumer</w:t>
      </w:r>
      <w:r w:rsidR="00FC65B9" w:rsidRPr="000D514E">
        <w:t xml:space="preserve">s are treated fairly in their dealings with </w:t>
      </w:r>
      <w:r w:rsidR="00E4127B">
        <w:t>the financial sector.</w:t>
      </w:r>
    </w:p>
    <w:p w:rsidR="008767E2" w:rsidRDefault="005A5295" w:rsidP="0058120F">
      <w:pPr>
        <w:pStyle w:val="Dash"/>
        <w:numPr>
          <w:ilvl w:val="0"/>
          <w:numId w:val="0"/>
        </w:numPr>
        <w:spacing w:after="220"/>
        <w:rPr>
          <w:rFonts w:asciiTheme="minorHAnsi" w:hAnsiTheme="minorHAnsi" w:cs="Tahoma"/>
        </w:rPr>
      </w:pPr>
      <w:r>
        <w:lastRenderedPageBreak/>
        <w:t xml:space="preserve">Key </w:t>
      </w:r>
      <w:r w:rsidR="008C5602">
        <w:t xml:space="preserve">measures </w:t>
      </w:r>
      <w:r>
        <w:t xml:space="preserve">include </w:t>
      </w:r>
      <w:r w:rsidR="00D33115">
        <w:t>end</w:t>
      </w:r>
      <w:r w:rsidR="008C5602">
        <w:t>ing</w:t>
      </w:r>
      <w:r w:rsidR="00333625">
        <w:t xml:space="preserve"> the</w:t>
      </w:r>
      <w:r w:rsidR="00D33115">
        <w:t xml:space="preserve"> grandfathering of financial adviser conflicted remuneration</w:t>
      </w:r>
      <w:r w:rsidR="00CD0D56">
        <w:t>, creating a best interests duty for mortgage brokers</w:t>
      </w:r>
      <w:r w:rsidR="00036F57">
        <w:t>,</w:t>
      </w:r>
      <w:r w:rsidR="00CD0D56">
        <w:t xml:space="preserve"> reforming mortgage broker remuneration</w:t>
      </w:r>
      <w:r w:rsidR="008C5602">
        <w:t xml:space="preserve">, and progressing </w:t>
      </w:r>
      <w:r w:rsidR="009B5035" w:rsidRPr="00721A5C">
        <w:t>consumer pr</w:t>
      </w:r>
      <w:r w:rsidR="00776FF5" w:rsidRPr="00721A5C">
        <w:t>otections relating to insurance</w:t>
      </w:r>
      <w:r w:rsidR="00BE35DC" w:rsidRPr="00721A5C">
        <w:t xml:space="preserve"> and </w:t>
      </w:r>
      <w:r w:rsidR="00721A5C" w:rsidRPr="00721A5C">
        <w:t>superannuation</w:t>
      </w:r>
      <w:r w:rsidR="00BE35DC" w:rsidRPr="00721A5C">
        <w:t>.</w:t>
      </w:r>
      <w:r w:rsidR="008767E2" w:rsidRPr="008767E2">
        <w:rPr>
          <w:rFonts w:asciiTheme="minorHAnsi" w:hAnsiTheme="minorHAnsi" w:cs="Tahoma"/>
        </w:rPr>
        <w:t xml:space="preserve"> </w:t>
      </w:r>
    </w:p>
    <w:p w:rsidR="008120A3" w:rsidRPr="00A45912" w:rsidRDefault="008120A3" w:rsidP="00017DF0">
      <w:pPr>
        <w:pStyle w:val="Heading3"/>
      </w:pPr>
      <w:r w:rsidRPr="00A45912">
        <w:t xml:space="preserve">Ensuring </w:t>
      </w:r>
      <w:r w:rsidR="00224482" w:rsidRPr="00A45912">
        <w:t xml:space="preserve">strong and </w:t>
      </w:r>
      <w:r w:rsidRPr="00A45912">
        <w:t>effective financial system regulators</w:t>
      </w:r>
    </w:p>
    <w:p w:rsidR="008120A3" w:rsidRDefault="00A328B9" w:rsidP="008120A3">
      <w:r>
        <w:t xml:space="preserve">It is critical that </w:t>
      </w:r>
      <w:r w:rsidR="008120A3">
        <w:t xml:space="preserve">our regulators have the resources and powers they need to </w:t>
      </w:r>
      <w:r w:rsidR="00A74883" w:rsidRPr="00DA6931">
        <w:t xml:space="preserve">strengthen and intensify their approach to enforcement and </w:t>
      </w:r>
      <w:r w:rsidR="00BD28A9">
        <w:t>supervision,</w:t>
      </w:r>
      <w:r w:rsidR="00A74883" w:rsidRPr="00DA6931">
        <w:t xml:space="preserve"> and take on expanded responsibilities to </w:t>
      </w:r>
      <w:r w:rsidR="00B15AF9">
        <w:t>address and deter</w:t>
      </w:r>
      <w:r w:rsidR="00A74883" w:rsidRPr="00DA6931">
        <w:t xml:space="preserve"> misconduct in our financial sector</w:t>
      </w:r>
      <w:r w:rsidR="00A74883">
        <w:t>.</w:t>
      </w:r>
      <w:r w:rsidR="007C63AD">
        <w:t xml:space="preserve"> </w:t>
      </w:r>
      <w:r w:rsidR="00854969">
        <w:t>Co</w:t>
      </w:r>
      <w:r w:rsidR="00495997">
        <w:t>-</w:t>
      </w:r>
      <w:r w:rsidR="00854969">
        <w:t>operation between ASIC and APRA will be required, including in improving how they share information, and the regulators have already begun the necessary work.</w:t>
      </w:r>
    </w:p>
    <w:p w:rsidR="00CD0D56" w:rsidRDefault="00B863F3" w:rsidP="00C23400">
      <w:r>
        <w:t xml:space="preserve">A key </w:t>
      </w:r>
      <w:r w:rsidR="003C17F8">
        <w:t>measure is</w:t>
      </w:r>
      <w:r>
        <w:t xml:space="preserve"> to improve the regulation of the superannuation sector by expanding ASIC’</w:t>
      </w:r>
      <w:r w:rsidR="009C4EF3">
        <w:t>s</w:t>
      </w:r>
      <w:r>
        <w:t xml:space="preserve"> role to make it the primary conduct regulator</w:t>
      </w:r>
      <w:r w:rsidR="00407258">
        <w:t xml:space="preserve"> for</w:t>
      </w:r>
      <w:r w:rsidR="00407258" w:rsidRPr="00407258">
        <w:t xml:space="preserve"> </w:t>
      </w:r>
      <w:r w:rsidR="00407258">
        <w:t>superannuation</w:t>
      </w:r>
      <w:r w:rsidR="0041127D">
        <w:t xml:space="preserve">. </w:t>
      </w:r>
    </w:p>
    <w:p w:rsidR="0007466C" w:rsidRDefault="00CD0D56" w:rsidP="00C23400">
      <w:r>
        <w:t>T</w:t>
      </w:r>
      <w:r w:rsidR="0007466C">
        <w:t>o ensure that our regulators can identify and take appropriate action in relation to misconduct</w:t>
      </w:r>
      <w:r>
        <w:t xml:space="preserve">, the Government </w:t>
      </w:r>
      <w:r w:rsidR="00B40470">
        <w:t xml:space="preserve">is </w:t>
      </w:r>
      <w:r>
        <w:t>reform</w:t>
      </w:r>
      <w:r w:rsidR="00B40470">
        <w:t>ing</w:t>
      </w:r>
      <w:r>
        <w:t xml:space="preserve"> breach reporting arrangements as recommended by the ASIC Enforcement Review. </w:t>
      </w:r>
      <w:r w:rsidR="0088724D">
        <w:t xml:space="preserve">These changes </w:t>
      </w:r>
      <w:r w:rsidR="003C17F8">
        <w:t>will be done</w:t>
      </w:r>
      <w:r w:rsidR="0088724D">
        <w:t xml:space="preserve"> </w:t>
      </w:r>
      <w:r w:rsidR="00167599">
        <w:t>together with the</w:t>
      </w:r>
      <w:r w:rsidR="0088724D">
        <w:t xml:space="preserve"> Royal Commission recommendations </w:t>
      </w:r>
      <w:r w:rsidR="00021FF6">
        <w:t xml:space="preserve">to require </w:t>
      </w:r>
      <w:r w:rsidR="0088724D">
        <w:t xml:space="preserve">financial services and credit licensees to </w:t>
      </w:r>
      <w:r w:rsidR="00021FF6">
        <w:t xml:space="preserve">increase information-sharing and reporting obligations and take action to detect misconduct and, where appropriate, remediate customers for misconduct </w:t>
      </w:r>
      <w:r w:rsidR="0088724D">
        <w:t xml:space="preserve">by financial advisers and mortgage brokers.  </w:t>
      </w:r>
      <w:r w:rsidR="00320440">
        <w:t xml:space="preserve">The Government </w:t>
      </w:r>
      <w:r w:rsidR="00030111">
        <w:t>will also</w:t>
      </w:r>
      <w:r w:rsidR="00320440">
        <w:t xml:space="preserve"> implement the other </w:t>
      </w:r>
      <w:r w:rsidR="0010216D">
        <w:t>r</w:t>
      </w:r>
      <w:r w:rsidR="00320440">
        <w:t xml:space="preserve">ecommendations of the </w:t>
      </w:r>
      <w:r w:rsidR="00B70B76">
        <w:t>Enforcement Review</w:t>
      </w:r>
      <w:r w:rsidR="00320440">
        <w:t xml:space="preserve"> relating to banning, licensing, </w:t>
      </w:r>
      <w:r w:rsidR="00320440" w:rsidRPr="00537D00">
        <w:t>search warrants</w:t>
      </w:r>
      <w:r w:rsidR="0010216D">
        <w:t xml:space="preserve">, </w:t>
      </w:r>
      <w:r w:rsidR="00320440">
        <w:t>access to telecommunications intercepts</w:t>
      </w:r>
      <w:r w:rsidR="0010216D">
        <w:t xml:space="preserve"> and providing ASIC with a</w:t>
      </w:r>
      <w:r w:rsidR="009D0A5F">
        <w:t xml:space="preserve"> </w:t>
      </w:r>
      <w:r w:rsidR="0010216D">
        <w:t>directions power</w:t>
      </w:r>
      <w:r w:rsidR="00320440">
        <w:t>.</w:t>
      </w:r>
      <w:r w:rsidR="00B70B76">
        <w:t xml:space="preserve"> </w:t>
      </w:r>
    </w:p>
    <w:p w:rsidR="007F6ACE" w:rsidRDefault="00B6521A" w:rsidP="007F6ACE">
      <w:r>
        <w:t xml:space="preserve">The Government will establish a </w:t>
      </w:r>
      <w:r w:rsidR="00462293">
        <w:t>f</w:t>
      </w:r>
      <w:r>
        <w:t xml:space="preserve">inancial </w:t>
      </w:r>
      <w:r w:rsidR="00462293">
        <w:t>r</w:t>
      </w:r>
      <w:r>
        <w:t xml:space="preserve">egulator </w:t>
      </w:r>
      <w:r w:rsidR="00462293">
        <w:t>o</w:t>
      </w:r>
      <w:r>
        <w:t xml:space="preserve">versight </w:t>
      </w:r>
      <w:r w:rsidR="00462293">
        <w:t>a</w:t>
      </w:r>
      <w:r>
        <w:t>uthority to ensure that ASIC</w:t>
      </w:r>
      <w:r w:rsidR="004D6A11">
        <w:t>’s</w:t>
      </w:r>
      <w:r>
        <w:t xml:space="preserve"> and APRA’s effectiveness in delivering on their mandates is </w:t>
      </w:r>
      <w:r w:rsidRPr="00B6521A">
        <w:t xml:space="preserve">subject to consistent and ongoing independent </w:t>
      </w:r>
      <w:r w:rsidR="0022517D">
        <w:t>assessment</w:t>
      </w:r>
      <w:r w:rsidR="00CE3BFB">
        <w:t xml:space="preserve">. </w:t>
      </w:r>
      <w:r w:rsidR="007F6ACE" w:rsidRPr="00D22C43">
        <w:t>T</w:t>
      </w:r>
      <w:r w:rsidR="005B2BCF" w:rsidRPr="00D22C43">
        <w:t xml:space="preserve">he </w:t>
      </w:r>
      <w:r w:rsidR="00462293">
        <w:t>a</w:t>
      </w:r>
      <w:r w:rsidR="00FB63CB" w:rsidRPr="00D22C43">
        <w:t>uthority</w:t>
      </w:r>
      <w:r w:rsidR="00114709" w:rsidRPr="00D22C43">
        <w:t xml:space="preserve"> will </w:t>
      </w:r>
      <w:r w:rsidR="0039430F" w:rsidRPr="00154659">
        <w:t xml:space="preserve">undertake an assessment </w:t>
      </w:r>
      <w:r w:rsidR="006D4A93">
        <w:t xml:space="preserve">in three years’ time </w:t>
      </w:r>
      <w:r w:rsidR="0039430F" w:rsidRPr="00154659">
        <w:t xml:space="preserve">of </w:t>
      </w:r>
      <w:r w:rsidR="00332329" w:rsidRPr="00D22C43">
        <w:t>the</w:t>
      </w:r>
      <w:r w:rsidR="00D22C43">
        <w:t xml:space="preserve"> effectiveness of the</w:t>
      </w:r>
      <w:r w:rsidR="00332329" w:rsidRPr="00D22C43">
        <w:t xml:space="preserve"> </w:t>
      </w:r>
      <w:r w:rsidR="00FB63CB" w:rsidRPr="00D22C43">
        <w:t>changes</w:t>
      </w:r>
      <w:r w:rsidR="0044606A" w:rsidRPr="00D22C43">
        <w:t xml:space="preserve"> made by the regulators</w:t>
      </w:r>
      <w:r w:rsidR="00FB63CB" w:rsidRPr="00D22C43">
        <w:t xml:space="preserve"> following the Royal Commission</w:t>
      </w:r>
      <w:r w:rsidR="00CA4ED3">
        <w:t>.</w:t>
      </w:r>
    </w:p>
    <w:p w:rsidR="00DE7876" w:rsidRDefault="00DE7876" w:rsidP="007F6ACE">
      <w:r>
        <w:t xml:space="preserve">The Government will also </w:t>
      </w:r>
      <w:r w:rsidR="0068189F">
        <w:t>provide</w:t>
      </w:r>
      <w:r>
        <w:t xml:space="preserve"> ASIC and APRA with updated Statements of Expectations</w:t>
      </w:r>
      <w:r w:rsidR="0068189F">
        <w:t>,</w:t>
      </w:r>
      <w:r>
        <w:t xml:space="preserve"> reflecting the </w:t>
      </w:r>
      <w:r w:rsidR="00B52D5F">
        <w:t xml:space="preserve">Royal Commission’s </w:t>
      </w:r>
      <w:r>
        <w:t xml:space="preserve">findings and recommendations and the Government’s response.  </w:t>
      </w:r>
    </w:p>
    <w:p w:rsidR="008120A3" w:rsidRPr="00A45912" w:rsidRDefault="008120A3" w:rsidP="00017DF0">
      <w:pPr>
        <w:pStyle w:val="Heading3"/>
      </w:pPr>
      <w:r w:rsidRPr="00A45912">
        <w:t>Enhancing accountability</w:t>
      </w:r>
    </w:p>
    <w:p w:rsidR="008120A3" w:rsidRDefault="008120A3" w:rsidP="008120A3">
      <w:pPr>
        <w:pStyle w:val="Dash"/>
        <w:numPr>
          <w:ilvl w:val="0"/>
          <w:numId w:val="0"/>
        </w:numPr>
      </w:pPr>
      <w:r>
        <w:t xml:space="preserve">Restoring trust in our financial </w:t>
      </w:r>
      <w:r w:rsidR="00EC0C66">
        <w:t>system</w:t>
      </w:r>
      <w:r w:rsidR="003A432D">
        <w:t xml:space="preserve"> will require lasting change in the culture, governance and remuneration practices of financial </w:t>
      </w:r>
      <w:r w:rsidR="00A7203A">
        <w:t>firms</w:t>
      </w:r>
      <w:r w:rsidR="003A432D">
        <w:t xml:space="preserve">. </w:t>
      </w:r>
      <w:r w:rsidR="00462293">
        <w:t>Boards and e</w:t>
      </w:r>
      <w:r>
        <w:t xml:space="preserve">xecutives in these </w:t>
      </w:r>
      <w:r w:rsidR="00A7203A">
        <w:t xml:space="preserve">firms </w:t>
      </w:r>
      <w:r>
        <w:t>will</w:t>
      </w:r>
      <w:r w:rsidR="009C0264">
        <w:t xml:space="preserve"> need</w:t>
      </w:r>
      <w:r>
        <w:t xml:space="preserve"> to drive this change </w:t>
      </w:r>
      <w:r w:rsidR="009C0264">
        <w:t>—</w:t>
      </w:r>
      <w:r>
        <w:t xml:space="preserve"> and the Government is committed to holding them accountable if they fail to act.</w:t>
      </w:r>
      <w:r w:rsidR="006D4A93">
        <w:t xml:space="preserve"> </w:t>
      </w:r>
    </w:p>
    <w:p w:rsidR="00EA1A69" w:rsidRDefault="00AA7AE3" w:rsidP="008120A3">
      <w:pPr>
        <w:pStyle w:val="Dash"/>
        <w:numPr>
          <w:ilvl w:val="0"/>
          <w:numId w:val="0"/>
        </w:numPr>
      </w:pPr>
      <w:r>
        <w:t>A</w:t>
      </w:r>
      <w:r w:rsidR="00EA1A69">
        <w:t xml:space="preserve"> key</w:t>
      </w:r>
      <w:r w:rsidR="00570086">
        <w:t xml:space="preserve"> </w:t>
      </w:r>
      <w:r w:rsidR="000B5A9C">
        <w:t xml:space="preserve">measure is </w:t>
      </w:r>
      <w:r w:rsidR="00EA1A69">
        <w:t>to extend the existing Banking Executive Accountability Regime</w:t>
      </w:r>
      <w:r w:rsidR="00B51209">
        <w:t xml:space="preserve"> (BEAR)</w:t>
      </w:r>
      <w:r w:rsidR="00EA1A69">
        <w:t xml:space="preserve"> to all APRA</w:t>
      </w:r>
      <w:r w:rsidR="00462293">
        <w:noBreakHyphen/>
      </w:r>
      <w:r w:rsidR="00EA1A69">
        <w:t>regulated entities, including insurers and superannuation funds</w:t>
      </w:r>
      <w:r>
        <w:t>. This will</w:t>
      </w:r>
      <w:r w:rsidR="00EA1A69">
        <w:t xml:space="preserve"> ensure </w:t>
      </w:r>
      <w:r w:rsidR="001B0F1C">
        <w:t xml:space="preserve">the </w:t>
      </w:r>
      <w:r w:rsidR="00EA1A69">
        <w:t>senior executives and directors</w:t>
      </w:r>
      <w:r w:rsidR="001B0F1C">
        <w:t xml:space="preserve"> of these entities</w:t>
      </w:r>
      <w:r w:rsidR="00EA1A69">
        <w:t xml:space="preserve"> </w:t>
      </w:r>
      <w:r w:rsidR="00405386">
        <w:t>are</w:t>
      </w:r>
      <w:r w:rsidR="00EA1A69">
        <w:t xml:space="preserve"> held to the same heighte</w:t>
      </w:r>
      <w:r w:rsidR="00C734D4">
        <w:t>ne</w:t>
      </w:r>
      <w:r w:rsidR="00EA1A69">
        <w:t xml:space="preserve">d standards of accountability </w:t>
      </w:r>
      <w:r w:rsidR="0024064C">
        <w:t>imposed on banks and their senior leadership.</w:t>
      </w:r>
      <w:r w:rsidR="00E63D57">
        <w:t xml:space="preserve"> </w:t>
      </w:r>
      <w:r w:rsidR="00E63D57" w:rsidRPr="0068189F">
        <w:t xml:space="preserve">The Government </w:t>
      </w:r>
      <w:r w:rsidR="0099323D" w:rsidRPr="0068189F">
        <w:t xml:space="preserve">will </w:t>
      </w:r>
      <w:r w:rsidR="006F2B04" w:rsidRPr="0068189F">
        <w:t>also</w:t>
      </w:r>
      <w:r w:rsidR="00E63D57" w:rsidRPr="0068189F">
        <w:t xml:space="preserve"> </w:t>
      </w:r>
      <w:r w:rsidR="00307B65" w:rsidRPr="0068189F">
        <w:t xml:space="preserve">extend the </w:t>
      </w:r>
      <w:r w:rsidR="00E63D57" w:rsidRPr="0068189F">
        <w:t xml:space="preserve">accountability regime </w:t>
      </w:r>
      <w:r w:rsidR="00BB60AE" w:rsidRPr="0068189F">
        <w:t>to a broader range of conduct and non-prudentially regulated entities</w:t>
      </w:r>
      <w:r w:rsidR="00307B65" w:rsidRPr="0068189F">
        <w:t xml:space="preserve"> to be administered by ASIC</w:t>
      </w:r>
      <w:r w:rsidR="00BB60AE" w:rsidRPr="0068189F">
        <w:t>.</w:t>
      </w:r>
      <w:r w:rsidR="009D0A5F" w:rsidRPr="0068189F">
        <w:t xml:space="preserve"> </w:t>
      </w:r>
    </w:p>
    <w:p w:rsidR="00B35B8E" w:rsidRPr="00B35B8E" w:rsidRDefault="00B35B8E" w:rsidP="00B35B8E">
      <w:pPr>
        <w:pStyle w:val="Dash"/>
        <w:numPr>
          <w:ilvl w:val="0"/>
          <w:numId w:val="0"/>
        </w:numPr>
        <w:tabs>
          <w:tab w:val="left" w:pos="720"/>
        </w:tabs>
        <w:rPr>
          <w:szCs w:val="22"/>
          <w:lang w:eastAsia="en-US"/>
        </w:rPr>
      </w:pPr>
      <w:r w:rsidRPr="00B35B8E">
        <w:t xml:space="preserve">The Government </w:t>
      </w:r>
      <w:r w:rsidR="000B5A9C">
        <w:t>is</w:t>
      </w:r>
      <w:r w:rsidR="000B5A9C" w:rsidRPr="00B35B8E">
        <w:t xml:space="preserve"> </w:t>
      </w:r>
      <w:r w:rsidRPr="00B35B8E">
        <w:t xml:space="preserve">also </w:t>
      </w:r>
      <w:r w:rsidR="000B5A9C" w:rsidRPr="00B35B8E">
        <w:t>creat</w:t>
      </w:r>
      <w:r w:rsidR="000B5A9C">
        <w:t>ing</w:t>
      </w:r>
      <w:r w:rsidR="000B5A9C" w:rsidRPr="00B35B8E">
        <w:t xml:space="preserve"> </w:t>
      </w:r>
      <w:r w:rsidRPr="00B35B8E">
        <w:t xml:space="preserve">a new disciplinary system for financial advisers that will include a single, central disciplinary body. The new body will be responsible for the registration, monitoring and sanctioning of financial advisers. This Royal Commission recommendation builds on the Government’s professional standards reforms to raise </w:t>
      </w:r>
      <w:r w:rsidR="00647714">
        <w:t>the</w:t>
      </w:r>
      <w:r w:rsidRPr="00B35B8E">
        <w:t xml:space="preserve"> educational, training and ethical standards of financial advisers. The Government will proceed with monitoring of the Code of Ethics introduced as part of those reforms, which require financial advisers, from 15 November 2019, to subscribe to a code monitoring body that will enforce the Code of Ethics from 1 January 2020.</w:t>
      </w:r>
    </w:p>
    <w:p w:rsidR="0050589F" w:rsidRDefault="0050589F" w:rsidP="00B35B8E">
      <w:pPr>
        <w:pStyle w:val="Dash"/>
        <w:numPr>
          <w:ilvl w:val="0"/>
          <w:numId w:val="0"/>
        </w:numPr>
      </w:pPr>
      <w:r>
        <w:lastRenderedPageBreak/>
        <w:t xml:space="preserve">The Government committed more than $35 million in the 2019-20 Budget to enable the </w:t>
      </w:r>
      <w:r w:rsidRPr="00507992">
        <w:t xml:space="preserve">jurisdiction of the Federal Court of Australia </w:t>
      </w:r>
      <w:r>
        <w:t>to</w:t>
      </w:r>
      <w:r w:rsidRPr="00507992">
        <w:t xml:space="preserve"> ex</w:t>
      </w:r>
      <w:r>
        <w:t xml:space="preserve">pand to include corporate crime. The </w:t>
      </w:r>
      <w:r w:rsidRPr="00DE4D76">
        <w:t xml:space="preserve">funding will support the appointment of two </w:t>
      </w:r>
      <w:r>
        <w:t>additional</w:t>
      </w:r>
      <w:r w:rsidRPr="00DE4D76">
        <w:t xml:space="preserve"> judges, </w:t>
      </w:r>
      <w:r>
        <w:t xml:space="preserve">additional </w:t>
      </w:r>
      <w:r w:rsidRPr="00DE4D76">
        <w:t xml:space="preserve">registry and support staff </w:t>
      </w:r>
      <w:r>
        <w:t>as well as</w:t>
      </w:r>
      <w:r w:rsidRPr="00DE4D76">
        <w:t xml:space="preserve"> the construction of new court facilities for the </w:t>
      </w:r>
      <w:r>
        <w:t xml:space="preserve">hearing of criminal proceedings. This will ensure that </w:t>
      </w:r>
      <w:r w:rsidRPr="00507992">
        <w:t>those who engage in financial sector criminal misconduct are prosecuted and face the appropriate punishment for their actions in a timely manner.</w:t>
      </w:r>
    </w:p>
    <w:p w:rsidR="008120A3" w:rsidRPr="00A35BD1" w:rsidRDefault="008120A3" w:rsidP="002B335F">
      <w:pPr>
        <w:pStyle w:val="Heading3"/>
        <w:rPr>
          <w:color w:val="auto"/>
        </w:rPr>
      </w:pPr>
      <w:r w:rsidRPr="00A35BD1">
        <w:t>Further improving consumer and small business access to redress</w:t>
      </w:r>
    </w:p>
    <w:p w:rsidR="008120A3" w:rsidRDefault="008120A3" w:rsidP="008120A3">
      <w:pPr>
        <w:pStyle w:val="Dash"/>
        <w:numPr>
          <w:ilvl w:val="0"/>
          <w:numId w:val="0"/>
        </w:numPr>
      </w:pPr>
      <w:r>
        <w:t>The Government is committed to ensuring consumers and small business</w:t>
      </w:r>
      <w:r w:rsidR="002F43A6">
        <w:t>es</w:t>
      </w:r>
      <w:r>
        <w:t xml:space="preserve"> can access redress when they suffer </w:t>
      </w:r>
      <w:r w:rsidR="00583750">
        <w:t xml:space="preserve">from </w:t>
      </w:r>
      <w:r w:rsidR="00335042">
        <w:t xml:space="preserve">financial sector </w:t>
      </w:r>
      <w:r>
        <w:t>misconduct. For too long, consumers and small business</w:t>
      </w:r>
      <w:r w:rsidR="002F43A6">
        <w:t>es</w:t>
      </w:r>
      <w:r>
        <w:t xml:space="preserve"> have missed out </w:t>
      </w:r>
      <w:r w:rsidR="00CC5F9C">
        <w:t>on</w:t>
      </w:r>
      <w:r w:rsidR="002F43A6">
        <w:t>,</w:t>
      </w:r>
      <w:r w:rsidR="00CC5F9C">
        <w:t xml:space="preserve"> </w:t>
      </w:r>
      <w:r>
        <w:t>or experienced substantial delays in getting</w:t>
      </w:r>
      <w:r w:rsidR="002F43A6">
        <w:t>,</w:t>
      </w:r>
      <w:r>
        <w:t xml:space="preserve"> the </w:t>
      </w:r>
      <w:r w:rsidR="00CC5F9C">
        <w:t>compensation to which they are entitled.</w:t>
      </w:r>
    </w:p>
    <w:p w:rsidR="00543F7A" w:rsidRPr="0058120F" w:rsidRDefault="008849AE" w:rsidP="0058120F">
      <w:pPr>
        <w:pStyle w:val="Dash"/>
        <w:numPr>
          <w:ilvl w:val="0"/>
          <w:numId w:val="0"/>
        </w:numPr>
        <w:rPr>
          <w:color w:val="000000" w:themeColor="text1"/>
        </w:rPr>
      </w:pPr>
      <w:r>
        <w:t>A</w:t>
      </w:r>
      <w:r w:rsidR="0022517D">
        <w:t xml:space="preserve"> k</w:t>
      </w:r>
      <w:r w:rsidR="00197231">
        <w:t xml:space="preserve">ey </w:t>
      </w:r>
      <w:r w:rsidR="000B5A9C">
        <w:t>measure</w:t>
      </w:r>
      <w:r w:rsidR="00197231">
        <w:t xml:space="preserve"> </w:t>
      </w:r>
      <w:r w:rsidR="0022517D">
        <w:t xml:space="preserve">is </w:t>
      </w:r>
      <w:r w:rsidR="00197231">
        <w:t>the establishment of a compensation scheme of last resort to ensure</w:t>
      </w:r>
      <w:r w:rsidR="00AF1D9E">
        <w:t xml:space="preserve"> that </w:t>
      </w:r>
      <w:r w:rsidR="009A27B3">
        <w:t xml:space="preserve">awards of compensation made to </w:t>
      </w:r>
      <w:r w:rsidR="00197231">
        <w:t xml:space="preserve">consumers </w:t>
      </w:r>
      <w:r w:rsidR="00AF1D9E">
        <w:t>or</w:t>
      </w:r>
      <w:r w:rsidR="00197231">
        <w:t xml:space="preserve"> small business</w:t>
      </w:r>
      <w:r w:rsidR="00AF1D9E">
        <w:t xml:space="preserve">es </w:t>
      </w:r>
      <w:r w:rsidR="009A27B3">
        <w:t>for misconduct are paid</w:t>
      </w:r>
      <w:r w:rsidR="00055EE4">
        <w:t xml:space="preserve">, with the </w:t>
      </w:r>
      <w:r w:rsidR="00055EE4" w:rsidRPr="00554F6D">
        <w:t xml:space="preserve">scheme to </w:t>
      </w:r>
      <w:r w:rsidR="00EE3E7D" w:rsidRPr="00554F6D">
        <w:t>be established by no later than December 2020</w:t>
      </w:r>
      <w:r w:rsidR="00764129">
        <w:t xml:space="preserve"> </w:t>
      </w:r>
      <w:r w:rsidR="00764129" w:rsidRPr="00764129">
        <w:t>to cover unpaid determinations made under AFCA’s rules after 1 November 2018.</w:t>
      </w:r>
      <w:r w:rsidR="00764129">
        <w:t xml:space="preserve"> </w:t>
      </w:r>
      <w:r w:rsidR="00197231" w:rsidRPr="00554F6D">
        <w:t>The</w:t>
      </w:r>
      <w:r w:rsidR="00197231">
        <w:t xml:space="preserve"> Government </w:t>
      </w:r>
      <w:r w:rsidR="00A27EFA">
        <w:t>is</w:t>
      </w:r>
      <w:r w:rsidR="00197231">
        <w:t xml:space="preserve"> also work</w:t>
      </w:r>
      <w:r w:rsidR="00A27EFA">
        <w:t>ing</w:t>
      </w:r>
      <w:r w:rsidR="00197231">
        <w:t xml:space="preserve"> to strengthen the regulatory framework around firm remediation processes by </w:t>
      </w:r>
      <w:r w:rsidR="005A5295">
        <w:t xml:space="preserve">giving additional powers and </w:t>
      </w:r>
      <w:r w:rsidR="005A5295" w:rsidRPr="00AA45CF">
        <w:rPr>
          <w:color w:val="000000" w:themeColor="text1"/>
        </w:rPr>
        <w:t>responsibilities to ASIC and AFCA.</w:t>
      </w:r>
    </w:p>
    <w:p w:rsidR="00631553" w:rsidRDefault="00631553" w:rsidP="00702803">
      <w:pPr>
        <w:pStyle w:val="Dash"/>
        <w:numPr>
          <w:ilvl w:val="0"/>
          <w:numId w:val="0"/>
        </w:numPr>
      </w:pPr>
      <w:bookmarkStart w:id="454" w:name="_Toc4503487"/>
      <w:bookmarkStart w:id="455" w:name="_Toc4504384"/>
      <w:bookmarkStart w:id="456" w:name="_Toc4507189"/>
      <w:bookmarkStart w:id="457" w:name="_Toc4507257"/>
      <w:bookmarkStart w:id="458" w:name="_Toc4577576"/>
      <w:bookmarkStart w:id="459" w:name="_Toc4579337"/>
      <w:bookmarkStart w:id="460" w:name="_Toc4585968"/>
      <w:bookmarkStart w:id="461" w:name="_Toc4591047"/>
      <w:bookmarkStart w:id="462" w:name="_Toc4591386"/>
      <w:r w:rsidRPr="00702803">
        <w:t xml:space="preserve">The Commonwealth, states and territories have agreed to move towards a national farm debt mediation </w:t>
      </w:r>
      <w:r w:rsidR="00702803">
        <w:t>scheme. Work on t</w:t>
      </w:r>
      <w:r w:rsidR="00772B4E">
        <w:t>his scheme is already underway.</w:t>
      </w:r>
    </w:p>
    <w:p w:rsidR="008120A3" w:rsidRPr="003A2083" w:rsidRDefault="009F4C5F" w:rsidP="00E43037">
      <w:pPr>
        <w:pStyle w:val="Heading2"/>
      </w:pPr>
      <w:bookmarkStart w:id="463" w:name="_Toc4598693"/>
      <w:bookmarkStart w:id="464" w:name="_Toc4603194"/>
      <w:bookmarkStart w:id="465" w:name="_Toc4753186"/>
      <w:bookmarkStart w:id="466" w:name="_Toc4753957"/>
      <w:bookmarkStart w:id="467" w:name="_Toc4755130"/>
      <w:bookmarkStart w:id="468" w:name="_Toc5029187"/>
      <w:bookmarkStart w:id="469" w:name="_Toc5117713"/>
      <w:bookmarkStart w:id="470" w:name="_Toc5118522"/>
      <w:bookmarkStart w:id="471" w:name="_Toc5118564"/>
      <w:bookmarkStart w:id="472" w:name="_Toc5187987"/>
      <w:bookmarkStart w:id="473" w:name="_Toc5196793"/>
      <w:bookmarkStart w:id="474" w:name="_Toc5198539"/>
      <w:bookmarkStart w:id="475" w:name="_Toc5199578"/>
      <w:bookmarkStart w:id="476" w:name="_Toc5199693"/>
      <w:bookmarkStart w:id="477" w:name="_Toc5200555"/>
      <w:bookmarkStart w:id="478" w:name="_Toc5204135"/>
      <w:bookmarkStart w:id="479" w:name="_Toc13049865"/>
      <w:bookmarkStart w:id="480" w:name="_Toc17057991"/>
      <w:r>
        <w:t>K</w:t>
      </w:r>
      <w:r w:rsidR="008120A3" w:rsidRPr="003A2083">
        <w:t>eep</w:t>
      </w:r>
      <w:r>
        <w:t>ing</w:t>
      </w:r>
      <w:bookmarkStart w:id="481" w:name="_Toc4164508"/>
      <w:bookmarkStart w:id="482" w:name="_Toc4419496"/>
      <w:bookmarkStart w:id="483" w:name="_Toc4419598"/>
      <w:bookmarkStart w:id="484" w:name="_Toc4426698"/>
      <w:bookmarkStart w:id="485" w:name="_Toc4427576"/>
      <w:bookmarkStart w:id="486" w:name="_Toc4496298"/>
      <w:bookmarkStart w:id="487" w:name="_Toc4500975"/>
      <w:r w:rsidR="008120A3" w:rsidRPr="003A2083">
        <w:t xml:space="preserve"> industry accountable</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695C7B" w:rsidRPr="00242234" w:rsidRDefault="00013BB0" w:rsidP="00501EA7">
      <w:pPr>
        <w:pStyle w:val="Bullet"/>
        <w:numPr>
          <w:ilvl w:val="0"/>
          <w:numId w:val="0"/>
        </w:numPr>
      </w:pPr>
      <w:r w:rsidRPr="00501EA7">
        <w:t>The Government</w:t>
      </w:r>
      <w:r w:rsidR="00666C16" w:rsidRPr="00501EA7">
        <w:t xml:space="preserve"> </w:t>
      </w:r>
      <w:r w:rsidR="003B6F56">
        <w:t xml:space="preserve">expects </w:t>
      </w:r>
      <w:r w:rsidR="00666C16" w:rsidRPr="00501EA7">
        <w:t xml:space="preserve">that </w:t>
      </w:r>
      <w:r w:rsidRPr="00501EA7">
        <w:t>firms</w:t>
      </w:r>
      <w:r w:rsidR="00666C16" w:rsidRPr="00501EA7">
        <w:t xml:space="preserve"> and industry </w:t>
      </w:r>
      <w:r w:rsidR="00F001AE">
        <w:t xml:space="preserve">associations </w:t>
      </w:r>
      <w:r w:rsidR="00A429B6">
        <w:t>will</w:t>
      </w:r>
      <w:r w:rsidR="00666C16" w:rsidRPr="00501EA7">
        <w:t xml:space="preserve"> implement </w:t>
      </w:r>
      <w:r w:rsidR="00966FA7">
        <w:t xml:space="preserve">the </w:t>
      </w:r>
      <w:r w:rsidR="00C734D4">
        <w:t xml:space="preserve">Royal Commission </w:t>
      </w:r>
      <w:r w:rsidR="00666C16" w:rsidRPr="00501EA7">
        <w:t xml:space="preserve">recommendations </w:t>
      </w:r>
      <w:r w:rsidR="00966FA7">
        <w:t xml:space="preserve">directed to </w:t>
      </w:r>
      <w:r w:rsidR="00F001AE">
        <w:t>them</w:t>
      </w:r>
      <w:r w:rsidR="00481924">
        <w:t>.</w:t>
      </w:r>
      <w:r w:rsidR="00C6345B">
        <w:t xml:space="preserve"> </w:t>
      </w:r>
      <w:r w:rsidR="003B6F56" w:rsidRPr="00242234">
        <w:t xml:space="preserve">These recommendations </w:t>
      </w:r>
      <w:r w:rsidR="00695C7B" w:rsidRPr="00242234">
        <w:t xml:space="preserve">will: </w:t>
      </w:r>
    </w:p>
    <w:p w:rsidR="00695C7B" w:rsidRPr="00242234" w:rsidRDefault="00695C7B" w:rsidP="00695C7B">
      <w:pPr>
        <w:pStyle w:val="Bullet"/>
      </w:pPr>
      <w:r w:rsidRPr="00242234">
        <w:t>provide greater protections for bank customers, including vulnerable consumers, small businesses and farmers;</w:t>
      </w:r>
    </w:p>
    <w:p w:rsidR="00ED7D7A" w:rsidRPr="00242234" w:rsidRDefault="00ED7D7A" w:rsidP="00242234">
      <w:pPr>
        <w:pStyle w:val="Bullet"/>
      </w:pPr>
      <w:r w:rsidRPr="00242234">
        <w:t xml:space="preserve">allow for greater sanctions to be imposed following </w:t>
      </w:r>
      <w:r w:rsidR="00242234" w:rsidRPr="00242234">
        <w:t xml:space="preserve">a </w:t>
      </w:r>
      <w:r w:rsidRPr="00242234">
        <w:t xml:space="preserve">breach of an industry code of conduct; and </w:t>
      </w:r>
    </w:p>
    <w:p w:rsidR="00ED7D7A" w:rsidRDefault="00ED7D7A" w:rsidP="00242234">
      <w:pPr>
        <w:pStyle w:val="Bullet"/>
      </w:pPr>
      <w:r w:rsidRPr="00242234">
        <w:t>ensure firms regularly review</w:t>
      </w:r>
      <w:r w:rsidR="00242234" w:rsidRPr="00242234">
        <w:t>,</w:t>
      </w:r>
      <w:r w:rsidRPr="00242234">
        <w:t xml:space="preserve"> </w:t>
      </w:r>
      <w:r w:rsidR="00242234" w:rsidRPr="00242234">
        <w:t>and address any issues with,</w:t>
      </w:r>
      <w:r w:rsidR="00242234">
        <w:t xml:space="preserve"> </w:t>
      </w:r>
      <w:r>
        <w:t>their culture, governance and remuneration</w:t>
      </w:r>
      <w:r w:rsidR="00242234">
        <w:t xml:space="preserve"> systems.</w:t>
      </w:r>
      <w:r>
        <w:t xml:space="preserve"> </w:t>
      </w:r>
    </w:p>
    <w:p w:rsidR="000D7D3B" w:rsidRDefault="000B1DF5" w:rsidP="00ED7D7A">
      <w:pPr>
        <w:pStyle w:val="Bullet"/>
        <w:numPr>
          <w:ilvl w:val="0"/>
          <w:numId w:val="0"/>
        </w:numPr>
      </w:pPr>
      <w:r>
        <w:t>I</w:t>
      </w:r>
      <w:r w:rsidR="007C07A3">
        <w:t xml:space="preserve">ndustry </w:t>
      </w:r>
      <w:r w:rsidR="00772B4E">
        <w:t xml:space="preserve">implementation is </w:t>
      </w:r>
      <w:r w:rsidR="00285FFD">
        <w:t xml:space="preserve">outlined in </w:t>
      </w:r>
      <w:r w:rsidR="00285FFD" w:rsidRPr="00EF0951">
        <w:rPr>
          <w:b/>
        </w:rPr>
        <w:t>Appendix C</w:t>
      </w:r>
      <w:r w:rsidR="00285FFD">
        <w:t>.</w:t>
      </w:r>
    </w:p>
    <w:p w:rsidR="003B6F56" w:rsidRPr="003B560B" w:rsidRDefault="003B6F56" w:rsidP="003B6F56">
      <w:pPr>
        <w:pStyle w:val="Bullet"/>
        <w:numPr>
          <w:ilvl w:val="0"/>
          <w:numId w:val="0"/>
        </w:numPr>
      </w:pPr>
      <w:bookmarkStart w:id="488" w:name="_Toc4496299"/>
      <w:r>
        <w:t xml:space="preserve">In the previous </w:t>
      </w:r>
      <w:r w:rsidR="00F001AE">
        <w:t>p</w:t>
      </w:r>
      <w:r>
        <w:t>arliamentary term, the Government</w:t>
      </w:r>
      <w:r w:rsidDel="00B0327A">
        <w:t xml:space="preserve"> </w:t>
      </w:r>
      <w:r>
        <w:t xml:space="preserve">put in place </w:t>
      </w:r>
      <w:r w:rsidR="00405386">
        <w:t>p</w:t>
      </w:r>
      <w:r>
        <w:t xml:space="preserve">arliamentary scrutiny of the four major banks by </w:t>
      </w:r>
      <w:r w:rsidRPr="00FD5802">
        <w:t>asking the House of Representatives Standing Committee on Economics to inquire into and report, at least annually, on</w:t>
      </w:r>
      <w:r w:rsidRPr="00FD5802" w:rsidDel="00055D79">
        <w:t xml:space="preserve"> </w:t>
      </w:r>
      <w:r w:rsidRPr="00FD5802">
        <w:t>Australia's four major banks. The Committee held</w:t>
      </w:r>
      <w:r w:rsidRPr="00FD5802" w:rsidDel="00B0327A">
        <w:t xml:space="preserve"> </w:t>
      </w:r>
      <w:r w:rsidR="006B41D7" w:rsidRPr="00FD5802">
        <w:t>five rounds of hearings</w:t>
      </w:r>
      <w:r w:rsidRPr="00FD5802">
        <w:t>, including a final round in March 2019.</w:t>
      </w:r>
    </w:p>
    <w:bookmarkEnd w:id="488"/>
    <w:p w:rsidR="00F136D3" w:rsidRDefault="007C19B1" w:rsidP="00F136D3">
      <w:pPr>
        <w:pStyle w:val="Bullet"/>
        <w:numPr>
          <w:ilvl w:val="0"/>
          <w:numId w:val="0"/>
        </w:numPr>
      </w:pPr>
      <w:r>
        <w:t xml:space="preserve">To ensure </w:t>
      </w:r>
      <w:r w:rsidR="00E93BFF">
        <w:t xml:space="preserve">transparency in relation to the actions being taken by industry and that they are held accountable for their </w:t>
      </w:r>
      <w:r w:rsidR="00697498">
        <w:t>actions</w:t>
      </w:r>
      <w:r w:rsidR="00E93BFF">
        <w:t xml:space="preserve">, following a request by the Government, </w:t>
      </w:r>
      <w:r w:rsidR="00570086">
        <w:t>the House of Representatives Standing Committee on Economics</w:t>
      </w:r>
      <w:r w:rsidR="00E93BFF">
        <w:t xml:space="preserve"> </w:t>
      </w:r>
      <w:r w:rsidR="00F136D3" w:rsidRPr="00AE0B92">
        <w:t>will inquire into progress made by financial institutions, including the four major banks, and leading financial services associations in implementing the recommendations of the Royal Commission</w:t>
      </w:r>
      <w:r w:rsidR="00F136D3">
        <w:t>.</w:t>
      </w:r>
    </w:p>
    <w:p w:rsidR="008D4A73" w:rsidRPr="009C359F" w:rsidRDefault="00F82294" w:rsidP="009C359F">
      <w:bookmarkStart w:id="489" w:name="_Toc5029188"/>
      <w:bookmarkStart w:id="490" w:name="_Toc5117714"/>
      <w:bookmarkStart w:id="491" w:name="_Toc5118523"/>
      <w:bookmarkStart w:id="492" w:name="_Toc5118565"/>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t>As announced</w:t>
      </w:r>
      <w:r w:rsidR="00A8796A">
        <w:t xml:space="preserve"> in </w:t>
      </w:r>
      <w:r w:rsidR="002624CC">
        <w:rPr>
          <w:i/>
        </w:rPr>
        <w:t xml:space="preserve">Restoring </w:t>
      </w:r>
      <w:r w:rsidR="007518AE">
        <w:rPr>
          <w:i/>
        </w:rPr>
        <w:t>t</w:t>
      </w:r>
      <w:r w:rsidR="002624CC">
        <w:rPr>
          <w:i/>
        </w:rPr>
        <w:t xml:space="preserve">rust in </w:t>
      </w:r>
      <w:r w:rsidR="00A7203A">
        <w:rPr>
          <w:i/>
        </w:rPr>
        <w:t>Australia’s f</w:t>
      </w:r>
      <w:r w:rsidR="002624CC">
        <w:rPr>
          <w:i/>
        </w:rPr>
        <w:t xml:space="preserve">inancial </w:t>
      </w:r>
      <w:r w:rsidR="00A7203A">
        <w:rPr>
          <w:i/>
        </w:rPr>
        <w:t>s</w:t>
      </w:r>
      <w:r w:rsidR="002624CC">
        <w:rPr>
          <w:i/>
        </w:rPr>
        <w:t>ystem</w:t>
      </w:r>
      <w:r>
        <w:t>, t</w:t>
      </w:r>
      <w:r w:rsidR="00A429B6">
        <w:t xml:space="preserve">he Government will </w:t>
      </w:r>
      <w:r w:rsidR="003B6F56">
        <w:t xml:space="preserve">also </w:t>
      </w:r>
      <w:r w:rsidR="00A429B6">
        <w:t>establish an</w:t>
      </w:r>
      <w:r w:rsidR="001A24FC">
        <w:t xml:space="preserve"> independent </w:t>
      </w:r>
      <w:r w:rsidR="00772B4E">
        <w:t>review</w:t>
      </w:r>
      <w:r w:rsidR="001A24FC">
        <w:t xml:space="preserve"> </w:t>
      </w:r>
      <w:r w:rsidR="00A429B6">
        <w:t xml:space="preserve">in three years’ time </w:t>
      </w:r>
      <w:r w:rsidR="009F4C5F">
        <w:t xml:space="preserve">to </w:t>
      </w:r>
      <w:r w:rsidR="00A429B6">
        <w:t>assess</w:t>
      </w:r>
      <w:r w:rsidR="001A24FC">
        <w:t xml:space="preserve"> the extent to which changes </w:t>
      </w:r>
      <w:r w:rsidR="00A429B6">
        <w:t xml:space="preserve">in industry practices </w:t>
      </w:r>
      <w:r w:rsidR="001A24FC">
        <w:t xml:space="preserve">have led to improved consumer outcomes and </w:t>
      </w:r>
      <w:r w:rsidR="003F624F">
        <w:t xml:space="preserve">the need for </w:t>
      </w:r>
      <w:r w:rsidR="001A24FC">
        <w:t>further reform</w:t>
      </w:r>
      <w:r w:rsidR="003F624F" w:rsidRPr="004A0445">
        <w:t>.</w:t>
      </w:r>
      <w:r w:rsidR="00B43A70" w:rsidRPr="004A0445">
        <w:t xml:space="preserve"> </w:t>
      </w:r>
      <w:bookmarkStart w:id="493" w:name="_Toc5187988"/>
      <w:bookmarkStart w:id="494" w:name="_Toc5196794"/>
      <w:bookmarkStart w:id="495" w:name="_Toc5198540"/>
      <w:bookmarkStart w:id="496" w:name="_Toc5199579"/>
      <w:bookmarkStart w:id="497" w:name="_Toc5199694"/>
      <w:bookmarkStart w:id="498" w:name="_Toc5200556"/>
      <w:bookmarkStart w:id="499" w:name="_Toc5204136"/>
    </w:p>
    <w:p w:rsidR="00337273" w:rsidRDefault="00393339" w:rsidP="00EF0951">
      <w:pPr>
        <w:pStyle w:val="Heading1"/>
      </w:pPr>
      <w:bookmarkStart w:id="500" w:name="_Toc13049866"/>
      <w:bookmarkStart w:id="501" w:name="_Toc17057992"/>
      <w:r>
        <w:lastRenderedPageBreak/>
        <w:t xml:space="preserve">Appendix A: Government Implementation </w:t>
      </w:r>
      <w:bookmarkEnd w:id="489"/>
      <w:bookmarkEnd w:id="490"/>
      <w:bookmarkEnd w:id="491"/>
      <w:bookmarkEnd w:id="492"/>
      <w:r w:rsidR="00DD539E">
        <w:t>Plan</w:t>
      </w:r>
      <w:bookmarkEnd w:id="493"/>
      <w:bookmarkEnd w:id="494"/>
      <w:bookmarkEnd w:id="495"/>
      <w:bookmarkEnd w:id="496"/>
      <w:bookmarkEnd w:id="497"/>
      <w:bookmarkEnd w:id="498"/>
      <w:bookmarkEnd w:id="499"/>
      <w:bookmarkEnd w:id="500"/>
      <w:bookmarkEnd w:id="501"/>
      <w:r w:rsidR="00E10C75">
        <w:t xml:space="preserve"> </w:t>
      </w:r>
    </w:p>
    <w:p w:rsidR="004E745D" w:rsidRDefault="008066A6" w:rsidP="004E745D">
      <w:pPr>
        <w:spacing w:after="160" w:line="259" w:lineRule="auto"/>
      </w:pPr>
      <w:r>
        <w:t>In this table, time</w:t>
      </w:r>
      <w:r w:rsidR="00A04452">
        <w:t xml:space="preserve">lines </w:t>
      </w:r>
      <w:r w:rsidR="00BF2425">
        <w:t>are set out</w:t>
      </w:r>
      <w:r w:rsidR="00A04452">
        <w:t xml:space="preserve"> </w:t>
      </w:r>
      <w:r>
        <w:t>for Government action</w:t>
      </w:r>
      <w:r w:rsidR="00A04452">
        <w:t>s</w:t>
      </w:r>
      <w:r w:rsidR="00A20977">
        <w:t>, including for introduction of legislation where relevant</w:t>
      </w:r>
      <w:r w:rsidR="00703E1A">
        <w:t>.</w:t>
      </w:r>
      <w:r w:rsidR="00E74890">
        <w:t xml:space="preserve"> </w:t>
      </w:r>
    </w:p>
    <w:tbl>
      <w:tblPr>
        <w:tblW w:w="9071" w:type="dxa"/>
        <w:tblInd w:w="-3" w:type="dxa"/>
        <w:tblBorders>
          <w:top w:val="single" w:sz="2" w:space="0" w:color="F06252" w:themeColor="text2"/>
          <w:left w:val="single" w:sz="2" w:space="0" w:color="F06252" w:themeColor="text2"/>
          <w:bottom w:val="single" w:sz="2" w:space="0" w:color="F06252" w:themeColor="text2"/>
          <w:right w:val="single" w:sz="2" w:space="0" w:color="F06252" w:themeColor="text2"/>
          <w:insideH w:val="single" w:sz="2" w:space="0" w:color="F06252" w:themeColor="text2"/>
          <w:insideV w:val="single" w:sz="2" w:space="0" w:color="F06252" w:themeColor="text2"/>
        </w:tblBorders>
        <w:tblLook w:val="04A0" w:firstRow="1" w:lastRow="0" w:firstColumn="1" w:lastColumn="0" w:noHBand="0" w:noVBand="1"/>
      </w:tblPr>
      <w:tblGrid>
        <w:gridCol w:w="9071"/>
      </w:tblGrid>
      <w:tr w:rsidR="00BA36D9" w:rsidRPr="00A57462" w:rsidTr="004775AA">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002C47" w:themeFill="accent1"/>
          </w:tcPr>
          <w:p w:rsidR="00BA36D9" w:rsidRPr="00E10092" w:rsidRDefault="00BA36D9" w:rsidP="009445FB">
            <w:pPr>
              <w:pStyle w:val="TableColumnHeadingLeft"/>
            </w:pPr>
            <w:r w:rsidRPr="00A57462">
              <w:t>Legislation to be consulted on and introduced by end-2019</w:t>
            </w:r>
          </w:p>
        </w:tc>
      </w:tr>
      <w:tr w:rsidR="00BA36D9" w:rsidRPr="00A57462" w:rsidTr="004775AA">
        <w:trPr>
          <w:trHeight w:val="313"/>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3A6FAF" w:themeFill="accent2"/>
          </w:tcPr>
          <w:p w:rsidR="00BA36D9" w:rsidRPr="00E10092" w:rsidRDefault="00BA36D9" w:rsidP="009445FB">
            <w:pPr>
              <w:pStyle w:val="TableColumnHeadingLeft"/>
            </w:pPr>
            <w:r w:rsidRPr="00E10092">
              <w:t xml:space="preserve">Measures to improve consumer protections </w:t>
            </w:r>
          </w:p>
        </w:tc>
      </w:tr>
      <w:tr w:rsidR="00BA36D9" w:rsidRPr="00A57462" w:rsidTr="004775AA">
        <w:trPr>
          <w:trHeight w:val="1285"/>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tcPr>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1.2 – Mortgage broker best interests duty</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1.3 – Mortgage broker remuneration</w:t>
            </w:r>
            <w:r w:rsidR="00543DA9">
              <w:rPr>
                <w:rFonts w:asciiTheme="minorHAnsi" w:hAnsiTheme="minorHAnsi"/>
                <w:sz w:val="20"/>
              </w:rPr>
              <w:t xml:space="preserve"> (consistent with the Government’s response)</w:t>
            </w:r>
          </w:p>
          <w:p w:rsidR="00AB6BD1" w:rsidRDefault="00AB6BD1" w:rsidP="00AB6BD1">
            <w:pPr>
              <w:pStyle w:val="Bullet"/>
              <w:numPr>
                <w:ilvl w:val="0"/>
                <w:numId w:val="57"/>
              </w:numPr>
              <w:spacing w:before="120" w:after="120" w:line="240" w:lineRule="auto"/>
              <w:rPr>
                <w:rFonts w:asciiTheme="minorHAnsi" w:hAnsiTheme="minorHAnsi"/>
                <w:sz w:val="20"/>
              </w:rPr>
            </w:pPr>
            <w:r>
              <w:rPr>
                <w:rFonts w:asciiTheme="minorHAnsi" w:hAnsiTheme="minorHAnsi"/>
                <w:sz w:val="20"/>
              </w:rPr>
              <w:t xml:space="preserve">Recommendation 2.4 – </w:t>
            </w:r>
            <w:r w:rsidRPr="00AB6BD1">
              <w:rPr>
                <w:rFonts w:asciiTheme="minorHAnsi" w:hAnsiTheme="minorHAnsi"/>
                <w:sz w:val="20"/>
              </w:rPr>
              <w:t>Ending grandfathered commissions for financial advisers</w:t>
            </w:r>
            <w:r>
              <w:rPr>
                <w:rFonts w:asciiTheme="minorHAnsi" w:hAnsiTheme="minorHAnsi"/>
                <w:sz w:val="20"/>
              </w:rPr>
              <w:t xml:space="preserve"> (legislation introduced on 1 August 2019)</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4.2 – Removing the exemptions for funeral expenses policies</w:t>
            </w:r>
          </w:p>
          <w:p w:rsidR="00BA36D9" w:rsidRPr="00A57462" w:rsidRDefault="00BA36D9" w:rsidP="00BA36D9">
            <w:pPr>
              <w:pStyle w:val="Bullet"/>
              <w:numPr>
                <w:ilvl w:val="0"/>
                <w:numId w:val="57"/>
              </w:numPr>
              <w:spacing w:before="120" w:after="120" w:line="240" w:lineRule="auto"/>
              <w:rPr>
                <w:rFonts w:asciiTheme="minorHAnsi" w:hAnsiTheme="minorHAnsi"/>
                <w:sz w:val="20"/>
              </w:rPr>
            </w:pPr>
            <w:r w:rsidRPr="00A57462">
              <w:rPr>
                <w:rFonts w:asciiTheme="minorHAnsi" w:hAnsiTheme="minorHAnsi"/>
                <w:sz w:val="20"/>
              </w:rPr>
              <w:t>Recommendation 4.7 – Application of unfair contract terms provisions to insurance contracts</w:t>
            </w:r>
          </w:p>
          <w:p w:rsidR="00BA36D9" w:rsidRPr="00E6125A" w:rsidRDefault="00BA36D9" w:rsidP="000B3555">
            <w:pPr>
              <w:pStyle w:val="Bullet"/>
              <w:numPr>
                <w:ilvl w:val="0"/>
                <w:numId w:val="57"/>
              </w:numPr>
              <w:spacing w:before="120" w:after="120" w:line="240" w:lineRule="auto"/>
              <w:rPr>
                <w:rFonts w:asciiTheme="minorHAnsi" w:hAnsiTheme="minorHAnsi"/>
                <w:sz w:val="20"/>
              </w:rPr>
            </w:pPr>
            <w:r w:rsidRPr="00E6125A">
              <w:rPr>
                <w:rFonts w:asciiTheme="minorHAnsi" w:hAnsiTheme="minorHAnsi"/>
                <w:sz w:val="20"/>
              </w:rPr>
              <w:t>Recommendation 4.8 –  Removal of claims hand</w:t>
            </w:r>
            <w:r w:rsidR="000B1DF5">
              <w:rPr>
                <w:rFonts w:asciiTheme="minorHAnsi" w:hAnsiTheme="minorHAnsi"/>
                <w:sz w:val="20"/>
              </w:rPr>
              <w:t>ling exemption for insurance</w:t>
            </w:r>
            <w:r w:rsidR="00DB5AAE">
              <w:rPr>
                <w:rFonts w:asciiTheme="minorHAnsi" w:hAnsiTheme="minorHAnsi"/>
                <w:sz w:val="20"/>
              </w:rPr>
              <w:t xml:space="preserve"> </w:t>
            </w:r>
          </w:p>
        </w:tc>
      </w:tr>
      <w:tr w:rsidR="00BA36D9" w:rsidRPr="00A57462" w:rsidTr="004775AA">
        <w:trPr>
          <w:trHeight w:val="342"/>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3A6FAF" w:themeFill="accent2"/>
          </w:tcPr>
          <w:p w:rsidR="00BA36D9" w:rsidRPr="00A57462" w:rsidRDefault="00BA36D9" w:rsidP="004E0BB6">
            <w:pPr>
              <w:pStyle w:val="TableColumnHeadingLeft"/>
              <w:rPr>
                <w:rFonts w:asciiTheme="minorHAnsi" w:hAnsiTheme="minorHAnsi"/>
                <w:b w:val="0"/>
                <w:sz w:val="20"/>
              </w:rPr>
            </w:pPr>
            <w:r w:rsidRPr="00E10092">
              <w:t xml:space="preserve">Measures to </w:t>
            </w:r>
            <w:r w:rsidR="004E0BB6">
              <w:t>strengthen</w:t>
            </w:r>
            <w:r w:rsidR="004E0BB6" w:rsidRPr="00E10092">
              <w:t xml:space="preserve"> </w:t>
            </w:r>
            <w:r w:rsidRPr="00E10092">
              <w:t>financial regulators</w:t>
            </w:r>
            <w:r w:rsidRPr="00A57462">
              <w:rPr>
                <w:rFonts w:asciiTheme="minorHAnsi" w:hAnsiTheme="minorHAnsi"/>
                <w:b w:val="0"/>
                <w:sz w:val="20"/>
              </w:rPr>
              <w:t xml:space="preserve"> </w:t>
            </w:r>
          </w:p>
        </w:tc>
      </w:tr>
      <w:tr w:rsidR="00BA36D9" w:rsidRPr="00A57462" w:rsidTr="004775AA">
        <w:trPr>
          <w:trHeight w:val="1285"/>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tcPr>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 ASIC’s search warrants powers (ASIC Enforcement Review)</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 ASIC’s telecommunications interceptions powers (ASIC Enforcement Review)</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 ASIC’s licensing powers (ASIC Enforcement Review)</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 ASIC’s power to ban people in the financial sector (ASIC Enforcement Review)</w:t>
            </w:r>
          </w:p>
        </w:tc>
      </w:tr>
      <w:tr w:rsidR="00BA36D9" w:rsidRPr="00A57462" w:rsidTr="004775AA">
        <w:trPr>
          <w:trHeight w:val="383"/>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002C47" w:themeFill="accent1"/>
          </w:tcPr>
          <w:p w:rsidR="00BA36D9" w:rsidRPr="00E10092" w:rsidRDefault="00BA36D9" w:rsidP="009445FB">
            <w:pPr>
              <w:pStyle w:val="TableColumnHeadingLeft"/>
            </w:pPr>
            <w:r w:rsidRPr="00A57462">
              <w:t>Legislation to be consulted on and introduced by 30 June 2020</w:t>
            </w:r>
          </w:p>
        </w:tc>
      </w:tr>
      <w:tr w:rsidR="00BA36D9" w:rsidRPr="00A57462" w:rsidTr="004775AA">
        <w:trPr>
          <w:trHeight w:val="381"/>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3A6FAF" w:themeFill="accent2"/>
          </w:tcPr>
          <w:p w:rsidR="00BA36D9" w:rsidRPr="00E10092" w:rsidRDefault="00BA36D9" w:rsidP="009445FB">
            <w:pPr>
              <w:pStyle w:val="TableColumnHeadingLeft"/>
            </w:pPr>
            <w:r w:rsidRPr="00E10092">
              <w:t>Measures to improve consumer protections</w:t>
            </w:r>
          </w:p>
        </w:tc>
      </w:tr>
      <w:tr w:rsidR="00BA36D9" w:rsidRPr="00A57462" w:rsidTr="004775AA">
        <w:trPr>
          <w:trHeight w:val="567"/>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tcPr>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1.7 – Removal of point</w:t>
            </w:r>
            <w:r w:rsidRPr="00A57462">
              <w:rPr>
                <w:rFonts w:asciiTheme="minorHAnsi" w:hAnsiTheme="minorHAnsi"/>
                <w:sz w:val="20"/>
              </w:rPr>
              <w:noBreakHyphen/>
              <w:t>of</w:t>
            </w:r>
            <w:r w:rsidRPr="00A57462">
              <w:rPr>
                <w:rFonts w:asciiTheme="minorHAnsi" w:hAnsiTheme="minorHAnsi"/>
                <w:sz w:val="20"/>
              </w:rPr>
              <w:noBreakHyphen/>
              <w:t>sale exemption</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1.15 – Enforceable code provisions for industry codes of conduct</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2.1 – Annual renewal and payment for financial advice</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2.2 – Disclosure of lack of independence of financial advisers</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3.1 – No other role or office for trustees of Registrable Superannuation Entities</w:t>
            </w:r>
            <w:r w:rsidR="00EF48D4">
              <w:rPr>
                <w:rFonts w:asciiTheme="minorHAnsi" w:hAnsiTheme="minorHAnsi"/>
                <w:sz w:val="20"/>
              </w:rPr>
              <w:t xml:space="preserve"> (RSE)</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3.2 – No deducting advice fees from MySuper accounts</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3.3 – Limitations on deducting advice fees from choice superannuation accounts</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3.4 – No hawking of superannuation products</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4.1 – No hawking of insurance products</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 xml:space="preserve">Recommendation 4.3 – Deferred sales model for add-on insurance </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4.4 – Cap on commissions paid to vehicle dealers for sale of add</w:t>
            </w:r>
            <w:r w:rsidRPr="00A57462">
              <w:rPr>
                <w:rFonts w:asciiTheme="minorHAnsi" w:hAnsiTheme="minorHAnsi"/>
                <w:sz w:val="20"/>
              </w:rPr>
              <w:noBreakHyphen/>
              <w:t xml:space="preserve">on insurance products </w:t>
            </w:r>
          </w:p>
          <w:p w:rsidR="005F4947" w:rsidRDefault="00BA36D9" w:rsidP="005F494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4.5 – Duty to take reasonable care not to make a misrepresentation to an insurer</w:t>
            </w:r>
          </w:p>
          <w:p w:rsidR="005F4947" w:rsidRPr="00A57462" w:rsidRDefault="005F4947" w:rsidP="005F494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 xml:space="preserve">Recommendation 4.6 – Limiting circumstances where insurers can avoid life insurance contracts </w:t>
            </w:r>
          </w:p>
          <w:p w:rsidR="005F4947" w:rsidRPr="00A57462" w:rsidRDefault="005F4947" w:rsidP="005F494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4.8 – Remova</w:t>
            </w:r>
            <w:r>
              <w:rPr>
                <w:rFonts w:asciiTheme="minorHAnsi" w:hAnsiTheme="minorHAnsi"/>
                <w:sz w:val="20"/>
              </w:rPr>
              <w:t>l of claims handling exemption</w:t>
            </w:r>
          </w:p>
          <w:p w:rsidR="00BA36D9" w:rsidRPr="00A57462" w:rsidRDefault="005F4947" w:rsidP="00B94A8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in response to Recommendation 4.2 – Restricting use of the term ‘insurer’ and ‘insurance’</w:t>
            </w:r>
          </w:p>
        </w:tc>
      </w:tr>
      <w:tr w:rsidR="00B94A87" w:rsidRPr="00A57462" w:rsidTr="002B335F">
        <w:trPr>
          <w:trHeight w:val="567"/>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002C47" w:themeFill="accent1"/>
          </w:tcPr>
          <w:p w:rsidR="00B94A87" w:rsidRPr="00A57462" w:rsidRDefault="005F4947" w:rsidP="002B335F">
            <w:pPr>
              <w:pStyle w:val="Bullet"/>
              <w:numPr>
                <w:ilvl w:val="0"/>
                <w:numId w:val="0"/>
              </w:numPr>
              <w:spacing w:before="120" w:after="120" w:line="240" w:lineRule="auto"/>
              <w:rPr>
                <w:rFonts w:asciiTheme="minorHAnsi" w:hAnsiTheme="minorHAnsi"/>
                <w:sz w:val="20"/>
              </w:rPr>
            </w:pPr>
            <w:r w:rsidRPr="00FD6F48">
              <w:lastRenderedPageBreak/>
              <w:t>Legislation to be consulted on and introduced by 30 June 2020 (continued)</w:t>
            </w:r>
          </w:p>
        </w:tc>
      </w:tr>
      <w:tr w:rsidR="00BA36D9" w:rsidRPr="00A57462" w:rsidTr="004775AA">
        <w:trPr>
          <w:trHeight w:val="383"/>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3A6FAF" w:themeFill="accent2"/>
          </w:tcPr>
          <w:p w:rsidR="00BA36D9" w:rsidRPr="00E10092" w:rsidRDefault="005F4947" w:rsidP="009445FB">
            <w:pPr>
              <w:pStyle w:val="TableColumnHeadingLeft"/>
            </w:pPr>
            <w:r w:rsidRPr="00E10092">
              <w:t xml:space="preserve">Measures to </w:t>
            </w:r>
            <w:r>
              <w:t>strengthen</w:t>
            </w:r>
            <w:r w:rsidRPr="00E10092">
              <w:t xml:space="preserve"> financial regulators</w:t>
            </w:r>
            <w:r w:rsidRPr="00A57462">
              <w:rPr>
                <w:rFonts w:asciiTheme="minorHAnsi" w:hAnsiTheme="minorHAnsi"/>
                <w:b w:val="0"/>
                <w:sz w:val="20"/>
              </w:rPr>
              <w:t xml:space="preserve"> </w:t>
            </w:r>
          </w:p>
        </w:tc>
      </w:tr>
      <w:tr w:rsidR="00BA36D9" w:rsidRPr="00A57462" w:rsidTr="004775AA">
        <w:trPr>
          <w:trHeight w:val="1285"/>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tcPr>
          <w:p w:rsidR="00CA60C5" w:rsidRDefault="00CA60C5" w:rsidP="00360EF7">
            <w:pPr>
              <w:pStyle w:val="Bullet"/>
              <w:numPr>
                <w:ilvl w:val="0"/>
                <w:numId w:val="57"/>
              </w:numPr>
              <w:spacing w:before="120" w:after="120" w:line="240" w:lineRule="auto"/>
              <w:ind w:left="471" w:hanging="471"/>
              <w:rPr>
                <w:rFonts w:asciiTheme="minorHAnsi" w:hAnsiTheme="minorHAnsi"/>
                <w:sz w:val="20"/>
              </w:rPr>
            </w:pPr>
            <w:r>
              <w:rPr>
                <w:rFonts w:asciiTheme="minorHAnsi" w:hAnsiTheme="minorHAnsi"/>
                <w:sz w:val="20"/>
              </w:rPr>
              <w:t xml:space="preserve">Recommendation 1.6 – </w:t>
            </w:r>
            <w:r w:rsidRPr="00A57462">
              <w:rPr>
                <w:rFonts w:asciiTheme="minorHAnsi" w:hAnsiTheme="minorHAnsi"/>
                <w:sz w:val="20"/>
              </w:rPr>
              <w:t xml:space="preserve">Reference checking and information sharing for </w:t>
            </w:r>
            <w:r>
              <w:rPr>
                <w:rFonts w:asciiTheme="minorHAnsi" w:hAnsiTheme="minorHAnsi"/>
                <w:sz w:val="20"/>
              </w:rPr>
              <w:t>mortgage brokers</w:t>
            </w:r>
          </w:p>
          <w:p w:rsidR="00360EF7" w:rsidRPr="00A57462" w:rsidRDefault="00360EF7" w:rsidP="00360EF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2.7 – Reference checking and information sharing for financial advisers</w:t>
            </w:r>
          </w:p>
          <w:p w:rsidR="00360EF7" w:rsidRPr="00A57462" w:rsidRDefault="00360EF7" w:rsidP="00360EF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2.8 – Licensee obligations to report compliance concerns</w:t>
            </w:r>
          </w:p>
          <w:p w:rsidR="00360EF7" w:rsidRPr="00A57462" w:rsidRDefault="00360EF7" w:rsidP="00360EF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2.9 – Licensee obligations where misconduct by financial advisers</w:t>
            </w:r>
          </w:p>
          <w:p w:rsidR="00360EF7" w:rsidRPr="00A57462" w:rsidRDefault="00360EF7" w:rsidP="00360EF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3.8 – Adjustment of APRA’s and ASIC’s roles in superannuation</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6.3 – General principles for ASIC and APRA to co</w:t>
            </w:r>
            <w:r w:rsidRPr="00A57462">
              <w:rPr>
                <w:rFonts w:asciiTheme="minorHAnsi" w:hAnsiTheme="minorHAnsi"/>
                <w:sz w:val="20"/>
              </w:rPr>
              <w:noBreakHyphen/>
              <w:t>regulate superannuation</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6.4 – ASIC as conduct regulator for superannuation</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6.5 – APRA to retain current functions for superannuation</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6.9 – Statutory obligation for APRA and ASIC to co-operate and share information</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6.14 – A new oversight authority for APRA and ASIC</w:t>
            </w:r>
          </w:p>
          <w:p w:rsidR="00CA60C5" w:rsidRDefault="00CA60C5" w:rsidP="00BA36D9">
            <w:pPr>
              <w:pStyle w:val="Bullet"/>
              <w:numPr>
                <w:ilvl w:val="0"/>
                <w:numId w:val="57"/>
              </w:numPr>
              <w:spacing w:before="120" w:after="120" w:line="240" w:lineRule="auto"/>
              <w:ind w:left="471" w:hanging="471"/>
              <w:rPr>
                <w:rFonts w:asciiTheme="minorHAnsi" w:hAnsiTheme="minorHAnsi"/>
                <w:sz w:val="20"/>
              </w:rPr>
            </w:pPr>
            <w:r>
              <w:rPr>
                <w:rFonts w:asciiTheme="minorHAnsi" w:hAnsiTheme="minorHAnsi"/>
                <w:sz w:val="20"/>
              </w:rPr>
              <w:t xml:space="preserve">Recommendation 6.11 – Improving ASIC’s Board meeting procedures </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7.2 – Implementing the ASIC Enforcement Review Taskforce’s recommendations to improve the breach reporting regime</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in response to Recommendation 7.2 – Implementing the ASIC Enforcement Review Taskforce’s directions power recommendations</w:t>
            </w:r>
          </w:p>
        </w:tc>
      </w:tr>
      <w:tr w:rsidR="00BA36D9" w:rsidRPr="00A57462" w:rsidTr="004775AA">
        <w:trPr>
          <w:trHeight w:val="401"/>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002C47" w:themeFill="accent1"/>
          </w:tcPr>
          <w:p w:rsidR="00BA36D9" w:rsidRPr="00A57462" w:rsidRDefault="00BA36D9" w:rsidP="009445FB">
            <w:pPr>
              <w:pStyle w:val="TableColumnHeadingLeft"/>
            </w:pPr>
            <w:r w:rsidRPr="00A57462">
              <w:t xml:space="preserve">Legislation to </w:t>
            </w:r>
            <w:r w:rsidR="00C7078D">
              <w:t xml:space="preserve">be </w:t>
            </w:r>
            <w:r w:rsidRPr="00A57462">
              <w:t>consulted on and introduced by end-2020</w:t>
            </w:r>
          </w:p>
        </w:tc>
      </w:tr>
      <w:tr w:rsidR="00BA36D9" w:rsidRPr="00A57462" w:rsidTr="004775AA">
        <w:trPr>
          <w:trHeight w:val="123"/>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3A6FAF" w:themeFill="accent2"/>
          </w:tcPr>
          <w:p w:rsidR="00BA36D9" w:rsidRPr="00A57462" w:rsidRDefault="00BA36D9" w:rsidP="00A57462">
            <w:pPr>
              <w:pStyle w:val="TableColumnHeadingLeft"/>
            </w:pPr>
            <w:r w:rsidRPr="00E10092">
              <w:t xml:space="preserve">Access to redress and new disciplinary body </w:t>
            </w:r>
          </w:p>
        </w:tc>
      </w:tr>
      <w:tr w:rsidR="00BA36D9" w:rsidRPr="00A57462" w:rsidTr="004775AA">
        <w:trPr>
          <w:trHeight w:val="890"/>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tcPr>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2.10 – A new disciplinary system for financial advisers</w:t>
            </w:r>
          </w:p>
          <w:p w:rsidR="00BA36D9" w:rsidRPr="00A57462" w:rsidRDefault="00BA36D9" w:rsidP="00554F6D">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7.1 – Compensation scheme of last resort</w:t>
            </w:r>
            <w:r w:rsidR="00A57462">
              <w:rPr>
                <w:rFonts w:asciiTheme="minorHAnsi" w:hAnsiTheme="minorHAnsi"/>
                <w:sz w:val="20"/>
              </w:rPr>
              <w:t xml:space="preserve"> </w:t>
            </w:r>
          </w:p>
        </w:tc>
      </w:tr>
      <w:tr w:rsidR="00BA36D9" w:rsidRPr="00A57462" w:rsidTr="004775AA">
        <w:trPr>
          <w:trHeight w:val="430"/>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3A6FAF" w:themeFill="accent2"/>
          </w:tcPr>
          <w:p w:rsidR="00BA36D9" w:rsidRPr="00A57462" w:rsidRDefault="007A0CE4" w:rsidP="00382FF7">
            <w:pPr>
              <w:pStyle w:val="TableColumnHeadingLeft"/>
            </w:pPr>
            <w:r>
              <w:t xml:space="preserve">Measures to </w:t>
            </w:r>
            <w:r w:rsidRPr="00E10092">
              <w:t xml:space="preserve">strengthen </w:t>
            </w:r>
            <w:r w:rsidR="00BA36D9" w:rsidRPr="00E10092">
              <w:t xml:space="preserve">financial regulators </w:t>
            </w:r>
            <w:r w:rsidR="00382FF7">
              <w:t>−</w:t>
            </w:r>
            <w:r w:rsidR="00BA36D9" w:rsidRPr="00E10092">
              <w:t xml:space="preserve"> executive accountability regime </w:t>
            </w:r>
          </w:p>
        </w:tc>
      </w:tr>
      <w:tr w:rsidR="00BA36D9" w:rsidRPr="00A57462" w:rsidTr="004775AA">
        <w:trPr>
          <w:trHeight w:val="1285"/>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tcPr>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3.9 – Extending the Banking Executive Accountability Regime (BEAR) to RSE licensees</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4.12 – Extending the BEAR to APRA</w:t>
            </w:r>
            <w:r w:rsidRPr="00A57462">
              <w:rPr>
                <w:rFonts w:asciiTheme="minorHAnsi" w:hAnsiTheme="minorHAnsi"/>
                <w:sz w:val="20"/>
              </w:rPr>
              <w:noBreakHyphen/>
              <w:t xml:space="preserve">regulated insurers </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6.6 – Joint administration of the BEAR</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6.7 – Statutory amendments to facilitate co</w:t>
            </w:r>
            <w:r w:rsidRPr="00A57462">
              <w:rPr>
                <w:rFonts w:asciiTheme="minorHAnsi" w:hAnsiTheme="minorHAnsi"/>
                <w:sz w:val="20"/>
              </w:rPr>
              <w:noBreakHyphen/>
              <w:t xml:space="preserve">regulation </w:t>
            </w:r>
          </w:p>
          <w:p w:rsidR="00A258F4" w:rsidRDefault="00BA36D9" w:rsidP="00E6125A">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6.8 – Extending the BEAR to all APRA</w:t>
            </w:r>
            <w:r w:rsidRPr="00A57462">
              <w:rPr>
                <w:rFonts w:asciiTheme="minorHAnsi" w:hAnsiTheme="minorHAnsi"/>
                <w:sz w:val="20"/>
              </w:rPr>
              <w:noBreakHyphen/>
              <w:t>regulated fi</w:t>
            </w:r>
            <w:r w:rsidR="00725A98">
              <w:rPr>
                <w:rFonts w:asciiTheme="minorHAnsi" w:hAnsiTheme="minorHAnsi"/>
                <w:sz w:val="20"/>
              </w:rPr>
              <w:t>nancial services institutions</w:t>
            </w:r>
            <w:r w:rsidR="006056CF">
              <w:rPr>
                <w:rFonts w:asciiTheme="minorHAnsi" w:hAnsiTheme="minorHAnsi"/>
                <w:sz w:val="20"/>
              </w:rPr>
              <w:t xml:space="preserve">. </w:t>
            </w:r>
          </w:p>
          <w:p w:rsidR="00BA36D9" w:rsidRPr="00A57462" w:rsidRDefault="00A258F4" w:rsidP="00A258F4">
            <w:pPr>
              <w:pStyle w:val="Bullet"/>
              <w:numPr>
                <w:ilvl w:val="0"/>
                <w:numId w:val="57"/>
              </w:numPr>
              <w:spacing w:before="120" w:after="120" w:line="240" w:lineRule="auto"/>
              <w:ind w:left="471" w:hanging="471"/>
              <w:rPr>
                <w:rFonts w:asciiTheme="minorHAnsi" w:hAnsiTheme="minorHAnsi"/>
                <w:sz w:val="20"/>
              </w:rPr>
            </w:pPr>
            <w:r>
              <w:rPr>
                <w:rFonts w:asciiTheme="minorHAnsi" w:hAnsiTheme="minorHAnsi"/>
                <w:sz w:val="20"/>
              </w:rPr>
              <w:t xml:space="preserve">Additional commitment </w:t>
            </w:r>
            <w:r w:rsidRPr="00A57462">
              <w:rPr>
                <w:rFonts w:asciiTheme="minorHAnsi" w:hAnsiTheme="minorHAnsi"/>
                <w:sz w:val="20"/>
              </w:rPr>
              <w:t xml:space="preserve">– </w:t>
            </w:r>
            <w:r>
              <w:rPr>
                <w:rFonts w:asciiTheme="minorHAnsi" w:hAnsiTheme="minorHAnsi"/>
                <w:sz w:val="20"/>
              </w:rPr>
              <w:t xml:space="preserve">extension of the executive accountability regime to non-prudentially regulated financial entities to be administered by ASIC. </w:t>
            </w:r>
          </w:p>
        </w:tc>
      </w:tr>
      <w:tr w:rsidR="00BA36D9" w:rsidRPr="00A57462" w:rsidTr="004775AA">
        <w:trPr>
          <w:trHeight w:val="235"/>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00827F" w:themeFill="accent3"/>
          </w:tcPr>
          <w:p w:rsidR="00BA36D9" w:rsidRPr="00A57462" w:rsidRDefault="00BA36D9" w:rsidP="004775AA">
            <w:pPr>
              <w:pStyle w:val="TableColumnHeadingLeft"/>
              <w:keepNext/>
              <w:rPr>
                <w:rFonts w:asciiTheme="minorHAnsi" w:hAnsiTheme="minorHAnsi"/>
                <w:b w:val="0"/>
                <w:sz w:val="20"/>
              </w:rPr>
            </w:pPr>
            <w:r w:rsidRPr="00E10092">
              <w:lastRenderedPageBreak/>
              <w:t>Reviews in 2022</w:t>
            </w:r>
          </w:p>
        </w:tc>
      </w:tr>
      <w:tr w:rsidR="00B94A87" w:rsidRPr="00A57462" w:rsidTr="004775AA">
        <w:trPr>
          <w:cantSplit/>
          <w:trHeight w:val="1703"/>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FFFFFF" w:themeFill="background1"/>
          </w:tcPr>
          <w:p w:rsidR="00B94A87" w:rsidRPr="00A57462" w:rsidRDefault="00B94A87"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1.4 – Council of Financial Regulators and the Australian Competition and Consumer Commission review of changes to mortgage broker remuneration and operation of upfront and trail commissions</w:t>
            </w:r>
          </w:p>
          <w:p w:rsidR="00B94A87" w:rsidRPr="00A57462" w:rsidRDefault="00B94A87"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2.3 – Review of measures to improve the quality of financial advice – Consistent with the Royal Commission recommendations, the review will examine all exemptions from the ban on conflicted remunerati</w:t>
            </w:r>
            <w:r w:rsidRPr="00554F6D">
              <w:rPr>
                <w:rFonts w:asciiTheme="minorHAnsi" w:hAnsiTheme="minorHAnsi"/>
                <w:sz w:val="20"/>
              </w:rPr>
              <w:t>on, including for general insurance, consumer credit insurance, timeshare and stockbroking remuneration, and stamping fees</w:t>
            </w:r>
          </w:p>
          <w:p w:rsidR="00B94A87" w:rsidRPr="00A57462" w:rsidRDefault="00B94A87"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2.6 – Review of each remaining exemption from the ban on conflicted remuneration</w:t>
            </w:r>
            <w:r w:rsidR="005F4B41">
              <w:rPr>
                <w:rFonts w:asciiTheme="minorHAnsi" w:hAnsiTheme="minorHAnsi"/>
                <w:sz w:val="20"/>
              </w:rPr>
              <w:t xml:space="preserve">. This review will occur as part of the review of measures to improve the quality of financial advice (recommendation 2.3) </w:t>
            </w:r>
          </w:p>
          <w:p w:rsidR="00B94A87" w:rsidRPr="00A57462" w:rsidRDefault="00B94A87"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 Independent inquiry into changes in industry practices</w:t>
            </w:r>
          </w:p>
          <w:p w:rsidR="00B94A87" w:rsidRPr="00A57462" w:rsidRDefault="00B94A87" w:rsidP="00C824A1">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w:t>
            </w:r>
            <w:r w:rsidR="00763D07">
              <w:rPr>
                <w:rFonts w:asciiTheme="minorHAnsi" w:hAnsiTheme="minorHAnsi"/>
                <w:sz w:val="20"/>
              </w:rPr>
              <w:t xml:space="preserve"> A</w:t>
            </w:r>
            <w:r w:rsidRPr="00554F6D">
              <w:rPr>
                <w:rFonts w:asciiTheme="minorHAnsi" w:hAnsiTheme="minorHAnsi"/>
                <w:sz w:val="20"/>
              </w:rPr>
              <w:t xml:space="preserve">ssessment of the effectiveness of changes made by the regulators following the Royal Commission by </w:t>
            </w:r>
            <w:r w:rsidRPr="00641256">
              <w:rPr>
                <w:rFonts w:asciiTheme="minorHAnsi" w:hAnsiTheme="minorHAnsi"/>
                <w:sz w:val="20"/>
              </w:rPr>
              <w:t>the</w:t>
            </w:r>
            <w:r w:rsidR="00763D07">
              <w:rPr>
                <w:rFonts w:asciiTheme="minorHAnsi" w:hAnsiTheme="minorHAnsi"/>
                <w:sz w:val="20"/>
              </w:rPr>
              <w:t xml:space="preserve"> (</w:t>
            </w:r>
            <w:r w:rsidRPr="00641256">
              <w:rPr>
                <w:rFonts w:asciiTheme="minorHAnsi" w:hAnsiTheme="minorHAnsi"/>
                <w:sz w:val="20"/>
              </w:rPr>
              <w:t>to be established</w:t>
            </w:r>
            <w:r w:rsidR="00763D07">
              <w:rPr>
                <w:rFonts w:asciiTheme="minorHAnsi" w:hAnsiTheme="minorHAnsi"/>
                <w:sz w:val="20"/>
              </w:rPr>
              <w:t>)</w:t>
            </w:r>
            <w:r>
              <w:rPr>
                <w:rFonts w:asciiTheme="minorHAnsi" w:hAnsiTheme="minorHAnsi"/>
                <w:sz w:val="20"/>
              </w:rPr>
              <w:t xml:space="preserve"> </w:t>
            </w:r>
            <w:r w:rsidR="00C42F25">
              <w:rPr>
                <w:rFonts w:asciiTheme="minorHAnsi" w:hAnsiTheme="minorHAnsi"/>
                <w:sz w:val="20"/>
              </w:rPr>
              <w:t>f</w:t>
            </w:r>
            <w:r>
              <w:rPr>
                <w:rFonts w:asciiTheme="minorHAnsi" w:hAnsiTheme="minorHAnsi"/>
                <w:sz w:val="20"/>
              </w:rPr>
              <w:t xml:space="preserve">inancial </w:t>
            </w:r>
            <w:r w:rsidR="00C42F25">
              <w:rPr>
                <w:rFonts w:asciiTheme="minorHAnsi" w:hAnsiTheme="minorHAnsi"/>
                <w:sz w:val="20"/>
              </w:rPr>
              <w:t>r</w:t>
            </w:r>
            <w:r>
              <w:rPr>
                <w:rFonts w:asciiTheme="minorHAnsi" w:hAnsiTheme="minorHAnsi"/>
                <w:sz w:val="20"/>
              </w:rPr>
              <w:t xml:space="preserve">egulator </w:t>
            </w:r>
            <w:r w:rsidR="00595AE6">
              <w:rPr>
                <w:rFonts w:asciiTheme="minorHAnsi" w:hAnsiTheme="minorHAnsi"/>
                <w:sz w:val="20"/>
              </w:rPr>
              <w:t>oversight authority</w:t>
            </w:r>
          </w:p>
        </w:tc>
      </w:tr>
      <w:tr w:rsidR="00BA36D9" w:rsidRPr="00A57462" w:rsidTr="004775AA">
        <w:trPr>
          <w:trHeight w:val="235"/>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00827F" w:themeFill="accent3"/>
          </w:tcPr>
          <w:p w:rsidR="00BA36D9" w:rsidRPr="00A57462" w:rsidRDefault="00BA36D9" w:rsidP="00A57462">
            <w:pPr>
              <w:pStyle w:val="TableColumnHeadingLeft"/>
              <w:rPr>
                <w:rFonts w:asciiTheme="minorHAnsi" w:hAnsiTheme="minorHAnsi"/>
                <w:b w:val="0"/>
                <w:sz w:val="20"/>
              </w:rPr>
            </w:pPr>
            <w:r w:rsidRPr="00E10092">
              <w:t>Other measures</w:t>
            </w:r>
            <w:r w:rsidRPr="00A57462">
              <w:rPr>
                <w:rFonts w:asciiTheme="minorHAnsi" w:hAnsiTheme="minorHAnsi"/>
                <w:b w:val="0"/>
                <w:sz w:val="20"/>
              </w:rPr>
              <w:t xml:space="preserve"> </w:t>
            </w:r>
          </w:p>
        </w:tc>
      </w:tr>
      <w:tr w:rsidR="00BA36D9" w:rsidRPr="00A57462" w:rsidTr="004775AA">
        <w:trPr>
          <w:trHeight w:val="235"/>
        </w:trPr>
        <w:tc>
          <w:tcPr>
            <w:tcW w:w="9071" w:type="dxa"/>
            <w:tcBorders>
              <w:top w:val="single" w:sz="2" w:space="0" w:color="002C47" w:themeColor="accent1"/>
              <w:left w:val="single" w:sz="2" w:space="0" w:color="002C47" w:themeColor="accent1"/>
              <w:bottom w:val="single" w:sz="2" w:space="0" w:color="002C47" w:themeColor="accent1"/>
              <w:right w:val="single" w:sz="2" w:space="0" w:color="002C47" w:themeColor="accent1"/>
            </w:tcBorders>
            <w:shd w:val="clear" w:color="auto" w:fill="auto"/>
          </w:tcPr>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1.11 – A national farm debt mediation scheme – The Government is working with states and territories through the Agriculture Ministers’ Forum (AGMIN) to progress work on the establishment of a national farm debt mediation scheme</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Recommendation 1.5 – Regulating mortgage brokers as financial advisers – This recommendation will be progressed following the review of financial advice reforms (recommendation 2.3), given that review may recommend changes to the regulation of financial advisers</w:t>
            </w:r>
          </w:p>
          <w:p w:rsidR="00BA36D9" w:rsidRPr="00A57462" w:rsidRDefault="00BA36D9" w:rsidP="00BA36D9">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 xml:space="preserve">Recommendation 3.5 – One default superannuation account – Implementation of this recommendation will be considered in the context of the findings and recommendations of the Productivity Commission’s report </w:t>
            </w:r>
            <w:r w:rsidRPr="00554F6D">
              <w:rPr>
                <w:rFonts w:asciiTheme="minorHAnsi" w:hAnsiTheme="minorHAnsi"/>
                <w:sz w:val="20"/>
              </w:rPr>
              <w:t>Superannuation: Assessing Efficiency and Competitiveness</w:t>
            </w:r>
          </w:p>
          <w:p w:rsidR="003515F0" w:rsidRDefault="003515F0" w:rsidP="00763D0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in response to Recommendation 7.1 – Increasing AFCA’s role in remediation programs</w:t>
            </w:r>
            <w:r>
              <w:rPr>
                <w:rFonts w:asciiTheme="minorHAnsi" w:hAnsiTheme="minorHAnsi"/>
                <w:sz w:val="20"/>
              </w:rPr>
              <w:t xml:space="preserve"> – legislati</w:t>
            </w:r>
            <w:r w:rsidR="00DB5AAE">
              <w:rPr>
                <w:rFonts w:asciiTheme="minorHAnsi" w:hAnsiTheme="minorHAnsi"/>
                <w:sz w:val="20"/>
              </w:rPr>
              <w:t>on to be introduced by mid-2021</w:t>
            </w:r>
          </w:p>
          <w:p w:rsidR="00BA36D9" w:rsidRPr="00554F6D" w:rsidRDefault="00BA36D9" w:rsidP="00763D07">
            <w:pPr>
              <w:pStyle w:val="Bullet"/>
              <w:numPr>
                <w:ilvl w:val="0"/>
                <w:numId w:val="57"/>
              </w:numPr>
              <w:spacing w:before="120" w:after="120" w:line="240" w:lineRule="auto"/>
              <w:ind w:left="471" w:hanging="471"/>
              <w:rPr>
                <w:rFonts w:asciiTheme="minorHAnsi" w:hAnsiTheme="minorHAnsi"/>
                <w:sz w:val="20"/>
              </w:rPr>
            </w:pPr>
            <w:r w:rsidRPr="00A57462">
              <w:rPr>
                <w:rFonts w:asciiTheme="minorHAnsi" w:hAnsiTheme="minorHAnsi"/>
                <w:sz w:val="20"/>
              </w:rPr>
              <w:t>Additional commitment – Extension of Federal Court jurisdiction in relation to criminal corporate crime – legislation to be introduced by mid-2020</w:t>
            </w:r>
          </w:p>
        </w:tc>
      </w:tr>
    </w:tbl>
    <w:p w:rsidR="00017DF0" w:rsidRDefault="00017DF0">
      <w:pPr>
        <w:spacing w:after="160" w:line="259" w:lineRule="auto"/>
      </w:pPr>
      <w:r>
        <w:br w:type="page"/>
      </w:r>
    </w:p>
    <w:p w:rsidR="001E4642" w:rsidRDefault="00393339" w:rsidP="001E4642">
      <w:pPr>
        <w:pStyle w:val="Heading1"/>
      </w:pPr>
      <w:bookmarkStart w:id="502" w:name="_Toc5029189"/>
      <w:bookmarkStart w:id="503" w:name="_Toc5117715"/>
      <w:bookmarkStart w:id="504" w:name="_Toc5118524"/>
      <w:bookmarkStart w:id="505" w:name="_Toc5118566"/>
      <w:bookmarkStart w:id="506" w:name="_Toc5187989"/>
      <w:bookmarkStart w:id="507" w:name="_Toc5196795"/>
      <w:bookmarkStart w:id="508" w:name="_Toc5198541"/>
      <w:bookmarkStart w:id="509" w:name="_Toc5199580"/>
      <w:bookmarkStart w:id="510" w:name="_Toc5199695"/>
      <w:bookmarkStart w:id="511" w:name="_Toc5200557"/>
      <w:bookmarkStart w:id="512" w:name="_Toc5204137"/>
      <w:bookmarkStart w:id="513" w:name="_Toc13049867"/>
      <w:bookmarkStart w:id="514" w:name="_Toc17057993"/>
      <w:r>
        <w:lastRenderedPageBreak/>
        <w:t xml:space="preserve">Appendix B: Regulator </w:t>
      </w:r>
      <w:bookmarkEnd w:id="502"/>
      <w:bookmarkEnd w:id="503"/>
      <w:bookmarkEnd w:id="504"/>
      <w:bookmarkEnd w:id="505"/>
      <w:r w:rsidR="005B2F18" w:rsidRPr="005B2F18">
        <w:t>Implementation Plans</w:t>
      </w:r>
      <w:bookmarkEnd w:id="506"/>
      <w:bookmarkEnd w:id="507"/>
      <w:bookmarkEnd w:id="508"/>
      <w:bookmarkEnd w:id="509"/>
      <w:bookmarkEnd w:id="510"/>
      <w:bookmarkEnd w:id="511"/>
      <w:bookmarkEnd w:id="512"/>
      <w:bookmarkEnd w:id="513"/>
      <w:bookmarkEnd w:id="514"/>
      <w:r w:rsidR="002C68C0">
        <w:t xml:space="preserve"> </w:t>
      </w:r>
    </w:p>
    <w:tbl>
      <w:tblPr>
        <w:tblW w:w="9071" w:type="dxa"/>
        <w:tblBorders>
          <w:top w:val="single" w:sz="2" w:space="0" w:color="002C47" w:themeColor="accent1"/>
          <w:left w:val="single" w:sz="2" w:space="0" w:color="002C47" w:themeColor="accent1"/>
          <w:bottom w:val="single" w:sz="2" w:space="0" w:color="002C47" w:themeColor="accent1"/>
          <w:right w:val="single" w:sz="2" w:space="0" w:color="002C47" w:themeColor="accent1"/>
          <w:insideH w:val="single" w:sz="2" w:space="0" w:color="002C47" w:themeColor="accent1"/>
          <w:insideV w:val="single" w:sz="2" w:space="0" w:color="002C47" w:themeColor="accent1"/>
        </w:tblBorders>
        <w:tblLook w:val="04A0" w:firstRow="1" w:lastRow="0" w:firstColumn="1" w:lastColumn="0" w:noHBand="0" w:noVBand="1"/>
      </w:tblPr>
      <w:tblGrid>
        <w:gridCol w:w="3683"/>
        <w:gridCol w:w="5388"/>
      </w:tblGrid>
      <w:tr w:rsidR="00E10092" w:rsidTr="004775AA">
        <w:trPr>
          <w:cantSplit/>
          <w:tblHeader/>
        </w:trPr>
        <w:tc>
          <w:tcPr>
            <w:tcW w:w="3683" w:type="dxa"/>
            <w:shd w:val="clear" w:color="auto" w:fill="002C47" w:themeFill="accent1"/>
          </w:tcPr>
          <w:p w:rsidR="00E10092" w:rsidRPr="00785B34" w:rsidRDefault="00E10092" w:rsidP="006A170A">
            <w:pPr>
              <w:pStyle w:val="TableColumnHeadingLeft"/>
            </w:pPr>
            <w:r w:rsidRPr="00785B34">
              <w:t>Recommendation</w:t>
            </w:r>
          </w:p>
        </w:tc>
        <w:tc>
          <w:tcPr>
            <w:tcW w:w="5388" w:type="dxa"/>
            <w:shd w:val="clear" w:color="auto" w:fill="002C47" w:themeFill="accent1"/>
          </w:tcPr>
          <w:p w:rsidR="00E10092" w:rsidRPr="00785B34" w:rsidRDefault="00E10092" w:rsidP="006A170A">
            <w:pPr>
              <w:pStyle w:val="TableColumnHeadingLeft"/>
            </w:pPr>
            <w:r w:rsidRPr="00785B34">
              <w:t>Regulator action</w:t>
            </w:r>
          </w:p>
        </w:tc>
      </w:tr>
      <w:tr w:rsidR="00E10092" w:rsidTr="004775AA">
        <w:trPr>
          <w:cantSplit/>
        </w:trPr>
        <w:tc>
          <w:tcPr>
            <w:tcW w:w="9071" w:type="dxa"/>
            <w:gridSpan w:val="2"/>
            <w:shd w:val="clear" w:color="auto" w:fill="3A6FAF" w:themeFill="accent2"/>
          </w:tcPr>
          <w:p w:rsidR="00E10092" w:rsidRPr="00576950" w:rsidRDefault="00E10092" w:rsidP="006A170A">
            <w:pPr>
              <w:pStyle w:val="TableColumnHeadingLeft"/>
            </w:pPr>
            <w:r w:rsidRPr="00576950">
              <w:t>ASIC</w:t>
            </w:r>
          </w:p>
        </w:tc>
      </w:tr>
      <w:tr w:rsidR="00E10092" w:rsidTr="004775AA">
        <w:trPr>
          <w:cantSplit/>
        </w:trPr>
        <w:tc>
          <w:tcPr>
            <w:tcW w:w="3683" w:type="dxa"/>
          </w:tcPr>
          <w:p w:rsidR="00E10092" w:rsidRPr="002423A8" w:rsidRDefault="00E10092" w:rsidP="006A170A">
            <w:pPr>
              <w:pStyle w:val="TableTextLeft"/>
              <w:rPr>
                <w:spacing w:val="-1"/>
              </w:rPr>
            </w:pPr>
            <w:r w:rsidRPr="002423A8">
              <w:rPr>
                <w:b/>
                <w:spacing w:val="-1"/>
              </w:rPr>
              <w:t>Recommendation 2.5 –</w:t>
            </w:r>
            <w:r w:rsidRPr="002423A8">
              <w:rPr>
                <w:spacing w:val="-1"/>
              </w:rPr>
              <w:br/>
              <w:t>Life insurance commissions review</w:t>
            </w:r>
          </w:p>
        </w:tc>
        <w:tc>
          <w:tcPr>
            <w:tcW w:w="5388" w:type="dxa"/>
          </w:tcPr>
          <w:p w:rsidR="00E10092" w:rsidRPr="002423A8" w:rsidRDefault="00E10092" w:rsidP="006A170A">
            <w:pPr>
              <w:pStyle w:val="TableTextLeft"/>
              <w:rPr>
                <w:spacing w:val="-1"/>
              </w:rPr>
            </w:pPr>
            <w:r>
              <w:t>ASIC will include the factors identified by the Royal Commission in undertaking its post implementation review of the 2017 life insurance reforms. ASIC’s review will take place in 2021.</w:t>
            </w:r>
          </w:p>
        </w:tc>
      </w:tr>
      <w:tr w:rsidR="00E10092" w:rsidTr="002B335F">
        <w:trPr>
          <w:cantSplit/>
        </w:trPr>
        <w:tc>
          <w:tcPr>
            <w:tcW w:w="3683" w:type="dxa"/>
            <w:shd w:val="clear" w:color="auto" w:fill="F2F2F2" w:themeFill="background1" w:themeFillShade="F2"/>
          </w:tcPr>
          <w:p w:rsidR="00E10092" w:rsidRPr="002423A8" w:rsidRDefault="00E10092" w:rsidP="006A170A">
            <w:pPr>
              <w:pStyle w:val="TableTextLeft"/>
              <w:rPr>
                <w:spacing w:val="-1"/>
              </w:rPr>
            </w:pPr>
            <w:r w:rsidRPr="002423A8">
              <w:rPr>
                <w:b/>
                <w:spacing w:val="-1"/>
              </w:rPr>
              <w:t>Recommendation 6.2 –</w:t>
            </w:r>
            <w:r w:rsidRPr="002423A8">
              <w:rPr>
                <w:spacing w:val="-1"/>
              </w:rPr>
              <w:br/>
              <w:t>ASIC’s approach to enforcement</w:t>
            </w:r>
          </w:p>
        </w:tc>
        <w:tc>
          <w:tcPr>
            <w:tcW w:w="5388" w:type="dxa"/>
            <w:shd w:val="clear" w:color="auto" w:fill="F2F2F2" w:themeFill="background1" w:themeFillShade="F2"/>
          </w:tcPr>
          <w:p w:rsidR="00E10092" w:rsidRPr="007671C2" w:rsidRDefault="00475FB2" w:rsidP="00036FB7">
            <w:pPr>
              <w:pStyle w:val="TableTextLeft"/>
              <w:rPr>
                <w:highlight w:val="yellow"/>
              </w:rPr>
            </w:pPr>
            <w:r>
              <w:t xml:space="preserve">ASIC has established an Office of Enforcement within ASIC. The purpose is to strengthen ASIC’s enforcement culture and effectiveness, and to implement a single enforcement strategy for ASIC. </w:t>
            </w:r>
            <w:r w:rsidR="00E10092">
              <w:t>The Office will lead the application of ASIC’s ‘why not litigate’ enforcement</w:t>
            </w:r>
            <w:r w:rsidR="00036FB7">
              <w:t xml:space="preserve"> approach</w:t>
            </w:r>
            <w:r w:rsidR="00E10092">
              <w:t>.</w:t>
            </w:r>
          </w:p>
        </w:tc>
      </w:tr>
      <w:tr w:rsidR="00E10092" w:rsidTr="002B335F">
        <w:trPr>
          <w:cantSplit/>
        </w:trPr>
        <w:tc>
          <w:tcPr>
            <w:tcW w:w="3683" w:type="dxa"/>
            <w:shd w:val="clear" w:color="auto" w:fill="auto"/>
          </w:tcPr>
          <w:p w:rsidR="00E10092" w:rsidRPr="002423A8" w:rsidRDefault="00E10092" w:rsidP="006A170A">
            <w:pPr>
              <w:pStyle w:val="TableTextLeft"/>
              <w:rPr>
                <w:spacing w:val="-1"/>
              </w:rPr>
            </w:pPr>
            <w:r w:rsidRPr="002423A8">
              <w:rPr>
                <w:b/>
                <w:spacing w:val="-1"/>
              </w:rPr>
              <w:t>Recommendation 6.10 –</w:t>
            </w:r>
            <w:r w:rsidRPr="002423A8">
              <w:rPr>
                <w:spacing w:val="-1"/>
              </w:rPr>
              <w:br/>
              <w:t>Co</w:t>
            </w:r>
            <w:r w:rsidRPr="002423A8">
              <w:rPr>
                <w:spacing w:val="-1"/>
              </w:rPr>
              <w:noBreakHyphen/>
              <w:t>operation memorandum</w:t>
            </w:r>
          </w:p>
        </w:tc>
        <w:tc>
          <w:tcPr>
            <w:tcW w:w="5388" w:type="dxa"/>
            <w:shd w:val="clear" w:color="auto" w:fill="auto"/>
          </w:tcPr>
          <w:p w:rsidR="00E10092" w:rsidRPr="00C53C2C" w:rsidRDefault="00E10092" w:rsidP="00BE3CD0">
            <w:pPr>
              <w:pStyle w:val="TableTextLeft"/>
              <w:rPr>
                <w:spacing w:val="-1"/>
                <w:highlight w:val="yellow"/>
              </w:rPr>
            </w:pPr>
            <w:r w:rsidRPr="006C4D29">
              <w:rPr>
                <w:spacing w:val="-1"/>
              </w:rPr>
              <w:t xml:space="preserve">APRA and ASIC are reviewing the cooperation and coordination arrangements between the two agencies, including revising the existing Memorandum of Understanding. This review </w:t>
            </w:r>
            <w:r>
              <w:rPr>
                <w:spacing w:val="-1"/>
              </w:rPr>
              <w:t xml:space="preserve">is expected to </w:t>
            </w:r>
            <w:r w:rsidRPr="006C4D29">
              <w:rPr>
                <w:spacing w:val="-1"/>
              </w:rPr>
              <w:t xml:space="preserve">be completed </w:t>
            </w:r>
            <w:r w:rsidR="00BE3CD0" w:rsidRPr="006C4D29">
              <w:rPr>
                <w:spacing w:val="-1"/>
              </w:rPr>
              <w:t>b</w:t>
            </w:r>
            <w:r w:rsidR="00BE3CD0">
              <w:rPr>
                <w:spacing w:val="-1"/>
              </w:rPr>
              <w:t>efore the end of</w:t>
            </w:r>
            <w:r w:rsidRPr="006C4D29">
              <w:rPr>
                <w:spacing w:val="-1"/>
              </w:rPr>
              <w:t xml:space="preserve"> 2019.</w:t>
            </w:r>
          </w:p>
        </w:tc>
      </w:tr>
      <w:tr w:rsidR="00E10092" w:rsidTr="002B335F">
        <w:trPr>
          <w:cantSplit/>
          <w:trHeight w:val="129"/>
        </w:trPr>
        <w:tc>
          <w:tcPr>
            <w:tcW w:w="3683" w:type="dxa"/>
            <w:shd w:val="clear" w:color="auto" w:fill="F2F2F2" w:themeFill="background1" w:themeFillShade="F2"/>
          </w:tcPr>
          <w:p w:rsidR="00E10092" w:rsidRPr="002423A8" w:rsidRDefault="00E10092" w:rsidP="006A170A">
            <w:pPr>
              <w:pStyle w:val="TableTextLeft"/>
              <w:rPr>
                <w:spacing w:val="-1"/>
              </w:rPr>
            </w:pPr>
            <w:r w:rsidRPr="002423A8">
              <w:rPr>
                <w:b/>
                <w:spacing w:val="-1"/>
              </w:rPr>
              <w:t>Recommendation 6.12 –</w:t>
            </w:r>
            <w:r w:rsidRPr="002423A8">
              <w:rPr>
                <w:spacing w:val="-1"/>
              </w:rPr>
              <w:br/>
              <w:t>Application of the BEAR to regulators</w:t>
            </w:r>
          </w:p>
        </w:tc>
        <w:tc>
          <w:tcPr>
            <w:tcW w:w="5388" w:type="dxa"/>
            <w:shd w:val="clear" w:color="auto" w:fill="F2F2F2" w:themeFill="background1" w:themeFillShade="F2"/>
          </w:tcPr>
          <w:p w:rsidR="00E10092" w:rsidRPr="00C53C2C" w:rsidRDefault="00E10092" w:rsidP="00C824A1">
            <w:pPr>
              <w:pStyle w:val="TableTextLeft"/>
              <w:rPr>
                <w:spacing w:val="-1"/>
                <w:highlight w:val="yellow"/>
              </w:rPr>
            </w:pPr>
            <w:r>
              <w:t xml:space="preserve">ASIC will implement this recommendation in anticipation of the Government’s establishment of </w:t>
            </w:r>
            <w:r w:rsidR="00224FCB">
              <w:t xml:space="preserve">a financial regulator </w:t>
            </w:r>
            <w:r>
              <w:t>oversight authority. ASIC will develop and publish accountability statements before the end of 2019.</w:t>
            </w:r>
          </w:p>
        </w:tc>
      </w:tr>
      <w:tr w:rsidR="006B3E0A" w:rsidTr="004775AA">
        <w:trPr>
          <w:cantSplit/>
          <w:trHeight w:val="129"/>
        </w:trPr>
        <w:tc>
          <w:tcPr>
            <w:tcW w:w="3683" w:type="dxa"/>
          </w:tcPr>
          <w:p w:rsidR="006B3E0A" w:rsidRPr="002423A8" w:rsidRDefault="006B3E0A" w:rsidP="006A170A">
            <w:pPr>
              <w:pStyle w:val="TableTextLeft"/>
              <w:rPr>
                <w:b/>
                <w:spacing w:val="-1"/>
              </w:rPr>
            </w:pPr>
            <w:r>
              <w:rPr>
                <w:b/>
                <w:spacing w:val="-1"/>
              </w:rPr>
              <w:t xml:space="preserve">Additional commitment in response to </w:t>
            </w:r>
            <w:r w:rsidRPr="002423A8">
              <w:rPr>
                <w:b/>
                <w:spacing w:val="-1"/>
              </w:rPr>
              <w:t>Recommendation 2.4 –</w:t>
            </w:r>
            <w:r w:rsidRPr="002423A8">
              <w:rPr>
                <w:spacing w:val="-1"/>
              </w:rPr>
              <w:br/>
              <w:t>End of Grandfathered commissions</w:t>
            </w:r>
          </w:p>
        </w:tc>
        <w:tc>
          <w:tcPr>
            <w:tcW w:w="5388" w:type="dxa"/>
          </w:tcPr>
          <w:p w:rsidR="006B3E0A" w:rsidRDefault="006B3E0A" w:rsidP="006A170A">
            <w:pPr>
              <w:pStyle w:val="TableTextLeft"/>
            </w:pPr>
            <w:r>
              <w:rPr>
                <w:spacing w:val="-1"/>
              </w:rPr>
              <w:t>ASIC will m</w:t>
            </w:r>
            <w:r w:rsidRPr="002423A8">
              <w:rPr>
                <w:spacing w:val="-1"/>
              </w:rPr>
              <w:t>onitor and report on the extent to which product issuers are acting to end the grandfathering of conflicted remuneration in the period</w:t>
            </w:r>
            <w:r>
              <w:rPr>
                <w:spacing w:val="-1"/>
              </w:rPr>
              <w:t xml:space="preserve"> </w:t>
            </w:r>
            <w:r w:rsidRPr="002423A8">
              <w:rPr>
                <w:spacing w:val="-1"/>
              </w:rPr>
              <w:t xml:space="preserve">1 July 2019 to 1 January 2021, </w:t>
            </w:r>
            <w:r>
              <w:rPr>
                <w:spacing w:val="-1"/>
              </w:rPr>
              <w:t>as directed by Government.</w:t>
            </w:r>
          </w:p>
        </w:tc>
      </w:tr>
      <w:tr w:rsidR="00E10092" w:rsidTr="00B00049">
        <w:trPr>
          <w:cantSplit/>
        </w:trPr>
        <w:tc>
          <w:tcPr>
            <w:tcW w:w="9071" w:type="dxa"/>
            <w:gridSpan w:val="2"/>
            <w:shd w:val="clear" w:color="auto" w:fill="0070B5" w:themeFill="accent1" w:themeFillTint="BF"/>
          </w:tcPr>
          <w:p w:rsidR="00E10092" w:rsidRPr="00576950" w:rsidRDefault="00E10092" w:rsidP="006A170A">
            <w:pPr>
              <w:pStyle w:val="TableColumnHeadingLeft"/>
              <w:rPr>
                <w:sz w:val="19"/>
              </w:rPr>
            </w:pPr>
            <w:r w:rsidRPr="00576950">
              <w:t>APRA</w:t>
            </w:r>
          </w:p>
        </w:tc>
      </w:tr>
      <w:tr w:rsidR="00E10092" w:rsidTr="004775AA">
        <w:trPr>
          <w:cantSplit/>
        </w:trPr>
        <w:tc>
          <w:tcPr>
            <w:tcW w:w="3683" w:type="dxa"/>
            <w:shd w:val="clear" w:color="auto" w:fill="F2F2F2" w:themeFill="background1" w:themeFillShade="F2"/>
          </w:tcPr>
          <w:p w:rsidR="00E10092" w:rsidRPr="002423A8" w:rsidRDefault="00E10092" w:rsidP="006A170A">
            <w:pPr>
              <w:pStyle w:val="TableTextLeft"/>
              <w:rPr>
                <w:spacing w:val="-1"/>
              </w:rPr>
            </w:pPr>
            <w:r w:rsidRPr="002423A8">
              <w:rPr>
                <w:b/>
                <w:spacing w:val="-1"/>
              </w:rPr>
              <w:t>Recommendation 1.12 –</w:t>
            </w:r>
            <w:r w:rsidRPr="002423A8">
              <w:rPr>
                <w:spacing w:val="-1"/>
              </w:rPr>
              <w:br/>
              <w:t>Valuation of land</w:t>
            </w:r>
          </w:p>
        </w:tc>
        <w:tc>
          <w:tcPr>
            <w:tcW w:w="5388" w:type="dxa"/>
            <w:shd w:val="clear" w:color="auto" w:fill="F2F2F2" w:themeFill="background1" w:themeFillShade="F2"/>
          </w:tcPr>
          <w:p w:rsidR="00E10092" w:rsidRPr="002423A8" w:rsidRDefault="00E10092" w:rsidP="006A170A">
            <w:pPr>
              <w:pStyle w:val="TableTextLeft"/>
              <w:rPr>
                <w:spacing w:val="-1"/>
              </w:rPr>
            </w:pPr>
            <w:r>
              <w:rPr>
                <w:spacing w:val="-1"/>
              </w:rPr>
              <w:t xml:space="preserve">On 25 March 2019, APRA released for public consultation proposed revisions of </w:t>
            </w:r>
            <w:r>
              <w:rPr>
                <w:i/>
                <w:spacing w:val="-1"/>
              </w:rPr>
              <w:t xml:space="preserve">Prudential Standard APS 220 Credit Quality. </w:t>
            </w:r>
            <w:r>
              <w:rPr>
                <w:spacing w:val="-1"/>
              </w:rPr>
              <w:t xml:space="preserve">Consultation closed on 28 June 2019. APRA intends to finalise the standard in the second half of 2019 with a view to it becoming effective from 1 July 2020. </w:t>
            </w:r>
          </w:p>
        </w:tc>
      </w:tr>
      <w:tr w:rsidR="00E10092" w:rsidTr="004775AA">
        <w:trPr>
          <w:cantSplit/>
        </w:trPr>
        <w:tc>
          <w:tcPr>
            <w:tcW w:w="3683" w:type="dxa"/>
          </w:tcPr>
          <w:p w:rsidR="00E10092" w:rsidRPr="002423A8" w:rsidRDefault="00E10092" w:rsidP="006A170A">
            <w:pPr>
              <w:pStyle w:val="TableTextLeft"/>
              <w:rPr>
                <w:spacing w:val="-1"/>
              </w:rPr>
            </w:pPr>
            <w:r w:rsidRPr="002423A8">
              <w:rPr>
                <w:b/>
                <w:spacing w:val="-1"/>
              </w:rPr>
              <w:t>Recommendation 1.17 –</w:t>
            </w:r>
            <w:r w:rsidRPr="002423A8">
              <w:rPr>
                <w:spacing w:val="-1"/>
              </w:rPr>
              <w:br/>
              <w:t>BEAR product responsibility</w:t>
            </w:r>
          </w:p>
        </w:tc>
        <w:tc>
          <w:tcPr>
            <w:tcW w:w="5388" w:type="dxa"/>
          </w:tcPr>
          <w:p w:rsidR="00E10092" w:rsidRPr="002423A8" w:rsidRDefault="00E10092" w:rsidP="006A170A">
            <w:pPr>
              <w:pStyle w:val="TableTextLeft"/>
              <w:rPr>
                <w:spacing w:val="-1"/>
              </w:rPr>
            </w:pPr>
            <w:r w:rsidRPr="00AF0891">
              <w:rPr>
                <w:spacing w:val="-1"/>
              </w:rPr>
              <w:t>On 28 June 2019, APRA released for consultation a proposed heightened product accountability regime, which requires ADIs to identify and</w:t>
            </w:r>
            <w:r>
              <w:rPr>
                <w:spacing w:val="-1"/>
              </w:rPr>
              <w:t xml:space="preserve"> register accountable persons to hold end-to-end product responsibility for each product the ADI offers to its customers. A</w:t>
            </w:r>
            <w:r w:rsidRPr="00214E36">
              <w:rPr>
                <w:spacing w:val="-1"/>
              </w:rPr>
              <w:t xml:space="preserve">PRA </w:t>
            </w:r>
            <w:r>
              <w:rPr>
                <w:spacing w:val="-1"/>
              </w:rPr>
              <w:t>will aim</w:t>
            </w:r>
            <w:r w:rsidRPr="00214E36">
              <w:rPr>
                <w:spacing w:val="-1"/>
              </w:rPr>
              <w:t xml:space="preserve"> to release a draft schedule with the proposed product responsibility requirements for further consultation in October 2019, and the final legislative instrument in December 2019. APRA expects to implement the new requirements by 1 July 2020.</w:t>
            </w:r>
          </w:p>
        </w:tc>
      </w:tr>
      <w:tr w:rsidR="00E10092" w:rsidTr="004775AA">
        <w:trPr>
          <w:cantSplit/>
        </w:trPr>
        <w:tc>
          <w:tcPr>
            <w:tcW w:w="3683" w:type="dxa"/>
            <w:shd w:val="clear" w:color="auto" w:fill="F2F2F2" w:themeFill="background1" w:themeFillShade="F2"/>
          </w:tcPr>
          <w:p w:rsidR="00E10092" w:rsidRPr="002423A8" w:rsidRDefault="00E10092" w:rsidP="006A170A">
            <w:pPr>
              <w:pStyle w:val="TableTextLeft"/>
              <w:rPr>
                <w:spacing w:val="-1"/>
              </w:rPr>
            </w:pPr>
            <w:r w:rsidRPr="002423A8">
              <w:rPr>
                <w:b/>
                <w:spacing w:val="-1"/>
              </w:rPr>
              <w:t>Recommendation 4.14 –</w:t>
            </w:r>
            <w:r w:rsidRPr="002423A8">
              <w:rPr>
                <w:spacing w:val="-1"/>
              </w:rPr>
              <w:br/>
              <w:t>Additional scrutiny fo</w:t>
            </w:r>
            <w:r w:rsidR="00EF48D4">
              <w:rPr>
                <w:spacing w:val="-1"/>
              </w:rPr>
              <w:t>r related party engagements</w:t>
            </w:r>
          </w:p>
          <w:p w:rsidR="00E10092" w:rsidRPr="002423A8" w:rsidRDefault="00E10092" w:rsidP="006A170A">
            <w:pPr>
              <w:pStyle w:val="TableTextLeft"/>
              <w:rPr>
                <w:spacing w:val="-1"/>
                <w:sz w:val="19"/>
              </w:rPr>
            </w:pPr>
            <w:r w:rsidRPr="002423A8">
              <w:rPr>
                <w:b/>
                <w:spacing w:val="-1"/>
              </w:rPr>
              <w:t xml:space="preserve">Recommendation 4.15 </w:t>
            </w:r>
            <w:r w:rsidRPr="002423A8">
              <w:rPr>
                <w:b/>
                <w:spacing w:val="-1"/>
                <w:sz w:val="19"/>
                <w:szCs w:val="19"/>
              </w:rPr>
              <w:t>–</w:t>
            </w:r>
            <w:r w:rsidRPr="002423A8">
              <w:rPr>
                <w:spacing w:val="-1"/>
                <w:sz w:val="19"/>
                <w:szCs w:val="19"/>
              </w:rPr>
              <w:br/>
            </w:r>
            <w:r>
              <w:rPr>
                <w:spacing w:val="-1"/>
              </w:rPr>
              <w:t>S</w:t>
            </w:r>
            <w:r w:rsidRPr="002423A8">
              <w:rPr>
                <w:spacing w:val="-1"/>
              </w:rPr>
              <w:t>tatus attribution to be fair and reasonable</w:t>
            </w:r>
          </w:p>
        </w:tc>
        <w:tc>
          <w:tcPr>
            <w:tcW w:w="5388" w:type="dxa"/>
            <w:shd w:val="clear" w:color="auto" w:fill="F2F2F2" w:themeFill="background1" w:themeFillShade="F2"/>
          </w:tcPr>
          <w:p w:rsidR="00E10092" w:rsidRPr="002423A8" w:rsidRDefault="00E10092" w:rsidP="006A170A">
            <w:pPr>
              <w:pStyle w:val="TableTextLeft"/>
              <w:rPr>
                <w:spacing w:val="-1"/>
              </w:rPr>
            </w:pPr>
            <w:r>
              <w:rPr>
                <w:spacing w:val="-1"/>
              </w:rPr>
              <w:t xml:space="preserve">APRA has completed and published a post-implementation review of the superannuation prudential framework, and </w:t>
            </w:r>
            <w:r w:rsidRPr="00F65925">
              <w:rPr>
                <w:spacing w:val="-1"/>
              </w:rPr>
              <w:t>will address these recommendations as part of the implementation of the findings of that review. Consultation on revised standards will take place throughout</w:t>
            </w:r>
            <w:r>
              <w:rPr>
                <w:spacing w:val="-1"/>
              </w:rPr>
              <w:t xml:space="preserve"> 2020. </w:t>
            </w:r>
          </w:p>
        </w:tc>
      </w:tr>
    </w:tbl>
    <w:p w:rsidR="00B00049" w:rsidRDefault="00B00049">
      <w:r>
        <w:br w:type="page"/>
      </w:r>
    </w:p>
    <w:tbl>
      <w:tblPr>
        <w:tblW w:w="9071" w:type="dxa"/>
        <w:tblBorders>
          <w:top w:val="single" w:sz="2" w:space="0" w:color="002C47" w:themeColor="accent1"/>
          <w:left w:val="single" w:sz="2" w:space="0" w:color="002C47" w:themeColor="accent1"/>
          <w:bottom w:val="single" w:sz="2" w:space="0" w:color="002C47" w:themeColor="accent1"/>
          <w:right w:val="single" w:sz="2" w:space="0" w:color="002C47" w:themeColor="accent1"/>
          <w:insideH w:val="single" w:sz="2" w:space="0" w:color="002C47" w:themeColor="accent1"/>
          <w:insideV w:val="single" w:sz="2" w:space="0" w:color="002C47" w:themeColor="accent1"/>
        </w:tblBorders>
        <w:tblLook w:val="04A0" w:firstRow="1" w:lastRow="0" w:firstColumn="1" w:lastColumn="0" w:noHBand="0" w:noVBand="1"/>
      </w:tblPr>
      <w:tblGrid>
        <w:gridCol w:w="3683"/>
        <w:gridCol w:w="5388"/>
      </w:tblGrid>
      <w:tr w:rsidR="00B00049" w:rsidTr="00B00049">
        <w:trPr>
          <w:cantSplit/>
        </w:trPr>
        <w:tc>
          <w:tcPr>
            <w:tcW w:w="3683" w:type="dxa"/>
            <w:tcBorders>
              <w:bottom w:val="single" w:sz="4" w:space="0" w:color="0070B5" w:themeColor="accent1" w:themeTint="BF"/>
            </w:tcBorders>
            <w:shd w:val="clear" w:color="auto" w:fill="002C47" w:themeFill="accent1"/>
          </w:tcPr>
          <w:p w:rsidR="00B00049" w:rsidRPr="00B00049" w:rsidRDefault="00B00049" w:rsidP="00B00049">
            <w:pPr>
              <w:pStyle w:val="TableColumnHeadingLeft"/>
            </w:pPr>
            <w:r w:rsidRPr="00B00049">
              <w:lastRenderedPageBreak/>
              <w:t>Recommendation</w:t>
            </w:r>
          </w:p>
        </w:tc>
        <w:tc>
          <w:tcPr>
            <w:tcW w:w="5388" w:type="dxa"/>
            <w:tcBorders>
              <w:bottom w:val="single" w:sz="4" w:space="0" w:color="0070B5" w:themeColor="accent1" w:themeTint="BF"/>
            </w:tcBorders>
            <w:shd w:val="clear" w:color="auto" w:fill="002C47" w:themeFill="accent1"/>
          </w:tcPr>
          <w:p w:rsidR="00B00049" w:rsidRPr="00B00049" w:rsidRDefault="00B00049" w:rsidP="00B00049">
            <w:pPr>
              <w:pStyle w:val="TableColumnHeadingLeft"/>
            </w:pPr>
            <w:r w:rsidRPr="00B00049">
              <w:t>Regulator action</w:t>
            </w:r>
          </w:p>
        </w:tc>
      </w:tr>
      <w:tr w:rsidR="00B00049" w:rsidTr="00B00049">
        <w:trPr>
          <w:cantSplit/>
        </w:trPr>
        <w:tc>
          <w:tcPr>
            <w:tcW w:w="9071" w:type="dxa"/>
            <w:gridSpan w:val="2"/>
            <w:tcBorders>
              <w:top w:val="single" w:sz="4" w:space="0" w:color="0070B5" w:themeColor="accent1" w:themeTint="BF"/>
            </w:tcBorders>
            <w:shd w:val="clear" w:color="auto" w:fill="0070B5" w:themeFill="accent1" w:themeFillTint="BF"/>
          </w:tcPr>
          <w:p w:rsidR="00B00049" w:rsidRPr="00B00049" w:rsidRDefault="00B00049" w:rsidP="00B00049">
            <w:pPr>
              <w:pStyle w:val="TableColumnHeadingLeft"/>
              <w:rPr>
                <w:spacing w:val="-1"/>
              </w:rPr>
            </w:pPr>
            <w:r w:rsidRPr="00B00049">
              <w:t>APRA (continued)</w:t>
            </w:r>
          </w:p>
        </w:tc>
      </w:tr>
      <w:tr w:rsidR="00B00049" w:rsidTr="004775AA">
        <w:trPr>
          <w:cantSplit/>
        </w:trPr>
        <w:tc>
          <w:tcPr>
            <w:tcW w:w="3683" w:type="dxa"/>
            <w:shd w:val="clear" w:color="auto" w:fill="auto"/>
          </w:tcPr>
          <w:p w:rsidR="00B00049" w:rsidRPr="006C4D29" w:rsidRDefault="00B00049" w:rsidP="00B00049">
            <w:pPr>
              <w:pStyle w:val="TableTextLeft"/>
              <w:rPr>
                <w:b/>
                <w:spacing w:val="-1"/>
              </w:rPr>
            </w:pPr>
            <w:r w:rsidRPr="006C4D29">
              <w:rPr>
                <w:b/>
                <w:spacing w:val="-1"/>
              </w:rPr>
              <w:t>Recommendation 5.1 –</w:t>
            </w:r>
            <w:r w:rsidRPr="006C4D29">
              <w:rPr>
                <w:b/>
                <w:spacing w:val="-1"/>
              </w:rPr>
              <w:br/>
            </w:r>
            <w:r w:rsidRPr="008D56A0">
              <w:rPr>
                <w:spacing w:val="-1"/>
              </w:rPr>
              <w:t>Supervision of remuneration (principles, standards and guidance)</w:t>
            </w:r>
          </w:p>
          <w:p w:rsidR="00B00049" w:rsidRPr="006C4D29" w:rsidRDefault="00B00049" w:rsidP="00B00049">
            <w:pPr>
              <w:pStyle w:val="TableTextLeft"/>
              <w:rPr>
                <w:b/>
                <w:spacing w:val="-1"/>
              </w:rPr>
            </w:pPr>
            <w:r w:rsidRPr="006C4D29">
              <w:rPr>
                <w:b/>
                <w:spacing w:val="-1"/>
              </w:rPr>
              <w:t>Recommendation 5.2 –</w:t>
            </w:r>
            <w:r w:rsidRPr="006C4D29">
              <w:rPr>
                <w:b/>
                <w:spacing w:val="-1"/>
              </w:rPr>
              <w:br/>
            </w:r>
            <w:r w:rsidRPr="008D56A0">
              <w:rPr>
                <w:spacing w:val="-1"/>
              </w:rPr>
              <w:t>Supervision of remuneration (aims)</w:t>
            </w:r>
          </w:p>
          <w:p w:rsidR="00B00049" w:rsidRPr="006C4D29" w:rsidRDefault="00B00049" w:rsidP="00B00049">
            <w:pPr>
              <w:pStyle w:val="TableTextLeft"/>
              <w:rPr>
                <w:b/>
                <w:spacing w:val="-1"/>
              </w:rPr>
            </w:pPr>
            <w:r w:rsidRPr="006C4D29">
              <w:rPr>
                <w:b/>
                <w:spacing w:val="-1"/>
              </w:rPr>
              <w:t>Recommendation 5.3 –</w:t>
            </w:r>
            <w:r w:rsidRPr="006C4D29">
              <w:rPr>
                <w:b/>
                <w:spacing w:val="-1"/>
              </w:rPr>
              <w:br/>
            </w:r>
            <w:r w:rsidRPr="008D56A0">
              <w:rPr>
                <w:spacing w:val="-1"/>
              </w:rPr>
              <w:t>Revised prudential standards and guidance</w:t>
            </w:r>
          </w:p>
        </w:tc>
        <w:tc>
          <w:tcPr>
            <w:tcW w:w="5388" w:type="dxa"/>
            <w:shd w:val="clear" w:color="auto" w:fill="auto"/>
          </w:tcPr>
          <w:p w:rsidR="00B00049" w:rsidRPr="006C4D29" w:rsidRDefault="00B00049" w:rsidP="00B00049">
            <w:pPr>
              <w:pStyle w:val="TableTextLeft"/>
              <w:rPr>
                <w:spacing w:val="-1"/>
              </w:rPr>
            </w:pPr>
            <w:r w:rsidRPr="00AF0891">
              <w:rPr>
                <w:spacing w:val="-1"/>
              </w:rPr>
              <w:t>On 23 July 2019, APRA released a discussion paper and draft prudential standard to strengthen remuneration practices across all APRA</w:t>
            </w:r>
            <w:r w:rsidRPr="00AF0891">
              <w:rPr>
                <w:spacing w:val="-1"/>
              </w:rPr>
              <w:noBreakHyphen/>
              <w:t>regulated entities. Consultation on the proposed reforms will take place until late October 2019.</w:t>
            </w:r>
          </w:p>
        </w:tc>
      </w:tr>
      <w:tr w:rsidR="00B00049" w:rsidTr="004775AA">
        <w:trPr>
          <w:cantSplit/>
        </w:trPr>
        <w:tc>
          <w:tcPr>
            <w:tcW w:w="3683" w:type="dxa"/>
            <w:shd w:val="clear" w:color="auto" w:fill="F2F2F2" w:themeFill="background1" w:themeFillShade="F2"/>
          </w:tcPr>
          <w:p w:rsidR="00B00049" w:rsidRPr="009C359F" w:rsidRDefault="00B00049" w:rsidP="00B00049">
            <w:pPr>
              <w:pStyle w:val="TableTextLeft"/>
              <w:rPr>
                <w:b/>
                <w:color w:val="auto"/>
                <w:spacing w:val="-1"/>
              </w:rPr>
            </w:pPr>
            <w:r w:rsidRPr="009C359F">
              <w:rPr>
                <w:b/>
                <w:color w:val="auto"/>
                <w:spacing w:val="-1"/>
              </w:rPr>
              <w:t>Recommendation 5.7 –</w:t>
            </w:r>
            <w:r w:rsidRPr="009C359F">
              <w:rPr>
                <w:b/>
                <w:color w:val="auto"/>
                <w:spacing w:val="-1"/>
              </w:rPr>
              <w:br/>
            </w:r>
            <w:r w:rsidRPr="009C359F">
              <w:rPr>
                <w:color w:val="auto"/>
                <w:spacing w:val="-1"/>
              </w:rPr>
              <w:t>Supervision of culture and governance</w:t>
            </w:r>
          </w:p>
        </w:tc>
        <w:tc>
          <w:tcPr>
            <w:tcW w:w="5388" w:type="dxa"/>
            <w:shd w:val="clear" w:color="auto" w:fill="F2F2F2" w:themeFill="background1" w:themeFillShade="F2"/>
          </w:tcPr>
          <w:p w:rsidR="00B00049" w:rsidRDefault="00B00049" w:rsidP="00B00049">
            <w:pPr>
              <w:pStyle w:val="TableTextLeft"/>
              <w:rPr>
                <w:color w:val="auto"/>
                <w:spacing w:val="-1"/>
              </w:rPr>
            </w:pPr>
            <w:r w:rsidRPr="009C359F">
              <w:rPr>
                <w:color w:val="auto"/>
                <w:spacing w:val="-1"/>
              </w:rPr>
              <w:t>Issues of culture and governance are priority areas for APRA. APRA is reviewing its program of work to enhance its regulatory and supervisory approach in these areas, following the Government’s announcement of additional funding as part of the 2019-20 Budget.</w:t>
            </w:r>
          </w:p>
          <w:p w:rsidR="00B00049" w:rsidRPr="009C359F" w:rsidRDefault="00B00049" w:rsidP="00B00049">
            <w:pPr>
              <w:pStyle w:val="TableTextLeft"/>
              <w:rPr>
                <w:color w:val="auto"/>
                <w:spacing w:val="-1"/>
              </w:rPr>
            </w:pPr>
            <w:r>
              <w:rPr>
                <w:color w:val="auto"/>
                <w:spacing w:val="-1"/>
              </w:rPr>
              <w:t>APRA intends to publish a statement of its approach by the end of 2019.</w:t>
            </w:r>
          </w:p>
        </w:tc>
      </w:tr>
      <w:tr w:rsidR="00B00049" w:rsidRPr="008359A2" w:rsidTr="004775AA">
        <w:trPr>
          <w:cantSplit/>
        </w:trPr>
        <w:tc>
          <w:tcPr>
            <w:tcW w:w="3683" w:type="dxa"/>
            <w:shd w:val="clear" w:color="auto" w:fill="auto"/>
          </w:tcPr>
          <w:p w:rsidR="00B00049" w:rsidRPr="006C4D29" w:rsidRDefault="00B00049" w:rsidP="00B00049">
            <w:pPr>
              <w:pStyle w:val="TableTextLeft"/>
              <w:rPr>
                <w:b/>
                <w:spacing w:val="-1"/>
              </w:rPr>
            </w:pPr>
            <w:r w:rsidRPr="006C4D29">
              <w:rPr>
                <w:b/>
                <w:spacing w:val="-1"/>
              </w:rPr>
              <w:t>Recommendation 6.10 –</w:t>
            </w:r>
            <w:r w:rsidRPr="006C4D29">
              <w:rPr>
                <w:b/>
                <w:spacing w:val="-1"/>
              </w:rPr>
              <w:br/>
            </w:r>
            <w:r w:rsidRPr="008D56A0">
              <w:rPr>
                <w:spacing w:val="-1"/>
              </w:rPr>
              <w:t>Co</w:t>
            </w:r>
            <w:r w:rsidRPr="008D56A0">
              <w:rPr>
                <w:spacing w:val="-1"/>
              </w:rPr>
              <w:noBreakHyphen/>
              <w:t>operation memorandum</w:t>
            </w:r>
          </w:p>
        </w:tc>
        <w:tc>
          <w:tcPr>
            <w:tcW w:w="5388" w:type="dxa"/>
            <w:shd w:val="clear" w:color="auto" w:fill="auto"/>
          </w:tcPr>
          <w:p w:rsidR="00B00049" w:rsidRPr="006C4D29" w:rsidRDefault="00B00049" w:rsidP="00B00049">
            <w:pPr>
              <w:pStyle w:val="TableTextLeft"/>
              <w:rPr>
                <w:spacing w:val="-1"/>
              </w:rPr>
            </w:pPr>
            <w:r w:rsidRPr="006C4D29">
              <w:rPr>
                <w:spacing w:val="-1"/>
              </w:rPr>
              <w:t xml:space="preserve">APRA and ASIC are reviewing the cooperation and coordination arrangements between the two agencies, including revising the existing Memorandum of Understanding. This review </w:t>
            </w:r>
            <w:r>
              <w:rPr>
                <w:spacing w:val="-1"/>
              </w:rPr>
              <w:t xml:space="preserve">is expected to </w:t>
            </w:r>
            <w:r w:rsidRPr="006C4D29">
              <w:rPr>
                <w:spacing w:val="-1"/>
              </w:rPr>
              <w:t>be completed by 2019.</w:t>
            </w:r>
          </w:p>
        </w:tc>
      </w:tr>
      <w:tr w:rsidR="00B00049" w:rsidRPr="008359A2" w:rsidTr="004775AA">
        <w:trPr>
          <w:cantSplit/>
        </w:trPr>
        <w:tc>
          <w:tcPr>
            <w:tcW w:w="3683" w:type="dxa"/>
            <w:shd w:val="clear" w:color="auto" w:fill="F2F2F2" w:themeFill="background1" w:themeFillShade="F2"/>
          </w:tcPr>
          <w:p w:rsidR="00B00049" w:rsidRPr="006C4D29" w:rsidRDefault="00B00049" w:rsidP="00B00049">
            <w:pPr>
              <w:pStyle w:val="TableTextLeft"/>
              <w:rPr>
                <w:b/>
                <w:spacing w:val="-1"/>
              </w:rPr>
            </w:pPr>
            <w:r w:rsidRPr="006C4D29">
              <w:rPr>
                <w:b/>
                <w:spacing w:val="-1"/>
              </w:rPr>
              <w:t>Recommendation 6.12 –</w:t>
            </w:r>
            <w:r w:rsidRPr="006C4D29">
              <w:rPr>
                <w:b/>
                <w:spacing w:val="-1"/>
              </w:rPr>
              <w:br/>
            </w:r>
            <w:r w:rsidRPr="008D56A0">
              <w:rPr>
                <w:spacing w:val="-1"/>
              </w:rPr>
              <w:t>Application of the BEAR to regulators</w:t>
            </w:r>
          </w:p>
        </w:tc>
        <w:tc>
          <w:tcPr>
            <w:tcW w:w="5388" w:type="dxa"/>
            <w:shd w:val="clear" w:color="auto" w:fill="F2F2F2" w:themeFill="background1" w:themeFillShade="F2"/>
          </w:tcPr>
          <w:p w:rsidR="00B00049" w:rsidRPr="006C4D29" w:rsidRDefault="00B00049" w:rsidP="00B00049">
            <w:pPr>
              <w:pStyle w:val="TableTextLeft"/>
              <w:rPr>
                <w:spacing w:val="-1"/>
              </w:rPr>
            </w:pPr>
            <w:r w:rsidRPr="006C4D29">
              <w:rPr>
                <w:spacing w:val="-1"/>
              </w:rPr>
              <w:t>APRA will implement this recommendation in anticipation of the Government’s establishment of the external oversight authority. APRA</w:t>
            </w:r>
            <w:r>
              <w:rPr>
                <w:spacing w:val="-1"/>
              </w:rPr>
              <w:t xml:space="preserve"> is expecting to</w:t>
            </w:r>
            <w:r w:rsidRPr="006C4D29">
              <w:rPr>
                <w:spacing w:val="-1"/>
              </w:rPr>
              <w:t xml:space="preserve"> develop and publish accountability statements before the end of 2019.</w:t>
            </w:r>
          </w:p>
        </w:tc>
      </w:tr>
    </w:tbl>
    <w:p w:rsidR="00A43CF5" w:rsidRDefault="00A43CF5">
      <w:pPr>
        <w:spacing w:after="160" w:line="259" w:lineRule="auto"/>
      </w:pPr>
    </w:p>
    <w:p w:rsidR="00967E73" w:rsidRPr="009C359F" w:rsidRDefault="00967E73" w:rsidP="009C359F">
      <w:bookmarkStart w:id="515" w:name="_Toc5187990"/>
      <w:bookmarkStart w:id="516" w:name="_Toc5117716"/>
      <w:bookmarkStart w:id="517" w:name="_Toc5118525"/>
      <w:bookmarkStart w:id="518" w:name="_Toc5118567"/>
      <w:r>
        <w:br w:type="page"/>
      </w:r>
    </w:p>
    <w:p w:rsidR="00BF027A" w:rsidRPr="00BF027A" w:rsidRDefault="00393339" w:rsidP="007671C2">
      <w:pPr>
        <w:pStyle w:val="Heading1"/>
      </w:pPr>
      <w:bookmarkStart w:id="519" w:name="_Toc5196796"/>
      <w:bookmarkStart w:id="520" w:name="_Toc5198542"/>
      <w:bookmarkStart w:id="521" w:name="_Toc5199581"/>
      <w:bookmarkStart w:id="522" w:name="_Toc5199696"/>
      <w:bookmarkStart w:id="523" w:name="_Toc5200558"/>
      <w:bookmarkStart w:id="524" w:name="_Toc5204138"/>
      <w:bookmarkStart w:id="525" w:name="_Toc13049868"/>
      <w:bookmarkStart w:id="526" w:name="_Toc17057994"/>
      <w:r>
        <w:lastRenderedPageBreak/>
        <w:t>Appendix C: Industry Implementation</w:t>
      </w:r>
      <w:bookmarkEnd w:id="515"/>
      <w:bookmarkEnd w:id="519"/>
      <w:bookmarkEnd w:id="520"/>
      <w:bookmarkEnd w:id="521"/>
      <w:bookmarkEnd w:id="522"/>
      <w:bookmarkEnd w:id="523"/>
      <w:bookmarkEnd w:id="524"/>
      <w:bookmarkEnd w:id="525"/>
      <w:bookmarkEnd w:id="526"/>
      <w:r>
        <w:t xml:space="preserve"> </w:t>
      </w:r>
      <w:bookmarkEnd w:id="516"/>
      <w:bookmarkEnd w:id="517"/>
      <w:bookmarkEnd w:id="518"/>
    </w:p>
    <w:tbl>
      <w:tblPr>
        <w:tblW w:w="9286" w:type="dxa"/>
        <w:tblBorders>
          <w:top w:val="single" w:sz="2" w:space="0" w:color="002C47" w:themeColor="accent1"/>
          <w:left w:val="single" w:sz="2" w:space="0" w:color="002C47" w:themeColor="accent1"/>
          <w:bottom w:val="single" w:sz="2" w:space="0" w:color="002C47" w:themeColor="accent1"/>
          <w:right w:val="single" w:sz="2" w:space="0" w:color="002C47" w:themeColor="accent1"/>
          <w:insideH w:val="single" w:sz="2" w:space="0" w:color="002C47" w:themeColor="accent1"/>
          <w:insideV w:val="single" w:sz="2" w:space="0" w:color="002C47" w:themeColor="accent1"/>
        </w:tblBorders>
        <w:tblLayout w:type="fixed"/>
        <w:tblLook w:val="04A0" w:firstRow="1" w:lastRow="0" w:firstColumn="1" w:lastColumn="0" w:noHBand="0" w:noVBand="1"/>
      </w:tblPr>
      <w:tblGrid>
        <w:gridCol w:w="3510"/>
        <w:gridCol w:w="1560"/>
        <w:gridCol w:w="4216"/>
      </w:tblGrid>
      <w:tr w:rsidR="003E4EBD" w:rsidRPr="00251A78" w:rsidTr="009C359F">
        <w:trPr>
          <w:tblHeader/>
        </w:trPr>
        <w:tc>
          <w:tcPr>
            <w:tcW w:w="3510" w:type="dxa"/>
            <w:shd w:val="clear" w:color="auto" w:fill="002C47" w:themeFill="accent1"/>
            <w:vAlign w:val="bottom"/>
          </w:tcPr>
          <w:p w:rsidR="003E4EBD" w:rsidRPr="00251A78" w:rsidRDefault="003E4EBD" w:rsidP="006A170A">
            <w:pPr>
              <w:pStyle w:val="TableColumnHeadingLeft"/>
            </w:pPr>
            <w:r w:rsidRPr="00251A78">
              <w:t>Recommendation</w:t>
            </w:r>
          </w:p>
        </w:tc>
        <w:tc>
          <w:tcPr>
            <w:tcW w:w="1560" w:type="dxa"/>
            <w:shd w:val="clear" w:color="auto" w:fill="002C47" w:themeFill="accent1"/>
            <w:vAlign w:val="bottom"/>
          </w:tcPr>
          <w:p w:rsidR="003E4EBD" w:rsidRPr="00251A78" w:rsidRDefault="003E4EBD" w:rsidP="00A91634">
            <w:pPr>
              <w:pStyle w:val="TableColumnHeadingLeft"/>
            </w:pPr>
            <w:r w:rsidRPr="00251A78">
              <w:t xml:space="preserve">Relevant </w:t>
            </w:r>
            <w:r w:rsidDel="00A91634">
              <w:t>s</w:t>
            </w:r>
            <w:r w:rsidRPr="00251A78" w:rsidDel="00A91634">
              <w:t>takeholders</w:t>
            </w:r>
          </w:p>
        </w:tc>
        <w:tc>
          <w:tcPr>
            <w:tcW w:w="4216" w:type="dxa"/>
            <w:shd w:val="clear" w:color="auto" w:fill="002C47" w:themeFill="accent1"/>
            <w:vAlign w:val="bottom"/>
          </w:tcPr>
          <w:p w:rsidR="003E4EBD" w:rsidRPr="00251A78" w:rsidRDefault="009A4946" w:rsidP="009A4946">
            <w:pPr>
              <w:pStyle w:val="TableColumnHeadingLeft"/>
              <w:jc w:val="center"/>
            </w:pPr>
            <w:r>
              <w:t>T</w:t>
            </w:r>
            <w:r w:rsidR="003E4EBD">
              <w:t>iming</w:t>
            </w:r>
          </w:p>
        </w:tc>
      </w:tr>
      <w:tr w:rsidR="003E4EBD" w:rsidRPr="00550F0C" w:rsidTr="009C359F">
        <w:tc>
          <w:tcPr>
            <w:tcW w:w="3510" w:type="dxa"/>
          </w:tcPr>
          <w:p w:rsidR="003E4EBD" w:rsidRDefault="003E4EBD" w:rsidP="006A170A">
            <w:pPr>
              <w:pStyle w:val="TableTextLeft"/>
              <w:rPr>
                <w:b/>
                <w:color w:val="auto"/>
              </w:rPr>
            </w:pPr>
            <w:r>
              <w:rPr>
                <w:b/>
                <w:color w:val="auto"/>
              </w:rPr>
              <w:t xml:space="preserve">Recommendation </w:t>
            </w:r>
            <w:r w:rsidRPr="002217DB">
              <w:rPr>
                <w:b/>
                <w:color w:val="auto"/>
              </w:rPr>
              <w:t xml:space="preserve">1.8 </w:t>
            </w:r>
            <w:r w:rsidR="00466324" w:rsidRPr="002423A8">
              <w:rPr>
                <w:b/>
                <w:spacing w:val="-1"/>
              </w:rPr>
              <w:t>–</w:t>
            </w:r>
          </w:p>
          <w:p w:rsidR="003E4EBD" w:rsidRPr="0045756B" w:rsidRDefault="003E4EBD" w:rsidP="006A170A">
            <w:pPr>
              <w:pStyle w:val="TableTextLeft"/>
              <w:rPr>
                <w:color w:val="auto"/>
              </w:rPr>
            </w:pPr>
            <w:r w:rsidRPr="0045756B">
              <w:rPr>
                <w:color w:val="auto"/>
              </w:rPr>
              <w:t>Amending the Banking Code</w:t>
            </w:r>
          </w:p>
        </w:tc>
        <w:tc>
          <w:tcPr>
            <w:tcW w:w="1560" w:type="dxa"/>
          </w:tcPr>
          <w:p w:rsidR="003E4EBD" w:rsidRPr="002217DB" w:rsidRDefault="003E4EBD" w:rsidP="006A170A">
            <w:pPr>
              <w:pStyle w:val="TableTextLeft"/>
              <w:rPr>
                <w:color w:val="auto"/>
              </w:rPr>
            </w:pPr>
            <w:r w:rsidRPr="002217DB">
              <w:rPr>
                <w:color w:val="auto"/>
              </w:rPr>
              <w:t>A</w:t>
            </w:r>
            <w:r>
              <w:rPr>
                <w:color w:val="auto"/>
              </w:rPr>
              <w:t>ustralian Banking Association (A</w:t>
            </w:r>
            <w:r w:rsidRPr="002217DB">
              <w:rPr>
                <w:color w:val="auto"/>
              </w:rPr>
              <w:t>BA</w:t>
            </w:r>
            <w:r>
              <w:rPr>
                <w:color w:val="auto"/>
              </w:rPr>
              <w:t>)</w:t>
            </w:r>
            <w:r w:rsidRPr="002217DB">
              <w:rPr>
                <w:color w:val="auto"/>
              </w:rPr>
              <w:t>, individual banks</w:t>
            </w:r>
          </w:p>
        </w:tc>
        <w:tc>
          <w:tcPr>
            <w:tcW w:w="4216" w:type="dxa"/>
          </w:tcPr>
          <w:p w:rsidR="00934239" w:rsidRDefault="00934239" w:rsidP="00934239">
            <w:pPr>
              <w:pStyle w:val="TableTextLeft"/>
              <w:rPr>
                <w:color w:val="auto"/>
              </w:rPr>
            </w:pPr>
            <w:r>
              <w:rPr>
                <w:color w:val="auto"/>
              </w:rPr>
              <w:t>The ABA has announced the</w:t>
            </w:r>
            <w:r w:rsidR="003E4EBD" w:rsidRPr="007671C2">
              <w:rPr>
                <w:color w:val="auto"/>
              </w:rPr>
              <w:t xml:space="preserve"> amended </w:t>
            </w:r>
            <w:r w:rsidR="001B2680">
              <w:rPr>
                <w:color w:val="auto"/>
              </w:rPr>
              <w:t>Banking</w:t>
            </w:r>
            <w:r w:rsidR="003E4EBD" w:rsidRPr="007671C2">
              <w:rPr>
                <w:color w:val="auto"/>
              </w:rPr>
              <w:t xml:space="preserve"> Code, incorporating recommendations 1.8 and 1.13, will be implemented by March 2020</w:t>
            </w:r>
            <w:r w:rsidR="00A20FE4">
              <w:rPr>
                <w:color w:val="auto"/>
              </w:rPr>
              <w:t>.</w:t>
            </w:r>
          </w:p>
          <w:p w:rsidR="003E4EBD" w:rsidRPr="00550F0C" w:rsidRDefault="003E4EBD" w:rsidP="00934239">
            <w:pPr>
              <w:pStyle w:val="TableTextLeft"/>
            </w:pPr>
            <w:r>
              <w:t xml:space="preserve">The Government welcomes the Customer Owned Banking Association taking action to review its Code of Practice. </w:t>
            </w:r>
          </w:p>
        </w:tc>
      </w:tr>
      <w:tr w:rsidR="003E4EBD" w:rsidRPr="00550F0C" w:rsidTr="009C359F">
        <w:tc>
          <w:tcPr>
            <w:tcW w:w="3510" w:type="dxa"/>
            <w:shd w:val="clear" w:color="auto" w:fill="F2F2F2" w:themeFill="background1" w:themeFillShade="F2"/>
          </w:tcPr>
          <w:p w:rsidR="003E4EBD" w:rsidRDefault="003E4EBD" w:rsidP="006A170A">
            <w:pPr>
              <w:pStyle w:val="TableTextLeft"/>
              <w:rPr>
                <w:b/>
              </w:rPr>
            </w:pPr>
            <w:r>
              <w:rPr>
                <w:b/>
                <w:color w:val="auto"/>
              </w:rPr>
              <w:t>Recommendation</w:t>
            </w:r>
            <w:r w:rsidRPr="00550F0C">
              <w:rPr>
                <w:b/>
              </w:rPr>
              <w:t xml:space="preserve"> 1.10 </w:t>
            </w:r>
            <w:r w:rsidR="00466324" w:rsidRPr="002423A8">
              <w:rPr>
                <w:b/>
                <w:spacing w:val="-1"/>
              </w:rPr>
              <w:t>–</w:t>
            </w:r>
          </w:p>
          <w:p w:rsidR="003E4EBD" w:rsidRPr="0045756B" w:rsidRDefault="003E4EBD" w:rsidP="006A170A">
            <w:pPr>
              <w:pStyle w:val="TableTextLeft"/>
            </w:pPr>
            <w:r w:rsidRPr="0045756B">
              <w:t>Definition of small business</w:t>
            </w:r>
          </w:p>
        </w:tc>
        <w:tc>
          <w:tcPr>
            <w:tcW w:w="1560" w:type="dxa"/>
            <w:shd w:val="clear" w:color="auto" w:fill="F2F2F2" w:themeFill="background1" w:themeFillShade="F2"/>
          </w:tcPr>
          <w:p w:rsidR="003E4EBD" w:rsidRPr="00550F0C" w:rsidRDefault="003E4EBD" w:rsidP="006A170A">
            <w:pPr>
              <w:pStyle w:val="TableTextLeft"/>
            </w:pPr>
            <w:r w:rsidRPr="00550F0C">
              <w:t>ABA</w:t>
            </w:r>
          </w:p>
        </w:tc>
        <w:tc>
          <w:tcPr>
            <w:tcW w:w="4216" w:type="dxa"/>
            <w:shd w:val="clear" w:color="auto" w:fill="F2F2F2" w:themeFill="background1" w:themeFillShade="F2"/>
          </w:tcPr>
          <w:p w:rsidR="003E4EBD" w:rsidRPr="00550F0C" w:rsidRDefault="003E4EBD" w:rsidP="001B2680">
            <w:pPr>
              <w:pStyle w:val="TableTextLeft"/>
            </w:pPr>
            <w:r>
              <w:t>T</w:t>
            </w:r>
            <w:r w:rsidRPr="007420BC">
              <w:t>he Government notes the view of the Council of Financial Regulators that maintain</w:t>
            </w:r>
            <w:r>
              <w:t>ing</w:t>
            </w:r>
            <w:r w:rsidRPr="007420BC">
              <w:t xml:space="preserve"> the current definition </w:t>
            </w:r>
            <w:r>
              <w:t xml:space="preserve">of small business, </w:t>
            </w:r>
            <w:r w:rsidRPr="007420BC">
              <w:t xml:space="preserve">with an independent review </w:t>
            </w:r>
            <w:r>
              <w:t xml:space="preserve">to be undertaken </w:t>
            </w:r>
            <w:r w:rsidRPr="007420BC">
              <w:t>18</w:t>
            </w:r>
            <w:r>
              <w:t> </w:t>
            </w:r>
            <w:r w:rsidRPr="007420BC">
              <w:t xml:space="preserve">months </w:t>
            </w:r>
            <w:r>
              <w:t xml:space="preserve">after commencement of the new </w:t>
            </w:r>
            <w:r w:rsidR="001B2680">
              <w:t>Banking</w:t>
            </w:r>
            <w:r>
              <w:t xml:space="preserve"> Code on 1 July 2019, </w:t>
            </w:r>
            <w:r w:rsidRPr="007420BC">
              <w:t>would be appropriate to understand and manage any risks to business access to finance</w:t>
            </w:r>
            <w:r w:rsidRPr="00550F0C">
              <w:t>.</w:t>
            </w:r>
          </w:p>
        </w:tc>
      </w:tr>
      <w:tr w:rsidR="003E4EBD" w:rsidRPr="00550F0C" w:rsidTr="009C359F">
        <w:tc>
          <w:tcPr>
            <w:tcW w:w="3510" w:type="dxa"/>
          </w:tcPr>
          <w:p w:rsidR="003E4EBD" w:rsidRDefault="003E4EBD" w:rsidP="006A170A">
            <w:pPr>
              <w:pStyle w:val="TableTextLeft"/>
              <w:rPr>
                <w:b/>
              </w:rPr>
            </w:pPr>
            <w:r>
              <w:rPr>
                <w:b/>
                <w:color w:val="auto"/>
              </w:rPr>
              <w:t>Recommendation</w:t>
            </w:r>
            <w:r w:rsidRPr="00550F0C">
              <w:rPr>
                <w:b/>
              </w:rPr>
              <w:t xml:space="preserve"> 1.13 </w:t>
            </w:r>
            <w:r w:rsidR="00466324" w:rsidRPr="002423A8">
              <w:rPr>
                <w:b/>
                <w:spacing w:val="-1"/>
              </w:rPr>
              <w:t>–</w:t>
            </w:r>
          </w:p>
          <w:p w:rsidR="003E4EBD" w:rsidRPr="0045756B" w:rsidRDefault="003E4EBD" w:rsidP="006A170A">
            <w:pPr>
              <w:pStyle w:val="TableTextLeft"/>
            </w:pPr>
            <w:r w:rsidRPr="0045756B">
              <w:t>Charging default interest</w:t>
            </w:r>
          </w:p>
        </w:tc>
        <w:tc>
          <w:tcPr>
            <w:tcW w:w="1560" w:type="dxa"/>
          </w:tcPr>
          <w:p w:rsidR="003E4EBD" w:rsidRDefault="003E4EBD" w:rsidP="006A170A">
            <w:pPr>
              <w:pStyle w:val="TableTextLeft"/>
            </w:pPr>
            <w:r w:rsidRPr="00550F0C">
              <w:t>ABA</w:t>
            </w:r>
            <w:r>
              <w:t>, individual banks</w:t>
            </w:r>
          </w:p>
          <w:p w:rsidR="003E4EBD" w:rsidRPr="00550F0C" w:rsidRDefault="003E4EBD" w:rsidP="006A170A">
            <w:pPr>
              <w:pStyle w:val="TableTextLeft"/>
            </w:pPr>
          </w:p>
        </w:tc>
        <w:tc>
          <w:tcPr>
            <w:tcW w:w="4216" w:type="dxa"/>
          </w:tcPr>
          <w:p w:rsidR="003E4EBD" w:rsidRPr="00550F0C" w:rsidRDefault="003E4EBD" w:rsidP="006A170A">
            <w:pPr>
              <w:pStyle w:val="TableTextLeft"/>
            </w:pPr>
            <w:r>
              <w:t>See recommendation 1.8.</w:t>
            </w:r>
          </w:p>
        </w:tc>
      </w:tr>
      <w:tr w:rsidR="003E4EBD" w:rsidRPr="00550F0C" w:rsidTr="009C359F">
        <w:tc>
          <w:tcPr>
            <w:tcW w:w="3510" w:type="dxa"/>
            <w:shd w:val="clear" w:color="auto" w:fill="F2F2F2" w:themeFill="background1" w:themeFillShade="F2"/>
          </w:tcPr>
          <w:p w:rsidR="003E4EBD" w:rsidRDefault="003E4EBD" w:rsidP="006A170A">
            <w:pPr>
              <w:pStyle w:val="TableTextLeft"/>
              <w:rPr>
                <w:b/>
              </w:rPr>
            </w:pPr>
            <w:r>
              <w:rPr>
                <w:b/>
                <w:color w:val="auto"/>
              </w:rPr>
              <w:t>Recommendation</w:t>
            </w:r>
            <w:r w:rsidRPr="00550F0C">
              <w:rPr>
                <w:b/>
              </w:rPr>
              <w:t xml:space="preserve"> 1.14 </w:t>
            </w:r>
            <w:r w:rsidR="00466324" w:rsidRPr="002423A8">
              <w:rPr>
                <w:b/>
                <w:spacing w:val="-1"/>
              </w:rPr>
              <w:t>–</w:t>
            </w:r>
          </w:p>
          <w:p w:rsidR="003E4EBD" w:rsidRPr="0045756B" w:rsidRDefault="003E4EBD" w:rsidP="006A170A">
            <w:pPr>
              <w:pStyle w:val="TableTextLeft"/>
            </w:pPr>
            <w:r w:rsidRPr="0045756B">
              <w:t>Distressed agricultural loans</w:t>
            </w:r>
          </w:p>
        </w:tc>
        <w:tc>
          <w:tcPr>
            <w:tcW w:w="1560" w:type="dxa"/>
            <w:shd w:val="clear" w:color="auto" w:fill="F2F2F2" w:themeFill="background1" w:themeFillShade="F2"/>
          </w:tcPr>
          <w:p w:rsidR="003E4EBD" w:rsidRPr="00550F0C" w:rsidRDefault="003E4EBD" w:rsidP="006A170A">
            <w:pPr>
              <w:pStyle w:val="TableTextLeft"/>
            </w:pPr>
            <w:r>
              <w:t>I</w:t>
            </w:r>
            <w:r w:rsidRPr="00550F0C">
              <w:t>ndividual banks</w:t>
            </w:r>
          </w:p>
        </w:tc>
        <w:tc>
          <w:tcPr>
            <w:tcW w:w="4216" w:type="dxa"/>
            <w:shd w:val="clear" w:color="auto" w:fill="F2F2F2" w:themeFill="background1" w:themeFillShade="F2"/>
          </w:tcPr>
          <w:p w:rsidR="003E4EBD" w:rsidRPr="00550F0C" w:rsidRDefault="003E4EBD" w:rsidP="006A170A">
            <w:pPr>
              <w:pStyle w:val="TableTextLeft"/>
            </w:pPr>
            <w:r w:rsidRPr="00550F0C">
              <w:t xml:space="preserve">The Government expects that banks will implement </w:t>
            </w:r>
            <w:r>
              <w:t>recommendation</w:t>
            </w:r>
            <w:r w:rsidRPr="00550F0C">
              <w:t xml:space="preserve"> 1.14 as soon as possible</w:t>
            </w:r>
            <w:r>
              <w:t>.</w:t>
            </w:r>
          </w:p>
        </w:tc>
      </w:tr>
      <w:tr w:rsidR="003E4EBD" w:rsidRPr="00550F0C" w:rsidTr="009C359F">
        <w:tc>
          <w:tcPr>
            <w:tcW w:w="3510" w:type="dxa"/>
          </w:tcPr>
          <w:p w:rsidR="003E4EBD" w:rsidRDefault="003E4EBD" w:rsidP="006A170A">
            <w:pPr>
              <w:pStyle w:val="TableTextLeft"/>
              <w:rPr>
                <w:b/>
              </w:rPr>
            </w:pPr>
            <w:r>
              <w:rPr>
                <w:b/>
                <w:color w:val="auto"/>
              </w:rPr>
              <w:t>Recommendation</w:t>
            </w:r>
            <w:r w:rsidRPr="00550F0C">
              <w:rPr>
                <w:b/>
              </w:rPr>
              <w:t xml:space="preserve"> 1.16 </w:t>
            </w:r>
            <w:r w:rsidR="00466324" w:rsidRPr="002423A8">
              <w:rPr>
                <w:b/>
                <w:spacing w:val="-1"/>
              </w:rPr>
              <w:t>–</w:t>
            </w:r>
          </w:p>
          <w:p w:rsidR="003E4EBD" w:rsidRPr="0045756B" w:rsidRDefault="003E4EBD" w:rsidP="006A170A">
            <w:pPr>
              <w:pStyle w:val="TableTextLeft"/>
            </w:pPr>
            <w:r w:rsidRPr="0045756B">
              <w:t>2019 Banking Code</w:t>
            </w:r>
          </w:p>
        </w:tc>
        <w:tc>
          <w:tcPr>
            <w:tcW w:w="1560" w:type="dxa"/>
          </w:tcPr>
          <w:p w:rsidR="003E4EBD" w:rsidRPr="00550F0C" w:rsidRDefault="003E4EBD" w:rsidP="006A170A">
            <w:pPr>
              <w:pStyle w:val="TableTextLeft"/>
            </w:pPr>
            <w:r w:rsidRPr="00550F0C">
              <w:t>ABA</w:t>
            </w:r>
          </w:p>
        </w:tc>
        <w:tc>
          <w:tcPr>
            <w:tcW w:w="4216" w:type="dxa"/>
          </w:tcPr>
          <w:p w:rsidR="003E4EBD" w:rsidRPr="00550F0C" w:rsidRDefault="003E4EBD" w:rsidP="006A170A">
            <w:pPr>
              <w:pStyle w:val="TableTextLeft"/>
            </w:pPr>
            <w:r w:rsidRPr="00550F0C">
              <w:t>The Government expects the ABA to work co</w:t>
            </w:r>
            <w:r w:rsidRPr="00550F0C">
              <w:noBreakHyphen/>
              <w:t>operatively with ASIC to have the relevant provisions of the Banking Code approved as ‘enforceable code provisions’ as soon as practicable after legislation providing ASIC with these powers (recommendation 1.15</w:t>
            </w:r>
            <w:r>
              <w:t>) has been enacted.</w:t>
            </w:r>
          </w:p>
        </w:tc>
      </w:tr>
      <w:tr w:rsidR="002F3DF5" w:rsidRPr="00550F0C" w:rsidTr="009C359F">
        <w:tc>
          <w:tcPr>
            <w:tcW w:w="3510" w:type="dxa"/>
            <w:shd w:val="clear" w:color="auto" w:fill="F2F2F2" w:themeFill="background1" w:themeFillShade="F2"/>
          </w:tcPr>
          <w:p w:rsidR="00BA53FD" w:rsidRDefault="00BA53FD" w:rsidP="00BA53FD">
            <w:pPr>
              <w:pStyle w:val="TableTextLeft"/>
              <w:rPr>
                <w:b/>
              </w:rPr>
            </w:pPr>
            <w:r>
              <w:rPr>
                <w:b/>
                <w:color w:val="auto"/>
              </w:rPr>
              <w:t>Recommendation</w:t>
            </w:r>
            <w:r>
              <w:rPr>
                <w:b/>
              </w:rPr>
              <w:t xml:space="preserve"> </w:t>
            </w:r>
            <w:r w:rsidR="002F3DF5" w:rsidRPr="00550F0C">
              <w:rPr>
                <w:b/>
              </w:rPr>
              <w:t>4.9</w:t>
            </w:r>
            <w:r w:rsidR="00466324">
              <w:rPr>
                <w:b/>
              </w:rPr>
              <w:t xml:space="preserve"> </w:t>
            </w:r>
            <w:r w:rsidR="00466324" w:rsidRPr="002423A8">
              <w:rPr>
                <w:b/>
                <w:spacing w:val="-1"/>
              </w:rPr>
              <w:t>–</w:t>
            </w:r>
          </w:p>
          <w:p w:rsidR="002F3DF5" w:rsidRPr="00BA53FD" w:rsidRDefault="002F3DF5" w:rsidP="002F3DF5">
            <w:pPr>
              <w:pStyle w:val="TableTextLeft"/>
              <w:rPr>
                <w:color w:val="auto"/>
              </w:rPr>
            </w:pPr>
            <w:r w:rsidRPr="00BA53FD">
              <w:t>Enforceable code provisions</w:t>
            </w:r>
          </w:p>
        </w:tc>
        <w:tc>
          <w:tcPr>
            <w:tcW w:w="1560" w:type="dxa"/>
            <w:shd w:val="clear" w:color="auto" w:fill="F2F2F2" w:themeFill="background1" w:themeFillShade="F2"/>
          </w:tcPr>
          <w:p w:rsidR="002F3DF5" w:rsidRPr="00550F0C" w:rsidRDefault="002F3DF5" w:rsidP="002F3DF5">
            <w:pPr>
              <w:pStyle w:val="TableTextLeft"/>
            </w:pPr>
            <w:r w:rsidRPr="00550F0C">
              <w:t>F</w:t>
            </w:r>
            <w:r>
              <w:t>inancial Services Council (F</w:t>
            </w:r>
            <w:r w:rsidRPr="00550F0C">
              <w:t>SC</w:t>
            </w:r>
            <w:r>
              <w:t>)</w:t>
            </w:r>
            <w:r w:rsidRPr="00550F0C">
              <w:t xml:space="preserve">, </w:t>
            </w:r>
            <w:r>
              <w:t>Insurance Council of Australia (</w:t>
            </w:r>
            <w:r w:rsidRPr="00550F0C">
              <w:t>ICA</w:t>
            </w:r>
            <w:r>
              <w:t>)</w:t>
            </w:r>
          </w:p>
        </w:tc>
        <w:tc>
          <w:tcPr>
            <w:tcW w:w="4216" w:type="dxa"/>
            <w:shd w:val="clear" w:color="auto" w:fill="F2F2F2" w:themeFill="background1" w:themeFillShade="F2"/>
          </w:tcPr>
          <w:p w:rsidR="002F3DF5" w:rsidRPr="00550F0C" w:rsidRDefault="002F3DF5" w:rsidP="002F3DF5">
            <w:pPr>
              <w:pStyle w:val="TableTextLeft"/>
            </w:pPr>
            <w:r w:rsidRPr="00550F0C">
              <w:t>The Government expects the FSC and ICA to work co</w:t>
            </w:r>
            <w:r w:rsidRPr="00550F0C">
              <w:noBreakHyphen/>
              <w:t xml:space="preserve">operatively with ASIC to have the relevant provisions of </w:t>
            </w:r>
            <w:r>
              <w:t>their codes</w:t>
            </w:r>
            <w:r w:rsidRPr="00550F0C">
              <w:t xml:space="preserve"> approved as ‘enforceable code provisions’ as soon as practicable after legislation providing ASIC with these powers (recommendation</w:t>
            </w:r>
            <w:r>
              <w:t> </w:t>
            </w:r>
            <w:r w:rsidRPr="00550F0C">
              <w:t>1.15) has been</w:t>
            </w:r>
            <w:r>
              <w:t> </w:t>
            </w:r>
            <w:r w:rsidRPr="00550F0C">
              <w:t>enacted.</w:t>
            </w:r>
          </w:p>
        </w:tc>
      </w:tr>
      <w:tr w:rsidR="002F3DF5" w:rsidRPr="00550F0C" w:rsidTr="009C359F">
        <w:tc>
          <w:tcPr>
            <w:tcW w:w="3510" w:type="dxa"/>
          </w:tcPr>
          <w:p w:rsidR="00BA53FD" w:rsidRDefault="00BA53FD" w:rsidP="00BA53FD">
            <w:pPr>
              <w:pStyle w:val="TableTextLeft"/>
              <w:rPr>
                <w:b/>
              </w:rPr>
            </w:pPr>
            <w:r>
              <w:rPr>
                <w:b/>
                <w:color w:val="auto"/>
              </w:rPr>
              <w:t>Recommendation</w:t>
            </w:r>
            <w:r w:rsidRPr="00550F0C">
              <w:rPr>
                <w:b/>
              </w:rPr>
              <w:t xml:space="preserve"> </w:t>
            </w:r>
            <w:r w:rsidR="002F3DF5" w:rsidRPr="00550F0C">
              <w:rPr>
                <w:b/>
              </w:rPr>
              <w:t>4.10</w:t>
            </w:r>
            <w:r w:rsidR="00466324">
              <w:rPr>
                <w:b/>
              </w:rPr>
              <w:t xml:space="preserve"> </w:t>
            </w:r>
            <w:r w:rsidR="00466324" w:rsidRPr="002423A8">
              <w:rPr>
                <w:b/>
                <w:spacing w:val="-1"/>
              </w:rPr>
              <w:t>–</w:t>
            </w:r>
          </w:p>
          <w:p w:rsidR="002F3DF5" w:rsidRPr="00BA53FD" w:rsidRDefault="002F3DF5" w:rsidP="002F3DF5">
            <w:pPr>
              <w:pStyle w:val="TableTextLeft"/>
              <w:rPr>
                <w:color w:val="auto"/>
              </w:rPr>
            </w:pPr>
            <w:r w:rsidRPr="00BA53FD">
              <w:t>Extension of the sanctions power</w:t>
            </w:r>
          </w:p>
        </w:tc>
        <w:tc>
          <w:tcPr>
            <w:tcW w:w="1560" w:type="dxa"/>
          </w:tcPr>
          <w:p w:rsidR="002F3DF5" w:rsidRPr="00550F0C" w:rsidRDefault="002F3DF5" w:rsidP="002F3DF5">
            <w:pPr>
              <w:pStyle w:val="TableTextLeft"/>
            </w:pPr>
            <w:r w:rsidRPr="00550F0C">
              <w:t>FSC, ICA</w:t>
            </w:r>
          </w:p>
        </w:tc>
        <w:tc>
          <w:tcPr>
            <w:tcW w:w="4216" w:type="dxa"/>
          </w:tcPr>
          <w:p w:rsidR="002F3DF5" w:rsidRDefault="002F3DF5" w:rsidP="002F3DF5">
            <w:pPr>
              <w:pStyle w:val="TableTextLeft"/>
            </w:pPr>
            <w:r w:rsidRPr="00550F0C">
              <w:t>The Government expects the FSC and ICA to strengthen sanctions powers in the</w:t>
            </w:r>
            <w:r>
              <w:t>ir</w:t>
            </w:r>
            <w:r w:rsidRPr="00550F0C">
              <w:t xml:space="preserve"> </w:t>
            </w:r>
            <w:r>
              <w:t>c</w:t>
            </w:r>
            <w:r w:rsidRPr="00550F0C">
              <w:t>odes as soon as possible.</w:t>
            </w:r>
          </w:p>
        </w:tc>
      </w:tr>
      <w:tr w:rsidR="002F3DF5" w:rsidRPr="00550F0C" w:rsidTr="009C359F">
        <w:tc>
          <w:tcPr>
            <w:tcW w:w="3510" w:type="dxa"/>
          </w:tcPr>
          <w:p w:rsidR="00BA53FD" w:rsidRDefault="00BA53FD" w:rsidP="00BA53FD">
            <w:pPr>
              <w:pStyle w:val="TableTextLeft"/>
              <w:rPr>
                <w:b/>
              </w:rPr>
            </w:pPr>
            <w:r>
              <w:rPr>
                <w:b/>
                <w:color w:val="auto"/>
              </w:rPr>
              <w:t>Recommendation</w:t>
            </w:r>
            <w:r w:rsidRPr="00550F0C">
              <w:rPr>
                <w:b/>
              </w:rPr>
              <w:t xml:space="preserve"> </w:t>
            </w:r>
            <w:r w:rsidR="002F3DF5" w:rsidRPr="00550F0C">
              <w:rPr>
                <w:b/>
              </w:rPr>
              <w:t>5.4</w:t>
            </w:r>
            <w:r w:rsidR="00466324">
              <w:rPr>
                <w:b/>
              </w:rPr>
              <w:t xml:space="preserve"> </w:t>
            </w:r>
            <w:r w:rsidR="00466324" w:rsidRPr="002423A8">
              <w:rPr>
                <w:b/>
                <w:spacing w:val="-1"/>
              </w:rPr>
              <w:t>–</w:t>
            </w:r>
          </w:p>
          <w:p w:rsidR="002F3DF5" w:rsidRPr="00BA53FD" w:rsidRDefault="002F3DF5" w:rsidP="002F3DF5">
            <w:pPr>
              <w:pStyle w:val="TableTextLeft"/>
              <w:rPr>
                <w:color w:val="auto"/>
              </w:rPr>
            </w:pPr>
            <w:r w:rsidRPr="00BA53FD">
              <w:t>Remuneration for front line staff</w:t>
            </w:r>
          </w:p>
        </w:tc>
        <w:tc>
          <w:tcPr>
            <w:tcW w:w="1560" w:type="dxa"/>
          </w:tcPr>
          <w:p w:rsidR="002F3DF5" w:rsidRPr="00550F0C" w:rsidRDefault="002F3DF5" w:rsidP="002F3DF5">
            <w:pPr>
              <w:pStyle w:val="TableTextLeft"/>
            </w:pPr>
            <w:r w:rsidRPr="00550F0C">
              <w:t>All financial services entities</w:t>
            </w:r>
          </w:p>
        </w:tc>
        <w:tc>
          <w:tcPr>
            <w:tcW w:w="4216" w:type="dxa"/>
          </w:tcPr>
          <w:p w:rsidR="002F3DF5" w:rsidRDefault="002F3DF5" w:rsidP="002F3DF5">
            <w:pPr>
              <w:pStyle w:val="TableTextLeft"/>
            </w:pPr>
            <w:r w:rsidRPr="00550F0C">
              <w:t>The Government expects all financial services entities to monitor remuneration a</w:t>
            </w:r>
            <w:r>
              <w:t>rrangements on an ongoing basis, as recommended.</w:t>
            </w:r>
          </w:p>
        </w:tc>
      </w:tr>
    </w:tbl>
    <w:p w:rsidR="00261517" w:rsidRDefault="00261517">
      <w:r>
        <w:br w:type="page"/>
      </w:r>
    </w:p>
    <w:tbl>
      <w:tblPr>
        <w:tblW w:w="9286" w:type="dxa"/>
        <w:tblBorders>
          <w:top w:val="single" w:sz="2" w:space="0" w:color="002C47" w:themeColor="accent1"/>
          <w:left w:val="single" w:sz="2" w:space="0" w:color="002C47" w:themeColor="accent1"/>
          <w:bottom w:val="single" w:sz="2" w:space="0" w:color="002C47" w:themeColor="accent1"/>
          <w:right w:val="single" w:sz="2" w:space="0" w:color="002C47" w:themeColor="accent1"/>
          <w:insideH w:val="single" w:sz="2" w:space="0" w:color="002C47" w:themeColor="accent1"/>
          <w:insideV w:val="single" w:sz="2" w:space="0" w:color="002C47" w:themeColor="accent1"/>
        </w:tblBorders>
        <w:tblLayout w:type="fixed"/>
        <w:tblLook w:val="04A0" w:firstRow="1" w:lastRow="0" w:firstColumn="1" w:lastColumn="0" w:noHBand="0" w:noVBand="1"/>
      </w:tblPr>
      <w:tblGrid>
        <w:gridCol w:w="3510"/>
        <w:gridCol w:w="1560"/>
        <w:gridCol w:w="4216"/>
      </w:tblGrid>
      <w:tr w:rsidR="00DE6320" w:rsidRPr="00550F0C" w:rsidTr="00DE6320">
        <w:tc>
          <w:tcPr>
            <w:tcW w:w="3510" w:type="dxa"/>
            <w:shd w:val="clear" w:color="auto" w:fill="002C47" w:themeFill="accent1"/>
            <w:vAlign w:val="bottom"/>
          </w:tcPr>
          <w:p w:rsidR="00DE6320" w:rsidRPr="00DE6320" w:rsidRDefault="00DE6320" w:rsidP="00DE5346">
            <w:pPr>
              <w:pStyle w:val="TableColumnHeadingLeft"/>
            </w:pPr>
            <w:r w:rsidRPr="00251A78">
              <w:lastRenderedPageBreak/>
              <w:t>Recommendation</w:t>
            </w:r>
          </w:p>
        </w:tc>
        <w:tc>
          <w:tcPr>
            <w:tcW w:w="1560" w:type="dxa"/>
            <w:shd w:val="clear" w:color="auto" w:fill="002C47" w:themeFill="accent1"/>
            <w:vAlign w:val="bottom"/>
          </w:tcPr>
          <w:p w:rsidR="00DE6320" w:rsidRDefault="00DE6320" w:rsidP="00DE5346">
            <w:pPr>
              <w:pStyle w:val="TableColumnHeadingLeft"/>
            </w:pPr>
            <w:r w:rsidRPr="00251A78">
              <w:t xml:space="preserve">Relevant </w:t>
            </w:r>
            <w:r w:rsidDel="00A91634">
              <w:t>s</w:t>
            </w:r>
            <w:r w:rsidRPr="00251A78" w:rsidDel="00A91634">
              <w:t>takeholders</w:t>
            </w:r>
          </w:p>
        </w:tc>
        <w:tc>
          <w:tcPr>
            <w:tcW w:w="4216" w:type="dxa"/>
            <w:shd w:val="clear" w:color="auto" w:fill="002C47" w:themeFill="accent1"/>
            <w:vAlign w:val="bottom"/>
          </w:tcPr>
          <w:p w:rsidR="00DE6320" w:rsidRPr="00550F0C" w:rsidRDefault="00DE6320" w:rsidP="00DE5346">
            <w:pPr>
              <w:pStyle w:val="TableColumnHeadingLeft"/>
              <w:jc w:val="center"/>
            </w:pPr>
            <w:r>
              <w:t>Timing</w:t>
            </w:r>
          </w:p>
        </w:tc>
      </w:tr>
      <w:tr w:rsidR="00DE6320" w:rsidRPr="00550F0C" w:rsidTr="009C359F">
        <w:tc>
          <w:tcPr>
            <w:tcW w:w="3510" w:type="dxa"/>
            <w:shd w:val="clear" w:color="auto" w:fill="F2F2F2" w:themeFill="background1" w:themeFillShade="F2"/>
          </w:tcPr>
          <w:p w:rsidR="00DE6320" w:rsidRDefault="00DE6320" w:rsidP="00DE6320">
            <w:pPr>
              <w:pStyle w:val="TableTextLeft"/>
              <w:rPr>
                <w:b/>
              </w:rPr>
            </w:pPr>
            <w:r>
              <w:rPr>
                <w:b/>
                <w:color w:val="auto"/>
              </w:rPr>
              <w:t>Recommendation</w:t>
            </w:r>
            <w:r w:rsidRPr="00550F0C">
              <w:rPr>
                <w:b/>
              </w:rPr>
              <w:t xml:space="preserve"> 5.5 </w:t>
            </w:r>
            <w:r w:rsidRPr="002423A8">
              <w:rPr>
                <w:b/>
                <w:spacing w:val="-1"/>
              </w:rPr>
              <w:t>–</w:t>
            </w:r>
          </w:p>
          <w:p w:rsidR="00DE6320" w:rsidRPr="00BA53FD" w:rsidRDefault="00DE6320" w:rsidP="00DE6320">
            <w:pPr>
              <w:pStyle w:val="TableTextLeft"/>
              <w:rPr>
                <w:color w:val="auto"/>
              </w:rPr>
            </w:pPr>
            <w:r w:rsidRPr="00BA53FD">
              <w:t>The Sedgwick Review</w:t>
            </w:r>
          </w:p>
        </w:tc>
        <w:tc>
          <w:tcPr>
            <w:tcW w:w="1560" w:type="dxa"/>
            <w:shd w:val="clear" w:color="auto" w:fill="F2F2F2" w:themeFill="background1" w:themeFillShade="F2"/>
          </w:tcPr>
          <w:p w:rsidR="00DE6320" w:rsidRPr="00550F0C" w:rsidRDefault="00DE6320" w:rsidP="00DE6320">
            <w:pPr>
              <w:pStyle w:val="TableTextLeft"/>
            </w:pPr>
            <w:r>
              <w:t>ABA member banks</w:t>
            </w:r>
          </w:p>
        </w:tc>
        <w:tc>
          <w:tcPr>
            <w:tcW w:w="4216" w:type="dxa"/>
            <w:shd w:val="clear" w:color="auto" w:fill="F2F2F2" w:themeFill="background1" w:themeFillShade="F2"/>
          </w:tcPr>
          <w:p w:rsidR="00DE6320" w:rsidRDefault="00DE6320" w:rsidP="00DE6320">
            <w:pPr>
              <w:pStyle w:val="TableTextLeft"/>
            </w:pPr>
            <w:r w:rsidRPr="00550F0C">
              <w:t xml:space="preserve">The Government expects that banks will implement </w:t>
            </w:r>
            <w:r>
              <w:t>the</w:t>
            </w:r>
            <w:r w:rsidRPr="00550F0C">
              <w:t xml:space="preserve"> recommendations of the Sedgwick Review </w:t>
            </w:r>
            <w:r>
              <w:t xml:space="preserve">relating to staff remuneration </w:t>
            </w:r>
            <w:r w:rsidRPr="00550F0C">
              <w:t>as soon as possible.</w:t>
            </w:r>
          </w:p>
        </w:tc>
      </w:tr>
      <w:tr w:rsidR="00DE6320" w:rsidRPr="00550F0C" w:rsidTr="009C359F">
        <w:tc>
          <w:tcPr>
            <w:tcW w:w="3510" w:type="dxa"/>
          </w:tcPr>
          <w:p w:rsidR="00DE6320" w:rsidRDefault="00DE6320" w:rsidP="00DE6320">
            <w:pPr>
              <w:pStyle w:val="TableTextLeft"/>
              <w:rPr>
                <w:b/>
              </w:rPr>
            </w:pPr>
            <w:r>
              <w:rPr>
                <w:b/>
                <w:color w:val="auto"/>
              </w:rPr>
              <w:t>Recommendation</w:t>
            </w:r>
            <w:r>
              <w:rPr>
                <w:b/>
              </w:rPr>
              <w:t xml:space="preserve"> </w:t>
            </w:r>
            <w:r w:rsidRPr="00550F0C">
              <w:rPr>
                <w:b/>
              </w:rPr>
              <w:t xml:space="preserve">5.6 </w:t>
            </w:r>
            <w:r w:rsidRPr="002423A8">
              <w:rPr>
                <w:b/>
                <w:spacing w:val="-1"/>
              </w:rPr>
              <w:t>–</w:t>
            </w:r>
          </w:p>
          <w:p w:rsidR="00DE6320" w:rsidRPr="00BA53FD" w:rsidRDefault="00DE6320" w:rsidP="00DE6320">
            <w:pPr>
              <w:pStyle w:val="TableTextLeft"/>
              <w:rPr>
                <w:color w:val="auto"/>
              </w:rPr>
            </w:pPr>
            <w:r w:rsidRPr="00BA53FD">
              <w:t>Culture and governance</w:t>
            </w:r>
          </w:p>
        </w:tc>
        <w:tc>
          <w:tcPr>
            <w:tcW w:w="1560" w:type="dxa"/>
          </w:tcPr>
          <w:p w:rsidR="00DE6320" w:rsidRPr="00550F0C" w:rsidRDefault="00DE6320" w:rsidP="00DE6320">
            <w:pPr>
              <w:pStyle w:val="TableTextLeft"/>
            </w:pPr>
            <w:r w:rsidRPr="00550F0C">
              <w:t>All financial services entities</w:t>
            </w:r>
          </w:p>
        </w:tc>
        <w:tc>
          <w:tcPr>
            <w:tcW w:w="4216" w:type="dxa"/>
          </w:tcPr>
          <w:p w:rsidR="00DE6320" w:rsidRDefault="00DE6320" w:rsidP="00DE6320">
            <w:pPr>
              <w:pStyle w:val="TableTextLeft"/>
            </w:pPr>
            <w:r w:rsidRPr="00550F0C">
              <w:t>The Government expects all financial services entities to monitor culture and</w:t>
            </w:r>
            <w:r>
              <w:t xml:space="preserve"> governance on an ongoing basis, as recommended.</w:t>
            </w:r>
          </w:p>
        </w:tc>
      </w:tr>
    </w:tbl>
    <w:p w:rsidR="00550F0C" w:rsidRDefault="00550F0C"/>
    <w:p w:rsidR="008120A3" w:rsidRPr="003F21E0" w:rsidRDefault="008120A3" w:rsidP="00E92EBC"/>
    <w:sectPr w:rsidR="008120A3" w:rsidRPr="003F21E0" w:rsidSect="004B6A7C">
      <w:headerReference w:type="even" r:id="rId37"/>
      <w:headerReference w:type="default" r:id="rId38"/>
      <w:footerReference w:type="even" r:id="rId39"/>
      <w:footerReference w:type="default" r:id="rId40"/>
      <w:headerReference w:type="first" r:id="rId41"/>
      <w:footerReference w:type="first" r:id="rId4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F2" w:rsidRDefault="000420F2">
      <w:pPr>
        <w:spacing w:after="0"/>
      </w:pPr>
      <w:r>
        <w:separator/>
      </w:r>
    </w:p>
  </w:endnote>
  <w:endnote w:type="continuationSeparator" w:id="0">
    <w:p w:rsidR="000420F2" w:rsidRDefault="000420F2">
      <w:pPr>
        <w:spacing w:after="0"/>
      </w:pPr>
      <w:r>
        <w:continuationSeparator/>
      </w:r>
    </w:p>
  </w:endnote>
  <w:endnote w:type="continuationNotice" w:id="1">
    <w:p w:rsidR="000420F2" w:rsidRDefault="000420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rsidP="003C24B4">
    <w:pPr>
      <w:pStyle w:val="FooterEven"/>
    </w:pPr>
    <w:r>
      <w:rPr>
        <w:noProof w:val="0"/>
      </w:rPr>
      <w:fldChar w:fldCharType="begin"/>
    </w:r>
    <w:r>
      <w:instrText xml:space="preserve"> PAGE   \* MERGEFORMAT </w:instrText>
    </w:r>
    <w:r>
      <w:rPr>
        <w:noProof w:val="0"/>
      </w:rPr>
      <w:fldChar w:fldCharType="separate"/>
    </w:r>
    <w:r>
      <w:t>ii</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65ABA" w:rsidRDefault="004000D0" w:rsidP="00931327">
    <w:pPr>
      <w:pStyle w:val="FooterEven"/>
    </w:pPr>
    <w:r w:rsidRPr="00931327">
      <w:fldChar w:fldCharType="begin"/>
    </w:r>
    <w:r w:rsidRPr="00931327">
      <w:instrText xml:space="preserve"> PAGE   \* MERGEFORMAT </w:instrText>
    </w:r>
    <w:r w:rsidRPr="00931327">
      <w:fldChar w:fldCharType="separate"/>
    </w:r>
    <w:r w:rsidR="00227A69">
      <w:t>iv</w:t>
    </w:r>
    <w:r w:rsidRPr="00931327">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rsidP="00EF4B74">
    <w:pPr>
      <w:pStyle w:val="FooterEven"/>
    </w:pPr>
    <w:r>
      <w:fldChar w:fldCharType="begin"/>
    </w:r>
    <w:r>
      <w:instrText xml:space="preserve"> PAGE  \* Arabic  \* MERGEFORMAT </w:instrText>
    </w:r>
    <w:r>
      <w:fldChar w:fldCharType="separate"/>
    </w:r>
    <w:r w:rsidR="00227A69">
      <w:t>14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rsidP="006C5B73">
    <w:pPr>
      <w:pStyle w:val="FooterOdd"/>
      <w:rPr>
        <w:noProof/>
      </w:rPr>
    </w:pPr>
    <w:r>
      <w:fldChar w:fldCharType="begin"/>
    </w:r>
    <w:r>
      <w:instrText xml:space="preserve"> PAGE   \* MERGEFORMAT </w:instrText>
    </w:r>
    <w:r>
      <w:fldChar w:fldCharType="separate"/>
    </w:r>
    <w:r w:rsidR="00227A69">
      <w:rPr>
        <w:noProof/>
      </w:rPr>
      <w:t>13</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65ABA" w:rsidRDefault="004000D0" w:rsidP="00931327">
    <w:pPr>
      <w:pStyle w:val="FooterOdd"/>
    </w:pPr>
    <w:r w:rsidRPr="00931327">
      <w:fldChar w:fldCharType="begin"/>
    </w:r>
    <w:r w:rsidRPr="00931327">
      <w:instrText xml:space="preserve"> PAGE   \* MERGEFORMAT </w:instrText>
    </w:r>
    <w:r w:rsidRPr="00931327">
      <w:fldChar w:fldCharType="separate"/>
    </w:r>
    <w:r w:rsidR="00227A69">
      <w:rPr>
        <w:noProof/>
      </w:rPr>
      <w:t>1</w:t>
    </w:r>
    <w:r w:rsidRPr="0093132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BF" w:rsidRDefault="00664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BF" w:rsidRDefault="00664E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rsidP="006C5B73">
    <w:pPr>
      <w:pStyle w:val="FooterOdd"/>
      <w:rPr>
        <w:noProof/>
      </w:rPr>
    </w:pPr>
    <w:r>
      <w:fldChar w:fldCharType="begin"/>
    </w:r>
    <w:r>
      <w:instrText xml:space="preserve"> PAGE   \* MERGEFORMAT </w:instrText>
    </w:r>
    <w:r>
      <w:fldChar w:fldCharType="separate"/>
    </w:r>
    <w:r w:rsidR="00227A69">
      <w:rPr>
        <w:noProof/>
      </w:rPr>
      <w:t>iii</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rsidP="00065ABA">
    <w:pPr>
      <w:pStyle w:val="FooterEven"/>
      <w:jc w:val="right"/>
    </w:pPr>
    <w:r>
      <w:fldChar w:fldCharType="begin"/>
    </w:r>
    <w:r>
      <w:instrText xml:space="preserve"> PAGE  \* Arabic  \* MERGEFORMAT </w:instrText>
    </w:r>
    <w:r>
      <w:fldChar w:fldCharType="separate"/>
    </w:r>
    <w: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65ABA" w:rsidRDefault="004000D0" w:rsidP="00931327">
    <w:pPr>
      <w:pStyle w:val="FooterEven"/>
    </w:pPr>
    <w:r w:rsidRPr="00931327">
      <w:fldChar w:fldCharType="begin"/>
    </w:r>
    <w:r w:rsidRPr="00931327">
      <w:instrText xml:space="preserve"> PAGE   \* MERGEFORMAT </w:instrText>
    </w:r>
    <w:r w:rsidRPr="00931327">
      <w:fldChar w:fldCharType="separate"/>
    </w:r>
    <w:r>
      <w:t>iv</w:t>
    </w:r>
    <w:r w:rsidRPr="0093132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rsidP="007A2ED5">
    <w:pPr>
      <w:pStyle w:val="FooterEven"/>
    </w:pPr>
    <w:r>
      <w:fldChar w:fldCharType="begin"/>
    </w:r>
    <w:r>
      <w:instrText xml:space="preserve"> PAGE  \* Arabic  \* MERGEFORMAT </w:instrText>
    </w:r>
    <w:r>
      <w:fldChar w:fldCharType="separate"/>
    </w:r>
    <w:r>
      <w:t>12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rsidP="006C5B73">
    <w:pPr>
      <w:pStyle w:val="FooterOdd"/>
      <w:rPr>
        <w:noProof/>
      </w:rPr>
    </w:pPr>
    <w:r>
      <w:fldChar w:fldCharType="begin"/>
    </w:r>
    <w:r>
      <w:instrText xml:space="preserve"> PAGE   \* MERGEFORMAT </w:instrText>
    </w:r>
    <w:r>
      <w:fldChar w:fldCharType="separate"/>
    </w:r>
    <w:r>
      <w:rPr>
        <w:noProof/>
      </w:rPr>
      <w:t>v</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F2" w:rsidRDefault="000420F2">
      <w:pPr>
        <w:spacing w:after="0"/>
      </w:pPr>
      <w:r>
        <w:separator/>
      </w:r>
    </w:p>
  </w:footnote>
  <w:footnote w:type="continuationSeparator" w:id="0">
    <w:p w:rsidR="000420F2" w:rsidRDefault="000420F2">
      <w:pPr>
        <w:spacing w:after="0"/>
      </w:pPr>
      <w:r>
        <w:continuationSeparator/>
      </w:r>
    </w:p>
  </w:footnote>
  <w:footnote w:type="continuationNotice" w:id="1">
    <w:p w:rsidR="000420F2" w:rsidRDefault="000420F2">
      <w:pPr>
        <w:spacing w:after="0"/>
      </w:pPr>
    </w:p>
  </w:footnote>
  <w:footnote w:id="2">
    <w:p w:rsidR="004000D0" w:rsidRDefault="004000D0" w:rsidP="000A6D05">
      <w:pPr>
        <w:pStyle w:val="FootnoteText"/>
      </w:pPr>
      <w:r w:rsidRPr="00FA6070">
        <w:footnoteRef/>
      </w:r>
      <w:r w:rsidRPr="00EB5A84">
        <w:t xml:space="preserve"> </w:t>
      </w:r>
      <w:r>
        <w:tab/>
      </w:r>
      <w:r w:rsidRPr="000265A9">
        <w:t xml:space="preserve">ASIC update on implementation of Royal Commission recommendations, available at: </w:t>
      </w:r>
      <w:hyperlink r:id="rId1" w:history="1">
        <w:r w:rsidRPr="00242130">
          <w:rPr>
            <w:rStyle w:val="Hyperlink"/>
          </w:rPr>
          <w:t>https://download.asic.gov.au/media/5011933/asic-update-on-implementation-of-royal-commission-recommendations.pdf</w:t>
        </w:r>
      </w:hyperlink>
      <w:r>
        <w:t xml:space="preserve"> </w:t>
      </w:r>
      <w:r w:rsidRPr="00327608">
        <w:br/>
        <w:t xml:space="preserve">APRA update on implementation of Royal Commission recommendations, available at: </w:t>
      </w:r>
      <w:hyperlink r:id="rId2" w:history="1">
        <w:r w:rsidRPr="003949B5">
          <w:rPr>
            <w:rStyle w:val="Hyperlink"/>
          </w:rPr>
          <w:t>https://www.apra.gov.au/media-centre/media-releases/apra-provides-six-monthly-update-royal-commission-recommendations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BF" w:rsidRDefault="00664E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1F3912" w:rsidRDefault="004000D0" w:rsidP="00EF4B74">
    <w:pPr>
      <w:pStyle w:val="HeaderEven"/>
    </w:pPr>
    <w:r>
      <w:rPr>
        <w:noProof/>
      </w:rPr>
      <mc:AlternateContent>
        <mc:Choice Requires="wps">
          <w:drawing>
            <wp:anchor distT="0" distB="0" distL="114300" distR="114300" simplePos="0" relativeHeight="251658240" behindDoc="1" locked="0" layoutInCell="0" allowOverlap="1" wp14:anchorId="4F74BA61" wp14:editId="4C1EEA4A">
              <wp:simplePos x="0" y="0"/>
              <wp:positionH relativeFrom="margin">
                <wp:align>center</wp:align>
              </wp:positionH>
              <wp:positionV relativeFrom="margin">
                <wp:align>center</wp:align>
              </wp:positionV>
              <wp:extent cx="5074920" cy="3044825"/>
              <wp:effectExtent l="0" t="1114425" r="0" b="631825"/>
              <wp:wrapNone/>
              <wp:docPr id="8"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000D0" w:rsidRDefault="004000D0" w:rsidP="005D15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74BA61" id="_x0000_t202" coordsize="21600,21600" o:spt="202" path="m,l,21600r21600,l21600,xe">
              <v:stroke joinstyle="miter"/>
              <v:path gradientshapeok="t" o:connecttype="rect"/>
            </v:shapetype>
            <v:shape id="WordArt 29" o:spid="_x0000_s1026" type="#_x0000_t202" style="position:absolute;margin-left:0;margin-top:0;width:399.6pt;height:239.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" o:allowincell="f" filled="f" stroked="f">
              <v:stroke joinstyle="round"/>
              <o:lock v:ext="edit" shapetype="t"/>
              <v:textbox style="mso-fit-shape-to-text:t">
                <w:txbxContent>
                  <w:p w:rsidR="004000D0" w:rsidRDefault="004000D0" w:rsidP="005D15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420F2">
      <w:fldChar w:fldCharType="begin"/>
    </w:r>
    <w:r w:rsidR="000420F2">
      <w:instrText xml:space="preserve"> TITLE   \* MERGEFORMAT </w:instrText>
    </w:r>
    <w:r w:rsidR="000420F2">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1F3912" w:rsidRDefault="004000D0" w:rsidP="00A12F62">
    <w:pPr>
      <w:pStyle w:val="HeaderOdd"/>
    </w:pPr>
    <w:r>
      <w:rPr>
        <w:noProof/>
      </w:rPr>
      <mc:AlternateContent>
        <mc:Choice Requires="wps">
          <w:drawing>
            <wp:anchor distT="0" distB="0" distL="114300" distR="114300" simplePos="0" relativeHeight="251658241" behindDoc="1" locked="0" layoutInCell="0" allowOverlap="1" wp14:anchorId="590EE48F" wp14:editId="2B632D53">
              <wp:simplePos x="0" y="0"/>
              <wp:positionH relativeFrom="margin">
                <wp:align>center</wp:align>
              </wp:positionH>
              <wp:positionV relativeFrom="margin">
                <wp:align>center</wp:align>
              </wp:positionV>
              <wp:extent cx="5074920" cy="3044825"/>
              <wp:effectExtent l="0" t="1114425" r="0" b="631825"/>
              <wp:wrapNone/>
              <wp:docPr id="7"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000D0" w:rsidRDefault="004000D0" w:rsidP="005D15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0EE48F" id="_x0000_t202" coordsize="21600,21600" o:spt="202" path="m,l,21600r21600,l21600,xe">
              <v:stroke joinstyle="miter"/>
              <v:path gradientshapeok="t" o:connecttype="rect"/>
            </v:shapetype>
            <v:shape id="WordArt 30" o:spid="_x0000_s1027" type="#_x0000_t202" style="position:absolute;left:0;text-align:left;margin-left:0;margin-top:0;width:399.6pt;height:239.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" o:allowincell="f" filled="f" stroked="f">
              <v:stroke joinstyle="round"/>
              <o:lock v:ext="edit" shapetype="t"/>
              <v:textbox style="mso-fit-shape-to-text:t">
                <w:txbxContent>
                  <w:p w:rsidR="004000D0" w:rsidRDefault="004000D0" w:rsidP="005D15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fldChar w:fldCharType="begin"/>
    </w:r>
    <w:r>
      <w:instrText xml:space="preserve"> COMMENTS   \* MERGEFORMAT </w:instrTex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65ABA" w:rsidRDefault="004000D0" w:rsidP="00CE0C85">
    <w:pPr>
      <w:pStyle w:val="HeaderEven"/>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85AD4" w:rsidRDefault="000420F2" w:rsidP="00CE0C85">
    <w:pPr>
      <w:pStyle w:val="HeaderEven"/>
    </w:pPr>
    <w:fldSimple w:instr=" STYLEREF  &quot;Heading 1&quot;  \* MERGEFORMAT ">
      <w:r w:rsidR="00227A69">
        <w:rPr>
          <w:noProof/>
        </w:rPr>
        <w:t>Appendix C: Industry Implementation</w:t>
      </w:r>
    </w:fldSimple>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85AD4" w:rsidRDefault="000420F2" w:rsidP="00CE0C85">
    <w:pPr>
      <w:pStyle w:val="HeaderOdd"/>
    </w:pPr>
    <w:fldSimple w:instr=" STYLEREF  Title  \* MERGEFORMAT ">
      <w:r w:rsidR="00227A69">
        <w:rPr>
          <w:noProof/>
        </w:rPr>
        <w:t>Restoring trust in Australia’s financial system</w:t>
      </w:r>
    </w:fldSimple>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65ABA" w:rsidRDefault="000420F2" w:rsidP="00CE0C85">
    <w:pPr>
      <w:pStyle w:val="HeaderOdd"/>
    </w:pPr>
    <w:fldSimple w:instr=" STYLEREF  Title  \* MERGEFORMAT ">
      <w:r w:rsidR="00227A69">
        <w:rPr>
          <w:noProof/>
        </w:rPr>
        <w:t>Restoring trust in Australia’s financial system</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rsidP="00C067E2">
    <w:pPr>
      <w:pStyle w:val="Header"/>
      <w:spacing w:before="1080"/>
      <w:jc w:val="left"/>
    </w:pPr>
    <w:r>
      <w:rPr>
        <w:noProof/>
      </w:rPr>
      <w:drawing>
        <wp:inline distT="0" distB="0" distL="0" distR="0" wp14:anchorId="1909820E" wp14:editId="1CCF1566">
          <wp:extent cx="2203708" cy="53644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BF" w:rsidRDefault="00664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Default="004000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1F3912" w:rsidRDefault="000420F2" w:rsidP="00017440">
    <w:pPr>
      <w:pStyle w:val="HeaderOdd"/>
    </w:pPr>
    <w:fldSimple w:instr=" STYLEREF  &quot;Heading 1&quot;  \* MERGEFORMAT ">
      <w:r w:rsidR="00227A69">
        <w:rPr>
          <w:noProof/>
        </w:rPr>
        <w:t>Foreword</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65ABA" w:rsidRDefault="004000D0" w:rsidP="00065A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D0" w:rsidRPr="00065ABA" w:rsidRDefault="004000D0" w:rsidP="00065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2853A8"/>
    <w:multiLevelType w:val="hybridMultilevel"/>
    <w:tmpl w:val="692962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2FEBA"/>
    <w:multiLevelType w:val="hybridMultilevel"/>
    <w:tmpl w:val="625FEB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3F1161A"/>
    <w:multiLevelType w:val="hybridMultilevel"/>
    <w:tmpl w:val="2FD67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6390D96"/>
    <w:multiLevelType w:val="hybridMultilevel"/>
    <w:tmpl w:val="8DF01E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9ABA83"/>
    <w:multiLevelType w:val="hybridMultilevel"/>
    <w:tmpl w:val="B2328C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7D34185"/>
    <w:multiLevelType w:val="hybridMultilevel"/>
    <w:tmpl w:val="577738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FEA633"/>
    <w:multiLevelType w:val="hybridMultilevel"/>
    <w:tmpl w:val="BBBBFB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EB40783"/>
    <w:multiLevelType w:val="hybridMultilevel"/>
    <w:tmpl w:val="CE57B9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06ED35"/>
    <w:multiLevelType w:val="hybridMultilevel"/>
    <w:tmpl w:val="538737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07BCBB0"/>
    <w:multiLevelType w:val="hybridMultilevel"/>
    <w:tmpl w:val="7D257A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5679BE"/>
    <w:multiLevelType w:val="hybridMultilevel"/>
    <w:tmpl w:val="87FE8A0C"/>
    <w:lvl w:ilvl="0" w:tplc="0DB2A89C">
      <w:start w:val="1"/>
      <w:numFmt w:val="bullet"/>
      <w:pStyle w:val="Recommendation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DA26EE"/>
    <w:multiLevelType w:val="multilevel"/>
    <w:tmpl w:val="7EAE7834"/>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0AF2BFE0"/>
    <w:multiLevelType w:val="hybridMultilevel"/>
    <w:tmpl w:val="90DB63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CC4E5D"/>
    <w:multiLevelType w:val="multilevel"/>
    <w:tmpl w:val="D10E9CF6"/>
    <w:numStyleLink w:val="OneLevelList"/>
  </w:abstractNum>
  <w:abstractNum w:abstractNumId="1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20" w15:restartNumberingAfterBreak="0">
    <w:nsid w:val="1AE85D17"/>
    <w:multiLevelType w:val="multilevel"/>
    <w:tmpl w:val="960AA9D0"/>
    <w:lvl w:ilvl="0">
      <w:start w:val="1"/>
      <w:numFmt w:val="bullet"/>
      <w:pStyle w:val="Bullet"/>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0ABF09"/>
    <w:multiLevelType w:val="hybridMultilevel"/>
    <w:tmpl w:val="7894AE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EE573B0"/>
    <w:multiLevelType w:val="multilevel"/>
    <w:tmpl w:val="2866463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1921D87"/>
    <w:multiLevelType w:val="hybridMultilevel"/>
    <w:tmpl w:val="A878C3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08C2710"/>
    <w:multiLevelType w:val="multilevel"/>
    <w:tmpl w:val="C9DEEEFA"/>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7" w15:restartNumberingAfterBreak="0">
    <w:nsid w:val="316158F1"/>
    <w:multiLevelType w:val="hybridMultilevel"/>
    <w:tmpl w:val="3849D8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C1F022"/>
    <w:multiLevelType w:val="hybridMultilevel"/>
    <w:tmpl w:val="2D367E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1F9363C"/>
    <w:multiLevelType w:val="hybridMultilevel"/>
    <w:tmpl w:val="9AE49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2FF5FEA"/>
    <w:multiLevelType w:val="hybridMultilevel"/>
    <w:tmpl w:val="B8D67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6F86BAD"/>
    <w:multiLevelType w:val="multilevel"/>
    <w:tmpl w:val="5370506A"/>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5" w15:restartNumberingAfterBreak="0">
    <w:nsid w:val="510D2021"/>
    <w:multiLevelType w:val="multilevel"/>
    <w:tmpl w:val="72F8140E"/>
    <w:numStyleLink w:val="OutlineList"/>
  </w:abstractNum>
  <w:abstractNum w:abstractNumId="36" w15:restartNumberingAfterBreak="0">
    <w:nsid w:val="56D7047E"/>
    <w:multiLevelType w:val="hybridMultilevel"/>
    <w:tmpl w:val="96E571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2865AC"/>
    <w:multiLevelType w:val="multilevel"/>
    <w:tmpl w:val="5B00A1F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9641A23"/>
    <w:multiLevelType w:val="multilevel"/>
    <w:tmpl w:val="DFC898B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F71FF7"/>
    <w:multiLevelType w:val="multilevel"/>
    <w:tmpl w:val="C6FAFD1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4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24534A8"/>
    <w:multiLevelType w:val="hybridMultilevel"/>
    <w:tmpl w:val="AD40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631DFC"/>
    <w:multiLevelType w:val="multilevel"/>
    <w:tmpl w:val="A1104BA2"/>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F26A6C"/>
    <w:multiLevelType w:val="hybridMultilevel"/>
    <w:tmpl w:val="FEEC3A56"/>
    <w:lvl w:ilvl="0" w:tplc="A4BE7C44">
      <w:start w:val="1"/>
      <w:numFmt w:val="bullet"/>
      <w:pStyle w:val="TableTextLeft-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ED6F2A"/>
    <w:multiLevelType w:val="hybridMultilevel"/>
    <w:tmpl w:val="4EE62F38"/>
    <w:lvl w:ilvl="0" w:tplc="0C09000F">
      <w:start w:val="1"/>
      <w:numFmt w:val="decimal"/>
      <w:lvlText w:val="%1."/>
      <w:lvlJc w:val="left"/>
      <w:pPr>
        <w:ind w:left="360" w:hanging="360"/>
      </w:pPr>
    </w:lvl>
    <w:lvl w:ilvl="1" w:tplc="883E471A">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F508F99"/>
    <w:multiLevelType w:val="hybridMultilevel"/>
    <w:tmpl w:val="2C75DC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4AF7F4B"/>
    <w:multiLevelType w:val="hybridMultilevel"/>
    <w:tmpl w:val="E24103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7B5A20D"/>
    <w:multiLevelType w:val="hybridMultilevel"/>
    <w:tmpl w:val="7BDAFB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9A03CC1"/>
    <w:multiLevelType w:val="multilevel"/>
    <w:tmpl w:val="78B40CB4"/>
    <w:lvl w:ilvl="0">
      <w:start w:val="1"/>
      <w:numFmt w:val="bullet"/>
      <w:lvlText w:val="•"/>
      <w:lvlJc w:val="left"/>
      <w:pPr>
        <w:tabs>
          <w:tab w:val="num" w:pos="449"/>
        </w:tabs>
        <w:ind w:left="449" w:hanging="449"/>
      </w:pPr>
      <w:rPr>
        <w:rFonts w:ascii="Times New Roman" w:hAnsi="Times New Roman" w:cs="Times New Roman"/>
      </w:rPr>
    </w:lvl>
    <w:lvl w:ilvl="1">
      <w:start w:val="1"/>
      <w:numFmt w:val="bullet"/>
      <w:lvlText w:val="–"/>
      <w:lvlJc w:val="left"/>
      <w:pPr>
        <w:tabs>
          <w:tab w:val="num" w:pos="898"/>
        </w:tabs>
        <w:ind w:left="898" w:hanging="449"/>
      </w:pPr>
      <w:rPr>
        <w:rFonts w:ascii="Times New Roman" w:hAnsi="Times New Roman" w:cs="Times New Roman"/>
      </w:rPr>
    </w:lvl>
    <w:lvl w:ilvl="2">
      <w:start w:val="1"/>
      <w:numFmt w:val="bullet"/>
      <w:lvlText w:val=":"/>
      <w:lvlJc w:val="left"/>
      <w:pPr>
        <w:tabs>
          <w:tab w:val="num" w:pos="1347"/>
        </w:tabs>
        <w:ind w:left="1347" w:hanging="449"/>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6"/>
  </w:num>
  <w:num w:numId="2">
    <w:abstractNumId w:val="13"/>
  </w:num>
  <w:num w:numId="3">
    <w:abstractNumId w:val="29"/>
  </w:num>
  <w:num w:numId="4">
    <w:abstractNumId w:val="16"/>
  </w:num>
  <w:num w:numId="5">
    <w:abstractNumId w:val="17"/>
  </w:num>
  <w:num w:numId="6">
    <w:abstractNumId w:val="35"/>
  </w:num>
  <w:num w:numId="7">
    <w:abstractNumId w:val="2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8"/>
  </w:num>
  <w:num w:numId="9">
    <w:abstractNumId w:val="25"/>
  </w:num>
  <w:num w:numId="10">
    <w:abstractNumId w:val="28"/>
  </w:num>
  <w:num w:numId="11">
    <w:abstractNumId w:val="19"/>
  </w:num>
  <w:num w:numId="12">
    <w:abstractNumId w:val="11"/>
  </w:num>
  <w:num w:numId="13">
    <w:abstractNumId w:val="43"/>
  </w:num>
  <w:num w:numId="14">
    <w:abstractNumId w:val="20"/>
  </w:num>
  <w:num w:numId="15">
    <w:abstractNumId w:val="31"/>
  </w:num>
  <w:num w:numId="16">
    <w:abstractNumId w:val="15"/>
  </w:num>
  <w:num w:numId="17">
    <w:abstractNumId w:val="50"/>
  </w:num>
  <w:num w:numId="18">
    <w:abstractNumId w:val="51"/>
  </w:num>
  <w:num w:numId="19">
    <w:abstractNumId w:val="34"/>
  </w:num>
  <w:num w:numId="20">
    <w:abstractNumId w:val="24"/>
  </w:num>
  <w:num w:numId="21">
    <w:abstractNumId w:val="40"/>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9"/>
  </w:num>
  <w:num w:numId="25">
    <w:abstractNumId w:val="38"/>
  </w:num>
  <w:num w:numId="26">
    <w:abstractNumId w:val="37"/>
  </w:num>
  <w:num w:numId="27">
    <w:abstractNumId w:val="22"/>
  </w:num>
  <w:num w:numId="28">
    <w:abstractNumId w:val="0"/>
  </w:num>
  <w:num w:numId="29">
    <w:abstractNumId w:val="1"/>
  </w:num>
  <w:num w:numId="30">
    <w:abstractNumId w:val="9"/>
  </w:num>
  <w:num w:numId="31">
    <w:abstractNumId w:val="23"/>
  </w:num>
  <w:num w:numId="32">
    <w:abstractNumId w:val="27"/>
  </w:num>
  <w:num w:numId="33">
    <w:abstractNumId w:val="21"/>
  </w:num>
  <w:num w:numId="34">
    <w:abstractNumId w:val="5"/>
  </w:num>
  <w:num w:numId="35">
    <w:abstractNumId w:val="3"/>
  </w:num>
  <w:num w:numId="36">
    <w:abstractNumId w:val="36"/>
  </w:num>
  <w:num w:numId="37">
    <w:abstractNumId w:val="48"/>
  </w:num>
  <w:num w:numId="38">
    <w:abstractNumId w:val="46"/>
  </w:num>
  <w:num w:numId="39">
    <w:abstractNumId w:val="7"/>
  </w:num>
  <w:num w:numId="40">
    <w:abstractNumId w:val="14"/>
  </w:num>
  <w:num w:numId="41">
    <w:abstractNumId w:val="45"/>
  </w:num>
  <w:num w:numId="42">
    <w:abstractNumId w:val="4"/>
  </w:num>
  <w:num w:numId="43">
    <w:abstractNumId w:val="6"/>
  </w:num>
  <w:num w:numId="44">
    <w:abstractNumId w:val="8"/>
  </w:num>
  <w:num w:numId="45">
    <w:abstractNumId w:val="30"/>
  </w:num>
  <w:num w:numId="46">
    <w:abstractNumId w:val="2"/>
  </w:num>
  <w:num w:numId="4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32"/>
  </w:num>
  <w:num w:numId="50">
    <w:abstractNumId w:val="31"/>
  </w:num>
  <w:num w:numId="51">
    <w:abstractNumId w:val="12"/>
  </w:num>
  <w:num w:numId="52">
    <w:abstractNumId w:val="42"/>
  </w:num>
  <w:num w:numId="53">
    <w:abstractNumId w:val="26"/>
  </w:num>
  <w:num w:numId="54">
    <w:abstractNumId w:val="49"/>
  </w:num>
  <w:num w:numId="55">
    <w:abstractNumId w:val="20"/>
  </w:num>
  <w:num w:numId="56">
    <w:abstractNumId w:val="20"/>
  </w:num>
  <w:num w:numId="57">
    <w:abstractNumId w:val="33"/>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D21134"/>
    <w:rsid w:val="0000004B"/>
    <w:rsid w:val="0000012B"/>
    <w:rsid w:val="000002BC"/>
    <w:rsid w:val="000007BF"/>
    <w:rsid w:val="00000935"/>
    <w:rsid w:val="00000D27"/>
    <w:rsid w:val="00000EA5"/>
    <w:rsid w:val="00000FD7"/>
    <w:rsid w:val="000010B9"/>
    <w:rsid w:val="00001839"/>
    <w:rsid w:val="00001949"/>
    <w:rsid w:val="00001D29"/>
    <w:rsid w:val="00002173"/>
    <w:rsid w:val="00002207"/>
    <w:rsid w:val="00002860"/>
    <w:rsid w:val="0000313F"/>
    <w:rsid w:val="000037CF"/>
    <w:rsid w:val="0000395E"/>
    <w:rsid w:val="00003F21"/>
    <w:rsid w:val="000042B0"/>
    <w:rsid w:val="000043B2"/>
    <w:rsid w:val="0000481E"/>
    <w:rsid w:val="00004B0F"/>
    <w:rsid w:val="00004D22"/>
    <w:rsid w:val="00004DE9"/>
    <w:rsid w:val="00005050"/>
    <w:rsid w:val="00005143"/>
    <w:rsid w:val="00005152"/>
    <w:rsid w:val="00005197"/>
    <w:rsid w:val="00005241"/>
    <w:rsid w:val="00005BA9"/>
    <w:rsid w:val="00005DC3"/>
    <w:rsid w:val="00006552"/>
    <w:rsid w:val="00006AE7"/>
    <w:rsid w:val="00006D55"/>
    <w:rsid w:val="00006E93"/>
    <w:rsid w:val="00006F05"/>
    <w:rsid w:val="0000745D"/>
    <w:rsid w:val="000077D1"/>
    <w:rsid w:val="000079A3"/>
    <w:rsid w:val="00007AA2"/>
    <w:rsid w:val="00007CC9"/>
    <w:rsid w:val="00007FA7"/>
    <w:rsid w:val="00007FFA"/>
    <w:rsid w:val="000101E7"/>
    <w:rsid w:val="000104EA"/>
    <w:rsid w:val="00010E0C"/>
    <w:rsid w:val="00011359"/>
    <w:rsid w:val="000113F7"/>
    <w:rsid w:val="00011725"/>
    <w:rsid w:val="000117BF"/>
    <w:rsid w:val="00011F1A"/>
    <w:rsid w:val="0001279B"/>
    <w:rsid w:val="00012969"/>
    <w:rsid w:val="00012ABD"/>
    <w:rsid w:val="00012C62"/>
    <w:rsid w:val="00013255"/>
    <w:rsid w:val="00013261"/>
    <w:rsid w:val="000137CE"/>
    <w:rsid w:val="000138B5"/>
    <w:rsid w:val="0001397D"/>
    <w:rsid w:val="00013B65"/>
    <w:rsid w:val="00013BB0"/>
    <w:rsid w:val="00013F0C"/>
    <w:rsid w:val="00013F55"/>
    <w:rsid w:val="0001402F"/>
    <w:rsid w:val="00014250"/>
    <w:rsid w:val="0001489F"/>
    <w:rsid w:val="00014965"/>
    <w:rsid w:val="00014CAB"/>
    <w:rsid w:val="00014FAA"/>
    <w:rsid w:val="000150D6"/>
    <w:rsid w:val="0001513E"/>
    <w:rsid w:val="0001555C"/>
    <w:rsid w:val="00015666"/>
    <w:rsid w:val="00015A33"/>
    <w:rsid w:val="00015FED"/>
    <w:rsid w:val="00016011"/>
    <w:rsid w:val="0001634A"/>
    <w:rsid w:val="000165DD"/>
    <w:rsid w:val="00016A0B"/>
    <w:rsid w:val="00016A63"/>
    <w:rsid w:val="00016E02"/>
    <w:rsid w:val="0001718B"/>
    <w:rsid w:val="00017290"/>
    <w:rsid w:val="00017360"/>
    <w:rsid w:val="00017440"/>
    <w:rsid w:val="00017911"/>
    <w:rsid w:val="00017DBB"/>
    <w:rsid w:val="00017DF0"/>
    <w:rsid w:val="000204B3"/>
    <w:rsid w:val="00020C58"/>
    <w:rsid w:val="00021063"/>
    <w:rsid w:val="00021446"/>
    <w:rsid w:val="000216F7"/>
    <w:rsid w:val="00021FF6"/>
    <w:rsid w:val="000223C4"/>
    <w:rsid w:val="00022440"/>
    <w:rsid w:val="0002254C"/>
    <w:rsid w:val="000226F0"/>
    <w:rsid w:val="00022B96"/>
    <w:rsid w:val="00022C0D"/>
    <w:rsid w:val="00022F99"/>
    <w:rsid w:val="00023339"/>
    <w:rsid w:val="000237EF"/>
    <w:rsid w:val="00023B1D"/>
    <w:rsid w:val="00023BD7"/>
    <w:rsid w:val="00023D80"/>
    <w:rsid w:val="00023D96"/>
    <w:rsid w:val="00023F51"/>
    <w:rsid w:val="0002409D"/>
    <w:rsid w:val="00024204"/>
    <w:rsid w:val="000242F9"/>
    <w:rsid w:val="000245B0"/>
    <w:rsid w:val="00024619"/>
    <w:rsid w:val="000246E0"/>
    <w:rsid w:val="0002475C"/>
    <w:rsid w:val="000248B7"/>
    <w:rsid w:val="00024968"/>
    <w:rsid w:val="00024A00"/>
    <w:rsid w:val="00024A66"/>
    <w:rsid w:val="00024C79"/>
    <w:rsid w:val="00024D4B"/>
    <w:rsid w:val="00024DC6"/>
    <w:rsid w:val="00024EA0"/>
    <w:rsid w:val="0002544D"/>
    <w:rsid w:val="00025499"/>
    <w:rsid w:val="00025684"/>
    <w:rsid w:val="00025805"/>
    <w:rsid w:val="000259A6"/>
    <w:rsid w:val="00025B76"/>
    <w:rsid w:val="00025DAF"/>
    <w:rsid w:val="0002641A"/>
    <w:rsid w:val="0002644B"/>
    <w:rsid w:val="00026463"/>
    <w:rsid w:val="000265A9"/>
    <w:rsid w:val="0002671B"/>
    <w:rsid w:val="00026DFE"/>
    <w:rsid w:val="000272D7"/>
    <w:rsid w:val="00027A30"/>
    <w:rsid w:val="00027ECF"/>
    <w:rsid w:val="00030111"/>
    <w:rsid w:val="00030D0E"/>
    <w:rsid w:val="0003116F"/>
    <w:rsid w:val="00031343"/>
    <w:rsid w:val="00031504"/>
    <w:rsid w:val="000316BD"/>
    <w:rsid w:val="00031A01"/>
    <w:rsid w:val="00031BFC"/>
    <w:rsid w:val="000326A7"/>
    <w:rsid w:val="0003287B"/>
    <w:rsid w:val="0003297F"/>
    <w:rsid w:val="00032DA5"/>
    <w:rsid w:val="000331D3"/>
    <w:rsid w:val="00033398"/>
    <w:rsid w:val="000333E4"/>
    <w:rsid w:val="0003388F"/>
    <w:rsid w:val="000338AD"/>
    <w:rsid w:val="000339CB"/>
    <w:rsid w:val="00033F25"/>
    <w:rsid w:val="000347BF"/>
    <w:rsid w:val="0003499A"/>
    <w:rsid w:val="00034CEA"/>
    <w:rsid w:val="0003514F"/>
    <w:rsid w:val="0003529C"/>
    <w:rsid w:val="0003575F"/>
    <w:rsid w:val="000358B0"/>
    <w:rsid w:val="000359D7"/>
    <w:rsid w:val="00035A43"/>
    <w:rsid w:val="00035B3D"/>
    <w:rsid w:val="00035E71"/>
    <w:rsid w:val="00036014"/>
    <w:rsid w:val="0003657B"/>
    <w:rsid w:val="000367F2"/>
    <w:rsid w:val="000369F0"/>
    <w:rsid w:val="00036E06"/>
    <w:rsid w:val="00036F57"/>
    <w:rsid w:val="00036FA5"/>
    <w:rsid w:val="00036FB7"/>
    <w:rsid w:val="00037042"/>
    <w:rsid w:val="000373DD"/>
    <w:rsid w:val="00037737"/>
    <w:rsid w:val="00037801"/>
    <w:rsid w:val="000379C5"/>
    <w:rsid w:val="00037A89"/>
    <w:rsid w:val="00037B0C"/>
    <w:rsid w:val="00037D90"/>
    <w:rsid w:val="00040279"/>
    <w:rsid w:val="000404BC"/>
    <w:rsid w:val="00040B72"/>
    <w:rsid w:val="00041010"/>
    <w:rsid w:val="0004101C"/>
    <w:rsid w:val="000412B0"/>
    <w:rsid w:val="000413EE"/>
    <w:rsid w:val="0004157B"/>
    <w:rsid w:val="00041E87"/>
    <w:rsid w:val="000420F2"/>
    <w:rsid w:val="00042205"/>
    <w:rsid w:val="00042482"/>
    <w:rsid w:val="0004274D"/>
    <w:rsid w:val="00042B0C"/>
    <w:rsid w:val="00042C46"/>
    <w:rsid w:val="00042D33"/>
    <w:rsid w:val="00042F17"/>
    <w:rsid w:val="00043155"/>
    <w:rsid w:val="000431B2"/>
    <w:rsid w:val="00043348"/>
    <w:rsid w:val="00043C5E"/>
    <w:rsid w:val="00043F48"/>
    <w:rsid w:val="000441C1"/>
    <w:rsid w:val="000441F8"/>
    <w:rsid w:val="000447C7"/>
    <w:rsid w:val="00044811"/>
    <w:rsid w:val="00044822"/>
    <w:rsid w:val="0004483F"/>
    <w:rsid w:val="00044C63"/>
    <w:rsid w:val="0004507D"/>
    <w:rsid w:val="000451F8"/>
    <w:rsid w:val="000457FA"/>
    <w:rsid w:val="000460D3"/>
    <w:rsid w:val="0004644A"/>
    <w:rsid w:val="000469BC"/>
    <w:rsid w:val="000470A0"/>
    <w:rsid w:val="00047D7F"/>
    <w:rsid w:val="000502B5"/>
    <w:rsid w:val="0005031A"/>
    <w:rsid w:val="00050698"/>
    <w:rsid w:val="00050879"/>
    <w:rsid w:val="00050A0B"/>
    <w:rsid w:val="00050FC5"/>
    <w:rsid w:val="0005111A"/>
    <w:rsid w:val="00051272"/>
    <w:rsid w:val="0005138B"/>
    <w:rsid w:val="000515F2"/>
    <w:rsid w:val="000516BD"/>
    <w:rsid w:val="00051A8F"/>
    <w:rsid w:val="00051D25"/>
    <w:rsid w:val="00051D85"/>
    <w:rsid w:val="00051E9B"/>
    <w:rsid w:val="000522B7"/>
    <w:rsid w:val="00052359"/>
    <w:rsid w:val="00052742"/>
    <w:rsid w:val="00052993"/>
    <w:rsid w:val="000531A6"/>
    <w:rsid w:val="0005380B"/>
    <w:rsid w:val="00053C46"/>
    <w:rsid w:val="00053E35"/>
    <w:rsid w:val="00053EF9"/>
    <w:rsid w:val="0005413A"/>
    <w:rsid w:val="0005480F"/>
    <w:rsid w:val="0005497C"/>
    <w:rsid w:val="00054C3F"/>
    <w:rsid w:val="00055216"/>
    <w:rsid w:val="00055762"/>
    <w:rsid w:val="00055D79"/>
    <w:rsid w:val="00055EE4"/>
    <w:rsid w:val="000564C4"/>
    <w:rsid w:val="00056763"/>
    <w:rsid w:val="00056771"/>
    <w:rsid w:val="00056880"/>
    <w:rsid w:val="00056D3D"/>
    <w:rsid w:val="000570E6"/>
    <w:rsid w:val="00057304"/>
    <w:rsid w:val="00057371"/>
    <w:rsid w:val="000573C8"/>
    <w:rsid w:val="000575DD"/>
    <w:rsid w:val="0005799A"/>
    <w:rsid w:val="00057B74"/>
    <w:rsid w:val="00057BD3"/>
    <w:rsid w:val="00057D16"/>
    <w:rsid w:val="00060370"/>
    <w:rsid w:val="000603D2"/>
    <w:rsid w:val="00060658"/>
    <w:rsid w:val="00061676"/>
    <w:rsid w:val="00061BF8"/>
    <w:rsid w:val="00061CB7"/>
    <w:rsid w:val="00062208"/>
    <w:rsid w:val="00062256"/>
    <w:rsid w:val="00062778"/>
    <w:rsid w:val="0006297C"/>
    <w:rsid w:val="0006332D"/>
    <w:rsid w:val="000633A8"/>
    <w:rsid w:val="00063500"/>
    <w:rsid w:val="00063595"/>
    <w:rsid w:val="0006368E"/>
    <w:rsid w:val="000638A6"/>
    <w:rsid w:val="00063BDF"/>
    <w:rsid w:val="0006438E"/>
    <w:rsid w:val="0006447C"/>
    <w:rsid w:val="000647B9"/>
    <w:rsid w:val="00064B04"/>
    <w:rsid w:val="00064B6A"/>
    <w:rsid w:val="000651E9"/>
    <w:rsid w:val="00065427"/>
    <w:rsid w:val="00065ABA"/>
    <w:rsid w:val="00065E9B"/>
    <w:rsid w:val="00065FA0"/>
    <w:rsid w:val="000662F3"/>
    <w:rsid w:val="000665CD"/>
    <w:rsid w:val="000667E7"/>
    <w:rsid w:val="000668E6"/>
    <w:rsid w:val="00066906"/>
    <w:rsid w:val="0006726A"/>
    <w:rsid w:val="000675D1"/>
    <w:rsid w:val="00067846"/>
    <w:rsid w:val="000679B6"/>
    <w:rsid w:val="00067C39"/>
    <w:rsid w:val="00067CD6"/>
    <w:rsid w:val="00067D52"/>
    <w:rsid w:val="00067DFD"/>
    <w:rsid w:val="00067E74"/>
    <w:rsid w:val="00070A67"/>
    <w:rsid w:val="00071188"/>
    <w:rsid w:val="0007121B"/>
    <w:rsid w:val="00071286"/>
    <w:rsid w:val="0007143A"/>
    <w:rsid w:val="00071940"/>
    <w:rsid w:val="00071C0D"/>
    <w:rsid w:val="00071E5B"/>
    <w:rsid w:val="00071F7F"/>
    <w:rsid w:val="00071FA2"/>
    <w:rsid w:val="00072296"/>
    <w:rsid w:val="000722E6"/>
    <w:rsid w:val="00072449"/>
    <w:rsid w:val="0007255C"/>
    <w:rsid w:val="00072966"/>
    <w:rsid w:val="0007315B"/>
    <w:rsid w:val="000731CA"/>
    <w:rsid w:val="00073521"/>
    <w:rsid w:val="00073A02"/>
    <w:rsid w:val="00073D27"/>
    <w:rsid w:val="00073DD8"/>
    <w:rsid w:val="0007466C"/>
    <w:rsid w:val="00074789"/>
    <w:rsid w:val="000749A6"/>
    <w:rsid w:val="00074B10"/>
    <w:rsid w:val="00074E88"/>
    <w:rsid w:val="00075208"/>
    <w:rsid w:val="000752C1"/>
    <w:rsid w:val="000753BA"/>
    <w:rsid w:val="00075C5F"/>
    <w:rsid w:val="000761BC"/>
    <w:rsid w:val="00076244"/>
    <w:rsid w:val="00076706"/>
    <w:rsid w:val="00076A0E"/>
    <w:rsid w:val="00076E86"/>
    <w:rsid w:val="00077170"/>
    <w:rsid w:val="000775DE"/>
    <w:rsid w:val="00077976"/>
    <w:rsid w:val="00077D6D"/>
    <w:rsid w:val="00077FCA"/>
    <w:rsid w:val="0008006E"/>
    <w:rsid w:val="000803CD"/>
    <w:rsid w:val="00080443"/>
    <w:rsid w:val="0008063C"/>
    <w:rsid w:val="000807A1"/>
    <w:rsid w:val="00080945"/>
    <w:rsid w:val="00080B02"/>
    <w:rsid w:val="00080EB2"/>
    <w:rsid w:val="000815CA"/>
    <w:rsid w:val="00081C04"/>
    <w:rsid w:val="00081C22"/>
    <w:rsid w:val="00081F26"/>
    <w:rsid w:val="000821B2"/>
    <w:rsid w:val="0008229B"/>
    <w:rsid w:val="00082318"/>
    <w:rsid w:val="00082616"/>
    <w:rsid w:val="000828B0"/>
    <w:rsid w:val="00082994"/>
    <w:rsid w:val="00082A4A"/>
    <w:rsid w:val="00082DE7"/>
    <w:rsid w:val="0008337E"/>
    <w:rsid w:val="00083831"/>
    <w:rsid w:val="00083B75"/>
    <w:rsid w:val="00083CDF"/>
    <w:rsid w:val="00083D16"/>
    <w:rsid w:val="000846AB"/>
    <w:rsid w:val="00085AC3"/>
    <w:rsid w:val="00085AD4"/>
    <w:rsid w:val="00085C7B"/>
    <w:rsid w:val="000860C7"/>
    <w:rsid w:val="00086507"/>
    <w:rsid w:val="00086D25"/>
    <w:rsid w:val="00086FC3"/>
    <w:rsid w:val="0008705E"/>
    <w:rsid w:val="0008757B"/>
    <w:rsid w:val="000877E1"/>
    <w:rsid w:val="000879F3"/>
    <w:rsid w:val="00087A67"/>
    <w:rsid w:val="00087AAE"/>
    <w:rsid w:val="00087C50"/>
    <w:rsid w:val="00087F82"/>
    <w:rsid w:val="00087FA8"/>
    <w:rsid w:val="00087FAF"/>
    <w:rsid w:val="00090371"/>
    <w:rsid w:val="0009097A"/>
    <w:rsid w:val="00090C79"/>
    <w:rsid w:val="000910F7"/>
    <w:rsid w:val="000911CA"/>
    <w:rsid w:val="000915ED"/>
    <w:rsid w:val="000915F0"/>
    <w:rsid w:val="00091B69"/>
    <w:rsid w:val="00091D41"/>
    <w:rsid w:val="000921B2"/>
    <w:rsid w:val="000922E5"/>
    <w:rsid w:val="000927A3"/>
    <w:rsid w:val="00092ADB"/>
    <w:rsid w:val="00092CDA"/>
    <w:rsid w:val="00092F2A"/>
    <w:rsid w:val="0009328D"/>
    <w:rsid w:val="000932E1"/>
    <w:rsid w:val="00093547"/>
    <w:rsid w:val="00093948"/>
    <w:rsid w:val="00093C87"/>
    <w:rsid w:val="00093F1C"/>
    <w:rsid w:val="000941FA"/>
    <w:rsid w:val="00094442"/>
    <w:rsid w:val="00094624"/>
    <w:rsid w:val="0009482E"/>
    <w:rsid w:val="00094F2E"/>
    <w:rsid w:val="0009541D"/>
    <w:rsid w:val="00095437"/>
    <w:rsid w:val="00095677"/>
    <w:rsid w:val="00095827"/>
    <w:rsid w:val="00095BB6"/>
    <w:rsid w:val="000960E6"/>
    <w:rsid w:val="00096732"/>
    <w:rsid w:val="00096B73"/>
    <w:rsid w:val="00097E63"/>
    <w:rsid w:val="000A0126"/>
    <w:rsid w:val="000A01BA"/>
    <w:rsid w:val="000A0545"/>
    <w:rsid w:val="000A09D2"/>
    <w:rsid w:val="000A0C89"/>
    <w:rsid w:val="000A0CF0"/>
    <w:rsid w:val="000A0EF8"/>
    <w:rsid w:val="000A1000"/>
    <w:rsid w:val="000A1A37"/>
    <w:rsid w:val="000A1A54"/>
    <w:rsid w:val="000A1BCE"/>
    <w:rsid w:val="000A1D98"/>
    <w:rsid w:val="000A1F1B"/>
    <w:rsid w:val="000A230C"/>
    <w:rsid w:val="000A246F"/>
    <w:rsid w:val="000A2492"/>
    <w:rsid w:val="000A2D84"/>
    <w:rsid w:val="000A2DEB"/>
    <w:rsid w:val="000A3089"/>
    <w:rsid w:val="000A3214"/>
    <w:rsid w:val="000A3405"/>
    <w:rsid w:val="000A34E9"/>
    <w:rsid w:val="000A350D"/>
    <w:rsid w:val="000A39DE"/>
    <w:rsid w:val="000A3A54"/>
    <w:rsid w:val="000A3D07"/>
    <w:rsid w:val="000A3F13"/>
    <w:rsid w:val="000A46BB"/>
    <w:rsid w:val="000A477D"/>
    <w:rsid w:val="000A49E3"/>
    <w:rsid w:val="000A5103"/>
    <w:rsid w:val="000A53E9"/>
    <w:rsid w:val="000A5443"/>
    <w:rsid w:val="000A57DC"/>
    <w:rsid w:val="000A5B0A"/>
    <w:rsid w:val="000A5CB4"/>
    <w:rsid w:val="000A5D48"/>
    <w:rsid w:val="000A609C"/>
    <w:rsid w:val="000A65FC"/>
    <w:rsid w:val="000A6796"/>
    <w:rsid w:val="000A68B4"/>
    <w:rsid w:val="000A6B3C"/>
    <w:rsid w:val="000A6D05"/>
    <w:rsid w:val="000A7637"/>
    <w:rsid w:val="000A7711"/>
    <w:rsid w:val="000A7A04"/>
    <w:rsid w:val="000A7AA0"/>
    <w:rsid w:val="000A7E66"/>
    <w:rsid w:val="000A7F69"/>
    <w:rsid w:val="000B0090"/>
    <w:rsid w:val="000B08B4"/>
    <w:rsid w:val="000B0BAD"/>
    <w:rsid w:val="000B128E"/>
    <w:rsid w:val="000B12C9"/>
    <w:rsid w:val="000B151F"/>
    <w:rsid w:val="000B1777"/>
    <w:rsid w:val="000B1A85"/>
    <w:rsid w:val="000B1BF1"/>
    <w:rsid w:val="000B1C00"/>
    <w:rsid w:val="000B1DF5"/>
    <w:rsid w:val="000B212E"/>
    <w:rsid w:val="000B2396"/>
    <w:rsid w:val="000B2507"/>
    <w:rsid w:val="000B2625"/>
    <w:rsid w:val="000B26C3"/>
    <w:rsid w:val="000B2DDE"/>
    <w:rsid w:val="000B2DEB"/>
    <w:rsid w:val="000B3245"/>
    <w:rsid w:val="000B3555"/>
    <w:rsid w:val="000B35D9"/>
    <w:rsid w:val="000B36DE"/>
    <w:rsid w:val="000B37D9"/>
    <w:rsid w:val="000B3B2A"/>
    <w:rsid w:val="000B3F6E"/>
    <w:rsid w:val="000B4C5A"/>
    <w:rsid w:val="000B4D04"/>
    <w:rsid w:val="000B4ECE"/>
    <w:rsid w:val="000B55AC"/>
    <w:rsid w:val="000B55F8"/>
    <w:rsid w:val="000B5A9C"/>
    <w:rsid w:val="000B5C93"/>
    <w:rsid w:val="000B5EA3"/>
    <w:rsid w:val="000B614C"/>
    <w:rsid w:val="000B64B5"/>
    <w:rsid w:val="000B69B2"/>
    <w:rsid w:val="000B6A82"/>
    <w:rsid w:val="000B6DA8"/>
    <w:rsid w:val="000B6E2B"/>
    <w:rsid w:val="000B6E5E"/>
    <w:rsid w:val="000B764A"/>
    <w:rsid w:val="000B7A18"/>
    <w:rsid w:val="000B7DDE"/>
    <w:rsid w:val="000B7EF9"/>
    <w:rsid w:val="000C0535"/>
    <w:rsid w:val="000C07B7"/>
    <w:rsid w:val="000C081C"/>
    <w:rsid w:val="000C0887"/>
    <w:rsid w:val="000C0C55"/>
    <w:rsid w:val="000C0D2C"/>
    <w:rsid w:val="000C0D77"/>
    <w:rsid w:val="000C0EBF"/>
    <w:rsid w:val="000C10EA"/>
    <w:rsid w:val="000C19D7"/>
    <w:rsid w:val="000C1A5D"/>
    <w:rsid w:val="000C2AD9"/>
    <w:rsid w:val="000C2B53"/>
    <w:rsid w:val="000C2D4C"/>
    <w:rsid w:val="000C2D89"/>
    <w:rsid w:val="000C2E31"/>
    <w:rsid w:val="000C2F30"/>
    <w:rsid w:val="000C3660"/>
    <w:rsid w:val="000C36F1"/>
    <w:rsid w:val="000C3B2E"/>
    <w:rsid w:val="000C3E57"/>
    <w:rsid w:val="000C4782"/>
    <w:rsid w:val="000C4864"/>
    <w:rsid w:val="000C4DA9"/>
    <w:rsid w:val="000C5288"/>
    <w:rsid w:val="000C5362"/>
    <w:rsid w:val="000C571D"/>
    <w:rsid w:val="000C5934"/>
    <w:rsid w:val="000C5BE9"/>
    <w:rsid w:val="000C5BEE"/>
    <w:rsid w:val="000C5F40"/>
    <w:rsid w:val="000C5F49"/>
    <w:rsid w:val="000C605E"/>
    <w:rsid w:val="000C60BA"/>
    <w:rsid w:val="000C728F"/>
    <w:rsid w:val="000C7347"/>
    <w:rsid w:val="000C75AF"/>
    <w:rsid w:val="000C773D"/>
    <w:rsid w:val="000C78EE"/>
    <w:rsid w:val="000C7A49"/>
    <w:rsid w:val="000C7CFB"/>
    <w:rsid w:val="000C7E4C"/>
    <w:rsid w:val="000D0486"/>
    <w:rsid w:val="000D086B"/>
    <w:rsid w:val="000D0996"/>
    <w:rsid w:val="000D0DCF"/>
    <w:rsid w:val="000D0E0C"/>
    <w:rsid w:val="000D0E4E"/>
    <w:rsid w:val="000D10D2"/>
    <w:rsid w:val="000D1248"/>
    <w:rsid w:val="000D14A0"/>
    <w:rsid w:val="000D14BB"/>
    <w:rsid w:val="000D1713"/>
    <w:rsid w:val="000D1755"/>
    <w:rsid w:val="000D1981"/>
    <w:rsid w:val="000D1BB3"/>
    <w:rsid w:val="000D1DCB"/>
    <w:rsid w:val="000D224A"/>
    <w:rsid w:val="000D226E"/>
    <w:rsid w:val="000D232D"/>
    <w:rsid w:val="000D24FB"/>
    <w:rsid w:val="000D26C6"/>
    <w:rsid w:val="000D316B"/>
    <w:rsid w:val="000D318F"/>
    <w:rsid w:val="000D32E5"/>
    <w:rsid w:val="000D353B"/>
    <w:rsid w:val="000D3584"/>
    <w:rsid w:val="000D365F"/>
    <w:rsid w:val="000D366D"/>
    <w:rsid w:val="000D38F0"/>
    <w:rsid w:val="000D3970"/>
    <w:rsid w:val="000D3BA7"/>
    <w:rsid w:val="000D3DED"/>
    <w:rsid w:val="000D4B98"/>
    <w:rsid w:val="000D4E49"/>
    <w:rsid w:val="000D4FB5"/>
    <w:rsid w:val="000D5260"/>
    <w:rsid w:val="000D55DB"/>
    <w:rsid w:val="000D615B"/>
    <w:rsid w:val="000D630F"/>
    <w:rsid w:val="000D644C"/>
    <w:rsid w:val="000D6471"/>
    <w:rsid w:val="000D6514"/>
    <w:rsid w:val="000D733D"/>
    <w:rsid w:val="000D7871"/>
    <w:rsid w:val="000D7BF9"/>
    <w:rsid w:val="000D7D3B"/>
    <w:rsid w:val="000E06D6"/>
    <w:rsid w:val="000E088E"/>
    <w:rsid w:val="000E09E2"/>
    <w:rsid w:val="000E0B74"/>
    <w:rsid w:val="000E1138"/>
    <w:rsid w:val="000E12AC"/>
    <w:rsid w:val="000E1695"/>
    <w:rsid w:val="000E1E18"/>
    <w:rsid w:val="000E2316"/>
    <w:rsid w:val="000E2CC4"/>
    <w:rsid w:val="000E329E"/>
    <w:rsid w:val="000E360D"/>
    <w:rsid w:val="000E3731"/>
    <w:rsid w:val="000E38E1"/>
    <w:rsid w:val="000E39EA"/>
    <w:rsid w:val="000E3D31"/>
    <w:rsid w:val="000E465B"/>
    <w:rsid w:val="000E4D0A"/>
    <w:rsid w:val="000E4E4B"/>
    <w:rsid w:val="000E4F5D"/>
    <w:rsid w:val="000E5222"/>
    <w:rsid w:val="000E54F7"/>
    <w:rsid w:val="000E5600"/>
    <w:rsid w:val="000E5662"/>
    <w:rsid w:val="000E5A02"/>
    <w:rsid w:val="000E5CB3"/>
    <w:rsid w:val="000E5CF6"/>
    <w:rsid w:val="000E5DEA"/>
    <w:rsid w:val="000E62D1"/>
    <w:rsid w:val="000E67DD"/>
    <w:rsid w:val="000E6B0A"/>
    <w:rsid w:val="000E6B77"/>
    <w:rsid w:val="000E704E"/>
    <w:rsid w:val="000E7078"/>
    <w:rsid w:val="000E7142"/>
    <w:rsid w:val="000E75F2"/>
    <w:rsid w:val="000E776F"/>
    <w:rsid w:val="000E7901"/>
    <w:rsid w:val="000E7C87"/>
    <w:rsid w:val="000E7DED"/>
    <w:rsid w:val="000E7DFF"/>
    <w:rsid w:val="000F0545"/>
    <w:rsid w:val="000F05C6"/>
    <w:rsid w:val="000F1292"/>
    <w:rsid w:val="000F129A"/>
    <w:rsid w:val="000F1617"/>
    <w:rsid w:val="000F2256"/>
    <w:rsid w:val="000F225D"/>
    <w:rsid w:val="000F23DD"/>
    <w:rsid w:val="000F2689"/>
    <w:rsid w:val="000F273E"/>
    <w:rsid w:val="000F2A64"/>
    <w:rsid w:val="000F2B45"/>
    <w:rsid w:val="000F2EA8"/>
    <w:rsid w:val="000F3083"/>
    <w:rsid w:val="000F319B"/>
    <w:rsid w:val="000F31F4"/>
    <w:rsid w:val="000F321C"/>
    <w:rsid w:val="000F35CA"/>
    <w:rsid w:val="000F3741"/>
    <w:rsid w:val="000F4628"/>
    <w:rsid w:val="000F46BC"/>
    <w:rsid w:val="000F490E"/>
    <w:rsid w:val="000F4C84"/>
    <w:rsid w:val="000F4DD1"/>
    <w:rsid w:val="000F4E04"/>
    <w:rsid w:val="000F50BC"/>
    <w:rsid w:val="000F572C"/>
    <w:rsid w:val="000F584F"/>
    <w:rsid w:val="000F5BF8"/>
    <w:rsid w:val="000F5FA6"/>
    <w:rsid w:val="000F5FD5"/>
    <w:rsid w:val="000F6306"/>
    <w:rsid w:val="000F6B1F"/>
    <w:rsid w:val="000F6CC1"/>
    <w:rsid w:val="000F6EB1"/>
    <w:rsid w:val="000F6EB5"/>
    <w:rsid w:val="000F6F7E"/>
    <w:rsid w:val="000F761B"/>
    <w:rsid w:val="000F7763"/>
    <w:rsid w:val="000F7A64"/>
    <w:rsid w:val="000F7A85"/>
    <w:rsid w:val="000F7B0D"/>
    <w:rsid w:val="000F7D86"/>
    <w:rsid w:val="000F7E95"/>
    <w:rsid w:val="00100220"/>
    <w:rsid w:val="00100626"/>
    <w:rsid w:val="0010065C"/>
    <w:rsid w:val="00100CB2"/>
    <w:rsid w:val="00100E68"/>
    <w:rsid w:val="00100EBC"/>
    <w:rsid w:val="00101208"/>
    <w:rsid w:val="00101521"/>
    <w:rsid w:val="001017E2"/>
    <w:rsid w:val="0010216D"/>
    <w:rsid w:val="0010263C"/>
    <w:rsid w:val="00102AB1"/>
    <w:rsid w:val="00102C19"/>
    <w:rsid w:val="001030D8"/>
    <w:rsid w:val="00103812"/>
    <w:rsid w:val="00104238"/>
    <w:rsid w:val="0010497E"/>
    <w:rsid w:val="001049F5"/>
    <w:rsid w:val="00104C26"/>
    <w:rsid w:val="00104D16"/>
    <w:rsid w:val="00104E7D"/>
    <w:rsid w:val="001059E6"/>
    <w:rsid w:val="00106035"/>
    <w:rsid w:val="00106048"/>
    <w:rsid w:val="00106150"/>
    <w:rsid w:val="00106174"/>
    <w:rsid w:val="001061AE"/>
    <w:rsid w:val="00106821"/>
    <w:rsid w:val="00106A36"/>
    <w:rsid w:val="00106E7C"/>
    <w:rsid w:val="00107164"/>
    <w:rsid w:val="00110423"/>
    <w:rsid w:val="00110814"/>
    <w:rsid w:val="00110EAC"/>
    <w:rsid w:val="00110F1D"/>
    <w:rsid w:val="0011112D"/>
    <w:rsid w:val="001113BE"/>
    <w:rsid w:val="00111B1E"/>
    <w:rsid w:val="00111E36"/>
    <w:rsid w:val="00111E91"/>
    <w:rsid w:val="00111F42"/>
    <w:rsid w:val="00112142"/>
    <w:rsid w:val="00112866"/>
    <w:rsid w:val="001128CC"/>
    <w:rsid w:val="00112E40"/>
    <w:rsid w:val="00112F58"/>
    <w:rsid w:val="001136BE"/>
    <w:rsid w:val="00113FB5"/>
    <w:rsid w:val="00114120"/>
    <w:rsid w:val="00114709"/>
    <w:rsid w:val="0011474C"/>
    <w:rsid w:val="00114A42"/>
    <w:rsid w:val="00114D49"/>
    <w:rsid w:val="00114F0F"/>
    <w:rsid w:val="00115558"/>
    <w:rsid w:val="001155EA"/>
    <w:rsid w:val="001155F3"/>
    <w:rsid w:val="00115AE4"/>
    <w:rsid w:val="00115AF9"/>
    <w:rsid w:val="00115CDE"/>
    <w:rsid w:val="00115CEF"/>
    <w:rsid w:val="0011629A"/>
    <w:rsid w:val="0011635F"/>
    <w:rsid w:val="00116555"/>
    <w:rsid w:val="001166E2"/>
    <w:rsid w:val="0011678C"/>
    <w:rsid w:val="0011709C"/>
    <w:rsid w:val="0011710C"/>
    <w:rsid w:val="001171BE"/>
    <w:rsid w:val="001172C5"/>
    <w:rsid w:val="00117635"/>
    <w:rsid w:val="0011767B"/>
    <w:rsid w:val="00117963"/>
    <w:rsid w:val="00117D12"/>
    <w:rsid w:val="00117D69"/>
    <w:rsid w:val="001202F2"/>
    <w:rsid w:val="001207AE"/>
    <w:rsid w:val="001207DD"/>
    <w:rsid w:val="00120933"/>
    <w:rsid w:val="00121579"/>
    <w:rsid w:val="001219B3"/>
    <w:rsid w:val="00121A24"/>
    <w:rsid w:val="00121D28"/>
    <w:rsid w:val="00122531"/>
    <w:rsid w:val="0012266B"/>
    <w:rsid w:val="00122954"/>
    <w:rsid w:val="0012298E"/>
    <w:rsid w:val="00122AAF"/>
    <w:rsid w:val="00122D44"/>
    <w:rsid w:val="00122EBE"/>
    <w:rsid w:val="00122F02"/>
    <w:rsid w:val="00122FEF"/>
    <w:rsid w:val="001230AA"/>
    <w:rsid w:val="001234C0"/>
    <w:rsid w:val="001234F0"/>
    <w:rsid w:val="00123F08"/>
    <w:rsid w:val="001243C3"/>
    <w:rsid w:val="00124410"/>
    <w:rsid w:val="00124500"/>
    <w:rsid w:val="0012497B"/>
    <w:rsid w:val="00124A3C"/>
    <w:rsid w:val="00124CE7"/>
    <w:rsid w:val="00124E81"/>
    <w:rsid w:val="00124EF7"/>
    <w:rsid w:val="001253DC"/>
    <w:rsid w:val="0012541E"/>
    <w:rsid w:val="001258C4"/>
    <w:rsid w:val="00125B47"/>
    <w:rsid w:val="00125C16"/>
    <w:rsid w:val="00125C1F"/>
    <w:rsid w:val="00125F4C"/>
    <w:rsid w:val="00126011"/>
    <w:rsid w:val="001269E1"/>
    <w:rsid w:val="00126AF0"/>
    <w:rsid w:val="001273BA"/>
    <w:rsid w:val="00127D19"/>
    <w:rsid w:val="00130203"/>
    <w:rsid w:val="00130319"/>
    <w:rsid w:val="00130A72"/>
    <w:rsid w:val="00130C77"/>
    <w:rsid w:val="00130EFE"/>
    <w:rsid w:val="001318C2"/>
    <w:rsid w:val="00131DC3"/>
    <w:rsid w:val="001325C5"/>
    <w:rsid w:val="00132BD7"/>
    <w:rsid w:val="00132DC1"/>
    <w:rsid w:val="00132DE4"/>
    <w:rsid w:val="00132F3B"/>
    <w:rsid w:val="00133000"/>
    <w:rsid w:val="00133267"/>
    <w:rsid w:val="001337F5"/>
    <w:rsid w:val="001338B1"/>
    <w:rsid w:val="00133B98"/>
    <w:rsid w:val="00133BBA"/>
    <w:rsid w:val="00133D7F"/>
    <w:rsid w:val="00133DC3"/>
    <w:rsid w:val="00133FEC"/>
    <w:rsid w:val="0013457F"/>
    <w:rsid w:val="00134823"/>
    <w:rsid w:val="00134C2C"/>
    <w:rsid w:val="00134DB9"/>
    <w:rsid w:val="00134E12"/>
    <w:rsid w:val="00134EE4"/>
    <w:rsid w:val="00134F68"/>
    <w:rsid w:val="001353BA"/>
    <w:rsid w:val="001353F6"/>
    <w:rsid w:val="00135C16"/>
    <w:rsid w:val="00135E4C"/>
    <w:rsid w:val="0013609A"/>
    <w:rsid w:val="00136117"/>
    <w:rsid w:val="001361AA"/>
    <w:rsid w:val="0013661C"/>
    <w:rsid w:val="0013682E"/>
    <w:rsid w:val="00136F11"/>
    <w:rsid w:val="001373F5"/>
    <w:rsid w:val="00137962"/>
    <w:rsid w:val="00137B1C"/>
    <w:rsid w:val="00137C59"/>
    <w:rsid w:val="00140466"/>
    <w:rsid w:val="00140F13"/>
    <w:rsid w:val="00141200"/>
    <w:rsid w:val="00141434"/>
    <w:rsid w:val="00141C37"/>
    <w:rsid w:val="00141D97"/>
    <w:rsid w:val="00142509"/>
    <w:rsid w:val="00142704"/>
    <w:rsid w:val="0014289C"/>
    <w:rsid w:val="00142F31"/>
    <w:rsid w:val="001430BF"/>
    <w:rsid w:val="001433D2"/>
    <w:rsid w:val="00143445"/>
    <w:rsid w:val="00143609"/>
    <w:rsid w:val="00143BF2"/>
    <w:rsid w:val="00143E73"/>
    <w:rsid w:val="00144CDB"/>
    <w:rsid w:val="00144F57"/>
    <w:rsid w:val="00145415"/>
    <w:rsid w:val="00145BE9"/>
    <w:rsid w:val="00145D70"/>
    <w:rsid w:val="00145D90"/>
    <w:rsid w:val="00145F2A"/>
    <w:rsid w:val="00146235"/>
    <w:rsid w:val="00146509"/>
    <w:rsid w:val="00146929"/>
    <w:rsid w:val="00146D5A"/>
    <w:rsid w:val="00146FC3"/>
    <w:rsid w:val="00147423"/>
    <w:rsid w:val="00147583"/>
    <w:rsid w:val="001476AA"/>
    <w:rsid w:val="0014778F"/>
    <w:rsid w:val="001477AA"/>
    <w:rsid w:val="00147A6E"/>
    <w:rsid w:val="00147C24"/>
    <w:rsid w:val="001502D8"/>
    <w:rsid w:val="00150B8A"/>
    <w:rsid w:val="00151DB8"/>
    <w:rsid w:val="00151E9C"/>
    <w:rsid w:val="001520C5"/>
    <w:rsid w:val="001525F3"/>
    <w:rsid w:val="001527D3"/>
    <w:rsid w:val="00152809"/>
    <w:rsid w:val="001528C6"/>
    <w:rsid w:val="0015299D"/>
    <w:rsid w:val="0015327A"/>
    <w:rsid w:val="0015340A"/>
    <w:rsid w:val="00153536"/>
    <w:rsid w:val="0015358C"/>
    <w:rsid w:val="00153E38"/>
    <w:rsid w:val="001541EA"/>
    <w:rsid w:val="001541EF"/>
    <w:rsid w:val="00154659"/>
    <w:rsid w:val="001546B3"/>
    <w:rsid w:val="001546D9"/>
    <w:rsid w:val="0015497D"/>
    <w:rsid w:val="00154C38"/>
    <w:rsid w:val="00154D19"/>
    <w:rsid w:val="00155100"/>
    <w:rsid w:val="0015525C"/>
    <w:rsid w:val="001552C3"/>
    <w:rsid w:val="00155485"/>
    <w:rsid w:val="00155542"/>
    <w:rsid w:val="001556A3"/>
    <w:rsid w:val="00155B37"/>
    <w:rsid w:val="0015682E"/>
    <w:rsid w:val="00156B46"/>
    <w:rsid w:val="00156C01"/>
    <w:rsid w:val="00156EDD"/>
    <w:rsid w:val="001570AA"/>
    <w:rsid w:val="0015753B"/>
    <w:rsid w:val="001576CB"/>
    <w:rsid w:val="00160329"/>
    <w:rsid w:val="001604DB"/>
    <w:rsid w:val="001606CF"/>
    <w:rsid w:val="00160BBA"/>
    <w:rsid w:val="0016115A"/>
    <w:rsid w:val="00161260"/>
    <w:rsid w:val="0016128D"/>
    <w:rsid w:val="001618DA"/>
    <w:rsid w:val="00162984"/>
    <w:rsid w:val="001629C5"/>
    <w:rsid w:val="001629CE"/>
    <w:rsid w:val="0016318A"/>
    <w:rsid w:val="001631AF"/>
    <w:rsid w:val="001631CA"/>
    <w:rsid w:val="001635E8"/>
    <w:rsid w:val="00163E5B"/>
    <w:rsid w:val="00163F77"/>
    <w:rsid w:val="00164174"/>
    <w:rsid w:val="0016460F"/>
    <w:rsid w:val="00164877"/>
    <w:rsid w:val="001653CD"/>
    <w:rsid w:val="00165861"/>
    <w:rsid w:val="00165A8E"/>
    <w:rsid w:val="00165FCB"/>
    <w:rsid w:val="00166936"/>
    <w:rsid w:val="001669A8"/>
    <w:rsid w:val="0016705E"/>
    <w:rsid w:val="00167599"/>
    <w:rsid w:val="00167869"/>
    <w:rsid w:val="0017013B"/>
    <w:rsid w:val="0017013C"/>
    <w:rsid w:val="001701AD"/>
    <w:rsid w:val="001702EC"/>
    <w:rsid w:val="0017042A"/>
    <w:rsid w:val="0017089D"/>
    <w:rsid w:val="0017144E"/>
    <w:rsid w:val="0017199F"/>
    <w:rsid w:val="00171DC0"/>
    <w:rsid w:val="00171F73"/>
    <w:rsid w:val="0017201E"/>
    <w:rsid w:val="0017215B"/>
    <w:rsid w:val="0017277D"/>
    <w:rsid w:val="001727CF"/>
    <w:rsid w:val="00172EA0"/>
    <w:rsid w:val="0017305F"/>
    <w:rsid w:val="00173437"/>
    <w:rsid w:val="0017368A"/>
    <w:rsid w:val="00173C7B"/>
    <w:rsid w:val="001746CC"/>
    <w:rsid w:val="001751A7"/>
    <w:rsid w:val="001751BD"/>
    <w:rsid w:val="0017536F"/>
    <w:rsid w:val="001754E8"/>
    <w:rsid w:val="00175609"/>
    <w:rsid w:val="0017580D"/>
    <w:rsid w:val="00176266"/>
    <w:rsid w:val="0017644F"/>
    <w:rsid w:val="001766BC"/>
    <w:rsid w:val="00176748"/>
    <w:rsid w:val="00176846"/>
    <w:rsid w:val="001768A9"/>
    <w:rsid w:val="00176C03"/>
    <w:rsid w:val="00176F22"/>
    <w:rsid w:val="00177073"/>
    <w:rsid w:val="0017748F"/>
    <w:rsid w:val="0017757F"/>
    <w:rsid w:val="001779F7"/>
    <w:rsid w:val="00177D31"/>
    <w:rsid w:val="00177FA3"/>
    <w:rsid w:val="00180154"/>
    <w:rsid w:val="001801ED"/>
    <w:rsid w:val="001804BC"/>
    <w:rsid w:val="001804F7"/>
    <w:rsid w:val="00180722"/>
    <w:rsid w:val="001808FA"/>
    <w:rsid w:val="00180960"/>
    <w:rsid w:val="0018098F"/>
    <w:rsid w:val="00180BE0"/>
    <w:rsid w:val="00180FE2"/>
    <w:rsid w:val="00180FEB"/>
    <w:rsid w:val="001812EE"/>
    <w:rsid w:val="00181304"/>
    <w:rsid w:val="00181369"/>
    <w:rsid w:val="001822A7"/>
    <w:rsid w:val="0018261D"/>
    <w:rsid w:val="00182637"/>
    <w:rsid w:val="001826B2"/>
    <w:rsid w:val="001826DF"/>
    <w:rsid w:val="00182B5F"/>
    <w:rsid w:val="0018375A"/>
    <w:rsid w:val="00183AF6"/>
    <w:rsid w:val="0018404D"/>
    <w:rsid w:val="00184443"/>
    <w:rsid w:val="00184940"/>
    <w:rsid w:val="00184A10"/>
    <w:rsid w:val="00184BC0"/>
    <w:rsid w:val="00184DF0"/>
    <w:rsid w:val="00184E70"/>
    <w:rsid w:val="00184EA0"/>
    <w:rsid w:val="00184F80"/>
    <w:rsid w:val="001851F3"/>
    <w:rsid w:val="0018536C"/>
    <w:rsid w:val="00185878"/>
    <w:rsid w:val="00185965"/>
    <w:rsid w:val="0018648C"/>
    <w:rsid w:val="00186AA8"/>
    <w:rsid w:val="001871FD"/>
    <w:rsid w:val="001877DA"/>
    <w:rsid w:val="0018795F"/>
    <w:rsid w:val="00187E4D"/>
    <w:rsid w:val="0019022F"/>
    <w:rsid w:val="00190231"/>
    <w:rsid w:val="001904FE"/>
    <w:rsid w:val="0019059E"/>
    <w:rsid w:val="0019101A"/>
    <w:rsid w:val="001913F5"/>
    <w:rsid w:val="001916CC"/>
    <w:rsid w:val="001916CD"/>
    <w:rsid w:val="00191905"/>
    <w:rsid w:val="00191D9F"/>
    <w:rsid w:val="00191E3E"/>
    <w:rsid w:val="00192271"/>
    <w:rsid w:val="0019297D"/>
    <w:rsid w:val="00192D9F"/>
    <w:rsid w:val="00192FCA"/>
    <w:rsid w:val="00193728"/>
    <w:rsid w:val="00193821"/>
    <w:rsid w:val="0019383C"/>
    <w:rsid w:val="00193881"/>
    <w:rsid w:val="001939F7"/>
    <w:rsid w:val="001940AE"/>
    <w:rsid w:val="00194197"/>
    <w:rsid w:val="00194BC5"/>
    <w:rsid w:val="00194CED"/>
    <w:rsid w:val="00195164"/>
    <w:rsid w:val="00195534"/>
    <w:rsid w:val="00195A81"/>
    <w:rsid w:val="00195D72"/>
    <w:rsid w:val="00195FE3"/>
    <w:rsid w:val="001963BE"/>
    <w:rsid w:val="001963CA"/>
    <w:rsid w:val="001966F7"/>
    <w:rsid w:val="00196706"/>
    <w:rsid w:val="00196A10"/>
    <w:rsid w:val="00196A8A"/>
    <w:rsid w:val="001970F4"/>
    <w:rsid w:val="00197231"/>
    <w:rsid w:val="001972D2"/>
    <w:rsid w:val="0019793E"/>
    <w:rsid w:val="001A0157"/>
    <w:rsid w:val="001A021C"/>
    <w:rsid w:val="001A02DB"/>
    <w:rsid w:val="001A05F2"/>
    <w:rsid w:val="001A081F"/>
    <w:rsid w:val="001A0F70"/>
    <w:rsid w:val="001A0FB3"/>
    <w:rsid w:val="001A150B"/>
    <w:rsid w:val="001A1E6C"/>
    <w:rsid w:val="001A22AE"/>
    <w:rsid w:val="001A24FC"/>
    <w:rsid w:val="001A299A"/>
    <w:rsid w:val="001A29AC"/>
    <w:rsid w:val="001A2A92"/>
    <w:rsid w:val="001A2D61"/>
    <w:rsid w:val="001A2DD2"/>
    <w:rsid w:val="001A2DD3"/>
    <w:rsid w:val="001A2EF3"/>
    <w:rsid w:val="001A2FAD"/>
    <w:rsid w:val="001A34AE"/>
    <w:rsid w:val="001A3B60"/>
    <w:rsid w:val="001A3F56"/>
    <w:rsid w:val="001A42A5"/>
    <w:rsid w:val="001A479D"/>
    <w:rsid w:val="001A4955"/>
    <w:rsid w:val="001A4B04"/>
    <w:rsid w:val="001A52C6"/>
    <w:rsid w:val="001A53A4"/>
    <w:rsid w:val="001A550D"/>
    <w:rsid w:val="001A58F6"/>
    <w:rsid w:val="001A5932"/>
    <w:rsid w:val="001A5A73"/>
    <w:rsid w:val="001A5AF0"/>
    <w:rsid w:val="001A5B83"/>
    <w:rsid w:val="001A5F77"/>
    <w:rsid w:val="001A5F86"/>
    <w:rsid w:val="001A5FEE"/>
    <w:rsid w:val="001A6703"/>
    <w:rsid w:val="001A6B32"/>
    <w:rsid w:val="001A705D"/>
    <w:rsid w:val="001A732C"/>
    <w:rsid w:val="001A7A4A"/>
    <w:rsid w:val="001A7B39"/>
    <w:rsid w:val="001A7FC7"/>
    <w:rsid w:val="001B099D"/>
    <w:rsid w:val="001B0E14"/>
    <w:rsid w:val="001B0F1C"/>
    <w:rsid w:val="001B11B4"/>
    <w:rsid w:val="001B13C1"/>
    <w:rsid w:val="001B14C4"/>
    <w:rsid w:val="001B17E2"/>
    <w:rsid w:val="001B1827"/>
    <w:rsid w:val="001B1C3F"/>
    <w:rsid w:val="001B1C90"/>
    <w:rsid w:val="001B1FA1"/>
    <w:rsid w:val="001B2680"/>
    <w:rsid w:val="001B2868"/>
    <w:rsid w:val="001B2F12"/>
    <w:rsid w:val="001B2F69"/>
    <w:rsid w:val="001B30D5"/>
    <w:rsid w:val="001B3AFE"/>
    <w:rsid w:val="001B3BB9"/>
    <w:rsid w:val="001B3C33"/>
    <w:rsid w:val="001B3D0A"/>
    <w:rsid w:val="001B4141"/>
    <w:rsid w:val="001B44F8"/>
    <w:rsid w:val="001B467F"/>
    <w:rsid w:val="001B478A"/>
    <w:rsid w:val="001B4984"/>
    <w:rsid w:val="001B550E"/>
    <w:rsid w:val="001B58A7"/>
    <w:rsid w:val="001B5A8F"/>
    <w:rsid w:val="001B5AB2"/>
    <w:rsid w:val="001B5EE2"/>
    <w:rsid w:val="001B6026"/>
    <w:rsid w:val="001B60DD"/>
    <w:rsid w:val="001B65BA"/>
    <w:rsid w:val="001B66CF"/>
    <w:rsid w:val="001B6CDD"/>
    <w:rsid w:val="001B6E37"/>
    <w:rsid w:val="001B71B1"/>
    <w:rsid w:val="001B7311"/>
    <w:rsid w:val="001B796D"/>
    <w:rsid w:val="001B7EAE"/>
    <w:rsid w:val="001C00B0"/>
    <w:rsid w:val="001C030C"/>
    <w:rsid w:val="001C05DC"/>
    <w:rsid w:val="001C07BD"/>
    <w:rsid w:val="001C0A3A"/>
    <w:rsid w:val="001C0E0D"/>
    <w:rsid w:val="001C1576"/>
    <w:rsid w:val="001C15ED"/>
    <w:rsid w:val="001C218D"/>
    <w:rsid w:val="001C2696"/>
    <w:rsid w:val="001C26B1"/>
    <w:rsid w:val="001C27C2"/>
    <w:rsid w:val="001C28AE"/>
    <w:rsid w:val="001C2EBA"/>
    <w:rsid w:val="001C344A"/>
    <w:rsid w:val="001C358D"/>
    <w:rsid w:val="001C35A4"/>
    <w:rsid w:val="001C3DE4"/>
    <w:rsid w:val="001C3F5A"/>
    <w:rsid w:val="001C3FDD"/>
    <w:rsid w:val="001C41A9"/>
    <w:rsid w:val="001C4278"/>
    <w:rsid w:val="001C4409"/>
    <w:rsid w:val="001C4668"/>
    <w:rsid w:val="001C473F"/>
    <w:rsid w:val="001C4989"/>
    <w:rsid w:val="001C4B94"/>
    <w:rsid w:val="001C5923"/>
    <w:rsid w:val="001C597F"/>
    <w:rsid w:val="001C5F28"/>
    <w:rsid w:val="001C5F50"/>
    <w:rsid w:val="001C605B"/>
    <w:rsid w:val="001C62D7"/>
    <w:rsid w:val="001C68B6"/>
    <w:rsid w:val="001C6F23"/>
    <w:rsid w:val="001C70D6"/>
    <w:rsid w:val="001C7174"/>
    <w:rsid w:val="001C7221"/>
    <w:rsid w:val="001C7670"/>
    <w:rsid w:val="001C7759"/>
    <w:rsid w:val="001C795F"/>
    <w:rsid w:val="001C7E2F"/>
    <w:rsid w:val="001D012D"/>
    <w:rsid w:val="001D0295"/>
    <w:rsid w:val="001D02BB"/>
    <w:rsid w:val="001D05A7"/>
    <w:rsid w:val="001D06AD"/>
    <w:rsid w:val="001D06C6"/>
    <w:rsid w:val="001D0D7E"/>
    <w:rsid w:val="001D0E31"/>
    <w:rsid w:val="001D1585"/>
    <w:rsid w:val="001D1670"/>
    <w:rsid w:val="001D1E13"/>
    <w:rsid w:val="001D20B6"/>
    <w:rsid w:val="001D22BF"/>
    <w:rsid w:val="001D2563"/>
    <w:rsid w:val="001D2651"/>
    <w:rsid w:val="001D26B0"/>
    <w:rsid w:val="001D27D4"/>
    <w:rsid w:val="001D2FA7"/>
    <w:rsid w:val="001D3091"/>
    <w:rsid w:val="001D3125"/>
    <w:rsid w:val="001D37FE"/>
    <w:rsid w:val="001D382D"/>
    <w:rsid w:val="001D395B"/>
    <w:rsid w:val="001D3A3F"/>
    <w:rsid w:val="001D3B94"/>
    <w:rsid w:val="001D4D83"/>
    <w:rsid w:val="001D4E74"/>
    <w:rsid w:val="001D529A"/>
    <w:rsid w:val="001D536F"/>
    <w:rsid w:val="001D549C"/>
    <w:rsid w:val="001D54B6"/>
    <w:rsid w:val="001D5530"/>
    <w:rsid w:val="001D55AE"/>
    <w:rsid w:val="001D56B8"/>
    <w:rsid w:val="001D5BED"/>
    <w:rsid w:val="001D5DF5"/>
    <w:rsid w:val="001D6064"/>
    <w:rsid w:val="001D628A"/>
    <w:rsid w:val="001D6495"/>
    <w:rsid w:val="001D64ED"/>
    <w:rsid w:val="001D6701"/>
    <w:rsid w:val="001D67C4"/>
    <w:rsid w:val="001D6D79"/>
    <w:rsid w:val="001D6F1D"/>
    <w:rsid w:val="001D73DB"/>
    <w:rsid w:val="001D73DF"/>
    <w:rsid w:val="001D73E8"/>
    <w:rsid w:val="001D75F0"/>
    <w:rsid w:val="001E01A8"/>
    <w:rsid w:val="001E049B"/>
    <w:rsid w:val="001E09F8"/>
    <w:rsid w:val="001E0AD8"/>
    <w:rsid w:val="001E0B04"/>
    <w:rsid w:val="001E0D94"/>
    <w:rsid w:val="001E126B"/>
    <w:rsid w:val="001E14BC"/>
    <w:rsid w:val="001E18EA"/>
    <w:rsid w:val="001E1AD3"/>
    <w:rsid w:val="001E1C21"/>
    <w:rsid w:val="001E204C"/>
    <w:rsid w:val="001E23CA"/>
    <w:rsid w:val="001E2AE0"/>
    <w:rsid w:val="001E2E09"/>
    <w:rsid w:val="001E2F1F"/>
    <w:rsid w:val="001E2F90"/>
    <w:rsid w:val="001E2FB3"/>
    <w:rsid w:val="001E3520"/>
    <w:rsid w:val="001E3695"/>
    <w:rsid w:val="001E37E6"/>
    <w:rsid w:val="001E38C1"/>
    <w:rsid w:val="001E3996"/>
    <w:rsid w:val="001E3D10"/>
    <w:rsid w:val="001E3EB4"/>
    <w:rsid w:val="001E40A7"/>
    <w:rsid w:val="001E42DF"/>
    <w:rsid w:val="001E4642"/>
    <w:rsid w:val="001E4782"/>
    <w:rsid w:val="001E48D1"/>
    <w:rsid w:val="001E4AFC"/>
    <w:rsid w:val="001E5593"/>
    <w:rsid w:val="001E5613"/>
    <w:rsid w:val="001E5773"/>
    <w:rsid w:val="001E584F"/>
    <w:rsid w:val="001E5AA3"/>
    <w:rsid w:val="001E5D52"/>
    <w:rsid w:val="001E617C"/>
    <w:rsid w:val="001E62FA"/>
    <w:rsid w:val="001E66F3"/>
    <w:rsid w:val="001E6828"/>
    <w:rsid w:val="001E6B7E"/>
    <w:rsid w:val="001E6F9D"/>
    <w:rsid w:val="001E73D8"/>
    <w:rsid w:val="001F0183"/>
    <w:rsid w:val="001F02A4"/>
    <w:rsid w:val="001F0728"/>
    <w:rsid w:val="001F077C"/>
    <w:rsid w:val="001F0DBD"/>
    <w:rsid w:val="001F116E"/>
    <w:rsid w:val="001F17F7"/>
    <w:rsid w:val="001F1A5A"/>
    <w:rsid w:val="001F1B27"/>
    <w:rsid w:val="001F23A3"/>
    <w:rsid w:val="001F2E25"/>
    <w:rsid w:val="001F2E81"/>
    <w:rsid w:val="001F3086"/>
    <w:rsid w:val="001F3353"/>
    <w:rsid w:val="001F3984"/>
    <w:rsid w:val="001F3ADD"/>
    <w:rsid w:val="001F40D3"/>
    <w:rsid w:val="001F450B"/>
    <w:rsid w:val="001F461A"/>
    <w:rsid w:val="001F4649"/>
    <w:rsid w:val="001F4B4A"/>
    <w:rsid w:val="001F51C3"/>
    <w:rsid w:val="001F52F3"/>
    <w:rsid w:val="001F54AA"/>
    <w:rsid w:val="001F54C2"/>
    <w:rsid w:val="001F5934"/>
    <w:rsid w:val="001F5BAD"/>
    <w:rsid w:val="001F5F61"/>
    <w:rsid w:val="001F6141"/>
    <w:rsid w:val="001F61B6"/>
    <w:rsid w:val="001F63B6"/>
    <w:rsid w:val="001F676A"/>
    <w:rsid w:val="001F6AC5"/>
    <w:rsid w:val="001F6EBE"/>
    <w:rsid w:val="001F6F50"/>
    <w:rsid w:val="001F70CB"/>
    <w:rsid w:val="001F7507"/>
    <w:rsid w:val="001F7C51"/>
    <w:rsid w:val="00200592"/>
    <w:rsid w:val="00200801"/>
    <w:rsid w:val="00200915"/>
    <w:rsid w:val="0020097D"/>
    <w:rsid w:val="00200D9D"/>
    <w:rsid w:val="00200F7B"/>
    <w:rsid w:val="002012DF"/>
    <w:rsid w:val="00201657"/>
    <w:rsid w:val="00201A84"/>
    <w:rsid w:val="00201E06"/>
    <w:rsid w:val="00202004"/>
    <w:rsid w:val="0020216A"/>
    <w:rsid w:val="00202498"/>
    <w:rsid w:val="00202850"/>
    <w:rsid w:val="00202B8A"/>
    <w:rsid w:val="00202D68"/>
    <w:rsid w:val="00202F56"/>
    <w:rsid w:val="002034E6"/>
    <w:rsid w:val="00203693"/>
    <w:rsid w:val="00203AE7"/>
    <w:rsid w:val="00203BB8"/>
    <w:rsid w:val="00203E4B"/>
    <w:rsid w:val="00204622"/>
    <w:rsid w:val="0020485A"/>
    <w:rsid w:val="00204F22"/>
    <w:rsid w:val="00205048"/>
    <w:rsid w:val="002053E3"/>
    <w:rsid w:val="00205599"/>
    <w:rsid w:val="002056E8"/>
    <w:rsid w:val="002057BC"/>
    <w:rsid w:val="00205E80"/>
    <w:rsid w:val="00205FB3"/>
    <w:rsid w:val="0020630F"/>
    <w:rsid w:val="002067C2"/>
    <w:rsid w:val="00206848"/>
    <w:rsid w:val="00206D0D"/>
    <w:rsid w:val="00206F6E"/>
    <w:rsid w:val="00206F7A"/>
    <w:rsid w:val="00207225"/>
    <w:rsid w:val="00207284"/>
    <w:rsid w:val="00207315"/>
    <w:rsid w:val="002075E1"/>
    <w:rsid w:val="00207749"/>
    <w:rsid w:val="00207953"/>
    <w:rsid w:val="00207B46"/>
    <w:rsid w:val="00207C35"/>
    <w:rsid w:val="00207DDA"/>
    <w:rsid w:val="002108FF"/>
    <w:rsid w:val="002109C9"/>
    <w:rsid w:val="002109F9"/>
    <w:rsid w:val="00210B9A"/>
    <w:rsid w:val="00211A5D"/>
    <w:rsid w:val="00211C1E"/>
    <w:rsid w:val="002121D4"/>
    <w:rsid w:val="00212397"/>
    <w:rsid w:val="002123D9"/>
    <w:rsid w:val="00212517"/>
    <w:rsid w:val="002126EA"/>
    <w:rsid w:val="00212E8A"/>
    <w:rsid w:val="00213066"/>
    <w:rsid w:val="00213358"/>
    <w:rsid w:val="00213940"/>
    <w:rsid w:val="00213E14"/>
    <w:rsid w:val="00214555"/>
    <w:rsid w:val="00214A47"/>
    <w:rsid w:val="00214B4F"/>
    <w:rsid w:val="00214BF3"/>
    <w:rsid w:val="00214E21"/>
    <w:rsid w:val="00214E36"/>
    <w:rsid w:val="00214EC9"/>
    <w:rsid w:val="00215300"/>
    <w:rsid w:val="00215435"/>
    <w:rsid w:val="002156A9"/>
    <w:rsid w:val="002158D2"/>
    <w:rsid w:val="00215DAA"/>
    <w:rsid w:val="00216246"/>
    <w:rsid w:val="0021632F"/>
    <w:rsid w:val="00216650"/>
    <w:rsid w:val="002166D3"/>
    <w:rsid w:val="00216A5F"/>
    <w:rsid w:val="00216F50"/>
    <w:rsid w:val="0021736E"/>
    <w:rsid w:val="002173AC"/>
    <w:rsid w:val="00217443"/>
    <w:rsid w:val="002177C0"/>
    <w:rsid w:val="00217BEA"/>
    <w:rsid w:val="00217E33"/>
    <w:rsid w:val="00220000"/>
    <w:rsid w:val="00220102"/>
    <w:rsid w:val="002202D2"/>
    <w:rsid w:val="0022080C"/>
    <w:rsid w:val="00220EEC"/>
    <w:rsid w:val="00220F84"/>
    <w:rsid w:val="002210FC"/>
    <w:rsid w:val="00221320"/>
    <w:rsid w:val="002213CA"/>
    <w:rsid w:val="002214D5"/>
    <w:rsid w:val="002216CE"/>
    <w:rsid w:val="00221730"/>
    <w:rsid w:val="002217DB"/>
    <w:rsid w:val="0022189F"/>
    <w:rsid w:val="00221A99"/>
    <w:rsid w:val="00221CE1"/>
    <w:rsid w:val="00221EC0"/>
    <w:rsid w:val="00221EF2"/>
    <w:rsid w:val="002221BF"/>
    <w:rsid w:val="002221E4"/>
    <w:rsid w:val="002222A7"/>
    <w:rsid w:val="00222B40"/>
    <w:rsid w:val="002232B4"/>
    <w:rsid w:val="00223902"/>
    <w:rsid w:val="00223C85"/>
    <w:rsid w:val="00223D12"/>
    <w:rsid w:val="00224482"/>
    <w:rsid w:val="002247D8"/>
    <w:rsid w:val="00224FCB"/>
    <w:rsid w:val="0022517D"/>
    <w:rsid w:val="00225277"/>
    <w:rsid w:val="002257A3"/>
    <w:rsid w:val="00226052"/>
    <w:rsid w:val="0022639E"/>
    <w:rsid w:val="00226551"/>
    <w:rsid w:val="00226A20"/>
    <w:rsid w:val="00226B77"/>
    <w:rsid w:val="002279B2"/>
    <w:rsid w:val="00227A69"/>
    <w:rsid w:val="00227B32"/>
    <w:rsid w:val="00227D94"/>
    <w:rsid w:val="00227EF3"/>
    <w:rsid w:val="00230583"/>
    <w:rsid w:val="002305B9"/>
    <w:rsid w:val="002305BF"/>
    <w:rsid w:val="002306E3"/>
    <w:rsid w:val="00230C2E"/>
    <w:rsid w:val="00231049"/>
    <w:rsid w:val="0023110C"/>
    <w:rsid w:val="0023119F"/>
    <w:rsid w:val="002313B9"/>
    <w:rsid w:val="002314D2"/>
    <w:rsid w:val="002317EB"/>
    <w:rsid w:val="00231BBF"/>
    <w:rsid w:val="00231E96"/>
    <w:rsid w:val="00232017"/>
    <w:rsid w:val="002320AF"/>
    <w:rsid w:val="0023244A"/>
    <w:rsid w:val="00232B8B"/>
    <w:rsid w:val="00232FF3"/>
    <w:rsid w:val="0023305C"/>
    <w:rsid w:val="0023314B"/>
    <w:rsid w:val="002331D8"/>
    <w:rsid w:val="00233680"/>
    <w:rsid w:val="002338E5"/>
    <w:rsid w:val="002344B1"/>
    <w:rsid w:val="0023461A"/>
    <w:rsid w:val="00234B6C"/>
    <w:rsid w:val="00234CC1"/>
    <w:rsid w:val="002359B4"/>
    <w:rsid w:val="00235C86"/>
    <w:rsid w:val="0023613D"/>
    <w:rsid w:val="00236198"/>
    <w:rsid w:val="002362C1"/>
    <w:rsid w:val="0023656D"/>
    <w:rsid w:val="00236A0F"/>
    <w:rsid w:val="00236C1F"/>
    <w:rsid w:val="00236CDA"/>
    <w:rsid w:val="00236E2C"/>
    <w:rsid w:val="00236E4D"/>
    <w:rsid w:val="00236FC1"/>
    <w:rsid w:val="00237135"/>
    <w:rsid w:val="002372BC"/>
    <w:rsid w:val="0023735A"/>
    <w:rsid w:val="002378E4"/>
    <w:rsid w:val="00240055"/>
    <w:rsid w:val="0024064C"/>
    <w:rsid w:val="002407A3"/>
    <w:rsid w:val="00240BFD"/>
    <w:rsid w:val="00240C29"/>
    <w:rsid w:val="00241010"/>
    <w:rsid w:val="002413BB"/>
    <w:rsid w:val="00241881"/>
    <w:rsid w:val="00241B3D"/>
    <w:rsid w:val="00241DCF"/>
    <w:rsid w:val="00241E7F"/>
    <w:rsid w:val="00242234"/>
    <w:rsid w:val="002422BB"/>
    <w:rsid w:val="002423A8"/>
    <w:rsid w:val="00242439"/>
    <w:rsid w:val="0024294C"/>
    <w:rsid w:val="00242E4A"/>
    <w:rsid w:val="00242FF9"/>
    <w:rsid w:val="002435EC"/>
    <w:rsid w:val="0024375D"/>
    <w:rsid w:val="00243924"/>
    <w:rsid w:val="0024397D"/>
    <w:rsid w:val="00244186"/>
    <w:rsid w:val="002446B1"/>
    <w:rsid w:val="00244898"/>
    <w:rsid w:val="00244D6F"/>
    <w:rsid w:val="00245589"/>
    <w:rsid w:val="002455F6"/>
    <w:rsid w:val="00245809"/>
    <w:rsid w:val="00245AEC"/>
    <w:rsid w:val="00245E27"/>
    <w:rsid w:val="00246015"/>
    <w:rsid w:val="002461DF"/>
    <w:rsid w:val="00246721"/>
    <w:rsid w:val="0024696D"/>
    <w:rsid w:val="00246AD3"/>
    <w:rsid w:val="00246CBF"/>
    <w:rsid w:val="00246D99"/>
    <w:rsid w:val="00247031"/>
    <w:rsid w:val="002470BF"/>
    <w:rsid w:val="00247373"/>
    <w:rsid w:val="0024754C"/>
    <w:rsid w:val="00247D59"/>
    <w:rsid w:val="00247EA8"/>
    <w:rsid w:val="0025024E"/>
    <w:rsid w:val="002503BA"/>
    <w:rsid w:val="00250E6A"/>
    <w:rsid w:val="002512DD"/>
    <w:rsid w:val="00251A78"/>
    <w:rsid w:val="00252044"/>
    <w:rsid w:val="002522B5"/>
    <w:rsid w:val="002525ED"/>
    <w:rsid w:val="00252B6C"/>
    <w:rsid w:val="00252DA3"/>
    <w:rsid w:val="00252DF5"/>
    <w:rsid w:val="00252FA2"/>
    <w:rsid w:val="00253097"/>
    <w:rsid w:val="002534A7"/>
    <w:rsid w:val="002535B6"/>
    <w:rsid w:val="00253AD3"/>
    <w:rsid w:val="00253BDA"/>
    <w:rsid w:val="00253D3C"/>
    <w:rsid w:val="00254064"/>
    <w:rsid w:val="002540AB"/>
    <w:rsid w:val="0025432A"/>
    <w:rsid w:val="00254503"/>
    <w:rsid w:val="00254E3A"/>
    <w:rsid w:val="00254FD9"/>
    <w:rsid w:val="0025575D"/>
    <w:rsid w:val="0025623A"/>
    <w:rsid w:val="002563ED"/>
    <w:rsid w:val="0025652F"/>
    <w:rsid w:val="00256DBA"/>
    <w:rsid w:val="00256FAD"/>
    <w:rsid w:val="0025712A"/>
    <w:rsid w:val="00257262"/>
    <w:rsid w:val="00257497"/>
    <w:rsid w:val="00257842"/>
    <w:rsid w:val="00257992"/>
    <w:rsid w:val="00260778"/>
    <w:rsid w:val="00260A5A"/>
    <w:rsid w:val="00261517"/>
    <w:rsid w:val="0026192C"/>
    <w:rsid w:val="00261E73"/>
    <w:rsid w:val="00262169"/>
    <w:rsid w:val="002624CC"/>
    <w:rsid w:val="002628FF"/>
    <w:rsid w:val="002631EF"/>
    <w:rsid w:val="0026325A"/>
    <w:rsid w:val="0026335C"/>
    <w:rsid w:val="0026367A"/>
    <w:rsid w:val="00263B6C"/>
    <w:rsid w:val="0026407C"/>
    <w:rsid w:val="00264447"/>
    <w:rsid w:val="0026454A"/>
    <w:rsid w:val="0026456A"/>
    <w:rsid w:val="002645F1"/>
    <w:rsid w:val="002649C4"/>
    <w:rsid w:val="00264E5E"/>
    <w:rsid w:val="00265E6C"/>
    <w:rsid w:val="00266037"/>
    <w:rsid w:val="00266070"/>
    <w:rsid w:val="002663CA"/>
    <w:rsid w:val="0026667A"/>
    <w:rsid w:val="00266A2F"/>
    <w:rsid w:val="00267115"/>
    <w:rsid w:val="00267734"/>
    <w:rsid w:val="00267E1D"/>
    <w:rsid w:val="002700FB"/>
    <w:rsid w:val="00270A3A"/>
    <w:rsid w:val="00270A8D"/>
    <w:rsid w:val="0027148B"/>
    <w:rsid w:val="00271A00"/>
    <w:rsid w:val="00271C51"/>
    <w:rsid w:val="00272092"/>
    <w:rsid w:val="00272534"/>
    <w:rsid w:val="00272665"/>
    <w:rsid w:val="00272716"/>
    <w:rsid w:val="00272939"/>
    <w:rsid w:val="00273334"/>
    <w:rsid w:val="00273A49"/>
    <w:rsid w:val="00273B4A"/>
    <w:rsid w:val="00273B85"/>
    <w:rsid w:val="00273F4D"/>
    <w:rsid w:val="0027406A"/>
    <w:rsid w:val="002740CE"/>
    <w:rsid w:val="00274107"/>
    <w:rsid w:val="002742B3"/>
    <w:rsid w:val="002743A8"/>
    <w:rsid w:val="00274689"/>
    <w:rsid w:val="0027497A"/>
    <w:rsid w:val="00274EA9"/>
    <w:rsid w:val="00274FEC"/>
    <w:rsid w:val="0027590B"/>
    <w:rsid w:val="00275C00"/>
    <w:rsid w:val="00275ED4"/>
    <w:rsid w:val="00275F53"/>
    <w:rsid w:val="00276309"/>
    <w:rsid w:val="002767A6"/>
    <w:rsid w:val="00276B0A"/>
    <w:rsid w:val="00277649"/>
    <w:rsid w:val="0027767E"/>
    <w:rsid w:val="00277815"/>
    <w:rsid w:val="00277ED3"/>
    <w:rsid w:val="00280975"/>
    <w:rsid w:val="00280F3B"/>
    <w:rsid w:val="00280FB3"/>
    <w:rsid w:val="002811DE"/>
    <w:rsid w:val="00281276"/>
    <w:rsid w:val="0028170B"/>
    <w:rsid w:val="002818FD"/>
    <w:rsid w:val="002821B9"/>
    <w:rsid w:val="00282323"/>
    <w:rsid w:val="00282783"/>
    <w:rsid w:val="00282A57"/>
    <w:rsid w:val="00282E35"/>
    <w:rsid w:val="00282F08"/>
    <w:rsid w:val="002833D4"/>
    <w:rsid w:val="00283983"/>
    <w:rsid w:val="00283EB0"/>
    <w:rsid w:val="00284520"/>
    <w:rsid w:val="0028463E"/>
    <w:rsid w:val="002846BB"/>
    <w:rsid w:val="002849B3"/>
    <w:rsid w:val="002855AA"/>
    <w:rsid w:val="00285725"/>
    <w:rsid w:val="002857CE"/>
    <w:rsid w:val="00285948"/>
    <w:rsid w:val="00285969"/>
    <w:rsid w:val="00285B22"/>
    <w:rsid w:val="00285FFD"/>
    <w:rsid w:val="0028666C"/>
    <w:rsid w:val="00286C54"/>
    <w:rsid w:val="00286FA2"/>
    <w:rsid w:val="002870F7"/>
    <w:rsid w:val="00287790"/>
    <w:rsid w:val="00287DAA"/>
    <w:rsid w:val="002900CF"/>
    <w:rsid w:val="0029037E"/>
    <w:rsid w:val="00290DB6"/>
    <w:rsid w:val="00291155"/>
    <w:rsid w:val="002918FD"/>
    <w:rsid w:val="00291C0A"/>
    <w:rsid w:val="002920C6"/>
    <w:rsid w:val="00292542"/>
    <w:rsid w:val="00292AD2"/>
    <w:rsid w:val="00292CB2"/>
    <w:rsid w:val="0029304D"/>
    <w:rsid w:val="002934F4"/>
    <w:rsid w:val="00293D0B"/>
    <w:rsid w:val="0029416C"/>
    <w:rsid w:val="0029429F"/>
    <w:rsid w:val="002942E0"/>
    <w:rsid w:val="0029458D"/>
    <w:rsid w:val="00294649"/>
    <w:rsid w:val="00294EBC"/>
    <w:rsid w:val="00295710"/>
    <w:rsid w:val="00295B23"/>
    <w:rsid w:val="00295C4C"/>
    <w:rsid w:val="00295F23"/>
    <w:rsid w:val="00296002"/>
    <w:rsid w:val="002960BE"/>
    <w:rsid w:val="00296135"/>
    <w:rsid w:val="002961ED"/>
    <w:rsid w:val="00296634"/>
    <w:rsid w:val="002969C6"/>
    <w:rsid w:val="00296A32"/>
    <w:rsid w:val="00296AFC"/>
    <w:rsid w:val="00297218"/>
    <w:rsid w:val="002975CC"/>
    <w:rsid w:val="00297615"/>
    <w:rsid w:val="0029763D"/>
    <w:rsid w:val="0029791F"/>
    <w:rsid w:val="00297C66"/>
    <w:rsid w:val="00297D11"/>
    <w:rsid w:val="00297DA1"/>
    <w:rsid w:val="002A034F"/>
    <w:rsid w:val="002A04E3"/>
    <w:rsid w:val="002A052F"/>
    <w:rsid w:val="002A05A5"/>
    <w:rsid w:val="002A0608"/>
    <w:rsid w:val="002A102A"/>
    <w:rsid w:val="002A136A"/>
    <w:rsid w:val="002A151B"/>
    <w:rsid w:val="002A15F1"/>
    <w:rsid w:val="002A2132"/>
    <w:rsid w:val="002A21B9"/>
    <w:rsid w:val="002A25C4"/>
    <w:rsid w:val="002A2626"/>
    <w:rsid w:val="002A2A71"/>
    <w:rsid w:val="002A2F33"/>
    <w:rsid w:val="002A2F8A"/>
    <w:rsid w:val="002A3047"/>
    <w:rsid w:val="002A312F"/>
    <w:rsid w:val="002A31FC"/>
    <w:rsid w:val="002A32B6"/>
    <w:rsid w:val="002A35C0"/>
    <w:rsid w:val="002A369F"/>
    <w:rsid w:val="002A3CEA"/>
    <w:rsid w:val="002A3DC6"/>
    <w:rsid w:val="002A3E2C"/>
    <w:rsid w:val="002A3EB8"/>
    <w:rsid w:val="002A4189"/>
    <w:rsid w:val="002A418C"/>
    <w:rsid w:val="002A4382"/>
    <w:rsid w:val="002A4734"/>
    <w:rsid w:val="002A5518"/>
    <w:rsid w:val="002A5782"/>
    <w:rsid w:val="002A57BB"/>
    <w:rsid w:val="002A59BC"/>
    <w:rsid w:val="002A5CFB"/>
    <w:rsid w:val="002A5E9D"/>
    <w:rsid w:val="002A6055"/>
    <w:rsid w:val="002A616C"/>
    <w:rsid w:val="002A62F9"/>
    <w:rsid w:val="002A6919"/>
    <w:rsid w:val="002A6C18"/>
    <w:rsid w:val="002A6F4A"/>
    <w:rsid w:val="002A72FF"/>
    <w:rsid w:val="002A7408"/>
    <w:rsid w:val="002A74EF"/>
    <w:rsid w:val="002A7A77"/>
    <w:rsid w:val="002A7CFF"/>
    <w:rsid w:val="002B0C80"/>
    <w:rsid w:val="002B13AF"/>
    <w:rsid w:val="002B180D"/>
    <w:rsid w:val="002B188E"/>
    <w:rsid w:val="002B2734"/>
    <w:rsid w:val="002B274B"/>
    <w:rsid w:val="002B2FA5"/>
    <w:rsid w:val="002B3233"/>
    <w:rsid w:val="002B335F"/>
    <w:rsid w:val="002B3579"/>
    <w:rsid w:val="002B359E"/>
    <w:rsid w:val="002B35B9"/>
    <w:rsid w:val="002B3695"/>
    <w:rsid w:val="002B3822"/>
    <w:rsid w:val="002B3829"/>
    <w:rsid w:val="002B3E48"/>
    <w:rsid w:val="002B4825"/>
    <w:rsid w:val="002B4A6D"/>
    <w:rsid w:val="002B4C27"/>
    <w:rsid w:val="002B4DD8"/>
    <w:rsid w:val="002B4E0F"/>
    <w:rsid w:val="002B506B"/>
    <w:rsid w:val="002B50B5"/>
    <w:rsid w:val="002B513B"/>
    <w:rsid w:val="002B53F1"/>
    <w:rsid w:val="002B5412"/>
    <w:rsid w:val="002B575A"/>
    <w:rsid w:val="002B5AEF"/>
    <w:rsid w:val="002B6911"/>
    <w:rsid w:val="002B695B"/>
    <w:rsid w:val="002B6AD1"/>
    <w:rsid w:val="002B748C"/>
    <w:rsid w:val="002B7769"/>
    <w:rsid w:val="002B7CD3"/>
    <w:rsid w:val="002C0028"/>
    <w:rsid w:val="002C020B"/>
    <w:rsid w:val="002C0675"/>
    <w:rsid w:val="002C0C51"/>
    <w:rsid w:val="002C0DF5"/>
    <w:rsid w:val="002C0E6D"/>
    <w:rsid w:val="002C101D"/>
    <w:rsid w:val="002C135E"/>
    <w:rsid w:val="002C166A"/>
    <w:rsid w:val="002C17C5"/>
    <w:rsid w:val="002C17CD"/>
    <w:rsid w:val="002C1BB9"/>
    <w:rsid w:val="002C2013"/>
    <w:rsid w:val="002C22EF"/>
    <w:rsid w:val="002C25EC"/>
    <w:rsid w:val="002C28D7"/>
    <w:rsid w:val="002C2AFF"/>
    <w:rsid w:val="002C3135"/>
    <w:rsid w:val="002C3414"/>
    <w:rsid w:val="002C34BA"/>
    <w:rsid w:val="002C365C"/>
    <w:rsid w:val="002C39D9"/>
    <w:rsid w:val="002C3CFD"/>
    <w:rsid w:val="002C3D48"/>
    <w:rsid w:val="002C3D99"/>
    <w:rsid w:val="002C3E5D"/>
    <w:rsid w:val="002C3E98"/>
    <w:rsid w:val="002C437C"/>
    <w:rsid w:val="002C45C4"/>
    <w:rsid w:val="002C4D63"/>
    <w:rsid w:val="002C4FD2"/>
    <w:rsid w:val="002C51AE"/>
    <w:rsid w:val="002C5634"/>
    <w:rsid w:val="002C57F5"/>
    <w:rsid w:val="002C5B84"/>
    <w:rsid w:val="002C5D22"/>
    <w:rsid w:val="002C6075"/>
    <w:rsid w:val="002C635B"/>
    <w:rsid w:val="002C66AE"/>
    <w:rsid w:val="002C68C0"/>
    <w:rsid w:val="002C701B"/>
    <w:rsid w:val="002C70A5"/>
    <w:rsid w:val="002C70BF"/>
    <w:rsid w:val="002C714E"/>
    <w:rsid w:val="002C7262"/>
    <w:rsid w:val="002C733A"/>
    <w:rsid w:val="002D0347"/>
    <w:rsid w:val="002D046F"/>
    <w:rsid w:val="002D11CD"/>
    <w:rsid w:val="002D1574"/>
    <w:rsid w:val="002D1C52"/>
    <w:rsid w:val="002D2005"/>
    <w:rsid w:val="002D26CE"/>
    <w:rsid w:val="002D2713"/>
    <w:rsid w:val="002D296C"/>
    <w:rsid w:val="002D2A34"/>
    <w:rsid w:val="002D2C10"/>
    <w:rsid w:val="002D2C59"/>
    <w:rsid w:val="002D2FB4"/>
    <w:rsid w:val="002D35A6"/>
    <w:rsid w:val="002D37E4"/>
    <w:rsid w:val="002D3877"/>
    <w:rsid w:val="002D4610"/>
    <w:rsid w:val="002D46F2"/>
    <w:rsid w:val="002D4974"/>
    <w:rsid w:val="002D4A87"/>
    <w:rsid w:val="002D4B6C"/>
    <w:rsid w:val="002D4D0E"/>
    <w:rsid w:val="002D4E9A"/>
    <w:rsid w:val="002D5148"/>
    <w:rsid w:val="002D53AF"/>
    <w:rsid w:val="002D5668"/>
    <w:rsid w:val="002D5923"/>
    <w:rsid w:val="002D59ED"/>
    <w:rsid w:val="002D5A76"/>
    <w:rsid w:val="002D5FAE"/>
    <w:rsid w:val="002D6077"/>
    <w:rsid w:val="002D6158"/>
    <w:rsid w:val="002D62ED"/>
    <w:rsid w:val="002D635A"/>
    <w:rsid w:val="002D6B8C"/>
    <w:rsid w:val="002D6BD0"/>
    <w:rsid w:val="002D6C5F"/>
    <w:rsid w:val="002D7504"/>
    <w:rsid w:val="002D7724"/>
    <w:rsid w:val="002D7787"/>
    <w:rsid w:val="002D7862"/>
    <w:rsid w:val="002D7CDF"/>
    <w:rsid w:val="002E02B0"/>
    <w:rsid w:val="002E06AD"/>
    <w:rsid w:val="002E1069"/>
    <w:rsid w:val="002E10A1"/>
    <w:rsid w:val="002E11D8"/>
    <w:rsid w:val="002E11EB"/>
    <w:rsid w:val="002E1240"/>
    <w:rsid w:val="002E19B2"/>
    <w:rsid w:val="002E23B1"/>
    <w:rsid w:val="002E2541"/>
    <w:rsid w:val="002E29CE"/>
    <w:rsid w:val="002E2A91"/>
    <w:rsid w:val="002E2D77"/>
    <w:rsid w:val="002E33EF"/>
    <w:rsid w:val="002E35C5"/>
    <w:rsid w:val="002E3752"/>
    <w:rsid w:val="002E3821"/>
    <w:rsid w:val="002E3D07"/>
    <w:rsid w:val="002E3D2A"/>
    <w:rsid w:val="002E415A"/>
    <w:rsid w:val="002E4239"/>
    <w:rsid w:val="002E454C"/>
    <w:rsid w:val="002E4AAA"/>
    <w:rsid w:val="002E4D35"/>
    <w:rsid w:val="002E5214"/>
    <w:rsid w:val="002E546A"/>
    <w:rsid w:val="002E54F2"/>
    <w:rsid w:val="002E5852"/>
    <w:rsid w:val="002E5A07"/>
    <w:rsid w:val="002E67F5"/>
    <w:rsid w:val="002E6A07"/>
    <w:rsid w:val="002E6D80"/>
    <w:rsid w:val="002E6DD3"/>
    <w:rsid w:val="002E7019"/>
    <w:rsid w:val="002E7188"/>
    <w:rsid w:val="002E72ED"/>
    <w:rsid w:val="002E743D"/>
    <w:rsid w:val="002E74BE"/>
    <w:rsid w:val="002E7762"/>
    <w:rsid w:val="002E7D8E"/>
    <w:rsid w:val="002F06D2"/>
    <w:rsid w:val="002F0840"/>
    <w:rsid w:val="002F1162"/>
    <w:rsid w:val="002F11D9"/>
    <w:rsid w:val="002F1459"/>
    <w:rsid w:val="002F18BC"/>
    <w:rsid w:val="002F1AC1"/>
    <w:rsid w:val="002F1B99"/>
    <w:rsid w:val="002F1D79"/>
    <w:rsid w:val="002F1F9B"/>
    <w:rsid w:val="002F23C1"/>
    <w:rsid w:val="002F25C7"/>
    <w:rsid w:val="002F26E5"/>
    <w:rsid w:val="002F2CC0"/>
    <w:rsid w:val="002F303F"/>
    <w:rsid w:val="002F33F4"/>
    <w:rsid w:val="002F3606"/>
    <w:rsid w:val="002F389F"/>
    <w:rsid w:val="002F38F2"/>
    <w:rsid w:val="002F397C"/>
    <w:rsid w:val="002F3B83"/>
    <w:rsid w:val="002F3DF5"/>
    <w:rsid w:val="002F3F0B"/>
    <w:rsid w:val="002F4357"/>
    <w:rsid w:val="002F43A6"/>
    <w:rsid w:val="002F4727"/>
    <w:rsid w:val="002F491D"/>
    <w:rsid w:val="002F4ED7"/>
    <w:rsid w:val="002F4F65"/>
    <w:rsid w:val="002F54A2"/>
    <w:rsid w:val="002F5779"/>
    <w:rsid w:val="002F5AD1"/>
    <w:rsid w:val="002F5B99"/>
    <w:rsid w:val="002F5C77"/>
    <w:rsid w:val="002F5F31"/>
    <w:rsid w:val="002F617F"/>
    <w:rsid w:val="002F6598"/>
    <w:rsid w:val="002F6919"/>
    <w:rsid w:val="002F6CC0"/>
    <w:rsid w:val="002F7768"/>
    <w:rsid w:val="002F7DBB"/>
    <w:rsid w:val="002F7DC0"/>
    <w:rsid w:val="00300109"/>
    <w:rsid w:val="003008CF"/>
    <w:rsid w:val="003009FD"/>
    <w:rsid w:val="003019AC"/>
    <w:rsid w:val="00301C9F"/>
    <w:rsid w:val="00301E2D"/>
    <w:rsid w:val="00301EA8"/>
    <w:rsid w:val="00302159"/>
    <w:rsid w:val="00302613"/>
    <w:rsid w:val="0030300C"/>
    <w:rsid w:val="00303174"/>
    <w:rsid w:val="0030318B"/>
    <w:rsid w:val="003034D7"/>
    <w:rsid w:val="003036AB"/>
    <w:rsid w:val="0030371F"/>
    <w:rsid w:val="00303C74"/>
    <w:rsid w:val="00303CA6"/>
    <w:rsid w:val="00303D7E"/>
    <w:rsid w:val="0030403E"/>
    <w:rsid w:val="0030408A"/>
    <w:rsid w:val="003046E8"/>
    <w:rsid w:val="00304895"/>
    <w:rsid w:val="00304BE2"/>
    <w:rsid w:val="00305504"/>
    <w:rsid w:val="00305580"/>
    <w:rsid w:val="00306184"/>
    <w:rsid w:val="003062E9"/>
    <w:rsid w:val="0030683C"/>
    <w:rsid w:val="00306894"/>
    <w:rsid w:val="003069AD"/>
    <w:rsid w:val="00307980"/>
    <w:rsid w:val="00307A4C"/>
    <w:rsid w:val="00307B65"/>
    <w:rsid w:val="00307C50"/>
    <w:rsid w:val="00307DD0"/>
    <w:rsid w:val="00307E0F"/>
    <w:rsid w:val="00310693"/>
    <w:rsid w:val="00310ED7"/>
    <w:rsid w:val="0031113F"/>
    <w:rsid w:val="00311376"/>
    <w:rsid w:val="0031163F"/>
    <w:rsid w:val="00311A1A"/>
    <w:rsid w:val="00312050"/>
    <w:rsid w:val="0031221D"/>
    <w:rsid w:val="003122F4"/>
    <w:rsid w:val="00312383"/>
    <w:rsid w:val="00312550"/>
    <w:rsid w:val="00312834"/>
    <w:rsid w:val="00312C62"/>
    <w:rsid w:val="00312ECD"/>
    <w:rsid w:val="003132B6"/>
    <w:rsid w:val="00313507"/>
    <w:rsid w:val="0031366F"/>
    <w:rsid w:val="003137D3"/>
    <w:rsid w:val="00313D40"/>
    <w:rsid w:val="0031417C"/>
    <w:rsid w:val="003148AF"/>
    <w:rsid w:val="00314A7B"/>
    <w:rsid w:val="00314A9E"/>
    <w:rsid w:val="0031533F"/>
    <w:rsid w:val="003153F7"/>
    <w:rsid w:val="003156DF"/>
    <w:rsid w:val="00315FB4"/>
    <w:rsid w:val="00316066"/>
    <w:rsid w:val="003165A5"/>
    <w:rsid w:val="00316C1B"/>
    <w:rsid w:val="00317097"/>
    <w:rsid w:val="00317298"/>
    <w:rsid w:val="0031738D"/>
    <w:rsid w:val="00317B6E"/>
    <w:rsid w:val="00317CD6"/>
    <w:rsid w:val="00320023"/>
    <w:rsid w:val="00320440"/>
    <w:rsid w:val="00320504"/>
    <w:rsid w:val="00320BD5"/>
    <w:rsid w:val="00321291"/>
    <w:rsid w:val="0032169A"/>
    <w:rsid w:val="003216EF"/>
    <w:rsid w:val="00321717"/>
    <w:rsid w:val="00321D2F"/>
    <w:rsid w:val="00321E64"/>
    <w:rsid w:val="00322147"/>
    <w:rsid w:val="00323065"/>
    <w:rsid w:val="0032322C"/>
    <w:rsid w:val="003233AB"/>
    <w:rsid w:val="00323592"/>
    <w:rsid w:val="003237D3"/>
    <w:rsid w:val="003238E2"/>
    <w:rsid w:val="00323CC4"/>
    <w:rsid w:val="00323FBE"/>
    <w:rsid w:val="003242A4"/>
    <w:rsid w:val="003246AE"/>
    <w:rsid w:val="00324BF0"/>
    <w:rsid w:val="00324C5E"/>
    <w:rsid w:val="00324DF4"/>
    <w:rsid w:val="00324F73"/>
    <w:rsid w:val="00324FCE"/>
    <w:rsid w:val="0032512C"/>
    <w:rsid w:val="00325433"/>
    <w:rsid w:val="0032556F"/>
    <w:rsid w:val="00325B61"/>
    <w:rsid w:val="00325BAB"/>
    <w:rsid w:val="00325E21"/>
    <w:rsid w:val="00326353"/>
    <w:rsid w:val="00326615"/>
    <w:rsid w:val="0032685E"/>
    <w:rsid w:val="003268D5"/>
    <w:rsid w:val="00326A3D"/>
    <w:rsid w:val="00326A84"/>
    <w:rsid w:val="00326AD4"/>
    <w:rsid w:val="003270AA"/>
    <w:rsid w:val="003271DB"/>
    <w:rsid w:val="003273B6"/>
    <w:rsid w:val="00327608"/>
    <w:rsid w:val="00327760"/>
    <w:rsid w:val="003278F6"/>
    <w:rsid w:val="0032797F"/>
    <w:rsid w:val="00327AD3"/>
    <w:rsid w:val="00327C18"/>
    <w:rsid w:val="00327E16"/>
    <w:rsid w:val="00327E68"/>
    <w:rsid w:val="00327EBC"/>
    <w:rsid w:val="0033031E"/>
    <w:rsid w:val="003309A1"/>
    <w:rsid w:val="00330A51"/>
    <w:rsid w:val="00330DF2"/>
    <w:rsid w:val="0033100A"/>
    <w:rsid w:val="0033136C"/>
    <w:rsid w:val="0033142C"/>
    <w:rsid w:val="00331439"/>
    <w:rsid w:val="00331511"/>
    <w:rsid w:val="00331525"/>
    <w:rsid w:val="00331A16"/>
    <w:rsid w:val="00331C18"/>
    <w:rsid w:val="00331CB1"/>
    <w:rsid w:val="003322C3"/>
    <w:rsid w:val="00332329"/>
    <w:rsid w:val="00332344"/>
    <w:rsid w:val="00332BFB"/>
    <w:rsid w:val="00332D96"/>
    <w:rsid w:val="0033316A"/>
    <w:rsid w:val="00333625"/>
    <w:rsid w:val="003336EF"/>
    <w:rsid w:val="00333F1F"/>
    <w:rsid w:val="00333FB1"/>
    <w:rsid w:val="00334501"/>
    <w:rsid w:val="00334540"/>
    <w:rsid w:val="003346B3"/>
    <w:rsid w:val="00334A7C"/>
    <w:rsid w:val="00334C15"/>
    <w:rsid w:val="00335042"/>
    <w:rsid w:val="003352D9"/>
    <w:rsid w:val="003359B0"/>
    <w:rsid w:val="00335A61"/>
    <w:rsid w:val="00335F64"/>
    <w:rsid w:val="00335FDC"/>
    <w:rsid w:val="00336653"/>
    <w:rsid w:val="00336D70"/>
    <w:rsid w:val="00336F46"/>
    <w:rsid w:val="003370EE"/>
    <w:rsid w:val="00337273"/>
    <w:rsid w:val="00337445"/>
    <w:rsid w:val="003376F5"/>
    <w:rsid w:val="00337AB8"/>
    <w:rsid w:val="00337D60"/>
    <w:rsid w:val="00340538"/>
    <w:rsid w:val="0034071E"/>
    <w:rsid w:val="00340EC8"/>
    <w:rsid w:val="003416CE"/>
    <w:rsid w:val="003418ED"/>
    <w:rsid w:val="00341A4C"/>
    <w:rsid w:val="00341CFF"/>
    <w:rsid w:val="0034214A"/>
    <w:rsid w:val="00342AD2"/>
    <w:rsid w:val="00342D8D"/>
    <w:rsid w:val="00342F0E"/>
    <w:rsid w:val="0034303C"/>
    <w:rsid w:val="003436BF"/>
    <w:rsid w:val="00343C7A"/>
    <w:rsid w:val="003442EA"/>
    <w:rsid w:val="0034458E"/>
    <w:rsid w:val="003448F6"/>
    <w:rsid w:val="00344F1E"/>
    <w:rsid w:val="00344F59"/>
    <w:rsid w:val="0034539E"/>
    <w:rsid w:val="00345B3F"/>
    <w:rsid w:val="00345C18"/>
    <w:rsid w:val="00345F10"/>
    <w:rsid w:val="00346C2E"/>
    <w:rsid w:val="00346E33"/>
    <w:rsid w:val="00346F3E"/>
    <w:rsid w:val="0034732B"/>
    <w:rsid w:val="00347505"/>
    <w:rsid w:val="00347C59"/>
    <w:rsid w:val="00350587"/>
    <w:rsid w:val="00350759"/>
    <w:rsid w:val="00350B54"/>
    <w:rsid w:val="00350CE4"/>
    <w:rsid w:val="00350D39"/>
    <w:rsid w:val="00350D45"/>
    <w:rsid w:val="00350FCB"/>
    <w:rsid w:val="00351167"/>
    <w:rsid w:val="00351264"/>
    <w:rsid w:val="003515F0"/>
    <w:rsid w:val="003517A9"/>
    <w:rsid w:val="00351CBB"/>
    <w:rsid w:val="00351F22"/>
    <w:rsid w:val="00352026"/>
    <w:rsid w:val="003521DB"/>
    <w:rsid w:val="00352526"/>
    <w:rsid w:val="003526DD"/>
    <w:rsid w:val="003527DD"/>
    <w:rsid w:val="00352D0B"/>
    <w:rsid w:val="00352E95"/>
    <w:rsid w:val="003530D4"/>
    <w:rsid w:val="003533AE"/>
    <w:rsid w:val="0035375C"/>
    <w:rsid w:val="00353D58"/>
    <w:rsid w:val="0035411C"/>
    <w:rsid w:val="00354238"/>
    <w:rsid w:val="0035440D"/>
    <w:rsid w:val="0035465A"/>
    <w:rsid w:val="00354AFB"/>
    <w:rsid w:val="00354B61"/>
    <w:rsid w:val="00354B86"/>
    <w:rsid w:val="00354D27"/>
    <w:rsid w:val="00354EAA"/>
    <w:rsid w:val="00355001"/>
    <w:rsid w:val="00355169"/>
    <w:rsid w:val="00355207"/>
    <w:rsid w:val="00355600"/>
    <w:rsid w:val="00355770"/>
    <w:rsid w:val="003559B8"/>
    <w:rsid w:val="003562A5"/>
    <w:rsid w:val="003569C2"/>
    <w:rsid w:val="00356F66"/>
    <w:rsid w:val="0035738A"/>
    <w:rsid w:val="00357531"/>
    <w:rsid w:val="003577C2"/>
    <w:rsid w:val="00357BBD"/>
    <w:rsid w:val="00357FEC"/>
    <w:rsid w:val="00360016"/>
    <w:rsid w:val="003603A9"/>
    <w:rsid w:val="003606DE"/>
    <w:rsid w:val="00360841"/>
    <w:rsid w:val="003609D5"/>
    <w:rsid w:val="00360CD6"/>
    <w:rsid w:val="00360EF7"/>
    <w:rsid w:val="00361525"/>
    <w:rsid w:val="00361ACE"/>
    <w:rsid w:val="0036207C"/>
    <w:rsid w:val="003624FF"/>
    <w:rsid w:val="00362F5A"/>
    <w:rsid w:val="00363389"/>
    <w:rsid w:val="003633C5"/>
    <w:rsid w:val="00363730"/>
    <w:rsid w:val="00363EC3"/>
    <w:rsid w:val="00363F60"/>
    <w:rsid w:val="003640AD"/>
    <w:rsid w:val="003644AA"/>
    <w:rsid w:val="0036459F"/>
    <w:rsid w:val="003656D6"/>
    <w:rsid w:val="00365BCD"/>
    <w:rsid w:val="00365C7F"/>
    <w:rsid w:val="00365E57"/>
    <w:rsid w:val="00365EE7"/>
    <w:rsid w:val="00366786"/>
    <w:rsid w:val="00366B37"/>
    <w:rsid w:val="00366C8B"/>
    <w:rsid w:val="00367795"/>
    <w:rsid w:val="00367813"/>
    <w:rsid w:val="003679EA"/>
    <w:rsid w:val="00367F75"/>
    <w:rsid w:val="003700F3"/>
    <w:rsid w:val="00370120"/>
    <w:rsid w:val="003701F3"/>
    <w:rsid w:val="00370211"/>
    <w:rsid w:val="00370277"/>
    <w:rsid w:val="0037048A"/>
    <w:rsid w:val="003704B6"/>
    <w:rsid w:val="00370876"/>
    <w:rsid w:val="00370A37"/>
    <w:rsid w:val="00371747"/>
    <w:rsid w:val="0037178C"/>
    <w:rsid w:val="003718E3"/>
    <w:rsid w:val="00371DB1"/>
    <w:rsid w:val="003722FD"/>
    <w:rsid w:val="00372AED"/>
    <w:rsid w:val="00372EF8"/>
    <w:rsid w:val="003732D8"/>
    <w:rsid w:val="003733C4"/>
    <w:rsid w:val="00373642"/>
    <w:rsid w:val="003736C2"/>
    <w:rsid w:val="0037404A"/>
    <w:rsid w:val="00374476"/>
    <w:rsid w:val="003746BC"/>
    <w:rsid w:val="0037491D"/>
    <w:rsid w:val="00374D51"/>
    <w:rsid w:val="00375006"/>
    <w:rsid w:val="0037516A"/>
    <w:rsid w:val="003751F1"/>
    <w:rsid w:val="0037558B"/>
    <w:rsid w:val="00375868"/>
    <w:rsid w:val="003769F8"/>
    <w:rsid w:val="00376E2A"/>
    <w:rsid w:val="00376EDE"/>
    <w:rsid w:val="00377176"/>
    <w:rsid w:val="0037754F"/>
    <w:rsid w:val="0037762A"/>
    <w:rsid w:val="00377E0D"/>
    <w:rsid w:val="00380309"/>
    <w:rsid w:val="0038067E"/>
    <w:rsid w:val="00380B72"/>
    <w:rsid w:val="00381031"/>
    <w:rsid w:val="00381132"/>
    <w:rsid w:val="003817D6"/>
    <w:rsid w:val="00381973"/>
    <w:rsid w:val="003819C3"/>
    <w:rsid w:val="00381BC3"/>
    <w:rsid w:val="00382377"/>
    <w:rsid w:val="00382819"/>
    <w:rsid w:val="00382FF7"/>
    <w:rsid w:val="00383426"/>
    <w:rsid w:val="0038348C"/>
    <w:rsid w:val="00383594"/>
    <w:rsid w:val="003835EA"/>
    <w:rsid w:val="003839EB"/>
    <w:rsid w:val="00383D26"/>
    <w:rsid w:val="003841A5"/>
    <w:rsid w:val="00384653"/>
    <w:rsid w:val="003847E1"/>
    <w:rsid w:val="00384BAC"/>
    <w:rsid w:val="00384C6C"/>
    <w:rsid w:val="00384CFF"/>
    <w:rsid w:val="00384F1C"/>
    <w:rsid w:val="0038508C"/>
    <w:rsid w:val="00385501"/>
    <w:rsid w:val="00385824"/>
    <w:rsid w:val="003858A6"/>
    <w:rsid w:val="00385FFC"/>
    <w:rsid w:val="00386133"/>
    <w:rsid w:val="0038631E"/>
    <w:rsid w:val="003863B5"/>
    <w:rsid w:val="00386691"/>
    <w:rsid w:val="0038688D"/>
    <w:rsid w:val="003868AE"/>
    <w:rsid w:val="003872D5"/>
    <w:rsid w:val="0038780F"/>
    <w:rsid w:val="00387830"/>
    <w:rsid w:val="00387AA1"/>
    <w:rsid w:val="00390266"/>
    <w:rsid w:val="0039035F"/>
    <w:rsid w:val="0039037B"/>
    <w:rsid w:val="003903C5"/>
    <w:rsid w:val="003903E3"/>
    <w:rsid w:val="00390ABC"/>
    <w:rsid w:val="00390DB4"/>
    <w:rsid w:val="00390FE3"/>
    <w:rsid w:val="00391176"/>
    <w:rsid w:val="00391416"/>
    <w:rsid w:val="003916A2"/>
    <w:rsid w:val="003918F0"/>
    <w:rsid w:val="00391DE1"/>
    <w:rsid w:val="00392111"/>
    <w:rsid w:val="0039239D"/>
    <w:rsid w:val="00392DCC"/>
    <w:rsid w:val="00393264"/>
    <w:rsid w:val="00393339"/>
    <w:rsid w:val="003933F9"/>
    <w:rsid w:val="00393722"/>
    <w:rsid w:val="00393BF6"/>
    <w:rsid w:val="00393DC4"/>
    <w:rsid w:val="0039430F"/>
    <w:rsid w:val="00394950"/>
    <w:rsid w:val="00394B6A"/>
    <w:rsid w:val="00394FCE"/>
    <w:rsid w:val="0039541C"/>
    <w:rsid w:val="00395959"/>
    <w:rsid w:val="00395A06"/>
    <w:rsid w:val="00396071"/>
    <w:rsid w:val="0039616D"/>
    <w:rsid w:val="003961CF"/>
    <w:rsid w:val="003962C4"/>
    <w:rsid w:val="00396403"/>
    <w:rsid w:val="00396406"/>
    <w:rsid w:val="0039669B"/>
    <w:rsid w:val="003966E0"/>
    <w:rsid w:val="00396B35"/>
    <w:rsid w:val="00396B7C"/>
    <w:rsid w:val="00396F72"/>
    <w:rsid w:val="003970D0"/>
    <w:rsid w:val="00397188"/>
    <w:rsid w:val="003972B5"/>
    <w:rsid w:val="00397CDC"/>
    <w:rsid w:val="00397DC6"/>
    <w:rsid w:val="00397EDF"/>
    <w:rsid w:val="003A0D20"/>
    <w:rsid w:val="003A0EDB"/>
    <w:rsid w:val="003A139C"/>
    <w:rsid w:val="003A1C68"/>
    <w:rsid w:val="003A1CA1"/>
    <w:rsid w:val="003A1E07"/>
    <w:rsid w:val="003A25C0"/>
    <w:rsid w:val="003A3115"/>
    <w:rsid w:val="003A31AC"/>
    <w:rsid w:val="003A33C4"/>
    <w:rsid w:val="003A373C"/>
    <w:rsid w:val="003A39CF"/>
    <w:rsid w:val="003A3ABB"/>
    <w:rsid w:val="003A3CF1"/>
    <w:rsid w:val="003A3D82"/>
    <w:rsid w:val="003A42AE"/>
    <w:rsid w:val="003A432D"/>
    <w:rsid w:val="003A477F"/>
    <w:rsid w:val="003A482A"/>
    <w:rsid w:val="003A5487"/>
    <w:rsid w:val="003A54BD"/>
    <w:rsid w:val="003A552C"/>
    <w:rsid w:val="003A56F0"/>
    <w:rsid w:val="003A57B6"/>
    <w:rsid w:val="003A5884"/>
    <w:rsid w:val="003A5B36"/>
    <w:rsid w:val="003A6896"/>
    <w:rsid w:val="003A6D43"/>
    <w:rsid w:val="003A6F03"/>
    <w:rsid w:val="003A74E1"/>
    <w:rsid w:val="003A77C7"/>
    <w:rsid w:val="003A7883"/>
    <w:rsid w:val="003A78B9"/>
    <w:rsid w:val="003A7A4E"/>
    <w:rsid w:val="003A7C9F"/>
    <w:rsid w:val="003A7D51"/>
    <w:rsid w:val="003A7EEF"/>
    <w:rsid w:val="003B00C0"/>
    <w:rsid w:val="003B04DF"/>
    <w:rsid w:val="003B0D0B"/>
    <w:rsid w:val="003B14BA"/>
    <w:rsid w:val="003B1625"/>
    <w:rsid w:val="003B1667"/>
    <w:rsid w:val="003B1778"/>
    <w:rsid w:val="003B1E72"/>
    <w:rsid w:val="003B1F25"/>
    <w:rsid w:val="003B1FAF"/>
    <w:rsid w:val="003B2B42"/>
    <w:rsid w:val="003B308A"/>
    <w:rsid w:val="003B30DC"/>
    <w:rsid w:val="003B3299"/>
    <w:rsid w:val="003B338C"/>
    <w:rsid w:val="003B357D"/>
    <w:rsid w:val="003B4233"/>
    <w:rsid w:val="003B4492"/>
    <w:rsid w:val="003B44A8"/>
    <w:rsid w:val="003B4B19"/>
    <w:rsid w:val="003B50FB"/>
    <w:rsid w:val="003B5209"/>
    <w:rsid w:val="003B560B"/>
    <w:rsid w:val="003B56AA"/>
    <w:rsid w:val="003B57D4"/>
    <w:rsid w:val="003B5B05"/>
    <w:rsid w:val="003B5D5A"/>
    <w:rsid w:val="003B6006"/>
    <w:rsid w:val="003B6112"/>
    <w:rsid w:val="003B64A9"/>
    <w:rsid w:val="003B6541"/>
    <w:rsid w:val="003B682C"/>
    <w:rsid w:val="003B68DA"/>
    <w:rsid w:val="003B6F56"/>
    <w:rsid w:val="003B740D"/>
    <w:rsid w:val="003B77EC"/>
    <w:rsid w:val="003B78B2"/>
    <w:rsid w:val="003B7ABB"/>
    <w:rsid w:val="003B7C15"/>
    <w:rsid w:val="003B7F34"/>
    <w:rsid w:val="003C0062"/>
    <w:rsid w:val="003C009D"/>
    <w:rsid w:val="003C0615"/>
    <w:rsid w:val="003C0783"/>
    <w:rsid w:val="003C081F"/>
    <w:rsid w:val="003C111F"/>
    <w:rsid w:val="003C17F8"/>
    <w:rsid w:val="003C1A79"/>
    <w:rsid w:val="003C1C2B"/>
    <w:rsid w:val="003C1FA4"/>
    <w:rsid w:val="003C1FF7"/>
    <w:rsid w:val="003C24B4"/>
    <w:rsid w:val="003C2528"/>
    <w:rsid w:val="003C26C2"/>
    <w:rsid w:val="003C2AA9"/>
    <w:rsid w:val="003C2B6A"/>
    <w:rsid w:val="003C2C35"/>
    <w:rsid w:val="003C2D94"/>
    <w:rsid w:val="003C2F31"/>
    <w:rsid w:val="003C3209"/>
    <w:rsid w:val="003C358A"/>
    <w:rsid w:val="003C3680"/>
    <w:rsid w:val="003C3714"/>
    <w:rsid w:val="003C3D27"/>
    <w:rsid w:val="003C3D28"/>
    <w:rsid w:val="003C3E73"/>
    <w:rsid w:val="003C43DB"/>
    <w:rsid w:val="003C477F"/>
    <w:rsid w:val="003C4877"/>
    <w:rsid w:val="003C4912"/>
    <w:rsid w:val="003C4927"/>
    <w:rsid w:val="003C4D93"/>
    <w:rsid w:val="003C4F23"/>
    <w:rsid w:val="003C52B1"/>
    <w:rsid w:val="003C5301"/>
    <w:rsid w:val="003C54DB"/>
    <w:rsid w:val="003C552D"/>
    <w:rsid w:val="003C55CD"/>
    <w:rsid w:val="003C56B9"/>
    <w:rsid w:val="003C5828"/>
    <w:rsid w:val="003C5887"/>
    <w:rsid w:val="003C5900"/>
    <w:rsid w:val="003C5969"/>
    <w:rsid w:val="003C5A24"/>
    <w:rsid w:val="003C5A72"/>
    <w:rsid w:val="003C5A81"/>
    <w:rsid w:val="003C5D68"/>
    <w:rsid w:val="003C61FE"/>
    <w:rsid w:val="003C63B7"/>
    <w:rsid w:val="003C696C"/>
    <w:rsid w:val="003C6A7A"/>
    <w:rsid w:val="003C6D4C"/>
    <w:rsid w:val="003C6E64"/>
    <w:rsid w:val="003C6E7D"/>
    <w:rsid w:val="003C6F76"/>
    <w:rsid w:val="003C7117"/>
    <w:rsid w:val="003C72C1"/>
    <w:rsid w:val="003C764D"/>
    <w:rsid w:val="003C77F0"/>
    <w:rsid w:val="003C7F12"/>
    <w:rsid w:val="003C7F36"/>
    <w:rsid w:val="003D0158"/>
    <w:rsid w:val="003D0474"/>
    <w:rsid w:val="003D0A7E"/>
    <w:rsid w:val="003D0FE3"/>
    <w:rsid w:val="003D1137"/>
    <w:rsid w:val="003D11D5"/>
    <w:rsid w:val="003D175C"/>
    <w:rsid w:val="003D18BC"/>
    <w:rsid w:val="003D20DC"/>
    <w:rsid w:val="003D2652"/>
    <w:rsid w:val="003D30A9"/>
    <w:rsid w:val="003D31B5"/>
    <w:rsid w:val="003D3522"/>
    <w:rsid w:val="003D40C7"/>
    <w:rsid w:val="003D4880"/>
    <w:rsid w:val="003D4A99"/>
    <w:rsid w:val="003D4E8D"/>
    <w:rsid w:val="003D4F25"/>
    <w:rsid w:val="003D5112"/>
    <w:rsid w:val="003D5186"/>
    <w:rsid w:val="003D53AB"/>
    <w:rsid w:val="003D54F5"/>
    <w:rsid w:val="003D56B0"/>
    <w:rsid w:val="003D59D0"/>
    <w:rsid w:val="003D5A08"/>
    <w:rsid w:val="003D5A37"/>
    <w:rsid w:val="003D5F99"/>
    <w:rsid w:val="003D62D3"/>
    <w:rsid w:val="003D6814"/>
    <w:rsid w:val="003D76EA"/>
    <w:rsid w:val="003D7A37"/>
    <w:rsid w:val="003D7D9C"/>
    <w:rsid w:val="003E0857"/>
    <w:rsid w:val="003E09D4"/>
    <w:rsid w:val="003E0BCE"/>
    <w:rsid w:val="003E0E13"/>
    <w:rsid w:val="003E171B"/>
    <w:rsid w:val="003E1937"/>
    <w:rsid w:val="003E1AD3"/>
    <w:rsid w:val="003E1D6B"/>
    <w:rsid w:val="003E1E50"/>
    <w:rsid w:val="003E1EA6"/>
    <w:rsid w:val="003E20D6"/>
    <w:rsid w:val="003E21E1"/>
    <w:rsid w:val="003E229E"/>
    <w:rsid w:val="003E290C"/>
    <w:rsid w:val="003E299E"/>
    <w:rsid w:val="003E2C7B"/>
    <w:rsid w:val="003E2F9E"/>
    <w:rsid w:val="003E302F"/>
    <w:rsid w:val="003E349E"/>
    <w:rsid w:val="003E36F6"/>
    <w:rsid w:val="003E3852"/>
    <w:rsid w:val="003E3A92"/>
    <w:rsid w:val="003E3B0C"/>
    <w:rsid w:val="003E4250"/>
    <w:rsid w:val="003E4D87"/>
    <w:rsid w:val="003E4EBD"/>
    <w:rsid w:val="003E50F5"/>
    <w:rsid w:val="003E5307"/>
    <w:rsid w:val="003E55BC"/>
    <w:rsid w:val="003E5652"/>
    <w:rsid w:val="003E5695"/>
    <w:rsid w:val="003E5706"/>
    <w:rsid w:val="003E611B"/>
    <w:rsid w:val="003E6166"/>
    <w:rsid w:val="003E6601"/>
    <w:rsid w:val="003E67A6"/>
    <w:rsid w:val="003E6AE2"/>
    <w:rsid w:val="003E6B48"/>
    <w:rsid w:val="003E6C97"/>
    <w:rsid w:val="003E6F2C"/>
    <w:rsid w:val="003E7160"/>
    <w:rsid w:val="003E72F4"/>
    <w:rsid w:val="003E752B"/>
    <w:rsid w:val="003E796F"/>
    <w:rsid w:val="003E79C4"/>
    <w:rsid w:val="003F0102"/>
    <w:rsid w:val="003F02A9"/>
    <w:rsid w:val="003F04F4"/>
    <w:rsid w:val="003F0529"/>
    <w:rsid w:val="003F0FAF"/>
    <w:rsid w:val="003F14CA"/>
    <w:rsid w:val="003F1736"/>
    <w:rsid w:val="003F19E4"/>
    <w:rsid w:val="003F1E0F"/>
    <w:rsid w:val="003F1FFA"/>
    <w:rsid w:val="003F20C1"/>
    <w:rsid w:val="003F2135"/>
    <w:rsid w:val="003F21E0"/>
    <w:rsid w:val="003F2420"/>
    <w:rsid w:val="003F24F2"/>
    <w:rsid w:val="003F28EF"/>
    <w:rsid w:val="003F292D"/>
    <w:rsid w:val="003F2ADC"/>
    <w:rsid w:val="003F2B67"/>
    <w:rsid w:val="003F36CD"/>
    <w:rsid w:val="003F3763"/>
    <w:rsid w:val="003F3F10"/>
    <w:rsid w:val="003F4421"/>
    <w:rsid w:val="003F44D0"/>
    <w:rsid w:val="003F4741"/>
    <w:rsid w:val="003F4C04"/>
    <w:rsid w:val="003F4F82"/>
    <w:rsid w:val="003F5077"/>
    <w:rsid w:val="003F50A6"/>
    <w:rsid w:val="003F5351"/>
    <w:rsid w:val="003F5423"/>
    <w:rsid w:val="003F580D"/>
    <w:rsid w:val="003F5895"/>
    <w:rsid w:val="003F590E"/>
    <w:rsid w:val="003F5AC8"/>
    <w:rsid w:val="003F5B9A"/>
    <w:rsid w:val="003F5D8B"/>
    <w:rsid w:val="003F5E2C"/>
    <w:rsid w:val="003F624F"/>
    <w:rsid w:val="003F6B22"/>
    <w:rsid w:val="003F6B99"/>
    <w:rsid w:val="003F6BE6"/>
    <w:rsid w:val="003F6BF5"/>
    <w:rsid w:val="003F6C77"/>
    <w:rsid w:val="003F73AB"/>
    <w:rsid w:val="003F7487"/>
    <w:rsid w:val="003F75F6"/>
    <w:rsid w:val="003F763A"/>
    <w:rsid w:val="003F7A28"/>
    <w:rsid w:val="003F7CA1"/>
    <w:rsid w:val="004000D0"/>
    <w:rsid w:val="0040040D"/>
    <w:rsid w:val="00400557"/>
    <w:rsid w:val="00400607"/>
    <w:rsid w:val="0040089D"/>
    <w:rsid w:val="00400A0D"/>
    <w:rsid w:val="00400AAB"/>
    <w:rsid w:val="00400B96"/>
    <w:rsid w:val="00401082"/>
    <w:rsid w:val="004012A4"/>
    <w:rsid w:val="00401588"/>
    <w:rsid w:val="004019D5"/>
    <w:rsid w:val="004019EA"/>
    <w:rsid w:val="00401ADC"/>
    <w:rsid w:val="00401CC2"/>
    <w:rsid w:val="00401CD7"/>
    <w:rsid w:val="00402B94"/>
    <w:rsid w:val="00402E5B"/>
    <w:rsid w:val="00402EEF"/>
    <w:rsid w:val="00402FB7"/>
    <w:rsid w:val="004031B7"/>
    <w:rsid w:val="0040390D"/>
    <w:rsid w:val="00403D94"/>
    <w:rsid w:val="00403F26"/>
    <w:rsid w:val="00403F32"/>
    <w:rsid w:val="004049E9"/>
    <w:rsid w:val="00404BA8"/>
    <w:rsid w:val="00404DF9"/>
    <w:rsid w:val="00405298"/>
    <w:rsid w:val="00405386"/>
    <w:rsid w:val="004053DE"/>
    <w:rsid w:val="0040580F"/>
    <w:rsid w:val="00406412"/>
    <w:rsid w:val="00406763"/>
    <w:rsid w:val="004068B2"/>
    <w:rsid w:val="00406BAB"/>
    <w:rsid w:val="00406DB9"/>
    <w:rsid w:val="00407258"/>
    <w:rsid w:val="00407665"/>
    <w:rsid w:val="00407A64"/>
    <w:rsid w:val="00407A7D"/>
    <w:rsid w:val="00410624"/>
    <w:rsid w:val="0041087E"/>
    <w:rsid w:val="00410AA4"/>
    <w:rsid w:val="00410B87"/>
    <w:rsid w:val="00410DE5"/>
    <w:rsid w:val="004110E8"/>
    <w:rsid w:val="004111D5"/>
    <w:rsid w:val="00411269"/>
    <w:rsid w:val="0041127D"/>
    <w:rsid w:val="00411680"/>
    <w:rsid w:val="004116DB"/>
    <w:rsid w:val="00411731"/>
    <w:rsid w:val="0041185B"/>
    <w:rsid w:val="00411A25"/>
    <w:rsid w:val="00411AAB"/>
    <w:rsid w:val="00411B97"/>
    <w:rsid w:val="00411BCE"/>
    <w:rsid w:val="00412041"/>
    <w:rsid w:val="00412072"/>
    <w:rsid w:val="004123D5"/>
    <w:rsid w:val="0041274E"/>
    <w:rsid w:val="00412B34"/>
    <w:rsid w:val="0041311E"/>
    <w:rsid w:val="004131CF"/>
    <w:rsid w:val="004133AF"/>
    <w:rsid w:val="00413452"/>
    <w:rsid w:val="0041359B"/>
    <w:rsid w:val="004136ED"/>
    <w:rsid w:val="00413709"/>
    <w:rsid w:val="00413ED1"/>
    <w:rsid w:val="00414020"/>
    <w:rsid w:val="0041423B"/>
    <w:rsid w:val="00414564"/>
    <w:rsid w:val="0041475E"/>
    <w:rsid w:val="00414A2D"/>
    <w:rsid w:val="00414C29"/>
    <w:rsid w:val="00414EBE"/>
    <w:rsid w:val="00414F17"/>
    <w:rsid w:val="00414F8E"/>
    <w:rsid w:val="0041514B"/>
    <w:rsid w:val="0041572F"/>
    <w:rsid w:val="004158FE"/>
    <w:rsid w:val="0041595B"/>
    <w:rsid w:val="00415B9E"/>
    <w:rsid w:val="0041616A"/>
    <w:rsid w:val="00416175"/>
    <w:rsid w:val="004162CB"/>
    <w:rsid w:val="00416650"/>
    <w:rsid w:val="0041672A"/>
    <w:rsid w:val="00416745"/>
    <w:rsid w:val="00416762"/>
    <w:rsid w:val="004167D5"/>
    <w:rsid w:val="00416E55"/>
    <w:rsid w:val="00417151"/>
    <w:rsid w:val="00417237"/>
    <w:rsid w:val="0041744A"/>
    <w:rsid w:val="00417837"/>
    <w:rsid w:val="00417A62"/>
    <w:rsid w:val="004202D0"/>
    <w:rsid w:val="0042032A"/>
    <w:rsid w:val="0042037C"/>
    <w:rsid w:val="00420459"/>
    <w:rsid w:val="004205CD"/>
    <w:rsid w:val="0042088B"/>
    <w:rsid w:val="00420F51"/>
    <w:rsid w:val="0042111F"/>
    <w:rsid w:val="0042133C"/>
    <w:rsid w:val="0042154B"/>
    <w:rsid w:val="00421933"/>
    <w:rsid w:val="0042197B"/>
    <w:rsid w:val="00421E3C"/>
    <w:rsid w:val="00421E60"/>
    <w:rsid w:val="004225E4"/>
    <w:rsid w:val="00422846"/>
    <w:rsid w:val="00422B97"/>
    <w:rsid w:val="00422EC2"/>
    <w:rsid w:val="00423316"/>
    <w:rsid w:val="00423552"/>
    <w:rsid w:val="004239EA"/>
    <w:rsid w:val="00423A0C"/>
    <w:rsid w:val="00423B46"/>
    <w:rsid w:val="00424066"/>
    <w:rsid w:val="00424822"/>
    <w:rsid w:val="00424992"/>
    <w:rsid w:val="00424CB4"/>
    <w:rsid w:val="00424DAC"/>
    <w:rsid w:val="00424DB0"/>
    <w:rsid w:val="0042518A"/>
    <w:rsid w:val="004253E7"/>
    <w:rsid w:val="004254AF"/>
    <w:rsid w:val="00425665"/>
    <w:rsid w:val="004257FE"/>
    <w:rsid w:val="004258C6"/>
    <w:rsid w:val="0042592B"/>
    <w:rsid w:val="00425AB7"/>
    <w:rsid w:val="00425E26"/>
    <w:rsid w:val="00425EF9"/>
    <w:rsid w:val="004262F1"/>
    <w:rsid w:val="00426368"/>
    <w:rsid w:val="004271A2"/>
    <w:rsid w:val="004272B5"/>
    <w:rsid w:val="004275A2"/>
    <w:rsid w:val="004275D4"/>
    <w:rsid w:val="004275E0"/>
    <w:rsid w:val="00427907"/>
    <w:rsid w:val="00427C6D"/>
    <w:rsid w:val="00427D32"/>
    <w:rsid w:val="00427E71"/>
    <w:rsid w:val="004302E7"/>
    <w:rsid w:val="0043133F"/>
    <w:rsid w:val="00431635"/>
    <w:rsid w:val="004318D4"/>
    <w:rsid w:val="00431F33"/>
    <w:rsid w:val="00432248"/>
    <w:rsid w:val="00432375"/>
    <w:rsid w:val="004323F8"/>
    <w:rsid w:val="004323F9"/>
    <w:rsid w:val="004327A7"/>
    <w:rsid w:val="00432C5E"/>
    <w:rsid w:val="00432FC1"/>
    <w:rsid w:val="00433036"/>
    <w:rsid w:val="0043304D"/>
    <w:rsid w:val="0043315E"/>
    <w:rsid w:val="00433529"/>
    <w:rsid w:val="004338B2"/>
    <w:rsid w:val="00433BB1"/>
    <w:rsid w:val="00433CA3"/>
    <w:rsid w:val="00433D32"/>
    <w:rsid w:val="0043402C"/>
    <w:rsid w:val="0043408F"/>
    <w:rsid w:val="00434945"/>
    <w:rsid w:val="004349C7"/>
    <w:rsid w:val="00434E11"/>
    <w:rsid w:val="00435150"/>
    <w:rsid w:val="004351D6"/>
    <w:rsid w:val="0043531C"/>
    <w:rsid w:val="00435616"/>
    <w:rsid w:val="00435922"/>
    <w:rsid w:val="00435DE4"/>
    <w:rsid w:val="00435EBB"/>
    <w:rsid w:val="004360B2"/>
    <w:rsid w:val="00436295"/>
    <w:rsid w:val="00436507"/>
    <w:rsid w:val="004366B0"/>
    <w:rsid w:val="0043714A"/>
    <w:rsid w:val="00437316"/>
    <w:rsid w:val="004373E8"/>
    <w:rsid w:val="004374D2"/>
    <w:rsid w:val="00437546"/>
    <w:rsid w:val="004376E5"/>
    <w:rsid w:val="00437C86"/>
    <w:rsid w:val="00440110"/>
    <w:rsid w:val="00440310"/>
    <w:rsid w:val="0044043D"/>
    <w:rsid w:val="00441402"/>
    <w:rsid w:val="0044180F"/>
    <w:rsid w:val="0044198D"/>
    <w:rsid w:val="00441AB6"/>
    <w:rsid w:val="0044205F"/>
    <w:rsid w:val="004420F8"/>
    <w:rsid w:val="00442812"/>
    <w:rsid w:val="00442C0E"/>
    <w:rsid w:val="00442D94"/>
    <w:rsid w:val="00442ECA"/>
    <w:rsid w:val="00443086"/>
    <w:rsid w:val="00443363"/>
    <w:rsid w:val="00443C12"/>
    <w:rsid w:val="00443DBD"/>
    <w:rsid w:val="004440BB"/>
    <w:rsid w:val="0044448B"/>
    <w:rsid w:val="00444927"/>
    <w:rsid w:val="00444A10"/>
    <w:rsid w:val="00444FCB"/>
    <w:rsid w:val="004450E6"/>
    <w:rsid w:val="00445265"/>
    <w:rsid w:val="0044598E"/>
    <w:rsid w:val="0044606A"/>
    <w:rsid w:val="004463B5"/>
    <w:rsid w:val="0044654D"/>
    <w:rsid w:val="004467A5"/>
    <w:rsid w:val="00446AD7"/>
    <w:rsid w:val="00446D81"/>
    <w:rsid w:val="004470A5"/>
    <w:rsid w:val="0044737D"/>
    <w:rsid w:val="004477CF"/>
    <w:rsid w:val="004478E1"/>
    <w:rsid w:val="00447BF9"/>
    <w:rsid w:val="00447D50"/>
    <w:rsid w:val="00447F11"/>
    <w:rsid w:val="00447F8D"/>
    <w:rsid w:val="0045059B"/>
    <w:rsid w:val="00450CBB"/>
    <w:rsid w:val="00450DED"/>
    <w:rsid w:val="0045107C"/>
    <w:rsid w:val="00451288"/>
    <w:rsid w:val="004517D3"/>
    <w:rsid w:val="004517FA"/>
    <w:rsid w:val="00451E95"/>
    <w:rsid w:val="00451F6C"/>
    <w:rsid w:val="004520F3"/>
    <w:rsid w:val="00452A02"/>
    <w:rsid w:val="00452FE3"/>
    <w:rsid w:val="00453074"/>
    <w:rsid w:val="00453094"/>
    <w:rsid w:val="004532A0"/>
    <w:rsid w:val="0045333D"/>
    <w:rsid w:val="0045387C"/>
    <w:rsid w:val="00453F51"/>
    <w:rsid w:val="00454165"/>
    <w:rsid w:val="00454364"/>
    <w:rsid w:val="004545E0"/>
    <w:rsid w:val="0045476B"/>
    <w:rsid w:val="004547BF"/>
    <w:rsid w:val="00454D89"/>
    <w:rsid w:val="004550E6"/>
    <w:rsid w:val="004552C0"/>
    <w:rsid w:val="004556E8"/>
    <w:rsid w:val="0045581D"/>
    <w:rsid w:val="004559CE"/>
    <w:rsid w:val="00455D76"/>
    <w:rsid w:val="00456A60"/>
    <w:rsid w:val="00456D07"/>
    <w:rsid w:val="00456D0C"/>
    <w:rsid w:val="0045799A"/>
    <w:rsid w:val="00457C3D"/>
    <w:rsid w:val="00457F1B"/>
    <w:rsid w:val="00457F7D"/>
    <w:rsid w:val="004603B7"/>
    <w:rsid w:val="004607E7"/>
    <w:rsid w:val="00460BF0"/>
    <w:rsid w:val="00460E1A"/>
    <w:rsid w:val="00460EED"/>
    <w:rsid w:val="0046140F"/>
    <w:rsid w:val="004615A8"/>
    <w:rsid w:val="00461853"/>
    <w:rsid w:val="00461CED"/>
    <w:rsid w:val="00462085"/>
    <w:rsid w:val="00462293"/>
    <w:rsid w:val="0046234A"/>
    <w:rsid w:val="004623CA"/>
    <w:rsid w:val="00462CF5"/>
    <w:rsid w:val="00462E70"/>
    <w:rsid w:val="0046358D"/>
    <w:rsid w:val="00463968"/>
    <w:rsid w:val="00463A56"/>
    <w:rsid w:val="00463DF8"/>
    <w:rsid w:val="0046412A"/>
    <w:rsid w:val="0046469D"/>
    <w:rsid w:val="0046476F"/>
    <w:rsid w:val="00464BF4"/>
    <w:rsid w:val="00464C65"/>
    <w:rsid w:val="00464CDC"/>
    <w:rsid w:val="004650A0"/>
    <w:rsid w:val="00465591"/>
    <w:rsid w:val="00465FDA"/>
    <w:rsid w:val="00466324"/>
    <w:rsid w:val="00466354"/>
    <w:rsid w:val="00466666"/>
    <w:rsid w:val="004666AC"/>
    <w:rsid w:val="00466A5E"/>
    <w:rsid w:val="00466A7B"/>
    <w:rsid w:val="00466B2C"/>
    <w:rsid w:val="00466BE7"/>
    <w:rsid w:val="00466DC7"/>
    <w:rsid w:val="00467669"/>
    <w:rsid w:val="00467A27"/>
    <w:rsid w:val="00467B98"/>
    <w:rsid w:val="0047002B"/>
    <w:rsid w:val="00470056"/>
    <w:rsid w:val="00470092"/>
    <w:rsid w:val="004700BB"/>
    <w:rsid w:val="00470FE3"/>
    <w:rsid w:val="004714FC"/>
    <w:rsid w:val="004716A7"/>
    <w:rsid w:val="0047170A"/>
    <w:rsid w:val="00471909"/>
    <w:rsid w:val="00471B94"/>
    <w:rsid w:val="00472134"/>
    <w:rsid w:val="0047233F"/>
    <w:rsid w:val="004729A7"/>
    <w:rsid w:val="00472ABF"/>
    <w:rsid w:val="00472B4E"/>
    <w:rsid w:val="00472C17"/>
    <w:rsid w:val="00472CCB"/>
    <w:rsid w:val="00472DDC"/>
    <w:rsid w:val="00473042"/>
    <w:rsid w:val="004734F8"/>
    <w:rsid w:val="004735C5"/>
    <w:rsid w:val="00473767"/>
    <w:rsid w:val="00473972"/>
    <w:rsid w:val="004740FD"/>
    <w:rsid w:val="00474262"/>
    <w:rsid w:val="0047433B"/>
    <w:rsid w:val="004745A7"/>
    <w:rsid w:val="004747AD"/>
    <w:rsid w:val="00474865"/>
    <w:rsid w:val="00474C1F"/>
    <w:rsid w:val="00474C51"/>
    <w:rsid w:val="00474E00"/>
    <w:rsid w:val="00474E78"/>
    <w:rsid w:val="00474F44"/>
    <w:rsid w:val="00475042"/>
    <w:rsid w:val="00475085"/>
    <w:rsid w:val="004752AF"/>
    <w:rsid w:val="00475333"/>
    <w:rsid w:val="00475541"/>
    <w:rsid w:val="0047565E"/>
    <w:rsid w:val="00475C2F"/>
    <w:rsid w:val="00475D88"/>
    <w:rsid w:val="00475FB2"/>
    <w:rsid w:val="0047606F"/>
    <w:rsid w:val="004762D1"/>
    <w:rsid w:val="00476411"/>
    <w:rsid w:val="0047658A"/>
    <w:rsid w:val="00476CF6"/>
    <w:rsid w:val="00476E51"/>
    <w:rsid w:val="00476F35"/>
    <w:rsid w:val="00476F97"/>
    <w:rsid w:val="004775AA"/>
    <w:rsid w:val="00477767"/>
    <w:rsid w:val="004777A3"/>
    <w:rsid w:val="00477AA8"/>
    <w:rsid w:val="00477AE4"/>
    <w:rsid w:val="00477DD1"/>
    <w:rsid w:val="00477E32"/>
    <w:rsid w:val="0048016B"/>
    <w:rsid w:val="00480375"/>
    <w:rsid w:val="00480391"/>
    <w:rsid w:val="0048090E"/>
    <w:rsid w:val="004809D7"/>
    <w:rsid w:val="00480C5E"/>
    <w:rsid w:val="00480DB4"/>
    <w:rsid w:val="00480EDC"/>
    <w:rsid w:val="00480EF6"/>
    <w:rsid w:val="004810A2"/>
    <w:rsid w:val="00481230"/>
    <w:rsid w:val="004814FD"/>
    <w:rsid w:val="00481924"/>
    <w:rsid w:val="00481F8C"/>
    <w:rsid w:val="004824CD"/>
    <w:rsid w:val="004826C6"/>
    <w:rsid w:val="004827B8"/>
    <w:rsid w:val="00482930"/>
    <w:rsid w:val="004830DB"/>
    <w:rsid w:val="004834BA"/>
    <w:rsid w:val="00483B30"/>
    <w:rsid w:val="0048412E"/>
    <w:rsid w:val="0048443C"/>
    <w:rsid w:val="004844C7"/>
    <w:rsid w:val="00484593"/>
    <w:rsid w:val="00484883"/>
    <w:rsid w:val="004848CB"/>
    <w:rsid w:val="00484CB5"/>
    <w:rsid w:val="00484EC5"/>
    <w:rsid w:val="00484F70"/>
    <w:rsid w:val="004850CD"/>
    <w:rsid w:val="00485252"/>
    <w:rsid w:val="0048590E"/>
    <w:rsid w:val="00486948"/>
    <w:rsid w:val="00486AD8"/>
    <w:rsid w:val="00486B20"/>
    <w:rsid w:val="00486FC7"/>
    <w:rsid w:val="004871B8"/>
    <w:rsid w:val="004878CB"/>
    <w:rsid w:val="00487E07"/>
    <w:rsid w:val="00487E0F"/>
    <w:rsid w:val="00487E7E"/>
    <w:rsid w:val="004906A4"/>
    <w:rsid w:val="0049098C"/>
    <w:rsid w:val="00490B53"/>
    <w:rsid w:val="00490D99"/>
    <w:rsid w:val="00490DBA"/>
    <w:rsid w:val="0049101E"/>
    <w:rsid w:val="00491138"/>
    <w:rsid w:val="00491703"/>
    <w:rsid w:val="00491880"/>
    <w:rsid w:val="00491B18"/>
    <w:rsid w:val="00491B94"/>
    <w:rsid w:val="00491BE8"/>
    <w:rsid w:val="00491C7A"/>
    <w:rsid w:val="0049264E"/>
    <w:rsid w:val="0049281C"/>
    <w:rsid w:val="00492A16"/>
    <w:rsid w:val="00492A72"/>
    <w:rsid w:val="00492FCB"/>
    <w:rsid w:val="004939BA"/>
    <w:rsid w:val="00493EAE"/>
    <w:rsid w:val="00493EE3"/>
    <w:rsid w:val="00494098"/>
    <w:rsid w:val="00494110"/>
    <w:rsid w:val="00494182"/>
    <w:rsid w:val="00494293"/>
    <w:rsid w:val="0049448E"/>
    <w:rsid w:val="004945F6"/>
    <w:rsid w:val="004947F3"/>
    <w:rsid w:val="00494BD1"/>
    <w:rsid w:val="00494E4C"/>
    <w:rsid w:val="00494E73"/>
    <w:rsid w:val="00494FDF"/>
    <w:rsid w:val="004951AD"/>
    <w:rsid w:val="00495738"/>
    <w:rsid w:val="00495864"/>
    <w:rsid w:val="0049586B"/>
    <w:rsid w:val="00495992"/>
    <w:rsid w:val="00495997"/>
    <w:rsid w:val="004959C4"/>
    <w:rsid w:val="00495A1D"/>
    <w:rsid w:val="00495A83"/>
    <w:rsid w:val="004960B7"/>
    <w:rsid w:val="00496193"/>
    <w:rsid w:val="004966C9"/>
    <w:rsid w:val="00496B92"/>
    <w:rsid w:val="00496BCA"/>
    <w:rsid w:val="00496ED5"/>
    <w:rsid w:val="004973E6"/>
    <w:rsid w:val="00497ABD"/>
    <w:rsid w:val="00497CC2"/>
    <w:rsid w:val="00497D72"/>
    <w:rsid w:val="004A007A"/>
    <w:rsid w:val="004A02AB"/>
    <w:rsid w:val="004A02C1"/>
    <w:rsid w:val="004A036C"/>
    <w:rsid w:val="004A0445"/>
    <w:rsid w:val="004A0D07"/>
    <w:rsid w:val="004A0E14"/>
    <w:rsid w:val="004A0E4D"/>
    <w:rsid w:val="004A0F11"/>
    <w:rsid w:val="004A1372"/>
    <w:rsid w:val="004A1474"/>
    <w:rsid w:val="004A1C72"/>
    <w:rsid w:val="004A1DF9"/>
    <w:rsid w:val="004A1ED2"/>
    <w:rsid w:val="004A2543"/>
    <w:rsid w:val="004A26B7"/>
    <w:rsid w:val="004A277E"/>
    <w:rsid w:val="004A2BC0"/>
    <w:rsid w:val="004A3053"/>
    <w:rsid w:val="004A3184"/>
    <w:rsid w:val="004A31DE"/>
    <w:rsid w:val="004A325E"/>
    <w:rsid w:val="004A3773"/>
    <w:rsid w:val="004A3AC3"/>
    <w:rsid w:val="004A3BC9"/>
    <w:rsid w:val="004A3DC1"/>
    <w:rsid w:val="004A3EAA"/>
    <w:rsid w:val="004A4036"/>
    <w:rsid w:val="004A4251"/>
    <w:rsid w:val="004A4357"/>
    <w:rsid w:val="004A4941"/>
    <w:rsid w:val="004A4CD5"/>
    <w:rsid w:val="004A51A4"/>
    <w:rsid w:val="004A569A"/>
    <w:rsid w:val="004A590C"/>
    <w:rsid w:val="004A5926"/>
    <w:rsid w:val="004A6DB2"/>
    <w:rsid w:val="004A7086"/>
    <w:rsid w:val="004A71E5"/>
    <w:rsid w:val="004A727F"/>
    <w:rsid w:val="004A76B5"/>
    <w:rsid w:val="004A7B4E"/>
    <w:rsid w:val="004A7CE9"/>
    <w:rsid w:val="004A7D01"/>
    <w:rsid w:val="004A7D97"/>
    <w:rsid w:val="004A7FC6"/>
    <w:rsid w:val="004B00D5"/>
    <w:rsid w:val="004B08E6"/>
    <w:rsid w:val="004B0C22"/>
    <w:rsid w:val="004B1035"/>
    <w:rsid w:val="004B12A6"/>
    <w:rsid w:val="004B13F4"/>
    <w:rsid w:val="004B1772"/>
    <w:rsid w:val="004B1A47"/>
    <w:rsid w:val="004B1BDF"/>
    <w:rsid w:val="004B22DB"/>
    <w:rsid w:val="004B2799"/>
    <w:rsid w:val="004B2B31"/>
    <w:rsid w:val="004B2BFC"/>
    <w:rsid w:val="004B2D6D"/>
    <w:rsid w:val="004B2E83"/>
    <w:rsid w:val="004B2EA3"/>
    <w:rsid w:val="004B2F6B"/>
    <w:rsid w:val="004B3084"/>
    <w:rsid w:val="004B3673"/>
    <w:rsid w:val="004B3AA3"/>
    <w:rsid w:val="004B3B64"/>
    <w:rsid w:val="004B3F25"/>
    <w:rsid w:val="004B416A"/>
    <w:rsid w:val="004B4BAB"/>
    <w:rsid w:val="004B4C18"/>
    <w:rsid w:val="004B4CA4"/>
    <w:rsid w:val="004B4D0E"/>
    <w:rsid w:val="004B4D44"/>
    <w:rsid w:val="004B50C4"/>
    <w:rsid w:val="004B5133"/>
    <w:rsid w:val="004B529C"/>
    <w:rsid w:val="004B53E6"/>
    <w:rsid w:val="004B553C"/>
    <w:rsid w:val="004B5642"/>
    <w:rsid w:val="004B59E8"/>
    <w:rsid w:val="004B5A03"/>
    <w:rsid w:val="004B5B7C"/>
    <w:rsid w:val="004B5C07"/>
    <w:rsid w:val="004B5CA8"/>
    <w:rsid w:val="004B5D29"/>
    <w:rsid w:val="004B5F92"/>
    <w:rsid w:val="004B6288"/>
    <w:rsid w:val="004B66D4"/>
    <w:rsid w:val="004B6A7C"/>
    <w:rsid w:val="004B6BA9"/>
    <w:rsid w:val="004B6C29"/>
    <w:rsid w:val="004B6FD8"/>
    <w:rsid w:val="004B731F"/>
    <w:rsid w:val="004B76F1"/>
    <w:rsid w:val="004B7737"/>
    <w:rsid w:val="004B7CE5"/>
    <w:rsid w:val="004C031D"/>
    <w:rsid w:val="004C0B29"/>
    <w:rsid w:val="004C13AB"/>
    <w:rsid w:val="004C148D"/>
    <w:rsid w:val="004C1A1F"/>
    <w:rsid w:val="004C1BA6"/>
    <w:rsid w:val="004C1C12"/>
    <w:rsid w:val="004C21F7"/>
    <w:rsid w:val="004C2228"/>
    <w:rsid w:val="004C27EC"/>
    <w:rsid w:val="004C2AE6"/>
    <w:rsid w:val="004C2B6E"/>
    <w:rsid w:val="004C2D2F"/>
    <w:rsid w:val="004C2D87"/>
    <w:rsid w:val="004C2F67"/>
    <w:rsid w:val="004C34D4"/>
    <w:rsid w:val="004C34EB"/>
    <w:rsid w:val="004C357C"/>
    <w:rsid w:val="004C3592"/>
    <w:rsid w:val="004C37A0"/>
    <w:rsid w:val="004C3C8F"/>
    <w:rsid w:val="004C3F3F"/>
    <w:rsid w:val="004C41B6"/>
    <w:rsid w:val="004C41FB"/>
    <w:rsid w:val="004C4597"/>
    <w:rsid w:val="004C49F0"/>
    <w:rsid w:val="004C4A80"/>
    <w:rsid w:val="004C5028"/>
    <w:rsid w:val="004C5195"/>
    <w:rsid w:val="004C53EB"/>
    <w:rsid w:val="004C548E"/>
    <w:rsid w:val="004C55E0"/>
    <w:rsid w:val="004C570F"/>
    <w:rsid w:val="004C5991"/>
    <w:rsid w:val="004C5F80"/>
    <w:rsid w:val="004C6525"/>
    <w:rsid w:val="004C6590"/>
    <w:rsid w:val="004C6BD2"/>
    <w:rsid w:val="004C6E9D"/>
    <w:rsid w:val="004C6F2D"/>
    <w:rsid w:val="004C715B"/>
    <w:rsid w:val="004C71AB"/>
    <w:rsid w:val="004C7243"/>
    <w:rsid w:val="004C7ADA"/>
    <w:rsid w:val="004C7DBA"/>
    <w:rsid w:val="004C7FE2"/>
    <w:rsid w:val="004D07B6"/>
    <w:rsid w:val="004D07E3"/>
    <w:rsid w:val="004D0DD7"/>
    <w:rsid w:val="004D0F6F"/>
    <w:rsid w:val="004D10D9"/>
    <w:rsid w:val="004D13E7"/>
    <w:rsid w:val="004D17C1"/>
    <w:rsid w:val="004D181B"/>
    <w:rsid w:val="004D1A1A"/>
    <w:rsid w:val="004D1AC1"/>
    <w:rsid w:val="004D1E37"/>
    <w:rsid w:val="004D22AE"/>
    <w:rsid w:val="004D2705"/>
    <w:rsid w:val="004D2927"/>
    <w:rsid w:val="004D2C0F"/>
    <w:rsid w:val="004D2E69"/>
    <w:rsid w:val="004D2F01"/>
    <w:rsid w:val="004D33A0"/>
    <w:rsid w:val="004D3809"/>
    <w:rsid w:val="004D3AD5"/>
    <w:rsid w:val="004D4131"/>
    <w:rsid w:val="004D4A28"/>
    <w:rsid w:val="004D4A61"/>
    <w:rsid w:val="004D4BF8"/>
    <w:rsid w:val="004D4D7E"/>
    <w:rsid w:val="004D6039"/>
    <w:rsid w:val="004D61AD"/>
    <w:rsid w:val="004D679C"/>
    <w:rsid w:val="004D6A11"/>
    <w:rsid w:val="004D6BB7"/>
    <w:rsid w:val="004D6E37"/>
    <w:rsid w:val="004D6E9E"/>
    <w:rsid w:val="004D6EA6"/>
    <w:rsid w:val="004D706A"/>
    <w:rsid w:val="004D7121"/>
    <w:rsid w:val="004D71DB"/>
    <w:rsid w:val="004D724B"/>
    <w:rsid w:val="004D7398"/>
    <w:rsid w:val="004D7411"/>
    <w:rsid w:val="004D7738"/>
    <w:rsid w:val="004D781E"/>
    <w:rsid w:val="004D7BB3"/>
    <w:rsid w:val="004E00EA"/>
    <w:rsid w:val="004E024A"/>
    <w:rsid w:val="004E08E7"/>
    <w:rsid w:val="004E09EA"/>
    <w:rsid w:val="004E0BB6"/>
    <w:rsid w:val="004E0DA7"/>
    <w:rsid w:val="004E1071"/>
    <w:rsid w:val="004E174B"/>
    <w:rsid w:val="004E1A85"/>
    <w:rsid w:val="004E1B29"/>
    <w:rsid w:val="004E201D"/>
    <w:rsid w:val="004E2629"/>
    <w:rsid w:val="004E2BC9"/>
    <w:rsid w:val="004E34E5"/>
    <w:rsid w:val="004E3CA3"/>
    <w:rsid w:val="004E3E82"/>
    <w:rsid w:val="004E4311"/>
    <w:rsid w:val="004E4337"/>
    <w:rsid w:val="004E512F"/>
    <w:rsid w:val="004E5452"/>
    <w:rsid w:val="004E55D4"/>
    <w:rsid w:val="004E564A"/>
    <w:rsid w:val="004E5809"/>
    <w:rsid w:val="004E584B"/>
    <w:rsid w:val="004E597F"/>
    <w:rsid w:val="004E5EAB"/>
    <w:rsid w:val="004E6272"/>
    <w:rsid w:val="004E6364"/>
    <w:rsid w:val="004E6937"/>
    <w:rsid w:val="004E72F6"/>
    <w:rsid w:val="004E7426"/>
    <w:rsid w:val="004E745D"/>
    <w:rsid w:val="004E7933"/>
    <w:rsid w:val="004E7A69"/>
    <w:rsid w:val="004E7F8C"/>
    <w:rsid w:val="004F03DD"/>
    <w:rsid w:val="004F0713"/>
    <w:rsid w:val="004F0C4C"/>
    <w:rsid w:val="004F0D56"/>
    <w:rsid w:val="004F0DEA"/>
    <w:rsid w:val="004F0E68"/>
    <w:rsid w:val="004F1057"/>
    <w:rsid w:val="004F1226"/>
    <w:rsid w:val="004F188F"/>
    <w:rsid w:val="004F2240"/>
    <w:rsid w:val="004F281E"/>
    <w:rsid w:val="004F2881"/>
    <w:rsid w:val="004F2EFB"/>
    <w:rsid w:val="004F3A40"/>
    <w:rsid w:val="004F3AF1"/>
    <w:rsid w:val="004F3BE4"/>
    <w:rsid w:val="004F3BF9"/>
    <w:rsid w:val="004F41DE"/>
    <w:rsid w:val="004F4813"/>
    <w:rsid w:val="004F4B92"/>
    <w:rsid w:val="004F4EA9"/>
    <w:rsid w:val="004F4FB8"/>
    <w:rsid w:val="004F5758"/>
    <w:rsid w:val="004F583E"/>
    <w:rsid w:val="004F59D6"/>
    <w:rsid w:val="004F5BDF"/>
    <w:rsid w:val="004F6150"/>
    <w:rsid w:val="004F6308"/>
    <w:rsid w:val="004F6524"/>
    <w:rsid w:val="004F6F27"/>
    <w:rsid w:val="004F79E3"/>
    <w:rsid w:val="004F7EDB"/>
    <w:rsid w:val="004F7F39"/>
    <w:rsid w:val="005008A1"/>
    <w:rsid w:val="00500905"/>
    <w:rsid w:val="005011B0"/>
    <w:rsid w:val="0050134C"/>
    <w:rsid w:val="0050139E"/>
    <w:rsid w:val="00501567"/>
    <w:rsid w:val="005017E0"/>
    <w:rsid w:val="005018D8"/>
    <w:rsid w:val="00501BE3"/>
    <w:rsid w:val="00501EA7"/>
    <w:rsid w:val="005023E3"/>
    <w:rsid w:val="00502428"/>
    <w:rsid w:val="005024D7"/>
    <w:rsid w:val="00502722"/>
    <w:rsid w:val="005027B9"/>
    <w:rsid w:val="00502911"/>
    <w:rsid w:val="00502BDF"/>
    <w:rsid w:val="00503479"/>
    <w:rsid w:val="005035C5"/>
    <w:rsid w:val="00503DDD"/>
    <w:rsid w:val="00503E1D"/>
    <w:rsid w:val="00504038"/>
    <w:rsid w:val="0050417F"/>
    <w:rsid w:val="00504575"/>
    <w:rsid w:val="005046AF"/>
    <w:rsid w:val="005049CE"/>
    <w:rsid w:val="00504A0B"/>
    <w:rsid w:val="00504B0A"/>
    <w:rsid w:val="0050503B"/>
    <w:rsid w:val="005051B0"/>
    <w:rsid w:val="005052DA"/>
    <w:rsid w:val="00505850"/>
    <w:rsid w:val="0050589F"/>
    <w:rsid w:val="0050593D"/>
    <w:rsid w:val="00505E76"/>
    <w:rsid w:val="00505F9D"/>
    <w:rsid w:val="005061CF"/>
    <w:rsid w:val="00506299"/>
    <w:rsid w:val="00506320"/>
    <w:rsid w:val="005065AD"/>
    <w:rsid w:val="00506608"/>
    <w:rsid w:val="00506639"/>
    <w:rsid w:val="00506944"/>
    <w:rsid w:val="00506A40"/>
    <w:rsid w:val="00506A55"/>
    <w:rsid w:val="00506D4E"/>
    <w:rsid w:val="00507076"/>
    <w:rsid w:val="005071D2"/>
    <w:rsid w:val="0050723F"/>
    <w:rsid w:val="00507695"/>
    <w:rsid w:val="00507992"/>
    <w:rsid w:val="00507B82"/>
    <w:rsid w:val="00507DE6"/>
    <w:rsid w:val="00507E44"/>
    <w:rsid w:val="00510037"/>
    <w:rsid w:val="00510301"/>
    <w:rsid w:val="00510509"/>
    <w:rsid w:val="00510C36"/>
    <w:rsid w:val="00511751"/>
    <w:rsid w:val="00511947"/>
    <w:rsid w:val="00511B2C"/>
    <w:rsid w:val="00512071"/>
    <w:rsid w:val="005120BD"/>
    <w:rsid w:val="00512712"/>
    <w:rsid w:val="00512A0E"/>
    <w:rsid w:val="00512F06"/>
    <w:rsid w:val="005130EA"/>
    <w:rsid w:val="00513542"/>
    <w:rsid w:val="00513B65"/>
    <w:rsid w:val="00513F6A"/>
    <w:rsid w:val="0051407B"/>
    <w:rsid w:val="00514864"/>
    <w:rsid w:val="005149AD"/>
    <w:rsid w:val="00514D8B"/>
    <w:rsid w:val="00514FB9"/>
    <w:rsid w:val="0051509F"/>
    <w:rsid w:val="005151A4"/>
    <w:rsid w:val="005154E3"/>
    <w:rsid w:val="00515631"/>
    <w:rsid w:val="0051579F"/>
    <w:rsid w:val="005157BD"/>
    <w:rsid w:val="0051600A"/>
    <w:rsid w:val="00516785"/>
    <w:rsid w:val="00516B67"/>
    <w:rsid w:val="00516EBE"/>
    <w:rsid w:val="00517294"/>
    <w:rsid w:val="00517F6A"/>
    <w:rsid w:val="005201D3"/>
    <w:rsid w:val="005203BC"/>
    <w:rsid w:val="00520AF3"/>
    <w:rsid w:val="00520C78"/>
    <w:rsid w:val="00520D9A"/>
    <w:rsid w:val="00520F49"/>
    <w:rsid w:val="00520FF2"/>
    <w:rsid w:val="00521139"/>
    <w:rsid w:val="00521619"/>
    <w:rsid w:val="005217F6"/>
    <w:rsid w:val="00521995"/>
    <w:rsid w:val="005220C3"/>
    <w:rsid w:val="0052278D"/>
    <w:rsid w:val="005230CD"/>
    <w:rsid w:val="00523410"/>
    <w:rsid w:val="005236E7"/>
    <w:rsid w:val="0052375E"/>
    <w:rsid w:val="00524102"/>
    <w:rsid w:val="0052419D"/>
    <w:rsid w:val="00524307"/>
    <w:rsid w:val="00524458"/>
    <w:rsid w:val="00524628"/>
    <w:rsid w:val="00524883"/>
    <w:rsid w:val="00524B6F"/>
    <w:rsid w:val="00524D4C"/>
    <w:rsid w:val="00525310"/>
    <w:rsid w:val="005257BA"/>
    <w:rsid w:val="005259F3"/>
    <w:rsid w:val="00525BF7"/>
    <w:rsid w:val="0052605A"/>
    <w:rsid w:val="00526226"/>
    <w:rsid w:val="005262EB"/>
    <w:rsid w:val="00526486"/>
    <w:rsid w:val="005269F2"/>
    <w:rsid w:val="00526BA0"/>
    <w:rsid w:val="00526CAB"/>
    <w:rsid w:val="00526F4F"/>
    <w:rsid w:val="0052784B"/>
    <w:rsid w:val="0052784D"/>
    <w:rsid w:val="0052786A"/>
    <w:rsid w:val="00527AED"/>
    <w:rsid w:val="00527C71"/>
    <w:rsid w:val="00527F62"/>
    <w:rsid w:val="00530171"/>
    <w:rsid w:val="005301F8"/>
    <w:rsid w:val="0053039C"/>
    <w:rsid w:val="00530577"/>
    <w:rsid w:val="005305EC"/>
    <w:rsid w:val="00530766"/>
    <w:rsid w:val="00530B54"/>
    <w:rsid w:val="005312FC"/>
    <w:rsid w:val="00531572"/>
    <w:rsid w:val="005317DD"/>
    <w:rsid w:val="005318AC"/>
    <w:rsid w:val="005324BA"/>
    <w:rsid w:val="005324FF"/>
    <w:rsid w:val="00532AF2"/>
    <w:rsid w:val="00532DE0"/>
    <w:rsid w:val="0053357E"/>
    <w:rsid w:val="0053364B"/>
    <w:rsid w:val="00533885"/>
    <w:rsid w:val="005338C0"/>
    <w:rsid w:val="005339CF"/>
    <w:rsid w:val="00533B70"/>
    <w:rsid w:val="00533BD5"/>
    <w:rsid w:val="00533C70"/>
    <w:rsid w:val="00533DCA"/>
    <w:rsid w:val="00533EFD"/>
    <w:rsid w:val="005346AA"/>
    <w:rsid w:val="00534B65"/>
    <w:rsid w:val="0053534C"/>
    <w:rsid w:val="0053569E"/>
    <w:rsid w:val="00535741"/>
    <w:rsid w:val="00535925"/>
    <w:rsid w:val="0053603D"/>
    <w:rsid w:val="00536100"/>
    <w:rsid w:val="0053614A"/>
    <w:rsid w:val="00536161"/>
    <w:rsid w:val="0053664A"/>
    <w:rsid w:val="005366F8"/>
    <w:rsid w:val="00536826"/>
    <w:rsid w:val="005368C6"/>
    <w:rsid w:val="0053742A"/>
    <w:rsid w:val="005374F8"/>
    <w:rsid w:val="00537656"/>
    <w:rsid w:val="00537994"/>
    <w:rsid w:val="00537C85"/>
    <w:rsid w:val="00537D00"/>
    <w:rsid w:val="00537F96"/>
    <w:rsid w:val="00540111"/>
    <w:rsid w:val="005403C0"/>
    <w:rsid w:val="0054075E"/>
    <w:rsid w:val="00540CE8"/>
    <w:rsid w:val="00541347"/>
    <w:rsid w:val="005414CD"/>
    <w:rsid w:val="005416CD"/>
    <w:rsid w:val="00541D29"/>
    <w:rsid w:val="00541D74"/>
    <w:rsid w:val="00541FA6"/>
    <w:rsid w:val="0054216E"/>
    <w:rsid w:val="0054225B"/>
    <w:rsid w:val="00542372"/>
    <w:rsid w:val="00542A80"/>
    <w:rsid w:val="00542B4D"/>
    <w:rsid w:val="00543DA9"/>
    <w:rsid w:val="00543F7A"/>
    <w:rsid w:val="0054418E"/>
    <w:rsid w:val="00544748"/>
    <w:rsid w:val="00544B4B"/>
    <w:rsid w:val="005457C4"/>
    <w:rsid w:val="0054677E"/>
    <w:rsid w:val="005468EB"/>
    <w:rsid w:val="00546E2F"/>
    <w:rsid w:val="00547920"/>
    <w:rsid w:val="00547A82"/>
    <w:rsid w:val="00547BBF"/>
    <w:rsid w:val="005500F6"/>
    <w:rsid w:val="00550287"/>
    <w:rsid w:val="00550611"/>
    <w:rsid w:val="005506C1"/>
    <w:rsid w:val="00550705"/>
    <w:rsid w:val="005509C9"/>
    <w:rsid w:val="00550A77"/>
    <w:rsid w:val="00550F0C"/>
    <w:rsid w:val="005510B4"/>
    <w:rsid w:val="00551B90"/>
    <w:rsid w:val="00551BCE"/>
    <w:rsid w:val="00551C33"/>
    <w:rsid w:val="00552195"/>
    <w:rsid w:val="005521E5"/>
    <w:rsid w:val="005528F0"/>
    <w:rsid w:val="0055292B"/>
    <w:rsid w:val="00552A83"/>
    <w:rsid w:val="00552C66"/>
    <w:rsid w:val="00552CC5"/>
    <w:rsid w:val="00552D1F"/>
    <w:rsid w:val="00552DEC"/>
    <w:rsid w:val="0055321D"/>
    <w:rsid w:val="005534B5"/>
    <w:rsid w:val="00553502"/>
    <w:rsid w:val="0055398F"/>
    <w:rsid w:val="00553B33"/>
    <w:rsid w:val="00553FA9"/>
    <w:rsid w:val="0055412E"/>
    <w:rsid w:val="00554764"/>
    <w:rsid w:val="00554B58"/>
    <w:rsid w:val="00554F6D"/>
    <w:rsid w:val="005551D5"/>
    <w:rsid w:val="005553CC"/>
    <w:rsid w:val="00555ABB"/>
    <w:rsid w:val="00555B23"/>
    <w:rsid w:val="00555C57"/>
    <w:rsid w:val="00555D8A"/>
    <w:rsid w:val="00555FC3"/>
    <w:rsid w:val="00556558"/>
    <w:rsid w:val="0055693C"/>
    <w:rsid w:val="00556976"/>
    <w:rsid w:val="00556FA9"/>
    <w:rsid w:val="005570DA"/>
    <w:rsid w:val="00557131"/>
    <w:rsid w:val="00557518"/>
    <w:rsid w:val="00557AAA"/>
    <w:rsid w:val="0056022E"/>
    <w:rsid w:val="005602BB"/>
    <w:rsid w:val="005604D9"/>
    <w:rsid w:val="00560B4A"/>
    <w:rsid w:val="00560C2F"/>
    <w:rsid w:val="0056116D"/>
    <w:rsid w:val="0056163B"/>
    <w:rsid w:val="0056171D"/>
    <w:rsid w:val="0056177D"/>
    <w:rsid w:val="00561B4D"/>
    <w:rsid w:val="00561C0D"/>
    <w:rsid w:val="00562096"/>
    <w:rsid w:val="0056269A"/>
    <w:rsid w:val="00562A5A"/>
    <w:rsid w:val="00562F17"/>
    <w:rsid w:val="00562FF4"/>
    <w:rsid w:val="005630EB"/>
    <w:rsid w:val="00563743"/>
    <w:rsid w:val="0056391C"/>
    <w:rsid w:val="00563B44"/>
    <w:rsid w:val="00563CAC"/>
    <w:rsid w:val="005641C3"/>
    <w:rsid w:val="005646FE"/>
    <w:rsid w:val="00565094"/>
    <w:rsid w:val="0056567C"/>
    <w:rsid w:val="0056582C"/>
    <w:rsid w:val="00565EDA"/>
    <w:rsid w:val="00566285"/>
    <w:rsid w:val="005664F0"/>
    <w:rsid w:val="005665FD"/>
    <w:rsid w:val="00566D07"/>
    <w:rsid w:val="005671FE"/>
    <w:rsid w:val="005675AF"/>
    <w:rsid w:val="00567672"/>
    <w:rsid w:val="00567B3D"/>
    <w:rsid w:val="00567DFE"/>
    <w:rsid w:val="00567FCE"/>
    <w:rsid w:val="00570086"/>
    <w:rsid w:val="0057021B"/>
    <w:rsid w:val="0057038C"/>
    <w:rsid w:val="00570CA3"/>
    <w:rsid w:val="00570ECF"/>
    <w:rsid w:val="005713BC"/>
    <w:rsid w:val="00571633"/>
    <w:rsid w:val="0057181F"/>
    <w:rsid w:val="00571AE3"/>
    <w:rsid w:val="005722E0"/>
    <w:rsid w:val="0057262C"/>
    <w:rsid w:val="005728C6"/>
    <w:rsid w:val="00572D90"/>
    <w:rsid w:val="00572E8A"/>
    <w:rsid w:val="00572FD9"/>
    <w:rsid w:val="00572FEB"/>
    <w:rsid w:val="0057350E"/>
    <w:rsid w:val="005738A0"/>
    <w:rsid w:val="00573D04"/>
    <w:rsid w:val="00574079"/>
    <w:rsid w:val="005743CD"/>
    <w:rsid w:val="005744A7"/>
    <w:rsid w:val="00574ECF"/>
    <w:rsid w:val="00574FEB"/>
    <w:rsid w:val="0057582B"/>
    <w:rsid w:val="00575AB0"/>
    <w:rsid w:val="00575CE0"/>
    <w:rsid w:val="00575FAB"/>
    <w:rsid w:val="0057648B"/>
    <w:rsid w:val="005765F2"/>
    <w:rsid w:val="00576950"/>
    <w:rsid w:val="00576EC6"/>
    <w:rsid w:val="005770C1"/>
    <w:rsid w:val="00577142"/>
    <w:rsid w:val="0057725F"/>
    <w:rsid w:val="00577350"/>
    <w:rsid w:val="00577950"/>
    <w:rsid w:val="00577E05"/>
    <w:rsid w:val="00577E0E"/>
    <w:rsid w:val="00580227"/>
    <w:rsid w:val="00580417"/>
    <w:rsid w:val="00580978"/>
    <w:rsid w:val="00580CAA"/>
    <w:rsid w:val="00580F00"/>
    <w:rsid w:val="00580F54"/>
    <w:rsid w:val="0058120F"/>
    <w:rsid w:val="00581C0D"/>
    <w:rsid w:val="005823AE"/>
    <w:rsid w:val="00582636"/>
    <w:rsid w:val="00582701"/>
    <w:rsid w:val="00583186"/>
    <w:rsid w:val="00583750"/>
    <w:rsid w:val="00583A85"/>
    <w:rsid w:val="00583E72"/>
    <w:rsid w:val="00583F28"/>
    <w:rsid w:val="0058460F"/>
    <w:rsid w:val="005846CA"/>
    <w:rsid w:val="00584A5B"/>
    <w:rsid w:val="00584F38"/>
    <w:rsid w:val="0058548D"/>
    <w:rsid w:val="005854C4"/>
    <w:rsid w:val="0058558E"/>
    <w:rsid w:val="005857C6"/>
    <w:rsid w:val="005857DA"/>
    <w:rsid w:val="0058618B"/>
    <w:rsid w:val="0058644C"/>
    <w:rsid w:val="0058655B"/>
    <w:rsid w:val="005865E2"/>
    <w:rsid w:val="00586725"/>
    <w:rsid w:val="005867EC"/>
    <w:rsid w:val="005868DE"/>
    <w:rsid w:val="00586941"/>
    <w:rsid w:val="00586BF0"/>
    <w:rsid w:val="00587323"/>
    <w:rsid w:val="00587585"/>
    <w:rsid w:val="005876ED"/>
    <w:rsid w:val="005878D5"/>
    <w:rsid w:val="00587B6F"/>
    <w:rsid w:val="00587C52"/>
    <w:rsid w:val="00587E8F"/>
    <w:rsid w:val="005900F2"/>
    <w:rsid w:val="0059022A"/>
    <w:rsid w:val="005903AA"/>
    <w:rsid w:val="00590708"/>
    <w:rsid w:val="00590853"/>
    <w:rsid w:val="00590991"/>
    <w:rsid w:val="00590A97"/>
    <w:rsid w:val="005917AC"/>
    <w:rsid w:val="00591AF2"/>
    <w:rsid w:val="00591BF3"/>
    <w:rsid w:val="00591CF9"/>
    <w:rsid w:val="00591F7C"/>
    <w:rsid w:val="0059219B"/>
    <w:rsid w:val="00592350"/>
    <w:rsid w:val="00592A0B"/>
    <w:rsid w:val="00592A2F"/>
    <w:rsid w:val="00592B99"/>
    <w:rsid w:val="00593500"/>
    <w:rsid w:val="00593756"/>
    <w:rsid w:val="005937D1"/>
    <w:rsid w:val="005938D3"/>
    <w:rsid w:val="00593AEC"/>
    <w:rsid w:val="00593C5E"/>
    <w:rsid w:val="00594091"/>
    <w:rsid w:val="00594997"/>
    <w:rsid w:val="00594A99"/>
    <w:rsid w:val="00594CD8"/>
    <w:rsid w:val="005955C2"/>
    <w:rsid w:val="00595A5C"/>
    <w:rsid w:val="00595AE6"/>
    <w:rsid w:val="00595B17"/>
    <w:rsid w:val="00595F93"/>
    <w:rsid w:val="00596688"/>
    <w:rsid w:val="005966B7"/>
    <w:rsid w:val="00596DC5"/>
    <w:rsid w:val="00596FCC"/>
    <w:rsid w:val="00596FEB"/>
    <w:rsid w:val="005971D8"/>
    <w:rsid w:val="00597611"/>
    <w:rsid w:val="00597E9F"/>
    <w:rsid w:val="005A005A"/>
    <w:rsid w:val="005A0988"/>
    <w:rsid w:val="005A0C5E"/>
    <w:rsid w:val="005A0E2B"/>
    <w:rsid w:val="005A1F00"/>
    <w:rsid w:val="005A1F52"/>
    <w:rsid w:val="005A205E"/>
    <w:rsid w:val="005A2210"/>
    <w:rsid w:val="005A2691"/>
    <w:rsid w:val="005A2B38"/>
    <w:rsid w:val="005A3202"/>
    <w:rsid w:val="005A34EF"/>
    <w:rsid w:val="005A3513"/>
    <w:rsid w:val="005A3A9D"/>
    <w:rsid w:val="005A3BC1"/>
    <w:rsid w:val="005A3C5F"/>
    <w:rsid w:val="005A3CC0"/>
    <w:rsid w:val="005A3E04"/>
    <w:rsid w:val="005A4048"/>
    <w:rsid w:val="005A408E"/>
    <w:rsid w:val="005A4257"/>
    <w:rsid w:val="005A42B1"/>
    <w:rsid w:val="005A4598"/>
    <w:rsid w:val="005A45F3"/>
    <w:rsid w:val="005A462A"/>
    <w:rsid w:val="005A4B68"/>
    <w:rsid w:val="005A519A"/>
    <w:rsid w:val="005A5295"/>
    <w:rsid w:val="005A5C07"/>
    <w:rsid w:val="005A5C14"/>
    <w:rsid w:val="005A5F65"/>
    <w:rsid w:val="005A6761"/>
    <w:rsid w:val="005A6DD4"/>
    <w:rsid w:val="005A71F5"/>
    <w:rsid w:val="005A76B6"/>
    <w:rsid w:val="005A7B32"/>
    <w:rsid w:val="005A7BE7"/>
    <w:rsid w:val="005A7C14"/>
    <w:rsid w:val="005A7CB4"/>
    <w:rsid w:val="005B0071"/>
    <w:rsid w:val="005B05A3"/>
    <w:rsid w:val="005B06CE"/>
    <w:rsid w:val="005B0A2C"/>
    <w:rsid w:val="005B1299"/>
    <w:rsid w:val="005B15B6"/>
    <w:rsid w:val="005B1780"/>
    <w:rsid w:val="005B1819"/>
    <w:rsid w:val="005B1B06"/>
    <w:rsid w:val="005B2045"/>
    <w:rsid w:val="005B2154"/>
    <w:rsid w:val="005B22CB"/>
    <w:rsid w:val="005B259E"/>
    <w:rsid w:val="005B266A"/>
    <w:rsid w:val="005B284E"/>
    <w:rsid w:val="005B2B6F"/>
    <w:rsid w:val="005B2BA0"/>
    <w:rsid w:val="005B2BCF"/>
    <w:rsid w:val="005B2F18"/>
    <w:rsid w:val="005B2F1C"/>
    <w:rsid w:val="005B31AC"/>
    <w:rsid w:val="005B3573"/>
    <w:rsid w:val="005B3641"/>
    <w:rsid w:val="005B3F25"/>
    <w:rsid w:val="005B435E"/>
    <w:rsid w:val="005B4453"/>
    <w:rsid w:val="005B44D2"/>
    <w:rsid w:val="005B459E"/>
    <w:rsid w:val="005B4B4D"/>
    <w:rsid w:val="005B4E8D"/>
    <w:rsid w:val="005B5263"/>
    <w:rsid w:val="005B5364"/>
    <w:rsid w:val="005B5AE1"/>
    <w:rsid w:val="005B5D43"/>
    <w:rsid w:val="005B5E2A"/>
    <w:rsid w:val="005B5E49"/>
    <w:rsid w:val="005B613B"/>
    <w:rsid w:val="005B6538"/>
    <w:rsid w:val="005B6A8C"/>
    <w:rsid w:val="005B7061"/>
    <w:rsid w:val="005B75A6"/>
    <w:rsid w:val="005B75F3"/>
    <w:rsid w:val="005B7789"/>
    <w:rsid w:val="005B7ECB"/>
    <w:rsid w:val="005C02A4"/>
    <w:rsid w:val="005C0546"/>
    <w:rsid w:val="005C0874"/>
    <w:rsid w:val="005C08A9"/>
    <w:rsid w:val="005C0918"/>
    <w:rsid w:val="005C0B19"/>
    <w:rsid w:val="005C0B8F"/>
    <w:rsid w:val="005C0CCC"/>
    <w:rsid w:val="005C1013"/>
    <w:rsid w:val="005C15DC"/>
    <w:rsid w:val="005C16EC"/>
    <w:rsid w:val="005C1831"/>
    <w:rsid w:val="005C2091"/>
    <w:rsid w:val="005C20D2"/>
    <w:rsid w:val="005C2745"/>
    <w:rsid w:val="005C2B76"/>
    <w:rsid w:val="005C32BD"/>
    <w:rsid w:val="005C32FE"/>
    <w:rsid w:val="005C3308"/>
    <w:rsid w:val="005C3558"/>
    <w:rsid w:val="005C3801"/>
    <w:rsid w:val="005C3A5C"/>
    <w:rsid w:val="005C3C77"/>
    <w:rsid w:val="005C4292"/>
    <w:rsid w:val="005C42E7"/>
    <w:rsid w:val="005C4654"/>
    <w:rsid w:val="005C46A9"/>
    <w:rsid w:val="005C4755"/>
    <w:rsid w:val="005C482D"/>
    <w:rsid w:val="005C4B73"/>
    <w:rsid w:val="005C4DC1"/>
    <w:rsid w:val="005C4DC8"/>
    <w:rsid w:val="005C5100"/>
    <w:rsid w:val="005C5284"/>
    <w:rsid w:val="005C5377"/>
    <w:rsid w:val="005C53C6"/>
    <w:rsid w:val="005C5840"/>
    <w:rsid w:val="005C5D9A"/>
    <w:rsid w:val="005C5E8C"/>
    <w:rsid w:val="005C624F"/>
    <w:rsid w:val="005C65CC"/>
    <w:rsid w:val="005C66B1"/>
    <w:rsid w:val="005C6AB9"/>
    <w:rsid w:val="005C6CC7"/>
    <w:rsid w:val="005C6F33"/>
    <w:rsid w:val="005C7545"/>
    <w:rsid w:val="005C7D1D"/>
    <w:rsid w:val="005C7ED7"/>
    <w:rsid w:val="005D024A"/>
    <w:rsid w:val="005D0256"/>
    <w:rsid w:val="005D03B5"/>
    <w:rsid w:val="005D09F4"/>
    <w:rsid w:val="005D0A1E"/>
    <w:rsid w:val="005D0AD3"/>
    <w:rsid w:val="005D0C97"/>
    <w:rsid w:val="005D0E89"/>
    <w:rsid w:val="005D0FCD"/>
    <w:rsid w:val="005D1421"/>
    <w:rsid w:val="005D1454"/>
    <w:rsid w:val="005D15F3"/>
    <w:rsid w:val="005D2F63"/>
    <w:rsid w:val="005D2FD5"/>
    <w:rsid w:val="005D3041"/>
    <w:rsid w:val="005D318C"/>
    <w:rsid w:val="005D3813"/>
    <w:rsid w:val="005D4342"/>
    <w:rsid w:val="005D43EB"/>
    <w:rsid w:val="005D446F"/>
    <w:rsid w:val="005D4679"/>
    <w:rsid w:val="005D4FD4"/>
    <w:rsid w:val="005D507A"/>
    <w:rsid w:val="005D50B1"/>
    <w:rsid w:val="005D5B6F"/>
    <w:rsid w:val="005D5C19"/>
    <w:rsid w:val="005D5ED4"/>
    <w:rsid w:val="005D5EDE"/>
    <w:rsid w:val="005D5F25"/>
    <w:rsid w:val="005D5F69"/>
    <w:rsid w:val="005D615A"/>
    <w:rsid w:val="005D66F4"/>
    <w:rsid w:val="005D68BE"/>
    <w:rsid w:val="005D6D5E"/>
    <w:rsid w:val="005D6D64"/>
    <w:rsid w:val="005D71F1"/>
    <w:rsid w:val="005D7217"/>
    <w:rsid w:val="005D7977"/>
    <w:rsid w:val="005D7CAE"/>
    <w:rsid w:val="005D7CCD"/>
    <w:rsid w:val="005D7E5F"/>
    <w:rsid w:val="005E00A1"/>
    <w:rsid w:val="005E00E5"/>
    <w:rsid w:val="005E037E"/>
    <w:rsid w:val="005E04F3"/>
    <w:rsid w:val="005E0D55"/>
    <w:rsid w:val="005E17BB"/>
    <w:rsid w:val="005E17DC"/>
    <w:rsid w:val="005E1891"/>
    <w:rsid w:val="005E1D58"/>
    <w:rsid w:val="005E1E36"/>
    <w:rsid w:val="005E1F52"/>
    <w:rsid w:val="005E236F"/>
    <w:rsid w:val="005E26BC"/>
    <w:rsid w:val="005E2B00"/>
    <w:rsid w:val="005E30F5"/>
    <w:rsid w:val="005E3433"/>
    <w:rsid w:val="005E347C"/>
    <w:rsid w:val="005E3590"/>
    <w:rsid w:val="005E366B"/>
    <w:rsid w:val="005E3787"/>
    <w:rsid w:val="005E395C"/>
    <w:rsid w:val="005E39DD"/>
    <w:rsid w:val="005E41BF"/>
    <w:rsid w:val="005E436E"/>
    <w:rsid w:val="005E45AB"/>
    <w:rsid w:val="005E4746"/>
    <w:rsid w:val="005E4D82"/>
    <w:rsid w:val="005E4E27"/>
    <w:rsid w:val="005E5186"/>
    <w:rsid w:val="005E579F"/>
    <w:rsid w:val="005E5837"/>
    <w:rsid w:val="005E59CD"/>
    <w:rsid w:val="005E5FD8"/>
    <w:rsid w:val="005E6871"/>
    <w:rsid w:val="005E6906"/>
    <w:rsid w:val="005E6964"/>
    <w:rsid w:val="005E69BE"/>
    <w:rsid w:val="005E6AB4"/>
    <w:rsid w:val="005E6B8F"/>
    <w:rsid w:val="005E6EB4"/>
    <w:rsid w:val="005E6FC0"/>
    <w:rsid w:val="005E7352"/>
    <w:rsid w:val="005E75D3"/>
    <w:rsid w:val="005F0024"/>
    <w:rsid w:val="005F0129"/>
    <w:rsid w:val="005F0179"/>
    <w:rsid w:val="005F0574"/>
    <w:rsid w:val="005F0BE7"/>
    <w:rsid w:val="005F134E"/>
    <w:rsid w:val="005F19D6"/>
    <w:rsid w:val="005F1DBF"/>
    <w:rsid w:val="005F2696"/>
    <w:rsid w:val="005F272D"/>
    <w:rsid w:val="005F28CE"/>
    <w:rsid w:val="005F2B13"/>
    <w:rsid w:val="005F2D0A"/>
    <w:rsid w:val="005F2D3B"/>
    <w:rsid w:val="005F3008"/>
    <w:rsid w:val="005F3377"/>
    <w:rsid w:val="005F34DA"/>
    <w:rsid w:val="005F37C6"/>
    <w:rsid w:val="005F3E92"/>
    <w:rsid w:val="005F4147"/>
    <w:rsid w:val="005F41D6"/>
    <w:rsid w:val="005F4947"/>
    <w:rsid w:val="005F4B41"/>
    <w:rsid w:val="005F4C0E"/>
    <w:rsid w:val="005F52F1"/>
    <w:rsid w:val="005F54BC"/>
    <w:rsid w:val="005F5518"/>
    <w:rsid w:val="005F5995"/>
    <w:rsid w:val="005F59C3"/>
    <w:rsid w:val="005F7871"/>
    <w:rsid w:val="005F7CB0"/>
    <w:rsid w:val="005F7DEB"/>
    <w:rsid w:val="00600155"/>
    <w:rsid w:val="006003E9"/>
    <w:rsid w:val="00600A56"/>
    <w:rsid w:val="00600D23"/>
    <w:rsid w:val="00601370"/>
    <w:rsid w:val="00601650"/>
    <w:rsid w:val="00601A84"/>
    <w:rsid w:val="00601DB5"/>
    <w:rsid w:val="0060239D"/>
    <w:rsid w:val="0060268E"/>
    <w:rsid w:val="00602AFC"/>
    <w:rsid w:val="00602E4E"/>
    <w:rsid w:val="00603118"/>
    <w:rsid w:val="0060373B"/>
    <w:rsid w:val="00603904"/>
    <w:rsid w:val="00603983"/>
    <w:rsid w:val="00603E20"/>
    <w:rsid w:val="00603E44"/>
    <w:rsid w:val="00604236"/>
    <w:rsid w:val="00604635"/>
    <w:rsid w:val="006046C6"/>
    <w:rsid w:val="00604CCF"/>
    <w:rsid w:val="00604FDF"/>
    <w:rsid w:val="0060511B"/>
    <w:rsid w:val="006051D4"/>
    <w:rsid w:val="00605271"/>
    <w:rsid w:val="006056CF"/>
    <w:rsid w:val="006057D6"/>
    <w:rsid w:val="006059F9"/>
    <w:rsid w:val="00605AFD"/>
    <w:rsid w:val="00605B25"/>
    <w:rsid w:val="00605D67"/>
    <w:rsid w:val="00605E4B"/>
    <w:rsid w:val="00606070"/>
    <w:rsid w:val="0060641C"/>
    <w:rsid w:val="00606436"/>
    <w:rsid w:val="0060667F"/>
    <w:rsid w:val="00606AB4"/>
    <w:rsid w:val="00606BEB"/>
    <w:rsid w:val="00606C74"/>
    <w:rsid w:val="00606D70"/>
    <w:rsid w:val="006071D2"/>
    <w:rsid w:val="00607D49"/>
    <w:rsid w:val="00607EF6"/>
    <w:rsid w:val="00607F0C"/>
    <w:rsid w:val="006100E2"/>
    <w:rsid w:val="00610A05"/>
    <w:rsid w:val="00610D4A"/>
    <w:rsid w:val="00610EE5"/>
    <w:rsid w:val="0061130D"/>
    <w:rsid w:val="00611324"/>
    <w:rsid w:val="006118EA"/>
    <w:rsid w:val="00611AC7"/>
    <w:rsid w:val="00611F05"/>
    <w:rsid w:val="00611F72"/>
    <w:rsid w:val="00612156"/>
    <w:rsid w:val="00612216"/>
    <w:rsid w:val="006123D4"/>
    <w:rsid w:val="00612407"/>
    <w:rsid w:val="00612B52"/>
    <w:rsid w:val="00612D3A"/>
    <w:rsid w:val="00612FC3"/>
    <w:rsid w:val="006140F9"/>
    <w:rsid w:val="006142E0"/>
    <w:rsid w:val="00614338"/>
    <w:rsid w:val="0061445B"/>
    <w:rsid w:val="00614727"/>
    <w:rsid w:val="00614969"/>
    <w:rsid w:val="00614C4D"/>
    <w:rsid w:val="006157B3"/>
    <w:rsid w:val="00615CB7"/>
    <w:rsid w:val="0061605D"/>
    <w:rsid w:val="006160DC"/>
    <w:rsid w:val="006162A4"/>
    <w:rsid w:val="0061649E"/>
    <w:rsid w:val="00616C36"/>
    <w:rsid w:val="00616E43"/>
    <w:rsid w:val="00616E65"/>
    <w:rsid w:val="00617118"/>
    <w:rsid w:val="0061734A"/>
    <w:rsid w:val="006178A1"/>
    <w:rsid w:val="00617981"/>
    <w:rsid w:val="00617EC4"/>
    <w:rsid w:val="00617F14"/>
    <w:rsid w:val="00617F95"/>
    <w:rsid w:val="006200AA"/>
    <w:rsid w:val="00620642"/>
    <w:rsid w:val="006207FA"/>
    <w:rsid w:val="0062082B"/>
    <w:rsid w:val="00621133"/>
    <w:rsid w:val="006212B8"/>
    <w:rsid w:val="00621493"/>
    <w:rsid w:val="00621CE8"/>
    <w:rsid w:val="00622292"/>
    <w:rsid w:val="00622322"/>
    <w:rsid w:val="00622AF4"/>
    <w:rsid w:val="006232F1"/>
    <w:rsid w:val="00623B32"/>
    <w:rsid w:val="0062429F"/>
    <w:rsid w:val="00624639"/>
    <w:rsid w:val="00624857"/>
    <w:rsid w:val="00624BEF"/>
    <w:rsid w:val="00624C4B"/>
    <w:rsid w:val="00624DE4"/>
    <w:rsid w:val="00624EB4"/>
    <w:rsid w:val="006258B9"/>
    <w:rsid w:val="00625925"/>
    <w:rsid w:val="00625927"/>
    <w:rsid w:val="00625C04"/>
    <w:rsid w:val="00625F4B"/>
    <w:rsid w:val="0062634B"/>
    <w:rsid w:val="00626948"/>
    <w:rsid w:val="006269EE"/>
    <w:rsid w:val="0062713D"/>
    <w:rsid w:val="00627725"/>
    <w:rsid w:val="0062786F"/>
    <w:rsid w:val="0063018D"/>
    <w:rsid w:val="006302AB"/>
    <w:rsid w:val="0063059B"/>
    <w:rsid w:val="00630622"/>
    <w:rsid w:val="00630716"/>
    <w:rsid w:val="0063092E"/>
    <w:rsid w:val="00630A1D"/>
    <w:rsid w:val="00630B3E"/>
    <w:rsid w:val="00630DA2"/>
    <w:rsid w:val="00630E83"/>
    <w:rsid w:val="00631070"/>
    <w:rsid w:val="0063115E"/>
    <w:rsid w:val="00631216"/>
    <w:rsid w:val="006313D0"/>
    <w:rsid w:val="00631553"/>
    <w:rsid w:val="00631729"/>
    <w:rsid w:val="00631772"/>
    <w:rsid w:val="00631902"/>
    <w:rsid w:val="00631DDD"/>
    <w:rsid w:val="00631EDE"/>
    <w:rsid w:val="00632105"/>
    <w:rsid w:val="0063250F"/>
    <w:rsid w:val="00632526"/>
    <w:rsid w:val="006325EA"/>
    <w:rsid w:val="006327B2"/>
    <w:rsid w:val="00632805"/>
    <w:rsid w:val="00632992"/>
    <w:rsid w:val="00633581"/>
    <w:rsid w:val="00633750"/>
    <w:rsid w:val="00633C7E"/>
    <w:rsid w:val="00633D60"/>
    <w:rsid w:val="00634176"/>
    <w:rsid w:val="006344AF"/>
    <w:rsid w:val="00634550"/>
    <w:rsid w:val="0063490F"/>
    <w:rsid w:val="00635262"/>
    <w:rsid w:val="0063548E"/>
    <w:rsid w:val="00635BE4"/>
    <w:rsid w:val="006362F9"/>
    <w:rsid w:val="00636405"/>
    <w:rsid w:val="0063669F"/>
    <w:rsid w:val="00636719"/>
    <w:rsid w:val="00636E1C"/>
    <w:rsid w:val="006374B9"/>
    <w:rsid w:val="006376CC"/>
    <w:rsid w:val="00637B70"/>
    <w:rsid w:val="0064001B"/>
    <w:rsid w:val="006402F2"/>
    <w:rsid w:val="006405C3"/>
    <w:rsid w:val="006406C9"/>
    <w:rsid w:val="00640771"/>
    <w:rsid w:val="00640AC2"/>
    <w:rsid w:val="00640B5F"/>
    <w:rsid w:val="00640DCE"/>
    <w:rsid w:val="00640E73"/>
    <w:rsid w:val="00640EDB"/>
    <w:rsid w:val="00641256"/>
    <w:rsid w:val="00641367"/>
    <w:rsid w:val="00641663"/>
    <w:rsid w:val="00641675"/>
    <w:rsid w:val="00641747"/>
    <w:rsid w:val="00641C90"/>
    <w:rsid w:val="006424FC"/>
    <w:rsid w:val="00642516"/>
    <w:rsid w:val="00642615"/>
    <w:rsid w:val="00642ADB"/>
    <w:rsid w:val="00642B7F"/>
    <w:rsid w:val="00642DD7"/>
    <w:rsid w:val="00642E40"/>
    <w:rsid w:val="0064302E"/>
    <w:rsid w:val="006432A0"/>
    <w:rsid w:val="006435E2"/>
    <w:rsid w:val="0064376F"/>
    <w:rsid w:val="006437D6"/>
    <w:rsid w:val="00643A61"/>
    <w:rsid w:val="006449D9"/>
    <w:rsid w:val="00644C08"/>
    <w:rsid w:val="006454CC"/>
    <w:rsid w:val="00645611"/>
    <w:rsid w:val="00645C73"/>
    <w:rsid w:val="00646319"/>
    <w:rsid w:val="00646562"/>
    <w:rsid w:val="00646B18"/>
    <w:rsid w:val="00646EBA"/>
    <w:rsid w:val="00646F7A"/>
    <w:rsid w:val="006475D2"/>
    <w:rsid w:val="00647714"/>
    <w:rsid w:val="00647884"/>
    <w:rsid w:val="0064791A"/>
    <w:rsid w:val="00647D80"/>
    <w:rsid w:val="00647F34"/>
    <w:rsid w:val="006500A1"/>
    <w:rsid w:val="00650400"/>
    <w:rsid w:val="00650838"/>
    <w:rsid w:val="00650A74"/>
    <w:rsid w:val="00650C98"/>
    <w:rsid w:val="00650D96"/>
    <w:rsid w:val="006519E3"/>
    <w:rsid w:val="00651A55"/>
    <w:rsid w:val="00651C71"/>
    <w:rsid w:val="006529E1"/>
    <w:rsid w:val="00652AF9"/>
    <w:rsid w:val="006531C3"/>
    <w:rsid w:val="006532A1"/>
    <w:rsid w:val="00653414"/>
    <w:rsid w:val="0065373A"/>
    <w:rsid w:val="00653771"/>
    <w:rsid w:val="006537F5"/>
    <w:rsid w:val="006538BA"/>
    <w:rsid w:val="00653BE0"/>
    <w:rsid w:val="00653C80"/>
    <w:rsid w:val="00653F3E"/>
    <w:rsid w:val="00654CD0"/>
    <w:rsid w:val="00654D1D"/>
    <w:rsid w:val="00654EAB"/>
    <w:rsid w:val="0065512E"/>
    <w:rsid w:val="00655260"/>
    <w:rsid w:val="006553E5"/>
    <w:rsid w:val="00655467"/>
    <w:rsid w:val="0065567D"/>
    <w:rsid w:val="006558B4"/>
    <w:rsid w:val="00655BA0"/>
    <w:rsid w:val="00655E28"/>
    <w:rsid w:val="00656013"/>
    <w:rsid w:val="006562A1"/>
    <w:rsid w:val="00656388"/>
    <w:rsid w:val="00656482"/>
    <w:rsid w:val="006564AE"/>
    <w:rsid w:val="006567F1"/>
    <w:rsid w:val="00657263"/>
    <w:rsid w:val="006573D3"/>
    <w:rsid w:val="00657805"/>
    <w:rsid w:val="006578D8"/>
    <w:rsid w:val="00657D6A"/>
    <w:rsid w:val="00657ECF"/>
    <w:rsid w:val="00657F2F"/>
    <w:rsid w:val="00660685"/>
    <w:rsid w:val="00660725"/>
    <w:rsid w:val="0066084D"/>
    <w:rsid w:val="00660B14"/>
    <w:rsid w:val="00660E35"/>
    <w:rsid w:val="0066107E"/>
    <w:rsid w:val="00661138"/>
    <w:rsid w:val="00661177"/>
    <w:rsid w:val="00661588"/>
    <w:rsid w:val="006617D7"/>
    <w:rsid w:val="00661A5A"/>
    <w:rsid w:val="00661E62"/>
    <w:rsid w:val="006620BF"/>
    <w:rsid w:val="00662975"/>
    <w:rsid w:val="00663003"/>
    <w:rsid w:val="00663244"/>
    <w:rsid w:val="00663569"/>
    <w:rsid w:val="0066374B"/>
    <w:rsid w:val="006637E4"/>
    <w:rsid w:val="006639EE"/>
    <w:rsid w:val="00664A9C"/>
    <w:rsid w:val="00664EBF"/>
    <w:rsid w:val="0066518C"/>
    <w:rsid w:val="0066524A"/>
    <w:rsid w:val="006652C8"/>
    <w:rsid w:val="00665358"/>
    <w:rsid w:val="006656ED"/>
    <w:rsid w:val="00665989"/>
    <w:rsid w:val="00665ABD"/>
    <w:rsid w:val="0066631E"/>
    <w:rsid w:val="00666933"/>
    <w:rsid w:val="00666C16"/>
    <w:rsid w:val="00666E94"/>
    <w:rsid w:val="00666EF7"/>
    <w:rsid w:val="00667578"/>
    <w:rsid w:val="00667681"/>
    <w:rsid w:val="006679B1"/>
    <w:rsid w:val="00667A48"/>
    <w:rsid w:val="00667AA4"/>
    <w:rsid w:val="00667AED"/>
    <w:rsid w:val="00667BC7"/>
    <w:rsid w:val="00667D4C"/>
    <w:rsid w:val="00667D5B"/>
    <w:rsid w:val="00670470"/>
    <w:rsid w:val="006708AD"/>
    <w:rsid w:val="00670929"/>
    <w:rsid w:val="00670C7D"/>
    <w:rsid w:val="00671014"/>
    <w:rsid w:val="00671BCE"/>
    <w:rsid w:val="00671CF6"/>
    <w:rsid w:val="00671DE0"/>
    <w:rsid w:val="00672228"/>
    <w:rsid w:val="00672625"/>
    <w:rsid w:val="006727F1"/>
    <w:rsid w:val="00672CA1"/>
    <w:rsid w:val="00672D0F"/>
    <w:rsid w:val="00672F5F"/>
    <w:rsid w:val="00673166"/>
    <w:rsid w:val="00673336"/>
    <w:rsid w:val="006736E8"/>
    <w:rsid w:val="00673AD6"/>
    <w:rsid w:val="00673BDF"/>
    <w:rsid w:val="00673CAE"/>
    <w:rsid w:val="00674125"/>
    <w:rsid w:val="00674275"/>
    <w:rsid w:val="006744F4"/>
    <w:rsid w:val="00674567"/>
    <w:rsid w:val="00674BC2"/>
    <w:rsid w:val="00675BC0"/>
    <w:rsid w:val="006760C1"/>
    <w:rsid w:val="006768A7"/>
    <w:rsid w:val="00676A8B"/>
    <w:rsid w:val="00676E49"/>
    <w:rsid w:val="00676F19"/>
    <w:rsid w:val="00677010"/>
    <w:rsid w:val="006776DF"/>
    <w:rsid w:val="0067792D"/>
    <w:rsid w:val="00677965"/>
    <w:rsid w:val="006779A8"/>
    <w:rsid w:val="00677ABC"/>
    <w:rsid w:val="00677FAF"/>
    <w:rsid w:val="00680225"/>
    <w:rsid w:val="006802E1"/>
    <w:rsid w:val="0068049B"/>
    <w:rsid w:val="006804FE"/>
    <w:rsid w:val="00680539"/>
    <w:rsid w:val="006805F5"/>
    <w:rsid w:val="00680993"/>
    <w:rsid w:val="00680BAB"/>
    <w:rsid w:val="00680C70"/>
    <w:rsid w:val="00681649"/>
    <w:rsid w:val="0068189F"/>
    <w:rsid w:val="006819CC"/>
    <w:rsid w:val="00681AAD"/>
    <w:rsid w:val="00681BCC"/>
    <w:rsid w:val="00681BDD"/>
    <w:rsid w:val="006820F2"/>
    <w:rsid w:val="00682156"/>
    <w:rsid w:val="00682677"/>
    <w:rsid w:val="00682EF5"/>
    <w:rsid w:val="006830CE"/>
    <w:rsid w:val="006833A0"/>
    <w:rsid w:val="00683785"/>
    <w:rsid w:val="006838B4"/>
    <w:rsid w:val="00683B39"/>
    <w:rsid w:val="00683D9F"/>
    <w:rsid w:val="00683E62"/>
    <w:rsid w:val="00683EBE"/>
    <w:rsid w:val="00683FAD"/>
    <w:rsid w:val="006845EA"/>
    <w:rsid w:val="00684848"/>
    <w:rsid w:val="00684EE9"/>
    <w:rsid w:val="00684FB5"/>
    <w:rsid w:val="006854A4"/>
    <w:rsid w:val="00685561"/>
    <w:rsid w:val="006855C8"/>
    <w:rsid w:val="0068566A"/>
    <w:rsid w:val="0068586B"/>
    <w:rsid w:val="00685B3C"/>
    <w:rsid w:val="00685B8D"/>
    <w:rsid w:val="00685CF7"/>
    <w:rsid w:val="006860A4"/>
    <w:rsid w:val="00686165"/>
    <w:rsid w:val="0068675D"/>
    <w:rsid w:val="00686A3D"/>
    <w:rsid w:val="00686A6C"/>
    <w:rsid w:val="00686BDC"/>
    <w:rsid w:val="00686F1A"/>
    <w:rsid w:val="00687284"/>
    <w:rsid w:val="006874BC"/>
    <w:rsid w:val="0068785A"/>
    <w:rsid w:val="006879BD"/>
    <w:rsid w:val="00687A4C"/>
    <w:rsid w:val="00687AC3"/>
    <w:rsid w:val="0069020B"/>
    <w:rsid w:val="00690307"/>
    <w:rsid w:val="00690349"/>
    <w:rsid w:val="006903F7"/>
    <w:rsid w:val="0069086F"/>
    <w:rsid w:val="00691C27"/>
    <w:rsid w:val="00691CB5"/>
    <w:rsid w:val="00691CE4"/>
    <w:rsid w:val="0069204B"/>
    <w:rsid w:val="006920DA"/>
    <w:rsid w:val="006921D7"/>
    <w:rsid w:val="006922D8"/>
    <w:rsid w:val="006924A3"/>
    <w:rsid w:val="006925E0"/>
    <w:rsid w:val="00693331"/>
    <w:rsid w:val="006937A9"/>
    <w:rsid w:val="006938B2"/>
    <w:rsid w:val="00693BBA"/>
    <w:rsid w:val="00693D58"/>
    <w:rsid w:val="006940D7"/>
    <w:rsid w:val="0069429A"/>
    <w:rsid w:val="00694425"/>
    <w:rsid w:val="0069462E"/>
    <w:rsid w:val="0069495D"/>
    <w:rsid w:val="00694B33"/>
    <w:rsid w:val="00694FCA"/>
    <w:rsid w:val="006953C7"/>
    <w:rsid w:val="00695488"/>
    <w:rsid w:val="00695889"/>
    <w:rsid w:val="006959F4"/>
    <w:rsid w:val="00695A4E"/>
    <w:rsid w:val="00695C7B"/>
    <w:rsid w:val="00695D7B"/>
    <w:rsid w:val="00695E74"/>
    <w:rsid w:val="006964E7"/>
    <w:rsid w:val="00696C08"/>
    <w:rsid w:val="00696C4E"/>
    <w:rsid w:val="00696DD4"/>
    <w:rsid w:val="00696FD2"/>
    <w:rsid w:val="00697498"/>
    <w:rsid w:val="00697D5A"/>
    <w:rsid w:val="006A0213"/>
    <w:rsid w:val="006A086B"/>
    <w:rsid w:val="006A08A1"/>
    <w:rsid w:val="006A0C42"/>
    <w:rsid w:val="006A0D4E"/>
    <w:rsid w:val="006A1014"/>
    <w:rsid w:val="006A170A"/>
    <w:rsid w:val="006A19F3"/>
    <w:rsid w:val="006A1A87"/>
    <w:rsid w:val="006A1B63"/>
    <w:rsid w:val="006A1C39"/>
    <w:rsid w:val="006A1D09"/>
    <w:rsid w:val="006A1E74"/>
    <w:rsid w:val="006A2607"/>
    <w:rsid w:val="006A26B5"/>
    <w:rsid w:val="006A2DBD"/>
    <w:rsid w:val="006A315B"/>
    <w:rsid w:val="006A354A"/>
    <w:rsid w:val="006A35AD"/>
    <w:rsid w:val="006A37F5"/>
    <w:rsid w:val="006A39D8"/>
    <w:rsid w:val="006A3D25"/>
    <w:rsid w:val="006A3F37"/>
    <w:rsid w:val="006A3F5F"/>
    <w:rsid w:val="006A4264"/>
    <w:rsid w:val="006A440F"/>
    <w:rsid w:val="006A441A"/>
    <w:rsid w:val="006A4D28"/>
    <w:rsid w:val="006A50D1"/>
    <w:rsid w:val="006A5AD1"/>
    <w:rsid w:val="006A5B0A"/>
    <w:rsid w:val="006A5B65"/>
    <w:rsid w:val="006A5E3F"/>
    <w:rsid w:val="006A5E90"/>
    <w:rsid w:val="006A5EC1"/>
    <w:rsid w:val="006A5ED0"/>
    <w:rsid w:val="006A6707"/>
    <w:rsid w:val="006A710A"/>
    <w:rsid w:val="006A711F"/>
    <w:rsid w:val="006A735C"/>
    <w:rsid w:val="006A77C3"/>
    <w:rsid w:val="006A794C"/>
    <w:rsid w:val="006A7A87"/>
    <w:rsid w:val="006A7CB7"/>
    <w:rsid w:val="006A7DBC"/>
    <w:rsid w:val="006B077F"/>
    <w:rsid w:val="006B0A07"/>
    <w:rsid w:val="006B0A6F"/>
    <w:rsid w:val="006B0B92"/>
    <w:rsid w:val="006B1305"/>
    <w:rsid w:val="006B19B3"/>
    <w:rsid w:val="006B1C7F"/>
    <w:rsid w:val="006B2262"/>
    <w:rsid w:val="006B25E1"/>
    <w:rsid w:val="006B2777"/>
    <w:rsid w:val="006B27EF"/>
    <w:rsid w:val="006B2805"/>
    <w:rsid w:val="006B29F1"/>
    <w:rsid w:val="006B2B92"/>
    <w:rsid w:val="006B2B9D"/>
    <w:rsid w:val="006B2CDC"/>
    <w:rsid w:val="006B2DC9"/>
    <w:rsid w:val="006B3117"/>
    <w:rsid w:val="006B357C"/>
    <w:rsid w:val="006B369E"/>
    <w:rsid w:val="006B3877"/>
    <w:rsid w:val="006B3905"/>
    <w:rsid w:val="006B3E0A"/>
    <w:rsid w:val="006B3EF5"/>
    <w:rsid w:val="006B41D7"/>
    <w:rsid w:val="006B4347"/>
    <w:rsid w:val="006B44FE"/>
    <w:rsid w:val="006B450E"/>
    <w:rsid w:val="006B45A0"/>
    <w:rsid w:val="006B476A"/>
    <w:rsid w:val="006B4878"/>
    <w:rsid w:val="006B4B49"/>
    <w:rsid w:val="006B5029"/>
    <w:rsid w:val="006B533F"/>
    <w:rsid w:val="006B567E"/>
    <w:rsid w:val="006B5AEE"/>
    <w:rsid w:val="006B6004"/>
    <w:rsid w:val="006B64A7"/>
    <w:rsid w:val="006B6A78"/>
    <w:rsid w:val="006B6C17"/>
    <w:rsid w:val="006B7128"/>
    <w:rsid w:val="006B72FB"/>
    <w:rsid w:val="006B73F5"/>
    <w:rsid w:val="006B79D3"/>
    <w:rsid w:val="006B7A58"/>
    <w:rsid w:val="006B7AFA"/>
    <w:rsid w:val="006B7EF6"/>
    <w:rsid w:val="006C019D"/>
    <w:rsid w:val="006C02B7"/>
    <w:rsid w:val="006C04AF"/>
    <w:rsid w:val="006C0701"/>
    <w:rsid w:val="006C0A67"/>
    <w:rsid w:val="006C0A9F"/>
    <w:rsid w:val="006C0C64"/>
    <w:rsid w:val="006C0F21"/>
    <w:rsid w:val="006C1683"/>
    <w:rsid w:val="006C1892"/>
    <w:rsid w:val="006C217D"/>
    <w:rsid w:val="006C256A"/>
    <w:rsid w:val="006C2FCD"/>
    <w:rsid w:val="006C363B"/>
    <w:rsid w:val="006C3891"/>
    <w:rsid w:val="006C39E3"/>
    <w:rsid w:val="006C3EF0"/>
    <w:rsid w:val="006C4155"/>
    <w:rsid w:val="006C485C"/>
    <w:rsid w:val="006C498C"/>
    <w:rsid w:val="006C4A3C"/>
    <w:rsid w:val="006C4D29"/>
    <w:rsid w:val="006C4E1B"/>
    <w:rsid w:val="006C4FB1"/>
    <w:rsid w:val="006C503F"/>
    <w:rsid w:val="006C5111"/>
    <w:rsid w:val="006C524C"/>
    <w:rsid w:val="006C5322"/>
    <w:rsid w:val="006C5846"/>
    <w:rsid w:val="006C58FF"/>
    <w:rsid w:val="006C5B73"/>
    <w:rsid w:val="006C5FCB"/>
    <w:rsid w:val="006C6371"/>
    <w:rsid w:val="006C63F6"/>
    <w:rsid w:val="006C645D"/>
    <w:rsid w:val="006C6967"/>
    <w:rsid w:val="006C6CF9"/>
    <w:rsid w:val="006C6DF7"/>
    <w:rsid w:val="006C6FD4"/>
    <w:rsid w:val="006C72E4"/>
    <w:rsid w:val="006C7C3B"/>
    <w:rsid w:val="006C7EDB"/>
    <w:rsid w:val="006D0108"/>
    <w:rsid w:val="006D02CD"/>
    <w:rsid w:val="006D05C4"/>
    <w:rsid w:val="006D0680"/>
    <w:rsid w:val="006D0785"/>
    <w:rsid w:val="006D07E1"/>
    <w:rsid w:val="006D09DE"/>
    <w:rsid w:val="006D1679"/>
    <w:rsid w:val="006D186F"/>
    <w:rsid w:val="006D1A10"/>
    <w:rsid w:val="006D1A75"/>
    <w:rsid w:val="006D1D8B"/>
    <w:rsid w:val="006D2124"/>
    <w:rsid w:val="006D224D"/>
    <w:rsid w:val="006D28DC"/>
    <w:rsid w:val="006D2B40"/>
    <w:rsid w:val="006D2CA0"/>
    <w:rsid w:val="006D2D3D"/>
    <w:rsid w:val="006D2DDB"/>
    <w:rsid w:val="006D2EF9"/>
    <w:rsid w:val="006D3172"/>
    <w:rsid w:val="006D31DD"/>
    <w:rsid w:val="006D3694"/>
    <w:rsid w:val="006D3A1F"/>
    <w:rsid w:val="006D3BC4"/>
    <w:rsid w:val="006D43E7"/>
    <w:rsid w:val="006D43F8"/>
    <w:rsid w:val="006D49E3"/>
    <w:rsid w:val="006D4A93"/>
    <w:rsid w:val="006D509E"/>
    <w:rsid w:val="006D50A8"/>
    <w:rsid w:val="006D5238"/>
    <w:rsid w:val="006D57AC"/>
    <w:rsid w:val="006D5BD2"/>
    <w:rsid w:val="006D639A"/>
    <w:rsid w:val="006D6BAA"/>
    <w:rsid w:val="006D6D38"/>
    <w:rsid w:val="006D76CB"/>
    <w:rsid w:val="006D77A4"/>
    <w:rsid w:val="006D7AB1"/>
    <w:rsid w:val="006D7DD3"/>
    <w:rsid w:val="006D7E72"/>
    <w:rsid w:val="006D7F7A"/>
    <w:rsid w:val="006E0589"/>
    <w:rsid w:val="006E067B"/>
    <w:rsid w:val="006E06E8"/>
    <w:rsid w:val="006E096E"/>
    <w:rsid w:val="006E0AC5"/>
    <w:rsid w:val="006E0CFC"/>
    <w:rsid w:val="006E0EC2"/>
    <w:rsid w:val="006E10A2"/>
    <w:rsid w:val="006E10E2"/>
    <w:rsid w:val="006E1291"/>
    <w:rsid w:val="006E14D5"/>
    <w:rsid w:val="006E1958"/>
    <w:rsid w:val="006E2120"/>
    <w:rsid w:val="006E21AA"/>
    <w:rsid w:val="006E22B6"/>
    <w:rsid w:val="006E271D"/>
    <w:rsid w:val="006E2D32"/>
    <w:rsid w:val="006E2FAF"/>
    <w:rsid w:val="006E3820"/>
    <w:rsid w:val="006E38D6"/>
    <w:rsid w:val="006E3BE5"/>
    <w:rsid w:val="006E3CC3"/>
    <w:rsid w:val="006E4A14"/>
    <w:rsid w:val="006E5503"/>
    <w:rsid w:val="006E5978"/>
    <w:rsid w:val="006E5F00"/>
    <w:rsid w:val="006E6862"/>
    <w:rsid w:val="006E7064"/>
    <w:rsid w:val="006E72A8"/>
    <w:rsid w:val="006E7353"/>
    <w:rsid w:val="006E735E"/>
    <w:rsid w:val="006E73C6"/>
    <w:rsid w:val="006E78C8"/>
    <w:rsid w:val="006E79F5"/>
    <w:rsid w:val="006E7AF1"/>
    <w:rsid w:val="006E7EC0"/>
    <w:rsid w:val="006F0058"/>
    <w:rsid w:val="006F0081"/>
    <w:rsid w:val="006F02C7"/>
    <w:rsid w:val="006F043D"/>
    <w:rsid w:val="006F07C6"/>
    <w:rsid w:val="006F0868"/>
    <w:rsid w:val="006F0D4C"/>
    <w:rsid w:val="006F1091"/>
    <w:rsid w:val="006F10ED"/>
    <w:rsid w:val="006F137E"/>
    <w:rsid w:val="006F13B6"/>
    <w:rsid w:val="006F18CD"/>
    <w:rsid w:val="006F1918"/>
    <w:rsid w:val="006F1EAA"/>
    <w:rsid w:val="006F1EF5"/>
    <w:rsid w:val="006F21D8"/>
    <w:rsid w:val="006F2B04"/>
    <w:rsid w:val="006F2BA8"/>
    <w:rsid w:val="006F33C7"/>
    <w:rsid w:val="006F3471"/>
    <w:rsid w:val="006F350E"/>
    <w:rsid w:val="006F35A6"/>
    <w:rsid w:val="006F3713"/>
    <w:rsid w:val="006F3811"/>
    <w:rsid w:val="006F41D8"/>
    <w:rsid w:val="006F44BE"/>
    <w:rsid w:val="006F44C4"/>
    <w:rsid w:val="006F452A"/>
    <w:rsid w:val="006F4589"/>
    <w:rsid w:val="006F475E"/>
    <w:rsid w:val="006F4D0C"/>
    <w:rsid w:val="006F4F8D"/>
    <w:rsid w:val="006F5B56"/>
    <w:rsid w:val="006F5DB3"/>
    <w:rsid w:val="006F66CE"/>
    <w:rsid w:val="006F6F86"/>
    <w:rsid w:val="006F786C"/>
    <w:rsid w:val="006F78CD"/>
    <w:rsid w:val="006F7ED3"/>
    <w:rsid w:val="006F7FFB"/>
    <w:rsid w:val="00700053"/>
    <w:rsid w:val="00700121"/>
    <w:rsid w:val="007004C0"/>
    <w:rsid w:val="00700774"/>
    <w:rsid w:val="00700D61"/>
    <w:rsid w:val="00701818"/>
    <w:rsid w:val="007018B2"/>
    <w:rsid w:val="00701A72"/>
    <w:rsid w:val="00701D08"/>
    <w:rsid w:val="00701D78"/>
    <w:rsid w:val="0070215D"/>
    <w:rsid w:val="00702618"/>
    <w:rsid w:val="00702803"/>
    <w:rsid w:val="00702C00"/>
    <w:rsid w:val="00702CEF"/>
    <w:rsid w:val="00702E19"/>
    <w:rsid w:val="00703216"/>
    <w:rsid w:val="00703597"/>
    <w:rsid w:val="007037B4"/>
    <w:rsid w:val="0070397C"/>
    <w:rsid w:val="00703DE2"/>
    <w:rsid w:val="00703E1A"/>
    <w:rsid w:val="00703FF8"/>
    <w:rsid w:val="007042A8"/>
    <w:rsid w:val="0070461D"/>
    <w:rsid w:val="007048E9"/>
    <w:rsid w:val="00704C85"/>
    <w:rsid w:val="007050A8"/>
    <w:rsid w:val="00705317"/>
    <w:rsid w:val="007055A5"/>
    <w:rsid w:val="00705A70"/>
    <w:rsid w:val="00705BD5"/>
    <w:rsid w:val="00705C9C"/>
    <w:rsid w:val="00706478"/>
    <w:rsid w:val="00706B01"/>
    <w:rsid w:val="00706E8E"/>
    <w:rsid w:val="00707102"/>
    <w:rsid w:val="007072E2"/>
    <w:rsid w:val="00707458"/>
    <w:rsid w:val="0070774A"/>
    <w:rsid w:val="0070790F"/>
    <w:rsid w:val="00707C24"/>
    <w:rsid w:val="00707D69"/>
    <w:rsid w:val="00707D8D"/>
    <w:rsid w:val="00707F3A"/>
    <w:rsid w:val="00710076"/>
    <w:rsid w:val="007101F8"/>
    <w:rsid w:val="0071022C"/>
    <w:rsid w:val="0071073B"/>
    <w:rsid w:val="00710E45"/>
    <w:rsid w:val="00710EDC"/>
    <w:rsid w:val="00711155"/>
    <w:rsid w:val="007117D2"/>
    <w:rsid w:val="00711AFA"/>
    <w:rsid w:val="00711D01"/>
    <w:rsid w:val="007122E5"/>
    <w:rsid w:val="00712360"/>
    <w:rsid w:val="00712CA8"/>
    <w:rsid w:val="00712F0F"/>
    <w:rsid w:val="00713312"/>
    <w:rsid w:val="007134D3"/>
    <w:rsid w:val="00713525"/>
    <w:rsid w:val="0071375C"/>
    <w:rsid w:val="00713A8A"/>
    <w:rsid w:val="00713EF2"/>
    <w:rsid w:val="0071430D"/>
    <w:rsid w:val="00714E6F"/>
    <w:rsid w:val="007153F6"/>
    <w:rsid w:val="007154EC"/>
    <w:rsid w:val="007155B4"/>
    <w:rsid w:val="00715774"/>
    <w:rsid w:val="00715CAD"/>
    <w:rsid w:val="00716762"/>
    <w:rsid w:val="0071693E"/>
    <w:rsid w:val="00716A2D"/>
    <w:rsid w:val="00716B13"/>
    <w:rsid w:val="0071713A"/>
    <w:rsid w:val="007173F0"/>
    <w:rsid w:val="00717891"/>
    <w:rsid w:val="007179BB"/>
    <w:rsid w:val="00717B65"/>
    <w:rsid w:val="00720184"/>
    <w:rsid w:val="007203AD"/>
    <w:rsid w:val="00720478"/>
    <w:rsid w:val="00720BB3"/>
    <w:rsid w:val="00720DDD"/>
    <w:rsid w:val="007210C7"/>
    <w:rsid w:val="00721291"/>
    <w:rsid w:val="00721329"/>
    <w:rsid w:val="007219BF"/>
    <w:rsid w:val="00721A5C"/>
    <w:rsid w:val="00721F92"/>
    <w:rsid w:val="007221AF"/>
    <w:rsid w:val="00722252"/>
    <w:rsid w:val="0072239A"/>
    <w:rsid w:val="00722B53"/>
    <w:rsid w:val="00722BA8"/>
    <w:rsid w:val="007239B1"/>
    <w:rsid w:val="007239C1"/>
    <w:rsid w:val="00723EE7"/>
    <w:rsid w:val="0072430D"/>
    <w:rsid w:val="007245F3"/>
    <w:rsid w:val="007249D8"/>
    <w:rsid w:val="00724C41"/>
    <w:rsid w:val="00724D55"/>
    <w:rsid w:val="00724DFB"/>
    <w:rsid w:val="007250E6"/>
    <w:rsid w:val="00725A98"/>
    <w:rsid w:val="00725B70"/>
    <w:rsid w:val="00725CE3"/>
    <w:rsid w:val="00725EC7"/>
    <w:rsid w:val="0072628C"/>
    <w:rsid w:val="00726A05"/>
    <w:rsid w:val="00726D08"/>
    <w:rsid w:val="00726DF4"/>
    <w:rsid w:val="00726F4B"/>
    <w:rsid w:val="007275C4"/>
    <w:rsid w:val="007275FE"/>
    <w:rsid w:val="007300C8"/>
    <w:rsid w:val="0073021C"/>
    <w:rsid w:val="00730881"/>
    <w:rsid w:val="00730C3D"/>
    <w:rsid w:val="00730D2D"/>
    <w:rsid w:val="00730D93"/>
    <w:rsid w:val="0073130F"/>
    <w:rsid w:val="00731764"/>
    <w:rsid w:val="00731780"/>
    <w:rsid w:val="0073221E"/>
    <w:rsid w:val="00732483"/>
    <w:rsid w:val="007330BE"/>
    <w:rsid w:val="007335FD"/>
    <w:rsid w:val="007338A8"/>
    <w:rsid w:val="0073415A"/>
    <w:rsid w:val="00734259"/>
    <w:rsid w:val="0073490E"/>
    <w:rsid w:val="00734D07"/>
    <w:rsid w:val="0073517C"/>
    <w:rsid w:val="00735E74"/>
    <w:rsid w:val="00735FC6"/>
    <w:rsid w:val="00736270"/>
    <w:rsid w:val="007363B8"/>
    <w:rsid w:val="00736540"/>
    <w:rsid w:val="0073673F"/>
    <w:rsid w:val="00736AF9"/>
    <w:rsid w:val="00737036"/>
    <w:rsid w:val="00737375"/>
    <w:rsid w:val="00737479"/>
    <w:rsid w:val="00737B22"/>
    <w:rsid w:val="00737DC0"/>
    <w:rsid w:val="00737F8F"/>
    <w:rsid w:val="00740035"/>
    <w:rsid w:val="0074078D"/>
    <w:rsid w:val="007407A3"/>
    <w:rsid w:val="00740A9B"/>
    <w:rsid w:val="00740EDE"/>
    <w:rsid w:val="00740F5B"/>
    <w:rsid w:val="007412F4"/>
    <w:rsid w:val="00741425"/>
    <w:rsid w:val="007415B6"/>
    <w:rsid w:val="00741D53"/>
    <w:rsid w:val="00742096"/>
    <w:rsid w:val="007420BC"/>
    <w:rsid w:val="00742286"/>
    <w:rsid w:val="0074239E"/>
    <w:rsid w:val="0074246F"/>
    <w:rsid w:val="007425CB"/>
    <w:rsid w:val="00742819"/>
    <w:rsid w:val="00742C00"/>
    <w:rsid w:val="00742F07"/>
    <w:rsid w:val="00742FCE"/>
    <w:rsid w:val="0074330C"/>
    <w:rsid w:val="00743F5F"/>
    <w:rsid w:val="00743F8A"/>
    <w:rsid w:val="007445C9"/>
    <w:rsid w:val="0074461A"/>
    <w:rsid w:val="00744B11"/>
    <w:rsid w:val="00744D44"/>
    <w:rsid w:val="00744E9E"/>
    <w:rsid w:val="00745662"/>
    <w:rsid w:val="007457D7"/>
    <w:rsid w:val="007457EA"/>
    <w:rsid w:val="0074580F"/>
    <w:rsid w:val="00745A1B"/>
    <w:rsid w:val="00745A21"/>
    <w:rsid w:val="00745D99"/>
    <w:rsid w:val="0074618C"/>
    <w:rsid w:val="0074687C"/>
    <w:rsid w:val="00746B17"/>
    <w:rsid w:val="00746F1F"/>
    <w:rsid w:val="00746FB6"/>
    <w:rsid w:val="007470F3"/>
    <w:rsid w:val="007471D8"/>
    <w:rsid w:val="007477C1"/>
    <w:rsid w:val="007479EE"/>
    <w:rsid w:val="007479F6"/>
    <w:rsid w:val="00747D43"/>
    <w:rsid w:val="00750034"/>
    <w:rsid w:val="0075007D"/>
    <w:rsid w:val="00750370"/>
    <w:rsid w:val="007503E9"/>
    <w:rsid w:val="0075082A"/>
    <w:rsid w:val="007509DD"/>
    <w:rsid w:val="00750DA7"/>
    <w:rsid w:val="00750E1A"/>
    <w:rsid w:val="00751569"/>
    <w:rsid w:val="007515ED"/>
    <w:rsid w:val="007516F8"/>
    <w:rsid w:val="00751790"/>
    <w:rsid w:val="007518AE"/>
    <w:rsid w:val="007519C1"/>
    <w:rsid w:val="00751E32"/>
    <w:rsid w:val="0075200E"/>
    <w:rsid w:val="0075246C"/>
    <w:rsid w:val="0075271A"/>
    <w:rsid w:val="00752CB2"/>
    <w:rsid w:val="00752D59"/>
    <w:rsid w:val="00752E2F"/>
    <w:rsid w:val="00752FA3"/>
    <w:rsid w:val="00753071"/>
    <w:rsid w:val="0075360F"/>
    <w:rsid w:val="00753D06"/>
    <w:rsid w:val="00754078"/>
    <w:rsid w:val="007540EE"/>
    <w:rsid w:val="00754264"/>
    <w:rsid w:val="00754471"/>
    <w:rsid w:val="007545F7"/>
    <w:rsid w:val="00754C67"/>
    <w:rsid w:val="00754D01"/>
    <w:rsid w:val="00754F9B"/>
    <w:rsid w:val="00755014"/>
    <w:rsid w:val="00755072"/>
    <w:rsid w:val="007553E8"/>
    <w:rsid w:val="0075576A"/>
    <w:rsid w:val="00755B5D"/>
    <w:rsid w:val="00755C70"/>
    <w:rsid w:val="00755DC3"/>
    <w:rsid w:val="00755E70"/>
    <w:rsid w:val="00756089"/>
    <w:rsid w:val="007562B0"/>
    <w:rsid w:val="007563B0"/>
    <w:rsid w:val="00756664"/>
    <w:rsid w:val="00756C3D"/>
    <w:rsid w:val="00756CFD"/>
    <w:rsid w:val="00757246"/>
    <w:rsid w:val="00757611"/>
    <w:rsid w:val="00757704"/>
    <w:rsid w:val="0075779F"/>
    <w:rsid w:val="007579B9"/>
    <w:rsid w:val="00757C2B"/>
    <w:rsid w:val="007602DC"/>
    <w:rsid w:val="0076067D"/>
    <w:rsid w:val="00761658"/>
    <w:rsid w:val="00761BF9"/>
    <w:rsid w:val="0076214B"/>
    <w:rsid w:val="007622A7"/>
    <w:rsid w:val="00762BA1"/>
    <w:rsid w:val="00762D38"/>
    <w:rsid w:val="0076333D"/>
    <w:rsid w:val="00763474"/>
    <w:rsid w:val="00763551"/>
    <w:rsid w:val="00763677"/>
    <w:rsid w:val="00763709"/>
    <w:rsid w:val="00763A57"/>
    <w:rsid w:val="00763D07"/>
    <w:rsid w:val="00763DF1"/>
    <w:rsid w:val="00763F8F"/>
    <w:rsid w:val="00763FDF"/>
    <w:rsid w:val="00764129"/>
    <w:rsid w:val="0076448D"/>
    <w:rsid w:val="007650F6"/>
    <w:rsid w:val="00765875"/>
    <w:rsid w:val="007658C9"/>
    <w:rsid w:val="00765D51"/>
    <w:rsid w:val="0076625E"/>
    <w:rsid w:val="00766467"/>
    <w:rsid w:val="007665B0"/>
    <w:rsid w:val="00766EAF"/>
    <w:rsid w:val="007671C2"/>
    <w:rsid w:val="007671CE"/>
    <w:rsid w:val="007671CF"/>
    <w:rsid w:val="00767561"/>
    <w:rsid w:val="007675A0"/>
    <w:rsid w:val="00767675"/>
    <w:rsid w:val="007677BF"/>
    <w:rsid w:val="00767A93"/>
    <w:rsid w:val="0077008A"/>
    <w:rsid w:val="00770238"/>
    <w:rsid w:val="00770243"/>
    <w:rsid w:val="0077025A"/>
    <w:rsid w:val="007703FB"/>
    <w:rsid w:val="0077044F"/>
    <w:rsid w:val="0077080F"/>
    <w:rsid w:val="00770A5E"/>
    <w:rsid w:val="00770AAE"/>
    <w:rsid w:val="00770AF0"/>
    <w:rsid w:val="00771022"/>
    <w:rsid w:val="0077145B"/>
    <w:rsid w:val="00771558"/>
    <w:rsid w:val="0077187B"/>
    <w:rsid w:val="007718E8"/>
    <w:rsid w:val="00771960"/>
    <w:rsid w:val="00771CAF"/>
    <w:rsid w:val="00771EC3"/>
    <w:rsid w:val="007721E2"/>
    <w:rsid w:val="00772555"/>
    <w:rsid w:val="00772725"/>
    <w:rsid w:val="00772854"/>
    <w:rsid w:val="00772949"/>
    <w:rsid w:val="00772B4E"/>
    <w:rsid w:val="00772D56"/>
    <w:rsid w:val="007735C9"/>
    <w:rsid w:val="0077398B"/>
    <w:rsid w:val="00773AC1"/>
    <w:rsid w:val="00773CAF"/>
    <w:rsid w:val="007740DA"/>
    <w:rsid w:val="00774131"/>
    <w:rsid w:val="00774781"/>
    <w:rsid w:val="00774813"/>
    <w:rsid w:val="00774B26"/>
    <w:rsid w:val="0077504E"/>
    <w:rsid w:val="007750A6"/>
    <w:rsid w:val="0077511E"/>
    <w:rsid w:val="00775542"/>
    <w:rsid w:val="00775910"/>
    <w:rsid w:val="00775A8C"/>
    <w:rsid w:val="00775B8A"/>
    <w:rsid w:val="00775B93"/>
    <w:rsid w:val="00775FE4"/>
    <w:rsid w:val="00776755"/>
    <w:rsid w:val="007767AC"/>
    <w:rsid w:val="007767E3"/>
    <w:rsid w:val="00776B4A"/>
    <w:rsid w:val="00776C4B"/>
    <w:rsid w:val="00776CED"/>
    <w:rsid w:val="00776F2E"/>
    <w:rsid w:val="00776FF5"/>
    <w:rsid w:val="007770A3"/>
    <w:rsid w:val="00777AB8"/>
    <w:rsid w:val="00777C03"/>
    <w:rsid w:val="00777CFC"/>
    <w:rsid w:val="00777DB7"/>
    <w:rsid w:val="00777EEC"/>
    <w:rsid w:val="00777EF4"/>
    <w:rsid w:val="0078024D"/>
    <w:rsid w:val="00780502"/>
    <w:rsid w:val="00781169"/>
    <w:rsid w:val="00781430"/>
    <w:rsid w:val="007817B3"/>
    <w:rsid w:val="007825B5"/>
    <w:rsid w:val="007827DB"/>
    <w:rsid w:val="00782D2B"/>
    <w:rsid w:val="00782F2F"/>
    <w:rsid w:val="007833CA"/>
    <w:rsid w:val="0078380E"/>
    <w:rsid w:val="00783AD2"/>
    <w:rsid w:val="00783AEF"/>
    <w:rsid w:val="00783CD6"/>
    <w:rsid w:val="00783E10"/>
    <w:rsid w:val="00783E2B"/>
    <w:rsid w:val="00784238"/>
    <w:rsid w:val="00784317"/>
    <w:rsid w:val="00784ACF"/>
    <w:rsid w:val="00784BC9"/>
    <w:rsid w:val="00784C0A"/>
    <w:rsid w:val="00784D04"/>
    <w:rsid w:val="00784F3F"/>
    <w:rsid w:val="007850D3"/>
    <w:rsid w:val="007853B3"/>
    <w:rsid w:val="007854A8"/>
    <w:rsid w:val="007855D7"/>
    <w:rsid w:val="00785B34"/>
    <w:rsid w:val="00785EF3"/>
    <w:rsid w:val="00786381"/>
    <w:rsid w:val="007863FD"/>
    <w:rsid w:val="00786881"/>
    <w:rsid w:val="007868BA"/>
    <w:rsid w:val="00786A1C"/>
    <w:rsid w:val="00787874"/>
    <w:rsid w:val="00787CE1"/>
    <w:rsid w:val="00787E1E"/>
    <w:rsid w:val="00787F2A"/>
    <w:rsid w:val="007900BC"/>
    <w:rsid w:val="00790690"/>
    <w:rsid w:val="007906D5"/>
    <w:rsid w:val="0079072B"/>
    <w:rsid w:val="00790E0F"/>
    <w:rsid w:val="00790E53"/>
    <w:rsid w:val="0079119D"/>
    <w:rsid w:val="0079147D"/>
    <w:rsid w:val="00791583"/>
    <w:rsid w:val="00791681"/>
    <w:rsid w:val="00791A48"/>
    <w:rsid w:val="00791F0B"/>
    <w:rsid w:val="007923F0"/>
    <w:rsid w:val="00792A44"/>
    <w:rsid w:val="00792BE3"/>
    <w:rsid w:val="00793328"/>
    <w:rsid w:val="00793689"/>
    <w:rsid w:val="0079386A"/>
    <w:rsid w:val="00794271"/>
    <w:rsid w:val="00794800"/>
    <w:rsid w:val="007948C0"/>
    <w:rsid w:val="00794B40"/>
    <w:rsid w:val="0079514D"/>
    <w:rsid w:val="00795247"/>
    <w:rsid w:val="00795274"/>
    <w:rsid w:val="0079558E"/>
    <w:rsid w:val="00795615"/>
    <w:rsid w:val="00795957"/>
    <w:rsid w:val="00795D04"/>
    <w:rsid w:val="00795F75"/>
    <w:rsid w:val="0079612A"/>
    <w:rsid w:val="007964B0"/>
    <w:rsid w:val="007964E0"/>
    <w:rsid w:val="007967C4"/>
    <w:rsid w:val="00796952"/>
    <w:rsid w:val="00796E01"/>
    <w:rsid w:val="00796EFC"/>
    <w:rsid w:val="00797CFE"/>
    <w:rsid w:val="007A0CE4"/>
    <w:rsid w:val="007A0D1D"/>
    <w:rsid w:val="007A0E17"/>
    <w:rsid w:val="007A0EAE"/>
    <w:rsid w:val="007A1079"/>
    <w:rsid w:val="007A1113"/>
    <w:rsid w:val="007A1682"/>
    <w:rsid w:val="007A1CCF"/>
    <w:rsid w:val="007A236A"/>
    <w:rsid w:val="007A2442"/>
    <w:rsid w:val="007A26F6"/>
    <w:rsid w:val="007A286C"/>
    <w:rsid w:val="007A2AD3"/>
    <w:rsid w:val="007A2D42"/>
    <w:rsid w:val="007A2DA7"/>
    <w:rsid w:val="007A2ED5"/>
    <w:rsid w:val="007A3927"/>
    <w:rsid w:val="007A4193"/>
    <w:rsid w:val="007A42CD"/>
    <w:rsid w:val="007A42CF"/>
    <w:rsid w:val="007A43F7"/>
    <w:rsid w:val="007A46D6"/>
    <w:rsid w:val="007A53C0"/>
    <w:rsid w:val="007A597F"/>
    <w:rsid w:val="007A5A0C"/>
    <w:rsid w:val="007A5B23"/>
    <w:rsid w:val="007A5B46"/>
    <w:rsid w:val="007A607B"/>
    <w:rsid w:val="007A63CB"/>
    <w:rsid w:val="007A69A1"/>
    <w:rsid w:val="007A7422"/>
    <w:rsid w:val="007A7733"/>
    <w:rsid w:val="007A791C"/>
    <w:rsid w:val="007A79C6"/>
    <w:rsid w:val="007A7CDD"/>
    <w:rsid w:val="007A7D4C"/>
    <w:rsid w:val="007B02A2"/>
    <w:rsid w:val="007B07FB"/>
    <w:rsid w:val="007B09D5"/>
    <w:rsid w:val="007B0EE4"/>
    <w:rsid w:val="007B1533"/>
    <w:rsid w:val="007B1714"/>
    <w:rsid w:val="007B17AF"/>
    <w:rsid w:val="007B1E41"/>
    <w:rsid w:val="007B1ECE"/>
    <w:rsid w:val="007B1ECF"/>
    <w:rsid w:val="007B2B1C"/>
    <w:rsid w:val="007B31C2"/>
    <w:rsid w:val="007B333A"/>
    <w:rsid w:val="007B3BC9"/>
    <w:rsid w:val="007B3DF7"/>
    <w:rsid w:val="007B4000"/>
    <w:rsid w:val="007B4005"/>
    <w:rsid w:val="007B4050"/>
    <w:rsid w:val="007B4485"/>
    <w:rsid w:val="007B4AD5"/>
    <w:rsid w:val="007B4F5C"/>
    <w:rsid w:val="007B4F64"/>
    <w:rsid w:val="007B55AA"/>
    <w:rsid w:val="007B5723"/>
    <w:rsid w:val="007B59B9"/>
    <w:rsid w:val="007B5A58"/>
    <w:rsid w:val="007B5C27"/>
    <w:rsid w:val="007B613B"/>
    <w:rsid w:val="007B64FC"/>
    <w:rsid w:val="007B6D08"/>
    <w:rsid w:val="007B7146"/>
    <w:rsid w:val="007B76AB"/>
    <w:rsid w:val="007B792D"/>
    <w:rsid w:val="007B7A12"/>
    <w:rsid w:val="007B7AC3"/>
    <w:rsid w:val="007B7D37"/>
    <w:rsid w:val="007B7EAD"/>
    <w:rsid w:val="007C04A0"/>
    <w:rsid w:val="007C0638"/>
    <w:rsid w:val="007C07A3"/>
    <w:rsid w:val="007C1033"/>
    <w:rsid w:val="007C11E8"/>
    <w:rsid w:val="007C162A"/>
    <w:rsid w:val="007C18D5"/>
    <w:rsid w:val="007C19B1"/>
    <w:rsid w:val="007C1E77"/>
    <w:rsid w:val="007C1EBF"/>
    <w:rsid w:val="007C1ED8"/>
    <w:rsid w:val="007C2384"/>
    <w:rsid w:val="007C23E3"/>
    <w:rsid w:val="007C24CD"/>
    <w:rsid w:val="007C29CE"/>
    <w:rsid w:val="007C2A0D"/>
    <w:rsid w:val="007C2B49"/>
    <w:rsid w:val="007C2F92"/>
    <w:rsid w:val="007C315F"/>
    <w:rsid w:val="007C35D9"/>
    <w:rsid w:val="007C3C2C"/>
    <w:rsid w:val="007C3DA8"/>
    <w:rsid w:val="007C3FE6"/>
    <w:rsid w:val="007C4158"/>
    <w:rsid w:val="007C42D1"/>
    <w:rsid w:val="007C42D8"/>
    <w:rsid w:val="007C4645"/>
    <w:rsid w:val="007C489F"/>
    <w:rsid w:val="007C49F4"/>
    <w:rsid w:val="007C503F"/>
    <w:rsid w:val="007C52B4"/>
    <w:rsid w:val="007C54B4"/>
    <w:rsid w:val="007C5948"/>
    <w:rsid w:val="007C594C"/>
    <w:rsid w:val="007C5E38"/>
    <w:rsid w:val="007C600C"/>
    <w:rsid w:val="007C60A2"/>
    <w:rsid w:val="007C615F"/>
    <w:rsid w:val="007C63AD"/>
    <w:rsid w:val="007C63D7"/>
    <w:rsid w:val="007C668E"/>
    <w:rsid w:val="007C7176"/>
    <w:rsid w:val="007C72C2"/>
    <w:rsid w:val="007C744D"/>
    <w:rsid w:val="007C78E2"/>
    <w:rsid w:val="007C7C54"/>
    <w:rsid w:val="007D0080"/>
    <w:rsid w:val="007D055F"/>
    <w:rsid w:val="007D0837"/>
    <w:rsid w:val="007D0A13"/>
    <w:rsid w:val="007D0DD8"/>
    <w:rsid w:val="007D0E6E"/>
    <w:rsid w:val="007D0E90"/>
    <w:rsid w:val="007D14F0"/>
    <w:rsid w:val="007D159B"/>
    <w:rsid w:val="007D183D"/>
    <w:rsid w:val="007D1923"/>
    <w:rsid w:val="007D19B1"/>
    <w:rsid w:val="007D1B6A"/>
    <w:rsid w:val="007D29BC"/>
    <w:rsid w:val="007D2CE1"/>
    <w:rsid w:val="007D2F33"/>
    <w:rsid w:val="007D2F97"/>
    <w:rsid w:val="007D33B8"/>
    <w:rsid w:val="007D3A1B"/>
    <w:rsid w:val="007D3BB8"/>
    <w:rsid w:val="007D3CB4"/>
    <w:rsid w:val="007D3EE0"/>
    <w:rsid w:val="007D3F44"/>
    <w:rsid w:val="007D4A42"/>
    <w:rsid w:val="007D4BDA"/>
    <w:rsid w:val="007D4E1E"/>
    <w:rsid w:val="007D4EA2"/>
    <w:rsid w:val="007D50D8"/>
    <w:rsid w:val="007D5533"/>
    <w:rsid w:val="007D592B"/>
    <w:rsid w:val="007D5AA6"/>
    <w:rsid w:val="007D5BD6"/>
    <w:rsid w:val="007D5C6B"/>
    <w:rsid w:val="007D657D"/>
    <w:rsid w:val="007D65FD"/>
    <w:rsid w:val="007D6604"/>
    <w:rsid w:val="007D6753"/>
    <w:rsid w:val="007D6CBF"/>
    <w:rsid w:val="007D71B4"/>
    <w:rsid w:val="007D7390"/>
    <w:rsid w:val="007D7450"/>
    <w:rsid w:val="007D77C8"/>
    <w:rsid w:val="007D7A91"/>
    <w:rsid w:val="007D7C3D"/>
    <w:rsid w:val="007D7CFE"/>
    <w:rsid w:val="007E0227"/>
    <w:rsid w:val="007E0363"/>
    <w:rsid w:val="007E03F3"/>
    <w:rsid w:val="007E09C4"/>
    <w:rsid w:val="007E0B46"/>
    <w:rsid w:val="007E0D54"/>
    <w:rsid w:val="007E1237"/>
    <w:rsid w:val="007E123B"/>
    <w:rsid w:val="007E129E"/>
    <w:rsid w:val="007E12E3"/>
    <w:rsid w:val="007E13E7"/>
    <w:rsid w:val="007E14AE"/>
    <w:rsid w:val="007E14C2"/>
    <w:rsid w:val="007E15C1"/>
    <w:rsid w:val="007E1E35"/>
    <w:rsid w:val="007E21FC"/>
    <w:rsid w:val="007E24FD"/>
    <w:rsid w:val="007E25F6"/>
    <w:rsid w:val="007E268F"/>
    <w:rsid w:val="007E26D3"/>
    <w:rsid w:val="007E2B0B"/>
    <w:rsid w:val="007E2BF7"/>
    <w:rsid w:val="007E3144"/>
    <w:rsid w:val="007E3AEC"/>
    <w:rsid w:val="007E3FEF"/>
    <w:rsid w:val="007E420D"/>
    <w:rsid w:val="007E469B"/>
    <w:rsid w:val="007E4760"/>
    <w:rsid w:val="007E4E8C"/>
    <w:rsid w:val="007E4F3A"/>
    <w:rsid w:val="007E4F6A"/>
    <w:rsid w:val="007E5484"/>
    <w:rsid w:val="007E5B17"/>
    <w:rsid w:val="007E5EF3"/>
    <w:rsid w:val="007E6020"/>
    <w:rsid w:val="007E62DD"/>
    <w:rsid w:val="007E6456"/>
    <w:rsid w:val="007E64A7"/>
    <w:rsid w:val="007E6644"/>
    <w:rsid w:val="007E6FAA"/>
    <w:rsid w:val="007E720B"/>
    <w:rsid w:val="007E73B2"/>
    <w:rsid w:val="007E75C9"/>
    <w:rsid w:val="007E7905"/>
    <w:rsid w:val="007E7AA8"/>
    <w:rsid w:val="007F02C9"/>
    <w:rsid w:val="007F057D"/>
    <w:rsid w:val="007F05EB"/>
    <w:rsid w:val="007F0762"/>
    <w:rsid w:val="007F0F0B"/>
    <w:rsid w:val="007F10AB"/>
    <w:rsid w:val="007F1718"/>
    <w:rsid w:val="007F1A97"/>
    <w:rsid w:val="007F1B76"/>
    <w:rsid w:val="007F21FD"/>
    <w:rsid w:val="007F284A"/>
    <w:rsid w:val="007F2DA9"/>
    <w:rsid w:val="007F330C"/>
    <w:rsid w:val="007F33CA"/>
    <w:rsid w:val="007F3557"/>
    <w:rsid w:val="007F3656"/>
    <w:rsid w:val="007F36C6"/>
    <w:rsid w:val="007F382C"/>
    <w:rsid w:val="007F3BDA"/>
    <w:rsid w:val="007F40CD"/>
    <w:rsid w:val="007F42D7"/>
    <w:rsid w:val="007F472C"/>
    <w:rsid w:val="007F4A9F"/>
    <w:rsid w:val="007F54CA"/>
    <w:rsid w:val="007F59CD"/>
    <w:rsid w:val="007F5B01"/>
    <w:rsid w:val="007F5FBE"/>
    <w:rsid w:val="007F628B"/>
    <w:rsid w:val="007F62A3"/>
    <w:rsid w:val="007F6456"/>
    <w:rsid w:val="007F650C"/>
    <w:rsid w:val="007F6630"/>
    <w:rsid w:val="007F66D7"/>
    <w:rsid w:val="007F6965"/>
    <w:rsid w:val="007F6ACE"/>
    <w:rsid w:val="007F6B19"/>
    <w:rsid w:val="007F7572"/>
    <w:rsid w:val="007F75FD"/>
    <w:rsid w:val="007F7D31"/>
    <w:rsid w:val="007F7DF2"/>
    <w:rsid w:val="007F7E27"/>
    <w:rsid w:val="008000BF"/>
    <w:rsid w:val="0080035C"/>
    <w:rsid w:val="0080043C"/>
    <w:rsid w:val="008008A5"/>
    <w:rsid w:val="008008AE"/>
    <w:rsid w:val="00800BB9"/>
    <w:rsid w:val="00801841"/>
    <w:rsid w:val="008018ED"/>
    <w:rsid w:val="00801FC4"/>
    <w:rsid w:val="00802852"/>
    <w:rsid w:val="0080296E"/>
    <w:rsid w:val="00802D62"/>
    <w:rsid w:val="00802DD7"/>
    <w:rsid w:val="00802F8F"/>
    <w:rsid w:val="008031B7"/>
    <w:rsid w:val="00803365"/>
    <w:rsid w:val="008035F1"/>
    <w:rsid w:val="008036F9"/>
    <w:rsid w:val="008037E8"/>
    <w:rsid w:val="00803C18"/>
    <w:rsid w:val="0080410D"/>
    <w:rsid w:val="0080425E"/>
    <w:rsid w:val="008043C1"/>
    <w:rsid w:val="008049A0"/>
    <w:rsid w:val="00804DA2"/>
    <w:rsid w:val="00804E5D"/>
    <w:rsid w:val="008055D9"/>
    <w:rsid w:val="00805A62"/>
    <w:rsid w:val="00805A9C"/>
    <w:rsid w:val="00806247"/>
    <w:rsid w:val="0080668E"/>
    <w:rsid w:val="008066A6"/>
    <w:rsid w:val="008066C7"/>
    <w:rsid w:val="00806A00"/>
    <w:rsid w:val="00806B37"/>
    <w:rsid w:val="00806E62"/>
    <w:rsid w:val="00806ED0"/>
    <w:rsid w:val="00807094"/>
    <w:rsid w:val="00807AE5"/>
    <w:rsid w:val="00807D2B"/>
    <w:rsid w:val="00807F33"/>
    <w:rsid w:val="008102AC"/>
    <w:rsid w:val="008104C5"/>
    <w:rsid w:val="008106F4"/>
    <w:rsid w:val="00810A75"/>
    <w:rsid w:val="0081163B"/>
    <w:rsid w:val="00811943"/>
    <w:rsid w:val="00811BB7"/>
    <w:rsid w:val="008120A3"/>
    <w:rsid w:val="00812357"/>
    <w:rsid w:val="00812BE1"/>
    <w:rsid w:val="00812D20"/>
    <w:rsid w:val="008139F0"/>
    <w:rsid w:val="00813B82"/>
    <w:rsid w:val="00813DF2"/>
    <w:rsid w:val="00813EB7"/>
    <w:rsid w:val="00814472"/>
    <w:rsid w:val="00814A3C"/>
    <w:rsid w:val="00814B2E"/>
    <w:rsid w:val="00814B34"/>
    <w:rsid w:val="0081508B"/>
    <w:rsid w:val="008150F8"/>
    <w:rsid w:val="00815433"/>
    <w:rsid w:val="0081545E"/>
    <w:rsid w:val="00815589"/>
    <w:rsid w:val="00815710"/>
    <w:rsid w:val="0081586F"/>
    <w:rsid w:val="00815A43"/>
    <w:rsid w:val="008161A3"/>
    <w:rsid w:val="00816271"/>
    <w:rsid w:val="008162C2"/>
    <w:rsid w:val="008163AA"/>
    <w:rsid w:val="008169A4"/>
    <w:rsid w:val="00816EC4"/>
    <w:rsid w:val="008170AE"/>
    <w:rsid w:val="0081712D"/>
    <w:rsid w:val="00817C38"/>
    <w:rsid w:val="00817CCA"/>
    <w:rsid w:val="00817D6E"/>
    <w:rsid w:val="00817E48"/>
    <w:rsid w:val="008202EE"/>
    <w:rsid w:val="0082090A"/>
    <w:rsid w:val="00820CB1"/>
    <w:rsid w:val="00820E58"/>
    <w:rsid w:val="00820E8C"/>
    <w:rsid w:val="00820EA0"/>
    <w:rsid w:val="00821756"/>
    <w:rsid w:val="00821EC2"/>
    <w:rsid w:val="008220E9"/>
    <w:rsid w:val="008224C7"/>
    <w:rsid w:val="008230EB"/>
    <w:rsid w:val="008232C4"/>
    <w:rsid w:val="00823354"/>
    <w:rsid w:val="008235DD"/>
    <w:rsid w:val="008239E7"/>
    <w:rsid w:val="00823E84"/>
    <w:rsid w:val="008244F0"/>
    <w:rsid w:val="008245A8"/>
    <w:rsid w:val="00824C3C"/>
    <w:rsid w:val="00824D08"/>
    <w:rsid w:val="00824D66"/>
    <w:rsid w:val="00825003"/>
    <w:rsid w:val="0082585A"/>
    <w:rsid w:val="00825866"/>
    <w:rsid w:val="00825CAE"/>
    <w:rsid w:val="00826170"/>
    <w:rsid w:val="0082644A"/>
    <w:rsid w:val="008264FA"/>
    <w:rsid w:val="008266CC"/>
    <w:rsid w:val="00826747"/>
    <w:rsid w:val="00826D11"/>
    <w:rsid w:val="00826E42"/>
    <w:rsid w:val="0082736B"/>
    <w:rsid w:val="00827796"/>
    <w:rsid w:val="008278CB"/>
    <w:rsid w:val="00827A1C"/>
    <w:rsid w:val="00827C17"/>
    <w:rsid w:val="00827C47"/>
    <w:rsid w:val="00827C59"/>
    <w:rsid w:val="00827E95"/>
    <w:rsid w:val="0083025B"/>
    <w:rsid w:val="00830352"/>
    <w:rsid w:val="0083051B"/>
    <w:rsid w:val="008311A6"/>
    <w:rsid w:val="008311B8"/>
    <w:rsid w:val="00831452"/>
    <w:rsid w:val="0083186A"/>
    <w:rsid w:val="00832108"/>
    <w:rsid w:val="00832204"/>
    <w:rsid w:val="008322C4"/>
    <w:rsid w:val="00832610"/>
    <w:rsid w:val="00832629"/>
    <w:rsid w:val="0083279C"/>
    <w:rsid w:val="00832ACD"/>
    <w:rsid w:val="00832DC3"/>
    <w:rsid w:val="00832F5E"/>
    <w:rsid w:val="0083319D"/>
    <w:rsid w:val="00833250"/>
    <w:rsid w:val="00833310"/>
    <w:rsid w:val="008335AA"/>
    <w:rsid w:val="008336EE"/>
    <w:rsid w:val="008338D8"/>
    <w:rsid w:val="00833C19"/>
    <w:rsid w:val="00833C92"/>
    <w:rsid w:val="0083410E"/>
    <w:rsid w:val="00834243"/>
    <w:rsid w:val="00834AEB"/>
    <w:rsid w:val="00834B55"/>
    <w:rsid w:val="00834D40"/>
    <w:rsid w:val="00835079"/>
    <w:rsid w:val="008356D2"/>
    <w:rsid w:val="00835885"/>
    <w:rsid w:val="008359A2"/>
    <w:rsid w:val="00835A4B"/>
    <w:rsid w:val="00835E4B"/>
    <w:rsid w:val="00836B3A"/>
    <w:rsid w:val="008372DD"/>
    <w:rsid w:val="0083750D"/>
    <w:rsid w:val="008375E5"/>
    <w:rsid w:val="00837741"/>
    <w:rsid w:val="0083785A"/>
    <w:rsid w:val="0083785B"/>
    <w:rsid w:val="00837BFB"/>
    <w:rsid w:val="00837DBF"/>
    <w:rsid w:val="008400DE"/>
    <w:rsid w:val="0084049E"/>
    <w:rsid w:val="0084050F"/>
    <w:rsid w:val="00840BB2"/>
    <w:rsid w:val="00841020"/>
    <w:rsid w:val="00841683"/>
    <w:rsid w:val="00841832"/>
    <w:rsid w:val="008423B0"/>
    <w:rsid w:val="008424AA"/>
    <w:rsid w:val="00842618"/>
    <w:rsid w:val="0084270C"/>
    <w:rsid w:val="008429B5"/>
    <w:rsid w:val="00842ACC"/>
    <w:rsid w:val="00842C38"/>
    <w:rsid w:val="0084321E"/>
    <w:rsid w:val="0084322E"/>
    <w:rsid w:val="00843BB9"/>
    <w:rsid w:val="00843F68"/>
    <w:rsid w:val="008443D1"/>
    <w:rsid w:val="00844482"/>
    <w:rsid w:val="008447C4"/>
    <w:rsid w:val="00845390"/>
    <w:rsid w:val="008454E9"/>
    <w:rsid w:val="00845908"/>
    <w:rsid w:val="00845966"/>
    <w:rsid w:val="00845ABD"/>
    <w:rsid w:val="00845B75"/>
    <w:rsid w:val="00845B98"/>
    <w:rsid w:val="00845F36"/>
    <w:rsid w:val="008461CE"/>
    <w:rsid w:val="0084673E"/>
    <w:rsid w:val="0084674D"/>
    <w:rsid w:val="00846DC5"/>
    <w:rsid w:val="00846F62"/>
    <w:rsid w:val="008471EF"/>
    <w:rsid w:val="00847421"/>
    <w:rsid w:val="0084766F"/>
    <w:rsid w:val="008478F2"/>
    <w:rsid w:val="00847B0E"/>
    <w:rsid w:val="00847F1A"/>
    <w:rsid w:val="00847F24"/>
    <w:rsid w:val="008506B2"/>
    <w:rsid w:val="008507D3"/>
    <w:rsid w:val="00850B1A"/>
    <w:rsid w:val="00850E98"/>
    <w:rsid w:val="00850E9B"/>
    <w:rsid w:val="00850F17"/>
    <w:rsid w:val="00851079"/>
    <w:rsid w:val="008512E7"/>
    <w:rsid w:val="0085144A"/>
    <w:rsid w:val="0085151A"/>
    <w:rsid w:val="00851559"/>
    <w:rsid w:val="00851571"/>
    <w:rsid w:val="008516DB"/>
    <w:rsid w:val="008518F1"/>
    <w:rsid w:val="00851C97"/>
    <w:rsid w:val="0085222D"/>
    <w:rsid w:val="008522BB"/>
    <w:rsid w:val="0085257A"/>
    <w:rsid w:val="00852753"/>
    <w:rsid w:val="00852A54"/>
    <w:rsid w:val="008531CE"/>
    <w:rsid w:val="0085332E"/>
    <w:rsid w:val="00854545"/>
    <w:rsid w:val="00854935"/>
    <w:rsid w:val="00854969"/>
    <w:rsid w:val="00854B2E"/>
    <w:rsid w:val="00854EDE"/>
    <w:rsid w:val="00854FFB"/>
    <w:rsid w:val="008555DE"/>
    <w:rsid w:val="00855689"/>
    <w:rsid w:val="00855864"/>
    <w:rsid w:val="00855B4D"/>
    <w:rsid w:val="00855BB2"/>
    <w:rsid w:val="00855BDD"/>
    <w:rsid w:val="00855D0B"/>
    <w:rsid w:val="00855E44"/>
    <w:rsid w:val="00855EA6"/>
    <w:rsid w:val="00856459"/>
    <w:rsid w:val="0085677E"/>
    <w:rsid w:val="008568F1"/>
    <w:rsid w:val="008569B1"/>
    <w:rsid w:val="00856B06"/>
    <w:rsid w:val="00856C87"/>
    <w:rsid w:val="00856F05"/>
    <w:rsid w:val="00856F3A"/>
    <w:rsid w:val="0085706E"/>
    <w:rsid w:val="008572D3"/>
    <w:rsid w:val="00857856"/>
    <w:rsid w:val="00857969"/>
    <w:rsid w:val="00857F0D"/>
    <w:rsid w:val="00860082"/>
    <w:rsid w:val="0086008A"/>
    <w:rsid w:val="008605DD"/>
    <w:rsid w:val="0086082C"/>
    <w:rsid w:val="0086083E"/>
    <w:rsid w:val="008608A6"/>
    <w:rsid w:val="008608DD"/>
    <w:rsid w:val="0086129B"/>
    <w:rsid w:val="008615EB"/>
    <w:rsid w:val="008618CB"/>
    <w:rsid w:val="00861C40"/>
    <w:rsid w:val="00862396"/>
    <w:rsid w:val="00862436"/>
    <w:rsid w:val="00862A89"/>
    <w:rsid w:val="00862D92"/>
    <w:rsid w:val="008630E4"/>
    <w:rsid w:val="0086387C"/>
    <w:rsid w:val="00863D0F"/>
    <w:rsid w:val="00863F4B"/>
    <w:rsid w:val="008640EF"/>
    <w:rsid w:val="00864232"/>
    <w:rsid w:val="00864371"/>
    <w:rsid w:val="0086464D"/>
    <w:rsid w:val="008646AA"/>
    <w:rsid w:val="008646E5"/>
    <w:rsid w:val="00864A4F"/>
    <w:rsid w:val="00864D53"/>
    <w:rsid w:val="00864F68"/>
    <w:rsid w:val="008655E4"/>
    <w:rsid w:val="008659E9"/>
    <w:rsid w:val="00865E5C"/>
    <w:rsid w:val="0086606F"/>
    <w:rsid w:val="00866291"/>
    <w:rsid w:val="008669D3"/>
    <w:rsid w:val="00866BBA"/>
    <w:rsid w:val="00866C64"/>
    <w:rsid w:val="00867013"/>
    <w:rsid w:val="0086713A"/>
    <w:rsid w:val="0086732E"/>
    <w:rsid w:val="00867467"/>
    <w:rsid w:val="00867D31"/>
    <w:rsid w:val="00867DBA"/>
    <w:rsid w:val="008706DF"/>
    <w:rsid w:val="00870753"/>
    <w:rsid w:val="00870B75"/>
    <w:rsid w:val="00870FCA"/>
    <w:rsid w:val="0087150E"/>
    <w:rsid w:val="00871870"/>
    <w:rsid w:val="0087189B"/>
    <w:rsid w:val="00871EA1"/>
    <w:rsid w:val="00871EE3"/>
    <w:rsid w:val="00871F8F"/>
    <w:rsid w:val="00871F95"/>
    <w:rsid w:val="00872968"/>
    <w:rsid w:val="00872BC6"/>
    <w:rsid w:val="00872C23"/>
    <w:rsid w:val="00872E36"/>
    <w:rsid w:val="00873099"/>
    <w:rsid w:val="0087330E"/>
    <w:rsid w:val="0087363F"/>
    <w:rsid w:val="008736D1"/>
    <w:rsid w:val="00873784"/>
    <w:rsid w:val="008737C5"/>
    <w:rsid w:val="00873B81"/>
    <w:rsid w:val="00873E14"/>
    <w:rsid w:val="008740B9"/>
    <w:rsid w:val="008745FC"/>
    <w:rsid w:val="00874603"/>
    <w:rsid w:val="00874951"/>
    <w:rsid w:val="00874DDA"/>
    <w:rsid w:val="00874E2C"/>
    <w:rsid w:val="00875096"/>
    <w:rsid w:val="00875130"/>
    <w:rsid w:val="00875307"/>
    <w:rsid w:val="008756D0"/>
    <w:rsid w:val="0087589A"/>
    <w:rsid w:val="008759FE"/>
    <w:rsid w:val="00875B54"/>
    <w:rsid w:val="00875FC3"/>
    <w:rsid w:val="00876121"/>
    <w:rsid w:val="008765B7"/>
    <w:rsid w:val="00876659"/>
    <w:rsid w:val="008766F3"/>
    <w:rsid w:val="008767B7"/>
    <w:rsid w:val="008767E2"/>
    <w:rsid w:val="00876A19"/>
    <w:rsid w:val="00876C79"/>
    <w:rsid w:val="00876D37"/>
    <w:rsid w:val="00876DAF"/>
    <w:rsid w:val="00876E37"/>
    <w:rsid w:val="00876F1E"/>
    <w:rsid w:val="00877A4A"/>
    <w:rsid w:val="00877B39"/>
    <w:rsid w:val="00877E57"/>
    <w:rsid w:val="00877F18"/>
    <w:rsid w:val="008803C2"/>
    <w:rsid w:val="008804AC"/>
    <w:rsid w:val="00880ABD"/>
    <w:rsid w:val="00880E42"/>
    <w:rsid w:val="00880E64"/>
    <w:rsid w:val="00880EB0"/>
    <w:rsid w:val="00880EBC"/>
    <w:rsid w:val="00881830"/>
    <w:rsid w:val="00881D41"/>
    <w:rsid w:val="00881DD4"/>
    <w:rsid w:val="0088207A"/>
    <w:rsid w:val="008825A9"/>
    <w:rsid w:val="00882AC6"/>
    <w:rsid w:val="00882C99"/>
    <w:rsid w:val="00882CC4"/>
    <w:rsid w:val="008833B0"/>
    <w:rsid w:val="00883462"/>
    <w:rsid w:val="0088448D"/>
    <w:rsid w:val="008849AE"/>
    <w:rsid w:val="00884EBE"/>
    <w:rsid w:val="00884F4E"/>
    <w:rsid w:val="0088506D"/>
    <w:rsid w:val="008850BF"/>
    <w:rsid w:val="008853D1"/>
    <w:rsid w:val="00885784"/>
    <w:rsid w:val="00885F50"/>
    <w:rsid w:val="00885F87"/>
    <w:rsid w:val="0088600A"/>
    <w:rsid w:val="0088606B"/>
    <w:rsid w:val="00886257"/>
    <w:rsid w:val="0088630E"/>
    <w:rsid w:val="00886399"/>
    <w:rsid w:val="0088653A"/>
    <w:rsid w:val="00886D08"/>
    <w:rsid w:val="0088724D"/>
    <w:rsid w:val="00887446"/>
    <w:rsid w:val="00887C36"/>
    <w:rsid w:val="00890204"/>
    <w:rsid w:val="00890456"/>
    <w:rsid w:val="008904B6"/>
    <w:rsid w:val="00890696"/>
    <w:rsid w:val="0089094C"/>
    <w:rsid w:val="00890A7C"/>
    <w:rsid w:val="00890EDD"/>
    <w:rsid w:val="0089132F"/>
    <w:rsid w:val="008917C3"/>
    <w:rsid w:val="008918C7"/>
    <w:rsid w:val="008918FF"/>
    <w:rsid w:val="00891C22"/>
    <w:rsid w:val="00891F9F"/>
    <w:rsid w:val="00892837"/>
    <w:rsid w:val="00892F1B"/>
    <w:rsid w:val="00893282"/>
    <w:rsid w:val="00893284"/>
    <w:rsid w:val="00893485"/>
    <w:rsid w:val="008936D6"/>
    <w:rsid w:val="008936FD"/>
    <w:rsid w:val="00893A6E"/>
    <w:rsid w:val="008942A0"/>
    <w:rsid w:val="00894788"/>
    <w:rsid w:val="008949C9"/>
    <w:rsid w:val="00894BC8"/>
    <w:rsid w:val="00894DCC"/>
    <w:rsid w:val="00895381"/>
    <w:rsid w:val="008954D7"/>
    <w:rsid w:val="008956E7"/>
    <w:rsid w:val="00895B85"/>
    <w:rsid w:val="00895CF0"/>
    <w:rsid w:val="00895CFB"/>
    <w:rsid w:val="00895D58"/>
    <w:rsid w:val="00895DB2"/>
    <w:rsid w:val="00895F34"/>
    <w:rsid w:val="008960BF"/>
    <w:rsid w:val="0089638C"/>
    <w:rsid w:val="008963BC"/>
    <w:rsid w:val="00896452"/>
    <w:rsid w:val="00896CE3"/>
    <w:rsid w:val="00896ED4"/>
    <w:rsid w:val="00897408"/>
    <w:rsid w:val="008976CD"/>
    <w:rsid w:val="00897BD5"/>
    <w:rsid w:val="00897D24"/>
    <w:rsid w:val="00897E36"/>
    <w:rsid w:val="008A0014"/>
    <w:rsid w:val="008A066A"/>
    <w:rsid w:val="008A0B46"/>
    <w:rsid w:val="008A0BA2"/>
    <w:rsid w:val="008A1357"/>
    <w:rsid w:val="008A2339"/>
    <w:rsid w:val="008A2365"/>
    <w:rsid w:val="008A25DD"/>
    <w:rsid w:val="008A2847"/>
    <w:rsid w:val="008A2A98"/>
    <w:rsid w:val="008A3226"/>
    <w:rsid w:val="008A332A"/>
    <w:rsid w:val="008A33EA"/>
    <w:rsid w:val="008A3826"/>
    <w:rsid w:val="008A384B"/>
    <w:rsid w:val="008A39BF"/>
    <w:rsid w:val="008A46A5"/>
    <w:rsid w:val="008A4E6C"/>
    <w:rsid w:val="008A4EC4"/>
    <w:rsid w:val="008A5ACB"/>
    <w:rsid w:val="008A607F"/>
    <w:rsid w:val="008A613F"/>
    <w:rsid w:val="008A635D"/>
    <w:rsid w:val="008A654B"/>
    <w:rsid w:val="008A66AD"/>
    <w:rsid w:val="008A66B6"/>
    <w:rsid w:val="008A66CF"/>
    <w:rsid w:val="008A6981"/>
    <w:rsid w:val="008A6AC5"/>
    <w:rsid w:val="008A6BDE"/>
    <w:rsid w:val="008A6E77"/>
    <w:rsid w:val="008A7205"/>
    <w:rsid w:val="008A72E1"/>
    <w:rsid w:val="008A73E9"/>
    <w:rsid w:val="008A76D0"/>
    <w:rsid w:val="008A76E4"/>
    <w:rsid w:val="008A7828"/>
    <w:rsid w:val="008A7D65"/>
    <w:rsid w:val="008A7E66"/>
    <w:rsid w:val="008B0600"/>
    <w:rsid w:val="008B0B1F"/>
    <w:rsid w:val="008B0DC4"/>
    <w:rsid w:val="008B0FBB"/>
    <w:rsid w:val="008B108A"/>
    <w:rsid w:val="008B12DE"/>
    <w:rsid w:val="008B184A"/>
    <w:rsid w:val="008B18E2"/>
    <w:rsid w:val="008B1F0E"/>
    <w:rsid w:val="008B22A5"/>
    <w:rsid w:val="008B236C"/>
    <w:rsid w:val="008B2BA5"/>
    <w:rsid w:val="008B2CC6"/>
    <w:rsid w:val="008B2DCE"/>
    <w:rsid w:val="008B30E2"/>
    <w:rsid w:val="008B3B34"/>
    <w:rsid w:val="008B4010"/>
    <w:rsid w:val="008B44FE"/>
    <w:rsid w:val="008B46CC"/>
    <w:rsid w:val="008B4AFB"/>
    <w:rsid w:val="008B4DF4"/>
    <w:rsid w:val="008B5271"/>
    <w:rsid w:val="008B5389"/>
    <w:rsid w:val="008B5DE9"/>
    <w:rsid w:val="008B5FE4"/>
    <w:rsid w:val="008B60DF"/>
    <w:rsid w:val="008B6639"/>
    <w:rsid w:val="008B691C"/>
    <w:rsid w:val="008B73CF"/>
    <w:rsid w:val="008B75F1"/>
    <w:rsid w:val="008B7A5E"/>
    <w:rsid w:val="008B7D8D"/>
    <w:rsid w:val="008C06C2"/>
    <w:rsid w:val="008C119F"/>
    <w:rsid w:val="008C1BD1"/>
    <w:rsid w:val="008C1E57"/>
    <w:rsid w:val="008C234A"/>
    <w:rsid w:val="008C29C8"/>
    <w:rsid w:val="008C2F62"/>
    <w:rsid w:val="008C30DC"/>
    <w:rsid w:val="008C318F"/>
    <w:rsid w:val="008C3346"/>
    <w:rsid w:val="008C3486"/>
    <w:rsid w:val="008C3591"/>
    <w:rsid w:val="008C37AE"/>
    <w:rsid w:val="008C3B75"/>
    <w:rsid w:val="008C448A"/>
    <w:rsid w:val="008C49C4"/>
    <w:rsid w:val="008C508F"/>
    <w:rsid w:val="008C54A0"/>
    <w:rsid w:val="008C54CC"/>
    <w:rsid w:val="008C55C6"/>
    <w:rsid w:val="008C5602"/>
    <w:rsid w:val="008C5CB5"/>
    <w:rsid w:val="008C612C"/>
    <w:rsid w:val="008C647C"/>
    <w:rsid w:val="008C6A7F"/>
    <w:rsid w:val="008C6B97"/>
    <w:rsid w:val="008C6E2E"/>
    <w:rsid w:val="008C7072"/>
    <w:rsid w:val="008C71FA"/>
    <w:rsid w:val="008C7452"/>
    <w:rsid w:val="008C74ED"/>
    <w:rsid w:val="008C7613"/>
    <w:rsid w:val="008C766E"/>
    <w:rsid w:val="008C7F71"/>
    <w:rsid w:val="008D06AD"/>
    <w:rsid w:val="008D0B30"/>
    <w:rsid w:val="008D0FB1"/>
    <w:rsid w:val="008D12F9"/>
    <w:rsid w:val="008D1932"/>
    <w:rsid w:val="008D1C48"/>
    <w:rsid w:val="008D2306"/>
    <w:rsid w:val="008D24E5"/>
    <w:rsid w:val="008D339F"/>
    <w:rsid w:val="008D348A"/>
    <w:rsid w:val="008D375E"/>
    <w:rsid w:val="008D3BB5"/>
    <w:rsid w:val="008D449D"/>
    <w:rsid w:val="008D45FC"/>
    <w:rsid w:val="008D4A06"/>
    <w:rsid w:val="008D4A73"/>
    <w:rsid w:val="008D503B"/>
    <w:rsid w:val="008D51D1"/>
    <w:rsid w:val="008D545B"/>
    <w:rsid w:val="008D5545"/>
    <w:rsid w:val="008D5733"/>
    <w:rsid w:val="008D57D2"/>
    <w:rsid w:val="008D59A9"/>
    <w:rsid w:val="008D5C45"/>
    <w:rsid w:val="008D63E0"/>
    <w:rsid w:val="008D67A7"/>
    <w:rsid w:val="008D68BD"/>
    <w:rsid w:val="008D6A16"/>
    <w:rsid w:val="008D76BF"/>
    <w:rsid w:val="008D7C38"/>
    <w:rsid w:val="008D7E16"/>
    <w:rsid w:val="008E0101"/>
    <w:rsid w:val="008E0701"/>
    <w:rsid w:val="008E093F"/>
    <w:rsid w:val="008E0AA1"/>
    <w:rsid w:val="008E0D59"/>
    <w:rsid w:val="008E12BF"/>
    <w:rsid w:val="008E1427"/>
    <w:rsid w:val="008E1614"/>
    <w:rsid w:val="008E1E4D"/>
    <w:rsid w:val="008E2B56"/>
    <w:rsid w:val="008E3031"/>
    <w:rsid w:val="008E31FD"/>
    <w:rsid w:val="008E3527"/>
    <w:rsid w:val="008E3782"/>
    <w:rsid w:val="008E38E5"/>
    <w:rsid w:val="008E4257"/>
    <w:rsid w:val="008E42B5"/>
    <w:rsid w:val="008E4317"/>
    <w:rsid w:val="008E4772"/>
    <w:rsid w:val="008E4DC7"/>
    <w:rsid w:val="008E4DD0"/>
    <w:rsid w:val="008E4F16"/>
    <w:rsid w:val="008E5149"/>
    <w:rsid w:val="008E53BF"/>
    <w:rsid w:val="008E572B"/>
    <w:rsid w:val="008E5FA1"/>
    <w:rsid w:val="008E6212"/>
    <w:rsid w:val="008E6292"/>
    <w:rsid w:val="008E6A05"/>
    <w:rsid w:val="008E6AF7"/>
    <w:rsid w:val="008E6B66"/>
    <w:rsid w:val="008E6FCD"/>
    <w:rsid w:val="008E7610"/>
    <w:rsid w:val="008E7A35"/>
    <w:rsid w:val="008E7F9B"/>
    <w:rsid w:val="008F0263"/>
    <w:rsid w:val="008F0D7F"/>
    <w:rsid w:val="008F0DB3"/>
    <w:rsid w:val="008F0E20"/>
    <w:rsid w:val="008F11B5"/>
    <w:rsid w:val="008F12D9"/>
    <w:rsid w:val="008F1499"/>
    <w:rsid w:val="008F16B2"/>
    <w:rsid w:val="008F1FDE"/>
    <w:rsid w:val="008F23F0"/>
    <w:rsid w:val="008F2B6D"/>
    <w:rsid w:val="008F2C10"/>
    <w:rsid w:val="008F2D92"/>
    <w:rsid w:val="008F2DA1"/>
    <w:rsid w:val="008F2DF0"/>
    <w:rsid w:val="008F30B2"/>
    <w:rsid w:val="008F3205"/>
    <w:rsid w:val="008F3257"/>
    <w:rsid w:val="008F3379"/>
    <w:rsid w:val="008F33F5"/>
    <w:rsid w:val="008F363A"/>
    <w:rsid w:val="008F4358"/>
    <w:rsid w:val="008F44B8"/>
    <w:rsid w:val="008F473A"/>
    <w:rsid w:val="008F4D91"/>
    <w:rsid w:val="008F52B4"/>
    <w:rsid w:val="008F5807"/>
    <w:rsid w:val="008F5894"/>
    <w:rsid w:val="008F59D7"/>
    <w:rsid w:val="008F5A5C"/>
    <w:rsid w:val="008F5B04"/>
    <w:rsid w:val="008F5BB3"/>
    <w:rsid w:val="008F5DC0"/>
    <w:rsid w:val="008F5E18"/>
    <w:rsid w:val="008F6C74"/>
    <w:rsid w:val="008F6D0B"/>
    <w:rsid w:val="008F6FF8"/>
    <w:rsid w:val="008F70C8"/>
    <w:rsid w:val="008F747E"/>
    <w:rsid w:val="008F754C"/>
    <w:rsid w:val="008F77BC"/>
    <w:rsid w:val="008F7BAC"/>
    <w:rsid w:val="008F7BB6"/>
    <w:rsid w:val="008F7C9B"/>
    <w:rsid w:val="008F7FE2"/>
    <w:rsid w:val="009004FD"/>
    <w:rsid w:val="009006D6"/>
    <w:rsid w:val="009007CB"/>
    <w:rsid w:val="0090090C"/>
    <w:rsid w:val="00901141"/>
    <w:rsid w:val="00901162"/>
    <w:rsid w:val="00901452"/>
    <w:rsid w:val="0090157F"/>
    <w:rsid w:val="0090176F"/>
    <w:rsid w:val="00901B53"/>
    <w:rsid w:val="00901BD1"/>
    <w:rsid w:val="00901C8D"/>
    <w:rsid w:val="00901E90"/>
    <w:rsid w:val="00901EDB"/>
    <w:rsid w:val="00901EFF"/>
    <w:rsid w:val="00901FDB"/>
    <w:rsid w:val="00902196"/>
    <w:rsid w:val="0090226A"/>
    <w:rsid w:val="009024BB"/>
    <w:rsid w:val="0090283B"/>
    <w:rsid w:val="00902B0F"/>
    <w:rsid w:val="00902E9E"/>
    <w:rsid w:val="00903261"/>
    <w:rsid w:val="009032A8"/>
    <w:rsid w:val="0090351B"/>
    <w:rsid w:val="00903EE9"/>
    <w:rsid w:val="0090492F"/>
    <w:rsid w:val="00904946"/>
    <w:rsid w:val="009051DB"/>
    <w:rsid w:val="00905214"/>
    <w:rsid w:val="00905698"/>
    <w:rsid w:val="009057B6"/>
    <w:rsid w:val="00905DE3"/>
    <w:rsid w:val="00905DF2"/>
    <w:rsid w:val="00906186"/>
    <w:rsid w:val="00906ABC"/>
    <w:rsid w:val="00906C1E"/>
    <w:rsid w:val="009072AE"/>
    <w:rsid w:val="00907568"/>
    <w:rsid w:val="00907B98"/>
    <w:rsid w:val="00910A34"/>
    <w:rsid w:val="00910B51"/>
    <w:rsid w:val="00911001"/>
    <w:rsid w:val="00911730"/>
    <w:rsid w:val="00911B2F"/>
    <w:rsid w:val="00911BA1"/>
    <w:rsid w:val="00911EB8"/>
    <w:rsid w:val="00911F33"/>
    <w:rsid w:val="00912097"/>
    <w:rsid w:val="009120E2"/>
    <w:rsid w:val="00912592"/>
    <w:rsid w:val="009126F9"/>
    <w:rsid w:val="00912F56"/>
    <w:rsid w:val="00913293"/>
    <w:rsid w:val="009137B1"/>
    <w:rsid w:val="009138F4"/>
    <w:rsid w:val="00913FA6"/>
    <w:rsid w:val="009143C6"/>
    <w:rsid w:val="00914791"/>
    <w:rsid w:val="00914AE3"/>
    <w:rsid w:val="0091507E"/>
    <w:rsid w:val="00915090"/>
    <w:rsid w:val="00915653"/>
    <w:rsid w:val="00915708"/>
    <w:rsid w:val="00915727"/>
    <w:rsid w:val="0091585A"/>
    <w:rsid w:val="00915BCE"/>
    <w:rsid w:val="00915DC0"/>
    <w:rsid w:val="00915F82"/>
    <w:rsid w:val="009160FC"/>
    <w:rsid w:val="00916106"/>
    <w:rsid w:val="00916618"/>
    <w:rsid w:val="009166F1"/>
    <w:rsid w:val="0091693C"/>
    <w:rsid w:val="00916B75"/>
    <w:rsid w:val="00917444"/>
    <w:rsid w:val="00917479"/>
    <w:rsid w:val="009175DD"/>
    <w:rsid w:val="00917815"/>
    <w:rsid w:val="009179F8"/>
    <w:rsid w:val="00917B47"/>
    <w:rsid w:val="00917DAE"/>
    <w:rsid w:val="00917E5E"/>
    <w:rsid w:val="009207AA"/>
    <w:rsid w:val="00920829"/>
    <w:rsid w:val="009209B5"/>
    <w:rsid w:val="009209B9"/>
    <w:rsid w:val="00920CA8"/>
    <w:rsid w:val="00920EBA"/>
    <w:rsid w:val="00921272"/>
    <w:rsid w:val="0092163F"/>
    <w:rsid w:val="009216B9"/>
    <w:rsid w:val="009218A1"/>
    <w:rsid w:val="00921A07"/>
    <w:rsid w:val="00921F4A"/>
    <w:rsid w:val="009222DC"/>
    <w:rsid w:val="009222EA"/>
    <w:rsid w:val="00922FA6"/>
    <w:rsid w:val="00923110"/>
    <w:rsid w:val="0092330A"/>
    <w:rsid w:val="009237C3"/>
    <w:rsid w:val="00923BCB"/>
    <w:rsid w:val="009249E8"/>
    <w:rsid w:val="00924B33"/>
    <w:rsid w:val="00924E6B"/>
    <w:rsid w:val="00925265"/>
    <w:rsid w:val="009252AF"/>
    <w:rsid w:val="00925AA5"/>
    <w:rsid w:val="0092605A"/>
    <w:rsid w:val="0092639A"/>
    <w:rsid w:val="00926429"/>
    <w:rsid w:val="00926443"/>
    <w:rsid w:val="0092655B"/>
    <w:rsid w:val="0092665B"/>
    <w:rsid w:val="00926660"/>
    <w:rsid w:val="00926789"/>
    <w:rsid w:val="009267C6"/>
    <w:rsid w:val="009268B8"/>
    <w:rsid w:val="00926E9A"/>
    <w:rsid w:val="0092740A"/>
    <w:rsid w:val="0092743A"/>
    <w:rsid w:val="009277E6"/>
    <w:rsid w:val="00927E60"/>
    <w:rsid w:val="00930046"/>
    <w:rsid w:val="009300B3"/>
    <w:rsid w:val="009304BC"/>
    <w:rsid w:val="00930588"/>
    <w:rsid w:val="009308B6"/>
    <w:rsid w:val="009309E6"/>
    <w:rsid w:val="00930D03"/>
    <w:rsid w:val="009310B3"/>
    <w:rsid w:val="00931327"/>
    <w:rsid w:val="00931747"/>
    <w:rsid w:val="00931775"/>
    <w:rsid w:val="009317F8"/>
    <w:rsid w:val="00931B06"/>
    <w:rsid w:val="00931E52"/>
    <w:rsid w:val="00931FD9"/>
    <w:rsid w:val="0093208E"/>
    <w:rsid w:val="00932300"/>
    <w:rsid w:val="00932511"/>
    <w:rsid w:val="009325B7"/>
    <w:rsid w:val="009328ED"/>
    <w:rsid w:val="00932C5E"/>
    <w:rsid w:val="00932CCB"/>
    <w:rsid w:val="009333B0"/>
    <w:rsid w:val="009333BB"/>
    <w:rsid w:val="00933CE3"/>
    <w:rsid w:val="00934085"/>
    <w:rsid w:val="00934239"/>
    <w:rsid w:val="0093474D"/>
    <w:rsid w:val="0093540D"/>
    <w:rsid w:val="00935A10"/>
    <w:rsid w:val="00935C81"/>
    <w:rsid w:val="00935CA0"/>
    <w:rsid w:val="00935E38"/>
    <w:rsid w:val="0093603E"/>
    <w:rsid w:val="00936A79"/>
    <w:rsid w:val="00936AF6"/>
    <w:rsid w:val="00936F64"/>
    <w:rsid w:val="00937154"/>
    <w:rsid w:val="009371F5"/>
    <w:rsid w:val="009378FE"/>
    <w:rsid w:val="009379A9"/>
    <w:rsid w:val="00937E93"/>
    <w:rsid w:val="00937F27"/>
    <w:rsid w:val="0094019D"/>
    <w:rsid w:val="00940545"/>
    <w:rsid w:val="009407CA"/>
    <w:rsid w:val="009407D9"/>
    <w:rsid w:val="009407F9"/>
    <w:rsid w:val="0094091F"/>
    <w:rsid w:val="00940AB1"/>
    <w:rsid w:val="00940CD7"/>
    <w:rsid w:val="00941016"/>
    <w:rsid w:val="009412AE"/>
    <w:rsid w:val="00941AA5"/>
    <w:rsid w:val="00941EAA"/>
    <w:rsid w:val="00942160"/>
    <w:rsid w:val="009424DC"/>
    <w:rsid w:val="00942AC6"/>
    <w:rsid w:val="00942B97"/>
    <w:rsid w:val="00942C11"/>
    <w:rsid w:val="0094351F"/>
    <w:rsid w:val="00943CF1"/>
    <w:rsid w:val="00943FE5"/>
    <w:rsid w:val="00943FFE"/>
    <w:rsid w:val="009441D3"/>
    <w:rsid w:val="009445FB"/>
    <w:rsid w:val="009445FC"/>
    <w:rsid w:val="0094473D"/>
    <w:rsid w:val="00944B9F"/>
    <w:rsid w:val="009450EC"/>
    <w:rsid w:val="00945AA9"/>
    <w:rsid w:val="00945AB5"/>
    <w:rsid w:val="00945ACB"/>
    <w:rsid w:val="009462BC"/>
    <w:rsid w:val="00946340"/>
    <w:rsid w:val="00947169"/>
    <w:rsid w:val="00947556"/>
    <w:rsid w:val="009475F6"/>
    <w:rsid w:val="00947995"/>
    <w:rsid w:val="00947DA8"/>
    <w:rsid w:val="00950021"/>
    <w:rsid w:val="00950B83"/>
    <w:rsid w:val="00950DC3"/>
    <w:rsid w:val="00951084"/>
    <w:rsid w:val="00951150"/>
    <w:rsid w:val="00951867"/>
    <w:rsid w:val="00951AA3"/>
    <w:rsid w:val="00952116"/>
    <w:rsid w:val="009522DC"/>
    <w:rsid w:val="009523C2"/>
    <w:rsid w:val="00952616"/>
    <w:rsid w:val="00952BA9"/>
    <w:rsid w:val="00952D0B"/>
    <w:rsid w:val="00952F86"/>
    <w:rsid w:val="009532D1"/>
    <w:rsid w:val="009534C8"/>
    <w:rsid w:val="00953537"/>
    <w:rsid w:val="0095372C"/>
    <w:rsid w:val="00953BC8"/>
    <w:rsid w:val="009542CC"/>
    <w:rsid w:val="00954307"/>
    <w:rsid w:val="009544C7"/>
    <w:rsid w:val="009545FC"/>
    <w:rsid w:val="0095468E"/>
    <w:rsid w:val="009547F8"/>
    <w:rsid w:val="00954CE0"/>
    <w:rsid w:val="00954F90"/>
    <w:rsid w:val="0095502F"/>
    <w:rsid w:val="009553E2"/>
    <w:rsid w:val="009554FD"/>
    <w:rsid w:val="00955C71"/>
    <w:rsid w:val="00955CC9"/>
    <w:rsid w:val="00955D1A"/>
    <w:rsid w:val="009564DA"/>
    <w:rsid w:val="00956618"/>
    <w:rsid w:val="00956B37"/>
    <w:rsid w:val="00956C36"/>
    <w:rsid w:val="00956E48"/>
    <w:rsid w:val="009570EC"/>
    <w:rsid w:val="00957135"/>
    <w:rsid w:val="009575E3"/>
    <w:rsid w:val="009578AA"/>
    <w:rsid w:val="00957DB0"/>
    <w:rsid w:val="00960438"/>
    <w:rsid w:val="00960A0A"/>
    <w:rsid w:val="00960C79"/>
    <w:rsid w:val="00960DFE"/>
    <w:rsid w:val="0096171F"/>
    <w:rsid w:val="00961A47"/>
    <w:rsid w:val="0096206D"/>
    <w:rsid w:val="009623C2"/>
    <w:rsid w:val="0096255E"/>
    <w:rsid w:val="00962A78"/>
    <w:rsid w:val="00963276"/>
    <w:rsid w:val="00963840"/>
    <w:rsid w:val="00963BF5"/>
    <w:rsid w:val="009640F4"/>
    <w:rsid w:val="0096458A"/>
    <w:rsid w:val="00964654"/>
    <w:rsid w:val="00964DD7"/>
    <w:rsid w:val="00964E08"/>
    <w:rsid w:val="009652D6"/>
    <w:rsid w:val="0096546B"/>
    <w:rsid w:val="009654E3"/>
    <w:rsid w:val="0096581E"/>
    <w:rsid w:val="009658A3"/>
    <w:rsid w:val="00965C8C"/>
    <w:rsid w:val="00965CB8"/>
    <w:rsid w:val="00965D9E"/>
    <w:rsid w:val="00965E34"/>
    <w:rsid w:val="0096612B"/>
    <w:rsid w:val="00966181"/>
    <w:rsid w:val="00966302"/>
    <w:rsid w:val="00966359"/>
    <w:rsid w:val="009667A3"/>
    <w:rsid w:val="00966C7B"/>
    <w:rsid w:val="00966F4D"/>
    <w:rsid w:val="00966F67"/>
    <w:rsid w:val="00966F7D"/>
    <w:rsid w:val="00966FA7"/>
    <w:rsid w:val="009670B5"/>
    <w:rsid w:val="0096751B"/>
    <w:rsid w:val="0096760B"/>
    <w:rsid w:val="0096761B"/>
    <w:rsid w:val="00967E73"/>
    <w:rsid w:val="00970339"/>
    <w:rsid w:val="00970B08"/>
    <w:rsid w:val="00970BC2"/>
    <w:rsid w:val="00970DA6"/>
    <w:rsid w:val="00970EBF"/>
    <w:rsid w:val="009714B0"/>
    <w:rsid w:val="009715B5"/>
    <w:rsid w:val="009716AA"/>
    <w:rsid w:val="00971842"/>
    <w:rsid w:val="009718EA"/>
    <w:rsid w:val="009719E7"/>
    <w:rsid w:val="00971C21"/>
    <w:rsid w:val="00971E61"/>
    <w:rsid w:val="00971E89"/>
    <w:rsid w:val="009720F4"/>
    <w:rsid w:val="009729D4"/>
    <w:rsid w:val="00972E8F"/>
    <w:rsid w:val="00972F19"/>
    <w:rsid w:val="0097310F"/>
    <w:rsid w:val="00973803"/>
    <w:rsid w:val="00973C68"/>
    <w:rsid w:val="00973E21"/>
    <w:rsid w:val="00974543"/>
    <w:rsid w:val="00974807"/>
    <w:rsid w:val="0097493B"/>
    <w:rsid w:val="00974BB0"/>
    <w:rsid w:val="00974E90"/>
    <w:rsid w:val="00974EBE"/>
    <w:rsid w:val="00975362"/>
    <w:rsid w:val="009755EA"/>
    <w:rsid w:val="009756D2"/>
    <w:rsid w:val="00975B1D"/>
    <w:rsid w:val="00975CFF"/>
    <w:rsid w:val="00976278"/>
    <w:rsid w:val="009762F9"/>
    <w:rsid w:val="009767CA"/>
    <w:rsid w:val="009769F5"/>
    <w:rsid w:val="00976A69"/>
    <w:rsid w:val="00976BB3"/>
    <w:rsid w:val="00976C7D"/>
    <w:rsid w:val="00976FE9"/>
    <w:rsid w:val="009770D1"/>
    <w:rsid w:val="009770E6"/>
    <w:rsid w:val="0097712D"/>
    <w:rsid w:val="009776CF"/>
    <w:rsid w:val="00977840"/>
    <w:rsid w:val="009778D9"/>
    <w:rsid w:val="00977919"/>
    <w:rsid w:val="00977B7D"/>
    <w:rsid w:val="009805F2"/>
    <w:rsid w:val="0098067E"/>
    <w:rsid w:val="00980B57"/>
    <w:rsid w:val="009811EE"/>
    <w:rsid w:val="009814CC"/>
    <w:rsid w:val="00981500"/>
    <w:rsid w:val="00981774"/>
    <w:rsid w:val="00981783"/>
    <w:rsid w:val="009817B0"/>
    <w:rsid w:val="00981A79"/>
    <w:rsid w:val="00981BB9"/>
    <w:rsid w:val="00981C35"/>
    <w:rsid w:val="009821CE"/>
    <w:rsid w:val="0098244D"/>
    <w:rsid w:val="009826C2"/>
    <w:rsid w:val="00982A16"/>
    <w:rsid w:val="00982C93"/>
    <w:rsid w:val="00982D29"/>
    <w:rsid w:val="00983373"/>
    <w:rsid w:val="0098342F"/>
    <w:rsid w:val="0098358F"/>
    <w:rsid w:val="009836F0"/>
    <w:rsid w:val="00983C21"/>
    <w:rsid w:val="00983C3B"/>
    <w:rsid w:val="00983F05"/>
    <w:rsid w:val="00984702"/>
    <w:rsid w:val="00984BF9"/>
    <w:rsid w:val="00984CD2"/>
    <w:rsid w:val="00985421"/>
    <w:rsid w:val="00985610"/>
    <w:rsid w:val="00985A7F"/>
    <w:rsid w:val="00985BFA"/>
    <w:rsid w:val="00985D82"/>
    <w:rsid w:val="00985EC3"/>
    <w:rsid w:val="00985FE7"/>
    <w:rsid w:val="0098649C"/>
    <w:rsid w:val="009866D3"/>
    <w:rsid w:val="00986E80"/>
    <w:rsid w:val="00987168"/>
    <w:rsid w:val="009871CD"/>
    <w:rsid w:val="009874CC"/>
    <w:rsid w:val="0098775E"/>
    <w:rsid w:val="00987A0A"/>
    <w:rsid w:val="00987AA7"/>
    <w:rsid w:val="00987E38"/>
    <w:rsid w:val="00990147"/>
    <w:rsid w:val="009902AF"/>
    <w:rsid w:val="0099066B"/>
    <w:rsid w:val="00990B68"/>
    <w:rsid w:val="00990C6C"/>
    <w:rsid w:val="009910BA"/>
    <w:rsid w:val="009914A2"/>
    <w:rsid w:val="009914A5"/>
    <w:rsid w:val="009915A9"/>
    <w:rsid w:val="00991D57"/>
    <w:rsid w:val="0099217A"/>
    <w:rsid w:val="00992362"/>
    <w:rsid w:val="0099242E"/>
    <w:rsid w:val="0099265C"/>
    <w:rsid w:val="00992719"/>
    <w:rsid w:val="00992EC7"/>
    <w:rsid w:val="0099323D"/>
    <w:rsid w:val="009937AC"/>
    <w:rsid w:val="009939FA"/>
    <w:rsid w:val="009939FB"/>
    <w:rsid w:val="00993D40"/>
    <w:rsid w:val="00993DB9"/>
    <w:rsid w:val="00993E03"/>
    <w:rsid w:val="00994093"/>
    <w:rsid w:val="00994271"/>
    <w:rsid w:val="00994633"/>
    <w:rsid w:val="00994981"/>
    <w:rsid w:val="00994A50"/>
    <w:rsid w:val="00994BA1"/>
    <w:rsid w:val="00994F49"/>
    <w:rsid w:val="0099544C"/>
    <w:rsid w:val="00995681"/>
    <w:rsid w:val="00995AC3"/>
    <w:rsid w:val="009962E3"/>
    <w:rsid w:val="009966F4"/>
    <w:rsid w:val="00996903"/>
    <w:rsid w:val="00996964"/>
    <w:rsid w:val="00996A2C"/>
    <w:rsid w:val="00996EA7"/>
    <w:rsid w:val="00997327"/>
    <w:rsid w:val="009974F6"/>
    <w:rsid w:val="00997A2C"/>
    <w:rsid w:val="00997C7A"/>
    <w:rsid w:val="00997E01"/>
    <w:rsid w:val="00997E7C"/>
    <w:rsid w:val="00997F26"/>
    <w:rsid w:val="009A012D"/>
    <w:rsid w:val="009A0262"/>
    <w:rsid w:val="009A06F6"/>
    <w:rsid w:val="009A0873"/>
    <w:rsid w:val="009A0907"/>
    <w:rsid w:val="009A0DE1"/>
    <w:rsid w:val="009A108F"/>
    <w:rsid w:val="009A14A8"/>
    <w:rsid w:val="009A16BE"/>
    <w:rsid w:val="009A17E7"/>
    <w:rsid w:val="009A17FA"/>
    <w:rsid w:val="009A1AA0"/>
    <w:rsid w:val="009A2152"/>
    <w:rsid w:val="009A2175"/>
    <w:rsid w:val="009A277C"/>
    <w:rsid w:val="009A27B3"/>
    <w:rsid w:val="009A29F9"/>
    <w:rsid w:val="009A2DC4"/>
    <w:rsid w:val="009A2E81"/>
    <w:rsid w:val="009A37EF"/>
    <w:rsid w:val="009A388F"/>
    <w:rsid w:val="009A3F6F"/>
    <w:rsid w:val="009A414F"/>
    <w:rsid w:val="009A425E"/>
    <w:rsid w:val="009A46C2"/>
    <w:rsid w:val="009A4946"/>
    <w:rsid w:val="009A4A3E"/>
    <w:rsid w:val="009A50EE"/>
    <w:rsid w:val="009A5A80"/>
    <w:rsid w:val="009A5DEE"/>
    <w:rsid w:val="009A658F"/>
    <w:rsid w:val="009A6A36"/>
    <w:rsid w:val="009A6D70"/>
    <w:rsid w:val="009A6E79"/>
    <w:rsid w:val="009A72E9"/>
    <w:rsid w:val="009A783D"/>
    <w:rsid w:val="009A7904"/>
    <w:rsid w:val="009A79EF"/>
    <w:rsid w:val="009A7B5B"/>
    <w:rsid w:val="009A7BB3"/>
    <w:rsid w:val="009B013A"/>
    <w:rsid w:val="009B12DA"/>
    <w:rsid w:val="009B147B"/>
    <w:rsid w:val="009B18F6"/>
    <w:rsid w:val="009B1CDF"/>
    <w:rsid w:val="009B221C"/>
    <w:rsid w:val="009B221F"/>
    <w:rsid w:val="009B2373"/>
    <w:rsid w:val="009B27C0"/>
    <w:rsid w:val="009B2926"/>
    <w:rsid w:val="009B29BE"/>
    <w:rsid w:val="009B335D"/>
    <w:rsid w:val="009B34B2"/>
    <w:rsid w:val="009B35E9"/>
    <w:rsid w:val="009B364A"/>
    <w:rsid w:val="009B38A0"/>
    <w:rsid w:val="009B396B"/>
    <w:rsid w:val="009B3AFF"/>
    <w:rsid w:val="009B4687"/>
    <w:rsid w:val="009B4A63"/>
    <w:rsid w:val="009B4C57"/>
    <w:rsid w:val="009B4F71"/>
    <w:rsid w:val="009B5035"/>
    <w:rsid w:val="009B51FC"/>
    <w:rsid w:val="009B56B6"/>
    <w:rsid w:val="009B5989"/>
    <w:rsid w:val="009B59EC"/>
    <w:rsid w:val="009B5E8E"/>
    <w:rsid w:val="009B5F88"/>
    <w:rsid w:val="009B5FF7"/>
    <w:rsid w:val="009B6241"/>
    <w:rsid w:val="009B64E2"/>
    <w:rsid w:val="009B6CBB"/>
    <w:rsid w:val="009B70D6"/>
    <w:rsid w:val="009B73DE"/>
    <w:rsid w:val="009B7401"/>
    <w:rsid w:val="009B7416"/>
    <w:rsid w:val="009B78B7"/>
    <w:rsid w:val="009B7DDE"/>
    <w:rsid w:val="009C009A"/>
    <w:rsid w:val="009C0264"/>
    <w:rsid w:val="009C0323"/>
    <w:rsid w:val="009C0490"/>
    <w:rsid w:val="009C05C5"/>
    <w:rsid w:val="009C0626"/>
    <w:rsid w:val="009C0929"/>
    <w:rsid w:val="009C0DAF"/>
    <w:rsid w:val="009C169D"/>
    <w:rsid w:val="009C1A39"/>
    <w:rsid w:val="009C2106"/>
    <w:rsid w:val="009C212A"/>
    <w:rsid w:val="009C255E"/>
    <w:rsid w:val="009C27F2"/>
    <w:rsid w:val="009C2C47"/>
    <w:rsid w:val="009C2EFC"/>
    <w:rsid w:val="009C2FBF"/>
    <w:rsid w:val="009C311C"/>
    <w:rsid w:val="009C3557"/>
    <w:rsid w:val="009C359F"/>
    <w:rsid w:val="009C37B1"/>
    <w:rsid w:val="009C38BF"/>
    <w:rsid w:val="009C3BC9"/>
    <w:rsid w:val="009C3D42"/>
    <w:rsid w:val="009C40C8"/>
    <w:rsid w:val="009C4421"/>
    <w:rsid w:val="009C453D"/>
    <w:rsid w:val="009C46DD"/>
    <w:rsid w:val="009C4D9B"/>
    <w:rsid w:val="009C4EF3"/>
    <w:rsid w:val="009C5169"/>
    <w:rsid w:val="009C54FA"/>
    <w:rsid w:val="009C5598"/>
    <w:rsid w:val="009C5821"/>
    <w:rsid w:val="009C5A06"/>
    <w:rsid w:val="009C5C03"/>
    <w:rsid w:val="009C5C6E"/>
    <w:rsid w:val="009C5F3C"/>
    <w:rsid w:val="009C67E5"/>
    <w:rsid w:val="009C6AC6"/>
    <w:rsid w:val="009C6B95"/>
    <w:rsid w:val="009C6F14"/>
    <w:rsid w:val="009C6FB7"/>
    <w:rsid w:val="009C73C0"/>
    <w:rsid w:val="009C79C6"/>
    <w:rsid w:val="009D0164"/>
    <w:rsid w:val="009D016D"/>
    <w:rsid w:val="009D0433"/>
    <w:rsid w:val="009D0A5F"/>
    <w:rsid w:val="009D0B57"/>
    <w:rsid w:val="009D0EA9"/>
    <w:rsid w:val="009D11B0"/>
    <w:rsid w:val="009D177B"/>
    <w:rsid w:val="009D1B8A"/>
    <w:rsid w:val="009D1CF2"/>
    <w:rsid w:val="009D1FB9"/>
    <w:rsid w:val="009D205D"/>
    <w:rsid w:val="009D2503"/>
    <w:rsid w:val="009D2699"/>
    <w:rsid w:val="009D29A2"/>
    <w:rsid w:val="009D2E43"/>
    <w:rsid w:val="009D3168"/>
    <w:rsid w:val="009D34A3"/>
    <w:rsid w:val="009D38A2"/>
    <w:rsid w:val="009D3BE5"/>
    <w:rsid w:val="009D3E5F"/>
    <w:rsid w:val="009D3E82"/>
    <w:rsid w:val="009D3F44"/>
    <w:rsid w:val="009D3F80"/>
    <w:rsid w:val="009D40CA"/>
    <w:rsid w:val="009D4168"/>
    <w:rsid w:val="009D43CA"/>
    <w:rsid w:val="009D46E2"/>
    <w:rsid w:val="009D4808"/>
    <w:rsid w:val="009D4950"/>
    <w:rsid w:val="009D4A09"/>
    <w:rsid w:val="009D4E1C"/>
    <w:rsid w:val="009D5500"/>
    <w:rsid w:val="009D590F"/>
    <w:rsid w:val="009D5A0C"/>
    <w:rsid w:val="009D5FB0"/>
    <w:rsid w:val="009D63FF"/>
    <w:rsid w:val="009D65BC"/>
    <w:rsid w:val="009D66E5"/>
    <w:rsid w:val="009D67A5"/>
    <w:rsid w:val="009D69FE"/>
    <w:rsid w:val="009D6DAC"/>
    <w:rsid w:val="009D6E40"/>
    <w:rsid w:val="009D74B6"/>
    <w:rsid w:val="009D74DD"/>
    <w:rsid w:val="009D7672"/>
    <w:rsid w:val="009D775C"/>
    <w:rsid w:val="009D7803"/>
    <w:rsid w:val="009D7817"/>
    <w:rsid w:val="009D7A51"/>
    <w:rsid w:val="009D7BA9"/>
    <w:rsid w:val="009D7D45"/>
    <w:rsid w:val="009D7E1C"/>
    <w:rsid w:val="009D7F46"/>
    <w:rsid w:val="009D7FFA"/>
    <w:rsid w:val="009E01A1"/>
    <w:rsid w:val="009E0825"/>
    <w:rsid w:val="009E0AA5"/>
    <w:rsid w:val="009E0B55"/>
    <w:rsid w:val="009E0B76"/>
    <w:rsid w:val="009E0C71"/>
    <w:rsid w:val="009E1606"/>
    <w:rsid w:val="009E1702"/>
    <w:rsid w:val="009E171B"/>
    <w:rsid w:val="009E18EC"/>
    <w:rsid w:val="009E195B"/>
    <w:rsid w:val="009E1CC2"/>
    <w:rsid w:val="009E1DC8"/>
    <w:rsid w:val="009E1DE2"/>
    <w:rsid w:val="009E1E9D"/>
    <w:rsid w:val="009E20A3"/>
    <w:rsid w:val="009E20DA"/>
    <w:rsid w:val="009E2326"/>
    <w:rsid w:val="009E2770"/>
    <w:rsid w:val="009E2813"/>
    <w:rsid w:val="009E2933"/>
    <w:rsid w:val="009E2BA4"/>
    <w:rsid w:val="009E35D2"/>
    <w:rsid w:val="009E35EB"/>
    <w:rsid w:val="009E3654"/>
    <w:rsid w:val="009E3B84"/>
    <w:rsid w:val="009E3D44"/>
    <w:rsid w:val="009E3E28"/>
    <w:rsid w:val="009E3F7D"/>
    <w:rsid w:val="009E43FA"/>
    <w:rsid w:val="009E44EB"/>
    <w:rsid w:val="009E4537"/>
    <w:rsid w:val="009E45E1"/>
    <w:rsid w:val="009E4828"/>
    <w:rsid w:val="009E482C"/>
    <w:rsid w:val="009E486C"/>
    <w:rsid w:val="009E487F"/>
    <w:rsid w:val="009E489B"/>
    <w:rsid w:val="009E502B"/>
    <w:rsid w:val="009E5379"/>
    <w:rsid w:val="009E5E9D"/>
    <w:rsid w:val="009E6236"/>
    <w:rsid w:val="009E6353"/>
    <w:rsid w:val="009E656D"/>
    <w:rsid w:val="009E6AD9"/>
    <w:rsid w:val="009E780B"/>
    <w:rsid w:val="009E784B"/>
    <w:rsid w:val="009E7A16"/>
    <w:rsid w:val="009E7B43"/>
    <w:rsid w:val="009E7FFA"/>
    <w:rsid w:val="009F0B64"/>
    <w:rsid w:val="009F0EB9"/>
    <w:rsid w:val="009F0EE4"/>
    <w:rsid w:val="009F1ABC"/>
    <w:rsid w:val="009F221C"/>
    <w:rsid w:val="009F2240"/>
    <w:rsid w:val="009F2271"/>
    <w:rsid w:val="009F2747"/>
    <w:rsid w:val="009F2A4E"/>
    <w:rsid w:val="009F2B30"/>
    <w:rsid w:val="009F2FDB"/>
    <w:rsid w:val="009F305C"/>
    <w:rsid w:val="009F342B"/>
    <w:rsid w:val="009F35DC"/>
    <w:rsid w:val="009F3602"/>
    <w:rsid w:val="009F3C05"/>
    <w:rsid w:val="009F408F"/>
    <w:rsid w:val="009F43D8"/>
    <w:rsid w:val="009F4781"/>
    <w:rsid w:val="009F49BE"/>
    <w:rsid w:val="009F4C5F"/>
    <w:rsid w:val="009F50C8"/>
    <w:rsid w:val="009F5236"/>
    <w:rsid w:val="009F52E5"/>
    <w:rsid w:val="009F5623"/>
    <w:rsid w:val="009F5884"/>
    <w:rsid w:val="009F59CD"/>
    <w:rsid w:val="009F5E5F"/>
    <w:rsid w:val="009F667C"/>
    <w:rsid w:val="009F66CA"/>
    <w:rsid w:val="009F6848"/>
    <w:rsid w:val="009F6CEE"/>
    <w:rsid w:val="009F6D6B"/>
    <w:rsid w:val="009F6EC1"/>
    <w:rsid w:val="009F706F"/>
    <w:rsid w:val="009F71D0"/>
    <w:rsid w:val="009F7494"/>
    <w:rsid w:val="009F7CCF"/>
    <w:rsid w:val="009F7D02"/>
    <w:rsid w:val="00A00086"/>
    <w:rsid w:val="00A002F9"/>
    <w:rsid w:val="00A00760"/>
    <w:rsid w:val="00A007BC"/>
    <w:rsid w:val="00A00B56"/>
    <w:rsid w:val="00A00B8A"/>
    <w:rsid w:val="00A00FE9"/>
    <w:rsid w:val="00A015E8"/>
    <w:rsid w:val="00A01A19"/>
    <w:rsid w:val="00A01D3A"/>
    <w:rsid w:val="00A0202B"/>
    <w:rsid w:val="00A025BF"/>
    <w:rsid w:val="00A02781"/>
    <w:rsid w:val="00A02A44"/>
    <w:rsid w:val="00A02B52"/>
    <w:rsid w:val="00A02C86"/>
    <w:rsid w:val="00A02D9B"/>
    <w:rsid w:val="00A0339D"/>
    <w:rsid w:val="00A03C10"/>
    <w:rsid w:val="00A03DFE"/>
    <w:rsid w:val="00A03FF7"/>
    <w:rsid w:val="00A040B6"/>
    <w:rsid w:val="00A0419B"/>
    <w:rsid w:val="00A041FD"/>
    <w:rsid w:val="00A04253"/>
    <w:rsid w:val="00A0441F"/>
    <w:rsid w:val="00A04452"/>
    <w:rsid w:val="00A04B13"/>
    <w:rsid w:val="00A04D76"/>
    <w:rsid w:val="00A04EF1"/>
    <w:rsid w:val="00A0525D"/>
    <w:rsid w:val="00A053DC"/>
    <w:rsid w:val="00A0569F"/>
    <w:rsid w:val="00A056F1"/>
    <w:rsid w:val="00A05DF3"/>
    <w:rsid w:val="00A05FEE"/>
    <w:rsid w:val="00A06192"/>
    <w:rsid w:val="00A067A0"/>
    <w:rsid w:val="00A070C3"/>
    <w:rsid w:val="00A074C5"/>
    <w:rsid w:val="00A07592"/>
    <w:rsid w:val="00A07D47"/>
    <w:rsid w:val="00A07F36"/>
    <w:rsid w:val="00A1052C"/>
    <w:rsid w:val="00A10A50"/>
    <w:rsid w:val="00A10F3A"/>
    <w:rsid w:val="00A1116A"/>
    <w:rsid w:val="00A1138A"/>
    <w:rsid w:val="00A1145C"/>
    <w:rsid w:val="00A11841"/>
    <w:rsid w:val="00A1189A"/>
    <w:rsid w:val="00A11B31"/>
    <w:rsid w:val="00A1229A"/>
    <w:rsid w:val="00A1240B"/>
    <w:rsid w:val="00A12458"/>
    <w:rsid w:val="00A124D3"/>
    <w:rsid w:val="00A124E5"/>
    <w:rsid w:val="00A12587"/>
    <w:rsid w:val="00A12701"/>
    <w:rsid w:val="00A1278A"/>
    <w:rsid w:val="00A12BFD"/>
    <w:rsid w:val="00A12C27"/>
    <w:rsid w:val="00A12EBE"/>
    <w:rsid w:val="00A12F62"/>
    <w:rsid w:val="00A13032"/>
    <w:rsid w:val="00A130D7"/>
    <w:rsid w:val="00A134EB"/>
    <w:rsid w:val="00A1354D"/>
    <w:rsid w:val="00A136B7"/>
    <w:rsid w:val="00A1390C"/>
    <w:rsid w:val="00A1468C"/>
    <w:rsid w:val="00A14A69"/>
    <w:rsid w:val="00A14B67"/>
    <w:rsid w:val="00A14FE9"/>
    <w:rsid w:val="00A15021"/>
    <w:rsid w:val="00A1512B"/>
    <w:rsid w:val="00A15148"/>
    <w:rsid w:val="00A15617"/>
    <w:rsid w:val="00A1609F"/>
    <w:rsid w:val="00A165C6"/>
    <w:rsid w:val="00A165D9"/>
    <w:rsid w:val="00A16687"/>
    <w:rsid w:val="00A16791"/>
    <w:rsid w:val="00A16AD5"/>
    <w:rsid w:val="00A171C4"/>
    <w:rsid w:val="00A176F3"/>
    <w:rsid w:val="00A177B2"/>
    <w:rsid w:val="00A17B3F"/>
    <w:rsid w:val="00A20091"/>
    <w:rsid w:val="00A2019C"/>
    <w:rsid w:val="00A204A8"/>
    <w:rsid w:val="00A204E1"/>
    <w:rsid w:val="00A2081B"/>
    <w:rsid w:val="00A208CC"/>
    <w:rsid w:val="00A20977"/>
    <w:rsid w:val="00A20FE4"/>
    <w:rsid w:val="00A2108A"/>
    <w:rsid w:val="00A2120A"/>
    <w:rsid w:val="00A2120F"/>
    <w:rsid w:val="00A2125A"/>
    <w:rsid w:val="00A21764"/>
    <w:rsid w:val="00A21975"/>
    <w:rsid w:val="00A21B7C"/>
    <w:rsid w:val="00A21E53"/>
    <w:rsid w:val="00A21E7C"/>
    <w:rsid w:val="00A22362"/>
    <w:rsid w:val="00A22F34"/>
    <w:rsid w:val="00A23196"/>
    <w:rsid w:val="00A232C6"/>
    <w:rsid w:val="00A238E5"/>
    <w:rsid w:val="00A239A3"/>
    <w:rsid w:val="00A23FED"/>
    <w:rsid w:val="00A240FF"/>
    <w:rsid w:val="00A24646"/>
    <w:rsid w:val="00A24B4B"/>
    <w:rsid w:val="00A24D54"/>
    <w:rsid w:val="00A24D59"/>
    <w:rsid w:val="00A24E7E"/>
    <w:rsid w:val="00A250C5"/>
    <w:rsid w:val="00A25302"/>
    <w:rsid w:val="00A25608"/>
    <w:rsid w:val="00A258DD"/>
    <w:rsid w:val="00A258F4"/>
    <w:rsid w:val="00A262C3"/>
    <w:rsid w:val="00A268E4"/>
    <w:rsid w:val="00A26C63"/>
    <w:rsid w:val="00A26CE6"/>
    <w:rsid w:val="00A26D22"/>
    <w:rsid w:val="00A26F8B"/>
    <w:rsid w:val="00A2714F"/>
    <w:rsid w:val="00A27158"/>
    <w:rsid w:val="00A27201"/>
    <w:rsid w:val="00A27214"/>
    <w:rsid w:val="00A272AF"/>
    <w:rsid w:val="00A273A3"/>
    <w:rsid w:val="00A2766E"/>
    <w:rsid w:val="00A277C0"/>
    <w:rsid w:val="00A27907"/>
    <w:rsid w:val="00A27E19"/>
    <w:rsid w:val="00A27EFA"/>
    <w:rsid w:val="00A30249"/>
    <w:rsid w:val="00A30260"/>
    <w:rsid w:val="00A307F4"/>
    <w:rsid w:val="00A31178"/>
    <w:rsid w:val="00A31293"/>
    <w:rsid w:val="00A31828"/>
    <w:rsid w:val="00A318A0"/>
    <w:rsid w:val="00A319FE"/>
    <w:rsid w:val="00A31AFD"/>
    <w:rsid w:val="00A31F17"/>
    <w:rsid w:val="00A32746"/>
    <w:rsid w:val="00A327E1"/>
    <w:rsid w:val="00A328B9"/>
    <w:rsid w:val="00A329D6"/>
    <w:rsid w:val="00A32C0E"/>
    <w:rsid w:val="00A32E1D"/>
    <w:rsid w:val="00A32F1C"/>
    <w:rsid w:val="00A33042"/>
    <w:rsid w:val="00A332A1"/>
    <w:rsid w:val="00A3333E"/>
    <w:rsid w:val="00A33BD9"/>
    <w:rsid w:val="00A345E6"/>
    <w:rsid w:val="00A34C53"/>
    <w:rsid w:val="00A34CFA"/>
    <w:rsid w:val="00A3501F"/>
    <w:rsid w:val="00A3504C"/>
    <w:rsid w:val="00A3528B"/>
    <w:rsid w:val="00A3537F"/>
    <w:rsid w:val="00A354B1"/>
    <w:rsid w:val="00A35BD1"/>
    <w:rsid w:val="00A362D1"/>
    <w:rsid w:val="00A364B6"/>
    <w:rsid w:val="00A3665A"/>
    <w:rsid w:val="00A36B10"/>
    <w:rsid w:val="00A36FFA"/>
    <w:rsid w:val="00A370BD"/>
    <w:rsid w:val="00A37364"/>
    <w:rsid w:val="00A3749B"/>
    <w:rsid w:val="00A37B88"/>
    <w:rsid w:val="00A37D87"/>
    <w:rsid w:val="00A400BC"/>
    <w:rsid w:val="00A400EC"/>
    <w:rsid w:val="00A402FF"/>
    <w:rsid w:val="00A40469"/>
    <w:rsid w:val="00A404CC"/>
    <w:rsid w:val="00A406DC"/>
    <w:rsid w:val="00A40E7B"/>
    <w:rsid w:val="00A416DC"/>
    <w:rsid w:val="00A41BE2"/>
    <w:rsid w:val="00A4222E"/>
    <w:rsid w:val="00A424C8"/>
    <w:rsid w:val="00A425C3"/>
    <w:rsid w:val="00A4294A"/>
    <w:rsid w:val="00A429B6"/>
    <w:rsid w:val="00A42A5E"/>
    <w:rsid w:val="00A42E54"/>
    <w:rsid w:val="00A43144"/>
    <w:rsid w:val="00A4386E"/>
    <w:rsid w:val="00A43CF5"/>
    <w:rsid w:val="00A43D87"/>
    <w:rsid w:val="00A43EDA"/>
    <w:rsid w:val="00A440F5"/>
    <w:rsid w:val="00A44675"/>
    <w:rsid w:val="00A4497A"/>
    <w:rsid w:val="00A451E9"/>
    <w:rsid w:val="00A45912"/>
    <w:rsid w:val="00A45A2F"/>
    <w:rsid w:val="00A460BC"/>
    <w:rsid w:val="00A46222"/>
    <w:rsid w:val="00A4640B"/>
    <w:rsid w:val="00A46848"/>
    <w:rsid w:val="00A46CCA"/>
    <w:rsid w:val="00A46CEB"/>
    <w:rsid w:val="00A46FB2"/>
    <w:rsid w:val="00A47674"/>
    <w:rsid w:val="00A4782B"/>
    <w:rsid w:val="00A47996"/>
    <w:rsid w:val="00A505E4"/>
    <w:rsid w:val="00A50A79"/>
    <w:rsid w:val="00A50C20"/>
    <w:rsid w:val="00A50D88"/>
    <w:rsid w:val="00A50E14"/>
    <w:rsid w:val="00A51212"/>
    <w:rsid w:val="00A51481"/>
    <w:rsid w:val="00A5148C"/>
    <w:rsid w:val="00A51623"/>
    <w:rsid w:val="00A51739"/>
    <w:rsid w:val="00A51859"/>
    <w:rsid w:val="00A51AE8"/>
    <w:rsid w:val="00A51D08"/>
    <w:rsid w:val="00A51EA8"/>
    <w:rsid w:val="00A522F2"/>
    <w:rsid w:val="00A5230D"/>
    <w:rsid w:val="00A5235C"/>
    <w:rsid w:val="00A52587"/>
    <w:rsid w:val="00A52728"/>
    <w:rsid w:val="00A5290B"/>
    <w:rsid w:val="00A52A11"/>
    <w:rsid w:val="00A52AB0"/>
    <w:rsid w:val="00A52E44"/>
    <w:rsid w:val="00A532F7"/>
    <w:rsid w:val="00A53C41"/>
    <w:rsid w:val="00A53D3B"/>
    <w:rsid w:val="00A54929"/>
    <w:rsid w:val="00A549A1"/>
    <w:rsid w:val="00A54CDC"/>
    <w:rsid w:val="00A54DA3"/>
    <w:rsid w:val="00A55142"/>
    <w:rsid w:val="00A5570D"/>
    <w:rsid w:val="00A55EDA"/>
    <w:rsid w:val="00A55F22"/>
    <w:rsid w:val="00A561DC"/>
    <w:rsid w:val="00A56357"/>
    <w:rsid w:val="00A568DC"/>
    <w:rsid w:val="00A56923"/>
    <w:rsid w:val="00A5694D"/>
    <w:rsid w:val="00A569AE"/>
    <w:rsid w:val="00A57462"/>
    <w:rsid w:val="00A578DC"/>
    <w:rsid w:val="00A57C5A"/>
    <w:rsid w:val="00A57EB9"/>
    <w:rsid w:val="00A57FB4"/>
    <w:rsid w:val="00A6049B"/>
    <w:rsid w:val="00A60C0D"/>
    <w:rsid w:val="00A60F03"/>
    <w:rsid w:val="00A6129A"/>
    <w:rsid w:val="00A6132C"/>
    <w:rsid w:val="00A617D2"/>
    <w:rsid w:val="00A61B23"/>
    <w:rsid w:val="00A61F71"/>
    <w:rsid w:val="00A6226B"/>
    <w:rsid w:val="00A622C3"/>
    <w:rsid w:val="00A62A64"/>
    <w:rsid w:val="00A62D1F"/>
    <w:rsid w:val="00A62E42"/>
    <w:rsid w:val="00A6327E"/>
    <w:rsid w:val="00A632D0"/>
    <w:rsid w:val="00A63753"/>
    <w:rsid w:val="00A638A8"/>
    <w:rsid w:val="00A64A71"/>
    <w:rsid w:val="00A64CA0"/>
    <w:rsid w:val="00A651F9"/>
    <w:rsid w:val="00A65CC3"/>
    <w:rsid w:val="00A65D8D"/>
    <w:rsid w:val="00A65EAA"/>
    <w:rsid w:val="00A6610A"/>
    <w:rsid w:val="00A66AB5"/>
    <w:rsid w:val="00A66D79"/>
    <w:rsid w:val="00A677E2"/>
    <w:rsid w:val="00A67C7E"/>
    <w:rsid w:val="00A67CB7"/>
    <w:rsid w:val="00A67EA3"/>
    <w:rsid w:val="00A704A6"/>
    <w:rsid w:val="00A706A2"/>
    <w:rsid w:val="00A70A19"/>
    <w:rsid w:val="00A70D07"/>
    <w:rsid w:val="00A70DFA"/>
    <w:rsid w:val="00A70E5C"/>
    <w:rsid w:val="00A7151C"/>
    <w:rsid w:val="00A71669"/>
    <w:rsid w:val="00A71821"/>
    <w:rsid w:val="00A719F7"/>
    <w:rsid w:val="00A71AF6"/>
    <w:rsid w:val="00A71F81"/>
    <w:rsid w:val="00A7203A"/>
    <w:rsid w:val="00A72213"/>
    <w:rsid w:val="00A723B5"/>
    <w:rsid w:val="00A7263D"/>
    <w:rsid w:val="00A72778"/>
    <w:rsid w:val="00A727A9"/>
    <w:rsid w:val="00A72960"/>
    <w:rsid w:val="00A729C3"/>
    <w:rsid w:val="00A72D8B"/>
    <w:rsid w:val="00A72D8F"/>
    <w:rsid w:val="00A730AC"/>
    <w:rsid w:val="00A7314D"/>
    <w:rsid w:val="00A733E3"/>
    <w:rsid w:val="00A7348E"/>
    <w:rsid w:val="00A74300"/>
    <w:rsid w:val="00A74364"/>
    <w:rsid w:val="00A74883"/>
    <w:rsid w:val="00A748DD"/>
    <w:rsid w:val="00A74A9E"/>
    <w:rsid w:val="00A74D1F"/>
    <w:rsid w:val="00A75959"/>
    <w:rsid w:val="00A75970"/>
    <w:rsid w:val="00A75D56"/>
    <w:rsid w:val="00A76708"/>
    <w:rsid w:val="00A771CE"/>
    <w:rsid w:val="00A7734A"/>
    <w:rsid w:val="00A77865"/>
    <w:rsid w:val="00A77BCD"/>
    <w:rsid w:val="00A77F55"/>
    <w:rsid w:val="00A8024D"/>
    <w:rsid w:val="00A8048E"/>
    <w:rsid w:val="00A80569"/>
    <w:rsid w:val="00A805F3"/>
    <w:rsid w:val="00A80D3F"/>
    <w:rsid w:val="00A80D63"/>
    <w:rsid w:val="00A80E1F"/>
    <w:rsid w:val="00A811C2"/>
    <w:rsid w:val="00A8245C"/>
    <w:rsid w:val="00A825B1"/>
    <w:rsid w:val="00A82895"/>
    <w:rsid w:val="00A8291C"/>
    <w:rsid w:val="00A82ABE"/>
    <w:rsid w:val="00A8333F"/>
    <w:rsid w:val="00A8335A"/>
    <w:rsid w:val="00A8351D"/>
    <w:rsid w:val="00A8376D"/>
    <w:rsid w:val="00A83ED2"/>
    <w:rsid w:val="00A83F15"/>
    <w:rsid w:val="00A84A60"/>
    <w:rsid w:val="00A84B9B"/>
    <w:rsid w:val="00A84BC5"/>
    <w:rsid w:val="00A84EE1"/>
    <w:rsid w:val="00A859BD"/>
    <w:rsid w:val="00A8600F"/>
    <w:rsid w:val="00A863D2"/>
    <w:rsid w:val="00A8662D"/>
    <w:rsid w:val="00A866E9"/>
    <w:rsid w:val="00A86D82"/>
    <w:rsid w:val="00A87049"/>
    <w:rsid w:val="00A8727D"/>
    <w:rsid w:val="00A8796A"/>
    <w:rsid w:val="00A87A9E"/>
    <w:rsid w:val="00A87B0E"/>
    <w:rsid w:val="00A87E92"/>
    <w:rsid w:val="00A87FF5"/>
    <w:rsid w:val="00A90254"/>
    <w:rsid w:val="00A9025B"/>
    <w:rsid w:val="00A90973"/>
    <w:rsid w:val="00A90B7B"/>
    <w:rsid w:val="00A91183"/>
    <w:rsid w:val="00A915AE"/>
    <w:rsid w:val="00A91634"/>
    <w:rsid w:val="00A91943"/>
    <w:rsid w:val="00A91AF9"/>
    <w:rsid w:val="00A91C3D"/>
    <w:rsid w:val="00A91F9A"/>
    <w:rsid w:val="00A92075"/>
    <w:rsid w:val="00A9208B"/>
    <w:rsid w:val="00A92196"/>
    <w:rsid w:val="00A924D0"/>
    <w:rsid w:val="00A92554"/>
    <w:rsid w:val="00A925D6"/>
    <w:rsid w:val="00A9271D"/>
    <w:rsid w:val="00A92835"/>
    <w:rsid w:val="00A92E97"/>
    <w:rsid w:val="00A93120"/>
    <w:rsid w:val="00A931CF"/>
    <w:rsid w:val="00A93323"/>
    <w:rsid w:val="00A93401"/>
    <w:rsid w:val="00A93905"/>
    <w:rsid w:val="00A93A17"/>
    <w:rsid w:val="00A93D23"/>
    <w:rsid w:val="00A93D83"/>
    <w:rsid w:val="00A93EB8"/>
    <w:rsid w:val="00A95449"/>
    <w:rsid w:val="00A95535"/>
    <w:rsid w:val="00A95880"/>
    <w:rsid w:val="00A95CC3"/>
    <w:rsid w:val="00A96133"/>
    <w:rsid w:val="00A9634D"/>
    <w:rsid w:val="00A96597"/>
    <w:rsid w:val="00A967E4"/>
    <w:rsid w:val="00A96AC4"/>
    <w:rsid w:val="00A96E69"/>
    <w:rsid w:val="00A9732E"/>
    <w:rsid w:val="00A97A93"/>
    <w:rsid w:val="00A97D1E"/>
    <w:rsid w:val="00AA0722"/>
    <w:rsid w:val="00AA0795"/>
    <w:rsid w:val="00AA0840"/>
    <w:rsid w:val="00AA08AF"/>
    <w:rsid w:val="00AA08DC"/>
    <w:rsid w:val="00AA0A38"/>
    <w:rsid w:val="00AA0AA8"/>
    <w:rsid w:val="00AA0D45"/>
    <w:rsid w:val="00AA0D52"/>
    <w:rsid w:val="00AA0DE3"/>
    <w:rsid w:val="00AA0F02"/>
    <w:rsid w:val="00AA0F68"/>
    <w:rsid w:val="00AA1165"/>
    <w:rsid w:val="00AA11D0"/>
    <w:rsid w:val="00AA1716"/>
    <w:rsid w:val="00AA189A"/>
    <w:rsid w:val="00AA229E"/>
    <w:rsid w:val="00AA2329"/>
    <w:rsid w:val="00AA2557"/>
    <w:rsid w:val="00AA27E7"/>
    <w:rsid w:val="00AA285E"/>
    <w:rsid w:val="00AA2BAD"/>
    <w:rsid w:val="00AA2CB2"/>
    <w:rsid w:val="00AA31AA"/>
    <w:rsid w:val="00AA370C"/>
    <w:rsid w:val="00AA3B30"/>
    <w:rsid w:val="00AA3DC0"/>
    <w:rsid w:val="00AA3E69"/>
    <w:rsid w:val="00AA3F6F"/>
    <w:rsid w:val="00AA4581"/>
    <w:rsid w:val="00AA45CF"/>
    <w:rsid w:val="00AA4951"/>
    <w:rsid w:val="00AA4EED"/>
    <w:rsid w:val="00AA4F7E"/>
    <w:rsid w:val="00AA4FE8"/>
    <w:rsid w:val="00AA5339"/>
    <w:rsid w:val="00AA5455"/>
    <w:rsid w:val="00AA5457"/>
    <w:rsid w:val="00AA5592"/>
    <w:rsid w:val="00AA607A"/>
    <w:rsid w:val="00AA62D8"/>
    <w:rsid w:val="00AA6500"/>
    <w:rsid w:val="00AA688A"/>
    <w:rsid w:val="00AA6BE7"/>
    <w:rsid w:val="00AA7055"/>
    <w:rsid w:val="00AA7292"/>
    <w:rsid w:val="00AA7807"/>
    <w:rsid w:val="00AA7AE3"/>
    <w:rsid w:val="00AA7D2B"/>
    <w:rsid w:val="00AA7F2F"/>
    <w:rsid w:val="00AB023A"/>
    <w:rsid w:val="00AB039A"/>
    <w:rsid w:val="00AB064A"/>
    <w:rsid w:val="00AB0E73"/>
    <w:rsid w:val="00AB11A8"/>
    <w:rsid w:val="00AB14DD"/>
    <w:rsid w:val="00AB158A"/>
    <w:rsid w:val="00AB2330"/>
    <w:rsid w:val="00AB24BB"/>
    <w:rsid w:val="00AB2570"/>
    <w:rsid w:val="00AB2CE1"/>
    <w:rsid w:val="00AB2D99"/>
    <w:rsid w:val="00AB2F91"/>
    <w:rsid w:val="00AB326F"/>
    <w:rsid w:val="00AB3549"/>
    <w:rsid w:val="00AB3B5D"/>
    <w:rsid w:val="00AB3B6D"/>
    <w:rsid w:val="00AB3DD4"/>
    <w:rsid w:val="00AB3FB8"/>
    <w:rsid w:val="00AB4222"/>
    <w:rsid w:val="00AB4977"/>
    <w:rsid w:val="00AB4B4F"/>
    <w:rsid w:val="00AB4C3D"/>
    <w:rsid w:val="00AB4F4B"/>
    <w:rsid w:val="00AB5229"/>
    <w:rsid w:val="00AB5D73"/>
    <w:rsid w:val="00AB6300"/>
    <w:rsid w:val="00AB633F"/>
    <w:rsid w:val="00AB68EA"/>
    <w:rsid w:val="00AB6B41"/>
    <w:rsid w:val="00AB6BD1"/>
    <w:rsid w:val="00AB6C8E"/>
    <w:rsid w:val="00AB7235"/>
    <w:rsid w:val="00AB73AC"/>
    <w:rsid w:val="00AB75E2"/>
    <w:rsid w:val="00AB76BA"/>
    <w:rsid w:val="00AC0227"/>
    <w:rsid w:val="00AC088C"/>
    <w:rsid w:val="00AC0D3E"/>
    <w:rsid w:val="00AC15D2"/>
    <w:rsid w:val="00AC181E"/>
    <w:rsid w:val="00AC1B18"/>
    <w:rsid w:val="00AC1E1C"/>
    <w:rsid w:val="00AC2238"/>
    <w:rsid w:val="00AC2852"/>
    <w:rsid w:val="00AC2859"/>
    <w:rsid w:val="00AC29DD"/>
    <w:rsid w:val="00AC2BEF"/>
    <w:rsid w:val="00AC2C48"/>
    <w:rsid w:val="00AC30DD"/>
    <w:rsid w:val="00AC3196"/>
    <w:rsid w:val="00AC351F"/>
    <w:rsid w:val="00AC3946"/>
    <w:rsid w:val="00AC3987"/>
    <w:rsid w:val="00AC3DDE"/>
    <w:rsid w:val="00AC4436"/>
    <w:rsid w:val="00AC50A5"/>
    <w:rsid w:val="00AC54A1"/>
    <w:rsid w:val="00AC5A53"/>
    <w:rsid w:val="00AC5FEB"/>
    <w:rsid w:val="00AC6281"/>
    <w:rsid w:val="00AC65A8"/>
    <w:rsid w:val="00AC6656"/>
    <w:rsid w:val="00AC665B"/>
    <w:rsid w:val="00AC67A3"/>
    <w:rsid w:val="00AC783F"/>
    <w:rsid w:val="00AC79F7"/>
    <w:rsid w:val="00AC7D2B"/>
    <w:rsid w:val="00AD001E"/>
    <w:rsid w:val="00AD02C6"/>
    <w:rsid w:val="00AD0778"/>
    <w:rsid w:val="00AD0909"/>
    <w:rsid w:val="00AD0A18"/>
    <w:rsid w:val="00AD0AC4"/>
    <w:rsid w:val="00AD0B9A"/>
    <w:rsid w:val="00AD0D10"/>
    <w:rsid w:val="00AD0D15"/>
    <w:rsid w:val="00AD1173"/>
    <w:rsid w:val="00AD11EC"/>
    <w:rsid w:val="00AD1289"/>
    <w:rsid w:val="00AD1472"/>
    <w:rsid w:val="00AD18AB"/>
    <w:rsid w:val="00AD1B80"/>
    <w:rsid w:val="00AD1D33"/>
    <w:rsid w:val="00AD2031"/>
    <w:rsid w:val="00AD21EB"/>
    <w:rsid w:val="00AD2220"/>
    <w:rsid w:val="00AD25AA"/>
    <w:rsid w:val="00AD25D8"/>
    <w:rsid w:val="00AD2C1B"/>
    <w:rsid w:val="00AD36ED"/>
    <w:rsid w:val="00AD3977"/>
    <w:rsid w:val="00AD44A2"/>
    <w:rsid w:val="00AD451B"/>
    <w:rsid w:val="00AD4AD5"/>
    <w:rsid w:val="00AD4D64"/>
    <w:rsid w:val="00AD4DBF"/>
    <w:rsid w:val="00AD4F60"/>
    <w:rsid w:val="00AD570C"/>
    <w:rsid w:val="00AD571C"/>
    <w:rsid w:val="00AD57BE"/>
    <w:rsid w:val="00AD589D"/>
    <w:rsid w:val="00AD59A5"/>
    <w:rsid w:val="00AD6139"/>
    <w:rsid w:val="00AD66C2"/>
    <w:rsid w:val="00AD6A9E"/>
    <w:rsid w:val="00AD6AE7"/>
    <w:rsid w:val="00AD6C4D"/>
    <w:rsid w:val="00AD6E62"/>
    <w:rsid w:val="00AD7020"/>
    <w:rsid w:val="00AD73A1"/>
    <w:rsid w:val="00AD78E0"/>
    <w:rsid w:val="00AD78F0"/>
    <w:rsid w:val="00AD795E"/>
    <w:rsid w:val="00AD7AC2"/>
    <w:rsid w:val="00AD7D96"/>
    <w:rsid w:val="00AE060C"/>
    <w:rsid w:val="00AE09C0"/>
    <w:rsid w:val="00AE0C38"/>
    <w:rsid w:val="00AE0EF4"/>
    <w:rsid w:val="00AE0F49"/>
    <w:rsid w:val="00AE183D"/>
    <w:rsid w:val="00AE1BE0"/>
    <w:rsid w:val="00AE1D4E"/>
    <w:rsid w:val="00AE1E97"/>
    <w:rsid w:val="00AE2289"/>
    <w:rsid w:val="00AE243B"/>
    <w:rsid w:val="00AE295B"/>
    <w:rsid w:val="00AE2A1E"/>
    <w:rsid w:val="00AE2D7C"/>
    <w:rsid w:val="00AE2D84"/>
    <w:rsid w:val="00AE2F90"/>
    <w:rsid w:val="00AE37FB"/>
    <w:rsid w:val="00AE3C16"/>
    <w:rsid w:val="00AE415B"/>
    <w:rsid w:val="00AE431B"/>
    <w:rsid w:val="00AE467E"/>
    <w:rsid w:val="00AE4806"/>
    <w:rsid w:val="00AE4978"/>
    <w:rsid w:val="00AE4B9C"/>
    <w:rsid w:val="00AE4F22"/>
    <w:rsid w:val="00AE50AE"/>
    <w:rsid w:val="00AE5566"/>
    <w:rsid w:val="00AE55BC"/>
    <w:rsid w:val="00AE5711"/>
    <w:rsid w:val="00AE5785"/>
    <w:rsid w:val="00AE5F40"/>
    <w:rsid w:val="00AE6A5E"/>
    <w:rsid w:val="00AE6A8C"/>
    <w:rsid w:val="00AE6E06"/>
    <w:rsid w:val="00AE718E"/>
    <w:rsid w:val="00AE7194"/>
    <w:rsid w:val="00AE787F"/>
    <w:rsid w:val="00AE7A77"/>
    <w:rsid w:val="00AE7BE6"/>
    <w:rsid w:val="00AF0149"/>
    <w:rsid w:val="00AF03B6"/>
    <w:rsid w:val="00AF0513"/>
    <w:rsid w:val="00AF0891"/>
    <w:rsid w:val="00AF0976"/>
    <w:rsid w:val="00AF0B94"/>
    <w:rsid w:val="00AF0C56"/>
    <w:rsid w:val="00AF11E0"/>
    <w:rsid w:val="00AF1262"/>
    <w:rsid w:val="00AF18CF"/>
    <w:rsid w:val="00AF1CB4"/>
    <w:rsid w:val="00AF1D9E"/>
    <w:rsid w:val="00AF1F1E"/>
    <w:rsid w:val="00AF2021"/>
    <w:rsid w:val="00AF20FD"/>
    <w:rsid w:val="00AF21BE"/>
    <w:rsid w:val="00AF220D"/>
    <w:rsid w:val="00AF2238"/>
    <w:rsid w:val="00AF22BF"/>
    <w:rsid w:val="00AF237C"/>
    <w:rsid w:val="00AF246E"/>
    <w:rsid w:val="00AF2CF2"/>
    <w:rsid w:val="00AF30D7"/>
    <w:rsid w:val="00AF34B8"/>
    <w:rsid w:val="00AF355E"/>
    <w:rsid w:val="00AF38DD"/>
    <w:rsid w:val="00AF3B65"/>
    <w:rsid w:val="00AF3ED9"/>
    <w:rsid w:val="00AF4488"/>
    <w:rsid w:val="00AF47C2"/>
    <w:rsid w:val="00AF4CCB"/>
    <w:rsid w:val="00AF5027"/>
    <w:rsid w:val="00AF506D"/>
    <w:rsid w:val="00AF528C"/>
    <w:rsid w:val="00AF52FB"/>
    <w:rsid w:val="00AF532F"/>
    <w:rsid w:val="00AF5E2A"/>
    <w:rsid w:val="00AF65AF"/>
    <w:rsid w:val="00AF675B"/>
    <w:rsid w:val="00AF69EE"/>
    <w:rsid w:val="00AF6D72"/>
    <w:rsid w:val="00AF71D4"/>
    <w:rsid w:val="00AF7565"/>
    <w:rsid w:val="00AF7856"/>
    <w:rsid w:val="00B00049"/>
    <w:rsid w:val="00B003CB"/>
    <w:rsid w:val="00B0047E"/>
    <w:rsid w:val="00B00A03"/>
    <w:rsid w:val="00B00BD1"/>
    <w:rsid w:val="00B00C95"/>
    <w:rsid w:val="00B0169C"/>
    <w:rsid w:val="00B0176D"/>
    <w:rsid w:val="00B0180A"/>
    <w:rsid w:val="00B01872"/>
    <w:rsid w:val="00B01967"/>
    <w:rsid w:val="00B0198C"/>
    <w:rsid w:val="00B01C6D"/>
    <w:rsid w:val="00B01E4F"/>
    <w:rsid w:val="00B01F6A"/>
    <w:rsid w:val="00B01F85"/>
    <w:rsid w:val="00B02154"/>
    <w:rsid w:val="00B02322"/>
    <w:rsid w:val="00B0255A"/>
    <w:rsid w:val="00B025EF"/>
    <w:rsid w:val="00B02AE6"/>
    <w:rsid w:val="00B0319E"/>
    <w:rsid w:val="00B0327A"/>
    <w:rsid w:val="00B03B2E"/>
    <w:rsid w:val="00B03D5D"/>
    <w:rsid w:val="00B03DD6"/>
    <w:rsid w:val="00B03E52"/>
    <w:rsid w:val="00B042A4"/>
    <w:rsid w:val="00B04364"/>
    <w:rsid w:val="00B04954"/>
    <w:rsid w:val="00B04AC5"/>
    <w:rsid w:val="00B04BA1"/>
    <w:rsid w:val="00B04BE3"/>
    <w:rsid w:val="00B04F7C"/>
    <w:rsid w:val="00B05033"/>
    <w:rsid w:val="00B051A2"/>
    <w:rsid w:val="00B0534F"/>
    <w:rsid w:val="00B05727"/>
    <w:rsid w:val="00B05A36"/>
    <w:rsid w:val="00B05B6A"/>
    <w:rsid w:val="00B05E48"/>
    <w:rsid w:val="00B05FCD"/>
    <w:rsid w:val="00B060A5"/>
    <w:rsid w:val="00B065FD"/>
    <w:rsid w:val="00B06650"/>
    <w:rsid w:val="00B06908"/>
    <w:rsid w:val="00B06AE1"/>
    <w:rsid w:val="00B06DDB"/>
    <w:rsid w:val="00B06DEB"/>
    <w:rsid w:val="00B0729A"/>
    <w:rsid w:val="00B073DA"/>
    <w:rsid w:val="00B0761F"/>
    <w:rsid w:val="00B07B62"/>
    <w:rsid w:val="00B07C23"/>
    <w:rsid w:val="00B07CDC"/>
    <w:rsid w:val="00B10A0F"/>
    <w:rsid w:val="00B10BF3"/>
    <w:rsid w:val="00B10CD0"/>
    <w:rsid w:val="00B10FF9"/>
    <w:rsid w:val="00B110D2"/>
    <w:rsid w:val="00B112FB"/>
    <w:rsid w:val="00B113BB"/>
    <w:rsid w:val="00B118DA"/>
    <w:rsid w:val="00B11957"/>
    <w:rsid w:val="00B11F7F"/>
    <w:rsid w:val="00B11F98"/>
    <w:rsid w:val="00B1206B"/>
    <w:rsid w:val="00B12331"/>
    <w:rsid w:val="00B12742"/>
    <w:rsid w:val="00B12AD6"/>
    <w:rsid w:val="00B12D9F"/>
    <w:rsid w:val="00B12DDB"/>
    <w:rsid w:val="00B12F9E"/>
    <w:rsid w:val="00B137B6"/>
    <w:rsid w:val="00B1380A"/>
    <w:rsid w:val="00B1408A"/>
    <w:rsid w:val="00B14101"/>
    <w:rsid w:val="00B142BD"/>
    <w:rsid w:val="00B14332"/>
    <w:rsid w:val="00B1443D"/>
    <w:rsid w:val="00B1453E"/>
    <w:rsid w:val="00B145D2"/>
    <w:rsid w:val="00B14A83"/>
    <w:rsid w:val="00B14F79"/>
    <w:rsid w:val="00B1517C"/>
    <w:rsid w:val="00B15383"/>
    <w:rsid w:val="00B15445"/>
    <w:rsid w:val="00B15463"/>
    <w:rsid w:val="00B1547E"/>
    <w:rsid w:val="00B159BA"/>
    <w:rsid w:val="00B15AF9"/>
    <w:rsid w:val="00B165A0"/>
    <w:rsid w:val="00B166DE"/>
    <w:rsid w:val="00B168C7"/>
    <w:rsid w:val="00B16AAA"/>
    <w:rsid w:val="00B16F01"/>
    <w:rsid w:val="00B177CC"/>
    <w:rsid w:val="00B17B9D"/>
    <w:rsid w:val="00B20135"/>
    <w:rsid w:val="00B20304"/>
    <w:rsid w:val="00B20547"/>
    <w:rsid w:val="00B20CAB"/>
    <w:rsid w:val="00B2121C"/>
    <w:rsid w:val="00B2167D"/>
    <w:rsid w:val="00B2171C"/>
    <w:rsid w:val="00B217DA"/>
    <w:rsid w:val="00B22185"/>
    <w:rsid w:val="00B22CBF"/>
    <w:rsid w:val="00B22EDA"/>
    <w:rsid w:val="00B2326A"/>
    <w:rsid w:val="00B2356F"/>
    <w:rsid w:val="00B23B15"/>
    <w:rsid w:val="00B23C64"/>
    <w:rsid w:val="00B23D56"/>
    <w:rsid w:val="00B24179"/>
    <w:rsid w:val="00B24322"/>
    <w:rsid w:val="00B24325"/>
    <w:rsid w:val="00B24740"/>
    <w:rsid w:val="00B24877"/>
    <w:rsid w:val="00B24969"/>
    <w:rsid w:val="00B24A2E"/>
    <w:rsid w:val="00B2535D"/>
    <w:rsid w:val="00B257BC"/>
    <w:rsid w:val="00B25C40"/>
    <w:rsid w:val="00B25D81"/>
    <w:rsid w:val="00B25DFC"/>
    <w:rsid w:val="00B25E8A"/>
    <w:rsid w:val="00B25EB0"/>
    <w:rsid w:val="00B26598"/>
    <w:rsid w:val="00B26636"/>
    <w:rsid w:val="00B266A1"/>
    <w:rsid w:val="00B268CE"/>
    <w:rsid w:val="00B26CE3"/>
    <w:rsid w:val="00B26ED4"/>
    <w:rsid w:val="00B27108"/>
    <w:rsid w:val="00B276C6"/>
    <w:rsid w:val="00B27706"/>
    <w:rsid w:val="00B27A12"/>
    <w:rsid w:val="00B27AA1"/>
    <w:rsid w:val="00B30233"/>
    <w:rsid w:val="00B30868"/>
    <w:rsid w:val="00B309CF"/>
    <w:rsid w:val="00B30D2B"/>
    <w:rsid w:val="00B30E8F"/>
    <w:rsid w:val="00B310A3"/>
    <w:rsid w:val="00B3124D"/>
    <w:rsid w:val="00B3148D"/>
    <w:rsid w:val="00B314EB"/>
    <w:rsid w:val="00B31507"/>
    <w:rsid w:val="00B328BC"/>
    <w:rsid w:val="00B32BEE"/>
    <w:rsid w:val="00B330C6"/>
    <w:rsid w:val="00B33687"/>
    <w:rsid w:val="00B33B4C"/>
    <w:rsid w:val="00B33ECD"/>
    <w:rsid w:val="00B340E1"/>
    <w:rsid w:val="00B3414F"/>
    <w:rsid w:val="00B34692"/>
    <w:rsid w:val="00B3503E"/>
    <w:rsid w:val="00B35617"/>
    <w:rsid w:val="00B3568C"/>
    <w:rsid w:val="00B3583B"/>
    <w:rsid w:val="00B35B8E"/>
    <w:rsid w:val="00B35F24"/>
    <w:rsid w:val="00B3626A"/>
    <w:rsid w:val="00B36838"/>
    <w:rsid w:val="00B36A4C"/>
    <w:rsid w:val="00B36ABA"/>
    <w:rsid w:val="00B36B40"/>
    <w:rsid w:val="00B36C3E"/>
    <w:rsid w:val="00B37239"/>
    <w:rsid w:val="00B37A8F"/>
    <w:rsid w:val="00B37B66"/>
    <w:rsid w:val="00B40470"/>
    <w:rsid w:val="00B405D4"/>
    <w:rsid w:val="00B4063A"/>
    <w:rsid w:val="00B413AE"/>
    <w:rsid w:val="00B41DFF"/>
    <w:rsid w:val="00B41E6F"/>
    <w:rsid w:val="00B423B9"/>
    <w:rsid w:val="00B425F3"/>
    <w:rsid w:val="00B42821"/>
    <w:rsid w:val="00B42973"/>
    <w:rsid w:val="00B43960"/>
    <w:rsid w:val="00B43A70"/>
    <w:rsid w:val="00B43E79"/>
    <w:rsid w:val="00B43F88"/>
    <w:rsid w:val="00B444D7"/>
    <w:rsid w:val="00B44704"/>
    <w:rsid w:val="00B44EFD"/>
    <w:rsid w:val="00B44EFE"/>
    <w:rsid w:val="00B454C4"/>
    <w:rsid w:val="00B45513"/>
    <w:rsid w:val="00B455DE"/>
    <w:rsid w:val="00B457ED"/>
    <w:rsid w:val="00B45841"/>
    <w:rsid w:val="00B45C03"/>
    <w:rsid w:val="00B45D6D"/>
    <w:rsid w:val="00B46501"/>
    <w:rsid w:val="00B4655B"/>
    <w:rsid w:val="00B46849"/>
    <w:rsid w:val="00B46DD2"/>
    <w:rsid w:val="00B46FFF"/>
    <w:rsid w:val="00B472A5"/>
    <w:rsid w:val="00B473E1"/>
    <w:rsid w:val="00B473EA"/>
    <w:rsid w:val="00B47774"/>
    <w:rsid w:val="00B47A23"/>
    <w:rsid w:val="00B47AEF"/>
    <w:rsid w:val="00B506BF"/>
    <w:rsid w:val="00B50A7C"/>
    <w:rsid w:val="00B50BDE"/>
    <w:rsid w:val="00B51209"/>
    <w:rsid w:val="00B51887"/>
    <w:rsid w:val="00B51907"/>
    <w:rsid w:val="00B51A37"/>
    <w:rsid w:val="00B51ABF"/>
    <w:rsid w:val="00B51CA5"/>
    <w:rsid w:val="00B51D6C"/>
    <w:rsid w:val="00B51D9A"/>
    <w:rsid w:val="00B520E4"/>
    <w:rsid w:val="00B52A61"/>
    <w:rsid w:val="00B52B97"/>
    <w:rsid w:val="00B52BC2"/>
    <w:rsid w:val="00B52D5F"/>
    <w:rsid w:val="00B53790"/>
    <w:rsid w:val="00B53A0F"/>
    <w:rsid w:val="00B53DEE"/>
    <w:rsid w:val="00B543CE"/>
    <w:rsid w:val="00B54B2F"/>
    <w:rsid w:val="00B54BFD"/>
    <w:rsid w:val="00B550F0"/>
    <w:rsid w:val="00B55173"/>
    <w:rsid w:val="00B55460"/>
    <w:rsid w:val="00B55588"/>
    <w:rsid w:val="00B55656"/>
    <w:rsid w:val="00B55908"/>
    <w:rsid w:val="00B5605B"/>
    <w:rsid w:val="00B56086"/>
    <w:rsid w:val="00B5617F"/>
    <w:rsid w:val="00B56457"/>
    <w:rsid w:val="00B5650E"/>
    <w:rsid w:val="00B56641"/>
    <w:rsid w:val="00B5681B"/>
    <w:rsid w:val="00B56BB3"/>
    <w:rsid w:val="00B56CA9"/>
    <w:rsid w:val="00B5707E"/>
    <w:rsid w:val="00B57320"/>
    <w:rsid w:val="00B578B4"/>
    <w:rsid w:val="00B57D4A"/>
    <w:rsid w:val="00B57F4C"/>
    <w:rsid w:val="00B57FD7"/>
    <w:rsid w:val="00B60007"/>
    <w:rsid w:val="00B600E1"/>
    <w:rsid w:val="00B601FC"/>
    <w:rsid w:val="00B60CC1"/>
    <w:rsid w:val="00B6117E"/>
    <w:rsid w:val="00B61563"/>
    <w:rsid w:val="00B61977"/>
    <w:rsid w:val="00B61CB3"/>
    <w:rsid w:val="00B61E02"/>
    <w:rsid w:val="00B61E66"/>
    <w:rsid w:val="00B61F9D"/>
    <w:rsid w:val="00B626A1"/>
    <w:rsid w:val="00B62FF7"/>
    <w:rsid w:val="00B6334F"/>
    <w:rsid w:val="00B63EA3"/>
    <w:rsid w:val="00B63FF9"/>
    <w:rsid w:val="00B647BD"/>
    <w:rsid w:val="00B6498E"/>
    <w:rsid w:val="00B64A26"/>
    <w:rsid w:val="00B64FE7"/>
    <w:rsid w:val="00B65064"/>
    <w:rsid w:val="00B6514A"/>
    <w:rsid w:val="00B6521A"/>
    <w:rsid w:val="00B65347"/>
    <w:rsid w:val="00B65661"/>
    <w:rsid w:val="00B65778"/>
    <w:rsid w:val="00B65C04"/>
    <w:rsid w:val="00B66592"/>
    <w:rsid w:val="00B66673"/>
    <w:rsid w:val="00B66A47"/>
    <w:rsid w:val="00B66B8F"/>
    <w:rsid w:val="00B671BE"/>
    <w:rsid w:val="00B6784A"/>
    <w:rsid w:val="00B67FD5"/>
    <w:rsid w:val="00B70084"/>
    <w:rsid w:val="00B70268"/>
    <w:rsid w:val="00B70677"/>
    <w:rsid w:val="00B70884"/>
    <w:rsid w:val="00B709A5"/>
    <w:rsid w:val="00B70B48"/>
    <w:rsid w:val="00B70B76"/>
    <w:rsid w:val="00B70B8E"/>
    <w:rsid w:val="00B713C2"/>
    <w:rsid w:val="00B71A95"/>
    <w:rsid w:val="00B71F60"/>
    <w:rsid w:val="00B71FCD"/>
    <w:rsid w:val="00B72310"/>
    <w:rsid w:val="00B7240F"/>
    <w:rsid w:val="00B7280E"/>
    <w:rsid w:val="00B729EA"/>
    <w:rsid w:val="00B72AC2"/>
    <w:rsid w:val="00B72B89"/>
    <w:rsid w:val="00B72BF7"/>
    <w:rsid w:val="00B72C83"/>
    <w:rsid w:val="00B72D38"/>
    <w:rsid w:val="00B730C3"/>
    <w:rsid w:val="00B732AD"/>
    <w:rsid w:val="00B735B5"/>
    <w:rsid w:val="00B738E5"/>
    <w:rsid w:val="00B73DD3"/>
    <w:rsid w:val="00B73F7E"/>
    <w:rsid w:val="00B74711"/>
    <w:rsid w:val="00B74AE3"/>
    <w:rsid w:val="00B74DBA"/>
    <w:rsid w:val="00B7518E"/>
    <w:rsid w:val="00B757AC"/>
    <w:rsid w:val="00B75AE3"/>
    <w:rsid w:val="00B75C80"/>
    <w:rsid w:val="00B76897"/>
    <w:rsid w:val="00B768A8"/>
    <w:rsid w:val="00B7695A"/>
    <w:rsid w:val="00B76D93"/>
    <w:rsid w:val="00B771D8"/>
    <w:rsid w:val="00B77255"/>
    <w:rsid w:val="00B7750C"/>
    <w:rsid w:val="00B77691"/>
    <w:rsid w:val="00B77BA1"/>
    <w:rsid w:val="00B77C69"/>
    <w:rsid w:val="00B8009C"/>
    <w:rsid w:val="00B800F4"/>
    <w:rsid w:val="00B80428"/>
    <w:rsid w:val="00B80E17"/>
    <w:rsid w:val="00B80FA8"/>
    <w:rsid w:val="00B81218"/>
    <w:rsid w:val="00B8124B"/>
    <w:rsid w:val="00B812A6"/>
    <w:rsid w:val="00B8143F"/>
    <w:rsid w:val="00B818ED"/>
    <w:rsid w:val="00B81E41"/>
    <w:rsid w:val="00B82870"/>
    <w:rsid w:val="00B82A86"/>
    <w:rsid w:val="00B82C7E"/>
    <w:rsid w:val="00B83029"/>
    <w:rsid w:val="00B836B2"/>
    <w:rsid w:val="00B83734"/>
    <w:rsid w:val="00B83EAE"/>
    <w:rsid w:val="00B847A9"/>
    <w:rsid w:val="00B84D8D"/>
    <w:rsid w:val="00B85290"/>
    <w:rsid w:val="00B853E0"/>
    <w:rsid w:val="00B8556F"/>
    <w:rsid w:val="00B857CC"/>
    <w:rsid w:val="00B858FB"/>
    <w:rsid w:val="00B85C68"/>
    <w:rsid w:val="00B8622A"/>
    <w:rsid w:val="00B8622E"/>
    <w:rsid w:val="00B863F3"/>
    <w:rsid w:val="00B86B59"/>
    <w:rsid w:val="00B86FE3"/>
    <w:rsid w:val="00B8710A"/>
    <w:rsid w:val="00B871BF"/>
    <w:rsid w:val="00B87856"/>
    <w:rsid w:val="00B87927"/>
    <w:rsid w:val="00B9095A"/>
    <w:rsid w:val="00B90CEB"/>
    <w:rsid w:val="00B912D1"/>
    <w:rsid w:val="00B9160D"/>
    <w:rsid w:val="00B919EA"/>
    <w:rsid w:val="00B91A60"/>
    <w:rsid w:val="00B91EDC"/>
    <w:rsid w:val="00B91FF7"/>
    <w:rsid w:val="00B9206E"/>
    <w:rsid w:val="00B9239F"/>
    <w:rsid w:val="00B925D0"/>
    <w:rsid w:val="00B926B4"/>
    <w:rsid w:val="00B92964"/>
    <w:rsid w:val="00B92B4F"/>
    <w:rsid w:val="00B92C6C"/>
    <w:rsid w:val="00B92FBB"/>
    <w:rsid w:val="00B93864"/>
    <w:rsid w:val="00B93A6C"/>
    <w:rsid w:val="00B93D45"/>
    <w:rsid w:val="00B93F87"/>
    <w:rsid w:val="00B93FF5"/>
    <w:rsid w:val="00B94162"/>
    <w:rsid w:val="00B94650"/>
    <w:rsid w:val="00B946F5"/>
    <w:rsid w:val="00B94A87"/>
    <w:rsid w:val="00B94EBB"/>
    <w:rsid w:val="00B956AF"/>
    <w:rsid w:val="00B956FB"/>
    <w:rsid w:val="00B95FFF"/>
    <w:rsid w:val="00B961E0"/>
    <w:rsid w:val="00B96345"/>
    <w:rsid w:val="00B968D0"/>
    <w:rsid w:val="00B971B9"/>
    <w:rsid w:val="00B975FD"/>
    <w:rsid w:val="00B97807"/>
    <w:rsid w:val="00B9780B"/>
    <w:rsid w:val="00B97969"/>
    <w:rsid w:val="00B97A2E"/>
    <w:rsid w:val="00B97D0B"/>
    <w:rsid w:val="00B97D5C"/>
    <w:rsid w:val="00B97EB7"/>
    <w:rsid w:val="00B97F33"/>
    <w:rsid w:val="00BA03E5"/>
    <w:rsid w:val="00BA04CE"/>
    <w:rsid w:val="00BA06C8"/>
    <w:rsid w:val="00BA0756"/>
    <w:rsid w:val="00BA08B4"/>
    <w:rsid w:val="00BA09FC"/>
    <w:rsid w:val="00BA0A0A"/>
    <w:rsid w:val="00BA0AA9"/>
    <w:rsid w:val="00BA0BF3"/>
    <w:rsid w:val="00BA0BF4"/>
    <w:rsid w:val="00BA0D37"/>
    <w:rsid w:val="00BA14C8"/>
    <w:rsid w:val="00BA14E9"/>
    <w:rsid w:val="00BA1530"/>
    <w:rsid w:val="00BA1589"/>
    <w:rsid w:val="00BA1627"/>
    <w:rsid w:val="00BA1B5B"/>
    <w:rsid w:val="00BA1C69"/>
    <w:rsid w:val="00BA1C6A"/>
    <w:rsid w:val="00BA1C95"/>
    <w:rsid w:val="00BA1FAD"/>
    <w:rsid w:val="00BA2243"/>
    <w:rsid w:val="00BA25CA"/>
    <w:rsid w:val="00BA2BB4"/>
    <w:rsid w:val="00BA2D32"/>
    <w:rsid w:val="00BA30FA"/>
    <w:rsid w:val="00BA339B"/>
    <w:rsid w:val="00BA347E"/>
    <w:rsid w:val="00BA3669"/>
    <w:rsid w:val="00BA36D9"/>
    <w:rsid w:val="00BA4016"/>
    <w:rsid w:val="00BA421B"/>
    <w:rsid w:val="00BA446C"/>
    <w:rsid w:val="00BA4AB0"/>
    <w:rsid w:val="00BA4E2D"/>
    <w:rsid w:val="00BA521F"/>
    <w:rsid w:val="00BA53FD"/>
    <w:rsid w:val="00BA5574"/>
    <w:rsid w:val="00BA569A"/>
    <w:rsid w:val="00BA5751"/>
    <w:rsid w:val="00BA5AFD"/>
    <w:rsid w:val="00BA5B2B"/>
    <w:rsid w:val="00BA5CE3"/>
    <w:rsid w:val="00BA5E66"/>
    <w:rsid w:val="00BA5F9D"/>
    <w:rsid w:val="00BA61D8"/>
    <w:rsid w:val="00BA6452"/>
    <w:rsid w:val="00BA65FE"/>
    <w:rsid w:val="00BA679F"/>
    <w:rsid w:val="00BA6897"/>
    <w:rsid w:val="00BA6BCD"/>
    <w:rsid w:val="00BA70BC"/>
    <w:rsid w:val="00BA7AF3"/>
    <w:rsid w:val="00BA7D61"/>
    <w:rsid w:val="00BA7DBE"/>
    <w:rsid w:val="00BA7DC5"/>
    <w:rsid w:val="00BA7E34"/>
    <w:rsid w:val="00BA7F21"/>
    <w:rsid w:val="00BB0646"/>
    <w:rsid w:val="00BB08CC"/>
    <w:rsid w:val="00BB0965"/>
    <w:rsid w:val="00BB0F46"/>
    <w:rsid w:val="00BB11E6"/>
    <w:rsid w:val="00BB1C93"/>
    <w:rsid w:val="00BB1D9D"/>
    <w:rsid w:val="00BB1E35"/>
    <w:rsid w:val="00BB2329"/>
    <w:rsid w:val="00BB278C"/>
    <w:rsid w:val="00BB2849"/>
    <w:rsid w:val="00BB29E4"/>
    <w:rsid w:val="00BB2C00"/>
    <w:rsid w:val="00BB2D55"/>
    <w:rsid w:val="00BB361E"/>
    <w:rsid w:val="00BB3F40"/>
    <w:rsid w:val="00BB468C"/>
    <w:rsid w:val="00BB46EF"/>
    <w:rsid w:val="00BB48F2"/>
    <w:rsid w:val="00BB4C91"/>
    <w:rsid w:val="00BB4DF0"/>
    <w:rsid w:val="00BB4E71"/>
    <w:rsid w:val="00BB5BE4"/>
    <w:rsid w:val="00BB5C10"/>
    <w:rsid w:val="00BB60AE"/>
    <w:rsid w:val="00BB637B"/>
    <w:rsid w:val="00BB6621"/>
    <w:rsid w:val="00BB66F2"/>
    <w:rsid w:val="00BB6E4C"/>
    <w:rsid w:val="00BB6EC8"/>
    <w:rsid w:val="00BB7B49"/>
    <w:rsid w:val="00BC0398"/>
    <w:rsid w:val="00BC0B04"/>
    <w:rsid w:val="00BC0E8F"/>
    <w:rsid w:val="00BC12DF"/>
    <w:rsid w:val="00BC140F"/>
    <w:rsid w:val="00BC1636"/>
    <w:rsid w:val="00BC18D9"/>
    <w:rsid w:val="00BC1904"/>
    <w:rsid w:val="00BC231B"/>
    <w:rsid w:val="00BC2517"/>
    <w:rsid w:val="00BC27D7"/>
    <w:rsid w:val="00BC29A7"/>
    <w:rsid w:val="00BC366A"/>
    <w:rsid w:val="00BC384A"/>
    <w:rsid w:val="00BC3FF8"/>
    <w:rsid w:val="00BC4046"/>
    <w:rsid w:val="00BC40F8"/>
    <w:rsid w:val="00BC4753"/>
    <w:rsid w:val="00BC4BAC"/>
    <w:rsid w:val="00BC4CE0"/>
    <w:rsid w:val="00BC5019"/>
    <w:rsid w:val="00BC536A"/>
    <w:rsid w:val="00BC5872"/>
    <w:rsid w:val="00BC5AAC"/>
    <w:rsid w:val="00BC5B2F"/>
    <w:rsid w:val="00BC5BE0"/>
    <w:rsid w:val="00BC5CCB"/>
    <w:rsid w:val="00BC5E75"/>
    <w:rsid w:val="00BC61A8"/>
    <w:rsid w:val="00BC6386"/>
    <w:rsid w:val="00BC7032"/>
    <w:rsid w:val="00BC72F2"/>
    <w:rsid w:val="00BC742B"/>
    <w:rsid w:val="00BC7959"/>
    <w:rsid w:val="00BC7A70"/>
    <w:rsid w:val="00BC7E30"/>
    <w:rsid w:val="00BD0362"/>
    <w:rsid w:val="00BD04C1"/>
    <w:rsid w:val="00BD0676"/>
    <w:rsid w:val="00BD06B2"/>
    <w:rsid w:val="00BD076A"/>
    <w:rsid w:val="00BD0845"/>
    <w:rsid w:val="00BD095B"/>
    <w:rsid w:val="00BD097E"/>
    <w:rsid w:val="00BD0C75"/>
    <w:rsid w:val="00BD16C3"/>
    <w:rsid w:val="00BD1A08"/>
    <w:rsid w:val="00BD1C29"/>
    <w:rsid w:val="00BD1D25"/>
    <w:rsid w:val="00BD26AA"/>
    <w:rsid w:val="00BD28A9"/>
    <w:rsid w:val="00BD28BD"/>
    <w:rsid w:val="00BD2BCB"/>
    <w:rsid w:val="00BD302A"/>
    <w:rsid w:val="00BD3920"/>
    <w:rsid w:val="00BD3933"/>
    <w:rsid w:val="00BD3A47"/>
    <w:rsid w:val="00BD3B84"/>
    <w:rsid w:val="00BD435B"/>
    <w:rsid w:val="00BD4387"/>
    <w:rsid w:val="00BD450B"/>
    <w:rsid w:val="00BD454F"/>
    <w:rsid w:val="00BD491F"/>
    <w:rsid w:val="00BD4AF7"/>
    <w:rsid w:val="00BD4D03"/>
    <w:rsid w:val="00BD53B9"/>
    <w:rsid w:val="00BD573C"/>
    <w:rsid w:val="00BD58A6"/>
    <w:rsid w:val="00BD63E9"/>
    <w:rsid w:val="00BD666E"/>
    <w:rsid w:val="00BD68F5"/>
    <w:rsid w:val="00BD68FB"/>
    <w:rsid w:val="00BD6A97"/>
    <w:rsid w:val="00BD7053"/>
    <w:rsid w:val="00BD7086"/>
    <w:rsid w:val="00BD7D92"/>
    <w:rsid w:val="00BD7EF5"/>
    <w:rsid w:val="00BE005E"/>
    <w:rsid w:val="00BE04AB"/>
    <w:rsid w:val="00BE0694"/>
    <w:rsid w:val="00BE06B0"/>
    <w:rsid w:val="00BE08ED"/>
    <w:rsid w:val="00BE0AB6"/>
    <w:rsid w:val="00BE0BBD"/>
    <w:rsid w:val="00BE0DCF"/>
    <w:rsid w:val="00BE0ECA"/>
    <w:rsid w:val="00BE0F78"/>
    <w:rsid w:val="00BE12BE"/>
    <w:rsid w:val="00BE1463"/>
    <w:rsid w:val="00BE17E7"/>
    <w:rsid w:val="00BE2179"/>
    <w:rsid w:val="00BE2304"/>
    <w:rsid w:val="00BE2B8D"/>
    <w:rsid w:val="00BE2FE6"/>
    <w:rsid w:val="00BE33E9"/>
    <w:rsid w:val="00BE34D2"/>
    <w:rsid w:val="00BE35DC"/>
    <w:rsid w:val="00BE3AA1"/>
    <w:rsid w:val="00BE3BBF"/>
    <w:rsid w:val="00BE3CD0"/>
    <w:rsid w:val="00BE3D0A"/>
    <w:rsid w:val="00BE3E3C"/>
    <w:rsid w:val="00BE429E"/>
    <w:rsid w:val="00BE480D"/>
    <w:rsid w:val="00BE4A7B"/>
    <w:rsid w:val="00BE4B00"/>
    <w:rsid w:val="00BE5529"/>
    <w:rsid w:val="00BE55B3"/>
    <w:rsid w:val="00BE55D7"/>
    <w:rsid w:val="00BE5A17"/>
    <w:rsid w:val="00BE6549"/>
    <w:rsid w:val="00BE694F"/>
    <w:rsid w:val="00BE69EE"/>
    <w:rsid w:val="00BE6A4C"/>
    <w:rsid w:val="00BE6D76"/>
    <w:rsid w:val="00BE768F"/>
    <w:rsid w:val="00BF027A"/>
    <w:rsid w:val="00BF044F"/>
    <w:rsid w:val="00BF073D"/>
    <w:rsid w:val="00BF0855"/>
    <w:rsid w:val="00BF0A3D"/>
    <w:rsid w:val="00BF0B0A"/>
    <w:rsid w:val="00BF0C1B"/>
    <w:rsid w:val="00BF0FFB"/>
    <w:rsid w:val="00BF148E"/>
    <w:rsid w:val="00BF1D57"/>
    <w:rsid w:val="00BF1EA0"/>
    <w:rsid w:val="00BF2425"/>
    <w:rsid w:val="00BF24E9"/>
    <w:rsid w:val="00BF2509"/>
    <w:rsid w:val="00BF253E"/>
    <w:rsid w:val="00BF2648"/>
    <w:rsid w:val="00BF27EB"/>
    <w:rsid w:val="00BF2F2D"/>
    <w:rsid w:val="00BF30E0"/>
    <w:rsid w:val="00BF361C"/>
    <w:rsid w:val="00BF397F"/>
    <w:rsid w:val="00BF3B22"/>
    <w:rsid w:val="00BF3B7E"/>
    <w:rsid w:val="00BF4073"/>
    <w:rsid w:val="00BF46BA"/>
    <w:rsid w:val="00BF4B42"/>
    <w:rsid w:val="00BF4E06"/>
    <w:rsid w:val="00BF5153"/>
    <w:rsid w:val="00BF561F"/>
    <w:rsid w:val="00BF57F8"/>
    <w:rsid w:val="00BF5A45"/>
    <w:rsid w:val="00BF5C64"/>
    <w:rsid w:val="00BF657C"/>
    <w:rsid w:val="00BF68BF"/>
    <w:rsid w:val="00BF71FA"/>
    <w:rsid w:val="00BF75CB"/>
    <w:rsid w:val="00BF764D"/>
    <w:rsid w:val="00BF7AD2"/>
    <w:rsid w:val="00BF7B6B"/>
    <w:rsid w:val="00C003F3"/>
    <w:rsid w:val="00C007E6"/>
    <w:rsid w:val="00C00A7F"/>
    <w:rsid w:val="00C00C68"/>
    <w:rsid w:val="00C01027"/>
    <w:rsid w:val="00C01312"/>
    <w:rsid w:val="00C01563"/>
    <w:rsid w:val="00C01D11"/>
    <w:rsid w:val="00C01DCC"/>
    <w:rsid w:val="00C02366"/>
    <w:rsid w:val="00C02497"/>
    <w:rsid w:val="00C02A78"/>
    <w:rsid w:val="00C03281"/>
    <w:rsid w:val="00C0336A"/>
    <w:rsid w:val="00C03378"/>
    <w:rsid w:val="00C037D5"/>
    <w:rsid w:val="00C03A59"/>
    <w:rsid w:val="00C03D37"/>
    <w:rsid w:val="00C03D3A"/>
    <w:rsid w:val="00C03E08"/>
    <w:rsid w:val="00C03FC9"/>
    <w:rsid w:val="00C041D4"/>
    <w:rsid w:val="00C0424A"/>
    <w:rsid w:val="00C042BE"/>
    <w:rsid w:val="00C04488"/>
    <w:rsid w:val="00C0502F"/>
    <w:rsid w:val="00C057C4"/>
    <w:rsid w:val="00C0590B"/>
    <w:rsid w:val="00C05C8D"/>
    <w:rsid w:val="00C063A1"/>
    <w:rsid w:val="00C066DF"/>
    <w:rsid w:val="00C066FF"/>
    <w:rsid w:val="00C067E2"/>
    <w:rsid w:val="00C06893"/>
    <w:rsid w:val="00C068BD"/>
    <w:rsid w:val="00C06905"/>
    <w:rsid w:val="00C06C9E"/>
    <w:rsid w:val="00C06D4A"/>
    <w:rsid w:val="00C06D5D"/>
    <w:rsid w:val="00C06DA6"/>
    <w:rsid w:val="00C07670"/>
    <w:rsid w:val="00C07A38"/>
    <w:rsid w:val="00C1009F"/>
    <w:rsid w:val="00C10157"/>
    <w:rsid w:val="00C103EE"/>
    <w:rsid w:val="00C10ADB"/>
    <w:rsid w:val="00C10C5B"/>
    <w:rsid w:val="00C10E1C"/>
    <w:rsid w:val="00C115E5"/>
    <w:rsid w:val="00C11C10"/>
    <w:rsid w:val="00C11C41"/>
    <w:rsid w:val="00C11E0B"/>
    <w:rsid w:val="00C12546"/>
    <w:rsid w:val="00C12A2F"/>
    <w:rsid w:val="00C12B9C"/>
    <w:rsid w:val="00C12F88"/>
    <w:rsid w:val="00C13105"/>
    <w:rsid w:val="00C13293"/>
    <w:rsid w:val="00C135AE"/>
    <w:rsid w:val="00C13A01"/>
    <w:rsid w:val="00C14831"/>
    <w:rsid w:val="00C14F23"/>
    <w:rsid w:val="00C152CC"/>
    <w:rsid w:val="00C15344"/>
    <w:rsid w:val="00C158E7"/>
    <w:rsid w:val="00C15997"/>
    <w:rsid w:val="00C159F0"/>
    <w:rsid w:val="00C15B59"/>
    <w:rsid w:val="00C15BC8"/>
    <w:rsid w:val="00C160B4"/>
    <w:rsid w:val="00C16393"/>
    <w:rsid w:val="00C16A48"/>
    <w:rsid w:val="00C16C25"/>
    <w:rsid w:val="00C16D47"/>
    <w:rsid w:val="00C172E8"/>
    <w:rsid w:val="00C173CD"/>
    <w:rsid w:val="00C1777F"/>
    <w:rsid w:val="00C17954"/>
    <w:rsid w:val="00C17D43"/>
    <w:rsid w:val="00C17DCA"/>
    <w:rsid w:val="00C17E68"/>
    <w:rsid w:val="00C17FF5"/>
    <w:rsid w:val="00C20027"/>
    <w:rsid w:val="00C20256"/>
    <w:rsid w:val="00C202B3"/>
    <w:rsid w:val="00C203B9"/>
    <w:rsid w:val="00C203BB"/>
    <w:rsid w:val="00C205FE"/>
    <w:rsid w:val="00C2071F"/>
    <w:rsid w:val="00C20CC8"/>
    <w:rsid w:val="00C215D3"/>
    <w:rsid w:val="00C21780"/>
    <w:rsid w:val="00C2187E"/>
    <w:rsid w:val="00C2198F"/>
    <w:rsid w:val="00C21D2B"/>
    <w:rsid w:val="00C21EE0"/>
    <w:rsid w:val="00C22B6D"/>
    <w:rsid w:val="00C22CF6"/>
    <w:rsid w:val="00C23055"/>
    <w:rsid w:val="00C23400"/>
    <w:rsid w:val="00C23435"/>
    <w:rsid w:val="00C23E4A"/>
    <w:rsid w:val="00C23F78"/>
    <w:rsid w:val="00C24015"/>
    <w:rsid w:val="00C24284"/>
    <w:rsid w:val="00C24443"/>
    <w:rsid w:val="00C2473D"/>
    <w:rsid w:val="00C24782"/>
    <w:rsid w:val="00C2484A"/>
    <w:rsid w:val="00C24BF9"/>
    <w:rsid w:val="00C24CA1"/>
    <w:rsid w:val="00C24F35"/>
    <w:rsid w:val="00C250FC"/>
    <w:rsid w:val="00C253E1"/>
    <w:rsid w:val="00C2597C"/>
    <w:rsid w:val="00C260A4"/>
    <w:rsid w:val="00C2621B"/>
    <w:rsid w:val="00C263DF"/>
    <w:rsid w:val="00C26470"/>
    <w:rsid w:val="00C26AC4"/>
    <w:rsid w:val="00C27211"/>
    <w:rsid w:val="00C272F7"/>
    <w:rsid w:val="00C273E7"/>
    <w:rsid w:val="00C27958"/>
    <w:rsid w:val="00C27997"/>
    <w:rsid w:val="00C30192"/>
    <w:rsid w:val="00C30297"/>
    <w:rsid w:val="00C3044F"/>
    <w:rsid w:val="00C30907"/>
    <w:rsid w:val="00C3094D"/>
    <w:rsid w:val="00C30AFC"/>
    <w:rsid w:val="00C30E43"/>
    <w:rsid w:val="00C31154"/>
    <w:rsid w:val="00C312E8"/>
    <w:rsid w:val="00C314ED"/>
    <w:rsid w:val="00C3169A"/>
    <w:rsid w:val="00C31B81"/>
    <w:rsid w:val="00C31C58"/>
    <w:rsid w:val="00C31E66"/>
    <w:rsid w:val="00C3275B"/>
    <w:rsid w:val="00C327A6"/>
    <w:rsid w:val="00C32A3E"/>
    <w:rsid w:val="00C32C2B"/>
    <w:rsid w:val="00C32CA7"/>
    <w:rsid w:val="00C32D1B"/>
    <w:rsid w:val="00C33147"/>
    <w:rsid w:val="00C33418"/>
    <w:rsid w:val="00C339D6"/>
    <w:rsid w:val="00C33C9E"/>
    <w:rsid w:val="00C33C9F"/>
    <w:rsid w:val="00C3455B"/>
    <w:rsid w:val="00C346F3"/>
    <w:rsid w:val="00C3480A"/>
    <w:rsid w:val="00C34B79"/>
    <w:rsid w:val="00C34C4B"/>
    <w:rsid w:val="00C352EF"/>
    <w:rsid w:val="00C35440"/>
    <w:rsid w:val="00C35A75"/>
    <w:rsid w:val="00C3684C"/>
    <w:rsid w:val="00C3692D"/>
    <w:rsid w:val="00C36950"/>
    <w:rsid w:val="00C36DA1"/>
    <w:rsid w:val="00C370A2"/>
    <w:rsid w:val="00C37D0E"/>
    <w:rsid w:val="00C40028"/>
    <w:rsid w:val="00C4002E"/>
    <w:rsid w:val="00C40155"/>
    <w:rsid w:val="00C403FA"/>
    <w:rsid w:val="00C4050B"/>
    <w:rsid w:val="00C407CA"/>
    <w:rsid w:val="00C40CEB"/>
    <w:rsid w:val="00C40E0C"/>
    <w:rsid w:val="00C41238"/>
    <w:rsid w:val="00C4126F"/>
    <w:rsid w:val="00C4149B"/>
    <w:rsid w:val="00C4177F"/>
    <w:rsid w:val="00C41A13"/>
    <w:rsid w:val="00C4208C"/>
    <w:rsid w:val="00C42353"/>
    <w:rsid w:val="00C425E4"/>
    <w:rsid w:val="00C42A15"/>
    <w:rsid w:val="00C42E66"/>
    <w:rsid w:val="00C42EB2"/>
    <w:rsid w:val="00C42F25"/>
    <w:rsid w:val="00C43050"/>
    <w:rsid w:val="00C43507"/>
    <w:rsid w:val="00C43711"/>
    <w:rsid w:val="00C43B33"/>
    <w:rsid w:val="00C43E82"/>
    <w:rsid w:val="00C43FF7"/>
    <w:rsid w:val="00C44171"/>
    <w:rsid w:val="00C4424B"/>
    <w:rsid w:val="00C44453"/>
    <w:rsid w:val="00C4455E"/>
    <w:rsid w:val="00C44735"/>
    <w:rsid w:val="00C447E6"/>
    <w:rsid w:val="00C448F0"/>
    <w:rsid w:val="00C4490F"/>
    <w:rsid w:val="00C44A72"/>
    <w:rsid w:val="00C44E50"/>
    <w:rsid w:val="00C4505E"/>
    <w:rsid w:val="00C4526D"/>
    <w:rsid w:val="00C45746"/>
    <w:rsid w:val="00C4590B"/>
    <w:rsid w:val="00C45A9C"/>
    <w:rsid w:val="00C463FB"/>
    <w:rsid w:val="00C46612"/>
    <w:rsid w:val="00C46B8F"/>
    <w:rsid w:val="00C46F18"/>
    <w:rsid w:val="00C46F7D"/>
    <w:rsid w:val="00C4723E"/>
    <w:rsid w:val="00C47A4C"/>
    <w:rsid w:val="00C47A98"/>
    <w:rsid w:val="00C47D54"/>
    <w:rsid w:val="00C505D1"/>
    <w:rsid w:val="00C50950"/>
    <w:rsid w:val="00C512CC"/>
    <w:rsid w:val="00C513E3"/>
    <w:rsid w:val="00C51414"/>
    <w:rsid w:val="00C517A1"/>
    <w:rsid w:val="00C51811"/>
    <w:rsid w:val="00C518E0"/>
    <w:rsid w:val="00C52326"/>
    <w:rsid w:val="00C52A1C"/>
    <w:rsid w:val="00C52C95"/>
    <w:rsid w:val="00C52C96"/>
    <w:rsid w:val="00C52E21"/>
    <w:rsid w:val="00C532A3"/>
    <w:rsid w:val="00C533D3"/>
    <w:rsid w:val="00C53700"/>
    <w:rsid w:val="00C53799"/>
    <w:rsid w:val="00C53C2C"/>
    <w:rsid w:val="00C545A1"/>
    <w:rsid w:val="00C54C4F"/>
    <w:rsid w:val="00C54F6F"/>
    <w:rsid w:val="00C5505E"/>
    <w:rsid w:val="00C55122"/>
    <w:rsid w:val="00C551D6"/>
    <w:rsid w:val="00C552FB"/>
    <w:rsid w:val="00C55535"/>
    <w:rsid w:val="00C555A1"/>
    <w:rsid w:val="00C55998"/>
    <w:rsid w:val="00C55F4F"/>
    <w:rsid w:val="00C56196"/>
    <w:rsid w:val="00C56333"/>
    <w:rsid w:val="00C56F56"/>
    <w:rsid w:val="00C56F59"/>
    <w:rsid w:val="00C57AF0"/>
    <w:rsid w:val="00C57E05"/>
    <w:rsid w:val="00C60808"/>
    <w:rsid w:val="00C6085D"/>
    <w:rsid w:val="00C608B8"/>
    <w:rsid w:val="00C60A51"/>
    <w:rsid w:val="00C61235"/>
    <w:rsid w:val="00C61B81"/>
    <w:rsid w:val="00C61D58"/>
    <w:rsid w:val="00C6234F"/>
    <w:rsid w:val="00C626B8"/>
    <w:rsid w:val="00C627D3"/>
    <w:rsid w:val="00C62CC3"/>
    <w:rsid w:val="00C6345B"/>
    <w:rsid w:val="00C6367E"/>
    <w:rsid w:val="00C63925"/>
    <w:rsid w:val="00C64591"/>
    <w:rsid w:val="00C64DC2"/>
    <w:rsid w:val="00C64F5A"/>
    <w:rsid w:val="00C6514C"/>
    <w:rsid w:val="00C6521C"/>
    <w:rsid w:val="00C656A1"/>
    <w:rsid w:val="00C65723"/>
    <w:rsid w:val="00C657C9"/>
    <w:rsid w:val="00C65BF3"/>
    <w:rsid w:val="00C65C8C"/>
    <w:rsid w:val="00C660A6"/>
    <w:rsid w:val="00C660CB"/>
    <w:rsid w:val="00C664C9"/>
    <w:rsid w:val="00C6678B"/>
    <w:rsid w:val="00C67174"/>
    <w:rsid w:val="00C67397"/>
    <w:rsid w:val="00C67594"/>
    <w:rsid w:val="00C67754"/>
    <w:rsid w:val="00C70151"/>
    <w:rsid w:val="00C70571"/>
    <w:rsid w:val="00C7078D"/>
    <w:rsid w:val="00C70944"/>
    <w:rsid w:val="00C70D26"/>
    <w:rsid w:val="00C72263"/>
    <w:rsid w:val="00C72318"/>
    <w:rsid w:val="00C7236E"/>
    <w:rsid w:val="00C724E6"/>
    <w:rsid w:val="00C72B05"/>
    <w:rsid w:val="00C72D1A"/>
    <w:rsid w:val="00C734D4"/>
    <w:rsid w:val="00C73556"/>
    <w:rsid w:val="00C73715"/>
    <w:rsid w:val="00C7371F"/>
    <w:rsid w:val="00C73FA0"/>
    <w:rsid w:val="00C7427B"/>
    <w:rsid w:val="00C746A4"/>
    <w:rsid w:val="00C74739"/>
    <w:rsid w:val="00C747A5"/>
    <w:rsid w:val="00C7484C"/>
    <w:rsid w:val="00C74E01"/>
    <w:rsid w:val="00C7523F"/>
    <w:rsid w:val="00C7552F"/>
    <w:rsid w:val="00C75536"/>
    <w:rsid w:val="00C758B2"/>
    <w:rsid w:val="00C75DE5"/>
    <w:rsid w:val="00C75F56"/>
    <w:rsid w:val="00C76557"/>
    <w:rsid w:val="00C7694F"/>
    <w:rsid w:val="00C76A3F"/>
    <w:rsid w:val="00C76C7B"/>
    <w:rsid w:val="00C76C7F"/>
    <w:rsid w:val="00C770A6"/>
    <w:rsid w:val="00C77658"/>
    <w:rsid w:val="00C77BAC"/>
    <w:rsid w:val="00C77D6B"/>
    <w:rsid w:val="00C77DAC"/>
    <w:rsid w:val="00C77F47"/>
    <w:rsid w:val="00C80327"/>
    <w:rsid w:val="00C806DE"/>
    <w:rsid w:val="00C80B63"/>
    <w:rsid w:val="00C80C0D"/>
    <w:rsid w:val="00C80CCB"/>
    <w:rsid w:val="00C810DF"/>
    <w:rsid w:val="00C816E8"/>
    <w:rsid w:val="00C81B95"/>
    <w:rsid w:val="00C81D42"/>
    <w:rsid w:val="00C81E51"/>
    <w:rsid w:val="00C82106"/>
    <w:rsid w:val="00C824A1"/>
    <w:rsid w:val="00C82F50"/>
    <w:rsid w:val="00C83088"/>
    <w:rsid w:val="00C835D7"/>
    <w:rsid w:val="00C8382D"/>
    <w:rsid w:val="00C83A29"/>
    <w:rsid w:val="00C83B04"/>
    <w:rsid w:val="00C83C33"/>
    <w:rsid w:val="00C83F13"/>
    <w:rsid w:val="00C83FCB"/>
    <w:rsid w:val="00C84138"/>
    <w:rsid w:val="00C84350"/>
    <w:rsid w:val="00C84D87"/>
    <w:rsid w:val="00C85091"/>
    <w:rsid w:val="00C85106"/>
    <w:rsid w:val="00C85289"/>
    <w:rsid w:val="00C85314"/>
    <w:rsid w:val="00C854E3"/>
    <w:rsid w:val="00C85809"/>
    <w:rsid w:val="00C8589F"/>
    <w:rsid w:val="00C85A01"/>
    <w:rsid w:val="00C85E4B"/>
    <w:rsid w:val="00C862EE"/>
    <w:rsid w:val="00C86563"/>
    <w:rsid w:val="00C86A53"/>
    <w:rsid w:val="00C86DC1"/>
    <w:rsid w:val="00C86DF3"/>
    <w:rsid w:val="00C870CA"/>
    <w:rsid w:val="00C8716B"/>
    <w:rsid w:val="00C87311"/>
    <w:rsid w:val="00C873D3"/>
    <w:rsid w:val="00C8745A"/>
    <w:rsid w:val="00C875D0"/>
    <w:rsid w:val="00C87872"/>
    <w:rsid w:val="00C87CC7"/>
    <w:rsid w:val="00C87DA6"/>
    <w:rsid w:val="00C87DED"/>
    <w:rsid w:val="00C9036C"/>
    <w:rsid w:val="00C904B4"/>
    <w:rsid w:val="00C905E4"/>
    <w:rsid w:val="00C90966"/>
    <w:rsid w:val="00C909A2"/>
    <w:rsid w:val="00C90CCA"/>
    <w:rsid w:val="00C91221"/>
    <w:rsid w:val="00C914EA"/>
    <w:rsid w:val="00C916CF"/>
    <w:rsid w:val="00C91782"/>
    <w:rsid w:val="00C91B34"/>
    <w:rsid w:val="00C91C30"/>
    <w:rsid w:val="00C921B1"/>
    <w:rsid w:val="00C924C9"/>
    <w:rsid w:val="00C925B8"/>
    <w:rsid w:val="00C9260A"/>
    <w:rsid w:val="00C92AA2"/>
    <w:rsid w:val="00C92BBD"/>
    <w:rsid w:val="00C92C0A"/>
    <w:rsid w:val="00C92C26"/>
    <w:rsid w:val="00C92C5F"/>
    <w:rsid w:val="00C92ED6"/>
    <w:rsid w:val="00C92FEB"/>
    <w:rsid w:val="00C93149"/>
    <w:rsid w:val="00C933CC"/>
    <w:rsid w:val="00C94323"/>
    <w:rsid w:val="00C94D82"/>
    <w:rsid w:val="00C94F8D"/>
    <w:rsid w:val="00C95202"/>
    <w:rsid w:val="00C9553A"/>
    <w:rsid w:val="00C9562C"/>
    <w:rsid w:val="00C956D6"/>
    <w:rsid w:val="00C95759"/>
    <w:rsid w:val="00C95C85"/>
    <w:rsid w:val="00C95F3E"/>
    <w:rsid w:val="00C966A2"/>
    <w:rsid w:val="00C96767"/>
    <w:rsid w:val="00C96B0A"/>
    <w:rsid w:val="00C96F52"/>
    <w:rsid w:val="00C96F63"/>
    <w:rsid w:val="00C9711E"/>
    <w:rsid w:val="00C97149"/>
    <w:rsid w:val="00C97687"/>
    <w:rsid w:val="00C9771B"/>
    <w:rsid w:val="00C978EB"/>
    <w:rsid w:val="00C97994"/>
    <w:rsid w:val="00C97E4C"/>
    <w:rsid w:val="00C97F6C"/>
    <w:rsid w:val="00CA0116"/>
    <w:rsid w:val="00CA029F"/>
    <w:rsid w:val="00CA0647"/>
    <w:rsid w:val="00CA086E"/>
    <w:rsid w:val="00CA0F21"/>
    <w:rsid w:val="00CA12CF"/>
    <w:rsid w:val="00CA1747"/>
    <w:rsid w:val="00CA190A"/>
    <w:rsid w:val="00CA1AEC"/>
    <w:rsid w:val="00CA1AFA"/>
    <w:rsid w:val="00CA1C4F"/>
    <w:rsid w:val="00CA1C96"/>
    <w:rsid w:val="00CA1CC1"/>
    <w:rsid w:val="00CA1CE6"/>
    <w:rsid w:val="00CA1F49"/>
    <w:rsid w:val="00CA1F57"/>
    <w:rsid w:val="00CA2280"/>
    <w:rsid w:val="00CA239E"/>
    <w:rsid w:val="00CA29F4"/>
    <w:rsid w:val="00CA3338"/>
    <w:rsid w:val="00CA3554"/>
    <w:rsid w:val="00CA3EFC"/>
    <w:rsid w:val="00CA44BC"/>
    <w:rsid w:val="00CA48CD"/>
    <w:rsid w:val="00CA49F8"/>
    <w:rsid w:val="00CA4BC0"/>
    <w:rsid w:val="00CA4D8E"/>
    <w:rsid w:val="00CA4ED3"/>
    <w:rsid w:val="00CA551E"/>
    <w:rsid w:val="00CA5C2B"/>
    <w:rsid w:val="00CA5CA8"/>
    <w:rsid w:val="00CA608C"/>
    <w:rsid w:val="00CA60C5"/>
    <w:rsid w:val="00CA64BC"/>
    <w:rsid w:val="00CA68EC"/>
    <w:rsid w:val="00CA6D87"/>
    <w:rsid w:val="00CA7435"/>
    <w:rsid w:val="00CA75FB"/>
    <w:rsid w:val="00CA7650"/>
    <w:rsid w:val="00CA77F6"/>
    <w:rsid w:val="00CA7831"/>
    <w:rsid w:val="00CA78D8"/>
    <w:rsid w:val="00CA7B44"/>
    <w:rsid w:val="00CA7EB5"/>
    <w:rsid w:val="00CA7EFC"/>
    <w:rsid w:val="00CA7F69"/>
    <w:rsid w:val="00CA7FD0"/>
    <w:rsid w:val="00CB0157"/>
    <w:rsid w:val="00CB076F"/>
    <w:rsid w:val="00CB0C58"/>
    <w:rsid w:val="00CB14BB"/>
    <w:rsid w:val="00CB15E3"/>
    <w:rsid w:val="00CB1648"/>
    <w:rsid w:val="00CB16B0"/>
    <w:rsid w:val="00CB2150"/>
    <w:rsid w:val="00CB2312"/>
    <w:rsid w:val="00CB2746"/>
    <w:rsid w:val="00CB27DE"/>
    <w:rsid w:val="00CB2C8A"/>
    <w:rsid w:val="00CB2CDC"/>
    <w:rsid w:val="00CB3266"/>
    <w:rsid w:val="00CB36E3"/>
    <w:rsid w:val="00CB3974"/>
    <w:rsid w:val="00CB3C60"/>
    <w:rsid w:val="00CB3F66"/>
    <w:rsid w:val="00CB4295"/>
    <w:rsid w:val="00CB494A"/>
    <w:rsid w:val="00CB4D96"/>
    <w:rsid w:val="00CB5205"/>
    <w:rsid w:val="00CB55A4"/>
    <w:rsid w:val="00CB5AAA"/>
    <w:rsid w:val="00CB5AFA"/>
    <w:rsid w:val="00CB5DED"/>
    <w:rsid w:val="00CB625E"/>
    <w:rsid w:val="00CB6590"/>
    <w:rsid w:val="00CB6CE9"/>
    <w:rsid w:val="00CB6F97"/>
    <w:rsid w:val="00CB7182"/>
    <w:rsid w:val="00CB73F3"/>
    <w:rsid w:val="00CB7633"/>
    <w:rsid w:val="00CB763B"/>
    <w:rsid w:val="00CB764D"/>
    <w:rsid w:val="00CB7A47"/>
    <w:rsid w:val="00CB7A68"/>
    <w:rsid w:val="00CB7BB1"/>
    <w:rsid w:val="00CB7F28"/>
    <w:rsid w:val="00CC0255"/>
    <w:rsid w:val="00CC042D"/>
    <w:rsid w:val="00CC051B"/>
    <w:rsid w:val="00CC08F2"/>
    <w:rsid w:val="00CC118B"/>
    <w:rsid w:val="00CC1B9C"/>
    <w:rsid w:val="00CC1EBE"/>
    <w:rsid w:val="00CC1FDA"/>
    <w:rsid w:val="00CC22CB"/>
    <w:rsid w:val="00CC235D"/>
    <w:rsid w:val="00CC31C7"/>
    <w:rsid w:val="00CC3690"/>
    <w:rsid w:val="00CC3F25"/>
    <w:rsid w:val="00CC48CA"/>
    <w:rsid w:val="00CC4BD2"/>
    <w:rsid w:val="00CC529B"/>
    <w:rsid w:val="00CC540C"/>
    <w:rsid w:val="00CC545F"/>
    <w:rsid w:val="00CC559D"/>
    <w:rsid w:val="00CC5763"/>
    <w:rsid w:val="00CC59EA"/>
    <w:rsid w:val="00CC5B7C"/>
    <w:rsid w:val="00CC5CA2"/>
    <w:rsid w:val="00CC5F9C"/>
    <w:rsid w:val="00CC610E"/>
    <w:rsid w:val="00CC62F9"/>
    <w:rsid w:val="00CC63DF"/>
    <w:rsid w:val="00CC642A"/>
    <w:rsid w:val="00CC6487"/>
    <w:rsid w:val="00CC6950"/>
    <w:rsid w:val="00CC72ED"/>
    <w:rsid w:val="00CC7A09"/>
    <w:rsid w:val="00CC7B5E"/>
    <w:rsid w:val="00CC7F26"/>
    <w:rsid w:val="00CC7F9D"/>
    <w:rsid w:val="00CD0162"/>
    <w:rsid w:val="00CD017E"/>
    <w:rsid w:val="00CD04E2"/>
    <w:rsid w:val="00CD067D"/>
    <w:rsid w:val="00CD0C1F"/>
    <w:rsid w:val="00CD0C59"/>
    <w:rsid w:val="00CD0D56"/>
    <w:rsid w:val="00CD0D8B"/>
    <w:rsid w:val="00CD0D9C"/>
    <w:rsid w:val="00CD0E85"/>
    <w:rsid w:val="00CD1240"/>
    <w:rsid w:val="00CD178C"/>
    <w:rsid w:val="00CD1D71"/>
    <w:rsid w:val="00CD1F16"/>
    <w:rsid w:val="00CD1F39"/>
    <w:rsid w:val="00CD1F3D"/>
    <w:rsid w:val="00CD1F6A"/>
    <w:rsid w:val="00CD22A8"/>
    <w:rsid w:val="00CD233C"/>
    <w:rsid w:val="00CD26A4"/>
    <w:rsid w:val="00CD26AC"/>
    <w:rsid w:val="00CD2954"/>
    <w:rsid w:val="00CD29B1"/>
    <w:rsid w:val="00CD2F9F"/>
    <w:rsid w:val="00CD352F"/>
    <w:rsid w:val="00CD35A8"/>
    <w:rsid w:val="00CD365A"/>
    <w:rsid w:val="00CD45A4"/>
    <w:rsid w:val="00CD45B9"/>
    <w:rsid w:val="00CD46D4"/>
    <w:rsid w:val="00CD4709"/>
    <w:rsid w:val="00CD49AD"/>
    <w:rsid w:val="00CD5386"/>
    <w:rsid w:val="00CD54AA"/>
    <w:rsid w:val="00CD5609"/>
    <w:rsid w:val="00CD5686"/>
    <w:rsid w:val="00CD5703"/>
    <w:rsid w:val="00CD58F9"/>
    <w:rsid w:val="00CD5A9E"/>
    <w:rsid w:val="00CD5C81"/>
    <w:rsid w:val="00CD613B"/>
    <w:rsid w:val="00CD636D"/>
    <w:rsid w:val="00CD6475"/>
    <w:rsid w:val="00CD64CA"/>
    <w:rsid w:val="00CD64E7"/>
    <w:rsid w:val="00CD654B"/>
    <w:rsid w:val="00CD656E"/>
    <w:rsid w:val="00CD6D59"/>
    <w:rsid w:val="00CD6F26"/>
    <w:rsid w:val="00CD6F5F"/>
    <w:rsid w:val="00CD70D4"/>
    <w:rsid w:val="00CD71EB"/>
    <w:rsid w:val="00CD78B6"/>
    <w:rsid w:val="00CD7D49"/>
    <w:rsid w:val="00CD7ED3"/>
    <w:rsid w:val="00CE0143"/>
    <w:rsid w:val="00CE01A3"/>
    <w:rsid w:val="00CE0566"/>
    <w:rsid w:val="00CE0592"/>
    <w:rsid w:val="00CE0C22"/>
    <w:rsid w:val="00CE0C85"/>
    <w:rsid w:val="00CE118F"/>
    <w:rsid w:val="00CE11CF"/>
    <w:rsid w:val="00CE18B4"/>
    <w:rsid w:val="00CE194C"/>
    <w:rsid w:val="00CE1B0A"/>
    <w:rsid w:val="00CE1FCC"/>
    <w:rsid w:val="00CE2152"/>
    <w:rsid w:val="00CE2161"/>
    <w:rsid w:val="00CE21C9"/>
    <w:rsid w:val="00CE21F1"/>
    <w:rsid w:val="00CE223E"/>
    <w:rsid w:val="00CE275F"/>
    <w:rsid w:val="00CE2A5F"/>
    <w:rsid w:val="00CE2A6E"/>
    <w:rsid w:val="00CE2CEF"/>
    <w:rsid w:val="00CE32FE"/>
    <w:rsid w:val="00CE3330"/>
    <w:rsid w:val="00CE3439"/>
    <w:rsid w:val="00CE3783"/>
    <w:rsid w:val="00CE3848"/>
    <w:rsid w:val="00CE3854"/>
    <w:rsid w:val="00CE3BFB"/>
    <w:rsid w:val="00CE3CF9"/>
    <w:rsid w:val="00CE3E38"/>
    <w:rsid w:val="00CE3E76"/>
    <w:rsid w:val="00CE4203"/>
    <w:rsid w:val="00CE49BB"/>
    <w:rsid w:val="00CE4B42"/>
    <w:rsid w:val="00CE5271"/>
    <w:rsid w:val="00CE55DB"/>
    <w:rsid w:val="00CE5923"/>
    <w:rsid w:val="00CE5A86"/>
    <w:rsid w:val="00CE5B0F"/>
    <w:rsid w:val="00CE5B13"/>
    <w:rsid w:val="00CE5B6F"/>
    <w:rsid w:val="00CE6059"/>
    <w:rsid w:val="00CE63EB"/>
    <w:rsid w:val="00CE65D1"/>
    <w:rsid w:val="00CE684D"/>
    <w:rsid w:val="00CE698D"/>
    <w:rsid w:val="00CE702F"/>
    <w:rsid w:val="00CE7322"/>
    <w:rsid w:val="00CE7379"/>
    <w:rsid w:val="00CE787C"/>
    <w:rsid w:val="00CE7BAF"/>
    <w:rsid w:val="00CF027B"/>
    <w:rsid w:val="00CF05C7"/>
    <w:rsid w:val="00CF0755"/>
    <w:rsid w:val="00CF0801"/>
    <w:rsid w:val="00CF11C6"/>
    <w:rsid w:val="00CF128F"/>
    <w:rsid w:val="00CF133E"/>
    <w:rsid w:val="00CF145A"/>
    <w:rsid w:val="00CF1611"/>
    <w:rsid w:val="00CF166E"/>
    <w:rsid w:val="00CF1C23"/>
    <w:rsid w:val="00CF2185"/>
    <w:rsid w:val="00CF2374"/>
    <w:rsid w:val="00CF2392"/>
    <w:rsid w:val="00CF23A8"/>
    <w:rsid w:val="00CF24FA"/>
    <w:rsid w:val="00CF29A3"/>
    <w:rsid w:val="00CF2EE6"/>
    <w:rsid w:val="00CF3129"/>
    <w:rsid w:val="00CF3178"/>
    <w:rsid w:val="00CF32C2"/>
    <w:rsid w:val="00CF3546"/>
    <w:rsid w:val="00CF365B"/>
    <w:rsid w:val="00CF37C0"/>
    <w:rsid w:val="00CF392F"/>
    <w:rsid w:val="00CF3DD7"/>
    <w:rsid w:val="00CF3E30"/>
    <w:rsid w:val="00CF3E3A"/>
    <w:rsid w:val="00CF3F0D"/>
    <w:rsid w:val="00CF447C"/>
    <w:rsid w:val="00CF5046"/>
    <w:rsid w:val="00CF513F"/>
    <w:rsid w:val="00CF51B0"/>
    <w:rsid w:val="00CF526A"/>
    <w:rsid w:val="00CF52F9"/>
    <w:rsid w:val="00CF54EA"/>
    <w:rsid w:val="00CF57B6"/>
    <w:rsid w:val="00CF5925"/>
    <w:rsid w:val="00CF615D"/>
    <w:rsid w:val="00CF63EF"/>
    <w:rsid w:val="00CF6A28"/>
    <w:rsid w:val="00CF6ACB"/>
    <w:rsid w:val="00CF6C1D"/>
    <w:rsid w:val="00CF72D5"/>
    <w:rsid w:val="00CF750C"/>
    <w:rsid w:val="00CF75D6"/>
    <w:rsid w:val="00CF7B41"/>
    <w:rsid w:val="00CF7C9E"/>
    <w:rsid w:val="00CF7DF6"/>
    <w:rsid w:val="00CF7E7E"/>
    <w:rsid w:val="00D00029"/>
    <w:rsid w:val="00D00452"/>
    <w:rsid w:val="00D00583"/>
    <w:rsid w:val="00D00B83"/>
    <w:rsid w:val="00D00BC3"/>
    <w:rsid w:val="00D00BE5"/>
    <w:rsid w:val="00D011F7"/>
    <w:rsid w:val="00D01E19"/>
    <w:rsid w:val="00D01E4A"/>
    <w:rsid w:val="00D025A2"/>
    <w:rsid w:val="00D025A3"/>
    <w:rsid w:val="00D02903"/>
    <w:rsid w:val="00D02BA9"/>
    <w:rsid w:val="00D02C15"/>
    <w:rsid w:val="00D03115"/>
    <w:rsid w:val="00D0359C"/>
    <w:rsid w:val="00D03748"/>
    <w:rsid w:val="00D03AFA"/>
    <w:rsid w:val="00D03C5C"/>
    <w:rsid w:val="00D03CE3"/>
    <w:rsid w:val="00D03D05"/>
    <w:rsid w:val="00D0414F"/>
    <w:rsid w:val="00D04331"/>
    <w:rsid w:val="00D047B0"/>
    <w:rsid w:val="00D04A24"/>
    <w:rsid w:val="00D04FAE"/>
    <w:rsid w:val="00D04FE9"/>
    <w:rsid w:val="00D051C7"/>
    <w:rsid w:val="00D05A99"/>
    <w:rsid w:val="00D05C3A"/>
    <w:rsid w:val="00D05D1C"/>
    <w:rsid w:val="00D05DC3"/>
    <w:rsid w:val="00D05F41"/>
    <w:rsid w:val="00D067C5"/>
    <w:rsid w:val="00D067CB"/>
    <w:rsid w:val="00D068C5"/>
    <w:rsid w:val="00D069ED"/>
    <w:rsid w:val="00D06A4F"/>
    <w:rsid w:val="00D06A7B"/>
    <w:rsid w:val="00D06AFB"/>
    <w:rsid w:val="00D06B7F"/>
    <w:rsid w:val="00D077AA"/>
    <w:rsid w:val="00D07872"/>
    <w:rsid w:val="00D1023F"/>
    <w:rsid w:val="00D107BE"/>
    <w:rsid w:val="00D10DB4"/>
    <w:rsid w:val="00D11329"/>
    <w:rsid w:val="00D113C2"/>
    <w:rsid w:val="00D11ADA"/>
    <w:rsid w:val="00D12292"/>
    <w:rsid w:val="00D12807"/>
    <w:rsid w:val="00D12CCD"/>
    <w:rsid w:val="00D12D21"/>
    <w:rsid w:val="00D13411"/>
    <w:rsid w:val="00D138A0"/>
    <w:rsid w:val="00D1390E"/>
    <w:rsid w:val="00D1398C"/>
    <w:rsid w:val="00D1404C"/>
    <w:rsid w:val="00D14346"/>
    <w:rsid w:val="00D14420"/>
    <w:rsid w:val="00D145F5"/>
    <w:rsid w:val="00D148F0"/>
    <w:rsid w:val="00D14934"/>
    <w:rsid w:val="00D14A61"/>
    <w:rsid w:val="00D14AB5"/>
    <w:rsid w:val="00D14F2A"/>
    <w:rsid w:val="00D14FE2"/>
    <w:rsid w:val="00D14FE8"/>
    <w:rsid w:val="00D15393"/>
    <w:rsid w:val="00D15557"/>
    <w:rsid w:val="00D16029"/>
    <w:rsid w:val="00D16328"/>
    <w:rsid w:val="00D1650A"/>
    <w:rsid w:val="00D16BA0"/>
    <w:rsid w:val="00D17043"/>
    <w:rsid w:val="00D172E4"/>
    <w:rsid w:val="00D176B1"/>
    <w:rsid w:val="00D17802"/>
    <w:rsid w:val="00D17822"/>
    <w:rsid w:val="00D17907"/>
    <w:rsid w:val="00D179EC"/>
    <w:rsid w:val="00D209F2"/>
    <w:rsid w:val="00D20DCC"/>
    <w:rsid w:val="00D20E58"/>
    <w:rsid w:val="00D210B0"/>
    <w:rsid w:val="00D21134"/>
    <w:rsid w:val="00D2128F"/>
    <w:rsid w:val="00D21381"/>
    <w:rsid w:val="00D21BAD"/>
    <w:rsid w:val="00D21C69"/>
    <w:rsid w:val="00D21C77"/>
    <w:rsid w:val="00D21CAE"/>
    <w:rsid w:val="00D21ED1"/>
    <w:rsid w:val="00D2201B"/>
    <w:rsid w:val="00D22157"/>
    <w:rsid w:val="00D224E3"/>
    <w:rsid w:val="00D225FA"/>
    <w:rsid w:val="00D22C43"/>
    <w:rsid w:val="00D22C78"/>
    <w:rsid w:val="00D22D4F"/>
    <w:rsid w:val="00D23522"/>
    <w:rsid w:val="00D23634"/>
    <w:rsid w:val="00D23639"/>
    <w:rsid w:val="00D23A74"/>
    <w:rsid w:val="00D23BFF"/>
    <w:rsid w:val="00D23C80"/>
    <w:rsid w:val="00D23D13"/>
    <w:rsid w:val="00D23FC2"/>
    <w:rsid w:val="00D2439A"/>
    <w:rsid w:val="00D2441A"/>
    <w:rsid w:val="00D24968"/>
    <w:rsid w:val="00D24A12"/>
    <w:rsid w:val="00D24A32"/>
    <w:rsid w:val="00D24B0A"/>
    <w:rsid w:val="00D24E47"/>
    <w:rsid w:val="00D25625"/>
    <w:rsid w:val="00D258EE"/>
    <w:rsid w:val="00D25C2F"/>
    <w:rsid w:val="00D25DB5"/>
    <w:rsid w:val="00D25DE7"/>
    <w:rsid w:val="00D261D0"/>
    <w:rsid w:val="00D2632E"/>
    <w:rsid w:val="00D264B5"/>
    <w:rsid w:val="00D265B9"/>
    <w:rsid w:val="00D267E6"/>
    <w:rsid w:val="00D26C1D"/>
    <w:rsid w:val="00D27166"/>
    <w:rsid w:val="00D27716"/>
    <w:rsid w:val="00D27B71"/>
    <w:rsid w:val="00D27C71"/>
    <w:rsid w:val="00D301F6"/>
    <w:rsid w:val="00D303C2"/>
    <w:rsid w:val="00D305C8"/>
    <w:rsid w:val="00D3088E"/>
    <w:rsid w:val="00D30CD9"/>
    <w:rsid w:val="00D30E6C"/>
    <w:rsid w:val="00D30FE6"/>
    <w:rsid w:val="00D314C7"/>
    <w:rsid w:val="00D319AE"/>
    <w:rsid w:val="00D31C10"/>
    <w:rsid w:val="00D32A45"/>
    <w:rsid w:val="00D32CCB"/>
    <w:rsid w:val="00D32CEB"/>
    <w:rsid w:val="00D32CFA"/>
    <w:rsid w:val="00D33115"/>
    <w:rsid w:val="00D3356C"/>
    <w:rsid w:val="00D33754"/>
    <w:rsid w:val="00D33AB8"/>
    <w:rsid w:val="00D33B54"/>
    <w:rsid w:val="00D33D7B"/>
    <w:rsid w:val="00D33DC5"/>
    <w:rsid w:val="00D34199"/>
    <w:rsid w:val="00D34224"/>
    <w:rsid w:val="00D34526"/>
    <w:rsid w:val="00D347E4"/>
    <w:rsid w:val="00D34874"/>
    <w:rsid w:val="00D349C8"/>
    <w:rsid w:val="00D34D6C"/>
    <w:rsid w:val="00D34E36"/>
    <w:rsid w:val="00D35197"/>
    <w:rsid w:val="00D35472"/>
    <w:rsid w:val="00D355F0"/>
    <w:rsid w:val="00D35630"/>
    <w:rsid w:val="00D35668"/>
    <w:rsid w:val="00D35714"/>
    <w:rsid w:val="00D35715"/>
    <w:rsid w:val="00D359CD"/>
    <w:rsid w:val="00D35BDD"/>
    <w:rsid w:val="00D3603E"/>
    <w:rsid w:val="00D362ED"/>
    <w:rsid w:val="00D366FE"/>
    <w:rsid w:val="00D36797"/>
    <w:rsid w:val="00D36E6B"/>
    <w:rsid w:val="00D37019"/>
    <w:rsid w:val="00D37367"/>
    <w:rsid w:val="00D374E2"/>
    <w:rsid w:val="00D379F4"/>
    <w:rsid w:val="00D37EC8"/>
    <w:rsid w:val="00D40024"/>
    <w:rsid w:val="00D408BC"/>
    <w:rsid w:val="00D4094D"/>
    <w:rsid w:val="00D41267"/>
    <w:rsid w:val="00D41316"/>
    <w:rsid w:val="00D413CF"/>
    <w:rsid w:val="00D41786"/>
    <w:rsid w:val="00D418FD"/>
    <w:rsid w:val="00D41981"/>
    <w:rsid w:val="00D41A5B"/>
    <w:rsid w:val="00D42209"/>
    <w:rsid w:val="00D4238E"/>
    <w:rsid w:val="00D42ED2"/>
    <w:rsid w:val="00D434AA"/>
    <w:rsid w:val="00D43545"/>
    <w:rsid w:val="00D4384F"/>
    <w:rsid w:val="00D4395C"/>
    <w:rsid w:val="00D439AC"/>
    <w:rsid w:val="00D43AC8"/>
    <w:rsid w:val="00D43D42"/>
    <w:rsid w:val="00D43F49"/>
    <w:rsid w:val="00D44266"/>
    <w:rsid w:val="00D442A5"/>
    <w:rsid w:val="00D44BDF"/>
    <w:rsid w:val="00D45026"/>
    <w:rsid w:val="00D45029"/>
    <w:rsid w:val="00D45056"/>
    <w:rsid w:val="00D451CB"/>
    <w:rsid w:val="00D45366"/>
    <w:rsid w:val="00D45887"/>
    <w:rsid w:val="00D45951"/>
    <w:rsid w:val="00D4598E"/>
    <w:rsid w:val="00D45A0E"/>
    <w:rsid w:val="00D462A7"/>
    <w:rsid w:val="00D463CF"/>
    <w:rsid w:val="00D466AF"/>
    <w:rsid w:val="00D467B4"/>
    <w:rsid w:val="00D46E2B"/>
    <w:rsid w:val="00D46EAB"/>
    <w:rsid w:val="00D473BB"/>
    <w:rsid w:val="00D47581"/>
    <w:rsid w:val="00D47630"/>
    <w:rsid w:val="00D47EB5"/>
    <w:rsid w:val="00D50081"/>
    <w:rsid w:val="00D503F5"/>
    <w:rsid w:val="00D50607"/>
    <w:rsid w:val="00D50924"/>
    <w:rsid w:val="00D509D4"/>
    <w:rsid w:val="00D50C68"/>
    <w:rsid w:val="00D50DE3"/>
    <w:rsid w:val="00D50EF4"/>
    <w:rsid w:val="00D50FE2"/>
    <w:rsid w:val="00D50FFF"/>
    <w:rsid w:val="00D51250"/>
    <w:rsid w:val="00D512A0"/>
    <w:rsid w:val="00D512FD"/>
    <w:rsid w:val="00D5147E"/>
    <w:rsid w:val="00D514CA"/>
    <w:rsid w:val="00D518CF"/>
    <w:rsid w:val="00D51A5B"/>
    <w:rsid w:val="00D51A8C"/>
    <w:rsid w:val="00D51DF3"/>
    <w:rsid w:val="00D521EF"/>
    <w:rsid w:val="00D5230F"/>
    <w:rsid w:val="00D52DBF"/>
    <w:rsid w:val="00D52E28"/>
    <w:rsid w:val="00D533E7"/>
    <w:rsid w:val="00D5364E"/>
    <w:rsid w:val="00D53A8A"/>
    <w:rsid w:val="00D53C34"/>
    <w:rsid w:val="00D53EE3"/>
    <w:rsid w:val="00D5485A"/>
    <w:rsid w:val="00D54A22"/>
    <w:rsid w:val="00D54CFF"/>
    <w:rsid w:val="00D54EC0"/>
    <w:rsid w:val="00D5565E"/>
    <w:rsid w:val="00D55C2B"/>
    <w:rsid w:val="00D55FF0"/>
    <w:rsid w:val="00D56113"/>
    <w:rsid w:val="00D56326"/>
    <w:rsid w:val="00D57A17"/>
    <w:rsid w:val="00D57E9D"/>
    <w:rsid w:val="00D602B6"/>
    <w:rsid w:val="00D602F4"/>
    <w:rsid w:val="00D60956"/>
    <w:rsid w:val="00D60A9D"/>
    <w:rsid w:val="00D611A5"/>
    <w:rsid w:val="00D6131C"/>
    <w:rsid w:val="00D61686"/>
    <w:rsid w:val="00D61B67"/>
    <w:rsid w:val="00D61BEC"/>
    <w:rsid w:val="00D61C53"/>
    <w:rsid w:val="00D62095"/>
    <w:rsid w:val="00D6255E"/>
    <w:rsid w:val="00D62B43"/>
    <w:rsid w:val="00D62F5F"/>
    <w:rsid w:val="00D6302B"/>
    <w:rsid w:val="00D630C5"/>
    <w:rsid w:val="00D631C5"/>
    <w:rsid w:val="00D63680"/>
    <w:rsid w:val="00D63697"/>
    <w:rsid w:val="00D636B3"/>
    <w:rsid w:val="00D637CF"/>
    <w:rsid w:val="00D63978"/>
    <w:rsid w:val="00D63A6B"/>
    <w:rsid w:val="00D63AFB"/>
    <w:rsid w:val="00D64035"/>
    <w:rsid w:val="00D640FE"/>
    <w:rsid w:val="00D6450A"/>
    <w:rsid w:val="00D64884"/>
    <w:rsid w:val="00D6495E"/>
    <w:rsid w:val="00D64EFD"/>
    <w:rsid w:val="00D64F85"/>
    <w:rsid w:val="00D65272"/>
    <w:rsid w:val="00D65525"/>
    <w:rsid w:val="00D656D0"/>
    <w:rsid w:val="00D6584D"/>
    <w:rsid w:val="00D65ABB"/>
    <w:rsid w:val="00D65D35"/>
    <w:rsid w:val="00D65E37"/>
    <w:rsid w:val="00D65F95"/>
    <w:rsid w:val="00D660DA"/>
    <w:rsid w:val="00D66130"/>
    <w:rsid w:val="00D663FE"/>
    <w:rsid w:val="00D666B4"/>
    <w:rsid w:val="00D66EB2"/>
    <w:rsid w:val="00D66EBC"/>
    <w:rsid w:val="00D6709C"/>
    <w:rsid w:val="00D67308"/>
    <w:rsid w:val="00D67A77"/>
    <w:rsid w:val="00D700ED"/>
    <w:rsid w:val="00D707F7"/>
    <w:rsid w:val="00D70808"/>
    <w:rsid w:val="00D70973"/>
    <w:rsid w:val="00D7112B"/>
    <w:rsid w:val="00D716A4"/>
    <w:rsid w:val="00D71F6E"/>
    <w:rsid w:val="00D720D3"/>
    <w:rsid w:val="00D72170"/>
    <w:rsid w:val="00D721D3"/>
    <w:rsid w:val="00D722B0"/>
    <w:rsid w:val="00D72B01"/>
    <w:rsid w:val="00D72FA2"/>
    <w:rsid w:val="00D72FBB"/>
    <w:rsid w:val="00D7334B"/>
    <w:rsid w:val="00D73A76"/>
    <w:rsid w:val="00D73AE7"/>
    <w:rsid w:val="00D73B75"/>
    <w:rsid w:val="00D741E8"/>
    <w:rsid w:val="00D74334"/>
    <w:rsid w:val="00D744A0"/>
    <w:rsid w:val="00D74781"/>
    <w:rsid w:val="00D749AF"/>
    <w:rsid w:val="00D74C08"/>
    <w:rsid w:val="00D74F24"/>
    <w:rsid w:val="00D7522A"/>
    <w:rsid w:val="00D76165"/>
    <w:rsid w:val="00D7635B"/>
    <w:rsid w:val="00D775A1"/>
    <w:rsid w:val="00D775B9"/>
    <w:rsid w:val="00D77BB7"/>
    <w:rsid w:val="00D77E27"/>
    <w:rsid w:val="00D802AA"/>
    <w:rsid w:val="00D80444"/>
    <w:rsid w:val="00D8053B"/>
    <w:rsid w:val="00D80659"/>
    <w:rsid w:val="00D80670"/>
    <w:rsid w:val="00D806ED"/>
    <w:rsid w:val="00D80847"/>
    <w:rsid w:val="00D80A9E"/>
    <w:rsid w:val="00D811FC"/>
    <w:rsid w:val="00D812BA"/>
    <w:rsid w:val="00D8159E"/>
    <w:rsid w:val="00D81A2D"/>
    <w:rsid w:val="00D81FF1"/>
    <w:rsid w:val="00D8218F"/>
    <w:rsid w:val="00D821F6"/>
    <w:rsid w:val="00D824E1"/>
    <w:rsid w:val="00D828C8"/>
    <w:rsid w:val="00D82A51"/>
    <w:rsid w:val="00D82C9E"/>
    <w:rsid w:val="00D82CDE"/>
    <w:rsid w:val="00D832FC"/>
    <w:rsid w:val="00D833D9"/>
    <w:rsid w:val="00D8370A"/>
    <w:rsid w:val="00D83767"/>
    <w:rsid w:val="00D83B80"/>
    <w:rsid w:val="00D83BD9"/>
    <w:rsid w:val="00D84034"/>
    <w:rsid w:val="00D84116"/>
    <w:rsid w:val="00D844E6"/>
    <w:rsid w:val="00D84531"/>
    <w:rsid w:val="00D84D67"/>
    <w:rsid w:val="00D84E5C"/>
    <w:rsid w:val="00D84F76"/>
    <w:rsid w:val="00D85290"/>
    <w:rsid w:val="00D8583B"/>
    <w:rsid w:val="00D859FD"/>
    <w:rsid w:val="00D85DDC"/>
    <w:rsid w:val="00D8607C"/>
    <w:rsid w:val="00D86288"/>
    <w:rsid w:val="00D862FF"/>
    <w:rsid w:val="00D86385"/>
    <w:rsid w:val="00D866E4"/>
    <w:rsid w:val="00D8738E"/>
    <w:rsid w:val="00D874F2"/>
    <w:rsid w:val="00D879D2"/>
    <w:rsid w:val="00D87D93"/>
    <w:rsid w:val="00D87F2B"/>
    <w:rsid w:val="00D90280"/>
    <w:rsid w:val="00D9032E"/>
    <w:rsid w:val="00D906DB"/>
    <w:rsid w:val="00D9087D"/>
    <w:rsid w:val="00D90939"/>
    <w:rsid w:val="00D90A80"/>
    <w:rsid w:val="00D90C0D"/>
    <w:rsid w:val="00D90D13"/>
    <w:rsid w:val="00D911E6"/>
    <w:rsid w:val="00D9190D"/>
    <w:rsid w:val="00D91B94"/>
    <w:rsid w:val="00D9247E"/>
    <w:rsid w:val="00D92792"/>
    <w:rsid w:val="00D92CF4"/>
    <w:rsid w:val="00D930ED"/>
    <w:rsid w:val="00D931D2"/>
    <w:rsid w:val="00D93374"/>
    <w:rsid w:val="00D93801"/>
    <w:rsid w:val="00D9381B"/>
    <w:rsid w:val="00D93A4A"/>
    <w:rsid w:val="00D93EFF"/>
    <w:rsid w:val="00D93FEF"/>
    <w:rsid w:val="00D942F8"/>
    <w:rsid w:val="00D94657"/>
    <w:rsid w:val="00D94DCF"/>
    <w:rsid w:val="00D94EAE"/>
    <w:rsid w:val="00D950F3"/>
    <w:rsid w:val="00D953E3"/>
    <w:rsid w:val="00D95765"/>
    <w:rsid w:val="00D959F7"/>
    <w:rsid w:val="00D96058"/>
    <w:rsid w:val="00D96B8B"/>
    <w:rsid w:val="00D96EF3"/>
    <w:rsid w:val="00D96F0E"/>
    <w:rsid w:val="00D97013"/>
    <w:rsid w:val="00D97318"/>
    <w:rsid w:val="00D97A39"/>
    <w:rsid w:val="00DA0258"/>
    <w:rsid w:val="00DA02A6"/>
    <w:rsid w:val="00DA03F1"/>
    <w:rsid w:val="00DA06E5"/>
    <w:rsid w:val="00DA0BB8"/>
    <w:rsid w:val="00DA1764"/>
    <w:rsid w:val="00DA1C3C"/>
    <w:rsid w:val="00DA1E46"/>
    <w:rsid w:val="00DA22DA"/>
    <w:rsid w:val="00DA2ADD"/>
    <w:rsid w:val="00DA2CD8"/>
    <w:rsid w:val="00DA32FF"/>
    <w:rsid w:val="00DA33CA"/>
    <w:rsid w:val="00DA354E"/>
    <w:rsid w:val="00DA372B"/>
    <w:rsid w:val="00DA3FAF"/>
    <w:rsid w:val="00DA40E9"/>
    <w:rsid w:val="00DA414E"/>
    <w:rsid w:val="00DA4173"/>
    <w:rsid w:val="00DA4207"/>
    <w:rsid w:val="00DA47CE"/>
    <w:rsid w:val="00DA4B01"/>
    <w:rsid w:val="00DA4C32"/>
    <w:rsid w:val="00DA523D"/>
    <w:rsid w:val="00DA52D5"/>
    <w:rsid w:val="00DA5840"/>
    <w:rsid w:val="00DA586F"/>
    <w:rsid w:val="00DA5919"/>
    <w:rsid w:val="00DA5A15"/>
    <w:rsid w:val="00DA5BFD"/>
    <w:rsid w:val="00DA5ED1"/>
    <w:rsid w:val="00DA5F6A"/>
    <w:rsid w:val="00DA605F"/>
    <w:rsid w:val="00DA62DE"/>
    <w:rsid w:val="00DA649A"/>
    <w:rsid w:val="00DA65A7"/>
    <w:rsid w:val="00DA6B11"/>
    <w:rsid w:val="00DA6C9F"/>
    <w:rsid w:val="00DA7281"/>
    <w:rsid w:val="00DA78D2"/>
    <w:rsid w:val="00DB015F"/>
    <w:rsid w:val="00DB03A5"/>
    <w:rsid w:val="00DB043B"/>
    <w:rsid w:val="00DB0479"/>
    <w:rsid w:val="00DB05D1"/>
    <w:rsid w:val="00DB0819"/>
    <w:rsid w:val="00DB08DA"/>
    <w:rsid w:val="00DB0BA0"/>
    <w:rsid w:val="00DB17F3"/>
    <w:rsid w:val="00DB1C15"/>
    <w:rsid w:val="00DB2060"/>
    <w:rsid w:val="00DB20E8"/>
    <w:rsid w:val="00DB22B3"/>
    <w:rsid w:val="00DB257F"/>
    <w:rsid w:val="00DB2747"/>
    <w:rsid w:val="00DB3B11"/>
    <w:rsid w:val="00DB41E5"/>
    <w:rsid w:val="00DB42D1"/>
    <w:rsid w:val="00DB4603"/>
    <w:rsid w:val="00DB4611"/>
    <w:rsid w:val="00DB4A55"/>
    <w:rsid w:val="00DB4BAD"/>
    <w:rsid w:val="00DB5714"/>
    <w:rsid w:val="00DB5939"/>
    <w:rsid w:val="00DB5A7D"/>
    <w:rsid w:val="00DB5AAE"/>
    <w:rsid w:val="00DB5BD0"/>
    <w:rsid w:val="00DB641C"/>
    <w:rsid w:val="00DB6AEB"/>
    <w:rsid w:val="00DB6F13"/>
    <w:rsid w:val="00DB6F5F"/>
    <w:rsid w:val="00DB7199"/>
    <w:rsid w:val="00DB71D5"/>
    <w:rsid w:val="00DB742A"/>
    <w:rsid w:val="00DB750D"/>
    <w:rsid w:val="00DB79BB"/>
    <w:rsid w:val="00DB7D52"/>
    <w:rsid w:val="00DB7F09"/>
    <w:rsid w:val="00DC00E8"/>
    <w:rsid w:val="00DC0197"/>
    <w:rsid w:val="00DC04C3"/>
    <w:rsid w:val="00DC06BF"/>
    <w:rsid w:val="00DC0B31"/>
    <w:rsid w:val="00DC13D3"/>
    <w:rsid w:val="00DC1AB6"/>
    <w:rsid w:val="00DC1C56"/>
    <w:rsid w:val="00DC21FA"/>
    <w:rsid w:val="00DC2AB8"/>
    <w:rsid w:val="00DC2C86"/>
    <w:rsid w:val="00DC2D54"/>
    <w:rsid w:val="00DC2E63"/>
    <w:rsid w:val="00DC2FB5"/>
    <w:rsid w:val="00DC3069"/>
    <w:rsid w:val="00DC30C9"/>
    <w:rsid w:val="00DC37F5"/>
    <w:rsid w:val="00DC3B44"/>
    <w:rsid w:val="00DC4095"/>
    <w:rsid w:val="00DC41D9"/>
    <w:rsid w:val="00DC4756"/>
    <w:rsid w:val="00DC4F15"/>
    <w:rsid w:val="00DC5090"/>
    <w:rsid w:val="00DC5286"/>
    <w:rsid w:val="00DC5832"/>
    <w:rsid w:val="00DC5B94"/>
    <w:rsid w:val="00DC5D20"/>
    <w:rsid w:val="00DC5E49"/>
    <w:rsid w:val="00DC609A"/>
    <w:rsid w:val="00DC6355"/>
    <w:rsid w:val="00DC6379"/>
    <w:rsid w:val="00DC6C7F"/>
    <w:rsid w:val="00DC6D41"/>
    <w:rsid w:val="00DC6D48"/>
    <w:rsid w:val="00DC6DC0"/>
    <w:rsid w:val="00DC6E10"/>
    <w:rsid w:val="00DC6ED7"/>
    <w:rsid w:val="00DC6F87"/>
    <w:rsid w:val="00DC6F96"/>
    <w:rsid w:val="00DC720A"/>
    <w:rsid w:val="00DD0546"/>
    <w:rsid w:val="00DD06E3"/>
    <w:rsid w:val="00DD0797"/>
    <w:rsid w:val="00DD08DB"/>
    <w:rsid w:val="00DD0A66"/>
    <w:rsid w:val="00DD0C46"/>
    <w:rsid w:val="00DD0F23"/>
    <w:rsid w:val="00DD0F58"/>
    <w:rsid w:val="00DD23B5"/>
    <w:rsid w:val="00DD2414"/>
    <w:rsid w:val="00DD256A"/>
    <w:rsid w:val="00DD2601"/>
    <w:rsid w:val="00DD2AC1"/>
    <w:rsid w:val="00DD2E4C"/>
    <w:rsid w:val="00DD2F18"/>
    <w:rsid w:val="00DD36EE"/>
    <w:rsid w:val="00DD37DF"/>
    <w:rsid w:val="00DD3940"/>
    <w:rsid w:val="00DD3B85"/>
    <w:rsid w:val="00DD3BDD"/>
    <w:rsid w:val="00DD416E"/>
    <w:rsid w:val="00DD44E7"/>
    <w:rsid w:val="00DD4D15"/>
    <w:rsid w:val="00DD5019"/>
    <w:rsid w:val="00DD52C2"/>
    <w:rsid w:val="00DD539E"/>
    <w:rsid w:val="00DD58D1"/>
    <w:rsid w:val="00DD5BFF"/>
    <w:rsid w:val="00DD5C1A"/>
    <w:rsid w:val="00DD5D06"/>
    <w:rsid w:val="00DD5FB2"/>
    <w:rsid w:val="00DD5FF8"/>
    <w:rsid w:val="00DD6099"/>
    <w:rsid w:val="00DD65F7"/>
    <w:rsid w:val="00DD6675"/>
    <w:rsid w:val="00DD6A05"/>
    <w:rsid w:val="00DD6D30"/>
    <w:rsid w:val="00DD6DCB"/>
    <w:rsid w:val="00DD7108"/>
    <w:rsid w:val="00DD78E8"/>
    <w:rsid w:val="00DD7AED"/>
    <w:rsid w:val="00DD7DA4"/>
    <w:rsid w:val="00DE01F6"/>
    <w:rsid w:val="00DE030A"/>
    <w:rsid w:val="00DE0AA5"/>
    <w:rsid w:val="00DE0CDC"/>
    <w:rsid w:val="00DE0DA2"/>
    <w:rsid w:val="00DE0EC6"/>
    <w:rsid w:val="00DE115E"/>
    <w:rsid w:val="00DE1201"/>
    <w:rsid w:val="00DE1431"/>
    <w:rsid w:val="00DE29CB"/>
    <w:rsid w:val="00DE3093"/>
    <w:rsid w:val="00DE31FB"/>
    <w:rsid w:val="00DE323D"/>
    <w:rsid w:val="00DE36BD"/>
    <w:rsid w:val="00DE38C1"/>
    <w:rsid w:val="00DE3A3B"/>
    <w:rsid w:val="00DE3BFA"/>
    <w:rsid w:val="00DE3C77"/>
    <w:rsid w:val="00DE3F62"/>
    <w:rsid w:val="00DE4231"/>
    <w:rsid w:val="00DE42E3"/>
    <w:rsid w:val="00DE432A"/>
    <w:rsid w:val="00DE4441"/>
    <w:rsid w:val="00DE479B"/>
    <w:rsid w:val="00DE47AA"/>
    <w:rsid w:val="00DE4C06"/>
    <w:rsid w:val="00DE4D76"/>
    <w:rsid w:val="00DE4FDD"/>
    <w:rsid w:val="00DE52A0"/>
    <w:rsid w:val="00DE5346"/>
    <w:rsid w:val="00DE53C0"/>
    <w:rsid w:val="00DE562B"/>
    <w:rsid w:val="00DE5873"/>
    <w:rsid w:val="00DE58A5"/>
    <w:rsid w:val="00DE58A6"/>
    <w:rsid w:val="00DE5B02"/>
    <w:rsid w:val="00DE630B"/>
    <w:rsid w:val="00DE631F"/>
    <w:rsid w:val="00DE6320"/>
    <w:rsid w:val="00DE6615"/>
    <w:rsid w:val="00DE66FA"/>
    <w:rsid w:val="00DE68D3"/>
    <w:rsid w:val="00DE6909"/>
    <w:rsid w:val="00DE690B"/>
    <w:rsid w:val="00DE6BED"/>
    <w:rsid w:val="00DE6DF5"/>
    <w:rsid w:val="00DE6E5C"/>
    <w:rsid w:val="00DE6F0D"/>
    <w:rsid w:val="00DE7156"/>
    <w:rsid w:val="00DE71A9"/>
    <w:rsid w:val="00DE72D8"/>
    <w:rsid w:val="00DE736B"/>
    <w:rsid w:val="00DE7484"/>
    <w:rsid w:val="00DE7675"/>
    <w:rsid w:val="00DE7876"/>
    <w:rsid w:val="00DE7904"/>
    <w:rsid w:val="00DE7959"/>
    <w:rsid w:val="00DF060E"/>
    <w:rsid w:val="00DF08C6"/>
    <w:rsid w:val="00DF0937"/>
    <w:rsid w:val="00DF1697"/>
    <w:rsid w:val="00DF22EC"/>
    <w:rsid w:val="00DF24D2"/>
    <w:rsid w:val="00DF2A30"/>
    <w:rsid w:val="00DF2C14"/>
    <w:rsid w:val="00DF38A9"/>
    <w:rsid w:val="00DF38CA"/>
    <w:rsid w:val="00DF391C"/>
    <w:rsid w:val="00DF3D1F"/>
    <w:rsid w:val="00DF4240"/>
    <w:rsid w:val="00DF4257"/>
    <w:rsid w:val="00DF46AA"/>
    <w:rsid w:val="00DF4751"/>
    <w:rsid w:val="00DF49B5"/>
    <w:rsid w:val="00DF4A0F"/>
    <w:rsid w:val="00DF516D"/>
    <w:rsid w:val="00DF5652"/>
    <w:rsid w:val="00DF5D2E"/>
    <w:rsid w:val="00DF6262"/>
    <w:rsid w:val="00DF644F"/>
    <w:rsid w:val="00DF64A3"/>
    <w:rsid w:val="00DF6719"/>
    <w:rsid w:val="00DF6808"/>
    <w:rsid w:val="00DF6844"/>
    <w:rsid w:val="00DF684C"/>
    <w:rsid w:val="00DF68F5"/>
    <w:rsid w:val="00DF6CAB"/>
    <w:rsid w:val="00DF6CB7"/>
    <w:rsid w:val="00DF6D56"/>
    <w:rsid w:val="00DF6E6D"/>
    <w:rsid w:val="00DF6F61"/>
    <w:rsid w:val="00DF6FFD"/>
    <w:rsid w:val="00DF724F"/>
    <w:rsid w:val="00DF7395"/>
    <w:rsid w:val="00DF73F8"/>
    <w:rsid w:val="00DF73FE"/>
    <w:rsid w:val="00DF7C65"/>
    <w:rsid w:val="00E000F0"/>
    <w:rsid w:val="00E00246"/>
    <w:rsid w:val="00E00289"/>
    <w:rsid w:val="00E002C8"/>
    <w:rsid w:val="00E0088D"/>
    <w:rsid w:val="00E00A02"/>
    <w:rsid w:val="00E00C1D"/>
    <w:rsid w:val="00E00CCE"/>
    <w:rsid w:val="00E00D3D"/>
    <w:rsid w:val="00E0136B"/>
    <w:rsid w:val="00E0180D"/>
    <w:rsid w:val="00E018AA"/>
    <w:rsid w:val="00E0196B"/>
    <w:rsid w:val="00E01BF0"/>
    <w:rsid w:val="00E01D72"/>
    <w:rsid w:val="00E01E5E"/>
    <w:rsid w:val="00E022D4"/>
    <w:rsid w:val="00E03146"/>
    <w:rsid w:val="00E03173"/>
    <w:rsid w:val="00E0319F"/>
    <w:rsid w:val="00E032D6"/>
    <w:rsid w:val="00E0347D"/>
    <w:rsid w:val="00E0387D"/>
    <w:rsid w:val="00E038A3"/>
    <w:rsid w:val="00E03C3E"/>
    <w:rsid w:val="00E03D96"/>
    <w:rsid w:val="00E03F85"/>
    <w:rsid w:val="00E0400A"/>
    <w:rsid w:val="00E04068"/>
    <w:rsid w:val="00E0451F"/>
    <w:rsid w:val="00E04E0D"/>
    <w:rsid w:val="00E04FC4"/>
    <w:rsid w:val="00E05307"/>
    <w:rsid w:val="00E0541C"/>
    <w:rsid w:val="00E06030"/>
    <w:rsid w:val="00E06035"/>
    <w:rsid w:val="00E0644E"/>
    <w:rsid w:val="00E06879"/>
    <w:rsid w:val="00E06C98"/>
    <w:rsid w:val="00E06F20"/>
    <w:rsid w:val="00E07059"/>
    <w:rsid w:val="00E0719C"/>
    <w:rsid w:val="00E078D0"/>
    <w:rsid w:val="00E07F66"/>
    <w:rsid w:val="00E10092"/>
    <w:rsid w:val="00E101C6"/>
    <w:rsid w:val="00E103B8"/>
    <w:rsid w:val="00E10C75"/>
    <w:rsid w:val="00E10DD5"/>
    <w:rsid w:val="00E10E60"/>
    <w:rsid w:val="00E10F66"/>
    <w:rsid w:val="00E111AF"/>
    <w:rsid w:val="00E11628"/>
    <w:rsid w:val="00E11C87"/>
    <w:rsid w:val="00E11C94"/>
    <w:rsid w:val="00E11E96"/>
    <w:rsid w:val="00E12146"/>
    <w:rsid w:val="00E12AE5"/>
    <w:rsid w:val="00E12B1E"/>
    <w:rsid w:val="00E130D0"/>
    <w:rsid w:val="00E130E3"/>
    <w:rsid w:val="00E133E9"/>
    <w:rsid w:val="00E1342B"/>
    <w:rsid w:val="00E134B9"/>
    <w:rsid w:val="00E136B8"/>
    <w:rsid w:val="00E13776"/>
    <w:rsid w:val="00E13B84"/>
    <w:rsid w:val="00E13D5E"/>
    <w:rsid w:val="00E13F30"/>
    <w:rsid w:val="00E14042"/>
    <w:rsid w:val="00E143E1"/>
    <w:rsid w:val="00E149D2"/>
    <w:rsid w:val="00E14C16"/>
    <w:rsid w:val="00E14C36"/>
    <w:rsid w:val="00E14EC0"/>
    <w:rsid w:val="00E1543D"/>
    <w:rsid w:val="00E15B67"/>
    <w:rsid w:val="00E15CA6"/>
    <w:rsid w:val="00E1602A"/>
    <w:rsid w:val="00E1607F"/>
    <w:rsid w:val="00E160F0"/>
    <w:rsid w:val="00E16161"/>
    <w:rsid w:val="00E1646F"/>
    <w:rsid w:val="00E16522"/>
    <w:rsid w:val="00E165D8"/>
    <w:rsid w:val="00E17065"/>
    <w:rsid w:val="00E171FD"/>
    <w:rsid w:val="00E17502"/>
    <w:rsid w:val="00E17F87"/>
    <w:rsid w:val="00E200F9"/>
    <w:rsid w:val="00E2041D"/>
    <w:rsid w:val="00E20B64"/>
    <w:rsid w:val="00E20B9D"/>
    <w:rsid w:val="00E2105C"/>
    <w:rsid w:val="00E21109"/>
    <w:rsid w:val="00E211E1"/>
    <w:rsid w:val="00E21238"/>
    <w:rsid w:val="00E21468"/>
    <w:rsid w:val="00E21792"/>
    <w:rsid w:val="00E21D30"/>
    <w:rsid w:val="00E21DAE"/>
    <w:rsid w:val="00E2209A"/>
    <w:rsid w:val="00E229A5"/>
    <w:rsid w:val="00E22AFB"/>
    <w:rsid w:val="00E22D51"/>
    <w:rsid w:val="00E22F67"/>
    <w:rsid w:val="00E237C5"/>
    <w:rsid w:val="00E2389A"/>
    <w:rsid w:val="00E238E3"/>
    <w:rsid w:val="00E23CB7"/>
    <w:rsid w:val="00E23DD8"/>
    <w:rsid w:val="00E23F86"/>
    <w:rsid w:val="00E2425D"/>
    <w:rsid w:val="00E251F3"/>
    <w:rsid w:val="00E25232"/>
    <w:rsid w:val="00E255AB"/>
    <w:rsid w:val="00E25898"/>
    <w:rsid w:val="00E259DE"/>
    <w:rsid w:val="00E264D0"/>
    <w:rsid w:val="00E265D5"/>
    <w:rsid w:val="00E2680A"/>
    <w:rsid w:val="00E2711F"/>
    <w:rsid w:val="00E2720A"/>
    <w:rsid w:val="00E27420"/>
    <w:rsid w:val="00E27617"/>
    <w:rsid w:val="00E277AA"/>
    <w:rsid w:val="00E277BF"/>
    <w:rsid w:val="00E277FF"/>
    <w:rsid w:val="00E2792F"/>
    <w:rsid w:val="00E27D8D"/>
    <w:rsid w:val="00E30143"/>
    <w:rsid w:val="00E302AB"/>
    <w:rsid w:val="00E302F2"/>
    <w:rsid w:val="00E3039B"/>
    <w:rsid w:val="00E314AF"/>
    <w:rsid w:val="00E31563"/>
    <w:rsid w:val="00E3183D"/>
    <w:rsid w:val="00E31BEA"/>
    <w:rsid w:val="00E31C30"/>
    <w:rsid w:val="00E31C68"/>
    <w:rsid w:val="00E31F25"/>
    <w:rsid w:val="00E31FA0"/>
    <w:rsid w:val="00E32012"/>
    <w:rsid w:val="00E323D7"/>
    <w:rsid w:val="00E32489"/>
    <w:rsid w:val="00E32837"/>
    <w:rsid w:val="00E32D4B"/>
    <w:rsid w:val="00E32F7E"/>
    <w:rsid w:val="00E32F86"/>
    <w:rsid w:val="00E33176"/>
    <w:rsid w:val="00E33341"/>
    <w:rsid w:val="00E3342F"/>
    <w:rsid w:val="00E33ACA"/>
    <w:rsid w:val="00E33D5C"/>
    <w:rsid w:val="00E33E49"/>
    <w:rsid w:val="00E34029"/>
    <w:rsid w:val="00E3403E"/>
    <w:rsid w:val="00E342E7"/>
    <w:rsid w:val="00E34768"/>
    <w:rsid w:val="00E3480E"/>
    <w:rsid w:val="00E34929"/>
    <w:rsid w:val="00E34EDC"/>
    <w:rsid w:val="00E353F2"/>
    <w:rsid w:val="00E357AD"/>
    <w:rsid w:val="00E35C9A"/>
    <w:rsid w:val="00E35D70"/>
    <w:rsid w:val="00E35E03"/>
    <w:rsid w:val="00E36864"/>
    <w:rsid w:val="00E36A88"/>
    <w:rsid w:val="00E36CF2"/>
    <w:rsid w:val="00E36E5B"/>
    <w:rsid w:val="00E370B1"/>
    <w:rsid w:val="00E379C0"/>
    <w:rsid w:val="00E37CBA"/>
    <w:rsid w:val="00E37CBF"/>
    <w:rsid w:val="00E37E3E"/>
    <w:rsid w:val="00E401AC"/>
    <w:rsid w:val="00E40584"/>
    <w:rsid w:val="00E4077E"/>
    <w:rsid w:val="00E408AF"/>
    <w:rsid w:val="00E40A13"/>
    <w:rsid w:val="00E40B07"/>
    <w:rsid w:val="00E40BD8"/>
    <w:rsid w:val="00E40C60"/>
    <w:rsid w:val="00E4127B"/>
    <w:rsid w:val="00E41300"/>
    <w:rsid w:val="00E413B4"/>
    <w:rsid w:val="00E416F1"/>
    <w:rsid w:val="00E4257E"/>
    <w:rsid w:val="00E42654"/>
    <w:rsid w:val="00E42E64"/>
    <w:rsid w:val="00E42E88"/>
    <w:rsid w:val="00E43037"/>
    <w:rsid w:val="00E4315D"/>
    <w:rsid w:val="00E4318D"/>
    <w:rsid w:val="00E431AF"/>
    <w:rsid w:val="00E43983"/>
    <w:rsid w:val="00E43A3D"/>
    <w:rsid w:val="00E43BFF"/>
    <w:rsid w:val="00E43E53"/>
    <w:rsid w:val="00E448F0"/>
    <w:rsid w:val="00E44950"/>
    <w:rsid w:val="00E44AA3"/>
    <w:rsid w:val="00E44B1B"/>
    <w:rsid w:val="00E44C3F"/>
    <w:rsid w:val="00E44C59"/>
    <w:rsid w:val="00E44D41"/>
    <w:rsid w:val="00E44E03"/>
    <w:rsid w:val="00E44E94"/>
    <w:rsid w:val="00E4554D"/>
    <w:rsid w:val="00E4570F"/>
    <w:rsid w:val="00E4590C"/>
    <w:rsid w:val="00E45BD2"/>
    <w:rsid w:val="00E45F0D"/>
    <w:rsid w:val="00E460B5"/>
    <w:rsid w:val="00E46107"/>
    <w:rsid w:val="00E469F9"/>
    <w:rsid w:val="00E46F77"/>
    <w:rsid w:val="00E476FE"/>
    <w:rsid w:val="00E478E0"/>
    <w:rsid w:val="00E479C1"/>
    <w:rsid w:val="00E47B7F"/>
    <w:rsid w:val="00E50518"/>
    <w:rsid w:val="00E507F0"/>
    <w:rsid w:val="00E50E7C"/>
    <w:rsid w:val="00E51545"/>
    <w:rsid w:val="00E518ED"/>
    <w:rsid w:val="00E51BC4"/>
    <w:rsid w:val="00E51C9C"/>
    <w:rsid w:val="00E51D9E"/>
    <w:rsid w:val="00E51E3E"/>
    <w:rsid w:val="00E52104"/>
    <w:rsid w:val="00E521A7"/>
    <w:rsid w:val="00E52225"/>
    <w:rsid w:val="00E52A68"/>
    <w:rsid w:val="00E52E98"/>
    <w:rsid w:val="00E52FA2"/>
    <w:rsid w:val="00E5307B"/>
    <w:rsid w:val="00E530FC"/>
    <w:rsid w:val="00E531EC"/>
    <w:rsid w:val="00E537D1"/>
    <w:rsid w:val="00E5399B"/>
    <w:rsid w:val="00E53DF0"/>
    <w:rsid w:val="00E5421B"/>
    <w:rsid w:val="00E54627"/>
    <w:rsid w:val="00E5478F"/>
    <w:rsid w:val="00E54E17"/>
    <w:rsid w:val="00E54FB5"/>
    <w:rsid w:val="00E55027"/>
    <w:rsid w:val="00E5522A"/>
    <w:rsid w:val="00E5566A"/>
    <w:rsid w:val="00E55C7A"/>
    <w:rsid w:val="00E560D9"/>
    <w:rsid w:val="00E56561"/>
    <w:rsid w:val="00E567E6"/>
    <w:rsid w:val="00E568CE"/>
    <w:rsid w:val="00E56971"/>
    <w:rsid w:val="00E56A7D"/>
    <w:rsid w:val="00E56E77"/>
    <w:rsid w:val="00E5718A"/>
    <w:rsid w:val="00E57271"/>
    <w:rsid w:val="00E5735A"/>
    <w:rsid w:val="00E573D5"/>
    <w:rsid w:val="00E57405"/>
    <w:rsid w:val="00E57896"/>
    <w:rsid w:val="00E578E2"/>
    <w:rsid w:val="00E57BBB"/>
    <w:rsid w:val="00E57BCC"/>
    <w:rsid w:val="00E57F3F"/>
    <w:rsid w:val="00E6025A"/>
    <w:rsid w:val="00E6038E"/>
    <w:rsid w:val="00E6068E"/>
    <w:rsid w:val="00E608B5"/>
    <w:rsid w:val="00E60AAA"/>
    <w:rsid w:val="00E60C01"/>
    <w:rsid w:val="00E6125A"/>
    <w:rsid w:val="00E612C5"/>
    <w:rsid w:val="00E6131C"/>
    <w:rsid w:val="00E61484"/>
    <w:rsid w:val="00E61A68"/>
    <w:rsid w:val="00E61E57"/>
    <w:rsid w:val="00E6243E"/>
    <w:rsid w:val="00E62B7D"/>
    <w:rsid w:val="00E62BEB"/>
    <w:rsid w:val="00E62CAA"/>
    <w:rsid w:val="00E62CE8"/>
    <w:rsid w:val="00E62F48"/>
    <w:rsid w:val="00E6317A"/>
    <w:rsid w:val="00E6318C"/>
    <w:rsid w:val="00E637E2"/>
    <w:rsid w:val="00E639E3"/>
    <w:rsid w:val="00E63A9D"/>
    <w:rsid w:val="00E63CEE"/>
    <w:rsid w:val="00E63D57"/>
    <w:rsid w:val="00E645D8"/>
    <w:rsid w:val="00E64750"/>
    <w:rsid w:val="00E647B3"/>
    <w:rsid w:val="00E648D6"/>
    <w:rsid w:val="00E64C0B"/>
    <w:rsid w:val="00E64E1C"/>
    <w:rsid w:val="00E64FEA"/>
    <w:rsid w:val="00E65027"/>
    <w:rsid w:val="00E65150"/>
    <w:rsid w:val="00E6517A"/>
    <w:rsid w:val="00E65544"/>
    <w:rsid w:val="00E656AB"/>
    <w:rsid w:val="00E65758"/>
    <w:rsid w:val="00E658B2"/>
    <w:rsid w:val="00E65936"/>
    <w:rsid w:val="00E659AE"/>
    <w:rsid w:val="00E662EA"/>
    <w:rsid w:val="00E66456"/>
    <w:rsid w:val="00E666EE"/>
    <w:rsid w:val="00E66837"/>
    <w:rsid w:val="00E6702A"/>
    <w:rsid w:val="00E672F1"/>
    <w:rsid w:val="00E67383"/>
    <w:rsid w:val="00E67CE4"/>
    <w:rsid w:val="00E67D02"/>
    <w:rsid w:val="00E67D08"/>
    <w:rsid w:val="00E67D85"/>
    <w:rsid w:val="00E7011D"/>
    <w:rsid w:val="00E7025D"/>
    <w:rsid w:val="00E7033A"/>
    <w:rsid w:val="00E7056C"/>
    <w:rsid w:val="00E70720"/>
    <w:rsid w:val="00E70B54"/>
    <w:rsid w:val="00E70DB0"/>
    <w:rsid w:val="00E70F59"/>
    <w:rsid w:val="00E711D7"/>
    <w:rsid w:val="00E71AF9"/>
    <w:rsid w:val="00E71E1C"/>
    <w:rsid w:val="00E724B1"/>
    <w:rsid w:val="00E724FE"/>
    <w:rsid w:val="00E727A5"/>
    <w:rsid w:val="00E72883"/>
    <w:rsid w:val="00E728B1"/>
    <w:rsid w:val="00E72EB6"/>
    <w:rsid w:val="00E72F25"/>
    <w:rsid w:val="00E7328C"/>
    <w:rsid w:val="00E733BE"/>
    <w:rsid w:val="00E73596"/>
    <w:rsid w:val="00E746E0"/>
    <w:rsid w:val="00E74890"/>
    <w:rsid w:val="00E74BE9"/>
    <w:rsid w:val="00E74CE5"/>
    <w:rsid w:val="00E7522D"/>
    <w:rsid w:val="00E7535D"/>
    <w:rsid w:val="00E754B4"/>
    <w:rsid w:val="00E7554D"/>
    <w:rsid w:val="00E75702"/>
    <w:rsid w:val="00E75918"/>
    <w:rsid w:val="00E75C8C"/>
    <w:rsid w:val="00E75CD7"/>
    <w:rsid w:val="00E75DC3"/>
    <w:rsid w:val="00E75E02"/>
    <w:rsid w:val="00E767C3"/>
    <w:rsid w:val="00E76A5E"/>
    <w:rsid w:val="00E76AD3"/>
    <w:rsid w:val="00E76CB9"/>
    <w:rsid w:val="00E76CE3"/>
    <w:rsid w:val="00E76E10"/>
    <w:rsid w:val="00E773C9"/>
    <w:rsid w:val="00E77E42"/>
    <w:rsid w:val="00E80AA2"/>
    <w:rsid w:val="00E810DD"/>
    <w:rsid w:val="00E81383"/>
    <w:rsid w:val="00E815E1"/>
    <w:rsid w:val="00E81C92"/>
    <w:rsid w:val="00E822B9"/>
    <w:rsid w:val="00E8230F"/>
    <w:rsid w:val="00E8294B"/>
    <w:rsid w:val="00E82AA4"/>
    <w:rsid w:val="00E82D34"/>
    <w:rsid w:val="00E83252"/>
    <w:rsid w:val="00E83272"/>
    <w:rsid w:val="00E83355"/>
    <w:rsid w:val="00E83961"/>
    <w:rsid w:val="00E83AC9"/>
    <w:rsid w:val="00E83EAB"/>
    <w:rsid w:val="00E841E5"/>
    <w:rsid w:val="00E84433"/>
    <w:rsid w:val="00E8460D"/>
    <w:rsid w:val="00E84A63"/>
    <w:rsid w:val="00E84C3D"/>
    <w:rsid w:val="00E84C4E"/>
    <w:rsid w:val="00E84DCD"/>
    <w:rsid w:val="00E84EAC"/>
    <w:rsid w:val="00E8503A"/>
    <w:rsid w:val="00E85F18"/>
    <w:rsid w:val="00E862D7"/>
    <w:rsid w:val="00E86577"/>
    <w:rsid w:val="00E86EFE"/>
    <w:rsid w:val="00E86F9F"/>
    <w:rsid w:val="00E87233"/>
    <w:rsid w:val="00E87505"/>
    <w:rsid w:val="00E87550"/>
    <w:rsid w:val="00E877BF"/>
    <w:rsid w:val="00E8787D"/>
    <w:rsid w:val="00E87C7B"/>
    <w:rsid w:val="00E902B0"/>
    <w:rsid w:val="00E902E8"/>
    <w:rsid w:val="00E9042F"/>
    <w:rsid w:val="00E905FA"/>
    <w:rsid w:val="00E90BE1"/>
    <w:rsid w:val="00E90D1E"/>
    <w:rsid w:val="00E910D2"/>
    <w:rsid w:val="00E9114E"/>
    <w:rsid w:val="00E91150"/>
    <w:rsid w:val="00E9118B"/>
    <w:rsid w:val="00E917EE"/>
    <w:rsid w:val="00E91A6B"/>
    <w:rsid w:val="00E91B9F"/>
    <w:rsid w:val="00E91C76"/>
    <w:rsid w:val="00E91CB7"/>
    <w:rsid w:val="00E92646"/>
    <w:rsid w:val="00E92743"/>
    <w:rsid w:val="00E92B0B"/>
    <w:rsid w:val="00E92BA9"/>
    <w:rsid w:val="00E92BF5"/>
    <w:rsid w:val="00E92D58"/>
    <w:rsid w:val="00E92E6A"/>
    <w:rsid w:val="00E92EBC"/>
    <w:rsid w:val="00E93BFF"/>
    <w:rsid w:val="00E9455E"/>
    <w:rsid w:val="00E9488D"/>
    <w:rsid w:val="00E949C9"/>
    <w:rsid w:val="00E94BEE"/>
    <w:rsid w:val="00E94DAC"/>
    <w:rsid w:val="00E94E44"/>
    <w:rsid w:val="00E94EE1"/>
    <w:rsid w:val="00E94FAD"/>
    <w:rsid w:val="00E95135"/>
    <w:rsid w:val="00E9545A"/>
    <w:rsid w:val="00E956E3"/>
    <w:rsid w:val="00E9571A"/>
    <w:rsid w:val="00E95721"/>
    <w:rsid w:val="00E9583D"/>
    <w:rsid w:val="00E95847"/>
    <w:rsid w:val="00E95961"/>
    <w:rsid w:val="00E95B36"/>
    <w:rsid w:val="00E95F06"/>
    <w:rsid w:val="00E962A8"/>
    <w:rsid w:val="00E964EE"/>
    <w:rsid w:val="00E96819"/>
    <w:rsid w:val="00E9691C"/>
    <w:rsid w:val="00E96954"/>
    <w:rsid w:val="00E96B94"/>
    <w:rsid w:val="00E96EC8"/>
    <w:rsid w:val="00EA00A7"/>
    <w:rsid w:val="00EA012A"/>
    <w:rsid w:val="00EA0511"/>
    <w:rsid w:val="00EA076C"/>
    <w:rsid w:val="00EA0BD6"/>
    <w:rsid w:val="00EA0C0D"/>
    <w:rsid w:val="00EA0D9C"/>
    <w:rsid w:val="00EA0EC7"/>
    <w:rsid w:val="00EA0ED3"/>
    <w:rsid w:val="00EA1675"/>
    <w:rsid w:val="00EA18A0"/>
    <w:rsid w:val="00EA1A69"/>
    <w:rsid w:val="00EA20D8"/>
    <w:rsid w:val="00EA2183"/>
    <w:rsid w:val="00EA23A6"/>
    <w:rsid w:val="00EA23AC"/>
    <w:rsid w:val="00EA2897"/>
    <w:rsid w:val="00EA298D"/>
    <w:rsid w:val="00EA2AD0"/>
    <w:rsid w:val="00EA3126"/>
    <w:rsid w:val="00EA325D"/>
    <w:rsid w:val="00EA336E"/>
    <w:rsid w:val="00EA35E0"/>
    <w:rsid w:val="00EA3E19"/>
    <w:rsid w:val="00EA41C6"/>
    <w:rsid w:val="00EA4584"/>
    <w:rsid w:val="00EA45B9"/>
    <w:rsid w:val="00EA4773"/>
    <w:rsid w:val="00EA4E53"/>
    <w:rsid w:val="00EA4FD1"/>
    <w:rsid w:val="00EA5034"/>
    <w:rsid w:val="00EA528F"/>
    <w:rsid w:val="00EA5563"/>
    <w:rsid w:val="00EA5785"/>
    <w:rsid w:val="00EA5D46"/>
    <w:rsid w:val="00EA5D64"/>
    <w:rsid w:val="00EA5D7D"/>
    <w:rsid w:val="00EA68BF"/>
    <w:rsid w:val="00EA6C5F"/>
    <w:rsid w:val="00EA6E9B"/>
    <w:rsid w:val="00EA6F73"/>
    <w:rsid w:val="00EA7056"/>
    <w:rsid w:val="00EA70E2"/>
    <w:rsid w:val="00EA756D"/>
    <w:rsid w:val="00EA7BEA"/>
    <w:rsid w:val="00EA7C3D"/>
    <w:rsid w:val="00EA7CB9"/>
    <w:rsid w:val="00EA7D11"/>
    <w:rsid w:val="00EB0056"/>
    <w:rsid w:val="00EB06E6"/>
    <w:rsid w:val="00EB113C"/>
    <w:rsid w:val="00EB15FC"/>
    <w:rsid w:val="00EB1642"/>
    <w:rsid w:val="00EB1818"/>
    <w:rsid w:val="00EB1A15"/>
    <w:rsid w:val="00EB1CE8"/>
    <w:rsid w:val="00EB23D9"/>
    <w:rsid w:val="00EB2744"/>
    <w:rsid w:val="00EB2CBC"/>
    <w:rsid w:val="00EB2F2A"/>
    <w:rsid w:val="00EB3175"/>
    <w:rsid w:val="00EB368C"/>
    <w:rsid w:val="00EB378F"/>
    <w:rsid w:val="00EB3984"/>
    <w:rsid w:val="00EB3A0D"/>
    <w:rsid w:val="00EB3F74"/>
    <w:rsid w:val="00EB42EE"/>
    <w:rsid w:val="00EB486E"/>
    <w:rsid w:val="00EB4BB2"/>
    <w:rsid w:val="00EB5209"/>
    <w:rsid w:val="00EB5A84"/>
    <w:rsid w:val="00EB5B5C"/>
    <w:rsid w:val="00EB5B91"/>
    <w:rsid w:val="00EB5C46"/>
    <w:rsid w:val="00EB5C66"/>
    <w:rsid w:val="00EB5D9D"/>
    <w:rsid w:val="00EB5DE6"/>
    <w:rsid w:val="00EB62FC"/>
    <w:rsid w:val="00EB656C"/>
    <w:rsid w:val="00EB67EA"/>
    <w:rsid w:val="00EB6878"/>
    <w:rsid w:val="00EB68EC"/>
    <w:rsid w:val="00EB6A1A"/>
    <w:rsid w:val="00EB6A56"/>
    <w:rsid w:val="00EB7288"/>
    <w:rsid w:val="00EB75BF"/>
    <w:rsid w:val="00EB7AA4"/>
    <w:rsid w:val="00EB7D3A"/>
    <w:rsid w:val="00EB7DE4"/>
    <w:rsid w:val="00EC09D5"/>
    <w:rsid w:val="00EC0A75"/>
    <w:rsid w:val="00EC0A9D"/>
    <w:rsid w:val="00EC0C66"/>
    <w:rsid w:val="00EC0C89"/>
    <w:rsid w:val="00EC1005"/>
    <w:rsid w:val="00EC1034"/>
    <w:rsid w:val="00EC12E5"/>
    <w:rsid w:val="00EC136A"/>
    <w:rsid w:val="00EC16CB"/>
    <w:rsid w:val="00EC191C"/>
    <w:rsid w:val="00EC1922"/>
    <w:rsid w:val="00EC1A8E"/>
    <w:rsid w:val="00EC1D9E"/>
    <w:rsid w:val="00EC1E0E"/>
    <w:rsid w:val="00EC230E"/>
    <w:rsid w:val="00EC236D"/>
    <w:rsid w:val="00EC2998"/>
    <w:rsid w:val="00EC29D9"/>
    <w:rsid w:val="00EC2F81"/>
    <w:rsid w:val="00EC3E20"/>
    <w:rsid w:val="00EC3F9F"/>
    <w:rsid w:val="00EC4220"/>
    <w:rsid w:val="00EC4678"/>
    <w:rsid w:val="00EC4697"/>
    <w:rsid w:val="00EC46DC"/>
    <w:rsid w:val="00EC4761"/>
    <w:rsid w:val="00EC4AF6"/>
    <w:rsid w:val="00EC4B44"/>
    <w:rsid w:val="00EC4FE3"/>
    <w:rsid w:val="00EC50B1"/>
    <w:rsid w:val="00EC544F"/>
    <w:rsid w:val="00EC5462"/>
    <w:rsid w:val="00EC56BE"/>
    <w:rsid w:val="00EC5BDA"/>
    <w:rsid w:val="00EC5C0C"/>
    <w:rsid w:val="00EC5D42"/>
    <w:rsid w:val="00EC5E9B"/>
    <w:rsid w:val="00EC6B16"/>
    <w:rsid w:val="00EC6B70"/>
    <w:rsid w:val="00EC72F6"/>
    <w:rsid w:val="00EC7AED"/>
    <w:rsid w:val="00EC7D61"/>
    <w:rsid w:val="00EC7E2A"/>
    <w:rsid w:val="00EC7FFA"/>
    <w:rsid w:val="00ED046E"/>
    <w:rsid w:val="00ED07FA"/>
    <w:rsid w:val="00ED0AD6"/>
    <w:rsid w:val="00ED0AED"/>
    <w:rsid w:val="00ED1084"/>
    <w:rsid w:val="00ED12B6"/>
    <w:rsid w:val="00ED138A"/>
    <w:rsid w:val="00ED15EA"/>
    <w:rsid w:val="00ED1650"/>
    <w:rsid w:val="00ED1E21"/>
    <w:rsid w:val="00ED1F21"/>
    <w:rsid w:val="00ED2495"/>
    <w:rsid w:val="00ED25F7"/>
    <w:rsid w:val="00ED2757"/>
    <w:rsid w:val="00ED2960"/>
    <w:rsid w:val="00ED2A7A"/>
    <w:rsid w:val="00ED2AB3"/>
    <w:rsid w:val="00ED2F6A"/>
    <w:rsid w:val="00ED2FE6"/>
    <w:rsid w:val="00ED30AD"/>
    <w:rsid w:val="00ED3278"/>
    <w:rsid w:val="00ED3976"/>
    <w:rsid w:val="00ED3B65"/>
    <w:rsid w:val="00ED3F20"/>
    <w:rsid w:val="00ED3F84"/>
    <w:rsid w:val="00ED4867"/>
    <w:rsid w:val="00ED4B44"/>
    <w:rsid w:val="00ED4F2D"/>
    <w:rsid w:val="00ED58DE"/>
    <w:rsid w:val="00ED6C11"/>
    <w:rsid w:val="00ED6F25"/>
    <w:rsid w:val="00ED7077"/>
    <w:rsid w:val="00ED72BF"/>
    <w:rsid w:val="00ED7539"/>
    <w:rsid w:val="00ED7BB8"/>
    <w:rsid w:val="00ED7D7A"/>
    <w:rsid w:val="00ED7DCA"/>
    <w:rsid w:val="00ED7EE4"/>
    <w:rsid w:val="00ED7FEE"/>
    <w:rsid w:val="00EE0124"/>
    <w:rsid w:val="00EE10A6"/>
    <w:rsid w:val="00EE11E4"/>
    <w:rsid w:val="00EE1447"/>
    <w:rsid w:val="00EE1852"/>
    <w:rsid w:val="00EE1B50"/>
    <w:rsid w:val="00EE26D9"/>
    <w:rsid w:val="00EE27D5"/>
    <w:rsid w:val="00EE2C29"/>
    <w:rsid w:val="00EE302A"/>
    <w:rsid w:val="00EE3180"/>
    <w:rsid w:val="00EE3371"/>
    <w:rsid w:val="00EE337D"/>
    <w:rsid w:val="00EE35C5"/>
    <w:rsid w:val="00EE35D3"/>
    <w:rsid w:val="00EE3B3A"/>
    <w:rsid w:val="00EE3D75"/>
    <w:rsid w:val="00EE3E7D"/>
    <w:rsid w:val="00EE3FF8"/>
    <w:rsid w:val="00EE4769"/>
    <w:rsid w:val="00EE49FF"/>
    <w:rsid w:val="00EE4A35"/>
    <w:rsid w:val="00EE4C5C"/>
    <w:rsid w:val="00EE4DAD"/>
    <w:rsid w:val="00EE4EC9"/>
    <w:rsid w:val="00EE4F6B"/>
    <w:rsid w:val="00EE50A7"/>
    <w:rsid w:val="00EE5239"/>
    <w:rsid w:val="00EE5422"/>
    <w:rsid w:val="00EE5721"/>
    <w:rsid w:val="00EE5DCB"/>
    <w:rsid w:val="00EE648E"/>
    <w:rsid w:val="00EE6BE4"/>
    <w:rsid w:val="00EE752B"/>
    <w:rsid w:val="00EE76CE"/>
    <w:rsid w:val="00EE7C78"/>
    <w:rsid w:val="00EE7E60"/>
    <w:rsid w:val="00EE7F9F"/>
    <w:rsid w:val="00EF0594"/>
    <w:rsid w:val="00EF06D0"/>
    <w:rsid w:val="00EF07C1"/>
    <w:rsid w:val="00EF0951"/>
    <w:rsid w:val="00EF0F50"/>
    <w:rsid w:val="00EF0FB9"/>
    <w:rsid w:val="00EF145E"/>
    <w:rsid w:val="00EF15A3"/>
    <w:rsid w:val="00EF185F"/>
    <w:rsid w:val="00EF1BC9"/>
    <w:rsid w:val="00EF1EED"/>
    <w:rsid w:val="00EF202B"/>
    <w:rsid w:val="00EF2297"/>
    <w:rsid w:val="00EF2836"/>
    <w:rsid w:val="00EF29A2"/>
    <w:rsid w:val="00EF2BBB"/>
    <w:rsid w:val="00EF2C7B"/>
    <w:rsid w:val="00EF2D7B"/>
    <w:rsid w:val="00EF32F2"/>
    <w:rsid w:val="00EF3650"/>
    <w:rsid w:val="00EF3CC6"/>
    <w:rsid w:val="00EF4011"/>
    <w:rsid w:val="00EF4108"/>
    <w:rsid w:val="00EF4155"/>
    <w:rsid w:val="00EF48D4"/>
    <w:rsid w:val="00EF4B74"/>
    <w:rsid w:val="00EF4BD4"/>
    <w:rsid w:val="00EF4D58"/>
    <w:rsid w:val="00EF50EE"/>
    <w:rsid w:val="00EF52FF"/>
    <w:rsid w:val="00EF567C"/>
    <w:rsid w:val="00EF59B1"/>
    <w:rsid w:val="00EF5C83"/>
    <w:rsid w:val="00EF5F33"/>
    <w:rsid w:val="00EF61EF"/>
    <w:rsid w:val="00EF6741"/>
    <w:rsid w:val="00EF6E8A"/>
    <w:rsid w:val="00EF7413"/>
    <w:rsid w:val="00EF7760"/>
    <w:rsid w:val="00EF7830"/>
    <w:rsid w:val="00EF7A54"/>
    <w:rsid w:val="00EF7B09"/>
    <w:rsid w:val="00EF7E61"/>
    <w:rsid w:val="00EF7EB7"/>
    <w:rsid w:val="00F001AE"/>
    <w:rsid w:val="00F0082D"/>
    <w:rsid w:val="00F00D49"/>
    <w:rsid w:val="00F00FCA"/>
    <w:rsid w:val="00F00FDE"/>
    <w:rsid w:val="00F010A0"/>
    <w:rsid w:val="00F010B0"/>
    <w:rsid w:val="00F015AB"/>
    <w:rsid w:val="00F019B7"/>
    <w:rsid w:val="00F01A23"/>
    <w:rsid w:val="00F01C0E"/>
    <w:rsid w:val="00F01ECB"/>
    <w:rsid w:val="00F021C5"/>
    <w:rsid w:val="00F024AB"/>
    <w:rsid w:val="00F028EF"/>
    <w:rsid w:val="00F02961"/>
    <w:rsid w:val="00F02B54"/>
    <w:rsid w:val="00F0314B"/>
    <w:rsid w:val="00F03199"/>
    <w:rsid w:val="00F0355E"/>
    <w:rsid w:val="00F03726"/>
    <w:rsid w:val="00F039B8"/>
    <w:rsid w:val="00F03C07"/>
    <w:rsid w:val="00F03CFD"/>
    <w:rsid w:val="00F03E18"/>
    <w:rsid w:val="00F03E6D"/>
    <w:rsid w:val="00F0449B"/>
    <w:rsid w:val="00F04FEE"/>
    <w:rsid w:val="00F0503A"/>
    <w:rsid w:val="00F050ED"/>
    <w:rsid w:val="00F053FA"/>
    <w:rsid w:val="00F0550F"/>
    <w:rsid w:val="00F05B18"/>
    <w:rsid w:val="00F05BEB"/>
    <w:rsid w:val="00F066D7"/>
    <w:rsid w:val="00F06965"/>
    <w:rsid w:val="00F06BD1"/>
    <w:rsid w:val="00F07135"/>
    <w:rsid w:val="00F07514"/>
    <w:rsid w:val="00F077E8"/>
    <w:rsid w:val="00F07822"/>
    <w:rsid w:val="00F07A06"/>
    <w:rsid w:val="00F07B41"/>
    <w:rsid w:val="00F07C90"/>
    <w:rsid w:val="00F07E60"/>
    <w:rsid w:val="00F07ED2"/>
    <w:rsid w:val="00F07FA6"/>
    <w:rsid w:val="00F1031D"/>
    <w:rsid w:val="00F10603"/>
    <w:rsid w:val="00F10B81"/>
    <w:rsid w:val="00F10BBA"/>
    <w:rsid w:val="00F10C32"/>
    <w:rsid w:val="00F10E40"/>
    <w:rsid w:val="00F10FC8"/>
    <w:rsid w:val="00F115F1"/>
    <w:rsid w:val="00F11A1C"/>
    <w:rsid w:val="00F11ABE"/>
    <w:rsid w:val="00F11D3E"/>
    <w:rsid w:val="00F12095"/>
    <w:rsid w:val="00F1245F"/>
    <w:rsid w:val="00F128B0"/>
    <w:rsid w:val="00F128DC"/>
    <w:rsid w:val="00F12A26"/>
    <w:rsid w:val="00F12CD2"/>
    <w:rsid w:val="00F13011"/>
    <w:rsid w:val="00F130CD"/>
    <w:rsid w:val="00F136D3"/>
    <w:rsid w:val="00F138B6"/>
    <w:rsid w:val="00F13AE9"/>
    <w:rsid w:val="00F143D1"/>
    <w:rsid w:val="00F1480E"/>
    <w:rsid w:val="00F14B1D"/>
    <w:rsid w:val="00F1502F"/>
    <w:rsid w:val="00F152AA"/>
    <w:rsid w:val="00F1570F"/>
    <w:rsid w:val="00F15C84"/>
    <w:rsid w:val="00F15C94"/>
    <w:rsid w:val="00F15DDA"/>
    <w:rsid w:val="00F160DA"/>
    <w:rsid w:val="00F1678F"/>
    <w:rsid w:val="00F16AE3"/>
    <w:rsid w:val="00F16DD7"/>
    <w:rsid w:val="00F16FF3"/>
    <w:rsid w:val="00F17054"/>
    <w:rsid w:val="00F174FB"/>
    <w:rsid w:val="00F17836"/>
    <w:rsid w:val="00F179AF"/>
    <w:rsid w:val="00F17A1D"/>
    <w:rsid w:val="00F20013"/>
    <w:rsid w:val="00F2185F"/>
    <w:rsid w:val="00F22800"/>
    <w:rsid w:val="00F22BF2"/>
    <w:rsid w:val="00F230ED"/>
    <w:rsid w:val="00F23207"/>
    <w:rsid w:val="00F23490"/>
    <w:rsid w:val="00F235DF"/>
    <w:rsid w:val="00F2361E"/>
    <w:rsid w:val="00F236F1"/>
    <w:rsid w:val="00F238D8"/>
    <w:rsid w:val="00F23AB3"/>
    <w:rsid w:val="00F23C49"/>
    <w:rsid w:val="00F24137"/>
    <w:rsid w:val="00F24612"/>
    <w:rsid w:val="00F24791"/>
    <w:rsid w:val="00F248C4"/>
    <w:rsid w:val="00F248DC"/>
    <w:rsid w:val="00F25A0A"/>
    <w:rsid w:val="00F25A2C"/>
    <w:rsid w:val="00F25D4B"/>
    <w:rsid w:val="00F25E68"/>
    <w:rsid w:val="00F2650C"/>
    <w:rsid w:val="00F265A2"/>
    <w:rsid w:val="00F26991"/>
    <w:rsid w:val="00F270BE"/>
    <w:rsid w:val="00F27162"/>
    <w:rsid w:val="00F276C7"/>
    <w:rsid w:val="00F278FD"/>
    <w:rsid w:val="00F27B62"/>
    <w:rsid w:val="00F27D4F"/>
    <w:rsid w:val="00F30300"/>
    <w:rsid w:val="00F30E38"/>
    <w:rsid w:val="00F3128F"/>
    <w:rsid w:val="00F31EA1"/>
    <w:rsid w:val="00F31F82"/>
    <w:rsid w:val="00F3217E"/>
    <w:rsid w:val="00F32BBF"/>
    <w:rsid w:val="00F32C8D"/>
    <w:rsid w:val="00F333BC"/>
    <w:rsid w:val="00F336D7"/>
    <w:rsid w:val="00F337BB"/>
    <w:rsid w:val="00F340BB"/>
    <w:rsid w:val="00F34855"/>
    <w:rsid w:val="00F34A78"/>
    <w:rsid w:val="00F35354"/>
    <w:rsid w:val="00F3554E"/>
    <w:rsid w:val="00F359CB"/>
    <w:rsid w:val="00F35BB9"/>
    <w:rsid w:val="00F35E86"/>
    <w:rsid w:val="00F364B0"/>
    <w:rsid w:val="00F36554"/>
    <w:rsid w:val="00F36626"/>
    <w:rsid w:val="00F369D2"/>
    <w:rsid w:val="00F37224"/>
    <w:rsid w:val="00F3732C"/>
    <w:rsid w:val="00F376CF"/>
    <w:rsid w:val="00F37A2C"/>
    <w:rsid w:val="00F402F5"/>
    <w:rsid w:val="00F404E9"/>
    <w:rsid w:val="00F405D3"/>
    <w:rsid w:val="00F40972"/>
    <w:rsid w:val="00F40AD4"/>
    <w:rsid w:val="00F40CD4"/>
    <w:rsid w:val="00F40CE1"/>
    <w:rsid w:val="00F41145"/>
    <w:rsid w:val="00F413C3"/>
    <w:rsid w:val="00F41B9B"/>
    <w:rsid w:val="00F42095"/>
    <w:rsid w:val="00F4268E"/>
    <w:rsid w:val="00F42948"/>
    <w:rsid w:val="00F42C09"/>
    <w:rsid w:val="00F42DD2"/>
    <w:rsid w:val="00F43188"/>
    <w:rsid w:val="00F439EC"/>
    <w:rsid w:val="00F43A1F"/>
    <w:rsid w:val="00F43F54"/>
    <w:rsid w:val="00F44161"/>
    <w:rsid w:val="00F44998"/>
    <w:rsid w:val="00F450B5"/>
    <w:rsid w:val="00F45318"/>
    <w:rsid w:val="00F45867"/>
    <w:rsid w:val="00F4598D"/>
    <w:rsid w:val="00F45CEB"/>
    <w:rsid w:val="00F468C3"/>
    <w:rsid w:val="00F46A56"/>
    <w:rsid w:val="00F46ABF"/>
    <w:rsid w:val="00F46B66"/>
    <w:rsid w:val="00F46B73"/>
    <w:rsid w:val="00F46E24"/>
    <w:rsid w:val="00F473C9"/>
    <w:rsid w:val="00F4741A"/>
    <w:rsid w:val="00F476F0"/>
    <w:rsid w:val="00F4781A"/>
    <w:rsid w:val="00F5000B"/>
    <w:rsid w:val="00F50042"/>
    <w:rsid w:val="00F50406"/>
    <w:rsid w:val="00F50631"/>
    <w:rsid w:val="00F5077A"/>
    <w:rsid w:val="00F5092A"/>
    <w:rsid w:val="00F50F2C"/>
    <w:rsid w:val="00F51115"/>
    <w:rsid w:val="00F51823"/>
    <w:rsid w:val="00F5189B"/>
    <w:rsid w:val="00F51987"/>
    <w:rsid w:val="00F51BCE"/>
    <w:rsid w:val="00F52156"/>
    <w:rsid w:val="00F5228C"/>
    <w:rsid w:val="00F52348"/>
    <w:rsid w:val="00F5267A"/>
    <w:rsid w:val="00F52680"/>
    <w:rsid w:val="00F5386C"/>
    <w:rsid w:val="00F53B96"/>
    <w:rsid w:val="00F53CFD"/>
    <w:rsid w:val="00F53DD6"/>
    <w:rsid w:val="00F54181"/>
    <w:rsid w:val="00F54A46"/>
    <w:rsid w:val="00F553CC"/>
    <w:rsid w:val="00F55B1A"/>
    <w:rsid w:val="00F55BA1"/>
    <w:rsid w:val="00F55C1E"/>
    <w:rsid w:val="00F55D16"/>
    <w:rsid w:val="00F55E02"/>
    <w:rsid w:val="00F55E80"/>
    <w:rsid w:val="00F56078"/>
    <w:rsid w:val="00F560D7"/>
    <w:rsid w:val="00F56470"/>
    <w:rsid w:val="00F5682F"/>
    <w:rsid w:val="00F56A97"/>
    <w:rsid w:val="00F57BED"/>
    <w:rsid w:val="00F57C1D"/>
    <w:rsid w:val="00F60153"/>
    <w:rsid w:val="00F604B1"/>
    <w:rsid w:val="00F6063B"/>
    <w:rsid w:val="00F609A7"/>
    <w:rsid w:val="00F609B7"/>
    <w:rsid w:val="00F60BB6"/>
    <w:rsid w:val="00F60C0A"/>
    <w:rsid w:val="00F60CF6"/>
    <w:rsid w:val="00F6135C"/>
    <w:rsid w:val="00F6141F"/>
    <w:rsid w:val="00F616AB"/>
    <w:rsid w:val="00F61FF3"/>
    <w:rsid w:val="00F62043"/>
    <w:rsid w:val="00F6248E"/>
    <w:rsid w:val="00F62B5A"/>
    <w:rsid w:val="00F62D91"/>
    <w:rsid w:val="00F62DD3"/>
    <w:rsid w:val="00F63132"/>
    <w:rsid w:val="00F632B4"/>
    <w:rsid w:val="00F632B7"/>
    <w:rsid w:val="00F63460"/>
    <w:rsid w:val="00F63564"/>
    <w:rsid w:val="00F6358E"/>
    <w:rsid w:val="00F63619"/>
    <w:rsid w:val="00F63F95"/>
    <w:rsid w:val="00F640BD"/>
    <w:rsid w:val="00F6455C"/>
    <w:rsid w:val="00F648C1"/>
    <w:rsid w:val="00F64929"/>
    <w:rsid w:val="00F64A6A"/>
    <w:rsid w:val="00F64C66"/>
    <w:rsid w:val="00F64E69"/>
    <w:rsid w:val="00F6519F"/>
    <w:rsid w:val="00F658C9"/>
    <w:rsid w:val="00F6594D"/>
    <w:rsid w:val="00F65DD3"/>
    <w:rsid w:val="00F65FAF"/>
    <w:rsid w:val="00F65FC2"/>
    <w:rsid w:val="00F665E5"/>
    <w:rsid w:val="00F6683E"/>
    <w:rsid w:val="00F668AD"/>
    <w:rsid w:val="00F66A1B"/>
    <w:rsid w:val="00F66E01"/>
    <w:rsid w:val="00F703CA"/>
    <w:rsid w:val="00F707BA"/>
    <w:rsid w:val="00F70B7E"/>
    <w:rsid w:val="00F70BB6"/>
    <w:rsid w:val="00F70BBB"/>
    <w:rsid w:val="00F70C3F"/>
    <w:rsid w:val="00F70E8D"/>
    <w:rsid w:val="00F70F8E"/>
    <w:rsid w:val="00F713D1"/>
    <w:rsid w:val="00F71866"/>
    <w:rsid w:val="00F720E8"/>
    <w:rsid w:val="00F7247A"/>
    <w:rsid w:val="00F724AB"/>
    <w:rsid w:val="00F72952"/>
    <w:rsid w:val="00F72989"/>
    <w:rsid w:val="00F72A07"/>
    <w:rsid w:val="00F72C14"/>
    <w:rsid w:val="00F730A2"/>
    <w:rsid w:val="00F73973"/>
    <w:rsid w:val="00F73C99"/>
    <w:rsid w:val="00F741BE"/>
    <w:rsid w:val="00F741E7"/>
    <w:rsid w:val="00F744C7"/>
    <w:rsid w:val="00F74664"/>
    <w:rsid w:val="00F74C01"/>
    <w:rsid w:val="00F74C18"/>
    <w:rsid w:val="00F74E6E"/>
    <w:rsid w:val="00F758B0"/>
    <w:rsid w:val="00F75C20"/>
    <w:rsid w:val="00F75D1A"/>
    <w:rsid w:val="00F7613A"/>
    <w:rsid w:val="00F761FF"/>
    <w:rsid w:val="00F764EB"/>
    <w:rsid w:val="00F7654C"/>
    <w:rsid w:val="00F770A1"/>
    <w:rsid w:val="00F7737D"/>
    <w:rsid w:val="00F77500"/>
    <w:rsid w:val="00F775E8"/>
    <w:rsid w:val="00F77796"/>
    <w:rsid w:val="00F77813"/>
    <w:rsid w:val="00F7799A"/>
    <w:rsid w:val="00F77B81"/>
    <w:rsid w:val="00F77EC7"/>
    <w:rsid w:val="00F80032"/>
    <w:rsid w:val="00F80405"/>
    <w:rsid w:val="00F80691"/>
    <w:rsid w:val="00F80E78"/>
    <w:rsid w:val="00F80EB1"/>
    <w:rsid w:val="00F80F5D"/>
    <w:rsid w:val="00F8117B"/>
    <w:rsid w:val="00F81502"/>
    <w:rsid w:val="00F8179E"/>
    <w:rsid w:val="00F819E7"/>
    <w:rsid w:val="00F81E8B"/>
    <w:rsid w:val="00F8210B"/>
    <w:rsid w:val="00F82294"/>
    <w:rsid w:val="00F82353"/>
    <w:rsid w:val="00F825B2"/>
    <w:rsid w:val="00F825FD"/>
    <w:rsid w:val="00F8270A"/>
    <w:rsid w:val="00F82746"/>
    <w:rsid w:val="00F8289B"/>
    <w:rsid w:val="00F828D9"/>
    <w:rsid w:val="00F82AAA"/>
    <w:rsid w:val="00F82B2A"/>
    <w:rsid w:val="00F82C46"/>
    <w:rsid w:val="00F8327D"/>
    <w:rsid w:val="00F8335D"/>
    <w:rsid w:val="00F836F9"/>
    <w:rsid w:val="00F8387E"/>
    <w:rsid w:val="00F83B25"/>
    <w:rsid w:val="00F84151"/>
    <w:rsid w:val="00F844F3"/>
    <w:rsid w:val="00F845D7"/>
    <w:rsid w:val="00F84A41"/>
    <w:rsid w:val="00F84E89"/>
    <w:rsid w:val="00F84EDE"/>
    <w:rsid w:val="00F8557F"/>
    <w:rsid w:val="00F855CB"/>
    <w:rsid w:val="00F8566F"/>
    <w:rsid w:val="00F86982"/>
    <w:rsid w:val="00F86BBA"/>
    <w:rsid w:val="00F86BDC"/>
    <w:rsid w:val="00F86CF4"/>
    <w:rsid w:val="00F86E47"/>
    <w:rsid w:val="00F875E8"/>
    <w:rsid w:val="00F87FC7"/>
    <w:rsid w:val="00F901DF"/>
    <w:rsid w:val="00F903DE"/>
    <w:rsid w:val="00F90726"/>
    <w:rsid w:val="00F90C66"/>
    <w:rsid w:val="00F90D1F"/>
    <w:rsid w:val="00F90D86"/>
    <w:rsid w:val="00F91111"/>
    <w:rsid w:val="00F92279"/>
    <w:rsid w:val="00F924E8"/>
    <w:rsid w:val="00F928F3"/>
    <w:rsid w:val="00F92996"/>
    <w:rsid w:val="00F9346D"/>
    <w:rsid w:val="00F93840"/>
    <w:rsid w:val="00F938E0"/>
    <w:rsid w:val="00F93A14"/>
    <w:rsid w:val="00F94201"/>
    <w:rsid w:val="00F94EDC"/>
    <w:rsid w:val="00F94FD6"/>
    <w:rsid w:val="00F951F2"/>
    <w:rsid w:val="00F95BB9"/>
    <w:rsid w:val="00F95DC1"/>
    <w:rsid w:val="00F95E34"/>
    <w:rsid w:val="00F965DA"/>
    <w:rsid w:val="00F96635"/>
    <w:rsid w:val="00F96A84"/>
    <w:rsid w:val="00F96B0A"/>
    <w:rsid w:val="00F96BB2"/>
    <w:rsid w:val="00F96C4B"/>
    <w:rsid w:val="00F96C83"/>
    <w:rsid w:val="00F9743D"/>
    <w:rsid w:val="00F97D83"/>
    <w:rsid w:val="00FA0905"/>
    <w:rsid w:val="00FA09F4"/>
    <w:rsid w:val="00FA0B8B"/>
    <w:rsid w:val="00FA0BA6"/>
    <w:rsid w:val="00FA0D32"/>
    <w:rsid w:val="00FA0F45"/>
    <w:rsid w:val="00FA1A00"/>
    <w:rsid w:val="00FA1B84"/>
    <w:rsid w:val="00FA1C55"/>
    <w:rsid w:val="00FA2216"/>
    <w:rsid w:val="00FA2248"/>
    <w:rsid w:val="00FA22F1"/>
    <w:rsid w:val="00FA233F"/>
    <w:rsid w:val="00FA265E"/>
    <w:rsid w:val="00FA3032"/>
    <w:rsid w:val="00FA30A9"/>
    <w:rsid w:val="00FA30B3"/>
    <w:rsid w:val="00FA33B1"/>
    <w:rsid w:val="00FA3695"/>
    <w:rsid w:val="00FA3EF5"/>
    <w:rsid w:val="00FA3F04"/>
    <w:rsid w:val="00FA4240"/>
    <w:rsid w:val="00FA4648"/>
    <w:rsid w:val="00FA48B8"/>
    <w:rsid w:val="00FA568F"/>
    <w:rsid w:val="00FA5F78"/>
    <w:rsid w:val="00FA6070"/>
    <w:rsid w:val="00FA60D3"/>
    <w:rsid w:val="00FA6203"/>
    <w:rsid w:val="00FA67B3"/>
    <w:rsid w:val="00FA6DA5"/>
    <w:rsid w:val="00FA6ECD"/>
    <w:rsid w:val="00FA7492"/>
    <w:rsid w:val="00FA76C7"/>
    <w:rsid w:val="00FA781B"/>
    <w:rsid w:val="00FA786C"/>
    <w:rsid w:val="00FA7BE8"/>
    <w:rsid w:val="00FA7C2E"/>
    <w:rsid w:val="00FA7E0D"/>
    <w:rsid w:val="00FB033E"/>
    <w:rsid w:val="00FB03B3"/>
    <w:rsid w:val="00FB0759"/>
    <w:rsid w:val="00FB08DC"/>
    <w:rsid w:val="00FB08ED"/>
    <w:rsid w:val="00FB0AAC"/>
    <w:rsid w:val="00FB0EA2"/>
    <w:rsid w:val="00FB107D"/>
    <w:rsid w:val="00FB1969"/>
    <w:rsid w:val="00FB1A66"/>
    <w:rsid w:val="00FB1CDE"/>
    <w:rsid w:val="00FB2628"/>
    <w:rsid w:val="00FB28C1"/>
    <w:rsid w:val="00FB2A2E"/>
    <w:rsid w:val="00FB2E70"/>
    <w:rsid w:val="00FB2F3A"/>
    <w:rsid w:val="00FB338E"/>
    <w:rsid w:val="00FB356A"/>
    <w:rsid w:val="00FB3984"/>
    <w:rsid w:val="00FB3A08"/>
    <w:rsid w:val="00FB3C1F"/>
    <w:rsid w:val="00FB3FED"/>
    <w:rsid w:val="00FB437D"/>
    <w:rsid w:val="00FB44B0"/>
    <w:rsid w:val="00FB4D21"/>
    <w:rsid w:val="00FB4D5C"/>
    <w:rsid w:val="00FB5576"/>
    <w:rsid w:val="00FB55DC"/>
    <w:rsid w:val="00FB573E"/>
    <w:rsid w:val="00FB5827"/>
    <w:rsid w:val="00FB595E"/>
    <w:rsid w:val="00FB60F3"/>
    <w:rsid w:val="00FB63CB"/>
    <w:rsid w:val="00FB6425"/>
    <w:rsid w:val="00FB672A"/>
    <w:rsid w:val="00FB67BD"/>
    <w:rsid w:val="00FB6940"/>
    <w:rsid w:val="00FB6955"/>
    <w:rsid w:val="00FB6BA4"/>
    <w:rsid w:val="00FB7130"/>
    <w:rsid w:val="00FB7455"/>
    <w:rsid w:val="00FB762B"/>
    <w:rsid w:val="00FB77A7"/>
    <w:rsid w:val="00FB7A26"/>
    <w:rsid w:val="00FB7AB1"/>
    <w:rsid w:val="00FB7D95"/>
    <w:rsid w:val="00FB7EB7"/>
    <w:rsid w:val="00FC0188"/>
    <w:rsid w:val="00FC03AD"/>
    <w:rsid w:val="00FC03F3"/>
    <w:rsid w:val="00FC0E1A"/>
    <w:rsid w:val="00FC107F"/>
    <w:rsid w:val="00FC13A2"/>
    <w:rsid w:val="00FC145B"/>
    <w:rsid w:val="00FC1C0D"/>
    <w:rsid w:val="00FC1E9A"/>
    <w:rsid w:val="00FC1F17"/>
    <w:rsid w:val="00FC2169"/>
    <w:rsid w:val="00FC2283"/>
    <w:rsid w:val="00FC2396"/>
    <w:rsid w:val="00FC2B59"/>
    <w:rsid w:val="00FC2D4B"/>
    <w:rsid w:val="00FC2EB1"/>
    <w:rsid w:val="00FC30B6"/>
    <w:rsid w:val="00FC3738"/>
    <w:rsid w:val="00FC3A8D"/>
    <w:rsid w:val="00FC3B45"/>
    <w:rsid w:val="00FC4224"/>
    <w:rsid w:val="00FC435D"/>
    <w:rsid w:val="00FC4396"/>
    <w:rsid w:val="00FC463D"/>
    <w:rsid w:val="00FC46A6"/>
    <w:rsid w:val="00FC47E7"/>
    <w:rsid w:val="00FC4C5D"/>
    <w:rsid w:val="00FC4CAD"/>
    <w:rsid w:val="00FC4CBD"/>
    <w:rsid w:val="00FC4D79"/>
    <w:rsid w:val="00FC4F35"/>
    <w:rsid w:val="00FC50C3"/>
    <w:rsid w:val="00FC520C"/>
    <w:rsid w:val="00FC55A0"/>
    <w:rsid w:val="00FC5700"/>
    <w:rsid w:val="00FC5775"/>
    <w:rsid w:val="00FC592F"/>
    <w:rsid w:val="00FC5C8C"/>
    <w:rsid w:val="00FC5ED9"/>
    <w:rsid w:val="00FC6084"/>
    <w:rsid w:val="00FC6104"/>
    <w:rsid w:val="00FC65B9"/>
    <w:rsid w:val="00FC677B"/>
    <w:rsid w:val="00FC6ADA"/>
    <w:rsid w:val="00FC6E27"/>
    <w:rsid w:val="00FC7293"/>
    <w:rsid w:val="00FC731F"/>
    <w:rsid w:val="00FC73DC"/>
    <w:rsid w:val="00FC75AF"/>
    <w:rsid w:val="00FC788A"/>
    <w:rsid w:val="00FC7890"/>
    <w:rsid w:val="00FC7C27"/>
    <w:rsid w:val="00FC7C46"/>
    <w:rsid w:val="00FC7CD7"/>
    <w:rsid w:val="00FC7FB8"/>
    <w:rsid w:val="00FD06B5"/>
    <w:rsid w:val="00FD08CD"/>
    <w:rsid w:val="00FD0A06"/>
    <w:rsid w:val="00FD0B88"/>
    <w:rsid w:val="00FD0F9F"/>
    <w:rsid w:val="00FD1280"/>
    <w:rsid w:val="00FD191E"/>
    <w:rsid w:val="00FD21C4"/>
    <w:rsid w:val="00FD2602"/>
    <w:rsid w:val="00FD2D2E"/>
    <w:rsid w:val="00FD2F11"/>
    <w:rsid w:val="00FD3009"/>
    <w:rsid w:val="00FD3172"/>
    <w:rsid w:val="00FD335C"/>
    <w:rsid w:val="00FD3572"/>
    <w:rsid w:val="00FD37BA"/>
    <w:rsid w:val="00FD393C"/>
    <w:rsid w:val="00FD3CF7"/>
    <w:rsid w:val="00FD3E6C"/>
    <w:rsid w:val="00FD4029"/>
    <w:rsid w:val="00FD457E"/>
    <w:rsid w:val="00FD46FC"/>
    <w:rsid w:val="00FD4B61"/>
    <w:rsid w:val="00FD57BB"/>
    <w:rsid w:val="00FD5802"/>
    <w:rsid w:val="00FD5A0E"/>
    <w:rsid w:val="00FD5AFA"/>
    <w:rsid w:val="00FD5BAC"/>
    <w:rsid w:val="00FD60D0"/>
    <w:rsid w:val="00FD63B5"/>
    <w:rsid w:val="00FD6595"/>
    <w:rsid w:val="00FD6808"/>
    <w:rsid w:val="00FD6E0A"/>
    <w:rsid w:val="00FD6F48"/>
    <w:rsid w:val="00FD7132"/>
    <w:rsid w:val="00FD7601"/>
    <w:rsid w:val="00FD779A"/>
    <w:rsid w:val="00FD7C47"/>
    <w:rsid w:val="00FD7C79"/>
    <w:rsid w:val="00FE08DA"/>
    <w:rsid w:val="00FE0B8C"/>
    <w:rsid w:val="00FE11B8"/>
    <w:rsid w:val="00FE1257"/>
    <w:rsid w:val="00FE16FB"/>
    <w:rsid w:val="00FE171F"/>
    <w:rsid w:val="00FE1E67"/>
    <w:rsid w:val="00FE25A5"/>
    <w:rsid w:val="00FE28F3"/>
    <w:rsid w:val="00FE2DE0"/>
    <w:rsid w:val="00FE345D"/>
    <w:rsid w:val="00FE37B4"/>
    <w:rsid w:val="00FE3881"/>
    <w:rsid w:val="00FE3AE5"/>
    <w:rsid w:val="00FE3BAB"/>
    <w:rsid w:val="00FE3D95"/>
    <w:rsid w:val="00FE471B"/>
    <w:rsid w:val="00FE47BB"/>
    <w:rsid w:val="00FE4B36"/>
    <w:rsid w:val="00FE4CDC"/>
    <w:rsid w:val="00FE5D77"/>
    <w:rsid w:val="00FE611A"/>
    <w:rsid w:val="00FE6DA3"/>
    <w:rsid w:val="00FE6EE9"/>
    <w:rsid w:val="00FE6FE3"/>
    <w:rsid w:val="00FE702D"/>
    <w:rsid w:val="00FE70BE"/>
    <w:rsid w:val="00FE7175"/>
    <w:rsid w:val="00FE761A"/>
    <w:rsid w:val="00FE7807"/>
    <w:rsid w:val="00FE79CA"/>
    <w:rsid w:val="00FE79F7"/>
    <w:rsid w:val="00FE7C3A"/>
    <w:rsid w:val="00FE7F1A"/>
    <w:rsid w:val="00FF041E"/>
    <w:rsid w:val="00FF05D0"/>
    <w:rsid w:val="00FF077E"/>
    <w:rsid w:val="00FF0AFA"/>
    <w:rsid w:val="00FF12F3"/>
    <w:rsid w:val="00FF134A"/>
    <w:rsid w:val="00FF154F"/>
    <w:rsid w:val="00FF1A2C"/>
    <w:rsid w:val="00FF1FBA"/>
    <w:rsid w:val="00FF2078"/>
    <w:rsid w:val="00FF22E5"/>
    <w:rsid w:val="00FF2420"/>
    <w:rsid w:val="00FF25C3"/>
    <w:rsid w:val="00FF2F6F"/>
    <w:rsid w:val="00FF31E9"/>
    <w:rsid w:val="00FF3D7E"/>
    <w:rsid w:val="00FF3F04"/>
    <w:rsid w:val="00FF456F"/>
    <w:rsid w:val="00FF4835"/>
    <w:rsid w:val="00FF48F5"/>
    <w:rsid w:val="00FF48FD"/>
    <w:rsid w:val="00FF4A99"/>
    <w:rsid w:val="00FF4EEA"/>
    <w:rsid w:val="00FF4F6B"/>
    <w:rsid w:val="00FF52A7"/>
    <w:rsid w:val="00FF52AD"/>
    <w:rsid w:val="00FF52AF"/>
    <w:rsid w:val="00FF53ED"/>
    <w:rsid w:val="00FF5D3F"/>
    <w:rsid w:val="00FF6184"/>
    <w:rsid w:val="00FF6389"/>
    <w:rsid w:val="00FF6688"/>
    <w:rsid w:val="00FF673C"/>
    <w:rsid w:val="00FF6D14"/>
    <w:rsid w:val="00FF7067"/>
    <w:rsid w:val="00FF75BD"/>
    <w:rsid w:val="00FF7601"/>
    <w:rsid w:val="00FF7669"/>
    <w:rsid w:val="00FF7A60"/>
    <w:rsid w:val="00FF7C91"/>
    <w:rsid w:val="00FF7D05"/>
    <w:rsid w:val="1F05A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0FC"/>
    <w:pPr>
      <w:spacing w:after="240" w:line="260" w:lineRule="exact"/>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085AD4"/>
    <w:pPr>
      <w:spacing w:after="360"/>
      <w:outlineLvl w:val="0"/>
    </w:pPr>
    <w:rPr>
      <w:b/>
      <w:bCs w:val="0"/>
      <w:caps/>
      <w:color w:val="002C47" w:themeColor="accent1"/>
      <w:sz w:val="40"/>
    </w:rPr>
  </w:style>
  <w:style w:type="paragraph" w:styleId="Heading2">
    <w:name w:val="heading 2"/>
    <w:basedOn w:val="HeadingBase"/>
    <w:next w:val="Normal"/>
    <w:link w:val="Heading2Char"/>
    <w:qFormat/>
    <w:rsid w:val="00B94A87"/>
    <w:pPr>
      <w:spacing w:before="120" w:after="240"/>
      <w:outlineLvl w:val="1"/>
    </w:pPr>
    <w:rPr>
      <w:b/>
      <w:bCs w:val="0"/>
      <w:iCs/>
      <w:color w:val="3A6FAF" w:themeColor="accent2"/>
      <w:sz w:val="36"/>
      <w:szCs w:val="28"/>
    </w:rPr>
  </w:style>
  <w:style w:type="paragraph" w:styleId="Heading3">
    <w:name w:val="heading 3"/>
    <w:basedOn w:val="HeadingBase"/>
    <w:next w:val="Normal"/>
    <w:link w:val="Heading3Char"/>
    <w:qFormat/>
    <w:rsid w:val="00311376"/>
    <w:pPr>
      <w:spacing w:before="120" w:after="180"/>
      <w:outlineLvl w:val="2"/>
    </w:pPr>
    <w:rPr>
      <w:b/>
      <w:bCs w:val="0"/>
      <w:color w:val="404040" w:themeColor="text1" w:themeTint="BF"/>
      <w:sz w:val="28"/>
      <w:szCs w:val="26"/>
    </w:rPr>
  </w:style>
  <w:style w:type="paragraph" w:styleId="Heading4">
    <w:name w:val="heading 4"/>
    <w:basedOn w:val="HeadingBase"/>
    <w:next w:val="Normal"/>
    <w:link w:val="Heading4Char"/>
    <w:qFormat/>
    <w:rsid w:val="00B94A87"/>
    <w:pPr>
      <w:outlineLvl w:val="3"/>
    </w:pPr>
    <w:rPr>
      <w:b/>
      <w:bCs w:val="0"/>
      <w:color w:val="3A6FAF" w:themeColor="accent2"/>
      <w:sz w:val="24"/>
      <w:szCs w:val="26"/>
    </w:rPr>
  </w:style>
  <w:style w:type="paragraph" w:styleId="Heading5">
    <w:name w:val="heading 5"/>
    <w:basedOn w:val="HeadingBase"/>
    <w:next w:val="Normal"/>
    <w:link w:val="Heading5Char"/>
    <w:qFormat/>
    <w:rsid w:val="00B94A87"/>
    <w:pPr>
      <w:outlineLvl w:val="4"/>
    </w:pPr>
    <w:rPr>
      <w:bCs w:val="0"/>
      <w:i/>
      <w:iCs/>
      <w:color w:val="3A6FAF" w:themeColor="accent2"/>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AD4"/>
    <w:rPr>
      <w:rFonts w:ascii="Calibri" w:eastAsia="Times New Roman" w:hAnsi="Calibri" w:cs="Arial"/>
      <w:b/>
      <w:caps/>
      <w:color w:val="002C47" w:themeColor="accent1"/>
      <w:kern w:val="32"/>
      <w:sz w:val="40"/>
      <w:szCs w:val="36"/>
      <w:lang w:eastAsia="en-AU"/>
    </w:rPr>
  </w:style>
  <w:style w:type="character" w:customStyle="1" w:styleId="Heading2Char">
    <w:name w:val="Heading 2 Char"/>
    <w:basedOn w:val="DefaultParagraphFont"/>
    <w:link w:val="Heading2"/>
    <w:rsid w:val="00B94A87"/>
    <w:rPr>
      <w:rFonts w:ascii="Calibri" w:eastAsia="Times New Roman" w:hAnsi="Calibri" w:cs="Arial"/>
      <w:b/>
      <w:iCs/>
      <w:color w:val="3A6FAF" w:themeColor="accent2"/>
      <w:kern w:val="32"/>
      <w:sz w:val="36"/>
      <w:szCs w:val="28"/>
      <w:lang w:eastAsia="en-AU"/>
    </w:rPr>
  </w:style>
  <w:style w:type="character" w:customStyle="1" w:styleId="Heading3Char">
    <w:name w:val="Heading 3 Char"/>
    <w:basedOn w:val="DefaultParagraphFont"/>
    <w:link w:val="Heading3"/>
    <w:rsid w:val="00117963"/>
    <w:rPr>
      <w:rFonts w:ascii="Calibri" w:eastAsia="Times New Roman" w:hAnsi="Calibri" w:cs="Arial"/>
      <w:b/>
      <w:color w:val="404040" w:themeColor="text1" w:themeTint="BF"/>
      <w:kern w:val="32"/>
      <w:sz w:val="28"/>
      <w:szCs w:val="26"/>
      <w:lang w:eastAsia="en-AU"/>
    </w:rPr>
  </w:style>
  <w:style w:type="character" w:customStyle="1" w:styleId="Heading4Char">
    <w:name w:val="Heading 4 Char"/>
    <w:basedOn w:val="DefaultParagraphFont"/>
    <w:link w:val="Heading4"/>
    <w:rsid w:val="00B94A87"/>
    <w:rPr>
      <w:rFonts w:ascii="Calibri" w:eastAsia="Times New Roman" w:hAnsi="Calibri" w:cs="Arial"/>
      <w:b/>
      <w:color w:val="3A6FAF" w:themeColor="accent2"/>
      <w:kern w:val="32"/>
      <w:sz w:val="24"/>
      <w:szCs w:val="26"/>
      <w:lang w:eastAsia="en-AU"/>
    </w:rPr>
  </w:style>
  <w:style w:type="character" w:customStyle="1" w:styleId="Heading5Char">
    <w:name w:val="Heading 5 Char"/>
    <w:basedOn w:val="DefaultParagraphFont"/>
    <w:link w:val="Heading5"/>
    <w:rsid w:val="00B94A87"/>
    <w:rPr>
      <w:rFonts w:ascii="Calibri" w:eastAsia="Times New Roman" w:hAnsi="Calibri" w:cs="Arial"/>
      <w:i/>
      <w:iCs/>
      <w:color w:val="3A6FAF" w:themeColor="accent2"/>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tabs>
        <w:tab w:val="clear" w:pos="567"/>
        <w:tab w:val="num" w:pos="360"/>
      </w:tabs>
      <w:ind w:left="568" w:firstLine="0"/>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Body,level 1,Bullet + line"/>
    <w:basedOn w:val="Normal"/>
    <w:link w:val="BulletChar"/>
    <w:qFormat/>
    <w:rsid w:val="000E0B74"/>
    <w:pPr>
      <w:numPr>
        <w:numId w:val="14"/>
      </w:numPr>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rPr>
      <w:b/>
    </w:r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style>
  <w:style w:type="paragraph" w:customStyle="1" w:styleId="ReportDate">
    <w:name w:val="Report Date"/>
    <w:basedOn w:val="Normal"/>
    <w:link w:val="ReportDateChar"/>
    <w:rsid w:val="00085AD4"/>
    <w:pPr>
      <w:keepNext/>
      <w:spacing w:before="960" w:after="0" w:line="240" w:lineRule="auto"/>
      <w:jc w:val="right"/>
    </w:pPr>
    <w:rPr>
      <w:b/>
      <w:color w:val="3A6FAF" w:themeColor="accent2"/>
      <w:sz w:val="44"/>
    </w:rPr>
  </w:style>
  <w:style w:type="paragraph" w:customStyle="1" w:styleId="Dash">
    <w:name w:val="Dash"/>
    <w:basedOn w:val="Normal"/>
    <w:link w:val="DashChar"/>
    <w:qFormat/>
    <w:rsid w:val="000E0B74"/>
    <w:pPr>
      <w:numPr>
        <w:ilvl w:val="1"/>
        <w:numId w:val="1"/>
      </w:numPr>
    </w:pPr>
  </w:style>
  <w:style w:type="paragraph" w:customStyle="1" w:styleId="DoubleDot">
    <w:name w:val="Double Dot"/>
    <w:basedOn w:val="Normal"/>
    <w:qFormat/>
    <w:rsid w:val="000E0B74"/>
    <w:pPr>
      <w:numPr>
        <w:ilvl w:val="2"/>
        <w:numId w:val="1"/>
      </w:numPr>
    </w:pPr>
  </w:style>
  <w:style w:type="paragraph" w:customStyle="1" w:styleId="TableMainHeading">
    <w:name w:val="Table Main Heading"/>
    <w:basedOn w:val="Heading3"/>
    <w:next w:val="Normal"/>
    <w:rsid w:val="00CE0C85"/>
    <w:pPr>
      <w:spacing w:before="60" w:after="60"/>
      <w:jc w:val="center"/>
    </w:pPr>
    <w:rPr>
      <w:b w:val="0"/>
      <w:caps/>
      <w:color w:val="002C47" w:themeColor="accent1"/>
      <w:sz w:val="24"/>
    </w:rPr>
  </w:style>
  <w:style w:type="paragraph" w:customStyle="1" w:styleId="FooterEven">
    <w:name w:val="Footer Even"/>
    <w:basedOn w:val="Footer"/>
    <w:rsid w:val="00085AD4"/>
    <w:pPr>
      <w:keepNext/>
      <w:tabs>
        <w:tab w:val="clear" w:pos="4513"/>
        <w:tab w:val="clear" w:pos="9026"/>
      </w:tabs>
      <w:spacing w:line="240" w:lineRule="auto"/>
      <w:jc w:val="left"/>
    </w:pPr>
    <w:rPr>
      <w:noProof/>
      <w:color w:val="002C47" w:themeColor="accent1"/>
      <w:sz w:val="18"/>
    </w:rPr>
  </w:style>
  <w:style w:type="paragraph" w:customStyle="1" w:styleId="FooterOdd">
    <w:name w:val="Footer Odd"/>
    <w:basedOn w:val="Footer"/>
    <w:rsid w:val="00085AD4"/>
    <w:pPr>
      <w:keepNext/>
      <w:tabs>
        <w:tab w:val="clear" w:pos="4513"/>
        <w:tab w:val="clear" w:pos="9026"/>
      </w:tabs>
      <w:spacing w:line="240" w:lineRule="auto"/>
      <w:jc w:val="right"/>
    </w:pPr>
    <w:rPr>
      <w:color w:val="002C47" w:themeColor="accent1"/>
      <w:sz w:val="18"/>
    </w:rPr>
  </w:style>
  <w:style w:type="character" w:styleId="Hyperlink">
    <w:name w:val="Hyperlink"/>
    <w:basedOn w:val="DefaultParagraphFont"/>
    <w:uiPriority w:val="99"/>
    <w:rsid w:val="00085AD4"/>
    <w:rPr>
      <w:b w:val="0"/>
      <w:color w:val="0074BD"/>
      <w:u w:val="none"/>
    </w:rPr>
  </w:style>
  <w:style w:type="paragraph" w:customStyle="1" w:styleId="OutlineNumbered1">
    <w:name w:val="Outline Numbered 1"/>
    <w:basedOn w:val="Normal"/>
    <w:link w:val="OutlineNumbered1Char"/>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4F4B92"/>
    <w:pPr>
      <w:numPr>
        <w:numId w:val="9"/>
      </w:numPr>
      <w:tabs>
        <w:tab w:val="clear" w:pos="720"/>
        <w:tab w:val="num"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next w:val="Normal"/>
    <w:rsid w:val="007B333A"/>
    <w:pPr>
      <w:keepNext/>
      <w:spacing w:before="60" w:after="60"/>
      <w:jc w:val="center"/>
    </w:pPr>
    <w:rPr>
      <w:rFonts w:ascii="Calibri" w:eastAsia="Times New Roman" w:hAnsi="Calibri" w:cs="Times New Roman"/>
      <w:b/>
      <w:caps/>
      <w:color w:val="FFFFFF" w:themeColor="background1"/>
      <w:szCs w:val="20"/>
      <w:lang w:eastAsia="en-AU"/>
    </w:rPr>
  </w:style>
  <w:style w:type="paragraph" w:customStyle="1" w:styleId="TableColumnHeadingCentred">
    <w:name w:val="Table Column Heading Centred"/>
    <w:basedOn w:val="TableTextLeft"/>
    <w:rsid w:val="00943FFE"/>
    <w:pPr>
      <w:jc w:val="center"/>
    </w:pPr>
    <w:rPr>
      <w:b/>
      <w:caps/>
      <w:color w:val="FFFFFF" w:themeColor="background1"/>
      <w:sz w:val="24"/>
    </w:rPr>
  </w:style>
  <w:style w:type="paragraph" w:customStyle="1" w:styleId="TableColumnHeadingLeft">
    <w:name w:val="Table Column Heading Left"/>
    <w:basedOn w:val="TableTextLeft"/>
    <w:rsid w:val="002700FB"/>
    <w:rPr>
      <w:b/>
      <w:color w:val="FFFFFF" w:themeColor="background1"/>
      <w:sz w:val="24"/>
    </w:rPr>
  </w:style>
  <w:style w:type="paragraph" w:customStyle="1" w:styleId="TableColumnHeadingRight">
    <w:name w:val="Table Column Heading Right"/>
    <w:basedOn w:val="TableTextLeft"/>
    <w:rsid w:val="002700FB"/>
    <w:pPr>
      <w:jc w:val="right"/>
    </w:pPr>
    <w:rPr>
      <w:b/>
      <w:color w:val="FFFFFF" w:themeColor="background1"/>
      <w:sz w:val="24"/>
    </w:rPr>
  </w:style>
  <w:style w:type="table" w:styleId="TableGrid">
    <w:name w:val="Table Grid"/>
    <w:basedOn w:val="TableNormal"/>
    <w:uiPriority w:val="59"/>
    <w:rsid w:val="002700FB"/>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543F7A"/>
    <w:pPr>
      <w:spacing w:after="80"/>
      <w:jc w:val="left"/>
    </w:pPr>
    <w:rPr>
      <w:sz w:val="20"/>
    </w:rPr>
  </w:style>
  <w:style w:type="paragraph" w:customStyle="1" w:styleId="TableTextRight">
    <w:name w:val="Table Text Right"/>
    <w:basedOn w:val="Normal"/>
    <w:rsid w:val="007F5B01"/>
    <w:pPr>
      <w:spacing w:before="40" w:after="40"/>
      <w:jc w:val="right"/>
    </w:pPr>
    <w:rPr>
      <w:color w:val="000000"/>
    </w:rPr>
  </w:style>
  <w:style w:type="paragraph" w:styleId="TOC1">
    <w:name w:val="toc 1"/>
    <w:basedOn w:val="Normal"/>
    <w:next w:val="Normal"/>
    <w:uiPriority w:val="39"/>
    <w:qFormat/>
    <w:rsid w:val="00085AD4"/>
    <w:pPr>
      <w:keepNext/>
      <w:tabs>
        <w:tab w:val="right" w:leader="dot" w:pos="9072"/>
      </w:tabs>
      <w:spacing w:before="180" w:after="0"/>
      <w:ind w:right="-2"/>
    </w:pPr>
    <w:rPr>
      <w:b/>
      <w:caps/>
      <w:noProof/>
      <w:color w:val="002C47" w:themeColor="accent1"/>
      <w:szCs w:val="22"/>
    </w:rPr>
  </w:style>
  <w:style w:type="paragraph" w:styleId="TOC2">
    <w:name w:val="toc 2"/>
    <w:basedOn w:val="Normal"/>
    <w:next w:val="Normal"/>
    <w:uiPriority w:val="39"/>
    <w:qFormat/>
    <w:rsid w:val="00085AD4"/>
    <w:pPr>
      <w:keepNext/>
      <w:tabs>
        <w:tab w:val="right" w:leader="dot" w:pos="9072"/>
      </w:tabs>
      <w:spacing w:before="60" w:after="20"/>
      <w:ind w:left="284"/>
    </w:pPr>
    <w:rPr>
      <w:noProof/>
      <w:color w:val="3A6FAF" w:themeColor="accent2"/>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85AD4"/>
    <w:pPr>
      <w:spacing w:after="600" w:line="240" w:lineRule="auto"/>
      <w:contextualSpacing/>
      <w:jc w:val="right"/>
    </w:pPr>
    <w:rPr>
      <w:rFonts w:eastAsiaTheme="majorEastAsia" w:cstheme="majorBidi"/>
      <w:b/>
      <w:caps/>
      <w:color w:val="002C47" w:themeColor="accent1"/>
      <w:spacing w:val="5"/>
      <w:kern w:val="28"/>
      <w:sz w:val="52"/>
      <w:szCs w:val="68"/>
    </w:rPr>
  </w:style>
  <w:style w:type="character" w:customStyle="1" w:styleId="TitleChar">
    <w:name w:val="Title Char"/>
    <w:basedOn w:val="DefaultParagraphFont"/>
    <w:link w:val="Title"/>
    <w:uiPriority w:val="10"/>
    <w:rsid w:val="00085AD4"/>
    <w:rPr>
      <w:rFonts w:ascii="Calibri" w:eastAsiaTheme="majorEastAsia" w:hAnsi="Calibri" w:cstheme="majorBidi"/>
      <w:b/>
      <w:caps/>
      <w:color w:val="002C47" w:themeColor="accent1"/>
      <w:spacing w:val="5"/>
      <w:kern w:val="28"/>
      <w:sz w:val="52"/>
      <w:szCs w:val="68"/>
      <w:lang w:eastAsia="en-AU"/>
    </w:rPr>
  </w:style>
  <w:style w:type="paragraph" w:styleId="Subtitle">
    <w:name w:val="Subtitle"/>
    <w:basedOn w:val="Normal"/>
    <w:next w:val="Normal"/>
    <w:link w:val="SubtitleChar"/>
    <w:uiPriority w:val="11"/>
    <w:qFormat/>
    <w:rsid w:val="007A2ED5"/>
    <w:pPr>
      <w:numPr>
        <w:ilvl w:val="1"/>
      </w:numPr>
      <w:spacing w:line="240" w:lineRule="auto"/>
      <w:jc w:val="right"/>
    </w:pPr>
    <w:rPr>
      <w:rFonts w:eastAsiaTheme="majorEastAsia" w:cstheme="majorBidi"/>
      <w:b/>
      <w:iCs/>
      <w:color w:val="595959" w:themeColor="text1" w:themeTint="A6"/>
      <w:sz w:val="36"/>
      <w:szCs w:val="44"/>
    </w:rPr>
  </w:style>
  <w:style w:type="character" w:customStyle="1" w:styleId="SubtitleChar">
    <w:name w:val="Subtitle Char"/>
    <w:basedOn w:val="DefaultParagraphFont"/>
    <w:link w:val="Subtitle"/>
    <w:uiPriority w:val="11"/>
    <w:rsid w:val="00985FE7"/>
    <w:rPr>
      <w:rFonts w:ascii="Calibri" w:eastAsiaTheme="majorEastAsia" w:hAnsi="Calibri" w:cstheme="majorBidi"/>
      <w:b/>
      <w:iCs/>
      <w:color w:val="595959" w:themeColor="text1" w:themeTint="A6"/>
      <w:sz w:val="36"/>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FC4C5D"/>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085AD4"/>
    <w:rPr>
      <w:rFonts w:ascii="Calibri" w:eastAsia="Times New Roman" w:hAnsi="Calibri" w:cs="Times New Roman"/>
      <w:b/>
      <w:color w:val="3A6FAF" w:themeColor="accent2"/>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val="0"/>
      <w:bCs/>
      <w:color w:val="F06252"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F06252" w:themeColor="text2"/>
      <w:sz w:val="36"/>
      <w:szCs w:val="36"/>
    </w:rPr>
  </w:style>
  <w:style w:type="paragraph" w:customStyle="1" w:styleId="Divider">
    <w:name w:val="Divider"/>
    <w:basedOn w:val="ReportDate"/>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Odd"/>
    <w:qFormat/>
    <w:rsid w:val="00085AD4"/>
    <w:pPr>
      <w:jc w:val="left"/>
    </w:pPr>
  </w:style>
  <w:style w:type="paragraph" w:customStyle="1" w:styleId="HeaderOdd">
    <w:name w:val="Header Odd"/>
    <w:basedOn w:val="Header"/>
    <w:qFormat/>
    <w:rsid w:val="00085AD4"/>
    <w:pPr>
      <w:spacing w:line="240" w:lineRule="auto"/>
    </w:pPr>
    <w:rPr>
      <w:color w:val="002C47" w:themeColor="accent1"/>
      <w:sz w:val="18"/>
    </w:rPr>
  </w:style>
  <w:style w:type="paragraph" w:styleId="FootnoteText">
    <w:name w:val="footnote text"/>
    <w:basedOn w:val="Normal"/>
    <w:link w:val="FootnoteTextChar"/>
    <w:uiPriority w:val="99"/>
    <w:rsid w:val="00FC03AD"/>
    <w:pPr>
      <w:tabs>
        <w:tab w:val="left" w:pos="227"/>
      </w:tabs>
      <w:spacing w:after="0" w:line="240" w:lineRule="auto"/>
      <w:ind w:left="227" w:hanging="227"/>
    </w:pPr>
    <w:rPr>
      <w:sz w:val="18"/>
    </w:rPr>
  </w:style>
  <w:style w:type="character" w:customStyle="1" w:styleId="FootnoteTextChar">
    <w:name w:val="Footnote Text Char"/>
    <w:basedOn w:val="DefaultParagraphFont"/>
    <w:link w:val="FootnoteText"/>
    <w:uiPriority w:val="99"/>
    <w:rsid w:val="002700FB"/>
    <w:rPr>
      <w:rFonts w:ascii="Calibri" w:eastAsia="Times New Roman" w:hAnsi="Calibri" w:cs="Times New Roman"/>
      <w:sz w:val="18"/>
      <w:szCs w:val="20"/>
      <w:lang w:eastAsia="en-AU"/>
    </w:rPr>
  </w:style>
  <w:style w:type="character" w:styleId="FootnoteReference">
    <w:name w:val="footnote reference"/>
    <w:basedOn w:val="DefaultParagraphFont"/>
    <w:uiPriority w:val="99"/>
    <w:rsid w:val="007703FB"/>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NoSpacing">
    <w:name w:val="No Spacing"/>
    <w:uiPriority w:val="1"/>
    <w:qFormat/>
    <w:rsid w:val="00AE718E"/>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AE718E"/>
    <w:pPr>
      <w:pBdr>
        <w:bottom w:val="single" w:sz="4" w:space="4" w:color="002C47" w:themeColor="accent1"/>
      </w:pBdr>
      <w:spacing w:before="200" w:after="280"/>
      <w:ind w:left="936" w:right="936"/>
    </w:pPr>
    <w:rPr>
      <w:b/>
      <w:bCs/>
      <w:i/>
      <w:iCs/>
      <w:color w:val="002C47" w:themeColor="accent1"/>
    </w:rPr>
  </w:style>
  <w:style w:type="character" w:customStyle="1" w:styleId="IntenseQuoteChar">
    <w:name w:val="Intense Quote Char"/>
    <w:basedOn w:val="DefaultParagraphFont"/>
    <w:link w:val="IntenseQuote"/>
    <w:uiPriority w:val="30"/>
    <w:rsid w:val="00AE718E"/>
    <w:rPr>
      <w:rFonts w:ascii="Calibri" w:eastAsia="Times New Roman" w:hAnsi="Calibri" w:cs="Times New Roman"/>
      <w:b/>
      <w:bCs/>
      <w:i/>
      <w:iCs/>
      <w:color w:val="002C47" w:themeColor="accent1"/>
      <w:szCs w:val="20"/>
      <w:lang w:eastAsia="en-AU"/>
    </w:rPr>
  </w:style>
  <w:style w:type="character" w:styleId="IntenseEmphasis">
    <w:name w:val="Intense Emphasis"/>
    <w:basedOn w:val="DefaultParagraphFont"/>
    <w:uiPriority w:val="21"/>
    <w:qFormat/>
    <w:rsid w:val="00AE718E"/>
    <w:rPr>
      <w:b/>
      <w:bCs/>
      <w:i/>
      <w:iCs/>
      <w:color w:val="002C47" w:themeColor="accent1"/>
    </w:rPr>
  </w:style>
  <w:style w:type="numbering" w:customStyle="1" w:styleId="Bulletlist">
    <w:name w:val="Bullet list"/>
    <w:uiPriority w:val="99"/>
    <w:rsid w:val="0030300C"/>
    <w:pPr>
      <w:numPr>
        <w:numId w:val="11"/>
      </w:numPr>
    </w:pPr>
  </w:style>
  <w:style w:type="character" w:customStyle="1" w:styleId="BulletChar">
    <w:name w:val="Bullet Char"/>
    <w:aliases w:val="Body Char,b + line Char,b + line Char Char,b Char,b Char Char,b1 Char,level 1 Char,Bulleted Para Char,Bullets Char,FooterText Char,L Char,List Paragraph1 Char,List Paragraph11 Char,List Paragraph2 Char,Number Char"/>
    <w:basedOn w:val="DefaultParagraphFont"/>
    <w:link w:val="Bullet"/>
    <w:qFormat/>
    <w:rsid w:val="0030300C"/>
    <w:rPr>
      <w:rFonts w:ascii="Calibri" w:eastAsia="Times New Roman" w:hAnsi="Calibri" w:cs="Times New Roman"/>
      <w:szCs w:val="20"/>
      <w:lang w:eastAsia="en-AU"/>
    </w:rPr>
  </w:style>
  <w:style w:type="table" w:customStyle="1" w:styleId="LightList-Accent51">
    <w:name w:val="Light List - Accent 51"/>
    <w:basedOn w:val="TableNormal"/>
    <w:next w:val="LightList-Accent5"/>
    <w:uiPriority w:val="61"/>
    <w:rsid w:val="0030300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30300C"/>
    <w:rPr>
      <w:sz w:val="16"/>
      <w:szCs w:val="16"/>
    </w:rPr>
  </w:style>
  <w:style w:type="paragraph" w:styleId="CommentText">
    <w:name w:val="annotation text"/>
    <w:basedOn w:val="Normal"/>
    <w:link w:val="CommentTextChar"/>
    <w:uiPriority w:val="99"/>
    <w:unhideWhenUsed/>
    <w:rsid w:val="0030300C"/>
    <w:rPr>
      <w:rFonts w:ascii="Arial" w:eastAsiaTheme="minorHAnsi" w:hAnsi="Arial" w:cstheme="minorBidi"/>
      <w:lang w:eastAsia="en-US"/>
    </w:rPr>
  </w:style>
  <w:style w:type="character" w:customStyle="1" w:styleId="CommentTextChar">
    <w:name w:val="Comment Text Char"/>
    <w:basedOn w:val="DefaultParagraphFont"/>
    <w:link w:val="CommentText"/>
    <w:uiPriority w:val="99"/>
    <w:rsid w:val="0030300C"/>
    <w:rPr>
      <w:rFonts w:ascii="Arial" w:hAnsi="Arial"/>
      <w:sz w:val="20"/>
      <w:szCs w:val="20"/>
    </w:rPr>
  </w:style>
  <w:style w:type="table" w:styleId="LightList-Accent5">
    <w:name w:val="Light List Accent 5"/>
    <w:basedOn w:val="TableNormal"/>
    <w:uiPriority w:val="61"/>
    <w:rsid w:val="0030300C"/>
    <w:pPr>
      <w:spacing w:after="0" w:line="240" w:lineRule="auto"/>
    </w:pPr>
    <w:tblPr>
      <w:tblStyleRowBandSize w:val="1"/>
      <w:tblStyleColBandSize w:val="1"/>
      <w:tblBorders>
        <w:top w:val="single" w:sz="8" w:space="0" w:color="00ABBD" w:themeColor="accent5"/>
        <w:left w:val="single" w:sz="8" w:space="0" w:color="00ABBD" w:themeColor="accent5"/>
        <w:bottom w:val="single" w:sz="8" w:space="0" w:color="00ABBD" w:themeColor="accent5"/>
        <w:right w:val="single" w:sz="8" w:space="0" w:color="00ABBD" w:themeColor="accent5"/>
      </w:tblBorders>
    </w:tblPr>
    <w:tblStylePr w:type="firstRow">
      <w:pPr>
        <w:spacing w:before="0" w:after="0" w:line="240" w:lineRule="auto"/>
      </w:pPr>
      <w:rPr>
        <w:b/>
        <w:bCs/>
        <w:color w:val="FFFFFF" w:themeColor="background1"/>
      </w:rPr>
      <w:tblPr/>
      <w:tcPr>
        <w:shd w:val="clear" w:color="auto" w:fill="00ABBD" w:themeFill="accent5"/>
      </w:tcPr>
    </w:tblStylePr>
    <w:tblStylePr w:type="lastRow">
      <w:pPr>
        <w:spacing w:before="0" w:after="0" w:line="240" w:lineRule="auto"/>
      </w:pPr>
      <w:rPr>
        <w:b/>
        <w:bCs/>
      </w:rPr>
      <w:tblPr/>
      <w:tcPr>
        <w:tcBorders>
          <w:top w:val="double" w:sz="6" w:space="0" w:color="00ABBD" w:themeColor="accent5"/>
          <w:left w:val="single" w:sz="8" w:space="0" w:color="00ABBD" w:themeColor="accent5"/>
          <w:bottom w:val="single" w:sz="8" w:space="0" w:color="00ABBD" w:themeColor="accent5"/>
          <w:right w:val="single" w:sz="8" w:space="0" w:color="00ABBD" w:themeColor="accent5"/>
        </w:tcBorders>
      </w:tcPr>
    </w:tblStylePr>
    <w:tblStylePr w:type="firstCol">
      <w:rPr>
        <w:b/>
        <w:bCs/>
      </w:rPr>
    </w:tblStylePr>
    <w:tblStylePr w:type="lastCol">
      <w:rPr>
        <w:b/>
        <w:bCs/>
      </w:rPr>
    </w:tblStylePr>
    <w:tblStylePr w:type="band1Vert">
      <w:tblPr/>
      <w:tcPr>
        <w:tcBorders>
          <w:top w:val="single" w:sz="8" w:space="0" w:color="00ABBD" w:themeColor="accent5"/>
          <w:left w:val="single" w:sz="8" w:space="0" w:color="00ABBD" w:themeColor="accent5"/>
          <w:bottom w:val="single" w:sz="8" w:space="0" w:color="00ABBD" w:themeColor="accent5"/>
          <w:right w:val="single" w:sz="8" w:space="0" w:color="00ABBD" w:themeColor="accent5"/>
        </w:tcBorders>
      </w:tcPr>
    </w:tblStylePr>
    <w:tblStylePr w:type="band1Horz">
      <w:tblPr/>
      <w:tcPr>
        <w:tcBorders>
          <w:top w:val="single" w:sz="8" w:space="0" w:color="00ABBD" w:themeColor="accent5"/>
          <w:left w:val="single" w:sz="8" w:space="0" w:color="00ABBD" w:themeColor="accent5"/>
          <w:bottom w:val="single" w:sz="8" w:space="0" w:color="00ABBD" w:themeColor="accent5"/>
          <w:right w:val="single" w:sz="8" w:space="0" w:color="00ABBD" w:themeColor="accent5"/>
        </w:tcBorders>
      </w:tcPr>
    </w:tblStylePr>
  </w:style>
  <w:style w:type="paragraph" w:styleId="CommentSubject">
    <w:name w:val="annotation subject"/>
    <w:basedOn w:val="CommentText"/>
    <w:next w:val="CommentText"/>
    <w:link w:val="CommentSubjectChar"/>
    <w:uiPriority w:val="99"/>
    <w:semiHidden/>
    <w:unhideWhenUsed/>
    <w:rsid w:val="00C2187E"/>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C2187E"/>
    <w:rPr>
      <w:rFonts w:ascii="Calibri" w:eastAsia="Times New Roman" w:hAnsi="Calibri" w:cs="Times New Roman"/>
      <w:b/>
      <w:bCs/>
      <w:sz w:val="20"/>
      <w:szCs w:val="20"/>
      <w:lang w:eastAsia="en-AU"/>
    </w:rPr>
  </w:style>
  <w:style w:type="table" w:styleId="LightList-Accent3">
    <w:name w:val="Light List Accent 3"/>
    <w:basedOn w:val="TableNormal"/>
    <w:uiPriority w:val="61"/>
    <w:rsid w:val="007F5B01"/>
    <w:pPr>
      <w:spacing w:after="0" w:line="240" w:lineRule="auto"/>
    </w:pPr>
    <w:tblPr>
      <w:tblStyleRowBandSize w:val="1"/>
      <w:tblStyleColBandSize w:val="1"/>
      <w:tblBorders>
        <w:top w:val="single" w:sz="8" w:space="0" w:color="00827F" w:themeColor="accent3"/>
        <w:left w:val="single" w:sz="8" w:space="0" w:color="00827F" w:themeColor="accent3"/>
        <w:bottom w:val="single" w:sz="8" w:space="0" w:color="00827F" w:themeColor="accent3"/>
        <w:right w:val="single" w:sz="8" w:space="0" w:color="00827F" w:themeColor="accent3"/>
      </w:tblBorders>
    </w:tblPr>
    <w:tblStylePr w:type="firstRow">
      <w:pPr>
        <w:spacing w:before="0" w:after="0" w:line="240" w:lineRule="auto"/>
      </w:pPr>
      <w:rPr>
        <w:b/>
        <w:bCs/>
        <w:color w:val="FFFFFF" w:themeColor="background1"/>
      </w:rPr>
      <w:tblPr/>
      <w:tcPr>
        <w:shd w:val="clear" w:color="auto" w:fill="00827F" w:themeFill="accent3"/>
      </w:tcPr>
    </w:tblStylePr>
    <w:tblStylePr w:type="lastRow">
      <w:pPr>
        <w:spacing w:before="0" w:after="0" w:line="240" w:lineRule="auto"/>
      </w:pPr>
      <w:rPr>
        <w:b/>
        <w:bCs/>
      </w:rPr>
      <w:tblPr/>
      <w:tcPr>
        <w:tcBorders>
          <w:top w:val="double" w:sz="6" w:space="0" w:color="00827F" w:themeColor="accent3"/>
          <w:left w:val="single" w:sz="8" w:space="0" w:color="00827F" w:themeColor="accent3"/>
          <w:bottom w:val="single" w:sz="8" w:space="0" w:color="00827F" w:themeColor="accent3"/>
          <w:right w:val="single" w:sz="8" w:space="0" w:color="00827F" w:themeColor="accent3"/>
        </w:tcBorders>
      </w:tcPr>
    </w:tblStylePr>
    <w:tblStylePr w:type="firstCol">
      <w:rPr>
        <w:b/>
        <w:bCs/>
      </w:rPr>
    </w:tblStylePr>
    <w:tblStylePr w:type="lastCol">
      <w:rPr>
        <w:b/>
        <w:bCs/>
      </w:rPr>
    </w:tblStylePr>
    <w:tblStylePr w:type="band1Vert">
      <w:tblPr/>
      <w:tcPr>
        <w:tcBorders>
          <w:top w:val="single" w:sz="8" w:space="0" w:color="00827F" w:themeColor="accent3"/>
          <w:left w:val="single" w:sz="8" w:space="0" w:color="00827F" w:themeColor="accent3"/>
          <w:bottom w:val="single" w:sz="8" w:space="0" w:color="00827F" w:themeColor="accent3"/>
          <w:right w:val="single" w:sz="8" w:space="0" w:color="00827F" w:themeColor="accent3"/>
        </w:tcBorders>
      </w:tcPr>
    </w:tblStylePr>
    <w:tblStylePr w:type="band1Horz">
      <w:tblPr/>
      <w:tcPr>
        <w:tcBorders>
          <w:top w:val="single" w:sz="8" w:space="0" w:color="00827F" w:themeColor="accent3"/>
          <w:left w:val="single" w:sz="8" w:space="0" w:color="00827F" w:themeColor="accent3"/>
          <w:bottom w:val="single" w:sz="8" w:space="0" w:color="00827F" w:themeColor="accent3"/>
          <w:right w:val="single" w:sz="8" w:space="0" w:color="00827F" w:themeColor="accent3"/>
        </w:tcBorders>
      </w:tcPr>
    </w:tblStylePr>
  </w:style>
  <w:style w:type="paragraph" w:styleId="TOCHeading">
    <w:name w:val="TOC Heading"/>
    <w:basedOn w:val="Heading1"/>
    <w:next w:val="Normal"/>
    <w:uiPriority w:val="39"/>
    <w:semiHidden/>
    <w:unhideWhenUsed/>
    <w:qFormat/>
    <w:rsid w:val="00661588"/>
    <w:pPr>
      <w:keepLines/>
      <w:spacing w:before="480" w:after="0" w:line="276" w:lineRule="auto"/>
      <w:outlineLvl w:val="9"/>
    </w:pPr>
    <w:rPr>
      <w:rFonts w:asciiTheme="majorHAnsi" w:eastAsiaTheme="majorEastAsia" w:hAnsiTheme="majorHAnsi" w:cstheme="majorBidi"/>
      <w:bCs/>
      <w:color w:val="002035" w:themeColor="accent1" w:themeShade="BF"/>
      <w:kern w:val="0"/>
      <w:sz w:val="28"/>
      <w:szCs w:val="28"/>
      <w:lang w:val="en-US" w:eastAsia="ja-JP"/>
    </w:rPr>
  </w:style>
  <w:style w:type="paragraph" w:customStyle="1" w:styleId="Recommendation">
    <w:name w:val="Recommendation"/>
    <w:basedOn w:val="Heading3"/>
    <w:qFormat/>
    <w:rsid w:val="00085AD4"/>
    <w:pPr>
      <w:spacing w:after="60"/>
    </w:pPr>
    <w:rPr>
      <w:color w:val="002C47" w:themeColor="accent1"/>
      <w:sz w:val="22"/>
    </w:rPr>
  </w:style>
  <w:style w:type="character" w:customStyle="1" w:styleId="Bluebold">
    <w:name w:val="Blue bold"/>
    <w:basedOn w:val="DefaultParagraphFont"/>
    <w:uiPriority w:val="1"/>
    <w:qFormat/>
    <w:rsid w:val="002700FB"/>
    <w:rPr>
      <w:b/>
      <w:color w:val="396984"/>
    </w:rPr>
  </w:style>
  <w:style w:type="paragraph" w:customStyle="1" w:styleId="Recomendationbold">
    <w:name w:val="Recomendation bold"/>
    <w:basedOn w:val="Recommendation"/>
    <w:qFormat/>
    <w:rsid w:val="00085AD4"/>
    <w:pPr>
      <w:keepNext w:val="0"/>
    </w:pPr>
    <w:rPr>
      <w:b w:val="0"/>
    </w:rPr>
  </w:style>
  <w:style w:type="paragraph" w:customStyle="1" w:styleId="Recommendationbullet">
    <w:name w:val="Recommendation bullet"/>
    <w:basedOn w:val="Recommendation"/>
    <w:qFormat/>
    <w:rsid w:val="00085AD4"/>
    <w:pPr>
      <w:numPr>
        <w:numId w:val="12"/>
      </w:numPr>
      <w:spacing w:before="60"/>
      <w:ind w:left="284" w:hanging="284"/>
    </w:pPr>
  </w:style>
  <w:style w:type="paragraph" w:styleId="TOC4">
    <w:name w:val="toc 4"/>
    <w:basedOn w:val="Normal"/>
    <w:next w:val="Normal"/>
    <w:autoRedefine/>
    <w:uiPriority w:val="39"/>
    <w:unhideWhenUsed/>
    <w:rsid w:val="00DD6DCB"/>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DD6DCB"/>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DD6DCB"/>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DD6DCB"/>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DD6DCB"/>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DD6DCB"/>
    <w:pPr>
      <w:spacing w:after="100" w:line="276" w:lineRule="auto"/>
      <w:ind w:left="1760"/>
    </w:pPr>
    <w:rPr>
      <w:rFonts w:asciiTheme="minorHAnsi" w:eastAsiaTheme="minorEastAsia" w:hAnsiTheme="minorHAnsi" w:cstheme="minorBidi"/>
      <w:szCs w:val="22"/>
    </w:rPr>
  </w:style>
  <w:style w:type="table" w:styleId="MediumShading1">
    <w:name w:val="Medium Shading 1"/>
    <w:basedOn w:val="TableNormal"/>
    <w:uiPriority w:val="63"/>
    <w:rsid w:val="005D79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SecurityClassificationHeader">
    <w:name w:val="Security Classification Header"/>
    <w:link w:val="SecurityClassificationHeaderChar"/>
    <w:rsid w:val="00EA528F"/>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EA528F"/>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EA528F"/>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EA528F"/>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EA528F"/>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EA528F"/>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EA528F"/>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EA528F"/>
    <w:rPr>
      <w:rFonts w:ascii="Calibri" w:eastAsia="Times New Roman" w:hAnsi="Calibri" w:cs="Times New Roman"/>
      <w:b/>
      <w:caps/>
      <w:color w:val="004A7F"/>
      <w:sz w:val="24"/>
      <w:szCs w:val="20"/>
      <w:lang w:eastAsia="en-AU"/>
    </w:rPr>
  </w:style>
  <w:style w:type="paragraph" w:customStyle="1" w:styleId="TableTextLeft-Bullet">
    <w:name w:val="Table Text Left - Bullet"/>
    <w:basedOn w:val="TableTextLeft"/>
    <w:rsid w:val="001B1827"/>
    <w:pPr>
      <w:numPr>
        <w:numId w:val="13"/>
      </w:numPr>
      <w:tabs>
        <w:tab w:val="left" w:pos="284"/>
      </w:tabs>
      <w:spacing w:before="80" w:line="240" w:lineRule="exact"/>
    </w:pPr>
  </w:style>
  <w:style w:type="table" w:customStyle="1" w:styleId="TableGrid2">
    <w:name w:val="Table Grid2"/>
    <w:basedOn w:val="TableNormal"/>
    <w:next w:val="TableGrid"/>
    <w:uiPriority w:val="59"/>
    <w:rsid w:val="001B18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BoldNoindent">
    <w:name w:val="Observation Bold No indent"/>
    <w:basedOn w:val="Recomendationbold"/>
    <w:qFormat/>
    <w:rsid w:val="00CD1D71"/>
    <w:pPr>
      <w:outlineLvl w:val="9"/>
    </w:pPr>
  </w:style>
  <w:style w:type="paragraph" w:styleId="Revision">
    <w:name w:val="Revision"/>
    <w:hidden/>
    <w:uiPriority w:val="99"/>
    <w:semiHidden/>
    <w:rsid w:val="00423552"/>
    <w:pPr>
      <w:spacing w:after="0" w:line="240" w:lineRule="auto"/>
    </w:pPr>
    <w:rPr>
      <w:rFonts w:ascii="Calibri" w:eastAsia="Times New Roman" w:hAnsi="Calibri" w:cs="Times New Roman"/>
      <w:sz w:val="20"/>
      <w:szCs w:val="20"/>
      <w:lang w:eastAsia="en-AU"/>
    </w:rPr>
  </w:style>
  <w:style w:type="paragraph" w:customStyle="1" w:styleId="Default">
    <w:name w:val="Default"/>
    <w:rsid w:val="00B72C83"/>
    <w:pPr>
      <w:autoSpaceDE w:val="0"/>
      <w:autoSpaceDN w:val="0"/>
      <w:adjustRightInd w:val="0"/>
      <w:spacing w:after="0" w:line="240" w:lineRule="auto"/>
    </w:pPr>
    <w:rPr>
      <w:rFonts w:ascii="Arial" w:hAnsi="Arial" w:cs="Arial"/>
      <w:color w:val="000000"/>
      <w:sz w:val="24"/>
      <w:szCs w:val="24"/>
    </w:rPr>
  </w:style>
  <w:style w:type="paragraph" w:customStyle="1" w:styleId="Pa20">
    <w:name w:val="Pa20"/>
    <w:basedOn w:val="Default"/>
    <w:next w:val="Default"/>
    <w:uiPriority w:val="99"/>
    <w:rsid w:val="00E30143"/>
    <w:pPr>
      <w:spacing w:line="221" w:lineRule="atLeast"/>
    </w:pPr>
    <w:rPr>
      <w:color w:val="auto"/>
    </w:rPr>
  </w:style>
  <w:style w:type="paragraph" w:customStyle="1" w:styleId="Pa21">
    <w:name w:val="Pa21"/>
    <w:basedOn w:val="Default"/>
    <w:next w:val="Default"/>
    <w:uiPriority w:val="99"/>
    <w:rsid w:val="00E30143"/>
    <w:pPr>
      <w:spacing w:line="221" w:lineRule="atLeast"/>
    </w:pPr>
    <w:rPr>
      <w:color w:val="auto"/>
    </w:rPr>
  </w:style>
  <w:style w:type="character" w:customStyle="1" w:styleId="A12">
    <w:name w:val="A12"/>
    <w:uiPriority w:val="99"/>
    <w:rsid w:val="00C9260A"/>
    <w:rPr>
      <w:color w:val="000000"/>
      <w:sz w:val="22"/>
      <w:szCs w:val="22"/>
    </w:rPr>
  </w:style>
  <w:style w:type="paragraph" w:customStyle="1" w:styleId="Heading3noTOC">
    <w:name w:val="Heading 3 no TOC"/>
    <w:basedOn w:val="Heading3"/>
    <w:qFormat/>
    <w:rsid w:val="00F938E0"/>
    <w:rPr>
      <w:rFonts w:cs="Calibri"/>
      <w:color w:val="7F7F7F"/>
    </w:rPr>
  </w:style>
  <w:style w:type="paragraph" w:styleId="ListParagraph">
    <w:name w:val="List Paragraph"/>
    <w:basedOn w:val="Normal"/>
    <w:uiPriority w:val="34"/>
    <w:qFormat/>
    <w:rsid w:val="006207FA"/>
    <w:pPr>
      <w:ind w:left="720"/>
      <w:contextualSpacing/>
    </w:pPr>
  </w:style>
  <w:style w:type="paragraph" w:customStyle="1" w:styleId="RecommendationListCab">
    <w:name w:val="Recommendation List Cab"/>
    <w:basedOn w:val="Normal"/>
    <w:uiPriority w:val="1"/>
    <w:rsid w:val="00303D7E"/>
    <w:pPr>
      <w:spacing w:after="0" w:line="276" w:lineRule="auto"/>
    </w:pPr>
    <w:rPr>
      <w:rFonts w:ascii="Arial" w:eastAsiaTheme="minorHAnsi" w:hAnsi="Arial" w:cstheme="minorBidi"/>
      <w:szCs w:val="22"/>
      <w:lang w:eastAsia="en-US"/>
    </w:rPr>
  </w:style>
  <w:style w:type="character" w:customStyle="1" w:styleId="DashChar">
    <w:name w:val="Dash Char"/>
    <w:basedOn w:val="DefaultParagraphFont"/>
    <w:link w:val="Dash"/>
    <w:rsid w:val="003A7883"/>
    <w:rPr>
      <w:rFonts w:ascii="Calibri" w:eastAsia="Times New Roman" w:hAnsi="Calibri" w:cs="Times New Roman"/>
      <w:szCs w:val="20"/>
      <w:lang w:eastAsia="en-AU"/>
    </w:rPr>
  </w:style>
  <w:style w:type="paragraph" w:customStyle="1" w:styleId="CABNETParagraph">
    <w:name w:val="CABNET Paragraph."/>
    <w:basedOn w:val="Normal"/>
    <w:link w:val="CABNETParagraphChar"/>
    <w:uiPriority w:val="98"/>
    <w:qFormat/>
    <w:rsid w:val="002960BE"/>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2960BE"/>
    <w:rPr>
      <w:rFonts w:ascii="Arial" w:hAnsi="Arial" w:cstheme="minorHAnsi"/>
    </w:rPr>
  </w:style>
  <w:style w:type="paragraph" w:customStyle="1" w:styleId="Bullet2">
    <w:name w:val="Bullet 2"/>
    <w:basedOn w:val="Normal"/>
    <w:qFormat/>
    <w:rsid w:val="009F0EB9"/>
    <w:pPr>
      <w:tabs>
        <w:tab w:val="num" w:pos="568"/>
      </w:tabs>
      <w:ind w:left="568" w:hanging="284"/>
    </w:pPr>
    <w:rPr>
      <w:rFonts w:eastAsia="Calibri"/>
      <w:szCs w:val="22"/>
      <w:lang w:eastAsia="en-US"/>
    </w:rPr>
  </w:style>
  <w:style w:type="paragraph" w:customStyle="1" w:styleId="Bullet3">
    <w:name w:val="Bullet 3"/>
    <w:basedOn w:val="Normal"/>
    <w:qFormat/>
    <w:rsid w:val="009F0EB9"/>
    <w:pPr>
      <w:tabs>
        <w:tab w:val="left" w:pos="284"/>
        <w:tab w:val="num" w:pos="852"/>
      </w:tabs>
      <w:ind w:left="852" w:hanging="284"/>
    </w:pPr>
    <w:rPr>
      <w:rFonts w:eastAsia="Calibri"/>
      <w:szCs w:val="22"/>
      <w:lang w:eastAsia="en-US"/>
    </w:rPr>
  </w:style>
  <w:style w:type="paragraph" w:customStyle="1" w:styleId="Recomendationdash">
    <w:name w:val="Recomendation dash"/>
    <w:basedOn w:val="Dash"/>
    <w:qFormat/>
    <w:rsid w:val="00085AD4"/>
    <w:pPr>
      <w:spacing w:before="80" w:after="80"/>
      <w:ind w:left="568"/>
    </w:pPr>
    <w:rPr>
      <w:rFonts w:eastAsiaTheme="minorHAnsi"/>
      <w:color w:val="002C47" w:themeColor="accent1"/>
      <w:lang w:eastAsia="en-US"/>
    </w:rPr>
  </w:style>
  <w:style w:type="character" w:customStyle="1" w:styleId="OutlineNumbered1Char">
    <w:name w:val="Outline Numbered 1 Char"/>
    <w:basedOn w:val="DefaultParagraphFont"/>
    <w:link w:val="OutlineNumbered1"/>
    <w:rsid w:val="00201657"/>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746F1F"/>
    <w:rPr>
      <w:color w:val="E61E26" w:themeColor="followedHyperlink"/>
      <w:u w:val="single"/>
    </w:rPr>
  </w:style>
  <w:style w:type="character" w:styleId="Strong">
    <w:name w:val="Strong"/>
    <w:basedOn w:val="DefaultParagraphFont"/>
    <w:uiPriority w:val="22"/>
    <w:qFormat/>
    <w:rsid w:val="007D7390"/>
    <w:rPr>
      <w:b/>
      <w:bCs/>
    </w:rPr>
  </w:style>
  <w:style w:type="paragraph" w:customStyle="1" w:styleId="Heading1-NoTOC">
    <w:name w:val="Heading 1 - No TOC"/>
    <w:basedOn w:val="Heading1"/>
    <w:rsid w:val="00065427"/>
    <w:pPr>
      <w:outlineLvl w:val="9"/>
    </w:pPr>
    <w:rPr>
      <w:caps w:val="0"/>
    </w:rPr>
  </w:style>
  <w:style w:type="paragraph" w:styleId="NormalWeb">
    <w:name w:val="Normal (Web)"/>
    <w:basedOn w:val="Normal"/>
    <w:uiPriority w:val="99"/>
    <w:semiHidden/>
    <w:unhideWhenUsed/>
    <w:rsid w:val="005D15F3"/>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474">
      <w:bodyDiv w:val="1"/>
      <w:marLeft w:val="0"/>
      <w:marRight w:val="0"/>
      <w:marTop w:val="0"/>
      <w:marBottom w:val="0"/>
      <w:divBdr>
        <w:top w:val="none" w:sz="0" w:space="0" w:color="auto"/>
        <w:left w:val="none" w:sz="0" w:space="0" w:color="auto"/>
        <w:bottom w:val="none" w:sz="0" w:space="0" w:color="auto"/>
        <w:right w:val="none" w:sz="0" w:space="0" w:color="auto"/>
      </w:divBdr>
    </w:div>
    <w:div w:id="208616776">
      <w:bodyDiv w:val="1"/>
      <w:marLeft w:val="0"/>
      <w:marRight w:val="0"/>
      <w:marTop w:val="0"/>
      <w:marBottom w:val="0"/>
      <w:divBdr>
        <w:top w:val="none" w:sz="0" w:space="0" w:color="auto"/>
        <w:left w:val="none" w:sz="0" w:space="0" w:color="auto"/>
        <w:bottom w:val="none" w:sz="0" w:space="0" w:color="auto"/>
        <w:right w:val="none" w:sz="0" w:space="0" w:color="auto"/>
      </w:divBdr>
    </w:div>
    <w:div w:id="217519279">
      <w:bodyDiv w:val="1"/>
      <w:marLeft w:val="0"/>
      <w:marRight w:val="0"/>
      <w:marTop w:val="0"/>
      <w:marBottom w:val="0"/>
      <w:divBdr>
        <w:top w:val="none" w:sz="0" w:space="0" w:color="auto"/>
        <w:left w:val="none" w:sz="0" w:space="0" w:color="auto"/>
        <w:bottom w:val="none" w:sz="0" w:space="0" w:color="auto"/>
        <w:right w:val="none" w:sz="0" w:space="0" w:color="auto"/>
      </w:divBdr>
    </w:div>
    <w:div w:id="233900592">
      <w:bodyDiv w:val="1"/>
      <w:marLeft w:val="0"/>
      <w:marRight w:val="0"/>
      <w:marTop w:val="0"/>
      <w:marBottom w:val="0"/>
      <w:divBdr>
        <w:top w:val="none" w:sz="0" w:space="0" w:color="auto"/>
        <w:left w:val="none" w:sz="0" w:space="0" w:color="auto"/>
        <w:bottom w:val="none" w:sz="0" w:space="0" w:color="auto"/>
        <w:right w:val="none" w:sz="0" w:space="0" w:color="auto"/>
      </w:divBdr>
    </w:div>
    <w:div w:id="28096004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7890824">
      <w:bodyDiv w:val="1"/>
      <w:marLeft w:val="0"/>
      <w:marRight w:val="0"/>
      <w:marTop w:val="0"/>
      <w:marBottom w:val="0"/>
      <w:divBdr>
        <w:top w:val="none" w:sz="0" w:space="0" w:color="auto"/>
        <w:left w:val="none" w:sz="0" w:space="0" w:color="auto"/>
        <w:bottom w:val="none" w:sz="0" w:space="0" w:color="auto"/>
        <w:right w:val="none" w:sz="0" w:space="0" w:color="auto"/>
      </w:divBdr>
      <w:divsChild>
        <w:div w:id="1314918131">
          <w:marLeft w:val="0"/>
          <w:marRight w:val="0"/>
          <w:marTop w:val="0"/>
          <w:marBottom w:val="0"/>
          <w:divBdr>
            <w:top w:val="none" w:sz="0" w:space="0" w:color="auto"/>
            <w:left w:val="none" w:sz="0" w:space="0" w:color="auto"/>
            <w:bottom w:val="none" w:sz="0" w:space="0" w:color="auto"/>
            <w:right w:val="none" w:sz="0" w:space="0" w:color="auto"/>
          </w:divBdr>
          <w:divsChild>
            <w:div w:id="291519150">
              <w:marLeft w:val="0"/>
              <w:marRight w:val="0"/>
              <w:marTop w:val="0"/>
              <w:marBottom w:val="0"/>
              <w:divBdr>
                <w:top w:val="none" w:sz="0" w:space="0" w:color="auto"/>
                <w:left w:val="none" w:sz="0" w:space="0" w:color="auto"/>
                <w:bottom w:val="none" w:sz="0" w:space="0" w:color="auto"/>
                <w:right w:val="none" w:sz="0" w:space="0" w:color="auto"/>
              </w:divBdr>
              <w:divsChild>
                <w:div w:id="1439257283">
                  <w:marLeft w:val="0"/>
                  <w:marRight w:val="0"/>
                  <w:marTop w:val="0"/>
                  <w:marBottom w:val="0"/>
                  <w:divBdr>
                    <w:top w:val="none" w:sz="0" w:space="0" w:color="auto"/>
                    <w:left w:val="none" w:sz="0" w:space="0" w:color="auto"/>
                    <w:bottom w:val="none" w:sz="0" w:space="0" w:color="auto"/>
                    <w:right w:val="none" w:sz="0" w:space="0" w:color="auto"/>
                  </w:divBdr>
                  <w:divsChild>
                    <w:div w:id="1790465809">
                      <w:marLeft w:val="0"/>
                      <w:marRight w:val="0"/>
                      <w:marTop w:val="0"/>
                      <w:marBottom w:val="0"/>
                      <w:divBdr>
                        <w:top w:val="none" w:sz="0" w:space="0" w:color="auto"/>
                        <w:left w:val="none" w:sz="0" w:space="0" w:color="auto"/>
                        <w:bottom w:val="none" w:sz="0" w:space="0" w:color="auto"/>
                        <w:right w:val="none" w:sz="0" w:space="0" w:color="auto"/>
                      </w:divBdr>
                      <w:divsChild>
                        <w:div w:id="258410459">
                          <w:marLeft w:val="300"/>
                          <w:marRight w:val="0"/>
                          <w:marTop w:val="0"/>
                          <w:marBottom w:val="0"/>
                          <w:divBdr>
                            <w:top w:val="none" w:sz="0" w:space="0" w:color="auto"/>
                            <w:left w:val="none" w:sz="0" w:space="0" w:color="auto"/>
                            <w:bottom w:val="none" w:sz="0" w:space="0" w:color="auto"/>
                            <w:right w:val="none" w:sz="0" w:space="0" w:color="auto"/>
                          </w:divBdr>
                          <w:divsChild>
                            <w:div w:id="1456414002">
                              <w:marLeft w:val="0"/>
                              <w:marRight w:val="0"/>
                              <w:marTop w:val="0"/>
                              <w:marBottom w:val="0"/>
                              <w:divBdr>
                                <w:top w:val="none" w:sz="0" w:space="0" w:color="auto"/>
                                <w:left w:val="none" w:sz="0" w:space="0" w:color="auto"/>
                                <w:bottom w:val="none" w:sz="0" w:space="0" w:color="auto"/>
                                <w:right w:val="none" w:sz="0" w:space="0" w:color="auto"/>
                              </w:divBdr>
                              <w:divsChild>
                                <w:div w:id="364595881">
                                  <w:marLeft w:val="0"/>
                                  <w:marRight w:val="0"/>
                                  <w:marTop w:val="0"/>
                                  <w:marBottom w:val="0"/>
                                  <w:divBdr>
                                    <w:top w:val="none" w:sz="0" w:space="0" w:color="auto"/>
                                    <w:left w:val="none" w:sz="0" w:space="0" w:color="auto"/>
                                    <w:bottom w:val="none" w:sz="0" w:space="0" w:color="auto"/>
                                    <w:right w:val="none" w:sz="0" w:space="0" w:color="auto"/>
                                  </w:divBdr>
                                  <w:divsChild>
                                    <w:div w:id="1205561809">
                                      <w:marLeft w:val="0"/>
                                      <w:marRight w:val="150"/>
                                      <w:marTop w:val="0"/>
                                      <w:marBottom w:val="0"/>
                                      <w:divBdr>
                                        <w:top w:val="none" w:sz="0" w:space="0" w:color="auto"/>
                                        <w:left w:val="none" w:sz="0" w:space="0" w:color="auto"/>
                                        <w:bottom w:val="none" w:sz="0" w:space="0" w:color="auto"/>
                                        <w:right w:val="none" w:sz="0" w:space="0" w:color="auto"/>
                                      </w:divBdr>
                                      <w:divsChild>
                                        <w:div w:id="405106371">
                                          <w:marLeft w:val="0"/>
                                          <w:marRight w:val="0"/>
                                          <w:marTop w:val="75"/>
                                          <w:marBottom w:val="0"/>
                                          <w:divBdr>
                                            <w:top w:val="none" w:sz="0" w:space="0" w:color="auto"/>
                                            <w:left w:val="none" w:sz="0" w:space="0" w:color="auto"/>
                                            <w:bottom w:val="none" w:sz="0" w:space="0" w:color="auto"/>
                                            <w:right w:val="none" w:sz="0" w:space="0" w:color="auto"/>
                                          </w:divBdr>
                                          <w:divsChild>
                                            <w:div w:id="21254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922669">
      <w:bodyDiv w:val="1"/>
      <w:marLeft w:val="0"/>
      <w:marRight w:val="0"/>
      <w:marTop w:val="0"/>
      <w:marBottom w:val="0"/>
      <w:divBdr>
        <w:top w:val="none" w:sz="0" w:space="0" w:color="auto"/>
        <w:left w:val="none" w:sz="0" w:space="0" w:color="auto"/>
        <w:bottom w:val="none" w:sz="0" w:space="0" w:color="auto"/>
        <w:right w:val="none" w:sz="0" w:space="0" w:color="auto"/>
      </w:divBdr>
    </w:div>
    <w:div w:id="710375452">
      <w:bodyDiv w:val="1"/>
      <w:marLeft w:val="0"/>
      <w:marRight w:val="0"/>
      <w:marTop w:val="0"/>
      <w:marBottom w:val="0"/>
      <w:divBdr>
        <w:top w:val="none" w:sz="0" w:space="0" w:color="auto"/>
        <w:left w:val="none" w:sz="0" w:space="0" w:color="auto"/>
        <w:bottom w:val="none" w:sz="0" w:space="0" w:color="auto"/>
        <w:right w:val="none" w:sz="0" w:space="0" w:color="auto"/>
      </w:divBdr>
    </w:div>
    <w:div w:id="1047988847">
      <w:bodyDiv w:val="1"/>
      <w:marLeft w:val="0"/>
      <w:marRight w:val="0"/>
      <w:marTop w:val="0"/>
      <w:marBottom w:val="0"/>
      <w:divBdr>
        <w:top w:val="none" w:sz="0" w:space="0" w:color="auto"/>
        <w:left w:val="none" w:sz="0" w:space="0" w:color="auto"/>
        <w:bottom w:val="none" w:sz="0" w:space="0" w:color="auto"/>
        <w:right w:val="none" w:sz="0" w:space="0" w:color="auto"/>
      </w:divBdr>
      <w:divsChild>
        <w:div w:id="835026788">
          <w:marLeft w:val="0"/>
          <w:marRight w:val="0"/>
          <w:marTop w:val="0"/>
          <w:marBottom w:val="0"/>
          <w:divBdr>
            <w:top w:val="none" w:sz="0" w:space="0" w:color="auto"/>
            <w:left w:val="none" w:sz="0" w:space="0" w:color="auto"/>
            <w:bottom w:val="none" w:sz="0" w:space="0" w:color="auto"/>
            <w:right w:val="none" w:sz="0" w:space="0" w:color="auto"/>
          </w:divBdr>
          <w:divsChild>
            <w:div w:id="9411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915">
      <w:bodyDiv w:val="1"/>
      <w:marLeft w:val="0"/>
      <w:marRight w:val="0"/>
      <w:marTop w:val="0"/>
      <w:marBottom w:val="0"/>
      <w:divBdr>
        <w:top w:val="none" w:sz="0" w:space="0" w:color="auto"/>
        <w:left w:val="none" w:sz="0" w:space="0" w:color="auto"/>
        <w:bottom w:val="none" w:sz="0" w:space="0" w:color="auto"/>
        <w:right w:val="none" w:sz="0" w:space="0" w:color="auto"/>
      </w:divBdr>
    </w:div>
    <w:div w:id="1109470097">
      <w:bodyDiv w:val="1"/>
      <w:marLeft w:val="0"/>
      <w:marRight w:val="0"/>
      <w:marTop w:val="0"/>
      <w:marBottom w:val="0"/>
      <w:divBdr>
        <w:top w:val="none" w:sz="0" w:space="0" w:color="auto"/>
        <w:left w:val="none" w:sz="0" w:space="0" w:color="auto"/>
        <w:bottom w:val="none" w:sz="0" w:space="0" w:color="auto"/>
        <w:right w:val="none" w:sz="0" w:space="0" w:color="auto"/>
      </w:divBdr>
    </w:div>
    <w:div w:id="1170605494">
      <w:bodyDiv w:val="1"/>
      <w:marLeft w:val="0"/>
      <w:marRight w:val="0"/>
      <w:marTop w:val="0"/>
      <w:marBottom w:val="0"/>
      <w:divBdr>
        <w:top w:val="none" w:sz="0" w:space="0" w:color="auto"/>
        <w:left w:val="none" w:sz="0" w:space="0" w:color="auto"/>
        <w:bottom w:val="none" w:sz="0" w:space="0" w:color="auto"/>
        <w:right w:val="none" w:sz="0" w:space="0" w:color="auto"/>
      </w:divBdr>
    </w:div>
    <w:div w:id="1171025979">
      <w:bodyDiv w:val="1"/>
      <w:marLeft w:val="0"/>
      <w:marRight w:val="0"/>
      <w:marTop w:val="0"/>
      <w:marBottom w:val="0"/>
      <w:divBdr>
        <w:top w:val="none" w:sz="0" w:space="0" w:color="auto"/>
        <w:left w:val="none" w:sz="0" w:space="0" w:color="auto"/>
        <w:bottom w:val="none" w:sz="0" w:space="0" w:color="auto"/>
        <w:right w:val="none" w:sz="0" w:space="0" w:color="auto"/>
      </w:divBdr>
    </w:div>
    <w:div w:id="1200242759">
      <w:bodyDiv w:val="1"/>
      <w:marLeft w:val="0"/>
      <w:marRight w:val="0"/>
      <w:marTop w:val="0"/>
      <w:marBottom w:val="0"/>
      <w:divBdr>
        <w:top w:val="none" w:sz="0" w:space="0" w:color="auto"/>
        <w:left w:val="none" w:sz="0" w:space="0" w:color="auto"/>
        <w:bottom w:val="none" w:sz="0" w:space="0" w:color="auto"/>
        <w:right w:val="none" w:sz="0" w:space="0" w:color="auto"/>
      </w:divBdr>
    </w:div>
    <w:div w:id="1209948650">
      <w:bodyDiv w:val="1"/>
      <w:marLeft w:val="0"/>
      <w:marRight w:val="0"/>
      <w:marTop w:val="0"/>
      <w:marBottom w:val="0"/>
      <w:divBdr>
        <w:top w:val="none" w:sz="0" w:space="0" w:color="auto"/>
        <w:left w:val="none" w:sz="0" w:space="0" w:color="auto"/>
        <w:bottom w:val="none" w:sz="0" w:space="0" w:color="auto"/>
        <w:right w:val="none" w:sz="0" w:space="0" w:color="auto"/>
      </w:divBdr>
    </w:div>
    <w:div w:id="1230455951">
      <w:bodyDiv w:val="1"/>
      <w:marLeft w:val="0"/>
      <w:marRight w:val="0"/>
      <w:marTop w:val="0"/>
      <w:marBottom w:val="0"/>
      <w:divBdr>
        <w:top w:val="none" w:sz="0" w:space="0" w:color="auto"/>
        <w:left w:val="none" w:sz="0" w:space="0" w:color="auto"/>
        <w:bottom w:val="none" w:sz="0" w:space="0" w:color="auto"/>
        <w:right w:val="none" w:sz="0" w:space="0" w:color="auto"/>
      </w:divBdr>
    </w:div>
    <w:div w:id="1253276443">
      <w:bodyDiv w:val="1"/>
      <w:marLeft w:val="0"/>
      <w:marRight w:val="0"/>
      <w:marTop w:val="0"/>
      <w:marBottom w:val="0"/>
      <w:divBdr>
        <w:top w:val="none" w:sz="0" w:space="0" w:color="auto"/>
        <w:left w:val="none" w:sz="0" w:space="0" w:color="auto"/>
        <w:bottom w:val="none" w:sz="0" w:space="0" w:color="auto"/>
        <w:right w:val="none" w:sz="0" w:space="0" w:color="auto"/>
      </w:divBdr>
    </w:div>
    <w:div w:id="1351178352">
      <w:bodyDiv w:val="1"/>
      <w:marLeft w:val="0"/>
      <w:marRight w:val="0"/>
      <w:marTop w:val="0"/>
      <w:marBottom w:val="0"/>
      <w:divBdr>
        <w:top w:val="none" w:sz="0" w:space="0" w:color="auto"/>
        <w:left w:val="none" w:sz="0" w:space="0" w:color="auto"/>
        <w:bottom w:val="none" w:sz="0" w:space="0" w:color="auto"/>
        <w:right w:val="none" w:sz="0" w:space="0" w:color="auto"/>
      </w:divBdr>
    </w:div>
    <w:div w:id="1361857944">
      <w:bodyDiv w:val="1"/>
      <w:marLeft w:val="0"/>
      <w:marRight w:val="0"/>
      <w:marTop w:val="0"/>
      <w:marBottom w:val="0"/>
      <w:divBdr>
        <w:top w:val="none" w:sz="0" w:space="0" w:color="auto"/>
        <w:left w:val="none" w:sz="0" w:space="0" w:color="auto"/>
        <w:bottom w:val="none" w:sz="0" w:space="0" w:color="auto"/>
        <w:right w:val="none" w:sz="0" w:space="0" w:color="auto"/>
      </w:divBdr>
    </w:div>
    <w:div w:id="1390231413">
      <w:bodyDiv w:val="1"/>
      <w:marLeft w:val="0"/>
      <w:marRight w:val="0"/>
      <w:marTop w:val="0"/>
      <w:marBottom w:val="0"/>
      <w:divBdr>
        <w:top w:val="none" w:sz="0" w:space="0" w:color="auto"/>
        <w:left w:val="none" w:sz="0" w:space="0" w:color="auto"/>
        <w:bottom w:val="none" w:sz="0" w:space="0" w:color="auto"/>
        <w:right w:val="none" w:sz="0" w:space="0" w:color="auto"/>
      </w:divBdr>
    </w:div>
    <w:div w:id="1417945147">
      <w:bodyDiv w:val="1"/>
      <w:marLeft w:val="0"/>
      <w:marRight w:val="0"/>
      <w:marTop w:val="0"/>
      <w:marBottom w:val="0"/>
      <w:divBdr>
        <w:top w:val="none" w:sz="0" w:space="0" w:color="auto"/>
        <w:left w:val="none" w:sz="0" w:space="0" w:color="auto"/>
        <w:bottom w:val="none" w:sz="0" w:space="0" w:color="auto"/>
        <w:right w:val="none" w:sz="0" w:space="0" w:color="auto"/>
      </w:divBdr>
    </w:div>
    <w:div w:id="1631401037">
      <w:bodyDiv w:val="1"/>
      <w:marLeft w:val="0"/>
      <w:marRight w:val="0"/>
      <w:marTop w:val="0"/>
      <w:marBottom w:val="0"/>
      <w:divBdr>
        <w:top w:val="none" w:sz="0" w:space="0" w:color="auto"/>
        <w:left w:val="none" w:sz="0" w:space="0" w:color="auto"/>
        <w:bottom w:val="none" w:sz="0" w:space="0" w:color="auto"/>
        <w:right w:val="none" w:sz="0" w:space="0" w:color="auto"/>
      </w:divBdr>
      <w:divsChild>
        <w:div w:id="698698425">
          <w:marLeft w:val="1080"/>
          <w:marRight w:val="0"/>
          <w:marTop w:val="0"/>
          <w:marBottom w:val="0"/>
          <w:divBdr>
            <w:top w:val="none" w:sz="0" w:space="0" w:color="auto"/>
            <w:left w:val="none" w:sz="0" w:space="0" w:color="auto"/>
            <w:bottom w:val="none" w:sz="0" w:space="0" w:color="auto"/>
            <w:right w:val="none" w:sz="0" w:space="0" w:color="auto"/>
          </w:divBdr>
        </w:div>
        <w:div w:id="1895726735">
          <w:marLeft w:val="1080"/>
          <w:marRight w:val="0"/>
          <w:marTop w:val="0"/>
          <w:marBottom w:val="0"/>
          <w:divBdr>
            <w:top w:val="none" w:sz="0" w:space="0" w:color="auto"/>
            <w:left w:val="none" w:sz="0" w:space="0" w:color="auto"/>
            <w:bottom w:val="none" w:sz="0" w:space="0" w:color="auto"/>
            <w:right w:val="none" w:sz="0" w:space="0" w:color="auto"/>
          </w:divBdr>
        </w:div>
        <w:div w:id="1089698009">
          <w:marLeft w:val="1080"/>
          <w:marRight w:val="0"/>
          <w:marTop w:val="0"/>
          <w:marBottom w:val="0"/>
          <w:divBdr>
            <w:top w:val="none" w:sz="0" w:space="0" w:color="auto"/>
            <w:left w:val="none" w:sz="0" w:space="0" w:color="auto"/>
            <w:bottom w:val="none" w:sz="0" w:space="0" w:color="auto"/>
            <w:right w:val="none" w:sz="0" w:space="0" w:color="auto"/>
          </w:divBdr>
        </w:div>
        <w:div w:id="1444375799">
          <w:marLeft w:val="1080"/>
          <w:marRight w:val="0"/>
          <w:marTop w:val="0"/>
          <w:marBottom w:val="0"/>
          <w:divBdr>
            <w:top w:val="none" w:sz="0" w:space="0" w:color="auto"/>
            <w:left w:val="none" w:sz="0" w:space="0" w:color="auto"/>
            <w:bottom w:val="none" w:sz="0" w:space="0" w:color="auto"/>
            <w:right w:val="none" w:sz="0" w:space="0" w:color="auto"/>
          </w:divBdr>
        </w:div>
        <w:div w:id="2003317034">
          <w:marLeft w:val="1080"/>
          <w:marRight w:val="0"/>
          <w:marTop w:val="0"/>
          <w:marBottom w:val="0"/>
          <w:divBdr>
            <w:top w:val="none" w:sz="0" w:space="0" w:color="auto"/>
            <w:left w:val="none" w:sz="0" w:space="0" w:color="auto"/>
            <w:bottom w:val="none" w:sz="0" w:space="0" w:color="auto"/>
            <w:right w:val="none" w:sz="0" w:space="0" w:color="auto"/>
          </w:divBdr>
        </w:div>
        <w:div w:id="765031620">
          <w:marLeft w:val="1080"/>
          <w:marRight w:val="0"/>
          <w:marTop w:val="0"/>
          <w:marBottom w:val="0"/>
          <w:divBdr>
            <w:top w:val="none" w:sz="0" w:space="0" w:color="auto"/>
            <w:left w:val="none" w:sz="0" w:space="0" w:color="auto"/>
            <w:bottom w:val="none" w:sz="0" w:space="0" w:color="auto"/>
            <w:right w:val="none" w:sz="0" w:space="0" w:color="auto"/>
          </w:divBdr>
        </w:div>
        <w:div w:id="63574747">
          <w:marLeft w:val="1080"/>
          <w:marRight w:val="0"/>
          <w:marTop w:val="0"/>
          <w:marBottom w:val="0"/>
          <w:divBdr>
            <w:top w:val="none" w:sz="0" w:space="0" w:color="auto"/>
            <w:left w:val="none" w:sz="0" w:space="0" w:color="auto"/>
            <w:bottom w:val="none" w:sz="0" w:space="0" w:color="auto"/>
            <w:right w:val="none" w:sz="0" w:space="0" w:color="auto"/>
          </w:divBdr>
        </w:div>
      </w:divsChild>
    </w:div>
    <w:div w:id="1684165872">
      <w:bodyDiv w:val="1"/>
      <w:marLeft w:val="0"/>
      <w:marRight w:val="0"/>
      <w:marTop w:val="0"/>
      <w:marBottom w:val="0"/>
      <w:divBdr>
        <w:top w:val="none" w:sz="0" w:space="0" w:color="auto"/>
        <w:left w:val="none" w:sz="0" w:space="0" w:color="auto"/>
        <w:bottom w:val="none" w:sz="0" w:space="0" w:color="auto"/>
        <w:right w:val="none" w:sz="0" w:space="0" w:color="auto"/>
      </w:divBdr>
    </w:div>
    <w:div w:id="1853110106">
      <w:bodyDiv w:val="1"/>
      <w:marLeft w:val="0"/>
      <w:marRight w:val="0"/>
      <w:marTop w:val="0"/>
      <w:marBottom w:val="0"/>
      <w:divBdr>
        <w:top w:val="none" w:sz="0" w:space="0" w:color="auto"/>
        <w:left w:val="none" w:sz="0" w:space="0" w:color="auto"/>
        <w:bottom w:val="none" w:sz="0" w:space="0" w:color="auto"/>
        <w:right w:val="none" w:sz="0" w:space="0" w:color="auto"/>
      </w:divBdr>
    </w:div>
    <w:div w:id="2009090014">
      <w:bodyDiv w:val="1"/>
      <w:marLeft w:val="0"/>
      <w:marRight w:val="0"/>
      <w:marTop w:val="0"/>
      <w:marBottom w:val="0"/>
      <w:divBdr>
        <w:top w:val="none" w:sz="0" w:space="0" w:color="auto"/>
        <w:left w:val="none" w:sz="0" w:space="0" w:color="auto"/>
        <w:bottom w:val="none" w:sz="0" w:space="0" w:color="auto"/>
        <w:right w:val="none" w:sz="0" w:space="0" w:color="auto"/>
      </w:divBdr>
      <w:divsChild>
        <w:div w:id="1858882712">
          <w:marLeft w:val="0"/>
          <w:marRight w:val="0"/>
          <w:marTop w:val="0"/>
          <w:marBottom w:val="0"/>
          <w:divBdr>
            <w:top w:val="none" w:sz="0" w:space="0" w:color="auto"/>
            <w:left w:val="none" w:sz="0" w:space="0" w:color="auto"/>
            <w:bottom w:val="none" w:sz="0" w:space="0" w:color="auto"/>
            <w:right w:val="none" w:sz="0" w:space="0" w:color="auto"/>
          </w:divBdr>
          <w:divsChild>
            <w:div w:id="21341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90718">
      <w:bodyDiv w:val="1"/>
      <w:marLeft w:val="0"/>
      <w:marRight w:val="0"/>
      <w:marTop w:val="0"/>
      <w:marBottom w:val="0"/>
      <w:divBdr>
        <w:top w:val="none" w:sz="0" w:space="0" w:color="auto"/>
        <w:left w:val="none" w:sz="0" w:space="0" w:color="auto"/>
        <w:bottom w:val="none" w:sz="0" w:space="0" w:color="auto"/>
        <w:right w:val="none" w:sz="0" w:space="0" w:color="auto"/>
      </w:divBdr>
    </w:div>
    <w:div w:id="21127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mc.gov.au/government/commonwealth-coat-arm" TargetMode="External"/><Relationship Id="rId26" Type="http://schemas.openxmlformats.org/officeDocument/2006/relationships/header" Target="header8.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9.xml"/><Relationship Id="rId42"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reativecommons.org/licenses/by/3.0/au/legalcode" TargetMode="External"/><Relationship Id="rId25" Type="http://schemas.openxmlformats.org/officeDocument/2006/relationships/header" Target="header7.xml"/><Relationship Id="rId33" Type="http://schemas.openxmlformats.org/officeDocument/2006/relationships/footer" Target="footer8.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itsanhonour.gov.au"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mailto:medialiaison@treasury.gov.au" TargetMode="Externa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deed.en"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3.png"/><Relationship Id="rId35" Type="http://schemas.openxmlformats.org/officeDocument/2006/relationships/header" Target="header12.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media-centre/media-releases/apra-provides-six-monthly-update-royal-commission-recommendations" TargetMode="External"/><Relationship Id="rId1" Type="http://schemas.openxmlformats.org/officeDocument/2006/relationships/hyperlink" Target="https://download.asic.gov.au/media/5011933/asic-update-on-implementation-of-royal-commission-recommenda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a:dk1>
        <a:sysClr val="windowText" lastClr="000000"/>
      </a:dk1>
      <a:lt1>
        <a:sysClr val="window" lastClr="FFFFFF"/>
      </a:lt1>
      <a:dk2>
        <a:srgbClr val="F06252"/>
      </a:dk2>
      <a:lt2>
        <a:srgbClr val="E2E0CB"/>
      </a:lt2>
      <a:accent1>
        <a:srgbClr val="002C47"/>
      </a:accent1>
      <a:accent2>
        <a:srgbClr val="3A6FAF"/>
      </a:accent2>
      <a:accent3>
        <a:srgbClr val="00827F"/>
      </a:accent3>
      <a:accent4>
        <a:srgbClr val="F7901E"/>
      </a:accent4>
      <a:accent5>
        <a:srgbClr val="00ABBD"/>
      </a:accent5>
      <a:accent6>
        <a:srgbClr val="844D9E"/>
      </a:accent6>
      <a:hlink>
        <a:srgbClr val="3A6FAF"/>
      </a:hlink>
      <a:folHlink>
        <a:srgbClr val="E61E2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492BF-0702-4B3E-BF0C-985FEC60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5812</Words>
  <Characters>33130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Financial Services Royal Commission Implementation Roadmap</vt:lpstr>
    </vt:vector>
  </TitlesOfParts>
  <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Royal Commission Implementation Roadmap</dc:title>
  <dc:creator/>
  <dc:description/>
  <cp:lastModifiedBy/>
  <cp:revision>1</cp:revision>
  <dcterms:created xsi:type="dcterms:W3CDTF">2019-08-18T23:03:00Z</dcterms:created>
  <dcterms:modified xsi:type="dcterms:W3CDTF">2019-08-18T23:05:00Z</dcterms:modified>
</cp:coreProperties>
</file>