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30459" w14:textId="77777777" w:rsidR="00B16613" w:rsidRPr="00EA437E" w:rsidRDefault="00E27976" w:rsidP="00EA437E">
      <w:pPr>
        <w:autoSpaceDE w:val="0"/>
        <w:autoSpaceDN w:val="0"/>
        <w:adjustRightInd w:val="0"/>
        <w:spacing w:after="0" w:line="276" w:lineRule="auto"/>
        <w:rPr>
          <w:rFonts w:ascii="Arial" w:hAnsi="Arial" w:cs="Arial"/>
          <w:sz w:val="24"/>
          <w:szCs w:val="24"/>
        </w:rPr>
      </w:pPr>
      <w:r w:rsidRPr="00EA437E">
        <w:rPr>
          <w:rFonts w:ascii="Arial" w:hAnsi="Arial" w:cs="Arial"/>
          <w:sz w:val="24"/>
          <w:szCs w:val="24"/>
        </w:rPr>
        <w:t>To</w:t>
      </w:r>
      <w:r w:rsidR="00B16613" w:rsidRPr="00EA437E">
        <w:rPr>
          <w:rFonts w:ascii="Arial" w:hAnsi="Arial" w:cs="Arial"/>
          <w:sz w:val="24"/>
          <w:szCs w:val="24"/>
        </w:rPr>
        <w:t>: APRA Capability Review Secretariat</w:t>
      </w:r>
    </w:p>
    <w:p w14:paraId="6C4ACE94" w14:textId="77777777" w:rsidR="00B16613" w:rsidRPr="00EA437E" w:rsidRDefault="00B16613" w:rsidP="00EA437E">
      <w:pPr>
        <w:autoSpaceDE w:val="0"/>
        <w:autoSpaceDN w:val="0"/>
        <w:adjustRightInd w:val="0"/>
        <w:spacing w:after="0" w:line="276" w:lineRule="auto"/>
        <w:rPr>
          <w:rFonts w:ascii="Arial" w:hAnsi="Arial" w:cs="Arial"/>
          <w:sz w:val="24"/>
          <w:szCs w:val="24"/>
        </w:rPr>
      </w:pPr>
      <w:r w:rsidRPr="00EA437E">
        <w:rPr>
          <w:rFonts w:ascii="Arial" w:hAnsi="Arial" w:cs="Arial"/>
          <w:sz w:val="24"/>
          <w:szCs w:val="24"/>
        </w:rPr>
        <w:t>The Treasury</w:t>
      </w:r>
    </w:p>
    <w:p w14:paraId="0CE3F489" w14:textId="77777777" w:rsidR="00B16613" w:rsidRPr="00EA437E" w:rsidRDefault="00B16613" w:rsidP="00EA437E">
      <w:pPr>
        <w:autoSpaceDE w:val="0"/>
        <w:autoSpaceDN w:val="0"/>
        <w:adjustRightInd w:val="0"/>
        <w:spacing w:after="0" w:line="276" w:lineRule="auto"/>
        <w:rPr>
          <w:rFonts w:ascii="Arial" w:hAnsi="Arial" w:cs="Arial"/>
          <w:sz w:val="24"/>
          <w:szCs w:val="24"/>
        </w:rPr>
      </w:pPr>
      <w:r w:rsidRPr="00EA437E">
        <w:rPr>
          <w:rFonts w:ascii="Arial" w:hAnsi="Arial" w:cs="Arial"/>
          <w:sz w:val="24"/>
          <w:szCs w:val="24"/>
        </w:rPr>
        <w:t>Langton Crescent</w:t>
      </w:r>
    </w:p>
    <w:p w14:paraId="2028ED7C" w14:textId="77777777" w:rsidR="00B16613" w:rsidRPr="00EA437E" w:rsidRDefault="00B16613" w:rsidP="00EA437E">
      <w:pPr>
        <w:autoSpaceDE w:val="0"/>
        <w:autoSpaceDN w:val="0"/>
        <w:adjustRightInd w:val="0"/>
        <w:spacing w:after="0" w:line="276" w:lineRule="auto"/>
        <w:rPr>
          <w:rFonts w:ascii="Arial" w:hAnsi="Arial" w:cs="Arial"/>
          <w:sz w:val="24"/>
          <w:szCs w:val="24"/>
        </w:rPr>
      </w:pPr>
      <w:r w:rsidRPr="00EA437E">
        <w:rPr>
          <w:rFonts w:ascii="Arial" w:hAnsi="Arial" w:cs="Arial"/>
          <w:sz w:val="24"/>
          <w:szCs w:val="24"/>
        </w:rPr>
        <w:t>PARKES ACT 2600</w:t>
      </w:r>
    </w:p>
    <w:p w14:paraId="5D2B6CFC" w14:textId="77777777" w:rsidR="00B16613" w:rsidRDefault="002A4C89" w:rsidP="009C14F3">
      <w:pPr>
        <w:autoSpaceDE w:val="0"/>
        <w:autoSpaceDN w:val="0"/>
        <w:adjustRightInd w:val="0"/>
        <w:spacing w:after="0" w:line="276" w:lineRule="auto"/>
        <w:rPr>
          <w:rFonts w:ascii="Arial" w:hAnsi="Arial" w:cs="Arial"/>
          <w:sz w:val="24"/>
          <w:szCs w:val="24"/>
        </w:rPr>
      </w:pPr>
      <w:r>
        <w:rPr>
          <w:rFonts w:ascii="Arial" w:hAnsi="Arial" w:cs="Arial"/>
          <w:sz w:val="24"/>
          <w:szCs w:val="24"/>
        </w:rPr>
        <w:t>8</w:t>
      </w:r>
      <w:r w:rsidR="00B16613" w:rsidRPr="00EA437E">
        <w:rPr>
          <w:rFonts w:ascii="Arial" w:hAnsi="Arial" w:cs="Arial"/>
          <w:sz w:val="24"/>
          <w:szCs w:val="24"/>
        </w:rPr>
        <w:t xml:space="preserve"> April 2019</w:t>
      </w:r>
    </w:p>
    <w:p w14:paraId="6600EF90" w14:textId="77777777" w:rsidR="009C14F3" w:rsidRPr="00EA437E" w:rsidRDefault="009C14F3" w:rsidP="009C14F3">
      <w:pPr>
        <w:autoSpaceDE w:val="0"/>
        <w:autoSpaceDN w:val="0"/>
        <w:adjustRightInd w:val="0"/>
        <w:spacing w:after="0" w:line="276" w:lineRule="auto"/>
        <w:rPr>
          <w:rFonts w:ascii="Arial" w:hAnsi="Arial" w:cs="Arial"/>
          <w:sz w:val="24"/>
          <w:szCs w:val="24"/>
        </w:rPr>
      </w:pPr>
    </w:p>
    <w:p w14:paraId="4CF3565B" w14:textId="77777777" w:rsidR="005515EE" w:rsidRPr="00EA437E" w:rsidRDefault="00B16613" w:rsidP="00EA437E">
      <w:pPr>
        <w:spacing w:line="276" w:lineRule="auto"/>
        <w:rPr>
          <w:rFonts w:ascii="Arial" w:hAnsi="Arial" w:cs="Arial"/>
          <w:sz w:val="24"/>
          <w:szCs w:val="24"/>
        </w:rPr>
      </w:pPr>
      <w:r w:rsidRPr="00EA437E">
        <w:rPr>
          <w:rFonts w:ascii="Arial" w:hAnsi="Arial" w:cs="Arial"/>
          <w:sz w:val="24"/>
          <w:szCs w:val="24"/>
        </w:rPr>
        <w:t>From: Dr. Angus Young, Senior Lecturer, Department of Accountancy &amp; Law, Research Fellow, Centre for Corporate Governance and Financial Policy, and Associate Programme Director, MSc in Applied Accounting &amp; F</w:t>
      </w:r>
      <w:bookmarkStart w:id="0" w:name="_GoBack"/>
      <w:bookmarkEnd w:id="0"/>
      <w:r w:rsidRPr="00EA437E">
        <w:rPr>
          <w:rFonts w:ascii="Arial" w:hAnsi="Arial" w:cs="Arial"/>
          <w:sz w:val="24"/>
          <w:szCs w:val="24"/>
        </w:rPr>
        <w:t xml:space="preserve">inance, </w:t>
      </w:r>
      <w:r w:rsidR="005515EE" w:rsidRPr="00EA437E">
        <w:rPr>
          <w:rFonts w:ascii="Arial" w:hAnsi="Arial" w:cs="Arial"/>
          <w:sz w:val="24"/>
          <w:szCs w:val="24"/>
          <w:lang w:eastAsia="en-AU"/>
        </w:rPr>
        <w:t>Hong Kong Baptist University.</w:t>
      </w:r>
    </w:p>
    <w:p w14:paraId="2E44C23E" w14:textId="77777777" w:rsidR="00B16613" w:rsidRPr="00EA437E" w:rsidRDefault="005515EE" w:rsidP="00EA437E">
      <w:pPr>
        <w:spacing w:line="276" w:lineRule="auto"/>
        <w:rPr>
          <w:rFonts w:ascii="Arial" w:hAnsi="Arial" w:cs="Arial"/>
          <w:sz w:val="24"/>
          <w:szCs w:val="24"/>
        </w:rPr>
      </w:pPr>
      <w:r w:rsidRPr="00EA437E">
        <w:rPr>
          <w:rFonts w:ascii="Arial" w:hAnsi="Arial" w:cs="Arial"/>
          <w:sz w:val="24"/>
          <w:szCs w:val="24"/>
        </w:rPr>
        <w:t xml:space="preserve">Address: </w:t>
      </w:r>
      <w:r w:rsidR="00B16613" w:rsidRPr="00EA437E">
        <w:rPr>
          <w:rFonts w:ascii="Arial" w:hAnsi="Arial" w:cs="Arial"/>
          <w:sz w:val="24"/>
          <w:szCs w:val="24"/>
          <w:lang w:eastAsia="en-AU"/>
        </w:rPr>
        <w:t>WLB705D, The Wing Lung Bank Building for Business Studies</w:t>
      </w:r>
      <w:r w:rsidR="00B16613" w:rsidRPr="00EA437E">
        <w:rPr>
          <w:rFonts w:ascii="Arial" w:hAnsi="Arial" w:cs="Arial"/>
          <w:color w:val="444444"/>
          <w:sz w:val="24"/>
          <w:szCs w:val="24"/>
          <w:lang w:eastAsia="en-AU"/>
        </w:rPr>
        <w:t xml:space="preserve">, </w:t>
      </w:r>
      <w:r w:rsidR="00B16613" w:rsidRPr="00EA437E">
        <w:rPr>
          <w:rFonts w:ascii="Arial" w:hAnsi="Arial" w:cs="Arial"/>
          <w:sz w:val="24"/>
          <w:szCs w:val="24"/>
          <w:lang w:eastAsia="en-AU"/>
        </w:rPr>
        <w:t>School of Business, Hong Kong Baptist University</w:t>
      </w:r>
      <w:r w:rsidR="00B16613" w:rsidRPr="00EA437E">
        <w:rPr>
          <w:rFonts w:ascii="Arial" w:hAnsi="Arial" w:cs="Arial"/>
          <w:color w:val="444444"/>
          <w:sz w:val="24"/>
          <w:szCs w:val="24"/>
          <w:lang w:eastAsia="en-AU"/>
        </w:rPr>
        <w:t xml:space="preserve">, </w:t>
      </w:r>
      <w:r w:rsidR="00B16613" w:rsidRPr="00EA437E">
        <w:rPr>
          <w:rFonts w:ascii="Arial" w:hAnsi="Arial" w:cs="Arial"/>
          <w:sz w:val="24"/>
          <w:szCs w:val="24"/>
          <w:lang w:eastAsia="en-AU"/>
        </w:rPr>
        <w:t>34 Renfrew Road, Kowloon Tong</w:t>
      </w:r>
      <w:r w:rsidR="00B16613" w:rsidRPr="00EA437E">
        <w:rPr>
          <w:rFonts w:ascii="Arial" w:hAnsi="Arial" w:cs="Arial"/>
          <w:color w:val="444444"/>
          <w:sz w:val="24"/>
          <w:szCs w:val="24"/>
          <w:lang w:eastAsia="en-AU"/>
        </w:rPr>
        <w:t xml:space="preserve">, </w:t>
      </w:r>
      <w:r w:rsidR="00B16613" w:rsidRPr="00EA437E">
        <w:rPr>
          <w:rFonts w:ascii="Arial" w:hAnsi="Arial" w:cs="Arial"/>
          <w:sz w:val="24"/>
          <w:szCs w:val="24"/>
          <w:lang w:eastAsia="en-AU"/>
        </w:rPr>
        <w:t>Hong Kong</w:t>
      </w:r>
      <w:r w:rsidR="004E39E2" w:rsidRPr="00EA437E">
        <w:rPr>
          <w:rFonts w:ascii="Arial" w:hAnsi="Arial" w:cs="Arial"/>
          <w:sz w:val="24"/>
          <w:szCs w:val="24"/>
          <w:lang w:eastAsia="en-AU"/>
        </w:rPr>
        <w:t xml:space="preserve"> SAR.</w:t>
      </w:r>
    </w:p>
    <w:p w14:paraId="1EDC8E8E" w14:textId="77777777" w:rsidR="00B16613" w:rsidRPr="00EA437E" w:rsidRDefault="005515EE" w:rsidP="00EA437E">
      <w:pPr>
        <w:spacing w:line="276" w:lineRule="auto"/>
        <w:rPr>
          <w:rFonts w:ascii="Arial" w:hAnsi="Arial" w:cs="Arial"/>
          <w:color w:val="444444"/>
          <w:sz w:val="24"/>
          <w:szCs w:val="24"/>
          <w:lang w:eastAsia="en-AU"/>
        </w:rPr>
      </w:pPr>
      <w:r w:rsidRPr="00EA437E">
        <w:rPr>
          <w:rFonts w:ascii="Arial" w:hAnsi="Arial" w:cs="Arial"/>
          <w:sz w:val="24"/>
          <w:szCs w:val="24"/>
          <w:lang w:eastAsia="en-AU"/>
        </w:rPr>
        <w:t>Email</w:t>
      </w:r>
      <w:r w:rsidR="00B16613" w:rsidRPr="00EA437E">
        <w:rPr>
          <w:rFonts w:ascii="Arial" w:hAnsi="Arial" w:cs="Arial"/>
          <w:sz w:val="24"/>
          <w:szCs w:val="24"/>
          <w:lang w:eastAsia="en-AU"/>
        </w:rPr>
        <w:t xml:space="preserve">: </w:t>
      </w:r>
      <w:hyperlink r:id="rId13" w:history="1">
        <w:r w:rsidR="00E27976" w:rsidRPr="00EA437E">
          <w:rPr>
            <w:rStyle w:val="Hyperlink"/>
            <w:rFonts w:ascii="Arial" w:hAnsi="Arial" w:cs="Arial"/>
            <w:sz w:val="24"/>
            <w:szCs w:val="24"/>
            <w:lang w:eastAsia="en-AU"/>
          </w:rPr>
          <w:t>angusyoung@hkbu.edu.hk</w:t>
        </w:r>
      </w:hyperlink>
      <w:r w:rsidR="00E27976" w:rsidRPr="00EA437E">
        <w:rPr>
          <w:rFonts w:ascii="Arial" w:hAnsi="Arial" w:cs="Arial"/>
          <w:sz w:val="24"/>
          <w:szCs w:val="24"/>
          <w:lang w:eastAsia="en-AU"/>
        </w:rPr>
        <w:t xml:space="preserve"> </w:t>
      </w:r>
    </w:p>
    <w:p w14:paraId="0E55A2C0" w14:textId="77777777" w:rsidR="005515EE" w:rsidRDefault="005515EE" w:rsidP="00EA437E">
      <w:pPr>
        <w:spacing w:line="276" w:lineRule="auto"/>
        <w:rPr>
          <w:rFonts w:ascii="Arial" w:hAnsi="Arial" w:cs="Arial"/>
          <w:sz w:val="24"/>
          <w:szCs w:val="24"/>
        </w:rPr>
      </w:pPr>
    </w:p>
    <w:p w14:paraId="065145F8" w14:textId="77777777" w:rsidR="008E048D" w:rsidRPr="00DF3476" w:rsidRDefault="008E048D" w:rsidP="00DF3476">
      <w:pPr>
        <w:autoSpaceDE w:val="0"/>
        <w:autoSpaceDN w:val="0"/>
        <w:adjustRightInd w:val="0"/>
        <w:spacing w:after="0" w:line="276" w:lineRule="auto"/>
        <w:rPr>
          <w:rFonts w:ascii="Arial" w:hAnsi="Arial" w:cs="Arial"/>
          <w:b/>
          <w:color w:val="00293C"/>
          <w:sz w:val="24"/>
          <w:szCs w:val="24"/>
        </w:rPr>
      </w:pPr>
      <w:r w:rsidRPr="00DF3476">
        <w:rPr>
          <w:rFonts w:ascii="Arial" w:hAnsi="Arial" w:cs="Arial"/>
          <w:b/>
          <w:sz w:val="24"/>
          <w:szCs w:val="24"/>
        </w:rPr>
        <w:t xml:space="preserve">RE: Public submission to the </w:t>
      </w:r>
      <w:r w:rsidRPr="00DF3476">
        <w:rPr>
          <w:rFonts w:ascii="Arial" w:hAnsi="Arial" w:cs="Arial"/>
          <w:b/>
          <w:color w:val="000000"/>
          <w:sz w:val="24"/>
          <w:szCs w:val="24"/>
        </w:rPr>
        <w:t xml:space="preserve">APRA Capability </w:t>
      </w:r>
      <w:r w:rsidRPr="00DF3476">
        <w:rPr>
          <w:rFonts w:ascii="Arial" w:hAnsi="Arial" w:cs="Arial"/>
          <w:b/>
          <w:color w:val="00293C"/>
          <w:sz w:val="24"/>
          <w:szCs w:val="24"/>
        </w:rPr>
        <w:t>Review</w:t>
      </w:r>
    </w:p>
    <w:p w14:paraId="76F5E0A1" w14:textId="77777777" w:rsidR="008E048D" w:rsidRPr="00EA437E" w:rsidRDefault="008E048D" w:rsidP="00EA437E">
      <w:pPr>
        <w:spacing w:line="276" w:lineRule="auto"/>
        <w:rPr>
          <w:rFonts w:ascii="Arial" w:hAnsi="Arial" w:cs="Arial"/>
          <w:sz w:val="24"/>
          <w:szCs w:val="24"/>
        </w:rPr>
      </w:pPr>
    </w:p>
    <w:p w14:paraId="51B780C4" w14:textId="77777777" w:rsidR="00F52A4A" w:rsidRPr="00EA437E" w:rsidRDefault="00A238D9" w:rsidP="00EA437E">
      <w:pPr>
        <w:pStyle w:val="Default"/>
        <w:spacing w:line="276" w:lineRule="auto"/>
        <w:rPr>
          <w:rFonts w:ascii="Arial" w:hAnsi="Arial" w:cs="Arial"/>
        </w:rPr>
      </w:pPr>
      <w:r w:rsidRPr="00EA437E">
        <w:rPr>
          <w:rFonts w:ascii="Arial" w:hAnsi="Arial" w:cs="Arial"/>
        </w:rPr>
        <w:t>This submission wishe</w:t>
      </w:r>
      <w:r w:rsidR="009110DC" w:rsidRPr="00EA437E">
        <w:rPr>
          <w:rFonts w:ascii="Arial" w:hAnsi="Arial" w:cs="Arial"/>
        </w:rPr>
        <w:t>s to address</w:t>
      </w:r>
      <w:r w:rsidRPr="00EA437E">
        <w:rPr>
          <w:rFonts w:ascii="Arial" w:hAnsi="Arial" w:cs="Arial"/>
        </w:rPr>
        <w:t xml:space="preserve"> the Panel’s </w:t>
      </w:r>
      <w:r w:rsidR="00B16CC4" w:rsidRPr="00EA437E">
        <w:rPr>
          <w:rFonts w:ascii="Arial" w:hAnsi="Arial" w:cs="Arial"/>
        </w:rPr>
        <w:t xml:space="preserve">capability </w:t>
      </w:r>
      <w:r w:rsidRPr="00EA437E">
        <w:rPr>
          <w:rFonts w:ascii="Arial" w:hAnsi="Arial" w:cs="Arial"/>
        </w:rPr>
        <w:t>review</w:t>
      </w:r>
      <w:r w:rsidR="00F52A4A" w:rsidRPr="00EA437E">
        <w:rPr>
          <w:rFonts w:ascii="Arial" w:hAnsi="Arial" w:cs="Arial"/>
        </w:rPr>
        <w:t xml:space="preserve"> in support of APRA to deliver its statutory mandate in particular</w:t>
      </w:r>
      <w:r w:rsidR="009110DC" w:rsidRPr="00EA437E">
        <w:rPr>
          <w:rFonts w:ascii="Arial" w:hAnsi="Arial" w:cs="Arial"/>
        </w:rPr>
        <w:t>, “[</w:t>
      </w:r>
      <w:r w:rsidR="00B27D7C" w:rsidRPr="00EA437E">
        <w:rPr>
          <w:rFonts w:ascii="Arial" w:hAnsi="Arial" w:cs="Arial"/>
        </w:rPr>
        <w:t>c</w:t>
      </w:r>
      <w:r w:rsidR="009110DC" w:rsidRPr="00EA437E">
        <w:rPr>
          <w:rFonts w:ascii="Arial" w:hAnsi="Arial" w:cs="Arial"/>
        </w:rPr>
        <w:t>]</w:t>
      </w:r>
      <w:r w:rsidR="00B27D7C" w:rsidRPr="00EA437E">
        <w:rPr>
          <w:rFonts w:ascii="Arial" w:hAnsi="Arial" w:cs="Arial"/>
        </w:rPr>
        <w:t xml:space="preserve">ulture that supports supervisory and enforcement actions in </w:t>
      </w:r>
      <w:r w:rsidR="009110DC" w:rsidRPr="00EA437E">
        <w:rPr>
          <w:rFonts w:ascii="Arial" w:hAnsi="Arial" w:cs="Arial"/>
        </w:rPr>
        <w:t>support of strategic objectives”.</w:t>
      </w:r>
      <w:r w:rsidRPr="00EA437E">
        <w:rPr>
          <w:rFonts w:ascii="Arial" w:hAnsi="Arial" w:cs="Arial"/>
        </w:rPr>
        <w:t xml:space="preserve"> The following comments</w:t>
      </w:r>
      <w:r w:rsidR="00225C24" w:rsidRPr="00EA437E">
        <w:rPr>
          <w:rFonts w:ascii="Arial" w:hAnsi="Arial" w:cs="Arial"/>
        </w:rPr>
        <w:t xml:space="preserve"> </w:t>
      </w:r>
      <w:r w:rsidRPr="00EA437E">
        <w:rPr>
          <w:rFonts w:ascii="Arial" w:hAnsi="Arial" w:cs="Arial"/>
        </w:rPr>
        <w:t>sha</w:t>
      </w:r>
      <w:r w:rsidR="00225C24" w:rsidRPr="00EA437E">
        <w:rPr>
          <w:rFonts w:ascii="Arial" w:hAnsi="Arial" w:cs="Arial"/>
        </w:rPr>
        <w:t>ll</w:t>
      </w:r>
      <w:r w:rsidR="00F52A4A" w:rsidRPr="00EA437E">
        <w:rPr>
          <w:rFonts w:ascii="Arial" w:hAnsi="Arial" w:cs="Arial"/>
        </w:rPr>
        <w:t xml:space="preserve"> be made in </w:t>
      </w:r>
      <w:r w:rsidRPr="00EA437E">
        <w:rPr>
          <w:rFonts w:ascii="Arial" w:hAnsi="Arial" w:cs="Arial"/>
        </w:rPr>
        <w:t>conjunction with</w:t>
      </w:r>
      <w:r w:rsidR="00B30134" w:rsidRPr="00EA437E">
        <w:rPr>
          <w:rFonts w:ascii="Arial" w:hAnsi="Arial" w:cs="Arial"/>
        </w:rPr>
        <w:t xml:space="preserve"> the Hayne Royal Commission Final Report </w:t>
      </w:r>
      <w:r w:rsidR="006935E1" w:rsidRPr="00EA437E">
        <w:rPr>
          <w:rFonts w:ascii="Arial" w:hAnsi="Arial" w:cs="Arial"/>
        </w:rPr>
        <w:t>Recommendation 5.7</w:t>
      </w:r>
      <w:r w:rsidR="00C4464B" w:rsidRPr="00EA437E">
        <w:rPr>
          <w:rFonts w:ascii="Arial" w:hAnsi="Arial" w:cs="Arial"/>
        </w:rPr>
        <w:t>, concerning APRA</w:t>
      </w:r>
      <w:r w:rsidR="00F52A4A" w:rsidRPr="00EA437E">
        <w:rPr>
          <w:rFonts w:ascii="Arial" w:hAnsi="Arial" w:cs="Arial"/>
        </w:rPr>
        <w:t xml:space="preserve">’s </w:t>
      </w:r>
      <w:r w:rsidR="006935E1" w:rsidRPr="00EA437E">
        <w:rPr>
          <w:rFonts w:ascii="Arial" w:hAnsi="Arial" w:cs="Arial"/>
        </w:rPr>
        <w:t>prudential supervision</w:t>
      </w:r>
      <w:r w:rsidR="00E27976" w:rsidRPr="00EA437E">
        <w:rPr>
          <w:rFonts w:ascii="Arial" w:hAnsi="Arial" w:cs="Arial"/>
        </w:rPr>
        <w:t xml:space="preserve"> of APRA-regulated institutions. </w:t>
      </w:r>
      <w:r w:rsidR="00916C1D" w:rsidRPr="00EA437E">
        <w:rPr>
          <w:rFonts w:ascii="Arial" w:hAnsi="Arial" w:cs="Arial"/>
        </w:rPr>
        <w:t>Specifically</w:t>
      </w:r>
      <w:r w:rsidR="00E27976" w:rsidRPr="00EA437E">
        <w:rPr>
          <w:rFonts w:ascii="Arial" w:hAnsi="Arial" w:cs="Arial"/>
        </w:rPr>
        <w:t xml:space="preserve"> </w:t>
      </w:r>
      <w:r w:rsidR="00916C1D" w:rsidRPr="00EA437E">
        <w:rPr>
          <w:rFonts w:ascii="Arial" w:hAnsi="Arial" w:cs="Arial"/>
        </w:rPr>
        <w:t xml:space="preserve">about </w:t>
      </w:r>
      <w:r w:rsidR="006935E1" w:rsidRPr="00EA437E">
        <w:rPr>
          <w:rFonts w:ascii="Arial" w:hAnsi="Arial" w:cs="Arial"/>
        </w:rPr>
        <w:t xml:space="preserve">a supervisory program focused on building culture </w:t>
      </w:r>
      <w:r w:rsidR="00916C1D" w:rsidRPr="00EA437E">
        <w:rPr>
          <w:rFonts w:ascii="Arial" w:hAnsi="Arial" w:cs="Arial"/>
        </w:rPr>
        <w:t>to</w:t>
      </w:r>
      <w:r w:rsidR="006935E1" w:rsidRPr="00EA437E">
        <w:rPr>
          <w:rFonts w:ascii="Arial" w:hAnsi="Arial" w:cs="Arial"/>
        </w:rPr>
        <w:t xml:space="preserve"> mit</w:t>
      </w:r>
      <w:r w:rsidR="00916C1D" w:rsidRPr="00EA437E">
        <w:rPr>
          <w:rFonts w:ascii="Arial" w:hAnsi="Arial" w:cs="Arial"/>
        </w:rPr>
        <w:t xml:space="preserve">igate the risk of misconduct, the </w:t>
      </w:r>
      <w:r w:rsidR="006935E1" w:rsidRPr="00EA437E">
        <w:rPr>
          <w:rFonts w:ascii="Arial" w:hAnsi="Arial" w:cs="Arial"/>
        </w:rPr>
        <w:t>use a risk-ba</w:t>
      </w:r>
      <w:r w:rsidR="00916C1D" w:rsidRPr="00EA437E">
        <w:rPr>
          <w:rFonts w:ascii="Arial" w:hAnsi="Arial" w:cs="Arial"/>
        </w:rPr>
        <w:t xml:space="preserve">sed approach to its reviews, </w:t>
      </w:r>
      <w:r w:rsidR="006935E1" w:rsidRPr="00EA437E">
        <w:rPr>
          <w:rFonts w:ascii="Arial" w:hAnsi="Arial" w:cs="Arial"/>
        </w:rPr>
        <w:t>assess the cultural dr</w:t>
      </w:r>
      <w:r w:rsidR="00F52A4A" w:rsidRPr="00EA437E">
        <w:rPr>
          <w:rFonts w:ascii="Arial" w:hAnsi="Arial" w:cs="Arial"/>
        </w:rPr>
        <w:t xml:space="preserve">ivers of misconduct in the entities and to </w:t>
      </w:r>
      <w:r w:rsidR="006935E1" w:rsidRPr="00EA437E">
        <w:rPr>
          <w:rFonts w:ascii="Arial" w:hAnsi="Arial" w:cs="Arial"/>
        </w:rPr>
        <w:t>encourage entities to give proper att</w:t>
      </w:r>
      <w:r w:rsidR="00F52A4A" w:rsidRPr="00EA437E">
        <w:rPr>
          <w:rFonts w:ascii="Arial" w:hAnsi="Arial" w:cs="Arial"/>
        </w:rPr>
        <w:t xml:space="preserve">ention to sound management of,  as well as </w:t>
      </w:r>
      <w:r w:rsidR="006935E1" w:rsidRPr="00EA437E">
        <w:rPr>
          <w:rFonts w:ascii="Arial" w:hAnsi="Arial" w:cs="Arial"/>
        </w:rPr>
        <w:t xml:space="preserve">conduct risk and improving entity governance. </w:t>
      </w:r>
      <w:r w:rsidR="00DD34BB" w:rsidRPr="00EA437E">
        <w:rPr>
          <w:rFonts w:ascii="Arial" w:hAnsi="Arial" w:cs="Arial"/>
        </w:rPr>
        <w:t>Therefore,</w:t>
      </w:r>
      <w:r w:rsidRPr="00EA437E">
        <w:rPr>
          <w:rFonts w:ascii="Arial" w:hAnsi="Arial" w:cs="Arial"/>
        </w:rPr>
        <w:t xml:space="preserve"> in order for APRA to effectively deliver a supervisory and enforcement </w:t>
      </w:r>
      <w:r w:rsidR="00335A8B">
        <w:rPr>
          <w:rFonts w:ascii="Arial" w:hAnsi="Arial" w:cs="Arial"/>
        </w:rPr>
        <w:t>outcome</w:t>
      </w:r>
      <w:r w:rsidRPr="00EA437E">
        <w:rPr>
          <w:rFonts w:ascii="Arial" w:hAnsi="Arial" w:cs="Arial"/>
        </w:rPr>
        <w:t>s to achieve</w:t>
      </w:r>
      <w:r w:rsidR="00DD34BB" w:rsidRPr="00EA437E">
        <w:rPr>
          <w:rFonts w:ascii="Arial" w:hAnsi="Arial" w:cs="Arial"/>
        </w:rPr>
        <w:t xml:space="preserve"> its statutory mandate under BEAR and</w:t>
      </w:r>
      <w:r w:rsidRPr="00EA437E">
        <w:rPr>
          <w:rFonts w:ascii="Arial" w:hAnsi="Arial" w:cs="Arial"/>
        </w:rPr>
        <w:t xml:space="preserve"> Hayne Royal Commission Final Report Recommendation 5.7</w:t>
      </w:r>
      <w:r w:rsidR="00225C24" w:rsidRPr="00EA437E">
        <w:rPr>
          <w:rFonts w:ascii="Arial" w:hAnsi="Arial" w:cs="Arial"/>
        </w:rPr>
        <w:t>, pre</w:t>
      </w:r>
      <w:r w:rsidRPr="00EA437E">
        <w:rPr>
          <w:rFonts w:ascii="Arial" w:hAnsi="Arial" w:cs="Arial"/>
        </w:rPr>
        <w:t xml:space="preserve">emptive intervention would more than likely be </w:t>
      </w:r>
      <w:r w:rsidR="00B16CC4" w:rsidRPr="00EA437E">
        <w:rPr>
          <w:rFonts w:ascii="Arial" w:hAnsi="Arial" w:cs="Arial"/>
        </w:rPr>
        <w:t xml:space="preserve">necessary </w:t>
      </w:r>
      <w:r w:rsidR="007A28ED" w:rsidRPr="00EA437E">
        <w:rPr>
          <w:rFonts w:ascii="Arial" w:hAnsi="Arial" w:cs="Arial"/>
        </w:rPr>
        <w:t xml:space="preserve">to </w:t>
      </w:r>
      <w:r w:rsidR="00B16CC4" w:rsidRPr="00EA437E">
        <w:rPr>
          <w:rFonts w:ascii="Arial" w:hAnsi="Arial" w:cs="Arial"/>
        </w:rPr>
        <w:t xml:space="preserve">prevent or interject </w:t>
      </w:r>
      <w:r w:rsidR="007A28ED" w:rsidRPr="00EA437E">
        <w:rPr>
          <w:rFonts w:ascii="Arial" w:hAnsi="Arial" w:cs="Arial"/>
        </w:rPr>
        <w:t>in instances and/or allegations of</w:t>
      </w:r>
      <w:r w:rsidR="00B16CC4" w:rsidRPr="00EA437E">
        <w:rPr>
          <w:rFonts w:ascii="Arial" w:hAnsi="Arial" w:cs="Arial"/>
        </w:rPr>
        <w:t xml:space="preserve"> misconduct</w:t>
      </w:r>
      <w:r w:rsidR="007A28ED" w:rsidRPr="00EA437E">
        <w:rPr>
          <w:rFonts w:ascii="Arial" w:hAnsi="Arial" w:cs="Arial"/>
        </w:rPr>
        <w:t xml:space="preserve">. </w:t>
      </w:r>
    </w:p>
    <w:p w14:paraId="07D3B7D9" w14:textId="77777777" w:rsidR="00DD34BB" w:rsidRPr="00EA437E" w:rsidRDefault="00DD34BB" w:rsidP="00EA437E">
      <w:pPr>
        <w:pStyle w:val="Default"/>
        <w:spacing w:line="276" w:lineRule="auto"/>
        <w:rPr>
          <w:rFonts w:ascii="Arial" w:hAnsi="Arial" w:cs="Arial"/>
        </w:rPr>
      </w:pPr>
    </w:p>
    <w:p w14:paraId="6040AEBC" w14:textId="77777777" w:rsidR="00DD34BB" w:rsidRPr="00EA437E" w:rsidRDefault="00335A8B" w:rsidP="00EA437E">
      <w:pPr>
        <w:pStyle w:val="Default"/>
        <w:spacing w:line="276" w:lineRule="auto"/>
        <w:rPr>
          <w:rFonts w:ascii="Arial" w:hAnsi="Arial" w:cs="Arial"/>
        </w:rPr>
      </w:pPr>
      <w:r>
        <w:rPr>
          <w:rFonts w:ascii="Arial" w:hAnsi="Arial" w:cs="Arial"/>
        </w:rPr>
        <w:t>P</w:t>
      </w:r>
      <w:r w:rsidR="00225C24" w:rsidRPr="00EA437E">
        <w:rPr>
          <w:rFonts w:ascii="Arial" w:hAnsi="Arial" w:cs="Arial"/>
        </w:rPr>
        <w:t>re</w:t>
      </w:r>
      <w:r w:rsidR="00DD34BB" w:rsidRPr="00EA437E">
        <w:rPr>
          <w:rFonts w:ascii="Arial" w:hAnsi="Arial" w:cs="Arial"/>
        </w:rPr>
        <w:t>empti</w:t>
      </w:r>
      <w:r w:rsidR="002803D2" w:rsidRPr="00EA437E">
        <w:rPr>
          <w:rFonts w:ascii="Arial" w:hAnsi="Arial" w:cs="Arial"/>
        </w:rPr>
        <w:t xml:space="preserve">ve </w:t>
      </w:r>
      <w:r>
        <w:rPr>
          <w:rFonts w:ascii="Arial" w:hAnsi="Arial" w:cs="Arial"/>
        </w:rPr>
        <w:t xml:space="preserve">regulatory </w:t>
      </w:r>
      <w:r w:rsidR="002803D2" w:rsidRPr="00EA437E">
        <w:rPr>
          <w:rFonts w:ascii="Arial" w:hAnsi="Arial" w:cs="Arial"/>
        </w:rPr>
        <w:t xml:space="preserve">intervention in itself </w:t>
      </w:r>
      <w:r w:rsidR="00225C24" w:rsidRPr="00EA437E">
        <w:rPr>
          <w:rFonts w:ascii="Arial" w:hAnsi="Arial" w:cs="Arial"/>
        </w:rPr>
        <w:t>is</w:t>
      </w:r>
      <w:r w:rsidR="00DD34BB" w:rsidRPr="00EA437E">
        <w:rPr>
          <w:rFonts w:ascii="Arial" w:hAnsi="Arial" w:cs="Arial"/>
        </w:rPr>
        <w:t xml:space="preserve"> reasonable </w:t>
      </w:r>
      <w:r w:rsidR="002803D2" w:rsidRPr="00EA437E">
        <w:rPr>
          <w:rFonts w:ascii="Arial" w:hAnsi="Arial" w:cs="Arial"/>
        </w:rPr>
        <w:t>as</w:t>
      </w:r>
      <w:r w:rsidR="00DD34BB" w:rsidRPr="00EA437E">
        <w:rPr>
          <w:rFonts w:ascii="Arial" w:hAnsi="Arial" w:cs="Arial"/>
        </w:rPr>
        <w:t xml:space="preserve"> a preventive measure to avoid or reduce possible harm to the either</w:t>
      </w:r>
      <w:r>
        <w:rPr>
          <w:rFonts w:ascii="Arial" w:hAnsi="Arial" w:cs="Arial"/>
        </w:rPr>
        <w:t xml:space="preserve"> the</w:t>
      </w:r>
      <w:r w:rsidR="00DD34BB" w:rsidRPr="00EA437E">
        <w:rPr>
          <w:rFonts w:ascii="Arial" w:hAnsi="Arial" w:cs="Arial"/>
        </w:rPr>
        <w:t xml:space="preserve"> customers or </w:t>
      </w:r>
      <w:r w:rsidR="002803D2" w:rsidRPr="00EA437E">
        <w:rPr>
          <w:rFonts w:ascii="Arial" w:hAnsi="Arial" w:cs="Arial"/>
        </w:rPr>
        <w:t>other</w:t>
      </w:r>
      <w:r w:rsidR="00DD34BB" w:rsidRPr="00EA437E">
        <w:rPr>
          <w:rFonts w:ascii="Arial" w:hAnsi="Arial" w:cs="Arial"/>
        </w:rPr>
        <w:t xml:space="preserve"> stakeholders of banks and financial services sector</w:t>
      </w:r>
      <w:r>
        <w:rPr>
          <w:rFonts w:ascii="Arial" w:hAnsi="Arial" w:cs="Arial"/>
        </w:rPr>
        <w:t xml:space="preserve"> in Australia.</w:t>
      </w:r>
      <w:r w:rsidR="00370D71" w:rsidRPr="00EA437E">
        <w:rPr>
          <w:rFonts w:ascii="Arial" w:hAnsi="Arial" w:cs="Arial"/>
        </w:rPr>
        <w:t xml:space="preserve"> </w:t>
      </w:r>
      <w:r>
        <w:rPr>
          <w:rFonts w:ascii="Arial" w:hAnsi="Arial" w:cs="Arial"/>
        </w:rPr>
        <w:t>S</w:t>
      </w:r>
      <w:r w:rsidR="002803D2" w:rsidRPr="00EA437E">
        <w:rPr>
          <w:rFonts w:ascii="Arial" w:hAnsi="Arial" w:cs="Arial"/>
        </w:rPr>
        <w:t>uch</w:t>
      </w:r>
      <w:r w:rsidR="00370D71" w:rsidRPr="00EA437E">
        <w:rPr>
          <w:rFonts w:ascii="Arial" w:hAnsi="Arial" w:cs="Arial"/>
        </w:rPr>
        <w:t xml:space="preserve"> intervention has been </w:t>
      </w:r>
      <w:r w:rsidR="008B7704" w:rsidRPr="00EA437E">
        <w:rPr>
          <w:rFonts w:ascii="Arial" w:hAnsi="Arial" w:cs="Arial"/>
        </w:rPr>
        <w:t>used</w:t>
      </w:r>
      <w:r w:rsidR="00225C24" w:rsidRPr="00EA437E">
        <w:rPr>
          <w:rFonts w:ascii="Arial" w:hAnsi="Arial" w:cs="Arial"/>
        </w:rPr>
        <w:t xml:space="preserve"> </w:t>
      </w:r>
      <w:r w:rsidR="002803D2" w:rsidRPr="00EA437E">
        <w:rPr>
          <w:rFonts w:ascii="Arial" w:hAnsi="Arial" w:cs="Arial"/>
        </w:rPr>
        <w:t xml:space="preserve">in Australia, for example </w:t>
      </w:r>
      <w:r>
        <w:rPr>
          <w:rFonts w:ascii="Arial" w:hAnsi="Arial" w:cs="Arial"/>
        </w:rPr>
        <w:t xml:space="preserve">in </w:t>
      </w:r>
      <w:r w:rsidR="00225C24" w:rsidRPr="00EA437E">
        <w:rPr>
          <w:rFonts w:ascii="Arial" w:hAnsi="Arial" w:cs="Arial"/>
        </w:rPr>
        <w:t>preventive</w:t>
      </w:r>
      <w:r w:rsidR="002803D2" w:rsidRPr="00EA437E">
        <w:rPr>
          <w:rFonts w:ascii="Arial" w:hAnsi="Arial" w:cs="Arial"/>
        </w:rPr>
        <w:t xml:space="preserve"> </w:t>
      </w:r>
      <w:r w:rsidR="00370D71" w:rsidRPr="00EA437E">
        <w:rPr>
          <w:rFonts w:ascii="Arial" w:hAnsi="Arial" w:cs="Arial"/>
        </w:rPr>
        <w:t xml:space="preserve">detention of suspects </w:t>
      </w:r>
      <w:r w:rsidR="008D3C05" w:rsidRPr="00EA437E">
        <w:rPr>
          <w:rFonts w:ascii="Arial" w:hAnsi="Arial" w:cs="Arial"/>
        </w:rPr>
        <w:t>in the public’s interest</w:t>
      </w:r>
      <w:r w:rsidR="002803D2" w:rsidRPr="00EA437E">
        <w:rPr>
          <w:rFonts w:ascii="Arial" w:hAnsi="Arial" w:cs="Arial"/>
        </w:rPr>
        <w:t xml:space="preserve"> </w:t>
      </w:r>
      <w:r>
        <w:rPr>
          <w:rFonts w:ascii="Arial" w:hAnsi="Arial" w:cs="Arial"/>
        </w:rPr>
        <w:t>like terrorist suspects</w:t>
      </w:r>
      <w:r w:rsidR="002803D2" w:rsidRPr="00EA437E">
        <w:rPr>
          <w:rFonts w:ascii="Arial" w:hAnsi="Arial" w:cs="Arial"/>
        </w:rPr>
        <w:t>. E</w:t>
      </w:r>
      <w:r w:rsidR="008D3C05" w:rsidRPr="00EA437E">
        <w:rPr>
          <w:rFonts w:ascii="Arial" w:hAnsi="Arial" w:cs="Arial"/>
        </w:rPr>
        <w:t>arly</w:t>
      </w:r>
      <w:r w:rsidR="008B7704" w:rsidRPr="00EA437E">
        <w:rPr>
          <w:rFonts w:ascii="Arial" w:hAnsi="Arial" w:cs="Arial"/>
        </w:rPr>
        <w:t xml:space="preserve"> intervention</w:t>
      </w:r>
      <w:r w:rsidR="008D3C05" w:rsidRPr="00EA437E">
        <w:rPr>
          <w:rFonts w:ascii="Arial" w:hAnsi="Arial" w:cs="Arial"/>
        </w:rPr>
        <w:t xml:space="preserve"> is </w:t>
      </w:r>
      <w:r w:rsidR="002803D2" w:rsidRPr="00EA437E">
        <w:rPr>
          <w:rFonts w:ascii="Arial" w:hAnsi="Arial" w:cs="Arial"/>
        </w:rPr>
        <w:t xml:space="preserve">also used </w:t>
      </w:r>
      <w:r w:rsidR="008D3C05" w:rsidRPr="00EA437E">
        <w:rPr>
          <w:rFonts w:ascii="Arial" w:hAnsi="Arial" w:cs="Arial"/>
        </w:rPr>
        <w:t xml:space="preserve">when authorities have come to the view it is necessary to protect individuals from potential danger. In such instances the justification to intervene before an actual crime </w:t>
      </w:r>
      <w:r w:rsidR="002803D2" w:rsidRPr="00EA437E">
        <w:rPr>
          <w:rFonts w:ascii="Arial" w:hAnsi="Arial" w:cs="Arial"/>
        </w:rPr>
        <w:t xml:space="preserve">has been </w:t>
      </w:r>
      <w:r w:rsidR="008D3C05" w:rsidRPr="00EA437E">
        <w:rPr>
          <w:rFonts w:ascii="Arial" w:hAnsi="Arial" w:cs="Arial"/>
        </w:rPr>
        <w:t xml:space="preserve">committed </w:t>
      </w:r>
      <w:r w:rsidR="00225C24" w:rsidRPr="00EA437E">
        <w:rPr>
          <w:rFonts w:ascii="Arial" w:hAnsi="Arial" w:cs="Arial"/>
        </w:rPr>
        <w:t xml:space="preserve">is </w:t>
      </w:r>
      <w:r w:rsidR="008D3C05" w:rsidRPr="00EA437E">
        <w:rPr>
          <w:rFonts w:ascii="Arial" w:hAnsi="Arial" w:cs="Arial"/>
        </w:rPr>
        <w:t xml:space="preserve">to prevent </w:t>
      </w:r>
      <w:r w:rsidR="004E0473" w:rsidRPr="00EA437E">
        <w:rPr>
          <w:rFonts w:ascii="Arial" w:hAnsi="Arial" w:cs="Arial"/>
        </w:rPr>
        <w:lastRenderedPageBreak/>
        <w:t>physical</w:t>
      </w:r>
      <w:r w:rsidR="00DB2B21">
        <w:rPr>
          <w:rFonts w:ascii="Arial" w:hAnsi="Arial" w:cs="Arial"/>
        </w:rPr>
        <w:t xml:space="preserve"> and other sorts of</w:t>
      </w:r>
      <w:r w:rsidR="004E0473" w:rsidRPr="00EA437E">
        <w:rPr>
          <w:rFonts w:ascii="Arial" w:hAnsi="Arial" w:cs="Arial"/>
        </w:rPr>
        <w:t xml:space="preserve"> </w:t>
      </w:r>
      <w:r w:rsidR="008D3C05" w:rsidRPr="00EA437E">
        <w:rPr>
          <w:rFonts w:ascii="Arial" w:hAnsi="Arial" w:cs="Arial"/>
        </w:rPr>
        <w:t>harm</w:t>
      </w:r>
      <w:r w:rsidR="00DB2B21">
        <w:rPr>
          <w:rFonts w:ascii="Arial" w:hAnsi="Arial" w:cs="Arial"/>
        </w:rPr>
        <w:t>s</w:t>
      </w:r>
      <w:r w:rsidR="008D3C05" w:rsidRPr="00EA437E">
        <w:rPr>
          <w:rFonts w:ascii="Arial" w:hAnsi="Arial" w:cs="Arial"/>
        </w:rPr>
        <w:t xml:space="preserve"> from being inflicted </w:t>
      </w:r>
      <w:r w:rsidR="00724687" w:rsidRPr="00EA437E">
        <w:rPr>
          <w:rFonts w:ascii="Arial" w:hAnsi="Arial" w:cs="Arial"/>
        </w:rPr>
        <w:t>upon</w:t>
      </w:r>
      <w:r w:rsidR="008D3C05" w:rsidRPr="00EA437E">
        <w:rPr>
          <w:rFonts w:ascii="Arial" w:hAnsi="Arial" w:cs="Arial"/>
        </w:rPr>
        <w:t xml:space="preserve"> individuals or the community at large. </w:t>
      </w:r>
      <w:r w:rsidR="00DD66ED" w:rsidRPr="00EA437E">
        <w:rPr>
          <w:rFonts w:ascii="Arial" w:hAnsi="Arial" w:cs="Arial"/>
        </w:rPr>
        <w:t xml:space="preserve">And central to making such a judgement authorities </w:t>
      </w:r>
      <w:r w:rsidR="008B66AD" w:rsidRPr="00EA437E">
        <w:rPr>
          <w:rFonts w:ascii="Arial" w:hAnsi="Arial" w:cs="Arial"/>
        </w:rPr>
        <w:t>have</w:t>
      </w:r>
      <w:r w:rsidR="00DD66ED" w:rsidRPr="00EA437E">
        <w:rPr>
          <w:rFonts w:ascii="Arial" w:hAnsi="Arial" w:cs="Arial"/>
        </w:rPr>
        <w:t xml:space="preserve"> to be satisfied </w:t>
      </w:r>
      <w:r w:rsidR="004E0473" w:rsidRPr="00EA437E">
        <w:rPr>
          <w:rFonts w:ascii="Arial" w:hAnsi="Arial" w:cs="Arial"/>
        </w:rPr>
        <w:t xml:space="preserve">depending of factors considered in </w:t>
      </w:r>
      <w:r w:rsidR="00225C24" w:rsidRPr="00EA437E">
        <w:rPr>
          <w:rFonts w:ascii="Arial" w:hAnsi="Arial" w:cs="Arial"/>
        </w:rPr>
        <w:t xml:space="preserve">their </w:t>
      </w:r>
      <w:r w:rsidR="004E0473" w:rsidRPr="00EA437E">
        <w:rPr>
          <w:rFonts w:ascii="Arial" w:hAnsi="Arial" w:cs="Arial"/>
        </w:rPr>
        <w:t xml:space="preserve">risk analysis </w:t>
      </w:r>
      <w:r w:rsidR="00DD66ED" w:rsidRPr="00EA437E">
        <w:rPr>
          <w:rFonts w:ascii="Arial" w:hAnsi="Arial" w:cs="Arial"/>
        </w:rPr>
        <w:t>that the risks of non-interven</w:t>
      </w:r>
      <w:r w:rsidR="008B66AD" w:rsidRPr="00EA437E">
        <w:rPr>
          <w:rFonts w:ascii="Arial" w:hAnsi="Arial" w:cs="Arial"/>
        </w:rPr>
        <w:t>tion</w:t>
      </w:r>
      <w:r w:rsidR="004E0473" w:rsidRPr="00EA437E">
        <w:rPr>
          <w:rFonts w:ascii="Arial" w:hAnsi="Arial" w:cs="Arial"/>
        </w:rPr>
        <w:t xml:space="preserve"> would extreme</w:t>
      </w:r>
      <w:r w:rsidR="008B66AD" w:rsidRPr="00EA437E">
        <w:rPr>
          <w:rFonts w:ascii="Arial" w:hAnsi="Arial" w:cs="Arial"/>
        </w:rPr>
        <w:t xml:space="preserve">. Often the risks considered </w:t>
      </w:r>
      <w:r w:rsidR="002A144A" w:rsidRPr="00EA437E">
        <w:rPr>
          <w:rFonts w:ascii="Arial" w:hAnsi="Arial" w:cs="Arial"/>
        </w:rPr>
        <w:t>is</w:t>
      </w:r>
      <w:r w:rsidR="008B66AD" w:rsidRPr="00EA437E">
        <w:rPr>
          <w:rFonts w:ascii="Arial" w:hAnsi="Arial" w:cs="Arial"/>
        </w:rPr>
        <w:t xml:space="preserve"> the magnitude of </w:t>
      </w:r>
      <w:r w:rsidR="0071674A" w:rsidRPr="00EA437E">
        <w:rPr>
          <w:rFonts w:ascii="Arial" w:hAnsi="Arial" w:cs="Arial"/>
        </w:rPr>
        <w:t xml:space="preserve">harm </w:t>
      </w:r>
      <w:r w:rsidR="004E0473" w:rsidRPr="00EA437E">
        <w:rPr>
          <w:rFonts w:ascii="Arial" w:hAnsi="Arial" w:cs="Arial"/>
        </w:rPr>
        <w:t xml:space="preserve">or injury </w:t>
      </w:r>
      <w:r w:rsidR="008B66AD" w:rsidRPr="00EA437E">
        <w:rPr>
          <w:rFonts w:ascii="Arial" w:hAnsi="Arial" w:cs="Arial"/>
        </w:rPr>
        <w:t>that would constitute a crime being committed or</w:t>
      </w:r>
      <w:r w:rsidR="00042E4F" w:rsidRPr="00EA437E">
        <w:rPr>
          <w:rFonts w:ascii="Arial" w:hAnsi="Arial" w:cs="Arial"/>
        </w:rPr>
        <w:t xml:space="preserve"> the</w:t>
      </w:r>
      <w:r w:rsidR="008B66AD" w:rsidRPr="00EA437E">
        <w:rPr>
          <w:rFonts w:ascii="Arial" w:hAnsi="Arial" w:cs="Arial"/>
        </w:rPr>
        <w:t xml:space="preserve"> </w:t>
      </w:r>
      <w:r w:rsidR="00042E4F" w:rsidRPr="00EA437E">
        <w:rPr>
          <w:rFonts w:ascii="Arial" w:hAnsi="Arial" w:cs="Arial"/>
        </w:rPr>
        <w:t xml:space="preserve">likelihood of </w:t>
      </w:r>
      <w:r w:rsidR="008B66AD" w:rsidRPr="00EA437E">
        <w:rPr>
          <w:rFonts w:ascii="Arial" w:hAnsi="Arial" w:cs="Arial"/>
        </w:rPr>
        <w:t xml:space="preserve">criminal activities </w:t>
      </w:r>
      <w:r w:rsidR="00CF0BF1" w:rsidRPr="00EA437E">
        <w:rPr>
          <w:rFonts w:ascii="Arial" w:hAnsi="Arial" w:cs="Arial"/>
        </w:rPr>
        <w:t>is</w:t>
      </w:r>
      <w:r w:rsidR="002A144A" w:rsidRPr="00EA437E">
        <w:rPr>
          <w:rFonts w:ascii="Arial" w:hAnsi="Arial" w:cs="Arial"/>
        </w:rPr>
        <w:t xml:space="preserve"> </w:t>
      </w:r>
      <w:r w:rsidR="00A14B3A" w:rsidRPr="00EA437E">
        <w:rPr>
          <w:rFonts w:ascii="Arial" w:hAnsi="Arial" w:cs="Arial"/>
        </w:rPr>
        <w:t>involved.</w:t>
      </w:r>
    </w:p>
    <w:p w14:paraId="2C7C5743" w14:textId="77777777" w:rsidR="0071674A" w:rsidRPr="00EA437E" w:rsidRDefault="0071674A" w:rsidP="00EA437E">
      <w:pPr>
        <w:pStyle w:val="Default"/>
        <w:spacing w:line="276" w:lineRule="auto"/>
        <w:rPr>
          <w:rFonts w:ascii="Arial" w:hAnsi="Arial" w:cs="Arial"/>
        </w:rPr>
      </w:pPr>
    </w:p>
    <w:p w14:paraId="392C6D92" w14:textId="77777777" w:rsidR="00F3059C" w:rsidRPr="00EA437E" w:rsidRDefault="002C28F6" w:rsidP="00EA437E">
      <w:pPr>
        <w:pStyle w:val="Default"/>
        <w:spacing w:line="276" w:lineRule="auto"/>
        <w:rPr>
          <w:rFonts w:ascii="Arial" w:hAnsi="Arial" w:cs="Arial"/>
        </w:rPr>
      </w:pPr>
      <w:r w:rsidRPr="00EA437E">
        <w:rPr>
          <w:rFonts w:ascii="Arial" w:hAnsi="Arial" w:cs="Arial"/>
        </w:rPr>
        <w:t xml:space="preserve">Highlighting the above justifications for regulatory intervention </w:t>
      </w:r>
      <w:r w:rsidR="00225C24" w:rsidRPr="00EA437E">
        <w:rPr>
          <w:rFonts w:ascii="Arial" w:hAnsi="Arial" w:cs="Arial"/>
        </w:rPr>
        <w:t>as a pre</w:t>
      </w:r>
      <w:r w:rsidRPr="00EA437E">
        <w:rPr>
          <w:rFonts w:ascii="Arial" w:hAnsi="Arial" w:cs="Arial"/>
        </w:rPr>
        <w:t>emptive measure be</w:t>
      </w:r>
      <w:r w:rsidR="004E0473" w:rsidRPr="00EA437E">
        <w:rPr>
          <w:rFonts w:ascii="Arial" w:hAnsi="Arial" w:cs="Arial"/>
        </w:rPr>
        <w:t>fore a crime is</w:t>
      </w:r>
      <w:r w:rsidRPr="00EA437E">
        <w:rPr>
          <w:rFonts w:ascii="Arial" w:hAnsi="Arial" w:cs="Arial"/>
        </w:rPr>
        <w:t xml:space="preserve"> committed is not to argue</w:t>
      </w:r>
      <w:r w:rsidR="0071674A" w:rsidRPr="00EA437E">
        <w:rPr>
          <w:rFonts w:ascii="Arial" w:hAnsi="Arial" w:cs="Arial"/>
        </w:rPr>
        <w:t xml:space="preserve"> that </w:t>
      </w:r>
      <w:r w:rsidR="00046D7D" w:rsidRPr="00EA437E">
        <w:rPr>
          <w:rFonts w:ascii="Arial" w:hAnsi="Arial" w:cs="Arial"/>
        </w:rPr>
        <w:t xml:space="preserve">APRA’s </w:t>
      </w:r>
      <w:r w:rsidRPr="00EA437E">
        <w:rPr>
          <w:rFonts w:ascii="Arial" w:hAnsi="Arial" w:cs="Arial"/>
        </w:rPr>
        <w:t xml:space="preserve">enforcement of BEAR based on risk of misconduct </w:t>
      </w:r>
      <w:r w:rsidR="004E0473" w:rsidRPr="00EA437E">
        <w:rPr>
          <w:rFonts w:ascii="Arial" w:hAnsi="Arial" w:cs="Arial"/>
        </w:rPr>
        <w:t xml:space="preserve">is inappropriate. On the contrary this submission agrees with the Hayne Royal </w:t>
      </w:r>
      <w:r w:rsidR="002A144A" w:rsidRPr="00EA437E">
        <w:rPr>
          <w:rFonts w:ascii="Arial" w:hAnsi="Arial" w:cs="Arial"/>
        </w:rPr>
        <w:t>Commission Final Report recommendations</w:t>
      </w:r>
      <w:r w:rsidR="00225C24" w:rsidRPr="00EA437E">
        <w:rPr>
          <w:rFonts w:ascii="Arial" w:hAnsi="Arial" w:cs="Arial"/>
        </w:rPr>
        <w:t xml:space="preserve"> and the introduction of BEAR</w:t>
      </w:r>
      <w:r w:rsidR="002A144A" w:rsidRPr="00EA437E">
        <w:rPr>
          <w:rFonts w:ascii="Arial" w:hAnsi="Arial" w:cs="Arial"/>
        </w:rPr>
        <w:t>, in particular to mitigate the risk of misconduct</w:t>
      </w:r>
      <w:r w:rsidR="00DB2B21">
        <w:rPr>
          <w:rFonts w:ascii="Arial" w:hAnsi="Arial" w:cs="Arial"/>
        </w:rPr>
        <w:t>. The</w:t>
      </w:r>
      <w:r w:rsidR="00612B85" w:rsidRPr="00EA437E">
        <w:rPr>
          <w:rFonts w:ascii="Arial" w:hAnsi="Arial" w:cs="Arial"/>
        </w:rPr>
        <w:t xml:space="preserve"> concern is </w:t>
      </w:r>
      <w:r w:rsidR="00DB2B21">
        <w:rPr>
          <w:rFonts w:ascii="Arial" w:hAnsi="Arial" w:cs="Arial"/>
        </w:rPr>
        <w:t>‘</w:t>
      </w:r>
      <w:r w:rsidR="00225C24" w:rsidRPr="00EA437E">
        <w:rPr>
          <w:rFonts w:ascii="Arial" w:hAnsi="Arial" w:cs="Arial"/>
        </w:rPr>
        <w:t xml:space="preserve">the </w:t>
      </w:r>
      <w:r w:rsidR="00612B85" w:rsidRPr="00EA437E">
        <w:rPr>
          <w:rFonts w:ascii="Arial" w:hAnsi="Arial" w:cs="Arial"/>
        </w:rPr>
        <w:t>when</w:t>
      </w:r>
      <w:r w:rsidR="00DB2B21">
        <w:rPr>
          <w:rFonts w:ascii="Arial" w:hAnsi="Arial" w:cs="Arial"/>
        </w:rPr>
        <w:t>’</w:t>
      </w:r>
      <w:r w:rsidR="00612B85" w:rsidRPr="00EA437E">
        <w:rPr>
          <w:rFonts w:ascii="Arial" w:hAnsi="Arial" w:cs="Arial"/>
        </w:rPr>
        <w:t xml:space="preserve"> and </w:t>
      </w:r>
      <w:r w:rsidR="00DB2B21">
        <w:rPr>
          <w:rFonts w:ascii="Arial" w:hAnsi="Arial" w:cs="Arial"/>
        </w:rPr>
        <w:t>‘</w:t>
      </w:r>
      <w:r w:rsidR="00612B85" w:rsidRPr="00EA437E">
        <w:rPr>
          <w:rFonts w:ascii="Arial" w:hAnsi="Arial" w:cs="Arial"/>
        </w:rPr>
        <w:t>the how</w:t>
      </w:r>
      <w:r w:rsidR="00DB2B21">
        <w:rPr>
          <w:rFonts w:ascii="Arial" w:hAnsi="Arial" w:cs="Arial"/>
        </w:rPr>
        <w:t>’</w:t>
      </w:r>
      <w:r w:rsidR="00612B85" w:rsidRPr="00EA437E">
        <w:rPr>
          <w:rFonts w:ascii="Arial" w:hAnsi="Arial" w:cs="Arial"/>
        </w:rPr>
        <w:t xml:space="preserve"> such regulatory intervention by APRA is justified and reasonable without unnecessary disrupt</w:t>
      </w:r>
      <w:r w:rsidR="00225C24" w:rsidRPr="00EA437E">
        <w:rPr>
          <w:rFonts w:ascii="Arial" w:hAnsi="Arial" w:cs="Arial"/>
        </w:rPr>
        <w:t>ing</w:t>
      </w:r>
      <w:r w:rsidR="00612B85" w:rsidRPr="00EA437E">
        <w:rPr>
          <w:rFonts w:ascii="Arial" w:hAnsi="Arial" w:cs="Arial"/>
        </w:rPr>
        <w:t xml:space="preserve"> the </w:t>
      </w:r>
      <w:r w:rsidR="00225C24" w:rsidRPr="00EA437E">
        <w:rPr>
          <w:rFonts w:ascii="Arial" w:hAnsi="Arial" w:cs="Arial"/>
        </w:rPr>
        <w:t>operation of financial institutions</w:t>
      </w:r>
      <w:r w:rsidR="00612B85" w:rsidRPr="00EA437E">
        <w:rPr>
          <w:rFonts w:ascii="Arial" w:hAnsi="Arial" w:cs="Arial"/>
        </w:rPr>
        <w:t>. And more importantly</w:t>
      </w:r>
      <w:r w:rsidR="00A75BDC" w:rsidRPr="00EA437E">
        <w:rPr>
          <w:rFonts w:ascii="Arial" w:hAnsi="Arial" w:cs="Arial"/>
        </w:rPr>
        <w:t>,</w:t>
      </w:r>
      <w:r w:rsidR="00612B85" w:rsidRPr="00EA437E">
        <w:rPr>
          <w:rFonts w:ascii="Arial" w:hAnsi="Arial" w:cs="Arial"/>
        </w:rPr>
        <w:t xml:space="preserve"> </w:t>
      </w:r>
      <w:r w:rsidR="00A75BDC" w:rsidRPr="00EA437E">
        <w:rPr>
          <w:rFonts w:ascii="Arial" w:hAnsi="Arial" w:cs="Arial"/>
        </w:rPr>
        <w:t xml:space="preserve">consider </w:t>
      </w:r>
      <w:r w:rsidR="00612B85" w:rsidRPr="00EA437E">
        <w:rPr>
          <w:rFonts w:ascii="Arial" w:hAnsi="Arial" w:cs="Arial"/>
        </w:rPr>
        <w:t>how APRA could reduce incidences of ‘false alarms’</w:t>
      </w:r>
      <w:r w:rsidR="00A75BDC" w:rsidRPr="00EA437E">
        <w:rPr>
          <w:rFonts w:ascii="Arial" w:hAnsi="Arial" w:cs="Arial"/>
        </w:rPr>
        <w:t xml:space="preserve"> with their </w:t>
      </w:r>
      <w:r w:rsidR="00225C24" w:rsidRPr="00EA437E">
        <w:rPr>
          <w:rFonts w:ascii="Arial" w:hAnsi="Arial" w:cs="Arial"/>
        </w:rPr>
        <w:t>pre</w:t>
      </w:r>
      <w:r w:rsidR="00A75BDC" w:rsidRPr="00EA437E">
        <w:rPr>
          <w:rFonts w:ascii="Arial" w:hAnsi="Arial" w:cs="Arial"/>
        </w:rPr>
        <w:t>emptive enforcement actions</w:t>
      </w:r>
      <w:r w:rsidR="00612B85" w:rsidRPr="00EA437E">
        <w:rPr>
          <w:rFonts w:ascii="Arial" w:hAnsi="Arial" w:cs="Arial"/>
        </w:rPr>
        <w:t xml:space="preserve"> that</w:t>
      </w:r>
      <w:r w:rsidR="00A75BDC" w:rsidRPr="00EA437E">
        <w:rPr>
          <w:rFonts w:ascii="Arial" w:hAnsi="Arial" w:cs="Arial"/>
        </w:rPr>
        <w:t xml:space="preserve"> in effect</w:t>
      </w:r>
      <w:r w:rsidR="00612B85" w:rsidRPr="00EA437E">
        <w:rPr>
          <w:rFonts w:ascii="Arial" w:hAnsi="Arial" w:cs="Arial"/>
        </w:rPr>
        <w:t xml:space="preserve"> interfere </w:t>
      </w:r>
      <w:r w:rsidR="00A75BDC" w:rsidRPr="00EA437E">
        <w:rPr>
          <w:rFonts w:ascii="Arial" w:hAnsi="Arial" w:cs="Arial"/>
        </w:rPr>
        <w:t xml:space="preserve">with </w:t>
      </w:r>
      <w:r w:rsidR="00612B85" w:rsidRPr="00EA437E">
        <w:rPr>
          <w:rFonts w:ascii="Arial" w:hAnsi="Arial" w:cs="Arial"/>
        </w:rPr>
        <w:t xml:space="preserve">the </w:t>
      </w:r>
      <w:r w:rsidR="00A75BDC" w:rsidRPr="00EA437E">
        <w:rPr>
          <w:rFonts w:ascii="Arial" w:hAnsi="Arial" w:cs="Arial"/>
        </w:rPr>
        <w:t xml:space="preserve">smooth </w:t>
      </w:r>
      <w:r w:rsidR="00612B85" w:rsidRPr="00EA437E">
        <w:rPr>
          <w:rFonts w:ascii="Arial" w:hAnsi="Arial" w:cs="Arial"/>
        </w:rPr>
        <w:t>operation of financial institutions</w:t>
      </w:r>
      <w:r w:rsidR="00A75BDC" w:rsidRPr="00EA437E">
        <w:rPr>
          <w:rFonts w:ascii="Arial" w:hAnsi="Arial" w:cs="Arial"/>
        </w:rPr>
        <w:t xml:space="preserve">. If mismanaged such regulatory intervention could have the potential of adversely impacting on the efficient workings of the financial system because </w:t>
      </w:r>
      <w:r w:rsidR="00CF0BF1" w:rsidRPr="00EA437E">
        <w:rPr>
          <w:rFonts w:ascii="Arial" w:hAnsi="Arial" w:cs="Arial"/>
        </w:rPr>
        <w:t xml:space="preserve">unwarranted disruptions from erroneous regulatory judgements </w:t>
      </w:r>
      <w:r w:rsidR="00A75BDC" w:rsidRPr="00EA437E">
        <w:rPr>
          <w:rFonts w:ascii="Arial" w:hAnsi="Arial" w:cs="Arial"/>
        </w:rPr>
        <w:t xml:space="preserve">could undermine </w:t>
      </w:r>
      <w:r w:rsidR="00225C24" w:rsidRPr="00EA437E">
        <w:rPr>
          <w:rFonts w:ascii="Arial" w:hAnsi="Arial" w:cs="Arial"/>
        </w:rPr>
        <w:t>the</w:t>
      </w:r>
      <w:r w:rsidR="00A75BDC" w:rsidRPr="00EA437E">
        <w:rPr>
          <w:rFonts w:ascii="Arial" w:hAnsi="Arial" w:cs="Arial"/>
        </w:rPr>
        <w:t xml:space="preserve"> confidence in Australia’s financial institutions.</w:t>
      </w:r>
      <w:r w:rsidR="00F3059C" w:rsidRPr="00EA437E">
        <w:rPr>
          <w:rFonts w:ascii="Arial" w:hAnsi="Arial" w:cs="Arial"/>
        </w:rPr>
        <w:t xml:space="preserve"> As such </w:t>
      </w:r>
      <w:r w:rsidR="000B2138" w:rsidRPr="00EA437E">
        <w:rPr>
          <w:rFonts w:ascii="Arial" w:hAnsi="Arial" w:cs="Arial"/>
        </w:rPr>
        <w:t xml:space="preserve">a set of robust criteria in which APRA </w:t>
      </w:r>
      <w:r w:rsidR="00965AAB">
        <w:rPr>
          <w:rFonts w:ascii="Arial" w:hAnsi="Arial" w:cs="Arial"/>
        </w:rPr>
        <w:t xml:space="preserve">is required to </w:t>
      </w:r>
      <w:r w:rsidR="007907DE">
        <w:rPr>
          <w:rFonts w:ascii="Arial" w:hAnsi="Arial" w:cs="Arial"/>
        </w:rPr>
        <w:t xml:space="preserve">warrant and </w:t>
      </w:r>
      <w:r w:rsidR="000B2138" w:rsidRPr="00EA437E">
        <w:rPr>
          <w:rFonts w:ascii="Arial" w:hAnsi="Arial" w:cs="Arial"/>
        </w:rPr>
        <w:t xml:space="preserve">justify </w:t>
      </w:r>
      <w:r w:rsidR="00972B76">
        <w:rPr>
          <w:rFonts w:ascii="Arial" w:hAnsi="Arial" w:cs="Arial"/>
        </w:rPr>
        <w:t>their enforcement</w:t>
      </w:r>
      <w:r w:rsidR="00965AAB">
        <w:rPr>
          <w:rFonts w:ascii="Arial" w:hAnsi="Arial" w:cs="Arial"/>
        </w:rPr>
        <w:t xml:space="preserve"> actions</w:t>
      </w:r>
      <w:r w:rsidR="00145897" w:rsidRPr="00EA437E">
        <w:rPr>
          <w:rFonts w:ascii="Arial" w:hAnsi="Arial" w:cs="Arial"/>
        </w:rPr>
        <w:t>.</w:t>
      </w:r>
    </w:p>
    <w:p w14:paraId="787457C5" w14:textId="77777777" w:rsidR="006F7BE0" w:rsidRPr="00EA437E" w:rsidRDefault="006F7BE0" w:rsidP="00EA437E">
      <w:pPr>
        <w:pStyle w:val="Default"/>
        <w:spacing w:line="276" w:lineRule="auto"/>
        <w:rPr>
          <w:rFonts w:ascii="Arial" w:hAnsi="Arial" w:cs="Arial"/>
        </w:rPr>
      </w:pPr>
    </w:p>
    <w:p w14:paraId="225829B0" w14:textId="77777777" w:rsidR="00DD793B" w:rsidRDefault="006F7BE0" w:rsidP="00EA437E">
      <w:pPr>
        <w:pStyle w:val="Default"/>
        <w:spacing w:line="276" w:lineRule="auto"/>
        <w:rPr>
          <w:rFonts w:ascii="Arial" w:hAnsi="Arial" w:cs="Arial"/>
        </w:rPr>
      </w:pPr>
      <w:r w:rsidRPr="00EA437E">
        <w:rPr>
          <w:rFonts w:ascii="Arial" w:hAnsi="Arial" w:cs="Arial"/>
        </w:rPr>
        <w:t>Whilst the set of criteria will undoubtedly be considered by the panel in the review process, this submission wishes to h</w:t>
      </w:r>
      <w:r w:rsidR="00074F58">
        <w:rPr>
          <w:rFonts w:ascii="Arial" w:hAnsi="Arial" w:cs="Arial"/>
        </w:rPr>
        <w:t>ighlight a much neglected issue;</w:t>
      </w:r>
      <w:r w:rsidRPr="00EA437E">
        <w:rPr>
          <w:rFonts w:ascii="Arial" w:hAnsi="Arial" w:cs="Arial"/>
        </w:rPr>
        <w:t xml:space="preserve"> the contributions compliance professionals in the mit</w:t>
      </w:r>
      <w:r w:rsidR="00074F58">
        <w:rPr>
          <w:rFonts w:ascii="Arial" w:hAnsi="Arial" w:cs="Arial"/>
        </w:rPr>
        <w:t xml:space="preserve">igation of risks of misconduct </w:t>
      </w:r>
      <w:r w:rsidRPr="00EA437E">
        <w:rPr>
          <w:rFonts w:ascii="Arial" w:hAnsi="Arial" w:cs="Arial"/>
        </w:rPr>
        <w:t>and</w:t>
      </w:r>
      <w:r w:rsidR="00074F58">
        <w:rPr>
          <w:rFonts w:ascii="Arial" w:hAnsi="Arial" w:cs="Arial"/>
        </w:rPr>
        <w:t xml:space="preserve"> thus</w:t>
      </w:r>
      <w:r w:rsidRPr="00EA437E">
        <w:rPr>
          <w:rFonts w:ascii="Arial" w:hAnsi="Arial" w:cs="Arial"/>
        </w:rPr>
        <w:t xml:space="preserve"> im</w:t>
      </w:r>
      <w:r w:rsidR="00074F58">
        <w:rPr>
          <w:rFonts w:ascii="Arial" w:hAnsi="Arial" w:cs="Arial"/>
        </w:rPr>
        <w:t>proving</w:t>
      </w:r>
      <w:r w:rsidRPr="00EA437E">
        <w:rPr>
          <w:rFonts w:ascii="Arial" w:hAnsi="Arial" w:cs="Arial"/>
        </w:rPr>
        <w:t xml:space="preserve"> the entity’s governance. </w:t>
      </w:r>
    </w:p>
    <w:p w14:paraId="2B440800" w14:textId="77777777" w:rsidR="00DD793B" w:rsidRDefault="00DD793B" w:rsidP="00EA437E">
      <w:pPr>
        <w:pStyle w:val="Default"/>
        <w:spacing w:line="276" w:lineRule="auto"/>
        <w:rPr>
          <w:rFonts w:ascii="Arial" w:hAnsi="Arial" w:cs="Arial"/>
        </w:rPr>
      </w:pPr>
    </w:p>
    <w:p w14:paraId="6BF3B147" w14:textId="77777777" w:rsidR="006F7BE0" w:rsidRPr="00EA437E" w:rsidRDefault="009E51EA" w:rsidP="00EA437E">
      <w:pPr>
        <w:pStyle w:val="Default"/>
        <w:spacing w:line="276" w:lineRule="auto"/>
        <w:rPr>
          <w:rFonts w:ascii="Arial" w:hAnsi="Arial" w:cs="Arial"/>
        </w:rPr>
      </w:pPr>
      <w:r w:rsidRPr="00EA437E">
        <w:rPr>
          <w:rFonts w:ascii="Arial" w:hAnsi="Arial" w:cs="Arial"/>
        </w:rPr>
        <w:t xml:space="preserve">I have raised this </w:t>
      </w:r>
      <w:r w:rsidR="00DD793B" w:rsidRPr="00EA437E">
        <w:rPr>
          <w:rFonts w:ascii="Arial" w:hAnsi="Arial" w:cs="Arial"/>
        </w:rPr>
        <w:t xml:space="preserve">previously </w:t>
      </w:r>
      <w:r w:rsidRPr="00EA437E">
        <w:rPr>
          <w:rFonts w:ascii="Arial" w:hAnsi="Arial" w:cs="Arial"/>
        </w:rPr>
        <w:t>in print and on other forums</w:t>
      </w:r>
      <w:r w:rsidR="00DD793B">
        <w:rPr>
          <w:rFonts w:ascii="Arial" w:hAnsi="Arial" w:cs="Arial"/>
        </w:rPr>
        <w:t>.</w:t>
      </w:r>
      <w:r w:rsidRPr="00EA437E">
        <w:rPr>
          <w:rFonts w:ascii="Arial" w:hAnsi="Arial" w:cs="Arial"/>
        </w:rPr>
        <w:t xml:space="preserve"> </w:t>
      </w:r>
      <w:r w:rsidR="00DD793B">
        <w:rPr>
          <w:rFonts w:ascii="Arial" w:hAnsi="Arial" w:cs="Arial"/>
        </w:rPr>
        <w:t>C</w:t>
      </w:r>
      <w:r w:rsidRPr="00EA437E">
        <w:rPr>
          <w:rFonts w:ascii="Arial" w:hAnsi="Arial" w:cs="Arial"/>
        </w:rPr>
        <w:t xml:space="preserve">ompliance professionals play </w:t>
      </w:r>
      <w:r w:rsidR="00DD793B">
        <w:rPr>
          <w:rFonts w:ascii="Arial" w:hAnsi="Arial" w:cs="Arial"/>
        </w:rPr>
        <w:t xml:space="preserve">a key role </w:t>
      </w:r>
      <w:r w:rsidRPr="00EA437E">
        <w:rPr>
          <w:rFonts w:ascii="Arial" w:hAnsi="Arial" w:cs="Arial"/>
        </w:rPr>
        <w:t xml:space="preserve">in improving </w:t>
      </w:r>
      <w:r w:rsidR="000537F4">
        <w:rPr>
          <w:rFonts w:ascii="Arial" w:hAnsi="Arial" w:cs="Arial"/>
        </w:rPr>
        <w:t xml:space="preserve">corporate </w:t>
      </w:r>
      <w:r w:rsidRPr="00EA437E">
        <w:rPr>
          <w:rFonts w:ascii="Arial" w:hAnsi="Arial" w:cs="Arial"/>
        </w:rPr>
        <w:t>compliance and hence</w:t>
      </w:r>
      <w:r w:rsidR="00622615" w:rsidRPr="00EA437E">
        <w:rPr>
          <w:rFonts w:ascii="Arial" w:hAnsi="Arial" w:cs="Arial"/>
        </w:rPr>
        <w:t xml:space="preserve"> the governance of an entity. </w:t>
      </w:r>
      <w:r w:rsidR="000537F4">
        <w:rPr>
          <w:rFonts w:ascii="Arial" w:hAnsi="Arial" w:cs="Arial"/>
        </w:rPr>
        <w:t>And s</w:t>
      </w:r>
      <w:r w:rsidR="00DD793B">
        <w:rPr>
          <w:rFonts w:ascii="Arial" w:hAnsi="Arial" w:cs="Arial"/>
        </w:rPr>
        <w:t xml:space="preserve">ince </w:t>
      </w:r>
      <w:r w:rsidR="00622615" w:rsidRPr="00EA437E">
        <w:rPr>
          <w:rFonts w:ascii="Arial" w:hAnsi="Arial" w:cs="Arial"/>
        </w:rPr>
        <w:t xml:space="preserve">compliance personnel is </w:t>
      </w:r>
      <w:r w:rsidR="000537F4">
        <w:rPr>
          <w:rFonts w:ascii="Arial" w:hAnsi="Arial" w:cs="Arial"/>
        </w:rPr>
        <w:t xml:space="preserve">at the front line </w:t>
      </w:r>
      <w:r w:rsidR="00622615" w:rsidRPr="00EA437E">
        <w:rPr>
          <w:rFonts w:ascii="Arial" w:hAnsi="Arial" w:cs="Arial"/>
        </w:rPr>
        <w:t xml:space="preserve">of </w:t>
      </w:r>
      <w:r w:rsidR="000537F4">
        <w:rPr>
          <w:rFonts w:ascii="Arial" w:hAnsi="Arial" w:cs="Arial"/>
        </w:rPr>
        <w:t xml:space="preserve">conduct </w:t>
      </w:r>
      <w:r w:rsidR="00622615" w:rsidRPr="00EA437E">
        <w:rPr>
          <w:rFonts w:ascii="Arial" w:hAnsi="Arial" w:cs="Arial"/>
        </w:rPr>
        <w:t xml:space="preserve">risk management, their contributions to reducing instances of misconduct and mischief </w:t>
      </w:r>
      <w:r w:rsidR="000537F4">
        <w:rPr>
          <w:rFonts w:ascii="Arial" w:hAnsi="Arial" w:cs="Arial"/>
        </w:rPr>
        <w:t>can be substantial. However, boards had</w:t>
      </w:r>
      <w:r w:rsidR="00622615" w:rsidRPr="00EA437E">
        <w:rPr>
          <w:rFonts w:ascii="Arial" w:hAnsi="Arial" w:cs="Arial"/>
        </w:rPr>
        <w:t xml:space="preserve"> overlooked and neglected </w:t>
      </w:r>
      <w:r w:rsidR="000537F4">
        <w:rPr>
          <w:rFonts w:ascii="Arial" w:hAnsi="Arial" w:cs="Arial"/>
        </w:rPr>
        <w:t xml:space="preserve">this. </w:t>
      </w:r>
      <w:r w:rsidR="000537F4" w:rsidRPr="00EA437E">
        <w:rPr>
          <w:rFonts w:ascii="Arial" w:hAnsi="Arial" w:cs="Arial"/>
        </w:rPr>
        <w:t xml:space="preserve">APRA’s </w:t>
      </w:r>
      <w:r w:rsidR="000537F4" w:rsidRPr="00EA437E">
        <w:rPr>
          <w:rFonts w:ascii="Arial" w:hAnsi="Arial" w:cs="Arial"/>
          <w:lang w:val="en-AU"/>
        </w:rPr>
        <w:t>‘</w:t>
      </w:r>
      <w:r w:rsidR="000537F4" w:rsidRPr="00EA437E">
        <w:rPr>
          <w:rFonts w:ascii="Arial" w:hAnsi="Arial" w:cs="Arial"/>
          <w:bCs/>
          <w:lang w:val="en-AU"/>
        </w:rPr>
        <w:t xml:space="preserve">Prudential Inquiry into the Commonwealth Bank of Australia </w:t>
      </w:r>
      <w:r w:rsidR="000537F4" w:rsidRPr="00EA437E">
        <w:rPr>
          <w:rFonts w:ascii="Arial" w:hAnsi="Arial" w:cs="Arial"/>
        </w:rPr>
        <w:t>Final Report’ published in April last year</w:t>
      </w:r>
      <w:r w:rsidR="000537F4">
        <w:rPr>
          <w:rFonts w:ascii="Arial" w:hAnsi="Arial" w:cs="Arial"/>
        </w:rPr>
        <w:t xml:space="preserve"> did implicitly reveal this. Compliance personnel were not able to communicate compliance matters directly to the board. Besides, c</w:t>
      </w:r>
      <w:r w:rsidR="000537F4" w:rsidRPr="00EA437E">
        <w:rPr>
          <w:rFonts w:ascii="Arial" w:hAnsi="Arial" w:cs="Arial"/>
        </w:rPr>
        <w:t xml:space="preserve">ompliance risks did not receive </w:t>
      </w:r>
      <w:r w:rsidR="000537F4">
        <w:rPr>
          <w:rFonts w:ascii="Arial" w:hAnsi="Arial" w:cs="Arial"/>
        </w:rPr>
        <w:t xml:space="preserve">sufficient </w:t>
      </w:r>
      <w:r w:rsidR="000537F4" w:rsidRPr="00EA437E">
        <w:rPr>
          <w:rFonts w:ascii="Arial" w:hAnsi="Arial" w:cs="Arial"/>
        </w:rPr>
        <w:t>attention</w:t>
      </w:r>
      <w:r w:rsidR="000537F4">
        <w:rPr>
          <w:rFonts w:ascii="Arial" w:hAnsi="Arial" w:cs="Arial"/>
        </w:rPr>
        <w:t xml:space="preserve"> by CBA and the board</w:t>
      </w:r>
      <w:r w:rsidR="000537F4" w:rsidRPr="00EA437E">
        <w:rPr>
          <w:rFonts w:ascii="Arial" w:hAnsi="Arial" w:cs="Arial"/>
        </w:rPr>
        <w:t xml:space="preserve">, as </w:t>
      </w:r>
      <w:r w:rsidR="000537F4">
        <w:rPr>
          <w:rFonts w:ascii="Arial" w:hAnsi="Arial" w:cs="Arial"/>
        </w:rPr>
        <w:t>the result the bank’s failed</w:t>
      </w:r>
      <w:r w:rsidR="000537F4" w:rsidRPr="00EA437E">
        <w:rPr>
          <w:rFonts w:ascii="Arial" w:hAnsi="Arial" w:cs="Arial"/>
        </w:rPr>
        <w:t xml:space="preserve"> to detect and report money laundering activities to AUSTRAC.</w:t>
      </w:r>
      <w:r w:rsidR="000537F4">
        <w:rPr>
          <w:rFonts w:ascii="Arial" w:hAnsi="Arial" w:cs="Arial"/>
        </w:rPr>
        <w:t xml:space="preserve"> </w:t>
      </w:r>
      <w:r w:rsidR="001373B2">
        <w:rPr>
          <w:rFonts w:ascii="Arial" w:hAnsi="Arial" w:cs="Arial"/>
        </w:rPr>
        <w:t>The lesson from this</w:t>
      </w:r>
      <w:r w:rsidR="00293EBB">
        <w:rPr>
          <w:rFonts w:ascii="Arial" w:hAnsi="Arial" w:cs="Arial"/>
        </w:rPr>
        <w:t xml:space="preserve"> inquiry is clear, compliance is important. Part of what a compliance professional does is </w:t>
      </w:r>
      <w:r w:rsidR="001373B2">
        <w:rPr>
          <w:rFonts w:ascii="Arial" w:hAnsi="Arial" w:cs="Arial"/>
        </w:rPr>
        <w:t xml:space="preserve">to undertake compliance and conduct risk assessments so these individuals </w:t>
      </w:r>
      <w:r w:rsidR="00EF4A68">
        <w:rPr>
          <w:rFonts w:ascii="Arial" w:hAnsi="Arial" w:cs="Arial"/>
        </w:rPr>
        <w:t xml:space="preserve">are well place to detect early signs of </w:t>
      </w:r>
      <w:r w:rsidR="001373B2">
        <w:rPr>
          <w:rFonts w:ascii="Arial" w:hAnsi="Arial" w:cs="Arial"/>
        </w:rPr>
        <w:t>misconduct</w:t>
      </w:r>
      <w:r w:rsidR="00FC738F" w:rsidRPr="00EA437E">
        <w:rPr>
          <w:rFonts w:ascii="Arial" w:hAnsi="Arial" w:cs="Arial"/>
        </w:rPr>
        <w:t xml:space="preserve">. </w:t>
      </w:r>
    </w:p>
    <w:p w14:paraId="7EE4E35B" w14:textId="77777777" w:rsidR="00FC738F" w:rsidRPr="00EA437E" w:rsidRDefault="00FC738F" w:rsidP="00EA437E">
      <w:pPr>
        <w:pStyle w:val="Default"/>
        <w:spacing w:line="276" w:lineRule="auto"/>
        <w:rPr>
          <w:rFonts w:ascii="Arial" w:hAnsi="Arial" w:cs="Arial"/>
        </w:rPr>
      </w:pPr>
    </w:p>
    <w:p w14:paraId="2DF30FEC" w14:textId="77777777" w:rsidR="00FC738F" w:rsidRDefault="00FC738F" w:rsidP="00EA437E">
      <w:pPr>
        <w:pStyle w:val="Default"/>
        <w:spacing w:line="276" w:lineRule="auto"/>
        <w:rPr>
          <w:rFonts w:ascii="Arial" w:hAnsi="Arial" w:cs="Arial"/>
        </w:rPr>
      </w:pPr>
      <w:r w:rsidRPr="00EA437E">
        <w:rPr>
          <w:rFonts w:ascii="Arial" w:hAnsi="Arial" w:cs="Arial"/>
        </w:rPr>
        <w:lastRenderedPageBreak/>
        <w:t xml:space="preserve">For APRA to </w:t>
      </w:r>
      <w:r w:rsidR="00506EA5" w:rsidRPr="00EA437E">
        <w:rPr>
          <w:rFonts w:ascii="Arial" w:hAnsi="Arial" w:cs="Arial"/>
        </w:rPr>
        <w:t>effecti</w:t>
      </w:r>
      <w:r w:rsidR="001373B2">
        <w:rPr>
          <w:rFonts w:ascii="Arial" w:hAnsi="Arial" w:cs="Arial"/>
        </w:rPr>
        <w:t>vely supervise the culture of regulated entities</w:t>
      </w:r>
      <w:r w:rsidR="00506EA5" w:rsidRPr="00EA437E">
        <w:rPr>
          <w:rFonts w:ascii="Arial" w:hAnsi="Arial" w:cs="Arial"/>
        </w:rPr>
        <w:t xml:space="preserve"> and if required </w:t>
      </w:r>
      <w:r w:rsidR="00B261A3" w:rsidRPr="00EA437E">
        <w:rPr>
          <w:rFonts w:ascii="Arial" w:hAnsi="Arial" w:cs="Arial"/>
        </w:rPr>
        <w:t xml:space="preserve">to </w:t>
      </w:r>
      <w:r w:rsidR="001373B2">
        <w:rPr>
          <w:rFonts w:ascii="Arial" w:hAnsi="Arial" w:cs="Arial"/>
        </w:rPr>
        <w:t>achieve this end through</w:t>
      </w:r>
      <w:r w:rsidR="00B261A3" w:rsidRPr="00EA437E">
        <w:rPr>
          <w:rFonts w:ascii="Arial" w:hAnsi="Arial" w:cs="Arial"/>
        </w:rPr>
        <w:t xml:space="preserve"> enforcement actions</w:t>
      </w:r>
      <w:r w:rsidR="001373B2">
        <w:rPr>
          <w:rFonts w:ascii="Arial" w:hAnsi="Arial" w:cs="Arial"/>
        </w:rPr>
        <w:t>,</w:t>
      </w:r>
      <w:r w:rsidR="00C011A3" w:rsidRPr="00EA437E">
        <w:rPr>
          <w:rFonts w:ascii="Arial" w:hAnsi="Arial" w:cs="Arial"/>
        </w:rPr>
        <w:t xml:space="preserve"> it needs to identify the risks of misconduct and other mischief </w:t>
      </w:r>
      <w:r w:rsidR="001373B2">
        <w:rPr>
          <w:rFonts w:ascii="Arial" w:hAnsi="Arial" w:cs="Arial"/>
        </w:rPr>
        <w:t xml:space="preserve">of </w:t>
      </w:r>
      <w:r w:rsidR="00C011A3" w:rsidRPr="00EA437E">
        <w:rPr>
          <w:rFonts w:ascii="Arial" w:hAnsi="Arial" w:cs="Arial"/>
        </w:rPr>
        <w:t>as an early stage whe</w:t>
      </w:r>
      <w:r w:rsidR="001373B2">
        <w:rPr>
          <w:rFonts w:ascii="Arial" w:hAnsi="Arial" w:cs="Arial"/>
        </w:rPr>
        <w:t>re it could</w:t>
      </w:r>
      <w:r w:rsidR="00C011A3" w:rsidRPr="00EA437E">
        <w:rPr>
          <w:rFonts w:ascii="Arial" w:hAnsi="Arial" w:cs="Arial"/>
        </w:rPr>
        <w:t xml:space="preserve"> be </w:t>
      </w:r>
      <w:r w:rsidR="001373B2">
        <w:rPr>
          <w:rFonts w:ascii="Arial" w:hAnsi="Arial" w:cs="Arial"/>
        </w:rPr>
        <w:t xml:space="preserve">rectified and </w:t>
      </w:r>
      <w:r w:rsidR="00C011A3" w:rsidRPr="00EA437E">
        <w:rPr>
          <w:rFonts w:ascii="Arial" w:hAnsi="Arial" w:cs="Arial"/>
        </w:rPr>
        <w:t xml:space="preserve">remedied before harm is inflicted on customers or other stakeholders. </w:t>
      </w:r>
      <w:r w:rsidR="00EA437E" w:rsidRPr="00EA437E">
        <w:rPr>
          <w:rFonts w:ascii="Arial" w:hAnsi="Arial" w:cs="Arial"/>
        </w:rPr>
        <w:t>However, preemptive intervention</w:t>
      </w:r>
      <w:r w:rsidR="00C84933">
        <w:rPr>
          <w:rFonts w:ascii="Arial" w:hAnsi="Arial" w:cs="Arial"/>
        </w:rPr>
        <w:t xml:space="preserve"> can be</w:t>
      </w:r>
      <w:r w:rsidR="00656ACA" w:rsidRPr="00656ACA">
        <w:rPr>
          <w:rFonts w:ascii="Arial" w:hAnsi="Arial" w:cs="Arial"/>
        </w:rPr>
        <w:t xml:space="preserve"> </w:t>
      </w:r>
      <w:r w:rsidR="00656ACA">
        <w:rPr>
          <w:rFonts w:ascii="Arial" w:hAnsi="Arial" w:cs="Arial"/>
        </w:rPr>
        <w:t xml:space="preserve">tricky if in hindsight those actions were found to be excessive or </w:t>
      </w:r>
      <w:r w:rsidR="00500B5B">
        <w:rPr>
          <w:rFonts w:ascii="Arial" w:hAnsi="Arial" w:cs="Arial"/>
        </w:rPr>
        <w:t xml:space="preserve">a </w:t>
      </w:r>
      <w:r w:rsidR="00656ACA">
        <w:rPr>
          <w:rFonts w:ascii="Arial" w:hAnsi="Arial" w:cs="Arial"/>
        </w:rPr>
        <w:t>false alarm. S</w:t>
      </w:r>
      <w:r w:rsidR="00C84933">
        <w:rPr>
          <w:rFonts w:ascii="Arial" w:hAnsi="Arial" w:cs="Arial"/>
        </w:rPr>
        <w:t xml:space="preserve">uch </w:t>
      </w:r>
      <w:r w:rsidR="00656ACA">
        <w:rPr>
          <w:rFonts w:ascii="Arial" w:hAnsi="Arial" w:cs="Arial"/>
        </w:rPr>
        <w:t xml:space="preserve">actions </w:t>
      </w:r>
      <w:r w:rsidR="00C84933">
        <w:rPr>
          <w:rFonts w:ascii="Arial" w:hAnsi="Arial" w:cs="Arial"/>
        </w:rPr>
        <w:t>would lend APRA to criticisms. Therefore, securing the assistance of compliance professionals</w:t>
      </w:r>
      <w:r w:rsidR="00A454E1">
        <w:rPr>
          <w:rFonts w:ascii="Arial" w:hAnsi="Arial" w:cs="Arial"/>
        </w:rPr>
        <w:t xml:space="preserve"> in financial institutions to</w:t>
      </w:r>
      <w:r w:rsidR="00C84933">
        <w:rPr>
          <w:rFonts w:ascii="Arial" w:hAnsi="Arial" w:cs="Arial"/>
        </w:rPr>
        <w:t xml:space="preserve"> detect</w:t>
      </w:r>
      <w:r w:rsidR="00A454E1">
        <w:rPr>
          <w:rFonts w:ascii="Arial" w:hAnsi="Arial" w:cs="Arial"/>
        </w:rPr>
        <w:t xml:space="preserve"> </w:t>
      </w:r>
      <w:r w:rsidR="00C84933">
        <w:rPr>
          <w:rFonts w:ascii="Arial" w:hAnsi="Arial" w:cs="Arial"/>
        </w:rPr>
        <w:t xml:space="preserve">and </w:t>
      </w:r>
      <w:r w:rsidR="00A454E1">
        <w:rPr>
          <w:rFonts w:ascii="Arial" w:hAnsi="Arial" w:cs="Arial"/>
        </w:rPr>
        <w:t xml:space="preserve">rectify </w:t>
      </w:r>
      <w:r w:rsidR="00C84933">
        <w:rPr>
          <w:rFonts w:ascii="Arial" w:hAnsi="Arial" w:cs="Arial"/>
        </w:rPr>
        <w:t xml:space="preserve">misconducts would be </w:t>
      </w:r>
      <w:r w:rsidR="00A454E1">
        <w:rPr>
          <w:rFonts w:ascii="Arial" w:hAnsi="Arial" w:cs="Arial"/>
        </w:rPr>
        <w:t>an effective means</w:t>
      </w:r>
      <w:r w:rsidR="00991BF7">
        <w:rPr>
          <w:rFonts w:ascii="Arial" w:hAnsi="Arial" w:cs="Arial"/>
        </w:rPr>
        <w:t xml:space="preserve"> for APRA to achieve its</w:t>
      </w:r>
      <w:r w:rsidR="0012511B">
        <w:rPr>
          <w:rFonts w:ascii="Arial" w:hAnsi="Arial" w:cs="Arial"/>
        </w:rPr>
        <w:t xml:space="preserve"> regulatory objectives with lower risk of being deemed excessive or overzealous </w:t>
      </w:r>
      <w:r w:rsidR="007F2D45">
        <w:rPr>
          <w:rFonts w:ascii="Arial" w:hAnsi="Arial" w:cs="Arial"/>
        </w:rPr>
        <w:t xml:space="preserve">in its </w:t>
      </w:r>
      <w:r w:rsidR="0012511B">
        <w:rPr>
          <w:rFonts w:ascii="Arial" w:hAnsi="Arial" w:cs="Arial"/>
        </w:rPr>
        <w:t>enforcement</w:t>
      </w:r>
      <w:r w:rsidR="007F2D45">
        <w:rPr>
          <w:rFonts w:ascii="Arial" w:hAnsi="Arial" w:cs="Arial"/>
        </w:rPr>
        <w:t xml:space="preserve"> actions</w:t>
      </w:r>
      <w:r w:rsidR="0012511B">
        <w:rPr>
          <w:rFonts w:ascii="Arial" w:hAnsi="Arial" w:cs="Arial"/>
        </w:rPr>
        <w:t>.</w:t>
      </w:r>
    </w:p>
    <w:p w14:paraId="60B69FEF" w14:textId="77777777" w:rsidR="00C84933" w:rsidRDefault="00C84933" w:rsidP="00EA437E">
      <w:pPr>
        <w:pStyle w:val="Default"/>
        <w:spacing w:line="276" w:lineRule="auto"/>
        <w:rPr>
          <w:rFonts w:ascii="Arial" w:hAnsi="Arial" w:cs="Arial"/>
        </w:rPr>
      </w:pPr>
    </w:p>
    <w:p w14:paraId="59226D70" w14:textId="77777777" w:rsidR="0086467D" w:rsidRDefault="00C84933" w:rsidP="00EA437E">
      <w:pPr>
        <w:pStyle w:val="Default"/>
        <w:spacing w:line="276" w:lineRule="auto"/>
        <w:rPr>
          <w:rFonts w:ascii="Arial" w:hAnsi="Arial" w:cs="Arial"/>
        </w:rPr>
      </w:pPr>
      <w:r>
        <w:rPr>
          <w:rFonts w:ascii="Arial" w:hAnsi="Arial" w:cs="Arial"/>
        </w:rPr>
        <w:t>T</w:t>
      </w:r>
      <w:r w:rsidR="00656ACA">
        <w:rPr>
          <w:rFonts w:ascii="Arial" w:hAnsi="Arial" w:cs="Arial"/>
        </w:rPr>
        <w:t>he seeds of such intervention</w:t>
      </w:r>
      <w:r w:rsidRPr="00C14973">
        <w:rPr>
          <w:rFonts w:ascii="Arial" w:hAnsi="Arial" w:cs="Arial"/>
        </w:rPr>
        <w:t xml:space="preserve"> and assistance from compliance professionals </w:t>
      </w:r>
      <w:r w:rsidR="00656ACA">
        <w:rPr>
          <w:rFonts w:ascii="Arial" w:hAnsi="Arial" w:cs="Arial"/>
        </w:rPr>
        <w:t>in</w:t>
      </w:r>
      <w:r w:rsidR="00C14973" w:rsidRPr="00C14973">
        <w:rPr>
          <w:rFonts w:ascii="Arial" w:hAnsi="Arial" w:cs="Arial"/>
        </w:rPr>
        <w:t xml:space="preserve"> banks </w:t>
      </w:r>
      <w:r w:rsidR="002F7BE7" w:rsidRPr="00C14973">
        <w:rPr>
          <w:rFonts w:ascii="Arial" w:hAnsi="Arial" w:cs="Arial"/>
        </w:rPr>
        <w:t xml:space="preserve">have already been laid out </w:t>
      </w:r>
      <w:r w:rsidRPr="00C14973">
        <w:rPr>
          <w:rFonts w:ascii="Arial" w:hAnsi="Arial" w:cs="Arial"/>
        </w:rPr>
        <w:t xml:space="preserve">in section </w:t>
      </w:r>
      <w:r w:rsidR="00C14973">
        <w:rPr>
          <w:rFonts w:ascii="Arial" w:hAnsi="Arial" w:cs="Arial"/>
        </w:rPr>
        <w:t>37BA(3</w:t>
      </w:r>
      <w:r w:rsidR="00C14973" w:rsidRPr="00C14973">
        <w:rPr>
          <w:rFonts w:ascii="Arial" w:hAnsi="Arial" w:cs="Arial"/>
        </w:rPr>
        <w:t>)</w:t>
      </w:r>
      <w:r w:rsidR="00C14973">
        <w:rPr>
          <w:rFonts w:ascii="Arial" w:hAnsi="Arial" w:cs="Arial"/>
        </w:rPr>
        <w:t>(h)</w:t>
      </w:r>
      <w:r w:rsidR="00C14973" w:rsidRPr="00C14973">
        <w:rPr>
          <w:rFonts w:ascii="Arial" w:hAnsi="Arial" w:cs="Arial"/>
        </w:rPr>
        <w:t xml:space="preserve"> </w:t>
      </w:r>
      <w:r w:rsidR="00656ACA">
        <w:rPr>
          <w:rFonts w:ascii="Arial" w:hAnsi="Arial" w:cs="Arial"/>
        </w:rPr>
        <w:t xml:space="preserve">of </w:t>
      </w:r>
      <w:r w:rsidR="00C14973" w:rsidRPr="00C14973">
        <w:rPr>
          <w:rFonts w:ascii="Arial" w:hAnsi="Arial" w:cs="Arial"/>
        </w:rPr>
        <w:t>the Banking Act 1959 (Cth)</w:t>
      </w:r>
      <w:r w:rsidRPr="00C14973">
        <w:rPr>
          <w:rFonts w:ascii="Arial" w:hAnsi="Arial" w:cs="Arial"/>
        </w:rPr>
        <w:t xml:space="preserve">. </w:t>
      </w:r>
      <w:r w:rsidR="002F7BE7" w:rsidRPr="00C14973">
        <w:rPr>
          <w:rFonts w:ascii="Arial" w:hAnsi="Arial" w:cs="Arial"/>
        </w:rPr>
        <w:t>T</w:t>
      </w:r>
      <w:r w:rsidR="002F7BE7">
        <w:rPr>
          <w:rFonts w:ascii="Arial" w:hAnsi="Arial" w:cs="Arial"/>
        </w:rPr>
        <w:t>o maximize</w:t>
      </w:r>
      <w:r w:rsidR="00264F1A">
        <w:rPr>
          <w:rFonts w:ascii="Arial" w:hAnsi="Arial" w:cs="Arial"/>
        </w:rPr>
        <w:t xml:space="preserve"> the assistance from the compliance professionals of the regula</w:t>
      </w:r>
      <w:r w:rsidR="00435763">
        <w:rPr>
          <w:rFonts w:ascii="Arial" w:hAnsi="Arial" w:cs="Arial"/>
        </w:rPr>
        <w:t>ted entities further guidance on</w:t>
      </w:r>
      <w:r w:rsidR="00264F1A">
        <w:rPr>
          <w:rFonts w:ascii="Arial" w:hAnsi="Arial" w:cs="Arial"/>
        </w:rPr>
        <w:t xml:space="preserve"> how </w:t>
      </w:r>
      <w:r w:rsidR="002F7BE7">
        <w:rPr>
          <w:rFonts w:ascii="Arial" w:hAnsi="Arial" w:cs="Arial"/>
        </w:rPr>
        <w:t>APRA</w:t>
      </w:r>
      <w:r w:rsidR="00264F1A">
        <w:rPr>
          <w:rFonts w:ascii="Arial" w:hAnsi="Arial" w:cs="Arial"/>
        </w:rPr>
        <w:t xml:space="preserve"> should obtain information and remedy potential misconduct should be spelled out. Even though this might be beyond the scope of this capability review to go into the details, the Panel should recommend APRA </w:t>
      </w:r>
      <w:r w:rsidR="00435763">
        <w:rPr>
          <w:rFonts w:ascii="Arial" w:hAnsi="Arial" w:cs="Arial"/>
        </w:rPr>
        <w:t xml:space="preserve">actively </w:t>
      </w:r>
      <w:r w:rsidR="002B383C">
        <w:rPr>
          <w:rFonts w:ascii="Arial" w:hAnsi="Arial" w:cs="Arial"/>
        </w:rPr>
        <w:t xml:space="preserve">engage </w:t>
      </w:r>
      <w:r w:rsidR="0086467D">
        <w:rPr>
          <w:rFonts w:ascii="Arial" w:hAnsi="Arial" w:cs="Arial"/>
        </w:rPr>
        <w:t xml:space="preserve">compliance professionals </w:t>
      </w:r>
      <w:r w:rsidR="002B383C">
        <w:rPr>
          <w:rFonts w:ascii="Arial" w:hAnsi="Arial" w:cs="Arial"/>
        </w:rPr>
        <w:t>to assist in</w:t>
      </w:r>
      <w:r w:rsidR="00264F1A">
        <w:rPr>
          <w:rFonts w:ascii="Arial" w:hAnsi="Arial" w:cs="Arial"/>
        </w:rPr>
        <w:t xml:space="preserve"> detect</w:t>
      </w:r>
      <w:r w:rsidR="0086467D">
        <w:rPr>
          <w:rFonts w:ascii="Arial" w:hAnsi="Arial" w:cs="Arial"/>
        </w:rPr>
        <w:t>ing and mitigating the risks of misconduct</w:t>
      </w:r>
      <w:r w:rsidR="00264F1A">
        <w:rPr>
          <w:rFonts w:ascii="Arial" w:hAnsi="Arial" w:cs="Arial"/>
        </w:rPr>
        <w:t xml:space="preserve">. This could entail APRA giving directions to the regulated entity through the board and the head of compliance </w:t>
      </w:r>
      <w:r w:rsidR="0086467D">
        <w:rPr>
          <w:rFonts w:ascii="Arial" w:hAnsi="Arial" w:cs="Arial"/>
        </w:rPr>
        <w:t xml:space="preserve">department </w:t>
      </w:r>
      <w:r w:rsidR="00264F1A">
        <w:rPr>
          <w:rFonts w:ascii="Arial" w:hAnsi="Arial" w:cs="Arial"/>
        </w:rPr>
        <w:t xml:space="preserve">of </w:t>
      </w:r>
      <w:r w:rsidR="002B383C">
        <w:rPr>
          <w:rFonts w:ascii="Arial" w:hAnsi="Arial" w:cs="Arial"/>
        </w:rPr>
        <w:t xml:space="preserve">the </w:t>
      </w:r>
      <w:r w:rsidR="00264F1A">
        <w:rPr>
          <w:rFonts w:ascii="Arial" w:hAnsi="Arial" w:cs="Arial"/>
        </w:rPr>
        <w:t xml:space="preserve">regulated entities. </w:t>
      </w:r>
      <w:r w:rsidR="003763F2">
        <w:rPr>
          <w:rFonts w:ascii="Arial" w:hAnsi="Arial" w:cs="Arial"/>
        </w:rPr>
        <w:t xml:space="preserve">Another </w:t>
      </w:r>
      <w:r w:rsidR="0086467D">
        <w:rPr>
          <w:rFonts w:ascii="Arial" w:hAnsi="Arial" w:cs="Arial"/>
        </w:rPr>
        <w:t xml:space="preserve">measure </w:t>
      </w:r>
      <w:r w:rsidR="003763F2">
        <w:rPr>
          <w:rFonts w:ascii="Arial" w:hAnsi="Arial" w:cs="Arial"/>
        </w:rPr>
        <w:t xml:space="preserve">could be to oblige the head of compliance of </w:t>
      </w:r>
      <w:r w:rsidR="002B383C">
        <w:rPr>
          <w:rFonts w:ascii="Arial" w:hAnsi="Arial" w:cs="Arial"/>
        </w:rPr>
        <w:t xml:space="preserve">the </w:t>
      </w:r>
      <w:r w:rsidR="003763F2">
        <w:rPr>
          <w:rFonts w:ascii="Arial" w:hAnsi="Arial" w:cs="Arial"/>
        </w:rPr>
        <w:t>regulated enti</w:t>
      </w:r>
      <w:r w:rsidR="0086467D">
        <w:rPr>
          <w:rFonts w:ascii="Arial" w:hAnsi="Arial" w:cs="Arial"/>
        </w:rPr>
        <w:t>ties to make periodic reports on</w:t>
      </w:r>
      <w:r w:rsidR="003763F2">
        <w:rPr>
          <w:rFonts w:ascii="Arial" w:hAnsi="Arial" w:cs="Arial"/>
        </w:rPr>
        <w:t xml:space="preserve"> potential misconduct</w:t>
      </w:r>
      <w:r w:rsidR="002B383C">
        <w:rPr>
          <w:rFonts w:ascii="Arial" w:hAnsi="Arial" w:cs="Arial"/>
        </w:rPr>
        <w:t>s</w:t>
      </w:r>
      <w:r w:rsidR="003763F2">
        <w:rPr>
          <w:rFonts w:ascii="Arial" w:hAnsi="Arial" w:cs="Arial"/>
        </w:rPr>
        <w:t xml:space="preserve"> to APRA. </w:t>
      </w:r>
      <w:r w:rsidR="0086467D">
        <w:rPr>
          <w:rFonts w:ascii="Arial" w:hAnsi="Arial" w:cs="Arial"/>
        </w:rPr>
        <w:t>This</w:t>
      </w:r>
      <w:r w:rsidR="003763F2">
        <w:rPr>
          <w:rFonts w:ascii="Arial" w:hAnsi="Arial" w:cs="Arial"/>
        </w:rPr>
        <w:t xml:space="preserve"> would in effect heighten the board’s </w:t>
      </w:r>
      <w:r w:rsidR="0086467D">
        <w:rPr>
          <w:rFonts w:ascii="Arial" w:hAnsi="Arial" w:cs="Arial"/>
        </w:rPr>
        <w:t>attention</w:t>
      </w:r>
      <w:r w:rsidR="003763F2">
        <w:rPr>
          <w:rFonts w:ascii="Arial" w:hAnsi="Arial" w:cs="Arial"/>
        </w:rPr>
        <w:t xml:space="preserve"> on risk mitigation as </w:t>
      </w:r>
      <w:r w:rsidR="002B383C">
        <w:rPr>
          <w:rFonts w:ascii="Arial" w:hAnsi="Arial" w:cs="Arial"/>
        </w:rPr>
        <w:t xml:space="preserve">a </w:t>
      </w:r>
      <w:r w:rsidR="003763F2">
        <w:rPr>
          <w:rFonts w:ascii="Arial" w:hAnsi="Arial" w:cs="Arial"/>
        </w:rPr>
        <w:t xml:space="preserve">core </w:t>
      </w:r>
      <w:r w:rsidR="0086467D">
        <w:rPr>
          <w:rFonts w:ascii="Arial" w:hAnsi="Arial" w:cs="Arial"/>
        </w:rPr>
        <w:t xml:space="preserve">governance </w:t>
      </w:r>
      <w:r w:rsidR="002B383C">
        <w:rPr>
          <w:rFonts w:ascii="Arial" w:hAnsi="Arial" w:cs="Arial"/>
        </w:rPr>
        <w:t>priority</w:t>
      </w:r>
      <w:r w:rsidR="0086467D">
        <w:rPr>
          <w:rFonts w:ascii="Arial" w:hAnsi="Arial" w:cs="Arial"/>
        </w:rPr>
        <w:t xml:space="preserve"> and ensure the right</w:t>
      </w:r>
      <w:r w:rsidR="003763F2">
        <w:rPr>
          <w:rFonts w:ascii="Arial" w:hAnsi="Arial" w:cs="Arial"/>
        </w:rPr>
        <w:t xml:space="preserve"> culture</w:t>
      </w:r>
      <w:r w:rsidR="0086467D">
        <w:rPr>
          <w:rFonts w:ascii="Arial" w:hAnsi="Arial" w:cs="Arial"/>
        </w:rPr>
        <w:t xml:space="preserve"> is instill</w:t>
      </w:r>
      <w:r w:rsidR="003763F2">
        <w:rPr>
          <w:rFonts w:ascii="Arial" w:hAnsi="Arial" w:cs="Arial"/>
        </w:rPr>
        <w:t xml:space="preserve"> because the reports would</w:t>
      </w:r>
      <w:r w:rsidR="0086467D">
        <w:rPr>
          <w:rFonts w:ascii="Arial" w:hAnsi="Arial" w:cs="Arial"/>
        </w:rPr>
        <w:t xml:space="preserve"> demonstrate</w:t>
      </w:r>
      <w:r w:rsidR="003763F2">
        <w:rPr>
          <w:rFonts w:ascii="Arial" w:hAnsi="Arial" w:cs="Arial"/>
        </w:rPr>
        <w:t xml:space="preserve"> ongoing efforts by the entity and its board to nurture desirable </w:t>
      </w:r>
      <w:r w:rsidR="00007F0E">
        <w:rPr>
          <w:rFonts w:ascii="Arial" w:hAnsi="Arial" w:cs="Arial"/>
        </w:rPr>
        <w:t xml:space="preserve">corporate culture. </w:t>
      </w:r>
    </w:p>
    <w:p w14:paraId="18CD44D2" w14:textId="77777777" w:rsidR="00945A9E" w:rsidRDefault="00945A9E" w:rsidP="00EA437E">
      <w:pPr>
        <w:pStyle w:val="Default"/>
        <w:spacing w:line="276" w:lineRule="auto"/>
        <w:rPr>
          <w:rFonts w:ascii="Arial" w:hAnsi="Arial" w:cs="Arial"/>
        </w:rPr>
      </w:pPr>
    </w:p>
    <w:p w14:paraId="15D5EBAE" w14:textId="77777777" w:rsidR="00945A9E" w:rsidRDefault="00C30B3C" w:rsidP="00EA437E">
      <w:pPr>
        <w:pStyle w:val="Default"/>
        <w:spacing w:line="276" w:lineRule="auto"/>
        <w:rPr>
          <w:rFonts w:ascii="Arial" w:hAnsi="Arial" w:cs="Arial"/>
        </w:rPr>
      </w:pPr>
      <w:r>
        <w:rPr>
          <w:rFonts w:ascii="Arial" w:hAnsi="Arial" w:cs="Arial"/>
        </w:rPr>
        <w:t>To reiterate</w:t>
      </w:r>
      <w:r w:rsidR="002B383C">
        <w:rPr>
          <w:rFonts w:ascii="Arial" w:hAnsi="Arial" w:cs="Arial"/>
        </w:rPr>
        <w:t>,</w:t>
      </w:r>
      <w:r>
        <w:rPr>
          <w:rFonts w:ascii="Arial" w:hAnsi="Arial" w:cs="Arial"/>
        </w:rPr>
        <w:t xml:space="preserve"> this submission supports intervention by APRA</w:t>
      </w:r>
      <w:r w:rsidR="00945A9E">
        <w:rPr>
          <w:rFonts w:ascii="Arial" w:hAnsi="Arial" w:cs="Arial"/>
        </w:rPr>
        <w:t xml:space="preserve"> </w:t>
      </w:r>
      <w:r>
        <w:rPr>
          <w:rFonts w:ascii="Arial" w:hAnsi="Arial" w:cs="Arial"/>
        </w:rPr>
        <w:t xml:space="preserve">when </w:t>
      </w:r>
      <w:r w:rsidR="00945A9E">
        <w:rPr>
          <w:rFonts w:ascii="Arial" w:hAnsi="Arial" w:cs="Arial"/>
        </w:rPr>
        <w:t xml:space="preserve">early signs of misconduct </w:t>
      </w:r>
      <w:r w:rsidR="002B383C">
        <w:rPr>
          <w:rFonts w:ascii="Arial" w:hAnsi="Arial" w:cs="Arial"/>
        </w:rPr>
        <w:t xml:space="preserve">in regulated entities are detected </w:t>
      </w:r>
      <w:r w:rsidR="00CC0B28">
        <w:rPr>
          <w:rFonts w:ascii="Arial" w:hAnsi="Arial" w:cs="Arial"/>
        </w:rPr>
        <w:t>as well as</w:t>
      </w:r>
      <w:r w:rsidR="00945A9E">
        <w:rPr>
          <w:rFonts w:ascii="Arial" w:hAnsi="Arial" w:cs="Arial"/>
        </w:rPr>
        <w:t xml:space="preserve"> ensuring </w:t>
      </w:r>
      <w:r>
        <w:rPr>
          <w:rFonts w:ascii="Arial" w:hAnsi="Arial" w:cs="Arial"/>
        </w:rPr>
        <w:t xml:space="preserve">financial institutions foster a </w:t>
      </w:r>
      <w:r w:rsidR="00CC0B28">
        <w:rPr>
          <w:rFonts w:ascii="Arial" w:hAnsi="Arial" w:cs="Arial"/>
        </w:rPr>
        <w:t xml:space="preserve">corporate </w:t>
      </w:r>
      <w:r>
        <w:rPr>
          <w:rFonts w:ascii="Arial" w:hAnsi="Arial" w:cs="Arial"/>
        </w:rPr>
        <w:t xml:space="preserve">culture that rejects </w:t>
      </w:r>
      <w:r w:rsidR="002B383C">
        <w:rPr>
          <w:rFonts w:ascii="Arial" w:hAnsi="Arial" w:cs="Arial"/>
        </w:rPr>
        <w:t xml:space="preserve">any form or manifestation that leads to misconduct and mischief. </w:t>
      </w:r>
      <w:r w:rsidR="009C14F3">
        <w:rPr>
          <w:rFonts w:ascii="Arial" w:hAnsi="Arial" w:cs="Arial"/>
        </w:rPr>
        <w:t xml:space="preserve">Such </w:t>
      </w:r>
      <w:r w:rsidR="002B383C">
        <w:rPr>
          <w:rFonts w:ascii="Arial" w:hAnsi="Arial" w:cs="Arial"/>
        </w:rPr>
        <w:t>sup</w:t>
      </w:r>
      <w:r w:rsidR="009C14F3">
        <w:rPr>
          <w:rFonts w:ascii="Arial" w:hAnsi="Arial" w:cs="Arial"/>
        </w:rPr>
        <w:t>ervisory</w:t>
      </w:r>
      <w:r>
        <w:rPr>
          <w:rFonts w:ascii="Arial" w:hAnsi="Arial" w:cs="Arial"/>
        </w:rPr>
        <w:t xml:space="preserve"> </w:t>
      </w:r>
      <w:r w:rsidR="009C14F3">
        <w:rPr>
          <w:rFonts w:ascii="Arial" w:hAnsi="Arial" w:cs="Arial"/>
        </w:rPr>
        <w:t xml:space="preserve">and enforcement actions </w:t>
      </w:r>
      <w:r>
        <w:rPr>
          <w:rFonts w:ascii="Arial" w:hAnsi="Arial" w:cs="Arial"/>
        </w:rPr>
        <w:t>by APRA is necessary to restore</w:t>
      </w:r>
      <w:r w:rsidR="00CC0B28">
        <w:rPr>
          <w:rFonts w:ascii="Arial" w:hAnsi="Arial" w:cs="Arial"/>
        </w:rPr>
        <w:t xml:space="preserve"> the public’s tru</w:t>
      </w:r>
      <w:r w:rsidR="009C14F3">
        <w:rPr>
          <w:rFonts w:ascii="Arial" w:hAnsi="Arial" w:cs="Arial"/>
        </w:rPr>
        <w:t xml:space="preserve">st in </w:t>
      </w:r>
      <w:r>
        <w:rPr>
          <w:rFonts w:ascii="Arial" w:hAnsi="Arial" w:cs="Arial"/>
        </w:rPr>
        <w:t xml:space="preserve">the </w:t>
      </w:r>
      <w:r w:rsidR="002B383C">
        <w:rPr>
          <w:rFonts w:ascii="Arial" w:hAnsi="Arial" w:cs="Arial"/>
        </w:rPr>
        <w:t>regulated entities</w:t>
      </w:r>
      <w:r w:rsidR="009C14F3">
        <w:rPr>
          <w:rFonts w:ascii="Arial" w:hAnsi="Arial" w:cs="Arial"/>
        </w:rPr>
        <w:t xml:space="preserve"> and financial system</w:t>
      </w:r>
      <w:r w:rsidR="002B383C">
        <w:rPr>
          <w:rFonts w:ascii="Arial" w:hAnsi="Arial" w:cs="Arial"/>
        </w:rPr>
        <w:t>. To summarize</w:t>
      </w:r>
      <w:r w:rsidR="003A7F45">
        <w:rPr>
          <w:rFonts w:ascii="Arial" w:hAnsi="Arial" w:cs="Arial"/>
        </w:rPr>
        <w:t>,</w:t>
      </w:r>
      <w:r w:rsidR="002B383C">
        <w:rPr>
          <w:rFonts w:ascii="Arial" w:hAnsi="Arial" w:cs="Arial"/>
        </w:rPr>
        <w:t xml:space="preserve"> t</w:t>
      </w:r>
      <w:r w:rsidR="00CC0B28">
        <w:rPr>
          <w:rFonts w:ascii="Arial" w:hAnsi="Arial" w:cs="Arial"/>
        </w:rPr>
        <w:t>he focu</w:t>
      </w:r>
      <w:r w:rsidR="002A4C89">
        <w:rPr>
          <w:rFonts w:ascii="Arial" w:hAnsi="Arial" w:cs="Arial"/>
        </w:rPr>
        <w:t xml:space="preserve">s of this submission </w:t>
      </w:r>
      <w:r w:rsidR="002B383C">
        <w:rPr>
          <w:rFonts w:ascii="Arial" w:hAnsi="Arial" w:cs="Arial"/>
        </w:rPr>
        <w:t>is</w:t>
      </w:r>
      <w:r w:rsidR="002A4C89">
        <w:rPr>
          <w:rFonts w:ascii="Arial" w:hAnsi="Arial" w:cs="Arial"/>
        </w:rPr>
        <w:t xml:space="preserve"> to raise </w:t>
      </w:r>
      <w:r w:rsidR="00460A81">
        <w:rPr>
          <w:rFonts w:ascii="Arial" w:hAnsi="Arial" w:cs="Arial"/>
        </w:rPr>
        <w:t xml:space="preserve">the possibility of compliance professionals </w:t>
      </w:r>
      <w:r w:rsidR="00E342AC">
        <w:rPr>
          <w:rFonts w:ascii="Arial" w:hAnsi="Arial" w:cs="Arial"/>
        </w:rPr>
        <w:t xml:space="preserve">assisting in </w:t>
      </w:r>
      <w:r>
        <w:rPr>
          <w:rFonts w:ascii="Arial" w:hAnsi="Arial" w:cs="Arial"/>
        </w:rPr>
        <w:t xml:space="preserve">the </w:t>
      </w:r>
      <w:r w:rsidR="009C14F3">
        <w:rPr>
          <w:rFonts w:ascii="Arial" w:hAnsi="Arial" w:cs="Arial"/>
        </w:rPr>
        <w:t xml:space="preserve">supervisory and </w:t>
      </w:r>
      <w:r>
        <w:rPr>
          <w:rFonts w:ascii="Arial" w:hAnsi="Arial" w:cs="Arial"/>
        </w:rPr>
        <w:t xml:space="preserve">enforcement actions of APRA. Suggestions include </w:t>
      </w:r>
      <w:r w:rsidR="00E342AC">
        <w:rPr>
          <w:rFonts w:ascii="Arial" w:hAnsi="Arial" w:cs="Arial"/>
        </w:rPr>
        <w:t xml:space="preserve">either </w:t>
      </w:r>
      <w:r>
        <w:rPr>
          <w:rFonts w:ascii="Arial" w:hAnsi="Arial" w:cs="Arial"/>
        </w:rPr>
        <w:t xml:space="preserve">periodic </w:t>
      </w:r>
      <w:r w:rsidR="00E342AC">
        <w:rPr>
          <w:rFonts w:ascii="Arial" w:hAnsi="Arial" w:cs="Arial"/>
        </w:rPr>
        <w:t>report</w:t>
      </w:r>
      <w:r w:rsidR="003A7F45">
        <w:rPr>
          <w:rFonts w:ascii="Arial" w:hAnsi="Arial" w:cs="Arial"/>
        </w:rPr>
        <w:t>ing requirements or implement</w:t>
      </w:r>
      <w:r w:rsidR="00E342AC">
        <w:rPr>
          <w:rFonts w:ascii="Arial" w:hAnsi="Arial" w:cs="Arial"/>
        </w:rPr>
        <w:t xml:space="preserve"> directions </w:t>
      </w:r>
      <w:r w:rsidR="003A7F45">
        <w:rPr>
          <w:rFonts w:ascii="Arial" w:hAnsi="Arial" w:cs="Arial"/>
        </w:rPr>
        <w:t>by</w:t>
      </w:r>
      <w:r w:rsidR="00E342AC">
        <w:rPr>
          <w:rFonts w:ascii="Arial" w:hAnsi="Arial" w:cs="Arial"/>
        </w:rPr>
        <w:t xml:space="preserve"> the regulator </w:t>
      </w:r>
      <w:r w:rsidR="00031769">
        <w:rPr>
          <w:rFonts w:ascii="Arial" w:hAnsi="Arial" w:cs="Arial"/>
        </w:rPr>
        <w:t>to mitigat</w:t>
      </w:r>
      <w:r>
        <w:rPr>
          <w:rFonts w:ascii="Arial" w:hAnsi="Arial" w:cs="Arial"/>
        </w:rPr>
        <w:t xml:space="preserve">e the risks of misconduct. </w:t>
      </w:r>
      <w:r w:rsidR="002B383C">
        <w:rPr>
          <w:rFonts w:ascii="Arial" w:hAnsi="Arial" w:cs="Arial"/>
        </w:rPr>
        <w:t xml:space="preserve">In short, to secure the cooperation of compliance professionals in the regulated entities to help APRA achieve its regulatory objectives. </w:t>
      </w:r>
    </w:p>
    <w:p w14:paraId="4ABF3F50" w14:textId="77777777" w:rsidR="00945A9E" w:rsidRDefault="00945A9E" w:rsidP="00EA437E">
      <w:pPr>
        <w:pStyle w:val="Default"/>
        <w:spacing w:line="276" w:lineRule="auto"/>
        <w:rPr>
          <w:rFonts w:ascii="Arial" w:hAnsi="Arial" w:cs="Arial"/>
        </w:rPr>
      </w:pPr>
    </w:p>
    <w:p w14:paraId="25ECB662" w14:textId="77777777" w:rsidR="00007F0E" w:rsidRPr="00EA437E" w:rsidRDefault="002B383C" w:rsidP="00A51E0C">
      <w:pPr>
        <w:pStyle w:val="Default"/>
        <w:spacing w:line="276" w:lineRule="auto"/>
        <w:rPr>
          <w:rFonts w:ascii="Arial" w:hAnsi="Arial" w:cs="Arial"/>
        </w:rPr>
      </w:pPr>
      <w:r>
        <w:rPr>
          <w:rFonts w:ascii="Arial" w:hAnsi="Arial" w:cs="Arial"/>
        </w:rPr>
        <w:t>End of submission</w:t>
      </w:r>
    </w:p>
    <w:sectPr w:rsidR="00007F0E" w:rsidRPr="00EA437E">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0989F" w14:textId="77777777" w:rsidR="004F7D02" w:rsidRDefault="004F7D02" w:rsidP="00DD66ED">
      <w:pPr>
        <w:spacing w:after="0" w:line="240" w:lineRule="auto"/>
      </w:pPr>
      <w:r>
        <w:separator/>
      </w:r>
    </w:p>
  </w:endnote>
  <w:endnote w:type="continuationSeparator" w:id="0">
    <w:p w14:paraId="144DD019" w14:textId="77777777" w:rsidR="004F7D02" w:rsidRDefault="004F7D02" w:rsidP="00DD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64122"/>
      <w:docPartObj>
        <w:docPartGallery w:val="Page Numbers (Bottom of Page)"/>
        <w:docPartUnique/>
      </w:docPartObj>
    </w:sdtPr>
    <w:sdtEndPr>
      <w:rPr>
        <w:noProof/>
      </w:rPr>
    </w:sdtEndPr>
    <w:sdtContent>
      <w:p w14:paraId="758D4FA9" w14:textId="3E6488A2" w:rsidR="00DD66ED" w:rsidRDefault="00DD66ED">
        <w:pPr>
          <w:pStyle w:val="Footer"/>
          <w:jc w:val="center"/>
        </w:pPr>
        <w:r>
          <w:fldChar w:fldCharType="begin"/>
        </w:r>
        <w:r>
          <w:instrText xml:space="preserve"> PAGE   \* MERGEFORMAT </w:instrText>
        </w:r>
        <w:r>
          <w:fldChar w:fldCharType="separate"/>
        </w:r>
        <w:r w:rsidR="00B16F14">
          <w:rPr>
            <w:noProof/>
          </w:rPr>
          <w:t>1</w:t>
        </w:r>
        <w:r>
          <w:rPr>
            <w:noProof/>
          </w:rPr>
          <w:fldChar w:fldCharType="end"/>
        </w:r>
      </w:p>
    </w:sdtContent>
  </w:sdt>
  <w:p w14:paraId="4935FBBB" w14:textId="77777777" w:rsidR="00DD66ED" w:rsidRDefault="00DD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9D62" w14:textId="77777777" w:rsidR="004F7D02" w:rsidRDefault="004F7D02" w:rsidP="00DD66ED">
      <w:pPr>
        <w:spacing w:after="0" w:line="240" w:lineRule="auto"/>
      </w:pPr>
      <w:r>
        <w:separator/>
      </w:r>
    </w:p>
  </w:footnote>
  <w:footnote w:type="continuationSeparator" w:id="0">
    <w:p w14:paraId="763C7AF1" w14:textId="77777777" w:rsidR="004F7D02" w:rsidRDefault="004F7D02" w:rsidP="00DD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F4660"/>
    <w:multiLevelType w:val="hybridMultilevel"/>
    <w:tmpl w:val="37400FFE"/>
    <w:lvl w:ilvl="0" w:tplc="FB269B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13"/>
    <w:rsid w:val="00007F0E"/>
    <w:rsid w:val="00031769"/>
    <w:rsid w:val="00042E4F"/>
    <w:rsid w:val="00046D7D"/>
    <w:rsid w:val="000537F4"/>
    <w:rsid w:val="00074F58"/>
    <w:rsid w:val="000A166F"/>
    <w:rsid w:val="000B2138"/>
    <w:rsid w:val="00110494"/>
    <w:rsid w:val="0012174A"/>
    <w:rsid w:val="0012511B"/>
    <w:rsid w:val="001373B2"/>
    <w:rsid w:val="00145897"/>
    <w:rsid w:val="00180026"/>
    <w:rsid w:val="001A2A00"/>
    <w:rsid w:val="001E5F9A"/>
    <w:rsid w:val="001F2745"/>
    <w:rsid w:val="002115DE"/>
    <w:rsid w:val="00225C24"/>
    <w:rsid w:val="00240065"/>
    <w:rsid w:val="00264F1A"/>
    <w:rsid w:val="002803D2"/>
    <w:rsid w:val="00293EBB"/>
    <w:rsid w:val="002A144A"/>
    <w:rsid w:val="002A4C89"/>
    <w:rsid w:val="002A7069"/>
    <w:rsid w:val="002B383C"/>
    <w:rsid w:val="002C28F6"/>
    <w:rsid w:val="002E3F18"/>
    <w:rsid w:val="002F4D32"/>
    <w:rsid w:val="002F7BE7"/>
    <w:rsid w:val="00312F27"/>
    <w:rsid w:val="003224E6"/>
    <w:rsid w:val="003242E9"/>
    <w:rsid w:val="00335A8B"/>
    <w:rsid w:val="00366B2B"/>
    <w:rsid w:val="00370D71"/>
    <w:rsid w:val="003763F2"/>
    <w:rsid w:val="00387919"/>
    <w:rsid w:val="00393712"/>
    <w:rsid w:val="003A7F45"/>
    <w:rsid w:val="003B2EBD"/>
    <w:rsid w:val="00412CF2"/>
    <w:rsid w:val="0042035C"/>
    <w:rsid w:val="00435763"/>
    <w:rsid w:val="00450DA1"/>
    <w:rsid w:val="00460A81"/>
    <w:rsid w:val="004775B9"/>
    <w:rsid w:val="00486604"/>
    <w:rsid w:val="004E0473"/>
    <w:rsid w:val="004E39E2"/>
    <w:rsid w:val="004F7D02"/>
    <w:rsid w:val="00500B5B"/>
    <w:rsid w:val="00504664"/>
    <w:rsid w:val="00506EA5"/>
    <w:rsid w:val="00536F12"/>
    <w:rsid w:val="005515EE"/>
    <w:rsid w:val="00612B85"/>
    <w:rsid w:val="00622615"/>
    <w:rsid w:val="00627AE8"/>
    <w:rsid w:val="00656ACA"/>
    <w:rsid w:val="006935E1"/>
    <w:rsid w:val="00693E78"/>
    <w:rsid w:val="006A7ED8"/>
    <w:rsid w:val="006C029E"/>
    <w:rsid w:val="006F7BE0"/>
    <w:rsid w:val="007016C2"/>
    <w:rsid w:val="0071674A"/>
    <w:rsid w:val="00724687"/>
    <w:rsid w:val="007356BB"/>
    <w:rsid w:val="00776AF4"/>
    <w:rsid w:val="007907DE"/>
    <w:rsid w:val="007A28ED"/>
    <w:rsid w:val="007B770D"/>
    <w:rsid w:val="007F1B20"/>
    <w:rsid w:val="007F2D45"/>
    <w:rsid w:val="0086467D"/>
    <w:rsid w:val="008B66AD"/>
    <w:rsid w:val="008B7704"/>
    <w:rsid w:val="008D3C05"/>
    <w:rsid w:val="008E0164"/>
    <w:rsid w:val="008E048D"/>
    <w:rsid w:val="008F0623"/>
    <w:rsid w:val="009110DC"/>
    <w:rsid w:val="00916C1D"/>
    <w:rsid w:val="00945A9E"/>
    <w:rsid w:val="00965AAB"/>
    <w:rsid w:val="00972B76"/>
    <w:rsid w:val="00980158"/>
    <w:rsid w:val="00985681"/>
    <w:rsid w:val="00991BF7"/>
    <w:rsid w:val="009C14F3"/>
    <w:rsid w:val="009D43EA"/>
    <w:rsid w:val="009E51EA"/>
    <w:rsid w:val="00A14B3A"/>
    <w:rsid w:val="00A238D9"/>
    <w:rsid w:val="00A454E1"/>
    <w:rsid w:val="00A51E0C"/>
    <w:rsid w:val="00A75BDC"/>
    <w:rsid w:val="00A81AF7"/>
    <w:rsid w:val="00B06067"/>
    <w:rsid w:val="00B16613"/>
    <w:rsid w:val="00B16CC4"/>
    <w:rsid w:val="00B16F14"/>
    <w:rsid w:val="00B261A3"/>
    <w:rsid w:val="00B27D7C"/>
    <w:rsid w:val="00B30134"/>
    <w:rsid w:val="00B569B3"/>
    <w:rsid w:val="00B70834"/>
    <w:rsid w:val="00C011A3"/>
    <w:rsid w:val="00C14973"/>
    <w:rsid w:val="00C30B3C"/>
    <w:rsid w:val="00C4464B"/>
    <w:rsid w:val="00C84933"/>
    <w:rsid w:val="00CC0B28"/>
    <w:rsid w:val="00CD2D7A"/>
    <w:rsid w:val="00CF0BF1"/>
    <w:rsid w:val="00D26B4B"/>
    <w:rsid w:val="00DA6346"/>
    <w:rsid w:val="00DB2B21"/>
    <w:rsid w:val="00DD34BB"/>
    <w:rsid w:val="00DD66ED"/>
    <w:rsid w:val="00DD793B"/>
    <w:rsid w:val="00DF3476"/>
    <w:rsid w:val="00DF7228"/>
    <w:rsid w:val="00E15255"/>
    <w:rsid w:val="00E27976"/>
    <w:rsid w:val="00E342AC"/>
    <w:rsid w:val="00E8696D"/>
    <w:rsid w:val="00EA437E"/>
    <w:rsid w:val="00EB0F56"/>
    <w:rsid w:val="00EE2DC4"/>
    <w:rsid w:val="00EF4A68"/>
    <w:rsid w:val="00EF6B57"/>
    <w:rsid w:val="00F3059C"/>
    <w:rsid w:val="00F52A4A"/>
    <w:rsid w:val="00F57AFC"/>
    <w:rsid w:val="00FC738F"/>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D7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27976"/>
    <w:rPr>
      <w:color w:val="0563C1" w:themeColor="hyperlink"/>
      <w:u w:val="single"/>
    </w:rPr>
  </w:style>
  <w:style w:type="paragraph" w:styleId="Header">
    <w:name w:val="header"/>
    <w:basedOn w:val="Normal"/>
    <w:link w:val="HeaderChar"/>
    <w:uiPriority w:val="99"/>
    <w:unhideWhenUsed/>
    <w:rsid w:val="00DD6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ED"/>
  </w:style>
  <w:style w:type="paragraph" w:styleId="Footer">
    <w:name w:val="footer"/>
    <w:basedOn w:val="Normal"/>
    <w:link w:val="FooterChar"/>
    <w:uiPriority w:val="99"/>
    <w:unhideWhenUsed/>
    <w:rsid w:val="00DD6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gusyoung@hkbu.edu.h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31AEF9C4B01784C837F0EC186083C4D006C55662A79A8414998F14AA2C925ED6B" ma:contentTypeVersion="2673" ma:contentTypeDescription="" ma:contentTypeScope="" ma:versionID="3fa00dc2350c9a910bd5bc94b57ebb7f">
  <xsd:schema xmlns:xsd="http://www.w3.org/2001/XMLSchema" xmlns:xs="http://www.w3.org/2001/XMLSchema" xmlns:p="http://schemas.microsoft.com/office/2006/metadata/properties" xmlns:ns1="http://schemas.microsoft.com/sharepoint/v3" xmlns:ns2="0f563589-9cf9-4143-b1eb-fb0534803d38" xmlns:ns3="2cc670f7-e1dc-43af-b04a-749b6003bd01" targetNamespace="http://schemas.microsoft.com/office/2006/metadata/properties" ma:root="true" ma:fieldsID="8a3493ead7fcbc4112a372faf28743cf" ns1:_="" ns2:_="" ns3:_="">
    <xsd:import namespace="http://schemas.microsoft.com/sharepoint/v3"/>
    <xsd:import namespace="0f563589-9cf9-4143-b1eb-fb0534803d38"/>
    <xsd:import namespace="2cc670f7-e1dc-43af-b04a-749b6003bd01"/>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2:TaxKeywordTaxHTFiel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6da52a0c-7689-4ee4-ab81-d9d1ffef60ee}" ma:internalName="TaxCatchAll" ma:showField="CatchAllData" ma:web="2cc670f7-e1dc-43af-b04a-749b6003bd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da52a0c-7689-4ee4-ab81-d9d1ffef60ee}" ma:internalName="TaxCatchAllLabel" ma:readOnly="true" ma:showField="CatchAllDataLabel" ma:web="2cc670f7-e1dc-43af-b04a-749b6003bd01">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670f7-e1dc-43af-b04a-749b6003bd01"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TSY RA-9169 - Destroy 10 years after action completed|9f82654f-7f57-48e7-8119-020ef04cc5d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E31AEF9C4B01784C837F0EC186083C4D|1757814118" UniqueId="9ffd8100-7485-41f4-92bb-81c2039aada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5</Value>
    </TaxCatchAll>
    <TaxKeywordTaxHTField xmlns="0f563589-9cf9-4143-b1eb-fb0534803d38">
      <Terms xmlns="http://schemas.microsoft.com/office/infopath/2007/PartnerControls"/>
    </TaxKeywordTaxHTField>
    <lb508a4dc5e84436a0fe496b536466aa xmlns="2cc670f7-e1dc-43af-b04a-749b6003bd01">
      <Terms xmlns="http://schemas.microsoft.com/office/infopath/2007/PartnerControls">
        <TermInfo xmlns="http://schemas.microsoft.com/office/infopath/2007/PartnerControls">
          <TermName xmlns="http://schemas.microsoft.com/office/infopath/2007/PartnerControls">TSY RA-9169 - Destroy 10 years after action completed</TermName>
          <TermId xmlns="http://schemas.microsoft.com/office/infopath/2007/PartnerControls">9f82654f-7f57-48e7-8119-020ef04cc5dc</TermId>
        </TermInfo>
      </Terms>
    </lb508a4dc5e84436a0fe496b536466aa>
    <_dlc_DocId xmlns="0f563589-9cf9-4143-b1eb-fb0534803d38">2019W4FKTRDU-1063287117-65</_dlc_DocId>
    <_dlc_DocIdUrl xmlns="0f563589-9cf9-4143-b1eb-fb0534803d38">
      <Url>http://tweb/sites/reviews/apra/_layouts/15/DocIdRedir.aspx?ID=2019W4FKTRDU-1063287117-65</Url>
      <Description>2019W4FKTRDU-1063287117-65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D3FF-9399-43EF-BCCF-D18A0FEE1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2cc670f7-e1dc-43af-b04a-749b6003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E88C4-937D-48DD-836E-C37965530B4D}">
  <ds:schemaRefs>
    <ds:schemaRef ds:uri="http://schemas.microsoft.com/sharepoint/events"/>
  </ds:schemaRefs>
</ds:datastoreItem>
</file>

<file path=customXml/itemProps3.xml><?xml version="1.0" encoding="utf-8"?>
<ds:datastoreItem xmlns:ds="http://schemas.openxmlformats.org/officeDocument/2006/customXml" ds:itemID="{B9BE3751-FAEF-4D90-B745-D37CEA453223}">
  <ds:schemaRefs>
    <ds:schemaRef ds:uri="office.server.policy"/>
  </ds:schemaRefs>
</ds:datastoreItem>
</file>

<file path=customXml/itemProps4.xml><?xml version="1.0" encoding="utf-8"?>
<ds:datastoreItem xmlns:ds="http://schemas.openxmlformats.org/officeDocument/2006/customXml" ds:itemID="{EA165222-A27C-4EF5-9D88-D62E3BB83F54}">
  <ds:schemaRefs>
    <ds:schemaRef ds:uri="http://schemas.microsoft.com/sharepoint/v3/contenttype/forms"/>
  </ds:schemaRefs>
</ds:datastoreItem>
</file>

<file path=customXml/itemProps5.xml><?xml version="1.0" encoding="utf-8"?>
<ds:datastoreItem xmlns:ds="http://schemas.openxmlformats.org/officeDocument/2006/customXml" ds:itemID="{B2BCA7B6-1286-4DF6-8BA8-2C9A19883A6B}">
  <ds:schemaRefs>
    <ds:schemaRef ds:uri="http://schemas.microsoft.com/office/2006/metadata/properties"/>
    <ds:schemaRef ds:uri="http://purl.org/dc/terms/"/>
    <ds:schemaRef ds:uri="2cc670f7-e1dc-43af-b04a-749b6003bd01"/>
    <ds:schemaRef ds:uri="http://www.w3.org/XML/1998/namespac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0f563589-9cf9-4143-b1eb-fb0534803d38"/>
    <ds:schemaRef ds:uri="http://purl.org/dc/dcmitype/"/>
  </ds:schemaRefs>
</ds:datastoreItem>
</file>

<file path=customXml/itemProps6.xml><?xml version="1.0" encoding="utf-8"?>
<ds:datastoreItem xmlns:ds="http://schemas.openxmlformats.org/officeDocument/2006/customXml" ds:itemID="{6BA88FE7-6647-4DF5-A313-0D0DA536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6842</Characters>
  <Application>Microsoft Office Word</Application>
  <DocSecurity>0</DocSecurity>
  <Lines>117</Lines>
  <Paragraphs>21</Paragraphs>
  <ScaleCrop>false</ScaleCrop>
  <HeadingPairs>
    <vt:vector size="2" baseType="variant">
      <vt:variant>
        <vt:lpstr>Title</vt:lpstr>
      </vt:variant>
      <vt:variant>
        <vt:i4>1</vt:i4>
      </vt:variant>
    </vt:vector>
  </HeadingPairs>
  <TitlesOfParts>
    <vt:vector size="1" baseType="lpstr">
      <vt:lpstr>Young, Dr Angus - APRA Capability Review: Release of Final Terms of Reference and Request for Written Submissions regarding APRA’s Capability</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Dr Angus - APRA Capability Review: Release of Final Terms of Reference and Request for Written Submissions regarding APRA’s Capability</dc:title>
  <dc:creator/>
  <cp:lastModifiedBy/>
  <cp:revision>1</cp:revision>
  <dcterms:created xsi:type="dcterms:W3CDTF">2019-06-25T00:20:00Z</dcterms:created>
  <dcterms:modified xsi:type="dcterms:W3CDTF">2019-06-25T00:40:00Z</dcterms:modified>
  <dc:language>English</dc:language>
</cp:coreProperties>
</file>