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174E6" w14:textId="77777777" w:rsidR="000E0B74" w:rsidRPr="006D0240" w:rsidRDefault="000E0B74" w:rsidP="008E6292"/>
    <w:p w14:paraId="1ABE78C5" w14:textId="77777777" w:rsidR="000E0B74" w:rsidRPr="006D0240" w:rsidRDefault="000E0B74" w:rsidP="00794499">
      <w:pPr>
        <w:pStyle w:val="Crest"/>
        <w:spacing w:after="3000"/>
        <w:jc w:val="right"/>
      </w:pPr>
    </w:p>
    <w:p w14:paraId="182BCF8C" w14:textId="77777777" w:rsidR="000E0B74" w:rsidRPr="00A524B9" w:rsidRDefault="0092739C" w:rsidP="000E0B74">
      <w:pPr>
        <w:pStyle w:val="Title"/>
      </w:pPr>
      <w:r>
        <w:t>Employee Share Schemes</w:t>
      </w:r>
    </w:p>
    <w:p w14:paraId="63C5E741" w14:textId="79DDB8CD" w:rsidR="000E0B74" w:rsidRPr="00D45AF8" w:rsidRDefault="00277143" w:rsidP="00D45AF8">
      <w:pPr>
        <w:pStyle w:val="Subtitle"/>
      </w:pPr>
      <w:r>
        <w:t>Consultation Paper</w:t>
      </w:r>
    </w:p>
    <w:p w14:paraId="3A4587B3" w14:textId="253789E3" w:rsidR="00056880" w:rsidRDefault="008C705D" w:rsidP="000E0B74">
      <w:pPr>
        <w:pStyle w:val="ReportDate"/>
        <w:ind w:right="0"/>
        <w:rPr>
          <w:rFonts w:ascii="Rockwell" w:hAnsi="Rockwell"/>
          <w:sz w:val="24"/>
        </w:rPr>
      </w:pPr>
      <w:r>
        <w:rPr>
          <w:rStyle w:val="ReportDateChar"/>
        </w:rPr>
        <w:t>April</w:t>
      </w:r>
      <w:r w:rsidR="009511AD">
        <w:rPr>
          <w:rStyle w:val="ReportDateChar"/>
        </w:rPr>
        <w:t xml:space="preserve"> </w:t>
      </w:r>
      <w:r w:rsidR="0092739C">
        <w:rPr>
          <w:rStyle w:val="ReportDateChar"/>
        </w:rPr>
        <w:t>2019</w:t>
      </w:r>
    </w:p>
    <w:p w14:paraId="1873A4C3" w14:textId="77777777" w:rsidR="002F617F" w:rsidRPr="005D561D" w:rsidRDefault="002F617F" w:rsidP="00A16E03">
      <w:pPr>
        <w:pStyle w:val="Divider"/>
        <w:spacing w:after="3000"/>
      </w:pPr>
    </w:p>
    <w:p w14:paraId="2784924D" w14:textId="77777777" w:rsidR="002F617F" w:rsidRDefault="002F617F"/>
    <w:p w14:paraId="348B9063" w14:textId="77777777" w:rsidR="000E0B74" w:rsidRDefault="000E0B74" w:rsidP="000E0B74">
      <w:pPr>
        <w:rPr>
          <w:rFonts w:cs="Calibri"/>
          <w:sz w:val="20"/>
        </w:rPr>
      </w:pPr>
    </w:p>
    <w:p w14:paraId="692EF589" w14:textId="77777777" w:rsidR="000E0B74" w:rsidRDefault="000E0B74" w:rsidP="000E0B74">
      <w:pPr>
        <w:sectPr w:rsidR="000E0B74" w:rsidSect="00E1136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lowerRoman" w:start="1"/>
          <w:cols w:space="720"/>
        </w:sectPr>
      </w:pPr>
    </w:p>
    <w:p w14:paraId="498E853A" w14:textId="77777777" w:rsidR="000E0B74" w:rsidRDefault="000E0B74" w:rsidP="000E0B74">
      <w:pPr>
        <w:spacing w:before="240"/>
      </w:pPr>
      <w:r w:rsidRPr="00661BF0">
        <w:lastRenderedPageBreak/>
        <w:t xml:space="preserve">© Commonwealth of Australia </w:t>
      </w:r>
      <w:r w:rsidR="0092739C" w:rsidRPr="0092739C">
        <w:t>2019</w:t>
      </w:r>
    </w:p>
    <w:p w14:paraId="7B99D098" w14:textId="31C55D21"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6E43ED8" w14:textId="77777777" w:rsidR="000E0B74" w:rsidRDefault="000E0B74" w:rsidP="000E0B74">
      <w:pPr>
        <w:pStyle w:val="ChartGraphic"/>
        <w:jc w:val="left"/>
      </w:pPr>
      <w:r w:rsidRPr="00E56DFB">
        <w:rPr>
          <w:noProof/>
        </w:rPr>
        <w:drawing>
          <wp:inline distT="0" distB="0" distL="0" distR="0" wp14:anchorId="371CAACA" wp14:editId="61D0CA3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D4BC667"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F072068"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3F72F818"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8A4810B" w14:textId="29462AF4" w:rsidR="000E0B74" w:rsidRPr="00A13A11" w:rsidRDefault="000E0B74" w:rsidP="000E0B74">
      <w:pPr>
        <w:ind w:firstLine="720"/>
      </w:pPr>
      <w:r w:rsidRPr="002F1BC2">
        <w:rPr>
          <w:i/>
        </w:rPr>
        <w:t xml:space="preserve">Source: The </w:t>
      </w:r>
      <w:r w:rsidRPr="002F1BC2">
        <w:rPr>
          <w:i/>
          <w:iCs/>
        </w:rPr>
        <w:t>Australian Government the Treasury</w:t>
      </w:r>
      <w:r>
        <w:t>.</w:t>
      </w:r>
    </w:p>
    <w:p w14:paraId="19F7520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013620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2A4DEA4" w14:textId="0A5C5C46" w:rsidR="000E0B74" w:rsidRPr="006627B4" w:rsidRDefault="000E0B74" w:rsidP="000E0B74">
      <w:pPr>
        <w:ind w:firstLine="720"/>
      </w:pPr>
      <w:proofErr w:type="gramStart"/>
      <w:r w:rsidRPr="002F1BC2">
        <w:rPr>
          <w:i/>
        </w:rPr>
        <w:t>Based on The Australian Government the Treasury data</w:t>
      </w:r>
      <w:r>
        <w:t>.</w:t>
      </w:r>
      <w:proofErr w:type="gramEnd"/>
    </w:p>
    <w:p w14:paraId="49FE1E95" w14:textId="77777777" w:rsidR="000E0B74" w:rsidRPr="006627B4" w:rsidRDefault="000E0B74" w:rsidP="000E0B74">
      <w:pPr>
        <w:spacing w:before="240"/>
        <w:rPr>
          <w:b/>
        </w:rPr>
      </w:pPr>
      <w:r w:rsidRPr="006627B4">
        <w:rPr>
          <w:b/>
        </w:rPr>
        <w:t>Use of the Coat of Arms</w:t>
      </w:r>
    </w:p>
    <w:p w14:paraId="34E80E46"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Pr="005A283B">
          <w:rPr>
            <w:rStyle w:val="Hyperlink"/>
          </w:rPr>
          <w:t>www.pmc.gov.au/government/commonwealth-coat-arm</w:t>
        </w:r>
      </w:hyperlink>
      <w:r w:rsidRPr="004A7BC2">
        <w:t>s).</w:t>
      </w:r>
    </w:p>
    <w:p w14:paraId="45786C98" w14:textId="77777777" w:rsidR="000E0B74" w:rsidRPr="006627B4" w:rsidRDefault="000E0B74" w:rsidP="000E0B74">
      <w:pPr>
        <w:spacing w:before="240"/>
        <w:rPr>
          <w:b/>
        </w:rPr>
      </w:pPr>
      <w:r>
        <w:rPr>
          <w:b/>
        </w:rPr>
        <w:t>Other u</w:t>
      </w:r>
      <w:r w:rsidRPr="006627B4">
        <w:rPr>
          <w:b/>
        </w:rPr>
        <w:t>ses</w:t>
      </w:r>
    </w:p>
    <w:p w14:paraId="37EAE2E7" w14:textId="77777777" w:rsidR="000E0B74" w:rsidRPr="006627B4" w:rsidRDefault="000E0B74" w:rsidP="000E0B74">
      <w:r>
        <w:t>E</w:t>
      </w:r>
      <w:r w:rsidRPr="006627B4">
        <w:t>nquiries regarding this licence and any other use of this document are welcome at:</w:t>
      </w:r>
    </w:p>
    <w:p w14:paraId="490F9009"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7515741F" w14:textId="77777777" w:rsidR="000E0B74" w:rsidRDefault="000E0B74" w:rsidP="000E0B74">
      <w:pPr>
        <w:pStyle w:val="SingleParagraph"/>
        <w:sectPr w:rsidR="000E0B74"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p w14:paraId="5314B4B5" w14:textId="77777777" w:rsidR="000E0B74" w:rsidRDefault="000E0B74" w:rsidP="000E0B74">
      <w:pPr>
        <w:pStyle w:val="Heading1"/>
      </w:pPr>
      <w:bookmarkStart w:id="0" w:name="_Toc4493756"/>
      <w:r>
        <w:lastRenderedPageBreak/>
        <w:t>Contents</w:t>
      </w:r>
      <w:bookmarkEnd w:id="0"/>
    </w:p>
    <w:p w14:paraId="4C8BE437" w14:textId="77777777" w:rsidR="00B43061"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4493756" w:history="1">
        <w:r w:rsidR="00B43061" w:rsidRPr="00612A2A">
          <w:rPr>
            <w:rStyle w:val="Hyperlink"/>
          </w:rPr>
          <w:t>Contents</w:t>
        </w:r>
        <w:r w:rsidR="00B43061">
          <w:rPr>
            <w:webHidden/>
          </w:rPr>
          <w:tab/>
        </w:r>
        <w:r w:rsidR="00B43061">
          <w:rPr>
            <w:webHidden/>
          </w:rPr>
          <w:fldChar w:fldCharType="begin"/>
        </w:r>
        <w:r w:rsidR="00B43061">
          <w:rPr>
            <w:webHidden/>
          </w:rPr>
          <w:instrText xml:space="preserve"> PAGEREF _Toc4493756 \h </w:instrText>
        </w:r>
        <w:r w:rsidR="00B43061">
          <w:rPr>
            <w:webHidden/>
          </w:rPr>
        </w:r>
        <w:r w:rsidR="00B43061">
          <w:rPr>
            <w:webHidden/>
          </w:rPr>
          <w:fldChar w:fldCharType="separate"/>
        </w:r>
        <w:r w:rsidR="00814AEE">
          <w:rPr>
            <w:webHidden/>
          </w:rPr>
          <w:t>iii</w:t>
        </w:r>
        <w:r w:rsidR="00B43061">
          <w:rPr>
            <w:webHidden/>
          </w:rPr>
          <w:fldChar w:fldCharType="end"/>
        </w:r>
      </w:hyperlink>
    </w:p>
    <w:p w14:paraId="2DBF0034" w14:textId="77777777" w:rsidR="00B43061" w:rsidRDefault="00DC244A">
      <w:pPr>
        <w:pStyle w:val="TOC1"/>
        <w:rPr>
          <w:rFonts w:asciiTheme="minorHAnsi" w:eastAsiaTheme="minorEastAsia" w:hAnsiTheme="minorHAnsi" w:cstheme="minorBidi"/>
          <w:b w:val="0"/>
          <w:color w:val="auto"/>
        </w:rPr>
      </w:pPr>
      <w:hyperlink w:anchor="_Toc4493757" w:history="1">
        <w:r w:rsidR="00B43061" w:rsidRPr="00612A2A">
          <w:rPr>
            <w:rStyle w:val="Hyperlink"/>
          </w:rPr>
          <w:t>Consultation Process</w:t>
        </w:r>
        <w:r w:rsidR="00B43061">
          <w:rPr>
            <w:webHidden/>
          </w:rPr>
          <w:tab/>
        </w:r>
        <w:r w:rsidR="00B43061">
          <w:rPr>
            <w:webHidden/>
          </w:rPr>
          <w:fldChar w:fldCharType="begin"/>
        </w:r>
        <w:r w:rsidR="00B43061">
          <w:rPr>
            <w:webHidden/>
          </w:rPr>
          <w:instrText xml:space="preserve"> PAGEREF _Toc4493757 \h </w:instrText>
        </w:r>
        <w:r w:rsidR="00B43061">
          <w:rPr>
            <w:webHidden/>
          </w:rPr>
        </w:r>
        <w:r w:rsidR="00B43061">
          <w:rPr>
            <w:webHidden/>
          </w:rPr>
          <w:fldChar w:fldCharType="separate"/>
        </w:r>
        <w:r w:rsidR="00814AEE">
          <w:rPr>
            <w:webHidden/>
          </w:rPr>
          <w:t>1</w:t>
        </w:r>
        <w:r w:rsidR="00B43061">
          <w:rPr>
            <w:webHidden/>
          </w:rPr>
          <w:fldChar w:fldCharType="end"/>
        </w:r>
      </w:hyperlink>
    </w:p>
    <w:p w14:paraId="137785CA" w14:textId="77777777" w:rsidR="00B43061" w:rsidRDefault="00DC244A">
      <w:pPr>
        <w:pStyle w:val="TOC2"/>
        <w:rPr>
          <w:rFonts w:asciiTheme="minorHAnsi" w:eastAsiaTheme="minorEastAsia" w:hAnsiTheme="minorHAnsi" w:cstheme="minorBidi"/>
          <w:color w:val="auto"/>
          <w:szCs w:val="22"/>
        </w:rPr>
      </w:pPr>
      <w:hyperlink w:anchor="_Toc4493758" w:history="1">
        <w:r w:rsidR="00B43061" w:rsidRPr="00612A2A">
          <w:rPr>
            <w:rStyle w:val="Hyperlink"/>
          </w:rPr>
          <w:t>Request for feedback and comments</w:t>
        </w:r>
        <w:r w:rsidR="00B43061">
          <w:rPr>
            <w:webHidden/>
          </w:rPr>
          <w:tab/>
        </w:r>
        <w:r w:rsidR="00B43061">
          <w:rPr>
            <w:webHidden/>
          </w:rPr>
          <w:fldChar w:fldCharType="begin"/>
        </w:r>
        <w:r w:rsidR="00B43061">
          <w:rPr>
            <w:webHidden/>
          </w:rPr>
          <w:instrText xml:space="preserve"> PAGEREF _Toc4493758 \h </w:instrText>
        </w:r>
        <w:r w:rsidR="00B43061">
          <w:rPr>
            <w:webHidden/>
          </w:rPr>
        </w:r>
        <w:r w:rsidR="00B43061">
          <w:rPr>
            <w:webHidden/>
          </w:rPr>
          <w:fldChar w:fldCharType="separate"/>
        </w:r>
        <w:r w:rsidR="00814AEE">
          <w:rPr>
            <w:webHidden/>
          </w:rPr>
          <w:t>1</w:t>
        </w:r>
        <w:r w:rsidR="00B43061">
          <w:rPr>
            <w:webHidden/>
          </w:rPr>
          <w:fldChar w:fldCharType="end"/>
        </w:r>
      </w:hyperlink>
    </w:p>
    <w:p w14:paraId="6B544104" w14:textId="77777777" w:rsidR="00B43061" w:rsidRDefault="00DC244A">
      <w:pPr>
        <w:pStyle w:val="TOC1"/>
        <w:rPr>
          <w:rFonts w:asciiTheme="minorHAnsi" w:eastAsiaTheme="minorEastAsia" w:hAnsiTheme="minorHAnsi" w:cstheme="minorBidi"/>
          <w:b w:val="0"/>
          <w:color w:val="auto"/>
        </w:rPr>
      </w:pPr>
      <w:hyperlink w:anchor="_Toc4493759" w:history="1">
        <w:r w:rsidR="00B43061" w:rsidRPr="00612A2A">
          <w:rPr>
            <w:rStyle w:val="Hyperlink"/>
          </w:rPr>
          <w:t>Employee Share Schemes</w:t>
        </w:r>
        <w:r w:rsidR="00B43061">
          <w:rPr>
            <w:webHidden/>
          </w:rPr>
          <w:tab/>
        </w:r>
        <w:r w:rsidR="00B43061">
          <w:rPr>
            <w:webHidden/>
          </w:rPr>
          <w:fldChar w:fldCharType="begin"/>
        </w:r>
        <w:r w:rsidR="00B43061">
          <w:rPr>
            <w:webHidden/>
          </w:rPr>
          <w:instrText xml:space="preserve"> PAGEREF _Toc4493759 \h </w:instrText>
        </w:r>
        <w:r w:rsidR="00B43061">
          <w:rPr>
            <w:webHidden/>
          </w:rPr>
        </w:r>
        <w:r w:rsidR="00B43061">
          <w:rPr>
            <w:webHidden/>
          </w:rPr>
          <w:fldChar w:fldCharType="separate"/>
        </w:r>
        <w:r w:rsidR="00814AEE">
          <w:rPr>
            <w:webHidden/>
          </w:rPr>
          <w:t>2</w:t>
        </w:r>
        <w:r w:rsidR="00B43061">
          <w:rPr>
            <w:webHidden/>
          </w:rPr>
          <w:fldChar w:fldCharType="end"/>
        </w:r>
      </w:hyperlink>
    </w:p>
    <w:p w14:paraId="1A4F1DDB" w14:textId="77777777" w:rsidR="00B43061" w:rsidRDefault="00DC244A">
      <w:pPr>
        <w:pStyle w:val="TOC2"/>
        <w:rPr>
          <w:rFonts w:asciiTheme="minorHAnsi" w:eastAsiaTheme="minorEastAsia" w:hAnsiTheme="minorHAnsi" w:cstheme="minorBidi"/>
          <w:color w:val="auto"/>
          <w:szCs w:val="22"/>
        </w:rPr>
      </w:pPr>
      <w:hyperlink w:anchor="_Toc4493760" w:history="1">
        <w:r w:rsidR="00B43061" w:rsidRPr="00612A2A">
          <w:rPr>
            <w:rStyle w:val="Hyperlink"/>
          </w:rPr>
          <w:t>Introduction</w:t>
        </w:r>
        <w:r w:rsidR="00B43061">
          <w:rPr>
            <w:webHidden/>
          </w:rPr>
          <w:tab/>
        </w:r>
        <w:r w:rsidR="00B43061">
          <w:rPr>
            <w:webHidden/>
          </w:rPr>
          <w:fldChar w:fldCharType="begin"/>
        </w:r>
        <w:r w:rsidR="00B43061">
          <w:rPr>
            <w:webHidden/>
          </w:rPr>
          <w:instrText xml:space="preserve"> PAGEREF _Toc4493760 \h </w:instrText>
        </w:r>
        <w:r w:rsidR="00B43061">
          <w:rPr>
            <w:webHidden/>
          </w:rPr>
        </w:r>
        <w:r w:rsidR="00B43061">
          <w:rPr>
            <w:webHidden/>
          </w:rPr>
          <w:fldChar w:fldCharType="separate"/>
        </w:r>
        <w:r w:rsidR="00814AEE">
          <w:rPr>
            <w:webHidden/>
          </w:rPr>
          <w:t>2</w:t>
        </w:r>
        <w:r w:rsidR="00B43061">
          <w:rPr>
            <w:webHidden/>
          </w:rPr>
          <w:fldChar w:fldCharType="end"/>
        </w:r>
      </w:hyperlink>
    </w:p>
    <w:p w14:paraId="68392782" w14:textId="77777777" w:rsidR="00B43061" w:rsidRDefault="00DC244A">
      <w:pPr>
        <w:pStyle w:val="TOC2"/>
        <w:rPr>
          <w:rFonts w:asciiTheme="minorHAnsi" w:eastAsiaTheme="minorEastAsia" w:hAnsiTheme="minorHAnsi" w:cstheme="minorBidi"/>
          <w:color w:val="auto"/>
          <w:szCs w:val="22"/>
        </w:rPr>
      </w:pPr>
      <w:hyperlink w:anchor="_Toc4493761" w:history="1">
        <w:r w:rsidR="00B43061" w:rsidRPr="00612A2A">
          <w:rPr>
            <w:rStyle w:val="Hyperlink"/>
          </w:rPr>
          <w:t>Features of an ESS</w:t>
        </w:r>
        <w:r w:rsidR="00B43061">
          <w:rPr>
            <w:webHidden/>
          </w:rPr>
          <w:tab/>
        </w:r>
        <w:r w:rsidR="00B43061">
          <w:rPr>
            <w:webHidden/>
          </w:rPr>
          <w:fldChar w:fldCharType="begin"/>
        </w:r>
        <w:r w:rsidR="00B43061">
          <w:rPr>
            <w:webHidden/>
          </w:rPr>
          <w:instrText xml:space="preserve"> PAGEREF _Toc4493761 \h </w:instrText>
        </w:r>
        <w:r w:rsidR="00B43061">
          <w:rPr>
            <w:webHidden/>
          </w:rPr>
        </w:r>
        <w:r w:rsidR="00B43061">
          <w:rPr>
            <w:webHidden/>
          </w:rPr>
          <w:fldChar w:fldCharType="separate"/>
        </w:r>
        <w:r w:rsidR="00814AEE">
          <w:rPr>
            <w:webHidden/>
          </w:rPr>
          <w:t>3</w:t>
        </w:r>
        <w:r w:rsidR="00B43061">
          <w:rPr>
            <w:webHidden/>
          </w:rPr>
          <w:fldChar w:fldCharType="end"/>
        </w:r>
      </w:hyperlink>
    </w:p>
    <w:p w14:paraId="73AD94F8" w14:textId="77777777" w:rsidR="00B43061" w:rsidRDefault="00DC244A">
      <w:pPr>
        <w:pStyle w:val="TOC2"/>
        <w:rPr>
          <w:rFonts w:asciiTheme="minorHAnsi" w:eastAsiaTheme="minorEastAsia" w:hAnsiTheme="minorHAnsi" w:cstheme="minorBidi"/>
          <w:color w:val="auto"/>
          <w:szCs w:val="22"/>
        </w:rPr>
      </w:pPr>
      <w:hyperlink w:anchor="_Toc4493762" w:history="1">
        <w:r w:rsidR="00B43061" w:rsidRPr="00612A2A">
          <w:rPr>
            <w:rStyle w:val="Hyperlink"/>
          </w:rPr>
          <w:t>Benefits of an ESS</w:t>
        </w:r>
        <w:r w:rsidR="00B43061">
          <w:rPr>
            <w:webHidden/>
          </w:rPr>
          <w:tab/>
        </w:r>
        <w:r w:rsidR="00B43061">
          <w:rPr>
            <w:webHidden/>
          </w:rPr>
          <w:fldChar w:fldCharType="begin"/>
        </w:r>
        <w:r w:rsidR="00B43061">
          <w:rPr>
            <w:webHidden/>
          </w:rPr>
          <w:instrText xml:space="preserve"> PAGEREF _Toc4493762 \h </w:instrText>
        </w:r>
        <w:r w:rsidR="00B43061">
          <w:rPr>
            <w:webHidden/>
          </w:rPr>
        </w:r>
        <w:r w:rsidR="00B43061">
          <w:rPr>
            <w:webHidden/>
          </w:rPr>
          <w:fldChar w:fldCharType="separate"/>
        </w:r>
        <w:r w:rsidR="00814AEE">
          <w:rPr>
            <w:webHidden/>
          </w:rPr>
          <w:t>3</w:t>
        </w:r>
        <w:r w:rsidR="00B43061">
          <w:rPr>
            <w:webHidden/>
          </w:rPr>
          <w:fldChar w:fldCharType="end"/>
        </w:r>
      </w:hyperlink>
    </w:p>
    <w:p w14:paraId="6538D9C4" w14:textId="77777777" w:rsidR="00B43061" w:rsidRDefault="00DC244A">
      <w:pPr>
        <w:pStyle w:val="TOC1"/>
        <w:rPr>
          <w:rFonts w:asciiTheme="minorHAnsi" w:eastAsiaTheme="minorEastAsia" w:hAnsiTheme="minorHAnsi" w:cstheme="minorBidi"/>
          <w:b w:val="0"/>
          <w:color w:val="auto"/>
        </w:rPr>
      </w:pPr>
      <w:hyperlink w:anchor="_Toc4493763" w:history="1">
        <w:r w:rsidR="00B43061" w:rsidRPr="00612A2A">
          <w:rPr>
            <w:rStyle w:val="Hyperlink"/>
          </w:rPr>
          <w:t>Current Regulatory Framework</w:t>
        </w:r>
        <w:r w:rsidR="00B43061">
          <w:rPr>
            <w:webHidden/>
          </w:rPr>
          <w:tab/>
        </w:r>
        <w:r w:rsidR="00B43061">
          <w:rPr>
            <w:webHidden/>
          </w:rPr>
          <w:fldChar w:fldCharType="begin"/>
        </w:r>
        <w:r w:rsidR="00B43061">
          <w:rPr>
            <w:webHidden/>
          </w:rPr>
          <w:instrText xml:space="preserve"> PAGEREF _Toc4493763 \h </w:instrText>
        </w:r>
        <w:r w:rsidR="00B43061">
          <w:rPr>
            <w:webHidden/>
          </w:rPr>
        </w:r>
        <w:r w:rsidR="00B43061">
          <w:rPr>
            <w:webHidden/>
          </w:rPr>
          <w:fldChar w:fldCharType="separate"/>
        </w:r>
        <w:r w:rsidR="00814AEE">
          <w:rPr>
            <w:webHidden/>
          </w:rPr>
          <w:t>4</w:t>
        </w:r>
        <w:r w:rsidR="00B43061">
          <w:rPr>
            <w:webHidden/>
          </w:rPr>
          <w:fldChar w:fldCharType="end"/>
        </w:r>
      </w:hyperlink>
    </w:p>
    <w:p w14:paraId="51070ECA" w14:textId="77777777" w:rsidR="00B43061" w:rsidRDefault="00DC244A">
      <w:pPr>
        <w:pStyle w:val="TOC3"/>
        <w:rPr>
          <w:rFonts w:asciiTheme="minorHAnsi" w:eastAsiaTheme="minorEastAsia" w:hAnsiTheme="minorHAnsi" w:cstheme="minorBidi"/>
          <w:color w:val="auto"/>
          <w:szCs w:val="22"/>
        </w:rPr>
      </w:pPr>
      <w:hyperlink w:anchor="_Toc4493764" w:history="1">
        <w:r w:rsidR="00B43061" w:rsidRPr="00612A2A">
          <w:rPr>
            <w:rStyle w:val="Hyperlink"/>
          </w:rPr>
          <w:t>Disclosure</w:t>
        </w:r>
        <w:r w:rsidR="00B43061">
          <w:rPr>
            <w:webHidden/>
          </w:rPr>
          <w:tab/>
        </w:r>
        <w:r w:rsidR="00B43061">
          <w:rPr>
            <w:webHidden/>
          </w:rPr>
          <w:fldChar w:fldCharType="begin"/>
        </w:r>
        <w:r w:rsidR="00B43061">
          <w:rPr>
            <w:webHidden/>
          </w:rPr>
          <w:instrText xml:space="preserve"> PAGEREF _Toc4493764 \h </w:instrText>
        </w:r>
        <w:r w:rsidR="00B43061">
          <w:rPr>
            <w:webHidden/>
          </w:rPr>
        </w:r>
        <w:r w:rsidR="00B43061">
          <w:rPr>
            <w:webHidden/>
          </w:rPr>
          <w:fldChar w:fldCharType="separate"/>
        </w:r>
        <w:r w:rsidR="00814AEE">
          <w:rPr>
            <w:webHidden/>
          </w:rPr>
          <w:t>4</w:t>
        </w:r>
        <w:r w:rsidR="00B43061">
          <w:rPr>
            <w:webHidden/>
          </w:rPr>
          <w:fldChar w:fldCharType="end"/>
        </w:r>
      </w:hyperlink>
    </w:p>
    <w:p w14:paraId="16CF4C61" w14:textId="77777777" w:rsidR="00B43061" w:rsidRDefault="00DC244A">
      <w:pPr>
        <w:pStyle w:val="TOC3"/>
        <w:rPr>
          <w:rFonts w:asciiTheme="minorHAnsi" w:eastAsiaTheme="minorEastAsia" w:hAnsiTheme="minorHAnsi" w:cstheme="minorBidi"/>
          <w:color w:val="auto"/>
          <w:szCs w:val="22"/>
        </w:rPr>
      </w:pPr>
      <w:hyperlink w:anchor="_Toc4493765" w:history="1">
        <w:r w:rsidR="00B43061" w:rsidRPr="00612A2A">
          <w:rPr>
            <w:rStyle w:val="Hyperlink"/>
          </w:rPr>
          <w:t>Licensing</w:t>
        </w:r>
        <w:r w:rsidR="00B43061">
          <w:rPr>
            <w:webHidden/>
          </w:rPr>
          <w:tab/>
        </w:r>
        <w:r w:rsidR="00B43061">
          <w:rPr>
            <w:webHidden/>
          </w:rPr>
          <w:fldChar w:fldCharType="begin"/>
        </w:r>
        <w:r w:rsidR="00B43061">
          <w:rPr>
            <w:webHidden/>
          </w:rPr>
          <w:instrText xml:space="preserve"> PAGEREF _Toc4493765 \h </w:instrText>
        </w:r>
        <w:r w:rsidR="00B43061">
          <w:rPr>
            <w:webHidden/>
          </w:rPr>
        </w:r>
        <w:r w:rsidR="00B43061">
          <w:rPr>
            <w:webHidden/>
          </w:rPr>
          <w:fldChar w:fldCharType="separate"/>
        </w:r>
        <w:r w:rsidR="00814AEE">
          <w:rPr>
            <w:webHidden/>
          </w:rPr>
          <w:t>4</w:t>
        </w:r>
        <w:r w:rsidR="00B43061">
          <w:rPr>
            <w:webHidden/>
          </w:rPr>
          <w:fldChar w:fldCharType="end"/>
        </w:r>
      </w:hyperlink>
    </w:p>
    <w:p w14:paraId="29B1D56B" w14:textId="77777777" w:rsidR="00B43061" w:rsidRDefault="00DC244A">
      <w:pPr>
        <w:pStyle w:val="TOC3"/>
        <w:rPr>
          <w:rFonts w:asciiTheme="minorHAnsi" w:eastAsiaTheme="minorEastAsia" w:hAnsiTheme="minorHAnsi" w:cstheme="minorBidi"/>
          <w:color w:val="auto"/>
          <w:szCs w:val="22"/>
        </w:rPr>
      </w:pPr>
      <w:hyperlink w:anchor="_Toc4493766" w:history="1">
        <w:r w:rsidR="00B43061" w:rsidRPr="00612A2A">
          <w:rPr>
            <w:rStyle w:val="Hyperlink"/>
          </w:rPr>
          <w:t>Advertising and hawking</w:t>
        </w:r>
        <w:r w:rsidR="00B43061">
          <w:rPr>
            <w:webHidden/>
          </w:rPr>
          <w:tab/>
        </w:r>
        <w:r w:rsidR="00B43061">
          <w:rPr>
            <w:webHidden/>
          </w:rPr>
          <w:fldChar w:fldCharType="begin"/>
        </w:r>
        <w:r w:rsidR="00B43061">
          <w:rPr>
            <w:webHidden/>
          </w:rPr>
          <w:instrText xml:space="preserve"> PAGEREF _Toc4493766 \h </w:instrText>
        </w:r>
        <w:r w:rsidR="00B43061">
          <w:rPr>
            <w:webHidden/>
          </w:rPr>
        </w:r>
        <w:r w:rsidR="00B43061">
          <w:rPr>
            <w:webHidden/>
          </w:rPr>
          <w:fldChar w:fldCharType="separate"/>
        </w:r>
        <w:r w:rsidR="00814AEE">
          <w:rPr>
            <w:webHidden/>
          </w:rPr>
          <w:t>5</w:t>
        </w:r>
        <w:r w:rsidR="00B43061">
          <w:rPr>
            <w:webHidden/>
          </w:rPr>
          <w:fldChar w:fldCharType="end"/>
        </w:r>
      </w:hyperlink>
    </w:p>
    <w:p w14:paraId="26553BD8" w14:textId="77777777" w:rsidR="00B43061" w:rsidRDefault="00DC244A">
      <w:pPr>
        <w:pStyle w:val="TOC3"/>
        <w:rPr>
          <w:rFonts w:asciiTheme="minorHAnsi" w:eastAsiaTheme="minorEastAsia" w:hAnsiTheme="minorHAnsi" w:cstheme="minorBidi"/>
          <w:color w:val="auto"/>
          <w:szCs w:val="22"/>
        </w:rPr>
      </w:pPr>
      <w:hyperlink w:anchor="_Toc4493767" w:history="1">
        <w:r w:rsidR="00B43061" w:rsidRPr="00612A2A">
          <w:rPr>
            <w:rStyle w:val="Hyperlink"/>
          </w:rPr>
          <w:t>Other requirements</w:t>
        </w:r>
        <w:r w:rsidR="00B43061">
          <w:rPr>
            <w:webHidden/>
          </w:rPr>
          <w:tab/>
        </w:r>
        <w:r w:rsidR="00B43061">
          <w:rPr>
            <w:webHidden/>
          </w:rPr>
          <w:fldChar w:fldCharType="begin"/>
        </w:r>
        <w:r w:rsidR="00B43061">
          <w:rPr>
            <w:webHidden/>
          </w:rPr>
          <w:instrText xml:space="preserve"> PAGEREF _Toc4493767 \h </w:instrText>
        </w:r>
        <w:r w:rsidR="00B43061">
          <w:rPr>
            <w:webHidden/>
          </w:rPr>
        </w:r>
        <w:r w:rsidR="00B43061">
          <w:rPr>
            <w:webHidden/>
          </w:rPr>
          <w:fldChar w:fldCharType="separate"/>
        </w:r>
        <w:r w:rsidR="00814AEE">
          <w:rPr>
            <w:webHidden/>
          </w:rPr>
          <w:t>5</w:t>
        </w:r>
        <w:r w:rsidR="00B43061">
          <w:rPr>
            <w:webHidden/>
          </w:rPr>
          <w:fldChar w:fldCharType="end"/>
        </w:r>
      </w:hyperlink>
    </w:p>
    <w:p w14:paraId="2EE59C5F" w14:textId="77777777" w:rsidR="00B43061" w:rsidRDefault="00DC244A">
      <w:pPr>
        <w:pStyle w:val="TOC2"/>
        <w:rPr>
          <w:rFonts w:asciiTheme="minorHAnsi" w:eastAsiaTheme="minorEastAsia" w:hAnsiTheme="minorHAnsi" w:cstheme="minorBidi"/>
          <w:color w:val="auto"/>
          <w:szCs w:val="22"/>
        </w:rPr>
      </w:pPr>
      <w:hyperlink w:anchor="_Toc4493768" w:history="1">
        <w:r w:rsidR="00B43061" w:rsidRPr="00612A2A">
          <w:rPr>
            <w:rStyle w:val="Hyperlink"/>
          </w:rPr>
          <w:t>Statutory exemptions</w:t>
        </w:r>
        <w:r w:rsidR="00B43061">
          <w:rPr>
            <w:webHidden/>
          </w:rPr>
          <w:tab/>
        </w:r>
        <w:r w:rsidR="00B43061">
          <w:rPr>
            <w:webHidden/>
          </w:rPr>
          <w:fldChar w:fldCharType="begin"/>
        </w:r>
        <w:r w:rsidR="00B43061">
          <w:rPr>
            <w:webHidden/>
          </w:rPr>
          <w:instrText xml:space="preserve"> PAGEREF _Toc4493768 \h </w:instrText>
        </w:r>
        <w:r w:rsidR="00B43061">
          <w:rPr>
            <w:webHidden/>
          </w:rPr>
        </w:r>
        <w:r w:rsidR="00B43061">
          <w:rPr>
            <w:webHidden/>
          </w:rPr>
          <w:fldChar w:fldCharType="separate"/>
        </w:r>
        <w:r w:rsidR="00814AEE">
          <w:rPr>
            <w:webHidden/>
          </w:rPr>
          <w:t>5</w:t>
        </w:r>
        <w:r w:rsidR="00B43061">
          <w:rPr>
            <w:webHidden/>
          </w:rPr>
          <w:fldChar w:fldCharType="end"/>
        </w:r>
      </w:hyperlink>
    </w:p>
    <w:p w14:paraId="39ACA641" w14:textId="77777777" w:rsidR="00B43061" w:rsidRDefault="00DC244A">
      <w:pPr>
        <w:pStyle w:val="TOC3"/>
        <w:rPr>
          <w:rFonts w:asciiTheme="minorHAnsi" w:eastAsiaTheme="minorEastAsia" w:hAnsiTheme="minorHAnsi" w:cstheme="minorBidi"/>
          <w:color w:val="auto"/>
          <w:szCs w:val="22"/>
        </w:rPr>
      </w:pPr>
      <w:hyperlink w:anchor="_Toc4493769" w:history="1">
        <w:r w:rsidR="00B43061" w:rsidRPr="00612A2A">
          <w:rPr>
            <w:rStyle w:val="Hyperlink"/>
          </w:rPr>
          <w:t>Disclosure exemptions</w:t>
        </w:r>
        <w:r w:rsidR="00B43061">
          <w:rPr>
            <w:webHidden/>
          </w:rPr>
          <w:tab/>
        </w:r>
        <w:r w:rsidR="00B43061">
          <w:rPr>
            <w:webHidden/>
          </w:rPr>
          <w:fldChar w:fldCharType="begin"/>
        </w:r>
        <w:r w:rsidR="00B43061">
          <w:rPr>
            <w:webHidden/>
          </w:rPr>
          <w:instrText xml:space="preserve"> PAGEREF _Toc4493769 \h </w:instrText>
        </w:r>
        <w:r w:rsidR="00B43061">
          <w:rPr>
            <w:webHidden/>
          </w:rPr>
        </w:r>
        <w:r w:rsidR="00B43061">
          <w:rPr>
            <w:webHidden/>
          </w:rPr>
          <w:fldChar w:fldCharType="separate"/>
        </w:r>
        <w:r w:rsidR="00814AEE">
          <w:rPr>
            <w:webHidden/>
          </w:rPr>
          <w:t>5</w:t>
        </w:r>
        <w:r w:rsidR="00B43061">
          <w:rPr>
            <w:webHidden/>
          </w:rPr>
          <w:fldChar w:fldCharType="end"/>
        </w:r>
      </w:hyperlink>
    </w:p>
    <w:p w14:paraId="2F72D8DE" w14:textId="77777777" w:rsidR="00B43061" w:rsidRDefault="00DC244A">
      <w:pPr>
        <w:pStyle w:val="TOC3"/>
        <w:rPr>
          <w:rFonts w:asciiTheme="minorHAnsi" w:eastAsiaTheme="minorEastAsia" w:hAnsiTheme="minorHAnsi" w:cstheme="minorBidi"/>
          <w:color w:val="auto"/>
          <w:szCs w:val="22"/>
        </w:rPr>
      </w:pPr>
      <w:hyperlink w:anchor="_Toc4493770" w:history="1">
        <w:r w:rsidR="00B43061" w:rsidRPr="00612A2A">
          <w:rPr>
            <w:rStyle w:val="Hyperlink"/>
          </w:rPr>
          <w:t>Exemption from public access to disclosure documents</w:t>
        </w:r>
        <w:r w:rsidR="00B43061">
          <w:rPr>
            <w:webHidden/>
          </w:rPr>
          <w:tab/>
        </w:r>
        <w:r w:rsidR="00B43061">
          <w:rPr>
            <w:webHidden/>
          </w:rPr>
          <w:fldChar w:fldCharType="begin"/>
        </w:r>
        <w:r w:rsidR="00B43061">
          <w:rPr>
            <w:webHidden/>
          </w:rPr>
          <w:instrText xml:space="preserve"> PAGEREF _Toc4493770 \h </w:instrText>
        </w:r>
        <w:r w:rsidR="00B43061">
          <w:rPr>
            <w:webHidden/>
          </w:rPr>
        </w:r>
        <w:r w:rsidR="00B43061">
          <w:rPr>
            <w:webHidden/>
          </w:rPr>
          <w:fldChar w:fldCharType="separate"/>
        </w:r>
        <w:r w:rsidR="00814AEE">
          <w:rPr>
            <w:webHidden/>
          </w:rPr>
          <w:t>6</w:t>
        </w:r>
        <w:r w:rsidR="00B43061">
          <w:rPr>
            <w:webHidden/>
          </w:rPr>
          <w:fldChar w:fldCharType="end"/>
        </w:r>
      </w:hyperlink>
    </w:p>
    <w:p w14:paraId="63F67A8A" w14:textId="77777777" w:rsidR="00B43061" w:rsidRDefault="00DC244A">
      <w:pPr>
        <w:pStyle w:val="TOC3"/>
        <w:rPr>
          <w:rFonts w:asciiTheme="minorHAnsi" w:eastAsiaTheme="minorEastAsia" w:hAnsiTheme="minorHAnsi" w:cstheme="minorBidi"/>
          <w:color w:val="auto"/>
          <w:szCs w:val="22"/>
        </w:rPr>
      </w:pPr>
      <w:hyperlink w:anchor="_Toc4493771" w:history="1">
        <w:r w:rsidR="00B43061" w:rsidRPr="00612A2A">
          <w:rPr>
            <w:rStyle w:val="Hyperlink"/>
          </w:rPr>
          <w:t>Licensing and hawking exemptions</w:t>
        </w:r>
        <w:r w:rsidR="00B43061">
          <w:rPr>
            <w:webHidden/>
          </w:rPr>
          <w:tab/>
        </w:r>
        <w:r w:rsidR="00B43061">
          <w:rPr>
            <w:webHidden/>
          </w:rPr>
          <w:fldChar w:fldCharType="begin"/>
        </w:r>
        <w:r w:rsidR="00B43061">
          <w:rPr>
            <w:webHidden/>
          </w:rPr>
          <w:instrText xml:space="preserve"> PAGEREF _Toc4493771 \h </w:instrText>
        </w:r>
        <w:r w:rsidR="00B43061">
          <w:rPr>
            <w:webHidden/>
          </w:rPr>
        </w:r>
        <w:r w:rsidR="00B43061">
          <w:rPr>
            <w:webHidden/>
          </w:rPr>
          <w:fldChar w:fldCharType="separate"/>
        </w:r>
        <w:r w:rsidR="00814AEE">
          <w:rPr>
            <w:webHidden/>
          </w:rPr>
          <w:t>6</w:t>
        </w:r>
        <w:r w:rsidR="00B43061">
          <w:rPr>
            <w:webHidden/>
          </w:rPr>
          <w:fldChar w:fldCharType="end"/>
        </w:r>
      </w:hyperlink>
    </w:p>
    <w:p w14:paraId="01C7DB53" w14:textId="77777777" w:rsidR="00B43061" w:rsidRDefault="00DC244A">
      <w:pPr>
        <w:pStyle w:val="TOC3"/>
        <w:rPr>
          <w:rFonts w:asciiTheme="minorHAnsi" w:eastAsiaTheme="minorEastAsia" w:hAnsiTheme="minorHAnsi" w:cstheme="minorBidi"/>
          <w:color w:val="auto"/>
          <w:szCs w:val="22"/>
        </w:rPr>
      </w:pPr>
      <w:hyperlink w:anchor="_Toc4493772" w:history="1">
        <w:r w:rsidR="00B43061" w:rsidRPr="00612A2A">
          <w:rPr>
            <w:rStyle w:val="Hyperlink"/>
          </w:rPr>
          <w:t>Tax concessions</w:t>
        </w:r>
        <w:r w:rsidR="00B43061">
          <w:rPr>
            <w:webHidden/>
          </w:rPr>
          <w:tab/>
        </w:r>
        <w:r w:rsidR="00B43061">
          <w:rPr>
            <w:webHidden/>
          </w:rPr>
          <w:fldChar w:fldCharType="begin"/>
        </w:r>
        <w:r w:rsidR="00B43061">
          <w:rPr>
            <w:webHidden/>
          </w:rPr>
          <w:instrText xml:space="preserve"> PAGEREF _Toc4493772 \h </w:instrText>
        </w:r>
        <w:r w:rsidR="00B43061">
          <w:rPr>
            <w:webHidden/>
          </w:rPr>
        </w:r>
        <w:r w:rsidR="00B43061">
          <w:rPr>
            <w:webHidden/>
          </w:rPr>
          <w:fldChar w:fldCharType="separate"/>
        </w:r>
        <w:r w:rsidR="00814AEE">
          <w:rPr>
            <w:webHidden/>
          </w:rPr>
          <w:t>7</w:t>
        </w:r>
        <w:r w:rsidR="00B43061">
          <w:rPr>
            <w:webHidden/>
          </w:rPr>
          <w:fldChar w:fldCharType="end"/>
        </w:r>
      </w:hyperlink>
    </w:p>
    <w:p w14:paraId="6B35B4CC" w14:textId="77777777" w:rsidR="00B43061" w:rsidRDefault="00DC244A">
      <w:pPr>
        <w:pStyle w:val="TOC2"/>
        <w:rPr>
          <w:rFonts w:asciiTheme="minorHAnsi" w:eastAsiaTheme="minorEastAsia" w:hAnsiTheme="minorHAnsi" w:cstheme="minorBidi"/>
          <w:color w:val="auto"/>
          <w:szCs w:val="22"/>
        </w:rPr>
      </w:pPr>
      <w:hyperlink w:anchor="_Toc4493773" w:history="1">
        <w:r w:rsidR="00B43061" w:rsidRPr="00612A2A">
          <w:rPr>
            <w:rStyle w:val="Hyperlink"/>
          </w:rPr>
          <w:t>ASIC Class Order relief</w:t>
        </w:r>
        <w:r w:rsidR="00B43061">
          <w:rPr>
            <w:webHidden/>
          </w:rPr>
          <w:tab/>
        </w:r>
        <w:r w:rsidR="00B43061">
          <w:rPr>
            <w:webHidden/>
          </w:rPr>
          <w:fldChar w:fldCharType="begin"/>
        </w:r>
        <w:r w:rsidR="00B43061">
          <w:rPr>
            <w:webHidden/>
          </w:rPr>
          <w:instrText xml:space="preserve"> PAGEREF _Toc4493773 \h </w:instrText>
        </w:r>
        <w:r w:rsidR="00B43061">
          <w:rPr>
            <w:webHidden/>
          </w:rPr>
        </w:r>
        <w:r w:rsidR="00B43061">
          <w:rPr>
            <w:webHidden/>
          </w:rPr>
          <w:fldChar w:fldCharType="separate"/>
        </w:r>
        <w:r w:rsidR="00814AEE">
          <w:rPr>
            <w:webHidden/>
          </w:rPr>
          <w:t>7</w:t>
        </w:r>
        <w:r w:rsidR="00B43061">
          <w:rPr>
            <w:webHidden/>
          </w:rPr>
          <w:fldChar w:fldCharType="end"/>
        </w:r>
      </w:hyperlink>
    </w:p>
    <w:p w14:paraId="0665F86A" w14:textId="77777777" w:rsidR="00B43061" w:rsidRDefault="00DC244A">
      <w:pPr>
        <w:pStyle w:val="TOC3"/>
        <w:rPr>
          <w:rFonts w:asciiTheme="minorHAnsi" w:eastAsiaTheme="minorEastAsia" w:hAnsiTheme="minorHAnsi" w:cstheme="minorBidi"/>
          <w:color w:val="auto"/>
          <w:szCs w:val="22"/>
        </w:rPr>
      </w:pPr>
      <w:hyperlink w:anchor="_Toc4493774" w:history="1">
        <w:r w:rsidR="00B43061" w:rsidRPr="00612A2A">
          <w:rPr>
            <w:rStyle w:val="Hyperlink"/>
          </w:rPr>
          <w:t>Table 1: Overview of ASIC Class Order relief</w:t>
        </w:r>
        <w:r w:rsidR="00B43061">
          <w:rPr>
            <w:webHidden/>
          </w:rPr>
          <w:tab/>
        </w:r>
        <w:r w:rsidR="00B43061">
          <w:rPr>
            <w:webHidden/>
          </w:rPr>
          <w:fldChar w:fldCharType="begin"/>
        </w:r>
        <w:r w:rsidR="00B43061">
          <w:rPr>
            <w:webHidden/>
          </w:rPr>
          <w:instrText xml:space="preserve"> PAGEREF _Toc4493774 \h </w:instrText>
        </w:r>
        <w:r w:rsidR="00B43061">
          <w:rPr>
            <w:webHidden/>
          </w:rPr>
        </w:r>
        <w:r w:rsidR="00B43061">
          <w:rPr>
            <w:webHidden/>
          </w:rPr>
          <w:fldChar w:fldCharType="separate"/>
        </w:r>
        <w:r w:rsidR="00814AEE">
          <w:rPr>
            <w:webHidden/>
          </w:rPr>
          <w:t>9</w:t>
        </w:r>
        <w:r w:rsidR="00B43061">
          <w:rPr>
            <w:webHidden/>
          </w:rPr>
          <w:fldChar w:fldCharType="end"/>
        </w:r>
      </w:hyperlink>
    </w:p>
    <w:p w14:paraId="10F7C01F" w14:textId="77777777" w:rsidR="00B43061" w:rsidRDefault="00DC244A">
      <w:pPr>
        <w:pStyle w:val="TOC2"/>
        <w:rPr>
          <w:rFonts w:asciiTheme="minorHAnsi" w:eastAsiaTheme="minorEastAsia" w:hAnsiTheme="minorHAnsi" w:cstheme="minorBidi"/>
          <w:color w:val="auto"/>
          <w:szCs w:val="22"/>
        </w:rPr>
      </w:pPr>
      <w:hyperlink w:anchor="_Toc4493775" w:history="1">
        <w:r w:rsidR="00B43061" w:rsidRPr="00612A2A">
          <w:rPr>
            <w:rStyle w:val="Hyperlink"/>
          </w:rPr>
          <w:t>Limitations of the current regulatory framework</w:t>
        </w:r>
        <w:r w:rsidR="00B43061">
          <w:rPr>
            <w:webHidden/>
          </w:rPr>
          <w:tab/>
        </w:r>
        <w:r w:rsidR="00B43061">
          <w:rPr>
            <w:webHidden/>
          </w:rPr>
          <w:fldChar w:fldCharType="begin"/>
        </w:r>
        <w:r w:rsidR="00B43061">
          <w:rPr>
            <w:webHidden/>
          </w:rPr>
          <w:instrText xml:space="preserve"> PAGEREF _Toc4493775 \h </w:instrText>
        </w:r>
        <w:r w:rsidR="00B43061">
          <w:rPr>
            <w:webHidden/>
          </w:rPr>
        </w:r>
        <w:r w:rsidR="00B43061">
          <w:rPr>
            <w:webHidden/>
          </w:rPr>
          <w:fldChar w:fldCharType="separate"/>
        </w:r>
        <w:r w:rsidR="00814AEE">
          <w:rPr>
            <w:webHidden/>
          </w:rPr>
          <w:t>10</w:t>
        </w:r>
        <w:r w:rsidR="00B43061">
          <w:rPr>
            <w:webHidden/>
          </w:rPr>
          <w:fldChar w:fldCharType="end"/>
        </w:r>
      </w:hyperlink>
    </w:p>
    <w:p w14:paraId="0B920EED" w14:textId="77777777" w:rsidR="00B43061" w:rsidRDefault="00DC244A">
      <w:pPr>
        <w:pStyle w:val="TOC1"/>
        <w:rPr>
          <w:rFonts w:asciiTheme="minorHAnsi" w:eastAsiaTheme="minorEastAsia" w:hAnsiTheme="minorHAnsi" w:cstheme="minorBidi"/>
          <w:b w:val="0"/>
          <w:color w:val="auto"/>
        </w:rPr>
      </w:pPr>
      <w:hyperlink w:anchor="_Toc4493776" w:history="1">
        <w:r w:rsidR="00B43061" w:rsidRPr="00612A2A">
          <w:rPr>
            <w:rStyle w:val="Hyperlink"/>
          </w:rPr>
          <w:t>Options for reform</w:t>
        </w:r>
        <w:r w:rsidR="00B43061">
          <w:rPr>
            <w:webHidden/>
          </w:rPr>
          <w:tab/>
        </w:r>
        <w:r w:rsidR="00B43061">
          <w:rPr>
            <w:webHidden/>
          </w:rPr>
          <w:fldChar w:fldCharType="begin"/>
        </w:r>
        <w:r w:rsidR="00B43061">
          <w:rPr>
            <w:webHidden/>
          </w:rPr>
          <w:instrText xml:space="preserve"> PAGEREF _Toc4493776 \h </w:instrText>
        </w:r>
        <w:r w:rsidR="00B43061">
          <w:rPr>
            <w:webHidden/>
          </w:rPr>
        </w:r>
        <w:r w:rsidR="00B43061">
          <w:rPr>
            <w:webHidden/>
          </w:rPr>
          <w:fldChar w:fldCharType="separate"/>
        </w:r>
        <w:r w:rsidR="00814AEE">
          <w:rPr>
            <w:webHidden/>
          </w:rPr>
          <w:t>11</w:t>
        </w:r>
        <w:r w:rsidR="00B43061">
          <w:rPr>
            <w:webHidden/>
          </w:rPr>
          <w:fldChar w:fldCharType="end"/>
        </w:r>
      </w:hyperlink>
    </w:p>
    <w:p w14:paraId="7D534D45" w14:textId="77777777" w:rsidR="00B43061" w:rsidRDefault="00DC244A">
      <w:pPr>
        <w:pStyle w:val="TOC2"/>
        <w:rPr>
          <w:rFonts w:asciiTheme="minorHAnsi" w:eastAsiaTheme="minorEastAsia" w:hAnsiTheme="minorHAnsi" w:cstheme="minorBidi"/>
          <w:color w:val="auto"/>
          <w:szCs w:val="22"/>
        </w:rPr>
      </w:pPr>
      <w:hyperlink w:anchor="_Toc4493777" w:history="1">
        <w:r w:rsidR="00B43061" w:rsidRPr="00612A2A">
          <w:rPr>
            <w:rStyle w:val="Hyperlink"/>
          </w:rPr>
          <w:t>Consolidating and simplifying existing exemptions and ASIC relief</w:t>
        </w:r>
        <w:r w:rsidR="00B43061">
          <w:rPr>
            <w:webHidden/>
          </w:rPr>
          <w:tab/>
        </w:r>
        <w:r w:rsidR="00B43061">
          <w:rPr>
            <w:webHidden/>
          </w:rPr>
          <w:fldChar w:fldCharType="begin"/>
        </w:r>
        <w:r w:rsidR="00B43061">
          <w:rPr>
            <w:webHidden/>
          </w:rPr>
          <w:instrText xml:space="preserve"> PAGEREF _Toc4493777 \h </w:instrText>
        </w:r>
        <w:r w:rsidR="00B43061">
          <w:rPr>
            <w:webHidden/>
          </w:rPr>
        </w:r>
        <w:r w:rsidR="00B43061">
          <w:rPr>
            <w:webHidden/>
          </w:rPr>
          <w:fldChar w:fldCharType="separate"/>
        </w:r>
        <w:r w:rsidR="00814AEE">
          <w:rPr>
            <w:webHidden/>
          </w:rPr>
          <w:t>11</w:t>
        </w:r>
        <w:r w:rsidR="00B43061">
          <w:rPr>
            <w:webHidden/>
          </w:rPr>
          <w:fldChar w:fldCharType="end"/>
        </w:r>
      </w:hyperlink>
    </w:p>
    <w:p w14:paraId="7FC85297" w14:textId="77777777" w:rsidR="00B43061" w:rsidRDefault="00DC244A">
      <w:pPr>
        <w:pStyle w:val="TOC2"/>
        <w:rPr>
          <w:rFonts w:asciiTheme="minorHAnsi" w:eastAsiaTheme="minorEastAsia" w:hAnsiTheme="minorHAnsi" w:cstheme="minorBidi"/>
          <w:color w:val="auto"/>
          <w:szCs w:val="22"/>
        </w:rPr>
      </w:pPr>
      <w:hyperlink w:anchor="_Toc4493778" w:history="1">
        <w:r w:rsidR="00B43061" w:rsidRPr="00612A2A">
          <w:rPr>
            <w:rStyle w:val="Hyperlink"/>
          </w:rPr>
          <w:t>Increasing the offer cap per employee</w:t>
        </w:r>
        <w:r w:rsidR="00B43061">
          <w:rPr>
            <w:webHidden/>
          </w:rPr>
          <w:tab/>
        </w:r>
        <w:r w:rsidR="00B43061">
          <w:rPr>
            <w:webHidden/>
          </w:rPr>
          <w:fldChar w:fldCharType="begin"/>
        </w:r>
        <w:r w:rsidR="00B43061">
          <w:rPr>
            <w:webHidden/>
          </w:rPr>
          <w:instrText xml:space="preserve"> PAGEREF _Toc4493778 \h </w:instrText>
        </w:r>
        <w:r w:rsidR="00B43061">
          <w:rPr>
            <w:webHidden/>
          </w:rPr>
        </w:r>
        <w:r w:rsidR="00B43061">
          <w:rPr>
            <w:webHidden/>
          </w:rPr>
          <w:fldChar w:fldCharType="separate"/>
        </w:r>
        <w:r w:rsidR="00814AEE">
          <w:rPr>
            <w:webHidden/>
          </w:rPr>
          <w:t>12</w:t>
        </w:r>
        <w:r w:rsidR="00B43061">
          <w:rPr>
            <w:webHidden/>
          </w:rPr>
          <w:fldChar w:fldCharType="end"/>
        </w:r>
      </w:hyperlink>
    </w:p>
    <w:p w14:paraId="431554BB" w14:textId="77777777" w:rsidR="00B43061" w:rsidRDefault="00DC244A">
      <w:pPr>
        <w:pStyle w:val="TOC2"/>
        <w:rPr>
          <w:rFonts w:asciiTheme="minorHAnsi" w:eastAsiaTheme="minorEastAsia" w:hAnsiTheme="minorHAnsi" w:cstheme="minorBidi"/>
          <w:color w:val="auto"/>
          <w:szCs w:val="22"/>
        </w:rPr>
      </w:pPr>
      <w:hyperlink w:anchor="_Toc4493779" w:history="1">
        <w:r w:rsidR="00B43061" w:rsidRPr="00612A2A">
          <w:rPr>
            <w:rStyle w:val="Hyperlink"/>
          </w:rPr>
          <w:t>Facilitating the use of contribution plans</w:t>
        </w:r>
        <w:r w:rsidR="00B43061">
          <w:rPr>
            <w:webHidden/>
          </w:rPr>
          <w:tab/>
        </w:r>
        <w:r w:rsidR="00B43061">
          <w:rPr>
            <w:webHidden/>
          </w:rPr>
          <w:fldChar w:fldCharType="begin"/>
        </w:r>
        <w:r w:rsidR="00B43061">
          <w:rPr>
            <w:webHidden/>
          </w:rPr>
          <w:instrText xml:space="preserve"> PAGEREF _Toc4493779 \h </w:instrText>
        </w:r>
        <w:r w:rsidR="00B43061">
          <w:rPr>
            <w:webHidden/>
          </w:rPr>
        </w:r>
        <w:r w:rsidR="00B43061">
          <w:rPr>
            <w:webHidden/>
          </w:rPr>
          <w:fldChar w:fldCharType="separate"/>
        </w:r>
        <w:r w:rsidR="00814AEE">
          <w:rPr>
            <w:webHidden/>
          </w:rPr>
          <w:t>13</w:t>
        </w:r>
        <w:r w:rsidR="00B43061">
          <w:rPr>
            <w:webHidden/>
          </w:rPr>
          <w:fldChar w:fldCharType="end"/>
        </w:r>
      </w:hyperlink>
    </w:p>
    <w:p w14:paraId="246056BD" w14:textId="77777777" w:rsidR="00B43061" w:rsidRDefault="00DC244A">
      <w:pPr>
        <w:pStyle w:val="TOC2"/>
        <w:rPr>
          <w:rFonts w:asciiTheme="minorHAnsi" w:eastAsiaTheme="minorEastAsia" w:hAnsiTheme="minorHAnsi" w:cstheme="minorBidi"/>
          <w:color w:val="auto"/>
          <w:szCs w:val="22"/>
        </w:rPr>
      </w:pPr>
      <w:hyperlink w:anchor="_Toc4493780" w:history="1">
        <w:r w:rsidR="00B43061" w:rsidRPr="00612A2A">
          <w:rPr>
            <w:rStyle w:val="Hyperlink"/>
          </w:rPr>
          <w:t>Expanding the exemption from public access to disclosure documents</w:t>
        </w:r>
        <w:r w:rsidR="00B43061">
          <w:rPr>
            <w:webHidden/>
          </w:rPr>
          <w:tab/>
        </w:r>
        <w:r w:rsidR="00B43061">
          <w:rPr>
            <w:webHidden/>
          </w:rPr>
          <w:fldChar w:fldCharType="begin"/>
        </w:r>
        <w:r w:rsidR="00B43061">
          <w:rPr>
            <w:webHidden/>
          </w:rPr>
          <w:instrText xml:space="preserve"> PAGEREF _Toc4493780 \h </w:instrText>
        </w:r>
        <w:r w:rsidR="00B43061">
          <w:rPr>
            <w:webHidden/>
          </w:rPr>
        </w:r>
        <w:r w:rsidR="00B43061">
          <w:rPr>
            <w:webHidden/>
          </w:rPr>
          <w:fldChar w:fldCharType="separate"/>
        </w:r>
        <w:r w:rsidR="00814AEE">
          <w:rPr>
            <w:webHidden/>
          </w:rPr>
          <w:t>14</w:t>
        </w:r>
        <w:r w:rsidR="00B43061">
          <w:rPr>
            <w:webHidden/>
          </w:rPr>
          <w:fldChar w:fldCharType="end"/>
        </w:r>
      </w:hyperlink>
    </w:p>
    <w:p w14:paraId="1EEC4B1B" w14:textId="77777777" w:rsidR="00B43061" w:rsidRDefault="00DC244A">
      <w:pPr>
        <w:pStyle w:val="TOC3"/>
        <w:rPr>
          <w:rFonts w:asciiTheme="minorHAnsi" w:eastAsiaTheme="minorEastAsia" w:hAnsiTheme="minorHAnsi" w:cstheme="minorBidi"/>
          <w:color w:val="auto"/>
          <w:szCs w:val="22"/>
        </w:rPr>
      </w:pPr>
      <w:hyperlink w:anchor="_Toc4493781" w:history="1">
        <w:r w:rsidR="00B43061" w:rsidRPr="00612A2A">
          <w:rPr>
            <w:rStyle w:val="Hyperlink"/>
          </w:rPr>
          <w:t>Table 2: Proposal to expand the exemption from public access to disclosure documents lodged with ASIC for ESS offers</w:t>
        </w:r>
        <w:r w:rsidR="00B43061">
          <w:rPr>
            <w:webHidden/>
          </w:rPr>
          <w:tab/>
        </w:r>
        <w:r w:rsidR="00B43061">
          <w:rPr>
            <w:webHidden/>
          </w:rPr>
          <w:fldChar w:fldCharType="begin"/>
        </w:r>
        <w:r w:rsidR="00B43061">
          <w:rPr>
            <w:webHidden/>
          </w:rPr>
          <w:instrText xml:space="preserve"> PAGEREF _Toc4493781 \h </w:instrText>
        </w:r>
        <w:r w:rsidR="00B43061">
          <w:rPr>
            <w:webHidden/>
          </w:rPr>
        </w:r>
        <w:r w:rsidR="00B43061">
          <w:rPr>
            <w:webHidden/>
          </w:rPr>
          <w:fldChar w:fldCharType="separate"/>
        </w:r>
        <w:r w:rsidR="00814AEE">
          <w:rPr>
            <w:webHidden/>
          </w:rPr>
          <w:t>15</w:t>
        </w:r>
        <w:r w:rsidR="00B43061">
          <w:rPr>
            <w:webHidden/>
          </w:rPr>
          <w:fldChar w:fldCharType="end"/>
        </w:r>
      </w:hyperlink>
    </w:p>
    <w:p w14:paraId="6A0A185B" w14:textId="77777777" w:rsidR="00B43061" w:rsidRDefault="00DC244A">
      <w:pPr>
        <w:pStyle w:val="TOC2"/>
        <w:rPr>
          <w:rFonts w:asciiTheme="minorHAnsi" w:eastAsiaTheme="minorEastAsia" w:hAnsiTheme="minorHAnsi" w:cstheme="minorBidi"/>
          <w:color w:val="auto"/>
          <w:szCs w:val="22"/>
        </w:rPr>
      </w:pPr>
      <w:hyperlink w:anchor="_Toc4493782" w:history="1">
        <w:r w:rsidR="00B43061" w:rsidRPr="00612A2A">
          <w:rPr>
            <w:rStyle w:val="Hyperlink"/>
          </w:rPr>
          <w:t>Listed companies</w:t>
        </w:r>
        <w:r w:rsidR="00B43061">
          <w:rPr>
            <w:webHidden/>
          </w:rPr>
          <w:tab/>
        </w:r>
        <w:r w:rsidR="00B43061">
          <w:rPr>
            <w:webHidden/>
          </w:rPr>
          <w:fldChar w:fldCharType="begin"/>
        </w:r>
        <w:r w:rsidR="00B43061">
          <w:rPr>
            <w:webHidden/>
          </w:rPr>
          <w:instrText xml:space="preserve"> PAGEREF _Toc4493782 \h </w:instrText>
        </w:r>
        <w:r w:rsidR="00B43061">
          <w:rPr>
            <w:webHidden/>
          </w:rPr>
        </w:r>
        <w:r w:rsidR="00B43061">
          <w:rPr>
            <w:webHidden/>
          </w:rPr>
          <w:fldChar w:fldCharType="separate"/>
        </w:r>
        <w:r w:rsidR="00814AEE">
          <w:rPr>
            <w:webHidden/>
          </w:rPr>
          <w:t>16</w:t>
        </w:r>
        <w:r w:rsidR="00B43061">
          <w:rPr>
            <w:webHidden/>
          </w:rPr>
          <w:fldChar w:fldCharType="end"/>
        </w:r>
      </w:hyperlink>
    </w:p>
    <w:p w14:paraId="20555B30" w14:textId="77777777" w:rsidR="00B43061" w:rsidRDefault="00DC244A">
      <w:pPr>
        <w:pStyle w:val="TOC2"/>
        <w:rPr>
          <w:rFonts w:asciiTheme="minorHAnsi" w:eastAsiaTheme="minorEastAsia" w:hAnsiTheme="minorHAnsi" w:cstheme="minorBidi"/>
          <w:color w:val="auto"/>
          <w:szCs w:val="22"/>
        </w:rPr>
      </w:pPr>
      <w:hyperlink w:anchor="_Toc4493783" w:history="1">
        <w:r w:rsidR="00B43061" w:rsidRPr="00612A2A">
          <w:rPr>
            <w:rStyle w:val="Hyperlink"/>
          </w:rPr>
          <w:t>Other reforms</w:t>
        </w:r>
        <w:r w:rsidR="00B43061">
          <w:rPr>
            <w:webHidden/>
          </w:rPr>
          <w:tab/>
        </w:r>
        <w:r w:rsidR="00B43061">
          <w:rPr>
            <w:webHidden/>
          </w:rPr>
          <w:fldChar w:fldCharType="begin"/>
        </w:r>
        <w:r w:rsidR="00B43061">
          <w:rPr>
            <w:webHidden/>
          </w:rPr>
          <w:instrText xml:space="preserve"> PAGEREF _Toc4493783 \h </w:instrText>
        </w:r>
        <w:r w:rsidR="00B43061">
          <w:rPr>
            <w:webHidden/>
          </w:rPr>
        </w:r>
        <w:r w:rsidR="00B43061">
          <w:rPr>
            <w:webHidden/>
          </w:rPr>
          <w:fldChar w:fldCharType="separate"/>
        </w:r>
        <w:r w:rsidR="00814AEE">
          <w:rPr>
            <w:webHidden/>
          </w:rPr>
          <w:t>16</w:t>
        </w:r>
        <w:r w:rsidR="00B43061">
          <w:rPr>
            <w:webHidden/>
          </w:rPr>
          <w:fldChar w:fldCharType="end"/>
        </w:r>
      </w:hyperlink>
    </w:p>
    <w:p w14:paraId="4EF43A57"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A6EFBF8" w14:textId="77777777" w:rsidR="000E0B74" w:rsidRDefault="000E0B74" w:rsidP="000E0B74">
      <w:pPr>
        <w:pStyle w:val="Heading1"/>
      </w:pPr>
      <w:bookmarkStart w:id="1" w:name="_Toc4493757"/>
      <w:bookmarkStart w:id="2" w:name="_Toc432067103"/>
      <w:r>
        <w:lastRenderedPageBreak/>
        <w:t>Consultation Process</w:t>
      </w:r>
      <w:bookmarkEnd w:id="1"/>
    </w:p>
    <w:p w14:paraId="5EC4FCD5" w14:textId="77777777" w:rsidR="00AE60CF" w:rsidRDefault="00AE60CF" w:rsidP="00AE60CF">
      <w:pPr>
        <w:pStyle w:val="Heading2"/>
      </w:pPr>
      <w:bookmarkStart w:id="3" w:name="_Toc4493758"/>
      <w:bookmarkEnd w:id="2"/>
      <w:r>
        <w:t>Request for feedback and comments</w:t>
      </w:r>
      <w:bookmarkEnd w:id="3"/>
    </w:p>
    <w:p w14:paraId="1D91213C" w14:textId="14198C4F" w:rsidR="00AE60CF" w:rsidRPr="00B45AA9" w:rsidRDefault="00AE60CF" w:rsidP="00AE60CF">
      <w:r>
        <w:t xml:space="preserve">The purpose of this consultation paper is to </w:t>
      </w:r>
      <w:r w:rsidRPr="00B45AA9">
        <w:t>seek comments on the Government’s propos</w:t>
      </w:r>
      <w:r w:rsidR="00405E38" w:rsidRPr="00B45AA9">
        <w:t>als to improve the ability for small businesses to offer employee share schemes to help employers attract, retain and motivate employees and grow their businesses.</w:t>
      </w:r>
      <w:r w:rsidRPr="00B45AA9">
        <w:t xml:space="preserve"> </w:t>
      </w:r>
    </w:p>
    <w:p w14:paraId="5C9EB2F2" w14:textId="17160586" w:rsidR="00AE60CF" w:rsidRDefault="00AE60CF" w:rsidP="00AE60CF">
      <w:r>
        <w:t>Comments received will be taken into account in developing legislation required to implement this measure, helping to ensure it operates appropriately and achieve its policy objectives.</w:t>
      </w:r>
    </w:p>
    <w:p w14:paraId="4F43CDBF" w14:textId="77777777" w:rsidR="00AE60CF" w:rsidRDefault="00AE60CF" w:rsidP="00AE60CF">
      <w:r>
        <w:t>While submissions may be l</w:t>
      </w:r>
      <w:bookmarkStart w:id="4" w:name="_GoBack"/>
      <w:bookmarkEnd w:id="4"/>
      <w:r>
        <w:t>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7DFE5877" w14:textId="21D3F2D1" w:rsidR="00AE60CF" w:rsidRPr="00AF2B3E" w:rsidRDefault="00AE60CF" w:rsidP="00AE60CF">
      <w:pPr>
        <w:pStyle w:val="Heading3noTOC"/>
      </w:pPr>
      <w:r w:rsidRPr="00AF2B3E">
        <w:t xml:space="preserve">Closing date for submissions: </w:t>
      </w:r>
      <w:sdt>
        <w:sdtPr>
          <w:rPr>
            <w:rStyle w:val="Heading3Char"/>
          </w:rPr>
          <w:id w:val="1454836312"/>
          <w:placeholder>
            <w:docPart w:val="09EE044118B6404EB80EE18EB8BCEC51"/>
          </w:placeholder>
          <w:date w:fullDate="2019-04-30T00:00:00Z">
            <w:dateFormat w:val="dd MMMM yyyy"/>
            <w:lid w:val="en-AU"/>
            <w:storeMappedDataAs w:val="dateTime"/>
            <w:calendar w:val="gregorian"/>
          </w:date>
        </w:sdtPr>
        <w:sdtEndPr>
          <w:rPr>
            <w:rStyle w:val="DefaultParagraphFont"/>
            <w:rFonts w:cs="Calibri"/>
          </w:rPr>
        </w:sdtEndPr>
        <w:sdtContent>
          <w:r w:rsidR="00AF2B3E" w:rsidRPr="00AF2B3E">
            <w:rPr>
              <w:rStyle w:val="Heading3Char"/>
            </w:rPr>
            <w:t>30 April 2019</w:t>
          </w:r>
        </w:sdtContent>
      </w:sdt>
    </w:p>
    <w:tbl>
      <w:tblPr>
        <w:tblStyle w:val="TableGrid"/>
        <w:tblW w:w="0" w:type="auto"/>
        <w:tblLook w:val="04A0" w:firstRow="1" w:lastRow="0" w:firstColumn="1" w:lastColumn="0" w:noHBand="0" w:noVBand="1"/>
      </w:tblPr>
      <w:tblGrid>
        <w:gridCol w:w="1526"/>
        <w:gridCol w:w="7654"/>
      </w:tblGrid>
      <w:tr w:rsidR="00AE60CF" w:rsidRPr="001866AB" w14:paraId="2DD92D4C" w14:textId="77777777" w:rsidTr="00782BB7">
        <w:tc>
          <w:tcPr>
            <w:tcW w:w="1526" w:type="dxa"/>
            <w:shd w:val="clear" w:color="auto" w:fill="auto"/>
          </w:tcPr>
          <w:p w14:paraId="3CA76818" w14:textId="77777777" w:rsidR="00AE60CF" w:rsidRPr="000A6B1E" w:rsidRDefault="00AE60CF" w:rsidP="00782BB7">
            <w:pPr>
              <w:rPr>
                <w:sz w:val="22"/>
                <w:szCs w:val="22"/>
              </w:rPr>
            </w:pPr>
            <w:r w:rsidRPr="000A6B1E">
              <w:rPr>
                <w:sz w:val="22"/>
                <w:szCs w:val="22"/>
              </w:rPr>
              <w:t>Email</w:t>
            </w:r>
          </w:p>
        </w:tc>
        <w:tc>
          <w:tcPr>
            <w:tcW w:w="7654" w:type="dxa"/>
            <w:shd w:val="clear" w:color="auto" w:fill="auto"/>
          </w:tcPr>
          <w:p w14:paraId="7D512A85" w14:textId="13CDCB87" w:rsidR="00AE60CF" w:rsidRPr="000A6B1E" w:rsidRDefault="00AE60CF" w:rsidP="00782BB7">
            <w:pPr>
              <w:rPr>
                <w:sz w:val="22"/>
                <w:szCs w:val="22"/>
              </w:rPr>
            </w:pPr>
            <w:r w:rsidRPr="000A6B1E">
              <w:rPr>
                <w:rFonts w:cs="Arial"/>
                <w:sz w:val="22"/>
                <w:szCs w:val="22"/>
              </w:rPr>
              <w:t>ESS</w:t>
            </w:r>
            <w:r w:rsidR="00F651D6">
              <w:rPr>
                <w:rFonts w:cs="Arial"/>
                <w:sz w:val="22"/>
                <w:szCs w:val="22"/>
              </w:rPr>
              <w:t>reforms</w:t>
            </w:r>
            <w:r w:rsidRPr="000A6B1E">
              <w:rPr>
                <w:rFonts w:cs="Arial"/>
                <w:sz w:val="22"/>
                <w:szCs w:val="22"/>
              </w:rPr>
              <w:t>@treasury.gov.au</w:t>
            </w:r>
          </w:p>
        </w:tc>
      </w:tr>
      <w:tr w:rsidR="00AE60CF" w:rsidRPr="009F1829" w14:paraId="1B333D48" w14:textId="77777777" w:rsidTr="00782BB7">
        <w:tc>
          <w:tcPr>
            <w:tcW w:w="1526" w:type="dxa"/>
            <w:shd w:val="clear" w:color="auto" w:fill="auto"/>
          </w:tcPr>
          <w:p w14:paraId="7FAB958C" w14:textId="77777777" w:rsidR="00AE60CF" w:rsidRPr="009F1829" w:rsidRDefault="00AE60CF" w:rsidP="00782BB7">
            <w:pPr>
              <w:rPr>
                <w:sz w:val="22"/>
                <w:szCs w:val="22"/>
              </w:rPr>
            </w:pPr>
            <w:r w:rsidRPr="009F1829">
              <w:rPr>
                <w:sz w:val="22"/>
                <w:szCs w:val="22"/>
              </w:rPr>
              <w:t>Mail</w:t>
            </w:r>
          </w:p>
          <w:p w14:paraId="74950D00" w14:textId="77777777" w:rsidR="00AE60CF" w:rsidRPr="009F1829" w:rsidRDefault="00AE60CF" w:rsidP="00782BB7">
            <w:pPr>
              <w:rPr>
                <w:sz w:val="22"/>
                <w:szCs w:val="22"/>
              </w:rPr>
            </w:pPr>
          </w:p>
          <w:p w14:paraId="15209D7B" w14:textId="77777777" w:rsidR="00AE60CF" w:rsidRPr="009F1829" w:rsidRDefault="00AE60CF" w:rsidP="00782BB7">
            <w:pPr>
              <w:rPr>
                <w:sz w:val="22"/>
                <w:szCs w:val="22"/>
              </w:rPr>
            </w:pPr>
          </w:p>
        </w:tc>
        <w:tc>
          <w:tcPr>
            <w:tcW w:w="7654" w:type="dxa"/>
            <w:shd w:val="clear" w:color="auto" w:fill="auto"/>
          </w:tcPr>
          <w:p w14:paraId="1F46417E" w14:textId="77777777" w:rsidR="00AE60CF" w:rsidRDefault="00AE60CF" w:rsidP="00782BB7">
            <w:pPr>
              <w:pStyle w:val="SingleParagraph"/>
              <w:rPr>
                <w:rFonts w:cs="Arial"/>
                <w:sz w:val="22"/>
                <w:szCs w:val="22"/>
              </w:rPr>
            </w:pPr>
            <w:r>
              <w:rPr>
                <w:rFonts w:cs="Arial"/>
                <w:sz w:val="22"/>
                <w:szCs w:val="22"/>
              </w:rPr>
              <w:t>Nathania Nero</w:t>
            </w:r>
          </w:p>
          <w:p w14:paraId="654B2F06" w14:textId="77777777" w:rsidR="00AE60CF" w:rsidRPr="009F1829" w:rsidRDefault="00AE60CF" w:rsidP="00782BB7">
            <w:pPr>
              <w:pStyle w:val="SingleParagraph"/>
              <w:rPr>
                <w:rFonts w:cs="Arial"/>
                <w:sz w:val="24"/>
                <w:szCs w:val="22"/>
              </w:rPr>
            </w:pPr>
            <w:r w:rsidRPr="009F1829">
              <w:rPr>
                <w:rFonts w:cs="Arial"/>
                <w:sz w:val="22"/>
                <w:szCs w:val="22"/>
              </w:rPr>
              <w:t>Senior Policy Adviser</w:t>
            </w:r>
          </w:p>
          <w:p w14:paraId="1057F87C" w14:textId="77777777" w:rsidR="00AE60CF" w:rsidRPr="009F1829" w:rsidRDefault="00AE60CF" w:rsidP="00782BB7">
            <w:pPr>
              <w:pStyle w:val="SingleParagraph"/>
              <w:rPr>
                <w:rFonts w:cs="Arial"/>
                <w:sz w:val="24"/>
                <w:szCs w:val="22"/>
              </w:rPr>
            </w:pPr>
            <w:r w:rsidRPr="009F1829">
              <w:rPr>
                <w:rFonts w:cs="Arial"/>
                <w:sz w:val="22"/>
                <w:szCs w:val="22"/>
              </w:rPr>
              <w:t>Consumer and Corporations Division</w:t>
            </w:r>
          </w:p>
          <w:p w14:paraId="19E477D4" w14:textId="77777777" w:rsidR="00AE60CF" w:rsidRPr="009F1829" w:rsidRDefault="00AE60CF" w:rsidP="00782BB7">
            <w:pPr>
              <w:pStyle w:val="SingleParagraph"/>
              <w:rPr>
                <w:rFonts w:cs="Arial"/>
                <w:sz w:val="22"/>
                <w:szCs w:val="22"/>
              </w:rPr>
            </w:pPr>
            <w:r w:rsidRPr="009F1829">
              <w:rPr>
                <w:rFonts w:cs="Arial"/>
                <w:sz w:val="22"/>
                <w:szCs w:val="22"/>
              </w:rPr>
              <w:t>The Treasury</w:t>
            </w:r>
          </w:p>
          <w:p w14:paraId="6CD5BE21" w14:textId="77777777" w:rsidR="00AE60CF" w:rsidRPr="009F1829" w:rsidRDefault="00AE60CF" w:rsidP="00782BB7">
            <w:pPr>
              <w:pStyle w:val="SingleParagraph"/>
              <w:rPr>
                <w:rFonts w:cs="Arial"/>
                <w:sz w:val="22"/>
                <w:szCs w:val="22"/>
              </w:rPr>
            </w:pPr>
            <w:r w:rsidRPr="009F1829">
              <w:rPr>
                <w:rFonts w:cs="Arial"/>
                <w:sz w:val="22"/>
                <w:szCs w:val="22"/>
              </w:rPr>
              <w:t>Langton Crescent</w:t>
            </w:r>
          </w:p>
          <w:p w14:paraId="5EEBE814" w14:textId="77777777" w:rsidR="00AE60CF" w:rsidRPr="009F1829" w:rsidRDefault="00AE60CF" w:rsidP="00782BB7">
            <w:pPr>
              <w:pStyle w:val="SingleParagraph"/>
              <w:rPr>
                <w:sz w:val="22"/>
                <w:szCs w:val="22"/>
              </w:rPr>
            </w:pPr>
            <w:r w:rsidRPr="009F1829">
              <w:rPr>
                <w:sz w:val="22"/>
                <w:szCs w:val="22"/>
              </w:rPr>
              <w:t>PARKES ACT 2600</w:t>
            </w:r>
          </w:p>
        </w:tc>
      </w:tr>
      <w:tr w:rsidR="00AE60CF" w:rsidRPr="009F1829" w14:paraId="3560C55E" w14:textId="77777777" w:rsidTr="00782BB7">
        <w:tc>
          <w:tcPr>
            <w:tcW w:w="1526" w:type="dxa"/>
            <w:shd w:val="clear" w:color="auto" w:fill="auto"/>
          </w:tcPr>
          <w:p w14:paraId="17C2A9DB" w14:textId="77777777" w:rsidR="00AE60CF" w:rsidRPr="009F1829" w:rsidRDefault="00AE60CF" w:rsidP="00782BB7">
            <w:pPr>
              <w:rPr>
                <w:sz w:val="22"/>
                <w:szCs w:val="22"/>
              </w:rPr>
            </w:pPr>
            <w:r w:rsidRPr="009F1829">
              <w:rPr>
                <w:sz w:val="22"/>
                <w:szCs w:val="22"/>
              </w:rPr>
              <w:t>Enquiries</w:t>
            </w:r>
          </w:p>
        </w:tc>
        <w:tc>
          <w:tcPr>
            <w:tcW w:w="7654" w:type="dxa"/>
            <w:shd w:val="clear" w:color="auto" w:fill="auto"/>
          </w:tcPr>
          <w:p w14:paraId="21FB00F7" w14:textId="77777777" w:rsidR="00AE60CF" w:rsidRPr="00AE60CF" w:rsidRDefault="00AE60CF" w:rsidP="00782BB7">
            <w:pPr>
              <w:rPr>
                <w:sz w:val="22"/>
                <w:szCs w:val="22"/>
              </w:rPr>
            </w:pPr>
            <w:r w:rsidRPr="00AE60CF">
              <w:rPr>
                <w:rFonts w:cs="Arial"/>
                <w:sz w:val="22"/>
                <w:szCs w:val="22"/>
              </w:rPr>
              <w:t>Enquiries can be initially directed to Nathania.Nero@treasury.gov.au</w:t>
            </w:r>
          </w:p>
        </w:tc>
      </w:tr>
      <w:tr w:rsidR="00AE60CF" w:rsidRPr="00B85F47" w14:paraId="5C386DF5" w14:textId="77777777" w:rsidTr="00782BB7">
        <w:tc>
          <w:tcPr>
            <w:tcW w:w="1526" w:type="dxa"/>
            <w:shd w:val="clear" w:color="auto" w:fill="auto"/>
          </w:tcPr>
          <w:p w14:paraId="5C80857B" w14:textId="77777777" w:rsidR="00AE60CF" w:rsidRPr="009F1829" w:rsidRDefault="00AE60CF" w:rsidP="00782BB7">
            <w:pPr>
              <w:rPr>
                <w:sz w:val="22"/>
                <w:szCs w:val="22"/>
              </w:rPr>
            </w:pPr>
            <w:r w:rsidRPr="009F1829">
              <w:rPr>
                <w:sz w:val="22"/>
                <w:szCs w:val="22"/>
              </w:rPr>
              <w:t>Phone</w:t>
            </w:r>
          </w:p>
        </w:tc>
        <w:tc>
          <w:tcPr>
            <w:tcW w:w="7654" w:type="dxa"/>
            <w:shd w:val="clear" w:color="auto" w:fill="auto"/>
          </w:tcPr>
          <w:p w14:paraId="498DB3D2" w14:textId="77777777" w:rsidR="00AE60CF" w:rsidRPr="00B85F47" w:rsidRDefault="00AE60CF" w:rsidP="00782BB7">
            <w:pPr>
              <w:rPr>
                <w:sz w:val="22"/>
                <w:szCs w:val="22"/>
              </w:rPr>
            </w:pPr>
            <w:r w:rsidRPr="009F1829">
              <w:rPr>
                <w:rFonts w:cs="Arial"/>
                <w:sz w:val="22"/>
                <w:szCs w:val="22"/>
              </w:rPr>
              <w:t>02 6263 2318</w:t>
            </w:r>
          </w:p>
        </w:tc>
      </w:tr>
    </w:tbl>
    <w:p w14:paraId="6B8AACFF" w14:textId="77777777" w:rsidR="00AE60CF" w:rsidRDefault="00AE60CF" w:rsidP="00AE60CF"/>
    <w:p w14:paraId="421BB071" w14:textId="77777777" w:rsidR="00AE60CF" w:rsidRDefault="00AE60CF" w:rsidP="00AE60CF">
      <w:r>
        <w:t>The principles outlined in this paper have not received Government approval and are not yet law. As a consequence, this paper is merely a guide as to how the principles might operate.</w:t>
      </w:r>
    </w:p>
    <w:p w14:paraId="3B4CB7FE" w14:textId="77777777" w:rsidR="008D7F38" w:rsidRPr="008D7F38" w:rsidRDefault="008D7F38" w:rsidP="008D7F38"/>
    <w:p w14:paraId="093B560E" w14:textId="77777777" w:rsidR="00E10D39" w:rsidRDefault="00E10D39">
      <w:pPr>
        <w:spacing w:before="0" w:after="160" w:line="259" w:lineRule="auto"/>
        <w:rPr>
          <w:rFonts w:cs="Arial"/>
          <w:color w:val="004A7F"/>
          <w:kern w:val="32"/>
          <w:sz w:val="48"/>
          <w:szCs w:val="36"/>
        </w:rPr>
      </w:pPr>
      <w:r>
        <w:br w:type="page"/>
      </w:r>
    </w:p>
    <w:p w14:paraId="44611534" w14:textId="77777777" w:rsidR="000E0B74" w:rsidRDefault="00DC244A" w:rsidP="000E0B74">
      <w:pPr>
        <w:pStyle w:val="Heading1"/>
      </w:pPr>
      <w:r>
        <w:lastRenderedPageBreak/>
        <w:fldChar w:fldCharType="begin"/>
      </w:r>
      <w:r>
        <w:instrText xml:space="preserve"> STYLEREF  Title  \* MERGEFORMAT </w:instrText>
      </w:r>
      <w:r>
        <w:fldChar w:fldCharType="separate"/>
      </w:r>
      <w:bookmarkStart w:id="5" w:name="_Toc4493759"/>
      <w:r w:rsidR="00814AEE">
        <w:rPr>
          <w:noProof/>
        </w:rPr>
        <w:t>Employee Share Schemes</w:t>
      </w:r>
      <w:bookmarkEnd w:id="5"/>
      <w:r>
        <w:rPr>
          <w:noProof/>
        </w:rPr>
        <w:fldChar w:fldCharType="end"/>
      </w:r>
    </w:p>
    <w:p w14:paraId="5B77359E" w14:textId="5F261E14" w:rsidR="000E0B74" w:rsidRPr="001F4225" w:rsidRDefault="001F4225" w:rsidP="001F4225">
      <w:pPr>
        <w:pStyle w:val="Heading2"/>
      </w:pPr>
      <w:bookmarkStart w:id="6" w:name="_Toc4493760"/>
      <w:r>
        <w:t>Introduction</w:t>
      </w:r>
      <w:bookmarkEnd w:id="6"/>
    </w:p>
    <w:p w14:paraId="1F1BC258" w14:textId="0C023F15" w:rsidR="00AE60CF" w:rsidRDefault="00AE60CF" w:rsidP="00AE60CF">
      <w:bookmarkStart w:id="7" w:name="_Toc306887372"/>
      <w:bookmarkStart w:id="8" w:name="_Toc432064636"/>
      <w:r>
        <w:t xml:space="preserve">The Government </w:t>
      </w:r>
      <w:r w:rsidRPr="00E62EC2">
        <w:t xml:space="preserve">is committed to ensuring that small businesses have the support they need to be able to </w:t>
      </w:r>
      <w:r w:rsidR="00983201">
        <w:t xml:space="preserve">attract the right staff to help their business </w:t>
      </w:r>
      <w:r w:rsidRPr="00E62EC2">
        <w:t xml:space="preserve">grow and prosper.  </w:t>
      </w:r>
    </w:p>
    <w:p w14:paraId="06FB7B7F" w14:textId="1C0CBCB0" w:rsidR="00AE60CF" w:rsidRPr="00E62EC2" w:rsidRDefault="00AE60CF" w:rsidP="00AE60CF">
      <w:r>
        <w:t>Small business is a key contributor</w:t>
      </w:r>
      <w:r w:rsidR="007602EB">
        <w:t xml:space="preserve"> to the Australian economy</w:t>
      </w:r>
      <w:r w:rsidR="00B45AA9">
        <w:t>,</w:t>
      </w:r>
      <w:r>
        <w:t xml:space="preserve"> representing 99 per cent of all businesses in Australia and employing 5.7 million Australians. </w:t>
      </w:r>
      <w:r w:rsidR="0077131F" w:rsidRPr="0077131F">
        <w:t xml:space="preserve">Having the right people with the right skills is </w:t>
      </w:r>
      <w:r w:rsidR="001A3657">
        <w:t>critical</w:t>
      </w:r>
      <w:r w:rsidR="0077131F" w:rsidRPr="0077131F">
        <w:t xml:space="preserve"> to growing business</w:t>
      </w:r>
      <w:r w:rsidR="001A3657">
        <w:t>es</w:t>
      </w:r>
      <w:r w:rsidR="0077131F" w:rsidRPr="0077131F">
        <w:t xml:space="preserve"> and creating jobs for Australians</w:t>
      </w:r>
      <w:r w:rsidR="001A3657">
        <w:t>, contributing to economic growth</w:t>
      </w:r>
      <w:r w:rsidR="0077131F" w:rsidRPr="0077131F">
        <w:t>.</w:t>
      </w:r>
    </w:p>
    <w:p w14:paraId="45576D35" w14:textId="37EBDB1A" w:rsidR="001866AB" w:rsidRPr="00E62EC2" w:rsidRDefault="001866AB" w:rsidP="00AE60CF">
      <w:r w:rsidRPr="00E62EC2">
        <w:t>The Government has announced a number of initiatives designed to support small and medium</w:t>
      </w:r>
      <w:r w:rsidR="00B45AA9">
        <w:t xml:space="preserve"> sized</w:t>
      </w:r>
      <w:r w:rsidRPr="00E62EC2">
        <w:t xml:space="preserve"> companies in Australia, includ</w:t>
      </w:r>
      <w:r w:rsidR="00B45AA9">
        <w:t>ing cutting company tax rates</w:t>
      </w:r>
      <w:r w:rsidRPr="00E62EC2">
        <w:t xml:space="preserve"> and improving access to lending through the Australian Business Securitisation Fund.</w:t>
      </w:r>
    </w:p>
    <w:p w14:paraId="460554A8" w14:textId="44BAEFC2" w:rsidR="001866AB" w:rsidRPr="001F4225" w:rsidRDefault="00B45AA9" w:rsidP="001866AB">
      <w:r>
        <w:t xml:space="preserve">On 13 November 2018, </w:t>
      </w:r>
      <w:r w:rsidR="007602EB">
        <w:t>t</w:t>
      </w:r>
      <w:r w:rsidR="001866AB" w:rsidRPr="00E62EC2">
        <w:t xml:space="preserve">he Government also announced </w:t>
      </w:r>
      <w:r w:rsidR="007602EB">
        <w:t>proposals</w:t>
      </w:r>
      <w:r w:rsidR="001866AB" w:rsidRPr="00E62EC2">
        <w:t xml:space="preserve"> to simplify and ex</w:t>
      </w:r>
      <w:r>
        <w:t>pand</w:t>
      </w:r>
      <w:r w:rsidR="00982ED1">
        <w:t xml:space="preserve"> the </w:t>
      </w:r>
      <w:r w:rsidR="007602EB">
        <w:t xml:space="preserve">current </w:t>
      </w:r>
      <w:r>
        <w:t>regulatory exemptions</w:t>
      </w:r>
      <w:r w:rsidR="007602EB">
        <w:t xml:space="preserve"> </w:t>
      </w:r>
      <w:r w:rsidR="00EB1F81">
        <w:t>that appl</w:t>
      </w:r>
      <w:r w:rsidR="00C869A0">
        <w:t>y</w:t>
      </w:r>
      <w:r w:rsidR="00EB1F81">
        <w:t xml:space="preserve"> to an</w:t>
      </w:r>
      <w:r w:rsidR="00EB1F81" w:rsidRPr="00E62EC2">
        <w:t xml:space="preserve"> </w:t>
      </w:r>
      <w:r w:rsidR="001866AB" w:rsidRPr="00E62EC2">
        <w:t>employee share scheme (ESS)</w:t>
      </w:r>
      <w:r w:rsidR="00CF4822">
        <w:t xml:space="preserve"> to </w:t>
      </w:r>
      <w:r>
        <w:t xml:space="preserve">help </w:t>
      </w:r>
      <w:r w:rsidR="007602EB" w:rsidRPr="00DB06CF">
        <w:rPr>
          <w:rFonts w:cs="Helvetica"/>
          <w:szCs w:val="22"/>
        </w:rPr>
        <w:t xml:space="preserve">reduce the time and cost burden for </w:t>
      </w:r>
      <w:r>
        <w:rPr>
          <w:rFonts w:cs="Helvetica"/>
          <w:szCs w:val="22"/>
        </w:rPr>
        <w:t xml:space="preserve">small </w:t>
      </w:r>
      <w:r w:rsidR="007602EB" w:rsidRPr="00DB06CF">
        <w:rPr>
          <w:rFonts w:cs="Helvetica"/>
          <w:szCs w:val="22"/>
        </w:rPr>
        <w:t>businesses</w:t>
      </w:r>
      <w:r w:rsidR="007602EB" w:rsidRPr="001F4225">
        <w:rPr>
          <w:rFonts w:cs="Helvetica"/>
          <w:szCs w:val="22"/>
        </w:rPr>
        <w:t xml:space="preserve"> offering ESS</w:t>
      </w:r>
      <w:r w:rsidR="00EB1F81">
        <w:rPr>
          <w:rFonts w:cs="Helvetica"/>
          <w:szCs w:val="22"/>
        </w:rPr>
        <w:t>s</w:t>
      </w:r>
      <w:r w:rsidR="007602EB" w:rsidRPr="001F4225">
        <w:rPr>
          <w:rFonts w:cs="Helvetica"/>
          <w:szCs w:val="22"/>
        </w:rPr>
        <w:t xml:space="preserve"> and to help </w:t>
      </w:r>
      <w:r w:rsidR="007602EB" w:rsidRPr="00DB06CF">
        <w:rPr>
          <w:rFonts w:cs="Helvetica"/>
          <w:szCs w:val="22"/>
        </w:rPr>
        <w:t xml:space="preserve">them </w:t>
      </w:r>
      <w:r>
        <w:rPr>
          <w:rFonts w:cs="Helvetica"/>
          <w:szCs w:val="22"/>
        </w:rPr>
        <w:t xml:space="preserve">attract, </w:t>
      </w:r>
      <w:r w:rsidR="007602EB" w:rsidRPr="00DB06CF">
        <w:rPr>
          <w:rFonts w:cs="Helvetica"/>
          <w:szCs w:val="22"/>
        </w:rPr>
        <w:t>retain and motivate empl</w:t>
      </w:r>
      <w:r>
        <w:rPr>
          <w:rFonts w:cs="Helvetica"/>
          <w:szCs w:val="22"/>
        </w:rPr>
        <w:t>oyees to grow their business</w:t>
      </w:r>
      <w:r w:rsidR="0050677B">
        <w:rPr>
          <w:rFonts w:cs="Helvetica"/>
          <w:szCs w:val="22"/>
        </w:rPr>
        <w:t>.</w:t>
      </w:r>
      <w:r w:rsidR="00CF4822" w:rsidRPr="001F4225">
        <w:rPr>
          <w:rStyle w:val="FootnoteReference"/>
        </w:rPr>
        <w:footnoteReference w:id="2"/>
      </w:r>
    </w:p>
    <w:p w14:paraId="453AA733" w14:textId="79D6F7A6" w:rsidR="00112501" w:rsidRPr="001F4225" w:rsidRDefault="00112501" w:rsidP="001866AB">
      <w:pPr>
        <w:rPr>
          <w:szCs w:val="22"/>
        </w:rPr>
      </w:pPr>
      <w:r w:rsidRPr="00DB06CF">
        <w:rPr>
          <w:rFonts w:cs="Helvetica"/>
          <w:szCs w:val="22"/>
        </w:rPr>
        <w:t xml:space="preserve">The current regulatory framework </w:t>
      </w:r>
      <w:r w:rsidR="00C234FD">
        <w:rPr>
          <w:rFonts w:cs="Helvetica"/>
          <w:szCs w:val="22"/>
        </w:rPr>
        <w:t>for ESS offers is complex and fragmented, which may</w:t>
      </w:r>
      <w:r w:rsidRPr="00DB06CF">
        <w:rPr>
          <w:rFonts w:cs="Helvetica"/>
          <w:szCs w:val="22"/>
        </w:rPr>
        <w:t xml:space="preserve"> discou</w:t>
      </w:r>
      <w:r w:rsidR="00C234FD">
        <w:rPr>
          <w:rFonts w:cs="Helvetica"/>
          <w:szCs w:val="22"/>
        </w:rPr>
        <w:t>rage businesses – particularly</w:t>
      </w:r>
      <w:r w:rsidRPr="00DB06CF">
        <w:rPr>
          <w:rFonts w:cs="Helvetica"/>
          <w:szCs w:val="22"/>
        </w:rPr>
        <w:t xml:space="preserve"> small businesses – from offering </w:t>
      </w:r>
      <w:r w:rsidR="00EB1F81">
        <w:rPr>
          <w:rFonts w:cs="Helvetica"/>
          <w:szCs w:val="22"/>
        </w:rPr>
        <w:t xml:space="preserve">an </w:t>
      </w:r>
      <w:r w:rsidR="00087741" w:rsidRPr="001F4225">
        <w:rPr>
          <w:rFonts w:cs="Helvetica"/>
          <w:szCs w:val="22"/>
        </w:rPr>
        <w:t>ESS</w:t>
      </w:r>
      <w:r w:rsidRPr="00DB06CF">
        <w:rPr>
          <w:rFonts w:cs="Helvetica"/>
          <w:szCs w:val="22"/>
        </w:rPr>
        <w:t>.</w:t>
      </w:r>
      <w:r w:rsidR="00E06A3C" w:rsidRPr="00DB06CF">
        <w:rPr>
          <w:rFonts w:cs="Helvetica"/>
          <w:szCs w:val="22"/>
        </w:rPr>
        <w:t xml:space="preserve"> </w:t>
      </w:r>
      <w:r w:rsidRPr="00DB06CF">
        <w:rPr>
          <w:rFonts w:cs="Helvetica"/>
          <w:szCs w:val="22"/>
        </w:rPr>
        <w:t xml:space="preserve">The Government proposes to </w:t>
      </w:r>
      <w:r w:rsidR="00087741" w:rsidRPr="001F4225">
        <w:rPr>
          <w:rFonts w:cs="Helvetica"/>
          <w:szCs w:val="22"/>
        </w:rPr>
        <w:t>make ESSs more attractive and user-friendly by</w:t>
      </w:r>
      <w:r w:rsidR="00C234FD">
        <w:rPr>
          <w:rFonts w:cs="Helvetica"/>
          <w:szCs w:val="22"/>
        </w:rPr>
        <w:t>:</w:t>
      </w:r>
    </w:p>
    <w:p w14:paraId="3434A63E" w14:textId="66CBE257" w:rsidR="001866AB" w:rsidRPr="00302773" w:rsidRDefault="00A5666B" w:rsidP="001866AB">
      <w:pPr>
        <w:pStyle w:val="Bullet"/>
        <w:numPr>
          <w:ilvl w:val="0"/>
          <w:numId w:val="15"/>
        </w:numPr>
        <w:spacing w:after="200" w:line="276" w:lineRule="auto"/>
      </w:pPr>
      <w:r>
        <w:t xml:space="preserve">consolidating and </w:t>
      </w:r>
      <w:r w:rsidR="00150997">
        <w:t xml:space="preserve">simplifying </w:t>
      </w:r>
      <w:r w:rsidR="006006B3">
        <w:t xml:space="preserve">the statutory </w:t>
      </w:r>
      <w:r w:rsidR="00780465">
        <w:t>exemptions</w:t>
      </w:r>
      <w:r w:rsidR="006006B3">
        <w:t xml:space="preserve"> and ASIC class order relief</w:t>
      </w:r>
      <w:r w:rsidR="00150997">
        <w:t xml:space="preserve"> from disclosure</w:t>
      </w:r>
      <w:r w:rsidR="001866AB" w:rsidRPr="00302773">
        <w:t xml:space="preserve">, licensing, </w:t>
      </w:r>
      <w:r w:rsidR="00264B9A">
        <w:t xml:space="preserve">hawking, </w:t>
      </w:r>
      <w:r w:rsidR="001866AB" w:rsidRPr="00302773">
        <w:t xml:space="preserve">advertising and on-sale obligations </w:t>
      </w:r>
      <w:r w:rsidR="008E1B9C">
        <w:t>in</w:t>
      </w:r>
      <w:r w:rsidR="001866AB" w:rsidRPr="00302773">
        <w:t xml:space="preserve"> the </w:t>
      </w:r>
      <w:r w:rsidR="001866AB" w:rsidRPr="00302773">
        <w:rPr>
          <w:i/>
        </w:rPr>
        <w:t>Corporations Act 2001</w:t>
      </w:r>
      <w:r w:rsidR="001866AB" w:rsidRPr="004C19B6">
        <w:t xml:space="preserve"> (Corporations Act)</w:t>
      </w:r>
      <w:r w:rsidR="00DE43C0">
        <w:t>;</w:t>
      </w:r>
    </w:p>
    <w:p w14:paraId="62DA664C" w14:textId="54B5BF6E" w:rsidR="001866AB" w:rsidRPr="00302773" w:rsidRDefault="00E06A3C" w:rsidP="001866AB">
      <w:pPr>
        <w:pStyle w:val="Bullet"/>
        <w:numPr>
          <w:ilvl w:val="0"/>
          <w:numId w:val="15"/>
        </w:numPr>
        <w:spacing w:after="200" w:line="276" w:lineRule="auto"/>
      </w:pPr>
      <w:r w:rsidRPr="00302773">
        <w:t>increas</w:t>
      </w:r>
      <w:r>
        <w:t>ing</w:t>
      </w:r>
      <w:r w:rsidRPr="00302773">
        <w:t xml:space="preserve"> </w:t>
      </w:r>
      <w:r w:rsidR="001866AB" w:rsidRPr="00302773">
        <w:t xml:space="preserve">the value limit of financial products that </w:t>
      </w:r>
      <w:r w:rsidR="00DF1093">
        <w:t xml:space="preserve">an unlisted company </w:t>
      </w:r>
      <w:r w:rsidR="001866AB" w:rsidRPr="00302773">
        <w:t>can offer in a 12</w:t>
      </w:r>
      <w:r w:rsidR="002E4436">
        <w:t> </w:t>
      </w:r>
      <w:r w:rsidR="001866AB" w:rsidRPr="00302773">
        <w:t>month period from $5,000 per employee to $10,000 per employee;</w:t>
      </w:r>
    </w:p>
    <w:p w14:paraId="536019ED" w14:textId="022456C5" w:rsidR="004800AB" w:rsidRDefault="001866AB" w:rsidP="00DB06CF">
      <w:pPr>
        <w:pStyle w:val="Bullet"/>
        <w:numPr>
          <w:ilvl w:val="0"/>
          <w:numId w:val="15"/>
        </w:numPr>
        <w:spacing w:after="200" w:line="276" w:lineRule="auto"/>
      </w:pPr>
      <w:r w:rsidRPr="00302773">
        <w:t>expand</w:t>
      </w:r>
      <w:r w:rsidR="00E06A3C">
        <w:t>ing</w:t>
      </w:r>
      <w:r w:rsidR="005647B7">
        <w:t xml:space="preserve"> relief for unlisted companies </w:t>
      </w:r>
      <w:r w:rsidR="00A7082F">
        <w:t>offering</w:t>
      </w:r>
      <w:r w:rsidRPr="00302773">
        <w:t xml:space="preserve"> </w:t>
      </w:r>
      <w:r w:rsidR="00EB1F81">
        <w:rPr>
          <w:rFonts w:cs="Helvetica"/>
          <w:szCs w:val="22"/>
        </w:rPr>
        <w:t xml:space="preserve">an </w:t>
      </w:r>
      <w:r w:rsidR="004800AB">
        <w:t>ESS</w:t>
      </w:r>
      <w:r w:rsidRPr="00302773">
        <w:t xml:space="preserve"> to </w:t>
      </w:r>
      <w:r w:rsidR="004800AB">
        <w:t>cover</w:t>
      </w:r>
      <w:r w:rsidRPr="00302773">
        <w:t xml:space="preserve"> contribution plans, where an employee can make a monetary contribution to acquire financial products; and</w:t>
      </w:r>
    </w:p>
    <w:p w14:paraId="39ACF088" w14:textId="1166ECAD" w:rsidR="004800AB" w:rsidRDefault="001866AB" w:rsidP="00DB06CF">
      <w:pPr>
        <w:pStyle w:val="Bullet"/>
        <w:numPr>
          <w:ilvl w:val="0"/>
          <w:numId w:val="15"/>
        </w:numPr>
        <w:spacing w:after="200" w:line="276" w:lineRule="auto"/>
      </w:pPr>
      <w:proofErr w:type="gramStart"/>
      <w:r w:rsidRPr="00302773">
        <w:t>allow</w:t>
      </w:r>
      <w:r w:rsidR="00E06A3C">
        <w:t>ing</w:t>
      </w:r>
      <w:proofErr w:type="gramEnd"/>
      <w:r w:rsidRPr="00302773">
        <w:t xml:space="preserve"> small </w:t>
      </w:r>
      <w:r>
        <w:t>companies</w:t>
      </w:r>
      <w:r w:rsidRPr="00302773">
        <w:t xml:space="preserve"> </w:t>
      </w:r>
      <w:r w:rsidR="00DF1093">
        <w:t xml:space="preserve">that cannot come within these exemptions </w:t>
      </w:r>
      <w:r w:rsidRPr="00302773">
        <w:t xml:space="preserve">to offer </w:t>
      </w:r>
      <w:r w:rsidR="00EB1F81">
        <w:rPr>
          <w:rFonts w:cs="Helvetica"/>
          <w:szCs w:val="22"/>
        </w:rPr>
        <w:t xml:space="preserve">an </w:t>
      </w:r>
      <w:r w:rsidR="004800AB">
        <w:t>ESS</w:t>
      </w:r>
      <w:r w:rsidR="0038658D">
        <w:t xml:space="preserve"> </w:t>
      </w:r>
      <w:r w:rsidR="008D5513">
        <w:t xml:space="preserve">under a disclosure document lodged with ASIC, </w:t>
      </w:r>
      <w:r w:rsidRPr="00302773">
        <w:t>without publicly disclosing commercially sensitive financial information</w:t>
      </w:r>
      <w:r w:rsidR="004800AB">
        <w:t>,</w:t>
      </w:r>
      <w:r w:rsidRPr="00302773">
        <w:t xml:space="preserve"> unless they are otherwise obligated to do</w:t>
      </w:r>
      <w:r w:rsidR="008F75DB">
        <w:t xml:space="preserve"> so</w:t>
      </w:r>
      <w:r w:rsidRPr="00302773">
        <w:t>.</w:t>
      </w:r>
      <w:r w:rsidR="00D352E2">
        <w:t xml:space="preserve"> </w:t>
      </w:r>
    </w:p>
    <w:p w14:paraId="070C89F9" w14:textId="7CFB27C1" w:rsidR="00D352E2" w:rsidRDefault="00E06A3C" w:rsidP="004800AB">
      <w:pPr>
        <w:pStyle w:val="Bullet"/>
        <w:numPr>
          <w:ilvl w:val="0"/>
          <w:numId w:val="0"/>
        </w:numPr>
        <w:spacing w:after="200" w:line="276" w:lineRule="auto"/>
      </w:pPr>
      <w:r w:rsidRPr="00DB06CF">
        <w:t>These changes build on improvements the Government has</w:t>
      </w:r>
      <w:r w:rsidR="00AF40B3">
        <w:t xml:space="preserve"> previously</w:t>
      </w:r>
      <w:r w:rsidRPr="00DB06CF">
        <w:t xml:space="preserve"> made to make </w:t>
      </w:r>
      <w:r>
        <w:t>ESS</w:t>
      </w:r>
      <w:r w:rsidR="00EB1F81">
        <w:t>s</w:t>
      </w:r>
      <w:r>
        <w:t xml:space="preserve"> </w:t>
      </w:r>
      <w:r w:rsidRPr="00DB06CF">
        <w:t>more attractive</w:t>
      </w:r>
      <w:r w:rsidR="004800AB">
        <w:t xml:space="preserve"> to small business</w:t>
      </w:r>
      <w:r w:rsidRPr="00DB06CF">
        <w:t xml:space="preserve">, including improving the taxation treatment of </w:t>
      </w:r>
      <w:r w:rsidR="004800AB">
        <w:t>ESS</w:t>
      </w:r>
      <w:r w:rsidR="00EB1F81">
        <w:t>s</w:t>
      </w:r>
      <w:r w:rsidRPr="00DB06CF">
        <w:t xml:space="preserve"> and </w:t>
      </w:r>
      <w:r w:rsidR="00262F1B">
        <w:t>allowing</w:t>
      </w:r>
      <w:r w:rsidRPr="00DB06CF">
        <w:t xml:space="preserve"> disclosure documents </w:t>
      </w:r>
      <w:r w:rsidR="00262F1B">
        <w:t>lodged with ASIC by ‘start-up</w:t>
      </w:r>
      <w:r w:rsidR="00AF40B3">
        <w:t>s</w:t>
      </w:r>
      <w:r w:rsidR="00262F1B">
        <w:t>’</w:t>
      </w:r>
      <w:r w:rsidR="006912CE">
        <w:t xml:space="preserve"> </w:t>
      </w:r>
      <w:r w:rsidR="00AF40B3">
        <w:t>making</w:t>
      </w:r>
      <w:r w:rsidR="00262F1B">
        <w:t xml:space="preserve"> ESS</w:t>
      </w:r>
      <w:r w:rsidR="006912CE">
        <w:t xml:space="preserve"> offers</w:t>
      </w:r>
      <w:r w:rsidR="00262F1B">
        <w:t xml:space="preserve"> to be kept confidential</w:t>
      </w:r>
      <w:r w:rsidRPr="00DB06CF">
        <w:t>.</w:t>
      </w:r>
    </w:p>
    <w:p w14:paraId="5BABC9DF" w14:textId="4A310E06" w:rsidR="00D352E2" w:rsidRDefault="000B2389" w:rsidP="00DB06CF">
      <w:r w:rsidRPr="00B82783">
        <w:t>Th</w:t>
      </w:r>
      <w:r w:rsidR="00112501" w:rsidRPr="00B82783">
        <w:t xml:space="preserve">is paper outlines and seeks feedback on the Government’s </w:t>
      </w:r>
      <w:r w:rsidR="00262F1B" w:rsidRPr="00B82783">
        <w:t xml:space="preserve">new </w:t>
      </w:r>
      <w:r w:rsidR="00112501" w:rsidRPr="00B82783">
        <w:t>proposals</w:t>
      </w:r>
      <w:r w:rsidR="00262F1B" w:rsidRPr="00B82783">
        <w:t xml:space="preserve"> to</w:t>
      </w:r>
      <w:r w:rsidR="004800AB">
        <w:t xml:space="preserve"> further assist small business seeking to offer </w:t>
      </w:r>
      <w:r w:rsidR="00EB1F81">
        <w:rPr>
          <w:rFonts w:cs="Helvetica"/>
          <w:szCs w:val="22"/>
        </w:rPr>
        <w:t xml:space="preserve">an </w:t>
      </w:r>
      <w:r w:rsidR="004800AB">
        <w:t>ESS</w:t>
      </w:r>
      <w:r w:rsidR="00262F1B" w:rsidRPr="00B82783">
        <w:t xml:space="preserve"> to their employees.</w:t>
      </w:r>
      <w:r w:rsidR="00112501" w:rsidRPr="00B82783">
        <w:t xml:space="preserve"> </w:t>
      </w:r>
    </w:p>
    <w:p w14:paraId="3E899F01" w14:textId="4805F4E1" w:rsidR="000E0B74" w:rsidRPr="00B82783" w:rsidRDefault="000E0B74" w:rsidP="00B82783">
      <w:pPr>
        <w:pStyle w:val="Heading2"/>
      </w:pPr>
      <w:bookmarkStart w:id="9" w:name="_Toc306887373"/>
      <w:bookmarkStart w:id="10" w:name="_Toc432064637"/>
      <w:bookmarkStart w:id="11" w:name="_Toc4493761"/>
      <w:bookmarkEnd w:id="7"/>
      <w:bookmarkEnd w:id="8"/>
      <w:r w:rsidRPr="00DB06CF">
        <w:rPr>
          <w:rStyle w:val="Heading2Char"/>
          <w:iCs/>
        </w:rPr>
        <w:lastRenderedPageBreak/>
        <w:t>F</w:t>
      </w:r>
      <w:r w:rsidR="001866AB" w:rsidRPr="00DB06CF">
        <w:rPr>
          <w:rStyle w:val="Heading2Char"/>
          <w:iCs/>
        </w:rPr>
        <w:t xml:space="preserve">eatures of </w:t>
      </w:r>
      <w:bookmarkEnd w:id="9"/>
      <w:bookmarkEnd w:id="10"/>
      <w:r w:rsidR="00EB1F81">
        <w:rPr>
          <w:rStyle w:val="Heading2Char"/>
          <w:iCs/>
        </w:rPr>
        <w:t xml:space="preserve">an </w:t>
      </w:r>
      <w:r w:rsidR="001F4225" w:rsidRPr="00B82783">
        <w:rPr>
          <w:rStyle w:val="Heading2Char"/>
          <w:iCs/>
        </w:rPr>
        <w:t>ESS</w:t>
      </w:r>
      <w:bookmarkEnd w:id="11"/>
    </w:p>
    <w:p w14:paraId="44BE67DF" w14:textId="69768557" w:rsidR="006A1F23" w:rsidRDefault="00FE4BF0" w:rsidP="001866AB">
      <w:r>
        <w:t>ESS</w:t>
      </w:r>
      <w:r w:rsidR="00C869A0">
        <w:t>s</w:t>
      </w:r>
      <w:r w:rsidR="001866AB">
        <w:t xml:space="preserve"> </w:t>
      </w:r>
      <w:r>
        <w:t>involve</w:t>
      </w:r>
      <w:r w:rsidR="00994322">
        <w:t xml:space="preserve"> </w:t>
      </w:r>
      <w:r>
        <w:t>an employer offering</w:t>
      </w:r>
      <w:r w:rsidR="001866AB">
        <w:t xml:space="preserve"> shares, options or other financial products</w:t>
      </w:r>
      <w:r>
        <w:t xml:space="preserve"> </w:t>
      </w:r>
      <w:r w:rsidR="007B284D">
        <w:t>to employees</w:t>
      </w:r>
      <w:r w:rsidR="001866AB">
        <w:t xml:space="preserve"> as part of</w:t>
      </w:r>
      <w:r w:rsidR="007B284D">
        <w:t xml:space="preserve"> an</w:t>
      </w:r>
      <w:r w:rsidR="001866AB">
        <w:t xml:space="preserve"> employee’s remuneration</w:t>
      </w:r>
      <w:r w:rsidR="007B284D">
        <w:t xml:space="preserve"> package</w:t>
      </w:r>
      <w:r w:rsidR="001866AB">
        <w:t xml:space="preserve">. </w:t>
      </w:r>
      <w:r>
        <w:t>ESS</w:t>
      </w:r>
      <w:r w:rsidR="00C869A0">
        <w:t>s</w:t>
      </w:r>
      <w:r w:rsidR="006A1F23">
        <w:t xml:space="preserve"> may be offered to employees as a bonus or as part of the employee’s remuneration, with or without a financial contribution from the employee.</w:t>
      </w:r>
    </w:p>
    <w:p w14:paraId="2EF71954" w14:textId="69465B17" w:rsidR="001866AB" w:rsidRDefault="00620E43" w:rsidP="001866AB">
      <w:pPr>
        <w:rPr>
          <w:b/>
        </w:rPr>
      </w:pPr>
      <w:r>
        <w:t>ESS</w:t>
      </w:r>
      <w:r w:rsidR="00EB1F81">
        <w:t>s</w:t>
      </w:r>
      <w:r w:rsidR="001866AB">
        <w:t xml:space="preserve"> are used by companies of all sizes</w:t>
      </w:r>
      <w:r w:rsidR="00B42173">
        <w:t xml:space="preserve">, including listed and </w:t>
      </w:r>
      <w:r w:rsidR="00687C90">
        <w:t xml:space="preserve">unlisted </w:t>
      </w:r>
      <w:r w:rsidR="005347B2">
        <w:t>companies</w:t>
      </w:r>
      <w:r w:rsidR="00B42173">
        <w:t>, across a range of industries</w:t>
      </w:r>
      <w:r w:rsidR="00687C90">
        <w:t>.</w:t>
      </w:r>
      <w:r w:rsidR="001866AB">
        <w:t xml:space="preserve"> A 2017 report</w:t>
      </w:r>
      <w:r w:rsidR="001866AB">
        <w:rPr>
          <w:rStyle w:val="FootnoteReference"/>
        </w:rPr>
        <w:footnoteReference w:id="3"/>
      </w:r>
      <w:r w:rsidR="001866AB">
        <w:t xml:space="preserve"> by the Department of Industry, Innovation and Sc</w:t>
      </w:r>
      <w:r>
        <w:t xml:space="preserve">ience (DIIS) found that the use of </w:t>
      </w:r>
      <w:r w:rsidR="00C869A0">
        <w:t xml:space="preserve">an </w:t>
      </w:r>
      <w:r>
        <w:t>ESS is most common in large and</w:t>
      </w:r>
      <w:r w:rsidR="001866AB">
        <w:t xml:space="preserve"> mature mining, professional, scientific and technical services and finance and insurance services companies. However, the ESS </w:t>
      </w:r>
      <w:r w:rsidR="00937EA0">
        <w:t xml:space="preserve">component </w:t>
      </w:r>
      <w:r w:rsidR="001866AB">
        <w:t xml:space="preserve">of total </w:t>
      </w:r>
      <w:r w:rsidR="00937EA0">
        <w:t xml:space="preserve">remuneration </w:t>
      </w:r>
      <w:r w:rsidR="001866AB">
        <w:t xml:space="preserve">is on average 4.5 times higher for small and medium enterprises than for large companies.  </w:t>
      </w:r>
    </w:p>
    <w:p w14:paraId="58936CA1" w14:textId="2D886D1D" w:rsidR="001866AB" w:rsidRPr="00DB06CF" w:rsidRDefault="001866AB" w:rsidP="00DB06CF">
      <w:pPr>
        <w:pStyle w:val="Heading2"/>
      </w:pPr>
      <w:bookmarkStart w:id="12" w:name="_Toc532763884"/>
      <w:bookmarkStart w:id="13" w:name="_Toc4493762"/>
      <w:r w:rsidRPr="00DB06CF">
        <w:t xml:space="preserve">Benefits of </w:t>
      </w:r>
      <w:bookmarkEnd w:id="12"/>
      <w:r w:rsidR="00EB1F81">
        <w:t xml:space="preserve">an </w:t>
      </w:r>
      <w:r w:rsidR="009A724E">
        <w:t>ESS</w:t>
      </w:r>
      <w:bookmarkEnd w:id="13"/>
    </w:p>
    <w:p w14:paraId="71AB878F" w14:textId="59FFEB54" w:rsidR="009270A9" w:rsidRDefault="009270A9" w:rsidP="009270A9">
      <w:r>
        <w:t>ESS</w:t>
      </w:r>
      <w:r w:rsidR="00C869A0">
        <w:t>s</w:t>
      </w:r>
      <w:r>
        <w:t xml:space="preserve"> are generally designed to encourage the retention of staff by aligning the interests of employees with the interests of their employer and enabling an employee to share in their employer’s growth and success. In some instances, </w:t>
      </w:r>
      <w:r w:rsidR="00EB1F81">
        <w:rPr>
          <w:rFonts w:cs="Helvetica"/>
          <w:szCs w:val="22"/>
        </w:rPr>
        <w:t xml:space="preserve">an </w:t>
      </w:r>
      <w:r>
        <w:t>ESS provide</w:t>
      </w:r>
      <w:r w:rsidR="00EB1F81">
        <w:t>s</w:t>
      </w:r>
      <w:r>
        <w:t xml:space="preserve"> tax advantages for employees as well as economic benefits associated with ownership interests in a company.</w:t>
      </w:r>
    </w:p>
    <w:p w14:paraId="6A3CF067" w14:textId="49F3D07B" w:rsidR="001866AB" w:rsidRDefault="009270A9" w:rsidP="001866AB">
      <w:r>
        <w:t>ESS</w:t>
      </w:r>
      <w:r w:rsidR="00C869A0">
        <w:t>s</w:t>
      </w:r>
      <w:r>
        <w:t xml:space="preserve"> may also provide an effective mechanism for small business to attract employees, particularly when a business is in the start-up phase and is cash poor. </w:t>
      </w:r>
      <w:r w:rsidR="00620E43">
        <w:t>The</w:t>
      </w:r>
      <w:r w:rsidR="00C801E7">
        <w:t xml:space="preserve"> 2017 report by</w:t>
      </w:r>
      <w:r w:rsidR="001866AB">
        <w:t xml:space="preserve"> </w:t>
      </w:r>
      <w:r w:rsidR="00620E43">
        <w:t>DIIS</w:t>
      </w:r>
      <w:r w:rsidR="001866AB">
        <w:t xml:space="preserve"> identified that </w:t>
      </w:r>
      <w:r w:rsidR="001866AB" w:rsidRPr="008D6D43">
        <w:t>compared with their non-ESS counterparts</w:t>
      </w:r>
      <w:r w:rsidR="001866AB">
        <w:t>, companies with an ESS have:</w:t>
      </w:r>
    </w:p>
    <w:p w14:paraId="3EDF8B77" w14:textId="77777777" w:rsidR="001866AB" w:rsidRDefault="001866AB" w:rsidP="001866AB">
      <w:pPr>
        <w:pStyle w:val="Bullet"/>
        <w:numPr>
          <w:ilvl w:val="0"/>
          <w:numId w:val="15"/>
        </w:numPr>
        <w:spacing w:after="200" w:line="276" w:lineRule="auto"/>
      </w:pPr>
      <w:r w:rsidRPr="008D6D43">
        <w:t>lower employee churn</w:t>
      </w:r>
      <w:r>
        <w:t>;</w:t>
      </w:r>
    </w:p>
    <w:p w14:paraId="20F62B39" w14:textId="77777777" w:rsidR="001866AB" w:rsidRDefault="001866AB" w:rsidP="001866AB">
      <w:pPr>
        <w:pStyle w:val="Bullet"/>
        <w:numPr>
          <w:ilvl w:val="0"/>
          <w:numId w:val="15"/>
        </w:numPr>
        <w:spacing w:after="200" w:line="276" w:lineRule="auto"/>
      </w:pPr>
      <w:r w:rsidRPr="008D6D43">
        <w:t>higher sales</w:t>
      </w:r>
      <w:r>
        <w:t>;</w:t>
      </w:r>
    </w:p>
    <w:p w14:paraId="1EE4FF21" w14:textId="35A233BA" w:rsidR="001866AB" w:rsidRDefault="001866AB" w:rsidP="001866AB">
      <w:pPr>
        <w:pStyle w:val="Bullet"/>
        <w:numPr>
          <w:ilvl w:val="0"/>
          <w:numId w:val="15"/>
        </w:numPr>
        <w:spacing w:after="200" w:line="276" w:lineRule="auto"/>
      </w:pPr>
      <w:r w:rsidRPr="008D6D43">
        <w:t>higher labour productivity</w:t>
      </w:r>
      <w:r>
        <w:t>;</w:t>
      </w:r>
      <w:r w:rsidRPr="008D6D43">
        <w:t xml:space="preserve"> </w:t>
      </w:r>
      <w:r w:rsidR="00620E43">
        <w:t>and</w:t>
      </w:r>
    </w:p>
    <w:p w14:paraId="521C4B29" w14:textId="756BD9B1" w:rsidR="001866AB" w:rsidRDefault="001866AB" w:rsidP="001866AB">
      <w:pPr>
        <w:pStyle w:val="Bullet"/>
        <w:numPr>
          <w:ilvl w:val="0"/>
          <w:numId w:val="15"/>
        </w:numPr>
        <w:spacing w:after="200" w:line="276" w:lineRule="auto"/>
      </w:pPr>
      <w:proofErr w:type="gramStart"/>
      <w:r w:rsidRPr="008D6D43">
        <w:t>higher</w:t>
      </w:r>
      <w:proofErr w:type="gramEnd"/>
      <w:r w:rsidRPr="008D6D43">
        <w:t xml:space="preserve"> value added growth.</w:t>
      </w:r>
    </w:p>
    <w:p w14:paraId="227C4A40" w14:textId="63A8B196" w:rsidR="001866AB" w:rsidRDefault="001866AB" w:rsidP="001866AB">
      <w:r>
        <w:t xml:space="preserve">The same </w:t>
      </w:r>
      <w:r w:rsidR="00147F6B">
        <w:t xml:space="preserve">report </w:t>
      </w:r>
      <w:r>
        <w:t>also found that the positive relationship between having an ESS and company performance is greatest for small to medium enterprises.</w:t>
      </w:r>
    </w:p>
    <w:p w14:paraId="15393160" w14:textId="47216536" w:rsidR="001866AB" w:rsidRDefault="001866AB" w:rsidP="001866AB">
      <w:r>
        <w:t>Indicating t</w:t>
      </w:r>
      <w:r w:rsidR="009270A9">
        <w:t xml:space="preserve">he potential significance of </w:t>
      </w:r>
      <w:r>
        <w:t>ESS</w:t>
      </w:r>
      <w:r w:rsidR="00EB1F81">
        <w:t>s</w:t>
      </w:r>
      <w:r>
        <w:t xml:space="preserve"> as a form of remuneration preferred by small companies, small companies that use ESS</w:t>
      </w:r>
      <w:r w:rsidR="00EB1F81">
        <w:t>s</w:t>
      </w:r>
      <w:r>
        <w:t xml:space="preserve"> have a significantly higher proportion of their total </w:t>
      </w:r>
      <w:r w:rsidR="009270A9">
        <w:t>wages and salaries being paid</w:t>
      </w:r>
      <w:r>
        <w:t xml:space="preserve"> </w:t>
      </w:r>
      <w:r w:rsidR="006A6A79">
        <w:t>through</w:t>
      </w:r>
      <w:r>
        <w:t xml:space="preserve"> ESS</w:t>
      </w:r>
      <w:r w:rsidR="006A6A79">
        <w:t xml:space="preserve"> offers</w:t>
      </w:r>
      <w:r>
        <w:t xml:space="preserve"> compared with larger companies</w:t>
      </w:r>
      <w:r w:rsidR="00680AEB">
        <w:t xml:space="preserve"> (not</w:t>
      </w:r>
      <w:r w:rsidR="00264B9A">
        <w:t>e</w:t>
      </w:r>
      <w:r w:rsidR="00680AEB">
        <w:t xml:space="preserve"> that employment legislation does not authorise shares to be used as a component of</w:t>
      </w:r>
      <w:r w:rsidR="00264B9A">
        <w:t xml:space="preserve"> payment of</w:t>
      </w:r>
      <w:r w:rsidR="00680AEB">
        <w:t xml:space="preserve"> the minimum rate)</w:t>
      </w:r>
      <w:r w:rsidR="008E68C7">
        <w:t>.</w:t>
      </w:r>
      <w:r w:rsidR="00EC71F1">
        <w:t xml:space="preserve"> </w:t>
      </w:r>
      <w:r>
        <w:t>For every dollar spent on wages and salaries, small companies using an ESS paid approximately 25 to 53 cents to employees in the form of share based payments, depend</w:t>
      </w:r>
      <w:r w:rsidR="00EC71F1">
        <w:t xml:space="preserve">ing on the age of the company. </w:t>
      </w:r>
      <w:r>
        <w:t xml:space="preserve">Large </w:t>
      </w:r>
      <w:r w:rsidR="00C214F7">
        <w:t xml:space="preserve">companies </w:t>
      </w:r>
      <w:r>
        <w:t>paid 3 cents in the form of share based payments for every dollar of wages and salaries paid.</w:t>
      </w:r>
      <w:r w:rsidR="00A35548">
        <w:rPr>
          <w:rStyle w:val="FootnoteReference"/>
        </w:rPr>
        <w:footnoteReference w:id="4"/>
      </w:r>
      <w:r>
        <w:t xml:space="preserve">  </w:t>
      </w:r>
    </w:p>
    <w:p w14:paraId="596ABF81" w14:textId="29D74DC8" w:rsidR="001866AB" w:rsidRDefault="00AB1E9D" w:rsidP="001866AB">
      <w:r>
        <w:t xml:space="preserve">Parliament has recognised the benefits of ESSs. The Explanatory Memorandum to the Corporations Legislation Amendment (Simpler Regulatory System) Bill 2007 states that, “Based on the benefits </w:t>
      </w:r>
      <w:r>
        <w:lastRenderedPageBreak/>
        <w:t>employee share schemes may bring to wider economy the Australian Government has a general policy supporting the use of employee share schemes”</w:t>
      </w:r>
      <w:r>
        <w:rPr>
          <w:rStyle w:val="FootnoteReference"/>
        </w:rPr>
        <w:footnoteReference w:id="5"/>
      </w:r>
      <w:r>
        <w:t>.</w:t>
      </w:r>
    </w:p>
    <w:p w14:paraId="6F41A9E7" w14:textId="1EB247C8" w:rsidR="001866AB" w:rsidRPr="00B82783" w:rsidRDefault="000850CA" w:rsidP="00DB06CF">
      <w:pPr>
        <w:pStyle w:val="Heading1"/>
      </w:pPr>
      <w:bookmarkStart w:id="14" w:name="_Toc532763885"/>
      <w:bookmarkStart w:id="15" w:name="_Toc4493763"/>
      <w:r w:rsidRPr="00B82783">
        <w:t xml:space="preserve">Current </w:t>
      </w:r>
      <w:r w:rsidR="001866AB" w:rsidRPr="00B82783">
        <w:t xml:space="preserve">Regulatory </w:t>
      </w:r>
      <w:r w:rsidR="009E4474" w:rsidRPr="00B82783">
        <w:t>F</w:t>
      </w:r>
      <w:r w:rsidR="001866AB" w:rsidRPr="00B82783">
        <w:t>ramework</w:t>
      </w:r>
      <w:bookmarkEnd w:id="14"/>
      <w:bookmarkEnd w:id="15"/>
    </w:p>
    <w:p w14:paraId="121865FD" w14:textId="426142A8" w:rsidR="009B47E3" w:rsidRDefault="001866AB" w:rsidP="001866AB">
      <w:r>
        <w:t xml:space="preserve">An ESS </w:t>
      </w:r>
      <w:r w:rsidR="009737FE">
        <w:t>involves</w:t>
      </w:r>
      <w:r>
        <w:t xml:space="preserve"> an offer of </w:t>
      </w:r>
      <w:r w:rsidR="009737FE">
        <w:t xml:space="preserve">shares, options or other financial products </w:t>
      </w:r>
      <w:r w:rsidR="009B47E3">
        <w:t>(collectively</w:t>
      </w:r>
      <w:r w:rsidR="00CF1E1C">
        <w:t xml:space="preserve"> referred to as</w:t>
      </w:r>
      <w:r w:rsidR="009B47E3">
        <w:t xml:space="preserve"> ‘financial products’) </w:t>
      </w:r>
      <w:r w:rsidR="00E56C04">
        <w:t>by an employer to an employee</w:t>
      </w:r>
      <w:r>
        <w:t xml:space="preserve">. </w:t>
      </w:r>
      <w:r w:rsidR="00F65E21">
        <w:t xml:space="preserve">The Corporations Act regulates offers to </w:t>
      </w:r>
      <w:r w:rsidR="008155A0">
        <w:t xml:space="preserve">all </w:t>
      </w:r>
      <w:r w:rsidR="00F65E21">
        <w:t>investors, including employees</w:t>
      </w:r>
      <w:r w:rsidR="008155A0">
        <w:t xml:space="preserve"> who may acquire financial products in their employer under an ESS</w:t>
      </w:r>
      <w:r w:rsidR="00F65E21">
        <w:t xml:space="preserve">.  </w:t>
      </w:r>
    </w:p>
    <w:p w14:paraId="451FEE4A" w14:textId="6E0750E0" w:rsidR="001866AB" w:rsidRDefault="001866AB" w:rsidP="001866AB">
      <w:r>
        <w:t>Consequently, offer</w:t>
      </w:r>
      <w:r w:rsidR="008155A0">
        <w:t>s</w:t>
      </w:r>
      <w:r>
        <w:t xml:space="preserve"> </w:t>
      </w:r>
      <w:r w:rsidR="00F65E21">
        <w:t>under</w:t>
      </w:r>
      <w:r>
        <w:t xml:space="preserve"> an ESS </w:t>
      </w:r>
      <w:r w:rsidR="00F65E21">
        <w:t xml:space="preserve">will </w:t>
      </w:r>
      <w:r>
        <w:t xml:space="preserve">trigger a range of obligations under the </w:t>
      </w:r>
      <w:r w:rsidRPr="007262A6">
        <w:t>Corporations Act</w:t>
      </w:r>
      <w:r w:rsidR="009B47E3">
        <w:t>, including requirements</w:t>
      </w:r>
      <w:r>
        <w:t xml:space="preserve"> in relation</w:t>
      </w:r>
      <w:r w:rsidRPr="004920FD">
        <w:t xml:space="preserve"> to disclosure, </w:t>
      </w:r>
      <w:r w:rsidR="00F65E21">
        <w:t xml:space="preserve">financial services </w:t>
      </w:r>
      <w:r w:rsidRPr="004920FD">
        <w:t>licen</w:t>
      </w:r>
      <w:r>
        <w:t>s</w:t>
      </w:r>
      <w:r w:rsidRPr="004920FD">
        <w:t xml:space="preserve">ing, </w:t>
      </w:r>
      <w:r>
        <w:t>advertising</w:t>
      </w:r>
      <w:r w:rsidR="004D1A72">
        <w:t>,</w:t>
      </w:r>
      <w:r w:rsidR="009B47E3">
        <w:t xml:space="preserve"> hawking,</w:t>
      </w:r>
      <w:r w:rsidR="004D1A72">
        <w:t xml:space="preserve"> managed investment scheme</w:t>
      </w:r>
      <w:r w:rsidR="009B47E3">
        <w:t>s</w:t>
      </w:r>
      <w:r w:rsidR="004D1A72">
        <w:t xml:space="preserve"> and the on-sale </w:t>
      </w:r>
      <w:r>
        <w:t>o</w:t>
      </w:r>
      <w:r w:rsidRPr="004920FD">
        <w:t>f</w:t>
      </w:r>
      <w:r w:rsidR="008155A0">
        <w:t xml:space="preserve"> </w:t>
      </w:r>
      <w:r w:rsidR="004D1A72">
        <w:t>financial products</w:t>
      </w:r>
      <w:r>
        <w:t>.</w:t>
      </w:r>
    </w:p>
    <w:p w14:paraId="6CF1C57A" w14:textId="0480CB1A" w:rsidR="001866AB" w:rsidRPr="00DB06CF" w:rsidRDefault="001866AB" w:rsidP="00DB06CF">
      <w:pPr>
        <w:pStyle w:val="Heading3"/>
      </w:pPr>
      <w:bookmarkStart w:id="16" w:name="_Toc4493764"/>
      <w:r w:rsidRPr="00DB06CF">
        <w:t>Disclosure</w:t>
      </w:r>
      <w:bookmarkEnd w:id="16"/>
      <w:r w:rsidR="007D6341" w:rsidRPr="00DB06CF">
        <w:t xml:space="preserve"> </w:t>
      </w:r>
    </w:p>
    <w:p w14:paraId="66E6C3B8" w14:textId="59E4D270" w:rsidR="00B92A86" w:rsidRDefault="00A13047" w:rsidP="00B92A86">
      <w:r>
        <w:t>D</w:t>
      </w:r>
      <w:r w:rsidR="00B92A86">
        <w:t xml:space="preserve">isclosure for offers of financial products to employees is regulated by Chapter 6D (for shares and options) or Chapter 7 (for other financial products, such as performance rights relating to shares or options) of the Corporations Act. </w:t>
      </w:r>
      <w:r w:rsidR="00B92A86" w:rsidRPr="006C7418">
        <w:t xml:space="preserve">The </w:t>
      </w:r>
      <w:r w:rsidR="00B92A86">
        <w:t>disclosure obligations</w:t>
      </w:r>
      <w:r w:rsidR="00B92A86" w:rsidRPr="006C7418">
        <w:t xml:space="preserve"> are intended to</w:t>
      </w:r>
      <w:r w:rsidR="00B92A86">
        <w:t xml:space="preserve"> provide a safeguard for investors, including employees, to ensure they have adequate protections and sufficient information to make an informed investment decision.    </w:t>
      </w:r>
    </w:p>
    <w:p w14:paraId="63AE7274" w14:textId="385DDE0D" w:rsidR="00F944E9" w:rsidRDefault="00E12498" w:rsidP="001866AB">
      <w:r>
        <w:t>U</w:t>
      </w:r>
      <w:r w:rsidR="005347B2">
        <w:t xml:space="preserve">nless a relevant </w:t>
      </w:r>
      <w:r>
        <w:t xml:space="preserve">statutory </w:t>
      </w:r>
      <w:r w:rsidR="005347B2">
        <w:t xml:space="preserve">exemption or ASIC relief applies, </w:t>
      </w:r>
      <w:r>
        <w:t xml:space="preserve">the Corporations Act requires </w:t>
      </w:r>
      <w:r w:rsidR="001866AB">
        <w:t xml:space="preserve">a </w:t>
      </w:r>
      <w:r>
        <w:t xml:space="preserve">company </w:t>
      </w:r>
      <w:r w:rsidR="001866AB">
        <w:t>making an offer of securities</w:t>
      </w:r>
      <w:r>
        <w:t xml:space="preserve"> or other financial products</w:t>
      </w:r>
      <w:r w:rsidR="001866AB">
        <w:t xml:space="preserve"> </w:t>
      </w:r>
      <w:r w:rsidR="0092473C">
        <w:t xml:space="preserve">under an ESS </w:t>
      </w:r>
      <w:r w:rsidR="001866AB">
        <w:t>to provide a disclosure document</w:t>
      </w:r>
      <w:r>
        <w:t xml:space="preserve"> </w:t>
      </w:r>
      <w:r w:rsidR="001866AB">
        <w:t>– such as a prospectus</w:t>
      </w:r>
      <w:r w:rsidR="00F944E9">
        <w:t xml:space="preserve"> or</w:t>
      </w:r>
      <w:r w:rsidR="001866AB">
        <w:t xml:space="preserve"> offer information statement </w:t>
      </w:r>
      <w:r w:rsidR="00F944E9">
        <w:t xml:space="preserve">(for offers of securities) </w:t>
      </w:r>
      <w:r w:rsidR="001866AB">
        <w:t>or a Product Disclosure Statement (PDS)</w:t>
      </w:r>
      <w:r w:rsidR="00F944E9">
        <w:t xml:space="preserve"> (for offers of other financial products)</w:t>
      </w:r>
      <w:r w:rsidRPr="00E12498">
        <w:t xml:space="preserve"> </w:t>
      </w:r>
      <w:r>
        <w:t xml:space="preserve">– to </w:t>
      </w:r>
      <w:r w:rsidR="0092473C">
        <w:t>employee</w:t>
      </w:r>
      <w:r>
        <w:t>s.</w:t>
      </w:r>
      <w:r w:rsidR="00423B30">
        <w:t xml:space="preserve"> </w:t>
      </w:r>
    </w:p>
    <w:p w14:paraId="1231D4BB" w14:textId="4ED38AA1" w:rsidR="001866AB" w:rsidRDefault="00423B30" w:rsidP="001866AB">
      <w:r>
        <w:t xml:space="preserve">Prospectuses, offer information statements and </w:t>
      </w:r>
      <w:r w:rsidR="008E68C7">
        <w:t xml:space="preserve">some </w:t>
      </w:r>
      <w:r>
        <w:t xml:space="preserve">PDSs must be lodged with ASIC and are </w:t>
      </w:r>
      <w:r w:rsidR="00F171E0">
        <w:t xml:space="preserve">made </w:t>
      </w:r>
      <w:r>
        <w:t>available to the public</w:t>
      </w:r>
      <w:r w:rsidR="00F944E9">
        <w:t xml:space="preserve"> (with a limited exemption for certain ESS offers, discussed below)</w:t>
      </w:r>
      <w:r>
        <w:t>.</w:t>
      </w:r>
    </w:p>
    <w:p w14:paraId="1CBAC3B5" w14:textId="24AF38B5" w:rsidR="001866AB" w:rsidRDefault="001866AB" w:rsidP="001866AB">
      <w:r w:rsidRPr="00530B5C">
        <w:t>A prospectus</w:t>
      </w:r>
      <w:r>
        <w:t xml:space="preserve"> </w:t>
      </w:r>
      <w:r w:rsidR="00E222B2">
        <w:t>contains the highest level of disclosure for investors and must include “</w:t>
      </w:r>
      <w:r w:rsidRPr="00311869">
        <w:t xml:space="preserve">all </w:t>
      </w:r>
      <w:r>
        <w:t xml:space="preserve">of </w:t>
      </w:r>
      <w:r w:rsidRPr="00311869">
        <w:t xml:space="preserve">the information </w:t>
      </w:r>
      <w:r w:rsidR="00E55D18">
        <w:t>investors reasonably require”</w:t>
      </w:r>
      <w:r w:rsidR="00E55D18" w:rsidRPr="00311869">
        <w:t xml:space="preserve"> </w:t>
      </w:r>
      <w:r w:rsidRPr="00311869">
        <w:t xml:space="preserve">to make an informed decision about investing in </w:t>
      </w:r>
      <w:r>
        <w:t>a</w:t>
      </w:r>
      <w:r w:rsidRPr="00311869">
        <w:t xml:space="preserve"> company.</w:t>
      </w:r>
      <w:r>
        <w:t xml:space="preserve"> The prospectus must </w:t>
      </w:r>
      <w:r w:rsidR="009444A1">
        <w:t xml:space="preserve">disclose </w:t>
      </w:r>
      <w:r w:rsidRPr="00311869">
        <w:t xml:space="preserve">information </w:t>
      </w:r>
      <w:r>
        <w:t>about the company’s</w:t>
      </w:r>
      <w:r w:rsidRPr="00311869">
        <w:t xml:space="preserve"> operations</w:t>
      </w:r>
      <w:r w:rsidR="00520ACA">
        <w:t xml:space="preserve">, </w:t>
      </w:r>
      <w:r w:rsidRPr="00311869">
        <w:t>financial position</w:t>
      </w:r>
      <w:r w:rsidR="002471DF">
        <w:t xml:space="preserve"> (including audited financial statements</w:t>
      </w:r>
      <w:r w:rsidR="00520ACA">
        <w:t xml:space="preserve"> in most circumstances</w:t>
      </w:r>
      <w:r w:rsidR="002471DF">
        <w:t>)</w:t>
      </w:r>
      <w:r w:rsidR="00B2015A">
        <w:t>,</w:t>
      </w:r>
      <w:r w:rsidRPr="00311869">
        <w:t xml:space="preserve"> </w:t>
      </w:r>
      <w:proofErr w:type="gramStart"/>
      <w:r>
        <w:t>t</w:t>
      </w:r>
      <w:r w:rsidRPr="00311869">
        <w:t>he</w:t>
      </w:r>
      <w:proofErr w:type="gramEnd"/>
      <w:r w:rsidRPr="00311869">
        <w:t xml:space="preserve"> features of the securities being offered</w:t>
      </w:r>
      <w:r w:rsidR="00520ACA">
        <w:t>, prospects</w:t>
      </w:r>
      <w:r w:rsidR="00B2015A">
        <w:t xml:space="preserve"> and</w:t>
      </w:r>
      <w:r w:rsidR="009444A1">
        <w:t xml:space="preserve"> the risks associated with the offer</w:t>
      </w:r>
      <w:r w:rsidR="00B843E9">
        <w:t>.</w:t>
      </w:r>
    </w:p>
    <w:p w14:paraId="43F2ABF4" w14:textId="711F39D7" w:rsidR="001866AB" w:rsidRDefault="001866AB" w:rsidP="001866AB">
      <w:r>
        <w:t xml:space="preserve">An offer information statement is a short form disclosure document that </w:t>
      </w:r>
      <w:r w:rsidR="00520ACA">
        <w:t xml:space="preserve">must include recent audited financial statements and </w:t>
      </w:r>
      <w:r>
        <w:t xml:space="preserve">may be used </w:t>
      </w:r>
      <w:r w:rsidR="000431B1">
        <w:t xml:space="preserve">if the amount of capital being raised by the company </w:t>
      </w:r>
      <w:r w:rsidR="00724496">
        <w:t xml:space="preserve">is </w:t>
      </w:r>
      <w:r>
        <w:t>$10 million</w:t>
      </w:r>
      <w:r w:rsidR="000431B1">
        <w:t xml:space="preserve"> or less (when added to all previous amounts </w:t>
      </w:r>
      <w:proofErr w:type="gramStart"/>
      <w:r w:rsidR="000431B1">
        <w:t>raised</w:t>
      </w:r>
      <w:proofErr w:type="gramEnd"/>
      <w:r w:rsidR="000431B1">
        <w:t>).</w:t>
      </w:r>
    </w:p>
    <w:p w14:paraId="686247AE" w14:textId="5C8707B1" w:rsidR="001866AB" w:rsidRDefault="001866AB" w:rsidP="00C8248F">
      <w:r>
        <w:t xml:space="preserve">A PDS is a </w:t>
      </w:r>
      <w:r w:rsidR="00C8248F">
        <w:t xml:space="preserve">disclosure document </w:t>
      </w:r>
      <w:r>
        <w:t xml:space="preserve">setting out </w:t>
      </w:r>
      <w:r w:rsidR="009444A1">
        <w:t xml:space="preserve">key </w:t>
      </w:r>
      <w:r>
        <w:t xml:space="preserve">information about the </w:t>
      </w:r>
      <w:r w:rsidR="009444A1">
        <w:t>company making the offer</w:t>
      </w:r>
      <w:r>
        <w:t xml:space="preserve">, the benefits and risks of </w:t>
      </w:r>
      <w:r w:rsidR="00B843E9">
        <w:t>acquiring the financial product</w:t>
      </w:r>
      <w:r>
        <w:t xml:space="preserve">, any costs related to the </w:t>
      </w:r>
      <w:r w:rsidR="00B843E9">
        <w:t>offer</w:t>
      </w:r>
      <w:r w:rsidR="00501FFE">
        <w:t xml:space="preserve">. It </w:t>
      </w:r>
      <w:r>
        <w:t xml:space="preserve">must </w:t>
      </w:r>
      <w:r w:rsidR="00B843E9">
        <w:t xml:space="preserve">also </w:t>
      </w:r>
      <w:r>
        <w:t xml:space="preserve">include information about dispute resolution </w:t>
      </w:r>
      <w:r w:rsidR="00B843E9">
        <w:t xml:space="preserve">procedures </w:t>
      </w:r>
      <w:r>
        <w:t>and the cooling-off period applicable to the purchase</w:t>
      </w:r>
      <w:r w:rsidR="00B843E9">
        <w:t>.</w:t>
      </w:r>
    </w:p>
    <w:p w14:paraId="1D64DB6B" w14:textId="77777777" w:rsidR="001866AB" w:rsidRPr="00B82783" w:rsidRDefault="001866AB" w:rsidP="00DB06CF">
      <w:pPr>
        <w:pStyle w:val="Heading3"/>
      </w:pPr>
      <w:bookmarkStart w:id="17" w:name="_Toc4493765"/>
      <w:r w:rsidRPr="00B82783">
        <w:t>Licensing</w:t>
      </w:r>
      <w:bookmarkEnd w:id="17"/>
      <w:r w:rsidRPr="00B82783">
        <w:t xml:space="preserve"> </w:t>
      </w:r>
    </w:p>
    <w:p w14:paraId="47F6ADBA" w14:textId="53FE2B25" w:rsidR="00C869A0" w:rsidRDefault="001866AB" w:rsidP="000A6B1E">
      <w:r>
        <w:t xml:space="preserve">The Corporations Act </w:t>
      </w:r>
      <w:r w:rsidR="003F3984">
        <w:t>requires a person to</w:t>
      </w:r>
      <w:r w:rsidR="00D161B3">
        <w:t xml:space="preserve"> hold an Australian Financial Service (AFS) licence to provide financial services. Companies </w:t>
      </w:r>
      <w:r w:rsidR="000E58CE">
        <w:t xml:space="preserve">and their agents involved in </w:t>
      </w:r>
      <w:r w:rsidR="00D161B3">
        <w:t xml:space="preserve">offering </w:t>
      </w:r>
      <w:r w:rsidR="000E58CE">
        <w:t xml:space="preserve">and operating </w:t>
      </w:r>
      <w:r w:rsidR="00D161B3">
        <w:t>ESSs</w:t>
      </w:r>
      <w:r>
        <w:t xml:space="preserve"> </w:t>
      </w:r>
      <w:r w:rsidR="00D161B3">
        <w:t xml:space="preserve">may </w:t>
      </w:r>
      <w:r w:rsidR="007A223D">
        <w:t>be required to hold</w:t>
      </w:r>
      <w:r w:rsidR="00D161B3">
        <w:t xml:space="preserve"> an AFS licence for the</w:t>
      </w:r>
      <w:r w:rsidR="00C869A0">
        <w:t xml:space="preserve"> following activities</w:t>
      </w:r>
      <w:r w:rsidR="005E1FA5">
        <w:t xml:space="preserve"> in connection with an ESS</w:t>
      </w:r>
      <w:r w:rsidR="00C869A0">
        <w:t>:</w:t>
      </w:r>
    </w:p>
    <w:p w14:paraId="3D3B9939" w14:textId="5DDA0FDA" w:rsidR="00C40CD6" w:rsidRDefault="00D161B3" w:rsidP="00C869A0">
      <w:pPr>
        <w:pStyle w:val="Bullet"/>
      </w:pPr>
      <w:r>
        <w:t>provision of general advice</w:t>
      </w:r>
      <w:r w:rsidR="00C40CD6">
        <w:t xml:space="preserve">, for example, </w:t>
      </w:r>
      <w:r>
        <w:t>when circulating and explaining the terms and conditions of the ESS</w:t>
      </w:r>
      <w:r w:rsidR="00C40CD6">
        <w:t>;</w:t>
      </w:r>
    </w:p>
    <w:p w14:paraId="35472E13" w14:textId="119F01C7" w:rsidR="00C40CD6" w:rsidRPr="00C869A0" w:rsidRDefault="000E58CE" w:rsidP="00C40CD6">
      <w:pPr>
        <w:pStyle w:val="Bullet"/>
        <w:rPr>
          <w:rFonts w:eastAsiaTheme="minorHAnsi"/>
        </w:rPr>
      </w:pPr>
      <w:r>
        <w:lastRenderedPageBreak/>
        <w:t>providing custodial or other services in connection with an ESS</w:t>
      </w:r>
      <w:r w:rsidR="00C40CD6">
        <w:t xml:space="preserve">, for example, </w:t>
      </w:r>
      <w:r w:rsidR="00C40CD6">
        <w:rPr>
          <w:rFonts w:eastAsiaTheme="minorHAnsi"/>
        </w:rPr>
        <w:t xml:space="preserve">where a company </w:t>
      </w:r>
      <w:r w:rsidR="00C40CD6" w:rsidRPr="00C869A0">
        <w:rPr>
          <w:rFonts w:eastAsiaTheme="minorHAnsi"/>
        </w:rPr>
        <w:t>use</w:t>
      </w:r>
      <w:r w:rsidR="00C40CD6">
        <w:rPr>
          <w:rFonts w:eastAsiaTheme="minorHAnsi"/>
        </w:rPr>
        <w:t>s</w:t>
      </w:r>
      <w:r w:rsidR="00C40CD6" w:rsidRPr="00C869A0">
        <w:rPr>
          <w:rFonts w:eastAsiaTheme="minorHAnsi"/>
        </w:rPr>
        <w:t xml:space="preserve"> a professional trustee to manage </w:t>
      </w:r>
      <w:r w:rsidR="00C40CD6">
        <w:rPr>
          <w:rFonts w:eastAsiaTheme="minorHAnsi"/>
        </w:rPr>
        <w:t>their ESS;</w:t>
      </w:r>
      <w:r w:rsidR="00C40CD6" w:rsidRPr="00C869A0">
        <w:rPr>
          <w:rFonts w:eastAsiaTheme="minorHAnsi"/>
        </w:rPr>
        <w:t xml:space="preserve"> </w:t>
      </w:r>
    </w:p>
    <w:p w14:paraId="37EF5EDB" w14:textId="1C13F222" w:rsidR="00C869A0" w:rsidRDefault="00C40CD6" w:rsidP="00C40CD6">
      <w:pPr>
        <w:pStyle w:val="Bullet"/>
      </w:pPr>
      <w:r>
        <w:t xml:space="preserve">dealing in financial products, for example, where an ESS involves the purchase or sale of financial products by a person appointed by the company </w:t>
      </w:r>
    </w:p>
    <w:p w14:paraId="2A50E47A" w14:textId="2D81BE0A" w:rsidR="001866AB" w:rsidRPr="00562B25" w:rsidRDefault="001866AB" w:rsidP="000A6B1E">
      <w:pPr>
        <w:pStyle w:val="Heading3"/>
      </w:pPr>
      <w:bookmarkStart w:id="18" w:name="_Toc4493766"/>
      <w:r w:rsidRPr="00562B25">
        <w:t>Advertising</w:t>
      </w:r>
      <w:r>
        <w:t xml:space="preserve"> and hawking</w:t>
      </w:r>
      <w:bookmarkEnd w:id="18"/>
    </w:p>
    <w:p w14:paraId="1ED3801A" w14:textId="3E5DE37E" w:rsidR="00662770" w:rsidRDefault="001866AB" w:rsidP="004A337D">
      <w:r>
        <w:t xml:space="preserve">The Corporations Act </w:t>
      </w:r>
      <w:r w:rsidR="006A4022">
        <w:t xml:space="preserve">also contains </w:t>
      </w:r>
      <w:r>
        <w:t>restrict</w:t>
      </w:r>
      <w:r w:rsidR="006A4022">
        <w:t>ions on</w:t>
      </w:r>
      <w:r>
        <w:t xml:space="preserve"> the advertising that can be undertaken </w:t>
      </w:r>
      <w:r w:rsidR="007A223D">
        <w:t xml:space="preserve">for </w:t>
      </w:r>
      <w:r w:rsidR="00CD1E88">
        <w:t xml:space="preserve">an </w:t>
      </w:r>
      <w:r>
        <w:t xml:space="preserve">offer </w:t>
      </w:r>
      <w:r w:rsidR="00CD1E88">
        <w:t xml:space="preserve">or intended offer </w:t>
      </w:r>
      <w:r>
        <w:t xml:space="preserve">of </w:t>
      </w:r>
      <w:r w:rsidR="007A223D">
        <w:t>financial products</w:t>
      </w:r>
      <w:r w:rsidR="006A4022">
        <w:t>, which apply t</w:t>
      </w:r>
      <w:r w:rsidR="001765E8">
        <w:t>o</w:t>
      </w:r>
      <w:r w:rsidR="006A4022">
        <w:t xml:space="preserve"> ESS offers</w:t>
      </w:r>
      <w:r w:rsidR="007A223D">
        <w:t>.</w:t>
      </w:r>
      <w:r w:rsidR="004B0E68">
        <w:rPr>
          <w:rStyle w:val="FootnoteReference"/>
        </w:rPr>
        <w:footnoteReference w:id="6"/>
      </w:r>
      <w:r w:rsidR="003F3984">
        <w:t xml:space="preserve"> T</w:t>
      </w:r>
      <w:r w:rsidR="006A4022">
        <w:t>he prohibition on ‘hawking’</w:t>
      </w:r>
      <w:r w:rsidR="001765E8">
        <w:t xml:space="preserve"> – the issue or sale of financial products arising out of unsolicited contact with investors – will also apply</w:t>
      </w:r>
      <w:r w:rsidR="00C72569">
        <w:rPr>
          <w:rStyle w:val="FootnoteReference"/>
        </w:rPr>
        <w:footnoteReference w:id="7"/>
      </w:r>
      <w:r w:rsidR="001765E8">
        <w:t xml:space="preserve">. </w:t>
      </w:r>
      <w:r w:rsidR="00662770">
        <w:t xml:space="preserve">The hawking provisions apply to prohibit unsolicited meetings or telephone calls reasonably held or made in connection with ESS offers. </w:t>
      </w:r>
    </w:p>
    <w:p w14:paraId="26BC284B" w14:textId="77777777" w:rsidR="00464A0F" w:rsidRDefault="00CD1E88" w:rsidP="00DB06CF">
      <w:pPr>
        <w:pStyle w:val="Heading3"/>
      </w:pPr>
      <w:bookmarkStart w:id="19" w:name="_Toc4493767"/>
      <w:r w:rsidRPr="00B82783">
        <w:t>Other</w:t>
      </w:r>
      <w:r>
        <w:t xml:space="preserve"> requirements</w:t>
      </w:r>
      <w:bookmarkEnd w:id="19"/>
    </w:p>
    <w:p w14:paraId="13960C3E" w14:textId="25C76EDE" w:rsidR="00464A0F" w:rsidRDefault="00EB1F81" w:rsidP="00DB06CF">
      <w:pPr>
        <w:rPr>
          <w:rFonts w:eastAsiaTheme="minorHAnsi"/>
        </w:rPr>
      </w:pPr>
      <w:r>
        <w:t xml:space="preserve">An </w:t>
      </w:r>
      <w:r w:rsidR="003F3984">
        <w:t>ESS</w:t>
      </w:r>
      <w:r w:rsidR="00464A0F">
        <w:t xml:space="preserve"> may also trigger the</w:t>
      </w:r>
      <w:r w:rsidR="00464A0F" w:rsidRPr="00464A0F">
        <w:rPr>
          <w:rFonts w:eastAsiaTheme="minorHAnsi"/>
        </w:rPr>
        <w:t xml:space="preserve"> provisions in Pt 5C </w:t>
      </w:r>
      <w:r w:rsidR="00464A0F">
        <w:rPr>
          <w:rFonts w:eastAsiaTheme="minorHAnsi"/>
        </w:rPr>
        <w:t xml:space="preserve">of the Corporations Act </w:t>
      </w:r>
      <w:r w:rsidR="00464A0F" w:rsidRPr="00464A0F">
        <w:rPr>
          <w:rFonts w:eastAsiaTheme="minorHAnsi"/>
        </w:rPr>
        <w:t>requiring the registration</w:t>
      </w:r>
      <w:r w:rsidR="00464A0F">
        <w:rPr>
          <w:rFonts w:eastAsiaTheme="minorHAnsi"/>
        </w:rPr>
        <w:t xml:space="preserve"> of a managed investment scheme</w:t>
      </w:r>
      <w:r w:rsidR="00464A0F" w:rsidRPr="00464A0F">
        <w:rPr>
          <w:rFonts w:eastAsiaTheme="minorHAnsi"/>
        </w:rPr>
        <w:t xml:space="preserve"> </w:t>
      </w:r>
      <w:r w:rsidR="00464A0F">
        <w:rPr>
          <w:rFonts w:eastAsiaTheme="minorHAnsi"/>
        </w:rPr>
        <w:t>(for example</w:t>
      </w:r>
      <w:r w:rsidR="00464A0F" w:rsidRPr="00464A0F">
        <w:rPr>
          <w:rFonts w:eastAsiaTheme="minorHAnsi"/>
        </w:rPr>
        <w:t xml:space="preserve">, </w:t>
      </w:r>
      <w:r w:rsidR="00464A0F" w:rsidRPr="00DB06CF">
        <w:rPr>
          <w:rFonts w:eastAsiaTheme="minorHAnsi"/>
        </w:rPr>
        <w:t>as a result of the pooling or use of contributions in a common enterprise under a contribution plan used in an employee incentive scheme in relation to listed bodies only)</w:t>
      </w:r>
      <w:r w:rsidR="007D3AD4">
        <w:rPr>
          <w:rFonts w:ascii="Arial" w:eastAsiaTheme="minorHAnsi" w:hAnsi="Arial" w:cs="Arial"/>
          <w:color w:val="000000"/>
          <w:sz w:val="18"/>
          <w:szCs w:val="18"/>
        </w:rPr>
        <w:t xml:space="preserve">. The </w:t>
      </w:r>
      <w:r w:rsidR="00464A0F" w:rsidRPr="00464A0F">
        <w:rPr>
          <w:rFonts w:eastAsiaTheme="minorHAnsi"/>
        </w:rPr>
        <w:t xml:space="preserve">restrictions in s707 and 1012C </w:t>
      </w:r>
      <w:r w:rsidR="007D3AD4">
        <w:rPr>
          <w:rFonts w:eastAsiaTheme="minorHAnsi"/>
        </w:rPr>
        <w:t xml:space="preserve">of the Corporations Act </w:t>
      </w:r>
      <w:r w:rsidR="00464A0F" w:rsidRPr="00464A0F">
        <w:rPr>
          <w:rFonts w:eastAsiaTheme="minorHAnsi"/>
        </w:rPr>
        <w:t>on the on-sale of financial products issued without disclosure within 12 months of their issue</w:t>
      </w:r>
      <w:r w:rsidR="007D3AD4">
        <w:rPr>
          <w:rFonts w:eastAsiaTheme="minorHAnsi"/>
        </w:rPr>
        <w:t xml:space="preserve"> may also apply.</w:t>
      </w:r>
    </w:p>
    <w:p w14:paraId="1E48E27B" w14:textId="5A322E1A" w:rsidR="001866AB" w:rsidRPr="00B82783" w:rsidRDefault="00B93589" w:rsidP="00DB06CF">
      <w:pPr>
        <w:pStyle w:val="Heading2"/>
      </w:pPr>
      <w:bookmarkStart w:id="20" w:name="_Toc4493768"/>
      <w:bookmarkStart w:id="21" w:name="_Toc532763886"/>
      <w:r>
        <w:t>S</w:t>
      </w:r>
      <w:r w:rsidR="00CD59DD" w:rsidRPr="00B82783">
        <w:t>tatutory exemptions</w:t>
      </w:r>
      <w:bookmarkEnd w:id="20"/>
      <w:r w:rsidR="00CD59DD" w:rsidRPr="00B82783">
        <w:t xml:space="preserve"> </w:t>
      </w:r>
      <w:bookmarkEnd w:id="21"/>
    </w:p>
    <w:p w14:paraId="6D2540F4" w14:textId="11DFB5F5" w:rsidR="001866AB" w:rsidRDefault="001866AB" w:rsidP="001866AB">
      <w:r>
        <w:t xml:space="preserve">There are a number of </w:t>
      </w:r>
      <w:r w:rsidR="00CD59DD">
        <w:t xml:space="preserve">limited statutory </w:t>
      </w:r>
      <w:r>
        <w:t>exemptions from</w:t>
      </w:r>
      <w:r w:rsidR="001B709E">
        <w:t xml:space="preserve"> disclosure, </w:t>
      </w:r>
      <w:r w:rsidR="005B2FD8">
        <w:t>licensing</w:t>
      </w:r>
      <w:r w:rsidR="001B709E">
        <w:t xml:space="preserve"> and hawking provisions in</w:t>
      </w:r>
      <w:r>
        <w:t xml:space="preserve"> the Corporations Act that a company can </w:t>
      </w:r>
      <w:r w:rsidR="001B709E">
        <w:t xml:space="preserve">currently </w:t>
      </w:r>
      <w:r w:rsidR="00E642F4">
        <w:t>utilise when offering</w:t>
      </w:r>
      <w:r>
        <w:t xml:space="preserve"> </w:t>
      </w:r>
      <w:r w:rsidR="00EB1F81">
        <w:rPr>
          <w:rFonts w:cs="Helvetica"/>
          <w:szCs w:val="22"/>
        </w:rPr>
        <w:t xml:space="preserve">an </w:t>
      </w:r>
      <w:r>
        <w:t xml:space="preserve">ESS. </w:t>
      </w:r>
    </w:p>
    <w:p w14:paraId="10288B99" w14:textId="40AB50AF" w:rsidR="00CB0462" w:rsidRDefault="00CB0462" w:rsidP="00DB06CF">
      <w:pPr>
        <w:pStyle w:val="Heading3"/>
      </w:pPr>
      <w:bookmarkStart w:id="22" w:name="_Toc4493769"/>
      <w:r>
        <w:t>Disclosure exemptions</w:t>
      </w:r>
      <w:bookmarkEnd w:id="22"/>
    </w:p>
    <w:p w14:paraId="4939BA4A" w14:textId="3931558E" w:rsidR="001866AB" w:rsidRDefault="00687C90" w:rsidP="001866AB">
      <w:r>
        <w:t xml:space="preserve">The requirement to provide a disclosure document </w:t>
      </w:r>
      <w:r w:rsidR="008E246F">
        <w:t>for an</w:t>
      </w:r>
      <w:r>
        <w:t xml:space="preserve"> offer of </w:t>
      </w:r>
      <w:r w:rsidR="008E246F">
        <w:t>financial products</w:t>
      </w:r>
      <w:r>
        <w:t xml:space="preserve"> can be a significant cost on the company making the offer. </w:t>
      </w:r>
      <w:r w:rsidR="001866AB">
        <w:t xml:space="preserve">Statutory exemptions exist from the disclosure requirements </w:t>
      </w:r>
      <w:r w:rsidR="002660EE">
        <w:t xml:space="preserve">in certain circumstances, relevantly </w:t>
      </w:r>
      <w:r w:rsidR="001866AB">
        <w:t>where:</w:t>
      </w:r>
    </w:p>
    <w:p w14:paraId="46AC8711" w14:textId="69A64D11" w:rsidR="001866AB" w:rsidRDefault="001866AB" w:rsidP="001866AB">
      <w:pPr>
        <w:pStyle w:val="Bullet"/>
        <w:numPr>
          <w:ilvl w:val="0"/>
          <w:numId w:val="15"/>
        </w:numPr>
        <w:spacing w:after="200" w:line="276" w:lineRule="auto"/>
      </w:pPr>
      <w:r>
        <w:t xml:space="preserve">the offer is a ‘small scale offer’ – companies are able to offer </w:t>
      </w:r>
      <w:r w:rsidR="00E916ED">
        <w:t>financial products</w:t>
      </w:r>
      <w:r>
        <w:t xml:space="preserve"> without a disclosure document where</w:t>
      </w:r>
      <w:r w:rsidR="00E64538">
        <w:t xml:space="preserve"> the number of people to whom the products are issued under the offer (and all offers in the last 12 months) is 20 people or less and the amount being raised under the offer (and all offers in the last 12 months) is $2 million or less</w:t>
      </w:r>
      <w:r>
        <w:rPr>
          <w:rStyle w:val="FootnoteReference"/>
        </w:rPr>
        <w:footnoteReference w:id="8"/>
      </w:r>
      <w:r>
        <w:t xml:space="preserve">; and </w:t>
      </w:r>
    </w:p>
    <w:p w14:paraId="63C67D60" w14:textId="2B72C704" w:rsidR="001866AB" w:rsidRDefault="001866AB" w:rsidP="001866AB">
      <w:pPr>
        <w:pStyle w:val="Bullet"/>
        <w:numPr>
          <w:ilvl w:val="0"/>
          <w:numId w:val="15"/>
        </w:numPr>
        <w:spacing w:after="200" w:line="276" w:lineRule="auto"/>
      </w:pPr>
      <w:proofErr w:type="gramStart"/>
      <w:r>
        <w:t>the</w:t>
      </w:r>
      <w:proofErr w:type="gramEnd"/>
      <w:r>
        <w:t xml:space="preserve"> investor is a ‘senior manager’, that is, a person who is </w:t>
      </w:r>
      <w:r w:rsidRPr="00433F50">
        <w:t>concerned with, or takes</w:t>
      </w:r>
      <w:r>
        <w:t xml:space="preserve"> part in, the management of the company regardless of the person’s designation </w:t>
      </w:r>
      <w:r w:rsidR="00E916ED">
        <w:t>and their spouse, parent, child or siblings</w:t>
      </w:r>
      <w:r>
        <w:rPr>
          <w:rStyle w:val="FootnoteReference"/>
        </w:rPr>
        <w:footnoteReference w:id="9"/>
      </w:r>
      <w:r w:rsidR="00EC71F1">
        <w:t xml:space="preserve">. </w:t>
      </w:r>
      <w:r>
        <w:t xml:space="preserve">There is no restriction on the </w:t>
      </w:r>
      <w:r w:rsidR="00687C90">
        <w:t xml:space="preserve">number or </w:t>
      </w:r>
      <w:r>
        <w:t xml:space="preserve">value of the securities that may be offered.  </w:t>
      </w:r>
    </w:p>
    <w:p w14:paraId="4B89C64C" w14:textId="14FE9025" w:rsidR="002660EE" w:rsidRDefault="00CF0256" w:rsidP="001866AB">
      <w:r>
        <w:t>These exemptions recognise that w</w:t>
      </w:r>
      <w:r w:rsidR="002660EE" w:rsidRPr="00621FF6">
        <w:t xml:space="preserve">hen an offer is private or personal the person being offered </w:t>
      </w:r>
      <w:r w:rsidR="00E916ED">
        <w:t>the financial products</w:t>
      </w:r>
      <w:r w:rsidR="002660EE" w:rsidRPr="00621FF6">
        <w:t xml:space="preserve"> is likely to know about the company </w:t>
      </w:r>
      <w:r w:rsidR="00E916ED">
        <w:t>already</w:t>
      </w:r>
      <w:r w:rsidR="002660EE" w:rsidRPr="00621FF6">
        <w:t xml:space="preserve"> and can make inquiries directly and </w:t>
      </w:r>
      <w:r w:rsidR="002660EE" w:rsidRPr="00621FF6">
        <w:lastRenderedPageBreak/>
        <w:t>personally of the company</w:t>
      </w:r>
      <w:r w:rsidR="002660EE" w:rsidRPr="00621FF6" w:rsidDel="0051326B">
        <w:t xml:space="preserve">. </w:t>
      </w:r>
      <w:r w:rsidR="002660EE" w:rsidRPr="00621FF6">
        <w:t>The value of preparing a prospectus or other disclosure document in these cases is therefore unlikely to be high and may not offset the cost of preparing the document</w:t>
      </w:r>
      <w:r w:rsidR="002660EE" w:rsidRPr="00621FF6" w:rsidDel="0051326B">
        <w:t>.</w:t>
      </w:r>
    </w:p>
    <w:p w14:paraId="424D2D8A" w14:textId="34CB73BF" w:rsidR="00827BAF" w:rsidRPr="00B82783" w:rsidRDefault="00827BAF" w:rsidP="00DB06CF">
      <w:pPr>
        <w:pStyle w:val="Heading3"/>
      </w:pPr>
      <w:bookmarkStart w:id="23" w:name="_Toc4493770"/>
      <w:r w:rsidRPr="00DB06CF">
        <w:t xml:space="preserve">Exemption from </w:t>
      </w:r>
      <w:r w:rsidR="006D6800" w:rsidRPr="00DB06CF">
        <w:t xml:space="preserve">public </w:t>
      </w:r>
      <w:r w:rsidR="00E916ED">
        <w:t>access to</w:t>
      </w:r>
      <w:r w:rsidR="006D6800" w:rsidRPr="00DB06CF">
        <w:t xml:space="preserve"> </w:t>
      </w:r>
      <w:r w:rsidR="00CF0256" w:rsidRPr="00DB06CF">
        <w:t>disclosure documents</w:t>
      </w:r>
      <w:bookmarkEnd w:id="23"/>
      <w:r w:rsidR="00F276B2" w:rsidRPr="00DB06CF">
        <w:t xml:space="preserve"> </w:t>
      </w:r>
    </w:p>
    <w:p w14:paraId="27717CFA" w14:textId="0E2479DD" w:rsidR="001866AB" w:rsidRDefault="005925E4" w:rsidP="001866AB">
      <w:r>
        <w:t xml:space="preserve">The Corporations Act </w:t>
      </w:r>
      <w:r w:rsidR="001866AB">
        <w:t xml:space="preserve">provides an exemption from public </w:t>
      </w:r>
      <w:r>
        <w:t>access to</w:t>
      </w:r>
      <w:r w:rsidR="001866AB">
        <w:t xml:space="preserve"> disclosure documents lodged with ASIC</w:t>
      </w:r>
      <w:r w:rsidR="001A464D">
        <w:t xml:space="preserve"> for certain </w:t>
      </w:r>
      <w:r w:rsidR="001866AB">
        <w:t>eligible ESS offers</w:t>
      </w:r>
      <w:r w:rsidR="00B41451">
        <w:t xml:space="preserve"> </w:t>
      </w:r>
      <w:r w:rsidR="001866AB">
        <w:t>by start-ups eligible for certain tax incentives</w:t>
      </w:r>
      <w:r w:rsidR="001866AB">
        <w:rPr>
          <w:rStyle w:val="FootnoteReference"/>
        </w:rPr>
        <w:footnoteReference w:id="10"/>
      </w:r>
      <w:r w:rsidR="001866AB">
        <w:t xml:space="preserve">.  </w:t>
      </w:r>
    </w:p>
    <w:p w14:paraId="51E2D938" w14:textId="17201E2E" w:rsidR="00CC2766" w:rsidRDefault="00B41451" w:rsidP="00CC2766">
      <w:r>
        <w:t>This exempt</w:t>
      </w:r>
      <w:r w:rsidR="005925E4">
        <w:t>ion</w:t>
      </w:r>
      <w:r>
        <w:t xml:space="preserve"> from public access to disclosure documents was introduced by the Government in 2017,</w:t>
      </w:r>
      <w:r w:rsidR="00CC2766">
        <w:t xml:space="preserve"> </w:t>
      </w:r>
      <w:r>
        <w:t>under the</w:t>
      </w:r>
      <w:r w:rsidR="00CC2766">
        <w:t xml:space="preserve"> National Innovation and Science Agenda, to protect commercially sensitive information </w:t>
      </w:r>
      <w:r w:rsidR="000F5E4D">
        <w:t xml:space="preserve">(for example, financial information) </w:t>
      </w:r>
      <w:r w:rsidR="00CC2766">
        <w:t>that may be contained in the eligible start-up’s disclosure document</w:t>
      </w:r>
      <w:r w:rsidR="000F5E4D">
        <w:t xml:space="preserve">, to prevent </w:t>
      </w:r>
      <w:r w:rsidR="005925E4">
        <w:t xml:space="preserve">or reduce </w:t>
      </w:r>
      <w:r w:rsidR="000F5E4D">
        <w:t>any loss of competitive advantage</w:t>
      </w:r>
      <w:r w:rsidR="00CC2766">
        <w:t xml:space="preserve">. </w:t>
      </w:r>
    </w:p>
    <w:p w14:paraId="61BFCA44" w14:textId="4632914B" w:rsidR="00CB0462" w:rsidRDefault="00CB0462" w:rsidP="00DB06CF">
      <w:pPr>
        <w:pStyle w:val="Heading3"/>
      </w:pPr>
      <w:bookmarkStart w:id="24" w:name="_Toc4493771"/>
      <w:r>
        <w:t>Licensing and hawking exemptions</w:t>
      </w:r>
      <w:bookmarkEnd w:id="24"/>
    </w:p>
    <w:p w14:paraId="35CB442A" w14:textId="760F6536" w:rsidR="00B96AD9" w:rsidRDefault="00CB0462" w:rsidP="00453114">
      <w:r w:rsidRPr="007C4D13" w:rsidDel="00453114">
        <w:t xml:space="preserve">The Corporations Act also </w:t>
      </w:r>
      <w:r w:rsidRPr="007C4D13">
        <w:t xml:space="preserve">provides </w:t>
      </w:r>
      <w:r>
        <w:t xml:space="preserve">some limited </w:t>
      </w:r>
      <w:r w:rsidR="00AC5906">
        <w:t>exemptions</w:t>
      </w:r>
      <w:r w:rsidRPr="007C4D13">
        <w:t xml:space="preserve"> from the licensing </w:t>
      </w:r>
      <w:r w:rsidR="000F53D7">
        <w:t xml:space="preserve">obligations </w:t>
      </w:r>
      <w:r w:rsidRPr="007C4D13">
        <w:t xml:space="preserve">and </w:t>
      </w:r>
      <w:r w:rsidR="000F53D7">
        <w:t xml:space="preserve">prohibition on </w:t>
      </w:r>
      <w:r w:rsidRPr="007C4D13">
        <w:t>hawking</w:t>
      </w:r>
      <w:r w:rsidR="000F53D7" w:rsidDel="00453114">
        <w:t xml:space="preserve"> </w:t>
      </w:r>
      <w:r w:rsidR="00AC5906" w:rsidDel="00453114">
        <w:t>for ‘eligible ESSs’</w:t>
      </w:r>
      <w:r w:rsidR="00AC5906">
        <w:t>.</w:t>
      </w:r>
      <w:r w:rsidR="00B96AD9" w:rsidRPr="00B96AD9">
        <w:rPr>
          <w:rStyle w:val="FootnoteReference"/>
        </w:rPr>
        <w:t xml:space="preserve"> </w:t>
      </w:r>
      <w:r w:rsidR="00B96AD9">
        <w:rPr>
          <w:rStyle w:val="FootnoteReference"/>
        </w:rPr>
        <w:footnoteReference w:id="11"/>
      </w:r>
      <w:r w:rsidR="00AC5906">
        <w:t xml:space="preserve"> </w:t>
      </w:r>
      <w:r w:rsidR="00B96AD9">
        <w:t xml:space="preserve"> There is currently no statutory exemption available from the restrictions on advertising.</w:t>
      </w:r>
    </w:p>
    <w:p w14:paraId="163A3477" w14:textId="0E33D8C3" w:rsidR="00B96AD9" w:rsidRDefault="00B96AD9" w:rsidP="00B96AD9">
      <w:pPr>
        <w:rPr>
          <w:szCs w:val="22"/>
        </w:rPr>
      </w:pPr>
      <w:r>
        <w:rPr>
          <w:szCs w:val="22"/>
        </w:rPr>
        <w:t>An ‘eligible ESS’ is defined in section 9 of the Corporations Act and covers offers made under an ESS where the following conditions are met:</w:t>
      </w:r>
    </w:p>
    <w:p w14:paraId="64958310" w14:textId="0CD5CDB7" w:rsidR="00B96AD9" w:rsidRDefault="00B96AD9" w:rsidP="004A337D">
      <w:pPr>
        <w:pStyle w:val="Bullet"/>
      </w:pPr>
      <w:r>
        <w:t>the financial products are offered under</w:t>
      </w:r>
      <w:r w:rsidDel="00426FCB">
        <w:t xml:space="preserve"> </w:t>
      </w:r>
      <w:r w:rsidDel="00C204D3">
        <w:t>a disclosure document</w:t>
      </w:r>
      <w:r>
        <w:t xml:space="preserve"> (</w:t>
      </w:r>
      <w:r w:rsidR="009B3594">
        <w:t>for example,</w:t>
      </w:r>
      <w:r>
        <w:t xml:space="preserve"> a prospectus</w:t>
      </w:r>
      <w:r w:rsidR="009337DC">
        <w:t xml:space="preserve"> or offer information statement</w:t>
      </w:r>
      <w:r>
        <w:t>, for offers of securities, or a PDS, for offers of other financial products)</w:t>
      </w:r>
      <w:r w:rsidR="00F22F07">
        <w:t xml:space="preserve"> or are offered with disclosure under the ‘senior managers’ exemption (discussed above)</w:t>
      </w:r>
      <w:r>
        <w:t>;</w:t>
      </w:r>
    </w:p>
    <w:p w14:paraId="2141221F" w14:textId="01419597" w:rsidR="006A71E5" w:rsidRDefault="00455FC2" w:rsidP="004A337D">
      <w:pPr>
        <w:pStyle w:val="Bullet"/>
      </w:pPr>
      <w:proofErr w:type="gramStart"/>
      <w:r>
        <w:t>t</w:t>
      </w:r>
      <w:r w:rsidR="006A71E5">
        <w:t>he</w:t>
      </w:r>
      <w:proofErr w:type="gramEnd"/>
      <w:r w:rsidR="006A71E5">
        <w:t xml:space="preserve"> </w:t>
      </w:r>
      <w:r>
        <w:t>offer is</w:t>
      </w:r>
      <w:r w:rsidR="006A71E5">
        <w:t xml:space="preserve"> made to employees or executive directors of the company making the offer or a related body corporate. </w:t>
      </w:r>
      <w:r w:rsidR="00583BB5">
        <w:t>Contractors</w:t>
      </w:r>
      <w:r w:rsidR="006A71E5">
        <w:t xml:space="preserve"> and non-executive directors are </w:t>
      </w:r>
      <w:r w:rsidR="00413747">
        <w:t>not covered</w:t>
      </w:r>
      <w:r>
        <w:t>; and</w:t>
      </w:r>
    </w:p>
    <w:p w14:paraId="6195282B" w14:textId="0C8FD24E" w:rsidR="00B96AD9" w:rsidRDefault="00B96AD9" w:rsidP="004A337D">
      <w:pPr>
        <w:pStyle w:val="Bullet"/>
      </w:pPr>
      <w:r>
        <w:t xml:space="preserve">the ESS is </w:t>
      </w:r>
      <w:r w:rsidR="00F22F07">
        <w:t>for certain types of financial products</w:t>
      </w:r>
      <w:r>
        <w:t xml:space="preserve"> only </w:t>
      </w:r>
      <w:r w:rsidR="00F22F07">
        <w:t xml:space="preserve">being fully paid ordinary </w:t>
      </w:r>
      <w:r>
        <w:t>shares, options</w:t>
      </w:r>
      <w:r w:rsidR="00F22F07">
        <w:t>, offered for no more than nominal consideration,</w:t>
      </w:r>
      <w:r>
        <w:t xml:space="preserve"> </w:t>
      </w:r>
      <w:r w:rsidR="00F22F07">
        <w:t>for the issue or transfer of</w:t>
      </w:r>
      <w:r>
        <w:t xml:space="preserve"> shares</w:t>
      </w:r>
      <w:r w:rsidR="00F22F07">
        <w:t xml:space="preserve"> and units in fully paid ordinary shares.</w:t>
      </w:r>
      <w:r w:rsidR="00455FC2">
        <w:t xml:space="preserve"> </w:t>
      </w:r>
      <w:r w:rsidR="00583BB5">
        <w:t xml:space="preserve">Other types of financial products (such as derivatives, including performance rights) are </w:t>
      </w:r>
      <w:r w:rsidR="00413747">
        <w:t>not covered.</w:t>
      </w:r>
    </w:p>
    <w:p w14:paraId="7E56797B" w14:textId="2A9C569C" w:rsidR="00B96AD9" w:rsidRDefault="00B96AD9" w:rsidP="00B96AD9">
      <w:pPr>
        <w:rPr>
          <w:szCs w:val="22"/>
        </w:rPr>
      </w:pPr>
      <w:r>
        <w:rPr>
          <w:szCs w:val="22"/>
        </w:rPr>
        <w:t>In relation to licensing, the exemption from the requirement to hold an AFS licence covers the following financial services, where they are ‘in connection with’ an offer of financial products under an eligible ESS:</w:t>
      </w:r>
    </w:p>
    <w:p w14:paraId="6F6A15BF" w14:textId="1DD67760" w:rsidR="00B96AD9" w:rsidRDefault="0040727E" w:rsidP="00B96AD9">
      <w:pPr>
        <w:pStyle w:val="Bullet"/>
      </w:pPr>
      <w:r>
        <w:t xml:space="preserve">the provision of </w:t>
      </w:r>
      <w:r w:rsidR="00B96AD9">
        <w:t xml:space="preserve">general advice;     </w:t>
      </w:r>
    </w:p>
    <w:p w14:paraId="53D12431" w14:textId="059919B1" w:rsidR="00B96AD9" w:rsidRDefault="0040727E" w:rsidP="00B96AD9">
      <w:pPr>
        <w:pStyle w:val="Bullet"/>
      </w:pPr>
      <w:r>
        <w:t>dealing in financial products</w:t>
      </w:r>
      <w:r w:rsidR="00B96AD9">
        <w:t xml:space="preserve">; </w:t>
      </w:r>
    </w:p>
    <w:p w14:paraId="1966438B" w14:textId="5C3134FE" w:rsidR="00B96AD9" w:rsidRDefault="00B96AD9" w:rsidP="00B96AD9">
      <w:pPr>
        <w:pStyle w:val="Bullet"/>
      </w:pPr>
      <w:r>
        <w:t xml:space="preserve">providing </w:t>
      </w:r>
      <w:r w:rsidR="0040727E">
        <w:t xml:space="preserve">a </w:t>
      </w:r>
      <w:r>
        <w:t xml:space="preserve">custodial or depository service; and </w:t>
      </w:r>
    </w:p>
    <w:p w14:paraId="0339F9E0" w14:textId="09C1DC0C" w:rsidR="00B96AD9" w:rsidRDefault="0040727E" w:rsidP="00B96AD9">
      <w:pPr>
        <w:pStyle w:val="Bullet"/>
      </w:pPr>
      <w:proofErr w:type="gramStart"/>
      <w:r>
        <w:t>dealing</w:t>
      </w:r>
      <w:proofErr w:type="gramEnd"/>
      <w:r>
        <w:t xml:space="preserve"> in an interest in</w:t>
      </w:r>
      <w:r w:rsidR="00B96AD9">
        <w:t xml:space="preserve"> a contribution plan.  </w:t>
      </w:r>
    </w:p>
    <w:p w14:paraId="45D2FEE5" w14:textId="45ACE929" w:rsidR="00BA1E6C" w:rsidRDefault="000F53D7" w:rsidP="00BA1E6C">
      <w:pPr>
        <w:pStyle w:val="Bullet"/>
        <w:numPr>
          <w:ilvl w:val="0"/>
          <w:numId w:val="0"/>
        </w:numPr>
      </w:pPr>
      <w:r>
        <w:t>In relation to the prohibition on hawking, this prohibition does not apply to offers of securities or financial products under an eligible ESS.</w:t>
      </w:r>
      <w:r w:rsidR="002D03D0">
        <w:t xml:space="preserve"> </w:t>
      </w:r>
    </w:p>
    <w:p w14:paraId="0CAEB2D2" w14:textId="118B4A49" w:rsidR="00F03C1D" w:rsidRDefault="00F03C1D" w:rsidP="0028365F">
      <w:r>
        <w:t>T</w:t>
      </w:r>
      <w:r w:rsidR="00662770">
        <w:t>here is no express statutory exemption from the advertising restrictions</w:t>
      </w:r>
      <w:r w:rsidR="00BA1E6C">
        <w:t xml:space="preserve"> </w:t>
      </w:r>
      <w:r w:rsidR="00476F68">
        <w:t xml:space="preserve">under the Corporations Act </w:t>
      </w:r>
      <w:r w:rsidR="00BA1E6C">
        <w:t>for ESS offer</w:t>
      </w:r>
      <w:r>
        <w:t>s</w:t>
      </w:r>
      <w:r w:rsidR="00476F68">
        <w:t xml:space="preserve"> that require a regulated disclosure document</w:t>
      </w:r>
      <w:r>
        <w:t>.</w:t>
      </w:r>
      <w:r w:rsidR="00AE4F91">
        <w:t xml:space="preserve"> However</w:t>
      </w:r>
      <w:r w:rsidR="00662770">
        <w:t xml:space="preserve">, if a company is making ESS offers </w:t>
      </w:r>
      <w:r w:rsidR="00AE4F91">
        <w:t xml:space="preserve">without a disclosure document </w:t>
      </w:r>
      <w:r w:rsidR="00662770">
        <w:t>in reliance</w:t>
      </w:r>
      <w:r w:rsidR="00BA1E6C">
        <w:t xml:space="preserve"> on ASIC class o</w:t>
      </w:r>
      <w:r w:rsidR="00662770">
        <w:t>rder relief (see below), then the advertising p</w:t>
      </w:r>
      <w:r w:rsidR="00BA1E6C">
        <w:t xml:space="preserve">rohibition </w:t>
      </w:r>
      <w:r w:rsidR="00BA1E6C" w:rsidRPr="00662770">
        <w:t>for offers of securities</w:t>
      </w:r>
      <w:r w:rsidR="00BA1E6C">
        <w:rPr>
          <w:rStyle w:val="FootnoteReference"/>
        </w:rPr>
        <w:footnoteReference w:id="12"/>
      </w:r>
      <w:r w:rsidR="00BA1E6C" w:rsidRPr="00662770">
        <w:t xml:space="preserve"> </w:t>
      </w:r>
      <w:r w:rsidR="00AE4F91">
        <w:t xml:space="preserve">in the Corporations Act </w:t>
      </w:r>
      <w:r w:rsidR="00BA1E6C">
        <w:t>will not apply</w:t>
      </w:r>
      <w:r w:rsidR="00AE4F91">
        <w:t>.</w:t>
      </w:r>
      <w:r w:rsidR="00BA1E6C">
        <w:t xml:space="preserve"> </w:t>
      </w:r>
    </w:p>
    <w:p w14:paraId="45D5DDDF" w14:textId="250ECA87" w:rsidR="00854B7E" w:rsidRPr="00B82783" w:rsidRDefault="00854B7E" w:rsidP="00F651D6">
      <w:pPr>
        <w:pStyle w:val="Heading3"/>
      </w:pPr>
      <w:bookmarkStart w:id="25" w:name="_Toc4493772"/>
      <w:r w:rsidRPr="00B82783">
        <w:lastRenderedPageBreak/>
        <w:t>Tax concessions</w:t>
      </w:r>
      <w:bookmarkEnd w:id="25"/>
    </w:p>
    <w:p w14:paraId="0930204F" w14:textId="58ED3A36" w:rsidR="00F106F1" w:rsidRPr="00833096" w:rsidRDefault="00854B7E" w:rsidP="00833096">
      <w:r>
        <w:t>In 2015, the Government made changes to the tax treatment of shares and rights offered through an ESS for ‘eligible start-ups’. This enabled eligible start-ups to issue options or shares to their employees at a small discount, and have that discount exempted (for shares) or further deferred (for options) from income tax</w:t>
      </w:r>
      <w:r w:rsidR="00F106F1">
        <w:rPr>
          <w:rStyle w:val="FootnoteReference"/>
        </w:rPr>
        <w:footnoteReference w:id="13"/>
      </w:r>
      <w:r>
        <w:t>.</w:t>
      </w:r>
      <w:r w:rsidRPr="004A0CDF">
        <w:t xml:space="preserve"> </w:t>
      </w:r>
      <w:r>
        <w:t xml:space="preserve"> </w:t>
      </w:r>
    </w:p>
    <w:p w14:paraId="47D44222" w14:textId="18288B3A" w:rsidR="001866AB" w:rsidRPr="00573F2F" w:rsidRDefault="00B82783" w:rsidP="00DB06CF">
      <w:pPr>
        <w:pStyle w:val="Heading2"/>
      </w:pPr>
      <w:bookmarkStart w:id="26" w:name="_Toc4493773"/>
      <w:r>
        <w:t>ASIC</w:t>
      </w:r>
      <w:r w:rsidR="001866AB" w:rsidRPr="00573F2F">
        <w:t xml:space="preserve"> Class Order relief</w:t>
      </w:r>
      <w:bookmarkEnd w:id="26"/>
    </w:p>
    <w:p w14:paraId="34F9FED9" w14:textId="6131650E" w:rsidR="001866AB" w:rsidRDefault="001866AB" w:rsidP="001866AB">
      <w:r>
        <w:t xml:space="preserve">In addition to the </w:t>
      </w:r>
      <w:r w:rsidR="00364698">
        <w:t xml:space="preserve">statutory </w:t>
      </w:r>
      <w:r>
        <w:t>exemptions</w:t>
      </w:r>
      <w:r w:rsidR="00364698">
        <w:t xml:space="preserve"> currently</w:t>
      </w:r>
      <w:r w:rsidR="00CC1B88">
        <w:t xml:space="preserve"> available u</w:t>
      </w:r>
      <w:r w:rsidR="001C75F5">
        <w:t>n</w:t>
      </w:r>
      <w:r w:rsidR="00CC1B88">
        <w:t>d</w:t>
      </w:r>
      <w:r w:rsidR="001C75F5">
        <w:t>er</w:t>
      </w:r>
      <w:r w:rsidR="00364698">
        <w:t xml:space="preserve"> </w:t>
      </w:r>
      <w:r w:rsidR="008F43F1">
        <w:t>the Corporations Act,</w:t>
      </w:r>
      <w:r>
        <w:t xml:space="preserve"> ASIC</w:t>
      </w:r>
      <w:r w:rsidR="008F43F1">
        <w:t xml:space="preserve"> has also</w:t>
      </w:r>
      <w:r>
        <w:t xml:space="preserve"> </w:t>
      </w:r>
      <w:r w:rsidR="008F43F1">
        <w:t>provided class relief</w:t>
      </w:r>
      <w:r>
        <w:t xml:space="preserve"> for both listed and unlisted companies offering eligible financial products to their employees under an </w:t>
      </w:r>
      <w:r w:rsidR="00364698">
        <w:t>‘</w:t>
      </w:r>
      <w:r>
        <w:t>employee incentive scheme</w:t>
      </w:r>
      <w:r w:rsidR="00364698">
        <w:t>’</w:t>
      </w:r>
      <w:r w:rsidR="008F43F1">
        <w:t xml:space="preserve"> ([CO 14/1000] and [CO 14/1001] (ASIC class orders))</w:t>
      </w:r>
      <w:r w:rsidR="00687C90">
        <w:rPr>
          <w:rStyle w:val="FootnoteReference"/>
        </w:rPr>
        <w:footnoteReference w:id="14"/>
      </w:r>
      <w:r>
        <w:t xml:space="preserve">. </w:t>
      </w:r>
      <w:r w:rsidR="00EC71F1">
        <w:t xml:space="preserve"> </w:t>
      </w:r>
    </w:p>
    <w:p w14:paraId="6A17C2AE" w14:textId="4AA6E9EA" w:rsidR="00A93F9E" w:rsidRDefault="008F43F1" w:rsidP="00DB06CF">
      <w:r>
        <w:t>The ASIC class o</w:t>
      </w:r>
      <w:r w:rsidR="00A93F9E">
        <w:t xml:space="preserve">rders reduce the compliance burden for companies </w:t>
      </w:r>
      <w:r w:rsidR="00AC3936">
        <w:t xml:space="preserve">offering ESS </w:t>
      </w:r>
      <w:r w:rsidR="00A93F9E">
        <w:t>by providing conditional relief from the following prov</w:t>
      </w:r>
      <w:r w:rsidR="00312AEA">
        <w:t>isions of the Corporations Act</w:t>
      </w:r>
      <w:r w:rsidR="00A93F9E">
        <w:t xml:space="preserve">: </w:t>
      </w:r>
    </w:p>
    <w:p w14:paraId="26229D87" w14:textId="63CED58C" w:rsidR="00A93F9E" w:rsidRDefault="00A93F9E" w:rsidP="00AC3936">
      <w:pPr>
        <w:pStyle w:val="Bullet"/>
      </w:pPr>
      <w:r>
        <w:t xml:space="preserve">the requirement to </w:t>
      </w:r>
      <w:r w:rsidR="00312AEA">
        <w:t>lodge</w:t>
      </w:r>
      <w:r>
        <w:t xml:space="preserve"> a disclosure document</w:t>
      </w:r>
      <w:r w:rsidR="00312AEA">
        <w:t xml:space="preserve"> with ASIC for the offer</w:t>
      </w:r>
      <w:r>
        <w:t xml:space="preserve">; </w:t>
      </w:r>
    </w:p>
    <w:p w14:paraId="6D2A829F" w14:textId="34C4252C" w:rsidR="00A93F9E" w:rsidRDefault="00A93F9E" w:rsidP="00AC3936">
      <w:pPr>
        <w:pStyle w:val="Bullet"/>
      </w:pPr>
      <w:r>
        <w:t xml:space="preserve">the requirement to hold an AFS licence for the incidental provision of financial services in connection with the scheme; </w:t>
      </w:r>
    </w:p>
    <w:p w14:paraId="7F6A0BAF" w14:textId="77777777" w:rsidR="00A93F9E" w:rsidRDefault="00A93F9E" w:rsidP="00AC3936">
      <w:pPr>
        <w:pStyle w:val="Bullet"/>
      </w:pPr>
      <w:r>
        <w:t xml:space="preserve">the advertising and hawking provisions; </w:t>
      </w:r>
    </w:p>
    <w:p w14:paraId="4BB75AA8" w14:textId="77777777" w:rsidR="00A93F9E" w:rsidRDefault="00A93F9E" w:rsidP="00AC3936">
      <w:pPr>
        <w:pStyle w:val="Bullet"/>
      </w:pPr>
      <w:r>
        <w:t xml:space="preserve">the requirement to register a managed investment scheme for a contribution plan (listed bodies only); and </w:t>
      </w:r>
    </w:p>
    <w:p w14:paraId="61285EDB" w14:textId="213BCD31" w:rsidR="00A93F9E" w:rsidRDefault="00A93F9E" w:rsidP="00AC3936">
      <w:pPr>
        <w:pStyle w:val="Bullet"/>
      </w:pPr>
      <w:proofErr w:type="gramStart"/>
      <w:r>
        <w:t>the</w:t>
      </w:r>
      <w:proofErr w:type="gramEnd"/>
      <w:r>
        <w:t xml:space="preserve"> on-sale provisions. </w:t>
      </w:r>
    </w:p>
    <w:p w14:paraId="5B06171E" w14:textId="32245F05" w:rsidR="00312AEA" w:rsidRDefault="001866AB" w:rsidP="001866AB">
      <w:r>
        <w:t xml:space="preserve">In place of </w:t>
      </w:r>
      <w:r w:rsidR="00E9223E">
        <w:t>the disclosure, licensing and other obligations under the Corporations Act</w:t>
      </w:r>
      <w:r w:rsidR="00AC3936">
        <w:t>, the c</w:t>
      </w:r>
      <w:r>
        <w:t xml:space="preserve">lass </w:t>
      </w:r>
      <w:r w:rsidR="00AC3936">
        <w:t>o</w:t>
      </w:r>
      <w:r>
        <w:t xml:space="preserve">rders </w:t>
      </w:r>
      <w:r w:rsidR="00AC3936">
        <w:t xml:space="preserve">contain </w:t>
      </w:r>
      <w:r w:rsidR="00E9223E">
        <w:t>a number of conditions</w:t>
      </w:r>
      <w:r w:rsidR="00312AEA">
        <w:t xml:space="preserve"> </w:t>
      </w:r>
      <w:r w:rsidR="00312AEA" w:rsidRPr="00CB3E73">
        <w:t>designed to protect employees</w:t>
      </w:r>
      <w:r w:rsidR="00312AEA">
        <w:t xml:space="preserve"> </w:t>
      </w:r>
      <w:r w:rsidR="00AC3936">
        <w:t xml:space="preserve">from undue exposure to risk </w:t>
      </w:r>
      <w:r w:rsidR="00312AEA">
        <w:t>and to ensure that a minimum level of disclosure is provided to employees.</w:t>
      </w:r>
    </w:p>
    <w:p w14:paraId="173A59E9" w14:textId="27AD998E" w:rsidR="00312AEA" w:rsidRDefault="00AC3936" w:rsidP="00DB06CF">
      <w:r>
        <w:t>These conditions include</w:t>
      </w:r>
      <w:r w:rsidR="00312AEA">
        <w:t xml:space="preserve"> restrictions on </w:t>
      </w:r>
      <w:r w:rsidR="00312AEA" w:rsidRPr="00DF2282">
        <w:t>the type of financial products that can be offered</w:t>
      </w:r>
      <w:r w:rsidR="00312AEA">
        <w:t xml:space="preserve"> (</w:t>
      </w:r>
      <w:r w:rsidR="001950B4">
        <w:t>for example</w:t>
      </w:r>
      <w:proofErr w:type="gramStart"/>
      <w:r w:rsidR="001950B4">
        <w:t xml:space="preserve">, </w:t>
      </w:r>
      <w:r w:rsidR="00195C0D">
        <w:t> </w:t>
      </w:r>
      <w:r w:rsidR="00312AEA">
        <w:t>shares</w:t>
      </w:r>
      <w:proofErr w:type="gramEnd"/>
      <w:r w:rsidR="00312AEA">
        <w:t>, options and incentive rights for unlisted companies)</w:t>
      </w:r>
      <w:r w:rsidR="00312AEA" w:rsidRPr="00DF2282">
        <w:t xml:space="preserve">, </w:t>
      </w:r>
      <w:r>
        <w:t xml:space="preserve">the number of shares or </w:t>
      </w:r>
      <w:r w:rsidR="00312AEA">
        <w:t>financial products than can be issued under ESS offers in a 12 months period (20</w:t>
      </w:r>
      <w:r w:rsidR="00195C0D">
        <w:t> per cent</w:t>
      </w:r>
      <w:r w:rsidR="00312AEA">
        <w:t xml:space="preserve"> of issued capital for unlisted companies and 5</w:t>
      </w:r>
      <w:r w:rsidR="00195C0D">
        <w:t> per cent</w:t>
      </w:r>
      <w:r w:rsidR="00312AEA">
        <w:t xml:space="preserve"> of issued capital for listed companies).</w:t>
      </w:r>
    </w:p>
    <w:p w14:paraId="34980DDF" w14:textId="07B421CE" w:rsidR="00312AEA" w:rsidRDefault="00312AEA" w:rsidP="00DB06CF">
      <w:pPr>
        <w:rPr>
          <w:rFonts w:eastAsiaTheme="minorHAnsi"/>
        </w:rPr>
      </w:pPr>
      <w:r>
        <w:t xml:space="preserve">In the case of unlisted companies, there is also a restriction on the value of the offer that can be made to each employee. </w:t>
      </w:r>
      <w:r>
        <w:rPr>
          <w:rFonts w:eastAsiaTheme="minorHAnsi"/>
        </w:rPr>
        <w:t>O</w:t>
      </w:r>
      <w:r w:rsidRPr="00961928">
        <w:rPr>
          <w:rFonts w:eastAsiaTheme="minorHAnsi"/>
        </w:rPr>
        <w:t xml:space="preserve">ffers </w:t>
      </w:r>
      <w:r>
        <w:rPr>
          <w:rFonts w:eastAsiaTheme="minorHAnsi"/>
        </w:rPr>
        <w:t>must be</w:t>
      </w:r>
      <w:r w:rsidRPr="00961928">
        <w:rPr>
          <w:rFonts w:eastAsiaTheme="minorHAnsi"/>
        </w:rPr>
        <w:t xml:space="preserve"> made for no more than nominal monetary consideration and, in aggregate, </w:t>
      </w:r>
      <w:r>
        <w:rPr>
          <w:rFonts w:eastAsiaTheme="minorHAnsi"/>
        </w:rPr>
        <w:t>must</w:t>
      </w:r>
      <w:r w:rsidRPr="00961928">
        <w:rPr>
          <w:rFonts w:eastAsiaTheme="minorHAnsi"/>
        </w:rPr>
        <w:t xml:space="preserve"> not exceed $5,000 in </w:t>
      </w:r>
      <w:r>
        <w:rPr>
          <w:rFonts w:eastAsiaTheme="minorHAnsi"/>
        </w:rPr>
        <w:t>value per employee per year. In addition, the relief does not allow for contribution plans or loan arrangements to be extended to employees</w:t>
      </w:r>
      <w:r w:rsidR="00AC3936">
        <w:rPr>
          <w:rFonts w:eastAsiaTheme="minorHAnsi"/>
        </w:rPr>
        <w:t xml:space="preserve"> of unlisted companies</w:t>
      </w:r>
      <w:r>
        <w:rPr>
          <w:rFonts w:eastAsiaTheme="minorHAnsi"/>
        </w:rPr>
        <w:t>.</w:t>
      </w:r>
    </w:p>
    <w:p w14:paraId="4858EFC4" w14:textId="77777777" w:rsidR="00312AEA" w:rsidRDefault="00312AEA" w:rsidP="00DB06CF">
      <w:r>
        <w:t>A</w:t>
      </w:r>
      <w:r w:rsidRPr="00DF2282">
        <w:t xml:space="preserve"> </w:t>
      </w:r>
      <w:r>
        <w:t>minimum level of</w:t>
      </w:r>
      <w:r w:rsidRPr="00DF2282">
        <w:t xml:space="preserve"> information</w:t>
      </w:r>
      <w:r>
        <w:t xml:space="preserve"> must be provided to employees in an ‘offer document’ (which is not lodged with ASIC, but ASIC may request it). This includes</w:t>
      </w:r>
      <w:r w:rsidRPr="00DF2282">
        <w:t xml:space="preserve"> </w:t>
      </w:r>
      <w:r>
        <w:t>information on risks and the company’s financial report.</w:t>
      </w:r>
    </w:p>
    <w:p w14:paraId="5924668D" w14:textId="49E8978E" w:rsidR="00833096" w:rsidRDefault="001866AB" w:rsidP="00DB06CF">
      <w:pPr>
        <w:rPr>
          <w:szCs w:val="22"/>
        </w:rPr>
      </w:pPr>
      <w:r>
        <w:t>The conditions for listed companies</w:t>
      </w:r>
      <w:r w:rsidR="009065A5">
        <w:t xml:space="preserve"> are</w:t>
      </w:r>
      <w:r>
        <w:t xml:space="preserve"> less</w:t>
      </w:r>
      <w:r w:rsidR="00833096">
        <w:t xml:space="preserve"> onerous</w:t>
      </w:r>
      <w:r>
        <w:t xml:space="preserve"> than th</w:t>
      </w:r>
      <w:r w:rsidR="009065A5">
        <w:t>ose</w:t>
      </w:r>
      <w:r>
        <w:t xml:space="preserve"> applying to unlisted companies</w:t>
      </w:r>
      <w:r w:rsidR="00312AEA">
        <w:t>, given that</w:t>
      </w:r>
      <w:r>
        <w:t xml:space="preserve"> </w:t>
      </w:r>
      <w:r w:rsidR="00687C90">
        <w:t xml:space="preserve">a listed </w:t>
      </w:r>
      <w:r>
        <w:t xml:space="preserve">company </w:t>
      </w:r>
      <w:r w:rsidR="00312AEA">
        <w:t xml:space="preserve">is subject to enhanced </w:t>
      </w:r>
      <w:r w:rsidR="00AC3936">
        <w:t xml:space="preserve">supervision and </w:t>
      </w:r>
      <w:r w:rsidR="00312AEA">
        <w:t>disclosure through its</w:t>
      </w:r>
      <w:r w:rsidR="00833096">
        <w:t xml:space="preserve"> continuous </w:t>
      </w:r>
      <w:r w:rsidR="00687C90">
        <w:t xml:space="preserve">disclosure </w:t>
      </w:r>
      <w:r w:rsidR="00833096">
        <w:t>obligations under</w:t>
      </w:r>
      <w:r w:rsidR="00687C90">
        <w:t xml:space="preserve"> </w:t>
      </w:r>
      <w:r>
        <w:t>market listing rules</w:t>
      </w:r>
      <w:r w:rsidR="00833096">
        <w:rPr>
          <w:szCs w:val="22"/>
        </w:rPr>
        <w:t xml:space="preserve">. </w:t>
      </w:r>
      <w:r w:rsidR="00312AEA">
        <w:rPr>
          <w:szCs w:val="22"/>
        </w:rPr>
        <w:t>There is also a reliable market price for shares in a listed compa</w:t>
      </w:r>
      <w:r w:rsidR="001950B4">
        <w:rPr>
          <w:szCs w:val="22"/>
        </w:rPr>
        <w:t>ny</w:t>
      </w:r>
      <w:r w:rsidR="00312AEA">
        <w:rPr>
          <w:szCs w:val="22"/>
        </w:rPr>
        <w:t>, compared to an unlisted company.</w:t>
      </w:r>
    </w:p>
    <w:p w14:paraId="5FD4A245" w14:textId="46355076" w:rsidR="00312AEA" w:rsidRDefault="00312AEA" w:rsidP="00312AEA">
      <w:pPr>
        <w:rPr>
          <w:i/>
        </w:rPr>
      </w:pPr>
      <w:r w:rsidRPr="004A337D">
        <w:lastRenderedPageBreak/>
        <w:t>Table 1</w:t>
      </w:r>
      <w:r>
        <w:t xml:space="preserve"> </w:t>
      </w:r>
      <w:r w:rsidR="00AC3936">
        <w:t xml:space="preserve">below </w:t>
      </w:r>
      <w:r>
        <w:t>provides an overview of the</w:t>
      </w:r>
      <w:r w:rsidR="00AC3936">
        <w:t xml:space="preserve"> ASIC class order</w:t>
      </w:r>
      <w:r>
        <w:t xml:space="preserve"> relief and the conditions for companies seeking to make ESS offers utilising the relief. Further guidance and explanation can also be found in </w:t>
      </w:r>
      <w:r w:rsidR="00AC3936">
        <w:t xml:space="preserve">ASIC </w:t>
      </w:r>
      <w:r>
        <w:t xml:space="preserve">Regulatory Guide 49 </w:t>
      </w:r>
      <w:r w:rsidRPr="001264FA">
        <w:rPr>
          <w:i/>
        </w:rPr>
        <w:t>Employee Incentive Schemes</w:t>
      </w:r>
      <w:r w:rsidR="00F30321">
        <w:rPr>
          <w:i/>
        </w:rPr>
        <w:t xml:space="preserve"> </w:t>
      </w:r>
      <w:r w:rsidR="00F30321" w:rsidRPr="00F30321">
        <w:t>(RG 49).</w:t>
      </w:r>
    </w:p>
    <w:p w14:paraId="452B48E7" w14:textId="2C972936" w:rsidR="003063E2" w:rsidRPr="0036351C" w:rsidRDefault="00312AEA" w:rsidP="00312AEA">
      <w:r>
        <w:t xml:space="preserve">ASIC also has the power to grant individual relief from the disclosure, licensing and other obligations </w:t>
      </w:r>
      <w:r w:rsidR="00AC3936">
        <w:t>in</w:t>
      </w:r>
      <w:r>
        <w:t xml:space="preserve"> the Corporations Act, for example, where the requirements of its </w:t>
      </w:r>
      <w:r w:rsidR="00F30321">
        <w:t>class order</w:t>
      </w:r>
      <w:r>
        <w:t xml:space="preserve"> relief cannot be met</w:t>
      </w:r>
      <w:r w:rsidR="00F840F3">
        <w:rPr>
          <w:rStyle w:val="FootnoteReference"/>
        </w:rPr>
        <w:footnoteReference w:id="15"/>
      </w:r>
      <w:r>
        <w:t xml:space="preserve">. </w:t>
      </w:r>
      <w:r w:rsidR="00F30321">
        <w:t>RG 49</w:t>
      </w:r>
      <w:r w:rsidR="003063E2" w:rsidRPr="00DB06CF">
        <w:rPr>
          <w:i/>
        </w:rPr>
        <w:t xml:space="preserve"> </w:t>
      </w:r>
      <w:r w:rsidR="003063E2">
        <w:t>sets out ASIC’s policy on granting relief, and indicates that ASIC may provide individual relief where the following policy objectives are met</w:t>
      </w:r>
      <w:r w:rsidR="003063E2" w:rsidRPr="0036351C">
        <w:t>:</w:t>
      </w:r>
    </w:p>
    <w:p w14:paraId="28988E73" w14:textId="77777777" w:rsidR="003063E2" w:rsidRPr="0036351C" w:rsidRDefault="003063E2" w:rsidP="003063E2">
      <w:pPr>
        <w:pStyle w:val="Bullet"/>
        <w:numPr>
          <w:ilvl w:val="0"/>
          <w:numId w:val="15"/>
        </w:numPr>
        <w:spacing w:after="200" w:line="276" w:lineRule="auto"/>
      </w:pPr>
      <w:r w:rsidRPr="0036351C">
        <w:t>the scheme supports the interdependence between the employer and the employees for their long term mutual benefit</w:t>
      </w:r>
      <w:r>
        <w:t>;</w:t>
      </w:r>
    </w:p>
    <w:p w14:paraId="7F9DA505" w14:textId="77777777" w:rsidR="003063E2" w:rsidRPr="0036351C" w:rsidRDefault="003063E2" w:rsidP="003063E2">
      <w:pPr>
        <w:pStyle w:val="Bullet"/>
        <w:numPr>
          <w:ilvl w:val="0"/>
          <w:numId w:val="15"/>
        </w:numPr>
        <w:spacing w:after="200" w:line="276" w:lineRule="auto"/>
      </w:pPr>
      <w:r w:rsidRPr="0036351C">
        <w:t xml:space="preserve">there are adequate protections for participants </w:t>
      </w:r>
      <w:r>
        <w:t>i</w:t>
      </w:r>
      <w:r w:rsidRPr="0036351C">
        <w:t>n the scheme, including appropriate disclosure and pricing information for the products offered; and</w:t>
      </w:r>
    </w:p>
    <w:p w14:paraId="5DD0A973" w14:textId="77777777" w:rsidR="003063E2" w:rsidRPr="0036351C" w:rsidRDefault="003063E2" w:rsidP="003063E2">
      <w:pPr>
        <w:pStyle w:val="Bullet"/>
        <w:numPr>
          <w:ilvl w:val="0"/>
          <w:numId w:val="15"/>
        </w:numPr>
        <w:spacing w:after="200" w:line="276" w:lineRule="auto"/>
      </w:pPr>
      <w:proofErr w:type="gramStart"/>
      <w:r w:rsidRPr="0036351C">
        <w:t>the</w:t>
      </w:r>
      <w:proofErr w:type="gramEnd"/>
      <w:r w:rsidRPr="0036351C">
        <w:t xml:space="preserve"> objective of the offer is not fundraising.  </w:t>
      </w:r>
    </w:p>
    <w:p w14:paraId="01A50437" w14:textId="77777777" w:rsidR="00687C90" w:rsidRDefault="00687C90" w:rsidP="001866AB">
      <w:pPr>
        <w:pStyle w:val="Bullet"/>
        <w:numPr>
          <w:ilvl w:val="0"/>
          <w:numId w:val="0"/>
        </w:numPr>
        <w:spacing w:after="0"/>
        <w:ind w:left="1440" w:hanging="1440"/>
        <w:rPr>
          <w:b/>
        </w:rPr>
      </w:pPr>
    </w:p>
    <w:p w14:paraId="263DDF9D" w14:textId="77777777" w:rsidR="00687C90" w:rsidRDefault="00687C90">
      <w:pPr>
        <w:spacing w:before="0" w:after="160" w:line="259" w:lineRule="auto"/>
        <w:rPr>
          <w:b/>
        </w:rPr>
      </w:pPr>
      <w:r>
        <w:rPr>
          <w:b/>
        </w:rPr>
        <w:br w:type="page"/>
      </w:r>
    </w:p>
    <w:p w14:paraId="59FB3B37" w14:textId="77777777" w:rsidR="00087C21" w:rsidRDefault="00087C21" w:rsidP="00087C21">
      <w:pPr>
        <w:pStyle w:val="TableMainHeading"/>
      </w:pPr>
      <w:bookmarkStart w:id="27" w:name="_Toc4493774"/>
      <w:r w:rsidRPr="00192DA0">
        <w:lastRenderedPageBreak/>
        <w:t xml:space="preserve">Table </w:t>
      </w:r>
      <w:r>
        <w:t>1: Overview of ASIC Class Order relief</w:t>
      </w:r>
      <w:bookmarkEnd w:id="27"/>
      <w:r>
        <w:t xml:space="preserve"> </w:t>
      </w:r>
    </w:p>
    <w:tbl>
      <w:tblPr>
        <w:tblStyle w:val="TableGrid"/>
        <w:tblW w:w="8897" w:type="dxa"/>
        <w:tblLook w:val="04A0" w:firstRow="1" w:lastRow="0" w:firstColumn="1" w:lastColumn="0" w:noHBand="0" w:noVBand="1"/>
      </w:tblPr>
      <w:tblGrid>
        <w:gridCol w:w="2093"/>
        <w:gridCol w:w="3260"/>
        <w:gridCol w:w="3544"/>
      </w:tblGrid>
      <w:tr w:rsidR="00087C21" w:rsidRPr="00F16C3E" w14:paraId="6FAED7E5" w14:textId="77777777" w:rsidTr="00023A32">
        <w:tc>
          <w:tcPr>
            <w:tcW w:w="2093" w:type="dxa"/>
            <w:tcBorders>
              <w:bottom w:val="single" w:sz="4" w:space="0" w:color="2E74B5" w:themeColor="accent1" w:themeShade="BF"/>
            </w:tcBorders>
          </w:tcPr>
          <w:p w14:paraId="161B9C54" w14:textId="77777777" w:rsidR="00087C21" w:rsidRPr="00212F00" w:rsidRDefault="00087C21" w:rsidP="00023A32">
            <w:pPr>
              <w:spacing w:before="60" w:after="60"/>
              <w:jc w:val="left"/>
              <w:rPr>
                <w:rFonts w:asciiTheme="minorHAnsi" w:hAnsiTheme="minorHAnsi"/>
                <w:b/>
                <w:sz w:val="22"/>
              </w:rPr>
            </w:pPr>
          </w:p>
        </w:tc>
        <w:tc>
          <w:tcPr>
            <w:tcW w:w="3260" w:type="dxa"/>
            <w:tcBorders>
              <w:bottom w:val="single" w:sz="4" w:space="0" w:color="2E74B5" w:themeColor="accent1" w:themeShade="BF"/>
            </w:tcBorders>
          </w:tcPr>
          <w:p w14:paraId="3C48F2D8" w14:textId="77777777" w:rsidR="00087C21" w:rsidRPr="00212F00" w:rsidRDefault="00087C21" w:rsidP="00023A32">
            <w:pPr>
              <w:pStyle w:val="TableColumnHeadingCentred"/>
            </w:pPr>
            <w:r w:rsidRPr="00212F00">
              <w:t>ASIC Class Order for UNLISTED companies  CO 14/1001</w:t>
            </w:r>
          </w:p>
        </w:tc>
        <w:tc>
          <w:tcPr>
            <w:tcW w:w="3544" w:type="dxa"/>
            <w:tcBorders>
              <w:bottom w:val="single" w:sz="4" w:space="0" w:color="2E74B5" w:themeColor="accent1" w:themeShade="BF"/>
            </w:tcBorders>
          </w:tcPr>
          <w:p w14:paraId="55992860" w14:textId="77777777" w:rsidR="00087C21" w:rsidRPr="00212F00" w:rsidRDefault="00087C21" w:rsidP="00023A32">
            <w:pPr>
              <w:pStyle w:val="TableColumnHeadingCentred"/>
            </w:pPr>
            <w:r w:rsidRPr="00212F00">
              <w:t>ASIC Class Order for LISTED companies  CO 14/1000</w:t>
            </w:r>
          </w:p>
        </w:tc>
      </w:tr>
      <w:tr w:rsidR="00087C21" w14:paraId="610CB077" w14:textId="77777777" w:rsidTr="00023A32">
        <w:trPr>
          <w:trHeight w:val="1510"/>
        </w:trPr>
        <w:tc>
          <w:tcPr>
            <w:tcW w:w="2093" w:type="dxa"/>
            <w:tcBorders>
              <w:top w:val="single" w:sz="4" w:space="0" w:color="2E74B5" w:themeColor="accent1" w:themeShade="BF"/>
            </w:tcBorders>
          </w:tcPr>
          <w:p w14:paraId="219D510C" w14:textId="77777777" w:rsidR="00087C21" w:rsidRDefault="00087C21" w:rsidP="00023A32">
            <w:pPr>
              <w:pStyle w:val="TableColumnHeadingLeft"/>
            </w:pPr>
            <w:r>
              <w:t>Eligible Employees</w:t>
            </w:r>
          </w:p>
        </w:tc>
        <w:tc>
          <w:tcPr>
            <w:tcW w:w="3260" w:type="dxa"/>
            <w:tcBorders>
              <w:top w:val="single" w:sz="4" w:space="0" w:color="2E74B5" w:themeColor="accent1" w:themeShade="BF"/>
            </w:tcBorders>
          </w:tcPr>
          <w:p w14:paraId="2B3AFF92" w14:textId="77777777" w:rsidR="00087C21" w:rsidRPr="00E04698" w:rsidRDefault="00087C21" w:rsidP="00023A32">
            <w:pPr>
              <w:pStyle w:val="BoxBullet"/>
              <w:spacing w:after="0"/>
              <w:jc w:val="left"/>
              <w:rPr>
                <w:sz w:val="18"/>
              </w:rPr>
            </w:pPr>
            <w:r w:rsidRPr="00E04698">
              <w:rPr>
                <w:sz w:val="18"/>
              </w:rPr>
              <w:t>Full or part</w:t>
            </w:r>
            <w:r w:rsidRPr="00E04698">
              <w:rPr>
                <w:sz w:val="18"/>
              </w:rPr>
              <w:noBreakHyphen/>
              <w:t>time employees</w:t>
            </w:r>
          </w:p>
          <w:p w14:paraId="116B3F16" w14:textId="77777777" w:rsidR="00087C21" w:rsidRPr="00E04698" w:rsidRDefault="00087C21" w:rsidP="00023A32">
            <w:pPr>
              <w:pStyle w:val="BoxBullet"/>
              <w:spacing w:after="0"/>
              <w:jc w:val="left"/>
              <w:rPr>
                <w:sz w:val="18"/>
              </w:rPr>
            </w:pPr>
            <w:r w:rsidRPr="00E04698">
              <w:rPr>
                <w:sz w:val="18"/>
              </w:rPr>
              <w:t>Directors (incl. non</w:t>
            </w:r>
            <w:r w:rsidRPr="00E04698">
              <w:rPr>
                <w:sz w:val="18"/>
              </w:rPr>
              <w:noBreakHyphen/>
              <w:t>executive)</w:t>
            </w:r>
          </w:p>
          <w:p w14:paraId="5A5FE790" w14:textId="77777777" w:rsidR="00087C21" w:rsidRPr="00E04698" w:rsidRDefault="00087C21" w:rsidP="00023A32">
            <w:pPr>
              <w:pStyle w:val="BoxBullet"/>
              <w:spacing w:after="0"/>
              <w:jc w:val="left"/>
              <w:rPr>
                <w:sz w:val="18"/>
              </w:rPr>
            </w:pPr>
            <w:r w:rsidRPr="00E04698">
              <w:rPr>
                <w:sz w:val="18"/>
              </w:rPr>
              <w:t>Contractors or casual employees (working at least 40 per cent of a comparable full-time position</w:t>
            </w:r>
          </w:p>
          <w:p w14:paraId="2C435E79" w14:textId="77777777" w:rsidR="00087C21" w:rsidRDefault="00087C21" w:rsidP="00023A32">
            <w:pPr>
              <w:pStyle w:val="BoxBullet"/>
              <w:spacing w:after="0"/>
              <w:jc w:val="left"/>
            </w:pPr>
            <w:r w:rsidRPr="00E04698">
              <w:rPr>
                <w:sz w:val="18"/>
              </w:rPr>
              <w:t xml:space="preserve"> Prospective eligible employees</w:t>
            </w:r>
          </w:p>
        </w:tc>
        <w:tc>
          <w:tcPr>
            <w:tcW w:w="3544" w:type="dxa"/>
            <w:tcBorders>
              <w:top w:val="single" w:sz="4" w:space="0" w:color="2E74B5" w:themeColor="accent1" w:themeShade="BF"/>
            </w:tcBorders>
          </w:tcPr>
          <w:p w14:paraId="2F8C15A9" w14:textId="77777777" w:rsidR="00087C21" w:rsidRPr="00E04698" w:rsidRDefault="00087C21" w:rsidP="00023A32">
            <w:pPr>
              <w:pStyle w:val="BoxBullet"/>
              <w:spacing w:after="0"/>
              <w:jc w:val="left"/>
              <w:rPr>
                <w:sz w:val="18"/>
              </w:rPr>
            </w:pPr>
            <w:r w:rsidRPr="00E04698">
              <w:rPr>
                <w:sz w:val="18"/>
              </w:rPr>
              <w:t>Full or part</w:t>
            </w:r>
            <w:r w:rsidRPr="00E04698">
              <w:rPr>
                <w:sz w:val="18"/>
              </w:rPr>
              <w:noBreakHyphen/>
              <w:t>time employees</w:t>
            </w:r>
          </w:p>
          <w:p w14:paraId="2C27B5BC" w14:textId="77777777" w:rsidR="00087C21" w:rsidRPr="00E04698" w:rsidRDefault="00087C21" w:rsidP="00023A32">
            <w:pPr>
              <w:pStyle w:val="BoxBullet"/>
              <w:spacing w:after="0"/>
              <w:jc w:val="left"/>
              <w:rPr>
                <w:sz w:val="18"/>
              </w:rPr>
            </w:pPr>
            <w:r w:rsidRPr="00E04698">
              <w:rPr>
                <w:sz w:val="18"/>
              </w:rPr>
              <w:t>Directors (incl. non</w:t>
            </w:r>
            <w:r w:rsidRPr="00E04698">
              <w:rPr>
                <w:sz w:val="18"/>
              </w:rPr>
              <w:noBreakHyphen/>
              <w:t>executive)</w:t>
            </w:r>
          </w:p>
          <w:p w14:paraId="0A73AFC3" w14:textId="77777777" w:rsidR="00087C21" w:rsidRPr="00E04698" w:rsidRDefault="00087C21" w:rsidP="00023A32">
            <w:pPr>
              <w:pStyle w:val="BoxBullet"/>
              <w:spacing w:after="0"/>
              <w:jc w:val="left"/>
              <w:rPr>
                <w:sz w:val="18"/>
              </w:rPr>
            </w:pPr>
            <w:r w:rsidRPr="00E04698">
              <w:rPr>
                <w:sz w:val="18"/>
              </w:rPr>
              <w:t>Contractors or casual employees (working at least 40 per cent of a comparable full-time position)</w:t>
            </w:r>
          </w:p>
          <w:p w14:paraId="132A83BD" w14:textId="77777777" w:rsidR="00087C21" w:rsidRDefault="00087C21" w:rsidP="00023A32">
            <w:pPr>
              <w:pStyle w:val="BoxBullet"/>
              <w:spacing w:after="0"/>
              <w:jc w:val="left"/>
            </w:pPr>
            <w:r w:rsidRPr="00E04698">
              <w:rPr>
                <w:sz w:val="18"/>
              </w:rPr>
              <w:t>Prospective eligible employees</w:t>
            </w:r>
          </w:p>
        </w:tc>
      </w:tr>
      <w:tr w:rsidR="00087C21" w14:paraId="777FAAC6" w14:textId="77777777" w:rsidTr="00023A32">
        <w:trPr>
          <w:trHeight w:val="1814"/>
        </w:trPr>
        <w:tc>
          <w:tcPr>
            <w:tcW w:w="2093" w:type="dxa"/>
          </w:tcPr>
          <w:p w14:paraId="3EDAB805" w14:textId="77777777" w:rsidR="00087C21" w:rsidRPr="00212F00" w:rsidRDefault="00087C21" w:rsidP="00023A32">
            <w:pPr>
              <w:pStyle w:val="TableColumnHeadingLeft"/>
            </w:pPr>
            <w:r w:rsidRPr="00212F00">
              <w:t>Financial products that can be offered</w:t>
            </w:r>
          </w:p>
        </w:tc>
        <w:tc>
          <w:tcPr>
            <w:tcW w:w="3260" w:type="dxa"/>
          </w:tcPr>
          <w:p w14:paraId="67D27C25" w14:textId="77777777" w:rsidR="00087C21" w:rsidRPr="00E04698" w:rsidRDefault="00087C21" w:rsidP="00023A32">
            <w:pPr>
              <w:pStyle w:val="BoxBullet"/>
              <w:spacing w:after="0"/>
              <w:rPr>
                <w:sz w:val="18"/>
              </w:rPr>
            </w:pPr>
            <w:r w:rsidRPr="00E04698">
              <w:rPr>
                <w:sz w:val="18"/>
              </w:rPr>
              <w:t>Fully paid voting ordinary shares</w:t>
            </w:r>
          </w:p>
          <w:p w14:paraId="10F1799A" w14:textId="77777777" w:rsidR="00087C21" w:rsidRPr="00E04698" w:rsidRDefault="00087C21" w:rsidP="00023A32">
            <w:pPr>
              <w:pStyle w:val="BoxBullet"/>
              <w:spacing w:after="0"/>
              <w:rPr>
                <w:sz w:val="18"/>
              </w:rPr>
            </w:pPr>
            <w:r w:rsidRPr="00E04698">
              <w:rPr>
                <w:sz w:val="18"/>
              </w:rPr>
              <w:t>Units in or options over fully paid voting ordinary shares</w:t>
            </w:r>
          </w:p>
          <w:p w14:paraId="1AD2BA7A" w14:textId="77777777" w:rsidR="00087C21" w:rsidRPr="00212F00" w:rsidRDefault="00087C21" w:rsidP="00023A32">
            <w:pPr>
              <w:pStyle w:val="BoxBullet"/>
              <w:spacing w:after="0"/>
            </w:pPr>
            <w:r w:rsidRPr="00E04698">
              <w:rPr>
                <w:sz w:val="18"/>
              </w:rPr>
              <w:t>Incentive rights to receive ordinary shares or a cash amount, or some combination of both.</w:t>
            </w:r>
          </w:p>
        </w:tc>
        <w:tc>
          <w:tcPr>
            <w:tcW w:w="3544" w:type="dxa"/>
          </w:tcPr>
          <w:p w14:paraId="21489045" w14:textId="77777777" w:rsidR="00087C21" w:rsidRPr="00E04698" w:rsidRDefault="00087C21" w:rsidP="00023A32">
            <w:pPr>
              <w:pStyle w:val="BoxBullet"/>
              <w:spacing w:after="0"/>
              <w:rPr>
                <w:sz w:val="18"/>
              </w:rPr>
            </w:pPr>
            <w:r w:rsidRPr="00E04698">
              <w:rPr>
                <w:sz w:val="18"/>
              </w:rPr>
              <w:t>Fully paid shares</w:t>
            </w:r>
            <w:r w:rsidRPr="00E04698" w:rsidDel="000A7DDC">
              <w:rPr>
                <w:sz w:val="18"/>
              </w:rPr>
              <w:t xml:space="preserve"> </w:t>
            </w:r>
          </w:p>
          <w:p w14:paraId="77D37883" w14:textId="77777777" w:rsidR="00087C21" w:rsidRPr="00E04698" w:rsidRDefault="00087C21" w:rsidP="00023A32">
            <w:pPr>
              <w:pStyle w:val="BoxBullet"/>
              <w:spacing w:after="0"/>
              <w:rPr>
                <w:sz w:val="18"/>
              </w:rPr>
            </w:pPr>
            <w:r w:rsidRPr="00E04698">
              <w:rPr>
                <w:sz w:val="18"/>
              </w:rPr>
              <w:t>Depository interests</w:t>
            </w:r>
          </w:p>
          <w:p w14:paraId="06C32471" w14:textId="77777777" w:rsidR="00087C21" w:rsidRPr="00E04698" w:rsidRDefault="00087C21" w:rsidP="00023A32">
            <w:pPr>
              <w:pStyle w:val="BoxBullet"/>
              <w:spacing w:after="0"/>
              <w:rPr>
                <w:sz w:val="18"/>
              </w:rPr>
            </w:pPr>
            <w:r w:rsidRPr="00E04698">
              <w:rPr>
                <w:sz w:val="18"/>
              </w:rPr>
              <w:t>Fully paid units in registered managed investment schemes</w:t>
            </w:r>
          </w:p>
          <w:p w14:paraId="0759B748" w14:textId="77777777" w:rsidR="00087C21" w:rsidRPr="00E04698" w:rsidRDefault="00087C21" w:rsidP="00023A32">
            <w:pPr>
              <w:pStyle w:val="BoxBullet"/>
              <w:spacing w:after="0"/>
              <w:rPr>
                <w:sz w:val="18"/>
              </w:rPr>
            </w:pPr>
            <w:r w:rsidRPr="00E04698">
              <w:rPr>
                <w:sz w:val="18"/>
              </w:rPr>
              <w:t>Fully paid stapled securities</w:t>
            </w:r>
          </w:p>
          <w:p w14:paraId="17D8E96D" w14:textId="77777777" w:rsidR="00087C21" w:rsidRPr="00212F00" w:rsidDel="00502D40" w:rsidRDefault="00087C21" w:rsidP="00023A32">
            <w:pPr>
              <w:pStyle w:val="BoxBullet"/>
              <w:spacing w:after="0"/>
            </w:pPr>
            <w:r w:rsidRPr="00E04698">
              <w:rPr>
                <w:sz w:val="18"/>
              </w:rPr>
              <w:t xml:space="preserve">Options over, units in and incentive rights in relation to any of the above </w:t>
            </w:r>
          </w:p>
        </w:tc>
      </w:tr>
      <w:tr w:rsidR="00087C21" w14:paraId="7ED8ECD7" w14:textId="77777777" w:rsidTr="00023A32">
        <w:trPr>
          <w:trHeight w:val="1003"/>
        </w:trPr>
        <w:tc>
          <w:tcPr>
            <w:tcW w:w="2093" w:type="dxa"/>
          </w:tcPr>
          <w:p w14:paraId="77C76643" w14:textId="77777777" w:rsidR="00087C21" w:rsidRPr="00212F00" w:rsidRDefault="00087C21" w:rsidP="00023A32">
            <w:pPr>
              <w:pStyle w:val="TableColumnHeadingLeft"/>
            </w:pPr>
            <w:r>
              <w:t>Limit on t</w:t>
            </w:r>
            <w:r w:rsidRPr="00212F00">
              <w:t xml:space="preserve">otal </w:t>
            </w:r>
            <w:r>
              <w:t>number of financial products offered</w:t>
            </w:r>
          </w:p>
        </w:tc>
        <w:tc>
          <w:tcPr>
            <w:tcW w:w="3260" w:type="dxa"/>
          </w:tcPr>
          <w:p w14:paraId="37AB0D9A" w14:textId="77777777" w:rsidR="00087C21" w:rsidRPr="00212F00" w:rsidRDefault="00087C21" w:rsidP="00023A32">
            <w:pPr>
              <w:pStyle w:val="TableTextLeft"/>
            </w:pPr>
            <w:r>
              <w:t>An aggregate of up to 20 per cent</w:t>
            </w:r>
            <w:r w:rsidRPr="00212F00">
              <w:t xml:space="preserve"> of the </w:t>
            </w:r>
            <w:r>
              <w:t>issued</w:t>
            </w:r>
            <w:r w:rsidRPr="00212F00">
              <w:t xml:space="preserve"> </w:t>
            </w:r>
            <w:r>
              <w:t>capital</w:t>
            </w:r>
            <w:r w:rsidRPr="00212F00">
              <w:t xml:space="preserve"> of </w:t>
            </w:r>
            <w:r>
              <w:t xml:space="preserve">the </w:t>
            </w:r>
            <w:r w:rsidRPr="00212F00">
              <w:t>company over a 3 year period</w:t>
            </w:r>
            <w:r>
              <w:t xml:space="preserve"> </w:t>
            </w:r>
          </w:p>
        </w:tc>
        <w:tc>
          <w:tcPr>
            <w:tcW w:w="3544" w:type="dxa"/>
          </w:tcPr>
          <w:p w14:paraId="3835B120" w14:textId="77777777" w:rsidR="00087C21" w:rsidRPr="00212F00" w:rsidRDefault="00087C21" w:rsidP="00023A32">
            <w:pPr>
              <w:pStyle w:val="TableTextLeft"/>
            </w:pPr>
            <w:r>
              <w:t>An aggregate of up to 5 per cent</w:t>
            </w:r>
            <w:r w:rsidRPr="00212F00">
              <w:t xml:space="preserve"> of the </w:t>
            </w:r>
            <w:r>
              <w:t>issued</w:t>
            </w:r>
            <w:r w:rsidRPr="00212F00">
              <w:t xml:space="preserve"> </w:t>
            </w:r>
            <w:r>
              <w:t>capital</w:t>
            </w:r>
            <w:r w:rsidRPr="00212F00">
              <w:t xml:space="preserve"> of </w:t>
            </w:r>
            <w:r>
              <w:t xml:space="preserve">the </w:t>
            </w:r>
            <w:r w:rsidRPr="00212F00">
              <w:t>company over a 3 year period</w:t>
            </w:r>
          </w:p>
        </w:tc>
      </w:tr>
      <w:tr w:rsidR="00087C21" w14:paraId="28877411" w14:textId="77777777" w:rsidTr="00023A32">
        <w:trPr>
          <w:trHeight w:val="706"/>
        </w:trPr>
        <w:tc>
          <w:tcPr>
            <w:tcW w:w="2093" w:type="dxa"/>
          </w:tcPr>
          <w:p w14:paraId="6302FA9A" w14:textId="77777777" w:rsidR="00087C21" w:rsidRPr="00212F00" w:rsidRDefault="00087C21" w:rsidP="00023A32">
            <w:pPr>
              <w:pStyle w:val="TableColumnHeadingLeft"/>
            </w:pPr>
            <w:r>
              <w:t>Limit on value per offer</w:t>
            </w:r>
          </w:p>
        </w:tc>
        <w:tc>
          <w:tcPr>
            <w:tcW w:w="3260" w:type="dxa"/>
          </w:tcPr>
          <w:p w14:paraId="0454C196" w14:textId="77777777" w:rsidR="00087C21" w:rsidRPr="00212F00" w:rsidRDefault="00087C21" w:rsidP="00023A32">
            <w:pPr>
              <w:pStyle w:val="TableTextLeft"/>
            </w:pPr>
            <w:r w:rsidRPr="00212F00">
              <w:t>Up to $5,000</w:t>
            </w:r>
            <w:r>
              <w:t xml:space="preserve"> per employee per year </w:t>
            </w:r>
          </w:p>
        </w:tc>
        <w:tc>
          <w:tcPr>
            <w:tcW w:w="3544" w:type="dxa"/>
          </w:tcPr>
          <w:p w14:paraId="42935096" w14:textId="77777777" w:rsidR="00087C21" w:rsidRPr="00212F00" w:rsidRDefault="00087C21" w:rsidP="00023A32">
            <w:pPr>
              <w:pStyle w:val="TableTextLeft"/>
            </w:pPr>
            <w:r>
              <w:t>No limit</w:t>
            </w:r>
          </w:p>
        </w:tc>
      </w:tr>
      <w:tr w:rsidR="00087C21" w14:paraId="4D4EF674" w14:textId="77777777" w:rsidTr="00023A32">
        <w:trPr>
          <w:trHeight w:val="709"/>
        </w:trPr>
        <w:tc>
          <w:tcPr>
            <w:tcW w:w="2093" w:type="dxa"/>
          </w:tcPr>
          <w:p w14:paraId="6F7C8764" w14:textId="77777777" w:rsidR="00087C21" w:rsidRPr="00212F00" w:rsidRDefault="00087C21" w:rsidP="00023A32">
            <w:pPr>
              <w:pStyle w:val="TableColumnHeadingLeft"/>
            </w:pPr>
            <w:r w:rsidRPr="00212F00">
              <w:t xml:space="preserve">Number of </w:t>
            </w:r>
            <w:r>
              <w:t>offers or employees</w:t>
            </w:r>
            <w:r w:rsidRPr="00212F00">
              <w:t xml:space="preserve"> </w:t>
            </w:r>
          </w:p>
        </w:tc>
        <w:tc>
          <w:tcPr>
            <w:tcW w:w="3260" w:type="dxa"/>
          </w:tcPr>
          <w:p w14:paraId="1762F1A7" w14:textId="77777777" w:rsidR="00087C21" w:rsidRPr="00212F00" w:rsidRDefault="00087C21" w:rsidP="00023A32">
            <w:pPr>
              <w:pStyle w:val="TableTextLeft"/>
            </w:pPr>
            <w:r>
              <w:t>No</w:t>
            </w:r>
            <w:r w:rsidRPr="00212F00">
              <w:t xml:space="preserve"> limi</w:t>
            </w:r>
            <w:r>
              <w:t>t</w:t>
            </w:r>
            <w:r w:rsidRPr="00212F00">
              <w:t xml:space="preserve"> –</w:t>
            </w:r>
            <w:r>
              <w:t xml:space="preserve"> </w:t>
            </w:r>
            <w:r w:rsidRPr="00212F00">
              <w:t>but effectively limited by the 20</w:t>
            </w:r>
            <w:r>
              <w:t xml:space="preserve"> per cent</w:t>
            </w:r>
            <w:r w:rsidRPr="00212F00">
              <w:t xml:space="preserve"> </w:t>
            </w:r>
            <w:r>
              <w:t>of issued capital limit</w:t>
            </w:r>
            <w:r w:rsidRPr="00212F00">
              <w:t xml:space="preserve"> </w:t>
            </w:r>
          </w:p>
        </w:tc>
        <w:tc>
          <w:tcPr>
            <w:tcW w:w="3544" w:type="dxa"/>
          </w:tcPr>
          <w:p w14:paraId="49DD63EA" w14:textId="77777777" w:rsidR="00087C21" w:rsidRPr="00212F00" w:rsidRDefault="00087C21" w:rsidP="00023A32">
            <w:pPr>
              <w:pStyle w:val="TableTextLeft"/>
            </w:pPr>
            <w:r w:rsidRPr="00212F00">
              <w:t>No limit –</w:t>
            </w:r>
            <w:r>
              <w:t xml:space="preserve"> </w:t>
            </w:r>
            <w:r w:rsidRPr="00212F00">
              <w:t>b</w:t>
            </w:r>
            <w:r>
              <w:t>ut effectively limited by the 5 per cent</w:t>
            </w:r>
            <w:r w:rsidRPr="00212F00">
              <w:t xml:space="preserve"> </w:t>
            </w:r>
            <w:r>
              <w:t>of issued capital limit</w:t>
            </w:r>
          </w:p>
        </w:tc>
      </w:tr>
      <w:tr w:rsidR="00087C21" w14:paraId="19005A69" w14:textId="77777777" w:rsidTr="00023A32">
        <w:trPr>
          <w:trHeight w:val="1271"/>
        </w:trPr>
        <w:tc>
          <w:tcPr>
            <w:tcW w:w="2093" w:type="dxa"/>
          </w:tcPr>
          <w:p w14:paraId="69518FF0" w14:textId="77777777" w:rsidR="00087C21" w:rsidRPr="00212F00" w:rsidRDefault="00087C21" w:rsidP="00023A32">
            <w:pPr>
              <w:pStyle w:val="TableColumnHeadingLeft"/>
            </w:pPr>
            <w:r w:rsidRPr="00212F00">
              <w:t xml:space="preserve">Maximum amount to be paid by employee </w:t>
            </w:r>
          </w:p>
        </w:tc>
        <w:tc>
          <w:tcPr>
            <w:tcW w:w="3260" w:type="dxa"/>
          </w:tcPr>
          <w:p w14:paraId="790BD52F" w14:textId="77777777" w:rsidR="00087C21" w:rsidRPr="00212F00" w:rsidRDefault="00087C21" w:rsidP="00023A32">
            <w:pPr>
              <w:pStyle w:val="TableTextLeft"/>
            </w:pPr>
            <w:r w:rsidRPr="00B82DD0">
              <w:t>No more than no</w:t>
            </w:r>
            <w:r>
              <w:t>minal monetary consideration. If more than nominal consideration is payable on the exercise of options or units, then an expert valuation must be provided.</w:t>
            </w:r>
          </w:p>
        </w:tc>
        <w:tc>
          <w:tcPr>
            <w:tcW w:w="3544" w:type="dxa"/>
          </w:tcPr>
          <w:p w14:paraId="55FE5499" w14:textId="77777777" w:rsidR="00087C21" w:rsidRPr="00212F00" w:rsidRDefault="00087C21" w:rsidP="00023A32">
            <w:pPr>
              <w:pStyle w:val="TableTextLeft"/>
            </w:pPr>
            <w:r w:rsidRPr="00B82DD0">
              <w:t>No more than no</w:t>
            </w:r>
            <w:r>
              <w:t>minal monetary consideration</w:t>
            </w:r>
            <w:r w:rsidRPr="00212F00">
              <w:t xml:space="preserve"> if the product </w:t>
            </w:r>
            <w:r>
              <w:t xml:space="preserve">being offered (that is, options or rights) </w:t>
            </w:r>
            <w:r w:rsidRPr="00212F00">
              <w:t>i</w:t>
            </w:r>
            <w:r>
              <w:t>s</w:t>
            </w:r>
            <w:r w:rsidRPr="00212F00">
              <w:t xml:space="preserve"> not able to be traded on </w:t>
            </w:r>
            <w:r>
              <w:t xml:space="preserve">an </w:t>
            </w:r>
            <w:r w:rsidRPr="00212F00">
              <w:t>eligible financial market</w:t>
            </w:r>
          </w:p>
        </w:tc>
      </w:tr>
      <w:tr w:rsidR="00087C21" w14:paraId="191297AC" w14:textId="77777777" w:rsidTr="00023A32">
        <w:trPr>
          <w:trHeight w:val="708"/>
        </w:trPr>
        <w:tc>
          <w:tcPr>
            <w:tcW w:w="2093" w:type="dxa"/>
          </w:tcPr>
          <w:p w14:paraId="3D99260B" w14:textId="77777777" w:rsidR="00087C21" w:rsidRPr="00212F00" w:rsidRDefault="00087C21" w:rsidP="00023A32">
            <w:pPr>
              <w:pStyle w:val="TableColumnHeadingLeft"/>
            </w:pPr>
            <w:r>
              <w:t>Structures that can be used to make offers</w:t>
            </w:r>
          </w:p>
        </w:tc>
        <w:tc>
          <w:tcPr>
            <w:tcW w:w="3260" w:type="dxa"/>
          </w:tcPr>
          <w:p w14:paraId="37553ACE" w14:textId="77777777" w:rsidR="00087C21" w:rsidRPr="00B82DD0" w:rsidRDefault="00087C21" w:rsidP="00023A32">
            <w:pPr>
              <w:pStyle w:val="TableTextLeft"/>
            </w:pPr>
            <w:r>
              <w:t>Trusts (but not contribution plans or loan arrangements)</w:t>
            </w:r>
          </w:p>
        </w:tc>
        <w:tc>
          <w:tcPr>
            <w:tcW w:w="3544" w:type="dxa"/>
          </w:tcPr>
          <w:p w14:paraId="5BBDBD43" w14:textId="77777777" w:rsidR="00087C21" w:rsidRPr="00B82DD0" w:rsidRDefault="00087C21" w:rsidP="00023A32">
            <w:pPr>
              <w:pStyle w:val="TableTextLeft"/>
            </w:pPr>
            <w:r>
              <w:t>Trusts, contribution plans and certain types of loan arrangements</w:t>
            </w:r>
          </w:p>
        </w:tc>
      </w:tr>
      <w:tr w:rsidR="00087C21" w14:paraId="2A3A5CC9" w14:textId="77777777" w:rsidTr="00023A32">
        <w:tc>
          <w:tcPr>
            <w:tcW w:w="2093" w:type="dxa"/>
          </w:tcPr>
          <w:p w14:paraId="79515D46" w14:textId="77777777" w:rsidR="00087C21" w:rsidRPr="00212F00" w:rsidRDefault="00087C21" w:rsidP="00023A32">
            <w:pPr>
              <w:pStyle w:val="TableColumnHeadingLeft"/>
            </w:pPr>
            <w:r>
              <w:t>Minimum disclosure requirements</w:t>
            </w:r>
            <w:r w:rsidRPr="00212F00">
              <w:t xml:space="preserve"> </w:t>
            </w:r>
          </w:p>
        </w:tc>
        <w:tc>
          <w:tcPr>
            <w:tcW w:w="3260" w:type="dxa"/>
          </w:tcPr>
          <w:p w14:paraId="417444AF" w14:textId="77777777" w:rsidR="00087C21" w:rsidRDefault="00087C21" w:rsidP="00023A32">
            <w:pPr>
              <w:pStyle w:val="TableTextLeft"/>
            </w:pPr>
            <w:r>
              <w:t>An o</w:t>
            </w:r>
            <w:r w:rsidRPr="00212F00">
              <w:t>ffer document including</w:t>
            </w:r>
            <w:r>
              <w:t xml:space="preserve"> a copy or summary of</w:t>
            </w:r>
            <w:r w:rsidRPr="00212F00">
              <w:t xml:space="preserve"> the terms of the ESS</w:t>
            </w:r>
            <w:r>
              <w:t xml:space="preserve">, general information on the risks of acquiring products under the ESS, a general risk warning on the value of the products and a warning about general advice. </w:t>
            </w:r>
          </w:p>
          <w:p w14:paraId="247BC9F6" w14:textId="77777777" w:rsidR="00087C21" w:rsidRDefault="00087C21" w:rsidP="00023A32">
            <w:pPr>
              <w:pStyle w:val="TableTextLeft"/>
            </w:pPr>
            <w:r>
              <w:t>The offer document must be accompanied by a copy of the annual report (including financial statements), a director’s solvency resolution and a valuation resolution (including an explanation of the methodology used by the directors).</w:t>
            </w:r>
            <w:r w:rsidRPr="00212F00">
              <w:t xml:space="preserve">  </w:t>
            </w:r>
          </w:p>
          <w:p w14:paraId="3BFFBAC8" w14:textId="77777777" w:rsidR="00087C21" w:rsidRPr="00212F00" w:rsidRDefault="00087C21" w:rsidP="00023A32">
            <w:pPr>
              <w:pStyle w:val="TableTextLeft"/>
            </w:pPr>
            <w:r>
              <w:t>If the ESS involves a trust, a copy or summary of the trust deed.</w:t>
            </w:r>
          </w:p>
        </w:tc>
        <w:tc>
          <w:tcPr>
            <w:tcW w:w="3544" w:type="dxa"/>
          </w:tcPr>
          <w:p w14:paraId="5CAD7162" w14:textId="77777777" w:rsidR="00087C21" w:rsidRDefault="00087C21" w:rsidP="00023A32">
            <w:pPr>
              <w:pStyle w:val="TableTextLeft"/>
            </w:pPr>
            <w:r>
              <w:t>An o</w:t>
            </w:r>
            <w:r w:rsidRPr="00212F00">
              <w:t>ffer document including</w:t>
            </w:r>
            <w:r>
              <w:t xml:space="preserve"> a copy or summary of</w:t>
            </w:r>
            <w:r w:rsidRPr="00212F00">
              <w:t xml:space="preserve"> the terms of the ESS</w:t>
            </w:r>
            <w:r>
              <w:t xml:space="preserve">, general information on the risks of acquiring products under the ESS, and a warning about general advice. </w:t>
            </w:r>
          </w:p>
          <w:p w14:paraId="04E39792" w14:textId="77777777" w:rsidR="00087C21" w:rsidRPr="00212F00" w:rsidRDefault="00087C21" w:rsidP="00023A32">
            <w:pPr>
              <w:pStyle w:val="TableTextLeft"/>
            </w:pPr>
            <w:r>
              <w:t xml:space="preserve">If the ESS involves a trust, contribution plan or loan arrangements, a copy or summary of the relevant arrangements (for example, trust deed or terms of the contribution plan).  </w:t>
            </w:r>
          </w:p>
        </w:tc>
      </w:tr>
    </w:tbl>
    <w:p w14:paraId="1C064CF5" w14:textId="77777777" w:rsidR="00087C21" w:rsidRDefault="00087C21" w:rsidP="00087C21">
      <w:pPr>
        <w:pStyle w:val="Heading2"/>
      </w:pPr>
    </w:p>
    <w:p w14:paraId="38C326D9" w14:textId="77777777" w:rsidR="00087C21" w:rsidRDefault="00087C21" w:rsidP="00087C21">
      <w:pPr>
        <w:rPr>
          <w:rFonts w:cs="Arial"/>
          <w:color w:val="004A7F"/>
          <w:kern w:val="32"/>
          <w:sz w:val="36"/>
          <w:szCs w:val="28"/>
        </w:rPr>
      </w:pPr>
      <w:r>
        <w:br w:type="page"/>
      </w:r>
    </w:p>
    <w:p w14:paraId="5663D7D0" w14:textId="5B24414F" w:rsidR="00C10708" w:rsidRPr="00B82783" w:rsidRDefault="00C10708" w:rsidP="00B82783">
      <w:pPr>
        <w:pStyle w:val="Heading2"/>
      </w:pPr>
      <w:bookmarkStart w:id="28" w:name="_Toc4493775"/>
      <w:bookmarkStart w:id="29" w:name="_Toc532763882"/>
      <w:r w:rsidRPr="00B82783">
        <w:lastRenderedPageBreak/>
        <w:t xml:space="preserve">Limitations </w:t>
      </w:r>
      <w:r w:rsidR="008651F2">
        <w:t>of</w:t>
      </w:r>
      <w:r w:rsidRPr="00B82783">
        <w:t xml:space="preserve"> the current regulatory framework</w:t>
      </w:r>
      <w:bookmarkEnd w:id="28"/>
    </w:p>
    <w:p w14:paraId="51F5C585" w14:textId="3BDC713B" w:rsidR="0090273F" w:rsidRDefault="0090273F" w:rsidP="00953FFF">
      <w:pPr>
        <w:pStyle w:val="Heading3noTOC"/>
      </w:pPr>
      <w:r>
        <w:t>Complex and fragmented</w:t>
      </w:r>
    </w:p>
    <w:p w14:paraId="5DB208CC" w14:textId="2563527E" w:rsidR="00187CE0" w:rsidRDefault="00187CE0" w:rsidP="00187CE0">
      <w:r>
        <w:t xml:space="preserve">While the current regulatory framework provides a range of exemptions </w:t>
      </w:r>
      <w:r w:rsidR="00953FFF">
        <w:t>to facilitate</w:t>
      </w:r>
      <w:r w:rsidR="00480B83">
        <w:t xml:space="preserve"> </w:t>
      </w:r>
      <w:r w:rsidR="00953FFF">
        <w:t xml:space="preserve">ESS </w:t>
      </w:r>
      <w:r w:rsidR="00480B83">
        <w:t>offers</w:t>
      </w:r>
      <w:r>
        <w:t>, the</w:t>
      </w:r>
      <w:r w:rsidR="00480B83">
        <w:t>se</w:t>
      </w:r>
      <w:r>
        <w:t xml:space="preserve"> exemptions are complex and fragmented</w:t>
      </w:r>
      <w:r w:rsidR="009938F9">
        <w:t xml:space="preserve">, increasing the time and cost associated with </w:t>
      </w:r>
      <w:r w:rsidR="0005319A">
        <w:t>offering ESS</w:t>
      </w:r>
      <w:r w:rsidR="00FA02F6">
        <w:t>s</w:t>
      </w:r>
      <w:r w:rsidR="0005319A">
        <w:t>.</w:t>
      </w:r>
    </w:p>
    <w:p w14:paraId="50B21798" w14:textId="23573163" w:rsidR="009C1911" w:rsidRDefault="00187CE0" w:rsidP="00187CE0">
      <w:r>
        <w:t xml:space="preserve">It </w:t>
      </w:r>
      <w:r w:rsidR="0005319A">
        <w:t>may</w:t>
      </w:r>
      <w:r>
        <w:t xml:space="preserve"> be difficult for employers to understand how the</w:t>
      </w:r>
      <w:r w:rsidR="0005319A">
        <w:t xml:space="preserve"> various statutory</w:t>
      </w:r>
      <w:r>
        <w:t xml:space="preserve"> exemptions and </w:t>
      </w:r>
      <w:r w:rsidR="0005319A">
        <w:t xml:space="preserve">ASIC </w:t>
      </w:r>
      <w:r>
        <w:t>relief work</w:t>
      </w:r>
      <w:r w:rsidR="00953FFF">
        <w:t>, given the relief is</w:t>
      </w:r>
      <w:r w:rsidR="0005319A">
        <w:t xml:space="preserve"> </w:t>
      </w:r>
      <w:r w:rsidR="00953FFF">
        <w:t>located</w:t>
      </w:r>
      <w:r w:rsidR="00FB33DB">
        <w:t xml:space="preserve"> across the </w:t>
      </w:r>
      <w:r w:rsidR="00953FFF">
        <w:t xml:space="preserve">both the </w:t>
      </w:r>
      <w:r w:rsidR="00FB33DB">
        <w:t xml:space="preserve">Corporations Act and ASIC </w:t>
      </w:r>
      <w:r w:rsidR="00953FFF">
        <w:t>class orders. The</w:t>
      </w:r>
      <w:r w:rsidR="00FB33DB">
        <w:t xml:space="preserve"> differing scopes and conditions associated with the exemptions and ASIC relief</w:t>
      </w:r>
      <w:r w:rsidR="00953FFF">
        <w:t xml:space="preserve"> adds to the </w:t>
      </w:r>
      <w:r w:rsidR="006E1761">
        <w:t xml:space="preserve">legal </w:t>
      </w:r>
      <w:r w:rsidR="00953FFF">
        <w:t>complexity</w:t>
      </w:r>
      <w:r>
        <w:t xml:space="preserve">. </w:t>
      </w:r>
    </w:p>
    <w:p w14:paraId="6D153FF2" w14:textId="390F44F8" w:rsidR="001706C9" w:rsidRDefault="001706C9" w:rsidP="00187CE0">
      <w:r>
        <w:t>In addition, many small businesses have limited digitalisation of their systems and processes and their capacity to keep track of compliance with regulatory requirements is more limited.</w:t>
      </w:r>
    </w:p>
    <w:p w14:paraId="12F0B6EF" w14:textId="6EB25E77" w:rsidR="0090273F" w:rsidRDefault="0090273F" w:rsidP="00953FFF">
      <w:pPr>
        <w:pStyle w:val="Heading3noTOC"/>
      </w:pPr>
      <w:r>
        <w:t>Too restrictive</w:t>
      </w:r>
    </w:p>
    <w:p w14:paraId="6A4D8568" w14:textId="74474722" w:rsidR="0065680F" w:rsidRDefault="0065680F" w:rsidP="00187CE0">
      <w:r>
        <w:t>W</w:t>
      </w:r>
      <w:r w:rsidR="00217C51">
        <w:t>hile the ASIC class o</w:t>
      </w:r>
      <w:r w:rsidR="00187CE0">
        <w:t xml:space="preserve">rders provide relief </w:t>
      </w:r>
      <w:r>
        <w:t xml:space="preserve">to minimise the compliance burden for </w:t>
      </w:r>
      <w:r w:rsidR="00217C51">
        <w:t>ESS</w:t>
      </w:r>
      <w:r>
        <w:t xml:space="preserve"> offers</w:t>
      </w:r>
      <w:r w:rsidR="00187CE0">
        <w:t xml:space="preserve">, </w:t>
      </w:r>
      <w:r w:rsidR="00217C51">
        <w:t xml:space="preserve">some stakeholders may consider </w:t>
      </w:r>
      <w:r w:rsidR="00187CE0">
        <w:t>the</w:t>
      </w:r>
      <w:r>
        <w:t xml:space="preserve"> conditions o</w:t>
      </w:r>
      <w:r w:rsidR="00F000BC">
        <w:t>f</w:t>
      </w:r>
      <w:r>
        <w:t xml:space="preserve"> this relief</w:t>
      </w:r>
      <w:r w:rsidR="00187CE0">
        <w:t xml:space="preserve"> to be overly restrictive. </w:t>
      </w:r>
    </w:p>
    <w:p w14:paraId="66B9E9BB" w14:textId="3F43E044" w:rsidR="00187CE0" w:rsidRDefault="00187CE0" w:rsidP="00187CE0">
      <w:r>
        <w:t>Anecdotally, we understand that some of the conditions</w:t>
      </w:r>
      <w:r w:rsidR="001D4BDF">
        <w:t xml:space="preserve"> of the ASIC Class Orders</w:t>
      </w:r>
      <w:r>
        <w:t xml:space="preserve">, particularly the $5,000 limit </w:t>
      </w:r>
      <w:r w:rsidR="0065680F">
        <w:t>per employee</w:t>
      </w:r>
      <w:r w:rsidR="001D4BDF">
        <w:t>,</w:t>
      </w:r>
      <w:r w:rsidR="0036742B">
        <w:t xml:space="preserve"> the inability to utilise contribution plans</w:t>
      </w:r>
      <w:r w:rsidR="001D4BDF">
        <w:t xml:space="preserve"> or the requirement to obtain an independent valuation in certain circumstances</w:t>
      </w:r>
      <w:r w:rsidR="00217C51">
        <w:t>,</w:t>
      </w:r>
      <w:r>
        <w:t xml:space="preserve"> may constrain a company from making </w:t>
      </w:r>
      <w:r w:rsidR="00F000BC">
        <w:t xml:space="preserve">ESS </w:t>
      </w:r>
      <w:r>
        <w:t>offers</w:t>
      </w:r>
      <w:r w:rsidR="0065680F">
        <w:t xml:space="preserve">. In some cases, </w:t>
      </w:r>
      <w:r>
        <w:t xml:space="preserve">companies </w:t>
      </w:r>
      <w:r w:rsidR="0065680F">
        <w:t xml:space="preserve">have sought </w:t>
      </w:r>
      <w:r>
        <w:t xml:space="preserve">individual relief from ASIC to make an ESS offer </w:t>
      </w:r>
      <w:r w:rsidR="0065680F">
        <w:t>in excess of the</w:t>
      </w:r>
      <w:r>
        <w:t xml:space="preserve"> $5,000 </w:t>
      </w:r>
      <w:r w:rsidR="0065680F">
        <w:t>limit, which</w:t>
      </w:r>
      <w:r w:rsidR="00217C51">
        <w:t xml:space="preserve"> also</w:t>
      </w:r>
      <w:r w:rsidR="0065680F">
        <w:t xml:space="preserve"> increases the time and cost burden for companies.</w:t>
      </w:r>
    </w:p>
    <w:p w14:paraId="1465E6FB" w14:textId="6D759040" w:rsidR="0090273F" w:rsidRPr="0009701C" w:rsidRDefault="00061C74" w:rsidP="00953FFF">
      <w:pPr>
        <w:pStyle w:val="Heading3noTOC"/>
      </w:pPr>
      <w:r>
        <w:t>Public disclosure of commercially sensitive information</w:t>
      </w:r>
    </w:p>
    <w:p w14:paraId="735D5C32" w14:textId="7A97DCC5" w:rsidR="0065680F" w:rsidRDefault="0065680F" w:rsidP="00DB06CF">
      <w:r>
        <w:t>Some stakeholder feedback has indicated that the disclosure obligations under the law can discourage small businesses from implementing an ESS because it may result in the public release of commercially sensitive information</w:t>
      </w:r>
      <w:r w:rsidRPr="008B467E">
        <w:t>.</w:t>
      </w:r>
    </w:p>
    <w:p w14:paraId="52DA05F1" w14:textId="44908039" w:rsidR="00FB0502" w:rsidRDefault="008D4E8F">
      <w:pPr>
        <w:spacing w:before="0" w:after="160" w:line="259" w:lineRule="auto"/>
        <w:rPr>
          <w:rFonts w:cs="Arial"/>
          <w:iCs/>
          <w:color w:val="004A7F"/>
          <w:kern w:val="32"/>
          <w:sz w:val="36"/>
          <w:szCs w:val="28"/>
        </w:rPr>
      </w:pPr>
      <w:r>
        <w:t xml:space="preserve">While there is currently </w:t>
      </w:r>
      <w:r w:rsidR="00A7082F">
        <w:t>an</w:t>
      </w:r>
      <w:r w:rsidR="007C51E4">
        <w:t xml:space="preserve"> exemption from the public </w:t>
      </w:r>
      <w:r w:rsidR="0061423F">
        <w:t>access requirement for</w:t>
      </w:r>
      <w:r w:rsidR="007C51E4">
        <w:t xml:space="preserve"> disclosure documents </w:t>
      </w:r>
      <w:r>
        <w:t>lodged with ASIC, this exemption only applies to eligible ESS offers by</w:t>
      </w:r>
      <w:r w:rsidR="00187CE0" w:rsidRPr="00C067EB">
        <w:t xml:space="preserve"> start-ups businesses</w:t>
      </w:r>
      <w:r w:rsidR="00187CE0">
        <w:t xml:space="preserve"> (that are </w:t>
      </w:r>
      <w:r>
        <w:t xml:space="preserve">eligible for </w:t>
      </w:r>
      <w:r w:rsidR="00187CE0">
        <w:t>ESS taxation concessions)</w:t>
      </w:r>
      <w:r w:rsidR="007C51E4">
        <w:rPr>
          <w:rStyle w:val="FootnoteReference"/>
        </w:rPr>
        <w:footnoteReference w:id="16"/>
      </w:r>
      <w:r w:rsidR="00187CE0" w:rsidRPr="00C067EB">
        <w:t xml:space="preserve">. </w:t>
      </w:r>
      <w:r w:rsidR="007C51E4">
        <w:t xml:space="preserve">There </w:t>
      </w:r>
      <w:r w:rsidR="00187CE0" w:rsidRPr="00C067EB">
        <w:t xml:space="preserve">may be </w:t>
      </w:r>
      <w:r>
        <w:t xml:space="preserve">other </w:t>
      </w:r>
      <w:r w:rsidR="00187CE0" w:rsidRPr="00C067EB">
        <w:t>small businesses that wish to make ESS offers that do not have the benefit of this exemption</w:t>
      </w:r>
      <w:r w:rsidR="007C51E4">
        <w:t>.</w:t>
      </w:r>
      <w:r>
        <w:t xml:space="preserve"> </w:t>
      </w:r>
      <w:r w:rsidR="00FB0502">
        <w:br w:type="page"/>
      </w:r>
    </w:p>
    <w:p w14:paraId="68550AF0" w14:textId="3F2B3D6A" w:rsidR="00B82783" w:rsidRDefault="00F61AA9" w:rsidP="00DB06CF">
      <w:pPr>
        <w:pStyle w:val="Heading1"/>
      </w:pPr>
      <w:bookmarkStart w:id="30" w:name="_Toc4493776"/>
      <w:bookmarkStart w:id="31" w:name="_Toc532763887"/>
      <w:bookmarkEnd w:id="29"/>
      <w:r>
        <w:lastRenderedPageBreak/>
        <w:t>Options for reform</w:t>
      </w:r>
      <w:bookmarkEnd w:id="30"/>
    </w:p>
    <w:bookmarkEnd w:id="31"/>
    <w:p w14:paraId="4E22C74E" w14:textId="13764A7B" w:rsidR="001866AB" w:rsidRPr="00302773" w:rsidRDefault="00910975" w:rsidP="0042741A">
      <w:r>
        <w:t>The</w:t>
      </w:r>
      <w:r w:rsidR="0042741A">
        <w:t xml:space="preserve"> </w:t>
      </w:r>
      <w:r w:rsidR="001866AB">
        <w:t>Government</w:t>
      </w:r>
      <w:r>
        <w:t>’s</w:t>
      </w:r>
      <w:r w:rsidR="001866AB">
        <w:t xml:space="preserve"> </w:t>
      </w:r>
      <w:r w:rsidR="003D3F5D">
        <w:t xml:space="preserve">proposals to </w:t>
      </w:r>
      <w:r w:rsidR="001866AB" w:rsidRPr="00302773">
        <w:t>simplify and ex</w:t>
      </w:r>
      <w:r>
        <w:t>pand</w:t>
      </w:r>
      <w:r w:rsidR="001866AB" w:rsidRPr="00302773">
        <w:t xml:space="preserve"> </w:t>
      </w:r>
      <w:r w:rsidR="00480B83">
        <w:t xml:space="preserve">the regulatory </w:t>
      </w:r>
      <w:r w:rsidR="00B67315">
        <w:t>exemptions</w:t>
      </w:r>
      <w:r w:rsidR="00480B83">
        <w:t xml:space="preserve"> for </w:t>
      </w:r>
      <w:r>
        <w:t>ESS</w:t>
      </w:r>
      <w:r w:rsidR="00FA02F6">
        <w:t>s</w:t>
      </w:r>
      <w:r w:rsidR="003D3F5D">
        <w:t xml:space="preserve"> include</w:t>
      </w:r>
      <w:r w:rsidR="001866AB" w:rsidRPr="00302773">
        <w:t>:</w:t>
      </w:r>
    </w:p>
    <w:p w14:paraId="2744DA32" w14:textId="66FCF2EF" w:rsidR="001866AB" w:rsidRPr="00302773" w:rsidRDefault="003D3F5D" w:rsidP="001866AB">
      <w:pPr>
        <w:pStyle w:val="Bullet"/>
        <w:numPr>
          <w:ilvl w:val="0"/>
          <w:numId w:val="15"/>
        </w:numPr>
        <w:spacing w:after="200" w:line="276" w:lineRule="auto"/>
      </w:pPr>
      <w:r>
        <w:t xml:space="preserve">consolidating the </w:t>
      </w:r>
      <w:r w:rsidR="00150997">
        <w:t>statutory exemptions f</w:t>
      </w:r>
      <w:r w:rsidR="00F10284">
        <w:t>rom</w:t>
      </w:r>
      <w:r w:rsidR="001866AB" w:rsidRPr="00302773">
        <w:t xml:space="preserve"> disclosure, licensing, advertising</w:t>
      </w:r>
      <w:r>
        <w:t xml:space="preserve">, </w:t>
      </w:r>
      <w:r w:rsidR="006A720C">
        <w:t>anti-</w:t>
      </w:r>
      <w:r w:rsidRPr="004A337D">
        <w:t>hawking,</w:t>
      </w:r>
      <w:r>
        <w:t xml:space="preserve"> managed investment scheme</w:t>
      </w:r>
      <w:r w:rsidR="001866AB" w:rsidRPr="00302773">
        <w:t xml:space="preserve"> and on-sale obligations under the </w:t>
      </w:r>
      <w:r w:rsidR="001866AB" w:rsidRPr="004C19B6">
        <w:t>Corporations Act</w:t>
      </w:r>
      <w:r w:rsidR="00F10284">
        <w:t xml:space="preserve"> </w:t>
      </w:r>
      <w:r w:rsidR="00FC0420">
        <w:t>and</w:t>
      </w:r>
      <w:r w:rsidR="00F10284">
        <w:t xml:space="preserve"> ASIC class order relief in [CO 14/1000] and [CO 14/1001]</w:t>
      </w:r>
      <w:r w:rsidR="00A5552F">
        <w:t xml:space="preserve"> and simplifying the</w:t>
      </w:r>
      <w:r w:rsidR="00FC0420">
        <w:t xml:space="preserve"> requirements of these</w:t>
      </w:r>
      <w:r w:rsidR="00A5552F">
        <w:t xml:space="preserve"> exemptions</w:t>
      </w:r>
      <w:r w:rsidR="001866AB" w:rsidRPr="00302773">
        <w:t>;</w:t>
      </w:r>
    </w:p>
    <w:p w14:paraId="1773885C" w14:textId="1100B58F" w:rsidR="001866AB" w:rsidRPr="00302773" w:rsidRDefault="001866AB" w:rsidP="001866AB">
      <w:pPr>
        <w:pStyle w:val="Bullet"/>
        <w:numPr>
          <w:ilvl w:val="0"/>
          <w:numId w:val="15"/>
        </w:numPr>
        <w:spacing w:after="200" w:line="276" w:lineRule="auto"/>
      </w:pPr>
      <w:r w:rsidRPr="00302773">
        <w:t>increas</w:t>
      </w:r>
      <w:r w:rsidR="003D3F5D">
        <w:t>ing</w:t>
      </w:r>
      <w:r w:rsidR="00F2698A">
        <w:t xml:space="preserve"> the value limit of </w:t>
      </w:r>
      <w:r w:rsidRPr="00302773">
        <w:t>financial products that</w:t>
      </w:r>
      <w:r w:rsidR="00B76857">
        <w:t xml:space="preserve"> unlisted companies can offer </w:t>
      </w:r>
      <w:r w:rsidRPr="00302773">
        <w:t>in a 12 month period from $5,000 per employee to $10,000 per employee;</w:t>
      </w:r>
    </w:p>
    <w:p w14:paraId="4642DCE1" w14:textId="5AE0942D" w:rsidR="001866AB" w:rsidRPr="00302773" w:rsidRDefault="001866AB" w:rsidP="001866AB">
      <w:pPr>
        <w:pStyle w:val="Bullet"/>
        <w:numPr>
          <w:ilvl w:val="0"/>
          <w:numId w:val="15"/>
        </w:numPr>
        <w:spacing w:after="200" w:line="276" w:lineRule="auto"/>
      </w:pPr>
      <w:r w:rsidRPr="00302773">
        <w:t>expand</w:t>
      </w:r>
      <w:r w:rsidR="0042741A">
        <w:t>ing the relief for unlisted companies</w:t>
      </w:r>
      <w:r w:rsidRPr="00302773">
        <w:t xml:space="preserve"> </w:t>
      </w:r>
      <w:r w:rsidR="0042741A">
        <w:t>to cover</w:t>
      </w:r>
      <w:r w:rsidRPr="00302773">
        <w:t xml:space="preserve"> contribution plans, where an employee can make a monetary contribution to acquire eligible financial products</w:t>
      </w:r>
      <w:r w:rsidR="0042741A">
        <w:t xml:space="preserve"> through an ESS</w:t>
      </w:r>
      <w:r w:rsidRPr="00302773">
        <w:t>; and</w:t>
      </w:r>
    </w:p>
    <w:p w14:paraId="0E208B11" w14:textId="55CA3D3D" w:rsidR="001866AB" w:rsidRPr="00302773" w:rsidRDefault="001866AB" w:rsidP="001866AB">
      <w:pPr>
        <w:pStyle w:val="Bullet"/>
        <w:numPr>
          <w:ilvl w:val="0"/>
          <w:numId w:val="15"/>
        </w:numPr>
        <w:spacing w:after="200" w:line="276" w:lineRule="auto"/>
      </w:pPr>
      <w:proofErr w:type="gramStart"/>
      <w:r w:rsidRPr="00302773">
        <w:t>allow</w:t>
      </w:r>
      <w:r w:rsidR="0042741A">
        <w:t>ing</w:t>
      </w:r>
      <w:proofErr w:type="gramEnd"/>
      <w:r w:rsidRPr="00302773">
        <w:t xml:space="preserve"> small </w:t>
      </w:r>
      <w:r>
        <w:t>companies</w:t>
      </w:r>
      <w:r w:rsidRPr="00302773">
        <w:t xml:space="preserve"> to </w:t>
      </w:r>
      <w:r w:rsidR="0042741A">
        <w:t>make ESS offers</w:t>
      </w:r>
      <w:r w:rsidRPr="00302773">
        <w:t xml:space="preserve"> </w:t>
      </w:r>
      <w:r w:rsidR="003F3A9B">
        <w:t xml:space="preserve">under a lodged disclosure document </w:t>
      </w:r>
      <w:r w:rsidRPr="00302773">
        <w:t>without publicly disclosing commercially sensitive financial information</w:t>
      </w:r>
      <w:r w:rsidR="0042741A">
        <w:t>,</w:t>
      </w:r>
      <w:r w:rsidRPr="00302773">
        <w:t xml:space="preserve"> unless they are otherwise obligated to do</w:t>
      </w:r>
      <w:r w:rsidR="0042741A">
        <w:t xml:space="preserve"> so</w:t>
      </w:r>
      <w:r w:rsidRPr="00302773">
        <w:t>.</w:t>
      </w:r>
    </w:p>
    <w:p w14:paraId="1183D129" w14:textId="75AF668C" w:rsidR="001866AB" w:rsidRDefault="001866AB" w:rsidP="001866AB">
      <w:r>
        <w:t xml:space="preserve">The aim of </w:t>
      </w:r>
      <w:r w:rsidR="00F61AA9">
        <w:t>these proposals</w:t>
      </w:r>
      <w:r>
        <w:t xml:space="preserve"> is to make the regulatory framework less complex</w:t>
      </w:r>
      <w:r w:rsidR="00F61AA9">
        <w:t>,</w:t>
      </w:r>
      <w:r w:rsidR="00F61AA9">
        <w:rPr>
          <w:rFonts w:ascii="Lato" w:hAnsi="Lato" w:cs="Helvetica"/>
          <w:color w:val="333333"/>
          <w:lang w:val="en-US"/>
        </w:rPr>
        <w:t xml:space="preserve"> </w:t>
      </w:r>
      <w:r w:rsidR="00F61AA9" w:rsidRPr="00DB06CF">
        <w:t xml:space="preserve">reducing the time and cost burden for </w:t>
      </w:r>
      <w:r w:rsidR="00F61AA9">
        <w:t xml:space="preserve">small </w:t>
      </w:r>
      <w:r w:rsidR="00F61AA9" w:rsidRPr="00DB06CF">
        <w:t>businesses</w:t>
      </w:r>
      <w:r w:rsidR="00F61AA9">
        <w:t xml:space="preserve"> offering </w:t>
      </w:r>
      <w:r w:rsidR="00195C0D">
        <w:t xml:space="preserve">an </w:t>
      </w:r>
      <w:r w:rsidR="00F61AA9">
        <w:t>ESS.</w:t>
      </w:r>
      <w:r w:rsidR="00F61AA9">
        <w:rPr>
          <w:rFonts w:ascii="Lato" w:hAnsi="Lato" w:cs="Helvetica"/>
          <w:color w:val="333333"/>
          <w:lang w:val="en-US"/>
        </w:rPr>
        <w:t xml:space="preserve"> </w:t>
      </w:r>
    </w:p>
    <w:p w14:paraId="08FBDE66" w14:textId="00D99A8C" w:rsidR="001866AB" w:rsidRDefault="001866AB" w:rsidP="001866AB">
      <w:r>
        <w:t xml:space="preserve">The </w:t>
      </w:r>
      <w:r w:rsidR="00F61AA9">
        <w:t xml:space="preserve">proposals also </w:t>
      </w:r>
      <w:r>
        <w:t xml:space="preserve">seek to </w:t>
      </w:r>
      <w:r w:rsidR="00F61AA9">
        <w:t xml:space="preserve">maintain </w:t>
      </w:r>
      <w:r>
        <w:t>the rationale underpinning t</w:t>
      </w:r>
      <w:r w:rsidR="00F2698A">
        <w:t>he relief provided by the ASIC class o</w:t>
      </w:r>
      <w:r>
        <w:t xml:space="preserve">rders </w:t>
      </w:r>
      <w:r w:rsidR="00F61AA9">
        <w:t xml:space="preserve">- in that </w:t>
      </w:r>
      <w:r w:rsidR="00F2698A">
        <w:t xml:space="preserve">they </w:t>
      </w:r>
      <w:r w:rsidR="00F105BB">
        <w:t xml:space="preserve">are </w:t>
      </w:r>
      <w:r w:rsidR="00F2698A">
        <w:t>designed to facilitate</w:t>
      </w:r>
      <w:r w:rsidR="00195C0D">
        <w:t xml:space="preserve"> </w:t>
      </w:r>
      <w:r w:rsidR="00F2698A">
        <w:t>ESS</w:t>
      </w:r>
      <w:r w:rsidR="00FA02F6">
        <w:t>s</w:t>
      </w:r>
      <w:r w:rsidR="00F61AA9">
        <w:t xml:space="preserve"> </w:t>
      </w:r>
      <w:r w:rsidR="00F105BB">
        <w:t>that</w:t>
      </w:r>
      <w:r w:rsidR="00F61AA9">
        <w:t xml:space="preserve"> aim to support</w:t>
      </w:r>
      <w:r>
        <w:t xml:space="preserve"> the interdependence between the employer and the employees for their long term mutual benefit, </w:t>
      </w:r>
      <w:r w:rsidR="00F61AA9">
        <w:t xml:space="preserve">where a minimum level of </w:t>
      </w:r>
      <w:r>
        <w:t xml:space="preserve">information </w:t>
      </w:r>
      <w:r w:rsidR="00F61AA9">
        <w:t xml:space="preserve">is provided to employees to help them decide whether to accept an ESS offer </w:t>
      </w:r>
      <w:r>
        <w:t xml:space="preserve">and </w:t>
      </w:r>
      <w:r w:rsidR="00F61AA9">
        <w:t xml:space="preserve">where </w:t>
      </w:r>
      <w:r>
        <w:t xml:space="preserve">the objective </w:t>
      </w:r>
      <w:r w:rsidR="00F2698A">
        <w:t>of the ESS</w:t>
      </w:r>
      <w:r w:rsidR="00F61AA9">
        <w:t xml:space="preserve"> </w:t>
      </w:r>
      <w:r>
        <w:t xml:space="preserve">is not fundraising. </w:t>
      </w:r>
    </w:p>
    <w:p w14:paraId="0E3A2080" w14:textId="370AAECC" w:rsidR="00EE1912" w:rsidRDefault="00EE1912" w:rsidP="001866AB">
      <w:r>
        <w:t xml:space="preserve">Noting that the </w:t>
      </w:r>
      <w:r w:rsidR="00F105BB">
        <w:t xml:space="preserve">proposed </w:t>
      </w:r>
      <w:r>
        <w:t xml:space="preserve">reforms are focused on making it easier for small businesses to attract and motivate staff through making it easier to access ESSs, the proposals in this paper are </w:t>
      </w:r>
      <w:r w:rsidR="00B76857">
        <w:t xml:space="preserve">mostly </w:t>
      </w:r>
      <w:r>
        <w:t>targeted at unlisted companies. However, we recognise than some listed companies may be ‘start-ups’ or small in size and scale</w:t>
      </w:r>
      <w:r w:rsidR="000E62A4">
        <w:t xml:space="preserve"> or that listed companies may similarly benefit from the proposed reforms</w:t>
      </w:r>
      <w:r>
        <w:t xml:space="preserve">. As such, </w:t>
      </w:r>
      <w:r w:rsidR="007C6367">
        <w:t xml:space="preserve">a separate </w:t>
      </w:r>
      <w:r>
        <w:t>question ha</w:t>
      </w:r>
      <w:r w:rsidR="007C6367">
        <w:t xml:space="preserve">s </w:t>
      </w:r>
      <w:r>
        <w:t>been included on possible reforms to assist listed companies, including whether the</w:t>
      </w:r>
      <w:r w:rsidRPr="00EE1912">
        <w:t xml:space="preserve"> </w:t>
      </w:r>
      <w:r>
        <w:t>relief available for listed companies should also be consolidated, simplified or expanded.</w:t>
      </w:r>
    </w:p>
    <w:p w14:paraId="418FB3FD" w14:textId="3868004B" w:rsidR="001866AB" w:rsidRPr="00CD65B1" w:rsidRDefault="001866AB" w:rsidP="00DB06CF">
      <w:pPr>
        <w:pStyle w:val="Heading2"/>
      </w:pPr>
      <w:bookmarkStart w:id="32" w:name="_Toc532763888"/>
      <w:bookmarkStart w:id="33" w:name="_Toc4493777"/>
      <w:r w:rsidRPr="00CD65B1">
        <w:t xml:space="preserve">Consolidating </w:t>
      </w:r>
      <w:r w:rsidR="00846E69">
        <w:t xml:space="preserve">and simplifying </w:t>
      </w:r>
      <w:r w:rsidRPr="00CD65B1">
        <w:t xml:space="preserve">existing exemptions and </w:t>
      </w:r>
      <w:r w:rsidR="00E15663">
        <w:t>AS</w:t>
      </w:r>
      <w:r w:rsidR="00F105BB">
        <w:t>I</w:t>
      </w:r>
      <w:r w:rsidR="00E15663">
        <w:t xml:space="preserve">C </w:t>
      </w:r>
      <w:r w:rsidRPr="00CD65B1">
        <w:t>relief</w:t>
      </w:r>
      <w:bookmarkEnd w:id="32"/>
      <w:bookmarkEnd w:id="33"/>
    </w:p>
    <w:p w14:paraId="7C6C1506" w14:textId="09550B8C" w:rsidR="00BD7F48" w:rsidRDefault="00526006" w:rsidP="00526006">
      <w:r>
        <w:t xml:space="preserve">While the current regulatory framework provides a range of exemptions that enable offers of </w:t>
      </w:r>
      <w:r w:rsidR="00EA32B1">
        <w:t>financial</w:t>
      </w:r>
      <w:r>
        <w:t xml:space="preserve"> products under an ESS, these exemptions are complex and fragmented across the Corporations Act and ASIC </w:t>
      </w:r>
      <w:r w:rsidR="00EA32B1">
        <w:t>class orders</w:t>
      </w:r>
      <w:r>
        <w:t xml:space="preserve">. </w:t>
      </w:r>
      <w:r w:rsidR="00C5133F">
        <w:t>In addition t</w:t>
      </w:r>
      <w:r w:rsidR="00BD7F48">
        <w:t xml:space="preserve">he definition of ESS offers under the Corporations Act for the statutory exemptions does not align with the </w:t>
      </w:r>
      <w:r w:rsidR="00301D2D">
        <w:t xml:space="preserve">broader </w:t>
      </w:r>
      <w:r w:rsidR="00BD7F48">
        <w:t>scope of ESS</w:t>
      </w:r>
      <w:r w:rsidR="00675415">
        <w:t>s</w:t>
      </w:r>
      <w:r w:rsidR="00BD7F48">
        <w:t xml:space="preserve"> covered by the ASIC class orders.</w:t>
      </w:r>
    </w:p>
    <w:p w14:paraId="5CF45CAE" w14:textId="26984D20" w:rsidR="00526006" w:rsidRDefault="00526006" w:rsidP="00526006">
      <w:r>
        <w:t>This legal complexity may result in increased legal costs for companies, which may discourage employers from offering an ESS. Consolidating the exemptions and ASIC relief may make it easier and less time consuming for businesses to understand and comply with the law.</w:t>
      </w:r>
    </w:p>
    <w:p w14:paraId="4BE6848C" w14:textId="4513DFBB" w:rsidR="0054609F" w:rsidRDefault="00902240" w:rsidP="001866AB">
      <w:r>
        <w:t>A</w:t>
      </w:r>
      <w:r w:rsidR="00464B31">
        <w:t xml:space="preserve"> variety of options exist for simplifying the existing legislative regime. The definition of </w:t>
      </w:r>
      <w:r w:rsidR="003924F9">
        <w:t>‘</w:t>
      </w:r>
      <w:r w:rsidR="00464B31">
        <w:t xml:space="preserve">eligible </w:t>
      </w:r>
      <w:r w:rsidR="003924F9">
        <w:t>ESS’</w:t>
      </w:r>
      <w:r w:rsidR="00464B31">
        <w:t xml:space="preserve"> under the statutory exemptions </w:t>
      </w:r>
      <w:r w:rsidR="009E6276">
        <w:t xml:space="preserve">could be simplified and </w:t>
      </w:r>
      <w:r w:rsidR="00021A32">
        <w:t>expanded to</w:t>
      </w:r>
      <w:r w:rsidR="000501A2">
        <w:t xml:space="preserve"> align with the</w:t>
      </w:r>
      <w:r w:rsidR="003924F9">
        <w:t xml:space="preserve"> broader category of</w:t>
      </w:r>
      <w:r w:rsidR="000501A2">
        <w:t xml:space="preserve"> </w:t>
      </w:r>
      <w:r w:rsidR="003924F9">
        <w:t>ESS</w:t>
      </w:r>
      <w:r w:rsidR="00F42F49">
        <w:t>s</w:t>
      </w:r>
      <w:r w:rsidR="000501A2">
        <w:t xml:space="preserve"> eligible for relief under the </w:t>
      </w:r>
      <w:r w:rsidR="004A0F7D">
        <w:t xml:space="preserve">ASIC </w:t>
      </w:r>
      <w:r w:rsidR="000501A2">
        <w:t>class orders</w:t>
      </w:r>
      <w:r w:rsidR="00464B31">
        <w:t xml:space="preserve">.  The </w:t>
      </w:r>
      <w:r w:rsidR="004A0F7D">
        <w:t>ASIC class order relief</w:t>
      </w:r>
      <w:r>
        <w:t xml:space="preserve"> </w:t>
      </w:r>
      <w:r w:rsidRPr="00302773">
        <w:t xml:space="preserve">for disclosure, </w:t>
      </w:r>
      <w:r w:rsidRPr="00302773">
        <w:lastRenderedPageBreak/>
        <w:t>licensing</w:t>
      </w:r>
      <w:r w:rsidR="004F14D2">
        <w:t>, advertising,</w:t>
      </w:r>
      <w:r w:rsidRPr="00302773">
        <w:t xml:space="preserve"> </w:t>
      </w:r>
      <w:r w:rsidRPr="004A337D">
        <w:t>hawking</w:t>
      </w:r>
      <w:r w:rsidR="004F14D2">
        <w:t xml:space="preserve">, </w:t>
      </w:r>
      <w:r>
        <w:t>managed investment scheme</w:t>
      </w:r>
      <w:r w:rsidRPr="00302773">
        <w:t xml:space="preserve"> and on-sale obligations </w:t>
      </w:r>
      <w:r w:rsidR="00341BD2">
        <w:t>could be</w:t>
      </w:r>
      <w:r w:rsidR="00F42F49">
        <w:t xml:space="preserve"> moved into the Corporations Act  and consolidated with</w:t>
      </w:r>
      <w:r w:rsidR="00301D2D">
        <w:t xml:space="preserve"> the</w:t>
      </w:r>
      <w:r w:rsidR="00F42F49">
        <w:t xml:space="preserve"> existing statutory exemptions for licensing and hawking</w:t>
      </w:r>
      <w:r w:rsidR="004F14D2">
        <w:t>,</w:t>
      </w:r>
      <w:r w:rsidR="00341BD2">
        <w:t xml:space="preserve"> to provide users with one complete set of obligations for ease of compliance</w:t>
      </w:r>
      <w:r w:rsidR="003C6020">
        <w:t>.</w:t>
      </w:r>
      <w:r w:rsidR="00341BD2">
        <w:t xml:space="preserve"> </w:t>
      </w:r>
    </w:p>
    <w:p w14:paraId="4A255705" w14:textId="79EE5BEC" w:rsidR="00C15A03" w:rsidRDefault="0054609F" w:rsidP="001866AB">
      <w:r>
        <w:t>It is proposed that ASIC would continue to have powers to grant individual relief from the disclosure, licensing and other obligations in the Corporations Act</w:t>
      </w:r>
      <w:r w:rsidR="00301D2D">
        <w:t>,</w:t>
      </w:r>
      <w:r>
        <w:t xml:space="preserve"> consistent with the current regime.</w:t>
      </w:r>
    </w:p>
    <w:p w14:paraId="2DF73E38" w14:textId="77777777" w:rsidR="00023A32" w:rsidRDefault="00023A32" w:rsidP="00023A32"/>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23A32" w14:paraId="371D9CE4" w14:textId="77777777" w:rsidTr="00023A32">
        <w:tc>
          <w:tcPr>
            <w:tcW w:w="5000" w:type="pct"/>
            <w:shd w:val="clear" w:color="auto" w:fill="EBEBEB"/>
          </w:tcPr>
          <w:p w14:paraId="011AAB76" w14:textId="77777777" w:rsidR="00023A32" w:rsidRDefault="00023A32" w:rsidP="00023A32">
            <w:pPr>
              <w:pStyle w:val="BoxHeading"/>
            </w:pPr>
            <w:r>
              <w:t>Questions</w:t>
            </w:r>
          </w:p>
          <w:p w14:paraId="01A5E3E8" w14:textId="48495CAD" w:rsidR="00B63B3C" w:rsidRDefault="007A6F7D" w:rsidP="00B63B3C">
            <w:pPr>
              <w:pStyle w:val="BoxText"/>
              <w:ind w:left="709" w:hanging="709"/>
            </w:pPr>
            <w:r w:rsidRPr="00F651D6">
              <w:rPr>
                <w:b/>
              </w:rPr>
              <w:t>1.</w:t>
            </w:r>
            <w:r>
              <w:rPr>
                <w:b/>
              </w:rPr>
              <w:t>1</w:t>
            </w:r>
            <w:r w:rsidR="009C0F29">
              <w:tab/>
            </w:r>
            <w:r w:rsidR="00B63B3C">
              <w:t xml:space="preserve">Do you support consolidating and simplifying the </w:t>
            </w:r>
            <w:r w:rsidR="00814C13">
              <w:t xml:space="preserve">statutory exemptions and ASIC </w:t>
            </w:r>
            <w:r w:rsidR="00E7067B">
              <w:t>Class Order [CO 14/1001]</w:t>
            </w:r>
            <w:r w:rsidR="00814C13">
              <w:t xml:space="preserve"> in the Corporations Act</w:t>
            </w:r>
            <w:r w:rsidR="00B63B3C" w:rsidRPr="006652A4">
              <w:t xml:space="preserve">?  </w:t>
            </w:r>
          </w:p>
          <w:p w14:paraId="19B0533C" w14:textId="20D3FD3C" w:rsidR="007A6F7D" w:rsidRDefault="00B63B3C" w:rsidP="00F651D6">
            <w:pPr>
              <w:pStyle w:val="BoxText"/>
              <w:ind w:left="720" w:hanging="720"/>
            </w:pPr>
            <w:r w:rsidRPr="00F651D6">
              <w:rPr>
                <w:b/>
              </w:rPr>
              <w:t>1.2</w:t>
            </w:r>
            <w:r w:rsidR="009C0F29">
              <w:tab/>
            </w:r>
            <w:r w:rsidR="00023A32">
              <w:t xml:space="preserve">Does the complexity of the current </w:t>
            </w:r>
            <w:r w:rsidR="007A6F7D">
              <w:t>regulatory framework for</w:t>
            </w:r>
            <w:r w:rsidR="00023A32">
              <w:t xml:space="preserve"> </w:t>
            </w:r>
            <w:r w:rsidR="00D41D72">
              <w:t>ESSs</w:t>
            </w:r>
            <w:r w:rsidR="00023A32">
              <w:t xml:space="preserve"> create significant difficulties for businesses looking to </w:t>
            </w:r>
            <w:r w:rsidR="007A6F7D">
              <w:t>offer</w:t>
            </w:r>
            <w:r w:rsidR="00023A32">
              <w:t xml:space="preserve"> an </w:t>
            </w:r>
            <w:r w:rsidR="00E7067B">
              <w:t>ESS</w:t>
            </w:r>
            <w:r w:rsidR="00023A32" w:rsidRPr="00982CDE">
              <w:t xml:space="preserve">?  </w:t>
            </w:r>
          </w:p>
          <w:p w14:paraId="19FBC8DC" w14:textId="37B1634F" w:rsidR="00023A32" w:rsidRDefault="00023A32" w:rsidP="00023A32">
            <w:pPr>
              <w:pStyle w:val="BoxText"/>
              <w:ind w:left="709" w:hanging="709"/>
            </w:pPr>
            <w:r w:rsidRPr="00DB06CF">
              <w:rPr>
                <w:b/>
              </w:rPr>
              <w:t>1.</w:t>
            </w:r>
            <w:r w:rsidR="007A6F7D">
              <w:rPr>
                <w:b/>
              </w:rPr>
              <w:t>3</w:t>
            </w:r>
            <w:r>
              <w:tab/>
              <w:t xml:space="preserve">Would there be significant </w:t>
            </w:r>
            <w:r w:rsidRPr="006652A4">
              <w:t xml:space="preserve">benefits or risks </w:t>
            </w:r>
            <w:r>
              <w:t xml:space="preserve">for business in </w:t>
            </w:r>
            <w:r w:rsidR="007A6F7D">
              <w:t xml:space="preserve">consolidating and </w:t>
            </w:r>
            <w:r>
              <w:t xml:space="preserve">simplifying the current </w:t>
            </w:r>
            <w:r w:rsidR="00E7067B">
              <w:t xml:space="preserve">regulatory </w:t>
            </w:r>
            <w:r>
              <w:t>regime</w:t>
            </w:r>
            <w:r w:rsidRPr="006652A4">
              <w:t xml:space="preserve">?  </w:t>
            </w:r>
          </w:p>
          <w:p w14:paraId="6B557111" w14:textId="03799BD8" w:rsidR="00023A32" w:rsidRDefault="00023A32" w:rsidP="00023A32">
            <w:pPr>
              <w:pStyle w:val="BoxText"/>
              <w:ind w:left="709" w:hanging="709"/>
            </w:pPr>
            <w:r w:rsidRPr="00DB06CF">
              <w:rPr>
                <w:b/>
              </w:rPr>
              <w:t>1.</w:t>
            </w:r>
            <w:r w:rsidR="007A6F7D">
              <w:rPr>
                <w:b/>
              </w:rPr>
              <w:t>4</w:t>
            </w:r>
            <w:r>
              <w:rPr>
                <w:b/>
              </w:rPr>
              <w:tab/>
            </w:r>
            <w:r w:rsidR="00051587">
              <w:t>Would compliance be significantly easier if the obligations applying to ESSs were all contained in the Corporations Act</w:t>
            </w:r>
            <w:r w:rsidR="00051587" w:rsidRPr="006652A4">
              <w:t>?</w:t>
            </w:r>
          </w:p>
          <w:p w14:paraId="47DF8E83" w14:textId="374C96AF" w:rsidR="00023A32" w:rsidRDefault="00023A32" w:rsidP="00023A32">
            <w:pPr>
              <w:pStyle w:val="BoxText"/>
              <w:ind w:left="709" w:hanging="709"/>
            </w:pPr>
            <w:r w:rsidRPr="00DB06CF">
              <w:rPr>
                <w:b/>
              </w:rPr>
              <w:t>1</w:t>
            </w:r>
            <w:r>
              <w:rPr>
                <w:b/>
              </w:rPr>
              <w:t>.</w:t>
            </w:r>
            <w:r w:rsidR="007A6F7D">
              <w:rPr>
                <w:b/>
              </w:rPr>
              <w:t>5</w:t>
            </w:r>
            <w:r>
              <w:tab/>
            </w:r>
            <w:r w:rsidR="00051587">
              <w:t>Are there significant advantages or disadvantages in using ASIC class orders as opposed to primary legislation to regulate ESSs?</w:t>
            </w:r>
            <w:r w:rsidR="00051587" w:rsidDel="00023A32">
              <w:t xml:space="preserve"> </w:t>
            </w:r>
          </w:p>
          <w:p w14:paraId="3E7CFFC6" w14:textId="103D9B62" w:rsidR="0054609F" w:rsidRDefault="00023A32" w:rsidP="007A6F7D">
            <w:pPr>
              <w:pStyle w:val="BoxText"/>
              <w:ind w:left="709" w:hanging="709"/>
            </w:pPr>
            <w:r w:rsidRPr="00DB06CF">
              <w:rPr>
                <w:b/>
              </w:rPr>
              <w:t>1.</w:t>
            </w:r>
            <w:r w:rsidR="007A6F7D">
              <w:rPr>
                <w:b/>
              </w:rPr>
              <w:t>6</w:t>
            </w:r>
            <w:r>
              <w:tab/>
            </w:r>
            <w:r w:rsidR="00051587">
              <w:t xml:space="preserve">Are </w:t>
            </w:r>
            <w:r w:rsidR="00051587" w:rsidRPr="006652A4">
              <w:t>there any requirements or conditions of the ASIC class order that should be removed or amended as part of the consolidation?</w:t>
            </w:r>
          </w:p>
          <w:p w14:paraId="666B22A9" w14:textId="59BEB6D1" w:rsidR="00023A32" w:rsidRDefault="0054609F" w:rsidP="00EC540E">
            <w:pPr>
              <w:pStyle w:val="BoxText"/>
              <w:tabs>
                <w:tab w:val="left" w:pos="7635"/>
              </w:tabs>
              <w:ind w:left="709" w:hanging="709"/>
            </w:pPr>
            <w:r w:rsidRPr="00F651D6">
              <w:rPr>
                <w:b/>
              </w:rPr>
              <w:t>1.7</w:t>
            </w:r>
            <w:r w:rsidR="009C0F29">
              <w:tab/>
            </w:r>
            <w:r>
              <w:t>Should ASIC be given a</w:t>
            </w:r>
            <w:r w:rsidR="00876EE4">
              <w:t>n additional</w:t>
            </w:r>
            <w:r>
              <w:t xml:space="preserve"> power to determine that a company should</w:t>
            </w:r>
            <w:r w:rsidR="00876EE4">
              <w:t xml:space="preserve"> not be permitted to rely on a statutory exemption for </w:t>
            </w:r>
            <w:r w:rsidR="007A3267">
              <w:t>an ESS</w:t>
            </w:r>
            <w:r>
              <w:t>?</w:t>
            </w:r>
          </w:p>
        </w:tc>
      </w:tr>
    </w:tbl>
    <w:p w14:paraId="7034321C" w14:textId="2261E266" w:rsidR="001866AB" w:rsidRPr="00DB06CF" w:rsidRDefault="001866AB" w:rsidP="00DB06CF">
      <w:pPr>
        <w:pStyle w:val="Heading2"/>
      </w:pPr>
      <w:bookmarkStart w:id="34" w:name="_Toc532763889"/>
      <w:bookmarkStart w:id="35" w:name="_Toc4493778"/>
      <w:r w:rsidRPr="00DB06CF">
        <w:t>Increas</w:t>
      </w:r>
      <w:r w:rsidR="00CF1977" w:rsidRPr="00DB06CF">
        <w:t>ing</w:t>
      </w:r>
      <w:r w:rsidRPr="00DB06CF">
        <w:t xml:space="preserve"> </w:t>
      </w:r>
      <w:bookmarkEnd w:id="34"/>
      <w:r w:rsidR="0057550E">
        <w:t xml:space="preserve">the </w:t>
      </w:r>
      <w:r w:rsidR="00696E27">
        <w:t>offer</w:t>
      </w:r>
      <w:r w:rsidR="0057550E">
        <w:t xml:space="preserve"> cap</w:t>
      </w:r>
      <w:r w:rsidR="00696E27">
        <w:t xml:space="preserve"> per employee</w:t>
      </w:r>
      <w:bookmarkEnd w:id="35"/>
      <w:r w:rsidR="00850CCB">
        <w:t xml:space="preserve"> </w:t>
      </w:r>
    </w:p>
    <w:p w14:paraId="0FD8ACC0" w14:textId="7B75F2B3" w:rsidR="000E50BC" w:rsidRDefault="001866AB" w:rsidP="001866AB">
      <w:r>
        <w:t xml:space="preserve">Currently </w:t>
      </w:r>
      <w:r w:rsidR="00676D0E">
        <w:t>unlisted companies seeking to make ESS offers without a disclosure document, in reliance on ASIC c</w:t>
      </w:r>
      <w:r>
        <w:t xml:space="preserve">lass </w:t>
      </w:r>
      <w:r w:rsidR="00676D0E">
        <w:t>o</w:t>
      </w:r>
      <w:r>
        <w:t>rder relief</w:t>
      </w:r>
      <w:r w:rsidR="00676D0E">
        <w:t xml:space="preserve">, can make offers </w:t>
      </w:r>
      <w:r>
        <w:t>up to $5,000 </w:t>
      </w:r>
      <w:r w:rsidR="00676D0E">
        <w:t xml:space="preserve">in value </w:t>
      </w:r>
      <w:r>
        <w:t xml:space="preserve">per employee over a 12 month period. </w:t>
      </w:r>
      <w:r w:rsidR="00613B29">
        <w:t>T</w:t>
      </w:r>
      <w:r w:rsidR="006F05E2">
        <w:t xml:space="preserve">his </w:t>
      </w:r>
      <w:r w:rsidR="000E50BC">
        <w:t>cap is impos</w:t>
      </w:r>
      <w:r w:rsidR="00C22CF2">
        <w:t xml:space="preserve">ed to reduce an employee’s risk, given it is </w:t>
      </w:r>
      <w:r w:rsidR="000E50BC">
        <w:t>difficult to establish a reliable market price</w:t>
      </w:r>
      <w:r w:rsidR="003B264D">
        <w:t xml:space="preserve"> </w:t>
      </w:r>
      <w:r w:rsidR="00C22CF2">
        <w:t xml:space="preserve">for an unlisted company’s shares </w:t>
      </w:r>
      <w:r w:rsidR="003B264D">
        <w:t>and there is no regulated disclosure document</w:t>
      </w:r>
      <w:r w:rsidR="000E50BC">
        <w:t xml:space="preserve">. </w:t>
      </w:r>
      <w:r w:rsidR="000E50BC">
        <w:rPr>
          <w:szCs w:val="22"/>
        </w:rPr>
        <w:t xml:space="preserve">Even where there is no monetary consideration </w:t>
      </w:r>
      <w:r w:rsidR="00B76857">
        <w:rPr>
          <w:szCs w:val="22"/>
        </w:rPr>
        <w:t xml:space="preserve">for </w:t>
      </w:r>
      <w:r w:rsidR="000E50BC">
        <w:rPr>
          <w:szCs w:val="22"/>
        </w:rPr>
        <w:t>the shares, there is consid</w:t>
      </w:r>
      <w:r w:rsidR="00C22CF2">
        <w:rPr>
          <w:szCs w:val="22"/>
        </w:rPr>
        <w:t xml:space="preserve">eration and risk, </w:t>
      </w:r>
      <w:r w:rsidR="00B76857">
        <w:rPr>
          <w:szCs w:val="22"/>
        </w:rPr>
        <w:t xml:space="preserve">because </w:t>
      </w:r>
      <w:r w:rsidR="00C22CF2">
        <w:rPr>
          <w:szCs w:val="22"/>
        </w:rPr>
        <w:t xml:space="preserve">  </w:t>
      </w:r>
      <w:r w:rsidR="000E50BC">
        <w:rPr>
          <w:szCs w:val="22"/>
        </w:rPr>
        <w:t>ESS</w:t>
      </w:r>
      <w:r w:rsidR="00675415">
        <w:rPr>
          <w:szCs w:val="22"/>
        </w:rPr>
        <w:t xml:space="preserve"> offers</w:t>
      </w:r>
      <w:r w:rsidR="000E50BC">
        <w:rPr>
          <w:szCs w:val="22"/>
        </w:rPr>
        <w:t xml:space="preserve"> will be one element of a wider remuneration arrangement. </w:t>
      </w:r>
    </w:p>
    <w:p w14:paraId="1D734B85" w14:textId="7107EA7E" w:rsidR="001866AB" w:rsidRDefault="001866AB" w:rsidP="001866AB">
      <w:r>
        <w:t xml:space="preserve">Some stakeholders have expressed concern about the relatively high administration costs that are created with </w:t>
      </w:r>
      <w:r w:rsidR="007A6F7D">
        <w:t>small</w:t>
      </w:r>
      <w:r>
        <w:t xml:space="preserve"> shareholders</w:t>
      </w:r>
      <w:r w:rsidR="00676D0E">
        <w:t xml:space="preserve"> and have indicated that the $5,000 limit may cons</w:t>
      </w:r>
      <w:r w:rsidR="00C22CF2">
        <w:t xml:space="preserve">train their ability to offer </w:t>
      </w:r>
      <w:r w:rsidR="00675415">
        <w:t xml:space="preserve">an </w:t>
      </w:r>
      <w:r w:rsidR="00676D0E">
        <w:t>ESS.</w:t>
      </w:r>
    </w:p>
    <w:p w14:paraId="6B24DDA5" w14:textId="784BB04C" w:rsidR="001866AB" w:rsidRDefault="006F05E2" w:rsidP="001866AB">
      <w:r>
        <w:t>One option is to increase the current</w:t>
      </w:r>
      <w:r w:rsidR="001866AB">
        <w:t xml:space="preserve"> $5,000 </w:t>
      </w:r>
      <w:r>
        <w:t xml:space="preserve">limit </w:t>
      </w:r>
      <w:r w:rsidR="001866AB" w:rsidRPr="00D546C8">
        <w:t xml:space="preserve">to $10,000 </w:t>
      </w:r>
      <w:r w:rsidR="001866AB">
        <w:t>per employee</w:t>
      </w:r>
      <w:r>
        <w:t>. T</w:t>
      </w:r>
      <w:r w:rsidR="001866AB">
        <w:t>his would increase the shareholding per employee</w:t>
      </w:r>
      <w:r w:rsidR="00613B29">
        <w:t>, and reduce per employee administrative costs associated with offering ESS</w:t>
      </w:r>
      <w:r w:rsidR="00675415">
        <w:t>s</w:t>
      </w:r>
      <w:r w:rsidR="00613B29">
        <w:t>.</w:t>
      </w:r>
    </w:p>
    <w:p w14:paraId="01B395E3" w14:textId="04B7BA50" w:rsidR="001C361B" w:rsidRDefault="00AD1A6B" w:rsidP="001866AB">
      <w:r>
        <w:t xml:space="preserve">While increasing the </w:t>
      </w:r>
      <w:r w:rsidR="009F54C0">
        <w:t xml:space="preserve">value </w:t>
      </w:r>
      <w:r>
        <w:t xml:space="preserve">limit increases </w:t>
      </w:r>
      <w:r w:rsidR="002128AA">
        <w:t xml:space="preserve">the </w:t>
      </w:r>
      <w:r>
        <w:t xml:space="preserve">potential risk for </w:t>
      </w:r>
      <w:r w:rsidR="009F54C0">
        <w:t>employees</w:t>
      </w:r>
      <w:r>
        <w:t>, t</w:t>
      </w:r>
      <w:r w:rsidR="001866AB">
        <w:t xml:space="preserve">he current </w:t>
      </w:r>
      <w:r w:rsidR="0057550E">
        <w:t>condition</w:t>
      </w:r>
      <w:r w:rsidR="001866AB">
        <w:t xml:space="preserve"> </w:t>
      </w:r>
      <w:r w:rsidR="009F54C0">
        <w:t xml:space="preserve">for the </w:t>
      </w:r>
      <w:r w:rsidR="0057550E">
        <w:t xml:space="preserve">offering </w:t>
      </w:r>
      <w:r w:rsidR="009F54C0">
        <w:t>company to provide a</w:t>
      </w:r>
      <w:r w:rsidR="001866AB">
        <w:t xml:space="preserve"> prescribed minimum level of disclosure</w:t>
      </w:r>
      <w:r w:rsidR="009D5C1B">
        <w:t xml:space="preserve"> to employees</w:t>
      </w:r>
      <w:r>
        <w:rPr>
          <w:rStyle w:val="FootnoteReference"/>
        </w:rPr>
        <w:footnoteReference w:id="17"/>
      </w:r>
      <w:r w:rsidR="001866AB">
        <w:t xml:space="preserve"> would be retained</w:t>
      </w:r>
      <w:r w:rsidR="009D5C1B">
        <w:t>,</w:t>
      </w:r>
      <w:r w:rsidR="001C361B">
        <w:t xml:space="preserve"> or could be modified as appropriate</w:t>
      </w:r>
      <w:r w:rsidR="00393FE5">
        <w:t xml:space="preserve"> </w:t>
      </w:r>
      <w:r w:rsidR="009D5C1B">
        <w:t>while ensuring an</w:t>
      </w:r>
      <w:r w:rsidR="00393FE5">
        <w:t xml:space="preserve"> adequate </w:t>
      </w:r>
      <w:r w:rsidR="009D5C1B">
        <w:t xml:space="preserve">level of </w:t>
      </w:r>
      <w:r w:rsidR="00393FE5">
        <w:t xml:space="preserve">disclosure is </w:t>
      </w:r>
      <w:r w:rsidR="009D5C1B">
        <w:t>maintained</w:t>
      </w:r>
      <w:r w:rsidR="001866AB">
        <w:t xml:space="preserve"> </w:t>
      </w:r>
      <w:r w:rsidR="00482B32">
        <w:t>to offset any increased risk associated with increasing the employee limit</w:t>
      </w:r>
      <w:r w:rsidR="001866AB">
        <w:t xml:space="preserve">. </w:t>
      </w:r>
    </w:p>
    <w:p w14:paraId="0057E2DB" w14:textId="1773452A" w:rsidR="001866AB" w:rsidRDefault="00393FE5" w:rsidP="001866AB">
      <w:r>
        <w:t xml:space="preserve">Consideration would also </w:t>
      </w:r>
      <w:r w:rsidR="001C361B">
        <w:t xml:space="preserve">be given to whether the other disclosure requirements and protections </w:t>
      </w:r>
      <w:r w:rsidR="00CB3853">
        <w:t>in</w:t>
      </w:r>
      <w:r w:rsidR="001C361B">
        <w:t xml:space="preserve"> the ASIC </w:t>
      </w:r>
      <w:r w:rsidR="00CB3853">
        <w:t>class order</w:t>
      </w:r>
      <w:r w:rsidR="001C361B">
        <w:t xml:space="preserve"> </w:t>
      </w:r>
      <w:r w:rsidR="00A372FF">
        <w:t xml:space="preserve">(for example, the requirement to provide an independent valuation in certain </w:t>
      </w:r>
      <w:r w:rsidR="00A372FF">
        <w:lastRenderedPageBreak/>
        <w:t xml:space="preserve">circumstances) </w:t>
      </w:r>
      <w:r w:rsidR="001C361B">
        <w:t xml:space="preserve">continue to be </w:t>
      </w:r>
      <w:r>
        <w:t>appropriate</w:t>
      </w:r>
      <w:r w:rsidR="00CB3853">
        <w:t xml:space="preserve"> or whether they should be modified or simplified</w:t>
      </w:r>
      <w:r w:rsidR="0054609F">
        <w:t>, in light of the proposed increase to the employee cap</w:t>
      </w:r>
      <w:r w:rsidR="001C361B">
        <w:t xml:space="preserve">. </w:t>
      </w:r>
    </w:p>
    <w:p w14:paraId="28E78FF4" w14:textId="6230EAFF" w:rsidR="00D30723" w:rsidRDefault="0057550E" w:rsidP="001866AB">
      <w:r>
        <w:t>The proposed</w:t>
      </w:r>
      <w:r w:rsidR="001866AB">
        <w:t xml:space="preserve"> </w:t>
      </w:r>
      <w:r w:rsidR="001866AB" w:rsidRPr="00D546C8">
        <w:t xml:space="preserve">$10,000 </w:t>
      </w:r>
      <w:r w:rsidR="001866AB">
        <w:t xml:space="preserve">per employee limit is </w:t>
      </w:r>
      <w:r>
        <w:t xml:space="preserve">also </w:t>
      </w:r>
      <w:r w:rsidR="001866AB">
        <w:t xml:space="preserve">consistent with the </w:t>
      </w:r>
      <w:r w:rsidR="00613B29">
        <w:t xml:space="preserve">retail </w:t>
      </w:r>
      <w:r w:rsidR="001866AB">
        <w:t xml:space="preserve">investor limits that apply under </w:t>
      </w:r>
      <w:r w:rsidR="001866AB" w:rsidRPr="00D546C8">
        <w:t>the</w:t>
      </w:r>
      <w:r w:rsidR="001866AB">
        <w:t xml:space="preserve"> </w:t>
      </w:r>
      <w:r w:rsidR="001866AB" w:rsidRPr="00D546C8">
        <w:t>crowd</w:t>
      </w:r>
      <w:r w:rsidR="001866AB" w:rsidRPr="00D546C8">
        <w:noBreakHyphen/>
        <w:t>sourced equity fu</w:t>
      </w:r>
      <w:r w:rsidR="001866AB">
        <w:t>nding (CSEF) regime</w:t>
      </w:r>
      <w:r w:rsidR="00613B29">
        <w:t>,</w:t>
      </w:r>
      <w:r w:rsidR="001866AB">
        <w:t xml:space="preserve"> which applies to</w:t>
      </w:r>
      <w:r w:rsidR="00854DD8">
        <w:t xml:space="preserve"> start-ups and</w:t>
      </w:r>
      <w:r w:rsidR="001866AB">
        <w:t xml:space="preserve"> small </w:t>
      </w:r>
      <w:r w:rsidR="00854DD8">
        <w:t>to</w:t>
      </w:r>
      <w:r w:rsidR="00613B29">
        <w:t xml:space="preserve"> medium</w:t>
      </w:r>
      <w:r w:rsidR="00854DD8">
        <w:t xml:space="preserve"> sized</w:t>
      </w:r>
      <w:r w:rsidR="00613B29">
        <w:t xml:space="preserve"> </w:t>
      </w:r>
      <w:r w:rsidR="001866AB">
        <w:t xml:space="preserve">companies raising funds from the public. The disclosure requirements </w:t>
      </w:r>
      <w:r w:rsidR="00613B29">
        <w:t xml:space="preserve">for CSEF offers </w:t>
      </w:r>
      <w:r w:rsidR="001866AB">
        <w:t xml:space="preserve">are similar to those under the </w:t>
      </w:r>
      <w:r w:rsidR="00613B29">
        <w:t>ASIC class order relief for unlisted companies.</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23A32" w14:paraId="131AE513" w14:textId="77777777" w:rsidTr="00023A32">
        <w:tc>
          <w:tcPr>
            <w:tcW w:w="5000" w:type="pct"/>
            <w:shd w:val="clear" w:color="auto" w:fill="EBEBEB"/>
          </w:tcPr>
          <w:p w14:paraId="7543CE2D" w14:textId="77777777" w:rsidR="00023A32" w:rsidRPr="000553FE" w:rsidRDefault="00023A32" w:rsidP="00023A32">
            <w:pPr>
              <w:pStyle w:val="BoxHeading"/>
              <w:rPr>
                <w:b w:val="0"/>
              </w:rPr>
            </w:pPr>
            <w:r>
              <w:t>Questions</w:t>
            </w:r>
          </w:p>
          <w:p w14:paraId="45498ACF" w14:textId="77777777" w:rsidR="00023A32" w:rsidRDefault="00023A32" w:rsidP="00023A32">
            <w:pPr>
              <w:pStyle w:val="BoxText"/>
            </w:pPr>
            <w:r>
              <w:rPr>
                <w:b/>
              </w:rPr>
              <w:t>2.1</w:t>
            </w:r>
            <w:r>
              <w:rPr>
                <w:b/>
              </w:rPr>
              <w:tab/>
            </w:r>
            <w:r w:rsidRPr="00532F11">
              <w:t>Do</w:t>
            </w:r>
            <w:r>
              <w:t xml:space="preserve"> </w:t>
            </w:r>
            <w:r w:rsidRPr="006652A4">
              <w:t xml:space="preserve">you support increasing the offer cap per employee?  </w:t>
            </w:r>
          </w:p>
          <w:p w14:paraId="315F07C8" w14:textId="3331B619" w:rsidR="00023A32" w:rsidRDefault="00023A32" w:rsidP="00023A32">
            <w:pPr>
              <w:pStyle w:val="BoxText"/>
            </w:pPr>
            <w:r w:rsidRPr="00DB06CF">
              <w:rPr>
                <w:b/>
              </w:rPr>
              <w:t>2.</w:t>
            </w:r>
            <w:r>
              <w:rPr>
                <w:b/>
              </w:rPr>
              <w:t>2</w:t>
            </w:r>
            <w:r>
              <w:tab/>
            </w:r>
            <w:r w:rsidRPr="00FB0502">
              <w:t>What</w:t>
            </w:r>
            <w:r>
              <w:t xml:space="preserve"> </w:t>
            </w:r>
            <w:r w:rsidRPr="006652A4">
              <w:t xml:space="preserve">are the benefits or risks of increasing the </w:t>
            </w:r>
            <w:r w:rsidR="002D0D4A">
              <w:t xml:space="preserve">employee </w:t>
            </w:r>
            <w:r w:rsidRPr="006652A4">
              <w:t xml:space="preserve">offer cap?   </w:t>
            </w:r>
          </w:p>
          <w:p w14:paraId="25BA62AB" w14:textId="77777777" w:rsidR="00023A32" w:rsidRDefault="00023A32" w:rsidP="00023A32">
            <w:pPr>
              <w:pStyle w:val="BoxText"/>
            </w:pPr>
            <w:r w:rsidRPr="00DB06CF">
              <w:rPr>
                <w:b/>
              </w:rPr>
              <w:t>2.</w:t>
            </w:r>
            <w:r>
              <w:rPr>
                <w:b/>
              </w:rPr>
              <w:t>3</w:t>
            </w:r>
            <w:r>
              <w:tab/>
            </w:r>
            <w:r w:rsidRPr="00FB0502">
              <w:t xml:space="preserve">Is </w:t>
            </w:r>
            <w:r>
              <w:t xml:space="preserve">a </w:t>
            </w:r>
            <w:r w:rsidRPr="00FB0502">
              <w:t>$10,000</w:t>
            </w:r>
            <w:r>
              <w:t xml:space="preserve"> </w:t>
            </w:r>
            <w:r w:rsidRPr="006652A4">
              <w:t>limit per employee per year appropriate or is a greater increase appropriate?</w:t>
            </w:r>
          </w:p>
          <w:p w14:paraId="6373F6EA" w14:textId="036BA760" w:rsidR="001C361B" w:rsidRPr="00F651D6" w:rsidRDefault="001C361B" w:rsidP="009C0F29">
            <w:pPr>
              <w:pStyle w:val="BoxText"/>
              <w:ind w:left="709" w:hanging="709"/>
            </w:pPr>
            <w:r w:rsidRPr="00F651D6">
              <w:rPr>
                <w:b/>
              </w:rPr>
              <w:t>2.4</w:t>
            </w:r>
            <w:r w:rsidR="009C0F29">
              <w:tab/>
            </w:r>
            <w:r w:rsidRPr="00F651D6">
              <w:t xml:space="preserve">Should senior managers (within the meaning of s9 of the Corporations Act) be </w:t>
            </w:r>
            <w:r w:rsidR="002D0D4A" w:rsidRPr="00F651D6">
              <w:t>excluded from</w:t>
            </w:r>
            <w:r w:rsidRPr="00F651D6">
              <w:t xml:space="preserve"> this cap?</w:t>
            </w:r>
          </w:p>
          <w:p w14:paraId="7A67F9E2" w14:textId="3C311547" w:rsidR="00023A32" w:rsidRDefault="00023A32" w:rsidP="00023A32">
            <w:pPr>
              <w:pStyle w:val="BoxText"/>
              <w:ind w:left="709" w:hanging="709"/>
            </w:pPr>
            <w:r w:rsidRPr="00DB06CF">
              <w:rPr>
                <w:b/>
              </w:rPr>
              <w:t>2.</w:t>
            </w:r>
            <w:r w:rsidR="009C0F29">
              <w:rPr>
                <w:b/>
              </w:rPr>
              <w:t>5</w:t>
            </w:r>
            <w:r>
              <w:tab/>
            </w:r>
            <w:r w:rsidRPr="00FB0502">
              <w:t>Is the</w:t>
            </w:r>
            <w:r>
              <w:t xml:space="preserve"> </w:t>
            </w:r>
            <w:r w:rsidRPr="006652A4">
              <w:t xml:space="preserve">level of disclosure currently required by the ASIC class order for unlisted companies sufficient to address any risk associated with an increased employee cap? Is any additional disclosure </w:t>
            </w:r>
            <w:r w:rsidR="001C361B">
              <w:t xml:space="preserve">or protection </w:t>
            </w:r>
            <w:r w:rsidRPr="006652A4">
              <w:t>necessary or desirable?</w:t>
            </w:r>
          </w:p>
          <w:p w14:paraId="01EA430C" w14:textId="13709948" w:rsidR="00023A32" w:rsidRDefault="00023A32" w:rsidP="009C0F29">
            <w:pPr>
              <w:pStyle w:val="BoxText"/>
              <w:ind w:left="709" w:hanging="709"/>
            </w:pPr>
            <w:r w:rsidRPr="00DB06CF">
              <w:rPr>
                <w:b/>
              </w:rPr>
              <w:t>2.</w:t>
            </w:r>
            <w:r w:rsidR="009C0F29">
              <w:rPr>
                <w:b/>
              </w:rPr>
              <w:t>6</w:t>
            </w:r>
            <w:r>
              <w:tab/>
              <w:t xml:space="preserve">Are </w:t>
            </w:r>
            <w:r w:rsidRPr="006652A4">
              <w:t xml:space="preserve">there any </w:t>
            </w:r>
            <w:r w:rsidR="002D0D4A">
              <w:t>significant advantages or cost savings for business</w:t>
            </w:r>
            <w:r w:rsidRPr="006652A4">
              <w:t xml:space="preserve"> as a result of an increased cap per employee? Please provide details.</w:t>
            </w:r>
          </w:p>
        </w:tc>
      </w:tr>
    </w:tbl>
    <w:p w14:paraId="3A8B4302" w14:textId="0C9515F5" w:rsidR="00AD1A6B" w:rsidRPr="00CD65B1" w:rsidRDefault="00DD1BD2" w:rsidP="00023A32">
      <w:pPr>
        <w:pStyle w:val="Heading2"/>
      </w:pPr>
      <w:bookmarkStart w:id="36" w:name="_Toc4493779"/>
      <w:bookmarkStart w:id="37" w:name="_Toc532763890"/>
      <w:r>
        <w:t>Facilitating the use of contribution plans</w:t>
      </w:r>
      <w:bookmarkEnd w:id="36"/>
      <w:r w:rsidR="00693DB5">
        <w:t xml:space="preserve"> </w:t>
      </w:r>
    </w:p>
    <w:p w14:paraId="3BB0CFCC" w14:textId="2FE8A8D0" w:rsidR="00E81434" w:rsidRDefault="00E81434" w:rsidP="00DB06CF">
      <w:pPr>
        <w:rPr>
          <w:szCs w:val="22"/>
        </w:rPr>
      </w:pPr>
      <w:r>
        <w:t xml:space="preserve">Some </w:t>
      </w:r>
      <w:r>
        <w:rPr>
          <w:szCs w:val="22"/>
        </w:rPr>
        <w:t>E</w:t>
      </w:r>
      <w:r w:rsidR="0029414E">
        <w:rPr>
          <w:szCs w:val="22"/>
        </w:rPr>
        <w:t>SS</w:t>
      </w:r>
      <w:r w:rsidR="00195C0D">
        <w:rPr>
          <w:szCs w:val="22"/>
        </w:rPr>
        <w:t>s</w:t>
      </w:r>
      <w:r>
        <w:rPr>
          <w:szCs w:val="22"/>
        </w:rPr>
        <w:t xml:space="preserve"> may include a contribution plan, where an employee makes a monetary contribution that is then used to acquire financial products offered under the scheme. Contributions may be made from either the employee’s remuneration, whether from before-tax funds (salary sacrifice arrangements) or after-tax funds or private funds. </w:t>
      </w:r>
    </w:p>
    <w:p w14:paraId="5EA2E3BB" w14:textId="11C679A9" w:rsidR="00E81434" w:rsidRDefault="00CE6D62" w:rsidP="00AD1A6B">
      <w:r>
        <w:t>Currently unlisted companies seeking to make ESS offers without a disclosure document, in reliance on ASIC class order relief, cannot utilise contribution plans in connection with these offers.</w:t>
      </w:r>
      <w:r w:rsidR="00E81434">
        <w:t xml:space="preserve"> This restriction is designed to protect employees of unlisted companies, </w:t>
      </w:r>
      <w:r w:rsidR="00DB1E98">
        <w:t>given the increased risk of providing</w:t>
      </w:r>
      <w:r w:rsidR="00E81434">
        <w:t xml:space="preserve"> monetary consideration to acquire financial products </w:t>
      </w:r>
      <w:r w:rsidR="00DB1E98">
        <w:t>in the absence of a reliable market price and regulated disclosure document.</w:t>
      </w:r>
    </w:p>
    <w:p w14:paraId="29B7CCB0" w14:textId="79ACED20" w:rsidR="00AD1A6B" w:rsidRDefault="006734D8" w:rsidP="00AD1A6B">
      <w:r>
        <w:t xml:space="preserve">There may be benefits to both employees and employers through the use of a contribution plan in connection with an ESS. </w:t>
      </w:r>
      <w:r w:rsidR="00AD1A6B">
        <w:t xml:space="preserve">A contribution plan can act as a mechanism to </w:t>
      </w:r>
      <w:r>
        <w:t>streamline the process and reduce the costs</w:t>
      </w:r>
      <w:r w:rsidR="00AD1A6B">
        <w:t xml:space="preserve"> </w:t>
      </w:r>
      <w:r>
        <w:t xml:space="preserve">for </w:t>
      </w:r>
      <w:r w:rsidR="0029414E">
        <w:t xml:space="preserve">employers and </w:t>
      </w:r>
      <w:r>
        <w:t xml:space="preserve">employees </w:t>
      </w:r>
      <w:r w:rsidR="00AD1A6B">
        <w:t xml:space="preserve">of </w:t>
      </w:r>
      <w:r>
        <w:t>acquiring</w:t>
      </w:r>
      <w:r w:rsidR="00AD1A6B">
        <w:t xml:space="preserve"> financial product</w:t>
      </w:r>
      <w:r>
        <w:t>s through an ESS.</w:t>
      </w:r>
      <w:r w:rsidR="00040272">
        <w:t xml:space="preserve"> A contribution plan </w:t>
      </w:r>
      <w:r w:rsidR="0029414E">
        <w:t>generally</w:t>
      </w:r>
      <w:r w:rsidR="00040272">
        <w:t xml:space="preserve"> does not create additional complexity that warrants greater consumer protection</w:t>
      </w:r>
      <w:r w:rsidR="00303A06">
        <w:t xml:space="preserve">, however there is an increased </w:t>
      </w:r>
      <w:r w:rsidR="00CC01F5">
        <w:t xml:space="preserve">financial </w:t>
      </w:r>
      <w:r w:rsidR="00303A06">
        <w:t>risk for employees where a monetary contribution is made</w:t>
      </w:r>
      <w:r w:rsidR="00040272">
        <w:t xml:space="preserve">.  </w:t>
      </w:r>
    </w:p>
    <w:p w14:paraId="6D9B5533" w14:textId="786EAFEC" w:rsidR="00AD1A6B" w:rsidRDefault="00040272" w:rsidP="00AD1A6B">
      <w:r>
        <w:t xml:space="preserve">One option to enable </w:t>
      </w:r>
      <w:r w:rsidR="00CC01F5">
        <w:t xml:space="preserve">the cost and ease of use </w:t>
      </w:r>
      <w:r>
        <w:t>benefits to be realised</w:t>
      </w:r>
      <w:r w:rsidR="00303A06">
        <w:t xml:space="preserve"> </w:t>
      </w:r>
      <w:r>
        <w:t xml:space="preserve">is to </w:t>
      </w:r>
      <w:r w:rsidR="00AD1A6B">
        <w:t xml:space="preserve">allow contributions plans to be </w:t>
      </w:r>
      <w:r w:rsidR="00CC01F5">
        <w:t xml:space="preserve">offered to employees </w:t>
      </w:r>
      <w:r w:rsidR="00AD1A6B">
        <w:t>to</w:t>
      </w:r>
      <w:r w:rsidR="00626804">
        <w:t xml:space="preserve"> help</w:t>
      </w:r>
      <w:r w:rsidR="00AD1A6B">
        <w:t xml:space="preserve"> </w:t>
      </w:r>
      <w:r w:rsidR="00C24268">
        <w:t>them participate in</w:t>
      </w:r>
      <w:r w:rsidR="00626804">
        <w:t xml:space="preserve"> </w:t>
      </w:r>
      <w:r w:rsidR="00195C0D">
        <w:t xml:space="preserve">an </w:t>
      </w:r>
      <w:r w:rsidR="0029414E">
        <w:t>ESS of</w:t>
      </w:r>
      <w:r>
        <w:t xml:space="preserve"> unlisted companies</w:t>
      </w:r>
      <w:r w:rsidR="00AD1A6B">
        <w:t xml:space="preserve">. </w:t>
      </w:r>
      <w:r w:rsidR="00A40983">
        <w:t xml:space="preserve">Given this will involve a monetary contribution by an employee, additional protections may be warranted. </w:t>
      </w:r>
      <w:r w:rsidR="005E3B9F">
        <w:t xml:space="preserve">Such protections could include, for example, </w:t>
      </w:r>
      <w:r w:rsidR="00A40983">
        <w:t>cappi</w:t>
      </w:r>
      <w:r w:rsidR="008D7BAF">
        <w:t>ng the monetary contribution at a $10,000 per employee per year (consistent with the e</w:t>
      </w:r>
      <w:r w:rsidR="005E3B9F">
        <w:t>mployee cap, noted above) or req</w:t>
      </w:r>
      <w:r w:rsidR="008D7BAF">
        <w:t xml:space="preserve">uiring an </w:t>
      </w:r>
      <w:r w:rsidR="005E3B9F">
        <w:t>independent valuation</w:t>
      </w:r>
      <w:r w:rsidR="008D7BAF">
        <w:t xml:space="preserve"> to be provided </w:t>
      </w:r>
      <w:r w:rsidR="005E3B9F">
        <w:t xml:space="preserve">to employees </w:t>
      </w:r>
      <w:r w:rsidR="008D7BAF">
        <w:t xml:space="preserve">where </w:t>
      </w:r>
      <w:r w:rsidR="00371B59">
        <w:t xml:space="preserve">a contribution plan is offered or </w:t>
      </w:r>
      <w:r w:rsidR="005E3B9F">
        <w:t>th</w:t>
      </w:r>
      <w:r w:rsidR="00371B59">
        <w:t>e $10,000</w:t>
      </w:r>
      <w:r w:rsidR="008D7BAF">
        <w:t xml:space="preserve"> cap is exceeded</w:t>
      </w:r>
      <w:r w:rsidR="00303A06">
        <w:t xml:space="preserve"> (this is similar to the requirement in the ASIC class order for</w:t>
      </w:r>
      <w:r w:rsidR="00EF7E0A">
        <w:t xml:space="preserve"> a valuation document</w:t>
      </w:r>
      <w:r w:rsidR="00303A06">
        <w:t xml:space="preserve"> to be provided to employees in circumstances where an employee contributes more than nominal consideration on the exercise of options or units).</w:t>
      </w:r>
    </w:p>
    <w:p w14:paraId="3F18B9BA" w14:textId="5B00757B" w:rsidR="00023A32" w:rsidRDefault="00023A32" w:rsidP="00AD1A6B"/>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23A32" w14:paraId="55318F50" w14:textId="77777777" w:rsidTr="00023A32">
        <w:tc>
          <w:tcPr>
            <w:tcW w:w="5000" w:type="pct"/>
            <w:shd w:val="clear" w:color="auto" w:fill="EBEBEB"/>
          </w:tcPr>
          <w:p w14:paraId="321446F6" w14:textId="77777777" w:rsidR="00023A32" w:rsidRPr="000553FE" w:rsidRDefault="00023A32" w:rsidP="00023A32">
            <w:pPr>
              <w:pStyle w:val="BoxHeading"/>
              <w:rPr>
                <w:b w:val="0"/>
              </w:rPr>
            </w:pPr>
            <w:r>
              <w:lastRenderedPageBreak/>
              <w:t>Questions</w:t>
            </w:r>
          </w:p>
          <w:p w14:paraId="4EF3146C" w14:textId="77777777" w:rsidR="00023A32" w:rsidRDefault="00023A32" w:rsidP="00023A32">
            <w:pPr>
              <w:pStyle w:val="BoxText"/>
              <w:ind w:left="709" w:hanging="709"/>
            </w:pPr>
            <w:r>
              <w:rPr>
                <w:b/>
              </w:rPr>
              <w:t>3.1</w:t>
            </w:r>
            <w:r>
              <w:rPr>
                <w:b/>
              </w:rPr>
              <w:tab/>
            </w:r>
            <w:r w:rsidRPr="00532F11">
              <w:t>Do</w:t>
            </w:r>
            <w:r>
              <w:t xml:space="preserve"> </w:t>
            </w:r>
            <w:r w:rsidRPr="006652A4">
              <w:t xml:space="preserve">you support contribution plans being able to be used to fund the acquisition of financial products for an ESS of unlisted companies?  </w:t>
            </w:r>
          </w:p>
          <w:p w14:paraId="5E6350E5" w14:textId="77777777" w:rsidR="00023A32" w:rsidRDefault="00023A32" w:rsidP="00023A32">
            <w:pPr>
              <w:pStyle w:val="BoxText"/>
              <w:ind w:left="709" w:hanging="709"/>
            </w:pPr>
            <w:r w:rsidRPr="00DB06CF">
              <w:rPr>
                <w:b/>
              </w:rPr>
              <w:t>3.</w:t>
            </w:r>
            <w:r>
              <w:rPr>
                <w:b/>
              </w:rPr>
              <w:t>2</w:t>
            </w:r>
            <w:r w:rsidRPr="000126D1">
              <w:t xml:space="preserve"> </w:t>
            </w:r>
            <w:r>
              <w:tab/>
            </w:r>
            <w:r w:rsidRPr="000126D1">
              <w:t>What</w:t>
            </w:r>
            <w:r>
              <w:t xml:space="preserve"> </w:t>
            </w:r>
            <w:r w:rsidRPr="000126D1">
              <w:t xml:space="preserve">are the </w:t>
            </w:r>
            <w:r>
              <w:t xml:space="preserve">benefits or </w:t>
            </w:r>
            <w:r w:rsidRPr="000126D1">
              <w:t xml:space="preserve">risks of allowing </w:t>
            </w:r>
            <w:r>
              <w:t>unlisted companies to offer</w:t>
            </w:r>
            <w:r w:rsidRPr="000126D1">
              <w:t xml:space="preserve"> contribution plans</w:t>
            </w:r>
            <w:r>
              <w:t xml:space="preserve"> as part of their ESS</w:t>
            </w:r>
            <w:r w:rsidRPr="000126D1">
              <w:t>?</w:t>
            </w:r>
          </w:p>
          <w:p w14:paraId="23233CFB" w14:textId="6679AB51" w:rsidR="00023A32" w:rsidRDefault="00023A32" w:rsidP="00023A32">
            <w:pPr>
              <w:pStyle w:val="BoxText"/>
              <w:ind w:left="709" w:hanging="709"/>
            </w:pPr>
            <w:r w:rsidRPr="00DB06CF">
              <w:rPr>
                <w:b/>
              </w:rPr>
              <w:t>3.</w:t>
            </w:r>
            <w:r>
              <w:rPr>
                <w:b/>
              </w:rPr>
              <w:t>3</w:t>
            </w:r>
            <w:r>
              <w:t xml:space="preserve"> </w:t>
            </w:r>
            <w:r>
              <w:tab/>
              <w:t xml:space="preserve">Are </w:t>
            </w:r>
            <w:r w:rsidRPr="006652A4">
              <w:t>any addition</w:t>
            </w:r>
            <w:r w:rsidR="00972068">
              <w:t>al</w:t>
            </w:r>
            <w:r w:rsidRPr="006652A4">
              <w:t xml:space="preserve"> protections necessary for employees participating in contribution plans? </w:t>
            </w:r>
            <w:r w:rsidR="005E3B9F">
              <w:t>For example, capping monetary contributions at $10,000 per employee</w:t>
            </w:r>
            <w:r w:rsidR="00303A06">
              <w:t xml:space="preserve"> per year</w:t>
            </w:r>
            <w:r w:rsidR="005E3B9F">
              <w:t xml:space="preserve"> or requiring an independent valuation where </w:t>
            </w:r>
            <w:r w:rsidR="00EF7E0A">
              <w:t>a contribution plan</w:t>
            </w:r>
            <w:r w:rsidR="00371B59">
              <w:t xml:space="preserve"> is offered or the $10,000</w:t>
            </w:r>
            <w:r w:rsidR="005E3B9F">
              <w:t xml:space="preserve"> cap is exceeded. </w:t>
            </w:r>
            <w:r w:rsidR="004A217C">
              <w:t>P</w:t>
            </w:r>
            <w:r w:rsidRPr="006652A4">
              <w:t>lease provide details.</w:t>
            </w:r>
          </w:p>
          <w:p w14:paraId="19E73038" w14:textId="64AE3DAE" w:rsidR="00023A32" w:rsidRDefault="00023A32" w:rsidP="00023A32">
            <w:pPr>
              <w:pStyle w:val="BoxText"/>
              <w:ind w:left="709" w:hanging="709"/>
            </w:pPr>
            <w:r w:rsidRPr="00DB06CF">
              <w:rPr>
                <w:b/>
              </w:rPr>
              <w:t>3.</w:t>
            </w:r>
            <w:r>
              <w:rPr>
                <w:b/>
              </w:rPr>
              <w:t>4</w:t>
            </w:r>
            <w:r>
              <w:rPr>
                <w:b/>
              </w:rPr>
              <w:tab/>
            </w:r>
            <w:r>
              <w:t xml:space="preserve">Are </w:t>
            </w:r>
            <w:r w:rsidRPr="006652A4">
              <w:t xml:space="preserve">there any </w:t>
            </w:r>
            <w:r w:rsidR="00C24268">
              <w:t>significant advantages or cost savings for business</w:t>
            </w:r>
            <w:r w:rsidR="00C24268" w:rsidRPr="006652A4">
              <w:t xml:space="preserve"> </w:t>
            </w:r>
            <w:r w:rsidRPr="006652A4">
              <w:t>as a result of allowing contribution plans?</w:t>
            </w:r>
          </w:p>
        </w:tc>
      </w:tr>
    </w:tbl>
    <w:p w14:paraId="04C5751D" w14:textId="549545CC" w:rsidR="001866AB" w:rsidRPr="00CD65B1" w:rsidRDefault="001866AB" w:rsidP="00DB06CF">
      <w:pPr>
        <w:pStyle w:val="Heading2"/>
      </w:pPr>
      <w:bookmarkStart w:id="38" w:name="_Toc4493780"/>
      <w:r w:rsidRPr="00CD65B1">
        <w:t xml:space="preserve">Expanding </w:t>
      </w:r>
      <w:r w:rsidRPr="00496A7B">
        <w:t xml:space="preserve">the exemption from public </w:t>
      </w:r>
      <w:r w:rsidR="00EB7B18">
        <w:t>access to</w:t>
      </w:r>
      <w:r w:rsidR="00DD1BD2" w:rsidRPr="00496A7B">
        <w:t xml:space="preserve"> </w:t>
      </w:r>
      <w:r w:rsidRPr="00496A7B">
        <w:t>disclosure documents</w:t>
      </w:r>
      <w:bookmarkEnd w:id="38"/>
      <w:r w:rsidRPr="00CD65B1">
        <w:t xml:space="preserve"> </w:t>
      </w:r>
      <w:bookmarkEnd w:id="37"/>
    </w:p>
    <w:p w14:paraId="1FB1ED2C" w14:textId="27595E66" w:rsidR="0049462B" w:rsidRDefault="0049462B" w:rsidP="001866AB">
      <w:r>
        <w:t xml:space="preserve">The costs associated with preparing disclosure documents and the public disclosure of commercially sensitive information </w:t>
      </w:r>
      <w:r w:rsidR="00D300C1">
        <w:t xml:space="preserve">(such as financial information) </w:t>
      </w:r>
      <w:r>
        <w:t xml:space="preserve">in lodged disclosure documents have previously been raised by stakeholders as barriers to offering </w:t>
      </w:r>
      <w:r w:rsidR="00195C0D">
        <w:t xml:space="preserve">an </w:t>
      </w:r>
      <w:r>
        <w:t>ESS.</w:t>
      </w:r>
    </w:p>
    <w:p w14:paraId="56525548" w14:textId="0737367B" w:rsidR="0049462B" w:rsidRDefault="0049462B" w:rsidP="001866AB">
      <w:r>
        <w:t>The</w:t>
      </w:r>
      <w:r w:rsidR="001866AB">
        <w:t xml:space="preserve"> </w:t>
      </w:r>
      <w:r>
        <w:t xml:space="preserve">existing </w:t>
      </w:r>
      <w:r w:rsidR="001866AB">
        <w:t xml:space="preserve">exemption from the </w:t>
      </w:r>
      <w:r>
        <w:t xml:space="preserve">requirement for </w:t>
      </w:r>
      <w:r w:rsidR="001866AB">
        <w:t xml:space="preserve">disclosure </w:t>
      </w:r>
      <w:r>
        <w:t xml:space="preserve">documents lodged with ASIC to be </w:t>
      </w:r>
      <w:r w:rsidR="00AC621E">
        <w:t xml:space="preserve">made </w:t>
      </w:r>
      <w:r>
        <w:t>publicly available is currently only</w:t>
      </w:r>
      <w:r w:rsidR="001866AB">
        <w:t xml:space="preserve"> available </w:t>
      </w:r>
      <w:r w:rsidRPr="00BA4FCA">
        <w:t>fo</w:t>
      </w:r>
      <w:r>
        <w:t xml:space="preserve">r certain eligible ESS offers (within the meaning of the </w:t>
      </w:r>
      <w:r w:rsidRPr="00DB06CF">
        <w:rPr>
          <w:i/>
        </w:rPr>
        <w:t>Income Tax Assessment Act 1997</w:t>
      </w:r>
      <w:r>
        <w:rPr>
          <w:i/>
        </w:rPr>
        <w:t xml:space="preserve"> (</w:t>
      </w:r>
      <w:proofErr w:type="spellStart"/>
      <w:r>
        <w:rPr>
          <w:i/>
        </w:rPr>
        <w:t>Cth</w:t>
      </w:r>
      <w:proofErr w:type="spellEnd"/>
      <w:r>
        <w:rPr>
          <w:i/>
        </w:rPr>
        <w:t>)</w:t>
      </w:r>
      <w:r>
        <w:t>) made by ‘start</w:t>
      </w:r>
      <w:r>
        <w:noBreakHyphen/>
      </w:r>
      <w:r w:rsidRPr="00BA4FCA">
        <w:t>up</w:t>
      </w:r>
      <w:r>
        <w:t>s’ (being unlisted companies that are no more than 10 years old and with annual revenue of less than $50 million)</w:t>
      </w:r>
      <w:r w:rsidR="000B2318">
        <w:rPr>
          <w:rStyle w:val="FootnoteReference"/>
        </w:rPr>
        <w:footnoteReference w:id="18"/>
      </w:r>
      <w:r w:rsidR="00EC71F1">
        <w:t xml:space="preserve">. </w:t>
      </w:r>
    </w:p>
    <w:p w14:paraId="0F35F568" w14:textId="0B8134B3" w:rsidR="001866AB" w:rsidRDefault="0049462B" w:rsidP="001866AB">
      <w:r>
        <w:t>T</w:t>
      </w:r>
      <w:r w:rsidR="001866AB">
        <w:t xml:space="preserve">he definition </w:t>
      </w:r>
      <w:r>
        <w:t>of ESS</w:t>
      </w:r>
      <w:r w:rsidR="00D91CE8">
        <w:t xml:space="preserve"> offers</w:t>
      </w:r>
      <w:r>
        <w:t xml:space="preserve"> under</w:t>
      </w:r>
      <w:r w:rsidR="001866AB">
        <w:t xml:space="preserve"> income tax law </w:t>
      </w:r>
      <w:r>
        <w:t>is narrower</w:t>
      </w:r>
      <w:r w:rsidR="00862E61">
        <w:t xml:space="preserve"> than</w:t>
      </w:r>
      <w:r w:rsidR="00195C0D">
        <w:t>,</w:t>
      </w:r>
      <w:r>
        <w:t xml:space="preserve"> and </w:t>
      </w:r>
      <w:r w:rsidR="001866AB">
        <w:t>does not align with</w:t>
      </w:r>
      <w:r w:rsidR="00195C0D">
        <w:t>,</w:t>
      </w:r>
      <w:r w:rsidR="001866AB">
        <w:t xml:space="preserve"> the Corporations Act definition</w:t>
      </w:r>
      <w:r w:rsidR="00862E61">
        <w:t xml:space="preserve"> </w:t>
      </w:r>
      <w:r w:rsidR="00EE1912">
        <w:t xml:space="preserve">of ‘eligible ESSs’ </w:t>
      </w:r>
      <w:r w:rsidR="00862E61">
        <w:t>or the</w:t>
      </w:r>
      <w:r w:rsidR="00AC621E">
        <w:t xml:space="preserve"> scope of ESS</w:t>
      </w:r>
      <w:r w:rsidR="00675415">
        <w:t>s</w:t>
      </w:r>
      <w:r w:rsidR="00AC621E">
        <w:t xml:space="preserve"> covered by the ASIC class o</w:t>
      </w:r>
      <w:r w:rsidR="00D300C1">
        <w:t>rders</w:t>
      </w:r>
      <w:r w:rsidR="001866AB">
        <w:t xml:space="preserve">. This </w:t>
      </w:r>
      <w:r w:rsidR="00D300C1">
        <w:t>narrow</w:t>
      </w:r>
      <w:r w:rsidR="00195C0D">
        <w:t>er</w:t>
      </w:r>
      <w:r w:rsidR="00D300C1">
        <w:t xml:space="preserve"> definition limit</w:t>
      </w:r>
      <w:r w:rsidR="00195C0D">
        <w:t>s</w:t>
      </w:r>
      <w:r w:rsidR="00D300C1">
        <w:t xml:space="preserve"> the application of this public </w:t>
      </w:r>
      <w:r w:rsidR="00F606E3">
        <w:t xml:space="preserve">access </w:t>
      </w:r>
      <w:r w:rsidR="00D300C1">
        <w:t xml:space="preserve">exemption, which has been </w:t>
      </w:r>
      <w:r w:rsidR="005111C5">
        <w:t>under</w:t>
      </w:r>
      <w:r w:rsidR="00D300C1">
        <w:t xml:space="preserve">utilised since it was introduced in 2017. </w:t>
      </w:r>
    </w:p>
    <w:p w14:paraId="0E3F7579" w14:textId="76CF6D7F" w:rsidR="00D300C1" w:rsidRDefault="00D300C1" w:rsidP="001866AB">
      <w:r>
        <w:t>One option is to</w:t>
      </w:r>
      <w:r w:rsidR="001866AB">
        <w:t xml:space="preserve"> </w:t>
      </w:r>
      <w:r w:rsidR="001866AB" w:rsidRPr="004920FD">
        <w:t xml:space="preserve">expand the </w:t>
      </w:r>
      <w:r w:rsidR="001866AB">
        <w:t xml:space="preserve">current </w:t>
      </w:r>
      <w:r w:rsidR="001866AB" w:rsidRPr="004920FD">
        <w:t xml:space="preserve">exemption </w:t>
      </w:r>
      <w:r>
        <w:t xml:space="preserve">so that </w:t>
      </w:r>
      <w:r w:rsidR="00195C0D">
        <w:t xml:space="preserve">it </w:t>
      </w:r>
      <w:r>
        <w:t xml:space="preserve">applies to a broader range of companies (small companies, not just start-ups) and a broader range of ESS offers. This would enable small businesses offering </w:t>
      </w:r>
      <w:r w:rsidR="00675415">
        <w:t xml:space="preserve">an </w:t>
      </w:r>
      <w:r>
        <w:t>ESS to make offers under a disclosure document</w:t>
      </w:r>
      <w:r w:rsidR="00EC71F1">
        <w:t xml:space="preserve"> </w:t>
      </w:r>
      <w:r>
        <w:t xml:space="preserve">(where they cannot rely on the consolidated and expanded exemptions), which would still </w:t>
      </w:r>
      <w:r w:rsidR="005111C5">
        <w:t xml:space="preserve">need to </w:t>
      </w:r>
      <w:r>
        <w:t>be lodged with ASIC but would not be accessible by the public. This will enable commercially sensitive financial information to be kept private, to minimise or eliminate any loss of competitive advantage for these businesses.</w:t>
      </w:r>
    </w:p>
    <w:p w14:paraId="24144BC2" w14:textId="0EA8A35E" w:rsidR="001866AB" w:rsidRDefault="00D300C1" w:rsidP="001866AB">
      <w:r>
        <w:t xml:space="preserve">The expanded exemption would only apply </w:t>
      </w:r>
      <w:r w:rsidR="00F606E3">
        <w:t xml:space="preserve">to </w:t>
      </w:r>
      <w:r>
        <w:t xml:space="preserve">small companies, as large companies generally already have financial reporting obligations under the Corporations Act </w:t>
      </w:r>
      <w:r w:rsidR="005111C5">
        <w:t>requiring them</w:t>
      </w:r>
      <w:r>
        <w:t xml:space="preserve"> to lodge audited financial reports with ASIC, which are made available to the public.</w:t>
      </w:r>
    </w:p>
    <w:p w14:paraId="39AB1510" w14:textId="26297C21" w:rsidR="001866AB" w:rsidRDefault="001866AB" w:rsidP="001866AB">
      <w:r>
        <w:t xml:space="preserve">Further details of this reform option are set out in </w:t>
      </w:r>
      <w:r w:rsidRPr="00B07617">
        <w:t>Table 2</w:t>
      </w:r>
      <w:r w:rsidR="00F606E3">
        <w:t xml:space="preserve"> below</w:t>
      </w:r>
      <w:r>
        <w:t xml:space="preserve">.  </w:t>
      </w:r>
    </w:p>
    <w:p w14:paraId="64712B84" w14:textId="77777777" w:rsidR="00720218" w:rsidRDefault="00720218">
      <w:pPr>
        <w:spacing w:before="0" w:after="160" w:line="259" w:lineRule="auto"/>
        <w:rPr>
          <w:rFonts w:cs="Arial"/>
          <w:b/>
          <w:color w:val="7F7F7F"/>
          <w:kern w:val="32"/>
          <w:sz w:val="28"/>
          <w:szCs w:val="26"/>
        </w:rPr>
      </w:pPr>
      <w:r>
        <w:br w:type="page"/>
      </w:r>
    </w:p>
    <w:p w14:paraId="6B844220" w14:textId="65AACC6C" w:rsidR="00023A32" w:rsidRDefault="00023A32" w:rsidP="00023A32">
      <w:pPr>
        <w:pStyle w:val="TableMainHeading"/>
      </w:pPr>
      <w:bookmarkStart w:id="39" w:name="_Toc4493781"/>
      <w:r w:rsidRPr="004F53A4">
        <w:lastRenderedPageBreak/>
        <w:t xml:space="preserve">Table </w:t>
      </w:r>
      <w:r>
        <w:t>2:</w:t>
      </w:r>
      <w:r w:rsidRPr="004F53A4">
        <w:t xml:space="preserve"> </w:t>
      </w:r>
      <w:r>
        <w:t>Proposal to e</w:t>
      </w:r>
      <w:r w:rsidRPr="004920FD">
        <w:t xml:space="preserve">xpand the exemption from </w:t>
      </w:r>
      <w:r>
        <w:t>public access to</w:t>
      </w:r>
      <w:r w:rsidRPr="004920FD">
        <w:t xml:space="preserve"> disclosure documents </w:t>
      </w:r>
      <w:r>
        <w:t xml:space="preserve">lodged with ASIC </w:t>
      </w:r>
      <w:r w:rsidRPr="004920FD">
        <w:t>for ESS offers</w:t>
      </w:r>
      <w:bookmarkEnd w:id="39"/>
    </w:p>
    <w:tbl>
      <w:tblPr>
        <w:tblStyle w:val="TableGrid"/>
        <w:tblW w:w="8897" w:type="dxa"/>
        <w:tblLook w:val="04A0" w:firstRow="1" w:lastRow="0" w:firstColumn="1" w:lastColumn="0" w:noHBand="0" w:noVBand="1"/>
      </w:tblPr>
      <w:tblGrid>
        <w:gridCol w:w="4361"/>
        <w:gridCol w:w="4536"/>
      </w:tblGrid>
      <w:tr w:rsidR="00023A32" w:rsidRPr="00212F00" w14:paraId="585CDB7A" w14:textId="77777777" w:rsidTr="00023A32">
        <w:trPr>
          <w:tblHeader/>
        </w:trPr>
        <w:tc>
          <w:tcPr>
            <w:tcW w:w="4361" w:type="dxa"/>
            <w:tcBorders>
              <w:bottom w:val="single" w:sz="4" w:space="0" w:color="2E74B5" w:themeColor="accent1" w:themeShade="BF"/>
            </w:tcBorders>
          </w:tcPr>
          <w:p w14:paraId="4BE9C394" w14:textId="77777777" w:rsidR="00023A32" w:rsidRPr="00212F00" w:rsidRDefault="00023A32" w:rsidP="00023A32">
            <w:pPr>
              <w:pStyle w:val="TableColumnHeadingLeft"/>
            </w:pPr>
            <w:r w:rsidRPr="00212F00">
              <w:t xml:space="preserve">Current criteria for Corporations Act exemption from </w:t>
            </w:r>
            <w:r>
              <w:t>public access</w:t>
            </w:r>
          </w:p>
        </w:tc>
        <w:tc>
          <w:tcPr>
            <w:tcW w:w="4536" w:type="dxa"/>
            <w:tcBorders>
              <w:bottom w:val="single" w:sz="4" w:space="0" w:color="2E74B5" w:themeColor="accent1" w:themeShade="BF"/>
            </w:tcBorders>
          </w:tcPr>
          <w:p w14:paraId="6200EBA4" w14:textId="77777777" w:rsidR="00023A32" w:rsidRPr="00212F00" w:rsidRDefault="00023A32" w:rsidP="00023A32">
            <w:pPr>
              <w:pStyle w:val="TableColumnHeadingLeft"/>
            </w:pPr>
            <w:r>
              <w:t>Proposed expansion</w:t>
            </w:r>
          </w:p>
        </w:tc>
      </w:tr>
      <w:tr w:rsidR="00023A32" w:rsidRPr="00212F00" w14:paraId="197F5839" w14:textId="77777777" w:rsidTr="00023A32">
        <w:trPr>
          <w:trHeight w:val="1307"/>
        </w:trPr>
        <w:tc>
          <w:tcPr>
            <w:tcW w:w="4361" w:type="dxa"/>
            <w:tcBorders>
              <w:top w:val="single" w:sz="4" w:space="0" w:color="2E74B5" w:themeColor="accent1" w:themeShade="BF"/>
            </w:tcBorders>
          </w:tcPr>
          <w:p w14:paraId="7D5CBC8C" w14:textId="77777777" w:rsidR="00023A32" w:rsidRPr="00212F00" w:rsidRDefault="00023A32" w:rsidP="00023A32">
            <w:pPr>
              <w:pStyle w:val="TableTextLeft"/>
            </w:pPr>
            <w:r>
              <w:t xml:space="preserve">Offers under an ‘employee share scheme’ of ‘ESS interests’ as defined in the </w:t>
            </w:r>
            <w:r>
              <w:rPr>
                <w:i/>
              </w:rPr>
              <w:t>Income Tax Assessment Act </w:t>
            </w:r>
            <w:r w:rsidRPr="001264FA">
              <w:rPr>
                <w:i/>
              </w:rPr>
              <w:t>1997</w:t>
            </w:r>
            <w:r>
              <w:rPr>
                <w:i/>
              </w:rPr>
              <w:t xml:space="preserve"> (</w:t>
            </w:r>
            <w:proofErr w:type="spellStart"/>
            <w:r>
              <w:rPr>
                <w:i/>
              </w:rPr>
              <w:t>Cth</w:t>
            </w:r>
            <w:proofErr w:type="spellEnd"/>
            <w:r>
              <w:rPr>
                <w:i/>
              </w:rPr>
              <w:t>)</w:t>
            </w:r>
            <w:r>
              <w:t>). This covers offers of s</w:t>
            </w:r>
            <w:r w:rsidRPr="00212F00">
              <w:t>hares or</w:t>
            </w:r>
            <w:r>
              <w:t xml:space="preserve"> </w:t>
            </w:r>
            <w:r w:rsidRPr="00212F00">
              <w:t>right</w:t>
            </w:r>
            <w:r>
              <w:t>s</w:t>
            </w:r>
            <w:r w:rsidRPr="00212F00">
              <w:t xml:space="preserve"> to acquire shares</w:t>
            </w:r>
            <w:r>
              <w:t xml:space="preserve"> only.</w:t>
            </w:r>
          </w:p>
        </w:tc>
        <w:tc>
          <w:tcPr>
            <w:tcW w:w="4536" w:type="dxa"/>
            <w:tcBorders>
              <w:top w:val="single" w:sz="4" w:space="0" w:color="2E74B5" w:themeColor="accent1" w:themeShade="BF"/>
            </w:tcBorders>
          </w:tcPr>
          <w:p w14:paraId="69BA2FE8" w14:textId="77777777" w:rsidR="00023A32" w:rsidRDefault="00023A32" w:rsidP="00023A32">
            <w:pPr>
              <w:pStyle w:val="TableTextLeft"/>
            </w:pPr>
            <w:r w:rsidRPr="00212F00">
              <w:t xml:space="preserve">Expand to include all </w:t>
            </w:r>
            <w:r>
              <w:t xml:space="preserve">eligible </w:t>
            </w:r>
            <w:r w:rsidRPr="00212F00">
              <w:t xml:space="preserve">financial products </w:t>
            </w:r>
            <w:r>
              <w:t>prescribed in the current ASIC class order for unlisted companies being: fully paid ordinary shares; units in the fully paid ordinary shares; options to acquire an ordinary share; and incentive rights in relation to ordinary shares.</w:t>
            </w:r>
          </w:p>
          <w:p w14:paraId="26CCCA73" w14:textId="77777777" w:rsidR="00023A32" w:rsidRPr="00212F00" w:rsidRDefault="00023A32" w:rsidP="00023A32">
            <w:pPr>
              <w:pStyle w:val="TableTextLeft"/>
            </w:pPr>
          </w:p>
        </w:tc>
      </w:tr>
      <w:tr w:rsidR="00023A32" w:rsidRPr="00212F00" w14:paraId="74050914" w14:textId="77777777" w:rsidTr="00023A32">
        <w:trPr>
          <w:trHeight w:val="1283"/>
        </w:trPr>
        <w:tc>
          <w:tcPr>
            <w:tcW w:w="4361" w:type="dxa"/>
          </w:tcPr>
          <w:p w14:paraId="45685042" w14:textId="77777777" w:rsidR="00023A32" w:rsidRPr="00212F00" w:rsidRDefault="00023A32" w:rsidP="00023A32">
            <w:pPr>
              <w:pStyle w:val="TableTextLeft"/>
            </w:pPr>
            <w:r w:rsidRPr="00212F00">
              <w:t>Employees (including past or prospective)</w:t>
            </w:r>
            <w:r>
              <w:t xml:space="preserve"> of the company or its subsidiaries</w:t>
            </w:r>
          </w:p>
        </w:tc>
        <w:tc>
          <w:tcPr>
            <w:tcW w:w="4536" w:type="dxa"/>
          </w:tcPr>
          <w:p w14:paraId="4DDBCDBD" w14:textId="77777777" w:rsidR="00023A32" w:rsidRDefault="00023A32" w:rsidP="00023A32">
            <w:pPr>
              <w:pStyle w:val="TableTextLeft"/>
            </w:pPr>
            <w:r w:rsidRPr="00212F00">
              <w:t xml:space="preserve">All ‘eligible participants’ </w:t>
            </w:r>
            <w:r>
              <w:t>prescribed in the current unlisted company ASIC class o</w:t>
            </w:r>
            <w:r w:rsidRPr="00212F00">
              <w:t xml:space="preserve">rder, being </w:t>
            </w:r>
            <w:r>
              <w:t xml:space="preserve">full-time and part-time employees, </w:t>
            </w:r>
            <w:r w:rsidRPr="00212F00">
              <w:t xml:space="preserve">executive and non-executive directors, contractors and casual employees </w:t>
            </w:r>
            <w:r>
              <w:t xml:space="preserve">who work an </w:t>
            </w:r>
            <w:r w:rsidRPr="00212F00">
              <w:t>equivalent of 40</w:t>
            </w:r>
            <w:r>
              <w:t> per cent</w:t>
            </w:r>
            <w:r w:rsidRPr="00212F00">
              <w:t xml:space="preserve"> or more of a comparable full-time position. </w:t>
            </w:r>
          </w:p>
          <w:p w14:paraId="0470BCBB" w14:textId="77777777" w:rsidR="00023A32" w:rsidRPr="00212F00" w:rsidRDefault="00023A32" w:rsidP="00023A32">
            <w:pPr>
              <w:pStyle w:val="TableTextLeft"/>
            </w:pPr>
          </w:p>
        </w:tc>
      </w:tr>
      <w:tr w:rsidR="00023A32" w:rsidRPr="00212F00" w14:paraId="09A99876" w14:textId="77777777" w:rsidTr="000C366D">
        <w:trPr>
          <w:trHeight w:val="1132"/>
        </w:trPr>
        <w:tc>
          <w:tcPr>
            <w:tcW w:w="4361" w:type="dxa"/>
          </w:tcPr>
          <w:p w14:paraId="003A387C" w14:textId="77777777" w:rsidR="00023A32" w:rsidRPr="00212F00" w:rsidRDefault="00023A32" w:rsidP="00023A32">
            <w:pPr>
              <w:pStyle w:val="TableTextLeft"/>
            </w:pPr>
            <w:r>
              <w:t>Offers must be made n</w:t>
            </w:r>
            <w:r w:rsidRPr="00212F00">
              <w:t>o more than</w:t>
            </w:r>
            <w:r>
              <w:t xml:space="preserve"> </w:t>
            </w:r>
            <w:r w:rsidRPr="00212F00">
              <w:t xml:space="preserve">10 years since </w:t>
            </w:r>
            <w:r>
              <w:t xml:space="preserve">the company’s </w:t>
            </w:r>
            <w:r w:rsidRPr="00212F00">
              <w:t>incorporation</w:t>
            </w:r>
          </w:p>
        </w:tc>
        <w:tc>
          <w:tcPr>
            <w:tcW w:w="4536" w:type="dxa"/>
          </w:tcPr>
          <w:p w14:paraId="54959608" w14:textId="77777777" w:rsidR="00023A32" w:rsidRPr="00212F00" w:rsidRDefault="00023A32" w:rsidP="00023A32">
            <w:pPr>
              <w:pStyle w:val="TableTextLeft"/>
            </w:pPr>
            <w:r w:rsidRPr="00212F00">
              <w:t>Remove as the restriction on turnover limit serves a similar purpose of restricting the exemption to small businesses. T</w:t>
            </w:r>
            <w:r>
              <w:t>he t</w:t>
            </w:r>
            <w:r w:rsidRPr="00212F00">
              <w:t>ime since incorporation is not an accurate indicator of a business</w:t>
            </w:r>
            <w:r>
              <w:t>’s size (it is more indicative of a ‘start-up’).</w:t>
            </w:r>
            <w:r w:rsidRPr="00212F00">
              <w:t xml:space="preserve">  </w:t>
            </w:r>
          </w:p>
        </w:tc>
      </w:tr>
    </w:tbl>
    <w:tbl>
      <w:tblPr>
        <w:tblW w:w="4791" w:type="pct"/>
        <w:tblLook w:val="01E0" w:firstRow="1" w:lastRow="1" w:firstColumn="1" w:lastColumn="1" w:noHBand="0" w:noVBand="0"/>
      </w:tblPr>
      <w:tblGrid>
        <w:gridCol w:w="4362"/>
        <w:gridCol w:w="4536"/>
      </w:tblGrid>
      <w:tr w:rsidR="00023A32" w14:paraId="224D24DC" w14:textId="77777777" w:rsidTr="000C366D">
        <w:trPr>
          <w:tblHeader/>
        </w:trPr>
        <w:tc>
          <w:tcPr>
            <w:tcW w:w="2451" w:type="pct"/>
            <w:shd w:val="clear" w:color="auto" w:fill="E5E5E5"/>
          </w:tcPr>
          <w:p w14:paraId="57C3068E" w14:textId="77777777" w:rsidR="00023A32" w:rsidRDefault="00023A32" w:rsidP="00023A32">
            <w:pPr>
              <w:pStyle w:val="TableTextLeft"/>
            </w:pPr>
            <w:r w:rsidRPr="00212F00">
              <w:t>In relation to an employee’s employment with the issuing company or a subsidiary</w:t>
            </w:r>
          </w:p>
        </w:tc>
        <w:tc>
          <w:tcPr>
            <w:tcW w:w="2549" w:type="pct"/>
            <w:shd w:val="clear" w:color="auto" w:fill="E5E5E5"/>
          </w:tcPr>
          <w:p w14:paraId="6FDF4F33" w14:textId="77777777" w:rsidR="00023A32" w:rsidRDefault="00023A32" w:rsidP="00023A32">
            <w:pPr>
              <w:pStyle w:val="TableTextLeft"/>
            </w:pPr>
            <w:r w:rsidRPr="00212F00">
              <w:t>No chan</w:t>
            </w:r>
            <w:r>
              <w:t>ge. The ASIC class o</w:t>
            </w:r>
            <w:r w:rsidRPr="00212F00">
              <w:t xml:space="preserve">rder for unlisted companies has not been extended to apply to associated bodies corporate or related bodies corporate that are not wholly owned subsidiaries. This is because the extent of control and interdependence is less in these instances, and would apply in situations that are less transparent than those that apply to listed bodies.  </w:t>
            </w:r>
          </w:p>
          <w:p w14:paraId="64EE3AA8" w14:textId="77777777" w:rsidR="00023A32" w:rsidRDefault="00023A32" w:rsidP="00023A32">
            <w:pPr>
              <w:pStyle w:val="TableTextLeft"/>
              <w:rPr>
                <w:b/>
              </w:rPr>
            </w:pPr>
          </w:p>
        </w:tc>
      </w:tr>
      <w:tr w:rsidR="00023A32" w14:paraId="3E2DF0CC" w14:textId="77777777" w:rsidTr="000C366D">
        <w:trPr>
          <w:tblHeader/>
        </w:trPr>
        <w:tc>
          <w:tcPr>
            <w:tcW w:w="2451" w:type="pct"/>
            <w:shd w:val="clear" w:color="auto" w:fill="E5E5E5"/>
          </w:tcPr>
          <w:p w14:paraId="048BDFFF" w14:textId="77777777" w:rsidR="00023A32" w:rsidRPr="00212F00" w:rsidRDefault="00023A32" w:rsidP="00023A32">
            <w:pPr>
              <w:pStyle w:val="TableTextLeft"/>
            </w:pPr>
            <w:r w:rsidRPr="00212F00">
              <w:t>Applies to unlisted business</w:t>
            </w:r>
            <w:r>
              <w:t>es only</w:t>
            </w:r>
          </w:p>
        </w:tc>
        <w:tc>
          <w:tcPr>
            <w:tcW w:w="2549" w:type="pct"/>
            <w:shd w:val="clear" w:color="auto" w:fill="E5E5E5"/>
          </w:tcPr>
          <w:p w14:paraId="051CE579" w14:textId="77777777" w:rsidR="00023A32" w:rsidRDefault="00023A32" w:rsidP="00023A32">
            <w:pPr>
              <w:pStyle w:val="TableTextLeft"/>
            </w:pPr>
            <w:r w:rsidRPr="00212F00">
              <w:t xml:space="preserve">No change. Listed entities are subject to public disclosure obligations due to the market listing rules they must comply with.  </w:t>
            </w:r>
          </w:p>
          <w:p w14:paraId="409C1066" w14:textId="77777777" w:rsidR="00023A32" w:rsidRPr="00212F00" w:rsidRDefault="00023A32" w:rsidP="00023A32">
            <w:pPr>
              <w:pStyle w:val="TableTextLeft"/>
            </w:pPr>
          </w:p>
        </w:tc>
      </w:tr>
      <w:tr w:rsidR="00023A32" w14:paraId="053C1C66" w14:textId="77777777" w:rsidTr="000C366D">
        <w:trPr>
          <w:tblHeader/>
        </w:trPr>
        <w:tc>
          <w:tcPr>
            <w:tcW w:w="2451" w:type="pct"/>
            <w:shd w:val="clear" w:color="auto" w:fill="E5E5E5"/>
          </w:tcPr>
          <w:p w14:paraId="037B907D" w14:textId="77777777" w:rsidR="00023A32" w:rsidRPr="00212F00" w:rsidRDefault="00023A32" w:rsidP="00023A32">
            <w:pPr>
              <w:pStyle w:val="TableTextLeft"/>
            </w:pPr>
            <w:r w:rsidRPr="00212F00">
              <w:t>Eligible businesses must have a turnover of no more than $50 million</w:t>
            </w:r>
          </w:p>
        </w:tc>
        <w:tc>
          <w:tcPr>
            <w:tcW w:w="2549" w:type="pct"/>
            <w:shd w:val="clear" w:color="auto" w:fill="E5E5E5"/>
          </w:tcPr>
          <w:p w14:paraId="3662BEBD" w14:textId="38C46F29" w:rsidR="00023A32" w:rsidRPr="00212F00" w:rsidRDefault="00023A32" w:rsidP="00D720E4">
            <w:pPr>
              <w:pStyle w:val="TableTextLeft"/>
            </w:pPr>
            <w:r w:rsidRPr="00212F00">
              <w:t>No change. This criterion is intended to restrict the exemption to small businesses where information is more commercially sensitive (and therefore, the commercial benefit may outweigh the regulatory detriment</w:t>
            </w:r>
            <w:r w:rsidR="006C704A">
              <w:t>, being decreased transparency)</w:t>
            </w:r>
            <w:r>
              <w:t>.</w:t>
            </w:r>
          </w:p>
        </w:tc>
      </w:tr>
    </w:tbl>
    <w:p w14:paraId="6E1A3052" w14:textId="77777777" w:rsidR="00023A32" w:rsidRDefault="00023A32" w:rsidP="00023A32">
      <w:pPr>
        <w:rPr>
          <w:b/>
        </w:rPr>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23A32" w14:paraId="1FB1DDCC" w14:textId="77777777" w:rsidTr="00023A32">
        <w:tc>
          <w:tcPr>
            <w:tcW w:w="5000" w:type="pct"/>
            <w:shd w:val="clear" w:color="auto" w:fill="EBEBEB"/>
          </w:tcPr>
          <w:p w14:paraId="7DBCADA0" w14:textId="77777777" w:rsidR="00023A32" w:rsidRPr="000553FE" w:rsidRDefault="00023A32" w:rsidP="00023A32">
            <w:pPr>
              <w:pStyle w:val="BoxHeading"/>
              <w:rPr>
                <w:b w:val="0"/>
              </w:rPr>
            </w:pPr>
            <w:r>
              <w:t>Questions</w:t>
            </w:r>
          </w:p>
          <w:p w14:paraId="4A5DCC49" w14:textId="5723A980" w:rsidR="00023A32" w:rsidRDefault="00023A32" w:rsidP="00DD2944">
            <w:pPr>
              <w:pStyle w:val="BoxText"/>
              <w:ind w:left="709" w:hanging="709"/>
            </w:pPr>
            <w:r>
              <w:rPr>
                <w:b/>
              </w:rPr>
              <w:t>4.1</w:t>
            </w:r>
            <w:r>
              <w:rPr>
                <w:b/>
              </w:rPr>
              <w:tab/>
            </w:r>
            <w:r w:rsidRPr="00532F11">
              <w:t>Do</w:t>
            </w:r>
            <w:r>
              <w:t xml:space="preserve"> </w:t>
            </w:r>
            <w:r w:rsidRPr="006652A4">
              <w:t xml:space="preserve">you support expanding the </w:t>
            </w:r>
            <w:r w:rsidR="008F12B1">
              <w:t xml:space="preserve">types of ESS eligible for the </w:t>
            </w:r>
            <w:r w:rsidRPr="006652A4">
              <w:t xml:space="preserve">exemption from public access to disclosure </w:t>
            </w:r>
            <w:r w:rsidR="00EC5C18">
              <w:t xml:space="preserve">        </w:t>
            </w:r>
            <w:r w:rsidRPr="006652A4">
              <w:t>documents?</w:t>
            </w:r>
          </w:p>
          <w:p w14:paraId="0B72DB6C" w14:textId="08EB7F5F" w:rsidR="00023A32" w:rsidRDefault="00023A32" w:rsidP="00023A32">
            <w:pPr>
              <w:pStyle w:val="BoxText"/>
            </w:pPr>
            <w:r w:rsidRPr="00DB06CF">
              <w:rPr>
                <w:b/>
              </w:rPr>
              <w:t>4.</w:t>
            </w:r>
            <w:r>
              <w:rPr>
                <w:b/>
              </w:rPr>
              <w:t>2</w:t>
            </w:r>
            <w:r>
              <w:tab/>
            </w:r>
            <w:r w:rsidRPr="000126D1">
              <w:t>What</w:t>
            </w:r>
            <w:r>
              <w:t xml:space="preserve"> </w:t>
            </w:r>
            <w:r w:rsidRPr="00E04698">
              <w:t xml:space="preserve">are the benefits or risks of expanding </w:t>
            </w:r>
            <w:r w:rsidR="008F12B1">
              <w:t xml:space="preserve">the types of ESS eligible for </w:t>
            </w:r>
            <w:r w:rsidRPr="00E04698">
              <w:t>this exemption?</w:t>
            </w:r>
          </w:p>
          <w:p w14:paraId="6D98F312" w14:textId="097A6660" w:rsidR="00023A32" w:rsidRDefault="008F12B1" w:rsidP="00DD2944">
            <w:pPr>
              <w:pStyle w:val="BoxText"/>
              <w:ind w:left="709" w:hanging="709"/>
            </w:pPr>
            <w:r w:rsidRPr="00F651D6">
              <w:rPr>
                <w:b/>
              </w:rPr>
              <w:t>4.3</w:t>
            </w:r>
            <w:r w:rsidR="00F651D6">
              <w:tab/>
            </w:r>
            <w:r w:rsidR="00023A32">
              <w:t xml:space="preserve">Are </w:t>
            </w:r>
            <w:r w:rsidR="00023A32" w:rsidRPr="00E04698">
              <w:t>there any other changes to the scope or availability of this exemption that are necessary or desirable? Please provide details.</w:t>
            </w:r>
          </w:p>
        </w:tc>
      </w:tr>
    </w:tbl>
    <w:p w14:paraId="32ACCD8D" w14:textId="77777777" w:rsidR="00023A32" w:rsidRDefault="00023A32" w:rsidP="001866AB"/>
    <w:p w14:paraId="2072AC32" w14:textId="55A20BB7" w:rsidR="001866AB" w:rsidRDefault="00397296" w:rsidP="00DB06CF">
      <w:pPr>
        <w:pStyle w:val="Heading2"/>
      </w:pPr>
      <w:bookmarkStart w:id="40" w:name="_Toc4493782"/>
      <w:r>
        <w:lastRenderedPageBreak/>
        <w:t>Listed companies</w:t>
      </w:r>
      <w:bookmarkEnd w:id="40"/>
    </w:p>
    <w:p w14:paraId="2F3FA9E6" w14:textId="3A954436" w:rsidR="00397296" w:rsidRDefault="00397296" w:rsidP="001866AB">
      <w:r>
        <w:t xml:space="preserve">Companies listed on </w:t>
      </w:r>
      <w:r w:rsidR="00455FC2">
        <w:t>an</w:t>
      </w:r>
      <w:r>
        <w:t xml:space="preserve"> </w:t>
      </w:r>
      <w:r w:rsidR="004F5782">
        <w:t>approved financial</w:t>
      </w:r>
      <w:r w:rsidR="0073028F">
        <w:t xml:space="preserve"> market</w:t>
      </w:r>
      <w:r w:rsidR="0073028F">
        <w:rPr>
          <w:rStyle w:val="FootnoteReference"/>
        </w:rPr>
        <w:footnoteReference w:id="19"/>
      </w:r>
      <w:r w:rsidR="004F5782">
        <w:t xml:space="preserve"> </w:t>
      </w:r>
      <w:r>
        <w:t xml:space="preserve">must comply with </w:t>
      </w:r>
      <w:r w:rsidR="0073028F">
        <w:t>the listing</w:t>
      </w:r>
      <w:r>
        <w:t xml:space="preserve"> rules </w:t>
      </w:r>
      <w:r w:rsidR="0073028F">
        <w:t>of that market as well as a number of enhanced corporate governance and reporting</w:t>
      </w:r>
      <w:r>
        <w:t xml:space="preserve"> obligations</w:t>
      </w:r>
      <w:r w:rsidR="0073028F">
        <w:t xml:space="preserve"> under the Corporations Act.</w:t>
      </w:r>
    </w:p>
    <w:p w14:paraId="6D4C9E5F" w14:textId="143CD628" w:rsidR="00FC1688" w:rsidRDefault="00AC6982" w:rsidP="001866AB">
      <w:r>
        <w:t>D</w:t>
      </w:r>
      <w:r w:rsidR="00FC1688">
        <w:t xml:space="preserve">ue to </w:t>
      </w:r>
      <w:r w:rsidR="00E90A9B">
        <w:t xml:space="preserve">listed companies’ </w:t>
      </w:r>
      <w:r w:rsidR="0073028F">
        <w:t xml:space="preserve">enhanced </w:t>
      </w:r>
      <w:r>
        <w:t>disclosure and r</w:t>
      </w:r>
      <w:r w:rsidR="00FC1688">
        <w:t xml:space="preserve">eporting </w:t>
      </w:r>
      <w:r w:rsidR="00FB64C8">
        <w:t>requirements</w:t>
      </w:r>
      <w:r w:rsidR="00FC1688">
        <w:t xml:space="preserve"> and the availability of </w:t>
      </w:r>
      <w:r w:rsidR="0073028F">
        <w:t xml:space="preserve">reliable </w:t>
      </w:r>
      <w:r w:rsidR="00FC1688">
        <w:t xml:space="preserve">information about the price of the company’s </w:t>
      </w:r>
      <w:r w:rsidR="0073028F">
        <w:t xml:space="preserve">securities traded </w:t>
      </w:r>
      <w:r w:rsidR="00FC1688">
        <w:t xml:space="preserve">on the </w:t>
      </w:r>
      <w:r w:rsidR="0073028F">
        <w:t>market</w:t>
      </w:r>
      <w:r>
        <w:t>,</w:t>
      </w:r>
      <w:r w:rsidR="0073028F">
        <w:t xml:space="preserve"> employees of listed companies will generally be well informed about the value and affairs of the company. As such,</w:t>
      </w:r>
      <w:r>
        <w:t xml:space="preserve"> </w:t>
      </w:r>
      <w:proofErr w:type="gramStart"/>
      <w:r>
        <w:t xml:space="preserve">the </w:t>
      </w:r>
      <w:r w:rsidR="0073028F">
        <w:t>conditions of ASIC’s</w:t>
      </w:r>
      <w:proofErr w:type="gramEnd"/>
      <w:r w:rsidR="0073028F">
        <w:t xml:space="preserve"> </w:t>
      </w:r>
      <w:r>
        <w:t xml:space="preserve">class order </w:t>
      </w:r>
      <w:r w:rsidR="0073028F">
        <w:t>relief for</w:t>
      </w:r>
      <w:r>
        <w:t xml:space="preserve"> listed companies offering </w:t>
      </w:r>
      <w:r w:rsidR="0073028F">
        <w:t>an ESS</w:t>
      </w:r>
      <w:r>
        <w:t xml:space="preserve"> are less </w:t>
      </w:r>
      <w:r w:rsidR="0073028F">
        <w:t xml:space="preserve">onerous </w:t>
      </w:r>
      <w:r>
        <w:t>than those imposed on unlisted companies</w:t>
      </w:r>
      <w:r w:rsidR="00FC1688">
        <w:t xml:space="preserve">.  </w:t>
      </w:r>
    </w:p>
    <w:p w14:paraId="6BB2DFE7" w14:textId="54211163" w:rsidR="00C640BE" w:rsidRDefault="00AC6982" w:rsidP="001866AB">
      <w:r>
        <w:t>While,</w:t>
      </w:r>
      <w:r w:rsidR="00EB1F81">
        <w:t xml:space="preserve"> </w:t>
      </w:r>
      <w:r>
        <w:t>t</w:t>
      </w:r>
      <w:r w:rsidR="001866AB">
        <w:t xml:space="preserve">he Government has not received </w:t>
      </w:r>
      <w:r w:rsidR="00496A7B">
        <w:t>stakeholder feedback</w:t>
      </w:r>
      <w:r w:rsidR="001866AB">
        <w:t xml:space="preserve"> about the relief currently available for listed companies </w:t>
      </w:r>
      <w:r w:rsidR="00345E4B">
        <w:t>making ESS offers being overly restrictive or complex</w:t>
      </w:r>
      <w:r>
        <w:t xml:space="preserve">, there are likely to be benefits from </w:t>
      </w:r>
      <w:r w:rsidR="00EB1F81">
        <w:t xml:space="preserve">streamlining in the law the </w:t>
      </w:r>
      <w:r w:rsidR="00551B7C">
        <w:t>exemptions for</w:t>
      </w:r>
      <w:r w:rsidR="00EB1F81">
        <w:t xml:space="preserve"> listed c</w:t>
      </w:r>
      <w:r w:rsidR="00195C0D">
        <w:t>ompanies when offering an ESS</w:t>
      </w:r>
      <w:r w:rsidR="009143D4">
        <w:t xml:space="preserve">.   </w:t>
      </w:r>
    </w:p>
    <w:p w14:paraId="761A021C" w14:textId="11927782" w:rsidR="00C640BE" w:rsidRDefault="00C640BE" w:rsidP="001866AB">
      <w:r>
        <w:t xml:space="preserve">Consolidating the class order relief in the Corporations Act should reduce legal complexity in interpreting the law and reduce the disincentive small businesses face in using an ESS.  </w:t>
      </w:r>
      <w:r w:rsidR="00C92648">
        <w:t xml:space="preserve">This would also provide </w:t>
      </w:r>
      <w:r w:rsidR="00C02EFB">
        <w:t xml:space="preserve">unlisted and listed companies with </w:t>
      </w:r>
      <w:r w:rsidR="00C92648">
        <w:t>the same benefit</w:t>
      </w:r>
      <w:r w:rsidR="00C02EFB">
        <w:t>s</w:t>
      </w:r>
      <w:r w:rsidR="00C92648">
        <w:t xml:space="preserve"> </w:t>
      </w:r>
      <w:r w:rsidR="00C02EFB">
        <w:t xml:space="preserve">flowing </w:t>
      </w:r>
      <w:r w:rsidR="00C92648">
        <w:t>from consolidation</w:t>
      </w:r>
      <w:r w:rsidR="0032074D">
        <w:t xml:space="preserve"> and simplification of the regulatory framework for ESSs</w:t>
      </w:r>
      <w:r w:rsidR="003737E3">
        <w:t>.</w:t>
      </w:r>
      <w:r w:rsidR="00C92648">
        <w:t xml:space="preserve"> </w:t>
      </w:r>
    </w:p>
    <w:p w14:paraId="0A6D7C8D" w14:textId="77777777" w:rsidR="003737E3" w:rsidRDefault="003737E3" w:rsidP="001866AB"/>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C366D" w14:paraId="011A33D2" w14:textId="77777777" w:rsidTr="000C12E5">
        <w:tc>
          <w:tcPr>
            <w:tcW w:w="5000" w:type="pct"/>
            <w:shd w:val="clear" w:color="auto" w:fill="EBEBEB"/>
          </w:tcPr>
          <w:p w14:paraId="6B0896E0" w14:textId="77777777" w:rsidR="000C366D" w:rsidRPr="000553FE" w:rsidRDefault="000C366D" w:rsidP="000C12E5">
            <w:pPr>
              <w:pStyle w:val="BoxHeading"/>
              <w:rPr>
                <w:b w:val="0"/>
              </w:rPr>
            </w:pPr>
            <w:r>
              <w:t>Questions</w:t>
            </w:r>
          </w:p>
          <w:p w14:paraId="4390F7AD" w14:textId="77777777" w:rsidR="000C366D" w:rsidRDefault="000C366D" w:rsidP="000C12E5">
            <w:pPr>
              <w:pStyle w:val="BoxText"/>
            </w:pPr>
            <w:r>
              <w:rPr>
                <w:b/>
              </w:rPr>
              <w:t>5.1</w:t>
            </w:r>
            <w:r>
              <w:rPr>
                <w:b/>
              </w:rPr>
              <w:tab/>
            </w:r>
            <w:r w:rsidRPr="009143D4">
              <w:t>Do</w:t>
            </w:r>
            <w:r>
              <w:t xml:space="preserve"> </w:t>
            </w:r>
            <w:r w:rsidRPr="00E04698">
              <w:t>you support simplifying and consolidating the relief for listed companies in the Corporations Act?</w:t>
            </w:r>
          </w:p>
          <w:p w14:paraId="2B7A7BB2" w14:textId="77777777" w:rsidR="000C366D" w:rsidRDefault="000C366D" w:rsidP="000C12E5">
            <w:pPr>
              <w:pStyle w:val="BoxText"/>
              <w:ind w:left="709" w:hanging="709"/>
            </w:pPr>
            <w:r w:rsidRPr="00DB06CF">
              <w:rPr>
                <w:b/>
              </w:rPr>
              <w:t>5.</w:t>
            </w:r>
            <w:r>
              <w:rPr>
                <w:b/>
              </w:rPr>
              <w:t>2</w:t>
            </w:r>
            <w:r>
              <w:tab/>
            </w:r>
            <w:r w:rsidRPr="000126D1">
              <w:t>What</w:t>
            </w:r>
            <w:r>
              <w:t xml:space="preserve"> </w:t>
            </w:r>
            <w:r w:rsidRPr="00E04698">
              <w:t>are the potential benefits or risks of consolidating the relief for listed companies in the Corporations Act?</w:t>
            </w:r>
          </w:p>
          <w:p w14:paraId="14E818F5" w14:textId="77777777" w:rsidR="000C366D" w:rsidRDefault="000C366D" w:rsidP="000C12E5">
            <w:pPr>
              <w:pStyle w:val="BoxText"/>
              <w:ind w:left="709" w:hanging="709"/>
            </w:pPr>
            <w:r>
              <w:rPr>
                <w:b/>
              </w:rPr>
              <w:t>5.3</w:t>
            </w:r>
            <w:r>
              <w:rPr>
                <w:b/>
              </w:rPr>
              <w:tab/>
            </w:r>
            <w:r>
              <w:t xml:space="preserve">Are </w:t>
            </w:r>
            <w:r w:rsidRPr="00E04698">
              <w:t>there any requirements or conditions of the ASIC class order that should be removed or expanded as part of the consolidation? If so, please explain why.</w:t>
            </w:r>
          </w:p>
          <w:p w14:paraId="271238CF" w14:textId="1650F95B" w:rsidR="000C366D" w:rsidRDefault="000C366D" w:rsidP="000C12E5">
            <w:pPr>
              <w:pStyle w:val="BoxText"/>
              <w:ind w:left="709" w:hanging="709"/>
            </w:pPr>
            <w:r w:rsidRPr="00DB06CF">
              <w:rPr>
                <w:b/>
              </w:rPr>
              <w:t>5.</w:t>
            </w:r>
            <w:r>
              <w:rPr>
                <w:b/>
              </w:rPr>
              <w:t>4</w:t>
            </w:r>
            <w:r>
              <w:t xml:space="preserve"> </w:t>
            </w:r>
            <w:r>
              <w:tab/>
            </w:r>
            <w:r w:rsidRPr="001264FA">
              <w:t>Are</w:t>
            </w:r>
            <w:r>
              <w:t xml:space="preserve"> </w:t>
            </w:r>
            <w:r w:rsidRPr="00E04698">
              <w:t xml:space="preserve">there any other barriers or costs for listed companies offering ESSs?   </w:t>
            </w:r>
          </w:p>
        </w:tc>
      </w:tr>
    </w:tbl>
    <w:p w14:paraId="6542B1DD" w14:textId="77777777" w:rsidR="000C366D" w:rsidRDefault="000C366D" w:rsidP="000C366D">
      <w:pPr>
        <w:pStyle w:val="Heading2"/>
      </w:pPr>
      <w:bookmarkStart w:id="41" w:name="_Toc4493783"/>
      <w:r w:rsidRPr="00675415">
        <w:t>Other reforms</w:t>
      </w:r>
      <w:bookmarkEnd w:id="41"/>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0C366D" w14:paraId="54C04D8E" w14:textId="77777777" w:rsidTr="000C12E5">
        <w:tc>
          <w:tcPr>
            <w:tcW w:w="5000" w:type="pct"/>
            <w:shd w:val="clear" w:color="auto" w:fill="EBEBEB"/>
          </w:tcPr>
          <w:p w14:paraId="4AAE5C6D" w14:textId="77777777" w:rsidR="000C366D" w:rsidRPr="000553FE" w:rsidRDefault="000C366D" w:rsidP="000C12E5">
            <w:pPr>
              <w:pStyle w:val="BoxHeading"/>
              <w:rPr>
                <w:b w:val="0"/>
              </w:rPr>
            </w:pPr>
            <w:r>
              <w:t>Questions</w:t>
            </w:r>
          </w:p>
          <w:p w14:paraId="1E1CB18B" w14:textId="7E2BC7F9" w:rsidR="000C366D" w:rsidRDefault="000C366D" w:rsidP="000C12E5">
            <w:pPr>
              <w:pStyle w:val="BoxText"/>
            </w:pPr>
            <w:r w:rsidRPr="00DB06CF">
              <w:rPr>
                <w:b/>
              </w:rPr>
              <w:t>6.1</w:t>
            </w:r>
            <w:r>
              <w:tab/>
              <w:t xml:space="preserve">Are </w:t>
            </w:r>
            <w:r w:rsidRPr="00E04698">
              <w:t xml:space="preserve">there any other regulatory barriers to </w:t>
            </w:r>
            <w:r w:rsidR="00EB4543">
              <w:t xml:space="preserve">small businesses </w:t>
            </w:r>
            <w:r w:rsidRPr="00E04698">
              <w:t>offering ESSs?</w:t>
            </w:r>
          </w:p>
          <w:p w14:paraId="4DD3E335" w14:textId="77777777" w:rsidR="000C366D" w:rsidRDefault="000C366D" w:rsidP="000C12E5">
            <w:pPr>
              <w:pStyle w:val="BoxText"/>
              <w:ind w:left="709" w:hanging="709"/>
            </w:pPr>
            <w:r w:rsidRPr="000C366D">
              <w:rPr>
                <w:b/>
              </w:rPr>
              <w:t>6.2</w:t>
            </w:r>
            <w:r>
              <w:tab/>
              <w:t xml:space="preserve">Are </w:t>
            </w:r>
            <w:r w:rsidRPr="00E04698">
              <w:t xml:space="preserve">there any other reforms to the regulatory framework for ESSs that would further facilitate or reduce costs for small businesses offering an ESS?  </w:t>
            </w:r>
          </w:p>
        </w:tc>
      </w:tr>
    </w:tbl>
    <w:p w14:paraId="706C309A" w14:textId="77777777" w:rsidR="000C366D" w:rsidRDefault="000C366D" w:rsidP="000C366D"/>
    <w:p w14:paraId="3EA766B9" w14:textId="77777777" w:rsidR="001866AB" w:rsidRDefault="001866AB" w:rsidP="002D488F"/>
    <w:sectPr w:rsidR="001866AB" w:rsidSect="00E1136B">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4E7D34" w15:done="0"/>
  <w15:commentEx w15:paraId="0873C6D7" w15:done="0"/>
  <w15:commentEx w15:paraId="46410BAD" w15:done="0"/>
  <w15:commentEx w15:paraId="4C87EBDE" w15:done="0"/>
  <w15:commentEx w15:paraId="14AD9D2E" w15:done="0"/>
  <w15:commentEx w15:paraId="468C6E9F" w15:done="0"/>
  <w15:commentEx w15:paraId="512BDBC1" w15:done="0"/>
  <w15:commentEx w15:paraId="7CD97637" w15:done="0"/>
  <w15:commentEx w15:paraId="17AD8797" w15:done="0"/>
  <w15:commentEx w15:paraId="75DABC5E" w15:done="0"/>
  <w15:commentEx w15:paraId="79407C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E7D34" w16cid:durableId="201A737F"/>
  <w16cid:commentId w16cid:paraId="0873C6D7" w16cid:durableId="201A7742"/>
  <w16cid:commentId w16cid:paraId="46410BAD" w16cid:durableId="201A77A4"/>
  <w16cid:commentId w16cid:paraId="4C87EBDE" w16cid:durableId="201A77C7"/>
  <w16cid:commentId w16cid:paraId="14AD9D2E" w16cid:durableId="201A7A3D"/>
  <w16cid:commentId w16cid:paraId="468C6E9F" w16cid:durableId="201A7BA4"/>
  <w16cid:commentId w16cid:paraId="512BDBC1" w16cid:durableId="201A7BD4"/>
  <w16cid:commentId w16cid:paraId="7CD97637" w16cid:durableId="201A8397"/>
  <w16cid:commentId w16cid:paraId="17AD8797" w16cid:durableId="201A81E8"/>
  <w16cid:commentId w16cid:paraId="75DABC5E" w16cid:durableId="201A8334"/>
  <w16cid:commentId w16cid:paraId="79407C2C" w16cid:durableId="201A84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DFF39" w14:textId="77777777" w:rsidR="00890109" w:rsidRDefault="00890109">
      <w:pPr>
        <w:spacing w:before="0" w:after="0"/>
      </w:pPr>
      <w:r>
        <w:separator/>
      </w:r>
    </w:p>
  </w:endnote>
  <w:endnote w:type="continuationSeparator" w:id="0">
    <w:p w14:paraId="072009D4" w14:textId="77777777" w:rsidR="00890109" w:rsidRDefault="00890109">
      <w:pPr>
        <w:spacing w:before="0" w:after="0"/>
      </w:pPr>
      <w:r>
        <w:continuationSeparator/>
      </w:r>
    </w:p>
  </w:endnote>
  <w:endnote w:type="continuationNotice" w:id="1">
    <w:p w14:paraId="0798F6D5" w14:textId="77777777" w:rsidR="00890109" w:rsidRDefault="008901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744D" w14:textId="77777777" w:rsidR="00DC244A" w:rsidRDefault="00DC24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BC731" w14:textId="77777777" w:rsidR="00890109" w:rsidRPr="00E1136B" w:rsidRDefault="00890109" w:rsidP="00E1136B">
    <w:pPr>
      <w:pStyle w:val="Footer"/>
    </w:pPr>
    <w:r>
      <w:rPr>
        <w:noProof/>
      </w:rPr>
      <w:drawing>
        <wp:anchor distT="0" distB="0" distL="114300" distR="114300" simplePos="0" relativeHeight="251658241" behindDoc="1" locked="0" layoutInCell="1" allowOverlap="1" wp14:anchorId="2DAC6806" wp14:editId="4A1F8C8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DC244A">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8FEF" w14:textId="77777777" w:rsidR="00DC244A" w:rsidRDefault="00DC24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632C4" w14:textId="77777777" w:rsidR="00890109" w:rsidRPr="00E77C89" w:rsidRDefault="00890109"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E977" w14:textId="77777777" w:rsidR="00890109" w:rsidRPr="00E77C89" w:rsidRDefault="00890109"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9745" w14:textId="77777777" w:rsidR="00890109" w:rsidRPr="00E1136B" w:rsidRDefault="00890109" w:rsidP="00E1136B">
    <w:pPr>
      <w:pStyle w:val="Footer"/>
    </w:pPr>
    <w:r>
      <w:fldChar w:fldCharType="begin"/>
    </w:r>
    <w:r>
      <w:instrText xml:space="preserve"> PAGE   \* MERGEFORMAT </w:instrText>
    </w:r>
    <w:r>
      <w:fldChar w:fldCharType="separate"/>
    </w:r>
    <w:r w:rsidR="00DC244A">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63E6A" w14:textId="77777777" w:rsidR="00890109" w:rsidRDefault="00890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406D5" w14:textId="77777777" w:rsidR="00890109" w:rsidRDefault="00890109">
      <w:pPr>
        <w:spacing w:before="0" w:after="0"/>
      </w:pPr>
      <w:r>
        <w:separator/>
      </w:r>
    </w:p>
  </w:footnote>
  <w:footnote w:type="continuationSeparator" w:id="0">
    <w:p w14:paraId="5C1704D5" w14:textId="77777777" w:rsidR="00890109" w:rsidRDefault="00890109">
      <w:pPr>
        <w:spacing w:before="0" w:after="0"/>
      </w:pPr>
      <w:r>
        <w:continuationSeparator/>
      </w:r>
    </w:p>
  </w:footnote>
  <w:footnote w:type="continuationNotice" w:id="1">
    <w:p w14:paraId="670A519C" w14:textId="77777777" w:rsidR="00890109" w:rsidRDefault="00890109">
      <w:pPr>
        <w:spacing w:before="0" w:after="0"/>
      </w:pPr>
    </w:p>
  </w:footnote>
  <w:footnote w:id="2">
    <w:p w14:paraId="375E71BB" w14:textId="5EFDA626" w:rsidR="00890109" w:rsidRDefault="00890109" w:rsidP="000C366D">
      <w:pPr>
        <w:pStyle w:val="FootnoteText"/>
        <w:ind w:left="720" w:hanging="720"/>
      </w:pPr>
      <w:r w:rsidRPr="000C366D">
        <w:rPr>
          <w:rStyle w:val="FootnoteReference"/>
          <w:vertAlign w:val="baseline"/>
        </w:rPr>
        <w:footnoteRef/>
      </w:r>
      <w:r>
        <w:t xml:space="preserve"> </w:t>
      </w:r>
      <w:r>
        <w:tab/>
      </w:r>
      <w:r w:rsidRPr="003A1155">
        <w:t>‘Government proposes to double the value limit available under employee share schemes’</w:t>
      </w:r>
      <w:r>
        <w:t xml:space="preserve">, 13 November 2018, </w:t>
      </w:r>
      <w:r w:rsidRPr="00CC2F8B">
        <w:t>Media Release</w:t>
      </w:r>
      <w:r>
        <w:t xml:space="preserve">, the Hon Josh </w:t>
      </w:r>
      <w:proofErr w:type="spellStart"/>
      <w:r>
        <w:t>Frydenberg</w:t>
      </w:r>
      <w:proofErr w:type="spellEnd"/>
      <w:r>
        <w:t xml:space="preserve"> MP, Treasurer, and Senator the Hon </w:t>
      </w:r>
      <w:proofErr w:type="spellStart"/>
      <w:r>
        <w:t>Michaelia</w:t>
      </w:r>
      <w:proofErr w:type="spellEnd"/>
      <w:r>
        <w:t xml:space="preserve"> Cash, Minister for Small and Family Business, Skills and Vocational Education.  </w:t>
      </w:r>
    </w:p>
  </w:footnote>
  <w:footnote w:id="3">
    <w:p w14:paraId="5C9ED7EB" w14:textId="5A7ABEC9" w:rsidR="00890109" w:rsidRDefault="00890109" w:rsidP="000C366D">
      <w:pPr>
        <w:pStyle w:val="FootnoteText"/>
        <w:ind w:left="720" w:hanging="720"/>
      </w:pPr>
      <w:r w:rsidRPr="000C366D">
        <w:rPr>
          <w:rStyle w:val="FootnoteReference"/>
          <w:vertAlign w:val="baseline"/>
        </w:rPr>
        <w:footnoteRef/>
      </w:r>
      <w:r>
        <w:tab/>
      </w:r>
      <w:proofErr w:type="gramStart"/>
      <w:r w:rsidRPr="00F36FE0">
        <w:rPr>
          <w:i/>
        </w:rPr>
        <w:t>The performance and characteristics of Australian firms with Employee Share Schemes</w:t>
      </w:r>
      <w:r w:rsidRPr="00DC7C69">
        <w:t>,</w:t>
      </w:r>
      <w:r w:rsidRPr="00F36FE0">
        <w:t xml:space="preserve"> </w:t>
      </w:r>
      <w:r>
        <w:t>released by the Department of Industry, Innovation and Science in 2017.</w:t>
      </w:r>
      <w:proofErr w:type="gramEnd"/>
    </w:p>
  </w:footnote>
  <w:footnote w:id="4">
    <w:p w14:paraId="69613312" w14:textId="5F2A5B71" w:rsidR="00890109" w:rsidRDefault="00890109" w:rsidP="000C366D">
      <w:pPr>
        <w:pStyle w:val="FootnoteText"/>
        <w:ind w:left="720" w:hanging="720"/>
      </w:pPr>
      <w:r w:rsidRPr="000C366D">
        <w:rPr>
          <w:rStyle w:val="FootnoteReference"/>
          <w:vertAlign w:val="baseline"/>
        </w:rPr>
        <w:footnoteRef/>
      </w:r>
      <w:r>
        <w:tab/>
      </w:r>
      <w:proofErr w:type="gramStart"/>
      <w:r w:rsidRPr="00F36FE0">
        <w:rPr>
          <w:i/>
        </w:rPr>
        <w:t>The performance and characteristics of Australian firms with Employee Share Schemes</w:t>
      </w:r>
      <w:r w:rsidRPr="00DC7C69">
        <w:t>,</w:t>
      </w:r>
      <w:r w:rsidRPr="00F36FE0">
        <w:t xml:space="preserve"> </w:t>
      </w:r>
      <w:r>
        <w:t>released by the Department of Industry, Innovation and Science in 2017.</w:t>
      </w:r>
      <w:proofErr w:type="gramEnd"/>
    </w:p>
  </w:footnote>
  <w:footnote w:id="5">
    <w:p w14:paraId="6039F19A" w14:textId="1433C776" w:rsidR="00890109" w:rsidRDefault="00890109">
      <w:pPr>
        <w:pStyle w:val="FootnoteText"/>
      </w:pPr>
      <w:r w:rsidRPr="000C366D">
        <w:rPr>
          <w:rStyle w:val="FootnoteReference"/>
          <w:vertAlign w:val="baseline"/>
        </w:rPr>
        <w:footnoteRef/>
      </w:r>
      <w:r>
        <w:tab/>
      </w:r>
      <w:proofErr w:type="gramStart"/>
      <w:r>
        <w:t>Paragraph 5.21.</w:t>
      </w:r>
      <w:proofErr w:type="gramEnd"/>
    </w:p>
  </w:footnote>
  <w:footnote w:id="6">
    <w:p w14:paraId="1A3B79FD" w14:textId="4A8CF73C" w:rsidR="00890109" w:rsidRPr="00DB06CF" w:rsidRDefault="00890109" w:rsidP="000C366D">
      <w:pPr>
        <w:pStyle w:val="FootnoteText"/>
        <w:ind w:left="720" w:hanging="720"/>
      </w:pPr>
      <w:r w:rsidRPr="000C366D">
        <w:rPr>
          <w:rStyle w:val="FootnoteReference"/>
          <w:vertAlign w:val="baseline"/>
        </w:rPr>
        <w:footnoteRef/>
      </w:r>
      <w:r>
        <w:tab/>
      </w:r>
      <w:r w:rsidRPr="00DB06CF">
        <w:t xml:space="preserve">See sections 734, 1018A and 1018B of the Corporations Act.  </w:t>
      </w:r>
    </w:p>
  </w:footnote>
  <w:footnote w:id="7">
    <w:p w14:paraId="7B9886C5" w14:textId="130A5445" w:rsidR="00890109" w:rsidRPr="00DB06CF" w:rsidRDefault="00890109" w:rsidP="000C366D">
      <w:pPr>
        <w:pStyle w:val="FootnoteText"/>
        <w:ind w:left="720" w:hanging="720"/>
      </w:pPr>
      <w:r w:rsidRPr="000C366D">
        <w:rPr>
          <w:rStyle w:val="FootnoteReference"/>
          <w:vertAlign w:val="baseline"/>
        </w:rPr>
        <w:footnoteRef/>
      </w:r>
      <w:r>
        <w:tab/>
      </w:r>
      <w:r w:rsidRPr="00DB06CF">
        <w:t>See sections 736, 992A, and 992AA of the Corporations Act.</w:t>
      </w:r>
    </w:p>
  </w:footnote>
  <w:footnote w:id="8">
    <w:p w14:paraId="10AC6835" w14:textId="4A7FBC92" w:rsidR="00890109" w:rsidRPr="00DB06CF" w:rsidRDefault="00890109" w:rsidP="000C366D">
      <w:pPr>
        <w:pStyle w:val="FootnoteText"/>
        <w:ind w:left="720" w:hanging="720"/>
      </w:pPr>
      <w:r w:rsidRPr="000C366D">
        <w:rPr>
          <w:rStyle w:val="FootnoteReference"/>
          <w:vertAlign w:val="baseline"/>
        </w:rPr>
        <w:footnoteRef/>
      </w:r>
      <w:r>
        <w:tab/>
      </w:r>
      <w:r w:rsidRPr="00DB06CF">
        <w:t xml:space="preserve">See subsection 708(1) and </w:t>
      </w:r>
      <w:proofErr w:type="gramStart"/>
      <w:r w:rsidRPr="00DB06CF">
        <w:t>s1012E(</w:t>
      </w:r>
      <w:proofErr w:type="gramEnd"/>
      <w:r w:rsidRPr="00DB06CF">
        <w:t xml:space="preserve">2) of the Corporations Act. </w:t>
      </w:r>
    </w:p>
  </w:footnote>
  <w:footnote w:id="9">
    <w:p w14:paraId="41266370" w14:textId="14D04FF2" w:rsidR="00890109" w:rsidRDefault="00890109" w:rsidP="000C366D">
      <w:pPr>
        <w:pStyle w:val="FootnoteText"/>
        <w:ind w:left="720" w:hanging="720"/>
      </w:pPr>
      <w:r w:rsidRPr="000C366D">
        <w:rPr>
          <w:rStyle w:val="FootnoteReference"/>
          <w:vertAlign w:val="baseline"/>
        </w:rPr>
        <w:footnoteRef/>
      </w:r>
      <w:r>
        <w:tab/>
      </w:r>
      <w:r w:rsidRPr="00DB06CF">
        <w:t xml:space="preserve">See subsection 708(12) of the Corporations Act, subsection </w:t>
      </w:r>
      <w:proofErr w:type="gramStart"/>
      <w:r w:rsidRPr="00DB06CF">
        <w:t>1012D(</w:t>
      </w:r>
      <w:proofErr w:type="gramEnd"/>
      <w:r w:rsidRPr="00DB06CF">
        <w:t>9A) and  ASIC Corporations (Disclosure Relief – Offer to Associates) instrument 2017/737.</w:t>
      </w:r>
      <w:r>
        <w:t xml:space="preserve">  </w:t>
      </w:r>
    </w:p>
  </w:footnote>
  <w:footnote w:id="10">
    <w:p w14:paraId="78C1A3A4" w14:textId="544A139D" w:rsidR="00890109" w:rsidRDefault="00890109" w:rsidP="001866AB">
      <w:pPr>
        <w:pStyle w:val="FootnoteText"/>
      </w:pPr>
      <w:r w:rsidRPr="000C366D">
        <w:rPr>
          <w:rStyle w:val="FootnoteReference"/>
          <w:vertAlign w:val="baseline"/>
        </w:rPr>
        <w:footnoteRef/>
      </w:r>
      <w:r>
        <w:tab/>
      </w:r>
      <w:proofErr w:type="gramStart"/>
      <w:r>
        <w:t>See subsection 1274(2AA) of the Corporations Act.</w:t>
      </w:r>
      <w:proofErr w:type="gramEnd"/>
      <w:r>
        <w:t xml:space="preserve">  </w:t>
      </w:r>
    </w:p>
  </w:footnote>
  <w:footnote w:id="11">
    <w:p w14:paraId="32D22556" w14:textId="160BA8A2" w:rsidR="00890109" w:rsidRDefault="00890109" w:rsidP="00B96AD9">
      <w:pPr>
        <w:pStyle w:val="FootnoteText"/>
      </w:pPr>
      <w:r w:rsidRPr="000C366D">
        <w:rPr>
          <w:rStyle w:val="FootnoteReference"/>
          <w:vertAlign w:val="baseline"/>
        </w:rPr>
        <w:footnoteRef/>
      </w:r>
      <w:r>
        <w:tab/>
      </w:r>
      <w:r w:rsidRPr="00D300C1">
        <w:t>See subsection</w:t>
      </w:r>
      <w:r w:rsidRPr="00DB06CF">
        <w:t xml:space="preserve"> </w:t>
      </w:r>
      <w:proofErr w:type="gramStart"/>
      <w:r w:rsidRPr="00DB06CF">
        <w:t>911A(</w:t>
      </w:r>
      <w:proofErr w:type="gramEnd"/>
      <w:r w:rsidRPr="00DB06CF">
        <w:t>2)(</w:t>
      </w:r>
      <w:proofErr w:type="spellStart"/>
      <w:r w:rsidRPr="00DB06CF">
        <w:t>ed</w:t>
      </w:r>
      <w:proofErr w:type="spellEnd"/>
      <w:r w:rsidRPr="00DB06CF">
        <w:t>) – 911A(2)(</w:t>
      </w:r>
      <w:proofErr w:type="spellStart"/>
      <w:r w:rsidRPr="00DB06CF">
        <w:t>eg</w:t>
      </w:r>
      <w:proofErr w:type="spellEnd"/>
      <w:r w:rsidRPr="00DB06CF">
        <w:t xml:space="preserve">), </w:t>
      </w:r>
      <w:r>
        <w:t xml:space="preserve">992A(3B), </w:t>
      </w:r>
      <w:r w:rsidRPr="00D300C1">
        <w:t>9</w:t>
      </w:r>
      <w:r>
        <w:t>92AA(2)(d) of the Corporations Act.</w:t>
      </w:r>
    </w:p>
  </w:footnote>
  <w:footnote w:id="12">
    <w:p w14:paraId="09C57D1B" w14:textId="3755B464" w:rsidR="00890109" w:rsidRDefault="00890109">
      <w:pPr>
        <w:pStyle w:val="FootnoteText"/>
      </w:pPr>
      <w:r w:rsidRPr="000C366D">
        <w:rPr>
          <w:rStyle w:val="FootnoteReference"/>
          <w:vertAlign w:val="baseline"/>
        </w:rPr>
        <w:footnoteRef/>
      </w:r>
      <w:r>
        <w:tab/>
        <w:t>See section 734 of the Corporations Act.</w:t>
      </w:r>
    </w:p>
  </w:footnote>
  <w:footnote w:id="13">
    <w:p w14:paraId="35707027" w14:textId="1C66B302" w:rsidR="00890109" w:rsidRDefault="00890109" w:rsidP="0048464E">
      <w:pPr>
        <w:pStyle w:val="FootnoteText"/>
        <w:ind w:left="720" w:hanging="720"/>
      </w:pPr>
      <w:r w:rsidRPr="000C366D">
        <w:rPr>
          <w:rStyle w:val="FootnoteReference"/>
          <w:vertAlign w:val="baseline"/>
        </w:rPr>
        <w:footnoteRef/>
      </w:r>
      <w:r>
        <w:tab/>
      </w:r>
      <w:r>
        <w:rPr>
          <w:i/>
          <w:iCs/>
        </w:rPr>
        <w:t>Tax and Superannuation Laws Amendment (Employee Share Schemes) Act 2015</w:t>
      </w:r>
      <w:r w:rsidRPr="00F106F1">
        <w:rPr>
          <w:iCs/>
        </w:rPr>
        <w:t>.</w:t>
      </w:r>
    </w:p>
  </w:footnote>
  <w:footnote w:id="14">
    <w:p w14:paraId="11D91C7C" w14:textId="080D2DC6" w:rsidR="00890109" w:rsidRDefault="00890109" w:rsidP="0048464E">
      <w:pPr>
        <w:pStyle w:val="FootnoteText"/>
        <w:ind w:left="720" w:hanging="720"/>
      </w:pPr>
      <w:r w:rsidRPr="000C366D">
        <w:rPr>
          <w:rStyle w:val="FootnoteReference"/>
          <w:vertAlign w:val="baseline"/>
        </w:rPr>
        <w:footnoteRef/>
      </w:r>
      <w:r>
        <w:tab/>
        <w:t xml:space="preserve">ASIC Class Order [CO 14/1000] applies to companies listed on an eligible financial market and ASIC Class Order [CO 14/1001] applies to unlisted companies.  </w:t>
      </w:r>
    </w:p>
  </w:footnote>
  <w:footnote w:id="15">
    <w:p w14:paraId="3E14BD48" w14:textId="7A18BA1F" w:rsidR="00890109" w:rsidRDefault="00890109" w:rsidP="000F6841">
      <w:pPr>
        <w:pStyle w:val="FootnoteText"/>
        <w:ind w:left="720" w:hanging="720"/>
      </w:pPr>
      <w:r w:rsidRPr="000C366D">
        <w:rPr>
          <w:rStyle w:val="FootnoteReference"/>
          <w:vertAlign w:val="baseline"/>
        </w:rPr>
        <w:footnoteRef/>
      </w:r>
      <w:r>
        <w:tab/>
        <w:t xml:space="preserve">ASIC publishes regular public reports outlining its decisions on applications for relief.  ASIC also publishes a copy of relief instruments it issues in the ASIC Gazette.  Copies of ASIC’s public reports and gazettes are available at </w:t>
      </w:r>
      <w:hyperlink r:id="rId1" w:history="1">
        <w:r w:rsidRPr="007B5B7F">
          <w:rPr>
            <w:rStyle w:val="Hyperlink"/>
          </w:rPr>
          <w:t>www.asic.gov.au</w:t>
        </w:r>
      </w:hyperlink>
      <w:r>
        <w:t xml:space="preserve">.  </w:t>
      </w:r>
    </w:p>
  </w:footnote>
  <w:footnote w:id="16">
    <w:p w14:paraId="3DB91EE4" w14:textId="1EE52C82" w:rsidR="00890109" w:rsidRDefault="00890109" w:rsidP="000F6841">
      <w:pPr>
        <w:pStyle w:val="FootnoteText"/>
        <w:ind w:left="720" w:hanging="720"/>
      </w:pPr>
      <w:r w:rsidRPr="000C366D">
        <w:rPr>
          <w:rStyle w:val="FootnoteReference"/>
          <w:vertAlign w:val="baseline"/>
        </w:rPr>
        <w:footnoteRef/>
      </w:r>
      <w:r>
        <w:tab/>
      </w:r>
      <w:proofErr w:type="gramStart"/>
      <w:r>
        <w:t>See subsection 1274(2AA).</w:t>
      </w:r>
      <w:proofErr w:type="gramEnd"/>
      <w:r>
        <w:t xml:space="preserve">  </w:t>
      </w:r>
    </w:p>
  </w:footnote>
  <w:footnote w:id="17">
    <w:p w14:paraId="4E95192D" w14:textId="33345755" w:rsidR="00890109" w:rsidRDefault="00890109" w:rsidP="000F6841">
      <w:pPr>
        <w:pStyle w:val="FootnoteText"/>
        <w:ind w:left="720" w:hanging="720"/>
      </w:pPr>
      <w:r w:rsidRPr="000C366D">
        <w:rPr>
          <w:rStyle w:val="FootnoteReference"/>
          <w:vertAlign w:val="baseline"/>
        </w:rPr>
        <w:footnoteRef/>
      </w:r>
      <w:r>
        <w:tab/>
      </w:r>
      <w:proofErr w:type="gramStart"/>
      <w:r>
        <w:t>As set out in Table 1.</w:t>
      </w:r>
      <w:proofErr w:type="gramEnd"/>
    </w:p>
  </w:footnote>
  <w:footnote w:id="18">
    <w:p w14:paraId="340E39F1" w14:textId="5F2C42E7" w:rsidR="00890109" w:rsidRDefault="00890109">
      <w:pPr>
        <w:pStyle w:val="FootnoteText"/>
      </w:pPr>
      <w:r w:rsidRPr="000C366D">
        <w:rPr>
          <w:rStyle w:val="FootnoteReference"/>
          <w:vertAlign w:val="baseline"/>
        </w:rPr>
        <w:footnoteRef/>
      </w:r>
      <w:r>
        <w:tab/>
      </w:r>
      <w:proofErr w:type="gramStart"/>
      <w:r>
        <w:t>See subsection 1274(2AA) of the Corporations Act.</w:t>
      </w:r>
      <w:proofErr w:type="gramEnd"/>
      <w:r>
        <w:t xml:space="preserve">  </w:t>
      </w:r>
    </w:p>
  </w:footnote>
  <w:footnote w:id="19">
    <w:p w14:paraId="4D0684A4" w14:textId="60E348D5" w:rsidR="00890109" w:rsidRPr="000C366D" w:rsidRDefault="00890109" w:rsidP="000C366D">
      <w:pPr>
        <w:pStyle w:val="FootnoteText"/>
        <w:ind w:left="709" w:hanging="709"/>
        <w:rPr>
          <w:rStyle w:val="FootnoteReference"/>
          <w:vertAlign w:val="baseline"/>
        </w:rPr>
      </w:pPr>
      <w:r w:rsidRPr="000C366D">
        <w:rPr>
          <w:rStyle w:val="FootnoteReference"/>
          <w:vertAlign w:val="baseline"/>
        </w:rPr>
        <w:footnoteRef/>
      </w:r>
      <w:r>
        <w:tab/>
      </w:r>
      <w:r w:rsidRPr="000C366D">
        <w:rPr>
          <w:rStyle w:val="FootnoteReference"/>
          <w:vertAlign w:val="baseline"/>
        </w:rPr>
        <w:t xml:space="preserve">Australian financial markets that list companies include the Australian Securities Exchange (ASX), National Stock Exchange of Australia (NSX) and the Sydney Stock Exchange (SSX). A list of prescribed financial markets in Australia is contained in </w:t>
      </w:r>
      <w:proofErr w:type="spellStart"/>
      <w:r w:rsidRPr="000C366D">
        <w:rPr>
          <w:rStyle w:val="FootnoteReference"/>
          <w:vertAlign w:val="baseline"/>
        </w:rPr>
        <w:t>reg</w:t>
      </w:r>
      <w:proofErr w:type="spellEnd"/>
      <w:r w:rsidRPr="000C366D">
        <w:rPr>
          <w:rStyle w:val="FootnoteReference"/>
          <w:vertAlign w:val="baseline"/>
        </w:rPr>
        <w:t xml:space="preserve"> 1.0.02A of the Corporations Regulations 2001. ASIC also keeps an updated list on its website.</w:t>
      </w:r>
    </w:p>
    <w:p w14:paraId="1B5FE56D" w14:textId="3C04A0A4" w:rsidR="00890109" w:rsidRDefault="008901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10AB" w14:textId="77777777" w:rsidR="00DC244A" w:rsidRDefault="00DC2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EF8F" w14:textId="77777777" w:rsidR="00890109" w:rsidRDefault="00890109">
    <w:pPr>
      <w:pStyle w:val="Header"/>
    </w:pPr>
    <w:r>
      <w:rPr>
        <w:noProof/>
      </w:rPr>
      <w:drawing>
        <wp:anchor distT="0" distB="0" distL="114300" distR="114300" simplePos="0" relativeHeight="251658240" behindDoc="1" locked="0" layoutInCell="1" allowOverlap="1" wp14:anchorId="4A856B43" wp14:editId="7B70B3BE">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3D01" w14:textId="77777777" w:rsidR="00DC244A" w:rsidRDefault="00DC24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5924D" w14:textId="77777777" w:rsidR="00890109" w:rsidRPr="001F3912" w:rsidRDefault="00890109"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334D1" w14:textId="77777777" w:rsidR="00890109" w:rsidRPr="001F3912" w:rsidRDefault="00890109"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98EBE" w14:textId="77777777" w:rsidR="00890109" w:rsidRPr="001F3912" w:rsidRDefault="00890109"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1087" w14:textId="01F6C5E9" w:rsidR="00890109" w:rsidRPr="001F3912" w:rsidRDefault="00DC244A" w:rsidP="001606CF">
    <w:pPr>
      <w:pStyle w:val="Header"/>
    </w:pPr>
    <w:r>
      <w:fldChar w:fldCharType="begin"/>
    </w:r>
    <w:r>
      <w:instrText xml:space="preserve"> STYLEREF  Title  \* MERGEFORMAT </w:instrText>
    </w:r>
    <w:r>
      <w:fldChar w:fldCharType="separate"/>
    </w:r>
    <w:r>
      <w:rPr>
        <w:noProof/>
      </w:rPr>
      <w:t>Employee Share Schemes</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6FA83" w14:textId="77777777" w:rsidR="00890109" w:rsidRDefault="00890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E00477"/>
    <w:multiLevelType w:val="multilevel"/>
    <w:tmpl w:val="9CA036C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57408B"/>
    <w:multiLevelType w:val="hybridMultilevel"/>
    <w:tmpl w:val="9590501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08C2710"/>
    <w:multiLevelType w:val="multilevel"/>
    <w:tmpl w:val="3A7E6846"/>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0D2021"/>
    <w:multiLevelType w:val="multilevel"/>
    <w:tmpl w:val="72F8140E"/>
    <w:numStyleLink w:val="OutlineList"/>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0"/>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2">
    <w:abstractNumId w:val="1"/>
  </w:num>
  <w:num w:numId="3">
    <w:abstractNumId w:val="12"/>
  </w:num>
  <w:num w:numId="4">
    <w:abstractNumId w:val="5"/>
  </w:num>
  <w:num w:numId="5">
    <w:abstractNumId w:val="6"/>
  </w:num>
  <w:num w:numId="6">
    <w:abstractNumId w:val="14"/>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3"/>
  </w:num>
  <w:num w:numId="10">
    <w:abstractNumId w:val="8"/>
  </w:num>
  <w:num w:numId="11">
    <w:abstractNumId w:val="15"/>
  </w:num>
  <w:num w:numId="12">
    <w:abstractNumId w:val="14"/>
  </w:num>
  <w:num w:numId="13">
    <w:abstractNumId w:val="8"/>
  </w:num>
  <w:num w:numId="14">
    <w:abstractNumId w:val="11"/>
  </w:num>
  <w:num w:numId="15">
    <w:abstractNumId w:val="2"/>
  </w:num>
  <w:num w:numId="16">
    <w:abstractNumId w:val="13"/>
  </w:num>
  <w:num w:numId="17">
    <w:abstractNumId w:val="9"/>
  </w:num>
  <w:num w:numId="18">
    <w:abstractNumId w:val="0"/>
  </w:num>
  <w:num w:numId="19">
    <w:abstractNumId w:val="4"/>
  </w:num>
  <w:num w:numId="20">
    <w:abstractNumId w:val="4"/>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ona Laidlaw">
    <w15:presenceInfo w15:providerId="AD" w15:userId="S-1-5-21-1417001333-790525478-839522115-727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9C"/>
    <w:rsid w:val="00000391"/>
    <w:rsid w:val="00001962"/>
    <w:rsid w:val="0000619A"/>
    <w:rsid w:val="00006728"/>
    <w:rsid w:val="00011725"/>
    <w:rsid w:val="000126D1"/>
    <w:rsid w:val="00012C62"/>
    <w:rsid w:val="00013FFC"/>
    <w:rsid w:val="00021A32"/>
    <w:rsid w:val="00023A32"/>
    <w:rsid w:val="0002544D"/>
    <w:rsid w:val="00036318"/>
    <w:rsid w:val="00040272"/>
    <w:rsid w:val="00040977"/>
    <w:rsid w:val="00041A8B"/>
    <w:rsid w:val="0004274D"/>
    <w:rsid w:val="000431B1"/>
    <w:rsid w:val="00044C0A"/>
    <w:rsid w:val="000501A2"/>
    <w:rsid w:val="00051587"/>
    <w:rsid w:val="0005319A"/>
    <w:rsid w:val="0005408D"/>
    <w:rsid w:val="00056880"/>
    <w:rsid w:val="00061C74"/>
    <w:rsid w:val="000675D1"/>
    <w:rsid w:val="0006782B"/>
    <w:rsid w:val="0007102C"/>
    <w:rsid w:val="00073521"/>
    <w:rsid w:val="000775DE"/>
    <w:rsid w:val="00084879"/>
    <w:rsid w:val="000850CA"/>
    <w:rsid w:val="000858F2"/>
    <w:rsid w:val="00087741"/>
    <w:rsid w:val="00087C21"/>
    <w:rsid w:val="00087FAF"/>
    <w:rsid w:val="00093457"/>
    <w:rsid w:val="0009701C"/>
    <w:rsid w:val="000A0812"/>
    <w:rsid w:val="000A6B1E"/>
    <w:rsid w:val="000A7DDC"/>
    <w:rsid w:val="000B2318"/>
    <w:rsid w:val="000B2389"/>
    <w:rsid w:val="000C12E5"/>
    <w:rsid w:val="000C2163"/>
    <w:rsid w:val="000C366D"/>
    <w:rsid w:val="000C5F40"/>
    <w:rsid w:val="000E0B74"/>
    <w:rsid w:val="000E50BC"/>
    <w:rsid w:val="000E58CE"/>
    <w:rsid w:val="000E62A4"/>
    <w:rsid w:val="000F0BF8"/>
    <w:rsid w:val="000F53D7"/>
    <w:rsid w:val="000F5E4D"/>
    <w:rsid w:val="000F6841"/>
    <w:rsid w:val="000F7517"/>
    <w:rsid w:val="001036C7"/>
    <w:rsid w:val="001045AD"/>
    <w:rsid w:val="00106AA6"/>
    <w:rsid w:val="00112024"/>
    <w:rsid w:val="00112501"/>
    <w:rsid w:val="00123077"/>
    <w:rsid w:val="0012698F"/>
    <w:rsid w:val="001277E5"/>
    <w:rsid w:val="001365A6"/>
    <w:rsid w:val="0014091C"/>
    <w:rsid w:val="00147F6B"/>
    <w:rsid w:val="001507F8"/>
    <w:rsid w:val="00150997"/>
    <w:rsid w:val="00152BD0"/>
    <w:rsid w:val="00155EAC"/>
    <w:rsid w:val="001606CF"/>
    <w:rsid w:val="0016128D"/>
    <w:rsid w:val="001706C9"/>
    <w:rsid w:val="0017089D"/>
    <w:rsid w:val="00174772"/>
    <w:rsid w:val="001765E8"/>
    <w:rsid w:val="001866AB"/>
    <w:rsid w:val="00187CE0"/>
    <w:rsid w:val="00187E0C"/>
    <w:rsid w:val="001904FD"/>
    <w:rsid w:val="0019101A"/>
    <w:rsid w:val="001950B4"/>
    <w:rsid w:val="00195C0D"/>
    <w:rsid w:val="001A3657"/>
    <w:rsid w:val="001A464D"/>
    <w:rsid w:val="001B709E"/>
    <w:rsid w:val="001C358D"/>
    <w:rsid w:val="001C361B"/>
    <w:rsid w:val="001C75F5"/>
    <w:rsid w:val="001D4BDF"/>
    <w:rsid w:val="001F0F3B"/>
    <w:rsid w:val="001F4225"/>
    <w:rsid w:val="00201045"/>
    <w:rsid w:val="00201105"/>
    <w:rsid w:val="00203A29"/>
    <w:rsid w:val="002109C7"/>
    <w:rsid w:val="002128AA"/>
    <w:rsid w:val="00214286"/>
    <w:rsid w:val="00217C51"/>
    <w:rsid w:val="0022190E"/>
    <w:rsid w:val="00224AFB"/>
    <w:rsid w:val="0022762A"/>
    <w:rsid w:val="00231049"/>
    <w:rsid w:val="002314D2"/>
    <w:rsid w:val="00236302"/>
    <w:rsid w:val="002372A6"/>
    <w:rsid w:val="00242F41"/>
    <w:rsid w:val="002471DF"/>
    <w:rsid w:val="00257AEE"/>
    <w:rsid w:val="00262F1B"/>
    <w:rsid w:val="00263B6C"/>
    <w:rsid w:val="002646AA"/>
    <w:rsid w:val="00264B9A"/>
    <w:rsid w:val="002660EE"/>
    <w:rsid w:val="0027590B"/>
    <w:rsid w:val="00277143"/>
    <w:rsid w:val="0028199D"/>
    <w:rsid w:val="0028365F"/>
    <w:rsid w:val="00285969"/>
    <w:rsid w:val="00287315"/>
    <w:rsid w:val="002932B5"/>
    <w:rsid w:val="002940EC"/>
    <w:rsid w:val="0029414E"/>
    <w:rsid w:val="002A22E5"/>
    <w:rsid w:val="002A602F"/>
    <w:rsid w:val="002A68B6"/>
    <w:rsid w:val="002B3829"/>
    <w:rsid w:val="002B5C39"/>
    <w:rsid w:val="002C4A23"/>
    <w:rsid w:val="002D0311"/>
    <w:rsid w:val="002D03D0"/>
    <w:rsid w:val="002D0D4A"/>
    <w:rsid w:val="002D488F"/>
    <w:rsid w:val="002E1C0C"/>
    <w:rsid w:val="002E4436"/>
    <w:rsid w:val="002F3B67"/>
    <w:rsid w:val="002F617F"/>
    <w:rsid w:val="00301D2D"/>
    <w:rsid w:val="00303A06"/>
    <w:rsid w:val="00303AEC"/>
    <w:rsid w:val="003063E2"/>
    <w:rsid w:val="003122F4"/>
    <w:rsid w:val="00312AEA"/>
    <w:rsid w:val="003157D4"/>
    <w:rsid w:val="00316131"/>
    <w:rsid w:val="0031775E"/>
    <w:rsid w:val="0032074D"/>
    <w:rsid w:val="003235B3"/>
    <w:rsid w:val="003247CF"/>
    <w:rsid w:val="00324E59"/>
    <w:rsid w:val="003268D5"/>
    <w:rsid w:val="003327BC"/>
    <w:rsid w:val="00335CE8"/>
    <w:rsid w:val="00341BD2"/>
    <w:rsid w:val="00341FCD"/>
    <w:rsid w:val="00344779"/>
    <w:rsid w:val="00345E4B"/>
    <w:rsid w:val="003473A0"/>
    <w:rsid w:val="00354D27"/>
    <w:rsid w:val="00357B2B"/>
    <w:rsid w:val="00364698"/>
    <w:rsid w:val="0036742B"/>
    <w:rsid w:val="00370D08"/>
    <w:rsid w:val="00371B59"/>
    <w:rsid w:val="003737E3"/>
    <w:rsid w:val="003778B1"/>
    <w:rsid w:val="003839F0"/>
    <w:rsid w:val="003858A6"/>
    <w:rsid w:val="0038658D"/>
    <w:rsid w:val="003924F9"/>
    <w:rsid w:val="00392DCC"/>
    <w:rsid w:val="00393FE5"/>
    <w:rsid w:val="00394A5B"/>
    <w:rsid w:val="00397296"/>
    <w:rsid w:val="003B1F4E"/>
    <w:rsid w:val="003B264D"/>
    <w:rsid w:val="003C6020"/>
    <w:rsid w:val="003D3F5D"/>
    <w:rsid w:val="003E2DF9"/>
    <w:rsid w:val="003E4D87"/>
    <w:rsid w:val="003E5D88"/>
    <w:rsid w:val="003F3984"/>
    <w:rsid w:val="003F3A9B"/>
    <w:rsid w:val="003F5056"/>
    <w:rsid w:val="003F71F2"/>
    <w:rsid w:val="00405E38"/>
    <w:rsid w:val="0040727E"/>
    <w:rsid w:val="00413747"/>
    <w:rsid w:val="00416762"/>
    <w:rsid w:val="00423B30"/>
    <w:rsid w:val="00426FCB"/>
    <w:rsid w:val="004273BB"/>
    <w:rsid w:val="0042741A"/>
    <w:rsid w:val="00434BA7"/>
    <w:rsid w:val="0044496D"/>
    <w:rsid w:val="00445265"/>
    <w:rsid w:val="00453114"/>
    <w:rsid w:val="0045592C"/>
    <w:rsid w:val="004559CE"/>
    <w:rsid w:val="00455FC2"/>
    <w:rsid w:val="00463D9B"/>
    <w:rsid w:val="00464A0F"/>
    <w:rsid w:val="00464B31"/>
    <w:rsid w:val="00465AFB"/>
    <w:rsid w:val="00475B7B"/>
    <w:rsid w:val="00475CFE"/>
    <w:rsid w:val="00475E5E"/>
    <w:rsid w:val="00475F4D"/>
    <w:rsid w:val="00476C02"/>
    <w:rsid w:val="00476F68"/>
    <w:rsid w:val="004779E7"/>
    <w:rsid w:val="004800AB"/>
    <w:rsid w:val="00480B83"/>
    <w:rsid w:val="00482AD1"/>
    <w:rsid w:val="00482B32"/>
    <w:rsid w:val="00483049"/>
    <w:rsid w:val="0048464E"/>
    <w:rsid w:val="0049031F"/>
    <w:rsid w:val="00492FCB"/>
    <w:rsid w:val="004938D1"/>
    <w:rsid w:val="0049462B"/>
    <w:rsid w:val="004947C6"/>
    <w:rsid w:val="004951A8"/>
    <w:rsid w:val="00495E91"/>
    <w:rsid w:val="00496A7B"/>
    <w:rsid w:val="004A0F7D"/>
    <w:rsid w:val="004A217C"/>
    <w:rsid w:val="004A337D"/>
    <w:rsid w:val="004A356D"/>
    <w:rsid w:val="004A6156"/>
    <w:rsid w:val="004A7B14"/>
    <w:rsid w:val="004A7BC2"/>
    <w:rsid w:val="004B0E68"/>
    <w:rsid w:val="004B2A3A"/>
    <w:rsid w:val="004C3D81"/>
    <w:rsid w:val="004D1A72"/>
    <w:rsid w:val="004D1FA7"/>
    <w:rsid w:val="004D6D1E"/>
    <w:rsid w:val="004E0385"/>
    <w:rsid w:val="004E48BD"/>
    <w:rsid w:val="004F1164"/>
    <w:rsid w:val="004F14D2"/>
    <w:rsid w:val="004F1A73"/>
    <w:rsid w:val="004F25C5"/>
    <w:rsid w:val="004F4DE2"/>
    <w:rsid w:val="004F5782"/>
    <w:rsid w:val="00501FFE"/>
    <w:rsid w:val="0050254B"/>
    <w:rsid w:val="00502D40"/>
    <w:rsid w:val="0050677B"/>
    <w:rsid w:val="00507A43"/>
    <w:rsid w:val="005111C5"/>
    <w:rsid w:val="00514ACF"/>
    <w:rsid w:val="00516785"/>
    <w:rsid w:val="00520ACA"/>
    <w:rsid w:val="0052419D"/>
    <w:rsid w:val="00526006"/>
    <w:rsid w:val="005301F8"/>
    <w:rsid w:val="005312FC"/>
    <w:rsid w:val="00532F11"/>
    <w:rsid w:val="005347B2"/>
    <w:rsid w:val="00535F1C"/>
    <w:rsid w:val="0053603D"/>
    <w:rsid w:val="0054609F"/>
    <w:rsid w:val="00551B7C"/>
    <w:rsid w:val="00560C96"/>
    <w:rsid w:val="005647B7"/>
    <w:rsid w:val="0056696D"/>
    <w:rsid w:val="00571CC1"/>
    <w:rsid w:val="00573F2F"/>
    <w:rsid w:val="0057431E"/>
    <w:rsid w:val="0057550E"/>
    <w:rsid w:val="00583BB5"/>
    <w:rsid w:val="005868DE"/>
    <w:rsid w:val="0058690D"/>
    <w:rsid w:val="005925E4"/>
    <w:rsid w:val="005A2259"/>
    <w:rsid w:val="005B1783"/>
    <w:rsid w:val="005B2FD8"/>
    <w:rsid w:val="005C2E8B"/>
    <w:rsid w:val="005C4385"/>
    <w:rsid w:val="005D0304"/>
    <w:rsid w:val="005E1FA5"/>
    <w:rsid w:val="005E3A38"/>
    <w:rsid w:val="005E3B9F"/>
    <w:rsid w:val="006006B3"/>
    <w:rsid w:val="0060595B"/>
    <w:rsid w:val="00605AFD"/>
    <w:rsid w:val="006069B4"/>
    <w:rsid w:val="00607C7C"/>
    <w:rsid w:val="006123D4"/>
    <w:rsid w:val="00613B29"/>
    <w:rsid w:val="0061423F"/>
    <w:rsid w:val="00616049"/>
    <w:rsid w:val="00620E43"/>
    <w:rsid w:val="006226D9"/>
    <w:rsid w:val="00626804"/>
    <w:rsid w:val="006302B3"/>
    <w:rsid w:val="00633E7D"/>
    <w:rsid w:val="00635F5D"/>
    <w:rsid w:val="00637C14"/>
    <w:rsid w:val="006458DC"/>
    <w:rsid w:val="006544CC"/>
    <w:rsid w:val="00654A26"/>
    <w:rsid w:val="00654B0E"/>
    <w:rsid w:val="00655610"/>
    <w:rsid w:val="00656356"/>
    <w:rsid w:val="0065680F"/>
    <w:rsid w:val="00661D10"/>
    <w:rsid w:val="00662770"/>
    <w:rsid w:val="006734D8"/>
    <w:rsid w:val="00675415"/>
    <w:rsid w:val="006755BF"/>
    <w:rsid w:val="00676D0E"/>
    <w:rsid w:val="00680AEB"/>
    <w:rsid w:val="00685403"/>
    <w:rsid w:val="00686165"/>
    <w:rsid w:val="00687C0D"/>
    <w:rsid w:val="00687C90"/>
    <w:rsid w:val="006912CE"/>
    <w:rsid w:val="00691CB5"/>
    <w:rsid w:val="00693DB5"/>
    <w:rsid w:val="00696E27"/>
    <w:rsid w:val="00697C67"/>
    <w:rsid w:val="00697F6E"/>
    <w:rsid w:val="006A1F23"/>
    <w:rsid w:val="006A2502"/>
    <w:rsid w:val="006A4022"/>
    <w:rsid w:val="006A5E5A"/>
    <w:rsid w:val="006A6A79"/>
    <w:rsid w:val="006A6EE1"/>
    <w:rsid w:val="006A71E5"/>
    <w:rsid w:val="006A720C"/>
    <w:rsid w:val="006A76BF"/>
    <w:rsid w:val="006B518A"/>
    <w:rsid w:val="006B5E7C"/>
    <w:rsid w:val="006C645D"/>
    <w:rsid w:val="006C704A"/>
    <w:rsid w:val="006D2B65"/>
    <w:rsid w:val="006D3D57"/>
    <w:rsid w:val="006D42C7"/>
    <w:rsid w:val="006D6800"/>
    <w:rsid w:val="006E1761"/>
    <w:rsid w:val="006E3CC3"/>
    <w:rsid w:val="006E7A9A"/>
    <w:rsid w:val="006F05E2"/>
    <w:rsid w:val="006F387B"/>
    <w:rsid w:val="006F408B"/>
    <w:rsid w:val="006F564D"/>
    <w:rsid w:val="006F656C"/>
    <w:rsid w:val="00703E3F"/>
    <w:rsid w:val="0070494B"/>
    <w:rsid w:val="00705CEC"/>
    <w:rsid w:val="00707014"/>
    <w:rsid w:val="0071005F"/>
    <w:rsid w:val="0071244F"/>
    <w:rsid w:val="0071363E"/>
    <w:rsid w:val="00714986"/>
    <w:rsid w:val="0071770B"/>
    <w:rsid w:val="00720218"/>
    <w:rsid w:val="007217A6"/>
    <w:rsid w:val="00724496"/>
    <w:rsid w:val="007266EB"/>
    <w:rsid w:val="0073028F"/>
    <w:rsid w:val="00732F54"/>
    <w:rsid w:val="00741C47"/>
    <w:rsid w:val="00745A87"/>
    <w:rsid w:val="00750215"/>
    <w:rsid w:val="007505CB"/>
    <w:rsid w:val="00756AF2"/>
    <w:rsid w:val="007602EB"/>
    <w:rsid w:val="0077131F"/>
    <w:rsid w:val="00773E25"/>
    <w:rsid w:val="00780465"/>
    <w:rsid w:val="00782BB7"/>
    <w:rsid w:val="0078509F"/>
    <w:rsid w:val="007852B5"/>
    <w:rsid w:val="00790A78"/>
    <w:rsid w:val="00794499"/>
    <w:rsid w:val="007A223D"/>
    <w:rsid w:val="007A3267"/>
    <w:rsid w:val="007A6F7D"/>
    <w:rsid w:val="007B284D"/>
    <w:rsid w:val="007B5483"/>
    <w:rsid w:val="007C4BFF"/>
    <w:rsid w:val="007C51E4"/>
    <w:rsid w:val="007C6367"/>
    <w:rsid w:val="007D3AD4"/>
    <w:rsid w:val="007D5AA6"/>
    <w:rsid w:val="007D6341"/>
    <w:rsid w:val="007E2AB9"/>
    <w:rsid w:val="007E6044"/>
    <w:rsid w:val="007E6456"/>
    <w:rsid w:val="007F3B6B"/>
    <w:rsid w:val="007F736D"/>
    <w:rsid w:val="00810254"/>
    <w:rsid w:val="0081264C"/>
    <w:rsid w:val="00814AEE"/>
    <w:rsid w:val="00814C13"/>
    <w:rsid w:val="008155A0"/>
    <w:rsid w:val="00827BAF"/>
    <w:rsid w:val="00827E84"/>
    <w:rsid w:val="00833096"/>
    <w:rsid w:val="00834243"/>
    <w:rsid w:val="008353A6"/>
    <w:rsid w:val="008378DF"/>
    <w:rsid w:val="00842A12"/>
    <w:rsid w:val="00845427"/>
    <w:rsid w:val="00846E69"/>
    <w:rsid w:val="00850CCB"/>
    <w:rsid w:val="00854B7E"/>
    <w:rsid w:val="00854DD8"/>
    <w:rsid w:val="00855618"/>
    <w:rsid w:val="00857969"/>
    <w:rsid w:val="00862E61"/>
    <w:rsid w:val="00863F63"/>
    <w:rsid w:val="008651F2"/>
    <w:rsid w:val="00876EE4"/>
    <w:rsid w:val="00882842"/>
    <w:rsid w:val="00890109"/>
    <w:rsid w:val="00891302"/>
    <w:rsid w:val="00897CAA"/>
    <w:rsid w:val="008A1187"/>
    <w:rsid w:val="008A4B06"/>
    <w:rsid w:val="008B1499"/>
    <w:rsid w:val="008B330D"/>
    <w:rsid w:val="008B34F9"/>
    <w:rsid w:val="008B794C"/>
    <w:rsid w:val="008C705D"/>
    <w:rsid w:val="008D339F"/>
    <w:rsid w:val="008D4E8F"/>
    <w:rsid w:val="008D5513"/>
    <w:rsid w:val="008D7BAF"/>
    <w:rsid w:val="008D7F38"/>
    <w:rsid w:val="008E1737"/>
    <w:rsid w:val="008E1B9C"/>
    <w:rsid w:val="008E246F"/>
    <w:rsid w:val="008E4544"/>
    <w:rsid w:val="008E5714"/>
    <w:rsid w:val="008E6292"/>
    <w:rsid w:val="008E68C7"/>
    <w:rsid w:val="008F037F"/>
    <w:rsid w:val="008F12B1"/>
    <w:rsid w:val="008F1F64"/>
    <w:rsid w:val="008F430C"/>
    <w:rsid w:val="008F43F1"/>
    <w:rsid w:val="008F5F84"/>
    <w:rsid w:val="008F6AB1"/>
    <w:rsid w:val="008F75DB"/>
    <w:rsid w:val="00902240"/>
    <w:rsid w:val="0090273F"/>
    <w:rsid w:val="00902E74"/>
    <w:rsid w:val="00905EED"/>
    <w:rsid w:val="009065A5"/>
    <w:rsid w:val="00910975"/>
    <w:rsid w:val="00913948"/>
    <w:rsid w:val="009143D4"/>
    <w:rsid w:val="00916C03"/>
    <w:rsid w:val="00922859"/>
    <w:rsid w:val="0092473C"/>
    <w:rsid w:val="00925AA5"/>
    <w:rsid w:val="009270A9"/>
    <w:rsid w:val="0092739C"/>
    <w:rsid w:val="009337DC"/>
    <w:rsid w:val="009338F0"/>
    <w:rsid w:val="00937BFC"/>
    <w:rsid w:val="00937EA0"/>
    <w:rsid w:val="0094019D"/>
    <w:rsid w:val="00942C11"/>
    <w:rsid w:val="009444A1"/>
    <w:rsid w:val="0094544A"/>
    <w:rsid w:val="009511AD"/>
    <w:rsid w:val="00953FFF"/>
    <w:rsid w:val="00961617"/>
    <w:rsid w:val="009645D9"/>
    <w:rsid w:val="00972068"/>
    <w:rsid w:val="009732BF"/>
    <w:rsid w:val="009732EC"/>
    <w:rsid w:val="009737FE"/>
    <w:rsid w:val="009821CE"/>
    <w:rsid w:val="00982ED1"/>
    <w:rsid w:val="00983201"/>
    <w:rsid w:val="009852CF"/>
    <w:rsid w:val="009938F9"/>
    <w:rsid w:val="00994322"/>
    <w:rsid w:val="009A3737"/>
    <w:rsid w:val="009A658F"/>
    <w:rsid w:val="009A668A"/>
    <w:rsid w:val="009A724E"/>
    <w:rsid w:val="009B02AB"/>
    <w:rsid w:val="009B129F"/>
    <w:rsid w:val="009B2B50"/>
    <w:rsid w:val="009B3594"/>
    <w:rsid w:val="009B47E3"/>
    <w:rsid w:val="009C0F29"/>
    <w:rsid w:val="009C1911"/>
    <w:rsid w:val="009C59E1"/>
    <w:rsid w:val="009D5C1B"/>
    <w:rsid w:val="009E4474"/>
    <w:rsid w:val="009E6276"/>
    <w:rsid w:val="009F06A0"/>
    <w:rsid w:val="009F1829"/>
    <w:rsid w:val="009F54C0"/>
    <w:rsid w:val="00A13047"/>
    <w:rsid w:val="00A16E03"/>
    <w:rsid w:val="00A260CD"/>
    <w:rsid w:val="00A3244D"/>
    <w:rsid w:val="00A347C8"/>
    <w:rsid w:val="00A35416"/>
    <w:rsid w:val="00A35548"/>
    <w:rsid w:val="00A35A00"/>
    <w:rsid w:val="00A36EC8"/>
    <w:rsid w:val="00A372FF"/>
    <w:rsid w:val="00A3749B"/>
    <w:rsid w:val="00A40983"/>
    <w:rsid w:val="00A43A1E"/>
    <w:rsid w:val="00A5552F"/>
    <w:rsid w:val="00A5666B"/>
    <w:rsid w:val="00A62E42"/>
    <w:rsid w:val="00A64A71"/>
    <w:rsid w:val="00A64EB7"/>
    <w:rsid w:val="00A7082F"/>
    <w:rsid w:val="00A80516"/>
    <w:rsid w:val="00A928EC"/>
    <w:rsid w:val="00A93F9E"/>
    <w:rsid w:val="00A978E8"/>
    <w:rsid w:val="00AB1E9D"/>
    <w:rsid w:val="00AC1A0F"/>
    <w:rsid w:val="00AC3134"/>
    <w:rsid w:val="00AC3936"/>
    <w:rsid w:val="00AC3C37"/>
    <w:rsid w:val="00AC5906"/>
    <w:rsid w:val="00AC621E"/>
    <w:rsid w:val="00AC6982"/>
    <w:rsid w:val="00AC6E74"/>
    <w:rsid w:val="00AD1A6B"/>
    <w:rsid w:val="00AD21A1"/>
    <w:rsid w:val="00AE22AF"/>
    <w:rsid w:val="00AE2F90"/>
    <w:rsid w:val="00AE4F91"/>
    <w:rsid w:val="00AE60CF"/>
    <w:rsid w:val="00AF123C"/>
    <w:rsid w:val="00AF2B3E"/>
    <w:rsid w:val="00AF40B3"/>
    <w:rsid w:val="00B076E5"/>
    <w:rsid w:val="00B110CA"/>
    <w:rsid w:val="00B17D16"/>
    <w:rsid w:val="00B2015A"/>
    <w:rsid w:val="00B20E47"/>
    <w:rsid w:val="00B21399"/>
    <w:rsid w:val="00B23139"/>
    <w:rsid w:val="00B3149D"/>
    <w:rsid w:val="00B33139"/>
    <w:rsid w:val="00B41451"/>
    <w:rsid w:val="00B42173"/>
    <w:rsid w:val="00B43061"/>
    <w:rsid w:val="00B45AA9"/>
    <w:rsid w:val="00B51868"/>
    <w:rsid w:val="00B63B3C"/>
    <w:rsid w:val="00B64068"/>
    <w:rsid w:val="00B67315"/>
    <w:rsid w:val="00B70169"/>
    <w:rsid w:val="00B76857"/>
    <w:rsid w:val="00B770FF"/>
    <w:rsid w:val="00B819AA"/>
    <w:rsid w:val="00B82783"/>
    <w:rsid w:val="00B82EF9"/>
    <w:rsid w:val="00B843E9"/>
    <w:rsid w:val="00B85F47"/>
    <w:rsid w:val="00B87927"/>
    <w:rsid w:val="00B92619"/>
    <w:rsid w:val="00B92A86"/>
    <w:rsid w:val="00B93589"/>
    <w:rsid w:val="00B96AD9"/>
    <w:rsid w:val="00BA1450"/>
    <w:rsid w:val="00BA1E6C"/>
    <w:rsid w:val="00BA228E"/>
    <w:rsid w:val="00BB4FCC"/>
    <w:rsid w:val="00BD5650"/>
    <w:rsid w:val="00BD7F48"/>
    <w:rsid w:val="00BE1323"/>
    <w:rsid w:val="00BE512B"/>
    <w:rsid w:val="00BF05EC"/>
    <w:rsid w:val="00C016B1"/>
    <w:rsid w:val="00C016C8"/>
    <w:rsid w:val="00C02EFB"/>
    <w:rsid w:val="00C047B6"/>
    <w:rsid w:val="00C067EB"/>
    <w:rsid w:val="00C10708"/>
    <w:rsid w:val="00C114FB"/>
    <w:rsid w:val="00C12D59"/>
    <w:rsid w:val="00C15A03"/>
    <w:rsid w:val="00C204D3"/>
    <w:rsid w:val="00C214F7"/>
    <w:rsid w:val="00C21A2D"/>
    <w:rsid w:val="00C22CF2"/>
    <w:rsid w:val="00C234FD"/>
    <w:rsid w:val="00C24268"/>
    <w:rsid w:val="00C30297"/>
    <w:rsid w:val="00C30767"/>
    <w:rsid w:val="00C319FE"/>
    <w:rsid w:val="00C40CD6"/>
    <w:rsid w:val="00C465A2"/>
    <w:rsid w:val="00C5133F"/>
    <w:rsid w:val="00C54E4E"/>
    <w:rsid w:val="00C56ACC"/>
    <w:rsid w:val="00C640BE"/>
    <w:rsid w:val="00C663AB"/>
    <w:rsid w:val="00C7157C"/>
    <w:rsid w:val="00C72569"/>
    <w:rsid w:val="00C801E7"/>
    <w:rsid w:val="00C8248F"/>
    <w:rsid w:val="00C82F74"/>
    <w:rsid w:val="00C85314"/>
    <w:rsid w:val="00C869A0"/>
    <w:rsid w:val="00C92648"/>
    <w:rsid w:val="00CA46D6"/>
    <w:rsid w:val="00CA4BC0"/>
    <w:rsid w:val="00CB0462"/>
    <w:rsid w:val="00CB3853"/>
    <w:rsid w:val="00CC01F5"/>
    <w:rsid w:val="00CC1B88"/>
    <w:rsid w:val="00CC2766"/>
    <w:rsid w:val="00CC559D"/>
    <w:rsid w:val="00CD1754"/>
    <w:rsid w:val="00CD1E88"/>
    <w:rsid w:val="00CD2BCE"/>
    <w:rsid w:val="00CD59DD"/>
    <w:rsid w:val="00CD654B"/>
    <w:rsid w:val="00CD65B1"/>
    <w:rsid w:val="00CD6BD4"/>
    <w:rsid w:val="00CE223E"/>
    <w:rsid w:val="00CE6D62"/>
    <w:rsid w:val="00CF0256"/>
    <w:rsid w:val="00CF1977"/>
    <w:rsid w:val="00CF1E1C"/>
    <w:rsid w:val="00CF26F2"/>
    <w:rsid w:val="00CF3B97"/>
    <w:rsid w:val="00CF4822"/>
    <w:rsid w:val="00D009FE"/>
    <w:rsid w:val="00D07765"/>
    <w:rsid w:val="00D11AD7"/>
    <w:rsid w:val="00D145F5"/>
    <w:rsid w:val="00D161B3"/>
    <w:rsid w:val="00D300C1"/>
    <w:rsid w:val="00D30723"/>
    <w:rsid w:val="00D352E2"/>
    <w:rsid w:val="00D355F0"/>
    <w:rsid w:val="00D40912"/>
    <w:rsid w:val="00D41D72"/>
    <w:rsid w:val="00D44852"/>
    <w:rsid w:val="00D45AF8"/>
    <w:rsid w:val="00D51C05"/>
    <w:rsid w:val="00D60829"/>
    <w:rsid w:val="00D6272C"/>
    <w:rsid w:val="00D720E4"/>
    <w:rsid w:val="00D72C6B"/>
    <w:rsid w:val="00D77E0B"/>
    <w:rsid w:val="00D83BD9"/>
    <w:rsid w:val="00D91CE8"/>
    <w:rsid w:val="00D946C8"/>
    <w:rsid w:val="00D95FB9"/>
    <w:rsid w:val="00DA686B"/>
    <w:rsid w:val="00DB06CF"/>
    <w:rsid w:val="00DB1E98"/>
    <w:rsid w:val="00DB7F09"/>
    <w:rsid w:val="00DC00E8"/>
    <w:rsid w:val="00DC244A"/>
    <w:rsid w:val="00DC2BC9"/>
    <w:rsid w:val="00DC78A8"/>
    <w:rsid w:val="00DD1BD2"/>
    <w:rsid w:val="00DD2944"/>
    <w:rsid w:val="00DE399E"/>
    <w:rsid w:val="00DE43C0"/>
    <w:rsid w:val="00DF1093"/>
    <w:rsid w:val="00E001ED"/>
    <w:rsid w:val="00E06A3C"/>
    <w:rsid w:val="00E106A3"/>
    <w:rsid w:val="00E10D39"/>
    <w:rsid w:val="00E1136B"/>
    <w:rsid w:val="00E12498"/>
    <w:rsid w:val="00E1327B"/>
    <w:rsid w:val="00E15663"/>
    <w:rsid w:val="00E21386"/>
    <w:rsid w:val="00E222B2"/>
    <w:rsid w:val="00E22D51"/>
    <w:rsid w:val="00E24495"/>
    <w:rsid w:val="00E35FA1"/>
    <w:rsid w:val="00E460BB"/>
    <w:rsid w:val="00E469D8"/>
    <w:rsid w:val="00E50E7C"/>
    <w:rsid w:val="00E51545"/>
    <w:rsid w:val="00E55326"/>
    <w:rsid w:val="00E55D18"/>
    <w:rsid w:val="00E56C04"/>
    <w:rsid w:val="00E61A19"/>
    <w:rsid w:val="00E62EC2"/>
    <w:rsid w:val="00E642F4"/>
    <w:rsid w:val="00E64538"/>
    <w:rsid w:val="00E7067B"/>
    <w:rsid w:val="00E711D7"/>
    <w:rsid w:val="00E77718"/>
    <w:rsid w:val="00E7786F"/>
    <w:rsid w:val="00E81434"/>
    <w:rsid w:val="00E87C66"/>
    <w:rsid w:val="00E902B0"/>
    <w:rsid w:val="00E902E8"/>
    <w:rsid w:val="00E90A9B"/>
    <w:rsid w:val="00E916ED"/>
    <w:rsid w:val="00E9223E"/>
    <w:rsid w:val="00E93C05"/>
    <w:rsid w:val="00E96385"/>
    <w:rsid w:val="00EA2B57"/>
    <w:rsid w:val="00EA2F17"/>
    <w:rsid w:val="00EA32B1"/>
    <w:rsid w:val="00EA5904"/>
    <w:rsid w:val="00EB030F"/>
    <w:rsid w:val="00EB1F81"/>
    <w:rsid w:val="00EB4543"/>
    <w:rsid w:val="00EB5C04"/>
    <w:rsid w:val="00EB7B18"/>
    <w:rsid w:val="00EC540E"/>
    <w:rsid w:val="00EC55A9"/>
    <w:rsid w:val="00EC5C18"/>
    <w:rsid w:val="00EC6B16"/>
    <w:rsid w:val="00EC71F1"/>
    <w:rsid w:val="00ED0BF6"/>
    <w:rsid w:val="00ED4D41"/>
    <w:rsid w:val="00EE1912"/>
    <w:rsid w:val="00EE283C"/>
    <w:rsid w:val="00EE677F"/>
    <w:rsid w:val="00EF2AE6"/>
    <w:rsid w:val="00EF4FFF"/>
    <w:rsid w:val="00EF5632"/>
    <w:rsid w:val="00EF7E0A"/>
    <w:rsid w:val="00F000BC"/>
    <w:rsid w:val="00F0082D"/>
    <w:rsid w:val="00F03046"/>
    <w:rsid w:val="00F03C1D"/>
    <w:rsid w:val="00F055F3"/>
    <w:rsid w:val="00F07C90"/>
    <w:rsid w:val="00F10284"/>
    <w:rsid w:val="00F105BB"/>
    <w:rsid w:val="00F106F1"/>
    <w:rsid w:val="00F1302E"/>
    <w:rsid w:val="00F171E0"/>
    <w:rsid w:val="00F20469"/>
    <w:rsid w:val="00F22F07"/>
    <w:rsid w:val="00F23723"/>
    <w:rsid w:val="00F25997"/>
    <w:rsid w:val="00F2698A"/>
    <w:rsid w:val="00F276B2"/>
    <w:rsid w:val="00F30321"/>
    <w:rsid w:val="00F40826"/>
    <w:rsid w:val="00F42F49"/>
    <w:rsid w:val="00F475F0"/>
    <w:rsid w:val="00F50FBE"/>
    <w:rsid w:val="00F5237D"/>
    <w:rsid w:val="00F55F67"/>
    <w:rsid w:val="00F602F2"/>
    <w:rsid w:val="00F606E3"/>
    <w:rsid w:val="00F60BC3"/>
    <w:rsid w:val="00F61AA9"/>
    <w:rsid w:val="00F6458D"/>
    <w:rsid w:val="00F647FD"/>
    <w:rsid w:val="00F64951"/>
    <w:rsid w:val="00F651D6"/>
    <w:rsid w:val="00F654BC"/>
    <w:rsid w:val="00F65E21"/>
    <w:rsid w:val="00F66B9F"/>
    <w:rsid w:val="00F71A0E"/>
    <w:rsid w:val="00F80CD1"/>
    <w:rsid w:val="00F840F3"/>
    <w:rsid w:val="00F85339"/>
    <w:rsid w:val="00F92279"/>
    <w:rsid w:val="00F944E9"/>
    <w:rsid w:val="00FA02F6"/>
    <w:rsid w:val="00FA68DE"/>
    <w:rsid w:val="00FB0502"/>
    <w:rsid w:val="00FB33DB"/>
    <w:rsid w:val="00FB4148"/>
    <w:rsid w:val="00FB64AA"/>
    <w:rsid w:val="00FB64C8"/>
    <w:rsid w:val="00FC0420"/>
    <w:rsid w:val="00FC1458"/>
    <w:rsid w:val="00FC1688"/>
    <w:rsid w:val="00FC6ADA"/>
    <w:rsid w:val="00FC7909"/>
    <w:rsid w:val="00FE4BF0"/>
    <w:rsid w:val="00FF0663"/>
    <w:rsid w:val="00FF0A82"/>
    <w:rsid w:val="00FF3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2D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2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 line Char Char,b Char Char"/>
    <w:basedOn w:val="DefaultParagraphFont"/>
    <w:link w:val="Bullet"/>
    <w:rsid w:val="001866AB"/>
    <w:rPr>
      <w:rFonts w:ascii="Calibri" w:eastAsia="Times New Roman" w:hAnsi="Calibri" w:cs="Times New Roman"/>
      <w:szCs w:val="20"/>
      <w:lang w:eastAsia="en-AU"/>
    </w:rPr>
  </w:style>
  <w:style w:type="numbering" w:customStyle="1" w:styleId="Outlinenumbering">
    <w:name w:val="Outline numbering"/>
    <w:uiPriority w:val="99"/>
    <w:rsid w:val="001866AB"/>
    <w:pPr>
      <w:numPr>
        <w:numId w:val="17"/>
      </w:numPr>
    </w:pPr>
  </w:style>
  <w:style w:type="paragraph" w:styleId="NormalWeb">
    <w:name w:val="Normal (Web)"/>
    <w:basedOn w:val="Normal"/>
    <w:uiPriority w:val="99"/>
    <w:semiHidden/>
    <w:unhideWhenUsed/>
    <w:rsid w:val="00BA1450"/>
    <w:pPr>
      <w:spacing w:before="100" w:beforeAutospacing="1" w:after="100" w:afterAutospacing="1"/>
    </w:pPr>
    <w:rPr>
      <w:rFonts w:ascii="Times New Roman" w:hAnsi="Times New Roman"/>
      <w:sz w:val="24"/>
      <w:szCs w:val="24"/>
    </w:rPr>
  </w:style>
  <w:style w:type="character" w:customStyle="1" w:styleId="DashChar">
    <w:name w:val="Dash Char"/>
    <w:basedOn w:val="DefaultParagraphFont"/>
    <w:link w:val="Dash"/>
    <w:rsid w:val="002A22E5"/>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62EC2"/>
    <w:rPr>
      <w:sz w:val="16"/>
      <w:szCs w:val="16"/>
    </w:rPr>
  </w:style>
  <w:style w:type="paragraph" w:styleId="CommentText">
    <w:name w:val="annotation text"/>
    <w:basedOn w:val="Normal"/>
    <w:link w:val="CommentTextChar"/>
    <w:uiPriority w:val="99"/>
    <w:semiHidden/>
    <w:unhideWhenUsed/>
    <w:rsid w:val="00E62EC2"/>
    <w:rPr>
      <w:sz w:val="20"/>
    </w:rPr>
  </w:style>
  <w:style w:type="character" w:customStyle="1" w:styleId="CommentTextChar">
    <w:name w:val="Comment Text Char"/>
    <w:basedOn w:val="DefaultParagraphFont"/>
    <w:link w:val="CommentText"/>
    <w:uiPriority w:val="99"/>
    <w:semiHidden/>
    <w:rsid w:val="00E62EC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2EC2"/>
    <w:rPr>
      <w:b/>
      <w:bCs/>
    </w:rPr>
  </w:style>
  <w:style w:type="character" w:customStyle="1" w:styleId="CommentSubjectChar">
    <w:name w:val="Comment Subject Char"/>
    <w:basedOn w:val="CommentTextChar"/>
    <w:link w:val="CommentSubject"/>
    <w:uiPriority w:val="99"/>
    <w:semiHidden/>
    <w:rsid w:val="00E62EC2"/>
    <w:rPr>
      <w:rFonts w:ascii="Calibri" w:eastAsia="Times New Roman" w:hAnsi="Calibri" w:cs="Times New Roman"/>
      <w:b/>
      <w:bCs/>
      <w:sz w:val="20"/>
      <w:szCs w:val="20"/>
      <w:lang w:eastAsia="en-AU"/>
    </w:rPr>
  </w:style>
  <w:style w:type="paragraph" w:styleId="ListParagraph">
    <w:name w:val="List Paragraph"/>
    <w:basedOn w:val="Normal"/>
    <w:uiPriority w:val="34"/>
    <w:qFormat/>
    <w:rsid w:val="00AE60CF"/>
    <w:pPr>
      <w:spacing w:before="0" w:after="0"/>
      <w:ind w:left="720"/>
    </w:pPr>
    <w:rPr>
      <w:rFonts w:eastAsiaTheme="minorHAnsi"/>
      <w:szCs w:val="22"/>
      <w:lang w:eastAsia="en-US"/>
    </w:rPr>
  </w:style>
  <w:style w:type="paragraph" w:styleId="Revision">
    <w:name w:val="Revision"/>
    <w:hidden/>
    <w:uiPriority w:val="99"/>
    <w:semiHidden/>
    <w:rsid w:val="00E222B2"/>
    <w:pPr>
      <w:spacing w:after="0" w:line="240" w:lineRule="auto"/>
    </w:pPr>
    <w:rPr>
      <w:rFonts w:ascii="Calibri" w:eastAsia="Times New Roman" w:hAnsi="Calibri" w:cs="Times New Roman"/>
      <w:szCs w:val="20"/>
      <w:lang w:eastAsia="en-AU"/>
    </w:rPr>
  </w:style>
  <w:style w:type="paragraph" w:customStyle="1" w:styleId="Default">
    <w:name w:val="Default"/>
    <w:rsid w:val="00AC59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BNETParagraph">
    <w:name w:val="CABNET Paragraph."/>
    <w:basedOn w:val="Normal"/>
    <w:link w:val="CABNETParagraphChar"/>
    <w:uiPriority w:val="98"/>
    <w:qFormat/>
    <w:rsid w:val="0065680F"/>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65680F"/>
    <w:rPr>
      <w:rFonts w:ascii="Arial" w:hAnsi="Arial" w:cstheme="minorHAnsi"/>
    </w:rPr>
  </w:style>
  <w:style w:type="character" w:customStyle="1" w:styleId="DoubleDotChar">
    <w:name w:val="Double Dot Char"/>
    <w:basedOn w:val="DefaultParagraphFont"/>
    <w:link w:val="DoubleDot"/>
    <w:rsid w:val="00312AEA"/>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2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 line Char Char,b Char Char"/>
    <w:basedOn w:val="DefaultParagraphFont"/>
    <w:link w:val="Bullet"/>
    <w:rsid w:val="001866AB"/>
    <w:rPr>
      <w:rFonts w:ascii="Calibri" w:eastAsia="Times New Roman" w:hAnsi="Calibri" w:cs="Times New Roman"/>
      <w:szCs w:val="20"/>
      <w:lang w:eastAsia="en-AU"/>
    </w:rPr>
  </w:style>
  <w:style w:type="numbering" w:customStyle="1" w:styleId="Outlinenumbering">
    <w:name w:val="Outline numbering"/>
    <w:uiPriority w:val="99"/>
    <w:rsid w:val="001866AB"/>
    <w:pPr>
      <w:numPr>
        <w:numId w:val="17"/>
      </w:numPr>
    </w:pPr>
  </w:style>
  <w:style w:type="paragraph" w:styleId="NormalWeb">
    <w:name w:val="Normal (Web)"/>
    <w:basedOn w:val="Normal"/>
    <w:uiPriority w:val="99"/>
    <w:semiHidden/>
    <w:unhideWhenUsed/>
    <w:rsid w:val="00BA1450"/>
    <w:pPr>
      <w:spacing w:before="100" w:beforeAutospacing="1" w:after="100" w:afterAutospacing="1"/>
    </w:pPr>
    <w:rPr>
      <w:rFonts w:ascii="Times New Roman" w:hAnsi="Times New Roman"/>
      <w:sz w:val="24"/>
      <w:szCs w:val="24"/>
    </w:rPr>
  </w:style>
  <w:style w:type="character" w:customStyle="1" w:styleId="DashChar">
    <w:name w:val="Dash Char"/>
    <w:basedOn w:val="DefaultParagraphFont"/>
    <w:link w:val="Dash"/>
    <w:rsid w:val="002A22E5"/>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62EC2"/>
    <w:rPr>
      <w:sz w:val="16"/>
      <w:szCs w:val="16"/>
    </w:rPr>
  </w:style>
  <w:style w:type="paragraph" w:styleId="CommentText">
    <w:name w:val="annotation text"/>
    <w:basedOn w:val="Normal"/>
    <w:link w:val="CommentTextChar"/>
    <w:uiPriority w:val="99"/>
    <w:semiHidden/>
    <w:unhideWhenUsed/>
    <w:rsid w:val="00E62EC2"/>
    <w:rPr>
      <w:sz w:val="20"/>
    </w:rPr>
  </w:style>
  <w:style w:type="character" w:customStyle="1" w:styleId="CommentTextChar">
    <w:name w:val="Comment Text Char"/>
    <w:basedOn w:val="DefaultParagraphFont"/>
    <w:link w:val="CommentText"/>
    <w:uiPriority w:val="99"/>
    <w:semiHidden/>
    <w:rsid w:val="00E62EC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2EC2"/>
    <w:rPr>
      <w:b/>
      <w:bCs/>
    </w:rPr>
  </w:style>
  <w:style w:type="character" w:customStyle="1" w:styleId="CommentSubjectChar">
    <w:name w:val="Comment Subject Char"/>
    <w:basedOn w:val="CommentTextChar"/>
    <w:link w:val="CommentSubject"/>
    <w:uiPriority w:val="99"/>
    <w:semiHidden/>
    <w:rsid w:val="00E62EC2"/>
    <w:rPr>
      <w:rFonts w:ascii="Calibri" w:eastAsia="Times New Roman" w:hAnsi="Calibri" w:cs="Times New Roman"/>
      <w:b/>
      <w:bCs/>
      <w:sz w:val="20"/>
      <w:szCs w:val="20"/>
      <w:lang w:eastAsia="en-AU"/>
    </w:rPr>
  </w:style>
  <w:style w:type="paragraph" w:styleId="ListParagraph">
    <w:name w:val="List Paragraph"/>
    <w:basedOn w:val="Normal"/>
    <w:uiPriority w:val="34"/>
    <w:qFormat/>
    <w:rsid w:val="00AE60CF"/>
    <w:pPr>
      <w:spacing w:before="0" w:after="0"/>
      <w:ind w:left="720"/>
    </w:pPr>
    <w:rPr>
      <w:rFonts w:eastAsiaTheme="minorHAnsi"/>
      <w:szCs w:val="22"/>
      <w:lang w:eastAsia="en-US"/>
    </w:rPr>
  </w:style>
  <w:style w:type="paragraph" w:styleId="Revision">
    <w:name w:val="Revision"/>
    <w:hidden/>
    <w:uiPriority w:val="99"/>
    <w:semiHidden/>
    <w:rsid w:val="00E222B2"/>
    <w:pPr>
      <w:spacing w:after="0" w:line="240" w:lineRule="auto"/>
    </w:pPr>
    <w:rPr>
      <w:rFonts w:ascii="Calibri" w:eastAsia="Times New Roman" w:hAnsi="Calibri" w:cs="Times New Roman"/>
      <w:szCs w:val="20"/>
      <w:lang w:eastAsia="en-AU"/>
    </w:rPr>
  </w:style>
  <w:style w:type="paragraph" w:customStyle="1" w:styleId="Default">
    <w:name w:val="Default"/>
    <w:rsid w:val="00AC59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BNETParagraph">
    <w:name w:val="CABNET Paragraph."/>
    <w:basedOn w:val="Normal"/>
    <w:link w:val="CABNETParagraphChar"/>
    <w:uiPriority w:val="98"/>
    <w:qFormat/>
    <w:rsid w:val="0065680F"/>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65680F"/>
    <w:rPr>
      <w:rFonts w:ascii="Arial" w:hAnsi="Arial" w:cstheme="minorHAnsi"/>
    </w:rPr>
  </w:style>
  <w:style w:type="character" w:customStyle="1" w:styleId="DoubleDotChar">
    <w:name w:val="Double Dot Char"/>
    <w:basedOn w:val="DefaultParagraphFont"/>
    <w:link w:val="DoubleDot"/>
    <w:rsid w:val="00312AEA"/>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0093">
      <w:bodyDiv w:val="1"/>
      <w:marLeft w:val="0"/>
      <w:marRight w:val="0"/>
      <w:marTop w:val="0"/>
      <w:marBottom w:val="0"/>
      <w:divBdr>
        <w:top w:val="none" w:sz="0" w:space="0" w:color="auto"/>
        <w:left w:val="none" w:sz="0" w:space="0" w:color="auto"/>
        <w:bottom w:val="none" w:sz="0" w:space="0" w:color="auto"/>
        <w:right w:val="none" w:sz="0" w:space="0" w:color="auto"/>
      </w:divBdr>
    </w:div>
    <w:div w:id="875240938">
      <w:bodyDiv w:val="1"/>
      <w:marLeft w:val="0"/>
      <w:marRight w:val="0"/>
      <w:marTop w:val="0"/>
      <w:marBottom w:val="0"/>
      <w:divBdr>
        <w:top w:val="none" w:sz="0" w:space="0" w:color="auto"/>
        <w:left w:val="none" w:sz="0" w:space="0" w:color="auto"/>
        <w:bottom w:val="none" w:sz="0" w:space="0" w:color="auto"/>
        <w:right w:val="none" w:sz="0" w:space="0" w:color="auto"/>
      </w:divBdr>
    </w:div>
    <w:div w:id="1588685989">
      <w:bodyDiv w:val="1"/>
      <w:marLeft w:val="0"/>
      <w:marRight w:val="0"/>
      <w:marTop w:val="0"/>
      <w:marBottom w:val="0"/>
      <w:divBdr>
        <w:top w:val="none" w:sz="0" w:space="0" w:color="auto"/>
        <w:left w:val="none" w:sz="0" w:space="0" w:color="auto"/>
        <w:bottom w:val="none" w:sz="0" w:space="0" w:color="auto"/>
        <w:right w:val="none" w:sz="0" w:space="0" w:color="auto"/>
      </w:divBdr>
    </w:div>
    <w:div w:id="1765101936">
      <w:bodyDiv w:val="1"/>
      <w:marLeft w:val="0"/>
      <w:marRight w:val="0"/>
      <w:marTop w:val="0"/>
      <w:marBottom w:val="0"/>
      <w:divBdr>
        <w:top w:val="none" w:sz="0" w:space="0" w:color="auto"/>
        <w:left w:val="none" w:sz="0" w:space="0" w:color="auto"/>
        <w:bottom w:val="none" w:sz="0" w:space="0" w:color="auto"/>
        <w:right w:val="none" w:sz="0" w:space="0" w:color="auto"/>
      </w:divBdr>
    </w:div>
    <w:div w:id="1869098899">
      <w:bodyDiv w:val="1"/>
      <w:marLeft w:val="0"/>
      <w:marRight w:val="0"/>
      <w:marTop w:val="0"/>
      <w:marBottom w:val="0"/>
      <w:divBdr>
        <w:top w:val="none" w:sz="0" w:space="0" w:color="auto"/>
        <w:left w:val="none" w:sz="0" w:space="0" w:color="auto"/>
        <w:bottom w:val="none" w:sz="0" w:space="0" w:color="auto"/>
        <w:right w:val="none" w:sz="0" w:space="0" w:color="auto"/>
      </w:divBdr>
    </w:div>
    <w:div w:id="1890530156">
      <w:bodyDiv w:val="1"/>
      <w:marLeft w:val="0"/>
      <w:marRight w:val="0"/>
      <w:marTop w:val="0"/>
      <w:marBottom w:val="0"/>
      <w:divBdr>
        <w:top w:val="none" w:sz="0" w:space="0" w:color="auto"/>
        <w:left w:val="none" w:sz="0" w:space="0" w:color="auto"/>
        <w:bottom w:val="none" w:sz="0" w:space="0" w:color="auto"/>
        <w:right w:val="none" w:sz="0" w:space="0" w:color="auto"/>
      </w:divBdr>
    </w:div>
    <w:div w:id="21273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7.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header" Target="header8.xml"/><Relationship Id="rId36"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hyperlink" Target="http://www.pmc.gov.au/government/commonwealth-coat-arm" TargetMode="Externa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as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EE044118B6404EB80EE18EB8BCEC51"/>
        <w:category>
          <w:name w:val="General"/>
          <w:gallery w:val="placeholder"/>
        </w:category>
        <w:types>
          <w:type w:val="bbPlcHdr"/>
        </w:types>
        <w:behaviors>
          <w:behavior w:val="content"/>
        </w:behaviors>
        <w:guid w:val="{BD703D96-FC17-41E6-9B7B-8E52958475F5}"/>
      </w:docPartPr>
      <w:docPartBody>
        <w:p w14:paraId="67A23DAA" w14:textId="77777777" w:rsidR="006F1C7D" w:rsidRDefault="006F1C7D" w:rsidP="006F1C7D">
          <w:pPr>
            <w:pStyle w:val="09EE044118B6404EB80EE18EB8BCEC51"/>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7D"/>
    <w:rsid w:val="000E48A3"/>
    <w:rsid w:val="00126A96"/>
    <w:rsid w:val="0018405B"/>
    <w:rsid w:val="001C34C9"/>
    <w:rsid w:val="001D4B42"/>
    <w:rsid w:val="002C1574"/>
    <w:rsid w:val="004009F5"/>
    <w:rsid w:val="00480022"/>
    <w:rsid w:val="004B1672"/>
    <w:rsid w:val="006F1C7D"/>
    <w:rsid w:val="00702C01"/>
    <w:rsid w:val="0075370F"/>
    <w:rsid w:val="00813FE6"/>
    <w:rsid w:val="00946DB6"/>
    <w:rsid w:val="0095728C"/>
    <w:rsid w:val="00A35272"/>
    <w:rsid w:val="00AA0897"/>
    <w:rsid w:val="00BB62C0"/>
    <w:rsid w:val="00CE7852"/>
    <w:rsid w:val="00DD6885"/>
    <w:rsid w:val="00E471C7"/>
    <w:rsid w:val="00F16982"/>
    <w:rsid w:val="00F72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A23DA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B284A4A7A463DBFEA7896C1E60CE4">
    <w:name w:val="A99B284A4A7A463DBFEA7896C1E60CE4"/>
  </w:style>
  <w:style w:type="character" w:styleId="PlaceholderText">
    <w:name w:val="Placeholder Text"/>
    <w:basedOn w:val="DefaultParagraphFont"/>
    <w:uiPriority w:val="99"/>
    <w:semiHidden/>
    <w:rsid w:val="006F1C7D"/>
    <w:rPr>
      <w:color w:val="808080"/>
    </w:rPr>
  </w:style>
  <w:style w:type="paragraph" w:customStyle="1" w:styleId="53B67BBB487A4D12AFA58689DFF4DA6C">
    <w:name w:val="53B67BBB487A4D12AFA58689DFF4DA6C"/>
  </w:style>
  <w:style w:type="paragraph" w:customStyle="1" w:styleId="09EE044118B6404EB80EE18EB8BCEC51">
    <w:name w:val="09EE044118B6404EB80EE18EB8BCEC51"/>
    <w:rsid w:val="006F1C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B284A4A7A463DBFEA7896C1E60CE4">
    <w:name w:val="A99B284A4A7A463DBFEA7896C1E60CE4"/>
  </w:style>
  <w:style w:type="character" w:styleId="PlaceholderText">
    <w:name w:val="Placeholder Text"/>
    <w:basedOn w:val="DefaultParagraphFont"/>
    <w:uiPriority w:val="99"/>
    <w:semiHidden/>
    <w:rsid w:val="006F1C7D"/>
    <w:rPr>
      <w:color w:val="808080"/>
    </w:rPr>
  </w:style>
  <w:style w:type="paragraph" w:customStyle="1" w:styleId="53B67BBB487A4D12AFA58689DFF4DA6C">
    <w:name w:val="53B67BBB487A4D12AFA58689DFF4DA6C"/>
  </w:style>
  <w:style w:type="paragraph" w:customStyle="1" w:styleId="09EE044118B6404EB80EE18EB8BCEC51">
    <w:name w:val="09EE044118B6404EB80EE18EB8BCEC51"/>
    <w:rsid w:val="006F1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8A2F-9C17-4150-9AD4-32B1E76A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6865</Words>
  <Characters>39133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Employee Share Schemes</vt:lpstr>
    </vt:vector>
  </TitlesOfParts>
  <Company/>
  <LinksUpToDate>false</LinksUpToDate>
  <CharactersWithSpaces>45907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Share Schemes</dc:title>
  <dc:subject/>
  <dc:creator/>
  <cp:keywords/>
  <cp:lastModifiedBy/>
  <cp:revision>1</cp:revision>
  <dcterms:created xsi:type="dcterms:W3CDTF">2019-04-03T03:53:00Z</dcterms:created>
  <dcterms:modified xsi:type="dcterms:W3CDTF">2019-04-03T03:53:00Z</dcterms:modified>
</cp:coreProperties>
</file>