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3997C" w14:textId="30B1DBDC" w:rsidR="00F012EA" w:rsidRPr="001D48C3" w:rsidRDefault="00EA67FC" w:rsidP="00F012EA">
      <w:pPr>
        <w:pStyle w:val="Title"/>
      </w:pPr>
      <w:bookmarkStart w:id="0" w:name="_GoBack"/>
      <w:bookmarkEnd w:id="0"/>
      <w:r w:rsidRPr="001D48C3">
        <w:t>Treasury</w:t>
      </w:r>
      <w:r w:rsidR="001D5BF5">
        <w:t>’</w:t>
      </w:r>
      <w:r w:rsidRPr="001D48C3">
        <w:t>s medium</w:t>
      </w:r>
      <w:r w:rsidR="001D5BF5">
        <w:noBreakHyphen/>
      </w:r>
      <w:r w:rsidRPr="001D48C3">
        <w:t xml:space="preserve">term </w:t>
      </w:r>
      <w:r w:rsidR="00443B48">
        <w:t xml:space="preserve">economic </w:t>
      </w:r>
      <w:r w:rsidR="00EB21D6" w:rsidRPr="001D48C3">
        <w:t>projection</w:t>
      </w:r>
      <w:r w:rsidRPr="001D48C3">
        <w:t xml:space="preserve"> methodology</w:t>
      </w:r>
    </w:p>
    <w:p w14:paraId="41F3E6E4" w14:textId="351DC20D" w:rsidR="00F012EA" w:rsidRPr="001D48C3" w:rsidRDefault="00EA67FC" w:rsidP="00F012EA">
      <w:pPr>
        <w:pStyle w:val="AuthorName"/>
        <w:rPr>
          <w:szCs w:val="24"/>
        </w:rPr>
      </w:pPr>
      <w:r w:rsidRPr="001D48C3">
        <w:rPr>
          <w:szCs w:val="24"/>
        </w:rPr>
        <w:t>Jared Bullen, Jacinta Greenwell, Michael Kouparitsas, David Muller, John</w:t>
      </w:r>
      <w:r w:rsidR="007236C2" w:rsidRPr="001D48C3">
        <w:rPr>
          <w:szCs w:val="24"/>
        </w:rPr>
        <w:t> </w:t>
      </w:r>
      <w:r w:rsidRPr="001D48C3">
        <w:rPr>
          <w:szCs w:val="24"/>
        </w:rPr>
        <w:t>O</w:t>
      </w:r>
      <w:r w:rsidR="001D5BF5">
        <w:rPr>
          <w:szCs w:val="24"/>
        </w:rPr>
        <w:t>’</w:t>
      </w:r>
      <w:r w:rsidRPr="001D48C3">
        <w:rPr>
          <w:szCs w:val="24"/>
        </w:rPr>
        <w:t>Leary and Rhett Wilcox</w:t>
      </w:r>
      <w:r w:rsidR="00F012EA" w:rsidRPr="001D48C3">
        <w:rPr>
          <w:rStyle w:val="FootnoteReference"/>
          <w:szCs w:val="24"/>
        </w:rPr>
        <w:footnoteReference w:id="1"/>
      </w:r>
    </w:p>
    <w:p w14:paraId="44ED7F30" w14:textId="77777777" w:rsidR="00F012EA" w:rsidRPr="001D48C3" w:rsidRDefault="00F012EA" w:rsidP="00F012EA">
      <w:pPr>
        <w:pStyle w:val="Subtitle"/>
        <w:tabs>
          <w:tab w:val="left" w:pos="1985"/>
        </w:tabs>
        <w:rPr>
          <w:szCs w:val="40"/>
        </w:rPr>
      </w:pPr>
      <w:r w:rsidRPr="001D48C3">
        <w:rPr>
          <w:szCs w:val="40"/>
        </w:rPr>
        <w:t>Treasury Working Paper</w:t>
      </w:r>
      <w:r w:rsidRPr="001D48C3">
        <w:rPr>
          <w:rStyle w:val="FootnoteReference"/>
          <w:szCs w:val="40"/>
        </w:rPr>
        <w:footnoteReference w:id="2"/>
      </w:r>
    </w:p>
    <w:p w14:paraId="66351D6A" w14:textId="13BE3481" w:rsidR="00F012EA" w:rsidRPr="001D48C3" w:rsidRDefault="00F012EA" w:rsidP="00F012EA">
      <w:pPr>
        <w:pStyle w:val="Subtitle"/>
        <w:rPr>
          <w:szCs w:val="36"/>
        </w:rPr>
      </w:pPr>
      <w:r w:rsidRPr="001D48C3">
        <w:rPr>
          <w:szCs w:val="36"/>
        </w:rPr>
        <w:t>20</w:t>
      </w:r>
      <w:r w:rsidR="00EA67FC" w:rsidRPr="001D48C3">
        <w:rPr>
          <w:szCs w:val="36"/>
        </w:rPr>
        <w:t>14</w:t>
      </w:r>
      <w:r w:rsidR="001D5BF5">
        <w:rPr>
          <w:szCs w:val="36"/>
        </w:rPr>
        <w:noBreakHyphen/>
      </w:r>
      <w:r w:rsidR="00FE04BC" w:rsidRPr="001D48C3">
        <w:rPr>
          <w:szCs w:val="36"/>
        </w:rPr>
        <w:t>02</w:t>
      </w:r>
    </w:p>
    <w:p w14:paraId="1EB66891" w14:textId="60A3A0E7" w:rsidR="00F012EA" w:rsidRPr="001D48C3" w:rsidRDefault="00F012EA" w:rsidP="00F012EA">
      <w:pPr>
        <w:pStyle w:val="SeriesNumber"/>
        <w:spacing w:before="120" w:after="120"/>
        <w:rPr>
          <w:sz w:val="24"/>
          <w:szCs w:val="24"/>
        </w:rPr>
      </w:pPr>
      <w:r w:rsidRPr="001D48C3">
        <w:rPr>
          <w:sz w:val="24"/>
          <w:szCs w:val="24"/>
        </w:rPr>
        <w:t xml:space="preserve">Date created: </w:t>
      </w:r>
      <w:r w:rsidR="00A4156A" w:rsidRPr="001D48C3">
        <w:rPr>
          <w:sz w:val="24"/>
          <w:szCs w:val="24"/>
        </w:rPr>
        <w:t>May</w:t>
      </w:r>
      <w:r w:rsidR="00EA67FC" w:rsidRPr="001D48C3">
        <w:rPr>
          <w:sz w:val="24"/>
          <w:szCs w:val="24"/>
        </w:rPr>
        <w:t xml:space="preserve"> 2014</w:t>
      </w:r>
    </w:p>
    <w:p w14:paraId="56D63C38" w14:textId="6A0F670B" w:rsidR="00F012EA" w:rsidRPr="001D48C3" w:rsidRDefault="00F012EA" w:rsidP="00F012EA">
      <w:pPr>
        <w:pStyle w:val="SeriesNumber"/>
        <w:spacing w:before="120" w:after="120"/>
        <w:rPr>
          <w:sz w:val="24"/>
          <w:szCs w:val="24"/>
        </w:rPr>
      </w:pPr>
      <w:r w:rsidRPr="001D48C3">
        <w:rPr>
          <w:sz w:val="24"/>
          <w:szCs w:val="24"/>
        </w:rPr>
        <w:t xml:space="preserve">Date modified: </w:t>
      </w:r>
      <w:r w:rsidR="00A4156A" w:rsidRPr="001D48C3">
        <w:rPr>
          <w:sz w:val="24"/>
          <w:szCs w:val="24"/>
        </w:rPr>
        <w:t>May</w:t>
      </w:r>
      <w:r w:rsidR="00EA67FC" w:rsidRPr="001D48C3">
        <w:rPr>
          <w:sz w:val="24"/>
          <w:szCs w:val="24"/>
        </w:rPr>
        <w:t xml:space="preserve"> 2014</w:t>
      </w:r>
    </w:p>
    <w:p w14:paraId="73D11D5D" w14:textId="77777777" w:rsidR="007236C2" w:rsidRPr="001D48C3" w:rsidRDefault="007236C2" w:rsidP="007236C2">
      <w:pPr>
        <w:pStyle w:val="SeriesNumber"/>
        <w:spacing w:before="120" w:after="120"/>
        <w:jc w:val="left"/>
        <w:rPr>
          <w:sz w:val="24"/>
          <w:szCs w:val="24"/>
        </w:rPr>
      </w:pPr>
    </w:p>
    <w:p w14:paraId="38605DA4" w14:textId="77777777" w:rsidR="000464B6" w:rsidRPr="001D48C3" w:rsidRDefault="000464B6" w:rsidP="00F012EA">
      <w:pPr>
        <w:pStyle w:val="AuthorName"/>
        <w:rPr>
          <w:szCs w:val="24"/>
        </w:rPr>
        <w:sectPr w:rsidR="000464B6" w:rsidRPr="001D48C3" w:rsidSect="008C0793">
          <w:headerReference w:type="even" r:id="rId9"/>
          <w:headerReference w:type="default" r:id="rId10"/>
          <w:footerReference w:type="even" r:id="rId11"/>
          <w:footerReference w:type="default" r:id="rId12"/>
          <w:headerReference w:type="first" r:id="rId13"/>
          <w:footerReference w:type="first" r:id="rId14"/>
          <w:pgSz w:w="11906" w:h="16838" w:code="9"/>
          <w:pgMar w:top="1418" w:right="1304" w:bottom="1418" w:left="1304" w:header="567" w:footer="567" w:gutter="0"/>
          <w:cols w:space="708"/>
          <w:titlePg/>
          <w:docGrid w:linePitch="360"/>
        </w:sectPr>
      </w:pPr>
    </w:p>
    <w:p w14:paraId="63F522C9" w14:textId="77777777" w:rsidR="000464B6" w:rsidRPr="001D48C3" w:rsidRDefault="000464B6" w:rsidP="000464B6">
      <w:r w:rsidRPr="001D48C3">
        <w:lastRenderedPageBreak/>
        <w:t xml:space="preserve">© Commonwealth of Australia </w:t>
      </w:r>
      <w:r w:rsidR="00FE04BC" w:rsidRPr="001D48C3">
        <w:t>2014</w:t>
      </w:r>
    </w:p>
    <w:p w14:paraId="4E445A6D" w14:textId="5FD12873" w:rsidR="000464B6" w:rsidRPr="001D48C3" w:rsidRDefault="000464B6" w:rsidP="000464B6">
      <w:r w:rsidRPr="001D48C3">
        <w:t xml:space="preserve">ISBN </w:t>
      </w:r>
      <w:r w:rsidR="00445416" w:rsidRPr="00445416">
        <w:t>978</w:t>
      </w:r>
      <w:r w:rsidR="001D5BF5">
        <w:noBreakHyphen/>
      </w:r>
      <w:r w:rsidR="00445416" w:rsidRPr="00445416">
        <w:t>0</w:t>
      </w:r>
      <w:r w:rsidR="001D5BF5">
        <w:noBreakHyphen/>
      </w:r>
      <w:r w:rsidR="00445416" w:rsidRPr="00445416">
        <w:t>642</w:t>
      </w:r>
      <w:r w:rsidR="001D5BF5">
        <w:noBreakHyphen/>
      </w:r>
      <w:r w:rsidR="00445416" w:rsidRPr="00445416">
        <w:t>74973</w:t>
      </w:r>
      <w:r w:rsidR="001D5BF5">
        <w:noBreakHyphen/>
      </w:r>
      <w:r w:rsidR="00445416" w:rsidRPr="00445416">
        <w:t>4</w:t>
      </w:r>
    </w:p>
    <w:p w14:paraId="2F4DE688" w14:textId="77777777" w:rsidR="000464B6" w:rsidRPr="001D48C3" w:rsidRDefault="000464B6" w:rsidP="000464B6">
      <w:pPr>
        <w:tabs>
          <w:tab w:val="left" w:pos="1650"/>
        </w:tabs>
        <w:rPr>
          <w:rStyle w:val="A5"/>
          <w:rFonts w:cstheme="minorBidi"/>
          <w:sz w:val="24"/>
          <w:szCs w:val="24"/>
        </w:rPr>
      </w:pPr>
      <w:r w:rsidRPr="001D48C3">
        <w:t>This publication is available for your use under a</w:t>
      </w:r>
      <w:r w:rsidRPr="001D48C3">
        <w:rPr>
          <w:rStyle w:val="A5"/>
          <w:rFonts w:cstheme="minorHAnsi"/>
          <w:sz w:val="24"/>
          <w:szCs w:val="24"/>
        </w:rPr>
        <w:t xml:space="preserve"> </w:t>
      </w:r>
      <w:hyperlink r:id="rId15" w:history="1">
        <w:r w:rsidRPr="001D48C3">
          <w:rPr>
            <w:rStyle w:val="Hyperlink"/>
          </w:rPr>
          <w:t>Creative Commons BY Attribution 3.0 Australia</w:t>
        </w:r>
      </w:hyperlink>
      <w:r w:rsidRPr="001D48C3">
        <w:rPr>
          <w:rStyle w:val="A5"/>
          <w:rFonts w:cstheme="minorHAnsi"/>
          <w:sz w:val="24"/>
          <w:szCs w:val="24"/>
        </w:rPr>
        <w:t xml:space="preserve"> </w:t>
      </w:r>
      <w:r w:rsidRPr="001D48C3">
        <w:t>licence, with the exception of the Commonwealth Coat of Arms, the Treasury logo, photographs, images, signatures and where otherwise stated. The full licence terms are available from</w:t>
      </w:r>
      <w:r w:rsidRPr="001D48C3">
        <w:rPr>
          <w:rStyle w:val="A5"/>
          <w:rFonts w:cstheme="minorHAnsi"/>
          <w:sz w:val="24"/>
          <w:szCs w:val="24"/>
        </w:rPr>
        <w:t xml:space="preserve"> </w:t>
      </w:r>
      <w:hyperlink r:id="rId16" w:history="1">
        <w:r w:rsidRPr="001D48C3">
          <w:rPr>
            <w:rStyle w:val="Hyperlink"/>
          </w:rPr>
          <w:t>http://creativecommons.org/licenses/by/3.0/au/legalcode</w:t>
        </w:r>
      </w:hyperlink>
      <w:r w:rsidRPr="001D48C3">
        <w:rPr>
          <w:rStyle w:val="Hyperlink"/>
        </w:rPr>
        <w:t>.</w:t>
      </w:r>
      <w:r w:rsidRPr="001D48C3">
        <w:rPr>
          <w:sz w:val="24"/>
          <w:szCs w:val="24"/>
        </w:rPr>
        <w:t xml:space="preserve"> </w:t>
      </w:r>
    </w:p>
    <w:p w14:paraId="5A91CE90" w14:textId="77777777" w:rsidR="000464B6" w:rsidRPr="001D48C3" w:rsidRDefault="000464B6" w:rsidP="000464B6">
      <w:pPr>
        <w:tabs>
          <w:tab w:val="left" w:pos="1650"/>
        </w:tabs>
        <w:spacing w:before="100" w:beforeAutospacing="1" w:after="100" w:afterAutospacing="1"/>
        <w:rPr>
          <w:rFonts w:cstheme="minorHAnsi"/>
          <w:sz w:val="24"/>
          <w:szCs w:val="24"/>
        </w:rPr>
      </w:pPr>
      <w:r w:rsidRPr="001D48C3">
        <w:rPr>
          <w:rFonts w:cstheme="minorHAnsi"/>
          <w:noProof/>
          <w:sz w:val="24"/>
          <w:szCs w:val="24"/>
          <w:lang w:eastAsia="en-AU"/>
        </w:rPr>
        <w:drawing>
          <wp:inline distT="0" distB="0" distL="0" distR="0" wp14:anchorId="1FDDC81A" wp14:editId="1A525C0C">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AE5E61" w14:textId="77777777" w:rsidR="000464B6" w:rsidRPr="001D48C3" w:rsidRDefault="000464B6" w:rsidP="000464B6">
      <w:pPr>
        <w:tabs>
          <w:tab w:val="left" w:pos="1650"/>
        </w:tabs>
      </w:pPr>
      <w:r w:rsidRPr="001D48C3">
        <w:t>Use of Treasury material under a</w:t>
      </w:r>
      <w:r w:rsidRPr="001D48C3">
        <w:rPr>
          <w:rFonts w:cstheme="minorHAnsi"/>
          <w:sz w:val="24"/>
          <w:szCs w:val="24"/>
        </w:rPr>
        <w:t xml:space="preserve"> </w:t>
      </w:r>
      <w:hyperlink r:id="rId18" w:history="1">
        <w:r w:rsidRPr="001D48C3">
          <w:rPr>
            <w:rStyle w:val="Hyperlink"/>
          </w:rPr>
          <w:t>Creative Commons BY Attribution 3.0 Australia</w:t>
        </w:r>
      </w:hyperlink>
      <w:r w:rsidRPr="001D48C3">
        <w:rPr>
          <w:rStyle w:val="Hyperlink"/>
        </w:rPr>
        <w:t xml:space="preserve"> </w:t>
      </w:r>
      <w:r w:rsidRPr="001D48C3">
        <w:t xml:space="preserve">licence requires you to attribute the work (but not in any way that suggests that the Treasury endorses you or your use of the work). </w:t>
      </w:r>
    </w:p>
    <w:p w14:paraId="0A677094" w14:textId="53F72C8F" w:rsidR="000464B6" w:rsidRPr="001D48C3" w:rsidRDefault="000464B6" w:rsidP="000D6734">
      <w:pPr>
        <w:pStyle w:val="Copyrightheading"/>
      </w:pPr>
      <w:r w:rsidRPr="001D48C3">
        <w:t xml:space="preserve">Treasury material used </w:t>
      </w:r>
      <w:r w:rsidR="001D5BF5">
        <w:t>‘</w:t>
      </w:r>
      <w:r w:rsidRPr="001D48C3">
        <w:t>as supplied</w:t>
      </w:r>
      <w:r w:rsidR="001D5BF5">
        <w:t>’</w:t>
      </w:r>
    </w:p>
    <w:p w14:paraId="3D56A03A" w14:textId="77777777" w:rsidR="000464B6" w:rsidRPr="001D48C3" w:rsidRDefault="000464B6" w:rsidP="000464B6">
      <w:r w:rsidRPr="001D48C3">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3F4DAF55" w14:textId="77777777" w:rsidR="000464B6" w:rsidRPr="001D48C3" w:rsidRDefault="000464B6" w:rsidP="000464B6">
      <w:pPr>
        <w:ind w:firstLine="720"/>
      </w:pPr>
      <w:r w:rsidRPr="001D48C3">
        <w:rPr>
          <w:i/>
        </w:rPr>
        <w:t xml:space="preserve">Source: The </w:t>
      </w:r>
      <w:r w:rsidRPr="001D48C3">
        <w:rPr>
          <w:i/>
          <w:iCs/>
        </w:rPr>
        <w:t>Australian Government the Treasury</w:t>
      </w:r>
    </w:p>
    <w:p w14:paraId="224C16B0" w14:textId="77777777" w:rsidR="000464B6" w:rsidRPr="001D48C3" w:rsidRDefault="000464B6" w:rsidP="000D6734">
      <w:pPr>
        <w:pStyle w:val="Copyrightheading"/>
      </w:pPr>
      <w:r w:rsidRPr="001D48C3">
        <w:t>Derivative material</w:t>
      </w:r>
    </w:p>
    <w:p w14:paraId="5C0F2A5D" w14:textId="77777777" w:rsidR="000464B6" w:rsidRPr="001D48C3" w:rsidRDefault="000464B6" w:rsidP="000464B6">
      <w:r w:rsidRPr="001D48C3">
        <w:t xml:space="preserve">If you have modified or transformed Treasury material, or derived new material from those of the Treasury in any way, then Treasury prefers the following attribution: </w:t>
      </w:r>
    </w:p>
    <w:p w14:paraId="4CD9161D" w14:textId="77777777" w:rsidR="000464B6" w:rsidRPr="001D48C3" w:rsidRDefault="000464B6" w:rsidP="000464B6">
      <w:pPr>
        <w:ind w:firstLine="720"/>
      </w:pPr>
      <w:r w:rsidRPr="001D48C3">
        <w:rPr>
          <w:i/>
        </w:rPr>
        <w:t>Based on The Australian Government the Treasury data</w:t>
      </w:r>
    </w:p>
    <w:p w14:paraId="3F3238B1" w14:textId="77777777" w:rsidR="000464B6" w:rsidRPr="001D48C3" w:rsidRDefault="000464B6" w:rsidP="000464B6">
      <w:pPr>
        <w:spacing w:after="40"/>
        <w:rPr>
          <w:b/>
        </w:rPr>
      </w:pPr>
      <w:r w:rsidRPr="001D48C3">
        <w:rPr>
          <w:b/>
        </w:rPr>
        <w:t>Use of the Coat of Arms</w:t>
      </w:r>
    </w:p>
    <w:p w14:paraId="04B5B632" w14:textId="4B6B5A66" w:rsidR="000464B6" w:rsidRPr="001D48C3" w:rsidRDefault="000464B6" w:rsidP="000464B6">
      <w:r w:rsidRPr="001D48C3">
        <w:t>The terms under which the Coat of Arms can be used are set out on the It</w:t>
      </w:r>
      <w:r w:rsidR="001D5BF5">
        <w:t>’</w:t>
      </w:r>
      <w:r w:rsidRPr="001D48C3">
        <w:t xml:space="preserve">s an Honour website (see </w:t>
      </w:r>
      <w:hyperlink r:id="rId19" w:history="1">
        <w:r w:rsidRPr="001D48C3">
          <w:t>www.itsanhonour.gov.au</w:t>
        </w:r>
      </w:hyperlink>
      <w:r w:rsidRPr="001D48C3">
        <w:t>)</w:t>
      </w:r>
    </w:p>
    <w:p w14:paraId="4A1B521D" w14:textId="77777777" w:rsidR="000464B6" w:rsidRPr="001D48C3" w:rsidRDefault="000464B6" w:rsidP="000464B6">
      <w:pPr>
        <w:spacing w:after="40"/>
        <w:rPr>
          <w:b/>
        </w:rPr>
      </w:pPr>
      <w:r w:rsidRPr="001D48C3">
        <w:rPr>
          <w:b/>
        </w:rPr>
        <w:t xml:space="preserve">Other </w:t>
      </w:r>
      <w:r w:rsidR="00FE04BC" w:rsidRPr="001D48C3">
        <w:rPr>
          <w:b/>
        </w:rPr>
        <w:t>u</w:t>
      </w:r>
      <w:r w:rsidRPr="001D48C3">
        <w:rPr>
          <w:b/>
        </w:rPr>
        <w:t>ses</w:t>
      </w:r>
    </w:p>
    <w:p w14:paraId="1529F3FC" w14:textId="77777777" w:rsidR="000464B6" w:rsidRPr="001D48C3" w:rsidRDefault="000464B6" w:rsidP="00FE04BC">
      <w:pPr>
        <w:spacing w:after="120"/>
      </w:pPr>
      <w:r w:rsidRPr="001D48C3">
        <w:t>Inquiries regarding this licence and any other use of this document are welcome at:</w:t>
      </w:r>
    </w:p>
    <w:p w14:paraId="0581CF09" w14:textId="77777777" w:rsidR="000464B6" w:rsidRPr="001D48C3" w:rsidRDefault="000464B6" w:rsidP="000464B6">
      <w:pPr>
        <w:spacing w:after="0"/>
        <w:ind w:left="720"/>
      </w:pPr>
      <w:r w:rsidRPr="001D48C3">
        <w:t>Manager</w:t>
      </w:r>
    </w:p>
    <w:p w14:paraId="5FF0407E" w14:textId="77777777" w:rsidR="000464B6" w:rsidRPr="001D48C3" w:rsidRDefault="000464B6" w:rsidP="000464B6">
      <w:pPr>
        <w:spacing w:after="0"/>
        <w:ind w:left="720"/>
      </w:pPr>
      <w:r w:rsidRPr="001D48C3">
        <w:t xml:space="preserve">Communications </w:t>
      </w:r>
    </w:p>
    <w:p w14:paraId="1EE712C5" w14:textId="77777777" w:rsidR="000464B6" w:rsidRPr="001D48C3" w:rsidRDefault="000464B6" w:rsidP="000464B6">
      <w:pPr>
        <w:spacing w:after="0"/>
        <w:ind w:left="720"/>
      </w:pPr>
      <w:r w:rsidRPr="001D48C3">
        <w:t>The Treasury</w:t>
      </w:r>
    </w:p>
    <w:p w14:paraId="21C7BFBF" w14:textId="77777777" w:rsidR="00FE04BC" w:rsidRPr="001D48C3" w:rsidRDefault="000464B6" w:rsidP="000464B6">
      <w:pPr>
        <w:spacing w:after="0"/>
        <w:ind w:left="720"/>
      </w:pPr>
      <w:r w:rsidRPr="001D48C3">
        <w:t xml:space="preserve">Langton Crescent </w:t>
      </w:r>
    </w:p>
    <w:p w14:paraId="0713D45D" w14:textId="322BF491" w:rsidR="000464B6" w:rsidRPr="001D48C3" w:rsidRDefault="000464B6" w:rsidP="000464B6">
      <w:pPr>
        <w:spacing w:after="0"/>
        <w:ind w:left="720"/>
      </w:pPr>
      <w:r w:rsidRPr="001D48C3">
        <w:t>Parkes</w:t>
      </w:r>
      <w:r w:rsidR="000D6734">
        <w:t xml:space="preserve"> </w:t>
      </w:r>
      <w:r w:rsidRPr="001D48C3">
        <w:t xml:space="preserve"> ACT</w:t>
      </w:r>
      <w:r w:rsidR="000D6734">
        <w:t xml:space="preserve"> </w:t>
      </w:r>
      <w:r w:rsidRPr="001D48C3">
        <w:t xml:space="preserve"> 2600</w:t>
      </w:r>
    </w:p>
    <w:p w14:paraId="1EC69C53" w14:textId="77777777" w:rsidR="000464B6" w:rsidRPr="001D48C3" w:rsidRDefault="000464B6" w:rsidP="000464B6">
      <w:pPr>
        <w:spacing w:after="0"/>
        <w:ind w:left="720"/>
      </w:pPr>
      <w:r w:rsidRPr="001D48C3">
        <w:t xml:space="preserve">Email: </w:t>
      </w:r>
      <w:hyperlink r:id="rId20" w:history="1">
        <w:r w:rsidRPr="001D48C3">
          <w:rPr>
            <w:rStyle w:val="Hyperlink"/>
          </w:rPr>
          <w:t>medialiaison@treasury.gov.au</w:t>
        </w:r>
      </w:hyperlink>
      <w:r w:rsidRPr="001D48C3">
        <w:rPr>
          <w:rStyle w:val="Hyperlink"/>
        </w:rPr>
        <w:t xml:space="preserve"> </w:t>
      </w:r>
    </w:p>
    <w:p w14:paraId="4467D9E5" w14:textId="77777777" w:rsidR="000464B6" w:rsidRPr="001D48C3" w:rsidRDefault="000464B6" w:rsidP="000464B6"/>
    <w:p w14:paraId="5F1EF371" w14:textId="77777777" w:rsidR="000464B6" w:rsidRPr="001D48C3" w:rsidRDefault="000464B6" w:rsidP="000464B6">
      <w:pPr>
        <w:spacing w:after="0"/>
        <w:ind w:left="720"/>
        <w:rPr>
          <w:rStyle w:val="Hyperlink"/>
        </w:rPr>
        <w:sectPr w:rsidR="000464B6" w:rsidRPr="001D48C3" w:rsidSect="008C0793">
          <w:headerReference w:type="first" r:id="rId21"/>
          <w:pgSz w:w="11906" w:h="16838" w:code="9"/>
          <w:pgMar w:top="1418" w:right="1304" w:bottom="1418" w:left="1304" w:header="567" w:footer="567" w:gutter="0"/>
          <w:cols w:space="708"/>
          <w:titlePg/>
          <w:docGrid w:linePitch="360"/>
        </w:sectPr>
      </w:pPr>
    </w:p>
    <w:p w14:paraId="416E1A4E" w14:textId="3E3AFD5E" w:rsidR="00F012EA" w:rsidRPr="001D48C3" w:rsidRDefault="00EA67FC" w:rsidP="00F012EA">
      <w:pPr>
        <w:pStyle w:val="SingleParagraph"/>
      </w:pPr>
      <w:r w:rsidRPr="001D48C3">
        <w:lastRenderedPageBreak/>
        <w:t>Treasury</w:t>
      </w:r>
      <w:r w:rsidR="001D5BF5">
        <w:t>’</w:t>
      </w:r>
      <w:r w:rsidRPr="001D48C3">
        <w:t>s medium</w:t>
      </w:r>
      <w:r w:rsidR="001D5BF5">
        <w:noBreakHyphen/>
      </w:r>
      <w:r w:rsidRPr="001D48C3">
        <w:t xml:space="preserve">term </w:t>
      </w:r>
      <w:r w:rsidR="00443B48">
        <w:t xml:space="preserve">economic </w:t>
      </w:r>
      <w:r w:rsidR="00EB21D6" w:rsidRPr="001D48C3">
        <w:t>projection</w:t>
      </w:r>
      <w:r w:rsidRPr="001D48C3">
        <w:t xml:space="preserve"> methodology</w:t>
      </w:r>
    </w:p>
    <w:p w14:paraId="37F3FD86" w14:textId="1DB7C8CB" w:rsidR="00F012EA" w:rsidRPr="001D48C3" w:rsidRDefault="00EA67FC" w:rsidP="00F012EA">
      <w:pPr>
        <w:pStyle w:val="SingleParagraph"/>
      </w:pPr>
      <w:r w:rsidRPr="001D48C3">
        <w:t>Jared Bullen, Jacinta Greenwell, Michael Kouparitsas, David Muller, John O</w:t>
      </w:r>
      <w:r w:rsidR="001D5BF5">
        <w:t>’</w:t>
      </w:r>
      <w:r w:rsidRPr="001D48C3">
        <w:t>Leary and Rhett Wilcox</w:t>
      </w:r>
    </w:p>
    <w:p w14:paraId="2651D9B2" w14:textId="1C61FA03" w:rsidR="00F012EA" w:rsidRPr="001D48C3" w:rsidRDefault="00F012EA" w:rsidP="00F012EA">
      <w:pPr>
        <w:pStyle w:val="SingleParagraph"/>
      </w:pPr>
      <w:r w:rsidRPr="001D48C3">
        <w:t>20</w:t>
      </w:r>
      <w:r w:rsidR="00EA67FC" w:rsidRPr="001D48C3">
        <w:t>14</w:t>
      </w:r>
      <w:r w:rsidR="001D5BF5">
        <w:noBreakHyphen/>
      </w:r>
      <w:r w:rsidR="00A40494" w:rsidRPr="001D48C3">
        <w:t>02</w:t>
      </w:r>
    </w:p>
    <w:p w14:paraId="2D19373D" w14:textId="44ABCBED" w:rsidR="00F012EA" w:rsidRPr="001D48C3" w:rsidRDefault="00A40494" w:rsidP="00F012EA">
      <w:pPr>
        <w:pStyle w:val="SingleParagraph"/>
      </w:pPr>
      <w:r w:rsidRPr="001D48C3">
        <w:t>May 2014</w:t>
      </w:r>
    </w:p>
    <w:p w14:paraId="3B68F421" w14:textId="77777777" w:rsidR="00F012EA" w:rsidRPr="001D48C3" w:rsidRDefault="00F012EA" w:rsidP="00F012EA">
      <w:pPr>
        <w:pStyle w:val="Heading1"/>
      </w:pPr>
      <w:r w:rsidRPr="001D48C3">
        <w:t>Abstract</w:t>
      </w:r>
    </w:p>
    <w:p w14:paraId="446A6F14" w14:textId="2CC265EC" w:rsidR="00F012EA" w:rsidRPr="001D48C3" w:rsidRDefault="002E14A2" w:rsidP="002E14A2">
      <w:r w:rsidRPr="001D48C3">
        <w:t>Treasury</w:t>
      </w:r>
      <w:r w:rsidR="001D5BF5">
        <w:t>’</w:t>
      </w:r>
      <w:r w:rsidRPr="001D48C3">
        <w:t xml:space="preserve">s forecasting framework has evolved over the </w:t>
      </w:r>
      <w:r w:rsidR="00883EE8" w:rsidRPr="001D48C3">
        <w:t>p</w:t>
      </w:r>
      <w:r w:rsidRPr="001D48C3">
        <w:t xml:space="preserve">ast 21 years from the outlook for a single financial year to the outlook for the Australian economy 40 years ahead for intergenerational analysis. A constant through this evolution has been the sharp distinction between the methodologies </w:t>
      </w:r>
      <w:r w:rsidR="00BF26AC" w:rsidRPr="001D48C3">
        <w:t xml:space="preserve">used for </w:t>
      </w:r>
      <w:r w:rsidRPr="001D48C3">
        <w:t>near</w:t>
      </w:r>
      <w:r w:rsidR="001D5BF5">
        <w:noBreakHyphen/>
      </w:r>
      <w:r w:rsidRPr="001D48C3">
        <w:t xml:space="preserve"> and longer</w:t>
      </w:r>
      <w:r w:rsidR="001D5BF5">
        <w:noBreakHyphen/>
      </w:r>
      <w:r w:rsidRPr="001D48C3">
        <w:t xml:space="preserve">term forecasts. </w:t>
      </w:r>
      <w:r w:rsidR="00BF26AC" w:rsidRPr="001D48C3">
        <w:t xml:space="preserve">The economic estimates </w:t>
      </w:r>
      <w:r w:rsidRPr="001D48C3">
        <w:t>underlying Australian Government fiscal projections divide the forecast horizon into two distinct periods: the near</w:t>
      </w:r>
      <w:r w:rsidR="001D5BF5">
        <w:noBreakHyphen/>
      </w:r>
      <w:r w:rsidRPr="001D48C3">
        <w:t>term forecast period which covers the first two years beyond the current financial year; and the longer</w:t>
      </w:r>
      <w:r w:rsidR="001D5BF5">
        <w:noBreakHyphen/>
      </w:r>
      <w:r w:rsidRPr="001D48C3">
        <w:t xml:space="preserve">term projection period which includes the last two years of the forward estimates, and up to 36 </w:t>
      </w:r>
      <w:r w:rsidR="00BF26AC" w:rsidRPr="001D48C3">
        <w:t xml:space="preserve">more </w:t>
      </w:r>
      <w:r w:rsidRPr="001D48C3">
        <w:t xml:space="preserve">years for intergenerational analysis. </w:t>
      </w:r>
      <w:r w:rsidR="00BF26AC" w:rsidRPr="001D48C3">
        <w:t xml:space="preserve">The economic estimates </w:t>
      </w:r>
      <w:r w:rsidRPr="001D48C3">
        <w:t>over the forecast period are based on a range of short</w:t>
      </w:r>
      <w:r w:rsidR="001D5BF5">
        <w:noBreakHyphen/>
      </w:r>
      <w:r w:rsidRPr="001D48C3">
        <w:t xml:space="preserve">run forecasting methodologies, while </w:t>
      </w:r>
      <w:r w:rsidR="00BF26AC" w:rsidRPr="001D48C3">
        <w:t xml:space="preserve">those </w:t>
      </w:r>
      <w:r w:rsidRPr="001D48C3">
        <w:t>over the projection period are based on medium</w:t>
      </w:r>
      <w:r w:rsidR="001D5BF5">
        <w:noBreakHyphen/>
      </w:r>
      <w:r w:rsidRPr="001D48C3">
        <w:t xml:space="preserve"> to long</w:t>
      </w:r>
      <w:r w:rsidR="001D5BF5">
        <w:noBreakHyphen/>
      </w:r>
      <w:r w:rsidRPr="001D48C3">
        <w:t>run rules. Treasury routinely assesses medium</w:t>
      </w:r>
      <w:r w:rsidR="001D5BF5">
        <w:noBreakHyphen/>
      </w:r>
      <w:r w:rsidRPr="001D48C3">
        <w:t xml:space="preserve"> to long</w:t>
      </w:r>
      <w:r w:rsidR="001D5BF5">
        <w:noBreakHyphen/>
      </w:r>
      <w:r w:rsidRPr="001D48C3">
        <w:t xml:space="preserve">run projection rules in light of new data, improved modelling techniques and structural changes to the economy. The measured cyclical weakness of recent years calls for an enhancement to the existing trend growth </w:t>
      </w:r>
      <w:r w:rsidR="00FF1064" w:rsidRPr="001D48C3">
        <w:t xml:space="preserve">rate </w:t>
      </w:r>
      <w:r w:rsidR="000026DD" w:rsidRPr="001D48C3">
        <w:t xml:space="preserve">rules, which recognises </w:t>
      </w:r>
      <w:r w:rsidR="0032615B" w:rsidRPr="001D48C3">
        <w:t xml:space="preserve">the need for </w:t>
      </w:r>
      <w:r w:rsidR="000026DD" w:rsidRPr="001D48C3">
        <w:t xml:space="preserve">an </w:t>
      </w:r>
      <w:r w:rsidRPr="001D48C3">
        <w:t xml:space="preserve">adjustment period over which the economy transitions from a cyclical high or low to its potential level of output. Working towards that end, this paper details changes to the projection methodology that overcome the cyclical limitations of the existing framework. </w:t>
      </w:r>
      <w:r w:rsidR="003F42F1" w:rsidRPr="003F42F1">
        <w:t>Applying these methodological changes to the economic estimates in the 2014</w:t>
      </w:r>
      <w:r w:rsidR="009215E1">
        <w:noBreakHyphen/>
      </w:r>
      <w:r w:rsidR="003F42F1" w:rsidRPr="003F42F1">
        <w:t xml:space="preserve">15 Budget </w:t>
      </w:r>
      <w:r w:rsidR="00FA2680">
        <w:t>leads to</w:t>
      </w:r>
      <w:r w:rsidR="00FA2680" w:rsidRPr="003F42F1">
        <w:t xml:space="preserve"> </w:t>
      </w:r>
      <w:r w:rsidR="003F42F1" w:rsidRPr="003F42F1">
        <w:t>a slight improvement in the Underlying Cash Balance of $</w:t>
      </w:r>
      <w:r w:rsidR="00F94511">
        <w:t xml:space="preserve">0.9 </w:t>
      </w:r>
      <w:r w:rsidR="003F42F1" w:rsidRPr="003F42F1">
        <w:t>billion (0.</w:t>
      </w:r>
      <w:r w:rsidR="00F94511">
        <w:t>05</w:t>
      </w:r>
      <w:r w:rsidR="003F42F1" w:rsidRPr="003F42F1">
        <w:t xml:space="preserve"> per cent of GDP) in 2017</w:t>
      </w:r>
      <w:r w:rsidR="009215E1">
        <w:noBreakHyphen/>
      </w:r>
      <w:r w:rsidR="003F42F1" w:rsidRPr="003F42F1">
        <w:t>18 and $</w:t>
      </w:r>
      <w:r w:rsidR="00F94511">
        <w:t>3.4</w:t>
      </w:r>
      <w:r w:rsidR="004212E3">
        <w:t> </w:t>
      </w:r>
      <w:r w:rsidR="003F42F1" w:rsidRPr="003F42F1">
        <w:t>billion (0.</w:t>
      </w:r>
      <w:r w:rsidR="00F94511">
        <w:t>12</w:t>
      </w:r>
      <w:r w:rsidR="003F42F1" w:rsidRPr="003F42F1">
        <w:t xml:space="preserve"> per cent of GDP) in 2024</w:t>
      </w:r>
      <w:r w:rsidR="009215E1">
        <w:noBreakHyphen/>
      </w:r>
      <w:r w:rsidR="003F42F1" w:rsidRPr="003F42F1">
        <w:t>25.</w:t>
      </w:r>
    </w:p>
    <w:p w14:paraId="42342AFB" w14:textId="77777777" w:rsidR="00F012EA" w:rsidRPr="001D48C3" w:rsidRDefault="00F012EA" w:rsidP="00F012EA">
      <w:pPr>
        <w:pStyle w:val="SingleParagraph"/>
      </w:pPr>
      <w:r w:rsidRPr="001D48C3">
        <w:t xml:space="preserve">JEL Classification Numbers: </w:t>
      </w:r>
      <w:r w:rsidR="000611D0" w:rsidRPr="001D48C3">
        <w:t>E30</w:t>
      </w:r>
      <w:r w:rsidRPr="001D48C3">
        <w:t xml:space="preserve">, </w:t>
      </w:r>
      <w:r w:rsidR="000611D0" w:rsidRPr="001D48C3">
        <w:t>E66</w:t>
      </w:r>
      <w:r w:rsidRPr="001D48C3">
        <w:t xml:space="preserve">, </w:t>
      </w:r>
      <w:r w:rsidR="000611D0" w:rsidRPr="001D48C3">
        <w:t>H68</w:t>
      </w:r>
    </w:p>
    <w:p w14:paraId="6661BB6B" w14:textId="77777777" w:rsidR="00F012EA" w:rsidRPr="001D48C3" w:rsidRDefault="00F012EA" w:rsidP="00F012EA">
      <w:pPr>
        <w:pStyle w:val="SingleParagraph"/>
      </w:pPr>
      <w:r w:rsidRPr="001D48C3">
        <w:t xml:space="preserve">Keywords: </w:t>
      </w:r>
      <w:r w:rsidR="000611D0" w:rsidRPr="001D48C3">
        <w:t>potential output, NAIRU, fiscal budget</w:t>
      </w:r>
    </w:p>
    <w:p w14:paraId="4E5FE8B6" w14:textId="77777777" w:rsidR="00F012EA" w:rsidRPr="001D48C3" w:rsidRDefault="00F012EA" w:rsidP="00F012EA">
      <w:pPr>
        <w:pStyle w:val="SingleParagraph"/>
      </w:pPr>
    </w:p>
    <w:p w14:paraId="45D60C01" w14:textId="1968F610" w:rsidR="009F2851" w:rsidRDefault="007236C2" w:rsidP="001D5BF5">
      <w:pPr>
        <w:tabs>
          <w:tab w:val="left" w:pos="5103"/>
        </w:tabs>
        <w:spacing w:after="0" w:line="240" w:lineRule="auto"/>
      </w:pPr>
      <w:r w:rsidRPr="001D48C3">
        <w:t>Jared Bullen, Jacinta Greenwell,</w:t>
      </w:r>
      <w:r w:rsidR="009F2851">
        <w:tab/>
        <w:t>Michael Kouparitsas</w:t>
      </w:r>
    </w:p>
    <w:p w14:paraId="506F7D16" w14:textId="2CA99182" w:rsidR="007236C2" w:rsidRPr="001D48C3" w:rsidRDefault="009F2851" w:rsidP="001D5BF5">
      <w:pPr>
        <w:tabs>
          <w:tab w:val="left" w:pos="5103"/>
        </w:tabs>
        <w:spacing w:after="0" w:line="240" w:lineRule="auto"/>
      </w:pPr>
      <w:r w:rsidRPr="001D48C3">
        <w:t>David Muller</w:t>
      </w:r>
      <w:r>
        <w:t xml:space="preserve"> and</w:t>
      </w:r>
      <w:r w:rsidRPr="001D48C3" w:rsidDel="009F2851">
        <w:t xml:space="preserve"> </w:t>
      </w:r>
      <w:r w:rsidR="007236C2" w:rsidRPr="001D48C3">
        <w:t>Rhett Wilcox</w:t>
      </w:r>
      <w:r>
        <w:tab/>
        <w:t>Macroeconomic Modelling and Policy</w:t>
      </w:r>
    </w:p>
    <w:p w14:paraId="601E8F34" w14:textId="003FEBAB" w:rsidR="007236C2" w:rsidRPr="001D48C3" w:rsidRDefault="009F2851" w:rsidP="001D5BF5">
      <w:pPr>
        <w:tabs>
          <w:tab w:val="left" w:pos="5103"/>
        </w:tabs>
        <w:spacing w:after="0" w:line="240" w:lineRule="auto"/>
      </w:pPr>
      <w:r>
        <w:t>Macroeconomic Conditions</w:t>
      </w:r>
      <w:r w:rsidR="007236C2" w:rsidRPr="001D48C3">
        <w:t xml:space="preserve"> Division</w:t>
      </w:r>
      <w:r>
        <w:tab/>
        <w:t>Division</w:t>
      </w:r>
    </w:p>
    <w:p w14:paraId="0F68B268" w14:textId="0AA2DE82" w:rsidR="007236C2" w:rsidRPr="001D48C3" w:rsidRDefault="007236C2" w:rsidP="001D5BF5">
      <w:pPr>
        <w:tabs>
          <w:tab w:val="left" w:pos="5103"/>
        </w:tabs>
        <w:spacing w:after="0" w:line="240" w:lineRule="auto"/>
      </w:pPr>
      <w:r w:rsidRPr="001D48C3">
        <w:t>Macroeconomic Group</w:t>
      </w:r>
      <w:r w:rsidR="009F2851">
        <w:tab/>
      </w:r>
      <w:r w:rsidR="009F2851" w:rsidRPr="001D48C3">
        <w:t>Macroeconomic Group</w:t>
      </w:r>
    </w:p>
    <w:p w14:paraId="3E910491" w14:textId="2B0D89B2" w:rsidR="007236C2" w:rsidRPr="001D48C3" w:rsidRDefault="007236C2" w:rsidP="001D5BF5">
      <w:pPr>
        <w:tabs>
          <w:tab w:val="left" w:pos="5103"/>
        </w:tabs>
        <w:spacing w:after="0" w:line="240" w:lineRule="auto"/>
      </w:pPr>
      <w:r w:rsidRPr="001D48C3">
        <w:t>The Treasury</w:t>
      </w:r>
      <w:r w:rsidR="009F2851">
        <w:tab/>
        <w:t>The Treasury</w:t>
      </w:r>
    </w:p>
    <w:p w14:paraId="5C68FEC6" w14:textId="558AAF0C" w:rsidR="007236C2" w:rsidRPr="001D48C3" w:rsidRDefault="007236C2" w:rsidP="001D5BF5">
      <w:pPr>
        <w:tabs>
          <w:tab w:val="left" w:pos="5103"/>
        </w:tabs>
        <w:spacing w:after="0" w:line="240" w:lineRule="auto"/>
      </w:pPr>
      <w:r w:rsidRPr="001D48C3">
        <w:t>Langton Crescent</w:t>
      </w:r>
      <w:r w:rsidR="009F2851">
        <w:tab/>
        <w:t>Langton Crescent</w:t>
      </w:r>
    </w:p>
    <w:p w14:paraId="4302D270" w14:textId="3CD5EC08" w:rsidR="007236C2" w:rsidRPr="001D48C3" w:rsidRDefault="007236C2" w:rsidP="001D5BF5">
      <w:pPr>
        <w:tabs>
          <w:tab w:val="left" w:pos="5103"/>
        </w:tabs>
        <w:spacing w:after="0" w:line="240" w:lineRule="auto"/>
      </w:pPr>
      <w:r w:rsidRPr="001D48C3">
        <w:t>Parkes  ACT  2600</w:t>
      </w:r>
      <w:r w:rsidR="009F2851">
        <w:tab/>
        <w:t>Parkes  ACT  2600</w:t>
      </w:r>
    </w:p>
    <w:p w14:paraId="3AECCBD2" w14:textId="77777777" w:rsidR="007236C2" w:rsidRPr="001D48C3" w:rsidRDefault="007236C2" w:rsidP="007236C2">
      <w:pPr>
        <w:spacing w:after="0"/>
      </w:pPr>
    </w:p>
    <w:p w14:paraId="2954007F" w14:textId="294FC693" w:rsidR="007236C2" w:rsidRPr="001D48C3" w:rsidRDefault="007236C2" w:rsidP="007236C2">
      <w:pPr>
        <w:spacing w:after="0"/>
      </w:pPr>
      <w:r w:rsidRPr="001D48C3">
        <w:t>John O</w:t>
      </w:r>
      <w:r w:rsidR="001D5BF5">
        <w:t>’</w:t>
      </w:r>
      <w:r w:rsidRPr="001D48C3">
        <w:t>Leary</w:t>
      </w:r>
    </w:p>
    <w:p w14:paraId="16A3CD60" w14:textId="77777777" w:rsidR="007236C2" w:rsidRPr="001D48C3" w:rsidRDefault="007236C2" w:rsidP="007236C2">
      <w:pPr>
        <w:spacing w:after="0"/>
      </w:pPr>
      <w:r w:rsidRPr="001D48C3">
        <w:t>Tax Analysis Division</w:t>
      </w:r>
    </w:p>
    <w:p w14:paraId="250A890F" w14:textId="77777777" w:rsidR="007236C2" w:rsidRPr="001D48C3" w:rsidRDefault="007236C2" w:rsidP="007236C2">
      <w:pPr>
        <w:spacing w:after="0"/>
      </w:pPr>
      <w:r w:rsidRPr="001D48C3">
        <w:t>Revenue Group</w:t>
      </w:r>
    </w:p>
    <w:p w14:paraId="2038CC3C" w14:textId="77777777" w:rsidR="007236C2" w:rsidRPr="001D48C3" w:rsidRDefault="007236C2" w:rsidP="007236C2">
      <w:pPr>
        <w:spacing w:after="0"/>
      </w:pPr>
      <w:r w:rsidRPr="001D48C3">
        <w:t>The Treasury</w:t>
      </w:r>
    </w:p>
    <w:p w14:paraId="3DFFCDB9" w14:textId="77777777" w:rsidR="007236C2" w:rsidRPr="001D48C3" w:rsidRDefault="007236C2" w:rsidP="007236C2">
      <w:pPr>
        <w:spacing w:after="0"/>
      </w:pPr>
      <w:r w:rsidRPr="001D48C3">
        <w:t>Langton Crescent</w:t>
      </w:r>
    </w:p>
    <w:p w14:paraId="7106CF2E" w14:textId="5D0E0BEA" w:rsidR="001A6BA3" w:rsidRPr="001D48C3" w:rsidRDefault="007236C2">
      <w:pPr>
        <w:rPr>
          <w:rFonts w:ascii="Arial Bold" w:hAnsi="Arial Bold"/>
          <w:b/>
          <w:sz w:val="24"/>
          <w:szCs w:val="24"/>
        </w:rPr>
      </w:pPr>
      <w:r w:rsidRPr="001D48C3">
        <w:t>Parkes  ACT  2600</w:t>
      </w:r>
      <w:r w:rsidR="001A6BA3" w:rsidRPr="001D48C3">
        <w:rPr>
          <w:rFonts w:ascii="Arial Bold" w:hAnsi="Arial Bold"/>
          <w:b/>
          <w:sz w:val="24"/>
          <w:szCs w:val="24"/>
        </w:rPr>
        <w:br w:type="page"/>
      </w:r>
    </w:p>
    <w:p w14:paraId="2D471B10" w14:textId="2E3B45C6" w:rsidR="007236C2" w:rsidRPr="001D48C3" w:rsidRDefault="007236C2" w:rsidP="001D48C3">
      <w:pPr>
        <w:pStyle w:val="Heading2NotNumbered"/>
      </w:pPr>
      <w:r w:rsidRPr="001D48C3">
        <w:lastRenderedPageBreak/>
        <w:t>Secretary</w:t>
      </w:r>
      <w:r w:rsidR="001D5BF5">
        <w:t>’</w:t>
      </w:r>
      <w:r w:rsidRPr="001D48C3">
        <w:t>s foreword</w:t>
      </w:r>
    </w:p>
    <w:p w14:paraId="1BE5F853" w14:textId="4EEC823E" w:rsidR="00885467" w:rsidRPr="001D48C3" w:rsidRDefault="00885467" w:rsidP="00885467">
      <w:r w:rsidRPr="001D48C3">
        <w:t>Nearly twenty</w:t>
      </w:r>
      <w:r w:rsidR="001D5BF5">
        <w:noBreakHyphen/>
      </w:r>
      <w:r w:rsidRPr="001D48C3">
        <w:t>one years ago, the release of the 1993</w:t>
      </w:r>
      <w:r w:rsidR="001D5BF5">
        <w:noBreakHyphen/>
      </w:r>
      <w:r w:rsidRPr="001D48C3">
        <w:t xml:space="preserve">94 Commonwealth budget saw the first </w:t>
      </w:r>
      <w:r w:rsidR="00FC5BC4" w:rsidRPr="001D48C3">
        <w:t>extension of</w:t>
      </w:r>
      <w:r w:rsidRPr="001D48C3">
        <w:t xml:space="preserve"> economic estimates beyond the budget year. These additional estimates, based on medium term economic assumptions, underpinned more informative estimates of taxation revenue and the Government</w:t>
      </w:r>
      <w:r w:rsidR="001D5BF5">
        <w:t>’</w:t>
      </w:r>
      <w:r w:rsidRPr="001D48C3">
        <w:t xml:space="preserve">s budget balance than had been provided </w:t>
      </w:r>
      <w:r w:rsidR="00FC5BC4" w:rsidRPr="001D48C3">
        <w:t>prior to that date</w:t>
      </w:r>
      <w:r w:rsidRPr="001D48C3">
        <w:t xml:space="preserve">. </w:t>
      </w:r>
    </w:p>
    <w:p w14:paraId="607454E1" w14:textId="562017F8" w:rsidR="00885467" w:rsidRPr="001D48C3" w:rsidRDefault="00885467" w:rsidP="00885467">
      <w:r w:rsidRPr="001D48C3">
        <w:t xml:space="preserve">This change was a manifestation of the extraordinary circumstances of the time; the Australian economy was </w:t>
      </w:r>
      <w:r w:rsidR="00AD26B7" w:rsidRPr="001D48C3">
        <w:t>emerging from</w:t>
      </w:r>
      <w:r w:rsidRPr="001D48C3">
        <w:t xml:space="preserve"> recession</w:t>
      </w:r>
      <w:r w:rsidR="00FC5BC4" w:rsidRPr="001D48C3">
        <w:t>, activity levels were well below potential</w:t>
      </w:r>
      <w:r w:rsidRPr="001D48C3">
        <w:t xml:space="preserve"> and the budget deficit had reached four per cent of GDP. </w:t>
      </w:r>
      <w:r w:rsidR="00AD26B7" w:rsidRPr="001D48C3">
        <w:t>To reach an infor</w:t>
      </w:r>
      <w:r w:rsidR="008674D4" w:rsidRPr="001D48C3">
        <w:t>med</w:t>
      </w:r>
      <w:r w:rsidR="00AD26B7" w:rsidRPr="001D48C3">
        <w:t xml:space="preserve"> </w:t>
      </w:r>
      <w:r w:rsidRPr="001D48C3">
        <w:t xml:space="preserve">view </w:t>
      </w:r>
      <w:r w:rsidR="00AD26B7" w:rsidRPr="001D48C3">
        <w:t xml:space="preserve">about </w:t>
      </w:r>
      <w:r w:rsidRPr="001D48C3">
        <w:t xml:space="preserve">longer term fiscal sustainability required an assessment of </w:t>
      </w:r>
      <w:r w:rsidR="00FC5BC4" w:rsidRPr="001D48C3">
        <w:t xml:space="preserve">how </w:t>
      </w:r>
      <w:r w:rsidRPr="001D48C3">
        <w:t xml:space="preserve">the economy </w:t>
      </w:r>
      <w:r w:rsidR="00FC5BC4" w:rsidRPr="001D48C3">
        <w:t>might evolve</w:t>
      </w:r>
      <w:r w:rsidRPr="001D48C3">
        <w:t xml:space="preserve"> beyond the near</w:t>
      </w:r>
      <w:r w:rsidR="001D5BF5">
        <w:noBreakHyphen/>
      </w:r>
      <w:r w:rsidRPr="001D48C3">
        <w:t>term forecasts.</w:t>
      </w:r>
    </w:p>
    <w:p w14:paraId="69E91593" w14:textId="4F4C0EE2" w:rsidR="00885467" w:rsidRPr="001D48C3" w:rsidRDefault="00885467" w:rsidP="00885467">
      <w:r w:rsidRPr="001D48C3">
        <w:t>Treasury</w:t>
      </w:r>
      <w:r w:rsidR="001D5BF5">
        <w:t>’</w:t>
      </w:r>
      <w:r w:rsidRPr="001D48C3">
        <w:t xml:space="preserve">s forecasting process and methodologies have evolved substantially since then, but a constant has been the separation of the estimates horizon between </w:t>
      </w:r>
      <w:r w:rsidR="00AD26B7" w:rsidRPr="001D48C3">
        <w:t>near</w:t>
      </w:r>
      <w:r w:rsidR="001D5BF5">
        <w:noBreakHyphen/>
      </w:r>
      <w:r w:rsidR="00AD26B7" w:rsidRPr="001D48C3">
        <w:t xml:space="preserve">term </w:t>
      </w:r>
      <w:r w:rsidRPr="001D48C3">
        <w:t>forecast</w:t>
      </w:r>
      <w:r w:rsidR="00AD26B7" w:rsidRPr="001D48C3">
        <w:t>s</w:t>
      </w:r>
      <w:r w:rsidRPr="001D48C3">
        <w:t xml:space="preserve"> and </w:t>
      </w:r>
      <w:r w:rsidR="00AD26B7" w:rsidRPr="001D48C3">
        <w:t>longer</w:t>
      </w:r>
      <w:r w:rsidR="001D5BF5">
        <w:noBreakHyphen/>
      </w:r>
      <w:r w:rsidR="00AD26B7" w:rsidRPr="001D48C3">
        <w:t xml:space="preserve">term </w:t>
      </w:r>
      <w:r w:rsidRPr="001D48C3">
        <w:t>projection</w:t>
      </w:r>
      <w:r w:rsidR="00AD26B7" w:rsidRPr="001D48C3">
        <w:t>s</w:t>
      </w:r>
      <w:r w:rsidRPr="001D48C3">
        <w:t xml:space="preserve">. While the former take into account cyclical movements in the economy, the latter has been </w:t>
      </w:r>
      <w:r w:rsidR="00AD26B7" w:rsidRPr="001D48C3">
        <w:t xml:space="preserve">largely </w:t>
      </w:r>
      <w:r w:rsidRPr="001D48C3">
        <w:t xml:space="preserve">underpinned by assumptions that the economy </w:t>
      </w:r>
      <w:r w:rsidR="00AD26B7" w:rsidRPr="001D48C3">
        <w:t>is</w:t>
      </w:r>
      <w:r w:rsidRPr="001D48C3">
        <w:t xml:space="preserve"> </w:t>
      </w:r>
      <w:r w:rsidR="008674D4" w:rsidRPr="001D48C3">
        <w:t>at</w:t>
      </w:r>
      <w:r w:rsidRPr="001D48C3">
        <w:t xml:space="preserve"> its long</w:t>
      </w:r>
      <w:r w:rsidR="001D5BF5">
        <w:noBreakHyphen/>
      </w:r>
      <w:r w:rsidRPr="001D48C3">
        <w:t xml:space="preserve">run equilibrium. </w:t>
      </w:r>
    </w:p>
    <w:p w14:paraId="2DEDA070" w14:textId="4C523634" w:rsidR="00885467" w:rsidRPr="001D48C3" w:rsidRDefault="00885467" w:rsidP="00885467">
      <w:r w:rsidRPr="001D48C3">
        <w:t>The economy can</w:t>
      </w:r>
      <w:r w:rsidR="00FC5BC4" w:rsidRPr="001D48C3">
        <w:t xml:space="preserve"> </w:t>
      </w:r>
      <w:r w:rsidRPr="001D48C3">
        <w:t xml:space="preserve">diverge far from </w:t>
      </w:r>
      <w:r w:rsidR="00FC5BC4" w:rsidRPr="001D48C3">
        <w:t>equilibrium, often for sustained periods of time</w:t>
      </w:r>
      <w:r w:rsidRPr="001D48C3">
        <w:t>, with two key external shocks</w:t>
      </w:r>
      <w:r w:rsidR="00073551" w:rsidRPr="001D48C3">
        <w:t xml:space="preserve"> — </w:t>
      </w:r>
      <w:r w:rsidRPr="001D48C3">
        <w:t>the terms of trade boom and the global financial crisis</w:t>
      </w:r>
      <w:r w:rsidR="00073551" w:rsidRPr="001D48C3">
        <w:t xml:space="preserve"> — </w:t>
      </w:r>
      <w:r w:rsidRPr="001D48C3">
        <w:t xml:space="preserve">being recent causes. </w:t>
      </w:r>
      <w:r w:rsidR="00FC5BC4" w:rsidRPr="001D48C3">
        <w:t>During much of the 1990s and the first years of the 2000s, it was reasonable to assume the economy would be close to equilibrium in the near future.</w:t>
      </w:r>
    </w:p>
    <w:p w14:paraId="1030C215" w14:textId="4E293713" w:rsidR="00885467" w:rsidRPr="001D48C3" w:rsidRDefault="00885467" w:rsidP="00885467">
      <w:r w:rsidRPr="001D48C3">
        <w:t xml:space="preserve">However, these assumptions </w:t>
      </w:r>
      <w:r w:rsidR="00AD26B7" w:rsidRPr="001D48C3">
        <w:t xml:space="preserve">need to be </w:t>
      </w:r>
      <w:r w:rsidRPr="001D48C3">
        <w:t xml:space="preserve">questioned and modified </w:t>
      </w:r>
      <w:r w:rsidR="00A4156A" w:rsidRPr="001D48C3">
        <w:t>when they become unrealistic. A </w:t>
      </w:r>
      <w:r w:rsidRPr="001D48C3">
        <w:t>particularly relevant scenario</w:t>
      </w:r>
      <w:r w:rsidR="00073551" w:rsidRPr="001D48C3">
        <w:t xml:space="preserve"> — </w:t>
      </w:r>
      <w:r w:rsidRPr="001D48C3">
        <w:t>one which was discussed at</w:t>
      </w:r>
      <w:r w:rsidR="001D5BF5">
        <w:noBreakHyphen/>
      </w:r>
      <w:r w:rsidRPr="001D48C3">
        <w:t xml:space="preserve">length </w:t>
      </w:r>
      <w:r w:rsidR="00AD26B7" w:rsidRPr="001D48C3">
        <w:t xml:space="preserve">at </w:t>
      </w:r>
      <w:r w:rsidR="0098360A" w:rsidRPr="001D48C3">
        <w:t>the Senate Economics Legislative Committee</w:t>
      </w:r>
      <w:r w:rsidR="00073551" w:rsidRPr="001D48C3">
        <w:t xml:space="preserve"> — </w:t>
      </w:r>
      <w:r w:rsidR="0098360A" w:rsidRPr="001D48C3">
        <w:t>Treasury Portfolio</w:t>
      </w:r>
      <w:r w:rsidRPr="001D48C3">
        <w:t xml:space="preserve"> in February </w:t>
      </w:r>
      <w:r w:rsidR="00FC5BC4" w:rsidRPr="001D48C3">
        <w:t>2014</w:t>
      </w:r>
      <w:r w:rsidR="00073551" w:rsidRPr="001D48C3">
        <w:t xml:space="preserve"> — </w:t>
      </w:r>
      <w:r w:rsidRPr="001D48C3">
        <w:t>is when, at the end of the forecast period, the economy is some distance from its long</w:t>
      </w:r>
      <w:r w:rsidR="001D5BF5">
        <w:noBreakHyphen/>
      </w:r>
      <w:r w:rsidRPr="001D48C3">
        <w:t>run equilibrium.</w:t>
      </w:r>
      <w:r w:rsidR="00B47951" w:rsidRPr="001D48C3">
        <w:rPr>
          <w:rStyle w:val="FootnoteReference"/>
        </w:rPr>
        <w:footnoteReference w:id="3"/>
      </w:r>
      <w:r w:rsidRPr="001D48C3">
        <w:t xml:space="preserve"> </w:t>
      </w:r>
    </w:p>
    <w:p w14:paraId="3992477E" w14:textId="75F6B68E" w:rsidR="00885467" w:rsidRPr="001D48C3" w:rsidRDefault="00885467" w:rsidP="00885467">
      <w:r w:rsidRPr="001D48C3">
        <w:t xml:space="preserve">An important early example of this </w:t>
      </w:r>
      <w:r w:rsidR="00FC5BC4" w:rsidRPr="001D48C3">
        <w:t xml:space="preserve">reconsideration </w:t>
      </w:r>
      <w:r w:rsidR="003F42F1">
        <w:t>involved</w:t>
      </w:r>
      <w:r w:rsidR="00FC5BC4" w:rsidRPr="001D48C3">
        <w:t xml:space="preserve"> </w:t>
      </w:r>
      <w:r w:rsidRPr="001D48C3">
        <w:t>Treasury</w:t>
      </w:r>
      <w:r w:rsidR="001D5BF5">
        <w:t>’</w:t>
      </w:r>
      <w:r w:rsidRPr="001D48C3">
        <w:t>s medium</w:t>
      </w:r>
      <w:r w:rsidR="001D5BF5">
        <w:noBreakHyphen/>
      </w:r>
      <w:r w:rsidRPr="001D48C3">
        <w:t>term assumptions about the terms of trade, first introduced in the 2005</w:t>
      </w:r>
      <w:r w:rsidR="001D5BF5">
        <w:noBreakHyphen/>
      </w:r>
      <w:r w:rsidRPr="001D48C3">
        <w:t>06 Budget</w:t>
      </w:r>
      <w:r w:rsidR="00A633A3" w:rsidRPr="001D48C3">
        <w:t>,</w:t>
      </w:r>
      <w:r w:rsidRPr="001D48C3">
        <w:t xml:space="preserve"> when the terms of trade had risen to a level viewed </w:t>
      </w:r>
      <w:r w:rsidR="00AD26B7" w:rsidRPr="001D48C3">
        <w:t xml:space="preserve">as </w:t>
      </w:r>
      <w:r w:rsidRPr="001D48C3">
        <w:t>unsustainable over the longer term</w:t>
      </w:r>
      <w:r w:rsidR="00BF26AC" w:rsidRPr="001D48C3">
        <w:t>. From that Budget, it was assumed that the terms of trade would fall significantly over the projection period, rather than remain unchanged, as had been assumed previously.</w:t>
      </w:r>
      <w:r w:rsidRPr="001D48C3">
        <w:t xml:space="preserve"> </w:t>
      </w:r>
      <w:r w:rsidR="00BF26AC" w:rsidRPr="001D48C3">
        <w:t xml:space="preserve">This </w:t>
      </w:r>
      <w:r w:rsidRPr="001D48C3">
        <w:t>assumption was modified further in the 2010</w:t>
      </w:r>
      <w:r w:rsidR="001D5BF5">
        <w:noBreakHyphen/>
      </w:r>
      <w:r w:rsidRPr="001D48C3">
        <w:t>11 Budget. Recent history includes two other important steps</w:t>
      </w:r>
      <w:r w:rsidR="00FC5BC4" w:rsidRPr="001D48C3">
        <w:t>.</w:t>
      </w:r>
    </w:p>
    <w:p w14:paraId="3BCD7887" w14:textId="14C6589B" w:rsidR="00885467" w:rsidRPr="001D48C3" w:rsidRDefault="00FC5BC4" w:rsidP="00797418">
      <w:r w:rsidRPr="001D48C3">
        <w:t>T</w:t>
      </w:r>
      <w:r w:rsidR="00885467" w:rsidRPr="001D48C3">
        <w:t>he 2013 PEFO</w:t>
      </w:r>
      <w:r w:rsidRPr="001D48C3">
        <w:t xml:space="preserve"> presented </w:t>
      </w:r>
      <w:r w:rsidR="00885467" w:rsidRPr="001D48C3">
        <w:t xml:space="preserve">an alternative projection </w:t>
      </w:r>
      <w:r w:rsidR="00BF26AC" w:rsidRPr="001D48C3">
        <w:t>assumption</w:t>
      </w:r>
      <w:r w:rsidRPr="001D48C3">
        <w:t xml:space="preserve"> showing </w:t>
      </w:r>
      <w:r w:rsidR="003F42F1">
        <w:t>a gradual</w:t>
      </w:r>
      <w:r w:rsidR="003F42F1" w:rsidRPr="001D48C3">
        <w:t xml:space="preserve"> </w:t>
      </w:r>
      <w:r w:rsidRPr="001D48C3">
        <w:t>closing of the output gap via</w:t>
      </w:r>
      <w:r w:rsidR="00BF26AC" w:rsidRPr="001D48C3">
        <w:t xml:space="preserve"> </w:t>
      </w:r>
      <w:r w:rsidR="00885467" w:rsidRPr="001D48C3">
        <w:t>above</w:t>
      </w:r>
      <w:r w:rsidR="001D5BF5">
        <w:noBreakHyphen/>
      </w:r>
      <w:r w:rsidR="00885467" w:rsidRPr="001D48C3">
        <w:t xml:space="preserve">trend growth </w:t>
      </w:r>
      <w:r w:rsidR="00BF26AC" w:rsidRPr="001D48C3">
        <w:t>and gradually falling unemployment</w:t>
      </w:r>
      <w:r w:rsidR="00885467" w:rsidRPr="001D48C3">
        <w:t xml:space="preserve">, recognising that the real economy would </w:t>
      </w:r>
      <w:r w:rsidRPr="001D48C3">
        <w:t xml:space="preserve">still </w:t>
      </w:r>
      <w:r w:rsidR="00885467" w:rsidRPr="001D48C3">
        <w:t>be operating well below potential by the end of the forecast period</w:t>
      </w:r>
      <w:r w:rsidR="00073551" w:rsidRPr="001D48C3">
        <w:t xml:space="preserve">. </w:t>
      </w:r>
    </w:p>
    <w:p w14:paraId="54959F05" w14:textId="3D014606" w:rsidR="00885467" w:rsidRPr="001D48C3" w:rsidRDefault="00885467" w:rsidP="00797418">
      <w:r w:rsidRPr="001D48C3">
        <w:t>Subsequently, the 2013</w:t>
      </w:r>
      <w:r w:rsidR="001D5BF5">
        <w:noBreakHyphen/>
      </w:r>
      <w:r w:rsidRPr="001D48C3">
        <w:t>14 MYEFO incorporated an interim assumption for the unemployment rate path and, recognising the importance of the production phase of the mining boom on global markets, a</w:t>
      </w:r>
      <w:r w:rsidR="00A76E2E">
        <w:t> </w:t>
      </w:r>
      <w:r w:rsidRPr="001D48C3">
        <w:t>new bottoms</w:t>
      </w:r>
      <w:r w:rsidR="001D5BF5">
        <w:noBreakHyphen/>
      </w:r>
      <w:r w:rsidRPr="001D48C3">
        <w:t>up projection methodology for the terms of trade.</w:t>
      </w:r>
    </w:p>
    <w:p w14:paraId="0B0263B4" w14:textId="047516AD" w:rsidR="00A436B8" w:rsidRPr="001D48C3" w:rsidRDefault="00A436B8" w:rsidP="00885467">
      <w:r w:rsidRPr="001D48C3">
        <w:t xml:space="preserve">As was discussed in MYEFO and </w:t>
      </w:r>
      <w:r w:rsidR="00EE0030" w:rsidRPr="001D48C3">
        <w:t>in</w:t>
      </w:r>
      <w:r w:rsidRPr="001D48C3">
        <w:t xml:space="preserve"> February 2014 Estimates testimony, these changes were interim steps in an evolving approach to preparing projections, with the expectation that a more comprehensive and consistent approach would be introduced at Budget 2014</w:t>
      </w:r>
      <w:r w:rsidR="001D5BF5">
        <w:noBreakHyphen/>
      </w:r>
      <w:r w:rsidRPr="001D48C3">
        <w:t>15.</w:t>
      </w:r>
    </w:p>
    <w:p w14:paraId="75B79E8B" w14:textId="11974A9A" w:rsidR="00885467" w:rsidRPr="001D48C3" w:rsidRDefault="00885467" w:rsidP="00885467">
      <w:r w:rsidRPr="001D48C3">
        <w:lastRenderedPageBreak/>
        <w:t xml:space="preserve">The framework presented in this working paper forms the next step in this evolution. It does so by providing updated estimates of potential output </w:t>
      </w:r>
      <w:r w:rsidR="00E401CB" w:rsidRPr="001D48C3">
        <w:t>based on supply</w:t>
      </w:r>
      <w:r w:rsidR="001D5BF5">
        <w:noBreakHyphen/>
      </w:r>
      <w:r w:rsidR="00E401CB" w:rsidRPr="001D48C3">
        <w:t>side analysis</w:t>
      </w:r>
      <w:r w:rsidRPr="001D48C3">
        <w:t>, and specifies the period over which the output gap closes and the path of economic adjustment required</w:t>
      </w:r>
      <w:r w:rsidR="00A436B8" w:rsidRPr="001D48C3">
        <w:t xml:space="preserve"> for this</w:t>
      </w:r>
      <w:r w:rsidRPr="001D48C3">
        <w:t xml:space="preserve"> to </w:t>
      </w:r>
      <w:r w:rsidR="00A436B8" w:rsidRPr="001D48C3">
        <w:t>be achieved</w:t>
      </w:r>
      <w:r w:rsidRPr="001D48C3">
        <w:t xml:space="preserve">. It therefore provides a more realistic </w:t>
      </w:r>
      <w:r w:rsidR="00E401CB" w:rsidRPr="001D48C3">
        <w:t xml:space="preserve">and internally consistent </w:t>
      </w:r>
      <w:r w:rsidRPr="001D48C3">
        <w:t xml:space="preserve">approach to closing output gaps than </w:t>
      </w:r>
      <w:r w:rsidR="00E401CB" w:rsidRPr="001D48C3">
        <w:t xml:space="preserve">was possible using </w:t>
      </w:r>
      <w:r w:rsidRPr="001D48C3">
        <w:t>previous methodologies.</w:t>
      </w:r>
    </w:p>
    <w:p w14:paraId="204A3681" w14:textId="2C644554" w:rsidR="00885467" w:rsidRPr="001D48C3" w:rsidRDefault="00885467" w:rsidP="00885467">
      <w:r w:rsidRPr="001D48C3">
        <w:t>The publication of this paper also reflects Treasury</w:t>
      </w:r>
      <w:r w:rsidR="001D5BF5">
        <w:t>’</w:t>
      </w:r>
      <w:r w:rsidRPr="001D48C3">
        <w:t xml:space="preserve">s </w:t>
      </w:r>
      <w:r w:rsidR="00E401CB" w:rsidRPr="001D48C3">
        <w:t xml:space="preserve">continuing </w:t>
      </w:r>
      <w:r w:rsidRPr="001D48C3">
        <w:t xml:space="preserve">commitment to </w:t>
      </w:r>
      <w:r w:rsidR="00E401CB" w:rsidRPr="001D48C3">
        <w:t xml:space="preserve">act on </w:t>
      </w:r>
      <w:r w:rsidRPr="001D48C3">
        <w:t xml:space="preserve">the recommendations of the 2012 Review of Treasury </w:t>
      </w:r>
      <w:r w:rsidR="00FD3723" w:rsidRPr="001D48C3">
        <w:t xml:space="preserve">Macroeconomic </w:t>
      </w:r>
      <w:r w:rsidRPr="001D48C3">
        <w:t xml:space="preserve">and Revenue Forecasting. In particular, it responds to recommendation </w:t>
      </w:r>
      <w:r w:rsidR="00FD3723" w:rsidRPr="001D48C3">
        <w:t>4</w:t>
      </w:r>
      <w:r w:rsidRPr="001D48C3">
        <w:t>, that:</w:t>
      </w:r>
    </w:p>
    <w:p w14:paraId="5A19BE04" w14:textId="7A7F8D07" w:rsidR="00885467" w:rsidRPr="001D48C3" w:rsidRDefault="00885467" w:rsidP="00A4156A">
      <w:pPr>
        <w:autoSpaceDE w:val="0"/>
        <w:autoSpaceDN w:val="0"/>
        <w:adjustRightInd w:val="0"/>
        <w:ind w:left="720"/>
        <w:rPr>
          <w:i/>
        </w:rPr>
      </w:pPr>
      <w:r w:rsidRPr="001D48C3">
        <w:rPr>
          <w:i/>
        </w:rPr>
        <w:t>Treasury should publish technical documentation that describes the data and the conceptual and econometric basis of models used for economic and revenue forecasting.</w:t>
      </w:r>
    </w:p>
    <w:p w14:paraId="289B8069" w14:textId="1389F56D" w:rsidR="00885467" w:rsidRPr="001D48C3" w:rsidRDefault="00E401CB" w:rsidP="00885467">
      <w:r w:rsidRPr="001D48C3">
        <w:t>T</w:t>
      </w:r>
      <w:r w:rsidR="00885467" w:rsidRPr="001D48C3">
        <w:t xml:space="preserve">he framework laid out in this paper </w:t>
      </w:r>
      <w:r w:rsidR="00BF26AC" w:rsidRPr="001D48C3">
        <w:t>continues</w:t>
      </w:r>
      <w:r w:rsidRPr="001D48C3">
        <w:t xml:space="preserve"> the process of ensuring that Treasury</w:t>
      </w:r>
      <w:r w:rsidR="001D5BF5">
        <w:t>’</w:t>
      </w:r>
      <w:r w:rsidRPr="001D48C3">
        <w:t xml:space="preserve">s forecasting and projection methodologies are up to date and fit for purpose. Looking ahead, these frameworks will continue to be examined to ensure that remains the case. </w:t>
      </w:r>
    </w:p>
    <w:p w14:paraId="709A17A1" w14:textId="77777777" w:rsidR="00885467" w:rsidRPr="001D48C3" w:rsidRDefault="00885467" w:rsidP="00885467"/>
    <w:p w14:paraId="6289735F" w14:textId="77777777" w:rsidR="00885467" w:rsidRPr="001D48C3" w:rsidRDefault="00885467" w:rsidP="00885467"/>
    <w:p w14:paraId="4E1BF554" w14:textId="77777777" w:rsidR="00885467" w:rsidRPr="001D48C3" w:rsidRDefault="00885467" w:rsidP="007D172B">
      <w:pPr>
        <w:spacing w:after="0"/>
      </w:pPr>
      <w:r w:rsidRPr="001D48C3">
        <w:t>Martin Parkinson</w:t>
      </w:r>
      <w:r w:rsidR="00E401CB" w:rsidRPr="001D48C3">
        <w:t xml:space="preserve"> PSM</w:t>
      </w:r>
    </w:p>
    <w:p w14:paraId="219F6DFC" w14:textId="77777777" w:rsidR="00E401CB" w:rsidRPr="001D48C3" w:rsidRDefault="00E401CB" w:rsidP="007D172B">
      <w:pPr>
        <w:spacing w:after="0"/>
      </w:pPr>
      <w:r w:rsidRPr="001D48C3">
        <w:t>Secretary to the Treasury</w:t>
      </w:r>
    </w:p>
    <w:p w14:paraId="7C4B278C" w14:textId="77777777" w:rsidR="001A6BA3" w:rsidRPr="001D48C3" w:rsidRDefault="001A6BA3" w:rsidP="00885467"/>
    <w:p w14:paraId="6A391F3E" w14:textId="77777777" w:rsidR="007236C2" w:rsidRPr="001D48C3" w:rsidRDefault="007236C2" w:rsidP="008627B1">
      <w:pPr>
        <w:rPr>
          <w:rFonts w:ascii="Arial Bold" w:hAnsi="Arial Bold"/>
          <w:b/>
          <w:smallCaps/>
          <w:color w:val="003157"/>
          <w:sz w:val="32"/>
        </w:rPr>
        <w:sectPr w:rsidR="007236C2" w:rsidRPr="001D48C3" w:rsidSect="007236C2">
          <w:pgSz w:w="11906" w:h="16838" w:code="9"/>
          <w:pgMar w:top="1418" w:right="1304" w:bottom="1418" w:left="1304" w:header="567" w:footer="567" w:gutter="0"/>
          <w:pgNumType w:fmt="lowerRoman"/>
          <w:cols w:space="708"/>
          <w:titlePg/>
          <w:docGrid w:linePitch="360"/>
        </w:sectPr>
      </w:pPr>
    </w:p>
    <w:p w14:paraId="2C707141" w14:textId="77777777" w:rsidR="00F012EA" w:rsidRPr="001D48C3" w:rsidRDefault="007236C2" w:rsidP="001D48C3">
      <w:pPr>
        <w:pStyle w:val="Heading2"/>
      </w:pPr>
      <w:r w:rsidRPr="001D48C3">
        <w:lastRenderedPageBreak/>
        <w:t>Introduction</w:t>
      </w:r>
    </w:p>
    <w:p w14:paraId="70B59B62" w14:textId="43CD626A" w:rsidR="0019607D" w:rsidRPr="001D48C3" w:rsidRDefault="006D542F" w:rsidP="007236C2">
      <w:r w:rsidRPr="001D48C3">
        <w:t>Treasury</w:t>
      </w:r>
      <w:r w:rsidR="001D5BF5">
        <w:t>’</w:t>
      </w:r>
      <w:r w:rsidRPr="001D48C3">
        <w:t xml:space="preserve">s forecasting framework has evolved over the last 21 years from the outlook for a single financial year to the outlook for the Australian economy </w:t>
      </w:r>
      <w:r w:rsidR="002425FE" w:rsidRPr="001D48C3">
        <w:t>40 years ahead for intergenerational analysis.</w:t>
      </w:r>
      <w:r w:rsidR="00B40DCD" w:rsidRPr="001D48C3">
        <w:t xml:space="preserve"> </w:t>
      </w:r>
      <w:r w:rsidR="00D43737" w:rsidRPr="001D48C3">
        <w:t xml:space="preserve">A constant through this evolution </w:t>
      </w:r>
      <w:r w:rsidR="00A76021" w:rsidRPr="001D48C3">
        <w:t xml:space="preserve">has been the sharp distinction </w:t>
      </w:r>
      <w:r w:rsidR="00D43737" w:rsidRPr="001D48C3">
        <w:t xml:space="preserve">between </w:t>
      </w:r>
      <w:r w:rsidR="00863B02" w:rsidRPr="001D48C3">
        <w:t xml:space="preserve">the </w:t>
      </w:r>
      <w:r w:rsidR="00D43737" w:rsidRPr="001D48C3">
        <w:t>methodologies underl</w:t>
      </w:r>
      <w:r w:rsidR="00A76021" w:rsidRPr="001D48C3">
        <w:t>y</w:t>
      </w:r>
      <w:r w:rsidR="00D43737" w:rsidRPr="001D48C3">
        <w:t>ing near</w:t>
      </w:r>
      <w:r w:rsidR="001D5BF5">
        <w:noBreakHyphen/>
      </w:r>
      <w:r w:rsidR="00D43737" w:rsidRPr="001D48C3">
        <w:t xml:space="preserve"> and longer</w:t>
      </w:r>
      <w:r w:rsidR="001D5BF5">
        <w:noBreakHyphen/>
      </w:r>
      <w:r w:rsidR="00D43737" w:rsidRPr="001D48C3">
        <w:t xml:space="preserve">term forecasts. </w:t>
      </w:r>
      <w:r w:rsidR="007236C2" w:rsidRPr="001D48C3">
        <w:t xml:space="preserve">Economic </w:t>
      </w:r>
      <w:r w:rsidR="00E9296B">
        <w:t>estimates</w:t>
      </w:r>
      <w:r w:rsidR="00E9296B" w:rsidRPr="001D48C3">
        <w:t xml:space="preserve"> </w:t>
      </w:r>
      <w:r w:rsidR="007236C2" w:rsidRPr="001D48C3">
        <w:t xml:space="preserve">underlying Australian Government fiscal projections divide </w:t>
      </w:r>
      <w:r w:rsidR="00B40DCD" w:rsidRPr="001D48C3">
        <w:t xml:space="preserve">the forecast horizon </w:t>
      </w:r>
      <w:r w:rsidR="007236C2" w:rsidRPr="001D48C3">
        <w:t>into two distinct periods: the</w:t>
      </w:r>
      <w:r w:rsidR="00D43737" w:rsidRPr="001D48C3">
        <w:t xml:space="preserve"> near</w:t>
      </w:r>
      <w:r w:rsidR="001D5BF5">
        <w:noBreakHyphen/>
      </w:r>
      <w:r w:rsidR="00D43737" w:rsidRPr="001D48C3">
        <w:t>term</w:t>
      </w:r>
      <w:r w:rsidR="007236C2" w:rsidRPr="001D48C3">
        <w:t xml:space="preserve"> </w:t>
      </w:r>
      <w:r w:rsidR="007236C2" w:rsidRPr="001D48C3">
        <w:rPr>
          <w:i/>
        </w:rPr>
        <w:t xml:space="preserve">forecast period </w:t>
      </w:r>
      <w:r w:rsidR="007236C2" w:rsidRPr="001D48C3">
        <w:t>which cover</w:t>
      </w:r>
      <w:r w:rsidR="008674D4" w:rsidRPr="001D48C3">
        <w:t>s</w:t>
      </w:r>
      <w:r w:rsidR="007236C2" w:rsidRPr="001D48C3">
        <w:t xml:space="preserve"> the first two years beyond the current financial year; and the</w:t>
      </w:r>
      <w:r w:rsidR="00D43737" w:rsidRPr="001D48C3">
        <w:t xml:space="preserve"> longer</w:t>
      </w:r>
      <w:r w:rsidR="001D5BF5">
        <w:noBreakHyphen/>
      </w:r>
      <w:r w:rsidR="00D43737" w:rsidRPr="001D48C3">
        <w:t>term</w:t>
      </w:r>
      <w:r w:rsidR="007236C2" w:rsidRPr="001D48C3">
        <w:t xml:space="preserve"> </w:t>
      </w:r>
      <w:r w:rsidR="007236C2" w:rsidRPr="001D48C3">
        <w:rPr>
          <w:i/>
        </w:rPr>
        <w:t xml:space="preserve">projection period </w:t>
      </w:r>
      <w:r w:rsidR="007236C2" w:rsidRPr="001D48C3">
        <w:t>which includes the last two years of the forward estimates</w:t>
      </w:r>
      <w:r w:rsidR="00863B02" w:rsidRPr="001D48C3">
        <w:t>,</w:t>
      </w:r>
      <w:r w:rsidR="00D43737" w:rsidRPr="001D48C3">
        <w:t xml:space="preserve"> and up to </w:t>
      </w:r>
      <w:r w:rsidR="00A436B8" w:rsidRPr="001D48C3">
        <w:t xml:space="preserve">a further </w:t>
      </w:r>
      <w:r w:rsidR="00D43737" w:rsidRPr="001D48C3">
        <w:t>36 years for intergenerational analysis</w:t>
      </w:r>
      <w:r w:rsidR="007236C2" w:rsidRPr="001D48C3">
        <w:t>.</w:t>
      </w:r>
      <w:r w:rsidR="00B40DCD" w:rsidRPr="001D48C3">
        <w:t xml:space="preserve"> As documented in the recent review of Treasury macroeconomic and revenue forecasting (Australian Treasury, 201</w:t>
      </w:r>
      <w:r w:rsidR="00FD3723" w:rsidRPr="001D48C3">
        <w:t>2</w:t>
      </w:r>
      <w:r w:rsidR="00B40DCD" w:rsidRPr="001D48C3">
        <w:t>)</w:t>
      </w:r>
      <w:r w:rsidR="003D1BD6" w:rsidRPr="001D48C3">
        <w:t>,</w:t>
      </w:r>
      <w:r w:rsidR="00B40DCD" w:rsidRPr="001D48C3">
        <w:t xml:space="preserve"> </w:t>
      </w:r>
      <w:r w:rsidR="00FD3723" w:rsidRPr="001D48C3">
        <w:t>estimates</w:t>
      </w:r>
      <w:r w:rsidR="00B40DCD" w:rsidRPr="001D48C3">
        <w:t xml:space="preserve"> over the forecast period are based on a range of short</w:t>
      </w:r>
      <w:r w:rsidR="001D5BF5">
        <w:noBreakHyphen/>
      </w:r>
      <w:r w:rsidR="00B40DCD" w:rsidRPr="001D48C3">
        <w:t xml:space="preserve">run forecasting methodologies, while </w:t>
      </w:r>
      <w:r w:rsidR="00FD3723" w:rsidRPr="001D48C3">
        <w:t>estimates</w:t>
      </w:r>
      <w:r w:rsidR="00B40DCD" w:rsidRPr="001D48C3">
        <w:t xml:space="preserve"> over the projection period are based on medium</w:t>
      </w:r>
      <w:r w:rsidR="001D5BF5">
        <w:noBreakHyphen/>
      </w:r>
      <w:r w:rsidR="00B40DCD" w:rsidRPr="001D48C3">
        <w:t xml:space="preserve"> to long</w:t>
      </w:r>
      <w:r w:rsidR="001D5BF5">
        <w:noBreakHyphen/>
      </w:r>
      <w:r w:rsidR="00B40DCD" w:rsidRPr="001D48C3">
        <w:t xml:space="preserve">run rules developed in large part through the intergenerational reporting process (Australian Government, 2010). </w:t>
      </w:r>
    </w:p>
    <w:p w14:paraId="0216F777" w14:textId="33E06813" w:rsidR="00CD3B55" w:rsidRPr="001D48C3" w:rsidRDefault="00BB4CC0" w:rsidP="007236C2">
      <w:r w:rsidRPr="001D48C3">
        <w:t>Treasury routinely assesses m</w:t>
      </w:r>
      <w:r w:rsidR="00B40DCD" w:rsidRPr="001D48C3">
        <w:t>edium</w:t>
      </w:r>
      <w:r w:rsidR="001D5BF5">
        <w:noBreakHyphen/>
      </w:r>
      <w:r w:rsidR="00B40DCD" w:rsidRPr="001D48C3">
        <w:t xml:space="preserve"> to long</w:t>
      </w:r>
      <w:r w:rsidR="001D5BF5">
        <w:noBreakHyphen/>
      </w:r>
      <w:r w:rsidR="00B40DCD" w:rsidRPr="001D48C3">
        <w:t xml:space="preserve">run </w:t>
      </w:r>
      <w:r w:rsidRPr="001D48C3">
        <w:t xml:space="preserve">projection </w:t>
      </w:r>
      <w:r w:rsidR="00B40DCD" w:rsidRPr="001D48C3">
        <w:t>rules in light of new data, improv</w:t>
      </w:r>
      <w:r w:rsidR="00991A43" w:rsidRPr="001D48C3">
        <w:t>ed modelling techniques and structural changes to the</w:t>
      </w:r>
      <w:r w:rsidR="00B40DCD" w:rsidRPr="001D48C3">
        <w:t xml:space="preserve"> economy.</w:t>
      </w:r>
      <w:r w:rsidR="00277EB5" w:rsidRPr="001D48C3">
        <w:t xml:space="preserve"> </w:t>
      </w:r>
      <w:r w:rsidR="0034198F" w:rsidRPr="001D48C3">
        <w:t>It is fair to say that</w:t>
      </w:r>
      <w:r w:rsidR="003D1BD6" w:rsidRPr="001D48C3">
        <w:t>,</w:t>
      </w:r>
      <w:r w:rsidR="0034198F" w:rsidRPr="001D48C3">
        <w:t xml:space="preserve"> w</w:t>
      </w:r>
      <w:r w:rsidR="0002250C" w:rsidRPr="001D48C3">
        <w:t>ith the e</w:t>
      </w:r>
      <w:r w:rsidR="00C642EF" w:rsidRPr="001D48C3">
        <w:t xml:space="preserve">xception of rules governing </w:t>
      </w:r>
      <w:r w:rsidR="0002250C" w:rsidRPr="001D48C3">
        <w:t>terms of trade</w:t>
      </w:r>
      <w:r w:rsidR="00C642EF" w:rsidRPr="001D48C3">
        <w:t xml:space="preserve"> projections</w:t>
      </w:r>
      <w:r w:rsidR="0002250C" w:rsidRPr="001D48C3">
        <w:t>, t</w:t>
      </w:r>
      <w:r w:rsidR="00D14D82" w:rsidRPr="001D48C3">
        <w:t xml:space="preserve">he </w:t>
      </w:r>
      <w:r w:rsidR="0034198F" w:rsidRPr="001D48C3">
        <w:t>medium</w:t>
      </w:r>
      <w:r w:rsidR="001D5BF5">
        <w:noBreakHyphen/>
      </w:r>
      <w:r w:rsidR="0034198F" w:rsidRPr="001D48C3">
        <w:t>term projection methodology has not change</w:t>
      </w:r>
      <w:r w:rsidR="00863B02" w:rsidRPr="001D48C3">
        <w:t>d</w:t>
      </w:r>
      <w:r w:rsidR="0034198F" w:rsidRPr="001D48C3">
        <w:t xml:space="preserve"> in a significant way</w:t>
      </w:r>
      <w:r w:rsidR="0002250C" w:rsidRPr="001D48C3">
        <w:t xml:space="preserve"> o</w:t>
      </w:r>
      <w:r w:rsidR="0019607D" w:rsidRPr="001D48C3">
        <w:t>ver the last 10 years</w:t>
      </w:r>
      <w:r w:rsidR="0002250C" w:rsidRPr="001D48C3">
        <w:t>. Treasury has revised its medium</w:t>
      </w:r>
      <w:r w:rsidR="001D5BF5">
        <w:noBreakHyphen/>
      </w:r>
      <w:r w:rsidR="0002250C" w:rsidRPr="001D48C3">
        <w:t>term methodology for the terms of trade</w:t>
      </w:r>
      <w:r w:rsidR="001E341D" w:rsidRPr="001D48C3">
        <w:t xml:space="preserve"> in response to the unprecedented rise </w:t>
      </w:r>
      <w:r w:rsidR="00F13C4C" w:rsidRPr="001D48C3">
        <w:t>in Australia</w:t>
      </w:r>
      <w:r w:rsidR="001D5BF5">
        <w:t>’</w:t>
      </w:r>
      <w:r w:rsidR="00F13C4C" w:rsidRPr="001D48C3">
        <w:t>s terms of trade caused</w:t>
      </w:r>
      <w:r w:rsidR="001E341D" w:rsidRPr="001D48C3">
        <w:t xml:space="preserve"> by the </w:t>
      </w:r>
      <w:r w:rsidR="00F13C4C" w:rsidRPr="001D48C3">
        <w:t>significant</w:t>
      </w:r>
      <w:r w:rsidR="001E341D" w:rsidRPr="001D48C3">
        <w:t xml:space="preserve"> increase in demand </w:t>
      </w:r>
      <w:r w:rsidR="00F13C4C" w:rsidRPr="001D48C3">
        <w:t>for non</w:t>
      </w:r>
      <w:r w:rsidR="001D5BF5">
        <w:noBreakHyphen/>
      </w:r>
      <w:r w:rsidR="00F13C4C" w:rsidRPr="001D48C3">
        <w:t xml:space="preserve">rural commodities </w:t>
      </w:r>
      <w:r w:rsidR="001E341D" w:rsidRPr="001D48C3">
        <w:t>from China</w:t>
      </w:r>
      <w:r w:rsidR="0002250C" w:rsidRPr="001D48C3">
        <w:t xml:space="preserve">, with the most recent change introduced in </w:t>
      </w:r>
      <w:r w:rsidR="00A404E4" w:rsidRPr="001D48C3">
        <w:t>the 2013</w:t>
      </w:r>
      <w:r w:rsidR="001D5BF5">
        <w:noBreakHyphen/>
      </w:r>
      <w:r w:rsidR="00A404E4" w:rsidRPr="001D48C3">
        <w:t xml:space="preserve">14 </w:t>
      </w:r>
      <w:r w:rsidR="0002250C" w:rsidRPr="001D48C3">
        <w:t>MYEFO (see Bullen, Kouparitsas and Krolikowski, 2014</w:t>
      </w:r>
      <w:r w:rsidR="00A404E4" w:rsidRPr="001D48C3">
        <w:t>,</w:t>
      </w:r>
      <w:r w:rsidR="0002250C" w:rsidRPr="001D48C3">
        <w:t xml:space="preserve"> for further </w:t>
      </w:r>
      <w:r w:rsidR="001E341D" w:rsidRPr="001D48C3">
        <w:t>details).</w:t>
      </w:r>
    </w:p>
    <w:p w14:paraId="46204342" w14:textId="42937018" w:rsidR="00EA7E80" w:rsidRPr="001D48C3" w:rsidRDefault="00872C41" w:rsidP="007236C2">
      <w:r w:rsidRPr="001D48C3">
        <w:t>Treasury</w:t>
      </w:r>
      <w:r w:rsidR="001D5BF5">
        <w:t>’</w:t>
      </w:r>
      <w:r w:rsidRPr="001D48C3">
        <w:t>s</w:t>
      </w:r>
      <w:r w:rsidR="00120361" w:rsidRPr="001D48C3">
        <w:t xml:space="preserve"> broader </w:t>
      </w:r>
      <w:r w:rsidRPr="001D48C3">
        <w:t xml:space="preserve">projection </w:t>
      </w:r>
      <w:r w:rsidR="00120361" w:rsidRPr="001D48C3">
        <w:t xml:space="preserve">methodology was conceived at a time when </w:t>
      </w:r>
      <w:r w:rsidR="00CD3B55" w:rsidRPr="001D48C3">
        <w:t xml:space="preserve">the </w:t>
      </w:r>
      <w:r w:rsidR="00120361" w:rsidRPr="001D48C3">
        <w:t>Australia</w:t>
      </w:r>
      <w:r w:rsidR="00CD3B55" w:rsidRPr="001D48C3">
        <w:t>n economy</w:t>
      </w:r>
      <w:r w:rsidR="00120361" w:rsidRPr="001D48C3">
        <w:t xml:space="preserve"> was operating at or near its long</w:t>
      </w:r>
      <w:r w:rsidR="001D5BF5">
        <w:noBreakHyphen/>
      </w:r>
      <w:r w:rsidR="00120361" w:rsidRPr="001D48C3">
        <w:t>run sustainable growth path</w:t>
      </w:r>
      <w:r w:rsidR="00CD3B55" w:rsidRPr="001D48C3">
        <w:t xml:space="preserve"> (i.e., at </w:t>
      </w:r>
      <w:r w:rsidRPr="001D48C3">
        <w:t>the</w:t>
      </w:r>
      <w:r w:rsidR="00CD3B55" w:rsidRPr="001D48C3">
        <w:t xml:space="preserve"> level of potential output), </w:t>
      </w:r>
      <w:r w:rsidR="001E341D" w:rsidRPr="001D48C3">
        <w:t xml:space="preserve">which led to </w:t>
      </w:r>
      <w:r w:rsidR="00707632" w:rsidRPr="001D48C3">
        <w:t xml:space="preserve">growth rate </w:t>
      </w:r>
      <w:r w:rsidR="00475DA0" w:rsidRPr="001D48C3">
        <w:t xml:space="preserve">rules </w:t>
      </w:r>
      <w:r w:rsidR="001E341D" w:rsidRPr="001D48C3">
        <w:t xml:space="preserve">that </w:t>
      </w:r>
      <w:r w:rsidR="00707632" w:rsidRPr="001D48C3">
        <w:t xml:space="preserve">assume all </w:t>
      </w:r>
      <w:r w:rsidR="001E341D" w:rsidRPr="001D48C3">
        <w:t>real variables grow at their trend growth rate over the projection period</w:t>
      </w:r>
      <w:r w:rsidR="00CD3B55" w:rsidRPr="001D48C3">
        <w:t xml:space="preserve">. The </w:t>
      </w:r>
      <w:r w:rsidR="00EA7E80" w:rsidRPr="001D48C3">
        <w:t xml:space="preserve">measured cyclical weakness of recent years, which is expected to </w:t>
      </w:r>
      <w:r w:rsidR="00A436B8" w:rsidRPr="001D48C3">
        <w:t>continue</w:t>
      </w:r>
      <w:r w:rsidR="00EA7E80" w:rsidRPr="001D48C3">
        <w:t xml:space="preserve"> over the forecast period</w:t>
      </w:r>
      <w:r w:rsidR="0019536D" w:rsidRPr="001D48C3">
        <w:t>,</w:t>
      </w:r>
      <w:r w:rsidR="00EA7E80" w:rsidRPr="001D48C3">
        <w:t xml:space="preserve"> </w:t>
      </w:r>
      <w:r w:rsidR="00EC0E25" w:rsidRPr="001D48C3">
        <w:t>calls for an enhanced approach</w:t>
      </w:r>
      <w:r w:rsidR="00EA7E80" w:rsidRPr="001D48C3">
        <w:t xml:space="preserve"> which recognises the need for a</w:t>
      </w:r>
      <w:r w:rsidR="00A436B8" w:rsidRPr="001D48C3">
        <w:t>n</w:t>
      </w:r>
      <w:r w:rsidR="00EA7E80" w:rsidRPr="001D48C3">
        <w:t xml:space="preserve"> adjustment period over which the economy transitions from </w:t>
      </w:r>
      <w:r w:rsidR="00A013B2" w:rsidRPr="001D48C3">
        <w:t xml:space="preserve">a </w:t>
      </w:r>
      <w:r w:rsidR="00EA7E80" w:rsidRPr="001D48C3">
        <w:t xml:space="preserve">cyclical high or low </w:t>
      </w:r>
      <w:r w:rsidR="00152682" w:rsidRPr="001D48C3">
        <w:t xml:space="preserve">to its </w:t>
      </w:r>
      <w:r w:rsidR="00EA7E80" w:rsidRPr="001D48C3">
        <w:t>potential level of output.</w:t>
      </w:r>
    </w:p>
    <w:p w14:paraId="5EC10934" w14:textId="5A7EC8A0" w:rsidR="007236C2" w:rsidRPr="001D48C3" w:rsidRDefault="00EA7E80" w:rsidP="007236C2">
      <w:r w:rsidRPr="001D48C3">
        <w:t>Working towards that end, t</w:t>
      </w:r>
      <w:r w:rsidR="00985D59" w:rsidRPr="001D48C3">
        <w:t xml:space="preserve">his paper </w:t>
      </w:r>
      <w:r w:rsidR="00EC0E25" w:rsidRPr="001D48C3">
        <w:t xml:space="preserve">details </w:t>
      </w:r>
      <w:r w:rsidRPr="001D48C3">
        <w:t xml:space="preserve">changes </w:t>
      </w:r>
      <w:r w:rsidR="00EC0E25" w:rsidRPr="001D48C3">
        <w:t>to the projection methodology</w:t>
      </w:r>
      <w:r w:rsidRPr="001D48C3">
        <w:t xml:space="preserve"> that overcome the cyclical limitations of the existing framework</w:t>
      </w:r>
      <w:r w:rsidR="00EC0E25" w:rsidRPr="001D48C3">
        <w:t xml:space="preserve">. These changes include: a real cyclical </w:t>
      </w:r>
      <w:r w:rsidR="00475DA0" w:rsidRPr="001D48C3">
        <w:t xml:space="preserve">adjustment </w:t>
      </w:r>
      <w:r w:rsidR="00EC0E25" w:rsidRPr="001D48C3">
        <w:t>module</w:t>
      </w:r>
      <w:r w:rsidR="00475DA0" w:rsidRPr="001D48C3">
        <w:t xml:space="preserve"> which </w:t>
      </w:r>
      <w:r w:rsidR="00EC0E25" w:rsidRPr="001D48C3">
        <w:t xml:space="preserve">is designed to close </w:t>
      </w:r>
      <w:r w:rsidR="00475DA0" w:rsidRPr="001D48C3">
        <w:t xml:space="preserve">cyclical </w:t>
      </w:r>
      <w:r w:rsidR="00EC0E25" w:rsidRPr="001D48C3">
        <w:t xml:space="preserve">output and unemployment </w:t>
      </w:r>
      <w:r w:rsidR="00475DA0" w:rsidRPr="001D48C3">
        <w:t xml:space="preserve">gaps </w:t>
      </w:r>
      <w:r w:rsidR="00EC0E25" w:rsidRPr="001D48C3">
        <w:t>over the medium</w:t>
      </w:r>
      <w:r w:rsidR="001D5BF5">
        <w:noBreakHyphen/>
      </w:r>
      <w:r w:rsidR="00EC0E25" w:rsidRPr="001D48C3">
        <w:t xml:space="preserve">term; and a complementary nominal cyclical adjustment module which factors in cyclical weakness in goods and labour markets into wage and price projections. This approach effectively divides the projection period into a </w:t>
      </w:r>
      <w:r w:rsidR="00EC0E25" w:rsidRPr="001D48C3">
        <w:rPr>
          <w:i/>
        </w:rPr>
        <w:t xml:space="preserve">cyclical adjustment period </w:t>
      </w:r>
      <w:r w:rsidR="00EC0E25" w:rsidRPr="001D48C3">
        <w:t xml:space="preserve">which spans the time it takes to close the </w:t>
      </w:r>
      <w:r w:rsidR="00A436B8" w:rsidRPr="001D48C3">
        <w:t xml:space="preserve">real </w:t>
      </w:r>
      <w:r w:rsidR="00EC0E25" w:rsidRPr="001D48C3">
        <w:t xml:space="preserve">output gap and a subsequent </w:t>
      </w:r>
      <w:r w:rsidR="00EC0E25" w:rsidRPr="001D48C3">
        <w:rPr>
          <w:i/>
        </w:rPr>
        <w:t>long</w:t>
      </w:r>
      <w:r w:rsidR="001D5BF5">
        <w:rPr>
          <w:i/>
        </w:rPr>
        <w:noBreakHyphen/>
      </w:r>
      <w:r w:rsidR="00EC0E25" w:rsidRPr="001D48C3">
        <w:rPr>
          <w:i/>
        </w:rPr>
        <w:t xml:space="preserve">run </w:t>
      </w:r>
      <w:r w:rsidR="00EC0E25" w:rsidRPr="001D48C3">
        <w:t>where output equals its potential level.</w:t>
      </w:r>
    </w:p>
    <w:p w14:paraId="2E8AF2A6" w14:textId="508D0814" w:rsidR="00EC0E25" w:rsidRPr="001D48C3" w:rsidRDefault="006441BF" w:rsidP="007236C2">
      <w:r w:rsidRPr="001D48C3">
        <w:t xml:space="preserve">The theory underlying the </w:t>
      </w:r>
      <w:r w:rsidR="00EA7E80" w:rsidRPr="001D48C3">
        <w:t xml:space="preserve">enhanced </w:t>
      </w:r>
      <w:r w:rsidRPr="001D48C3">
        <w:t xml:space="preserve">framework follows the mainstream growth and business cycle literatures. </w:t>
      </w:r>
      <w:r w:rsidR="00B20EB1" w:rsidRPr="001D48C3">
        <w:rPr>
          <w:lang w:eastAsia="en-AU"/>
        </w:rPr>
        <w:t>For ease of exposition to a non</w:t>
      </w:r>
      <w:r w:rsidR="001D5BF5">
        <w:rPr>
          <w:lang w:eastAsia="en-AU"/>
        </w:rPr>
        <w:noBreakHyphen/>
      </w:r>
      <w:r w:rsidR="00B20EB1" w:rsidRPr="001D48C3">
        <w:rPr>
          <w:lang w:eastAsia="en-AU"/>
        </w:rPr>
        <w:t>technical audience, and without any loss of generality,</w:t>
      </w:r>
      <w:r w:rsidR="00B20EB1" w:rsidRPr="001D48C3">
        <w:t xml:space="preserve"> the </w:t>
      </w:r>
      <w:r w:rsidRPr="001D48C3">
        <w:t>real and nominal cyclical modules are</w:t>
      </w:r>
      <w:r w:rsidR="00B20EB1" w:rsidRPr="001D48C3">
        <w:t xml:space="preserve"> intentionally parsimonious. Where possible the framework draws on published empirical research relating to Australian business cycles</w:t>
      </w:r>
      <w:r w:rsidR="00557CBF" w:rsidRPr="001D48C3">
        <w:t>,</w:t>
      </w:r>
      <w:r w:rsidR="00B20EB1" w:rsidRPr="001D48C3">
        <w:t xml:space="preserve"> and wage and price determination</w:t>
      </w:r>
      <w:r w:rsidRPr="001D48C3">
        <w:t>, with new empirical analysis detailed in th</w:t>
      </w:r>
      <w:r w:rsidR="00557CBF" w:rsidRPr="001D48C3">
        <w:t>is</w:t>
      </w:r>
      <w:r w:rsidRPr="001D48C3">
        <w:t xml:space="preserve"> paper.</w:t>
      </w:r>
    </w:p>
    <w:p w14:paraId="62D2F1E3" w14:textId="77777777" w:rsidR="001D5BF5" w:rsidRDefault="001D5BF5">
      <w:r>
        <w:br w:type="page"/>
      </w:r>
    </w:p>
    <w:p w14:paraId="238B8D38" w14:textId="44A4014E" w:rsidR="007C2D50" w:rsidRPr="001D48C3" w:rsidRDefault="007C2D50" w:rsidP="007236C2">
      <w:r w:rsidRPr="001D48C3">
        <w:lastRenderedPageBreak/>
        <w:t>The remainder of the paper is organised as follows: Section 2 outlines the theory underlying the projection methodology; Section 3 outlines the empirical methods used to estimate the theoretical model</w:t>
      </w:r>
      <w:r w:rsidR="001D5BF5">
        <w:t>’</w:t>
      </w:r>
      <w:r w:rsidRPr="001D48C3">
        <w:t>s parameters and historical trend</w:t>
      </w:r>
      <w:r w:rsidR="00FD3723" w:rsidRPr="001D48C3">
        <w:t>s</w:t>
      </w:r>
      <w:r w:rsidRPr="001D48C3">
        <w:t xml:space="preserve">; Section 4 applies the methodology using the </w:t>
      </w:r>
      <w:r w:rsidR="00D66BF3">
        <w:t>201</w:t>
      </w:r>
      <w:r w:rsidR="00C32EC5">
        <w:t>4</w:t>
      </w:r>
      <w:r w:rsidR="001D5BF5">
        <w:noBreakHyphen/>
      </w:r>
      <w:r w:rsidR="00D66BF3">
        <w:t>1</w:t>
      </w:r>
      <w:r w:rsidR="00C32EC5">
        <w:t>5</w:t>
      </w:r>
      <w:r w:rsidR="00D66BF3">
        <w:t xml:space="preserve"> Budget</w:t>
      </w:r>
      <w:r w:rsidRPr="001D48C3">
        <w:t xml:space="preserve"> </w:t>
      </w:r>
      <w:r w:rsidR="00D66BF3">
        <w:t>estimates</w:t>
      </w:r>
      <w:r w:rsidR="00D66BF3" w:rsidRPr="001D48C3">
        <w:t xml:space="preserve"> </w:t>
      </w:r>
      <w:r w:rsidRPr="001D48C3">
        <w:t>over the forecast period (</w:t>
      </w:r>
      <w:r w:rsidR="00D66BF3">
        <w:t>2014</w:t>
      </w:r>
      <w:r w:rsidR="001D5BF5">
        <w:noBreakHyphen/>
      </w:r>
      <w:r w:rsidR="00D66BF3">
        <w:t>15 and 2015</w:t>
      </w:r>
      <w:r w:rsidR="001D5BF5">
        <w:noBreakHyphen/>
      </w:r>
      <w:r w:rsidR="00D66BF3">
        <w:t>16</w:t>
      </w:r>
      <w:r w:rsidRPr="001D48C3">
        <w:t xml:space="preserve">) and a revised potential output path using updated trend population, participation and productivity assumptions, and </w:t>
      </w:r>
      <w:r w:rsidR="003D1BD6" w:rsidRPr="001D48C3">
        <w:t xml:space="preserve">provides </w:t>
      </w:r>
      <w:r w:rsidRPr="001D48C3">
        <w:t xml:space="preserve">a detailed comparison with </w:t>
      </w:r>
      <w:r w:rsidR="00D66BF3">
        <w:t>medium</w:t>
      </w:r>
      <w:r w:rsidR="001D5BF5">
        <w:noBreakHyphen/>
      </w:r>
      <w:r w:rsidR="00D66BF3">
        <w:t>term projections consistent with the 2013</w:t>
      </w:r>
      <w:r w:rsidR="001D5BF5">
        <w:noBreakHyphen/>
      </w:r>
      <w:r w:rsidR="00D66BF3">
        <w:t>14 MYEFO methodology</w:t>
      </w:r>
      <w:r w:rsidR="001D5BF5">
        <w:t>; Section </w:t>
      </w:r>
      <w:r w:rsidRPr="001D48C3">
        <w:t>5 reports the findings of various sensitivity analyses; and Section 6 concludes the paper with a brief summary of the results.</w:t>
      </w:r>
    </w:p>
    <w:p w14:paraId="3BB558B0" w14:textId="77777777" w:rsidR="00F012EA" w:rsidRPr="001D48C3" w:rsidRDefault="005806CB" w:rsidP="001D48C3">
      <w:pPr>
        <w:pStyle w:val="Heading2"/>
      </w:pPr>
      <w:r w:rsidRPr="001D48C3">
        <w:t>Theory</w:t>
      </w:r>
    </w:p>
    <w:p w14:paraId="37182C62" w14:textId="23F84FA2" w:rsidR="007236C2" w:rsidRPr="001D48C3" w:rsidRDefault="007236C2" w:rsidP="007236C2">
      <w:r w:rsidRPr="001D48C3">
        <w:t>The medium</w:t>
      </w:r>
      <w:r w:rsidR="001D5BF5">
        <w:noBreakHyphen/>
      </w:r>
      <w:r w:rsidR="008B7E77">
        <w:t xml:space="preserve"> to</w:t>
      </w:r>
      <w:r w:rsidR="001D5BF5">
        <w:noBreakHyphen/>
      </w:r>
      <w:r w:rsidRPr="001D48C3">
        <w:t>long</w:t>
      </w:r>
      <w:r w:rsidR="001D5BF5">
        <w:noBreakHyphen/>
      </w:r>
      <w:r w:rsidRPr="001D48C3">
        <w:t>run real GDP projection methodology developed in this paper follows the approach of the mainstream growth and business cycle literatures. Growth theory is the study of the evolution of the sustainable level of output (hereafter potential output), while business cycle theory studies temporary short</w:t>
      </w:r>
      <w:r w:rsidR="001D5BF5">
        <w:noBreakHyphen/>
      </w:r>
      <w:r w:rsidRPr="001D48C3">
        <w:t xml:space="preserve">run movements in output </w:t>
      </w:r>
      <w:r w:rsidR="00BA19BA" w:rsidRPr="001D48C3">
        <w:t xml:space="preserve">away from </w:t>
      </w:r>
      <w:r w:rsidRPr="001D48C3">
        <w:t xml:space="preserve">its potential level. Empirical analysis of growth and business cycles conveniently divides the task of modelling actual economic data into trend and cycle analysis. For a given economic variable, the </w:t>
      </w:r>
      <w:r w:rsidRPr="001D48C3">
        <w:rPr>
          <w:i/>
        </w:rPr>
        <w:t>trend</w:t>
      </w:r>
      <w:r w:rsidRPr="001D48C3">
        <w:t xml:space="preserve"> component identifies permanent movements (e.g., the trend of a variable which grows over time, such as gross domestic product, is captured by a smooth upward sloping line), while the </w:t>
      </w:r>
      <w:r w:rsidRPr="001D48C3">
        <w:rPr>
          <w:i/>
        </w:rPr>
        <w:t>cycle</w:t>
      </w:r>
      <w:r w:rsidRPr="001D48C3">
        <w:t xml:space="preserve"> component identifies temporary fluctuations about the trend</w:t>
      </w:r>
      <w:r w:rsidR="00F814A8" w:rsidRPr="001D48C3">
        <w:t xml:space="preserve"> (</w:t>
      </w:r>
      <w:r w:rsidR="00DC1EDC" w:rsidRPr="001D48C3">
        <w:fldChar w:fldCharType="begin"/>
      </w:r>
      <w:r w:rsidR="00DC1EDC" w:rsidRPr="001D48C3">
        <w:instrText xml:space="preserve"> REF _Ref385514890 \h </w:instrText>
      </w:r>
      <w:r w:rsidR="00DC1EDC" w:rsidRPr="001D48C3">
        <w:fldChar w:fldCharType="separate"/>
      </w:r>
      <w:r w:rsidR="00C65A3D" w:rsidRPr="001D48C3">
        <w:t xml:space="preserve">Chart </w:t>
      </w:r>
      <w:r w:rsidR="00C65A3D">
        <w:rPr>
          <w:noProof/>
        </w:rPr>
        <w:t>1</w:t>
      </w:r>
      <w:r w:rsidR="00DC1EDC" w:rsidRPr="001D48C3">
        <w:fldChar w:fldCharType="end"/>
      </w:r>
      <w:r w:rsidR="00F814A8" w:rsidRPr="001D48C3">
        <w:t>)</w:t>
      </w:r>
      <w:r w:rsidRPr="001D48C3">
        <w:t>.</w:t>
      </w:r>
    </w:p>
    <w:p w14:paraId="356B7A47" w14:textId="77777777" w:rsidR="00DC1EDC" w:rsidRPr="001D48C3" w:rsidRDefault="00DC1EDC" w:rsidP="00C25643">
      <w:pPr>
        <w:pStyle w:val="CaptionHeading1"/>
      </w:pPr>
      <w:bookmarkStart w:id="1" w:name="_Ref385514890"/>
      <w:r w:rsidRPr="001D48C3">
        <w:t xml:space="preserve">Chart </w:t>
      </w:r>
      <w:r w:rsidR="00711272">
        <w:fldChar w:fldCharType="begin"/>
      </w:r>
      <w:r w:rsidR="00711272">
        <w:instrText xml:space="preserve"> SEQ Chart \* ARABIC </w:instrText>
      </w:r>
      <w:r w:rsidR="00711272">
        <w:fldChar w:fldCharType="separate"/>
      </w:r>
      <w:r w:rsidR="00C65A3D">
        <w:rPr>
          <w:noProof/>
        </w:rPr>
        <w:t>1</w:t>
      </w:r>
      <w:r w:rsidR="00711272">
        <w:rPr>
          <w:noProof/>
        </w:rPr>
        <w:fldChar w:fldCharType="end"/>
      </w:r>
      <w:bookmarkEnd w:id="1"/>
      <w:r w:rsidRPr="001D48C3">
        <w:t>: Stylised trend</w:t>
      </w:r>
      <w:r w:rsidR="006B401A" w:rsidRPr="001D48C3">
        <w:t>—</w:t>
      </w:r>
      <w:r w:rsidRPr="001D48C3">
        <w:t>cycle decomposition</w:t>
      </w:r>
    </w:p>
    <w:p w14:paraId="773EC4FD" w14:textId="7DB8F83A" w:rsidR="00BA7A17" w:rsidRDefault="00A54F80" w:rsidP="001D5BF5">
      <w:pPr>
        <w:pStyle w:val="ChartGraphic"/>
      </w:pPr>
      <w:r w:rsidRPr="001D48C3">
        <w:object w:dxaOrig="8790" w:dyaOrig="3390" w14:anchorId="64A2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plots a stylised decomposition of a series into its trend and cycle." style="width:440.25pt;height:169.5pt;mso-position-horizontal:absolute;mso-position-vertical:absolute" o:ole="">
            <v:imagedata r:id="rId22" o:title=""/>
          </v:shape>
          <o:OLEObject Type="Link" ProgID="Excel.Sheet.12" ShapeID="_x0000_i1025" DrawAspect="Content" r:id="rId23" UpdateMode="Always">
            <o:LinkType>EnhancedMetaFile</o:LinkType>
            <o:LockedField>false</o:LockedField>
            <o:FieldCodes>\* MERGEFORMAT</o:FieldCodes>
          </o:OLEObject>
        </w:object>
      </w:r>
    </w:p>
    <w:p w14:paraId="48BFB614" w14:textId="77777777" w:rsidR="00A76E2E" w:rsidRPr="00A76E2E" w:rsidRDefault="00A76E2E" w:rsidP="00A76E2E">
      <w:pPr>
        <w:pStyle w:val="SingleParagraph"/>
        <w:rPr>
          <w:lang w:eastAsia="en-AU"/>
        </w:rPr>
      </w:pPr>
    </w:p>
    <w:p w14:paraId="3E181DE3" w14:textId="2ECAEAF0" w:rsidR="007236C2" w:rsidRPr="001D48C3" w:rsidRDefault="007236C2" w:rsidP="007236C2">
      <w:r w:rsidRPr="001D48C3">
        <w:t>From a theoretical standpoint, potential output (i.e., the trend level of gross domestic production) defines the level of production at which the economy</w:t>
      </w:r>
      <w:r w:rsidR="001D5BF5">
        <w:t>’</w:t>
      </w:r>
      <w:r w:rsidRPr="001D48C3">
        <w:t>s labour and capital inputs are being used at their long</w:t>
      </w:r>
      <w:r w:rsidR="001D5BF5">
        <w:noBreakHyphen/>
      </w:r>
      <w:r w:rsidRPr="001D48C3">
        <w:t>run sustainable levels of effort or capacity. Potential output can increase as a result of either a one</w:t>
      </w:r>
      <w:r w:rsidR="001D5BF5">
        <w:noBreakHyphen/>
      </w:r>
      <w:r w:rsidRPr="001D48C3">
        <w:t xml:space="preserve">time innovation that raises the level of production but leaves the growth rate unchanged (known as a level shift) or an innovation that changes the underlying growth rate. Growth theory has devoted most of its attention to differentiating between factors that lead to level shifts of potential and those that influence its growth rate. Some theorists argue that the growth rate of potential output is an exogenous constant determined by technological factors that cannot be influenced by private agents or government, while others argue the growth rate of potential output is endogenous, which means it can </w:t>
      </w:r>
      <w:r w:rsidRPr="001D48C3">
        <w:lastRenderedPageBreak/>
        <w:t>be influenced by the actions of private agents or government.</w:t>
      </w:r>
      <w:r w:rsidRPr="001D48C3">
        <w:rPr>
          <w:vertAlign w:val="superscript"/>
        </w:rPr>
        <w:footnoteReference w:id="4"/>
      </w:r>
      <w:r w:rsidRPr="001D48C3">
        <w:t xml:space="preserve"> The methodology developed in this paper follows other fiscal agencies, such as the US Congressional Budget Office (CBO) (2001), in assuming an exogenous growth path for potential output.</w:t>
      </w:r>
    </w:p>
    <w:p w14:paraId="3E3F7098" w14:textId="69FC35C0" w:rsidR="005F1061" w:rsidRPr="001D48C3" w:rsidRDefault="007236C2" w:rsidP="007236C2">
      <w:r w:rsidRPr="001D48C3">
        <w:t>In contrast to the CBO, which limits its medium</w:t>
      </w:r>
      <w:r w:rsidR="001D5BF5">
        <w:noBreakHyphen/>
      </w:r>
      <w:r w:rsidRPr="001D48C3">
        <w:t>term output projections to forecasts of potential output, the projection methodology developed in this paper incorporates a period of cyclical adjustment over which cyclical gaps estimated at the end of the forecast period, which covers the first two years beyond the curr</w:t>
      </w:r>
      <w:r w:rsidR="005F1061" w:rsidRPr="001D48C3">
        <w:t>ent financial year, are closed.</w:t>
      </w:r>
    </w:p>
    <w:p w14:paraId="22CF5CF9" w14:textId="5C148E86" w:rsidR="007236C2" w:rsidRPr="001D48C3" w:rsidRDefault="007236C2" w:rsidP="005E7582">
      <w:pPr>
        <w:spacing w:after="120"/>
      </w:pPr>
      <w:r w:rsidRPr="001D48C3">
        <w:t>There are many competing theories of the causes of economic business cycles.</w:t>
      </w:r>
      <w:r w:rsidRPr="001D48C3">
        <w:rPr>
          <w:vertAlign w:val="superscript"/>
        </w:rPr>
        <w:footnoteReference w:id="5"/>
      </w:r>
      <w:r w:rsidRPr="001D48C3">
        <w:t xml:space="preserve"> </w:t>
      </w:r>
      <w:r w:rsidR="00D43942" w:rsidRPr="001D48C3">
        <w:t>T</w:t>
      </w:r>
      <w:r w:rsidR="00BA19BA" w:rsidRPr="001D48C3">
        <w:t>he predominant approach</w:t>
      </w:r>
      <w:r w:rsidRPr="001D48C3">
        <w:t xml:space="preserve"> </w:t>
      </w:r>
      <w:r w:rsidR="00BA19BA" w:rsidRPr="001D48C3">
        <w:t xml:space="preserve">characterises </w:t>
      </w:r>
      <w:r w:rsidRPr="001D48C3">
        <w:t>the cyclical components of the data as temporary short</w:t>
      </w:r>
      <w:r w:rsidR="001D5BF5">
        <w:noBreakHyphen/>
      </w:r>
      <w:r w:rsidRPr="001D48C3">
        <w:t>run movements in output around the trend and assume</w:t>
      </w:r>
      <w:r w:rsidR="00BA19BA" w:rsidRPr="001D48C3">
        <w:t>s</w:t>
      </w:r>
      <w:r w:rsidRPr="001D48C3">
        <w:t xml:space="preserve"> the trend and cycle are independent (i.e., they are driven by unrelated shocks). </w:t>
      </w:r>
      <w:r w:rsidR="0070307C" w:rsidRPr="001D48C3">
        <w:t>T</w:t>
      </w:r>
      <w:r w:rsidR="00CA333D" w:rsidRPr="001D48C3">
        <w:t>here are</w:t>
      </w:r>
      <w:r w:rsidR="0070307C" w:rsidRPr="001D48C3">
        <w:t>, however,</w:t>
      </w:r>
      <w:r w:rsidR="00CA333D" w:rsidRPr="001D48C3">
        <w:t xml:space="preserve"> </w:t>
      </w:r>
      <w:r w:rsidR="00B73225" w:rsidRPr="001D48C3">
        <w:t>many</w:t>
      </w:r>
      <w:r w:rsidR="00CA333D" w:rsidRPr="001D48C3">
        <w:t xml:space="preserve"> empirical </w:t>
      </w:r>
      <w:r w:rsidR="00A22F9A" w:rsidRPr="001D48C3">
        <w:t>studies</w:t>
      </w:r>
      <w:r w:rsidR="00CA333D" w:rsidRPr="001D48C3">
        <w:t xml:space="preserve"> that </w:t>
      </w:r>
      <w:r w:rsidR="00A22F9A" w:rsidRPr="001D48C3">
        <w:t>find the trend and cycle are not independent, with cyclical fluctuations implying a permanent shift in the trend.</w:t>
      </w:r>
      <w:r w:rsidR="00A22F9A" w:rsidRPr="001D48C3">
        <w:rPr>
          <w:rStyle w:val="FootnoteReference"/>
        </w:rPr>
        <w:footnoteReference w:id="6"/>
      </w:r>
      <w:r w:rsidR="00A22F9A" w:rsidRPr="001D48C3">
        <w:t xml:space="preserve"> </w:t>
      </w:r>
      <w:r w:rsidR="00565C7A" w:rsidRPr="001D48C3">
        <w:t>In keeping with Treasury</w:t>
      </w:r>
      <w:r w:rsidR="001D5BF5">
        <w:t>’</w:t>
      </w:r>
      <w:r w:rsidR="00565C7A" w:rsidRPr="001D48C3">
        <w:t>s philosophy that medium</w:t>
      </w:r>
      <w:r w:rsidR="001D5BF5">
        <w:noBreakHyphen/>
      </w:r>
      <w:r w:rsidR="00565C7A" w:rsidRPr="001D48C3">
        <w:t xml:space="preserve">term </w:t>
      </w:r>
      <w:r w:rsidR="005F1061" w:rsidRPr="001D48C3">
        <w:t xml:space="preserve">projections </w:t>
      </w:r>
      <w:r w:rsidR="00565C7A" w:rsidRPr="001D48C3">
        <w:t>should be based on parsimonious rules</w:t>
      </w:r>
      <w:r w:rsidR="0070307C" w:rsidRPr="001D48C3">
        <w:t>, the methodology developed here follows the broader literature in assuming independence of the trend and cycle.</w:t>
      </w:r>
      <w:r w:rsidR="00565C7A" w:rsidRPr="001D48C3">
        <w:t xml:space="preserve"> </w:t>
      </w:r>
      <w:r w:rsidR="0070307C" w:rsidRPr="001D48C3">
        <w:t xml:space="preserve">This </w:t>
      </w:r>
      <w:r w:rsidRPr="001D48C3">
        <w:t xml:space="preserve">assumption </w:t>
      </w:r>
      <w:r w:rsidR="00BB394D" w:rsidRPr="001D48C3">
        <w:t xml:space="preserve">improves </w:t>
      </w:r>
      <w:r w:rsidR="008F186A" w:rsidRPr="001D48C3">
        <w:t>transparency</w:t>
      </w:r>
      <w:r w:rsidR="00BB394D" w:rsidRPr="001D48C3">
        <w:t xml:space="preserve"> and </w:t>
      </w:r>
      <w:r w:rsidR="007B576F" w:rsidRPr="001D48C3">
        <w:t xml:space="preserve">greatly </w:t>
      </w:r>
      <w:r w:rsidR="0070307C" w:rsidRPr="001D48C3">
        <w:t xml:space="preserve">simplifies the computational burden because it </w:t>
      </w:r>
      <w:r w:rsidRPr="001D48C3">
        <w:t>means that real output projections can be solved recursively</w:t>
      </w:r>
      <w:r w:rsidR="00BA19BA" w:rsidRPr="001D48C3">
        <w:t xml:space="preserve"> by following these steps</w:t>
      </w:r>
      <w:r w:rsidRPr="001D48C3">
        <w:t>:</w:t>
      </w:r>
    </w:p>
    <w:p w14:paraId="082E8990" w14:textId="77777777" w:rsidR="007236C2" w:rsidRPr="001D48C3" w:rsidRDefault="007236C2" w:rsidP="005E7582">
      <w:pPr>
        <w:pStyle w:val="NumberedParagraph"/>
      </w:pPr>
      <w:r w:rsidRPr="001D48C3">
        <w:t>forecast potential output over the forecast and projection periods;</w:t>
      </w:r>
    </w:p>
    <w:p w14:paraId="7C600943" w14:textId="77777777" w:rsidR="007236C2" w:rsidRPr="001D48C3" w:rsidRDefault="007236C2" w:rsidP="005E7582">
      <w:pPr>
        <w:pStyle w:val="NumberedParagraph"/>
      </w:pPr>
      <w:r w:rsidRPr="001D48C3">
        <w:t>forecast output over the forecast period;</w:t>
      </w:r>
      <w:r w:rsidRPr="001D48C3">
        <w:rPr>
          <w:vertAlign w:val="superscript"/>
        </w:rPr>
        <w:footnoteReference w:id="7"/>
      </w:r>
    </w:p>
    <w:p w14:paraId="0B505923" w14:textId="77777777" w:rsidR="007236C2" w:rsidRPr="001D48C3" w:rsidRDefault="007236C2" w:rsidP="005E7582">
      <w:pPr>
        <w:pStyle w:val="NumberedParagraph"/>
      </w:pPr>
      <w:r w:rsidRPr="001D48C3">
        <w:t>estimate cyclical output (output gap) at the end of the forecast period;</w:t>
      </w:r>
    </w:p>
    <w:p w14:paraId="247848B1" w14:textId="77777777" w:rsidR="007236C2" w:rsidRPr="001D48C3" w:rsidRDefault="007236C2" w:rsidP="005E7582">
      <w:pPr>
        <w:pStyle w:val="NumberedParagraph"/>
      </w:pPr>
      <w:r w:rsidRPr="001D48C3">
        <w:t>forecast the cyclical adjustment (close the output gap) over the projection period; and</w:t>
      </w:r>
    </w:p>
    <w:p w14:paraId="358971E3" w14:textId="77777777" w:rsidR="007236C2" w:rsidRPr="001D48C3" w:rsidRDefault="007236C2" w:rsidP="005E7582">
      <w:pPr>
        <w:pStyle w:val="NumberedParagraph"/>
        <w:spacing w:after="200"/>
      </w:pPr>
      <w:r w:rsidRPr="001D48C3">
        <w:t>combine forecasts of potential output and cyclical output to yield a forecast of real output.</w:t>
      </w:r>
    </w:p>
    <w:p w14:paraId="74E2E528" w14:textId="4196CC69" w:rsidR="007236C2" w:rsidRPr="001D48C3" w:rsidRDefault="007236C2" w:rsidP="007236C2">
      <w:r w:rsidRPr="001D48C3">
        <w:t xml:space="preserve">This approach effectively divides the projection period into the </w:t>
      </w:r>
      <w:r w:rsidRPr="001D48C3">
        <w:rPr>
          <w:i/>
        </w:rPr>
        <w:t>cyclical adjustment period</w:t>
      </w:r>
      <w:r w:rsidR="00FD3723" w:rsidRPr="001D48C3">
        <w:rPr>
          <w:i/>
        </w:rPr>
        <w:t>,</w:t>
      </w:r>
      <w:r w:rsidRPr="001D48C3">
        <w:rPr>
          <w:i/>
        </w:rPr>
        <w:t xml:space="preserve"> </w:t>
      </w:r>
      <w:r w:rsidRPr="001D48C3">
        <w:t>which spans the time it takes to close the output gap</w:t>
      </w:r>
      <w:r w:rsidR="00FD3723" w:rsidRPr="001D48C3">
        <w:t>,</w:t>
      </w:r>
      <w:r w:rsidRPr="001D48C3">
        <w:t xml:space="preserve"> and the subsequent </w:t>
      </w:r>
      <w:r w:rsidRPr="001D48C3">
        <w:rPr>
          <w:i/>
        </w:rPr>
        <w:t>long</w:t>
      </w:r>
      <w:r w:rsidR="001D5BF5">
        <w:rPr>
          <w:i/>
        </w:rPr>
        <w:noBreakHyphen/>
      </w:r>
      <w:r w:rsidRPr="001D48C3">
        <w:rPr>
          <w:i/>
        </w:rPr>
        <w:t xml:space="preserve">run </w:t>
      </w:r>
      <w:r w:rsidRPr="001D48C3">
        <w:t>where output equals its potential level.</w:t>
      </w:r>
    </w:p>
    <w:p w14:paraId="3F7E2B9D" w14:textId="77777777" w:rsidR="007236C2" w:rsidRPr="001D48C3" w:rsidRDefault="007236C2" w:rsidP="00D3016A">
      <w:pPr>
        <w:pStyle w:val="Heading3"/>
      </w:pPr>
      <w:r w:rsidRPr="001D48C3">
        <w:t>Potential output</w:t>
      </w:r>
    </w:p>
    <w:p w14:paraId="665BF814" w14:textId="77777777" w:rsidR="007236C2" w:rsidRPr="001D48C3" w:rsidRDefault="007236C2" w:rsidP="005E7582">
      <w:pPr>
        <w:spacing w:after="120"/>
      </w:pPr>
      <w:r w:rsidRPr="001D48C3">
        <w:t>Estimates of potential output implicitly assume the economy is on its balance</w:t>
      </w:r>
      <w:r w:rsidR="00FD3723" w:rsidRPr="001D48C3">
        <w:t>d</w:t>
      </w:r>
      <w:r w:rsidRPr="001D48C3">
        <w:t xml:space="preserve"> growth path. When combined with the exogenous growth assumption, potential output is characterised by the following conditions:</w:t>
      </w:r>
    </w:p>
    <w:p w14:paraId="7149137E" w14:textId="77777777" w:rsidR="007236C2" w:rsidRPr="001D48C3" w:rsidRDefault="007236C2" w:rsidP="005E7582">
      <w:pPr>
        <w:pStyle w:val="NumberedParagraph"/>
        <w:numPr>
          <w:ilvl w:val="0"/>
          <w:numId w:val="28"/>
        </w:numPr>
      </w:pPr>
      <w:r w:rsidRPr="001D48C3">
        <w:t>the factors that determine the growth rate of the labour force/population and labour augmenting technological progress are exogenous to the economy;</w:t>
      </w:r>
    </w:p>
    <w:p w14:paraId="1B7DCF1F" w14:textId="3936936B" w:rsidR="007236C2" w:rsidRPr="001D48C3" w:rsidRDefault="007236C2" w:rsidP="005E7582">
      <w:pPr>
        <w:pStyle w:val="NumberedParagraph"/>
        <w:numPr>
          <w:ilvl w:val="0"/>
          <w:numId w:val="28"/>
        </w:numPr>
      </w:pPr>
      <w:r w:rsidRPr="001D48C3">
        <w:lastRenderedPageBreak/>
        <w:t>all non</w:t>
      </w:r>
      <w:r w:rsidR="001D5BF5">
        <w:noBreakHyphen/>
      </w:r>
      <w:r w:rsidRPr="001D48C3">
        <w:t xml:space="preserve">labour volumes grow at the same rate, which is equal to the growth rate of the </w:t>
      </w:r>
      <w:r w:rsidR="007D118B" w:rsidRPr="001D48C3">
        <w:t>labour force</w:t>
      </w:r>
      <w:r w:rsidRPr="001D48C3">
        <w:t xml:space="preserve"> plus the growth rate of labour augmenting technical progress;</w:t>
      </w:r>
    </w:p>
    <w:p w14:paraId="447FA5F6" w14:textId="77777777" w:rsidR="007236C2" w:rsidRPr="001D48C3" w:rsidRDefault="007236C2" w:rsidP="005E7582">
      <w:pPr>
        <w:pStyle w:val="NumberedParagraph"/>
        <w:numPr>
          <w:ilvl w:val="0"/>
          <w:numId w:val="28"/>
        </w:numPr>
      </w:pPr>
      <w:r w:rsidRPr="001D48C3">
        <w:t xml:space="preserve">all relative prices (excluding the real wage) are constant; </w:t>
      </w:r>
    </w:p>
    <w:p w14:paraId="700EB611" w14:textId="77777777" w:rsidR="003D769E" w:rsidRPr="001D48C3" w:rsidRDefault="007236C2" w:rsidP="005E7582">
      <w:pPr>
        <w:pStyle w:val="NumberedParagraph"/>
        <w:numPr>
          <w:ilvl w:val="0"/>
          <w:numId w:val="28"/>
        </w:numPr>
      </w:pPr>
      <w:r w:rsidRPr="001D48C3">
        <w:t>real wages grow at the same rate as labour augmenting technical progress; and</w:t>
      </w:r>
    </w:p>
    <w:p w14:paraId="7F6B92FF" w14:textId="2327EA8E" w:rsidR="007236C2" w:rsidRPr="001D48C3" w:rsidRDefault="007236C2" w:rsidP="001D5BF5">
      <w:pPr>
        <w:pStyle w:val="NumberedParagraph"/>
        <w:numPr>
          <w:ilvl w:val="0"/>
          <w:numId w:val="28"/>
        </w:numPr>
        <w:spacing w:after="200"/>
      </w:pPr>
      <w:r w:rsidRPr="001D48C3">
        <w:t xml:space="preserve">all </w:t>
      </w:r>
      <w:r w:rsidR="0018306C" w:rsidRPr="001D48C3">
        <w:t xml:space="preserve">real </w:t>
      </w:r>
      <w:r w:rsidRPr="001D48C3">
        <w:t>variables are tied down by time</w:t>
      </w:r>
      <w:r w:rsidR="001D5BF5">
        <w:noBreakHyphen/>
      </w:r>
      <w:r w:rsidRPr="001D48C3">
        <w:t xml:space="preserve">invariant </w:t>
      </w:r>
      <w:r w:rsidR="0018306C" w:rsidRPr="001D48C3">
        <w:t>ratios to output (e.g., the capital to output ratio)</w:t>
      </w:r>
      <w:r w:rsidRPr="001D48C3">
        <w:t xml:space="preserve"> </w:t>
      </w:r>
      <w:r w:rsidR="0018306C" w:rsidRPr="001D48C3">
        <w:t xml:space="preserve">which are </w:t>
      </w:r>
      <w:r w:rsidRPr="001D48C3">
        <w:t xml:space="preserve">typically referred to as </w:t>
      </w:r>
      <w:r w:rsidRPr="005E7582">
        <w:rPr>
          <w:i/>
        </w:rPr>
        <w:t>great ratios</w:t>
      </w:r>
      <w:r w:rsidRPr="001D48C3">
        <w:t>.</w:t>
      </w:r>
      <w:r w:rsidR="0018306C" w:rsidRPr="001D48C3">
        <w:rPr>
          <w:rStyle w:val="FootnoteReference"/>
        </w:rPr>
        <w:footnoteReference w:id="8"/>
      </w:r>
    </w:p>
    <w:p w14:paraId="7BB7C217" w14:textId="4156197D" w:rsidR="007236C2" w:rsidRPr="001D48C3" w:rsidRDefault="007236C2" w:rsidP="005A3806">
      <w:pPr>
        <w:spacing w:after="120"/>
      </w:pPr>
      <w:r w:rsidRPr="001D48C3">
        <w:t>The balance</w:t>
      </w:r>
      <w:r w:rsidR="00BA19BA" w:rsidRPr="001D48C3">
        <w:t>d</w:t>
      </w:r>
      <w:r w:rsidRPr="001D48C3">
        <w:t xml:space="preserve"> growth path of an economy is derived from the supply</w:t>
      </w:r>
      <w:r w:rsidR="001D5BF5">
        <w:noBreakHyphen/>
      </w:r>
      <w:r w:rsidRPr="001D48C3">
        <w:t>side (i.e., it is a production based measure of output). The foundation of this approach is the aggregate production function, which is typically modelled as a linearised function of the following form [throughout the paper lower case letters denote log</w:t>
      </w:r>
      <w:r w:rsidR="001D5BF5">
        <w:noBreakHyphen/>
      </w:r>
      <w:r w:rsidRPr="001D48C3">
        <w:t>levels, while upper case letters denote the level of a variable</w:t>
      </w:r>
      <w:r w:rsidR="00182F0E" w:rsidRPr="001D48C3">
        <w:t>,</w:t>
      </w:r>
      <w:r w:rsidRPr="001D48C3">
        <w:t xml:space="preserve"> </w:t>
      </w:r>
      <w:r w:rsidR="00182F0E" w:rsidRPr="001D48C3">
        <w:t>that is,</w:t>
      </w:r>
      <w:r w:rsidRPr="001D48C3">
        <w:t xml:space="preserve"> x</w:t>
      </w:r>
      <w:r w:rsidRPr="001D48C3">
        <w:rPr>
          <w:vertAlign w:val="subscript"/>
        </w:rPr>
        <w:t>t</w:t>
      </w:r>
      <w:r w:rsidR="005A3806" w:rsidRPr="001D48C3">
        <w:rPr>
          <w:vertAlign w:val="subscript"/>
        </w:rPr>
        <w:t> </w:t>
      </w:r>
      <w:r w:rsidRPr="001D48C3">
        <w:t>=</w:t>
      </w:r>
      <w:r w:rsidR="005A3806" w:rsidRPr="001D48C3">
        <w:t> </w:t>
      </w:r>
      <w:r w:rsidRPr="001D48C3">
        <w:t>ln(X</w:t>
      </w:r>
      <w:r w:rsidRPr="001D48C3">
        <w:rPr>
          <w:vertAlign w:val="subscript"/>
        </w:rPr>
        <w:t>t</w:t>
      </w:r>
      <w:r w:rsidR="00182F0E" w:rsidRPr="001D48C3">
        <w:t>)</w:t>
      </w:r>
      <w:r w:rsidR="005A3806" w:rsidRPr="001D48C3">
        <w:t>, </w:t>
      </w:r>
      <w:r w:rsidRPr="001D48C3">
        <w:rPr>
          <w:rFonts w:ascii="Symbol" w:hAnsi="Symbol"/>
        </w:rPr>
        <w:t></w:t>
      </w:r>
      <w:r w:rsidRPr="001D48C3">
        <w:t> = x</w:t>
      </w:r>
      <w:r w:rsidRPr="001D48C3">
        <w:rPr>
          <w:vertAlign w:val="subscript"/>
        </w:rPr>
        <w:t>t</w:t>
      </w:r>
      <w:r w:rsidR="001D5BF5">
        <w:noBreakHyphen/>
      </w:r>
      <w:r w:rsidRPr="001D48C3">
        <w:t>x</w:t>
      </w:r>
      <w:r w:rsidRPr="001D48C3">
        <w:rPr>
          <w:vertAlign w:val="subscript"/>
        </w:rPr>
        <w:t>t</w:t>
      </w:r>
      <w:r w:rsidR="001D5BF5">
        <w:rPr>
          <w:vertAlign w:val="subscript"/>
        </w:rPr>
        <w:noBreakHyphen/>
      </w:r>
      <w:r w:rsidRPr="001D48C3">
        <w:rPr>
          <w:vertAlign w:val="subscript"/>
        </w:rPr>
        <w:t>1</w:t>
      </w:r>
      <w:r w:rsidR="005A3806" w:rsidRPr="001D48C3">
        <w:t>, </w:t>
      </w:r>
      <w:r w:rsidRPr="001D48C3">
        <w:rPr>
          <w:rFonts w:ascii="Symbol" w:hAnsi="Symbol"/>
        </w:rPr>
        <w:t></w:t>
      </w:r>
      <w:r w:rsidRPr="001D48C3">
        <w:rPr>
          <w:rFonts w:ascii="Symbol" w:hAnsi="Symbol"/>
          <w:vertAlign w:val="subscript"/>
        </w:rPr>
        <w:t></w:t>
      </w:r>
      <w:r w:rsidR="005A3806" w:rsidRPr="001D48C3">
        <w:t> = </w:t>
      </w:r>
      <w:r w:rsidRPr="001D48C3">
        <w:t>x</w:t>
      </w:r>
      <w:r w:rsidRPr="001D48C3">
        <w:rPr>
          <w:vertAlign w:val="subscript"/>
        </w:rPr>
        <w:t>t</w:t>
      </w:r>
      <w:r w:rsidR="001D5BF5">
        <w:noBreakHyphen/>
      </w:r>
      <w:r w:rsidRPr="001D48C3">
        <w:t>x</w:t>
      </w:r>
      <w:r w:rsidRPr="001D48C3">
        <w:rPr>
          <w:vertAlign w:val="subscript"/>
        </w:rPr>
        <w:t>t</w:t>
      </w:r>
      <w:r w:rsidR="001D5BF5">
        <w:rPr>
          <w:vertAlign w:val="subscript"/>
        </w:rPr>
        <w:noBreakHyphen/>
      </w:r>
      <w:r w:rsidRPr="001D48C3">
        <w:rPr>
          <w:vertAlign w:val="subscript"/>
        </w:rPr>
        <w:t>4</w:t>
      </w:r>
      <w:r w:rsidR="0033503D" w:rsidRPr="001D48C3">
        <w:t>, and the time interval denoted by t</w:t>
      </w:r>
      <w:r w:rsidRPr="001D48C3">
        <w:t xml:space="preserve"> is a quarter]:</w:t>
      </w:r>
    </w:p>
    <w:p w14:paraId="539DE1FE" w14:textId="0813C6A8" w:rsidR="007236C2" w:rsidRPr="001D48C3" w:rsidRDefault="005B2AA9" w:rsidP="005B2AA9">
      <w:pPr>
        <w:tabs>
          <w:tab w:val="center" w:pos="4536"/>
          <w:tab w:val="right" w:pos="8931"/>
        </w:tabs>
      </w:pPr>
      <w:r w:rsidRPr="001D48C3">
        <w:tab/>
      </w:r>
      <w:r w:rsidR="00A54F80" w:rsidRPr="001D48C3">
        <w:rPr>
          <w:position w:val="-12"/>
        </w:rPr>
        <w:object w:dxaOrig="3000" w:dyaOrig="360" w14:anchorId="35FD7E97">
          <v:shape id="_x0000_i1026" type="#_x0000_t75" alt="This equation describes a log-linear production function a time t, with inputs equal to Hicks neutral technological progress, log-level of effective labour equal to labour augmenting technological progress and total hours, and lagged log-level of physical capital, with effective labour and capital weighted by their share of output." style="width:150.75pt;height:19.5pt" o:ole="">
            <v:imagedata r:id="rId24" o:title=""/>
          </v:shape>
          <o:OLEObject Type="Embed" ProgID="Equation.DSMT4" ShapeID="_x0000_i1026" DrawAspect="Content" ObjectID="_1461483618" r:id="rId25"/>
        </w:object>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w:instrText>
      </w:r>
      <w:r w:rsidR="00711272">
        <w:rPr>
          <w:noProof/>
        </w:rPr>
        <w:fldChar w:fldCharType="end"/>
      </w:r>
      <w:r w:rsidR="007236C2" w:rsidRPr="001D48C3">
        <w:instrText>)</w:instrText>
      </w:r>
      <w:r w:rsidR="007236C2" w:rsidRPr="001D48C3">
        <w:fldChar w:fldCharType="end"/>
      </w:r>
    </w:p>
    <w:p w14:paraId="6AF3ADDB" w14:textId="488C4423" w:rsidR="007236C2" w:rsidRPr="001D48C3" w:rsidRDefault="007236C2" w:rsidP="007236C2">
      <w:r w:rsidRPr="001D48C3">
        <w:t>where at time t; y</w:t>
      </w:r>
      <w:r w:rsidRPr="001D48C3">
        <w:rPr>
          <w:vertAlign w:val="subscript"/>
        </w:rPr>
        <w:t>t</w:t>
      </w:r>
      <w:r w:rsidRPr="001D48C3">
        <w:t xml:space="preserve"> is </w:t>
      </w:r>
      <w:r w:rsidR="00A95704" w:rsidRPr="001D48C3">
        <w:t xml:space="preserve">output (or </w:t>
      </w:r>
      <w:r w:rsidRPr="001D48C3">
        <w:t>gross domestic product</w:t>
      </w:r>
      <w:r w:rsidR="00A95704" w:rsidRPr="001D48C3">
        <w:t>)</w:t>
      </w:r>
      <w:r w:rsidRPr="001D48C3">
        <w:t>; a</w:t>
      </w:r>
      <w:r w:rsidRPr="001D48C3">
        <w:rPr>
          <w:vertAlign w:val="subscript"/>
        </w:rPr>
        <w:t>t</w:t>
      </w:r>
      <w:r w:rsidRPr="001D48C3">
        <w:t xml:space="preserve"> is Hicks neutral technological progress, which is zero along the balance</w:t>
      </w:r>
      <w:r w:rsidR="00FD3723" w:rsidRPr="001D48C3">
        <w:t>d</w:t>
      </w:r>
      <w:r w:rsidRPr="001D48C3">
        <w:t xml:space="preserve"> growth path; z</w:t>
      </w:r>
      <w:r w:rsidRPr="001D48C3">
        <w:rPr>
          <w:vertAlign w:val="subscript"/>
        </w:rPr>
        <w:t>t</w:t>
      </w:r>
      <w:r w:rsidRPr="001D48C3">
        <w:t xml:space="preserve"> is labour augmenting (or Harrod neutral) technological progress; nh</w:t>
      </w:r>
      <w:r w:rsidRPr="001D48C3">
        <w:rPr>
          <w:vertAlign w:val="subscript"/>
        </w:rPr>
        <w:t>t</w:t>
      </w:r>
      <w:r w:rsidRPr="001D48C3">
        <w:t xml:space="preserve"> is total hours</w:t>
      </w:r>
      <w:r w:rsidR="00A95704" w:rsidRPr="001D48C3">
        <w:t xml:space="preserve"> worked</w:t>
      </w:r>
      <w:r w:rsidRPr="001D48C3">
        <w:t>; k</w:t>
      </w:r>
      <w:r w:rsidRPr="001D48C3">
        <w:rPr>
          <w:vertAlign w:val="subscript"/>
        </w:rPr>
        <w:t>t</w:t>
      </w:r>
      <w:r w:rsidRPr="001D48C3">
        <w:t> is</w:t>
      </w:r>
      <w:r w:rsidR="00A95704" w:rsidRPr="001D48C3">
        <w:t xml:space="preserve"> the stock of</w:t>
      </w:r>
      <w:r w:rsidRPr="001D48C3">
        <w:t xml:space="preserve"> physical capital; and </w:t>
      </w:r>
      <w:r w:rsidRPr="001D48C3">
        <w:rPr>
          <w:rFonts w:ascii="Symbol" w:hAnsi="Symbol"/>
        </w:rPr>
        <w:t></w:t>
      </w:r>
      <w:r w:rsidRPr="001D48C3">
        <w:t xml:space="preserve"> is labour</w:t>
      </w:r>
      <w:r w:rsidR="001D5BF5">
        <w:t>’</w:t>
      </w:r>
      <w:r w:rsidRPr="001D48C3">
        <w:t>s share of output along the balanced growth path.</w:t>
      </w:r>
    </w:p>
    <w:p w14:paraId="21618992" w14:textId="278BA424" w:rsidR="007236C2" w:rsidRPr="001D48C3" w:rsidRDefault="007236C2" w:rsidP="007236C2">
      <w:r w:rsidRPr="001D48C3">
        <w:t>Following the business cycle literature, Hicks neutral technological progress is modelled as a first</w:t>
      </w:r>
      <w:r w:rsidR="001D5BF5">
        <w:noBreakHyphen/>
      </w:r>
      <w:r w:rsidRPr="001D48C3">
        <w:t>order autoregressive stochastic process:</w:t>
      </w:r>
    </w:p>
    <w:p w14:paraId="35E765CE" w14:textId="79B8D579" w:rsidR="007236C2" w:rsidRPr="001D48C3" w:rsidRDefault="005B2AA9" w:rsidP="005B2AA9">
      <w:pPr>
        <w:tabs>
          <w:tab w:val="center" w:pos="4536"/>
          <w:tab w:val="left" w:pos="7938"/>
        </w:tabs>
      </w:pPr>
      <w:r w:rsidRPr="001D48C3">
        <w:tab/>
      </w:r>
      <w:r w:rsidR="00A54F80" w:rsidRPr="001D48C3">
        <w:rPr>
          <w:position w:val="-12"/>
        </w:rPr>
        <w:object w:dxaOrig="1520" w:dyaOrig="360" w14:anchorId="58EE499C">
          <v:shape id="_x0000_i1027" type="#_x0000_t75" alt="This equation describes Hicks neutral technological progress a first-order autoregressive process." style="width:76.5pt;height:19.5pt" o:ole="">
            <v:imagedata r:id="rId26" o:title=""/>
          </v:shape>
          <o:OLEObject Type="Embed" ProgID="Equation.DSMT4" ShapeID="_x0000_i1027" DrawAspect="Content" ObjectID="_1461483619" r:id="rId27"/>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w:instrText>
      </w:r>
      <w:r w:rsidR="00711272">
        <w:rPr>
          <w:noProof/>
        </w:rPr>
        <w:fldChar w:fldCharType="end"/>
      </w:r>
      <w:r w:rsidR="007236C2" w:rsidRPr="001D48C3">
        <w:instrText>)</w:instrText>
      </w:r>
      <w:r w:rsidR="007236C2" w:rsidRPr="001D48C3">
        <w:fldChar w:fldCharType="end"/>
      </w:r>
    </w:p>
    <w:p w14:paraId="0939596B" w14:textId="77777777" w:rsidR="007236C2" w:rsidRPr="001D48C3" w:rsidRDefault="007236C2" w:rsidP="007236C2">
      <w:r w:rsidRPr="001D48C3">
        <w:t>where 0&lt;</w:t>
      </w:r>
      <w:r w:rsidRPr="001D48C3">
        <w:rPr>
          <w:position w:val="-12"/>
        </w:rPr>
        <w:object w:dxaOrig="300" w:dyaOrig="360" w14:anchorId="488ACEF2">
          <v:shape id="_x0000_i1028" type="#_x0000_t75" style="width:15pt;height:19.5pt" o:ole="">
            <v:imagedata r:id="rId28" o:title=""/>
          </v:shape>
          <o:OLEObject Type="Embed" ProgID="Equation.DSMT4" ShapeID="_x0000_i1028" DrawAspect="Content" ObjectID="_1461483620" r:id="rId29"/>
        </w:object>
      </w:r>
      <w:r w:rsidRPr="001D48C3">
        <w:t xml:space="preserve">&lt;1, and the innovation </w:t>
      </w:r>
      <w:r w:rsidRPr="001D48C3">
        <w:rPr>
          <w:position w:val="-12"/>
        </w:rPr>
        <w:object w:dxaOrig="320" w:dyaOrig="360" w14:anchorId="1031FBA0">
          <v:shape id="_x0000_i1029" type="#_x0000_t75" style="width:16.5pt;height:19.5pt" o:ole="">
            <v:imagedata r:id="rId30" o:title=""/>
          </v:shape>
          <o:OLEObject Type="Embed" ProgID="Equation.DSMT4" ShapeID="_x0000_i1029" DrawAspect="Content" ObjectID="_1461483621" r:id="rId31"/>
        </w:object>
      </w:r>
      <w:r w:rsidRPr="001D48C3">
        <w:t xml:space="preserve">is independently and identically distributed with mean zero and variance </w:t>
      </w:r>
      <w:r w:rsidRPr="001D48C3">
        <w:rPr>
          <w:position w:val="-12"/>
        </w:rPr>
        <w:object w:dxaOrig="380" w:dyaOrig="380" w14:anchorId="688ED734">
          <v:shape id="_x0000_i1030" type="#_x0000_t75" style="width:19.5pt;height:19.5pt" o:ole="">
            <v:imagedata r:id="rId32" o:title=""/>
          </v:shape>
          <o:OLEObject Type="Embed" ProgID="Equation.DSMT4" ShapeID="_x0000_i1030" DrawAspect="Content" ObjectID="_1461483622" r:id="rId33"/>
        </w:object>
      </w:r>
      <w:r w:rsidRPr="001D48C3">
        <w:t>.</w:t>
      </w:r>
      <w:r w:rsidR="00BA19BA" w:rsidRPr="001D48C3">
        <w:t xml:space="preserve"> Medium term projections of cyclical productivity are based </w:t>
      </w:r>
      <w:r w:rsidR="00D43942" w:rsidRPr="001D48C3">
        <w:t>on the</w:t>
      </w:r>
      <w:r w:rsidR="00BA19BA" w:rsidRPr="001D48C3">
        <w:t xml:space="preserve"> conditional expectation </w:t>
      </w:r>
      <w:r w:rsidR="00D43942" w:rsidRPr="001D48C3">
        <w:t xml:space="preserve">of its level </w:t>
      </w:r>
      <w:r w:rsidR="00E16339" w:rsidRPr="001D48C3">
        <w:t>at</w:t>
      </w:r>
      <w:r w:rsidR="00BA19BA" w:rsidRPr="001D48C3">
        <w:t xml:space="preserve"> the end of the forecast period:</w:t>
      </w:r>
    </w:p>
    <w:p w14:paraId="78281F95" w14:textId="42E276DF" w:rsidR="00C1481B" w:rsidRPr="001D48C3" w:rsidRDefault="005B2AA9" w:rsidP="005B2AA9">
      <w:pPr>
        <w:tabs>
          <w:tab w:val="center" w:pos="4536"/>
          <w:tab w:val="left" w:pos="7938"/>
        </w:tabs>
      </w:pPr>
      <w:r w:rsidRPr="001D48C3">
        <w:tab/>
      </w:r>
      <w:r w:rsidR="00A54F80" w:rsidRPr="001D48C3">
        <w:rPr>
          <w:position w:val="-12"/>
        </w:rPr>
        <w:object w:dxaOrig="2040" w:dyaOrig="380" w14:anchorId="4AE2DAEE">
          <v:shape id="_x0000_i1031" type="#_x0000_t75" alt="This equation describes the forecast of Hicks neutral technological progress at time t plus s as its expectation conditional at time t." style="width:102.75pt;height:20.25pt" o:ole="">
            <v:imagedata r:id="rId34" o:title=""/>
          </v:shape>
          <o:OLEObject Type="Embed" ProgID="Equation.DSMT4" ShapeID="_x0000_i1031" DrawAspect="Content" ObjectID="_1461483623" r:id="rId35"/>
        </w:object>
      </w:r>
      <w:r w:rsidR="00C1481B" w:rsidRPr="001D48C3">
        <w:tab/>
      </w:r>
      <w:r w:rsidR="00C1481B" w:rsidRPr="001D48C3">
        <w:tab/>
      </w:r>
      <w:r w:rsidR="00C1481B" w:rsidRPr="001D48C3">
        <w:fldChar w:fldCharType="begin"/>
      </w:r>
      <w:r w:rsidR="00C1481B"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C1481B"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w:instrText>
      </w:r>
      <w:r w:rsidR="00711272">
        <w:rPr>
          <w:noProof/>
        </w:rPr>
        <w:fldChar w:fldCharType="end"/>
      </w:r>
      <w:r w:rsidR="00C1481B" w:rsidRPr="001D48C3">
        <w:instrText>)</w:instrText>
      </w:r>
      <w:r w:rsidR="00C1481B" w:rsidRPr="001D48C3">
        <w:fldChar w:fldCharType="end"/>
      </w:r>
    </w:p>
    <w:p w14:paraId="36507C6F" w14:textId="77777777" w:rsidR="00BA19BA" w:rsidRPr="001D48C3" w:rsidRDefault="00BA19BA" w:rsidP="007236C2">
      <w:r w:rsidRPr="001D48C3">
        <w:t xml:space="preserve">where a p </w:t>
      </w:r>
      <w:r w:rsidR="00A436B8" w:rsidRPr="001D48C3">
        <w:t xml:space="preserve">superscript </w:t>
      </w:r>
      <w:r w:rsidRPr="001D48C3">
        <w:t>denotes a projection and s is the projection interval.</w:t>
      </w:r>
    </w:p>
    <w:p w14:paraId="48C277FB" w14:textId="77777777" w:rsidR="007236C2" w:rsidRPr="001D48C3" w:rsidRDefault="007236C2" w:rsidP="00C25643">
      <w:pPr>
        <w:spacing w:after="120"/>
      </w:pPr>
      <w:r w:rsidRPr="001D48C3">
        <w:t xml:space="preserve">Labour augmenting technological progress is assumed to follow a unit </w:t>
      </w:r>
      <w:r w:rsidR="00FD3723" w:rsidRPr="001D48C3">
        <w:t xml:space="preserve">root </w:t>
      </w:r>
      <w:r w:rsidRPr="001D48C3">
        <w:t>process with drift:</w:t>
      </w:r>
    </w:p>
    <w:p w14:paraId="6781A0DD" w14:textId="04F722DB" w:rsidR="007236C2" w:rsidRPr="001D48C3" w:rsidRDefault="005B2AA9" w:rsidP="005B2AA9">
      <w:pPr>
        <w:tabs>
          <w:tab w:val="center" w:pos="4536"/>
          <w:tab w:val="left" w:pos="7938"/>
        </w:tabs>
      </w:pPr>
      <w:r w:rsidRPr="001D48C3">
        <w:tab/>
      </w:r>
      <w:r w:rsidR="00797D5A" w:rsidRPr="001D48C3">
        <w:rPr>
          <w:position w:val="-12"/>
        </w:rPr>
        <w:object w:dxaOrig="1820" w:dyaOrig="360" w14:anchorId="7BF5ABA8">
          <v:shape id="_x0000_i1032" type="#_x0000_t75" alt="This equation describes labour augmenting technological progress as a unit root with drift, where the drift is equal to the quarterly growth rate, which is assumed to be constant." style="width:90pt;height:19.5pt" o:ole="">
            <v:imagedata r:id="rId36" o:title=""/>
          </v:shape>
          <o:OLEObject Type="Embed" ProgID="Equation.DSMT4" ShapeID="_x0000_i1032" DrawAspect="Content" ObjectID="_1461483624" r:id="rId37"/>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w:instrText>
      </w:r>
      <w:r w:rsidR="00711272">
        <w:instrText xml:space="preserve">MAT </w:instrText>
      </w:r>
      <w:r w:rsidR="00711272">
        <w:fldChar w:fldCharType="separate"/>
      </w:r>
      <w:r w:rsidR="00C65A3D">
        <w:rPr>
          <w:noProof/>
        </w:rPr>
        <w:instrText>4</w:instrText>
      </w:r>
      <w:r w:rsidR="00711272">
        <w:rPr>
          <w:noProof/>
        </w:rPr>
        <w:fldChar w:fldCharType="end"/>
      </w:r>
      <w:r w:rsidR="007236C2" w:rsidRPr="001D48C3">
        <w:instrText>)</w:instrText>
      </w:r>
      <w:r w:rsidR="007236C2" w:rsidRPr="001D48C3">
        <w:fldChar w:fldCharType="end"/>
      </w:r>
    </w:p>
    <w:p w14:paraId="73051F77" w14:textId="77777777" w:rsidR="00BA19BA" w:rsidRPr="001D48C3" w:rsidRDefault="007236C2" w:rsidP="00237D09">
      <w:pPr>
        <w:spacing w:after="120"/>
      </w:pPr>
      <w:r w:rsidRPr="001D48C3">
        <w:t xml:space="preserve">where </w:t>
      </w:r>
      <w:r w:rsidR="00A95704" w:rsidRPr="001D48C3">
        <w:t xml:space="preserve">the </w:t>
      </w:r>
      <w:r w:rsidRPr="001D48C3">
        <w:t>drift</w:t>
      </w:r>
      <w:r w:rsidR="00A95704" w:rsidRPr="001D48C3">
        <w:t xml:space="preserve"> term</w:t>
      </w:r>
      <w:r w:rsidRPr="001D48C3">
        <w:rPr>
          <w:position w:val="-6"/>
        </w:rPr>
        <w:object w:dxaOrig="220" w:dyaOrig="279" w14:anchorId="1AC74C03">
          <v:shape id="_x0000_i1033" type="#_x0000_t75" style="width:10.5pt;height:13.5pt" o:ole="">
            <v:imagedata r:id="rId38" o:title=""/>
          </v:shape>
          <o:OLEObject Type="Embed" ProgID="Equation.DSMT4" ShapeID="_x0000_i1033" DrawAspect="Content" ObjectID="_1461483625" r:id="rId39"/>
        </w:object>
      </w:r>
      <w:r w:rsidRPr="001D48C3">
        <w:t xml:space="preserve">is the </w:t>
      </w:r>
      <w:r w:rsidR="00872C41" w:rsidRPr="001D48C3">
        <w:t xml:space="preserve">annual </w:t>
      </w:r>
      <w:r w:rsidRPr="001D48C3">
        <w:t xml:space="preserve">growth rate of labour augmenting technological progress, and the innovation </w:t>
      </w:r>
      <w:r w:rsidRPr="001D48C3">
        <w:rPr>
          <w:position w:val="-12"/>
        </w:rPr>
        <w:object w:dxaOrig="240" w:dyaOrig="360" w14:anchorId="6ABBCBDB">
          <v:shape id="_x0000_i1034" type="#_x0000_t75" style="width:13.5pt;height:19.5pt" o:ole="">
            <v:imagedata r:id="rId40" o:title=""/>
          </v:shape>
          <o:OLEObject Type="Embed" ProgID="Equation.DSMT4" ShapeID="_x0000_i1034" DrawAspect="Content" ObjectID="_1461483626" r:id="rId41"/>
        </w:object>
      </w:r>
      <w:r w:rsidRPr="001D48C3">
        <w:t xml:space="preserve">is independently and identically distributed with mean zero and variance </w:t>
      </w:r>
      <w:r w:rsidRPr="001D48C3">
        <w:rPr>
          <w:position w:val="-14"/>
        </w:rPr>
        <w:object w:dxaOrig="320" w:dyaOrig="400" w14:anchorId="41887650">
          <v:shape id="_x0000_i1035" type="#_x0000_t75" style="width:16.5pt;height:21.75pt" o:ole="">
            <v:imagedata r:id="rId42" o:title=""/>
          </v:shape>
          <o:OLEObject Type="Embed" ProgID="Equation.DSMT4" ShapeID="_x0000_i1035" DrawAspect="Content" ObjectID="_1461483627" r:id="rId43"/>
        </w:object>
      </w:r>
      <w:r w:rsidRPr="001D48C3">
        <w:t> .</w:t>
      </w:r>
      <w:r w:rsidR="00BA19BA" w:rsidRPr="001D48C3">
        <w:t xml:space="preserve"> Medium </w:t>
      </w:r>
      <w:r w:rsidR="00BA19BA" w:rsidRPr="001D48C3">
        <w:lastRenderedPageBreak/>
        <w:t xml:space="preserve">term projections of labour augmenting technical change are based </w:t>
      </w:r>
      <w:r w:rsidR="00D43942" w:rsidRPr="001D48C3">
        <w:t>on the</w:t>
      </w:r>
      <w:r w:rsidR="00BA19BA" w:rsidRPr="001D48C3">
        <w:t xml:space="preserve"> conditional expectation of its growth rate </w:t>
      </w:r>
      <w:r w:rsidR="00E16339" w:rsidRPr="001D48C3">
        <w:t>at</w:t>
      </w:r>
      <w:r w:rsidR="00BA19BA" w:rsidRPr="001D48C3">
        <w:t xml:space="preserve"> the end of the forecast period:</w:t>
      </w:r>
    </w:p>
    <w:p w14:paraId="269508A0" w14:textId="1800D6DF" w:rsidR="00C1481B" w:rsidRPr="001D48C3" w:rsidRDefault="005B2AA9" w:rsidP="005B2AA9">
      <w:pPr>
        <w:tabs>
          <w:tab w:val="center" w:pos="4536"/>
          <w:tab w:val="left" w:pos="7938"/>
        </w:tabs>
      </w:pPr>
      <w:r w:rsidRPr="001D48C3">
        <w:tab/>
      </w:r>
      <w:r w:rsidR="00797D5A" w:rsidRPr="001D48C3">
        <w:rPr>
          <w:position w:val="-12"/>
        </w:rPr>
        <w:object w:dxaOrig="2299" w:dyaOrig="380" w14:anchorId="2B2FA82A">
          <v:shape id="_x0000_i1036" type="#_x0000_t75" alt="This equation describes the forecast of the growth rate of labour augmenting technological progress at time t plus s as its expectation conditional on information at time t." style="width:114pt;height:20.25pt" o:ole="">
            <v:imagedata r:id="rId44" o:title=""/>
          </v:shape>
          <o:OLEObject Type="Embed" ProgID="Equation.DSMT4" ShapeID="_x0000_i1036" DrawAspect="Content" ObjectID="_1461483628" r:id="rId45"/>
        </w:object>
      </w:r>
      <w:r w:rsidR="00C1481B" w:rsidRPr="001D48C3">
        <w:tab/>
      </w:r>
      <w:r w:rsidR="00C1481B" w:rsidRPr="001D48C3">
        <w:tab/>
      </w:r>
      <w:r w:rsidR="00C1481B" w:rsidRPr="001D48C3">
        <w:fldChar w:fldCharType="begin"/>
      </w:r>
      <w:r w:rsidR="00C1481B"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C1481B"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5</w:instrText>
      </w:r>
      <w:r w:rsidR="00711272">
        <w:rPr>
          <w:noProof/>
        </w:rPr>
        <w:fldChar w:fldCharType="end"/>
      </w:r>
      <w:r w:rsidR="00C1481B" w:rsidRPr="001D48C3">
        <w:instrText>)</w:instrText>
      </w:r>
      <w:r w:rsidR="00C1481B" w:rsidRPr="001D48C3">
        <w:fldChar w:fldCharType="end"/>
      </w:r>
    </w:p>
    <w:p w14:paraId="3E78A749" w14:textId="77777777" w:rsidR="007236C2" w:rsidRPr="001D48C3" w:rsidRDefault="007236C2" w:rsidP="00237D09">
      <w:pPr>
        <w:spacing w:after="120"/>
      </w:pPr>
      <w:r w:rsidRPr="001D48C3">
        <w:t>Setting all variables to their trend values implies the following expression for potential output:</w:t>
      </w:r>
    </w:p>
    <w:p w14:paraId="35B66819" w14:textId="733FDC09" w:rsidR="007236C2" w:rsidRPr="001D48C3" w:rsidRDefault="005B2AA9" w:rsidP="005B2AA9">
      <w:pPr>
        <w:tabs>
          <w:tab w:val="center" w:pos="4536"/>
          <w:tab w:val="left" w:pos="7938"/>
        </w:tabs>
      </w:pPr>
      <w:r w:rsidRPr="001D48C3">
        <w:tab/>
      </w:r>
      <w:r w:rsidR="00797D5A" w:rsidRPr="001D48C3">
        <w:rPr>
          <w:position w:val="-12"/>
        </w:rPr>
        <w:object w:dxaOrig="2720" w:dyaOrig="380" w14:anchorId="5E532993">
          <v:shape id="_x0000_i1037" type="#_x0000_t75" alt="This equation rewrites equation 1, with all variables replaced by their trend values denoted by a capital T superscript." style="width:135.75pt;height:19.5pt" o:ole="">
            <v:imagedata r:id="rId46" o:title=""/>
          </v:shape>
          <o:OLEObject Type="Embed" ProgID="Equation.DSMT4" ShapeID="_x0000_i1037" DrawAspect="Content" ObjectID="_1461483629" r:id="rId47"/>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6</w:instrText>
      </w:r>
      <w:r w:rsidR="00711272">
        <w:rPr>
          <w:noProof/>
        </w:rPr>
        <w:fldChar w:fldCharType="end"/>
      </w:r>
      <w:r w:rsidR="007236C2" w:rsidRPr="001D48C3">
        <w:instrText>)</w:instrText>
      </w:r>
      <w:r w:rsidR="007236C2" w:rsidRPr="001D48C3">
        <w:fldChar w:fldCharType="end"/>
      </w:r>
    </w:p>
    <w:p w14:paraId="31C452FC" w14:textId="77777777" w:rsidR="007236C2" w:rsidRPr="001D48C3" w:rsidRDefault="007236C2" w:rsidP="007236C2">
      <w:r w:rsidRPr="001D48C3">
        <w:t>where T indicates the trend level of a variable.</w:t>
      </w:r>
    </w:p>
    <w:p w14:paraId="53B06776" w14:textId="77777777" w:rsidR="007236C2" w:rsidRPr="001D48C3" w:rsidRDefault="007236C2" w:rsidP="002128FD">
      <w:pPr>
        <w:pStyle w:val="Heading4"/>
      </w:pPr>
      <w:r w:rsidRPr="001D48C3">
        <w:t>Trend labour input</w:t>
      </w:r>
    </w:p>
    <w:p w14:paraId="317DF282" w14:textId="77777777" w:rsidR="007236C2" w:rsidRPr="001D48C3" w:rsidRDefault="007236C2" w:rsidP="00237D09">
      <w:pPr>
        <w:spacing w:after="120"/>
      </w:pPr>
      <w:r w:rsidRPr="001D48C3">
        <w:t>A key assumption of the basic growth model employed here is that labour force trends are exogenous to the framework (i.e., they are based on assumptions external to model). In particular, the trend labour force is equal to the trend participation rate multiplied by the trend working age population:</w:t>
      </w:r>
    </w:p>
    <w:p w14:paraId="47CD3A7F" w14:textId="73E939DB" w:rsidR="007236C2" w:rsidRPr="001D48C3" w:rsidRDefault="005B2AA9" w:rsidP="005B2AA9">
      <w:pPr>
        <w:tabs>
          <w:tab w:val="center" w:pos="4536"/>
          <w:tab w:val="left" w:pos="7938"/>
        </w:tabs>
      </w:pPr>
      <w:r w:rsidRPr="001D48C3">
        <w:tab/>
      </w:r>
      <w:r w:rsidR="00797D5A" w:rsidRPr="001D48C3">
        <w:rPr>
          <w:position w:val="-32"/>
        </w:rPr>
        <w:object w:dxaOrig="2060" w:dyaOrig="760" w14:anchorId="376ECFD5">
          <v:shape id="_x0000_i1038" type="#_x0000_t75" alt="This equation describes the level of the trend labour force as the product of the trend working age population and the trend labour force participation rate." style="width:104.25pt;height:35.25pt" o:ole="">
            <v:imagedata r:id="rId48" o:title=""/>
          </v:shape>
          <o:OLEObject Type="Embed" ProgID="Equation.DSMT4" ShapeID="_x0000_i1038" DrawAspect="Content" ObjectID="_1461483630" r:id="rId49"/>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7</w:instrText>
      </w:r>
      <w:r w:rsidR="00711272">
        <w:rPr>
          <w:noProof/>
        </w:rPr>
        <w:fldChar w:fldCharType="end"/>
      </w:r>
      <w:r w:rsidR="007236C2" w:rsidRPr="001D48C3">
        <w:instrText>)</w:instrText>
      </w:r>
      <w:r w:rsidR="007236C2" w:rsidRPr="001D48C3">
        <w:fldChar w:fldCharType="end"/>
      </w:r>
    </w:p>
    <w:p w14:paraId="2749E8BD" w14:textId="77777777" w:rsidR="007236C2" w:rsidRPr="001D48C3" w:rsidRDefault="007236C2" w:rsidP="007236C2">
      <w:pPr>
        <w:tabs>
          <w:tab w:val="left" w:pos="7797"/>
        </w:tabs>
      </w:pPr>
      <w:r w:rsidRPr="001D48C3">
        <w:t>where at time t, nlf</w:t>
      </w:r>
      <w:r w:rsidRPr="001D48C3">
        <w:rPr>
          <w:vertAlign w:val="subscript"/>
        </w:rPr>
        <w:t>t</w:t>
      </w:r>
      <w:r w:rsidRPr="001D48C3">
        <w:rPr>
          <w:vertAlign w:val="superscript"/>
        </w:rPr>
        <w:t>T</w:t>
      </w:r>
      <w:r w:rsidRPr="001D48C3">
        <w:t xml:space="preserve"> is trend labour force, npr</w:t>
      </w:r>
      <w:r w:rsidRPr="001D48C3">
        <w:rPr>
          <w:vertAlign w:val="subscript"/>
        </w:rPr>
        <w:t>t</w:t>
      </w:r>
      <w:r w:rsidRPr="001D48C3">
        <w:rPr>
          <w:vertAlign w:val="superscript"/>
        </w:rPr>
        <w:t>T</w:t>
      </w:r>
      <w:r w:rsidRPr="001D48C3">
        <w:t xml:space="preserve"> is the trend labour force participation rate, and nap</w:t>
      </w:r>
      <w:r w:rsidRPr="001D48C3">
        <w:rPr>
          <w:vertAlign w:val="subscript"/>
        </w:rPr>
        <w:t>t</w:t>
      </w:r>
      <w:r w:rsidRPr="001D48C3">
        <w:rPr>
          <w:vertAlign w:val="superscript"/>
        </w:rPr>
        <w:t>T</w:t>
      </w:r>
      <w:r w:rsidRPr="001D48C3">
        <w:t xml:space="preserve"> is trend working age population.</w:t>
      </w:r>
    </w:p>
    <w:p w14:paraId="597262E4" w14:textId="265D7750" w:rsidR="007236C2" w:rsidRPr="001D48C3" w:rsidRDefault="007236C2" w:rsidP="00237D09">
      <w:pPr>
        <w:spacing w:after="120"/>
      </w:pPr>
      <w:r w:rsidRPr="001D48C3">
        <w:t>Trend employment is implied by the trend labour force and the long</w:t>
      </w:r>
      <w:r w:rsidR="001D5BF5">
        <w:noBreakHyphen/>
      </w:r>
      <w:r w:rsidRPr="001D48C3">
        <w:t>run unemployment rate:</w:t>
      </w:r>
    </w:p>
    <w:p w14:paraId="1448A291" w14:textId="555D78AC" w:rsidR="007236C2" w:rsidRPr="001D48C3" w:rsidRDefault="005B2AA9" w:rsidP="005B2AA9">
      <w:pPr>
        <w:tabs>
          <w:tab w:val="center" w:pos="4536"/>
          <w:tab w:val="left" w:pos="7938"/>
        </w:tabs>
      </w:pPr>
      <w:r w:rsidRPr="001D48C3">
        <w:tab/>
      </w:r>
      <w:r w:rsidR="00797D5A" w:rsidRPr="001D48C3">
        <w:rPr>
          <w:position w:val="-32"/>
        </w:rPr>
        <w:object w:dxaOrig="2120" w:dyaOrig="760" w14:anchorId="3127F9A5">
          <v:shape id="_x0000_i1039" type="#_x0000_t75" alt="This equation describes the level of trend employment as the product of one minus the trend unemployment rate multiplied by the level of the trend labour force." style="width:106.5pt;height:35.25pt" o:ole="">
            <v:imagedata r:id="rId50" o:title=""/>
          </v:shape>
          <o:OLEObject Type="Embed" ProgID="Equation.DSMT4" ShapeID="_x0000_i1039" DrawAspect="Content" ObjectID="_1461483631" r:id="rId51"/>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8</w:instrText>
      </w:r>
      <w:r w:rsidR="00711272">
        <w:rPr>
          <w:noProof/>
        </w:rPr>
        <w:fldChar w:fldCharType="end"/>
      </w:r>
      <w:r w:rsidR="007236C2" w:rsidRPr="001D48C3">
        <w:instrText>)</w:instrText>
      </w:r>
      <w:r w:rsidR="007236C2" w:rsidRPr="001D48C3">
        <w:fldChar w:fldCharType="end"/>
      </w:r>
    </w:p>
    <w:p w14:paraId="41915111" w14:textId="09879B81" w:rsidR="007236C2" w:rsidRPr="001D48C3" w:rsidRDefault="007236C2" w:rsidP="007236C2">
      <w:r w:rsidRPr="001D48C3">
        <w:t>where at time t, n</w:t>
      </w:r>
      <w:r w:rsidRPr="001D48C3">
        <w:rPr>
          <w:vertAlign w:val="subscript"/>
        </w:rPr>
        <w:t>t</w:t>
      </w:r>
      <w:r w:rsidRPr="001D48C3">
        <w:rPr>
          <w:vertAlign w:val="superscript"/>
        </w:rPr>
        <w:t>T</w:t>
      </w:r>
      <w:r w:rsidRPr="001D48C3">
        <w:t xml:space="preserve"> is the trend</w:t>
      </w:r>
      <w:r w:rsidR="00A95704" w:rsidRPr="001D48C3">
        <w:t xml:space="preserve"> level of</w:t>
      </w:r>
      <w:r w:rsidRPr="001D48C3">
        <w:t xml:space="preserve"> employment and U</w:t>
      </w:r>
      <w:r w:rsidRPr="001D48C3">
        <w:rPr>
          <w:vertAlign w:val="superscript"/>
        </w:rPr>
        <w:t>T</w:t>
      </w:r>
      <w:r w:rsidRPr="001D48C3">
        <w:t xml:space="preserve"> is the trend rate of unemployment, which is commonly referred to as the non</w:t>
      </w:r>
      <w:r w:rsidR="001D5BF5">
        <w:noBreakHyphen/>
      </w:r>
      <w:r w:rsidRPr="001D48C3">
        <w:t>accelerating inflation rate of unemployment (NAIRU).</w:t>
      </w:r>
    </w:p>
    <w:p w14:paraId="7EDFE272" w14:textId="77777777" w:rsidR="007236C2" w:rsidRPr="001D48C3" w:rsidRDefault="007236C2" w:rsidP="00237D09">
      <w:pPr>
        <w:spacing w:after="120"/>
      </w:pPr>
      <w:r w:rsidRPr="001D48C3">
        <w:t>When combined with a trend average hours assumption this implies trend total hours</w:t>
      </w:r>
      <w:r w:rsidR="00A95704" w:rsidRPr="001D48C3">
        <w:t xml:space="preserve"> worked</w:t>
      </w:r>
      <w:r w:rsidRPr="001D48C3">
        <w:t>:</w:t>
      </w:r>
    </w:p>
    <w:p w14:paraId="6DFF377B" w14:textId="7DEB50E5" w:rsidR="007236C2" w:rsidRPr="001D48C3" w:rsidRDefault="005B2AA9" w:rsidP="005B2AA9">
      <w:pPr>
        <w:tabs>
          <w:tab w:val="center" w:pos="4536"/>
          <w:tab w:val="left" w:pos="7938"/>
        </w:tabs>
      </w:pPr>
      <w:r w:rsidRPr="001D48C3">
        <w:tab/>
      </w:r>
      <w:r w:rsidR="00797D5A" w:rsidRPr="001D48C3">
        <w:rPr>
          <w:position w:val="-32"/>
        </w:rPr>
        <w:object w:dxaOrig="1420" w:dyaOrig="760" w14:anchorId="65A0EB8E">
          <v:shape id="_x0000_i1040" type="#_x0000_t75" alt="This equation describes the level of trend of total hours as the product of trend employment and trend average hours." style="width:70.5pt;height:35.25pt" o:ole="">
            <v:imagedata r:id="rId52" o:title=""/>
          </v:shape>
          <o:OLEObject Type="Embed" ProgID="Equation.DSMT4" ShapeID="_x0000_i1040" DrawAspect="Content" ObjectID="_1461483632" r:id="rId53"/>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9</w:instrText>
      </w:r>
      <w:r w:rsidR="00711272">
        <w:rPr>
          <w:noProof/>
        </w:rPr>
        <w:fldChar w:fldCharType="end"/>
      </w:r>
      <w:r w:rsidR="007236C2" w:rsidRPr="001D48C3">
        <w:instrText>)</w:instrText>
      </w:r>
      <w:r w:rsidR="007236C2" w:rsidRPr="001D48C3">
        <w:fldChar w:fldCharType="end"/>
      </w:r>
    </w:p>
    <w:p w14:paraId="7300647D" w14:textId="77777777" w:rsidR="007236C2" w:rsidRPr="001D48C3" w:rsidRDefault="007236C2" w:rsidP="007236C2">
      <w:r w:rsidRPr="001D48C3">
        <w:t>where at time t, nh</w:t>
      </w:r>
      <w:r w:rsidRPr="001D48C3">
        <w:rPr>
          <w:vertAlign w:val="subscript"/>
        </w:rPr>
        <w:t>t</w:t>
      </w:r>
      <w:r w:rsidRPr="001D48C3">
        <w:rPr>
          <w:vertAlign w:val="superscript"/>
        </w:rPr>
        <w:t>T</w:t>
      </w:r>
      <w:r w:rsidRPr="001D48C3">
        <w:t xml:space="preserve"> is trend hours</w:t>
      </w:r>
      <w:r w:rsidR="00A95704" w:rsidRPr="001D48C3">
        <w:t xml:space="preserve"> worked</w:t>
      </w:r>
      <w:r w:rsidR="00FD3723" w:rsidRPr="001D48C3">
        <w:t xml:space="preserve"> and h</w:t>
      </w:r>
      <w:r w:rsidR="00FD3723" w:rsidRPr="001D48C3">
        <w:rPr>
          <w:vertAlign w:val="subscript"/>
        </w:rPr>
        <w:t>t</w:t>
      </w:r>
      <w:r w:rsidR="00FD3723" w:rsidRPr="001D48C3">
        <w:rPr>
          <w:vertAlign w:val="superscript"/>
        </w:rPr>
        <w:t>T</w:t>
      </w:r>
      <w:r w:rsidR="00FD3723" w:rsidRPr="001D48C3">
        <w:t xml:space="preserve"> is trend average hours worked</w:t>
      </w:r>
      <w:r w:rsidRPr="001D48C3">
        <w:t>.</w:t>
      </w:r>
    </w:p>
    <w:p w14:paraId="711C0485" w14:textId="77777777" w:rsidR="007236C2" w:rsidRPr="001D48C3" w:rsidRDefault="007236C2" w:rsidP="002128FD">
      <w:pPr>
        <w:pStyle w:val="Heading4"/>
      </w:pPr>
      <w:r w:rsidRPr="001D48C3">
        <w:t>Trend capital input</w:t>
      </w:r>
    </w:p>
    <w:p w14:paraId="5AE65EEC" w14:textId="78587DBB" w:rsidR="007236C2" w:rsidRPr="001D48C3" w:rsidRDefault="007236C2" w:rsidP="00C25643">
      <w:pPr>
        <w:spacing w:after="120"/>
      </w:pPr>
      <w:r w:rsidRPr="001D48C3">
        <w:t>The long</w:t>
      </w:r>
      <w:r w:rsidR="001D5BF5">
        <w:noBreakHyphen/>
      </w:r>
      <w:r w:rsidRPr="001D48C3">
        <w:t>run capital to output ratio</w:t>
      </w:r>
      <w:r w:rsidR="00326D33" w:rsidRPr="001D48C3">
        <w:t xml:space="preserve"> is assumed to be constant along the balanced growth path</w:t>
      </w:r>
      <w:r w:rsidRPr="001D48C3">
        <w:t>. In general this ratio is tied to the real cost of capital. Under the balance</w:t>
      </w:r>
      <w:r w:rsidR="00FD3723" w:rsidRPr="001D48C3">
        <w:t>d</w:t>
      </w:r>
      <w:r w:rsidRPr="001D48C3">
        <w:t xml:space="preserve"> growth rate assumption, all relative prices and the real interest rate are constant, which implies the long</w:t>
      </w:r>
      <w:r w:rsidR="001D5BF5">
        <w:noBreakHyphen/>
      </w:r>
      <w:r w:rsidRPr="001D48C3">
        <w:t>run capital</w:t>
      </w:r>
      <w:r w:rsidR="001D5BF5">
        <w:noBreakHyphen/>
      </w:r>
      <w:r w:rsidRPr="001D48C3">
        <w:t>output ratio is constant. For the purposes of this discussion assume</w:t>
      </w:r>
      <w:r w:rsidR="00182F0E" w:rsidRPr="001D48C3">
        <w:t>, without loss of generality, that</w:t>
      </w:r>
      <w:r w:rsidRPr="001D48C3">
        <w:t xml:space="preserve"> the ratio is </w:t>
      </w:r>
      <w:r w:rsidRPr="001D48C3">
        <w:rPr>
          <w:rFonts w:ascii="Symbol" w:hAnsi="Symbol"/>
        </w:rPr>
        <w:t></w:t>
      </w:r>
      <w:r w:rsidRPr="001D48C3">
        <w:rPr>
          <w:vertAlign w:val="subscript"/>
        </w:rPr>
        <w:t>k</w:t>
      </w:r>
      <w:r w:rsidRPr="001D48C3">
        <w:t>:</w:t>
      </w:r>
    </w:p>
    <w:p w14:paraId="52D46045" w14:textId="478B6F68" w:rsidR="007236C2" w:rsidRPr="001D48C3" w:rsidRDefault="005B2AA9" w:rsidP="005B2AA9">
      <w:pPr>
        <w:tabs>
          <w:tab w:val="center" w:pos="4536"/>
          <w:tab w:val="left" w:pos="7938"/>
        </w:tabs>
      </w:pPr>
      <w:r w:rsidRPr="001D48C3">
        <w:tab/>
      </w:r>
      <w:r w:rsidR="00797D5A" w:rsidRPr="001D48C3">
        <w:rPr>
          <w:position w:val="-12"/>
        </w:rPr>
        <w:object w:dxaOrig="1320" w:dyaOrig="380" w14:anchorId="6979A4C3">
          <v:shape id="_x0000_i1041" type="#_x0000_t75" alt="This equation describes the log-level of the trend capital to output ratio as a constant." style="width:64.5pt;height:19.5pt" o:ole="">
            <v:imagedata r:id="rId54" o:title=""/>
          </v:shape>
          <o:OLEObject Type="Embed" ProgID="Equation.DSMT4" ShapeID="_x0000_i1041" DrawAspect="Content" ObjectID="_1461483633" r:id="rId55"/>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10</w:instrText>
      </w:r>
      <w:r w:rsidR="00711272">
        <w:rPr>
          <w:noProof/>
        </w:rPr>
        <w:fldChar w:fldCharType="end"/>
      </w:r>
      <w:r w:rsidR="007236C2" w:rsidRPr="001D48C3">
        <w:instrText>)</w:instrText>
      </w:r>
      <w:r w:rsidR="007236C2" w:rsidRPr="001D48C3">
        <w:fldChar w:fldCharType="end"/>
      </w:r>
    </w:p>
    <w:p w14:paraId="387E1D6B" w14:textId="77777777" w:rsidR="007236C2" w:rsidRPr="001D48C3" w:rsidRDefault="007236C2" w:rsidP="00237D09">
      <w:pPr>
        <w:spacing w:after="120"/>
      </w:pPr>
      <w:r w:rsidRPr="001D48C3">
        <w:t xml:space="preserve">Substituting </w:t>
      </w:r>
      <w:r w:rsidR="00225EA3" w:rsidRPr="001D48C3">
        <w:t xml:space="preserve">equation </w:t>
      </w:r>
      <w:r w:rsidRPr="001D48C3">
        <w:t>(</w:t>
      </w:r>
      <w:r w:rsidR="00225EA3" w:rsidRPr="001D48C3">
        <w:t>10</w:t>
      </w:r>
      <w:r w:rsidRPr="001D48C3">
        <w:t>) into (</w:t>
      </w:r>
      <w:r w:rsidR="00225EA3" w:rsidRPr="001D48C3">
        <w:t>6</w:t>
      </w:r>
      <w:r w:rsidRPr="001D48C3">
        <w:t>) implies the following expression for potential output:</w:t>
      </w:r>
    </w:p>
    <w:p w14:paraId="593B705B" w14:textId="4B3DB92E" w:rsidR="007236C2" w:rsidRPr="001D48C3" w:rsidRDefault="005B2AA9" w:rsidP="005B2AA9">
      <w:pPr>
        <w:tabs>
          <w:tab w:val="center" w:pos="4536"/>
          <w:tab w:val="left" w:pos="7938"/>
        </w:tabs>
      </w:pPr>
      <w:r w:rsidRPr="001D48C3">
        <w:tab/>
      </w:r>
      <w:r w:rsidR="00F865ED" w:rsidRPr="001D48C3">
        <w:rPr>
          <w:position w:val="-12"/>
        </w:rPr>
        <w:object w:dxaOrig="2840" w:dyaOrig="380" w14:anchorId="7AB2C88B">
          <v:shape id="_x0000_i1042" type="#_x0000_t75" alt="This equation describes the log-level of trend output as a linear function of the log-level of effective labour and a constant." style="width:142.5pt;height:19.5pt" o:ole="">
            <v:imagedata r:id="rId56" o:title=""/>
          </v:shape>
          <o:OLEObject Type="Embed" ProgID="Equation.DSMT4" ShapeID="_x0000_i1042" DrawAspect="Content" ObjectID="_1461483634" r:id="rId57"/>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w:instrText>
      </w:r>
      <w:r w:rsidR="00711272">
        <w:instrText xml:space="preserve">Arabic \* MERGEFORMAT </w:instrText>
      </w:r>
      <w:r w:rsidR="00711272">
        <w:fldChar w:fldCharType="separate"/>
      </w:r>
      <w:r w:rsidR="00C65A3D">
        <w:rPr>
          <w:noProof/>
        </w:rPr>
        <w:instrText>11</w:instrText>
      </w:r>
      <w:r w:rsidR="00711272">
        <w:rPr>
          <w:noProof/>
        </w:rPr>
        <w:fldChar w:fldCharType="end"/>
      </w:r>
      <w:r w:rsidR="007236C2" w:rsidRPr="001D48C3">
        <w:instrText>)</w:instrText>
      </w:r>
      <w:r w:rsidR="007236C2" w:rsidRPr="001D48C3">
        <w:fldChar w:fldCharType="end"/>
      </w:r>
    </w:p>
    <w:p w14:paraId="58522EC5" w14:textId="77777777" w:rsidR="007236C2" w:rsidRPr="001D48C3" w:rsidRDefault="007236C2" w:rsidP="002128FD">
      <w:pPr>
        <w:pStyle w:val="Heading4"/>
      </w:pPr>
      <w:r w:rsidRPr="001D48C3">
        <w:lastRenderedPageBreak/>
        <w:t>Trend labour productivity</w:t>
      </w:r>
    </w:p>
    <w:p w14:paraId="63D921FE" w14:textId="77777777" w:rsidR="007236C2" w:rsidRPr="001D48C3" w:rsidRDefault="007236C2" w:rsidP="00237D09">
      <w:pPr>
        <w:tabs>
          <w:tab w:val="left" w:pos="7938"/>
        </w:tabs>
        <w:spacing w:after="120"/>
      </w:pPr>
      <w:r w:rsidRPr="001D48C3">
        <w:t>Equation (</w:t>
      </w:r>
      <w:r w:rsidR="00430F48" w:rsidRPr="001D48C3">
        <w:t>11</w:t>
      </w:r>
      <w:r w:rsidRPr="001D48C3">
        <w:t>) can be rearranged to show that the level of trend labour productivity is equal to the level of labour augmenting technological progress plus a constant:</w:t>
      </w:r>
    </w:p>
    <w:p w14:paraId="1BF9F2BB" w14:textId="19F5EFBB" w:rsidR="007236C2" w:rsidRPr="001D48C3" w:rsidRDefault="005B2AA9" w:rsidP="005B2AA9">
      <w:pPr>
        <w:tabs>
          <w:tab w:val="center" w:pos="4536"/>
          <w:tab w:val="left" w:pos="7938"/>
        </w:tabs>
      </w:pPr>
      <w:r w:rsidRPr="001D48C3">
        <w:tab/>
      </w:r>
      <w:r w:rsidR="00F865ED" w:rsidRPr="001D48C3">
        <w:rPr>
          <w:position w:val="-32"/>
        </w:rPr>
        <w:object w:dxaOrig="2659" w:dyaOrig="760" w14:anchorId="37C4786E">
          <v:shape id="_x0000_i1043" type="#_x0000_t75" alt="This equation rewrites equation 11 with the log-level of total hours on the left hand side to demonstrate that labour augmenting technological progress is equal to the log-level of trend productivity plus a constant." style="width:133.5pt;height:37.5pt" o:ole="">
            <v:imagedata r:id="rId58" o:title=""/>
          </v:shape>
          <o:OLEObject Type="Embed" ProgID="Equation.DSMT4" ShapeID="_x0000_i1043" DrawAspect="Content" ObjectID="_1461483635" r:id="rId59"/>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12</w:instrText>
      </w:r>
      <w:r w:rsidR="00711272">
        <w:rPr>
          <w:noProof/>
        </w:rPr>
        <w:fldChar w:fldCharType="end"/>
      </w:r>
      <w:r w:rsidR="007236C2" w:rsidRPr="001D48C3">
        <w:instrText>)</w:instrText>
      </w:r>
      <w:r w:rsidR="007236C2" w:rsidRPr="001D48C3">
        <w:fldChar w:fldCharType="end"/>
      </w:r>
    </w:p>
    <w:p w14:paraId="5EE1A129" w14:textId="77777777" w:rsidR="007236C2" w:rsidRPr="001D48C3" w:rsidRDefault="007236C2" w:rsidP="002128FD">
      <w:pPr>
        <w:pStyle w:val="Heading4"/>
      </w:pPr>
      <w:r w:rsidRPr="001D48C3">
        <w:t>Growth rate of potential output</w:t>
      </w:r>
    </w:p>
    <w:p w14:paraId="10F088B3" w14:textId="77777777" w:rsidR="007236C2" w:rsidRPr="001D48C3" w:rsidRDefault="007236C2" w:rsidP="00237D09">
      <w:pPr>
        <w:spacing w:after="120"/>
      </w:pPr>
      <w:r w:rsidRPr="001D48C3">
        <w:t>When differenced</w:t>
      </w:r>
      <w:r w:rsidR="00FD3723" w:rsidRPr="001D48C3">
        <w:t>,</w:t>
      </w:r>
      <w:r w:rsidRPr="001D48C3">
        <w:t xml:space="preserve"> </w:t>
      </w:r>
      <w:r w:rsidR="005E56CB" w:rsidRPr="001D48C3">
        <w:t xml:space="preserve">equation </w:t>
      </w:r>
      <w:r w:rsidRPr="001D48C3">
        <w:t>(1</w:t>
      </w:r>
      <w:r w:rsidR="00225EA3" w:rsidRPr="001D48C3">
        <w:t>1</w:t>
      </w:r>
      <w:r w:rsidRPr="001D48C3">
        <w:t>) demonstrates balance</w:t>
      </w:r>
      <w:r w:rsidR="00BF26AC" w:rsidRPr="001D48C3">
        <w:t>d</w:t>
      </w:r>
      <w:r w:rsidRPr="001D48C3">
        <w:t xml:space="preserve"> growth </w:t>
      </w:r>
      <w:r w:rsidR="00BF26AC" w:rsidRPr="001D48C3">
        <w:t>and</w:t>
      </w:r>
      <w:r w:rsidRPr="001D48C3">
        <w:t xml:space="preserve"> </w:t>
      </w:r>
      <w:r w:rsidR="003D1BD6" w:rsidRPr="001D48C3">
        <w:t xml:space="preserve">that </w:t>
      </w:r>
      <w:r w:rsidRPr="001D48C3">
        <w:t xml:space="preserve">the </w:t>
      </w:r>
      <w:r w:rsidR="00872C41" w:rsidRPr="001D48C3">
        <w:t xml:space="preserve">annual </w:t>
      </w:r>
      <w:r w:rsidRPr="001D48C3">
        <w:t>growth rate of potential output (</w:t>
      </w:r>
      <w:r w:rsidRPr="001D48C3">
        <w:rPr>
          <w:rFonts w:ascii="Symbol" w:hAnsi="Symbol"/>
        </w:rPr>
        <w:t></w:t>
      </w:r>
      <w:r w:rsidRPr="001D48C3">
        <w:t xml:space="preserve">) is equal to the </w:t>
      </w:r>
      <w:r w:rsidR="00D43942" w:rsidRPr="001D48C3">
        <w:t xml:space="preserve">annual </w:t>
      </w:r>
      <w:r w:rsidRPr="001D48C3">
        <w:t>growth rate of labour augmenting technological progress (</w:t>
      </w:r>
      <w:r w:rsidRPr="001D48C3">
        <w:rPr>
          <w:rFonts w:ascii="Symbol" w:hAnsi="Symbol"/>
        </w:rPr>
        <w:t></w:t>
      </w:r>
      <w:r w:rsidRPr="001D48C3">
        <w:t xml:space="preserve">) plus the </w:t>
      </w:r>
      <w:r w:rsidR="00872C41" w:rsidRPr="001D48C3">
        <w:t xml:space="preserve">annual </w:t>
      </w:r>
      <w:r w:rsidRPr="001D48C3">
        <w:t xml:space="preserve">growth rate of trend employment, which in turn is equal to </w:t>
      </w:r>
      <w:r w:rsidR="00BD58BB" w:rsidRPr="001D48C3">
        <w:t xml:space="preserve">the </w:t>
      </w:r>
      <w:r w:rsidRPr="001D48C3">
        <w:t xml:space="preserve">sum of the </w:t>
      </w:r>
      <w:r w:rsidR="00872C41" w:rsidRPr="001D48C3">
        <w:t xml:space="preserve">annual </w:t>
      </w:r>
      <w:r w:rsidRPr="001D48C3">
        <w:t>growth rate of trend labour force and trend average hours</w:t>
      </w:r>
      <w:r w:rsidR="00A95704" w:rsidRPr="001D48C3">
        <w:t xml:space="preserve"> worked</w:t>
      </w:r>
      <w:r w:rsidRPr="001D48C3">
        <w:t>:</w:t>
      </w:r>
    </w:p>
    <w:p w14:paraId="76B8F698" w14:textId="0AFAA07E" w:rsidR="007236C2" w:rsidRPr="001D48C3" w:rsidRDefault="005B2AA9" w:rsidP="005B2AA9">
      <w:pPr>
        <w:tabs>
          <w:tab w:val="center" w:pos="4536"/>
          <w:tab w:val="left" w:pos="7938"/>
        </w:tabs>
      </w:pPr>
      <w:r w:rsidRPr="001D48C3">
        <w:tab/>
      </w:r>
      <w:r w:rsidR="00F865ED" w:rsidRPr="001D48C3">
        <w:rPr>
          <w:position w:val="-90"/>
        </w:rPr>
        <w:object w:dxaOrig="3360" w:dyaOrig="1960" w14:anchorId="074CD813">
          <v:shape id="_x0000_i1044" type="#_x0000_t75" alt="This equation differences equation 11 to demonstrate that the trend growth rate of output is equal to the sum of the growth rates for trend productivity, trend labour hours, trend labour force participation rate and working age population." style="width:166.5pt;height:100.5pt;mso-position-horizontal:absolute" o:ole="">
            <v:imagedata r:id="rId60" o:title=""/>
          </v:shape>
          <o:OLEObject Type="Embed" ProgID="Equation.DSMT4" ShapeID="_x0000_i1044" DrawAspect="Content" ObjectID="_1461483636" r:id="rId61"/>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13</w:instrText>
      </w:r>
      <w:r w:rsidR="00711272">
        <w:rPr>
          <w:noProof/>
        </w:rPr>
        <w:fldChar w:fldCharType="end"/>
      </w:r>
      <w:r w:rsidR="007236C2" w:rsidRPr="001D48C3">
        <w:instrText>)</w:instrText>
      </w:r>
      <w:r w:rsidR="007236C2" w:rsidRPr="001D48C3">
        <w:fldChar w:fldCharType="end"/>
      </w:r>
    </w:p>
    <w:p w14:paraId="30D90E92" w14:textId="61FEA538" w:rsidR="007236C2" w:rsidRPr="001D48C3" w:rsidRDefault="007236C2" w:rsidP="007236C2">
      <w:pPr>
        <w:tabs>
          <w:tab w:val="left" w:pos="7938"/>
        </w:tabs>
      </w:pPr>
      <w:r w:rsidRPr="001D48C3">
        <w:t xml:space="preserve">The second to last result underpins </w:t>
      </w:r>
      <w:r w:rsidRPr="001D48C3">
        <w:rPr>
          <w:i/>
        </w:rPr>
        <w:t>the three Ps</w:t>
      </w:r>
      <w:r w:rsidRPr="001D48C3">
        <w:t xml:space="preserve"> framework</w:t>
      </w:r>
      <w:r w:rsidR="00073551" w:rsidRPr="001D48C3">
        <w:t xml:space="preserve"> — </w:t>
      </w:r>
      <w:r w:rsidR="00A436B8" w:rsidRPr="001D48C3">
        <w:t>productivity, participation and population</w:t>
      </w:r>
      <w:r w:rsidR="00073551" w:rsidRPr="001D48C3">
        <w:t xml:space="preserve"> — </w:t>
      </w:r>
      <w:r w:rsidRPr="001D48C3">
        <w:t>used in the Australian Government</w:t>
      </w:r>
      <w:r w:rsidR="001D5BF5">
        <w:t>’</w:t>
      </w:r>
      <w:r w:rsidRPr="001D48C3">
        <w:t xml:space="preserve">s Intergenerational Report (IGR) (see Australian Government, 2010). </w:t>
      </w:r>
      <w:r w:rsidR="007F59F3" w:rsidRPr="001D48C3">
        <w:t>T</w:t>
      </w:r>
      <w:r w:rsidRPr="001D48C3">
        <w:t>he growth rate of potential output is equal to the sum of the growth rates of labour productivity, labour force participation</w:t>
      </w:r>
      <w:r w:rsidR="007F59F3" w:rsidRPr="001D48C3">
        <w:t>, average hours worked</w:t>
      </w:r>
      <w:r w:rsidRPr="001D48C3">
        <w:t xml:space="preserve"> and the working age population. With estimates of the growth rates of labour augmenting technological progress, labour force and hours in hand, potential output is simply forecast by growing the historical trend level by the estimated growth rate of potential output given by </w:t>
      </w:r>
      <w:r w:rsidR="00225EA3" w:rsidRPr="001D48C3">
        <w:t xml:space="preserve">equation </w:t>
      </w:r>
      <w:r w:rsidRPr="001D48C3">
        <w:t>(</w:t>
      </w:r>
      <w:r w:rsidR="007F59F3" w:rsidRPr="001D48C3">
        <w:t>1</w:t>
      </w:r>
      <w:r w:rsidR="00225EA3" w:rsidRPr="001D48C3">
        <w:t>3</w:t>
      </w:r>
      <w:r w:rsidRPr="001D48C3">
        <w:t>).</w:t>
      </w:r>
    </w:p>
    <w:p w14:paraId="1210B95B" w14:textId="77777777" w:rsidR="007236C2" w:rsidRPr="001D48C3" w:rsidRDefault="00BF26AC" w:rsidP="00D3016A">
      <w:pPr>
        <w:pStyle w:val="Heading3"/>
      </w:pPr>
      <w:r w:rsidRPr="001D48C3">
        <w:t>The output gap</w:t>
      </w:r>
    </w:p>
    <w:p w14:paraId="26A38205" w14:textId="231C54D9" w:rsidR="007236C2" w:rsidRPr="001D48C3" w:rsidRDefault="007236C2" w:rsidP="00C25643">
      <w:pPr>
        <w:tabs>
          <w:tab w:val="right" w:pos="7938"/>
        </w:tabs>
        <w:spacing w:after="120"/>
        <w:rPr>
          <w:lang w:eastAsia="en-AU"/>
        </w:rPr>
      </w:pPr>
      <w:r w:rsidRPr="001D48C3">
        <w:rPr>
          <w:lang w:eastAsia="en-AU"/>
        </w:rPr>
        <w:t xml:space="preserve">In contrast to </w:t>
      </w:r>
      <w:r w:rsidR="00FD3723" w:rsidRPr="001D48C3">
        <w:rPr>
          <w:lang w:eastAsia="en-AU"/>
        </w:rPr>
        <w:t xml:space="preserve">the </w:t>
      </w:r>
      <w:r w:rsidRPr="001D48C3">
        <w:rPr>
          <w:lang w:eastAsia="en-AU"/>
        </w:rPr>
        <w:t>strong theoretical assumptions underlying potential output, the methodology relies heavily on empirical methods when modelling cyclical aspects of the framework. For ease of exposition to a non</w:t>
      </w:r>
      <w:r w:rsidR="001D5BF5">
        <w:rPr>
          <w:lang w:eastAsia="en-AU"/>
        </w:rPr>
        <w:noBreakHyphen/>
      </w:r>
      <w:r w:rsidRPr="001D48C3">
        <w:rPr>
          <w:lang w:eastAsia="en-AU"/>
        </w:rPr>
        <w:t>technical audience, and without any loss of generality, the output gap (i.e., cyclical output) is modelled directly, rather than constructing it in a similar way to potential output as the sum of cyclical labour productivity, hours and employment. The output gap at the end of the forecast period is estimated as the deviation of forecast output from forecast potential output:</w:t>
      </w:r>
    </w:p>
    <w:p w14:paraId="69BFC8DD" w14:textId="4BEBC728" w:rsidR="007236C2" w:rsidRPr="001D48C3" w:rsidRDefault="005B2AA9" w:rsidP="005B2AA9">
      <w:pPr>
        <w:tabs>
          <w:tab w:val="center" w:pos="4536"/>
          <w:tab w:val="left" w:pos="7938"/>
        </w:tabs>
      </w:pPr>
      <w:r w:rsidRPr="001D48C3">
        <w:tab/>
      </w:r>
      <w:r w:rsidR="00F865ED" w:rsidRPr="001D48C3">
        <w:rPr>
          <w:position w:val="-12"/>
        </w:rPr>
        <w:object w:dxaOrig="1200" w:dyaOrig="380" w14:anchorId="2A0A08A7">
          <v:shape id="_x0000_i1045" type="#_x0000_t75" alt="This equation describes cyclical output as the difference between the log-level of actual output and the log-level of trend output." style="width:61.5pt;height:19.5pt" o:ole="">
            <v:imagedata r:id="rId62" o:title=""/>
          </v:shape>
          <o:OLEObject Type="Embed" ProgID="Equation.DSMT4" ShapeID="_x0000_i1045" DrawAspect="Content" ObjectID="_1461483637" r:id="rId63"/>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w:instrText>
      </w:r>
      <w:r w:rsidR="00711272">
        <w:instrText xml:space="preserve">ERGEFORMAT </w:instrText>
      </w:r>
      <w:r w:rsidR="00711272">
        <w:fldChar w:fldCharType="separate"/>
      </w:r>
      <w:r w:rsidR="00C65A3D">
        <w:rPr>
          <w:noProof/>
        </w:rPr>
        <w:instrText>14</w:instrText>
      </w:r>
      <w:r w:rsidR="00711272">
        <w:rPr>
          <w:noProof/>
        </w:rPr>
        <w:fldChar w:fldCharType="end"/>
      </w:r>
      <w:r w:rsidR="007236C2" w:rsidRPr="001D48C3">
        <w:instrText>)</w:instrText>
      </w:r>
      <w:r w:rsidR="007236C2" w:rsidRPr="001D48C3">
        <w:fldChar w:fldCharType="end"/>
      </w:r>
    </w:p>
    <w:p w14:paraId="7D89B853" w14:textId="77777777" w:rsidR="007236C2" w:rsidRPr="001D48C3" w:rsidRDefault="007236C2" w:rsidP="007236C2">
      <w:pPr>
        <w:rPr>
          <w:lang w:eastAsia="en-AU"/>
        </w:rPr>
      </w:pPr>
      <w:r w:rsidRPr="001D48C3">
        <w:rPr>
          <w:lang w:eastAsia="en-AU"/>
        </w:rPr>
        <w:t>where at time t, y</w:t>
      </w:r>
      <w:r w:rsidRPr="001D48C3">
        <w:rPr>
          <w:vertAlign w:val="subscript"/>
          <w:lang w:eastAsia="en-AU"/>
        </w:rPr>
        <w:t>t</w:t>
      </w:r>
      <w:r w:rsidRPr="001D48C3">
        <w:rPr>
          <w:vertAlign w:val="superscript"/>
          <w:lang w:eastAsia="en-AU"/>
        </w:rPr>
        <w:t>c</w:t>
      </w:r>
      <w:r w:rsidRPr="001D48C3">
        <w:rPr>
          <w:lang w:eastAsia="en-AU"/>
        </w:rPr>
        <w:t xml:space="preserve"> is cyclical output, which is more commonly referred to as the output gap, with a positive/negative gap indicating the economy is operating above/below its potential.</w:t>
      </w:r>
    </w:p>
    <w:p w14:paraId="27713387" w14:textId="77777777" w:rsidR="007236C2" w:rsidRPr="001D48C3" w:rsidRDefault="007236C2" w:rsidP="00C25643">
      <w:pPr>
        <w:tabs>
          <w:tab w:val="left" w:pos="7938"/>
        </w:tabs>
        <w:spacing w:after="120"/>
      </w:pPr>
      <w:r w:rsidRPr="001D48C3">
        <w:t>This approach implies the following forecast of real output growth:</w:t>
      </w:r>
    </w:p>
    <w:p w14:paraId="3CD280C2" w14:textId="2F442B04" w:rsidR="007236C2" w:rsidRPr="001D48C3" w:rsidRDefault="005B2AA9" w:rsidP="005B2AA9">
      <w:pPr>
        <w:tabs>
          <w:tab w:val="center" w:pos="4536"/>
          <w:tab w:val="left" w:pos="7938"/>
        </w:tabs>
      </w:pPr>
      <w:r w:rsidRPr="001D48C3">
        <w:tab/>
      </w:r>
      <w:r w:rsidR="00F865ED" w:rsidRPr="001D48C3">
        <w:rPr>
          <w:position w:val="-32"/>
        </w:rPr>
        <w:object w:dxaOrig="1680" w:dyaOrig="760" w14:anchorId="5DFAA789">
          <v:shape id="_x0000_i1046" type="#_x0000_t75" alt="This equation describes the growth of actual output as the sum of the growth rates of trend and cyclical output." style="width:84pt;height:37.5pt" o:ole="">
            <v:imagedata r:id="rId64" o:title=""/>
          </v:shape>
          <o:OLEObject Type="Embed" ProgID="Equation.DSMT4" ShapeID="_x0000_i1046" DrawAspect="Content" ObjectID="_1461483638" r:id="rId65"/>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15</w:instrText>
      </w:r>
      <w:r w:rsidR="00711272">
        <w:rPr>
          <w:noProof/>
        </w:rPr>
        <w:fldChar w:fldCharType="end"/>
      </w:r>
      <w:r w:rsidR="007236C2" w:rsidRPr="001D48C3">
        <w:instrText>)</w:instrText>
      </w:r>
      <w:r w:rsidR="007236C2" w:rsidRPr="001D48C3">
        <w:fldChar w:fldCharType="end"/>
      </w:r>
    </w:p>
    <w:p w14:paraId="72A26D96" w14:textId="77777777" w:rsidR="007236C2" w:rsidRPr="001D48C3" w:rsidRDefault="007236C2" w:rsidP="007236C2">
      <w:pPr>
        <w:tabs>
          <w:tab w:val="left" w:pos="7938"/>
        </w:tabs>
      </w:pPr>
      <w:r w:rsidRPr="001D48C3">
        <w:lastRenderedPageBreak/>
        <w:t xml:space="preserve">From this expression it is easy to see that forecasts of real output growth will be above the trend growth rate when the </w:t>
      </w:r>
      <w:r w:rsidR="007B026E" w:rsidRPr="001D48C3">
        <w:t>output</w:t>
      </w:r>
      <w:r w:rsidRPr="001D48C3">
        <w:t xml:space="preserve"> gap is negative</w:t>
      </w:r>
      <w:r w:rsidR="007B026E" w:rsidRPr="001D48C3">
        <w:t xml:space="preserve"> and closing</w:t>
      </w:r>
      <w:r w:rsidRPr="001D48C3">
        <w:t xml:space="preserve"> (i.e., </w:t>
      </w:r>
      <w:r w:rsidRPr="001D48C3">
        <w:rPr>
          <w:position w:val="-12"/>
        </w:rPr>
        <w:object w:dxaOrig="420" w:dyaOrig="380" w14:anchorId="73FA2DCD">
          <v:shape id="_x0000_i1047" type="#_x0000_t75" style="width:21.75pt;height:19.5pt" o:ole="">
            <v:imagedata r:id="rId66" o:title=""/>
          </v:shape>
          <o:OLEObject Type="Embed" ProgID="Equation.DSMT4" ShapeID="_x0000_i1047" DrawAspect="Content" ObjectID="_1461483639" r:id="rId67"/>
        </w:object>
      </w:r>
      <w:r w:rsidRPr="001D48C3">
        <w:t xml:space="preserve">&gt;0) and below the trend growth rate when the </w:t>
      </w:r>
      <w:r w:rsidR="007B026E" w:rsidRPr="001D48C3">
        <w:t>output</w:t>
      </w:r>
      <w:r w:rsidRPr="001D48C3">
        <w:t xml:space="preserve"> gap is positive</w:t>
      </w:r>
      <w:r w:rsidR="007B026E" w:rsidRPr="001D48C3">
        <w:t xml:space="preserve"> and closing</w:t>
      </w:r>
      <w:r w:rsidRPr="001D48C3">
        <w:t xml:space="preserve"> (i.e., </w:t>
      </w:r>
      <w:r w:rsidRPr="001D48C3">
        <w:rPr>
          <w:position w:val="-12"/>
        </w:rPr>
        <w:object w:dxaOrig="420" w:dyaOrig="380" w14:anchorId="5FBBF50D">
          <v:shape id="_x0000_i1048" type="#_x0000_t75" style="width:21.75pt;height:19.5pt" o:ole="">
            <v:imagedata r:id="rId66" o:title=""/>
          </v:shape>
          <o:OLEObject Type="Embed" ProgID="Equation.DSMT4" ShapeID="_x0000_i1048" DrawAspect="Content" ObjectID="_1461483640" r:id="rId68"/>
        </w:object>
      </w:r>
      <w:r w:rsidRPr="001D48C3">
        <w:t xml:space="preserve">&lt;0). </w:t>
      </w:r>
    </w:p>
    <w:p w14:paraId="5C530EE6" w14:textId="77777777" w:rsidR="007236C2" w:rsidRPr="001D48C3" w:rsidRDefault="00F10126" w:rsidP="001D5BF5">
      <w:pPr>
        <w:tabs>
          <w:tab w:val="left" w:pos="7938"/>
        </w:tabs>
        <w:spacing w:after="120"/>
      </w:pPr>
      <w:r w:rsidRPr="001D48C3">
        <w:t>We assume</w:t>
      </w:r>
      <w:r w:rsidR="007236C2" w:rsidRPr="001D48C3">
        <w:t xml:space="preserve"> a </w:t>
      </w:r>
      <w:r w:rsidR="00A436B8" w:rsidRPr="001D48C3">
        <w:t xml:space="preserve">simple </w:t>
      </w:r>
      <w:r w:rsidR="007236C2" w:rsidRPr="001D48C3">
        <w:t xml:space="preserve">real output growth rate rule over the cyclical adjustment period, </w:t>
      </w:r>
      <w:r w:rsidRPr="001D48C3">
        <w:t>such</w:t>
      </w:r>
      <w:r w:rsidR="00D43942" w:rsidRPr="001D48C3">
        <w:t xml:space="preserve"> that</w:t>
      </w:r>
      <w:r w:rsidRPr="001D48C3">
        <w:t>:</w:t>
      </w:r>
    </w:p>
    <w:p w14:paraId="796F6DAF" w14:textId="77777777" w:rsidR="007236C2" w:rsidRPr="001D48C3" w:rsidRDefault="00F10126" w:rsidP="005E7582">
      <w:pPr>
        <w:pStyle w:val="NumberedParagraph"/>
        <w:numPr>
          <w:ilvl w:val="0"/>
          <w:numId w:val="29"/>
        </w:numPr>
      </w:pPr>
      <w:r w:rsidRPr="001D48C3">
        <w:t xml:space="preserve">the </w:t>
      </w:r>
      <w:r w:rsidR="00E715A3" w:rsidRPr="001D48C3">
        <w:t>output</w:t>
      </w:r>
      <w:r w:rsidRPr="001D48C3">
        <w:t xml:space="preserve"> gap closes </w:t>
      </w:r>
      <w:r w:rsidR="007236C2" w:rsidRPr="001D48C3">
        <w:t xml:space="preserve">over a fixed period; and </w:t>
      </w:r>
    </w:p>
    <w:p w14:paraId="42CFD480" w14:textId="77777777" w:rsidR="007236C2" w:rsidRPr="001D48C3" w:rsidRDefault="00F10126" w:rsidP="001D5BF5">
      <w:pPr>
        <w:pStyle w:val="NumberedParagraph"/>
        <w:numPr>
          <w:ilvl w:val="0"/>
          <w:numId w:val="29"/>
        </w:numPr>
        <w:spacing w:after="200"/>
      </w:pPr>
      <w:r w:rsidRPr="001D48C3">
        <w:t>with</w:t>
      </w:r>
      <w:r w:rsidR="007236C2" w:rsidRPr="001D48C3">
        <w:rPr>
          <w:lang w:eastAsia="en-AU"/>
        </w:rPr>
        <w:t xml:space="preserve"> a constant real output growth rate over </w:t>
      </w:r>
      <w:r w:rsidRPr="001D48C3">
        <w:rPr>
          <w:lang w:eastAsia="en-AU"/>
        </w:rPr>
        <w:t>that time</w:t>
      </w:r>
      <w:r w:rsidR="007236C2" w:rsidRPr="001D48C3">
        <w:rPr>
          <w:lang w:eastAsia="en-AU"/>
        </w:rPr>
        <w:t xml:space="preserve">. </w:t>
      </w:r>
    </w:p>
    <w:p w14:paraId="3A180AFE" w14:textId="77777777" w:rsidR="007236C2" w:rsidRPr="001D48C3" w:rsidRDefault="007236C2" w:rsidP="007236C2">
      <w:pPr>
        <w:tabs>
          <w:tab w:val="left" w:pos="7938"/>
        </w:tabs>
      </w:pPr>
      <w:r w:rsidRPr="001D48C3">
        <w:rPr>
          <w:lang w:eastAsia="en-AU"/>
        </w:rPr>
        <w:t xml:space="preserve">The empirical methods employed in this paper generate an asymmetric cycle </w:t>
      </w:r>
      <w:r w:rsidR="00F10126" w:rsidRPr="001D48C3">
        <w:rPr>
          <w:lang w:eastAsia="en-AU"/>
        </w:rPr>
        <w:t xml:space="preserve">in </w:t>
      </w:r>
      <w:r w:rsidRPr="001D48C3">
        <w:rPr>
          <w:lang w:eastAsia="en-AU"/>
        </w:rPr>
        <w:t xml:space="preserve">which </w:t>
      </w:r>
      <w:r w:rsidR="00F10126" w:rsidRPr="001D48C3">
        <w:rPr>
          <w:lang w:eastAsia="en-AU"/>
        </w:rPr>
        <w:t>output is more often below potential than above it</w:t>
      </w:r>
      <w:r w:rsidRPr="001D48C3">
        <w:rPr>
          <w:lang w:eastAsia="en-AU"/>
        </w:rPr>
        <w:t xml:space="preserve">, so output gaps are largely a reflection of under rather than over utilisation. Historical estimates of Australian output </w:t>
      </w:r>
      <w:r w:rsidR="00F10126" w:rsidRPr="001D48C3">
        <w:rPr>
          <w:lang w:eastAsia="en-AU"/>
        </w:rPr>
        <w:t xml:space="preserve">and unemployment </w:t>
      </w:r>
      <w:r w:rsidRPr="001D48C3">
        <w:rPr>
          <w:lang w:eastAsia="en-AU"/>
        </w:rPr>
        <w:t xml:space="preserve">gaps suggest the interval from business cycle trough back to trend is around five years, so </w:t>
      </w:r>
      <w:r w:rsidR="00F10126" w:rsidRPr="001D48C3">
        <w:rPr>
          <w:lang w:eastAsia="en-AU"/>
        </w:rPr>
        <w:t xml:space="preserve">we assume the cyclical adjustment </w:t>
      </w:r>
      <w:r w:rsidRPr="001D48C3">
        <w:rPr>
          <w:lang w:eastAsia="en-AU"/>
        </w:rPr>
        <w:t xml:space="preserve">period is five years. </w:t>
      </w:r>
      <w:r w:rsidR="00F10126" w:rsidRPr="001D48C3">
        <w:rPr>
          <w:lang w:eastAsia="en-AU"/>
        </w:rPr>
        <w:t xml:space="preserve">This </w:t>
      </w:r>
      <w:r w:rsidRPr="001D48C3">
        <w:rPr>
          <w:lang w:eastAsia="en-AU"/>
        </w:rPr>
        <w:t>choice is made irrespective of the state of the business cycle. In doing so, the approach does not assume the end of the forecast period reflects a business cycle trough or peak.</w:t>
      </w:r>
    </w:p>
    <w:p w14:paraId="476A799B" w14:textId="77777777" w:rsidR="007236C2" w:rsidRPr="001D48C3" w:rsidRDefault="007236C2" w:rsidP="00C25643">
      <w:pPr>
        <w:spacing w:after="120"/>
        <w:rPr>
          <w:lang w:eastAsia="en-AU"/>
        </w:rPr>
      </w:pPr>
      <w:r w:rsidRPr="001D48C3">
        <w:rPr>
          <w:lang w:eastAsia="en-AU"/>
        </w:rPr>
        <w:t xml:space="preserve">An alternative approach would be to follow Stone, Wheatley and Wilkinson (2005), and many others in the business cycle literature, by assuming that the output gap is a stationary, first order autoregressive </w:t>
      </w:r>
      <w:r w:rsidR="00F10126" w:rsidRPr="001D48C3">
        <w:rPr>
          <w:lang w:eastAsia="en-AU"/>
        </w:rPr>
        <w:t>process</w:t>
      </w:r>
      <w:r w:rsidRPr="001D48C3">
        <w:rPr>
          <w:lang w:eastAsia="en-AU"/>
        </w:rPr>
        <w:t>:</w:t>
      </w:r>
    </w:p>
    <w:p w14:paraId="5AC80626" w14:textId="6532F7FE" w:rsidR="00704ACC" w:rsidRPr="001D48C3" w:rsidRDefault="005B2AA9" w:rsidP="005B2AA9">
      <w:pPr>
        <w:tabs>
          <w:tab w:val="center" w:pos="4536"/>
          <w:tab w:val="left" w:pos="7938"/>
        </w:tabs>
      </w:pPr>
      <w:r w:rsidRPr="001D48C3">
        <w:tab/>
      </w:r>
      <w:r w:rsidR="00F865ED" w:rsidRPr="001D48C3">
        <w:rPr>
          <w:position w:val="-14"/>
        </w:rPr>
        <w:object w:dxaOrig="1579" w:dyaOrig="400" w14:anchorId="48B4DCFF">
          <v:shape id="_x0000_i1049" type="#_x0000_t75" alt="This equation describes cyclical output (that is, the output gap) as a first-order autoregressive process." style="width:80.25pt;height:19.5pt" o:ole="">
            <v:imagedata r:id="rId69" o:title=""/>
          </v:shape>
          <o:OLEObject Type="Embed" ProgID="Equation.DSMT4" ShapeID="_x0000_i1049" DrawAspect="Content" ObjectID="_1461483641" r:id="rId70"/>
        </w:object>
      </w:r>
      <w:r w:rsidR="00704ACC" w:rsidRPr="001D48C3">
        <w:tab/>
      </w:r>
      <w:r w:rsidR="00704ACC" w:rsidRPr="001D48C3">
        <w:tab/>
      </w:r>
      <w:r w:rsidR="00704ACC" w:rsidRPr="001D48C3">
        <w:fldChar w:fldCharType="begin"/>
      </w:r>
      <w:r w:rsidR="00704ACC"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04ACC"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16</w:instrText>
      </w:r>
      <w:r w:rsidR="00711272">
        <w:rPr>
          <w:noProof/>
        </w:rPr>
        <w:fldChar w:fldCharType="end"/>
      </w:r>
      <w:r w:rsidR="00704ACC" w:rsidRPr="001D48C3">
        <w:instrText>)</w:instrText>
      </w:r>
      <w:r w:rsidR="00704ACC" w:rsidRPr="001D48C3">
        <w:fldChar w:fldCharType="end"/>
      </w:r>
    </w:p>
    <w:p w14:paraId="46A0CDA6" w14:textId="77777777" w:rsidR="007236C2" w:rsidRPr="001D48C3" w:rsidRDefault="007236C2" w:rsidP="007236C2">
      <w:r w:rsidRPr="001D48C3">
        <w:t>where 0&lt;</w:t>
      </w:r>
      <w:r w:rsidRPr="001D48C3">
        <w:rPr>
          <w:position w:val="-14"/>
        </w:rPr>
        <w:object w:dxaOrig="300" w:dyaOrig="380" w14:anchorId="5D8F0457">
          <v:shape id="_x0000_i1050" type="#_x0000_t75" style="width:15pt;height:19.5pt" o:ole="">
            <v:imagedata r:id="rId71" o:title=""/>
          </v:shape>
          <o:OLEObject Type="Embed" ProgID="Equation.DSMT4" ShapeID="_x0000_i1050" DrawAspect="Content" ObjectID="_1461483642" r:id="rId72"/>
        </w:object>
      </w:r>
      <w:r w:rsidRPr="001D48C3">
        <w:t xml:space="preserve">&lt;1, and the innovation </w:t>
      </w:r>
      <w:r w:rsidRPr="001D48C3">
        <w:rPr>
          <w:position w:val="-14"/>
        </w:rPr>
        <w:object w:dxaOrig="320" w:dyaOrig="380" w14:anchorId="52A6786A">
          <v:shape id="_x0000_i1051" type="#_x0000_t75" style="width:16.5pt;height:19.5pt" o:ole="">
            <v:imagedata r:id="rId73" o:title=""/>
          </v:shape>
          <o:OLEObject Type="Embed" ProgID="Equation.DSMT4" ShapeID="_x0000_i1051" DrawAspect="Content" ObjectID="_1461483643" r:id="rId74"/>
        </w:object>
      </w:r>
      <w:r w:rsidRPr="001D48C3">
        <w:t xml:space="preserve">is independently and identically distributed with mean zero and variance </w:t>
      </w:r>
      <w:r w:rsidRPr="001D48C3">
        <w:rPr>
          <w:position w:val="-14"/>
        </w:rPr>
        <w:object w:dxaOrig="380" w:dyaOrig="400" w14:anchorId="5766492E">
          <v:shape id="_x0000_i1052" type="#_x0000_t75" style="width:19.5pt;height:21.75pt" o:ole="">
            <v:imagedata r:id="rId75" o:title=""/>
          </v:shape>
          <o:OLEObject Type="Embed" ProgID="Equation.DSMT4" ShapeID="_x0000_i1052" DrawAspect="Content" ObjectID="_1461483644" r:id="rId76"/>
        </w:object>
      </w:r>
      <w:r w:rsidRPr="001D48C3">
        <w:t xml:space="preserve">. Our empirical analysis suggests the </w:t>
      </w:r>
      <w:r w:rsidR="002E4505" w:rsidRPr="001D48C3">
        <w:t xml:space="preserve">simple </w:t>
      </w:r>
      <w:r w:rsidRPr="001D48C3">
        <w:t xml:space="preserve">output gap rule described above yields roughly similar cyclical forecasts to this </w:t>
      </w:r>
      <w:r w:rsidR="00F10126" w:rsidRPr="001D48C3">
        <w:t xml:space="preserve">alternative </w:t>
      </w:r>
      <w:r w:rsidRPr="001D48C3">
        <w:t>approach.</w:t>
      </w:r>
    </w:p>
    <w:p w14:paraId="21FE3E16" w14:textId="77777777" w:rsidR="007236C2" w:rsidRPr="001D48C3" w:rsidRDefault="007236C2" w:rsidP="00D3016A">
      <w:pPr>
        <w:pStyle w:val="Heading3"/>
      </w:pPr>
      <w:r w:rsidRPr="001D48C3">
        <w:t xml:space="preserve">Labour force </w:t>
      </w:r>
    </w:p>
    <w:p w14:paraId="31A0913C" w14:textId="5AEC53C8" w:rsidR="007236C2" w:rsidRPr="001D48C3" w:rsidRDefault="007236C2" w:rsidP="007236C2">
      <w:pPr>
        <w:tabs>
          <w:tab w:val="right" w:pos="7938"/>
        </w:tabs>
        <w:rPr>
          <w:lang w:eastAsia="en-AU"/>
        </w:rPr>
      </w:pPr>
      <w:r w:rsidRPr="001D48C3">
        <w:rPr>
          <w:lang w:eastAsia="en-AU"/>
        </w:rPr>
        <w:t>Labour force variables, such as the level of employment and the unemployment rate, are key inputs into the medium</w:t>
      </w:r>
      <w:r w:rsidR="001D5BF5">
        <w:rPr>
          <w:lang w:eastAsia="en-AU"/>
        </w:rPr>
        <w:noBreakHyphen/>
      </w:r>
      <w:r w:rsidRPr="001D48C3">
        <w:rPr>
          <w:lang w:eastAsia="en-AU"/>
        </w:rPr>
        <w:t xml:space="preserve">term framework. </w:t>
      </w:r>
    </w:p>
    <w:p w14:paraId="77F069F5" w14:textId="77777777" w:rsidR="007236C2" w:rsidRPr="001D48C3" w:rsidRDefault="007236C2" w:rsidP="002128FD">
      <w:pPr>
        <w:pStyle w:val="Heading4"/>
        <w:rPr>
          <w:lang w:eastAsia="en-AU"/>
        </w:rPr>
      </w:pPr>
      <w:r w:rsidRPr="001D48C3">
        <w:rPr>
          <w:lang w:eastAsia="en-AU"/>
        </w:rPr>
        <w:t>Employment</w:t>
      </w:r>
    </w:p>
    <w:p w14:paraId="5D1DE0ED" w14:textId="77777777" w:rsidR="007236C2" w:rsidRPr="001D48C3" w:rsidRDefault="007236C2" w:rsidP="00C25643">
      <w:pPr>
        <w:tabs>
          <w:tab w:val="right" w:pos="7938"/>
        </w:tabs>
        <w:spacing w:after="120"/>
        <w:rPr>
          <w:lang w:eastAsia="en-AU"/>
        </w:rPr>
      </w:pPr>
      <w:r w:rsidRPr="001D48C3">
        <w:rPr>
          <w:lang w:eastAsia="en-AU"/>
        </w:rPr>
        <w:t>The cyclical employment gap at the end of the forecast period is estimated as the deviation of forecast employment from its estimated trend:</w:t>
      </w:r>
    </w:p>
    <w:p w14:paraId="5E4AC6C7" w14:textId="6F60A64F" w:rsidR="00704ACC" w:rsidRPr="001D48C3" w:rsidRDefault="005B2AA9" w:rsidP="005B2AA9">
      <w:pPr>
        <w:tabs>
          <w:tab w:val="center" w:pos="4536"/>
          <w:tab w:val="left" w:pos="7938"/>
        </w:tabs>
      </w:pPr>
      <w:r w:rsidRPr="001D48C3">
        <w:tab/>
      </w:r>
      <w:r w:rsidR="000A560A" w:rsidRPr="001D48C3">
        <w:rPr>
          <w:position w:val="-12"/>
        </w:rPr>
        <w:object w:dxaOrig="1160" w:dyaOrig="380" w14:anchorId="0A125F47">
          <v:shape id="_x0000_i1053" type="#_x0000_t75" alt="This equation describes cyclical employment as the difference between the log-level of actual employment and the log-level of trend employment." style="width:58.5pt;height:18pt" o:ole="">
            <v:imagedata r:id="rId77" o:title=""/>
          </v:shape>
          <o:OLEObject Type="Embed" ProgID="Equation.DSMT4" ShapeID="_x0000_i1053" DrawAspect="Content" ObjectID="_1461483645" r:id="rId78"/>
        </w:object>
      </w:r>
      <w:r w:rsidR="00704ACC" w:rsidRPr="001D48C3">
        <w:tab/>
      </w:r>
      <w:r w:rsidR="00704ACC" w:rsidRPr="001D48C3">
        <w:tab/>
      </w:r>
      <w:r w:rsidR="00704ACC" w:rsidRPr="001D48C3">
        <w:fldChar w:fldCharType="begin"/>
      </w:r>
      <w:r w:rsidR="00704ACC"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04ACC"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17</w:instrText>
      </w:r>
      <w:r w:rsidR="00711272">
        <w:rPr>
          <w:noProof/>
        </w:rPr>
        <w:fldChar w:fldCharType="end"/>
      </w:r>
      <w:r w:rsidR="00704ACC" w:rsidRPr="001D48C3">
        <w:instrText>)</w:instrText>
      </w:r>
      <w:r w:rsidR="00704ACC" w:rsidRPr="001D48C3">
        <w:fldChar w:fldCharType="end"/>
      </w:r>
    </w:p>
    <w:p w14:paraId="75B8A299" w14:textId="77777777" w:rsidR="007236C2" w:rsidRPr="001D48C3" w:rsidRDefault="007236C2" w:rsidP="00237D09">
      <w:pPr>
        <w:spacing w:after="120"/>
        <w:rPr>
          <w:lang w:eastAsia="en-AU"/>
        </w:rPr>
      </w:pPr>
      <w:r w:rsidRPr="001D48C3">
        <w:rPr>
          <w:lang w:eastAsia="en-AU"/>
        </w:rPr>
        <w:t>Over the cyclical adjustment period cyclical employment is forecast conditional on forecasts of the output gap, average hours and labour productivity.</w:t>
      </w:r>
    </w:p>
    <w:p w14:paraId="4742AD69" w14:textId="69D91923" w:rsidR="00704ACC" w:rsidRPr="001D48C3" w:rsidRDefault="005B2AA9" w:rsidP="005B2AA9">
      <w:pPr>
        <w:tabs>
          <w:tab w:val="center" w:pos="4536"/>
          <w:tab w:val="left" w:pos="7938"/>
        </w:tabs>
      </w:pPr>
      <w:r w:rsidRPr="001D48C3">
        <w:tab/>
      </w:r>
      <w:r w:rsidR="000A560A" w:rsidRPr="001D48C3">
        <w:rPr>
          <w:position w:val="-72"/>
        </w:rPr>
        <w:object w:dxaOrig="3400" w:dyaOrig="1560" w14:anchorId="7DDDDA0A">
          <v:shape id="_x0000_i1054" type="#_x0000_t75" alt="This equation describes cyclical employment as cyclical output less cyclical average hours and cyclical labour productivity." style="width:171pt;height:76.5pt;mso-position-horizontal:absolute" o:ole="">
            <v:imagedata r:id="rId79" o:title=""/>
          </v:shape>
          <o:OLEObject Type="Embed" ProgID="Equation.DSMT4" ShapeID="_x0000_i1054" DrawAspect="Content" ObjectID="_1461483646" r:id="rId80"/>
        </w:object>
      </w:r>
      <w:r w:rsidR="00704ACC" w:rsidRPr="001D48C3">
        <w:tab/>
      </w:r>
      <w:r w:rsidR="00704ACC" w:rsidRPr="001D48C3">
        <w:tab/>
      </w:r>
      <w:r w:rsidR="00704ACC" w:rsidRPr="001D48C3">
        <w:fldChar w:fldCharType="begin"/>
      </w:r>
      <w:r w:rsidR="00704ACC"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04ACC"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18</w:instrText>
      </w:r>
      <w:r w:rsidR="00711272">
        <w:rPr>
          <w:noProof/>
        </w:rPr>
        <w:fldChar w:fldCharType="end"/>
      </w:r>
      <w:r w:rsidR="00704ACC" w:rsidRPr="001D48C3">
        <w:instrText>)</w:instrText>
      </w:r>
      <w:r w:rsidR="00704ACC" w:rsidRPr="001D48C3">
        <w:fldChar w:fldCharType="end"/>
      </w:r>
    </w:p>
    <w:p w14:paraId="6403694A" w14:textId="4ABF6D1D" w:rsidR="007236C2" w:rsidRPr="001D48C3" w:rsidRDefault="002B0AA3" w:rsidP="00237D09">
      <w:pPr>
        <w:tabs>
          <w:tab w:val="right" w:pos="7938"/>
        </w:tabs>
        <w:spacing w:after="120"/>
        <w:rPr>
          <w:lang w:eastAsia="en-AU"/>
        </w:rPr>
      </w:pPr>
      <w:r w:rsidRPr="001D48C3">
        <w:rPr>
          <w:lang w:eastAsia="en-AU"/>
        </w:rPr>
        <w:lastRenderedPageBreak/>
        <w:t xml:space="preserve">As discussed in Hutchings and Kouparitsas (2012), forecasts </w:t>
      </w:r>
      <w:r w:rsidR="00381076" w:rsidRPr="001D48C3">
        <w:rPr>
          <w:lang w:eastAsia="en-AU"/>
        </w:rPr>
        <w:t xml:space="preserve">of labour input over the forecast period </w:t>
      </w:r>
      <w:r w:rsidRPr="001D48C3">
        <w:rPr>
          <w:lang w:eastAsia="en-AU"/>
        </w:rPr>
        <w:t xml:space="preserve">are based on a heads rather than </w:t>
      </w:r>
      <w:r w:rsidR="00381076" w:rsidRPr="001D48C3">
        <w:rPr>
          <w:lang w:eastAsia="en-AU"/>
        </w:rPr>
        <w:t>total</w:t>
      </w:r>
      <w:r w:rsidRPr="001D48C3">
        <w:rPr>
          <w:lang w:eastAsia="en-AU"/>
        </w:rPr>
        <w:t xml:space="preserve"> hours worked framework.</w:t>
      </w:r>
      <w:r w:rsidRPr="001D48C3">
        <w:rPr>
          <w:rStyle w:val="FootnoteReference"/>
          <w:lang w:eastAsia="en-AU"/>
        </w:rPr>
        <w:footnoteReference w:id="9"/>
      </w:r>
      <w:r w:rsidRPr="001D48C3">
        <w:rPr>
          <w:lang w:eastAsia="en-AU"/>
        </w:rPr>
        <w:t xml:space="preserve"> </w:t>
      </w:r>
      <w:r w:rsidR="00381076" w:rsidRPr="001D48C3">
        <w:rPr>
          <w:lang w:eastAsia="en-AU"/>
        </w:rPr>
        <w:t>Specifically,</w:t>
      </w:r>
      <w:r w:rsidR="007236C2" w:rsidRPr="001D48C3">
        <w:rPr>
          <w:lang w:eastAsia="en-AU"/>
        </w:rPr>
        <w:t xml:space="preserve"> the forecast period methodology assumes average hours are equal to their trend, so cyclical </w:t>
      </w:r>
      <w:r w:rsidR="00C32EC5">
        <w:rPr>
          <w:lang w:eastAsia="en-AU"/>
        </w:rPr>
        <w:t xml:space="preserve">average </w:t>
      </w:r>
      <w:r w:rsidR="007236C2" w:rsidRPr="001D48C3">
        <w:rPr>
          <w:lang w:eastAsia="en-AU"/>
        </w:rPr>
        <w:t xml:space="preserve">hours are zero at the end of the forecast </w:t>
      </w:r>
      <w:r w:rsidR="00381076" w:rsidRPr="001D48C3">
        <w:rPr>
          <w:lang w:eastAsia="en-AU"/>
        </w:rPr>
        <w:t xml:space="preserve">period </w:t>
      </w:r>
      <w:r w:rsidR="007236C2" w:rsidRPr="001D48C3">
        <w:rPr>
          <w:lang w:eastAsia="en-AU"/>
        </w:rPr>
        <w:t xml:space="preserve">and </w:t>
      </w:r>
      <w:r w:rsidR="00381076" w:rsidRPr="001D48C3">
        <w:rPr>
          <w:lang w:eastAsia="en-AU"/>
        </w:rPr>
        <w:t xml:space="preserve">over </w:t>
      </w:r>
      <w:r w:rsidR="00356B99" w:rsidRPr="001D48C3">
        <w:rPr>
          <w:lang w:eastAsia="en-AU"/>
        </w:rPr>
        <w:t xml:space="preserve">the </w:t>
      </w:r>
      <w:r w:rsidR="007236C2" w:rsidRPr="001D48C3">
        <w:rPr>
          <w:lang w:eastAsia="en-AU"/>
        </w:rPr>
        <w:t>projection period</w:t>
      </w:r>
      <w:r w:rsidR="00381076" w:rsidRPr="001D48C3">
        <w:rPr>
          <w:lang w:eastAsia="en-AU"/>
        </w:rPr>
        <w:t xml:space="preserve"> (i.e., </w:t>
      </w:r>
      <w:r w:rsidR="00381076" w:rsidRPr="001D48C3">
        <w:rPr>
          <w:position w:val="-12"/>
          <w:lang w:eastAsia="en-AU"/>
        </w:rPr>
        <w:object w:dxaOrig="660" w:dyaOrig="380" w14:anchorId="4302BB20">
          <v:shape id="_x0000_i1055" type="#_x0000_t75" style="width:32.25pt;height:19.5pt" o:ole="">
            <v:imagedata r:id="rId81" o:title=""/>
          </v:shape>
          <o:OLEObject Type="Embed" ProgID="Equation.DSMT4" ShapeID="_x0000_i1055" DrawAspect="Content" ObjectID="_1461483647" r:id="rId82"/>
        </w:object>
      </w:r>
      <w:r w:rsidR="00381076" w:rsidRPr="001D48C3">
        <w:rPr>
          <w:lang w:eastAsia="en-AU"/>
        </w:rPr>
        <w:t xml:space="preserve">), </w:t>
      </w:r>
      <w:r w:rsidR="007236C2" w:rsidRPr="001D48C3">
        <w:t>which implies the following relationship between cyclical output, productivity and employment:</w:t>
      </w:r>
    </w:p>
    <w:p w14:paraId="71EB150B" w14:textId="48A637E5" w:rsidR="007236C2" w:rsidRPr="001D48C3" w:rsidRDefault="005B2AA9" w:rsidP="005B2AA9">
      <w:pPr>
        <w:tabs>
          <w:tab w:val="center" w:pos="4536"/>
          <w:tab w:val="center" w:pos="4640"/>
          <w:tab w:val="left" w:pos="7938"/>
        </w:tabs>
      </w:pPr>
      <w:r w:rsidRPr="001D48C3">
        <w:tab/>
      </w:r>
      <w:r w:rsidR="000A560A" w:rsidRPr="001D48C3">
        <w:rPr>
          <w:position w:val="-12"/>
        </w:rPr>
        <w:object w:dxaOrig="1180" w:dyaOrig="380" w14:anchorId="5AD1A074">
          <v:shape id="_x0000_i1056" type="#_x0000_t75" alt="This equation demonstrates that cyclical employment equals cyclical output less cyclical labour productivity, when cyclical average hours are zero." style="width:58.5pt;height:19.5pt;mso-position-vertical:absolute" o:ole="">
            <v:imagedata r:id="rId83" o:title=""/>
          </v:shape>
          <o:OLEObject Type="Embed" ProgID="Equation.DSMT4" ShapeID="_x0000_i1056" DrawAspect="Content" ObjectID="_1461483648" r:id="rId84"/>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19</w:instrText>
      </w:r>
      <w:r w:rsidR="00711272">
        <w:rPr>
          <w:noProof/>
        </w:rPr>
        <w:fldChar w:fldCharType="end"/>
      </w:r>
      <w:r w:rsidR="007236C2" w:rsidRPr="001D48C3">
        <w:instrText>)</w:instrText>
      </w:r>
      <w:r w:rsidR="007236C2" w:rsidRPr="001D48C3">
        <w:fldChar w:fldCharType="end"/>
      </w:r>
    </w:p>
    <w:p w14:paraId="62934D0B" w14:textId="77777777" w:rsidR="007236C2" w:rsidRPr="001D48C3" w:rsidRDefault="007236C2" w:rsidP="00237D09">
      <w:pPr>
        <w:tabs>
          <w:tab w:val="right" w:pos="7938"/>
        </w:tabs>
        <w:spacing w:after="120"/>
        <w:rPr>
          <w:lang w:eastAsia="en-AU"/>
        </w:rPr>
      </w:pPr>
      <w:r w:rsidRPr="001D48C3">
        <w:rPr>
          <w:lang w:eastAsia="en-AU"/>
        </w:rPr>
        <w:t>Cyclical labour productivity at the end of the forecast period is estimated as the deviation of forecast labour productivity from its estimated trend:</w:t>
      </w:r>
    </w:p>
    <w:p w14:paraId="47FF7730" w14:textId="2BBB206A" w:rsidR="007236C2" w:rsidRPr="001D48C3" w:rsidRDefault="005B2AA9" w:rsidP="005B2AA9">
      <w:pPr>
        <w:tabs>
          <w:tab w:val="center" w:pos="4536"/>
          <w:tab w:val="left" w:pos="7938"/>
        </w:tabs>
      </w:pPr>
      <w:r w:rsidRPr="001D48C3">
        <w:tab/>
      </w:r>
      <w:r w:rsidR="000A560A" w:rsidRPr="001D48C3">
        <w:rPr>
          <w:position w:val="-32"/>
        </w:rPr>
        <w:object w:dxaOrig="1300" w:dyaOrig="760" w14:anchorId="37055636">
          <v:shape id="_x0000_i1057" type="#_x0000_t75" alt="This equation describes cyclical labour productivity as the difference between the log-level of actual labour productivity and the log-level of trend labour productivity." style="width:64.5pt;height:37.5pt" o:ole="">
            <v:imagedata r:id="rId85" o:title=""/>
          </v:shape>
          <o:OLEObject Type="Embed" ProgID="Equation.DSMT4" ShapeID="_x0000_i1057" DrawAspect="Content" ObjectID="_1461483649" r:id="rId86"/>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20</w:instrText>
      </w:r>
      <w:r w:rsidR="00711272">
        <w:rPr>
          <w:noProof/>
        </w:rPr>
        <w:fldChar w:fldCharType="end"/>
      </w:r>
      <w:r w:rsidR="007236C2" w:rsidRPr="001D48C3">
        <w:instrText>)</w:instrText>
      </w:r>
      <w:r w:rsidR="007236C2" w:rsidRPr="001D48C3">
        <w:fldChar w:fldCharType="end"/>
      </w:r>
    </w:p>
    <w:p w14:paraId="2E8C3E43" w14:textId="77777777" w:rsidR="007236C2" w:rsidRPr="001D48C3" w:rsidRDefault="007236C2" w:rsidP="00237D09">
      <w:pPr>
        <w:tabs>
          <w:tab w:val="left" w:pos="7938"/>
        </w:tabs>
        <w:spacing w:after="120"/>
      </w:pPr>
      <w:r w:rsidRPr="001D48C3">
        <w:t xml:space="preserve">Given that empirical estimates of the trend level of capital deviate little from actual capital, cyclical labour productivity is essentially Hicks neutral technological change. Therefore it is modelled as </w:t>
      </w:r>
      <w:r w:rsidRPr="001D48C3">
        <w:rPr>
          <w:lang w:eastAsia="en-AU"/>
        </w:rPr>
        <w:t xml:space="preserve">a first order autoregressive </w:t>
      </w:r>
      <w:r w:rsidR="00BA7BD2" w:rsidRPr="001D48C3">
        <w:rPr>
          <w:lang w:eastAsia="en-AU"/>
        </w:rPr>
        <w:t>process</w:t>
      </w:r>
      <w:r w:rsidRPr="001D48C3">
        <w:rPr>
          <w:lang w:eastAsia="en-AU"/>
        </w:rPr>
        <w:t>:</w:t>
      </w:r>
    </w:p>
    <w:p w14:paraId="553D514D" w14:textId="44D73C47" w:rsidR="007236C2" w:rsidRPr="001D48C3" w:rsidRDefault="005B2AA9" w:rsidP="005B2AA9">
      <w:pPr>
        <w:tabs>
          <w:tab w:val="center" w:pos="4536"/>
          <w:tab w:val="left" w:pos="7938"/>
        </w:tabs>
      </w:pPr>
      <w:r w:rsidRPr="001D48C3">
        <w:tab/>
      </w:r>
      <w:r w:rsidR="000A560A" w:rsidRPr="001D48C3">
        <w:rPr>
          <w:position w:val="-14"/>
        </w:rPr>
        <w:object w:dxaOrig="1540" w:dyaOrig="400" w14:anchorId="62C927D0">
          <v:shape id="_x0000_i1058" type="#_x0000_t75" alt="This equation describes cyclical labour productivity as a first-order autoregressive process." style="width:76.5pt;height:21.75pt;mso-position-vertical:absolute" o:ole="">
            <v:imagedata r:id="rId87" o:title=""/>
          </v:shape>
          <o:OLEObject Type="Embed" ProgID="Equation.DSMT4" ShapeID="_x0000_i1058" DrawAspect="Content" ObjectID="_1461483650" r:id="rId88"/>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21</w:instrText>
      </w:r>
      <w:r w:rsidR="00711272">
        <w:rPr>
          <w:noProof/>
        </w:rPr>
        <w:fldChar w:fldCharType="end"/>
      </w:r>
      <w:r w:rsidR="007236C2" w:rsidRPr="001D48C3">
        <w:instrText>)</w:instrText>
      </w:r>
      <w:r w:rsidR="007236C2" w:rsidRPr="001D48C3">
        <w:fldChar w:fldCharType="end"/>
      </w:r>
    </w:p>
    <w:p w14:paraId="2C64E352" w14:textId="77777777" w:rsidR="00B472F4" w:rsidRPr="001D48C3" w:rsidRDefault="007236C2" w:rsidP="00237D09">
      <w:pPr>
        <w:spacing w:after="120"/>
      </w:pPr>
      <w:r w:rsidRPr="001D48C3">
        <w:t>where 0&lt;</w:t>
      </w:r>
      <w:r w:rsidRPr="001D48C3">
        <w:rPr>
          <w:position w:val="-14"/>
        </w:rPr>
        <w:object w:dxaOrig="300" w:dyaOrig="380" w14:anchorId="5A093A5E">
          <v:shape id="_x0000_i1059" type="#_x0000_t75" style="width:15pt;height:19.5pt" o:ole="">
            <v:imagedata r:id="rId89" o:title=""/>
          </v:shape>
          <o:OLEObject Type="Embed" ProgID="Equation.DSMT4" ShapeID="_x0000_i1059" DrawAspect="Content" ObjectID="_1461483651" r:id="rId90"/>
        </w:object>
      </w:r>
      <w:r w:rsidRPr="001D48C3">
        <w:t xml:space="preserve">&lt;1, and the innovation </w:t>
      </w:r>
      <w:r w:rsidRPr="001D48C3">
        <w:rPr>
          <w:position w:val="-14"/>
        </w:rPr>
        <w:object w:dxaOrig="320" w:dyaOrig="380" w14:anchorId="2F10FFE4">
          <v:shape id="_x0000_i1060" type="#_x0000_t75" style="width:16.5pt;height:19.5pt" o:ole="">
            <v:imagedata r:id="rId91" o:title=""/>
          </v:shape>
          <o:OLEObject Type="Embed" ProgID="Equation.DSMT4" ShapeID="_x0000_i1060" DrawAspect="Content" ObjectID="_1461483652" r:id="rId92"/>
        </w:object>
      </w:r>
      <w:r w:rsidRPr="001D48C3">
        <w:t xml:space="preserve">is independently and identically distributed with mean zero and variance </w:t>
      </w:r>
      <w:r w:rsidRPr="001D48C3">
        <w:rPr>
          <w:position w:val="-14"/>
        </w:rPr>
        <w:object w:dxaOrig="380" w:dyaOrig="400" w14:anchorId="3A359C34">
          <v:shape id="_x0000_i1061" type="#_x0000_t75" style="width:19.5pt;height:21.75pt" o:ole="">
            <v:imagedata r:id="rId93" o:title=""/>
          </v:shape>
          <o:OLEObject Type="Embed" ProgID="Equation.DSMT4" ShapeID="_x0000_i1061" DrawAspect="Content" ObjectID="_1461483653" r:id="rId94"/>
        </w:object>
      </w:r>
      <w:r w:rsidRPr="001D48C3">
        <w:t>.</w:t>
      </w:r>
      <w:r w:rsidR="00B472F4" w:rsidRPr="001D48C3">
        <w:t xml:space="preserve"> Medium term projections of cyclical labour productivity are based </w:t>
      </w:r>
      <w:r w:rsidR="003D1BD6" w:rsidRPr="001D48C3">
        <w:t xml:space="preserve">on </w:t>
      </w:r>
      <w:r w:rsidR="009B0C91" w:rsidRPr="001D48C3">
        <w:t>the</w:t>
      </w:r>
      <w:r w:rsidR="00B472F4" w:rsidRPr="001D48C3">
        <w:t xml:space="preserve"> conditional expectation </w:t>
      </w:r>
      <w:r w:rsidR="009B0C91" w:rsidRPr="001D48C3">
        <w:t xml:space="preserve">of its level </w:t>
      </w:r>
      <w:r w:rsidR="00E16339" w:rsidRPr="001D48C3">
        <w:t>at</w:t>
      </w:r>
      <w:r w:rsidR="00B472F4" w:rsidRPr="001D48C3">
        <w:t xml:space="preserve"> the end of the forecast period:</w:t>
      </w:r>
    </w:p>
    <w:p w14:paraId="35718D4B" w14:textId="10304B5C" w:rsidR="00430F48" w:rsidRPr="001D48C3" w:rsidRDefault="005B2AA9" w:rsidP="005B2AA9">
      <w:pPr>
        <w:tabs>
          <w:tab w:val="center" w:pos="4536"/>
          <w:tab w:val="left" w:pos="7938"/>
        </w:tabs>
      </w:pPr>
      <w:r w:rsidRPr="001D48C3">
        <w:tab/>
      </w:r>
      <w:r w:rsidR="000A560A" w:rsidRPr="001D48C3">
        <w:rPr>
          <w:position w:val="-14"/>
        </w:rPr>
        <w:object w:dxaOrig="2079" w:dyaOrig="400" w14:anchorId="35B65095">
          <v:shape id="_x0000_i1062" type="#_x0000_t75" alt="This equation describes the forecast of the growth rate of cyclical labour productivity at time t plus s as its expectation conditional on information at time t." style="width:104.25pt;height:21.75pt" o:ole="">
            <v:imagedata r:id="rId95" o:title=""/>
          </v:shape>
          <o:OLEObject Type="Embed" ProgID="Equation.DSMT4" ShapeID="_x0000_i1062" DrawAspect="Content" ObjectID="_1461483654" r:id="rId96"/>
        </w:object>
      </w:r>
      <w:r w:rsidR="00430F48" w:rsidRPr="001D48C3">
        <w:tab/>
      </w:r>
      <w:r w:rsidR="00430F48" w:rsidRPr="001D48C3">
        <w:tab/>
      </w:r>
      <w:r w:rsidR="00430F48" w:rsidRPr="001D48C3">
        <w:fldChar w:fldCharType="begin"/>
      </w:r>
      <w:r w:rsidR="00430F48"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430F48"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22</w:instrText>
      </w:r>
      <w:r w:rsidR="00711272">
        <w:rPr>
          <w:noProof/>
        </w:rPr>
        <w:fldChar w:fldCharType="end"/>
      </w:r>
      <w:r w:rsidR="00430F48" w:rsidRPr="001D48C3">
        <w:instrText>)</w:instrText>
      </w:r>
      <w:r w:rsidR="00430F48" w:rsidRPr="001D48C3">
        <w:fldChar w:fldCharType="end"/>
      </w:r>
    </w:p>
    <w:p w14:paraId="60463B2E" w14:textId="77777777" w:rsidR="007236C2" w:rsidRPr="001D48C3" w:rsidRDefault="007236C2" w:rsidP="002128FD">
      <w:pPr>
        <w:pStyle w:val="Heading4"/>
      </w:pPr>
      <w:r w:rsidRPr="001D48C3">
        <w:t>Unemployment</w:t>
      </w:r>
    </w:p>
    <w:p w14:paraId="015931C0" w14:textId="77777777" w:rsidR="007236C2" w:rsidRPr="001D48C3" w:rsidRDefault="007236C2" w:rsidP="00C25643">
      <w:pPr>
        <w:spacing w:after="120"/>
      </w:pPr>
      <w:r w:rsidRPr="001D48C3">
        <w:t xml:space="preserve">Unemployment is forecast via forecasts of the labour force and employment. Following the </w:t>
      </w:r>
      <w:r w:rsidR="007D118B" w:rsidRPr="001D48C3">
        <w:t>broader labour supply literature</w:t>
      </w:r>
      <w:r w:rsidR="00E715A3" w:rsidRPr="001D48C3">
        <w:t>,</w:t>
      </w:r>
      <w:r w:rsidR="007D118B" w:rsidRPr="001D48C3">
        <w:t xml:space="preserve"> cyclical labour force adjustment incorporates a discouraged worker effect by modelling cyclical labour force participation as a function of the cyclical employment rate (i.e., employment divided by working age population)</w:t>
      </w:r>
      <w:r w:rsidR="005133BE" w:rsidRPr="001D48C3">
        <w:t xml:space="preserve">. For example, the Treasury Macroeconomic </w:t>
      </w:r>
      <w:r w:rsidR="002B0AA3" w:rsidRPr="001D48C3">
        <w:t xml:space="preserve">(TRYM) </w:t>
      </w:r>
      <w:r w:rsidR="005133BE" w:rsidRPr="001D48C3">
        <w:t xml:space="preserve">Model (Australian Treasury, 1996) employs a relatively simple </w:t>
      </w:r>
      <w:r w:rsidR="00E715A3" w:rsidRPr="001D48C3">
        <w:t xml:space="preserve">discouraged worker </w:t>
      </w:r>
      <w:r w:rsidR="005133BE" w:rsidRPr="001D48C3">
        <w:t>framework</w:t>
      </w:r>
      <w:r w:rsidR="007D118B" w:rsidRPr="001D48C3">
        <w:t>:</w:t>
      </w:r>
    </w:p>
    <w:p w14:paraId="55D644A7" w14:textId="27C7BA8D" w:rsidR="007236C2" w:rsidRPr="001D48C3" w:rsidRDefault="005B2AA9" w:rsidP="005B2AA9">
      <w:pPr>
        <w:tabs>
          <w:tab w:val="center" w:pos="4536"/>
          <w:tab w:val="left" w:pos="7938"/>
        </w:tabs>
      </w:pPr>
      <w:r w:rsidRPr="001D48C3">
        <w:tab/>
      </w:r>
      <w:r w:rsidR="000A560A" w:rsidRPr="001D48C3">
        <w:rPr>
          <w:position w:val="-12"/>
        </w:rPr>
        <w:object w:dxaOrig="2620" w:dyaOrig="380" w14:anchorId="2E3E27DE">
          <v:shape id="_x0000_i1063" type="#_x0000_t75" alt="This equation describes the log of the cyclical participation rate as a linear function of the log of the cyclical employment rate, which is the ratio of the cyclical employment to the cyclical working age population." style="width:130.5pt;height:19.5pt" o:ole="">
            <v:imagedata r:id="rId97" o:title=""/>
          </v:shape>
          <o:OLEObject Type="Embed" ProgID="Equation.DSMT4" ShapeID="_x0000_i1063" DrawAspect="Content" ObjectID="_1461483655" r:id="rId98"/>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23</w:instrText>
      </w:r>
      <w:r w:rsidR="00711272">
        <w:rPr>
          <w:noProof/>
        </w:rPr>
        <w:fldChar w:fldCharType="end"/>
      </w:r>
      <w:r w:rsidR="007236C2" w:rsidRPr="001D48C3">
        <w:instrText>)</w:instrText>
      </w:r>
      <w:r w:rsidR="007236C2" w:rsidRPr="001D48C3">
        <w:fldChar w:fldCharType="end"/>
      </w:r>
    </w:p>
    <w:p w14:paraId="18149376" w14:textId="77777777" w:rsidR="002B0AA3" w:rsidRPr="001D48C3" w:rsidRDefault="002B0AA3" w:rsidP="007236C2">
      <w:pPr>
        <w:tabs>
          <w:tab w:val="right" w:pos="7938"/>
        </w:tabs>
        <w:rPr>
          <w:lang w:eastAsia="en-AU"/>
        </w:rPr>
      </w:pPr>
      <w:r w:rsidRPr="001D48C3">
        <w:rPr>
          <w:lang w:eastAsia="en-AU"/>
        </w:rPr>
        <w:t xml:space="preserve">where at time t, </w:t>
      </w:r>
      <w:r w:rsidRPr="001D48C3">
        <w:rPr>
          <w:rFonts w:ascii="Symbol" w:hAnsi="Symbol"/>
          <w:lang w:eastAsia="en-AU"/>
        </w:rPr>
        <w:t></w:t>
      </w:r>
      <w:r w:rsidRPr="001D48C3">
        <w:rPr>
          <w:lang w:eastAsia="en-AU"/>
        </w:rPr>
        <w:t>&gt;0.</w:t>
      </w:r>
    </w:p>
    <w:p w14:paraId="6869DE2C" w14:textId="77777777" w:rsidR="007236C2" w:rsidRPr="001D48C3" w:rsidRDefault="007236C2" w:rsidP="00237D09">
      <w:pPr>
        <w:tabs>
          <w:tab w:val="right" w:pos="7938"/>
        </w:tabs>
        <w:spacing w:after="120"/>
        <w:rPr>
          <w:lang w:eastAsia="en-AU"/>
        </w:rPr>
      </w:pPr>
      <w:r w:rsidRPr="001D48C3">
        <w:rPr>
          <w:lang w:eastAsia="en-AU"/>
        </w:rPr>
        <w:t xml:space="preserve">The cyclical labour force and </w:t>
      </w:r>
      <w:r w:rsidR="00A95704" w:rsidRPr="001D48C3">
        <w:rPr>
          <w:lang w:eastAsia="en-AU"/>
        </w:rPr>
        <w:t xml:space="preserve">working age </w:t>
      </w:r>
      <w:r w:rsidRPr="001D48C3">
        <w:rPr>
          <w:lang w:eastAsia="en-AU"/>
        </w:rPr>
        <w:t>population at the end of the forecast period are estimated as the deviation of their forecast from its estimated trend:</w:t>
      </w:r>
    </w:p>
    <w:p w14:paraId="407D22B0" w14:textId="344C7A8E" w:rsidR="007236C2" w:rsidRPr="001D48C3" w:rsidRDefault="005B2AA9" w:rsidP="005B2AA9">
      <w:pPr>
        <w:tabs>
          <w:tab w:val="center" w:pos="4536"/>
          <w:tab w:val="left" w:pos="7938"/>
        </w:tabs>
      </w:pPr>
      <w:r w:rsidRPr="001D48C3">
        <w:tab/>
      </w:r>
      <w:r w:rsidR="000A560A" w:rsidRPr="001D48C3">
        <w:rPr>
          <w:position w:val="-32"/>
        </w:rPr>
        <w:object w:dxaOrig="1920" w:dyaOrig="760" w14:anchorId="218C2AEB">
          <v:shape id="_x0000_i1064" type="#_x0000_t75" alt="There are two equations reported here. The first equation describes the cyclical labour force as the difference between the log-level of the actual labour force and the log-level of the trend labour force. The second equation describes the cyclical working age population as the difference between the log-level of the working age population and the log-level of trend the working age population." style="width:97.5pt;height:37.5pt" o:ole="">
            <v:imagedata r:id="rId99" o:title=""/>
          </v:shape>
          <o:OLEObject Type="Embed" ProgID="Equation.DSMT4" ShapeID="_x0000_i1064" DrawAspect="Content" ObjectID="_1461483656" r:id="rId100"/>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24</w:instrText>
      </w:r>
      <w:r w:rsidR="00711272">
        <w:rPr>
          <w:noProof/>
        </w:rPr>
        <w:fldChar w:fldCharType="end"/>
      </w:r>
      <w:r w:rsidR="007236C2" w:rsidRPr="001D48C3">
        <w:instrText>)</w:instrText>
      </w:r>
      <w:r w:rsidR="007236C2" w:rsidRPr="001D48C3">
        <w:fldChar w:fldCharType="end"/>
      </w:r>
    </w:p>
    <w:p w14:paraId="1BA89893" w14:textId="77777777" w:rsidR="007236C2" w:rsidRPr="001D48C3" w:rsidRDefault="007236C2" w:rsidP="00237D09">
      <w:pPr>
        <w:tabs>
          <w:tab w:val="left" w:pos="7938"/>
        </w:tabs>
        <w:spacing w:after="120"/>
      </w:pPr>
      <w:r w:rsidRPr="001D48C3">
        <w:lastRenderedPageBreak/>
        <w:t>Forecasts of the level of employment and the labour force follow from combining their trend and cyclical levels:</w:t>
      </w:r>
    </w:p>
    <w:p w14:paraId="2DF202B0" w14:textId="7506706D" w:rsidR="007236C2" w:rsidRPr="001D48C3" w:rsidRDefault="005B2AA9" w:rsidP="005B2AA9">
      <w:pPr>
        <w:tabs>
          <w:tab w:val="center" w:pos="4536"/>
          <w:tab w:val="left" w:pos="7938"/>
        </w:tabs>
      </w:pPr>
      <w:r w:rsidRPr="001D48C3">
        <w:tab/>
      </w:r>
      <w:r w:rsidR="000A560A" w:rsidRPr="001D48C3">
        <w:rPr>
          <w:position w:val="-32"/>
        </w:rPr>
        <w:object w:dxaOrig="1740" w:dyaOrig="760" w14:anchorId="195746DA">
          <v:shape id="_x0000_i1065" type="#_x0000_t75" alt="There are two equations reported here. The first equation describes the log-level of the actual labour force as the sum of the cyclical labour force and the log-level of the trend labour force. The second equation describes the log-level of the actual working age population as the sum of the cyclical working age population and the log-level of the trend working age population." style="width:87.75pt;height:37.5pt" o:ole="">
            <v:imagedata r:id="rId101" o:title=""/>
          </v:shape>
          <o:OLEObject Type="Embed" ProgID="Equation.DSMT4" ShapeID="_x0000_i1065" DrawAspect="Content" ObjectID="_1461483657" r:id="rId102"/>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25</w:instrText>
      </w:r>
      <w:r w:rsidR="00711272">
        <w:rPr>
          <w:noProof/>
        </w:rPr>
        <w:fldChar w:fldCharType="end"/>
      </w:r>
      <w:r w:rsidR="007236C2" w:rsidRPr="001D48C3">
        <w:instrText>)</w:instrText>
      </w:r>
      <w:r w:rsidR="007236C2" w:rsidRPr="001D48C3">
        <w:fldChar w:fldCharType="end"/>
      </w:r>
    </w:p>
    <w:p w14:paraId="385DF820" w14:textId="77777777" w:rsidR="007236C2" w:rsidRPr="001D48C3" w:rsidRDefault="007236C2" w:rsidP="00237D09">
      <w:pPr>
        <w:tabs>
          <w:tab w:val="left" w:pos="7938"/>
        </w:tabs>
        <w:spacing w:after="120"/>
      </w:pPr>
      <w:r w:rsidRPr="001D48C3">
        <w:t>which in turn implies the unemployment rate:</w:t>
      </w:r>
    </w:p>
    <w:p w14:paraId="0804A378" w14:textId="1313F372" w:rsidR="007236C2" w:rsidRPr="001D48C3" w:rsidRDefault="005B2AA9" w:rsidP="005B2AA9">
      <w:pPr>
        <w:tabs>
          <w:tab w:val="center" w:pos="4536"/>
          <w:tab w:val="left" w:pos="7938"/>
        </w:tabs>
      </w:pPr>
      <w:r w:rsidRPr="001D48C3">
        <w:tab/>
      </w:r>
      <w:r w:rsidR="000A560A" w:rsidRPr="001D48C3">
        <w:rPr>
          <w:position w:val="-12"/>
        </w:rPr>
        <w:object w:dxaOrig="2320" w:dyaOrig="360" w14:anchorId="4445C5A1">
          <v:shape id="_x0000_i1066" type="#_x0000_t75" alt="This equation describes the unemployment rate as the labour force minus employment divided by the labour force." style="width:117pt;height:19.5pt" o:ole="">
            <v:imagedata r:id="rId103" o:title=""/>
          </v:shape>
          <o:OLEObject Type="Embed" ProgID="Equation.DSMT4" ShapeID="_x0000_i1066" DrawAspect="Content" ObjectID="_1461483658" r:id="rId104"/>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26</w:instrText>
      </w:r>
      <w:r w:rsidR="00711272">
        <w:rPr>
          <w:noProof/>
        </w:rPr>
        <w:fldChar w:fldCharType="end"/>
      </w:r>
      <w:r w:rsidR="007236C2" w:rsidRPr="001D48C3">
        <w:instrText>)</w:instrText>
      </w:r>
      <w:r w:rsidR="007236C2" w:rsidRPr="001D48C3">
        <w:fldChar w:fldCharType="end"/>
      </w:r>
    </w:p>
    <w:p w14:paraId="34FFDCC8" w14:textId="28970385" w:rsidR="007236C2" w:rsidRPr="001D48C3" w:rsidRDefault="007236C2" w:rsidP="00237D09">
      <w:pPr>
        <w:spacing w:after="120"/>
      </w:pPr>
      <w:r w:rsidRPr="001D48C3">
        <w:t>Through various substitutions it can be shown that Okun</w:t>
      </w:r>
      <w:r w:rsidR="001D5BF5">
        <w:t>’</w:t>
      </w:r>
      <w:r w:rsidRPr="001D48C3">
        <w:t>s Law is an inherent part of the framework, with the output gap approximately equal to the deviation of unemployment from its trend (i.e., the unemployment gap) divided by the discouraged worker coefficient:</w:t>
      </w:r>
    </w:p>
    <w:p w14:paraId="56C5A23F" w14:textId="7F6F1AD3" w:rsidR="007236C2" w:rsidRPr="001D48C3" w:rsidRDefault="005B2AA9" w:rsidP="005B2AA9">
      <w:pPr>
        <w:tabs>
          <w:tab w:val="center" w:pos="4536"/>
          <w:tab w:val="left" w:pos="7938"/>
        </w:tabs>
      </w:pPr>
      <w:r w:rsidRPr="001D48C3">
        <w:tab/>
      </w:r>
      <w:r w:rsidR="000A560A" w:rsidRPr="001D48C3">
        <w:rPr>
          <w:position w:val="-48"/>
        </w:rPr>
        <w:object w:dxaOrig="1700" w:dyaOrig="1080" w14:anchorId="43BB8050">
          <v:shape id="_x0000_i1067" type="#_x0000_t75" alt="This equation describes Okun’s law by showing the output gap is a linear function of the unemployment gap, that is the gap between the actual and trend unemployment rate, with a coefficient of 0.5 on the unemployment gap." style="width:85.5pt;height:54pt;mso-position-vertical:absolute" o:ole="">
            <v:imagedata r:id="rId105" o:title=""/>
          </v:shape>
          <o:OLEObject Type="Embed" ProgID="Equation.DSMT4" ShapeID="_x0000_i1067" DrawAspect="Content" ObjectID="_1461483659" r:id="rId106"/>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27</w:instrText>
      </w:r>
      <w:r w:rsidR="00711272">
        <w:rPr>
          <w:noProof/>
        </w:rPr>
        <w:fldChar w:fldCharType="end"/>
      </w:r>
      <w:r w:rsidR="007236C2" w:rsidRPr="001D48C3">
        <w:instrText>)</w:instrText>
      </w:r>
      <w:r w:rsidR="007236C2" w:rsidRPr="001D48C3">
        <w:fldChar w:fldCharType="end"/>
      </w:r>
    </w:p>
    <w:p w14:paraId="76EE3090" w14:textId="6824105D" w:rsidR="007236C2" w:rsidRPr="001D48C3" w:rsidRDefault="007236C2" w:rsidP="007236C2">
      <w:r w:rsidRPr="001D48C3">
        <w:t xml:space="preserve">Given </w:t>
      </w:r>
      <w:r w:rsidR="002B0AA3" w:rsidRPr="001D48C3">
        <w:t>TRYM</w:t>
      </w:r>
      <w:r w:rsidR="001D5BF5">
        <w:t>’</w:t>
      </w:r>
      <w:r w:rsidR="002B0AA3" w:rsidRPr="001D48C3">
        <w:t>s</w:t>
      </w:r>
      <w:r w:rsidRPr="001D48C3">
        <w:t xml:space="preserve"> estimate of </w:t>
      </w:r>
      <w:r w:rsidRPr="001D48C3">
        <w:rPr>
          <w:position w:val="-10"/>
        </w:rPr>
        <w:object w:dxaOrig="240" w:dyaOrig="260" w14:anchorId="0B365A34">
          <v:shape id="_x0000_i1068" type="#_x0000_t75" style="width:13.5pt;height:13.5pt" o:ole="">
            <v:imagedata r:id="rId107" o:title=""/>
          </v:shape>
          <o:OLEObject Type="Embed" ProgID="Equation.DSMT4" ShapeID="_x0000_i1068" DrawAspect="Content" ObjectID="_1461483660" r:id="rId108"/>
        </w:object>
      </w:r>
      <w:r w:rsidR="002B0AA3" w:rsidRPr="001D48C3">
        <w:t>is around 0.5</w:t>
      </w:r>
      <w:r w:rsidR="003D1BD6" w:rsidRPr="001D48C3">
        <w:t>,</w:t>
      </w:r>
      <w:r w:rsidRPr="001D48C3">
        <w:t xml:space="preserve"> this implies the output gap is approximately twice as large as the unemployment gap</w:t>
      </w:r>
      <w:r w:rsidR="00E715A3" w:rsidRPr="001D48C3">
        <w:t>, which is consistent with empirical estimates.</w:t>
      </w:r>
    </w:p>
    <w:p w14:paraId="2AC9F0CF" w14:textId="77777777" w:rsidR="007236C2" w:rsidRPr="001D48C3" w:rsidRDefault="007236C2" w:rsidP="00D3016A">
      <w:pPr>
        <w:pStyle w:val="Heading3"/>
      </w:pPr>
      <w:r w:rsidRPr="001D48C3">
        <w:t>Prices and wages</w:t>
      </w:r>
    </w:p>
    <w:p w14:paraId="20280FA4" w14:textId="2CC9C96D" w:rsidR="007236C2" w:rsidRPr="001D48C3" w:rsidRDefault="007236C2" w:rsidP="007236C2">
      <w:r w:rsidRPr="001D48C3">
        <w:t xml:space="preserve">Australian Government fiscal projections rely crucially on projections of the level of nominal output and the distribution of income between capital and labour. Given forecasts of real output, forecasts of nominal output require an estimate of the output price, while the distribution of income relies on </w:t>
      </w:r>
      <w:r w:rsidR="00C32EC5">
        <w:t xml:space="preserve">estimates of </w:t>
      </w:r>
      <w:r w:rsidRPr="001D48C3">
        <w:t>employment and the wage level.</w:t>
      </w:r>
    </w:p>
    <w:p w14:paraId="3BECC345" w14:textId="77777777" w:rsidR="007236C2" w:rsidRPr="001D48C3" w:rsidRDefault="007236C2" w:rsidP="002128FD">
      <w:pPr>
        <w:pStyle w:val="Heading4"/>
      </w:pPr>
      <w:r w:rsidRPr="001D48C3">
        <w:t>Wages</w:t>
      </w:r>
    </w:p>
    <w:p w14:paraId="050C0CDB" w14:textId="1E35943E" w:rsidR="007236C2" w:rsidRPr="001D48C3" w:rsidRDefault="007236C2" w:rsidP="00237D09">
      <w:pPr>
        <w:spacing w:after="120"/>
      </w:pPr>
      <w:r w:rsidRPr="001D48C3">
        <w:t>Wages are modelled using a Phillips curve similar to that developed by Gruen, Pagan and Thompson (1999). This approach assumes wages grow in line with labour productivity, expected expenditure price inflation (which could be forward looking based on bond</w:t>
      </w:r>
      <w:r w:rsidR="001D5BF5">
        <w:noBreakHyphen/>
      </w:r>
      <w:r w:rsidRPr="001D48C3">
        <w:t>market expectations or adaptive expectations based on lagged wage and price inflation) and the lagged unemployment gap:</w:t>
      </w:r>
    </w:p>
    <w:p w14:paraId="3A55D86B" w14:textId="64651C9E" w:rsidR="007236C2" w:rsidRPr="001D48C3" w:rsidRDefault="005B2AA9" w:rsidP="005B2AA9">
      <w:pPr>
        <w:tabs>
          <w:tab w:val="center" w:pos="4536"/>
          <w:tab w:val="left" w:pos="7938"/>
        </w:tabs>
      </w:pPr>
      <w:r w:rsidRPr="001D48C3">
        <w:tab/>
      </w:r>
      <w:r w:rsidR="000A560A" w:rsidRPr="001D48C3">
        <w:rPr>
          <w:position w:val="-48"/>
        </w:rPr>
        <w:object w:dxaOrig="6259" w:dyaOrig="1120" w14:anchorId="3F2F27E6">
          <v:shape id="_x0000_i1069" type="#_x0000_t75" alt="This equation describes a wage Phillips curve, where through the year growth in real unit labour costs (that is, the nominal unit labour cost divided by expenditure prices) are a function of lagged through the year growth in real unit labour costs, an unemployment gap and the gap between actual and expected inflation." style="width:312pt;height:54pt" o:ole="">
            <v:imagedata r:id="rId109" o:title=""/>
          </v:shape>
          <o:OLEObject Type="Embed" ProgID="Equation.DSMT4" ShapeID="_x0000_i1069" DrawAspect="Content" ObjectID="_1461483661" r:id="rId110"/>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28</w:instrText>
      </w:r>
      <w:r w:rsidR="00711272">
        <w:rPr>
          <w:noProof/>
        </w:rPr>
        <w:fldChar w:fldCharType="end"/>
      </w:r>
      <w:r w:rsidR="007236C2" w:rsidRPr="001D48C3">
        <w:instrText>)</w:instrText>
      </w:r>
      <w:r w:rsidR="007236C2" w:rsidRPr="001D48C3">
        <w:fldChar w:fldCharType="end"/>
      </w:r>
    </w:p>
    <w:p w14:paraId="0A5C56D1" w14:textId="6AF32A90" w:rsidR="007236C2" w:rsidRPr="001D48C3" w:rsidRDefault="007236C2" w:rsidP="00356B99">
      <w:r w:rsidRPr="001D48C3">
        <w:t>where at time t, p</w:t>
      </w:r>
      <w:r w:rsidR="00A95704" w:rsidRPr="001D48C3">
        <w:t>g</w:t>
      </w:r>
      <w:r w:rsidRPr="001D48C3">
        <w:t>ne</w:t>
      </w:r>
      <w:r w:rsidRPr="001D48C3">
        <w:rPr>
          <w:vertAlign w:val="subscript"/>
        </w:rPr>
        <w:t>t</w:t>
      </w:r>
      <w:r w:rsidRPr="001D48C3">
        <w:t xml:space="preserve"> is the gross national expenditure deflator, w</w:t>
      </w:r>
      <w:r w:rsidRPr="001D48C3">
        <w:rPr>
          <w:vertAlign w:val="subscript"/>
        </w:rPr>
        <w:t>t</w:t>
      </w:r>
      <w:r w:rsidRPr="001D48C3">
        <w:t xml:space="preserve"> is the hourly wage rate, </w:t>
      </w:r>
      <w:r w:rsidRPr="001D48C3">
        <w:rPr>
          <w:rFonts w:ascii="Symbol" w:hAnsi="Symbol"/>
        </w:rPr>
        <w:t></w:t>
      </w:r>
      <w:r w:rsidRPr="001D48C3">
        <w:rPr>
          <w:vertAlign w:val="subscript"/>
        </w:rPr>
        <w:t>t</w:t>
      </w:r>
      <w:r w:rsidRPr="001D48C3">
        <w:rPr>
          <w:vertAlign w:val="superscript"/>
        </w:rPr>
        <w:t>e</w:t>
      </w:r>
      <w:r w:rsidRPr="001D48C3">
        <w:t xml:space="preserve"> is bond</w:t>
      </w:r>
      <w:r w:rsidR="001D5BF5">
        <w:noBreakHyphen/>
      </w:r>
      <w:r w:rsidRPr="001D48C3">
        <w:t xml:space="preserve">market inflationary expectations, </w:t>
      </w:r>
      <w:r w:rsidRPr="001D48C3">
        <w:rPr>
          <w:rFonts w:ascii="Symbol" w:hAnsi="Symbol"/>
        </w:rPr>
        <w:t></w:t>
      </w:r>
      <w:r w:rsidRPr="001D48C3">
        <w:t xml:space="preserve">&lt;0 and the innovation </w:t>
      </w:r>
      <w:r w:rsidRPr="001D48C3">
        <w:rPr>
          <w:position w:val="-12"/>
        </w:rPr>
        <w:object w:dxaOrig="340" w:dyaOrig="360" w14:anchorId="0F1A8670">
          <v:shape id="_x0000_i1070" type="#_x0000_t75" style="width:18pt;height:18pt" o:ole="">
            <v:imagedata r:id="rId111" o:title=""/>
          </v:shape>
          <o:OLEObject Type="Embed" ProgID="Equation.DSMT4" ShapeID="_x0000_i1070" DrawAspect="Content" ObjectID="_1461483662" r:id="rId112"/>
        </w:object>
      </w:r>
      <w:r w:rsidRPr="001D48C3">
        <w:t xml:space="preserve">is independently and identically distributed with a mean of zero and variance </w:t>
      </w:r>
      <w:r w:rsidRPr="001D48C3">
        <w:rPr>
          <w:position w:val="-12"/>
        </w:rPr>
        <w:object w:dxaOrig="400" w:dyaOrig="380" w14:anchorId="07A42F0A">
          <v:shape id="_x0000_i1071" type="#_x0000_t75" style="width:21.75pt;height:19.5pt" o:ole="">
            <v:imagedata r:id="rId113" o:title=""/>
          </v:shape>
          <o:OLEObject Type="Embed" ProgID="Equation.DSMT4" ShapeID="_x0000_i1071" DrawAspect="Content" ObjectID="_1461483663" r:id="rId114"/>
        </w:object>
      </w:r>
      <w:r w:rsidRPr="001D48C3">
        <w:t>. Gruen, et al</w:t>
      </w:r>
      <w:r w:rsidR="00E9296B">
        <w:t>.</w:t>
      </w:r>
      <w:r w:rsidRPr="001D48C3">
        <w:t xml:space="preserve"> (1999) estimated a slightly more complicated equation which included the contemporaneous unemployment gap and the change in the unemployment rate. There is no loss of explanatory power when these features of the data are modelled jointly via a lagged unemployment gap.</w:t>
      </w:r>
    </w:p>
    <w:p w14:paraId="7A54F12A" w14:textId="77777777" w:rsidR="00A76E2E" w:rsidRDefault="00A76E2E">
      <w:r>
        <w:br w:type="page"/>
      </w:r>
    </w:p>
    <w:p w14:paraId="137B5084" w14:textId="6C93BA0A" w:rsidR="007236C2" w:rsidRPr="001D48C3" w:rsidRDefault="007236C2" w:rsidP="00C25643">
      <w:pPr>
        <w:spacing w:after="120"/>
      </w:pPr>
      <w:r w:rsidRPr="001D48C3">
        <w:lastRenderedPageBreak/>
        <w:t xml:space="preserve">Holding other things constant, a positive unemployment gap will cause wages to grow at a slower rate than </w:t>
      </w:r>
      <w:r w:rsidR="003D1BD6" w:rsidRPr="001D48C3">
        <w:t xml:space="preserve">the sum of </w:t>
      </w:r>
      <w:r w:rsidRPr="001D48C3">
        <w:t>labour productivity an</w:t>
      </w:r>
      <w:r w:rsidR="003D1BD6" w:rsidRPr="001D48C3">
        <w:t xml:space="preserve">d expenditure price inflation. </w:t>
      </w:r>
      <w:r w:rsidRPr="001D48C3">
        <w:t>Along the balance</w:t>
      </w:r>
      <w:r w:rsidR="002E4505" w:rsidRPr="001D48C3">
        <w:t>d</w:t>
      </w:r>
      <w:r w:rsidRPr="001D48C3">
        <w:t xml:space="preserve"> growth path, the unemployment gap is zero</w:t>
      </w:r>
      <w:r w:rsidR="003D1BD6" w:rsidRPr="001D48C3">
        <w:t xml:space="preserve"> and </w:t>
      </w:r>
      <w:r w:rsidRPr="001D48C3">
        <w:t xml:space="preserve">expenditure prices grow in line with inflationary expectations, which implies wages grow at the rate of labour augmenting technological progress plus the rate of </w:t>
      </w:r>
      <w:r w:rsidR="00356B99" w:rsidRPr="001D48C3">
        <w:t xml:space="preserve">expected </w:t>
      </w:r>
      <w:r w:rsidRPr="001D48C3">
        <w:t>price inflation:</w:t>
      </w:r>
    </w:p>
    <w:p w14:paraId="7CCCA174" w14:textId="1607BEEE" w:rsidR="007236C2" w:rsidRPr="001D48C3" w:rsidRDefault="005B2AA9" w:rsidP="005B2AA9">
      <w:pPr>
        <w:tabs>
          <w:tab w:val="center" w:pos="4536"/>
          <w:tab w:val="left" w:pos="7938"/>
        </w:tabs>
      </w:pPr>
      <w:r w:rsidRPr="001D48C3">
        <w:tab/>
      </w:r>
      <w:r w:rsidR="000A560A" w:rsidRPr="001D48C3">
        <w:rPr>
          <w:position w:val="-32"/>
        </w:rPr>
        <w:object w:dxaOrig="1840" w:dyaOrig="760" w14:anchorId="40AD3686">
          <v:shape id="_x0000_i1072" type="#_x0000_t75" alt="This equation demonstrates that in the long-run wages grow at the rate of trend productivity and expected inflation." style="width:91.5pt;height:37.5pt" o:ole="">
            <v:imagedata r:id="rId115" o:title=""/>
          </v:shape>
          <o:OLEObject Type="Embed" ProgID="Equation.DSMT4" ShapeID="_x0000_i1072" DrawAspect="Content" ObjectID="_1461483664" r:id="rId116"/>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29</w:instrText>
      </w:r>
      <w:r w:rsidR="00711272">
        <w:rPr>
          <w:noProof/>
        </w:rPr>
        <w:fldChar w:fldCharType="end"/>
      </w:r>
      <w:r w:rsidR="007236C2" w:rsidRPr="001D48C3">
        <w:instrText>)</w:instrText>
      </w:r>
      <w:r w:rsidR="007236C2" w:rsidRPr="001D48C3">
        <w:fldChar w:fldCharType="end"/>
      </w:r>
    </w:p>
    <w:p w14:paraId="515AE69C" w14:textId="77777777" w:rsidR="007236C2" w:rsidRPr="001D48C3" w:rsidRDefault="007236C2" w:rsidP="002128FD">
      <w:pPr>
        <w:pStyle w:val="Heading4"/>
      </w:pPr>
      <w:r w:rsidRPr="001D48C3">
        <w:t>Prices</w:t>
      </w:r>
    </w:p>
    <w:p w14:paraId="274DD819" w14:textId="77777777" w:rsidR="007236C2" w:rsidRPr="001D48C3" w:rsidRDefault="007236C2" w:rsidP="00C25643">
      <w:pPr>
        <w:spacing w:after="120"/>
      </w:pPr>
      <w:r w:rsidRPr="001D48C3">
        <w:t>The price of aggregate output reflects the prices of goods</w:t>
      </w:r>
      <w:r w:rsidR="00E4672E" w:rsidRPr="001D48C3">
        <w:t xml:space="preserve"> and services</w:t>
      </w:r>
      <w:r w:rsidRPr="001D48C3">
        <w:t xml:space="preserve"> produced for the domestic and export market. To be more specific, the aggregate output price is a weighted sum of the prices of </w:t>
      </w:r>
      <w:r w:rsidR="003D1BD6" w:rsidRPr="001D48C3">
        <w:t xml:space="preserve">goods sold domestically </w:t>
      </w:r>
      <w:r w:rsidRPr="001D48C3">
        <w:t>and exports</w:t>
      </w:r>
      <w:r w:rsidR="00802F69" w:rsidRPr="001D48C3">
        <w:t>,</w:t>
      </w:r>
      <w:r w:rsidRPr="001D48C3">
        <w:t xml:space="preserve"> with the weights equal to the ratio of their production volume to aggregate output.</w:t>
      </w:r>
    </w:p>
    <w:p w14:paraId="7068005C" w14:textId="423468A8" w:rsidR="007236C2" w:rsidRPr="001D48C3" w:rsidRDefault="005B2AA9" w:rsidP="005B2AA9">
      <w:pPr>
        <w:tabs>
          <w:tab w:val="center" w:pos="4536"/>
          <w:tab w:val="left" w:pos="7938"/>
        </w:tabs>
      </w:pPr>
      <w:r w:rsidRPr="001D48C3">
        <w:tab/>
      </w:r>
      <w:r w:rsidR="00973B44" w:rsidRPr="001D48C3">
        <w:rPr>
          <w:position w:val="-12"/>
        </w:rPr>
        <w:object w:dxaOrig="2600" w:dyaOrig="360" w14:anchorId="50118CBE">
          <v:shape id="_x0000_i1073" type="#_x0000_t75" alt="This equation describes output prices as the weighted sum of the price of output sold domestically and export prices , with the weights equal to the ratio of their production volumes to aggregate output." style="width:132pt;height:19.5pt" o:ole="">
            <v:imagedata r:id="rId117" o:title=""/>
          </v:shape>
          <o:OLEObject Type="Embed" ProgID="Equation.DSMT4" ShapeID="_x0000_i1073" DrawAspect="Content" ObjectID="_1461483665" r:id="rId118"/>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30</w:instrText>
      </w:r>
      <w:r w:rsidR="00711272">
        <w:rPr>
          <w:noProof/>
        </w:rPr>
        <w:fldChar w:fldCharType="end"/>
      </w:r>
      <w:r w:rsidR="007236C2" w:rsidRPr="001D48C3">
        <w:instrText>)</w:instrText>
      </w:r>
      <w:r w:rsidR="007236C2" w:rsidRPr="001D48C3">
        <w:fldChar w:fldCharType="end"/>
      </w:r>
    </w:p>
    <w:p w14:paraId="60E2BBFC" w14:textId="77777777" w:rsidR="007236C2" w:rsidRPr="001D48C3" w:rsidRDefault="007236C2" w:rsidP="007236C2">
      <w:r w:rsidRPr="001D48C3">
        <w:t xml:space="preserve">where at time t, </w:t>
      </w:r>
      <w:r w:rsidR="00F10126" w:rsidRPr="001D48C3">
        <w:t>PY</w:t>
      </w:r>
      <w:r w:rsidR="00F10126" w:rsidRPr="001D48C3">
        <w:rPr>
          <w:vertAlign w:val="subscript"/>
        </w:rPr>
        <w:t>t</w:t>
      </w:r>
      <w:r w:rsidR="00F10126" w:rsidRPr="001D48C3">
        <w:t xml:space="preserve"> </w:t>
      </w:r>
      <w:r w:rsidRPr="001D48C3">
        <w:t xml:space="preserve">is price of aggregate output, </w:t>
      </w:r>
      <w:r w:rsidR="00F10126" w:rsidRPr="001D48C3">
        <w:t>PD</w:t>
      </w:r>
      <w:r w:rsidR="00F10126" w:rsidRPr="001D48C3">
        <w:rPr>
          <w:vertAlign w:val="subscript"/>
        </w:rPr>
        <w:t>t</w:t>
      </w:r>
      <w:r w:rsidR="00F10126" w:rsidRPr="001D48C3">
        <w:t xml:space="preserve"> </w:t>
      </w:r>
      <w:r w:rsidRPr="001D48C3">
        <w:t xml:space="preserve">is the price of </w:t>
      </w:r>
      <w:r w:rsidR="007A0745" w:rsidRPr="001D48C3">
        <w:t>output</w:t>
      </w:r>
      <w:r w:rsidR="003D1BD6" w:rsidRPr="001D48C3">
        <w:t xml:space="preserve"> </w:t>
      </w:r>
      <w:r w:rsidRPr="001D48C3">
        <w:t xml:space="preserve">sold domestically, </w:t>
      </w:r>
      <w:r w:rsidR="00F10126" w:rsidRPr="001D48C3">
        <w:t>D</w:t>
      </w:r>
      <w:r w:rsidR="00F10126" w:rsidRPr="001D48C3">
        <w:rPr>
          <w:vertAlign w:val="subscript"/>
        </w:rPr>
        <w:t>t</w:t>
      </w:r>
      <w:r w:rsidR="00F10126" w:rsidRPr="001D48C3">
        <w:t xml:space="preserve"> </w:t>
      </w:r>
      <w:r w:rsidRPr="001D48C3">
        <w:t xml:space="preserve">is the volume of goods sold domestically, </w:t>
      </w:r>
      <w:r w:rsidR="00F10126" w:rsidRPr="001D48C3">
        <w:t>PX</w:t>
      </w:r>
      <w:r w:rsidR="00F10126" w:rsidRPr="001D48C3">
        <w:rPr>
          <w:vertAlign w:val="subscript"/>
        </w:rPr>
        <w:t>t</w:t>
      </w:r>
      <w:r w:rsidR="00F10126" w:rsidRPr="001D48C3">
        <w:t xml:space="preserve"> </w:t>
      </w:r>
      <w:r w:rsidRPr="001D48C3">
        <w:t xml:space="preserve">is Australian currency price of exports and </w:t>
      </w:r>
      <w:r w:rsidR="00F10126" w:rsidRPr="001D48C3">
        <w:t>X</w:t>
      </w:r>
      <w:r w:rsidR="00F10126" w:rsidRPr="001D48C3">
        <w:rPr>
          <w:vertAlign w:val="subscript"/>
        </w:rPr>
        <w:t>t</w:t>
      </w:r>
      <w:r w:rsidR="00F10126" w:rsidRPr="001D48C3">
        <w:t xml:space="preserve"> </w:t>
      </w:r>
      <w:r w:rsidRPr="001D48C3">
        <w:t>volume of goods</w:t>
      </w:r>
      <w:r w:rsidR="00802F69" w:rsidRPr="001D48C3">
        <w:t xml:space="preserve"> and services</w:t>
      </w:r>
      <w:r w:rsidRPr="001D48C3">
        <w:t xml:space="preserve"> exports.</w:t>
      </w:r>
    </w:p>
    <w:p w14:paraId="7552A868" w14:textId="6AA53995" w:rsidR="007236C2" w:rsidRPr="001D48C3" w:rsidRDefault="007236C2" w:rsidP="00237D09">
      <w:pPr>
        <w:spacing w:after="120"/>
      </w:pPr>
      <w:r w:rsidRPr="001D48C3">
        <w:t xml:space="preserve">Consistent with the production function underlying the potential output analysis, the price of </w:t>
      </w:r>
      <w:r w:rsidR="00802F69" w:rsidRPr="001D48C3">
        <w:t>output</w:t>
      </w:r>
      <w:r w:rsidRPr="001D48C3">
        <w:t xml:space="preserve"> sold domestically </w:t>
      </w:r>
      <w:r w:rsidR="00802F69" w:rsidRPr="001D48C3">
        <w:t>is</w:t>
      </w:r>
      <w:r w:rsidRPr="001D48C3">
        <w:t xml:space="preserve"> </w:t>
      </w:r>
      <w:r w:rsidR="002E4505" w:rsidRPr="001D48C3">
        <w:t xml:space="preserve">assumed to be </w:t>
      </w:r>
      <w:r w:rsidRPr="001D48C3">
        <w:t xml:space="preserve">determined endogenously via a </w:t>
      </w:r>
      <w:r w:rsidR="00F10126" w:rsidRPr="001D48C3">
        <w:t xml:space="preserve">constant </w:t>
      </w:r>
      <w:r w:rsidR="002E4505" w:rsidRPr="001D48C3">
        <w:t xml:space="preserve">percentage </w:t>
      </w:r>
      <w:r w:rsidRPr="001D48C3">
        <w:t>mark</w:t>
      </w:r>
      <w:r w:rsidR="001D5BF5">
        <w:noBreakHyphen/>
      </w:r>
      <w:r w:rsidRPr="001D48C3">
        <w:t>up over nominal unit labour costs (i.e., wages per unit of labour productivity):</w:t>
      </w:r>
    </w:p>
    <w:p w14:paraId="7F139344" w14:textId="6F9FD7B6" w:rsidR="007236C2" w:rsidRPr="001D48C3" w:rsidRDefault="005B2AA9" w:rsidP="005B2AA9">
      <w:pPr>
        <w:tabs>
          <w:tab w:val="center" w:pos="4536"/>
          <w:tab w:val="left" w:pos="7938"/>
        </w:tabs>
      </w:pPr>
      <w:r w:rsidRPr="001D48C3">
        <w:tab/>
      </w:r>
      <w:r w:rsidR="00973B44" w:rsidRPr="001D48C3">
        <w:rPr>
          <w:position w:val="-12"/>
        </w:rPr>
        <w:object w:dxaOrig="1820" w:dyaOrig="360" w14:anchorId="4C513B9A">
          <v:shape id="_x0000_i1074" type="#_x0000_t75" alt="This equation describes the log-level of the price of output sold domestically as the sum of a constant, that is the mark-up, and the log-level of nominal unit labour costs. " style="width:91.5pt;height:18pt" o:ole="">
            <v:imagedata r:id="rId119" o:title=""/>
          </v:shape>
          <o:OLEObject Type="Embed" ProgID="Equation.DSMT4" ShapeID="_x0000_i1074" DrawAspect="Content" ObjectID="_1461483666" r:id="rId120"/>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31</w:instrText>
      </w:r>
      <w:r w:rsidR="00711272">
        <w:rPr>
          <w:noProof/>
        </w:rPr>
        <w:fldChar w:fldCharType="end"/>
      </w:r>
      <w:r w:rsidR="007236C2" w:rsidRPr="001D48C3">
        <w:instrText>)</w:instrText>
      </w:r>
      <w:r w:rsidR="007236C2" w:rsidRPr="001D48C3">
        <w:fldChar w:fldCharType="end"/>
      </w:r>
    </w:p>
    <w:p w14:paraId="2D0590B7" w14:textId="6F44E0F1" w:rsidR="007236C2" w:rsidRPr="001D48C3" w:rsidRDefault="007236C2" w:rsidP="007236C2">
      <w:r w:rsidRPr="001D48C3">
        <w:t xml:space="preserve">where </w:t>
      </w:r>
      <w:r w:rsidRPr="001D48C3">
        <w:rPr>
          <w:rFonts w:ascii="Symbol" w:hAnsi="Symbol"/>
        </w:rPr>
        <w:t></w:t>
      </w:r>
      <w:r w:rsidRPr="001D48C3">
        <w:t xml:space="preserve"> is the constant percentage mark</w:t>
      </w:r>
      <w:r w:rsidR="001D5BF5">
        <w:noBreakHyphen/>
      </w:r>
      <w:r w:rsidRPr="001D48C3">
        <w:t>up. This rule is applied in difference form</w:t>
      </w:r>
      <w:r w:rsidR="003D1BD6" w:rsidRPr="001D48C3">
        <w:t xml:space="preserve"> </w:t>
      </w:r>
      <w:r w:rsidRPr="001D48C3">
        <w:t xml:space="preserve">so it is not necessary to estimate </w:t>
      </w:r>
      <w:r w:rsidRPr="001D48C3">
        <w:rPr>
          <w:rFonts w:ascii="Symbol" w:hAnsi="Symbol"/>
        </w:rPr>
        <w:t></w:t>
      </w:r>
      <w:r w:rsidRPr="001D48C3">
        <w:t>.</w:t>
      </w:r>
    </w:p>
    <w:p w14:paraId="498D7D71" w14:textId="22DF145F" w:rsidR="007236C2" w:rsidRPr="001D48C3" w:rsidRDefault="007236C2" w:rsidP="00237D09">
      <w:pPr>
        <w:spacing w:after="120"/>
      </w:pPr>
      <w:r w:rsidRPr="001D48C3">
        <w:t>The methodology underlying medium</w:t>
      </w:r>
      <w:r w:rsidR="001D5BF5">
        <w:noBreakHyphen/>
      </w:r>
      <w:r w:rsidRPr="001D48C3">
        <w:t>term forecasts of exports volumes and prices is described in detail in a companion paper on long</w:t>
      </w:r>
      <w:r w:rsidR="001D5BF5">
        <w:noBreakHyphen/>
      </w:r>
      <w:r w:rsidRPr="001D48C3">
        <w:t>run forecasts of the terms of trade by Bullen, Kouparitsas and Krolikowski (2014). For the purposes of this paper export volumes are effectively exogenous, while export prices are a by</w:t>
      </w:r>
      <w:r w:rsidR="001D5BF5">
        <w:noBreakHyphen/>
      </w:r>
      <w:r w:rsidRPr="001D48C3">
        <w:t>product of the earlier terms of trade analysis. In particular</w:t>
      </w:r>
      <w:r w:rsidR="003D1BD6" w:rsidRPr="001D48C3">
        <w:t>,</w:t>
      </w:r>
      <w:r w:rsidRPr="001D48C3">
        <w:t xml:space="preserve"> their analysis provides a forecast of the terms of trade, which ties the price of exports to the forecast of import prices:</w:t>
      </w:r>
    </w:p>
    <w:p w14:paraId="54124465" w14:textId="6223436C" w:rsidR="007236C2" w:rsidRPr="001D48C3" w:rsidRDefault="005B2AA9" w:rsidP="00237D09">
      <w:pPr>
        <w:tabs>
          <w:tab w:val="center" w:pos="4536"/>
          <w:tab w:val="left" w:pos="7938"/>
        </w:tabs>
        <w:spacing w:after="120"/>
      </w:pPr>
      <w:r w:rsidRPr="001D48C3">
        <w:tab/>
      </w:r>
      <w:r w:rsidR="00973B44" w:rsidRPr="001D48C3">
        <w:rPr>
          <w:position w:val="-12"/>
        </w:rPr>
        <w:object w:dxaOrig="1700" w:dyaOrig="360" w14:anchorId="63684FF8">
          <v:shape id="_x0000_i1075" type="#_x0000_t75" alt="This equation describes the log-level of the exports price as the log-level of the terms of trade plus the log-level of the imports price. " style="width:85.5pt;height:19.5pt" o:ole="">
            <v:imagedata r:id="rId121" o:title=""/>
          </v:shape>
          <o:OLEObject Type="Embed" ProgID="Equation.DSMT4" ShapeID="_x0000_i1075" DrawAspect="Content" ObjectID="_1461483667" r:id="rId122"/>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32</w:instrText>
      </w:r>
      <w:r w:rsidR="00711272">
        <w:rPr>
          <w:noProof/>
        </w:rPr>
        <w:fldChar w:fldCharType="end"/>
      </w:r>
      <w:r w:rsidR="007236C2" w:rsidRPr="001D48C3">
        <w:instrText>)</w:instrText>
      </w:r>
      <w:r w:rsidR="007236C2" w:rsidRPr="001D48C3">
        <w:fldChar w:fldCharType="end"/>
      </w:r>
    </w:p>
    <w:p w14:paraId="5BD6C98E" w14:textId="77777777" w:rsidR="007236C2" w:rsidRPr="001D48C3" w:rsidRDefault="007236C2" w:rsidP="007236C2">
      <w:r w:rsidRPr="001D48C3">
        <w:t>where at time t, ptot</w:t>
      </w:r>
      <w:r w:rsidRPr="001D48C3">
        <w:rPr>
          <w:vertAlign w:val="subscript"/>
        </w:rPr>
        <w:t>t</w:t>
      </w:r>
      <w:r w:rsidRPr="001D48C3">
        <w:t xml:space="preserve"> is the terms of trade and pm</w:t>
      </w:r>
      <w:r w:rsidRPr="001D48C3">
        <w:rPr>
          <w:vertAlign w:val="subscript"/>
        </w:rPr>
        <w:t>t</w:t>
      </w:r>
      <w:r w:rsidRPr="001D48C3">
        <w:t xml:space="preserve"> is the Austra</w:t>
      </w:r>
      <w:r w:rsidR="00356B99" w:rsidRPr="001D48C3">
        <w:t>lian currency price of imports.</w:t>
      </w:r>
    </w:p>
    <w:p w14:paraId="59FF37E2" w14:textId="755A004F" w:rsidR="007236C2" w:rsidRPr="001D48C3" w:rsidRDefault="007236C2" w:rsidP="001D48C3">
      <w:pPr>
        <w:spacing w:after="120"/>
      </w:pPr>
      <w:r w:rsidRPr="001D48C3">
        <w:t xml:space="preserve">Import prices in Australian currency grow over the projection period at an assumed rate of foreign price inflation and the rate of </w:t>
      </w:r>
      <w:r w:rsidR="00F10126" w:rsidRPr="001D48C3">
        <w:t xml:space="preserve">depreciation </w:t>
      </w:r>
      <w:r w:rsidRPr="001D48C3">
        <w:t>of the trade</w:t>
      </w:r>
      <w:r w:rsidR="001D5BF5">
        <w:noBreakHyphen/>
      </w:r>
      <w:r w:rsidRPr="001D48C3">
        <w:t>weighted exchange rate:</w:t>
      </w:r>
    </w:p>
    <w:p w14:paraId="2F0FB723" w14:textId="7DDE6C0F" w:rsidR="007236C2" w:rsidRPr="001D48C3" w:rsidRDefault="005B2AA9" w:rsidP="001D48C3">
      <w:pPr>
        <w:tabs>
          <w:tab w:val="center" w:pos="4536"/>
          <w:tab w:val="left" w:pos="7938"/>
        </w:tabs>
        <w:spacing w:after="120"/>
      </w:pPr>
      <w:r w:rsidRPr="001D48C3">
        <w:tab/>
      </w:r>
      <w:r w:rsidR="00973B44" w:rsidRPr="001D48C3">
        <w:rPr>
          <w:position w:val="-12"/>
        </w:rPr>
        <w:object w:dxaOrig="1920" w:dyaOrig="380" w14:anchorId="33D0D2CF">
          <v:shape id="_x0000_i1076" type="#_x0000_t75" alt="This equation describes the growth rate of the imports price as the domestic expected rate of inflation less the growth rate of the nominal exchange rate." style="width:97.5pt;height:19.5pt" o:ole="">
            <v:imagedata r:id="rId123" o:title=""/>
          </v:shape>
          <o:OLEObject Type="Embed" ProgID="Equation.DSMT4" ShapeID="_x0000_i1076" DrawAspect="Content" ObjectID="_1461483668" r:id="rId124"/>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33</w:instrText>
      </w:r>
      <w:r w:rsidR="00711272">
        <w:rPr>
          <w:noProof/>
        </w:rPr>
        <w:fldChar w:fldCharType="end"/>
      </w:r>
      <w:r w:rsidR="007236C2" w:rsidRPr="001D48C3">
        <w:instrText>)</w:instrText>
      </w:r>
      <w:r w:rsidR="007236C2" w:rsidRPr="001D48C3">
        <w:fldChar w:fldCharType="end"/>
      </w:r>
    </w:p>
    <w:p w14:paraId="08F191FC" w14:textId="35E2ED47" w:rsidR="007236C2" w:rsidRPr="001D48C3" w:rsidRDefault="007236C2" w:rsidP="007236C2">
      <w:r w:rsidRPr="001D48C3">
        <w:t xml:space="preserve">where </w:t>
      </w:r>
      <w:r w:rsidRPr="001D48C3">
        <w:rPr>
          <w:rFonts w:ascii="Symbol" w:hAnsi="Symbol"/>
        </w:rPr>
        <w:t></w:t>
      </w:r>
      <w:r w:rsidRPr="001D48C3">
        <w:rPr>
          <w:vertAlign w:val="subscript"/>
        </w:rPr>
        <w:t>t</w:t>
      </w:r>
      <w:r w:rsidRPr="001D48C3">
        <w:rPr>
          <w:vertAlign w:val="superscript"/>
        </w:rPr>
        <w:t>ef</w:t>
      </w:r>
      <w:r w:rsidRPr="001D48C3">
        <w:t xml:space="preserve"> is the expected </w:t>
      </w:r>
      <w:r w:rsidR="009B0C91" w:rsidRPr="001D48C3">
        <w:t xml:space="preserve">annual </w:t>
      </w:r>
      <w:r w:rsidRPr="001D48C3">
        <w:t>foreign inflation rate and e</w:t>
      </w:r>
      <w:r w:rsidRPr="001D48C3">
        <w:rPr>
          <w:vertAlign w:val="subscript"/>
        </w:rPr>
        <w:t>t</w:t>
      </w:r>
      <w:r w:rsidRPr="001D48C3">
        <w:t xml:space="preserve"> is the trade</w:t>
      </w:r>
      <w:r w:rsidR="001D5BF5">
        <w:noBreakHyphen/>
      </w:r>
      <w:r w:rsidRPr="001D48C3">
        <w:t>weighted exchange rate.</w:t>
      </w:r>
    </w:p>
    <w:p w14:paraId="202A6E2F" w14:textId="77777777" w:rsidR="00237D09" w:rsidRDefault="00237D09">
      <w:r>
        <w:br w:type="page"/>
      </w:r>
    </w:p>
    <w:p w14:paraId="367A22F9" w14:textId="4B0F2C7C" w:rsidR="007236C2" w:rsidRPr="001D48C3" w:rsidRDefault="007236C2" w:rsidP="001D48C3">
      <w:pPr>
        <w:spacing w:after="120"/>
      </w:pPr>
      <w:r w:rsidRPr="001D48C3">
        <w:lastRenderedPageBreak/>
        <w:t>Gruen and Wilkinson (1994) find that the terms of trade are a fundamental determinant of the real exchange rate. Their work implies the following forecast rule for the nominal exchange rate:</w:t>
      </w:r>
    </w:p>
    <w:p w14:paraId="069C8DAA" w14:textId="58E475E1" w:rsidR="007236C2" w:rsidRPr="001D48C3" w:rsidRDefault="005B2AA9" w:rsidP="001D48C3">
      <w:pPr>
        <w:tabs>
          <w:tab w:val="center" w:pos="4536"/>
          <w:tab w:val="left" w:pos="7938"/>
        </w:tabs>
      </w:pPr>
      <w:r w:rsidRPr="001D48C3">
        <w:tab/>
      </w:r>
      <w:r w:rsidR="00D41BFC" w:rsidRPr="001D48C3">
        <w:rPr>
          <w:position w:val="-12"/>
        </w:rPr>
        <w:object w:dxaOrig="2840" w:dyaOrig="380" w14:anchorId="6D341062">
          <v:shape id="_x0000_i1077" type="#_x0000_t75" alt="This equation describes the growth rate of the nominal exchange rate as the foreign expected rate of inflation less the domestic expected rate of inflation plus the growth rate of the terms of trade, with a positive coefficient on the latter term." style="width:145.5pt;height:19.5pt;mso-position-horizontal:absolute" o:ole="">
            <v:imagedata r:id="rId125" o:title=""/>
          </v:shape>
          <o:OLEObject Type="Embed" ProgID="Equation.DSMT4" ShapeID="_x0000_i1077" DrawAspect="Content" ObjectID="_1461483669" r:id="rId126"/>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w:instrText>
      </w:r>
      <w:r w:rsidR="00711272">
        <w:instrText xml:space="preserve">\* MERGEFORMAT </w:instrText>
      </w:r>
      <w:r w:rsidR="00711272">
        <w:fldChar w:fldCharType="separate"/>
      </w:r>
      <w:r w:rsidR="00C65A3D">
        <w:rPr>
          <w:noProof/>
        </w:rPr>
        <w:instrText>34</w:instrText>
      </w:r>
      <w:r w:rsidR="00711272">
        <w:rPr>
          <w:noProof/>
        </w:rPr>
        <w:fldChar w:fldCharType="end"/>
      </w:r>
      <w:r w:rsidR="007236C2" w:rsidRPr="001D48C3">
        <w:instrText>)</w:instrText>
      </w:r>
      <w:r w:rsidR="007236C2" w:rsidRPr="001D48C3">
        <w:fldChar w:fldCharType="end"/>
      </w:r>
    </w:p>
    <w:p w14:paraId="3EF3791E" w14:textId="77777777" w:rsidR="007236C2" w:rsidRPr="001D48C3" w:rsidRDefault="007236C2" w:rsidP="001D48C3">
      <w:pPr>
        <w:spacing w:after="120"/>
      </w:pPr>
      <w:r w:rsidRPr="001D48C3">
        <w:t>which in turn implies the following forecast rules for import and export prices:</w:t>
      </w:r>
    </w:p>
    <w:p w14:paraId="1D7A3CE2" w14:textId="4F8B314C" w:rsidR="007236C2" w:rsidRPr="001D48C3" w:rsidRDefault="005B2AA9" w:rsidP="005B2AA9">
      <w:pPr>
        <w:tabs>
          <w:tab w:val="center" w:pos="4536"/>
          <w:tab w:val="left" w:pos="7938"/>
        </w:tabs>
      </w:pPr>
      <w:r w:rsidRPr="001D48C3">
        <w:tab/>
      </w:r>
      <w:r w:rsidR="00D41BFC" w:rsidRPr="001D48C3">
        <w:rPr>
          <w:position w:val="-32"/>
        </w:rPr>
        <w:object w:dxaOrig="2659" w:dyaOrig="760" w14:anchorId="016580DB">
          <v:shape id="_x0000_i1078" type="#_x0000_t75" alt="There are two equations reported here. The first equation describes the growth rate of imports prices as the domestic expected rate of inflation less the growth rate of the terms of trade, with a positive coefficient on the latter term which is the same as that reported in equation 34. The second equation describes the growth rate of exports prices as the domestic expected rate of inflation plus the growth rate of the terms of trade, with a coefficient on the latter term equal to one minus the coefficient on the terms of trade in the first equation." style="width:135.75pt;height:37.5pt" o:ole="">
            <v:imagedata r:id="rId127" o:title=""/>
          </v:shape>
          <o:OLEObject Type="Embed" ProgID="Equation.DSMT4" ShapeID="_x0000_i1078" DrawAspect="Content" ObjectID="_1461483670" r:id="rId128"/>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35</w:instrText>
      </w:r>
      <w:r w:rsidR="00711272">
        <w:rPr>
          <w:noProof/>
        </w:rPr>
        <w:fldChar w:fldCharType="end"/>
      </w:r>
      <w:r w:rsidR="007236C2" w:rsidRPr="001D48C3">
        <w:instrText>)</w:instrText>
      </w:r>
      <w:r w:rsidR="007236C2" w:rsidRPr="001D48C3">
        <w:fldChar w:fldCharType="end"/>
      </w:r>
    </w:p>
    <w:p w14:paraId="757E5A6D" w14:textId="16AEBDF7" w:rsidR="007236C2" w:rsidRPr="001D48C3" w:rsidRDefault="007236C2" w:rsidP="007236C2">
      <w:r w:rsidRPr="001D48C3">
        <w:t>Again, this approach is only feasible because the terms of trade are assumed to be exogenous to the system</w:t>
      </w:r>
      <w:r w:rsidR="00073551" w:rsidRPr="001D48C3">
        <w:t xml:space="preserve"> — </w:t>
      </w:r>
      <w:r w:rsidR="002E4505" w:rsidRPr="001D48C3">
        <w:t>put simply, Australia is assumed to be a price taker on global markets.</w:t>
      </w:r>
    </w:p>
    <w:p w14:paraId="0B600DDF" w14:textId="77777777" w:rsidR="007236C2" w:rsidRPr="001D48C3" w:rsidRDefault="007236C2" w:rsidP="001D48C3">
      <w:pPr>
        <w:spacing w:after="120"/>
      </w:pPr>
      <w:r w:rsidRPr="001D48C3">
        <w:t xml:space="preserve">In a similar vein to production prices, expenditure prices are </w:t>
      </w:r>
      <w:r w:rsidR="00802F69" w:rsidRPr="001D48C3">
        <w:t xml:space="preserve">a </w:t>
      </w:r>
      <w:r w:rsidRPr="001D48C3">
        <w:t xml:space="preserve">weighted average of </w:t>
      </w:r>
      <w:r w:rsidR="002E14A2" w:rsidRPr="001D48C3">
        <w:t>the prices of output</w:t>
      </w:r>
      <w:r w:rsidR="003D1BD6" w:rsidRPr="001D48C3">
        <w:t xml:space="preserve"> sold </w:t>
      </w:r>
      <w:r w:rsidRPr="001D48C3">
        <w:t>domestically and import</w:t>
      </w:r>
      <w:r w:rsidR="002E14A2" w:rsidRPr="001D48C3">
        <w:t>s</w:t>
      </w:r>
      <w:r w:rsidRPr="001D48C3">
        <w:t>, with the weights equal to the ratio of their expenditure volume to gross national expenditure:</w:t>
      </w:r>
    </w:p>
    <w:p w14:paraId="7F00EAAA" w14:textId="29EF146A" w:rsidR="007236C2" w:rsidRPr="001D48C3" w:rsidRDefault="005B2AA9" w:rsidP="005B2AA9">
      <w:pPr>
        <w:tabs>
          <w:tab w:val="center" w:pos="4536"/>
          <w:tab w:val="left" w:pos="7938"/>
        </w:tabs>
      </w:pPr>
      <w:r w:rsidRPr="001D48C3">
        <w:tab/>
      </w:r>
      <w:r w:rsidR="00D41BFC" w:rsidRPr="001D48C3">
        <w:rPr>
          <w:position w:val="-12"/>
        </w:rPr>
        <w:object w:dxaOrig="3400" w:dyaOrig="360" w14:anchorId="2E0D11C6">
          <v:shape id="_x0000_i1079" type="#_x0000_t75" alt="This equation describes expenditure prices as the weighted sum of the price of output sold domestically and import prices, with the weights equal to the ratio of their expenditure volumes to aggregate expenditure." style="width:169.5pt;height:19.5pt" o:ole="">
            <v:imagedata r:id="rId129" o:title=""/>
          </v:shape>
          <o:OLEObject Type="Embed" ProgID="Equation.DSMT4" ShapeID="_x0000_i1079" DrawAspect="Content" ObjectID="_1461483671" r:id="rId130"/>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36</w:instrText>
      </w:r>
      <w:r w:rsidR="00711272">
        <w:rPr>
          <w:noProof/>
        </w:rPr>
        <w:fldChar w:fldCharType="end"/>
      </w:r>
      <w:r w:rsidR="007236C2" w:rsidRPr="001D48C3">
        <w:instrText>)</w:instrText>
      </w:r>
      <w:r w:rsidR="007236C2" w:rsidRPr="001D48C3">
        <w:fldChar w:fldCharType="end"/>
      </w:r>
    </w:p>
    <w:p w14:paraId="613786F9" w14:textId="77777777" w:rsidR="007236C2" w:rsidRPr="001D48C3" w:rsidRDefault="007236C2" w:rsidP="007236C2">
      <w:r w:rsidRPr="001D48C3">
        <w:t xml:space="preserve">where at time t, </w:t>
      </w:r>
      <w:r w:rsidR="009F6E25" w:rsidRPr="001D48C3">
        <w:t>M</w:t>
      </w:r>
      <w:r w:rsidR="009F6E25" w:rsidRPr="001D48C3">
        <w:rPr>
          <w:vertAlign w:val="subscript"/>
        </w:rPr>
        <w:t>t</w:t>
      </w:r>
      <w:r w:rsidR="009F6E25" w:rsidRPr="001D48C3">
        <w:t xml:space="preserve"> </w:t>
      </w:r>
      <w:r w:rsidRPr="001D48C3">
        <w:t xml:space="preserve">is the volume of imports and </w:t>
      </w:r>
      <w:r w:rsidR="009F6E25" w:rsidRPr="001D48C3">
        <w:t>GNE</w:t>
      </w:r>
      <w:r w:rsidR="009F6E25" w:rsidRPr="001D48C3">
        <w:rPr>
          <w:vertAlign w:val="subscript"/>
        </w:rPr>
        <w:t>t</w:t>
      </w:r>
      <w:r w:rsidR="009F6E25" w:rsidRPr="001D48C3">
        <w:t xml:space="preserve"> </w:t>
      </w:r>
      <w:r w:rsidRPr="001D48C3">
        <w:t xml:space="preserve">is </w:t>
      </w:r>
      <w:r w:rsidR="009F6E25" w:rsidRPr="001D48C3">
        <w:t xml:space="preserve">the volume of </w:t>
      </w:r>
      <w:r w:rsidRPr="001D48C3">
        <w:t>gross national expenditure.</w:t>
      </w:r>
    </w:p>
    <w:p w14:paraId="2A41EB08" w14:textId="77777777" w:rsidR="007236C2" w:rsidRPr="001D48C3" w:rsidRDefault="007236C2" w:rsidP="00237D09">
      <w:pPr>
        <w:spacing w:after="120"/>
      </w:pPr>
      <w:r w:rsidRPr="001D48C3">
        <w:t>The wage and price system is effectively closed via the national accounting identity. In a textbook closed economy example the solution is trivial with gross national expenditure equal to gross domestic product. The closure is, however, more complicated in the case of a small open economy because imports are a function of gross national expenditure. Following Beames and Kouparitsas (</w:t>
      </w:r>
      <w:r w:rsidR="00466A51" w:rsidRPr="001D48C3">
        <w:t>2013</w:t>
      </w:r>
      <w:r w:rsidRPr="001D48C3">
        <w:t>), imports are modelled using a derived demand framework in which imports are a function of the level of gross national expenditure and the relative price of imports:</w:t>
      </w:r>
    </w:p>
    <w:p w14:paraId="3DE24CF3" w14:textId="53EEFE3F" w:rsidR="007236C2" w:rsidRPr="001D48C3" w:rsidRDefault="005B2AA9" w:rsidP="00237D09">
      <w:pPr>
        <w:tabs>
          <w:tab w:val="center" w:pos="4536"/>
          <w:tab w:val="left" w:pos="7938"/>
        </w:tabs>
        <w:spacing w:after="120"/>
      </w:pPr>
      <w:r w:rsidRPr="001D48C3">
        <w:tab/>
      </w:r>
      <w:r w:rsidR="00D41BFC" w:rsidRPr="001D48C3">
        <w:rPr>
          <w:position w:val="-12"/>
        </w:rPr>
        <w:object w:dxaOrig="4080" w:dyaOrig="360" w14:anchorId="466FA5F5">
          <v:shape id="_x0000_i1080" type="#_x0000_t75" alt="This equation describes the demand for imports (more precisely, the log-level of imports) as a linear function which includes a constant, the log-level of gross national expenditure, the log-level of the relative imports price multiplied by the price elasticity, and a linear trend." style="width:205.5pt;height:19.5pt" o:ole="">
            <v:imagedata r:id="rId131" o:title=""/>
          </v:shape>
          <o:OLEObject Type="Embed" ProgID="Equation.DSMT4" ShapeID="_x0000_i1080" DrawAspect="Content" ObjectID="_1461483672" r:id="rId132"/>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37</w:instrText>
      </w:r>
      <w:r w:rsidR="00711272">
        <w:rPr>
          <w:noProof/>
        </w:rPr>
        <w:fldChar w:fldCharType="end"/>
      </w:r>
      <w:r w:rsidR="007236C2" w:rsidRPr="001D48C3">
        <w:instrText>)</w:instrText>
      </w:r>
      <w:r w:rsidR="007236C2" w:rsidRPr="001D48C3">
        <w:fldChar w:fldCharType="end"/>
      </w:r>
    </w:p>
    <w:p w14:paraId="2DAEE537" w14:textId="77777777" w:rsidR="007236C2" w:rsidRPr="001D48C3" w:rsidRDefault="007236C2" w:rsidP="007236C2">
      <w:pPr>
        <w:tabs>
          <w:tab w:val="left" w:pos="7938"/>
        </w:tabs>
      </w:pPr>
      <w:r w:rsidRPr="001D48C3">
        <w:t>where at time t, trend</w:t>
      </w:r>
      <w:r w:rsidRPr="001D48C3">
        <w:rPr>
          <w:vertAlign w:val="subscript"/>
        </w:rPr>
        <w:t>t</w:t>
      </w:r>
      <w:r w:rsidRPr="001D48C3">
        <w:t xml:space="preserve"> is a deterministic linear time trend</w:t>
      </w:r>
      <w:r w:rsidR="009F6E25" w:rsidRPr="001D48C3">
        <w:t xml:space="preserve"> and the coefficient on gross national expenditure is imposed to be one.</w:t>
      </w:r>
    </w:p>
    <w:p w14:paraId="299C27C7" w14:textId="16642470" w:rsidR="007236C2" w:rsidRPr="001D48C3" w:rsidRDefault="007236C2" w:rsidP="00237D09">
      <w:pPr>
        <w:spacing w:after="120"/>
      </w:pPr>
      <w:r w:rsidRPr="001D48C3">
        <w:t>There is also a dynamic aspect to closure because expenditure is a function of national wealth, which depends on the level of net foreign assets, and the level of net foreign assets is a function of the path of net exports.</w:t>
      </w:r>
      <w:r w:rsidRPr="001D48C3">
        <w:rPr>
          <w:vertAlign w:val="superscript"/>
        </w:rPr>
        <w:footnoteReference w:id="10"/>
      </w:r>
      <w:r w:rsidRPr="001D48C3">
        <w:t xml:space="preserve"> Progress can be made on this problem by imposing the stability condition that over the long</w:t>
      </w:r>
      <w:r w:rsidR="001D5BF5">
        <w:noBreakHyphen/>
      </w:r>
      <w:r w:rsidRPr="001D48C3">
        <w:t xml:space="preserve">run, the net foreign asset to nominal output ratio is constant, which implies a sustainable nominal trade balance to nominal output ratio. Given the path of the </w:t>
      </w:r>
      <w:r w:rsidR="009F6E25" w:rsidRPr="001D48C3">
        <w:t xml:space="preserve">real </w:t>
      </w:r>
      <w:r w:rsidRPr="001D48C3">
        <w:t xml:space="preserve">trade balance, </w:t>
      </w:r>
      <w:r w:rsidR="009F6E25" w:rsidRPr="001D48C3">
        <w:t xml:space="preserve">real </w:t>
      </w:r>
      <w:r w:rsidRPr="001D48C3">
        <w:t>gross national expenditure is calculated as a residual:</w:t>
      </w:r>
    </w:p>
    <w:p w14:paraId="66AECAFE" w14:textId="129CABA1" w:rsidR="007236C2" w:rsidRPr="001D48C3" w:rsidRDefault="005B2AA9" w:rsidP="001D48C3">
      <w:pPr>
        <w:tabs>
          <w:tab w:val="center" w:pos="4536"/>
          <w:tab w:val="left" w:pos="7938"/>
        </w:tabs>
        <w:spacing w:after="120"/>
      </w:pPr>
      <w:r w:rsidRPr="001D48C3">
        <w:tab/>
      </w:r>
      <w:r w:rsidR="00D41BFC" w:rsidRPr="001D48C3">
        <w:rPr>
          <w:position w:val="-30"/>
        </w:rPr>
        <w:object w:dxaOrig="1640" w:dyaOrig="720" w14:anchorId="443E82DB">
          <v:shape id="_x0000_i1081" type="#_x0000_t75" alt="There are two equations reported here. The first describes gross national expenditure as aggregate output less net exports, while the second equation describes net exports as exports less imports." style="width:82.5pt;height:36.75pt" o:ole="">
            <v:imagedata r:id="rId133" o:title=""/>
          </v:shape>
          <o:OLEObject Type="Embed" ProgID="Equation.DSMT4" ShapeID="_x0000_i1081" DrawAspect="Content" ObjectID="_1461483673" r:id="rId134"/>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38</w:instrText>
      </w:r>
      <w:r w:rsidR="00711272">
        <w:rPr>
          <w:noProof/>
        </w:rPr>
        <w:fldChar w:fldCharType="end"/>
      </w:r>
      <w:r w:rsidR="007236C2" w:rsidRPr="001D48C3">
        <w:instrText>)</w:instrText>
      </w:r>
      <w:r w:rsidR="007236C2" w:rsidRPr="001D48C3">
        <w:fldChar w:fldCharType="end"/>
      </w:r>
    </w:p>
    <w:p w14:paraId="5AAE59F9" w14:textId="77777777" w:rsidR="007236C2" w:rsidRPr="001D48C3" w:rsidRDefault="007236C2" w:rsidP="007236C2">
      <w:r w:rsidRPr="001D48C3">
        <w:t>where at time t, NX</w:t>
      </w:r>
      <w:r w:rsidRPr="001D48C3">
        <w:rPr>
          <w:vertAlign w:val="subscript"/>
        </w:rPr>
        <w:t>t</w:t>
      </w:r>
      <w:r w:rsidRPr="001D48C3">
        <w:t xml:space="preserve"> is </w:t>
      </w:r>
      <w:r w:rsidR="009F6E25" w:rsidRPr="001D48C3">
        <w:t>the real trade balance</w:t>
      </w:r>
      <w:r w:rsidRPr="001D48C3">
        <w:t>.</w:t>
      </w:r>
    </w:p>
    <w:p w14:paraId="6DBE8E47" w14:textId="77777777" w:rsidR="007236C2" w:rsidRPr="001D48C3" w:rsidRDefault="007236C2" w:rsidP="001D48C3">
      <w:pPr>
        <w:pStyle w:val="Heading2"/>
      </w:pPr>
      <w:r w:rsidRPr="001D48C3">
        <w:lastRenderedPageBreak/>
        <w:t>Estimation</w:t>
      </w:r>
    </w:p>
    <w:p w14:paraId="42653E6B" w14:textId="77777777" w:rsidR="007236C2" w:rsidRPr="001D48C3" w:rsidRDefault="007236C2" w:rsidP="00D3016A">
      <w:pPr>
        <w:pStyle w:val="Heading3"/>
      </w:pPr>
      <w:r w:rsidRPr="001D48C3">
        <w:t>Trend parameters</w:t>
      </w:r>
    </w:p>
    <w:p w14:paraId="411855AE" w14:textId="32FAEC8E" w:rsidR="007236C2" w:rsidRPr="001D48C3" w:rsidRDefault="007236C2" w:rsidP="002128FD">
      <w:pPr>
        <w:pStyle w:val="Heading4"/>
        <w:rPr>
          <w:lang w:eastAsia="en-AU"/>
        </w:rPr>
      </w:pPr>
      <w:r w:rsidRPr="001D48C3">
        <w:rPr>
          <w:lang w:eastAsia="en-AU"/>
        </w:rPr>
        <w:t>Labour force</w:t>
      </w:r>
      <w:r w:rsidR="00073551" w:rsidRPr="001D48C3">
        <w:rPr>
          <w:lang w:eastAsia="en-AU"/>
        </w:rPr>
        <w:t xml:space="preserve"> — </w:t>
      </w:r>
      <w:r w:rsidR="00A95704" w:rsidRPr="001D48C3">
        <w:rPr>
          <w:lang w:eastAsia="en-AU"/>
        </w:rPr>
        <w:t>population and participation rate</w:t>
      </w:r>
    </w:p>
    <w:p w14:paraId="5D9BC0A3" w14:textId="77777777" w:rsidR="007236C2" w:rsidRPr="001D48C3" w:rsidRDefault="007236C2" w:rsidP="007236C2">
      <w:r w:rsidRPr="001D48C3">
        <w:t xml:space="preserve">The historical </w:t>
      </w:r>
      <w:r w:rsidR="00A95704" w:rsidRPr="001D48C3">
        <w:t xml:space="preserve">working age </w:t>
      </w:r>
      <w:r w:rsidRPr="001D48C3">
        <w:t>population, labour force and participation rate data are sourced from Australian Bureau of Statistics (ABS) Labour Force Australia</w:t>
      </w:r>
      <w:r w:rsidR="008C68A9" w:rsidRPr="001D48C3">
        <w:t xml:space="preserve"> (</w:t>
      </w:r>
      <w:r w:rsidRPr="001D48C3">
        <w:t>Cat. No. 6202.0</w:t>
      </w:r>
      <w:r w:rsidR="008C68A9" w:rsidRPr="001D48C3">
        <w:t>)</w:t>
      </w:r>
      <w:r w:rsidRPr="001D48C3">
        <w:t xml:space="preserve"> and Labour Force Australia Detailed Quarterly</w:t>
      </w:r>
      <w:r w:rsidR="008C68A9" w:rsidRPr="001D48C3">
        <w:t xml:space="preserve"> (</w:t>
      </w:r>
      <w:r w:rsidRPr="001D48C3">
        <w:t>Cat. No. 6291.0.55.003</w:t>
      </w:r>
      <w:r w:rsidR="008C68A9" w:rsidRPr="001D48C3">
        <w:t>)</w:t>
      </w:r>
      <w:r w:rsidRPr="001D48C3">
        <w:t>.</w:t>
      </w:r>
    </w:p>
    <w:p w14:paraId="3B3A118B" w14:textId="351A84C8" w:rsidR="007236C2" w:rsidRPr="001D48C3" w:rsidRDefault="007236C2" w:rsidP="007236C2">
      <w:pPr>
        <w:rPr>
          <w:lang w:eastAsia="en-AU"/>
        </w:rPr>
      </w:pPr>
      <w:r w:rsidRPr="001D48C3">
        <w:t xml:space="preserve">Historical </w:t>
      </w:r>
      <w:r w:rsidR="00A95704" w:rsidRPr="001D48C3">
        <w:t>trend working age</w:t>
      </w:r>
      <w:r w:rsidRPr="001D48C3">
        <w:t xml:space="preserve"> population, </w:t>
      </w:r>
      <w:r w:rsidR="00A95704" w:rsidRPr="001D48C3">
        <w:t xml:space="preserve">trend </w:t>
      </w:r>
      <w:r w:rsidRPr="001D48C3">
        <w:t>labour force and</w:t>
      </w:r>
      <w:r w:rsidR="00A95704" w:rsidRPr="001D48C3">
        <w:t xml:space="preserve"> the</w:t>
      </w:r>
      <w:r w:rsidRPr="001D48C3">
        <w:t xml:space="preserve"> </w:t>
      </w:r>
      <w:r w:rsidR="00A95704" w:rsidRPr="001D48C3">
        <w:t xml:space="preserve">trend </w:t>
      </w:r>
      <w:r w:rsidRPr="001D48C3">
        <w:t xml:space="preserve">participation rate are estimated using a </w:t>
      </w:r>
      <w:r w:rsidRPr="001D48C3">
        <w:rPr>
          <w:lang w:eastAsia="en-AU"/>
        </w:rPr>
        <w:t>Hodrick</w:t>
      </w:r>
      <w:r w:rsidR="001D5BF5">
        <w:rPr>
          <w:lang w:eastAsia="en-AU"/>
        </w:rPr>
        <w:noBreakHyphen/>
      </w:r>
      <w:r w:rsidRPr="001D48C3">
        <w:rPr>
          <w:lang w:eastAsia="en-AU"/>
        </w:rPr>
        <w:t>Prescott filter with a filter weight of 1600.</w:t>
      </w:r>
      <w:r w:rsidRPr="001D48C3">
        <w:t xml:space="preserve"> </w:t>
      </w:r>
      <w:r w:rsidRPr="001D48C3">
        <w:rPr>
          <w:lang w:eastAsia="en-AU"/>
        </w:rPr>
        <w:t xml:space="preserve">To avoid end point issues, projections are based on the estimated trend for June in </w:t>
      </w:r>
      <w:r w:rsidR="00356B99" w:rsidRPr="001D48C3">
        <w:rPr>
          <w:lang w:eastAsia="en-AU"/>
        </w:rPr>
        <w:t xml:space="preserve">the </w:t>
      </w:r>
      <w:r w:rsidRPr="001D48C3">
        <w:rPr>
          <w:lang w:eastAsia="en-AU"/>
        </w:rPr>
        <w:t>year prior to current data</w:t>
      </w:r>
      <w:r w:rsidR="00073551" w:rsidRPr="001D48C3">
        <w:rPr>
          <w:lang w:eastAsia="en-AU"/>
        </w:rPr>
        <w:t xml:space="preserve"> — </w:t>
      </w:r>
      <w:r w:rsidRPr="001D48C3">
        <w:rPr>
          <w:lang w:eastAsia="en-AU"/>
        </w:rPr>
        <w:t>in this instance, June 2012.</w:t>
      </w:r>
      <w:r w:rsidRPr="001D48C3">
        <w:rPr>
          <w:vertAlign w:val="superscript"/>
          <w:lang w:eastAsia="en-AU"/>
        </w:rPr>
        <w:footnoteReference w:id="11"/>
      </w:r>
    </w:p>
    <w:p w14:paraId="3DBFE3A7" w14:textId="77777777" w:rsidR="007236C2" w:rsidRPr="001D48C3" w:rsidRDefault="007236C2" w:rsidP="007236C2">
      <w:pPr>
        <w:rPr>
          <w:lang w:eastAsia="en-AU"/>
        </w:rPr>
      </w:pPr>
      <w:r w:rsidRPr="001D48C3">
        <w:rPr>
          <w:lang w:eastAsia="en-AU"/>
        </w:rPr>
        <w:t xml:space="preserve">Working age population is projected using the methodology employed in </w:t>
      </w:r>
      <w:r w:rsidR="00C37129" w:rsidRPr="001D48C3">
        <w:rPr>
          <w:lang w:eastAsia="en-AU"/>
        </w:rPr>
        <w:t xml:space="preserve">the </w:t>
      </w:r>
      <w:r w:rsidRPr="001D48C3">
        <w:rPr>
          <w:lang w:eastAsia="en-AU"/>
        </w:rPr>
        <w:t xml:space="preserve">2010 IGR (see Australian Government, 2010). The population at 30 June each year by age and </w:t>
      </w:r>
      <w:r w:rsidR="009F6E25" w:rsidRPr="001D48C3">
        <w:rPr>
          <w:lang w:eastAsia="en-AU"/>
        </w:rPr>
        <w:t xml:space="preserve">gender </w:t>
      </w:r>
      <w:r w:rsidRPr="001D48C3">
        <w:rPr>
          <w:lang w:eastAsia="en-AU"/>
        </w:rPr>
        <w:t>is projected using a standard cohort component model. This model incorporates key assumptions about the fertility rate, the mortality rate and net overseas migration.</w:t>
      </w:r>
    </w:p>
    <w:p w14:paraId="058D5590" w14:textId="456877AC" w:rsidR="007236C2" w:rsidRPr="001D48C3" w:rsidRDefault="007236C2" w:rsidP="007236C2">
      <w:r w:rsidRPr="001D48C3">
        <w:rPr>
          <w:lang w:eastAsia="en-AU"/>
        </w:rPr>
        <w:t>For the population projections underlying the 2014</w:t>
      </w:r>
      <w:r w:rsidR="001D5BF5">
        <w:rPr>
          <w:lang w:eastAsia="en-AU"/>
        </w:rPr>
        <w:noBreakHyphen/>
      </w:r>
      <w:r w:rsidRPr="001D48C3">
        <w:rPr>
          <w:lang w:eastAsia="en-AU"/>
        </w:rPr>
        <w:t>15 Budget</w:t>
      </w:r>
      <w:r w:rsidR="00C37129" w:rsidRPr="001D48C3">
        <w:rPr>
          <w:lang w:eastAsia="en-AU"/>
        </w:rPr>
        <w:t>,</w:t>
      </w:r>
      <w:r w:rsidRPr="001D48C3">
        <w:rPr>
          <w:lang w:eastAsia="en-AU"/>
        </w:rPr>
        <w:t xml:space="preserve"> the total fertility rate is assumed to drop from an actual 1.933 in 2012 (ABS Births, Australia 2012, Cat. No. 3301.0) to 1.9 in 2013 and then remain constant. Life expectancy at birth (period method) increases from 79.9 years for males in 2011 to 87.7 in 2051 and from 84.3 years for females in 2011 to 90.3 in 2051. The Net Overseas Migration (NOM) assumption is based on the Department of </w:t>
      </w:r>
      <w:r w:rsidR="00C37129" w:rsidRPr="001D48C3">
        <w:rPr>
          <w:lang w:eastAsia="en-AU"/>
        </w:rPr>
        <w:t>Immigration</w:t>
      </w:r>
      <w:r w:rsidRPr="001D48C3">
        <w:rPr>
          <w:lang w:eastAsia="en-AU"/>
        </w:rPr>
        <w:t xml:space="preserve"> and Border Protection</w:t>
      </w:r>
      <w:r w:rsidR="001D5BF5">
        <w:rPr>
          <w:lang w:eastAsia="en-AU"/>
        </w:rPr>
        <w:t>’</w:t>
      </w:r>
      <w:r w:rsidRPr="001D48C3">
        <w:rPr>
          <w:lang w:eastAsia="en-AU"/>
        </w:rPr>
        <w:t xml:space="preserve">s Outlook for Net Overseas Migration (see </w:t>
      </w:r>
      <w:r w:rsidRPr="001D48C3">
        <w:t xml:space="preserve">Department of Immigration and Border Protection, </w:t>
      </w:r>
      <w:r w:rsidRPr="001D48C3">
        <w:rPr>
          <w:lang w:eastAsia="en-AU"/>
        </w:rPr>
        <w:t xml:space="preserve">December </w:t>
      </w:r>
      <w:r w:rsidRPr="001D48C3">
        <w:t xml:space="preserve">2013, </w:t>
      </w:r>
      <w:r w:rsidRPr="001D48C3">
        <w:rPr>
          <w:lang w:eastAsia="en-AU"/>
        </w:rPr>
        <w:t>for details). Over the projection period, NOM is assumed to be 241,900 in 2013</w:t>
      </w:r>
      <w:r w:rsidR="001D5BF5">
        <w:rPr>
          <w:lang w:eastAsia="en-AU"/>
        </w:rPr>
        <w:noBreakHyphen/>
      </w:r>
      <w:r w:rsidRPr="001D48C3">
        <w:rPr>
          <w:lang w:eastAsia="en-AU"/>
        </w:rPr>
        <w:t>14, 248,300 in 2014</w:t>
      </w:r>
      <w:r w:rsidR="001D5BF5">
        <w:rPr>
          <w:lang w:eastAsia="en-AU"/>
        </w:rPr>
        <w:noBreakHyphen/>
      </w:r>
      <w:r w:rsidRPr="001D48C3">
        <w:rPr>
          <w:lang w:eastAsia="en-AU"/>
        </w:rPr>
        <w:t>15, 249,000 in 2015</w:t>
      </w:r>
      <w:r w:rsidR="001D5BF5">
        <w:rPr>
          <w:lang w:eastAsia="en-AU"/>
        </w:rPr>
        <w:noBreakHyphen/>
      </w:r>
      <w:r w:rsidRPr="001D48C3">
        <w:rPr>
          <w:lang w:eastAsia="en-AU"/>
        </w:rPr>
        <w:t>16, 254,000 in 2016</w:t>
      </w:r>
      <w:r w:rsidR="001D5BF5">
        <w:rPr>
          <w:lang w:eastAsia="en-AU"/>
        </w:rPr>
        <w:noBreakHyphen/>
      </w:r>
      <w:r w:rsidRPr="001D48C3">
        <w:rPr>
          <w:lang w:eastAsia="en-AU"/>
        </w:rPr>
        <w:t>17, and 250,000 thereafter.</w:t>
      </w:r>
    </w:p>
    <w:p w14:paraId="1A182B43" w14:textId="77777777" w:rsidR="007236C2" w:rsidRPr="001D48C3" w:rsidRDefault="007236C2" w:rsidP="007236C2">
      <w:pPr>
        <w:rPr>
          <w:lang w:eastAsia="en-AU"/>
        </w:rPr>
      </w:pPr>
      <w:r w:rsidRPr="001D48C3">
        <w:rPr>
          <w:lang w:eastAsia="en-AU"/>
        </w:rPr>
        <w:t xml:space="preserve">Assumptions about the quarterly shares of births, deaths and </w:t>
      </w:r>
      <w:r w:rsidR="00C37129" w:rsidRPr="001D48C3">
        <w:rPr>
          <w:lang w:eastAsia="en-AU"/>
        </w:rPr>
        <w:t xml:space="preserve">net </w:t>
      </w:r>
      <w:r w:rsidRPr="001D48C3">
        <w:rPr>
          <w:lang w:eastAsia="en-AU"/>
        </w:rPr>
        <w:t>overseas migration are used to generate population projections by age</w:t>
      </w:r>
      <w:r w:rsidR="009F6E25" w:rsidRPr="001D48C3">
        <w:rPr>
          <w:lang w:eastAsia="en-AU"/>
        </w:rPr>
        <w:t xml:space="preserve"> and gender</w:t>
      </w:r>
      <w:r w:rsidRPr="001D48C3">
        <w:rPr>
          <w:lang w:eastAsia="en-AU"/>
        </w:rPr>
        <w:t xml:space="preserve"> at the end of each quarter based on actual observed quarterly data.</w:t>
      </w:r>
    </w:p>
    <w:p w14:paraId="2C407ACA" w14:textId="77777777" w:rsidR="007236C2" w:rsidRPr="001D48C3" w:rsidRDefault="00B472F4" w:rsidP="007236C2">
      <w:pPr>
        <w:rPr>
          <w:lang w:eastAsia="en-AU"/>
        </w:rPr>
      </w:pPr>
      <w:r w:rsidRPr="001D48C3">
        <w:rPr>
          <w:lang w:eastAsia="en-AU"/>
        </w:rPr>
        <w:t>T</w:t>
      </w:r>
      <w:r w:rsidR="007236C2" w:rsidRPr="001D48C3">
        <w:rPr>
          <w:lang w:eastAsia="en-AU"/>
        </w:rPr>
        <w:t xml:space="preserve">he measure of </w:t>
      </w:r>
      <w:r w:rsidRPr="001D48C3">
        <w:rPr>
          <w:lang w:eastAsia="en-AU"/>
        </w:rPr>
        <w:t xml:space="preserve">the working age </w:t>
      </w:r>
      <w:r w:rsidR="007236C2" w:rsidRPr="001D48C3">
        <w:rPr>
          <w:lang w:eastAsia="en-AU"/>
        </w:rPr>
        <w:t>population used by the ABS in estimating the labour force</w:t>
      </w:r>
      <w:r w:rsidRPr="001D48C3">
        <w:rPr>
          <w:lang w:eastAsia="en-AU"/>
        </w:rPr>
        <w:t xml:space="preserve"> </w:t>
      </w:r>
      <w:r w:rsidR="007236C2" w:rsidRPr="001D48C3">
        <w:rPr>
          <w:lang w:eastAsia="en-AU"/>
        </w:rPr>
        <w:t>is the population aged 15 and over excluding defen</w:t>
      </w:r>
      <w:r w:rsidR="00FE6745" w:rsidRPr="001D48C3">
        <w:rPr>
          <w:lang w:eastAsia="en-AU"/>
        </w:rPr>
        <w:t>c</w:t>
      </w:r>
      <w:r w:rsidR="007236C2" w:rsidRPr="001D48C3">
        <w:rPr>
          <w:lang w:eastAsia="en-AU"/>
        </w:rPr>
        <w:t xml:space="preserve">e employees. In contrast to general demographic statistics published by the ABS which measure population as at the end of a quarter, quarterly </w:t>
      </w:r>
      <w:r w:rsidR="00C37129" w:rsidRPr="001D48C3">
        <w:rPr>
          <w:lang w:eastAsia="en-AU"/>
        </w:rPr>
        <w:t xml:space="preserve">working age </w:t>
      </w:r>
      <w:r w:rsidR="007236C2" w:rsidRPr="001D48C3">
        <w:rPr>
          <w:lang w:eastAsia="en-AU"/>
        </w:rPr>
        <w:t xml:space="preserve">population is measured as the average of the </w:t>
      </w:r>
      <w:r w:rsidR="00C37129" w:rsidRPr="001D48C3">
        <w:rPr>
          <w:lang w:eastAsia="en-AU"/>
        </w:rPr>
        <w:t xml:space="preserve">working age </w:t>
      </w:r>
      <w:r w:rsidR="007236C2" w:rsidRPr="001D48C3">
        <w:rPr>
          <w:lang w:eastAsia="en-AU"/>
        </w:rPr>
        <w:t>population over the three months of the quarter.</w:t>
      </w:r>
    </w:p>
    <w:p w14:paraId="40B35BDE" w14:textId="1CBD41F0" w:rsidR="007236C2" w:rsidRPr="001D48C3" w:rsidRDefault="007236C2" w:rsidP="007236C2">
      <w:pPr>
        <w:rPr>
          <w:lang w:eastAsia="en-AU"/>
        </w:rPr>
      </w:pPr>
      <w:r w:rsidRPr="001D48C3">
        <w:rPr>
          <w:lang w:eastAsia="en-AU"/>
        </w:rPr>
        <w:t xml:space="preserve">Trend participation rates are </w:t>
      </w:r>
      <w:r w:rsidR="009F6E25" w:rsidRPr="001D48C3">
        <w:rPr>
          <w:lang w:eastAsia="en-AU"/>
        </w:rPr>
        <w:t xml:space="preserve">broadly </w:t>
      </w:r>
      <w:r w:rsidRPr="001D48C3">
        <w:rPr>
          <w:lang w:eastAsia="en-AU"/>
        </w:rPr>
        <w:t xml:space="preserve">consistent with the </w:t>
      </w:r>
      <w:r w:rsidR="00C37129" w:rsidRPr="001D48C3">
        <w:rPr>
          <w:lang w:eastAsia="en-AU"/>
        </w:rPr>
        <w:t xml:space="preserve">2010 </w:t>
      </w:r>
      <w:r w:rsidRPr="001D48C3">
        <w:rPr>
          <w:lang w:eastAsia="en-AU"/>
        </w:rPr>
        <w:t>IGR methodology. For each five year age group, gender and employment status (full</w:t>
      </w:r>
      <w:r w:rsidR="001D5BF5">
        <w:rPr>
          <w:lang w:eastAsia="en-AU"/>
        </w:rPr>
        <w:noBreakHyphen/>
      </w:r>
      <w:r w:rsidRPr="001D48C3">
        <w:rPr>
          <w:lang w:eastAsia="en-AU"/>
        </w:rPr>
        <w:t>time and part</w:t>
      </w:r>
      <w:r w:rsidR="001D5BF5">
        <w:rPr>
          <w:lang w:eastAsia="en-AU"/>
        </w:rPr>
        <w:noBreakHyphen/>
      </w:r>
      <w:r w:rsidRPr="001D48C3">
        <w:rPr>
          <w:lang w:eastAsia="en-AU"/>
        </w:rPr>
        <w:t xml:space="preserve">time) cohort, a participation rate is projected from the historical trend. The historical trend is determined </w:t>
      </w:r>
      <w:r w:rsidR="009F6E25" w:rsidRPr="001D48C3">
        <w:rPr>
          <w:lang w:eastAsia="en-AU"/>
        </w:rPr>
        <w:t>as the ratio of the</w:t>
      </w:r>
      <w:r w:rsidRPr="001D48C3">
        <w:rPr>
          <w:lang w:eastAsia="en-AU"/>
        </w:rPr>
        <w:t xml:space="preserve"> historical </w:t>
      </w:r>
      <w:r w:rsidR="00C37129" w:rsidRPr="001D48C3">
        <w:rPr>
          <w:lang w:eastAsia="en-AU"/>
        </w:rPr>
        <w:t>trend</w:t>
      </w:r>
      <w:r w:rsidR="009F6E25" w:rsidRPr="001D48C3">
        <w:rPr>
          <w:lang w:eastAsia="en-AU"/>
        </w:rPr>
        <w:t>s of the</w:t>
      </w:r>
      <w:r w:rsidR="00C37129" w:rsidRPr="001D48C3">
        <w:rPr>
          <w:lang w:eastAsia="en-AU"/>
        </w:rPr>
        <w:t xml:space="preserve"> </w:t>
      </w:r>
      <w:r w:rsidRPr="001D48C3">
        <w:rPr>
          <w:lang w:eastAsia="en-AU"/>
        </w:rPr>
        <w:t xml:space="preserve">labour force and </w:t>
      </w:r>
      <w:r w:rsidR="009F6E25" w:rsidRPr="001D48C3">
        <w:rPr>
          <w:lang w:eastAsia="en-AU"/>
        </w:rPr>
        <w:t>the</w:t>
      </w:r>
      <w:r w:rsidRPr="001D48C3">
        <w:rPr>
          <w:lang w:eastAsia="en-AU"/>
        </w:rPr>
        <w:t xml:space="preserve"> </w:t>
      </w:r>
      <w:r w:rsidR="00C37129" w:rsidRPr="001D48C3">
        <w:rPr>
          <w:lang w:eastAsia="en-AU"/>
        </w:rPr>
        <w:t>trend working age</w:t>
      </w:r>
      <w:r w:rsidRPr="001D48C3">
        <w:rPr>
          <w:lang w:eastAsia="en-AU"/>
        </w:rPr>
        <w:t xml:space="preserve"> population.</w:t>
      </w:r>
    </w:p>
    <w:p w14:paraId="2D7BEB42" w14:textId="77777777" w:rsidR="00237D09" w:rsidRDefault="00237D09">
      <w:pPr>
        <w:rPr>
          <w:lang w:eastAsia="en-AU"/>
        </w:rPr>
      </w:pPr>
      <w:r>
        <w:rPr>
          <w:lang w:eastAsia="en-AU"/>
        </w:rPr>
        <w:br w:type="page"/>
      </w:r>
    </w:p>
    <w:p w14:paraId="3BD82E3D" w14:textId="1AC4DC35" w:rsidR="007236C2" w:rsidRPr="001D48C3" w:rsidRDefault="007236C2" w:rsidP="007236C2">
      <w:pPr>
        <w:rPr>
          <w:lang w:eastAsia="en-AU"/>
        </w:rPr>
      </w:pPr>
      <w:r w:rsidRPr="001D48C3">
        <w:rPr>
          <w:lang w:eastAsia="en-AU"/>
        </w:rPr>
        <w:lastRenderedPageBreak/>
        <w:t>For youth (15</w:t>
      </w:r>
      <w:r w:rsidR="001D5BF5">
        <w:rPr>
          <w:lang w:eastAsia="en-AU"/>
        </w:rPr>
        <w:noBreakHyphen/>
      </w:r>
      <w:r w:rsidRPr="001D48C3">
        <w:rPr>
          <w:lang w:eastAsia="en-AU"/>
        </w:rPr>
        <w:t xml:space="preserve">24 years of age), participation rate projections are held constant at the last historical trend value. This </w:t>
      </w:r>
      <w:r w:rsidR="00C37129" w:rsidRPr="001D48C3">
        <w:rPr>
          <w:lang w:eastAsia="en-AU"/>
        </w:rPr>
        <w:t>reflects</w:t>
      </w:r>
      <w:r w:rsidRPr="001D48C3">
        <w:rPr>
          <w:lang w:eastAsia="en-AU"/>
        </w:rPr>
        <w:t xml:space="preserve"> limited historical information about how these cohorts will behave. For mature age workers (aged 60</w:t>
      </w:r>
      <w:r w:rsidR="001D5BF5">
        <w:rPr>
          <w:lang w:eastAsia="en-AU"/>
        </w:rPr>
        <w:noBreakHyphen/>
      </w:r>
      <w:r w:rsidRPr="001D48C3">
        <w:rPr>
          <w:lang w:eastAsia="en-AU"/>
        </w:rPr>
        <w:t>64 and</w:t>
      </w:r>
      <w:r w:rsidR="002E4505" w:rsidRPr="001D48C3">
        <w:rPr>
          <w:lang w:eastAsia="en-AU"/>
        </w:rPr>
        <w:t xml:space="preserve"> over</w:t>
      </w:r>
      <w:r w:rsidRPr="001D48C3">
        <w:rPr>
          <w:lang w:eastAsia="en-AU"/>
        </w:rPr>
        <w:t xml:space="preserve">), projected trend participation rates are modelled using cohort analysis, based largely on the methodology described by the Productivity Commission (2005, </w:t>
      </w:r>
      <w:r w:rsidR="00B472F4" w:rsidRPr="001D48C3">
        <w:rPr>
          <w:lang w:eastAsia="en-AU"/>
        </w:rPr>
        <w:t xml:space="preserve">Technical Paper No. </w:t>
      </w:r>
      <w:r w:rsidRPr="001D48C3">
        <w:rPr>
          <w:lang w:eastAsia="en-AU"/>
        </w:rPr>
        <w:t>3: Cohort Analysis). According to the Productivity Commission</w:t>
      </w:r>
      <w:r w:rsidR="00111E57" w:rsidRPr="001D48C3">
        <w:rPr>
          <w:lang w:eastAsia="en-AU"/>
        </w:rPr>
        <w:t xml:space="preserve"> (2005)</w:t>
      </w:r>
      <w:r w:rsidRPr="001D48C3">
        <w:rPr>
          <w:lang w:eastAsia="en-AU"/>
        </w:rPr>
        <w:t xml:space="preserve"> labour market behaviour of people born in different years (so</w:t>
      </w:r>
      <w:r w:rsidR="001D5BF5">
        <w:rPr>
          <w:lang w:eastAsia="en-AU"/>
        </w:rPr>
        <w:noBreakHyphen/>
      </w:r>
      <w:r w:rsidRPr="001D48C3">
        <w:rPr>
          <w:lang w:eastAsia="en-AU"/>
        </w:rPr>
        <w:t xml:space="preserve">called </w:t>
      </w:r>
      <w:r w:rsidRPr="001D48C3">
        <w:rPr>
          <w:i/>
          <w:lang w:eastAsia="en-AU"/>
        </w:rPr>
        <w:t>cohorts</w:t>
      </w:r>
      <w:r w:rsidRPr="001D48C3">
        <w:rPr>
          <w:lang w:eastAsia="en-AU"/>
        </w:rPr>
        <w:t>) can be quite different.</w:t>
      </w:r>
      <w:r w:rsidR="00E4672E" w:rsidRPr="001D48C3">
        <w:rPr>
          <w:lang w:eastAsia="en-AU"/>
        </w:rPr>
        <w:t xml:space="preserve"> </w:t>
      </w:r>
      <w:r w:rsidR="00B472F4" w:rsidRPr="001D48C3">
        <w:rPr>
          <w:lang w:eastAsia="en-AU"/>
        </w:rPr>
        <w:t xml:space="preserve">Following Productivity Commission (2005, Technical Paper No 2: Growth Curves), labour force participation rates </w:t>
      </w:r>
      <w:r w:rsidR="00CD3B55" w:rsidRPr="001D48C3">
        <w:rPr>
          <w:lang w:eastAsia="en-AU"/>
        </w:rPr>
        <w:t xml:space="preserve">for the remaining cohorts </w:t>
      </w:r>
      <w:r w:rsidR="00B472F4" w:rsidRPr="001D48C3">
        <w:rPr>
          <w:lang w:eastAsia="en-AU"/>
        </w:rPr>
        <w:t xml:space="preserve">are projected using </w:t>
      </w:r>
      <w:r w:rsidR="00E4672E" w:rsidRPr="001D48C3">
        <w:rPr>
          <w:i/>
          <w:lang w:eastAsia="en-AU"/>
        </w:rPr>
        <w:t>Richards</w:t>
      </w:r>
      <w:r w:rsidR="001D5BF5">
        <w:rPr>
          <w:i/>
          <w:lang w:eastAsia="en-AU"/>
        </w:rPr>
        <w:t>’</w:t>
      </w:r>
      <w:r w:rsidR="00E4672E" w:rsidRPr="001D48C3">
        <w:rPr>
          <w:i/>
          <w:lang w:eastAsia="en-AU"/>
        </w:rPr>
        <w:t xml:space="preserve"> curves</w:t>
      </w:r>
      <w:r w:rsidR="00E4672E" w:rsidRPr="001D48C3">
        <w:rPr>
          <w:lang w:eastAsia="en-AU"/>
        </w:rPr>
        <w:t>.</w:t>
      </w:r>
    </w:p>
    <w:p w14:paraId="6F72A4C9" w14:textId="4C3645D1" w:rsidR="007236C2" w:rsidRPr="001D48C3" w:rsidRDefault="007236C2" w:rsidP="007236C2">
      <w:pPr>
        <w:rPr>
          <w:lang w:eastAsia="en-AU"/>
        </w:rPr>
      </w:pPr>
      <w:r w:rsidRPr="001D48C3">
        <w:rPr>
          <w:lang w:eastAsia="en-AU"/>
        </w:rPr>
        <w:t>Projected trend participation rates by age, gender and employment status are compared to maintain relativities between age groups, between genders, between full</w:t>
      </w:r>
      <w:r w:rsidR="001D5BF5">
        <w:rPr>
          <w:lang w:eastAsia="en-AU"/>
        </w:rPr>
        <w:noBreakHyphen/>
      </w:r>
      <w:r w:rsidRPr="001D48C3">
        <w:rPr>
          <w:lang w:eastAsia="en-AU"/>
        </w:rPr>
        <w:t>time and part</w:t>
      </w:r>
      <w:r w:rsidR="001D5BF5">
        <w:rPr>
          <w:lang w:eastAsia="en-AU"/>
        </w:rPr>
        <w:noBreakHyphen/>
      </w:r>
      <w:r w:rsidRPr="001D48C3">
        <w:rPr>
          <w:lang w:eastAsia="en-AU"/>
        </w:rPr>
        <w:t>time status and between birth cohorts</w:t>
      </w:r>
      <w:r w:rsidR="00073551" w:rsidRPr="001D48C3">
        <w:rPr>
          <w:lang w:eastAsia="en-AU"/>
        </w:rPr>
        <w:t xml:space="preserve">. </w:t>
      </w:r>
      <w:r w:rsidRPr="001D48C3">
        <w:rPr>
          <w:lang w:eastAsia="en-AU"/>
        </w:rPr>
        <w:t xml:space="preserve">The projected trend total participation rate is the sum of the projected trend participation rates by age group, gender and employment status weighted by their share of the total </w:t>
      </w:r>
      <w:r w:rsidR="00C37129" w:rsidRPr="001D48C3">
        <w:rPr>
          <w:lang w:eastAsia="en-AU"/>
        </w:rPr>
        <w:t xml:space="preserve">working age </w:t>
      </w:r>
      <w:r w:rsidRPr="001D48C3">
        <w:rPr>
          <w:lang w:eastAsia="en-AU"/>
        </w:rPr>
        <w:t>population.</w:t>
      </w:r>
    </w:p>
    <w:p w14:paraId="1C28AFED" w14:textId="77777777" w:rsidR="007236C2" w:rsidRPr="001D48C3" w:rsidRDefault="007236C2" w:rsidP="002128FD">
      <w:pPr>
        <w:pStyle w:val="Heading4"/>
        <w:rPr>
          <w:lang w:eastAsia="en-AU"/>
        </w:rPr>
      </w:pPr>
      <w:r w:rsidRPr="001D48C3">
        <w:rPr>
          <w:lang w:eastAsia="en-AU"/>
        </w:rPr>
        <w:t>Average hours</w:t>
      </w:r>
    </w:p>
    <w:p w14:paraId="5FF1E924" w14:textId="200030F2" w:rsidR="007236C2" w:rsidRPr="001D48C3" w:rsidRDefault="00C37129" w:rsidP="007236C2">
      <w:r w:rsidRPr="001D48C3">
        <w:t>H</w:t>
      </w:r>
      <w:r w:rsidR="007236C2" w:rsidRPr="001D48C3">
        <w:t xml:space="preserve">istorical </w:t>
      </w:r>
      <w:r w:rsidRPr="001D48C3">
        <w:t xml:space="preserve">trend </w:t>
      </w:r>
      <w:r w:rsidR="007236C2" w:rsidRPr="001D48C3">
        <w:t>average hours worked is estimated by applying the Hodrick</w:t>
      </w:r>
      <w:r w:rsidR="001D5BF5">
        <w:noBreakHyphen/>
      </w:r>
      <w:r w:rsidR="007236C2" w:rsidRPr="001D48C3">
        <w:t xml:space="preserve">Prescott filter to historical data. Trend average hours worked is projected by growing the historical trend in line with the average hours series used in the </w:t>
      </w:r>
      <w:r w:rsidRPr="001D48C3">
        <w:t xml:space="preserve">2010 </w:t>
      </w:r>
      <w:r w:rsidR="007236C2" w:rsidRPr="001D48C3">
        <w:t xml:space="preserve">IGR. Following the </w:t>
      </w:r>
      <w:r w:rsidRPr="001D48C3">
        <w:t xml:space="preserve">2010 </w:t>
      </w:r>
      <w:r w:rsidR="007236C2" w:rsidRPr="001D48C3">
        <w:t>IGR approach, aggregate trend average hours worked is based on bottom</w:t>
      </w:r>
      <w:r w:rsidR="001D5BF5">
        <w:noBreakHyphen/>
      </w:r>
      <w:r w:rsidR="007236C2" w:rsidRPr="001D48C3">
        <w:t xml:space="preserve">up analysis by </w:t>
      </w:r>
      <w:r w:rsidR="00BA7BD2" w:rsidRPr="001D48C3">
        <w:t>gender</w:t>
      </w:r>
      <w:r w:rsidR="007236C2" w:rsidRPr="001D48C3">
        <w:t>, age (15</w:t>
      </w:r>
      <w:r w:rsidR="001D5BF5">
        <w:noBreakHyphen/>
      </w:r>
      <w:r w:rsidR="007236C2" w:rsidRPr="001D48C3">
        <w:t>19, 20</w:t>
      </w:r>
      <w:r w:rsidR="001D5BF5">
        <w:noBreakHyphen/>
      </w:r>
      <w:r w:rsidR="007236C2" w:rsidRPr="001D48C3">
        <w:t>24, 25</w:t>
      </w:r>
      <w:r w:rsidR="001D5BF5">
        <w:noBreakHyphen/>
      </w:r>
      <w:r w:rsidR="007236C2" w:rsidRPr="001D48C3">
        <w:t>34, 35</w:t>
      </w:r>
      <w:r w:rsidR="001D5BF5">
        <w:noBreakHyphen/>
      </w:r>
      <w:r w:rsidR="007236C2" w:rsidRPr="001D48C3">
        <w:t>44, 45</w:t>
      </w:r>
      <w:r w:rsidR="001D5BF5">
        <w:noBreakHyphen/>
      </w:r>
      <w:r w:rsidR="007236C2" w:rsidRPr="001D48C3">
        <w:t>54, 55</w:t>
      </w:r>
      <w:r w:rsidR="001D5BF5">
        <w:noBreakHyphen/>
      </w:r>
      <w:r w:rsidR="007236C2" w:rsidRPr="001D48C3">
        <w:t>59, 60</w:t>
      </w:r>
      <w:r w:rsidR="001D5BF5">
        <w:noBreakHyphen/>
      </w:r>
      <w:r w:rsidR="007236C2" w:rsidRPr="001D48C3">
        <w:t>64, 65 and over), employment type (employer, employee, own account worker, contributing family worker) and whether employed full</w:t>
      </w:r>
      <w:r w:rsidR="001D5BF5">
        <w:noBreakHyphen/>
      </w:r>
      <w:r w:rsidR="007236C2" w:rsidRPr="001D48C3">
        <w:t>time or part</w:t>
      </w:r>
      <w:r w:rsidR="001D5BF5">
        <w:noBreakHyphen/>
      </w:r>
      <w:r w:rsidR="007236C2" w:rsidRPr="001D48C3">
        <w:t xml:space="preserve">time. The projected </w:t>
      </w:r>
      <w:r w:rsidRPr="001D48C3">
        <w:t xml:space="preserve">trend </w:t>
      </w:r>
      <w:r w:rsidR="007236C2" w:rsidRPr="001D48C3">
        <w:t xml:space="preserve">average hours worked for these 64 series is weighted by the trend number of persons employed in </w:t>
      </w:r>
      <w:r w:rsidR="00BA7BD2" w:rsidRPr="001D48C3">
        <w:t>each</w:t>
      </w:r>
      <w:r w:rsidR="007236C2" w:rsidRPr="001D48C3">
        <w:t xml:space="preserve"> group to give a</w:t>
      </w:r>
      <w:r w:rsidR="003D769E" w:rsidRPr="001D48C3">
        <w:t xml:space="preserve"> </w:t>
      </w:r>
      <w:r w:rsidR="007236C2" w:rsidRPr="001D48C3">
        <w:t>projection of trend total hours worked.</w:t>
      </w:r>
    </w:p>
    <w:p w14:paraId="5E8A064F" w14:textId="77777777" w:rsidR="007236C2" w:rsidRPr="001D48C3" w:rsidRDefault="007236C2" w:rsidP="002128FD">
      <w:pPr>
        <w:pStyle w:val="Heading4"/>
      </w:pPr>
      <w:r w:rsidRPr="001D48C3">
        <w:t>Unemployment rate</w:t>
      </w:r>
    </w:p>
    <w:p w14:paraId="7020E4AE" w14:textId="55D06AEF" w:rsidR="007236C2" w:rsidRPr="001D48C3" w:rsidRDefault="007236C2" w:rsidP="007236C2">
      <w:r w:rsidRPr="001D48C3">
        <w:t>The historical NAIRU is estimated using the Phillips curve approach of Gruen, Pagan and Thompson (1999), which is explained in greater detail below. In the projection period, t</w:t>
      </w:r>
      <w:r w:rsidR="00D41BFC">
        <w:t>he NAIRU is assumed to be 5 per </w:t>
      </w:r>
      <w:r w:rsidRPr="001D48C3">
        <w:t xml:space="preserve">cent, consistent with the </w:t>
      </w:r>
      <w:r w:rsidR="00C37129" w:rsidRPr="001D48C3">
        <w:t xml:space="preserve">2010 </w:t>
      </w:r>
      <w:r w:rsidRPr="001D48C3">
        <w:t>IGR methodology.</w:t>
      </w:r>
    </w:p>
    <w:p w14:paraId="38F1DB33" w14:textId="77777777" w:rsidR="007236C2" w:rsidRPr="001D48C3" w:rsidRDefault="007236C2" w:rsidP="002128FD">
      <w:pPr>
        <w:pStyle w:val="Heading4"/>
        <w:rPr>
          <w:lang w:eastAsia="en-AU"/>
        </w:rPr>
      </w:pPr>
      <w:r w:rsidRPr="001D48C3">
        <w:rPr>
          <w:lang w:eastAsia="en-AU"/>
        </w:rPr>
        <w:t>Labour productivity</w:t>
      </w:r>
    </w:p>
    <w:p w14:paraId="31731443" w14:textId="01D69139" w:rsidR="007236C2" w:rsidRPr="001D48C3" w:rsidRDefault="007236C2" w:rsidP="007236C2">
      <w:r w:rsidRPr="001D48C3">
        <w:t xml:space="preserve">Historical estimates of </w:t>
      </w:r>
      <w:r w:rsidR="00C37129" w:rsidRPr="001D48C3">
        <w:t xml:space="preserve">trend </w:t>
      </w:r>
      <w:r w:rsidRPr="001D48C3">
        <w:t xml:space="preserve">labour productivity are based on ABS labour force and Australian National Accounts </w:t>
      </w:r>
      <w:r w:rsidR="002F78E3" w:rsidRPr="001D48C3">
        <w:t>(C</w:t>
      </w:r>
      <w:r w:rsidRPr="001D48C3">
        <w:t>at.</w:t>
      </w:r>
      <w:r w:rsidR="002F78E3" w:rsidRPr="001D48C3">
        <w:t xml:space="preserve"> No. </w:t>
      </w:r>
      <w:r w:rsidRPr="001D48C3">
        <w:t>5204.0</w:t>
      </w:r>
      <w:r w:rsidR="002F78E3" w:rsidRPr="001D48C3">
        <w:t>)</w:t>
      </w:r>
      <w:r w:rsidRPr="001D48C3">
        <w:t xml:space="preserve"> data. Historical quarterly </w:t>
      </w:r>
      <w:r w:rsidR="00C37129" w:rsidRPr="001D48C3">
        <w:t xml:space="preserve">trend </w:t>
      </w:r>
      <w:r w:rsidRPr="001D48C3">
        <w:t xml:space="preserve">labour productivity </w:t>
      </w:r>
      <w:r w:rsidR="00C37129" w:rsidRPr="001D48C3">
        <w:t>is</w:t>
      </w:r>
      <w:r w:rsidRPr="001D48C3">
        <w:t xml:space="preserve"> estimated using a </w:t>
      </w:r>
      <w:r w:rsidRPr="001D48C3">
        <w:rPr>
          <w:lang w:eastAsia="en-AU"/>
        </w:rPr>
        <w:t>Hodrick</w:t>
      </w:r>
      <w:r w:rsidR="001D5BF5">
        <w:rPr>
          <w:lang w:eastAsia="en-AU"/>
        </w:rPr>
        <w:noBreakHyphen/>
      </w:r>
      <w:r w:rsidRPr="001D48C3">
        <w:rPr>
          <w:lang w:eastAsia="en-AU"/>
        </w:rPr>
        <w:t>Prescott filter with a filter value of 1600.</w:t>
      </w:r>
      <w:r w:rsidRPr="001D48C3">
        <w:t xml:space="preserve"> </w:t>
      </w:r>
      <w:r w:rsidRPr="001D48C3">
        <w:rPr>
          <w:lang w:eastAsia="en-AU"/>
        </w:rPr>
        <w:t xml:space="preserve">To avoid end point issues, projections are based on the estimated trend </w:t>
      </w:r>
      <w:r w:rsidR="00F07233" w:rsidRPr="001D48C3">
        <w:rPr>
          <w:lang w:eastAsia="en-AU"/>
        </w:rPr>
        <w:t>two years</w:t>
      </w:r>
      <w:r w:rsidRPr="001D48C3">
        <w:rPr>
          <w:lang w:eastAsia="en-AU"/>
        </w:rPr>
        <w:t xml:space="preserve"> </w:t>
      </w:r>
      <w:r w:rsidRPr="001D48C3">
        <w:t xml:space="preserve">prior to current data. Consistent with the </w:t>
      </w:r>
      <w:r w:rsidR="00C37129" w:rsidRPr="001D48C3">
        <w:t xml:space="preserve">2010 </w:t>
      </w:r>
      <w:r w:rsidRPr="001D48C3">
        <w:t xml:space="preserve">IGR methodology </w:t>
      </w:r>
      <w:r w:rsidR="007863B2" w:rsidRPr="001D48C3">
        <w:t xml:space="preserve">annual </w:t>
      </w:r>
      <w:r w:rsidRPr="001D48C3">
        <w:t>trend productivity growth</w:t>
      </w:r>
      <w:r w:rsidR="00C37129" w:rsidRPr="001D48C3">
        <w:t xml:space="preserve"> </w:t>
      </w:r>
      <w:r w:rsidR="00872C41" w:rsidRPr="001D48C3">
        <w:t>(</w:t>
      </w:r>
      <w:r w:rsidR="00872C41" w:rsidRPr="001D48C3">
        <w:rPr>
          <w:rFonts w:ascii="Symbol" w:hAnsi="Symbol"/>
        </w:rPr>
        <w:t></w:t>
      </w:r>
      <w:r w:rsidR="00872C41" w:rsidRPr="001D48C3">
        <w:t xml:space="preserve">) </w:t>
      </w:r>
      <w:r w:rsidR="00C37129" w:rsidRPr="001D48C3">
        <w:t>over the projection period is assumed to</w:t>
      </w:r>
      <w:r w:rsidRPr="001D48C3">
        <w:t xml:space="preserve"> equal the 30</w:t>
      </w:r>
      <w:r w:rsidR="001D5BF5">
        <w:noBreakHyphen/>
      </w:r>
      <w:r w:rsidRPr="001D48C3">
        <w:t xml:space="preserve">year annual average growth rate of labour productivity, </w:t>
      </w:r>
      <w:r w:rsidR="00C37129" w:rsidRPr="001D48C3">
        <w:t>which is</w:t>
      </w:r>
      <w:r w:rsidR="00BA7BD2" w:rsidRPr="001D48C3">
        <w:t xml:space="preserve"> now</w:t>
      </w:r>
      <w:r w:rsidRPr="001D48C3">
        <w:t xml:space="preserve"> 1.5 per cent</w:t>
      </w:r>
      <w:r w:rsidR="00BA7BD2" w:rsidRPr="001D48C3">
        <w:t xml:space="preserve"> (down from 1.6 per cent in the 2010 IGR)</w:t>
      </w:r>
      <w:r w:rsidRPr="001D48C3">
        <w:t xml:space="preserve">. </w:t>
      </w:r>
    </w:p>
    <w:p w14:paraId="26DD14ED" w14:textId="77777777" w:rsidR="007236C2" w:rsidRPr="001D48C3" w:rsidRDefault="007236C2" w:rsidP="00D3016A">
      <w:pPr>
        <w:pStyle w:val="Heading3"/>
      </w:pPr>
      <w:r w:rsidRPr="001D48C3">
        <w:t>Cyclical parameters</w:t>
      </w:r>
    </w:p>
    <w:p w14:paraId="0A787FA0" w14:textId="77777777" w:rsidR="007236C2" w:rsidRPr="001D48C3" w:rsidRDefault="007236C2" w:rsidP="002128FD">
      <w:pPr>
        <w:pStyle w:val="Heading4"/>
      </w:pPr>
      <w:r w:rsidRPr="001D48C3">
        <w:t>Labour force participation</w:t>
      </w:r>
    </w:p>
    <w:p w14:paraId="4BC4C117" w14:textId="77777777" w:rsidR="007236C2" w:rsidRPr="001D48C3" w:rsidRDefault="007236C2" w:rsidP="001D48C3">
      <w:pPr>
        <w:spacing w:after="120"/>
      </w:pPr>
      <w:r w:rsidRPr="001D48C3">
        <w:t>The empirical model underlying cyclical labour force participation is more complicated than the theoretical model outlined above</w:t>
      </w:r>
      <w:r w:rsidR="0077725A" w:rsidRPr="001D48C3">
        <w:t xml:space="preserve"> (equation </w:t>
      </w:r>
      <w:r w:rsidR="00430F48" w:rsidRPr="001D48C3">
        <w:t>2</w:t>
      </w:r>
      <w:r w:rsidR="00ED39D5" w:rsidRPr="001D48C3">
        <w:t>3</w:t>
      </w:r>
      <w:r w:rsidR="00430F48" w:rsidRPr="001D48C3">
        <w:t>)</w:t>
      </w:r>
      <w:r w:rsidR="002E130E" w:rsidRPr="001D48C3">
        <w:t xml:space="preserve"> </w:t>
      </w:r>
      <w:r w:rsidRPr="001D48C3">
        <w:t>with the best fit requiring two more lags of the cyclical employment rate and two lags of the dependent variable:</w:t>
      </w:r>
    </w:p>
    <w:p w14:paraId="56307063" w14:textId="1F70F2D1" w:rsidR="007236C2" w:rsidRPr="001D48C3" w:rsidRDefault="005B2AA9" w:rsidP="005B2AA9">
      <w:pPr>
        <w:tabs>
          <w:tab w:val="center" w:pos="4536"/>
          <w:tab w:val="left" w:pos="7938"/>
        </w:tabs>
      </w:pPr>
      <w:r w:rsidRPr="001D48C3">
        <w:lastRenderedPageBreak/>
        <w:tab/>
      </w:r>
      <w:r w:rsidR="001B54B2" w:rsidRPr="001D48C3">
        <w:rPr>
          <w:position w:val="-28"/>
        </w:rPr>
        <w:object w:dxaOrig="5280" w:dyaOrig="680" w14:anchorId="2D2EDB6F">
          <v:shape id="_x0000_i1082" type="#_x0000_t75" alt="This equation describes the cyclical participation rate at time t as linear function of the time t and lagged cyclical employment rate and the lagged cyclical participation rate." style="width:265.5pt;height:34.5pt" o:ole="">
            <v:imagedata r:id="rId135" o:title=""/>
          </v:shape>
          <o:OLEObject Type="Embed" ProgID="Equation.DSMT4" ShapeID="_x0000_i1082" DrawAspect="Content" ObjectID="_1461483674" r:id="rId136"/>
        </w:object>
      </w:r>
      <w:r w:rsidR="007236C2" w:rsidRPr="001D48C3">
        <w:tab/>
      </w:r>
      <w:r w:rsidR="007236C2" w:rsidRPr="001D48C3">
        <w:tab/>
      </w:r>
      <w:r w:rsidR="007236C2" w:rsidRPr="001D48C3">
        <w:fldChar w:fldCharType="begin"/>
      </w:r>
      <w:r w:rsidR="007236C2" w:rsidRPr="001D48C3">
        <w:instrText xml:space="preserve"> MACROBUTTON MTPlaceRef \* MERGEFORMAT </w:instrText>
      </w:r>
      <w:r w:rsidR="007D08FE">
        <w:fldChar w:fldCharType="begin"/>
      </w:r>
      <w:r w:rsidR="007D08FE">
        <w:instrText xml:space="preserve"> SEQ MTEqn \h \* MERGEFORMAT </w:instrText>
      </w:r>
      <w:r w:rsidR="007D08FE">
        <w:fldChar w:fldCharType="end"/>
      </w:r>
      <w:r w:rsidR="007236C2" w:rsidRPr="001D48C3">
        <w:instrText>(</w:instrText>
      </w:r>
      <w:r w:rsidR="00711272">
        <w:fldChar w:fldCharType="begin"/>
      </w:r>
      <w:r w:rsidR="00711272">
        <w:instrText xml:space="preserve"> SEQ MTEqn \c \* Arabic \* MERGEFORMAT </w:instrText>
      </w:r>
      <w:r w:rsidR="00711272">
        <w:fldChar w:fldCharType="separate"/>
      </w:r>
      <w:r w:rsidR="00C65A3D">
        <w:rPr>
          <w:noProof/>
        </w:rPr>
        <w:instrText>39</w:instrText>
      </w:r>
      <w:r w:rsidR="00711272">
        <w:rPr>
          <w:noProof/>
        </w:rPr>
        <w:fldChar w:fldCharType="end"/>
      </w:r>
      <w:r w:rsidR="007236C2" w:rsidRPr="001D48C3">
        <w:instrText>)</w:instrText>
      </w:r>
      <w:r w:rsidR="007236C2" w:rsidRPr="001D48C3">
        <w:fldChar w:fldCharType="end"/>
      </w:r>
    </w:p>
    <w:p w14:paraId="1036C4A3" w14:textId="326A5C9D" w:rsidR="000430F1" w:rsidRPr="001D48C3" w:rsidRDefault="007236C2">
      <w:r w:rsidRPr="001D48C3">
        <w:t xml:space="preserve">Estimated parameters are reported in </w:t>
      </w:r>
      <w:r w:rsidR="00741D3F" w:rsidRPr="001D48C3">
        <w:fldChar w:fldCharType="begin"/>
      </w:r>
      <w:r w:rsidR="00741D3F" w:rsidRPr="001D48C3">
        <w:instrText xml:space="preserve"> REF _Ref386193497 \h </w:instrText>
      </w:r>
      <w:r w:rsidR="00741D3F" w:rsidRPr="001D48C3">
        <w:fldChar w:fldCharType="separate"/>
      </w:r>
      <w:r w:rsidR="00C65A3D" w:rsidRPr="001D48C3">
        <w:t xml:space="preserve">Table </w:t>
      </w:r>
      <w:r w:rsidR="00C65A3D">
        <w:rPr>
          <w:noProof/>
        </w:rPr>
        <w:t>1</w:t>
      </w:r>
      <w:r w:rsidR="00741D3F" w:rsidRPr="001D48C3">
        <w:fldChar w:fldCharType="end"/>
      </w:r>
      <w:r w:rsidRPr="001D48C3">
        <w:t xml:space="preserve">. Given the complexity of the time series model it is difficult to point to a single statistic to intuit the phases of the labour force participation cycles. </w:t>
      </w:r>
      <w:r w:rsidR="00845293" w:rsidRPr="001D48C3">
        <w:fldChar w:fldCharType="begin"/>
      </w:r>
      <w:r w:rsidR="00845293" w:rsidRPr="001D48C3">
        <w:instrText xml:space="preserve"> REF _Ref386193642 \h </w:instrText>
      </w:r>
      <w:r w:rsidR="00845293" w:rsidRPr="001D48C3">
        <w:fldChar w:fldCharType="separate"/>
      </w:r>
      <w:r w:rsidR="00C65A3D" w:rsidRPr="001D48C3">
        <w:t xml:space="preserve">Chart </w:t>
      </w:r>
      <w:r w:rsidR="00C65A3D">
        <w:rPr>
          <w:noProof/>
        </w:rPr>
        <w:t>2</w:t>
      </w:r>
      <w:r w:rsidR="00845293" w:rsidRPr="001D48C3">
        <w:fldChar w:fldCharType="end"/>
      </w:r>
      <w:r w:rsidRPr="001D48C3">
        <w:t xml:space="preserve"> shows that cyclical labour force participation cycles are relatively noisy </w:t>
      </w:r>
      <w:r w:rsidR="005405F6" w:rsidRPr="001D48C3">
        <w:t>and persistent</w:t>
      </w:r>
      <w:r w:rsidRPr="001D48C3">
        <w:t>, which explains the need for a relatively complex time</w:t>
      </w:r>
      <w:r w:rsidR="001D5BF5">
        <w:noBreakHyphen/>
      </w:r>
      <w:r w:rsidRPr="001D48C3">
        <w:t>series model.</w:t>
      </w:r>
    </w:p>
    <w:p w14:paraId="20226D0B" w14:textId="77777777" w:rsidR="007236C2" w:rsidRPr="001D48C3" w:rsidRDefault="007236C2" w:rsidP="001D48C3">
      <w:pPr>
        <w:pStyle w:val="CaptionHeading1"/>
        <w:rPr>
          <w:rFonts w:cs="Arial"/>
          <w:sz w:val="20"/>
          <w:szCs w:val="20"/>
        </w:rPr>
      </w:pPr>
      <w:bookmarkStart w:id="2" w:name="_Ref386193497"/>
      <w:r w:rsidRPr="001D48C3">
        <w:t xml:space="preserve">Table </w:t>
      </w:r>
      <w:r w:rsidR="00711272">
        <w:fldChar w:fldCharType="begin"/>
      </w:r>
      <w:r w:rsidR="00711272">
        <w:instrText xml:space="preserve"> SEQ Table \* ARABIC </w:instrText>
      </w:r>
      <w:r w:rsidR="00711272">
        <w:fldChar w:fldCharType="separate"/>
      </w:r>
      <w:r w:rsidR="00C65A3D">
        <w:rPr>
          <w:noProof/>
        </w:rPr>
        <w:t>1</w:t>
      </w:r>
      <w:r w:rsidR="00711272">
        <w:rPr>
          <w:noProof/>
        </w:rPr>
        <w:fldChar w:fldCharType="end"/>
      </w:r>
      <w:bookmarkEnd w:id="2"/>
      <w:r w:rsidRPr="001D48C3">
        <w:t>: Cyclical labour force participation model</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236C2" w:rsidRPr="001D48C3" w14:paraId="1D401521" w14:textId="77777777" w:rsidTr="007236C2">
        <w:trPr>
          <w:trHeight w:val="240"/>
          <w:jc w:val="center"/>
        </w:trPr>
        <w:tc>
          <w:tcPr>
            <w:tcW w:w="4327" w:type="dxa"/>
            <w:gridSpan w:val="3"/>
            <w:tcBorders>
              <w:top w:val="nil"/>
              <w:left w:val="nil"/>
              <w:bottom w:val="nil"/>
              <w:right w:val="nil"/>
            </w:tcBorders>
            <w:vAlign w:val="bottom"/>
          </w:tcPr>
          <w:p w14:paraId="63BE11F1" w14:textId="77777777" w:rsidR="007236C2" w:rsidRPr="001D48C3" w:rsidRDefault="007236C2"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Method: Least Squares</w:t>
            </w:r>
          </w:p>
        </w:tc>
        <w:tc>
          <w:tcPr>
            <w:tcW w:w="1208" w:type="dxa"/>
            <w:tcBorders>
              <w:top w:val="nil"/>
              <w:left w:val="nil"/>
              <w:bottom w:val="nil"/>
              <w:right w:val="nil"/>
            </w:tcBorders>
            <w:vAlign w:val="bottom"/>
          </w:tcPr>
          <w:p w14:paraId="0DC3275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2C7FC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114A46F0" w14:textId="77777777" w:rsidTr="007236C2">
        <w:trPr>
          <w:trHeight w:val="240"/>
          <w:jc w:val="center"/>
        </w:trPr>
        <w:tc>
          <w:tcPr>
            <w:tcW w:w="5535" w:type="dxa"/>
            <w:gridSpan w:val="4"/>
            <w:tcBorders>
              <w:top w:val="nil"/>
              <w:left w:val="nil"/>
              <w:bottom w:val="nil"/>
              <w:right w:val="nil"/>
            </w:tcBorders>
            <w:vAlign w:val="bottom"/>
          </w:tcPr>
          <w:p w14:paraId="3E774976" w14:textId="6D728F1F" w:rsidR="007236C2" w:rsidRPr="001D48C3" w:rsidRDefault="007236C2" w:rsidP="00A970CE">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 xml:space="preserve">Sample (adjusted): 1978Q4 </w:t>
            </w:r>
            <w:r w:rsidR="00A970CE" w:rsidRPr="001D48C3">
              <w:rPr>
                <w:rFonts w:ascii="Arial" w:hAnsi="Arial" w:cs="Arial"/>
                <w:color w:val="000000"/>
                <w:sz w:val="18"/>
                <w:szCs w:val="18"/>
              </w:rPr>
              <w:t>2013Q</w:t>
            </w:r>
            <w:r w:rsidR="00A970CE">
              <w:rPr>
                <w:rFonts w:ascii="Arial" w:hAnsi="Arial" w:cs="Arial"/>
                <w:color w:val="000000"/>
                <w:sz w:val="18"/>
                <w:szCs w:val="18"/>
              </w:rPr>
              <w:t>4</w:t>
            </w:r>
          </w:p>
        </w:tc>
        <w:tc>
          <w:tcPr>
            <w:tcW w:w="997" w:type="dxa"/>
            <w:tcBorders>
              <w:top w:val="nil"/>
              <w:left w:val="nil"/>
              <w:bottom w:val="nil"/>
              <w:right w:val="nil"/>
            </w:tcBorders>
            <w:vAlign w:val="bottom"/>
          </w:tcPr>
          <w:p w14:paraId="014A0FB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C7CB06B" w14:textId="77777777" w:rsidTr="007236C2">
        <w:trPr>
          <w:trHeight w:hRule="exact" w:val="96"/>
          <w:jc w:val="center"/>
        </w:trPr>
        <w:tc>
          <w:tcPr>
            <w:tcW w:w="2017" w:type="dxa"/>
            <w:tcBorders>
              <w:top w:val="nil"/>
              <w:left w:val="nil"/>
              <w:bottom w:val="double" w:sz="6" w:space="2" w:color="auto"/>
              <w:right w:val="nil"/>
            </w:tcBorders>
            <w:vAlign w:val="bottom"/>
          </w:tcPr>
          <w:p w14:paraId="69901C0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890691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1D459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9048E3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ECFFF2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79F6B1E0" w14:textId="77777777" w:rsidTr="007236C2">
        <w:trPr>
          <w:trHeight w:hRule="exact" w:val="144"/>
          <w:jc w:val="center"/>
        </w:trPr>
        <w:tc>
          <w:tcPr>
            <w:tcW w:w="2017" w:type="dxa"/>
            <w:tcBorders>
              <w:top w:val="nil"/>
              <w:left w:val="nil"/>
              <w:bottom w:val="nil"/>
              <w:right w:val="nil"/>
            </w:tcBorders>
            <w:vAlign w:val="bottom"/>
          </w:tcPr>
          <w:p w14:paraId="6688E19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44680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758AC0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FCBE18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96F9B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22815FCB" w14:textId="77777777" w:rsidTr="007236C2">
        <w:trPr>
          <w:trHeight w:val="240"/>
          <w:jc w:val="center"/>
        </w:trPr>
        <w:tc>
          <w:tcPr>
            <w:tcW w:w="2017" w:type="dxa"/>
            <w:tcBorders>
              <w:top w:val="nil"/>
              <w:left w:val="nil"/>
              <w:bottom w:val="nil"/>
              <w:right w:val="nil"/>
            </w:tcBorders>
            <w:vAlign w:val="bottom"/>
          </w:tcPr>
          <w:p w14:paraId="0812DAC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65F0C08"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Coefficient</w:t>
            </w:r>
          </w:p>
        </w:tc>
        <w:tc>
          <w:tcPr>
            <w:tcW w:w="1207" w:type="dxa"/>
            <w:tcBorders>
              <w:top w:val="nil"/>
              <w:left w:val="nil"/>
              <w:bottom w:val="nil"/>
              <w:right w:val="nil"/>
            </w:tcBorders>
            <w:vAlign w:val="bottom"/>
          </w:tcPr>
          <w:p w14:paraId="175D7AA8"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Std. Error</w:t>
            </w:r>
          </w:p>
        </w:tc>
        <w:tc>
          <w:tcPr>
            <w:tcW w:w="1208" w:type="dxa"/>
            <w:tcBorders>
              <w:top w:val="nil"/>
              <w:left w:val="nil"/>
              <w:bottom w:val="nil"/>
              <w:right w:val="nil"/>
            </w:tcBorders>
            <w:vAlign w:val="bottom"/>
          </w:tcPr>
          <w:p w14:paraId="78373A26" w14:textId="420F1A73"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t</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997" w:type="dxa"/>
            <w:tcBorders>
              <w:top w:val="nil"/>
              <w:left w:val="nil"/>
              <w:bottom w:val="nil"/>
              <w:right w:val="nil"/>
            </w:tcBorders>
            <w:vAlign w:val="bottom"/>
          </w:tcPr>
          <w:p w14:paraId="79BEA9B4" w14:textId="225EE0D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Prob</w:t>
            </w:r>
            <w:r w:rsidR="00073551" w:rsidRPr="001D48C3">
              <w:rPr>
                <w:rFonts w:ascii="Arial" w:hAnsi="Arial" w:cs="Arial"/>
                <w:color w:val="000000"/>
                <w:sz w:val="18"/>
                <w:szCs w:val="18"/>
              </w:rPr>
              <w:t xml:space="preserve">. </w:t>
            </w:r>
          </w:p>
        </w:tc>
      </w:tr>
      <w:tr w:rsidR="007236C2" w:rsidRPr="001D48C3" w14:paraId="65FB0A77" w14:textId="77777777" w:rsidTr="007236C2">
        <w:trPr>
          <w:trHeight w:hRule="exact" w:val="96"/>
          <w:jc w:val="center"/>
        </w:trPr>
        <w:tc>
          <w:tcPr>
            <w:tcW w:w="2017" w:type="dxa"/>
            <w:tcBorders>
              <w:top w:val="nil"/>
              <w:left w:val="nil"/>
              <w:bottom w:val="double" w:sz="6" w:space="2" w:color="auto"/>
              <w:right w:val="nil"/>
            </w:tcBorders>
            <w:vAlign w:val="bottom"/>
          </w:tcPr>
          <w:p w14:paraId="5844BCE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00F885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EEE41B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55B76E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0ED2D9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350D058A" w14:textId="77777777" w:rsidTr="007236C2">
        <w:trPr>
          <w:trHeight w:hRule="exact" w:val="144"/>
          <w:jc w:val="center"/>
        </w:trPr>
        <w:tc>
          <w:tcPr>
            <w:tcW w:w="2017" w:type="dxa"/>
            <w:tcBorders>
              <w:top w:val="nil"/>
              <w:left w:val="nil"/>
              <w:bottom w:val="nil"/>
              <w:right w:val="nil"/>
            </w:tcBorders>
            <w:vAlign w:val="bottom"/>
          </w:tcPr>
          <w:p w14:paraId="6ACD66C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4ED8BB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815724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9CEBBC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05B56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02E3C8DB" w14:textId="77777777" w:rsidTr="007236C2">
        <w:trPr>
          <w:trHeight w:val="240"/>
          <w:jc w:val="center"/>
        </w:trPr>
        <w:tc>
          <w:tcPr>
            <w:tcW w:w="2017" w:type="dxa"/>
            <w:tcBorders>
              <w:top w:val="nil"/>
              <w:left w:val="nil"/>
              <w:bottom w:val="nil"/>
              <w:right w:val="nil"/>
            </w:tcBorders>
            <w:vAlign w:val="bottom"/>
          </w:tcPr>
          <w:p w14:paraId="4F9A3FCC"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6B8E4594" w14:textId="5EE99C9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0.544596</w:t>
            </w:r>
          </w:p>
        </w:tc>
        <w:tc>
          <w:tcPr>
            <w:tcW w:w="1207" w:type="dxa"/>
            <w:tcBorders>
              <w:top w:val="nil"/>
              <w:left w:val="nil"/>
              <w:bottom w:val="nil"/>
              <w:right w:val="nil"/>
            </w:tcBorders>
            <w:vAlign w:val="bottom"/>
          </w:tcPr>
          <w:p w14:paraId="4C10421D" w14:textId="4328F7F0"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0.053121</w:t>
            </w:r>
          </w:p>
        </w:tc>
        <w:tc>
          <w:tcPr>
            <w:tcW w:w="1208" w:type="dxa"/>
            <w:tcBorders>
              <w:top w:val="nil"/>
              <w:left w:val="nil"/>
              <w:bottom w:val="nil"/>
              <w:right w:val="nil"/>
            </w:tcBorders>
            <w:vAlign w:val="bottom"/>
          </w:tcPr>
          <w:p w14:paraId="26C53C69" w14:textId="15BC9D0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10.25190</w:t>
            </w:r>
          </w:p>
        </w:tc>
        <w:tc>
          <w:tcPr>
            <w:tcW w:w="997" w:type="dxa"/>
            <w:tcBorders>
              <w:top w:val="nil"/>
              <w:left w:val="nil"/>
              <w:bottom w:val="nil"/>
              <w:right w:val="nil"/>
            </w:tcBorders>
            <w:vAlign w:val="bottom"/>
          </w:tcPr>
          <w:p w14:paraId="77AB54DE" w14:textId="7FE13CD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5222E67D" w14:textId="77777777" w:rsidTr="007236C2">
        <w:trPr>
          <w:trHeight w:val="240"/>
          <w:jc w:val="center"/>
        </w:trPr>
        <w:tc>
          <w:tcPr>
            <w:tcW w:w="2017" w:type="dxa"/>
            <w:tcBorders>
              <w:top w:val="nil"/>
              <w:left w:val="nil"/>
              <w:bottom w:val="nil"/>
              <w:right w:val="nil"/>
            </w:tcBorders>
            <w:vAlign w:val="bottom"/>
          </w:tcPr>
          <w:p w14:paraId="779D24F0"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629F11E9" w14:textId="586E10DA"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0.774556</w:t>
            </w:r>
          </w:p>
        </w:tc>
        <w:tc>
          <w:tcPr>
            <w:tcW w:w="1207" w:type="dxa"/>
            <w:tcBorders>
              <w:top w:val="nil"/>
              <w:left w:val="nil"/>
              <w:bottom w:val="nil"/>
              <w:right w:val="nil"/>
            </w:tcBorders>
            <w:vAlign w:val="bottom"/>
          </w:tcPr>
          <w:p w14:paraId="0B7EF8AE" w14:textId="3AB18DC4"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0.107611</w:t>
            </w:r>
          </w:p>
        </w:tc>
        <w:tc>
          <w:tcPr>
            <w:tcW w:w="1208" w:type="dxa"/>
            <w:tcBorders>
              <w:top w:val="nil"/>
              <w:left w:val="nil"/>
              <w:bottom w:val="nil"/>
              <w:right w:val="nil"/>
            </w:tcBorders>
            <w:vAlign w:val="bottom"/>
          </w:tcPr>
          <w:p w14:paraId="2116E74E" w14:textId="5CCC6939"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7.197756</w:t>
            </w:r>
          </w:p>
        </w:tc>
        <w:tc>
          <w:tcPr>
            <w:tcW w:w="997" w:type="dxa"/>
            <w:tcBorders>
              <w:top w:val="nil"/>
              <w:left w:val="nil"/>
              <w:bottom w:val="nil"/>
              <w:right w:val="nil"/>
            </w:tcBorders>
            <w:vAlign w:val="bottom"/>
          </w:tcPr>
          <w:p w14:paraId="06B468BE" w14:textId="1A30EF1F"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2482F5C1" w14:textId="77777777" w:rsidTr="007236C2">
        <w:trPr>
          <w:trHeight w:val="240"/>
          <w:jc w:val="center"/>
        </w:trPr>
        <w:tc>
          <w:tcPr>
            <w:tcW w:w="2017" w:type="dxa"/>
            <w:tcBorders>
              <w:top w:val="nil"/>
              <w:left w:val="nil"/>
              <w:bottom w:val="nil"/>
              <w:right w:val="nil"/>
            </w:tcBorders>
            <w:vAlign w:val="bottom"/>
          </w:tcPr>
          <w:p w14:paraId="1FF11C5C"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7FD9ABD1" w14:textId="625231E1"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0.249293</w:t>
            </w:r>
          </w:p>
        </w:tc>
        <w:tc>
          <w:tcPr>
            <w:tcW w:w="1207" w:type="dxa"/>
            <w:tcBorders>
              <w:top w:val="nil"/>
              <w:left w:val="nil"/>
              <w:bottom w:val="nil"/>
              <w:right w:val="nil"/>
            </w:tcBorders>
            <w:vAlign w:val="bottom"/>
          </w:tcPr>
          <w:p w14:paraId="5CA16C2E" w14:textId="065078B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0.067225</w:t>
            </w:r>
          </w:p>
        </w:tc>
        <w:tc>
          <w:tcPr>
            <w:tcW w:w="1208" w:type="dxa"/>
            <w:tcBorders>
              <w:top w:val="nil"/>
              <w:left w:val="nil"/>
              <w:bottom w:val="nil"/>
              <w:right w:val="nil"/>
            </w:tcBorders>
            <w:vAlign w:val="bottom"/>
          </w:tcPr>
          <w:p w14:paraId="37C01945" w14:textId="5834584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3.708318</w:t>
            </w:r>
          </w:p>
        </w:tc>
        <w:tc>
          <w:tcPr>
            <w:tcW w:w="997" w:type="dxa"/>
            <w:tcBorders>
              <w:top w:val="nil"/>
              <w:left w:val="nil"/>
              <w:bottom w:val="nil"/>
              <w:right w:val="nil"/>
            </w:tcBorders>
            <w:vAlign w:val="bottom"/>
          </w:tcPr>
          <w:p w14:paraId="5F964FDF" w14:textId="6B2C6EE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0.0003</w:t>
            </w:r>
          </w:p>
        </w:tc>
      </w:tr>
      <w:tr w:rsidR="00385C9F" w:rsidRPr="001D48C3" w14:paraId="2BFB6F37" w14:textId="77777777" w:rsidTr="007236C2">
        <w:trPr>
          <w:trHeight w:val="240"/>
          <w:jc w:val="center"/>
        </w:trPr>
        <w:tc>
          <w:tcPr>
            <w:tcW w:w="2017" w:type="dxa"/>
            <w:tcBorders>
              <w:top w:val="nil"/>
              <w:left w:val="nil"/>
              <w:bottom w:val="nil"/>
              <w:right w:val="nil"/>
            </w:tcBorders>
            <w:vAlign w:val="bottom"/>
          </w:tcPr>
          <w:p w14:paraId="4F1ABB7D"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4F978419" w14:textId="22A80B42"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1.184150</w:t>
            </w:r>
          </w:p>
        </w:tc>
        <w:tc>
          <w:tcPr>
            <w:tcW w:w="1207" w:type="dxa"/>
            <w:tcBorders>
              <w:top w:val="nil"/>
              <w:left w:val="nil"/>
              <w:bottom w:val="nil"/>
              <w:right w:val="nil"/>
            </w:tcBorders>
            <w:vAlign w:val="bottom"/>
          </w:tcPr>
          <w:p w14:paraId="02B39D2F" w14:textId="23C4AD62"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0.090362</w:t>
            </w:r>
          </w:p>
        </w:tc>
        <w:tc>
          <w:tcPr>
            <w:tcW w:w="1208" w:type="dxa"/>
            <w:tcBorders>
              <w:top w:val="nil"/>
              <w:left w:val="nil"/>
              <w:bottom w:val="nil"/>
              <w:right w:val="nil"/>
            </w:tcBorders>
            <w:vAlign w:val="bottom"/>
          </w:tcPr>
          <w:p w14:paraId="3FA1CF58" w14:textId="4B3C4A3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13.10449</w:t>
            </w:r>
          </w:p>
        </w:tc>
        <w:tc>
          <w:tcPr>
            <w:tcW w:w="997" w:type="dxa"/>
            <w:tcBorders>
              <w:top w:val="nil"/>
              <w:left w:val="nil"/>
              <w:bottom w:val="nil"/>
              <w:right w:val="nil"/>
            </w:tcBorders>
            <w:vAlign w:val="bottom"/>
          </w:tcPr>
          <w:p w14:paraId="3D9C3073" w14:textId="62F8E47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65CD067E" w14:textId="77777777" w:rsidTr="007236C2">
        <w:trPr>
          <w:trHeight w:val="240"/>
          <w:jc w:val="center"/>
        </w:trPr>
        <w:tc>
          <w:tcPr>
            <w:tcW w:w="2017" w:type="dxa"/>
            <w:tcBorders>
              <w:top w:val="nil"/>
              <w:left w:val="nil"/>
              <w:bottom w:val="nil"/>
              <w:right w:val="nil"/>
            </w:tcBorders>
            <w:vAlign w:val="bottom"/>
          </w:tcPr>
          <w:p w14:paraId="67E656BD"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0A9A6EA0" w14:textId="3FF88109"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0.222666</w:t>
            </w:r>
          </w:p>
        </w:tc>
        <w:tc>
          <w:tcPr>
            <w:tcW w:w="1207" w:type="dxa"/>
            <w:tcBorders>
              <w:top w:val="nil"/>
              <w:left w:val="nil"/>
              <w:bottom w:val="nil"/>
              <w:right w:val="nil"/>
            </w:tcBorders>
            <w:vAlign w:val="bottom"/>
          </w:tcPr>
          <w:p w14:paraId="61929B0F" w14:textId="411D3E50"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0.091904</w:t>
            </w:r>
          </w:p>
        </w:tc>
        <w:tc>
          <w:tcPr>
            <w:tcW w:w="1208" w:type="dxa"/>
            <w:tcBorders>
              <w:top w:val="nil"/>
              <w:left w:val="nil"/>
              <w:bottom w:val="nil"/>
              <w:right w:val="nil"/>
            </w:tcBorders>
            <w:vAlign w:val="bottom"/>
          </w:tcPr>
          <w:p w14:paraId="50536B5C" w14:textId="7973C75E"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2.422809</w:t>
            </w:r>
          </w:p>
        </w:tc>
        <w:tc>
          <w:tcPr>
            <w:tcW w:w="997" w:type="dxa"/>
            <w:tcBorders>
              <w:top w:val="nil"/>
              <w:left w:val="nil"/>
              <w:bottom w:val="nil"/>
              <w:right w:val="nil"/>
            </w:tcBorders>
            <w:vAlign w:val="bottom"/>
          </w:tcPr>
          <w:p w14:paraId="2B4A8B41" w14:textId="1D55B44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0.0167</w:t>
            </w:r>
          </w:p>
        </w:tc>
      </w:tr>
      <w:tr w:rsidR="007236C2" w:rsidRPr="001D48C3" w14:paraId="5F5F0290" w14:textId="77777777" w:rsidTr="007236C2">
        <w:trPr>
          <w:trHeight w:hRule="exact" w:val="96"/>
          <w:jc w:val="center"/>
        </w:trPr>
        <w:tc>
          <w:tcPr>
            <w:tcW w:w="2017" w:type="dxa"/>
            <w:tcBorders>
              <w:top w:val="nil"/>
              <w:left w:val="nil"/>
              <w:bottom w:val="double" w:sz="6" w:space="2" w:color="auto"/>
              <w:right w:val="nil"/>
            </w:tcBorders>
            <w:vAlign w:val="bottom"/>
          </w:tcPr>
          <w:p w14:paraId="057EED5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164B73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FD690A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5791DE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27C233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005CB5B5" w14:textId="77777777" w:rsidTr="007236C2">
        <w:trPr>
          <w:trHeight w:hRule="exact" w:val="144"/>
          <w:jc w:val="center"/>
        </w:trPr>
        <w:tc>
          <w:tcPr>
            <w:tcW w:w="2017" w:type="dxa"/>
            <w:tcBorders>
              <w:top w:val="nil"/>
              <w:left w:val="nil"/>
              <w:bottom w:val="nil"/>
              <w:right w:val="nil"/>
            </w:tcBorders>
            <w:vAlign w:val="bottom"/>
          </w:tcPr>
          <w:p w14:paraId="5AF2408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AA167D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D184C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84D4E4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8C0327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3DDB0935" w14:textId="77777777" w:rsidTr="007236C2">
        <w:trPr>
          <w:trHeight w:val="240"/>
          <w:jc w:val="center"/>
        </w:trPr>
        <w:tc>
          <w:tcPr>
            <w:tcW w:w="2017" w:type="dxa"/>
            <w:tcBorders>
              <w:top w:val="nil"/>
              <w:left w:val="nil"/>
              <w:bottom w:val="nil"/>
              <w:right w:val="nil"/>
            </w:tcBorders>
            <w:vAlign w:val="bottom"/>
          </w:tcPr>
          <w:p w14:paraId="7FB39653" w14:textId="493B1D8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279AE97D" w14:textId="7BF2CF9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0.831259</w:t>
            </w:r>
          </w:p>
        </w:tc>
        <w:tc>
          <w:tcPr>
            <w:tcW w:w="2415" w:type="dxa"/>
            <w:gridSpan w:val="2"/>
            <w:tcBorders>
              <w:top w:val="nil"/>
              <w:left w:val="nil"/>
              <w:bottom w:val="nil"/>
              <w:right w:val="nil"/>
            </w:tcBorders>
            <w:vAlign w:val="bottom"/>
          </w:tcPr>
          <w:p w14:paraId="7CFC2185"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Mean dependent variable</w:t>
            </w:r>
          </w:p>
        </w:tc>
        <w:tc>
          <w:tcPr>
            <w:tcW w:w="997" w:type="dxa"/>
            <w:tcBorders>
              <w:top w:val="nil"/>
              <w:left w:val="nil"/>
              <w:bottom w:val="nil"/>
              <w:right w:val="nil"/>
            </w:tcBorders>
            <w:vAlign w:val="bottom"/>
          </w:tcPr>
          <w:p w14:paraId="6F9EE599" w14:textId="2D133AC9"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0.059853</w:t>
            </w:r>
          </w:p>
        </w:tc>
      </w:tr>
      <w:tr w:rsidR="00385C9F" w:rsidRPr="001D48C3" w14:paraId="1506BA68" w14:textId="77777777" w:rsidTr="007236C2">
        <w:trPr>
          <w:trHeight w:val="240"/>
          <w:jc w:val="center"/>
        </w:trPr>
        <w:tc>
          <w:tcPr>
            <w:tcW w:w="2017" w:type="dxa"/>
            <w:tcBorders>
              <w:top w:val="nil"/>
              <w:left w:val="nil"/>
              <w:bottom w:val="nil"/>
              <w:right w:val="nil"/>
            </w:tcBorders>
            <w:vAlign w:val="bottom"/>
          </w:tcPr>
          <w:p w14:paraId="16FCFC04" w14:textId="28D4F80E"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Adjusted 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025CDD0E" w14:textId="55C303F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0.826296</w:t>
            </w:r>
          </w:p>
        </w:tc>
        <w:tc>
          <w:tcPr>
            <w:tcW w:w="2415" w:type="dxa"/>
            <w:gridSpan w:val="2"/>
            <w:tcBorders>
              <w:top w:val="nil"/>
              <w:left w:val="nil"/>
              <w:bottom w:val="nil"/>
              <w:right w:val="nil"/>
            </w:tcBorders>
            <w:vAlign w:val="bottom"/>
          </w:tcPr>
          <w:p w14:paraId="3F990D05"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S.D. dependent variable</w:t>
            </w:r>
          </w:p>
        </w:tc>
        <w:tc>
          <w:tcPr>
            <w:tcW w:w="997" w:type="dxa"/>
            <w:tcBorders>
              <w:top w:val="nil"/>
              <w:left w:val="nil"/>
              <w:bottom w:val="nil"/>
              <w:right w:val="nil"/>
            </w:tcBorders>
            <w:vAlign w:val="bottom"/>
          </w:tcPr>
          <w:p w14:paraId="6D9555BA" w14:textId="357BF77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0.507690</w:t>
            </w:r>
          </w:p>
        </w:tc>
      </w:tr>
      <w:tr w:rsidR="00385C9F" w:rsidRPr="001D48C3" w14:paraId="0CCD9D44" w14:textId="77777777" w:rsidTr="007236C2">
        <w:trPr>
          <w:trHeight w:val="240"/>
          <w:jc w:val="center"/>
        </w:trPr>
        <w:tc>
          <w:tcPr>
            <w:tcW w:w="2017" w:type="dxa"/>
            <w:tcBorders>
              <w:top w:val="nil"/>
              <w:left w:val="nil"/>
              <w:bottom w:val="nil"/>
              <w:right w:val="nil"/>
            </w:tcBorders>
            <w:vAlign w:val="bottom"/>
          </w:tcPr>
          <w:p w14:paraId="3E29E898"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S.E. of regression</w:t>
            </w:r>
          </w:p>
        </w:tc>
        <w:tc>
          <w:tcPr>
            <w:tcW w:w="1103" w:type="dxa"/>
            <w:tcBorders>
              <w:top w:val="nil"/>
              <w:left w:val="nil"/>
              <w:bottom w:val="nil"/>
              <w:right w:val="nil"/>
            </w:tcBorders>
            <w:vAlign w:val="bottom"/>
          </w:tcPr>
          <w:p w14:paraId="68CCEDA0" w14:textId="6FD271A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0.211594</w:t>
            </w:r>
          </w:p>
        </w:tc>
        <w:tc>
          <w:tcPr>
            <w:tcW w:w="2415" w:type="dxa"/>
            <w:gridSpan w:val="2"/>
            <w:tcBorders>
              <w:top w:val="nil"/>
              <w:left w:val="nil"/>
              <w:bottom w:val="nil"/>
              <w:right w:val="nil"/>
            </w:tcBorders>
            <w:vAlign w:val="bottom"/>
          </w:tcPr>
          <w:p w14:paraId="18C50E3C"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Akaike info criterion</w:t>
            </w:r>
          </w:p>
        </w:tc>
        <w:tc>
          <w:tcPr>
            <w:tcW w:w="997" w:type="dxa"/>
            <w:tcBorders>
              <w:top w:val="nil"/>
              <w:left w:val="nil"/>
              <w:bottom w:val="nil"/>
              <w:right w:val="nil"/>
            </w:tcBorders>
            <w:vAlign w:val="bottom"/>
          </w:tcPr>
          <w:p w14:paraId="5ABFD7FB" w14:textId="78C5042E"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0.233478</w:t>
            </w:r>
          </w:p>
        </w:tc>
      </w:tr>
      <w:tr w:rsidR="00385C9F" w:rsidRPr="001D48C3" w14:paraId="60E7C086" w14:textId="77777777" w:rsidTr="007236C2">
        <w:trPr>
          <w:trHeight w:val="240"/>
          <w:jc w:val="center"/>
        </w:trPr>
        <w:tc>
          <w:tcPr>
            <w:tcW w:w="2017" w:type="dxa"/>
            <w:tcBorders>
              <w:top w:val="nil"/>
              <w:left w:val="nil"/>
              <w:bottom w:val="nil"/>
              <w:right w:val="nil"/>
            </w:tcBorders>
            <w:vAlign w:val="bottom"/>
          </w:tcPr>
          <w:p w14:paraId="4716EE74"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Sum squared residuals</w:t>
            </w:r>
          </w:p>
        </w:tc>
        <w:tc>
          <w:tcPr>
            <w:tcW w:w="1103" w:type="dxa"/>
            <w:tcBorders>
              <w:top w:val="nil"/>
              <w:left w:val="nil"/>
              <w:bottom w:val="nil"/>
              <w:right w:val="nil"/>
            </w:tcBorders>
            <w:vAlign w:val="bottom"/>
          </w:tcPr>
          <w:p w14:paraId="55C6AD2F" w14:textId="25A14A5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6.088994</w:t>
            </w:r>
          </w:p>
        </w:tc>
        <w:tc>
          <w:tcPr>
            <w:tcW w:w="2415" w:type="dxa"/>
            <w:gridSpan w:val="2"/>
            <w:tcBorders>
              <w:top w:val="nil"/>
              <w:left w:val="nil"/>
              <w:bottom w:val="nil"/>
              <w:right w:val="nil"/>
            </w:tcBorders>
            <w:vAlign w:val="bottom"/>
          </w:tcPr>
          <w:p w14:paraId="41EEC422"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Schwarz criterion</w:t>
            </w:r>
          </w:p>
        </w:tc>
        <w:tc>
          <w:tcPr>
            <w:tcW w:w="997" w:type="dxa"/>
            <w:tcBorders>
              <w:top w:val="nil"/>
              <w:left w:val="nil"/>
              <w:bottom w:val="nil"/>
              <w:right w:val="nil"/>
            </w:tcBorders>
            <w:vAlign w:val="bottom"/>
          </w:tcPr>
          <w:p w14:paraId="7FE720F1" w14:textId="29A086D7"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0.128912</w:t>
            </w:r>
          </w:p>
        </w:tc>
      </w:tr>
      <w:tr w:rsidR="00385C9F" w:rsidRPr="001D48C3" w14:paraId="34360838" w14:textId="77777777" w:rsidTr="007236C2">
        <w:trPr>
          <w:trHeight w:val="240"/>
          <w:jc w:val="center"/>
        </w:trPr>
        <w:tc>
          <w:tcPr>
            <w:tcW w:w="2017" w:type="dxa"/>
            <w:tcBorders>
              <w:top w:val="nil"/>
              <w:left w:val="nil"/>
              <w:bottom w:val="nil"/>
              <w:right w:val="nil"/>
            </w:tcBorders>
            <w:vAlign w:val="bottom"/>
          </w:tcPr>
          <w:p w14:paraId="35D1C200"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Log likelihood</w:t>
            </w:r>
          </w:p>
        </w:tc>
        <w:tc>
          <w:tcPr>
            <w:tcW w:w="1103" w:type="dxa"/>
            <w:tcBorders>
              <w:top w:val="nil"/>
              <w:left w:val="nil"/>
              <w:bottom w:val="nil"/>
              <w:right w:val="nil"/>
            </w:tcBorders>
            <w:vAlign w:val="bottom"/>
          </w:tcPr>
          <w:p w14:paraId="4B0C545D" w14:textId="3D8BA964"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21.46020</w:t>
            </w:r>
          </w:p>
        </w:tc>
        <w:tc>
          <w:tcPr>
            <w:tcW w:w="2415" w:type="dxa"/>
            <w:gridSpan w:val="2"/>
            <w:tcBorders>
              <w:top w:val="nil"/>
              <w:left w:val="nil"/>
              <w:bottom w:val="nil"/>
              <w:right w:val="nil"/>
            </w:tcBorders>
            <w:vAlign w:val="bottom"/>
          </w:tcPr>
          <w:p w14:paraId="330D4FE0" w14:textId="54E87149"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Hannan</w:t>
            </w:r>
            <w:r w:rsidR="001D5BF5">
              <w:rPr>
                <w:rFonts w:ascii="Arial" w:hAnsi="Arial" w:cs="Arial"/>
                <w:color w:val="000000"/>
                <w:sz w:val="18"/>
                <w:szCs w:val="18"/>
              </w:rPr>
              <w:noBreakHyphen/>
            </w:r>
            <w:r w:rsidRPr="001D48C3">
              <w:rPr>
                <w:rFonts w:ascii="Arial" w:hAnsi="Arial" w:cs="Arial"/>
                <w:color w:val="000000"/>
                <w:sz w:val="18"/>
                <w:szCs w:val="18"/>
              </w:rPr>
              <w:t>Quinn criterion.</w:t>
            </w:r>
          </w:p>
        </w:tc>
        <w:tc>
          <w:tcPr>
            <w:tcW w:w="997" w:type="dxa"/>
            <w:tcBorders>
              <w:top w:val="nil"/>
              <w:left w:val="nil"/>
              <w:bottom w:val="nil"/>
              <w:right w:val="nil"/>
            </w:tcBorders>
            <w:vAlign w:val="bottom"/>
          </w:tcPr>
          <w:p w14:paraId="20BE00EB" w14:textId="1291349A"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0.190986</w:t>
            </w:r>
          </w:p>
        </w:tc>
      </w:tr>
      <w:tr w:rsidR="00385C9F" w:rsidRPr="001D48C3" w14:paraId="7A6A83FB" w14:textId="77777777" w:rsidTr="007236C2">
        <w:trPr>
          <w:trHeight w:val="240"/>
          <w:jc w:val="center"/>
        </w:trPr>
        <w:tc>
          <w:tcPr>
            <w:tcW w:w="2017" w:type="dxa"/>
            <w:tcBorders>
              <w:top w:val="nil"/>
              <w:left w:val="nil"/>
              <w:bottom w:val="nil"/>
              <w:right w:val="nil"/>
            </w:tcBorders>
            <w:vAlign w:val="bottom"/>
          </w:tcPr>
          <w:p w14:paraId="17E625D0" w14:textId="5B0354C8"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Durbin</w:t>
            </w:r>
            <w:r w:rsidR="001D5BF5">
              <w:rPr>
                <w:rFonts w:ascii="Arial" w:hAnsi="Arial" w:cs="Arial"/>
                <w:color w:val="000000"/>
                <w:sz w:val="18"/>
                <w:szCs w:val="18"/>
              </w:rPr>
              <w:noBreakHyphen/>
            </w:r>
            <w:r w:rsidRPr="001D48C3">
              <w:rPr>
                <w:rFonts w:ascii="Arial" w:hAnsi="Arial" w:cs="Arial"/>
                <w:color w:val="000000"/>
                <w:sz w:val="18"/>
                <w:szCs w:val="18"/>
              </w:rPr>
              <w:t>Watson statistic</w:t>
            </w:r>
          </w:p>
        </w:tc>
        <w:tc>
          <w:tcPr>
            <w:tcW w:w="1103" w:type="dxa"/>
            <w:tcBorders>
              <w:top w:val="nil"/>
              <w:left w:val="nil"/>
              <w:bottom w:val="nil"/>
              <w:right w:val="nil"/>
            </w:tcBorders>
            <w:vAlign w:val="bottom"/>
          </w:tcPr>
          <w:p w14:paraId="73454B64" w14:textId="1B43F39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2.009718</w:t>
            </w:r>
          </w:p>
        </w:tc>
        <w:tc>
          <w:tcPr>
            <w:tcW w:w="1207" w:type="dxa"/>
            <w:tcBorders>
              <w:top w:val="nil"/>
              <w:left w:val="nil"/>
              <w:bottom w:val="nil"/>
              <w:right w:val="nil"/>
            </w:tcBorders>
            <w:vAlign w:val="bottom"/>
          </w:tcPr>
          <w:p w14:paraId="446A2953"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37C02181"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60D22F39"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r>
      <w:tr w:rsidR="007236C2" w:rsidRPr="001D48C3" w14:paraId="1C8B0E8F" w14:textId="77777777" w:rsidTr="007236C2">
        <w:trPr>
          <w:trHeight w:hRule="exact" w:val="96"/>
          <w:jc w:val="center"/>
        </w:trPr>
        <w:tc>
          <w:tcPr>
            <w:tcW w:w="2017" w:type="dxa"/>
            <w:tcBorders>
              <w:top w:val="nil"/>
              <w:left w:val="nil"/>
              <w:bottom w:val="double" w:sz="6" w:space="0" w:color="auto"/>
              <w:right w:val="nil"/>
            </w:tcBorders>
            <w:vAlign w:val="bottom"/>
          </w:tcPr>
          <w:p w14:paraId="6356321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CCB6FA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386F2F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0B24E34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12ED41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7D8EF5D2" w14:textId="77777777" w:rsidTr="007236C2">
        <w:trPr>
          <w:trHeight w:hRule="exact" w:val="144"/>
          <w:jc w:val="center"/>
        </w:trPr>
        <w:tc>
          <w:tcPr>
            <w:tcW w:w="2017" w:type="dxa"/>
            <w:tcBorders>
              <w:top w:val="nil"/>
              <w:left w:val="nil"/>
              <w:bottom w:val="nil"/>
              <w:right w:val="nil"/>
            </w:tcBorders>
            <w:vAlign w:val="bottom"/>
          </w:tcPr>
          <w:p w14:paraId="1DBA512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FC715E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3A06AF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C33EE4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F48F94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bl>
    <w:p w14:paraId="707976DE" w14:textId="77777777" w:rsidR="007236C2" w:rsidRPr="001D48C3" w:rsidRDefault="007236C2" w:rsidP="007236C2"/>
    <w:p w14:paraId="7ED20CF8" w14:textId="77777777" w:rsidR="007236C2" w:rsidRPr="001D48C3" w:rsidRDefault="007236C2" w:rsidP="001D48C3">
      <w:pPr>
        <w:pStyle w:val="TableHeading1"/>
      </w:pPr>
      <w:bookmarkStart w:id="3" w:name="_Ref386193642"/>
      <w:r w:rsidRPr="001D48C3">
        <w:t xml:space="preserve">Chart </w:t>
      </w:r>
      <w:r w:rsidR="00711272">
        <w:fldChar w:fldCharType="begin"/>
      </w:r>
      <w:r w:rsidR="00711272">
        <w:instrText xml:space="preserve"> SEQ Chart \* ARABIC </w:instrText>
      </w:r>
      <w:r w:rsidR="00711272">
        <w:fldChar w:fldCharType="separate"/>
      </w:r>
      <w:r w:rsidR="00C65A3D">
        <w:rPr>
          <w:noProof/>
        </w:rPr>
        <w:t>2</w:t>
      </w:r>
      <w:r w:rsidR="00711272">
        <w:rPr>
          <w:noProof/>
        </w:rPr>
        <w:fldChar w:fldCharType="end"/>
      </w:r>
      <w:bookmarkEnd w:id="3"/>
      <w:r w:rsidRPr="001D48C3">
        <w:t>: Actual versus fitted cyclical labour force participation</w:t>
      </w:r>
    </w:p>
    <w:p w14:paraId="5B487CB4" w14:textId="6AE90EBB" w:rsidR="007236C2" w:rsidRPr="001D48C3" w:rsidRDefault="00EC5040" w:rsidP="001D5BF5">
      <w:pPr>
        <w:pStyle w:val="ChartGraphic"/>
      </w:pPr>
      <w:r>
        <w:object w:dxaOrig="8775" w:dyaOrig="4530" w14:anchorId="52384C4F">
          <v:shape id="_x0000_i1083" type="#_x0000_t75" alt="This chart plots the cyclical labour force participation rate, the estimates of the cyclical labour force participation model (from equation 39) and the residual between the two. " style="width:438.75pt;height:226.5pt" o:ole="">
            <v:imagedata r:id="rId137" o:title=""/>
          </v:shape>
          <o:OLEObject Type="Link" ProgID="Excel.Sheet.12" ShapeID="_x0000_i1083" DrawAspect="Content" r:id="rId138" UpdateMode="Always">
            <o:LinkType>EnhancedMetaFile</o:LinkType>
            <o:LockedField>false</o:LockedField>
            <o:FieldCodes>\* MERGEFORMAT</o:FieldCodes>
          </o:OLEObject>
        </w:object>
      </w:r>
    </w:p>
    <w:p w14:paraId="06E4F3EA" w14:textId="77777777" w:rsidR="007236C2" w:rsidRPr="001D48C3" w:rsidRDefault="007236C2" w:rsidP="007236C2"/>
    <w:p w14:paraId="186E086A" w14:textId="77777777" w:rsidR="00430F48" w:rsidRPr="001D48C3" w:rsidRDefault="007236C2" w:rsidP="002128FD">
      <w:pPr>
        <w:pStyle w:val="Heading4"/>
      </w:pPr>
      <w:r w:rsidRPr="001D48C3">
        <w:lastRenderedPageBreak/>
        <w:t>Labour productivity</w:t>
      </w:r>
    </w:p>
    <w:p w14:paraId="16F327B8" w14:textId="1B6D0072" w:rsidR="000430F1" w:rsidRPr="001D48C3" w:rsidRDefault="007236C2">
      <w:r w:rsidRPr="001D48C3">
        <w:t xml:space="preserve">Parameters underlying the empirical cyclical labour productivity </w:t>
      </w:r>
      <w:r w:rsidR="0077725A" w:rsidRPr="001D48C3">
        <w:t xml:space="preserve">process (equation </w:t>
      </w:r>
      <w:r w:rsidR="00430F48" w:rsidRPr="001D48C3">
        <w:t>21</w:t>
      </w:r>
      <w:r w:rsidR="00163675" w:rsidRPr="001D48C3">
        <w:t xml:space="preserve">) </w:t>
      </w:r>
      <w:r w:rsidRPr="001D48C3">
        <w:t xml:space="preserve">are reported in </w:t>
      </w:r>
      <w:r w:rsidR="00741D3F" w:rsidRPr="001D48C3">
        <w:fldChar w:fldCharType="begin"/>
      </w:r>
      <w:r w:rsidR="00741D3F" w:rsidRPr="001D48C3">
        <w:instrText xml:space="preserve"> REF _Ref386193515 \h </w:instrText>
      </w:r>
      <w:r w:rsidR="00741D3F" w:rsidRPr="001D48C3">
        <w:fldChar w:fldCharType="separate"/>
      </w:r>
      <w:r w:rsidR="00C65A3D" w:rsidRPr="001D48C3">
        <w:t xml:space="preserve">Table </w:t>
      </w:r>
      <w:r w:rsidR="00C65A3D">
        <w:rPr>
          <w:noProof/>
        </w:rPr>
        <w:t>2</w:t>
      </w:r>
      <w:r w:rsidR="00741D3F" w:rsidRPr="001D48C3">
        <w:fldChar w:fldCharType="end"/>
      </w:r>
      <w:r w:rsidRPr="001D48C3">
        <w:t>. With an autoregressive coefficient of 0.</w:t>
      </w:r>
      <w:r w:rsidR="00E9296B" w:rsidRPr="001D48C3">
        <w:t>6</w:t>
      </w:r>
      <w:r w:rsidR="00E9296B">
        <w:t>8</w:t>
      </w:r>
      <w:r w:rsidRPr="001D48C3">
        <w:t xml:space="preserve">, Australian labour productivity displays </w:t>
      </w:r>
      <w:r w:rsidR="00BA7BD2" w:rsidRPr="001D48C3">
        <w:t xml:space="preserve">less </w:t>
      </w:r>
      <w:r w:rsidRPr="001D48C3">
        <w:t>persistent cycles than those of other advanced economies, such as the US where the typical autoregressive coefficient estimate is around 0.95.</w:t>
      </w:r>
    </w:p>
    <w:p w14:paraId="09477CB6" w14:textId="77777777" w:rsidR="007236C2" w:rsidRPr="001D48C3" w:rsidRDefault="007236C2" w:rsidP="001D48C3">
      <w:pPr>
        <w:pStyle w:val="TableHeading1"/>
        <w:rPr>
          <w:rFonts w:cs="Arial"/>
          <w:sz w:val="20"/>
          <w:szCs w:val="20"/>
        </w:rPr>
      </w:pPr>
      <w:bookmarkStart w:id="4" w:name="_Ref386193515"/>
      <w:r w:rsidRPr="001D48C3">
        <w:t xml:space="preserve">Table </w:t>
      </w:r>
      <w:r w:rsidR="00711272">
        <w:fldChar w:fldCharType="begin"/>
      </w:r>
      <w:r w:rsidR="00711272">
        <w:instrText xml:space="preserve"> SEQ Table \* ARABIC </w:instrText>
      </w:r>
      <w:r w:rsidR="00711272">
        <w:fldChar w:fldCharType="separate"/>
      </w:r>
      <w:r w:rsidR="00C65A3D">
        <w:rPr>
          <w:noProof/>
        </w:rPr>
        <w:t>2</w:t>
      </w:r>
      <w:r w:rsidR="00711272">
        <w:rPr>
          <w:noProof/>
        </w:rPr>
        <w:fldChar w:fldCharType="end"/>
      </w:r>
      <w:bookmarkEnd w:id="4"/>
      <w:r w:rsidRPr="001D48C3">
        <w:t>: Cyclical labour productivity model</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236C2" w:rsidRPr="001D48C3" w14:paraId="64FFB0BB" w14:textId="77777777" w:rsidTr="007236C2">
        <w:trPr>
          <w:trHeight w:val="240"/>
          <w:jc w:val="center"/>
        </w:trPr>
        <w:tc>
          <w:tcPr>
            <w:tcW w:w="4327" w:type="dxa"/>
            <w:gridSpan w:val="3"/>
            <w:tcBorders>
              <w:top w:val="nil"/>
              <w:left w:val="nil"/>
              <w:bottom w:val="nil"/>
              <w:right w:val="nil"/>
            </w:tcBorders>
            <w:vAlign w:val="bottom"/>
          </w:tcPr>
          <w:p w14:paraId="168814CE" w14:textId="77777777" w:rsidR="007236C2" w:rsidRPr="001D48C3" w:rsidRDefault="007236C2"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Method: Least Squares</w:t>
            </w:r>
          </w:p>
        </w:tc>
        <w:tc>
          <w:tcPr>
            <w:tcW w:w="1208" w:type="dxa"/>
            <w:tcBorders>
              <w:top w:val="nil"/>
              <w:left w:val="nil"/>
              <w:bottom w:val="nil"/>
              <w:right w:val="nil"/>
            </w:tcBorders>
            <w:vAlign w:val="bottom"/>
          </w:tcPr>
          <w:p w14:paraId="7D92EFA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900210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05137373" w14:textId="77777777" w:rsidTr="007236C2">
        <w:trPr>
          <w:trHeight w:val="240"/>
          <w:jc w:val="center"/>
        </w:trPr>
        <w:tc>
          <w:tcPr>
            <w:tcW w:w="5535" w:type="dxa"/>
            <w:gridSpan w:val="4"/>
            <w:tcBorders>
              <w:top w:val="nil"/>
              <w:left w:val="nil"/>
              <w:bottom w:val="nil"/>
              <w:right w:val="nil"/>
            </w:tcBorders>
            <w:vAlign w:val="bottom"/>
          </w:tcPr>
          <w:p w14:paraId="402BCFB3" w14:textId="4EB13DE6" w:rsidR="007236C2" w:rsidRPr="001D48C3" w:rsidRDefault="007236C2" w:rsidP="00385C9F">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 xml:space="preserve">Sample : 1978Q3 </w:t>
            </w:r>
            <w:r w:rsidR="00385C9F" w:rsidRPr="001D48C3">
              <w:rPr>
                <w:rFonts w:ascii="Arial" w:hAnsi="Arial" w:cs="Arial"/>
                <w:color w:val="000000"/>
                <w:sz w:val="18"/>
                <w:szCs w:val="18"/>
              </w:rPr>
              <w:t>2013Q</w:t>
            </w:r>
            <w:r w:rsidR="00385C9F">
              <w:rPr>
                <w:rFonts w:ascii="Arial" w:hAnsi="Arial" w:cs="Arial"/>
                <w:color w:val="000000"/>
                <w:sz w:val="18"/>
                <w:szCs w:val="18"/>
              </w:rPr>
              <w:t>4</w:t>
            </w:r>
          </w:p>
        </w:tc>
        <w:tc>
          <w:tcPr>
            <w:tcW w:w="997" w:type="dxa"/>
            <w:tcBorders>
              <w:top w:val="nil"/>
              <w:left w:val="nil"/>
              <w:bottom w:val="nil"/>
              <w:right w:val="nil"/>
            </w:tcBorders>
            <w:vAlign w:val="bottom"/>
          </w:tcPr>
          <w:p w14:paraId="6BCBD0B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5E609A26" w14:textId="77777777" w:rsidTr="007236C2">
        <w:trPr>
          <w:trHeight w:hRule="exact" w:val="96"/>
          <w:jc w:val="center"/>
        </w:trPr>
        <w:tc>
          <w:tcPr>
            <w:tcW w:w="2017" w:type="dxa"/>
            <w:tcBorders>
              <w:top w:val="nil"/>
              <w:left w:val="nil"/>
              <w:bottom w:val="double" w:sz="6" w:space="2" w:color="auto"/>
              <w:right w:val="nil"/>
            </w:tcBorders>
            <w:vAlign w:val="bottom"/>
          </w:tcPr>
          <w:p w14:paraId="5640AA4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9D0C1F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8AE746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7B4726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096A5B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DAF1AFB" w14:textId="77777777" w:rsidTr="007236C2">
        <w:trPr>
          <w:trHeight w:hRule="exact" w:val="144"/>
          <w:jc w:val="center"/>
        </w:trPr>
        <w:tc>
          <w:tcPr>
            <w:tcW w:w="2017" w:type="dxa"/>
            <w:tcBorders>
              <w:top w:val="nil"/>
              <w:left w:val="nil"/>
              <w:bottom w:val="nil"/>
              <w:right w:val="nil"/>
            </w:tcBorders>
            <w:vAlign w:val="bottom"/>
          </w:tcPr>
          <w:p w14:paraId="3B068BE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5311C0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80D9BA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D191E5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7AE1D8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220FC57B" w14:textId="77777777" w:rsidTr="007236C2">
        <w:trPr>
          <w:trHeight w:val="240"/>
          <w:jc w:val="center"/>
        </w:trPr>
        <w:tc>
          <w:tcPr>
            <w:tcW w:w="2017" w:type="dxa"/>
            <w:tcBorders>
              <w:top w:val="nil"/>
              <w:left w:val="nil"/>
              <w:bottom w:val="nil"/>
              <w:right w:val="nil"/>
            </w:tcBorders>
            <w:vAlign w:val="bottom"/>
          </w:tcPr>
          <w:p w14:paraId="51AAFAB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760BE55"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Coefficient</w:t>
            </w:r>
          </w:p>
        </w:tc>
        <w:tc>
          <w:tcPr>
            <w:tcW w:w="1207" w:type="dxa"/>
            <w:tcBorders>
              <w:top w:val="nil"/>
              <w:left w:val="nil"/>
              <w:bottom w:val="nil"/>
              <w:right w:val="nil"/>
            </w:tcBorders>
            <w:vAlign w:val="bottom"/>
          </w:tcPr>
          <w:p w14:paraId="45728EC8"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Std. Error</w:t>
            </w:r>
          </w:p>
        </w:tc>
        <w:tc>
          <w:tcPr>
            <w:tcW w:w="1208" w:type="dxa"/>
            <w:tcBorders>
              <w:top w:val="nil"/>
              <w:left w:val="nil"/>
              <w:bottom w:val="nil"/>
              <w:right w:val="nil"/>
            </w:tcBorders>
            <w:vAlign w:val="bottom"/>
          </w:tcPr>
          <w:p w14:paraId="56DC6892" w14:textId="6FCAE625"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t</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997" w:type="dxa"/>
            <w:tcBorders>
              <w:top w:val="nil"/>
              <w:left w:val="nil"/>
              <w:bottom w:val="nil"/>
              <w:right w:val="nil"/>
            </w:tcBorders>
            <w:vAlign w:val="bottom"/>
          </w:tcPr>
          <w:p w14:paraId="60A481AD" w14:textId="50D7BAE6"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Prob</w:t>
            </w:r>
            <w:r w:rsidR="00073551" w:rsidRPr="001D48C3">
              <w:rPr>
                <w:rFonts w:ascii="Arial" w:hAnsi="Arial" w:cs="Arial"/>
                <w:color w:val="000000"/>
                <w:sz w:val="18"/>
                <w:szCs w:val="18"/>
              </w:rPr>
              <w:t xml:space="preserve">. </w:t>
            </w:r>
          </w:p>
        </w:tc>
      </w:tr>
      <w:tr w:rsidR="007236C2" w:rsidRPr="001D48C3" w14:paraId="429DF3FC" w14:textId="77777777" w:rsidTr="007236C2">
        <w:trPr>
          <w:trHeight w:hRule="exact" w:val="96"/>
          <w:jc w:val="center"/>
        </w:trPr>
        <w:tc>
          <w:tcPr>
            <w:tcW w:w="2017" w:type="dxa"/>
            <w:tcBorders>
              <w:top w:val="nil"/>
              <w:left w:val="nil"/>
              <w:bottom w:val="double" w:sz="6" w:space="2" w:color="auto"/>
              <w:right w:val="nil"/>
            </w:tcBorders>
            <w:vAlign w:val="bottom"/>
          </w:tcPr>
          <w:p w14:paraId="5217CE4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6518EB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DE397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5502CE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FD67D9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762F95EC" w14:textId="77777777" w:rsidTr="007236C2">
        <w:trPr>
          <w:trHeight w:hRule="exact" w:val="144"/>
          <w:jc w:val="center"/>
        </w:trPr>
        <w:tc>
          <w:tcPr>
            <w:tcW w:w="2017" w:type="dxa"/>
            <w:tcBorders>
              <w:top w:val="nil"/>
              <w:left w:val="nil"/>
              <w:bottom w:val="nil"/>
              <w:right w:val="nil"/>
            </w:tcBorders>
            <w:vAlign w:val="bottom"/>
          </w:tcPr>
          <w:p w14:paraId="40A5DF5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676E44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A213EE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8780BF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06F3AC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09021C38" w14:textId="77777777" w:rsidTr="007236C2">
        <w:trPr>
          <w:trHeight w:val="240"/>
          <w:jc w:val="center"/>
        </w:trPr>
        <w:tc>
          <w:tcPr>
            <w:tcW w:w="2017" w:type="dxa"/>
            <w:tcBorders>
              <w:top w:val="nil"/>
              <w:left w:val="nil"/>
              <w:bottom w:val="nil"/>
              <w:right w:val="nil"/>
            </w:tcBorders>
            <w:vAlign w:val="bottom"/>
          </w:tcPr>
          <w:p w14:paraId="1A977BA4" w14:textId="77777777" w:rsidR="00385C9F" w:rsidRPr="001D48C3" w:rsidRDefault="00385C9F" w:rsidP="007236C2">
            <w:pPr>
              <w:autoSpaceDE w:val="0"/>
              <w:autoSpaceDN w:val="0"/>
              <w:adjustRightInd w:val="0"/>
              <w:spacing w:after="0" w:line="240" w:lineRule="auto"/>
              <w:jc w:val="center"/>
              <w:rPr>
                <w:rFonts w:ascii="Arial" w:hAnsi="Arial" w:cs="Arial"/>
                <w:color w:val="000000"/>
                <w:sz w:val="18"/>
                <w:szCs w:val="18"/>
              </w:rPr>
            </w:pPr>
            <w:r w:rsidRPr="001D48C3">
              <w:rPr>
                <w:rFonts w:ascii="Symbol" w:hAnsi="Symbol" w:cs="Arial"/>
                <w:color w:val="000000"/>
              </w:rPr>
              <w:t></w:t>
            </w:r>
            <w:r w:rsidRPr="001D48C3">
              <w:rPr>
                <w:rFonts w:ascii="Arial" w:hAnsi="Arial" w:cs="Arial"/>
                <w:color w:val="000000"/>
                <w:sz w:val="18"/>
                <w:szCs w:val="18"/>
                <w:vertAlign w:val="subscript"/>
              </w:rPr>
              <w:t>q</w:t>
            </w:r>
          </w:p>
        </w:tc>
        <w:tc>
          <w:tcPr>
            <w:tcW w:w="1103" w:type="dxa"/>
            <w:tcBorders>
              <w:top w:val="nil"/>
              <w:left w:val="nil"/>
              <w:bottom w:val="nil"/>
              <w:right w:val="nil"/>
            </w:tcBorders>
            <w:vAlign w:val="bottom"/>
          </w:tcPr>
          <w:p w14:paraId="406F14A0" w14:textId="00A08BB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0.676329</w:t>
            </w:r>
          </w:p>
        </w:tc>
        <w:tc>
          <w:tcPr>
            <w:tcW w:w="1207" w:type="dxa"/>
            <w:tcBorders>
              <w:top w:val="nil"/>
              <w:left w:val="nil"/>
              <w:bottom w:val="nil"/>
              <w:right w:val="nil"/>
            </w:tcBorders>
            <w:vAlign w:val="bottom"/>
          </w:tcPr>
          <w:p w14:paraId="007713FF" w14:textId="2A1C487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0.062005</w:t>
            </w:r>
          </w:p>
        </w:tc>
        <w:tc>
          <w:tcPr>
            <w:tcW w:w="1208" w:type="dxa"/>
            <w:tcBorders>
              <w:top w:val="nil"/>
              <w:left w:val="nil"/>
              <w:bottom w:val="nil"/>
              <w:right w:val="nil"/>
            </w:tcBorders>
            <w:vAlign w:val="bottom"/>
          </w:tcPr>
          <w:p w14:paraId="7346D741" w14:textId="1A15C3E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10.90763</w:t>
            </w:r>
          </w:p>
        </w:tc>
        <w:tc>
          <w:tcPr>
            <w:tcW w:w="997" w:type="dxa"/>
            <w:tcBorders>
              <w:top w:val="nil"/>
              <w:left w:val="nil"/>
              <w:bottom w:val="nil"/>
              <w:right w:val="nil"/>
            </w:tcBorders>
            <w:vAlign w:val="bottom"/>
          </w:tcPr>
          <w:p w14:paraId="7FBCCC9A" w14:textId="5009F1E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7236C2" w:rsidRPr="001D48C3" w14:paraId="04BD35C8" w14:textId="77777777" w:rsidTr="007236C2">
        <w:trPr>
          <w:trHeight w:hRule="exact" w:val="96"/>
          <w:jc w:val="center"/>
        </w:trPr>
        <w:tc>
          <w:tcPr>
            <w:tcW w:w="2017" w:type="dxa"/>
            <w:tcBorders>
              <w:top w:val="nil"/>
              <w:left w:val="nil"/>
              <w:bottom w:val="double" w:sz="6" w:space="2" w:color="auto"/>
              <w:right w:val="nil"/>
            </w:tcBorders>
            <w:vAlign w:val="bottom"/>
          </w:tcPr>
          <w:p w14:paraId="310155F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B4B41A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22F04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4696FC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BF1C27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35EC757B" w14:textId="77777777" w:rsidTr="007236C2">
        <w:trPr>
          <w:trHeight w:hRule="exact" w:val="144"/>
          <w:jc w:val="center"/>
        </w:trPr>
        <w:tc>
          <w:tcPr>
            <w:tcW w:w="2017" w:type="dxa"/>
            <w:tcBorders>
              <w:top w:val="nil"/>
              <w:left w:val="nil"/>
              <w:bottom w:val="nil"/>
              <w:right w:val="nil"/>
            </w:tcBorders>
            <w:vAlign w:val="bottom"/>
          </w:tcPr>
          <w:p w14:paraId="69C4ED2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2CA030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AE2D69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B4E6D4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AC2957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45AFD3C8" w14:textId="77777777" w:rsidTr="007236C2">
        <w:trPr>
          <w:trHeight w:val="240"/>
          <w:jc w:val="center"/>
        </w:trPr>
        <w:tc>
          <w:tcPr>
            <w:tcW w:w="2017" w:type="dxa"/>
            <w:tcBorders>
              <w:top w:val="nil"/>
              <w:left w:val="nil"/>
              <w:bottom w:val="nil"/>
              <w:right w:val="nil"/>
            </w:tcBorders>
            <w:vAlign w:val="bottom"/>
          </w:tcPr>
          <w:p w14:paraId="4B63D091" w14:textId="5C1F7204"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4F451F32" w14:textId="2892708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0.457596</w:t>
            </w:r>
          </w:p>
        </w:tc>
        <w:tc>
          <w:tcPr>
            <w:tcW w:w="2415" w:type="dxa"/>
            <w:gridSpan w:val="2"/>
            <w:tcBorders>
              <w:top w:val="nil"/>
              <w:left w:val="nil"/>
              <w:bottom w:val="nil"/>
              <w:right w:val="nil"/>
            </w:tcBorders>
            <w:vAlign w:val="bottom"/>
          </w:tcPr>
          <w:p w14:paraId="29CA96CF"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Mean dependent variable</w:t>
            </w:r>
          </w:p>
        </w:tc>
        <w:tc>
          <w:tcPr>
            <w:tcW w:w="997" w:type="dxa"/>
            <w:tcBorders>
              <w:top w:val="nil"/>
              <w:left w:val="nil"/>
              <w:bottom w:val="nil"/>
              <w:right w:val="nil"/>
            </w:tcBorders>
            <w:vAlign w:val="bottom"/>
          </w:tcPr>
          <w:p w14:paraId="5C084E47" w14:textId="14F44E14"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0.010054</w:t>
            </w:r>
          </w:p>
        </w:tc>
      </w:tr>
      <w:tr w:rsidR="00385C9F" w:rsidRPr="001D48C3" w14:paraId="0B765FCC" w14:textId="77777777" w:rsidTr="007236C2">
        <w:trPr>
          <w:trHeight w:val="240"/>
          <w:jc w:val="center"/>
        </w:trPr>
        <w:tc>
          <w:tcPr>
            <w:tcW w:w="2017" w:type="dxa"/>
            <w:tcBorders>
              <w:top w:val="nil"/>
              <w:left w:val="nil"/>
              <w:bottom w:val="nil"/>
              <w:right w:val="nil"/>
            </w:tcBorders>
            <w:vAlign w:val="bottom"/>
          </w:tcPr>
          <w:p w14:paraId="055C7F45" w14:textId="0B26128C"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Adjusted 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488B24DA" w14:textId="7B6416F9"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0.457596</w:t>
            </w:r>
          </w:p>
        </w:tc>
        <w:tc>
          <w:tcPr>
            <w:tcW w:w="2415" w:type="dxa"/>
            <w:gridSpan w:val="2"/>
            <w:tcBorders>
              <w:top w:val="nil"/>
              <w:left w:val="nil"/>
              <w:bottom w:val="nil"/>
              <w:right w:val="nil"/>
            </w:tcBorders>
            <w:vAlign w:val="bottom"/>
          </w:tcPr>
          <w:p w14:paraId="1D118E2C"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S.D. dependent variable</w:t>
            </w:r>
          </w:p>
        </w:tc>
        <w:tc>
          <w:tcPr>
            <w:tcW w:w="997" w:type="dxa"/>
            <w:tcBorders>
              <w:top w:val="nil"/>
              <w:left w:val="nil"/>
              <w:bottom w:val="nil"/>
              <w:right w:val="nil"/>
            </w:tcBorders>
            <w:vAlign w:val="bottom"/>
          </w:tcPr>
          <w:p w14:paraId="4587F2B2" w14:textId="49D25A20"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1.080988</w:t>
            </w:r>
          </w:p>
        </w:tc>
      </w:tr>
      <w:tr w:rsidR="00385C9F" w:rsidRPr="001D48C3" w14:paraId="1C3A904C" w14:textId="77777777" w:rsidTr="007236C2">
        <w:trPr>
          <w:trHeight w:val="240"/>
          <w:jc w:val="center"/>
        </w:trPr>
        <w:tc>
          <w:tcPr>
            <w:tcW w:w="2017" w:type="dxa"/>
            <w:tcBorders>
              <w:top w:val="nil"/>
              <w:left w:val="nil"/>
              <w:bottom w:val="nil"/>
              <w:right w:val="nil"/>
            </w:tcBorders>
            <w:vAlign w:val="bottom"/>
          </w:tcPr>
          <w:p w14:paraId="5745D360"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S.E. of regression</w:t>
            </w:r>
          </w:p>
        </w:tc>
        <w:tc>
          <w:tcPr>
            <w:tcW w:w="1103" w:type="dxa"/>
            <w:tcBorders>
              <w:top w:val="nil"/>
              <w:left w:val="nil"/>
              <w:bottom w:val="nil"/>
              <w:right w:val="nil"/>
            </w:tcBorders>
            <w:vAlign w:val="bottom"/>
          </w:tcPr>
          <w:p w14:paraId="2CCAE18B" w14:textId="25D84748"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0.796127</w:t>
            </w:r>
          </w:p>
        </w:tc>
        <w:tc>
          <w:tcPr>
            <w:tcW w:w="2415" w:type="dxa"/>
            <w:gridSpan w:val="2"/>
            <w:tcBorders>
              <w:top w:val="nil"/>
              <w:left w:val="nil"/>
              <w:bottom w:val="nil"/>
              <w:right w:val="nil"/>
            </w:tcBorders>
            <w:vAlign w:val="bottom"/>
          </w:tcPr>
          <w:p w14:paraId="7E3B58E6"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Akaike info criterion</w:t>
            </w:r>
          </w:p>
        </w:tc>
        <w:tc>
          <w:tcPr>
            <w:tcW w:w="997" w:type="dxa"/>
            <w:tcBorders>
              <w:top w:val="nil"/>
              <w:left w:val="nil"/>
              <w:bottom w:val="nil"/>
              <w:right w:val="nil"/>
            </w:tcBorders>
            <w:vAlign w:val="bottom"/>
          </w:tcPr>
          <w:p w14:paraId="45CE73BA" w14:textId="75335DD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2.388902</w:t>
            </w:r>
          </w:p>
        </w:tc>
      </w:tr>
      <w:tr w:rsidR="00385C9F" w:rsidRPr="001D48C3" w14:paraId="5ADF5A60" w14:textId="77777777" w:rsidTr="007236C2">
        <w:trPr>
          <w:trHeight w:val="240"/>
          <w:jc w:val="center"/>
        </w:trPr>
        <w:tc>
          <w:tcPr>
            <w:tcW w:w="2017" w:type="dxa"/>
            <w:tcBorders>
              <w:top w:val="nil"/>
              <w:left w:val="nil"/>
              <w:bottom w:val="nil"/>
              <w:right w:val="nil"/>
            </w:tcBorders>
            <w:vAlign w:val="bottom"/>
          </w:tcPr>
          <w:p w14:paraId="0DBE7267"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Sum squared residuals</w:t>
            </w:r>
          </w:p>
        </w:tc>
        <w:tc>
          <w:tcPr>
            <w:tcW w:w="1103" w:type="dxa"/>
            <w:tcBorders>
              <w:top w:val="nil"/>
              <w:left w:val="nil"/>
              <w:bottom w:val="nil"/>
              <w:right w:val="nil"/>
            </w:tcBorders>
            <w:vAlign w:val="bottom"/>
          </w:tcPr>
          <w:p w14:paraId="5E379522" w14:textId="4EA3BBE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89.36840</w:t>
            </w:r>
          </w:p>
        </w:tc>
        <w:tc>
          <w:tcPr>
            <w:tcW w:w="2415" w:type="dxa"/>
            <w:gridSpan w:val="2"/>
            <w:tcBorders>
              <w:top w:val="nil"/>
              <w:left w:val="nil"/>
              <w:bottom w:val="nil"/>
              <w:right w:val="nil"/>
            </w:tcBorders>
            <w:vAlign w:val="bottom"/>
          </w:tcPr>
          <w:p w14:paraId="156130A4"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Schwarz criterion</w:t>
            </w:r>
          </w:p>
        </w:tc>
        <w:tc>
          <w:tcPr>
            <w:tcW w:w="997" w:type="dxa"/>
            <w:tcBorders>
              <w:top w:val="nil"/>
              <w:left w:val="nil"/>
              <w:bottom w:val="nil"/>
              <w:right w:val="nil"/>
            </w:tcBorders>
            <w:vAlign w:val="bottom"/>
          </w:tcPr>
          <w:p w14:paraId="4C93BDA6" w14:textId="7A6D3D33"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2.409717</w:t>
            </w:r>
          </w:p>
        </w:tc>
      </w:tr>
      <w:tr w:rsidR="00385C9F" w:rsidRPr="001D48C3" w14:paraId="3C635635" w14:textId="77777777" w:rsidTr="007236C2">
        <w:trPr>
          <w:trHeight w:val="240"/>
          <w:jc w:val="center"/>
        </w:trPr>
        <w:tc>
          <w:tcPr>
            <w:tcW w:w="2017" w:type="dxa"/>
            <w:tcBorders>
              <w:top w:val="nil"/>
              <w:left w:val="nil"/>
              <w:bottom w:val="nil"/>
              <w:right w:val="nil"/>
            </w:tcBorders>
            <w:vAlign w:val="bottom"/>
          </w:tcPr>
          <w:p w14:paraId="459B033F"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Log likelihood</w:t>
            </w:r>
          </w:p>
        </w:tc>
        <w:tc>
          <w:tcPr>
            <w:tcW w:w="1103" w:type="dxa"/>
            <w:tcBorders>
              <w:top w:val="nil"/>
              <w:left w:val="nil"/>
              <w:bottom w:val="nil"/>
              <w:right w:val="nil"/>
            </w:tcBorders>
            <w:vAlign w:val="bottom"/>
          </w:tcPr>
          <w:p w14:paraId="66D850B7" w14:textId="4004B0AA"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168.6120</w:t>
            </w:r>
          </w:p>
        </w:tc>
        <w:tc>
          <w:tcPr>
            <w:tcW w:w="2415" w:type="dxa"/>
            <w:gridSpan w:val="2"/>
            <w:tcBorders>
              <w:top w:val="nil"/>
              <w:left w:val="nil"/>
              <w:bottom w:val="nil"/>
              <w:right w:val="nil"/>
            </w:tcBorders>
            <w:vAlign w:val="bottom"/>
          </w:tcPr>
          <w:p w14:paraId="139D6B9A" w14:textId="32986F6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Hannan</w:t>
            </w:r>
            <w:r w:rsidR="001D5BF5">
              <w:rPr>
                <w:rFonts w:ascii="Arial" w:hAnsi="Arial" w:cs="Arial"/>
                <w:color w:val="000000"/>
                <w:sz w:val="18"/>
                <w:szCs w:val="18"/>
              </w:rPr>
              <w:noBreakHyphen/>
            </w:r>
            <w:r w:rsidRPr="001D48C3">
              <w:rPr>
                <w:rFonts w:ascii="Arial" w:hAnsi="Arial" w:cs="Arial"/>
                <w:color w:val="000000"/>
                <w:sz w:val="18"/>
                <w:szCs w:val="18"/>
              </w:rPr>
              <w:t>Quinn criterion.</w:t>
            </w:r>
          </w:p>
        </w:tc>
        <w:tc>
          <w:tcPr>
            <w:tcW w:w="997" w:type="dxa"/>
            <w:tcBorders>
              <w:top w:val="nil"/>
              <w:left w:val="nil"/>
              <w:bottom w:val="nil"/>
              <w:right w:val="nil"/>
            </w:tcBorders>
            <w:vAlign w:val="bottom"/>
          </w:tcPr>
          <w:p w14:paraId="1935B4BC" w14:textId="48C04846"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2.397360</w:t>
            </w:r>
          </w:p>
        </w:tc>
      </w:tr>
      <w:tr w:rsidR="00385C9F" w:rsidRPr="001D48C3" w14:paraId="7C642C93" w14:textId="77777777" w:rsidTr="007236C2">
        <w:trPr>
          <w:trHeight w:val="240"/>
          <w:jc w:val="center"/>
        </w:trPr>
        <w:tc>
          <w:tcPr>
            <w:tcW w:w="2017" w:type="dxa"/>
            <w:tcBorders>
              <w:top w:val="nil"/>
              <w:left w:val="nil"/>
              <w:bottom w:val="nil"/>
              <w:right w:val="nil"/>
            </w:tcBorders>
            <w:vAlign w:val="bottom"/>
          </w:tcPr>
          <w:p w14:paraId="49EEF4C9" w14:textId="37C7B056"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Durbin</w:t>
            </w:r>
            <w:r w:rsidR="001D5BF5">
              <w:rPr>
                <w:rFonts w:ascii="Arial" w:hAnsi="Arial" w:cs="Arial"/>
                <w:color w:val="000000"/>
                <w:sz w:val="18"/>
                <w:szCs w:val="18"/>
              </w:rPr>
              <w:noBreakHyphen/>
            </w:r>
            <w:r w:rsidRPr="001D48C3">
              <w:rPr>
                <w:rFonts w:ascii="Arial" w:hAnsi="Arial" w:cs="Arial"/>
                <w:color w:val="000000"/>
                <w:sz w:val="18"/>
                <w:szCs w:val="18"/>
              </w:rPr>
              <w:t>Watson statistic</w:t>
            </w:r>
          </w:p>
        </w:tc>
        <w:tc>
          <w:tcPr>
            <w:tcW w:w="1103" w:type="dxa"/>
            <w:tcBorders>
              <w:top w:val="nil"/>
              <w:left w:val="nil"/>
              <w:bottom w:val="nil"/>
              <w:right w:val="nil"/>
            </w:tcBorders>
            <w:vAlign w:val="bottom"/>
          </w:tcPr>
          <w:p w14:paraId="6F31B26F" w14:textId="13A171B6"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1.916896</w:t>
            </w:r>
          </w:p>
        </w:tc>
        <w:tc>
          <w:tcPr>
            <w:tcW w:w="1207" w:type="dxa"/>
            <w:tcBorders>
              <w:top w:val="nil"/>
              <w:left w:val="nil"/>
              <w:bottom w:val="nil"/>
              <w:right w:val="nil"/>
            </w:tcBorders>
            <w:vAlign w:val="bottom"/>
          </w:tcPr>
          <w:p w14:paraId="60975059"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27F2421F"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13DF664C"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r>
      <w:tr w:rsidR="007236C2" w:rsidRPr="001D48C3" w14:paraId="104596D8" w14:textId="77777777" w:rsidTr="007236C2">
        <w:trPr>
          <w:trHeight w:hRule="exact" w:val="96"/>
          <w:jc w:val="center"/>
        </w:trPr>
        <w:tc>
          <w:tcPr>
            <w:tcW w:w="2017" w:type="dxa"/>
            <w:tcBorders>
              <w:top w:val="nil"/>
              <w:left w:val="nil"/>
              <w:bottom w:val="double" w:sz="6" w:space="0" w:color="auto"/>
              <w:right w:val="nil"/>
            </w:tcBorders>
            <w:vAlign w:val="bottom"/>
          </w:tcPr>
          <w:p w14:paraId="2A0F01B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1CC2463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40C794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D96908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434950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72D3F8D2" w14:textId="77777777" w:rsidTr="007236C2">
        <w:trPr>
          <w:trHeight w:hRule="exact" w:val="144"/>
          <w:jc w:val="center"/>
        </w:trPr>
        <w:tc>
          <w:tcPr>
            <w:tcW w:w="2017" w:type="dxa"/>
            <w:tcBorders>
              <w:top w:val="nil"/>
              <w:left w:val="nil"/>
              <w:bottom w:val="nil"/>
              <w:right w:val="nil"/>
            </w:tcBorders>
            <w:vAlign w:val="bottom"/>
          </w:tcPr>
          <w:p w14:paraId="58B88E8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B406B0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1575F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009277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A3C354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bl>
    <w:p w14:paraId="48FD81A8" w14:textId="77777777" w:rsidR="007236C2" w:rsidRPr="001D48C3" w:rsidRDefault="007236C2" w:rsidP="007236C2"/>
    <w:p w14:paraId="4063DD21" w14:textId="77777777" w:rsidR="007236C2" w:rsidRPr="001D48C3" w:rsidRDefault="007236C2" w:rsidP="00D3016A">
      <w:pPr>
        <w:pStyle w:val="Heading3"/>
      </w:pPr>
      <w:r w:rsidRPr="001D48C3">
        <w:t>Wage and price parameters</w:t>
      </w:r>
    </w:p>
    <w:p w14:paraId="5226FF52" w14:textId="77777777" w:rsidR="007236C2" w:rsidRPr="001D48C3" w:rsidRDefault="007236C2" w:rsidP="002128FD">
      <w:pPr>
        <w:pStyle w:val="Heading4"/>
        <w:rPr>
          <w:lang w:eastAsia="en-AU"/>
        </w:rPr>
      </w:pPr>
      <w:r w:rsidRPr="001D48C3">
        <w:rPr>
          <w:lang w:eastAsia="en-AU"/>
        </w:rPr>
        <w:t>Wages and trend unemployment rate</w:t>
      </w:r>
    </w:p>
    <w:p w14:paraId="3D1DDFCE" w14:textId="6608992C" w:rsidR="007236C2" w:rsidRPr="001D48C3" w:rsidRDefault="007236C2" w:rsidP="001D48C3">
      <w:pPr>
        <w:spacing w:after="120"/>
      </w:pPr>
      <w:r w:rsidRPr="001D48C3">
        <w:t>Following Gruen, Pagan and Thompson (1999) the wages model is estimated using maximum likelihood under the assumption that over history the trend unemployment rate is a unit root process (i.e., equal to a lag of itself plus a stationary error). Estimates of the model</w:t>
      </w:r>
      <w:r w:rsidR="001D5BF5">
        <w:t>’</w:t>
      </w:r>
      <w:r w:rsidRPr="001D48C3">
        <w:t>s parameters</w:t>
      </w:r>
      <w:r w:rsidR="0077725A" w:rsidRPr="001D48C3">
        <w:t xml:space="preserve"> (equation </w:t>
      </w:r>
      <w:r w:rsidR="00ED39D5" w:rsidRPr="001D48C3">
        <w:t>28</w:t>
      </w:r>
      <w:r w:rsidR="00BA7BD2" w:rsidRPr="001D48C3">
        <w:t>)</w:t>
      </w:r>
      <w:r w:rsidRPr="001D48C3">
        <w:t xml:space="preserve"> are reported in </w:t>
      </w:r>
      <w:r w:rsidR="00741D3F" w:rsidRPr="001D48C3">
        <w:fldChar w:fldCharType="begin"/>
      </w:r>
      <w:r w:rsidR="00741D3F" w:rsidRPr="001D48C3">
        <w:instrText xml:space="preserve"> REF _Ref386193527 \h </w:instrText>
      </w:r>
      <w:r w:rsidR="00741D3F" w:rsidRPr="001D48C3">
        <w:fldChar w:fldCharType="separate"/>
      </w:r>
      <w:r w:rsidR="00C65A3D" w:rsidRPr="001D48C3">
        <w:t xml:space="preserve">Table </w:t>
      </w:r>
      <w:r w:rsidR="00C65A3D">
        <w:rPr>
          <w:noProof/>
        </w:rPr>
        <w:t>3</w:t>
      </w:r>
      <w:r w:rsidR="00741D3F" w:rsidRPr="001D48C3">
        <w:fldChar w:fldCharType="end"/>
      </w:r>
      <w:r w:rsidRPr="001D48C3">
        <w:t xml:space="preserve">. With the exception of </w:t>
      </w:r>
      <w:r w:rsidRPr="001D48C3">
        <w:rPr>
          <w:rFonts w:ascii="Symbol" w:hAnsi="Symbol"/>
        </w:rPr>
        <w:t></w:t>
      </w:r>
      <w:r w:rsidR="00ED39D5" w:rsidRPr="001D48C3">
        <w:rPr>
          <w:rFonts w:ascii="Symbol" w:hAnsi="Symbol"/>
        </w:rPr>
        <w:t></w:t>
      </w:r>
      <w:r w:rsidR="00ED39D5" w:rsidRPr="001D48C3">
        <w:t>(</w:t>
      </w:r>
      <w:r w:rsidR="007863B2" w:rsidRPr="001D48C3">
        <w:t>i.e., the coefficient for the unemployment gap term)</w:t>
      </w:r>
      <w:r w:rsidRPr="001D48C3">
        <w:rPr>
          <w:rFonts w:ascii="Symbol" w:hAnsi="Symbol"/>
        </w:rPr>
        <w:t></w:t>
      </w:r>
      <w:r w:rsidRPr="001D48C3">
        <w:t xml:space="preserve"> the estimates are broadly similar to Gruen, et al. </w:t>
      </w:r>
      <w:r w:rsidR="00111E57" w:rsidRPr="001D48C3">
        <w:t>Direct comparison is not possible for</w:t>
      </w:r>
      <w:r w:rsidR="00163675" w:rsidRPr="001D48C3">
        <w:t xml:space="preserve"> </w:t>
      </w:r>
      <w:r w:rsidR="00163675" w:rsidRPr="001D48C3">
        <w:rPr>
          <w:rFonts w:ascii="Symbol" w:hAnsi="Symbol"/>
        </w:rPr>
        <w:t></w:t>
      </w:r>
      <w:r w:rsidR="00111E57" w:rsidRPr="001D48C3">
        <w:rPr>
          <w:rFonts w:ascii="Symbol" w:hAnsi="Symbol"/>
        </w:rPr>
        <w:t></w:t>
      </w:r>
      <w:r w:rsidR="00111E57" w:rsidRPr="001D48C3">
        <w:t xml:space="preserve">because </w:t>
      </w:r>
      <w:r w:rsidR="00163675" w:rsidRPr="001D48C3">
        <w:t>Gruen</w:t>
      </w:r>
      <w:r w:rsidR="00111E57" w:rsidRPr="001D48C3">
        <w:t> </w:t>
      </w:r>
      <w:r w:rsidR="00163675" w:rsidRPr="001D48C3">
        <w:t>et</w:t>
      </w:r>
      <w:r w:rsidR="00111E57" w:rsidRPr="001D48C3">
        <w:t> </w:t>
      </w:r>
      <w:r w:rsidR="00163675" w:rsidRPr="001D48C3">
        <w:t xml:space="preserve">al. </w:t>
      </w:r>
      <w:r w:rsidR="00872C41" w:rsidRPr="001D48C3">
        <w:t>include two labour market slackness terms</w:t>
      </w:r>
      <w:r w:rsidR="00111E57" w:rsidRPr="001D48C3">
        <w:t xml:space="preserve"> </w:t>
      </w:r>
      <w:r w:rsidR="00872C41" w:rsidRPr="001D48C3">
        <w:t xml:space="preserve">which are consolidated </w:t>
      </w:r>
      <w:r w:rsidR="00111E57" w:rsidRPr="001D48C3">
        <w:t xml:space="preserve">into one term </w:t>
      </w:r>
      <w:r w:rsidR="00872C41" w:rsidRPr="001D48C3">
        <w:t>in equation (</w:t>
      </w:r>
      <w:r w:rsidR="00ED39D5" w:rsidRPr="001D48C3">
        <w:t>28</w:t>
      </w:r>
      <w:r w:rsidR="00872C41" w:rsidRPr="001D48C3">
        <w:t>)</w:t>
      </w:r>
      <w:r w:rsidR="00163675" w:rsidRPr="001D48C3">
        <w:t>.</w:t>
      </w:r>
    </w:p>
    <w:p w14:paraId="3E1FB4B5" w14:textId="77777777" w:rsidR="007236C2" w:rsidRPr="001D48C3" w:rsidRDefault="007236C2" w:rsidP="001D48C3">
      <w:pPr>
        <w:pStyle w:val="TableHeading1"/>
      </w:pPr>
      <w:bookmarkStart w:id="5" w:name="_Ref386193527"/>
      <w:r w:rsidRPr="001D48C3">
        <w:t xml:space="preserve">Table </w:t>
      </w:r>
      <w:r w:rsidR="00711272">
        <w:fldChar w:fldCharType="begin"/>
      </w:r>
      <w:r w:rsidR="00711272">
        <w:instrText xml:space="preserve"> SEQ Table \* ARABIC </w:instrText>
      </w:r>
      <w:r w:rsidR="00711272">
        <w:fldChar w:fldCharType="separate"/>
      </w:r>
      <w:r w:rsidR="00C65A3D">
        <w:rPr>
          <w:noProof/>
        </w:rPr>
        <w:t>3</w:t>
      </w:r>
      <w:r w:rsidR="00711272">
        <w:rPr>
          <w:noProof/>
        </w:rPr>
        <w:fldChar w:fldCharType="end"/>
      </w:r>
      <w:bookmarkEnd w:id="5"/>
      <w:r w:rsidRPr="001D48C3">
        <w:t>: Wage Phillips curve model</w:t>
      </w:r>
    </w:p>
    <w:tbl>
      <w:tblPr>
        <w:tblW w:w="0" w:type="auto"/>
        <w:jc w:val="center"/>
        <w:tblInd w:w="30" w:type="dxa"/>
        <w:tblLayout w:type="fixed"/>
        <w:tblCellMar>
          <w:left w:w="0" w:type="dxa"/>
          <w:right w:w="0" w:type="dxa"/>
        </w:tblCellMar>
        <w:tblLook w:val="0000" w:firstRow="0" w:lastRow="0" w:firstColumn="0" w:lastColumn="0" w:noHBand="0" w:noVBand="0"/>
      </w:tblPr>
      <w:tblGrid>
        <w:gridCol w:w="1912"/>
        <w:gridCol w:w="1208"/>
        <w:gridCol w:w="1207"/>
        <w:gridCol w:w="1208"/>
        <w:gridCol w:w="997"/>
      </w:tblGrid>
      <w:tr w:rsidR="007236C2" w:rsidRPr="001D48C3" w14:paraId="7048EB1F" w14:textId="77777777" w:rsidTr="007236C2">
        <w:trPr>
          <w:trHeight w:val="240"/>
          <w:jc w:val="center"/>
        </w:trPr>
        <w:tc>
          <w:tcPr>
            <w:tcW w:w="5535" w:type="dxa"/>
            <w:gridSpan w:val="4"/>
            <w:tcBorders>
              <w:top w:val="nil"/>
              <w:left w:val="nil"/>
              <w:bottom w:val="nil"/>
              <w:right w:val="nil"/>
            </w:tcBorders>
            <w:vAlign w:val="bottom"/>
          </w:tcPr>
          <w:p w14:paraId="6164598C" w14:textId="77777777" w:rsidR="007236C2" w:rsidRPr="001D48C3" w:rsidRDefault="007236C2"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Method: Maximum likelihood</w:t>
            </w:r>
          </w:p>
        </w:tc>
        <w:tc>
          <w:tcPr>
            <w:tcW w:w="997" w:type="dxa"/>
            <w:tcBorders>
              <w:top w:val="nil"/>
              <w:left w:val="nil"/>
              <w:bottom w:val="nil"/>
              <w:right w:val="nil"/>
            </w:tcBorders>
            <w:vAlign w:val="bottom"/>
          </w:tcPr>
          <w:p w14:paraId="61CC28D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044323C1" w14:textId="77777777" w:rsidTr="007236C2">
        <w:trPr>
          <w:trHeight w:val="240"/>
          <w:jc w:val="center"/>
        </w:trPr>
        <w:tc>
          <w:tcPr>
            <w:tcW w:w="4327" w:type="dxa"/>
            <w:gridSpan w:val="3"/>
            <w:tcBorders>
              <w:top w:val="nil"/>
              <w:left w:val="nil"/>
              <w:bottom w:val="nil"/>
              <w:right w:val="nil"/>
            </w:tcBorders>
            <w:vAlign w:val="bottom"/>
          </w:tcPr>
          <w:p w14:paraId="3870E49F" w14:textId="30ACEB40" w:rsidR="007236C2" w:rsidRPr="001D48C3" w:rsidRDefault="007236C2" w:rsidP="00385C9F">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 xml:space="preserve">Sample: 1968Q1 </w:t>
            </w:r>
            <w:r w:rsidR="00385C9F" w:rsidRPr="001D48C3">
              <w:rPr>
                <w:rFonts w:ascii="Arial" w:hAnsi="Arial" w:cs="Arial"/>
                <w:color w:val="000000"/>
                <w:sz w:val="18"/>
                <w:szCs w:val="18"/>
              </w:rPr>
              <w:t>2013Q</w:t>
            </w:r>
            <w:r w:rsidR="00385C9F">
              <w:rPr>
                <w:rFonts w:ascii="Arial" w:hAnsi="Arial" w:cs="Arial"/>
                <w:color w:val="000000"/>
                <w:sz w:val="18"/>
                <w:szCs w:val="18"/>
              </w:rPr>
              <w:t>4</w:t>
            </w:r>
          </w:p>
        </w:tc>
        <w:tc>
          <w:tcPr>
            <w:tcW w:w="1208" w:type="dxa"/>
            <w:tcBorders>
              <w:top w:val="nil"/>
              <w:left w:val="nil"/>
              <w:bottom w:val="nil"/>
              <w:right w:val="nil"/>
            </w:tcBorders>
            <w:vAlign w:val="bottom"/>
          </w:tcPr>
          <w:p w14:paraId="5DFF71D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BC01DC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596AB4BB" w14:textId="77777777" w:rsidTr="007236C2">
        <w:trPr>
          <w:trHeight w:hRule="exact" w:val="96"/>
          <w:jc w:val="center"/>
        </w:trPr>
        <w:tc>
          <w:tcPr>
            <w:tcW w:w="1912" w:type="dxa"/>
            <w:tcBorders>
              <w:top w:val="nil"/>
              <w:left w:val="nil"/>
              <w:bottom w:val="double" w:sz="6" w:space="2" w:color="auto"/>
              <w:right w:val="nil"/>
            </w:tcBorders>
            <w:vAlign w:val="bottom"/>
          </w:tcPr>
          <w:p w14:paraId="1EBF490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B6167F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2DD263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9102FD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D087B3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68C8ADF3" w14:textId="77777777" w:rsidTr="007236C2">
        <w:trPr>
          <w:trHeight w:hRule="exact" w:val="144"/>
          <w:jc w:val="center"/>
        </w:trPr>
        <w:tc>
          <w:tcPr>
            <w:tcW w:w="1912" w:type="dxa"/>
            <w:tcBorders>
              <w:top w:val="nil"/>
              <w:left w:val="nil"/>
              <w:bottom w:val="nil"/>
              <w:right w:val="nil"/>
            </w:tcBorders>
            <w:vAlign w:val="bottom"/>
          </w:tcPr>
          <w:p w14:paraId="6DA4510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3C59DB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F40280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B4D923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9EF9F8D"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21BD369A" w14:textId="77777777" w:rsidTr="007236C2">
        <w:trPr>
          <w:trHeight w:val="240"/>
          <w:jc w:val="center"/>
        </w:trPr>
        <w:tc>
          <w:tcPr>
            <w:tcW w:w="1912" w:type="dxa"/>
            <w:tcBorders>
              <w:top w:val="nil"/>
              <w:left w:val="nil"/>
              <w:bottom w:val="nil"/>
              <w:right w:val="nil"/>
            </w:tcBorders>
            <w:vAlign w:val="bottom"/>
          </w:tcPr>
          <w:p w14:paraId="75C6394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090A8F1"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Coefficient</w:t>
            </w:r>
          </w:p>
        </w:tc>
        <w:tc>
          <w:tcPr>
            <w:tcW w:w="1207" w:type="dxa"/>
            <w:tcBorders>
              <w:top w:val="nil"/>
              <w:left w:val="nil"/>
              <w:bottom w:val="nil"/>
              <w:right w:val="nil"/>
            </w:tcBorders>
            <w:vAlign w:val="bottom"/>
          </w:tcPr>
          <w:p w14:paraId="58AE1651"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Std. Error</w:t>
            </w:r>
          </w:p>
        </w:tc>
        <w:tc>
          <w:tcPr>
            <w:tcW w:w="1208" w:type="dxa"/>
            <w:tcBorders>
              <w:top w:val="nil"/>
              <w:left w:val="nil"/>
              <w:bottom w:val="nil"/>
              <w:right w:val="nil"/>
            </w:tcBorders>
            <w:vAlign w:val="bottom"/>
          </w:tcPr>
          <w:p w14:paraId="299B096E" w14:textId="4CDABFB1"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z</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997" w:type="dxa"/>
            <w:tcBorders>
              <w:top w:val="nil"/>
              <w:left w:val="nil"/>
              <w:bottom w:val="nil"/>
              <w:right w:val="nil"/>
            </w:tcBorders>
            <w:vAlign w:val="bottom"/>
          </w:tcPr>
          <w:p w14:paraId="3BC578EF" w14:textId="06139F36"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Prob</w:t>
            </w:r>
            <w:r w:rsidR="00073551" w:rsidRPr="001D48C3">
              <w:rPr>
                <w:rFonts w:ascii="Arial" w:hAnsi="Arial" w:cs="Arial"/>
                <w:color w:val="000000"/>
                <w:sz w:val="18"/>
                <w:szCs w:val="18"/>
              </w:rPr>
              <w:t xml:space="preserve">. </w:t>
            </w:r>
          </w:p>
        </w:tc>
      </w:tr>
      <w:tr w:rsidR="007236C2" w:rsidRPr="001D48C3" w14:paraId="6FBDD1FA" w14:textId="77777777" w:rsidTr="007236C2">
        <w:trPr>
          <w:trHeight w:hRule="exact" w:val="96"/>
          <w:jc w:val="center"/>
        </w:trPr>
        <w:tc>
          <w:tcPr>
            <w:tcW w:w="1912" w:type="dxa"/>
            <w:tcBorders>
              <w:top w:val="nil"/>
              <w:left w:val="nil"/>
              <w:bottom w:val="double" w:sz="6" w:space="2" w:color="auto"/>
              <w:right w:val="nil"/>
            </w:tcBorders>
            <w:vAlign w:val="bottom"/>
          </w:tcPr>
          <w:p w14:paraId="72E47A4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232CDF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213E84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0C2AF1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7C3707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34026588" w14:textId="77777777" w:rsidTr="007236C2">
        <w:trPr>
          <w:trHeight w:hRule="exact" w:val="144"/>
          <w:jc w:val="center"/>
        </w:trPr>
        <w:tc>
          <w:tcPr>
            <w:tcW w:w="1912" w:type="dxa"/>
            <w:tcBorders>
              <w:top w:val="nil"/>
              <w:left w:val="nil"/>
              <w:bottom w:val="nil"/>
              <w:right w:val="nil"/>
            </w:tcBorders>
            <w:vAlign w:val="bottom"/>
          </w:tcPr>
          <w:p w14:paraId="602D5AB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6FE9B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0B2190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B76707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9C5600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0A434FE3" w14:textId="77777777" w:rsidTr="007236C2">
        <w:trPr>
          <w:trHeight w:val="240"/>
          <w:jc w:val="center"/>
        </w:trPr>
        <w:tc>
          <w:tcPr>
            <w:tcW w:w="1912" w:type="dxa"/>
            <w:tcBorders>
              <w:top w:val="nil"/>
              <w:left w:val="nil"/>
              <w:bottom w:val="nil"/>
              <w:right w:val="nil"/>
            </w:tcBorders>
            <w:vAlign w:val="bottom"/>
          </w:tcPr>
          <w:p w14:paraId="5AFDDC95"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208" w:type="dxa"/>
            <w:tcBorders>
              <w:top w:val="nil"/>
              <w:left w:val="nil"/>
              <w:bottom w:val="nil"/>
              <w:right w:val="nil"/>
            </w:tcBorders>
            <w:vAlign w:val="bottom"/>
          </w:tcPr>
          <w:p w14:paraId="58043996" w14:textId="74C9B33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0.146793</w:t>
            </w:r>
          </w:p>
        </w:tc>
        <w:tc>
          <w:tcPr>
            <w:tcW w:w="1207" w:type="dxa"/>
            <w:tcBorders>
              <w:top w:val="nil"/>
              <w:left w:val="nil"/>
              <w:bottom w:val="nil"/>
              <w:right w:val="nil"/>
            </w:tcBorders>
            <w:vAlign w:val="bottom"/>
          </w:tcPr>
          <w:p w14:paraId="35221A31" w14:textId="78EE25D1"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0.055804</w:t>
            </w:r>
          </w:p>
        </w:tc>
        <w:tc>
          <w:tcPr>
            <w:tcW w:w="1208" w:type="dxa"/>
            <w:tcBorders>
              <w:top w:val="nil"/>
              <w:left w:val="nil"/>
              <w:bottom w:val="nil"/>
              <w:right w:val="nil"/>
            </w:tcBorders>
            <w:vAlign w:val="bottom"/>
          </w:tcPr>
          <w:p w14:paraId="78539673" w14:textId="632DAA1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2.630509</w:t>
            </w:r>
          </w:p>
        </w:tc>
        <w:tc>
          <w:tcPr>
            <w:tcW w:w="997" w:type="dxa"/>
            <w:tcBorders>
              <w:top w:val="nil"/>
              <w:left w:val="nil"/>
              <w:bottom w:val="nil"/>
              <w:right w:val="nil"/>
            </w:tcBorders>
            <w:vAlign w:val="bottom"/>
          </w:tcPr>
          <w:p w14:paraId="39BFB303" w14:textId="69E385E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0.0085</w:t>
            </w:r>
          </w:p>
        </w:tc>
      </w:tr>
      <w:tr w:rsidR="00385C9F" w:rsidRPr="001D48C3" w14:paraId="2CDD1226" w14:textId="77777777" w:rsidTr="007236C2">
        <w:trPr>
          <w:trHeight w:val="240"/>
          <w:jc w:val="center"/>
        </w:trPr>
        <w:tc>
          <w:tcPr>
            <w:tcW w:w="1912" w:type="dxa"/>
            <w:tcBorders>
              <w:top w:val="nil"/>
              <w:left w:val="nil"/>
              <w:bottom w:val="nil"/>
              <w:right w:val="nil"/>
            </w:tcBorders>
            <w:vAlign w:val="bottom"/>
          </w:tcPr>
          <w:p w14:paraId="535C6A1E"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p>
        </w:tc>
        <w:tc>
          <w:tcPr>
            <w:tcW w:w="1208" w:type="dxa"/>
            <w:tcBorders>
              <w:top w:val="nil"/>
              <w:left w:val="nil"/>
              <w:bottom w:val="nil"/>
              <w:right w:val="nil"/>
            </w:tcBorders>
            <w:vAlign w:val="bottom"/>
          </w:tcPr>
          <w:p w14:paraId="1B5FD2A6" w14:textId="2712D3E3"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0.026233</w:t>
            </w:r>
          </w:p>
        </w:tc>
        <w:tc>
          <w:tcPr>
            <w:tcW w:w="1207" w:type="dxa"/>
            <w:tcBorders>
              <w:top w:val="nil"/>
              <w:left w:val="nil"/>
              <w:bottom w:val="nil"/>
              <w:right w:val="nil"/>
            </w:tcBorders>
            <w:vAlign w:val="bottom"/>
          </w:tcPr>
          <w:p w14:paraId="4620E44D" w14:textId="076C996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0.006759</w:t>
            </w:r>
          </w:p>
        </w:tc>
        <w:tc>
          <w:tcPr>
            <w:tcW w:w="1208" w:type="dxa"/>
            <w:tcBorders>
              <w:top w:val="nil"/>
              <w:left w:val="nil"/>
              <w:bottom w:val="nil"/>
              <w:right w:val="nil"/>
            </w:tcBorders>
            <w:vAlign w:val="bottom"/>
          </w:tcPr>
          <w:p w14:paraId="76E32813" w14:textId="6CB98003"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3.881133</w:t>
            </w:r>
          </w:p>
        </w:tc>
        <w:tc>
          <w:tcPr>
            <w:tcW w:w="997" w:type="dxa"/>
            <w:tcBorders>
              <w:top w:val="nil"/>
              <w:left w:val="nil"/>
              <w:bottom w:val="nil"/>
              <w:right w:val="nil"/>
            </w:tcBorders>
            <w:vAlign w:val="bottom"/>
          </w:tcPr>
          <w:p w14:paraId="03855366" w14:textId="5CA9632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0.0001</w:t>
            </w:r>
          </w:p>
        </w:tc>
      </w:tr>
      <w:tr w:rsidR="00385C9F" w:rsidRPr="001D48C3" w14:paraId="0523DCB2" w14:textId="77777777" w:rsidTr="007236C2">
        <w:trPr>
          <w:trHeight w:val="240"/>
          <w:jc w:val="center"/>
        </w:trPr>
        <w:tc>
          <w:tcPr>
            <w:tcW w:w="1912" w:type="dxa"/>
            <w:tcBorders>
              <w:top w:val="nil"/>
              <w:left w:val="nil"/>
              <w:bottom w:val="nil"/>
              <w:right w:val="nil"/>
            </w:tcBorders>
            <w:vAlign w:val="bottom"/>
          </w:tcPr>
          <w:p w14:paraId="380E0815"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208" w:type="dxa"/>
            <w:tcBorders>
              <w:top w:val="nil"/>
              <w:left w:val="nil"/>
              <w:bottom w:val="nil"/>
              <w:right w:val="nil"/>
            </w:tcBorders>
            <w:vAlign w:val="bottom"/>
          </w:tcPr>
          <w:p w14:paraId="0D58E406" w14:textId="694E75D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0.604794</w:t>
            </w:r>
          </w:p>
        </w:tc>
        <w:tc>
          <w:tcPr>
            <w:tcW w:w="1207" w:type="dxa"/>
            <w:tcBorders>
              <w:top w:val="nil"/>
              <w:left w:val="nil"/>
              <w:bottom w:val="nil"/>
              <w:right w:val="nil"/>
            </w:tcBorders>
            <w:vAlign w:val="bottom"/>
          </w:tcPr>
          <w:p w14:paraId="26307E37" w14:textId="020C61D3"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0.036764</w:t>
            </w:r>
          </w:p>
        </w:tc>
        <w:tc>
          <w:tcPr>
            <w:tcW w:w="1208" w:type="dxa"/>
            <w:tcBorders>
              <w:top w:val="nil"/>
              <w:left w:val="nil"/>
              <w:bottom w:val="nil"/>
              <w:right w:val="nil"/>
            </w:tcBorders>
            <w:vAlign w:val="bottom"/>
          </w:tcPr>
          <w:p w14:paraId="2D66DB20" w14:textId="30119A8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16.45050</w:t>
            </w:r>
          </w:p>
        </w:tc>
        <w:tc>
          <w:tcPr>
            <w:tcW w:w="997" w:type="dxa"/>
            <w:tcBorders>
              <w:top w:val="nil"/>
              <w:left w:val="nil"/>
              <w:bottom w:val="nil"/>
              <w:right w:val="nil"/>
            </w:tcBorders>
            <w:vAlign w:val="bottom"/>
          </w:tcPr>
          <w:p w14:paraId="5DF1179D" w14:textId="2E61A302"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65D724C5" w14:textId="77777777" w:rsidTr="007236C2">
        <w:trPr>
          <w:trHeight w:val="240"/>
          <w:jc w:val="center"/>
        </w:trPr>
        <w:tc>
          <w:tcPr>
            <w:tcW w:w="1912" w:type="dxa"/>
            <w:tcBorders>
              <w:top w:val="nil"/>
              <w:left w:val="nil"/>
              <w:bottom w:val="nil"/>
              <w:right w:val="nil"/>
            </w:tcBorders>
            <w:vAlign w:val="bottom"/>
          </w:tcPr>
          <w:p w14:paraId="4BD65967"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208" w:type="dxa"/>
            <w:tcBorders>
              <w:top w:val="nil"/>
              <w:left w:val="nil"/>
              <w:bottom w:val="nil"/>
              <w:right w:val="nil"/>
            </w:tcBorders>
            <w:vAlign w:val="bottom"/>
          </w:tcPr>
          <w:p w14:paraId="79309BDB" w14:textId="72B7412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0.148349</w:t>
            </w:r>
          </w:p>
        </w:tc>
        <w:tc>
          <w:tcPr>
            <w:tcW w:w="1207" w:type="dxa"/>
            <w:tcBorders>
              <w:top w:val="nil"/>
              <w:left w:val="nil"/>
              <w:bottom w:val="nil"/>
              <w:right w:val="nil"/>
            </w:tcBorders>
            <w:vAlign w:val="bottom"/>
          </w:tcPr>
          <w:p w14:paraId="58D81FC9" w14:textId="7B4BE65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0.010844</w:t>
            </w:r>
          </w:p>
        </w:tc>
        <w:tc>
          <w:tcPr>
            <w:tcW w:w="1208" w:type="dxa"/>
            <w:tcBorders>
              <w:top w:val="nil"/>
              <w:left w:val="nil"/>
              <w:bottom w:val="nil"/>
              <w:right w:val="nil"/>
            </w:tcBorders>
            <w:vAlign w:val="bottom"/>
          </w:tcPr>
          <w:p w14:paraId="76484C31" w14:textId="29D14C3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13.68033</w:t>
            </w:r>
          </w:p>
        </w:tc>
        <w:tc>
          <w:tcPr>
            <w:tcW w:w="997" w:type="dxa"/>
            <w:tcBorders>
              <w:top w:val="nil"/>
              <w:left w:val="nil"/>
              <w:bottom w:val="nil"/>
              <w:right w:val="nil"/>
            </w:tcBorders>
            <w:vAlign w:val="bottom"/>
          </w:tcPr>
          <w:p w14:paraId="4E9FDC66" w14:textId="5D667A8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7691B9B5" w14:textId="77777777" w:rsidTr="007236C2">
        <w:trPr>
          <w:trHeight w:val="240"/>
          <w:jc w:val="center"/>
        </w:trPr>
        <w:tc>
          <w:tcPr>
            <w:tcW w:w="1912" w:type="dxa"/>
            <w:tcBorders>
              <w:top w:val="nil"/>
              <w:left w:val="nil"/>
              <w:bottom w:val="nil"/>
              <w:right w:val="nil"/>
            </w:tcBorders>
            <w:vAlign w:val="bottom"/>
          </w:tcPr>
          <w:p w14:paraId="09AA931B" w14:textId="77777777" w:rsidR="00385C9F" w:rsidRPr="001D48C3" w:rsidRDefault="00385C9F" w:rsidP="007236C2">
            <w:pPr>
              <w:autoSpaceDE w:val="0"/>
              <w:autoSpaceDN w:val="0"/>
              <w:adjustRightInd w:val="0"/>
              <w:spacing w:after="0" w:line="240" w:lineRule="auto"/>
              <w:jc w:val="center"/>
              <w:rPr>
                <w:rFonts w:ascii="Symbol" w:eastAsia="Times New Roman" w:hAnsi="Symbol" w:cs="Arial"/>
                <w:color w:val="000000"/>
                <w:sz w:val="18"/>
                <w:szCs w:val="18"/>
                <w:lang w:eastAsia="en-AU"/>
              </w:rPr>
            </w:pPr>
            <w:r w:rsidRPr="001D48C3">
              <w:rPr>
                <w:rFonts w:ascii="Symbol" w:eastAsia="Times New Roman" w:hAnsi="Symbol" w:cs="Arial"/>
                <w:color w:val="000000"/>
                <w:sz w:val="18"/>
                <w:szCs w:val="18"/>
                <w:lang w:eastAsia="en-AU"/>
              </w:rPr>
              <w:t></w:t>
            </w:r>
            <w:r w:rsidRPr="001D48C3">
              <w:rPr>
                <w:rFonts w:asciiTheme="minorHAnsi" w:eastAsia="Times New Roman" w:hAnsiTheme="minorHAnsi" w:cstheme="minorHAnsi"/>
                <w:color w:val="000000"/>
                <w:sz w:val="18"/>
                <w:szCs w:val="18"/>
                <w:vertAlign w:val="subscript"/>
                <w:lang w:eastAsia="en-AU"/>
              </w:rPr>
              <w:t>w</w:t>
            </w:r>
          </w:p>
        </w:tc>
        <w:tc>
          <w:tcPr>
            <w:tcW w:w="1208" w:type="dxa"/>
            <w:tcBorders>
              <w:top w:val="nil"/>
              <w:left w:val="nil"/>
              <w:bottom w:val="nil"/>
              <w:right w:val="nil"/>
            </w:tcBorders>
            <w:vAlign w:val="bottom"/>
          </w:tcPr>
          <w:p w14:paraId="6FDA17BF" w14:textId="3F7779F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0.013885</w:t>
            </w:r>
          </w:p>
        </w:tc>
        <w:tc>
          <w:tcPr>
            <w:tcW w:w="1207" w:type="dxa"/>
            <w:tcBorders>
              <w:top w:val="nil"/>
              <w:left w:val="nil"/>
              <w:bottom w:val="nil"/>
              <w:right w:val="nil"/>
            </w:tcBorders>
            <w:vAlign w:val="bottom"/>
          </w:tcPr>
          <w:p w14:paraId="1CCDE948" w14:textId="658FBCC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0.000737</w:t>
            </w:r>
          </w:p>
        </w:tc>
        <w:tc>
          <w:tcPr>
            <w:tcW w:w="1208" w:type="dxa"/>
            <w:tcBorders>
              <w:top w:val="nil"/>
              <w:left w:val="nil"/>
              <w:bottom w:val="nil"/>
              <w:right w:val="nil"/>
            </w:tcBorders>
            <w:vAlign w:val="bottom"/>
          </w:tcPr>
          <w:p w14:paraId="227B4267" w14:textId="564AA870"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18.84565</w:t>
            </w:r>
          </w:p>
        </w:tc>
        <w:tc>
          <w:tcPr>
            <w:tcW w:w="997" w:type="dxa"/>
            <w:tcBorders>
              <w:top w:val="nil"/>
              <w:left w:val="nil"/>
              <w:bottom w:val="nil"/>
              <w:right w:val="nil"/>
            </w:tcBorders>
            <w:vAlign w:val="bottom"/>
          </w:tcPr>
          <w:p w14:paraId="6DAF3BB0" w14:textId="092CB1B9"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7236C2" w:rsidRPr="001D48C3" w14:paraId="53E9F0DC" w14:textId="77777777" w:rsidTr="007236C2">
        <w:trPr>
          <w:trHeight w:hRule="exact" w:val="96"/>
          <w:jc w:val="center"/>
        </w:trPr>
        <w:tc>
          <w:tcPr>
            <w:tcW w:w="1912" w:type="dxa"/>
            <w:tcBorders>
              <w:top w:val="nil"/>
              <w:left w:val="nil"/>
              <w:bottom w:val="double" w:sz="6" w:space="2" w:color="auto"/>
              <w:right w:val="nil"/>
            </w:tcBorders>
            <w:vAlign w:val="bottom"/>
          </w:tcPr>
          <w:p w14:paraId="4F8E4ED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172575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A8E171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81805A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C9D91A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2A0C6C0" w14:textId="77777777" w:rsidTr="007236C2">
        <w:trPr>
          <w:trHeight w:hRule="exact" w:val="144"/>
          <w:jc w:val="center"/>
        </w:trPr>
        <w:tc>
          <w:tcPr>
            <w:tcW w:w="1912" w:type="dxa"/>
            <w:tcBorders>
              <w:top w:val="nil"/>
              <w:left w:val="nil"/>
              <w:bottom w:val="nil"/>
              <w:right w:val="nil"/>
            </w:tcBorders>
            <w:vAlign w:val="bottom"/>
          </w:tcPr>
          <w:p w14:paraId="50CA1A6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4641C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FB7FC0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04BAF1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289FC4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10EF7FD7" w14:textId="77777777" w:rsidTr="007236C2">
        <w:trPr>
          <w:trHeight w:val="240"/>
          <w:jc w:val="center"/>
        </w:trPr>
        <w:tc>
          <w:tcPr>
            <w:tcW w:w="1912" w:type="dxa"/>
            <w:tcBorders>
              <w:top w:val="nil"/>
              <w:left w:val="nil"/>
              <w:bottom w:val="nil"/>
              <w:right w:val="nil"/>
            </w:tcBorders>
            <w:vAlign w:val="bottom"/>
          </w:tcPr>
          <w:p w14:paraId="2CF5971B"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Log likelihood</w:t>
            </w:r>
          </w:p>
        </w:tc>
        <w:tc>
          <w:tcPr>
            <w:tcW w:w="1208" w:type="dxa"/>
            <w:tcBorders>
              <w:top w:val="nil"/>
              <w:left w:val="nil"/>
              <w:bottom w:val="nil"/>
              <w:right w:val="nil"/>
            </w:tcBorders>
            <w:vAlign w:val="bottom"/>
          </w:tcPr>
          <w:p w14:paraId="64B2BB1A" w14:textId="12AAC24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507.5548</w:t>
            </w:r>
          </w:p>
        </w:tc>
        <w:tc>
          <w:tcPr>
            <w:tcW w:w="2415" w:type="dxa"/>
            <w:gridSpan w:val="2"/>
            <w:tcBorders>
              <w:top w:val="nil"/>
              <w:left w:val="nil"/>
              <w:bottom w:val="nil"/>
              <w:right w:val="nil"/>
            </w:tcBorders>
            <w:vAlign w:val="bottom"/>
          </w:tcPr>
          <w:p w14:paraId="37C0BB8C"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Akaike info criterion</w:t>
            </w:r>
          </w:p>
        </w:tc>
        <w:tc>
          <w:tcPr>
            <w:tcW w:w="997" w:type="dxa"/>
            <w:tcBorders>
              <w:top w:val="nil"/>
              <w:left w:val="nil"/>
              <w:bottom w:val="nil"/>
              <w:right w:val="nil"/>
            </w:tcBorders>
            <w:vAlign w:val="bottom"/>
          </w:tcPr>
          <w:p w14:paraId="77E7C14C" w14:textId="3B94BFA3"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5.462553</w:t>
            </w:r>
          </w:p>
        </w:tc>
      </w:tr>
      <w:tr w:rsidR="00385C9F" w:rsidRPr="001D48C3" w14:paraId="1DDD8FC9" w14:textId="77777777" w:rsidTr="007236C2">
        <w:trPr>
          <w:trHeight w:val="240"/>
          <w:jc w:val="center"/>
        </w:trPr>
        <w:tc>
          <w:tcPr>
            <w:tcW w:w="1912" w:type="dxa"/>
            <w:tcBorders>
              <w:top w:val="nil"/>
              <w:left w:val="nil"/>
              <w:bottom w:val="nil"/>
              <w:right w:val="nil"/>
            </w:tcBorders>
            <w:vAlign w:val="bottom"/>
          </w:tcPr>
          <w:p w14:paraId="4F081EEA"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Parameters</w:t>
            </w:r>
          </w:p>
        </w:tc>
        <w:tc>
          <w:tcPr>
            <w:tcW w:w="1208" w:type="dxa"/>
            <w:tcBorders>
              <w:top w:val="nil"/>
              <w:left w:val="nil"/>
              <w:bottom w:val="nil"/>
              <w:right w:val="nil"/>
            </w:tcBorders>
            <w:vAlign w:val="bottom"/>
          </w:tcPr>
          <w:p w14:paraId="0596DF9D" w14:textId="07291BB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5</w:t>
            </w:r>
          </w:p>
        </w:tc>
        <w:tc>
          <w:tcPr>
            <w:tcW w:w="2415" w:type="dxa"/>
            <w:gridSpan w:val="2"/>
            <w:tcBorders>
              <w:top w:val="nil"/>
              <w:left w:val="nil"/>
              <w:bottom w:val="nil"/>
              <w:right w:val="nil"/>
            </w:tcBorders>
            <w:vAlign w:val="bottom"/>
          </w:tcPr>
          <w:p w14:paraId="080D2D08"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Schwarz criterion</w:t>
            </w:r>
          </w:p>
        </w:tc>
        <w:tc>
          <w:tcPr>
            <w:tcW w:w="997" w:type="dxa"/>
            <w:tcBorders>
              <w:top w:val="nil"/>
              <w:left w:val="nil"/>
              <w:bottom w:val="nil"/>
              <w:right w:val="nil"/>
            </w:tcBorders>
            <w:vAlign w:val="bottom"/>
          </w:tcPr>
          <w:p w14:paraId="7C8538B6" w14:textId="188F1CAB"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5.375190</w:t>
            </w:r>
          </w:p>
        </w:tc>
      </w:tr>
      <w:tr w:rsidR="00385C9F" w:rsidRPr="001D48C3" w14:paraId="5AA9E270" w14:textId="77777777" w:rsidTr="007236C2">
        <w:trPr>
          <w:trHeight w:val="240"/>
          <w:jc w:val="center"/>
        </w:trPr>
        <w:tc>
          <w:tcPr>
            <w:tcW w:w="1912" w:type="dxa"/>
            <w:tcBorders>
              <w:top w:val="nil"/>
              <w:left w:val="nil"/>
              <w:bottom w:val="nil"/>
              <w:right w:val="nil"/>
            </w:tcBorders>
            <w:vAlign w:val="bottom"/>
          </w:tcPr>
          <w:p w14:paraId="57E1DAA0"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Diffuse priors</w:t>
            </w:r>
          </w:p>
        </w:tc>
        <w:tc>
          <w:tcPr>
            <w:tcW w:w="1208" w:type="dxa"/>
            <w:tcBorders>
              <w:top w:val="nil"/>
              <w:left w:val="nil"/>
              <w:bottom w:val="nil"/>
              <w:right w:val="nil"/>
            </w:tcBorders>
            <w:vAlign w:val="bottom"/>
          </w:tcPr>
          <w:p w14:paraId="0E8D0658" w14:textId="7E0C0F00"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w:t>
            </w:r>
          </w:p>
        </w:tc>
        <w:tc>
          <w:tcPr>
            <w:tcW w:w="2415" w:type="dxa"/>
            <w:gridSpan w:val="2"/>
            <w:tcBorders>
              <w:top w:val="nil"/>
              <w:left w:val="nil"/>
              <w:bottom w:val="nil"/>
              <w:right w:val="nil"/>
            </w:tcBorders>
            <w:vAlign w:val="bottom"/>
          </w:tcPr>
          <w:p w14:paraId="533905C1" w14:textId="7D92F4EE"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Hannan</w:t>
            </w:r>
            <w:r w:rsidR="001D5BF5">
              <w:rPr>
                <w:rFonts w:ascii="Arial" w:hAnsi="Arial" w:cs="Arial"/>
                <w:color w:val="000000"/>
                <w:sz w:val="18"/>
                <w:szCs w:val="18"/>
              </w:rPr>
              <w:noBreakHyphen/>
            </w:r>
            <w:r w:rsidRPr="001D48C3">
              <w:rPr>
                <w:rFonts w:ascii="Arial" w:hAnsi="Arial" w:cs="Arial"/>
                <w:color w:val="000000"/>
                <w:sz w:val="18"/>
                <w:szCs w:val="18"/>
              </w:rPr>
              <w:t>Quinn criterion</w:t>
            </w:r>
          </w:p>
        </w:tc>
        <w:tc>
          <w:tcPr>
            <w:tcW w:w="997" w:type="dxa"/>
            <w:tcBorders>
              <w:top w:val="nil"/>
              <w:left w:val="nil"/>
              <w:bottom w:val="nil"/>
              <w:right w:val="nil"/>
            </w:tcBorders>
            <w:vAlign w:val="bottom"/>
          </w:tcPr>
          <w:p w14:paraId="4D9EA843" w14:textId="57258679"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5.427144</w:t>
            </w:r>
          </w:p>
        </w:tc>
      </w:tr>
      <w:tr w:rsidR="007236C2" w:rsidRPr="001D48C3" w14:paraId="71ACF028" w14:textId="77777777" w:rsidTr="007236C2">
        <w:trPr>
          <w:trHeight w:hRule="exact" w:val="96"/>
          <w:jc w:val="center"/>
        </w:trPr>
        <w:tc>
          <w:tcPr>
            <w:tcW w:w="1912" w:type="dxa"/>
            <w:tcBorders>
              <w:top w:val="nil"/>
              <w:left w:val="nil"/>
              <w:bottom w:val="double" w:sz="6" w:space="0" w:color="auto"/>
              <w:right w:val="nil"/>
            </w:tcBorders>
            <w:vAlign w:val="bottom"/>
          </w:tcPr>
          <w:p w14:paraId="4260C33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152D2D3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012C0E2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1227444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77369C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32D2D07E" w14:textId="77777777" w:rsidTr="007236C2">
        <w:trPr>
          <w:trHeight w:hRule="exact" w:val="144"/>
          <w:jc w:val="center"/>
        </w:trPr>
        <w:tc>
          <w:tcPr>
            <w:tcW w:w="1912" w:type="dxa"/>
            <w:tcBorders>
              <w:top w:val="nil"/>
              <w:left w:val="nil"/>
              <w:bottom w:val="nil"/>
              <w:right w:val="nil"/>
            </w:tcBorders>
            <w:vAlign w:val="bottom"/>
          </w:tcPr>
          <w:p w14:paraId="12862B5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038E9E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271A86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D55F8F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63DFAF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bl>
    <w:p w14:paraId="5C955307" w14:textId="77777777" w:rsidR="007236C2" w:rsidRPr="001D48C3" w:rsidRDefault="007236C2" w:rsidP="007236C2"/>
    <w:p w14:paraId="679F2AE7" w14:textId="767A3BFA" w:rsidR="007236C2" w:rsidRPr="001D48C3" w:rsidRDefault="00845293" w:rsidP="001D5BF5">
      <w:pPr>
        <w:spacing w:after="60"/>
      </w:pPr>
      <w:r w:rsidRPr="001D48C3">
        <w:lastRenderedPageBreak/>
        <w:fldChar w:fldCharType="begin"/>
      </w:r>
      <w:r w:rsidRPr="001D48C3">
        <w:instrText xml:space="preserve"> REF _Ref386193667 \h </w:instrText>
      </w:r>
      <w:r w:rsidRPr="001D48C3">
        <w:fldChar w:fldCharType="separate"/>
      </w:r>
      <w:r w:rsidR="00C65A3D" w:rsidRPr="001D48C3">
        <w:t xml:space="preserve">Chart </w:t>
      </w:r>
      <w:r w:rsidR="00C65A3D">
        <w:rPr>
          <w:noProof/>
        </w:rPr>
        <w:t>3</w:t>
      </w:r>
      <w:r w:rsidRPr="001D48C3">
        <w:fldChar w:fldCharType="end"/>
      </w:r>
      <w:r w:rsidR="007236C2" w:rsidRPr="001D48C3">
        <w:t xml:space="preserve"> plots the time varying NAIRU generated by the Phillips curve model, which is virtually identical to estimates reported by Lim, Dixon and Tsiaplias (2009) using a similar framework and estimation strategy.</w:t>
      </w:r>
    </w:p>
    <w:p w14:paraId="603DC751" w14:textId="77777777" w:rsidR="007236C2" w:rsidRPr="001D48C3" w:rsidRDefault="007236C2" w:rsidP="001D48C3">
      <w:pPr>
        <w:pStyle w:val="CaptionHeading1"/>
      </w:pPr>
      <w:bookmarkStart w:id="6" w:name="_Ref386193667"/>
      <w:r w:rsidRPr="001D48C3">
        <w:t xml:space="preserve">Chart </w:t>
      </w:r>
      <w:r w:rsidR="00711272">
        <w:fldChar w:fldCharType="begin"/>
      </w:r>
      <w:r w:rsidR="00711272">
        <w:instrText xml:space="preserve"> SEQ Chart \* ARABIC </w:instrText>
      </w:r>
      <w:r w:rsidR="00711272">
        <w:fldChar w:fldCharType="separate"/>
      </w:r>
      <w:r w:rsidR="00C65A3D">
        <w:rPr>
          <w:noProof/>
        </w:rPr>
        <w:t>3</w:t>
      </w:r>
      <w:r w:rsidR="00711272">
        <w:rPr>
          <w:noProof/>
        </w:rPr>
        <w:fldChar w:fldCharType="end"/>
      </w:r>
      <w:bookmarkEnd w:id="6"/>
      <w:r w:rsidRPr="001D48C3">
        <w:t>: NAIRU versus actual unemployment rate</w:t>
      </w:r>
    </w:p>
    <w:p w14:paraId="3D1461BE" w14:textId="7F2049FF" w:rsidR="007236C2" w:rsidRDefault="00EC5040" w:rsidP="00237D09">
      <w:pPr>
        <w:pStyle w:val="ChartGraphic"/>
      </w:pPr>
      <w:r w:rsidRPr="001D48C3">
        <w:object w:dxaOrig="8775" w:dyaOrig="3961" w14:anchorId="4987F480">
          <v:shape id="_x0000_i1084" type="#_x0000_t75" alt="This chart plots the historical unemployment rate and the Non-Accelerating Inflation Rate of Unemployment (NAIRU) from December 1968 to December 2013. The unemployment rate is currently above the NAIRU." style="width:438.75pt;height:198.75pt" o:ole="">
            <v:imagedata r:id="rId139" o:title=""/>
          </v:shape>
          <o:OLEObject Type="Link" ProgID="Excel.Sheet.12" ShapeID="_x0000_i1084" DrawAspect="Content" r:id="rId140" UpdateMode="Always">
            <o:LinkType>EnhancedMetaFile</o:LinkType>
            <o:LockedField>false</o:LockedField>
            <o:FieldCodes>\* MERGEFORMAT</o:FieldCodes>
          </o:OLEObject>
        </w:object>
      </w:r>
    </w:p>
    <w:p w14:paraId="683AE5B3" w14:textId="77777777" w:rsidR="00237D09" w:rsidRPr="00237D09" w:rsidRDefault="00237D09" w:rsidP="00237D09">
      <w:pPr>
        <w:pStyle w:val="SingleParagraph"/>
        <w:rPr>
          <w:lang w:eastAsia="en-AU"/>
        </w:rPr>
      </w:pPr>
    </w:p>
    <w:p w14:paraId="51F67E67" w14:textId="77777777" w:rsidR="007236C2" w:rsidRPr="001D48C3" w:rsidRDefault="007236C2" w:rsidP="002128FD">
      <w:pPr>
        <w:pStyle w:val="Heading4"/>
      </w:pPr>
      <w:r w:rsidRPr="001D48C3">
        <w:t>Real exchange rate</w:t>
      </w:r>
    </w:p>
    <w:p w14:paraId="785C2116" w14:textId="77777777" w:rsidR="007236C2" w:rsidRPr="001D48C3" w:rsidRDefault="007236C2" w:rsidP="007236C2">
      <w:r w:rsidRPr="001D48C3">
        <w:t xml:space="preserve">The real exchange rate rule is calibrated using the parameter estimates reported by Gruen and Wilkinson (1994), which implies </w:t>
      </w:r>
      <w:r w:rsidRPr="001D48C3">
        <w:rPr>
          <w:rFonts w:ascii="Symbol" w:hAnsi="Symbol"/>
        </w:rPr>
        <w:t></w:t>
      </w:r>
      <w:r w:rsidRPr="001D48C3">
        <w:t xml:space="preserve"> = 0.6. Following the </w:t>
      </w:r>
      <w:r w:rsidR="00C37129" w:rsidRPr="001D48C3">
        <w:t xml:space="preserve">2010 </w:t>
      </w:r>
      <w:r w:rsidRPr="001D48C3">
        <w:t>IGR convention</w:t>
      </w:r>
      <w:r w:rsidR="00C37129" w:rsidRPr="001D48C3">
        <w:t>,</w:t>
      </w:r>
      <w:r w:rsidRPr="001D48C3">
        <w:t xml:space="preserve"> the expected rate of inflation </w:t>
      </w:r>
      <w:r w:rsidR="007618C3" w:rsidRPr="001D48C3">
        <w:t>(</w:t>
      </w:r>
      <w:r w:rsidR="007618C3" w:rsidRPr="001D48C3">
        <w:rPr>
          <w:rFonts w:ascii="Symbol" w:hAnsi="Symbol"/>
        </w:rPr>
        <w:t></w:t>
      </w:r>
      <w:r w:rsidR="00741D3F" w:rsidRPr="001D48C3">
        <w:rPr>
          <w:vertAlign w:val="subscript"/>
        </w:rPr>
        <w:t>t</w:t>
      </w:r>
      <w:r w:rsidR="007618C3" w:rsidRPr="001D48C3">
        <w:rPr>
          <w:vertAlign w:val="superscript"/>
        </w:rPr>
        <w:t>e</w:t>
      </w:r>
      <w:r w:rsidR="007618C3" w:rsidRPr="001D48C3">
        <w:t xml:space="preserve">) </w:t>
      </w:r>
      <w:r w:rsidRPr="001D48C3">
        <w:t>over the projection period is set at the middle of the Reserve Bank of Australia inflation target band at 2.5 per cent.</w:t>
      </w:r>
    </w:p>
    <w:p w14:paraId="016E49DF" w14:textId="77777777" w:rsidR="007236C2" w:rsidRPr="001D48C3" w:rsidRDefault="007236C2" w:rsidP="002128FD">
      <w:pPr>
        <w:pStyle w:val="Heading4"/>
      </w:pPr>
      <w:r w:rsidRPr="001D48C3">
        <w:t>Import volume</w:t>
      </w:r>
      <w:r w:rsidR="004D5614" w:rsidRPr="001D48C3">
        <w:t>s</w:t>
      </w:r>
    </w:p>
    <w:p w14:paraId="7F14B3AB" w14:textId="41E7CDB0" w:rsidR="007236C2" w:rsidRPr="001D48C3" w:rsidRDefault="00741D3F" w:rsidP="00237D09">
      <w:pPr>
        <w:spacing w:after="120"/>
      </w:pPr>
      <w:r w:rsidRPr="001D48C3">
        <w:fldChar w:fldCharType="begin"/>
      </w:r>
      <w:r w:rsidRPr="001D48C3">
        <w:instrText xml:space="preserve"> REF _Ref386193545 \h  \* MERGEFORMAT </w:instrText>
      </w:r>
      <w:r w:rsidRPr="001D48C3">
        <w:fldChar w:fldCharType="separate"/>
      </w:r>
      <w:r w:rsidR="00C65A3D" w:rsidRPr="001D48C3">
        <w:t xml:space="preserve">Table </w:t>
      </w:r>
      <w:r w:rsidR="00C65A3D">
        <w:t>4</w:t>
      </w:r>
      <w:r w:rsidRPr="001D48C3">
        <w:fldChar w:fldCharType="end"/>
      </w:r>
      <w:r w:rsidR="007236C2" w:rsidRPr="001D48C3">
        <w:t xml:space="preserve"> report</w:t>
      </w:r>
      <w:r w:rsidR="00C37129" w:rsidRPr="001D48C3">
        <w:t>s</w:t>
      </w:r>
      <w:r w:rsidR="007236C2" w:rsidRPr="001D48C3">
        <w:t xml:space="preserve"> the parameter estimates for the imports volume model</w:t>
      </w:r>
      <w:r w:rsidR="0077725A" w:rsidRPr="001D48C3">
        <w:t xml:space="preserve"> (equation </w:t>
      </w:r>
      <w:r w:rsidR="00ED39D5" w:rsidRPr="001D48C3">
        <w:t>37</w:t>
      </w:r>
      <w:r w:rsidR="00163675" w:rsidRPr="001D48C3">
        <w:t>)</w:t>
      </w:r>
      <w:r w:rsidR="007236C2" w:rsidRPr="001D48C3">
        <w:t>. These results echo the disaggregated analysis of Beames and Kouparitsas (</w:t>
      </w:r>
      <w:r w:rsidR="00466A51" w:rsidRPr="001D48C3">
        <w:t>2013</w:t>
      </w:r>
      <w:r w:rsidR="007236C2" w:rsidRPr="001D48C3">
        <w:t xml:space="preserve">) in estimating a relatively low </w:t>
      </w:r>
      <w:r w:rsidR="00163675" w:rsidRPr="001D48C3">
        <w:t xml:space="preserve">price </w:t>
      </w:r>
      <w:r w:rsidR="007236C2" w:rsidRPr="001D48C3">
        <w:t xml:space="preserve">elasticity </w:t>
      </w:r>
      <w:r w:rsidR="00163675" w:rsidRPr="001D48C3">
        <w:t xml:space="preserve">for </w:t>
      </w:r>
      <w:r w:rsidR="007236C2" w:rsidRPr="001D48C3">
        <w:t xml:space="preserve">aggregate imported goods of around 0.42. </w:t>
      </w:r>
    </w:p>
    <w:p w14:paraId="583DA826" w14:textId="77777777" w:rsidR="007236C2" w:rsidRPr="001D48C3" w:rsidRDefault="007236C2" w:rsidP="001D48C3">
      <w:pPr>
        <w:pStyle w:val="TableHeading1"/>
        <w:rPr>
          <w:rFonts w:cs="Arial"/>
          <w:sz w:val="20"/>
          <w:szCs w:val="20"/>
          <w:lang w:eastAsia="en-AU"/>
        </w:rPr>
      </w:pPr>
      <w:bookmarkStart w:id="7" w:name="_Ref386193545"/>
      <w:r w:rsidRPr="001D48C3">
        <w:rPr>
          <w:lang w:eastAsia="en-AU"/>
        </w:rPr>
        <w:t xml:space="preserve">Table </w:t>
      </w:r>
      <w:r w:rsidRPr="001D48C3">
        <w:rPr>
          <w:lang w:eastAsia="en-AU"/>
        </w:rPr>
        <w:fldChar w:fldCharType="begin"/>
      </w:r>
      <w:r w:rsidRPr="001D48C3">
        <w:rPr>
          <w:lang w:eastAsia="en-AU"/>
        </w:rPr>
        <w:instrText xml:space="preserve"> SEQ Table \* ARABIC </w:instrText>
      </w:r>
      <w:r w:rsidRPr="001D48C3">
        <w:rPr>
          <w:lang w:eastAsia="en-AU"/>
        </w:rPr>
        <w:fldChar w:fldCharType="separate"/>
      </w:r>
      <w:r w:rsidR="00C65A3D">
        <w:rPr>
          <w:noProof/>
          <w:lang w:eastAsia="en-AU"/>
        </w:rPr>
        <w:t>4</w:t>
      </w:r>
      <w:r w:rsidRPr="001D48C3">
        <w:rPr>
          <w:lang w:eastAsia="en-AU"/>
        </w:rPr>
        <w:fldChar w:fldCharType="end"/>
      </w:r>
      <w:bookmarkEnd w:id="7"/>
      <w:r w:rsidRPr="001D48C3">
        <w:rPr>
          <w:lang w:eastAsia="en-AU"/>
        </w:rPr>
        <w:t>: Import volume</w:t>
      </w:r>
      <w:r w:rsidR="004D5614" w:rsidRPr="001D48C3">
        <w:rPr>
          <w:lang w:eastAsia="en-AU"/>
        </w:rPr>
        <w:t>s</w:t>
      </w:r>
      <w:r w:rsidRPr="001D48C3">
        <w:rPr>
          <w:lang w:eastAsia="en-AU"/>
        </w:rPr>
        <w:t xml:space="preserve"> model</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236C2" w:rsidRPr="001D48C3" w14:paraId="19ADCEBF" w14:textId="77777777" w:rsidTr="007236C2">
        <w:trPr>
          <w:trHeight w:val="240"/>
          <w:jc w:val="center"/>
        </w:trPr>
        <w:tc>
          <w:tcPr>
            <w:tcW w:w="4327" w:type="dxa"/>
            <w:gridSpan w:val="3"/>
            <w:tcBorders>
              <w:top w:val="nil"/>
              <w:left w:val="nil"/>
              <w:bottom w:val="nil"/>
              <w:right w:val="nil"/>
            </w:tcBorders>
            <w:vAlign w:val="bottom"/>
          </w:tcPr>
          <w:p w14:paraId="506896F1" w14:textId="77777777" w:rsidR="007236C2" w:rsidRPr="001D48C3" w:rsidRDefault="007236C2"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Method: Least Squares</w:t>
            </w:r>
          </w:p>
        </w:tc>
        <w:tc>
          <w:tcPr>
            <w:tcW w:w="1208" w:type="dxa"/>
            <w:tcBorders>
              <w:top w:val="nil"/>
              <w:left w:val="nil"/>
              <w:bottom w:val="nil"/>
              <w:right w:val="nil"/>
            </w:tcBorders>
            <w:vAlign w:val="bottom"/>
          </w:tcPr>
          <w:p w14:paraId="57736CE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2267D9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1CB6E9FE" w14:textId="77777777" w:rsidTr="007236C2">
        <w:trPr>
          <w:trHeight w:val="240"/>
          <w:jc w:val="center"/>
        </w:trPr>
        <w:tc>
          <w:tcPr>
            <w:tcW w:w="4327" w:type="dxa"/>
            <w:gridSpan w:val="3"/>
            <w:tcBorders>
              <w:top w:val="nil"/>
              <w:left w:val="nil"/>
              <w:bottom w:val="nil"/>
              <w:right w:val="nil"/>
            </w:tcBorders>
            <w:vAlign w:val="bottom"/>
          </w:tcPr>
          <w:p w14:paraId="3BE13FA5" w14:textId="0E8463B1" w:rsidR="007236C2" w:rsidRPr="001D48C3" w:rsidRDefault="007236C2" w:rsidP="00385C9F">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 xml:space="preserve">Sample: 1980Q2 </w:t>
            </w:r>
            <w:r w:rsidR="00385C9F" w:rsidRPr="001D48C3">
              <w:rPr>
                <w:rFonts w:ascii="Arial" w:hAnsi="Arial" w:cs="Arial"/>
                <w:color w:val="000000"/>
                <w:sz w:val="18"/>
                <w:szCs w:val="18"/>
              </w:rPr>
              <w:t>2013Q</w:t>
            </w:r>
            <w:r w:rsidR="00385C9F">
              <w:rPr>
                <w:rFonts w:ascii="Arial" w:hAnsi="Arial" w:cs="Arial"/>
                <w:color w:val="000000"/>
                <w:sz w:val="18"/>
                <w:szCs w:val="18"/>
              </w:rPr>
              <w:t>4</w:t>
            </w:r>
          </w:p>
        </w:tc>
        <w:tc>
          <w:tcPr>
            <w:tcW w:w="1208" w:type="dxa"/>
            <w:tcBorders>
              <w:top w:val="nil"/>
              <w:left w:val="nil"/>
              <w:bottom w:val="nil"/>
              <w:right w:val="nil"/>
            </w:tcBorders>
            <w:vAlign w:val="bottom"/>
          </w:tcPr>
          <w:p w14:paraId="4B5367A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9BC027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F048293" w14:textId="77777777" w:rsidTr="007236C2">
        <w:trPr>
          <w:trHeight w:val="240"/>
          <w:jc w:val="center"/>
        </w:trPr>
        <w:tc>
          <w:tcPr>
            <w:tcW w:w="4327" w:type="dxa"/>
            <w:gridSpan w:val="3"/>
            <w:tcBorders>
              <w:top w:val="nil"/>
              <w:left w:val="nil"/>
              <w:bottom w:val="nil"/>
              <w:right w:val="nil"/>
            </w:tcBorders>
            <w:vAlign w:val="bottom"/>
          </w:tcPr>
          <w:p w14:paraId="303B848D" w14:textId="77777777" w:rsidR="007236C2" w:rsidRPr="001D48C3" w:rsidRDefault="007236C2"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Included observations: 134</w:t>
            </w:r>
          </w:p>
        </w:tc>
        <w:tc>
          <w:tcPr>
            <w:tcW w:w="1208" w:type="dxa"/>
            <w:tcBorders>
              <w:top w:val="nil"/>
              <w:left w:val="nil"/>
              <w:bottom w:val="nil"/>
              <w:right w:val="nil"/>
            </w:tcBorders>
            <w:vAlign w:val="bottom"/>
          </w:tcPr>
          <w:p w14:paraId="7658CF7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81B010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C681F01" w14:textId="77777777" w:rsidTr="007236C2">
        <w:trPr>
          <w:trHeight w:hRule="exact" w:val="96"/>
          <w:jc w:val="center"/>
        </w:trPr>
        <w:tc>
          <w:tcPr>
            <w:tcW w:w="2017" w:type="dxa"/>
            <w:tcBorders>
              <w:top w:val="nil"/>
              <w:left w:val="nil"/>
              <w:bottom w:val="double" w:sz="6" w:space="2" w:color="auto"/>
              <w:right w:val="nil"/>
            </w:tcBorders>
            <w:vAlign w:val="bottom"/>
          </w:tcPr>
          <w:p w14:paraId="7B12315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3FBE50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18EBC5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BDD7F8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B71160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BB4BE61" w14:textId="77777777" w:rsidTr="007236C2">
        <w:trPr>
          <w:trHeight w:hRule="exact" w:val="144"/>
          <w:jc w:val="center"/>
        </w:trPr>
        <w:tc>
          <w:tcPr>
            <w:tcW w:w="2017" w:type="dxa"/>
            <w:tcBorders>
              <w:top w:val="nil"/>
              <w:left w:val="nil"/>
              <w:bottom w:val="nil"/>
              <w:right w:val="nil"/>
            </w:tcBorders>
            <w:vAlign w:val="bottom"/>
          </w:tcPr>
          <w:p w14:paraId="517A563C"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D4B12B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419C4E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BA4BF1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A44C7E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AEE5474" w14:textId="77777777" w:rsidTr="007236C2">
        <w:trPr>
          <w:trHeight w:val="240"/>
          <w:jc w:val="center"/>
        </w:trPr>
        <w:tc>
          <w:tcPr>
            <w:tcW w:w="2017" w:type="dxa"/>
            <w:tcBorders>
              <w:top w:val="nil"/>
              <w:left w:val="nil"/>
              <w:bottom w:val="nil"/>
              <w:right w:val="nil"/>
            </w:tcBorders>
            <w:vAlign w:val="bottom"/>
          </w:tcPr>
          <w:p w14:paraId="6FF87F8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B424F24"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Coefficient</w:t>
            </w:r>
          </w:p>
        </w:tc>
        <w:tc>
          <w:tcPr>
            <w:tcW w:w="1207" w:type="dxa"/>
            <w:tcBorders>
              <w:top w:val="nil"/>
              <w:left w:val="nil"/>
              <w:bottom w:val="nil"/>
              <w:right w:val="nil"/>
            </w:tcBorders>
            <w:vAlign w:val="bottom"/>
          </w:tcPr>
          <w:p w14:paraId="29E2E8C7" w14:textId="77777777"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Std. Error</w:t>
            </w:r>
          </w:p>
        </w:tc>
        <w:tc>
          <w:tcPr>
            <w:tcW w:w="1208" w:type="dxa"/>
            <w:tcBorders>
              <w:top w:val="nil"/>
              <w:left w:val="nil"/>
              <w:bottom w:val="nil"/>
              <w:right w:val="nil"/>
            </w:tcBorders>
            <w:vAlign w:val="bottom"/>
          </w:tcPr>
          <w:p w14:paraId="0108E5D3" w14:textId="2A185D04"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t</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997" w:type="dxa"/>
            <w:tcBorders>
              <w:top w:val="nil"/>
              <w:left w:val="nil"/>
              <w:bottom w:val="nil"/>
              <w:right w:val="nil"/>
            </w:tcBorders>
            <w:vAlign w:val="bottom"/>
          </w:tcPr>
          <w:p w14:paraId="4D6586B9" w14:textId="69EA07A1" w:rsidR="007236C2" w:rsidRPr="001D48C3" w:rsidRDefault="007236C2" w:rsidP="007236C2">
            <w:pPr>
              <w:autoSpaceDE w:val="0"/>
              <w:autoSpaceDN w:val="0"/>
              <w:adjustRightInd w:val="0"/>
              <w:spacing w:after="0" w:line="240" w:lineRule="auto"/>
              <w:ind w:right="10"/>
              <w:jc w:val="right"/>
              <w:rPr>
                <w:rFonts w:ascii="Arial" w:hAnsi="Arial" w:cs="Arial"/>
                <w:color w:val="000000"/>
                <w:sz w:val="18"/>
                <w:szCs w:val="18"/>
              </w:rPr>
            </w:pPr>
            <w:r w:rsidRPr="001D48C3">
              <w:rPr>
                <w:rFonts w:ascii="Arial" w:hAnsi="Arial" w:cs="Arial"/>
                <w:color w:val="000000"/>
                <w:sz w:val="18"/>
                <w:szCs w:val="18"/>
              </w:rPr>
              <w:t>Prob</w:t>
            </w:r>
            <w:r w:rsidR="00073551" w:rsidRPr="001D48C3">
              <w:rPr>
                <w:rFonts w:ascii="Arial" w:hAnsi="Arial" w:cs="Arial"/>
                <w:color w:val="000000"/>
                <w:sz w:val="18"/>
                <w:szCs w:val="18"/>
              </w:rPr>
              <w:t xml:space="preserve">. </w:t>
            </w:r>
          </w:p>
        </w:tc>
      </w:tr>
      <w:tr w:rsidR="007236C2" w:rsidRPr="001D48C3" w14:paraId="3849871C" w14:textId="77777777" w:rsidTr="007236C2">
        <w:trPr>
          <w:trHeight w:hRule="exact" w:val="96"/>
          <w:jc w:val="center"/>
        </w:trPr>
        <w:tc>
          <w:tcPr>
            <w:tcW w:w="2017" w:type="dxa"/>
            <w:tcBorders>
              <w:top w:val="nil"/>
              <w:left w:val="nil"/>
              <w:bottom w:val="double" w:sz="6" w:space="2" w:color="auto"/>
              <w:right w:val="nil"/>
            </w:tcBorders>
            <w:vAlign w:val="bottom"/>
          </w:tcPr>
          <w:p w14:paraId="342AC50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7D4693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AD44E9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DD9111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B716557"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59B7DC16" w14:textId="77777777" w:rsidTr="007236C2">
        <w:trPr>
          <w:trHeight w:hRule="exact" w:val="144"/>
          <w:jc w:val="center"/>
        </w:trPr>
        <w:tc>
          <w:tcPr>
            <w:tcW w:w="2017" w:type="dxa"/>
            <w:tcBorders>
              <w:top w:val="nil"/>
              <w:left w:val="nil"/>
              <w:bottom w:val="nil"/>
              <w:right w:val="nil"/>
            </w:tcBorders>
            <w:vAlign w:val="bottom"/>
          </w:tcPr>
          <w:p w14:paraId="77D1021A"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84AA3D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27C6DC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A8D7DF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125FF1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64709CD1" w14:textId="77777777" w:rsidTr="007236C2">
        <w:trPr>
          <w:trHeight w:val="240"/>
          <w:jc w:val="center"/>
        </w:trPr>
        <w:tc>
          <w:tcPr>
            <w:tcW w:w="2017" w:type="dxa"/>
            <w:tcBorders>
              <w:top w:val="nil"/>
              <w:left w:val="nil"/>
              <w:bottom w:val="nil"/>
              <w:right w:val="nil"/>
            </w:tcBorders>
            <w:vAlign w:val="bottom"/>
          </w:tcPr>
          <w:p w14:paraId="7D8323D0" w14:textId="77777777" w:rsidR="00385C9F" w:rsidRPr="001D48C3" w:rsidRDefault="00385C9F" w:rsidP="007236C2">
            <w:pPr>
              <w:autoSpaceDE w:val="0"/>
              <w:autoSpaceDN w:val="0"/>
              <w:adjustRightInd w:val="0"/>
              <w:spacing w:after="0" w:line="240" w:lineRule="auto"/>
              <w:jc w:val="center"/>
              <w:rPr>
                <w:rFonts w:ascii="Arial" w:hAnsi="Arial" w:cs="Arial"/>
                <w:color w:val="000000"/>
                <w:sz w:val="18"/>
                <w:szCs w:val="18"/>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2B01CB04" w14:textId="56506F09"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2.803539</w:t>
            </w:r>
          </w:p>
        </w:tc>
        <w:tc>
          <w:tcPr>
            <w:tcW w:w="1207" w:type="dxa"/>
            <w:tcBorders>
              <w:top w:val="nil"/>
              <w:left w:val="nil"/>
              <w:bottom w:val="nil"/>
              <w:right w:val="nil"/>
            </w:tcBorders>
            <w:vAlign w:val="bottom"/>
          </w:tcPr>
          <w:p w14:paraId="7ED613DE" w14:textId="4D5BB7C5"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0.074113</w:t>
            </w:r>
          </w:p>
        </w:tc>
        <w:tc>
          <w:tcPr>
            <w:tcW w:w="1208" w:type="dxa"/>
            <w:tcBorders>
              <w:top w:val="nil"/>
              <w:left w:val="nil"/>
              <w:bottom w:val="nil"/>
              <w:right w:val="nil"/>
            </w:tcBorders>
            <w:vAlign w:val="bottom"/>
          </w:tcPr>
          <w:p w14:paraId="75C52D6C" w14:textId="0480BF5B"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37.82810</w:t>
            </w:r>
          </w:p>
        </w:tc>
        <w:tc>
          <w:tcPr>
            <w:tcW w:w="997" w:type="dxa"/>
            <w:tcBorders>
              <w:top w:val="nil"/>
              <w:left w:val="nil"/>
              <w:bottom w:val="nil"/>
              <w:right w:val="nil"/>
            </w:tcBorders>
            <w:vAlign w:val="bottom"/>
          </w:tcPr>
          <w:p w14:paraId="286C7927" w14:textId="42FFF3B1"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7B88E26E" w14:textId="77777777" w:rsidTr="007236C2">
        <w:trPr>
          <w:trHeight w:val="240"/>
          <w:jc w:val="center"/>
        </w:trPr>
        <w:tc>
          <w:tcPr>
            <w:tcW w:w="2017" w:type="dxa"/>
            <w:tcBorders>
              <w:top w:val="nil"/>
              <w:left w:val="nil"/>
              <w:bottom w:val="nil"/>
              <w:right w:val="nil"/>
            </w:tcBorders>
            <w:vAlign w:val="bottom"/>
          </w:tcPr>
          <w:p w14:paraId="4F3CDAFC" w14:textId="77777777" w:rsidR="00385C9F" w:rsidRPr="001D48C3" w:rsidRDefault="00385C9F" w:rsidP="007236C2">
            <w:pPr>
              <w:autoSpaceDE w:val="0"/>
              <w:autoSpaceDN w:val="0"/>
              <w:adjustRightInd w:val="0"/>
              <w:spacing w:after="0" w:line="240" w:lineRule="auto"/>
              <w:jc w:val="center"/>
              <w:rPr>
                <w:rFonts w:ascii="Arial" w:hAnsi="Arial" w:cs="Arial"/>
                <w:color w:val="000000"/>
                <w:sz w:val="18"/>
                <w:szCs w:val="18"/>
              </w:rPr>
            </w:pP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6CA9E650" w14:textId="716A8724"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0.420014</w:t>
            </w:r>
          </w:p>
        </w:tc>
        <w:tc>
          <w:tcPr>
            <w:tcW w:w="1207" w:type="dxa"/>
            <w:tcBorders>
              <w:top w:val="nil"/>
              <w:left w:val="nil"/>
              <w:bottom w:val="nil"/>
              <w:right w:val="nil"/>
            </w:tcBorders>
            <w:vAlign w:val="bottom"/>
          </w:tcPr>
          <w:p w14:paraId="4CF57310" w14:textId="2CCF3AD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0.057214</w:t>
            </w:r>
          </w:p>
        </w:tc>
        <w:tc>
          <w:tcPr>
            <w:tcW w:w="1208" w:type="dxa"/>
            <w:tcBorders>
              <w:top w:val="nil"/>
              <w:left w:val="nil"/>
              <w:bottom w:val="nil"/>
              <w:right w:val="nil"/>
            </w:tcBorders>
            <w:vAlign w:val="bottom"/>
          </w:tcPr>
          <w:p w14:paraId="7F4C0B25" w14:textId="143C0C8D"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7.341088</w:t>
            </w:r>
          </w:p>
        </w:tc>
        <w:tc>
          <w:tcPr>
            <w:tcW w:w="997" w:type="dxa"/>
            <w:tcBorders>
              <w:top w:val="nil"/>
              <w:left w:val="nil"/>
              <w:bottom w:val="nil"/>
              <w:right w:val="nil"/>
            </w:tcBorders>
            <w:vAlign w:val="bottom"/>
          </w:tcPr>
          <w:p w14:paraId="23547E95" w14:textId="1C9FD7F8"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385C9F" w:rsidRPr="001D48C3" w14:paraId="64BF2F9E" w14:textId="77777777" w:rsidTr="007236C2">
        <w:trPr>
          <w:trHeight w:val="240"/>
          <w:jc w:val="center"/>
        </w:trPr>
        <w:tc>
          <w:tcPr>
            <w:tcW w:w="2017" w:type="dxa"/>
            <w:tcBorders>
              <w:top w:val="nil"/>
              <w:left w:val="nil"/>
              <w:bottom w:val="nil"/>
              <w:right w:val="nil"/>
            </w:tcBorders>
            <w:vAlign w:val="bottom"/>
          </w:tcPr>
          <w:p w14:paraId="4D63A107" w14:textId="77777777" w:rsidR="00385C9F" w:rsidRPr="001D48C3" w:rsidRDefault="00385C9F" w:rsidP="007236C2">
            <w:pPr>
              <w:autoSpaceDE w:val="0"/>
              <w:autoSpaceDN w:val="0"/>
              <w:adjustRightInd w:val="0"/>
              <w:spacing w:after="0" w:line="240" w:lineRule="auto"/>
              <w:jc w:val="center"/>
              <w:rPr>
                <w:rFonts w:ascii="Arial" w:hAnsi="Arial" w:cs="Arial"/>
                <w:color w:val="000000"/>
                <w:sz w:val="18"/>
                <w:szCs w:val="18"/>
              </w:rPr>
            </w:pPr>
            <w:r w:rsidRPr="001D48C3">
              <w:rPr>
                <w:rFonts w:ascii="Symbol" w:eastAsia="Times New Roman" w:hAnsi="Symbol" w:cs="Arial"/>
                <w:color w:val="000000"/>
                <w:sz w:val="18"/>
                <w:szCs w:val="18"/>
                <w:lang w:eastAsia="en-AU"/>
              </w:rPr>
              <w:t></w:t>
            </w:r>
            <w:r w:rsidRPr="001D48C3">
              <w:rPr>
                <w:rFonts w:ascii="Symbol" w:eastAsia="Times New Roman" w:hAnsi="Symbol" w:cs="Arial"/>
                <w:color w:val="000000"/>
                <w:sz w:val="18"/>
                <w:szCs w:val="18"/>
                <w:lang w:eastAsia="en-AU"/>
              </w:rPr>
              <w:t></w:t>
            </w:r>
          </w:p>
        </w:tc>
        <w:tc>
          <w:tcPr>
            <w:tcW w:w="1103" w:type="dxa"/>
            <w:tcBorders>
              <w:top w:val="nil"/>
              <w:left w:val="nil"/>
              <w:bottom w:val="nil"/>
              <w:right w:val="nil"/>
            </w:tcBorders>
            <w:vAlign w:val="bottom"/>
          </w:tcPr>
          <w:p w14:paraId="0225682E" w14:textId="3B2D0981"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0.005925</w:t>
            </w:r>
          </w:p>
        </w:tc>
        <w:tc>
          <w:tcPr>
            <w:tcW w:w="1207" w:type="dxa"/>
            <w:tcBorders>
              <w:top w:val="nil"/>
              <w:left w:val="nil"/>
              <w:bottom w:val="nil"/>
              <w:right w:val="nil"/>
            </w:tcBorders>
            <w:vAlign w:val="bottom"/>
          </w:tcPr>
          <w:p w14:paraId="701A6FFE" w14:textId="49D26D7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0.000339</w:t>
            </w:r>
          </w:p>
        </w:tc>
        <w:tc>
          <w:tcPr>
            <w:tcW w:w="1208" w:type="dxa"/>
            <w:tcBorders>
              <w:top w:val="nil"/>
              <w:left w:val="nil"/>
              <w:bottom w:val="nil"/>
              <w:right w:val="nil"/>
            </w:tcBorders>
            <w:vAlign w:val="bottom"/>
          </w:tcPr>
          <w:p w14:paraId="414767D3" w14:textId="28BEFCCC"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17.49803</w:t>
            </w:r>
          </w:p>
        </w:tc>
        <w:tc>
          <w:tcPr>
            <w:tcW w:w="997" w:type="dxa"/>
            <w:tcBorders>
              <w:top w:val="nil"/>
              <w:left w:val="nil"/>
              <w:bottom w:val="nil"/>
              <w:right w:val="nil"/>
            </w:tcBorders>
            <w:vAlign w:val="bottom"/>
          </w:tcPr>
          <w:p w14:paraId="6B66E07E" w14:textId="41F4F44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w:t>
            </w:r>
          </w:p>
        </w:tc>
      </w:tr>
      <w:tr w:rsidR="007236C2" w:rsidRPr="001D48C3" w14:paraId="1C21B3D2" w14:textId="77777777" w:rsidTr="007236C2">
        <w:trPr>
          <w:trHeight w:hRule="exact" w:val="96"/>
          <w:jc w:val="center"/>
        </w:trPr>
        <w:tc>
          <w:tcPr>
            <w:tcW w:w="2017" w:type="dxa"/>
            <w:tcBorders>
              <w:top w:val="nil"/>
              <w:left w:val="nil"/>
              <w:bottom w:val="double" w:sz="6" w:space="2" w:color="auto"/>
              <w:right w:val="nil"/>
            </w:tcBorders>
            <w:vAlign w:val="bottom"/>
          </w:tcPr>
          <w:p w14:paraId="1592A52E"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5D794F4"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A7A13CF"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856A46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EED996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5840B57D" w14:textId="77777777" w:rsidTr="007236C2">
        <w:trPr>
          <w:trHeight w:hRule="exact" w:val="144"/>
          <w:jc w:val="center"/>
        </w:trPr>
        <w:tc>
          <w:tcPr>
            <w:tcW w:w="2017" w:type="dxa"/>
            <w:tcBorders>
              <w:top w:val="nil"/>
              <w:left w:val="nil"/>
              <w:bottom w:val="nil"/>
              <w:right w:val="nil"/>
            </w:tcBorders>
            <w:vAlign w:val="bottom"/>
          </w:tcPr>
          <w:p w14:paraId="53FC3EC1"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F00463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8914B46"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90179E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8AD37C0"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385C9F" w:rsidRPr="001D48C3" w14:paraId="73BBCA35" w14:textId="77777777" w:rsidTr="007236C2">
        <w:trPr>
          <w:trHeight w:val="240"/>
          <w:jc w:val="center"/>
        </w:trPr>
        <w:tc>
          <w:tcPr>
            <w:tcW w:w="2017" w:type="dxa"/>
            <w:tcBorders>
              <w:top w:val="nil"/>
              <w:left w:val="nil"/>
              <w:bottom w:val="nil"/>
              <w:right w:val="nil"/>
            </w:tcBorders>
            <w:vAlign w:val="bottom"/>
          </w:tcPr>
          <w:p w14:paraId="457F5619" w14:textId="28DF69B5"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4116E72E" w14:textId="6D4C1D49"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0.995772</w:t>
            </w:r>
          </w:p>
        </w:tc>
        <w:tc>
          <w:tcPr>
            <w:tcW w:w="2415" w:type="dxa"/>
            <w:gridSpan w:val="2"/>
            <w:tcBorders>
              <w:top w:val="nil"/>
              <w:left w:val="nil"/>
              <w:bottom w:val="nil"/>
              <w:right w:val="nil"/>
            </w:tcBorders>
            <w:vAlign w:val="bottom"/>
          </w:tcPr>
          <w:p w14:paraId="26AFB158"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Mean dependent variable</w:t>
            </w:r>
          </w:p>
        </w:tc>
        <w:tc>
          <w:tcPr>
            <w:tcW w:w="997" w:type="dxa"/>
            <w:tcBorders>
              <w:top w:val="nil"/>
              <w:left w:val="nil"/>
              <w:bottom w:val="nil"/>
              <w:right w:val="nil"/>
            </w:tcBorders>
            <w:vAlign w:val="bottom"/>
          </w:tcPr>
          <w:p w14:paraId="3D334A72" w14:textId="1C0C5D07"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10.15963</w:t>
            </w:r>
          </w:p>
        </w:tc>
      </w:tr>
      <w:tr w:rsidR="00385C9F" w:rsidRPr="001D48C3" w14:paraId="1589D8FA" w14:textId="77777777" w:rsidTr="007236C2">
        <w:trPr>
          <w:trHeight w:val="240"/>
          <w:jc w:val="center"/>
        </w:trPr>
        <w:tc>
          <w:tcPr>
            <w:tcW w:w="2017" w:type="dxa"/>
            <w:tcBorders>
              <w:top w:val="nil"/>
              <w:left w:val="nil"/>
              <w:bottom w:val="nil"/>
              <w:right w:val="nil"/>
            </w:tcBorders>
            <w:vAlign w:val="bottom"/>
          </w:tcPr>
          <w:p w14:paraId="06494872" w14:textId="45BBA855"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Adjusted R</w:t>
            </w:r>
            <w:r w:rsidR="001D5BF5">
              <w:rPr>
                <w:rFonts w:ascii="Arial" w:hAnsi="Arial" w:cs="Arial"/>
                <w:color w:val="000000"/>
                <w:sz w:val="18"/>
                <w:szCs w:val="18"/>
              </w:rPr>
              <w:noBreakHyphen/>
            </w:r>
            <w:r w:rsidRPr="001D48C3">
              <w:rPr>
                <w:rFonts w:ascii="Arial" w:hAnsi="Arial" w:cs="Arial"/>
                <w:color w:val="000000"/>
                <w:sz w:val="18"/>
                <w:szCs w:val="18"/>
              </w:rPr>
              <w:t>squared</w:t>
            </w:r>
          </w:p>
        </w:tc>
        <w:tc>
          <w:tcPr>
            <w:tcW w:w="1103" w:type="dxa"/>
            <w:tcBorders>
              <w:top w:val="nil"/>
              <w:left w:val="nil"/>
              <w:bottom w:val="nil"/>
              <w:right w:val="nil"/>
            </w:tcBorders>
            <w:vAlign w:val="bottom"/>
          </w:tcPr>
          <w:p w14:paraId="446CF430" w14:textId="2159916A"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0.995708</w:t>
            </w:r>
          </w:p>
        </w:tc>
        <w:tc>
          <w:tcPr>
            <w:tcW w:w="2415" w:type="dxa"/>
            <w:gridSpan w:val="2"/>
            <w:tcBorders>
              <w:top w:val="nil"/>
              <w:left w:val="nil"/>
              <w:bottom w:val="nil"/>
              <w:right w:val="nil"/>
            </w:tcBorders>
            <w:vAlign w:val="bottom"/>
          </w:tcPr>
          <w:p w14:paraId="22E0A6D0"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S.D. dependent variable</w:t>
            </w:r>
          </w:p>
        </w:tc>
        <w:tc>
          <w:tcPr>
            <w:tcW w:w="997" w:type="dxa"/>
            <w:tcBorders>
              <w:top w:val="nil"/>
              <w:left w:val="nil"/>
              <w:bottom w:val="nil"/>
              <w:right w:val="nil"/>
            </w:tcBorders>
            <w:vAlign w:val="bottom"/>
          </w:tcPr>
          <w:p w14:paraId="1F6C3715" w14:textId="042C4802"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0.690560</w:t>
            </w:r>
          </w:p>
        </w:tc>
      </w:tr>
      <w:tr w:rsidR="00385C9F" w:rsidRPr="001D48C3" w14:paraId="6D0A22EB" w14:textId="77777777" w:rsidTr="007236C2">
        <w:trPr>
          <w:trHeight w:val="240"/>
          <w:jc w:val="center"/>
        </w:trPr>
        <w:tc>
          <w:tcPr>
            <w:tcW w:w="2017" w:type="dxa"/>
            <w:tcBorders>
              <w:top w:val="nil"/>
              <w:left w:val="nil"/>
              <w:bottom w:val="nil"/>
              <w:right w:val="nil"/>
            </w:tcBorders>
            <w:vAlign w:val="bottom"/>
          </w:tcPr>
          <w:p w14:paraId="6455B913"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S.E. of regression</w:t>
            </w:r>
          </w:p>
        </w:tc>
        <w:tc>
          <w:tcPr>
            <w:tcW w:w="1103" w:type="dxa"/>
            <w:tcBorders>
              <w:top w:val="nil"/>
              <w:left w:val="nil"/>
              <w:bottom w:val="nil"/>
              <w:right w:val="nil"/>
            </w:tcBorders>
            <w:vAlign w:val="bottom"/>
          </w:tcPr>
          <w:p w14:paraId="47A9E7F7" w14:textId="31D3268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0.045241</w:t>
            </w:r>
          </w:p>
        </w:tc>
        <w:tc>
          <w:tcPr>
            <w:tcW w:w="2415" w:type="dxa"/>
            <w:gridSpan w:val="2"/>
            <w:tcBorders>
              <w:top w:val="nil"/>
              <w:left w:val="nil"/>
              <w:bottom w:val="nil"/>
              <w:right w:val="nil"/>
            </w:tcBorders>
            <w:vAlign w:val="bottom"/>
          </w:tcPr>
          <w:p w14:paraId="5C34D54E"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Akaike info criterion</w:t>
            </w:r>
          </w:p>
        </w:tc>
        <w:tc>
          <w:tcPr>
            <w:tcW w:w="997" w:type="dxa"/>
            <w:tcBorders>
              <w:top w:val="nil"/>
              <w:left w:val="nil"/>
              <w:bottom w:val="nil"/>
              <w:right w:val="nil"/>
            </w:tcBorders>
            <w:vAlign w:val="bottom"/>
          </w:tcPr>
          <w:p w14:paraId="71E804B9" w14:textId="621CB5C4"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3.331653</w:t>
            </w:r>
          </w:p>
        </w:tc>
      </w:tr>
      <w:tr w:rsidR="00385C9F" w:rsidRPr="001D48C3" w14:paraId="417FABE2" w14:textId="77777777" w:rsidTr="007236C2">
        <w:trPr>
          <w:trHeight w:val="240"/>
          <w:jc w:val="center"/>
        </w:trPr>
        <w:tc>
          <w:tcPr>
            <w:tcW w:w="2017" w:type="dxa"/>
            <w:tcBorders>
              <w:top w:val="nil"/>
              <w:left w:val="nil"/>
              <w:bottom w:val="nil"/>
              <w:right w:val="nil"/>
            </w:tcBorders>
            <w:vAlign w:val="bottom"/>
          </w:tcPr>
          <w:p w14:paraId="38EA78FF"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Sum squared residual</w:t>
            </w:r>
          </w:p>
        </w:tc>
        <w:tc>
          <w:tcPr>
            <w:tcW w:w="1103" w:type="dxa"/>
            <w:tcBorders>
              <w:top w:val="nil"/>
              <w:left w:val="nil"/>
              <w:bottom w:val="nil"/>
              <w:right w:val="nil"/>
            </w:tcBorders>
            <w:vAlign w:val="bottom"/>
          </w:tcPr>
          <w:p w14:paraId="1630B092" w14:textId="620C681B"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0.270171</w:t>
            </w:r>
          </w:p>
        </w:tc>
        <w:tc>
          <w:tcPr>
            <w:tcW w:w="2415" w:type="dxa"/>
            <w:gridSpan w:val="2"/>
            <w:tcBorders>
              <w:top w:val="nil"/>
              <w:left w:val="nil"/>
              <w:bottom w:val="nil"/>
              <w:right w:val="nil"/>
            </w:tcBorders>
            <w:vAlign w:val="bottom"/>
          </w:tcPr>
          <w:p w14:paraId="64F29406" w14:textId="77777777"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Schwarz criterion</w:t>
            </w:r>
          </w:p>
        </w:tc>
        <w:tc>
          <w:tcPr>
            <w:tcW w:w="997" w:type="dxa"/>
            <w:tcBorders>
              <w:top w:val="nil"/>
              <w:left w:val="nil"/>
              <w:bottom w:val="nil"/>
              <w:right w:val="nil"/>
            </w:tcBorders>
            <w:vAlign w:val="bottom"/>
          </w:tcPr>
          <w:p w14:paraId="492592DB" w14:textId="04F1D38F"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3.267092</w:t>
            </w:r>
          </w:p>
        </w:tc>
      </w:tr>
      <w:tr w:rsidR="00385C9F" w:rsidRPr="001D48C3" w14:paraId="10669B52" w14:textId="77777777" w:rsidTr="007236C2">
        <w:trPr>
          <w:trHeight w:val="240"/>
          <w:jc w:val="center"/>
        </w:trPr>
        <w:tc>
          <w:tcPr>
            <w:tcW w:w="2017" w:type="dxa"/>
            <w:tcBorders>
              <w:top w:val="nil"/>
              <w:left w:val="nil"/>
              <w:bottom w:val="nil"/>
              <w:right w:val="nil"/>
            </w:tcBorders>
            <w:vAlign w:val="bottom"/>
          </w:tcPr>
          <w:p w14:paraId="59F1CC26" w14:textId="77777777"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Log likelihood</w:t>
            </w:r>
          </w:p>
        </w:tc>
        <w:tc>
          <w:tcPr>
            <w:tcW w:w="1103" w:type="dxa"/>
            <w:tcBorders>
              <w:top w:val="nil"/>
              <w:left w:val="nil"/>
              <w:bottom w:val="nil"/>
              <w:right w:val="nil"/>
            </w:tcBorders>
            <w:vAlign w:val="bottom"/>
          </w:tcPr>
          <w:p w14:paraId="2C31BFD9" w14:textId="31928B09"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227.8866</w:t>
            </w:r>
          </w:p>
        </w:tc>
        <w:tc>
          <w:tcPr>
            <w:tcW w:w="2415" w:type="dxa"/>
            <w:gridSpan w:val="2"/>
            <w:tcBorders>
              <w:top w:val="nil"/>
              <w:left w:val="nil"/>
              <w:bottom w:val="nil"/>
              <w:right w:val="nil"/>
            </w:tcBorders>
            <w:vAlign w:val="bottom"/>
          </w:tcPr>
          <w:p w14:paraId="0B99ACD8" w14:textId="5CDE5F7C"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Hannan</w:t>
            </w:r>
            <w:r w:rsidR="001D5BF5">
              <w:rPr>
                <w:rFonts w:ascii="Arial" w:hAnsi="Arial" w:cs="Arial"/>
                <w:color w:val="000000"/>
                <w:sz w:val="18"/>
                <w:szCs w:val="18"/>
              </w:rPr>
              <w:noBreakHyphen/>
            </w:r>
            <w:r w:rsidRPr="001D48C3">
              <w:rPr>
                <w:rFonts w:ascii="Arial" w:hAnsi="Arial" w:cs="Arial"/>
                <w:color w:val="000000"/>
                <w:sz w:val="18"/>
                <w:szCs w:val="18"/>
              </w:rPr>
              <w:t>Quinn criterion</w:t>
            </w:r>
          </w:p>
        </w:tc>
        <w:tc>
          <w:tcPr>
            <w:tcW w:w="997" w:type="dxa"/>
            <w:tcBorders>
              <w:top w:val="nil"/>
              <w:left w:val="nil"/>
              <w:bottom w:val="nil"/>
              <w:right w:val="nil"/>
            </w:tcBorders>
            <w:vAlign w:val="bottom"/>
          </w:tcPr>
          <w:p w14:paraId="2188991C" w14:textId="1A894208" w:rsidR="00385C9F" w:rsidRPr="001D48C3" w:rsidRDefault="001D5BF5" w:rsidP="007236C2">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noBreakHyphen/>
            </w:r>
            <w:r w:rsidR="00385C9F" w:rsidRPr="002479CE">
              <w:rPr>
                <w:rFonts w:ascii="Arial" w:hAnsi="Arial" w:cs="Arial"/>
                <w:color w:val="000000"/>
                <w:sz w:val="18"/>
                <w:szCs w:val="18"/>
              </w:rPr>
              <w:t>3.305417</w:t>
            </w:r>
          </w:p>
        </w:tc>
      </w:tr>
      <w:tr w:rsidR="00385C9F" w:rsidRPr="001D48C3" w14:paraId="1F4B5BE5" w14:textId="77777777" w:rsidTr="007236C2">
        <w:trPr>
          <w:trHeight w:val="240"/>
          <w:jc w:val="center"/>
        </w:trPr>
        <w:tc>
          <w:tcPr>
            <w:tcW w:w="2017" w:type="dxa"/>
            <w:tcBorders>
              <w:top w:val="nil"/>
              <w:left w:val="nil"/>
              <w:bottom w:val="nil"/>
              <w:right w:val="nil"/>
            </w:tcBorders>
            <w:vAlign w:val="bottom"/>
          </w:tcPr>
          <w:p w14:paraId="4B614B97" w14:textId="6B9980F1"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F</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1103" w:type="dxa"/>
            <w:tcBorders>
              <w:top w:val="nil"/>
              <w:left w:val="nil"/>
              <w:bottom w:val="nil"/>
              <w:right w:val="nil"/>
            </w:tcBorders>
            <w:vAlign w:val="bottom"/>
          </w:tcPr>
          <w:p w14:paraId="6E9DBF89" w14:textId="5957B1ED"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15544.37</w:t>
            </w:r>
          </w:p>
        </w:tc>
        <w:tc>
          <w:tcPr>
            <w:tcW w:w="2415" w:type="dxa"/>
            <w:gridSpan w:val="2"/>
            <w:tcBorders>
              <w:top w:val="nil"/>
              <w:left w:val="nil"/>
              <w:bottom w:val="nil"/>
              <w:right w:val="nil"/>
            </w:tcBorders>
            <w:vAlign w:val="bottom"/>
          </w:tcPr>
          <w:p w14:paraId="34C9E940" w14:textId="10588049" w:rsidR="00385C9F" w:rsidRPr="001D48C3" w:rsidRDefault="00385C9F" w:rsidP="007236C2">
            <w:pPr>
              <w:autoSpaceDE w:val="0"/>
              <w:autoSpaceDN w:val="0"/>
              <w:adjustRightInd w:val="0"/>
              <w:spacing w:after="0" w:line="240" w:lineRule="auto"/>
              <w:ind w:right="10"/>
              <w:rPr>
                <w:rFonts w:ascii="Arial" w:hAnsi="Arial" w:cs="Arial"/>
                <w:color w:val="000000"/>
                <w:sz w:val="18"/>
                <w:szCs w:val="18"/>
              </w:rPr>
            </w:pPr>
            <w:r w:rsidRPr="001D48C3">
              <w:rPr>
                <w:rFonts w:ascii="Arial" w:hAnsi="Arial" w:cs="Arial"/>
                <w:color w:val="000000"/>
                <w:sz w:val="18"/>
                <w:szCs w:val="18"/>
              </w:rPr>
              <w:t>    Durbin</w:t>
            </w:r>
            <w:r w:rsidR="001D5BF5">
              <w:rPr>
                <w:rFonts w:ascii="Arial" w:hAnsi="Arial" w:cs="Arial"/>
                <w:color w:val="000000"/>
                <w:sz w:val="18"/>
                <w:szCs w:val="18"/>
              </w:rPr>
              <w:noBreakHyphen/>
            </w:r>
            <w:r w:rsidRPr="001D48C3">
              <w:rPr>
                <w:rFonts w:ascii="Arial" w:hAnsi="Arial" w:cs="Arial"/>
                <w:color w:val="000000"/>
                <w:sz w:val="18"/>
                <w:szCs w:val="18"/>
              </w:rPr>
              <w:t>Watson statistic</w:t>
            </w:r>
          </w:p>
        </w:tc>
        <w:tc>
          <w:tcPr>
            <w:tcW w:w="997" w:type="dxa"/>
            <w:tcBorders>
              <w:top w:val="nil"/>
              <w:left w:val="nil"/>
              <w:bottom w:val="nil"/>
              <w:right w:val="nil"/>
            </w:tcBorders>
            <w:vAlign w:val="bottom"/>
          </w:tcPr>
          <w:p w14:paraId="4106071B" w14:textId="1451A95E"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0.428005</w:t>
            </w:r>
          </w:p>
        </w:tc>
      </w:tr>
      <w:tr w:rsidR="00385C9F" w:rsidRPr="001D48C3" w14:paraId="2681FDAC" w14:textId="77777777" w:rsidTr="007236C2">
        <w:trPr>
          <w:trHeight w:val="240"/>
          <w:jc w:val="center"/>
        </w:trPr>
        <w:tc>
          <w:tcPr>
            <w:tcW w:w="2017" w:type="dxa"/>
            <w:tcBorders>
              <w:top w:val="nil"/>
              <w:left w:val="nil"/>
              <w:bottom w:val="nil"/>
              <w:right w:val="nil"/>
            </w:tcBorders>
            <w:vAlign w:val="bottom"/>
          </w:tcPr>
          <w:p w14:paraId="291125CD" w14:textId="2034481B" w:rsidR="00385C9F" w:rsidRPr="001D48C3" w:rsidRDefault="00385C9F" w:rsidP="007236C2">
            <w:pPr>
              <w:autoSpaceDE w:val="0"/>
              <w:autoSpaceDN w:val="0"/>
              <w:adjustRightInd w:val="0"/>
              <w:spacing w:after="0" w:line="240" w:lineRule="auto"/>
              <w:rPr>
                <w:rFonts w:ascii="Arial" w:hAnsi="Arial" w:cs="Arial"/>
                <w:color w:val="000000"/>
                <w:sz w:val="18"/>
                <w:szCs w:val="18"/>
              </w:rPr>
            </w:pPr>
            <w:r w:rsidRPr="001D48C3">
              <w:rPr>
                <w:rFonts w:ascii="Arial" w:hAnsi="Arial" w:cs="Arial"/>
                <w:color w:val="000000"/>
                <w:sz w:val="18"/>
                <w:szCs w:val="18"/>
              </w:rPr>
              <w:t>Prob(F</w:t>
            </w:r>
            <w:r w:rsidR="001D5BF5">
              <w:rPr>
                <w:rFonts w:ascii="Arial" w:hAnsi="Arial" w:cs="Arial"/>
                <w:color w:val="000000"/>
                <w:sz w:val="18"/>
                <w:szCs w:val="18"/>
              </w:rPr>
              <w:noBreakHyphen/>
            </w:r>
            <w:r w:rsidRPr="001D48C3">
              <w:rPr>
                <w:rFonts w:ascii="Arial" w:hAnsi="Arial" w:cs="Arial"/>
                <w:color w:val="000000"/>
                <w:sz w:val="18"/>
                <w:szCs w:val="18"/>
              </w:rPr>
              <w:t>statistic)</w:t>
            </w:r>
          </w:p>
        </w:tc>
        <w:tc>
          <w:tcPr>
            <w:tcW w:w="1103" w:type="dxa"/>
            <w:tcBorders>
              <w:top w:val="nil"/>
              <w:left w:val="nil"/>
              <w:bottom w:val="nil"/>
              <w:right w:val="nil"/>
            </w:tcBorders>
            <w:vAlign w:val="bottom"/>
          </w:tcPr>
          <w:p w14:paraId="11E3F980" w14:textId="1BDB2D94" w:rsidR="00385C9F" w:rsidRPr="001D48C3" w:rsidRDefault="00385C9F" w:rsidP="007236C2">
            <w:pPr>
              <w:autoSpaceDE w:val="0"/>
              <w:autoSpaceDN w:val="0"/>
              <w:adjustRightInd w:val="0"/>
              <w:spacing w:after="0" w:line="240" w:lineRule="auto"/>
              <w:ind w:right="10"/>
              <w:jc w:val="right"/>
              <w:rPr>
                <w:rFonts w:ascii="Arial" w:hAnsi="Arial" w:cs="Arial"/>
                <w:color w:val="000000"/>
                <w:sz w:val="18"/>
                <w:szCs w:val="18"/>
              </w:rPr>
            </w:pPr>
            <w:r w:rsidRPr="002479CE">
              <w:rPr>
                <w:rFonts w:ascii="Arial" w:hAnsi="Arial" w:cs="Arial"/>
                <w:color w:val="000000"/>
                <w:sz w:val="18"/>
                <w:szCs w:val="18"/>
              </w:rPr>
              <w:t>0.000000</w:t>
            </w:r>
          </w:p>
        </w:tc>
        <w:tc>
          <w:tcPr>
            <w:tcW w:w="1207" w:type="dxa"/>
            <w:tcBorders>
              <w:top w:val="nil"/>
              <w:left w:val="nil"/>
              <w:bottom w:val="nil"/>
              <w:right w:val="nil"/>
            </w:tcBorders>
            <w:vAlign w:val="bottom"/>
          </w:tcPr>
          <w:p w14:paraId="71E756AC"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52F50702"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1D1AC19A" w14:textId="77777777" w:rsidR="00385C9F" w:rsidRPr="001D48C3" w:rsidRDefault="00385C9F" w:rsidP="007236C2">
            <w:pPr>
              <w:autoSpaceDE w:val="0"/>
              <w:autoSpaceDN w:val="0"/>
              <w:adjustRightInd w:val="0"/>
              <w:spacing w:after="0" w:line="240" w:lineRule="auto"/>
              <w:ind w:right="10"/>
              <w:jc w:val="center"/>
              <w:rPr>
                <w:rFonts w:ascii="Arial" w:hAnsi="Arial" w:cs="Arial"/>
                <w:color w:val="000000"/>
                <w:sz w:val="18"/>
                <w:szCs w:val="18"/>
              </w:rPr>
            </w:pPr>
          </w:p>
        </w:tc>
      </w:tr>
      <w:tr w:rsidR="007236C2" w:rsidRPr="001D48C3" w14:paraId="3A870AEC" w14:textId="77777777" w:rsidTr="007236C2">
        <w:trPr>
          <w:trHeight w:hRule="exact" w:val="96"/>
          <w:jc w:val="center"/>
        </w:trPr>
        <w:tc>
          <w:tcPr>
            <w:tcW w:w="2017" w:type="dxa"/>
            <w:tcBorders>
              <w:top w:val="nil"/>
              <w:left w:val="nil"/>
              <w:bottom w:val="double" w:sz="6" w:space="0" w:color="auto"/>
              <w:right w:val="nil"/>
            </w:tcBorders>
            <w:vAlign w:val="bottom"/>
          </w:tcPr>
          <w:p w14:paraId="63ED895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2ABA06D3"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DA4A60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082C23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6361D07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r w:rsidR="007236C2" w:rsidRPr="001D48C3" w14:paraId="423670F7" w14:textId="77777777" w:rsidTr="007236C2">
        <w:trPr>
          <w:trHeight w:hRule="exact" w:val="144"/>
          <w:jc w:val="center"/>
        </w:trPr>
        <w:tc>
          <w:tcPr>
            <w:tcW w:w="2017" w:type="dxa"/>
            <w:tcBorders>
              <w:top w:val="nil"/>
              <w:left w:val="nil"/>
              <w:bottom w:val="nil"/>
              <w:right w:val="nil"/>
            </w:tcBorders>
            <w:vAlign w:val="bottom"/>
          </w:tcPr>
          <w:p w14:paraId="69BAC138"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C93781B"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07379D5"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158192"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918A9C9" w14:textId="77777777" w:rsidR="007236C2" w:rsidRPr="001D48C3" w:rsidRDefault="007236C2" w:rsidP="007236C2">
            <w:pPr>
              <w:autoSpaceDE w:val="0"/>
              <w:autoSpaceDN w:val="0"/>
              <w:adjustRightInd w:val="0"/>
              <w:spacing w:after="0" w:line="240" w:lineRule="auto"/>
              <w:jc w:val="center"/>
              <w:rPr>
                <w:rFonts w:ascii="Arial" w:hAnsi="Arial" w:cs="Arial"/>
                <w:color w:val="000000"/>
                <w:sz w:val="18"/>
                <w:szCs w:val="18"/>
              </w:rPr>
            </w:pPr>
          </w:p>
        </w:tc>
      </w:tr>
    </w:tbl>
    <w:p w14:paraId="211724BB" w14:textId="77777777" w:rsidR="00E927DA" w:rsidRPr="001D48C3" w:rsidRDefault="007236C2" w:rsidP="00E927DA">
      <w:r w:rsidRPr="001D48C3">
        <w:lastRenderedPageBreak/>
        <w:t>Following the companion terms of trade analysis (Bullen, Kouparitsas and Krolikowski, 2014), the deterministic time trend is held constant over the projection period.</w:t>
      </w:r>
    </w:p>
    <w:p w14:paraId="0FE8D49B" w14:textId="77777777" w:rsidR="009F3A15" w:rsidRPr="001D48C3" w:rsidRDefault="009F3A15" w:rsidP="001D48C3">
      <w:pPr>
        <w:pStyle w:val="Heading2"/>
      </w:pPr>
      <w:r w:rsidRPr="001D48C3">
        <w:t>Results</w:t>
      </w:r>
    </w:p>
    <w:p w14:paraId="7230FA66" w14:textId="4A7AC671" w:rsidR="001D4392" w:rsidRPr="001D48C3" w:rsidRDefault="00D66BF3" w:rsidP="00D3016A">
      <w:pPr>
        <w:pStyle w:val="Heading3"/>
      </w:pPr>
      <w:r>
        <w:t>2014</w:t>
      </w:r>
      <w:r w:rsidR="001D5BF5">
        <w:noBreakHyphen/>
      </w:r>
      <w:r>
        <w:t xml:space="preserve">15 Budget </w:t>
      </w:r>
      <w:r w:rsidR="00883F59">
        <w:t>medium</w:t>
      </w:r>
      <w:r w:rsidR="001D5BF5">
        <w:noBreakHyphen/>
      </w:r>
      <w:r w:rsidR="00883F59">
        <w:t>term economic projections</w:t>
      </w:r>
    </w:p>
    <w:p w14:paraId="5C030ED1" w14:textId="66A3AB61" w:rsidR="00F16AD4" w:rsidRPr="001D48C3" w:rsidRDefault="00761205" w:rsidP="00963529">
      <w:pPr>
        <w:rPr>
          <w:lang w:eastAsia="en-AU"/>
        </w:rPr>
      </w:pPr>
      <w:r w:rsidRPr="001D48C3">
        <w:rPr>
          <w:lang w:eastAsia="en-AU"/>
        </w:rPr>
        <w:t xml:space="preserve">This section applies the </w:t>
      </w:r>
      <w:r w:rsidR="00744AC3" w:rsidRPr="001D48C3">
        <w:rPr>
          <w:lang w:eastAsia="en-AU"/>
        </w:rPr>
        <w:t>methodology</w:t>
      </w:r>
      <w:r w:rsidR="005204A3" w:rsidRPr="001D48C3">
        <w:rPr>
          <w:lang w:eastAsia="en-AU"/>
        </w:rPr>
        <w:t xml:space="preserve"> outlined in this paper</w:t>
      </w:r>
      <w:r w:rsidR="00744AC3" w:rsidRPr="001D48C3">
        <w:rPr>
          <w:lang w:eastAsia="en-AU"/>
        </w:rPr>
        <w:t xml:space="preserve"> </w:t>
      </w:r>
      <w:r w:rsidRPr="001D48C3">
        <w:rPr>
          <w:lang w:eastAsia="en-AU"/>
        </w:rPr>
        <w:t xml:space="preserve">using the </w:t>
      </w:r>
      <w:r w:rsidR="00D66BF3">
        <w:rPr>
          <w:lang w:eastAsia="en-AU"/>
        </w:rPr>
        <w:t>2014</w:t>
      </w:r>
      <w:r w:rsidR="001D5BF5">
        <w:rPr>
          <w:lang w:eastAsia="en-AU"/>
        </w:rPr>
        <w:noBreakHyphen/>
      </w:r>
      <w:r w:rsidR="00D66BF3">
        <w:rPr>
          <w:lang w:eastAsia="en-AU"/>
        </w:rPr>
        <w:t>15 Budget</w:t>
      </w:r>
      <w:r w:rsidR="00D66BF3" w:rsidRPr="001D48C3">
        <w:rPr>
          <w:lang w:eastAsia="en-AU"/>
        </w:rPr>
        <w:t xml:space="preserve"> </w:t>
      </w:r>
      <w:r w:rsidR="00D66BF3">
        <w:rPr>
          <w:lang w:eastAsia="en-AU"/>
        </w:rPr>
        <w:t>estimates</w:t>
      </w:r>
      <w:r w:rsidR="00D66BF3" w:rsidRPr="001D48C3">
        <w:rPr>
          <w:lang w:eastAsia="en-AU"/>
        </w:rPr>
        <w:t xml:space="preserve"> </w:t>
      </w:r>
      <w:r w:rsidRPr="001D48C3">
        <w:rPr>
          <w:lang w:eastAsia="en-AU"/>
        </w:rPr>
        <w:t>over the forecast period</w:t>
      </w:r>
      <w:r w:rsidR="00F16AD4" w:rsidRPr="001D48C3">
        <w:rPr>
          <w:lang w:eastAsia="en-AU"/>
        </w:rPr>
        <w:t xml:space="preserve"> (</w:t>
      </w:r>
      <w:r w:rsidR="00D66BF3">
        <w:rPr>
          <w:lang w:eastAsia="en-AU"/>
        </w:rPr>
        <w:t>2014</w:t>
      </w:r>
      <w:r w:rsidR="001D5BF5">
        <w:rPr>
          <w:lang w:eastAsia="en-AU"/>
        </w:rPr>
        <w:noBreakHyphen/>
      </w:r>
      <w:r w:rsidR="00D66BF3">
        <w:rPr>
          <w:lang w:eastAsia="en-AU"/>
        </w:rPr>
        <w:t>15 and 2015</w:t>
      </w:r>
      <w:r w:rsidR="001D5BF5">
        <w:rPr>
          <w:lang w:eastAsia="en-AU"/>
        </w:rPr>
        <w:noBreakHyphen/>
      </w:r>
      <w:r w:rsidR="00D66BF3">
        <w:rPr>
          <w:lang w:eastAsia="en-AU"/>
        </w:rPr>
        <w:t>16</w:t>
      </w:r>
      <w:r w:rsidR="00F16AD4" w:rsidRPr="001D48C3">
        <w:rPr>
          <w:lang w:eastAsia="en-AU"/>
        </w:rPr>
        <w:t>)</w:t>
      </w:r>
      <w:r w:rsidRPr="001D48C3">
        <w:rPr>
          <w:lang w:eastAsia="en-AU"/>
        </w:rPr>
        <w:t xml:space="preserve"> and a revised potential output path using updated trend population, participation and productivity assumptions, with </w:t>
      </w:r>
      <w:r w:rsidR="00F16AD4" w:rsidRPr="001D48C3">
        <w:rPr>
          <w:lang w:eastAsia="en-AU"/>
        </w:rPr>
        <w:t xml:space="preserve">the cyclical </w:t>
      </w:r>
      <w:r w:rsidRPr="001D48C3">
        <w:rPr>
          <w:lang w:eastAsia="en-AU"/>
        </w:rPr>
        <w:t xml:space="preserve">estimates </w:t>
      </w:r>
      <w:r w:rsidR="00F16AD4" w:rsidRPr="001D48C3">
        <w:rPr>
          <w:lang w:eastAsia="en-AU"/>
        </w:rPr>
        <w:t xml:space="preserve">of output, employment, productivity and participation </w:t>
      </w:r>
      <w:r w:rsidRPr="001D48C3">
        <w:rPr>
          <w:lang w:eastAsia="en-AU"/>
        </w:rPr>
        <w:t xml:space="preserve">calculated as the deviation of the </w:t>
      </w:r>
      <w:r w:rsidR="00D66BF3">
        <w:rPr>
          <w:lang w:eastAsia="en-AU"/>
        </w:rPr>
        <w:t>2014</w:t>
      </w:r>
      <w:r w:rsidR="001D5BF5">
        <w:rPr>
          <w:lang w:eastAsia="en-AU"/>
        </w:rPr>
        <w:noBreakHyphen/>
      </w:r>
      <w:r w:rsidR="00D66BF3">
        <w:rPr>
          <w:lang w:eastAsia="en-AU"/>
        </w:rPr>
        <w:t>15 Budget</w:t>
      </w:r>
      <w:r w:rsidR="00D66BF3" w:rsidRPr="001D48C3">
        <w:rPr>
          <w:lang w:eastAsia="en-AU"/>
        </w:rPr>
        <w:t xml:space="preserve"> </w:t>
      </w:r>
      <w:r w:rsidRPr="001D48C3">
        <w:rPr>
          <w:lang w:eastAsia="en-AU"/>
        </w:rPr>
        <w:t>forecast from the revised potential output level</w:t>
      </w:r>
      <w:r w:rsidR="00F16AD4" w:rsidRPr="001D48C3">
        <w:rPr>
          <w:lang w:eastAsia="en-AU"/>
        </w:rPr>
        <w:t>.</w:t>
      </w:r>
    </w:p>
    <w:p w14:paraId="7C5C5A30" w14:textId="1D030772" w:rsidR="00167E06" w:rsidRPr="001D48C3" w:rsidRDefault="00167E06" w:rsidP="00963529">
      <w:pPr>
        <w:rPr>
          <w:lang w:eastAsia="en-AU"/>
        </w:rPr>
      </w:pPr>
      <w:r w:rsidRPr="001D48C3">
        <w:rPr>
          <w:lang w:eastAsia="en-AU"/>
        </w:rPr>
        <w:t xml:space="preserve">Applying the methodology described above to estimate </w:t>
      </w:r>
      <w:r w:rsidR="0005785E" w:rsidRPr="001D48C3">
        <w:rPr>
          <w:lang w:eastAsia="en-AU"/>
        </w:rPr>
        <w:t xml:space="preserve">and project </w:t>
      </w:r>
      <w:r w:rsidRPr="001D48C3">
        <w:rPr>
          <w:lang w:eastAsia="en-AU"/>
        </w:rPr>
        <w:t xml:space="preserve">the trend population, participation rate and </w:t>
      </w:r>
      <w:r w:rsidR="0005785E" w:rsidRPr="001D48C3">
        <w:rPr>
          <w:lang w:eastAsia="en-AU"/>
        </w:rPr>
        <w:t xml:space="preserve">labour </w:t>
      </w:r>
      <w:r w:rsidRPr="001D48C3">
        <w:rPr>
          <w:lang w:eastAsia="en-AU"/>
        </w:rPr>
        <w:t xml:space="preserve">productivity results in the potential output growth </w:t>
      </w:r>
      <w:r w:rsidR="0005785E" w:rsidRPr="001D48C3">
        <w:rPr>
          <w:lang w:eastAsia="en-AU"/>
        </w:rPr>
        <w:t>rate</w:t>
      </w:r>
      <w:r w:rsidR="005204A3" w:rsidRPr="001D48C3">
        <w:rPr>
          <w:lang w:eastAsia="en-AU"/>
        </w:rPr>
        <w:t>s</w:t>
      </w:r>
      <w:r w:rsidR="0005785E" w:rsidRPr="001D48C3">
        <w:rPr>
          <w:lang w:eastAsia="en-AU"/>
        </w:rPr>
        <w:t xml:space="preserve"> report</w:t>
      </w:r>
      <w:r w:rsidR="005204A3" w:rsidRPr="001D48C3">
        <w:rPr>
          <w:lang w:eastAsia="en-AU"/>
        </w:rPr>
        <w:t>ed</w:t>
      </w:r>
      <w:r w:rsidR="0005785E" w:rsidRPr="001D48C3">
        <w:rPr>
          <w:lang w:eastAsia="en-AU"/>
        </w:rPr>
        <w:t xml:space="preserve"> </w:t>
      </w:r>
      <w:r w:rsidR="00163675" w:rsidRPr="001D48C3">
        <w:rPr>
          <w:lang w:eastAsia="en-AU"/>
        </w:rPr>
        <w:t xml:space="preserve">in </w:t>
      </w:r>
      <w:r w:rsidR="0005785E" w:rsidRPr="001D48C3">
        <w:rPr>
          <w:lang w:eastAsia="en-AU"/>
        </w:rPr>
        <w:fldChar w:fldCharType="begin"/>
      </w:r>
      <w:r w:rsidR="0005785E" w:rsidRPr="001D48C3">
        <w:rPr>
          <w:lang w:eastAsia="en-AU"/>
        </w:rPr>
        <w:instrText xml:space="preserve"> REF _Ref385431888 \h </w:instrText>
      </w:r>
      <w:r w:rsidR="0005785E" w:rsidRPr="001D48C3">
        <w:rPr>
          <w:lang w:eastAsia="en-AU"/>
        </w:rPr>
      </w:r>
      <w:r w:rsidR="0005785E" w:rsidRPr="001D48C3">
        <w:rPr>
          <w:lang w:eastAsia="en-AU"/>
        </w:rPr>
        <w:fldChar w:fldCharType="separate"/>
      </w:r>
      <w:r w:rsidR="00C65A3D" w:rsidRPr="001D48C3">
        <w:t xml:space="preserve">Chart </w:t>
      </w:r>
      <w:r w:rsidR="00C65A3D">
        <w:rPr>
          <w:noProof/>
        </w:rPr>
        <w:t>4</w:t>
      </w:r>
      <w:r w:rsidR="0005785E" w:rsidRPr="001D48C3">
        <w:rPr>
          <w:lang w:eastAsia="en-AU"/>
        </w:rPr>
        <w:fldChar w:fldCharType="end"/>
      </w:r>
      <w:r w:rsidRPr="001D48C3">
        <w:rPr>
          <w:lang w:eastAsia="en-AU"/>
        </w:rPr>
        <w:t xml:space="preserve">. Annual potential </w:t>
      </w:r>
      <w:r w:rsidR="00C955C7" w:rsidRPr="001D48C3">
        <w:rPr>
          <w:lang w:eastAsia="en-AU"/>
        </w:rPr>
        <w:t>output</w:t>
      </w:r>
      <w:r w:rsidR="00761205" w:rsidRPr="001D48C3">
        <w:rPr>
          <w:lang w:eastAsia="en-AU"/>
        </w:rPr>
        <w:t xml:space="preserve"> growth</w:t>
      </w:r>
      <w:r w:rsidR="00C955C7" w:rsidRPr="001D48C3">
        <w:rPr>
          <w:lang w:eastAsia="en-AU"/>
        </w:rPr>
        <w:t xml:space="preserve"> </w:t>
      </w:r>
      <w:r w:rsidR="00761205" w:rsidRPr="001D48C3">
        <w:rPr>
          <w:lang w:eastAsia="en-AU"/>
        </w:rPr>
        <w:t xml:space="preserve">is expected to </w:t>
      </w:r>
      <w:r w:rsidRPr="001D48C3">
        <w:rPr>
          <w:lang w:eastAsia="en-AU"/>
        </w:rPr>
        <w:t xml:space="preserve">slow from </w:t>
      </w:r>
      <w:r w:rsidR="0005785E" w:rsidRPr="001D48C3">
        <w:rPr>
          <w:lang w:eastAsia="en-AU"/>
        </w:rPr>
        <w:t xml:space="preserve">an </w:t>
      </w:r>
      <w:r w:rsidRPr="001D48C3">
        <w:rPr>
          <w:lang w:eastAsia="en-AU"/>
        </w:rPr>
        <w:t>estimate of around 3</w:t>
      </w:r>
      <w:r w:rsidR="006657FE" w:rsidRPr="001D48C3">
        <w:rPr>
          <w:lang w:eastAsia="en-AU"/>
        </w:rPr>
        <w:t>¼ per cent</w:t>
      </w:r>
      <w:r w:rsidR="00163675" w:rsidRPr="001D48C3">
        <w:rPr>
          <w:lang w:eastAsia="en-AU"/>
        </w:rPr>
        <w:t xml:space="preserve"> at the end of the forecast period </w:t>
      </w:r>
      <w:r w:rsidR="006657FE" w:rsidRPr="001D48C3">
        <w:rPr>
          <w:lang w:eastAsia="en-AU"/>
        </w:rPr>
        <w:t>to around 3 per cent</w:t>
      </w:r>
      <w:r w:rsidR="00F658DB" w:rsidRPr="001D48C3">
        <w:rPr>
          <w:lang w:eastAsia="en-AU"/>
        </w:rPr>
        <w:t xml:space="preserve"> over the projection period</w:t>
      </w:r>
      <w:r w:rsidR="006657FE" w:rsidRPr="001D48C3">
        <w:rPr>
          <w:lang w:eastAsia="en-AU"/>
        </w:rPr>
        <w:t>,</w:t>
      </w:r>
      <w:r w:rsidRPr="001D48C3">
        <w:rPr>
          <w:lang w:eastAsia="en-AU"/>
        </w:rPr>
        <w:t xml:space="preserve"> as participation fall</w:t>
      </w:r>
      <w:r w:rsidR="006657FE" w:rsidRPr="001D48C3">
        <w:rPr>
          <w:lang w:eastAsia="en-AU"/>
        </w:rPr>
        <w:t>s</w:t>
      </w:r>
      <w:r w:rsidRPr="001D48C3">
        <w:rPr>
          <w:lang w:eastAsia="en-AU"/>
        </w:rPr>
        <w:t xml:space="preserve"> with the ageing of the population.</w:t>
      </w:r>
    </w:p>
    <w:p w14:paraId="7DFCE3B6" w14:textId="77777777" w:rsidR="007236C2" w:rsidRPr="001D48C3" w:rsidRDefault="007236C2" w:rsidP="001D48C3">
      <w:pPr>
        <w:pStyle w:val="CaptionHeading1"/>
      </w:pPr>
      <w:bookmarkStart w:id="8" w:name="_Ref385431888"/>
      <w:r w:rsidRPr="001D48C3">
        <w:t xml:space="preserve">Chart </w:t>
      </w:r>
      <w:r w:rsidR="00711272">
        <w:fldChar w:fldCharType="begin"/>
      </w:r>
      <w:r w:rsidR="00711272">
        <w:instrText xml:space="preserve"> SEQ Chart \* ARABIC </w:instrText>
      </w:r>
      <w:r w:rsidR="00711272">
        <w:fldChar w:fldCharType="separate"/>
      </w:r>
      <w:r w:rsidR="00C65A3D">
        <w:rPr>
          <w:noProof/>
        </w:rPr>
        <w:t>4</w:t>
      </w:r>
      <w:r w:rsidR="00711272">
        <w:rPr>
          <w:noProof/>
        </w:rPr>
        <w:fldChar w:fldCharType="end"/>
      </w:r>
      <w:bookmarkEnd w:id="8"/>
      <w:r w:rsidRPr="001D48C3">
        <w:t xml:space="preserve">: </w:t>
      </w:r>
      <w:r w:rsidR="00D91918" w:rsidRPr="001D48C3">
        <w:t>3P</w:t>
      </w:r>
      <w:r w:rsidR="002E4505" w:rsidRPr="001D48C3">
        <w:t xml:space="preserve">s contribution </w:t>
      </w:r>
      <w:r w:rsidRPr="001D48C3">
        <w:t>to potential output growth</w:t>
      </w:r>
    </w:p>
    <w:p w14:paraId="69B8BC1E" w14:textId="7BF65D60" w:rsidR="00167E06" w:rsidRDefault="00EC5040" w:rsidP="00237D09">
      <w:pPr>
        <w:pStyle w:val="ChartGraphic"/>
      </w:pPr>
      <w:r>
        <w:object w:dxaOrig="8775" w:dyaOrig="4530" w14:anchorId="630585F1">
          <v:shape id="_x0000_i1085" type="#_x0000_t75" alt="This chart shows the projections of potential output growth, decomposed into its components - trend working age population, trend labour force participation and trend productivity, from 2012-13 to 2024-25. " style="width:438.75pt;height:226.5pt" o:ole="">
            <v:imagedata r:id="rId141" o:title=""/>
          </v:shape>
          <o:OLEObject Type="Link" ProgID="Excel.Sheet.12" ShapeID="_x0000_i1085" DrawAspect="Content" r:id="rId142" UpdateMode="Always">
            <o:LinkType>EnhancedMetaFile</o:LinkType>
            <o:LockedField>false</o:LockedField>
          </o:OLEObject>
        </w:object>
      </w:r>
    </w:p>
    <w:p w14:paraId="2163477C" w14:textId="77777777" w:rsidR="00237D09" w:rsidRPr="001D48C3" w:rsidRDefault="00237D09" w:rsidP="00237D09">
      <w:pPr>
        <w:pStyle w:val="SingleParagraph"/>
        <w:rPr>
          <w:lang w:eastAsia="en-AU"/>
        </w:rPr>
      </w:pPr>
    </w:p>
    <w:p w14:paraId="6F15C69A" w14:textId="1E1C596A" w:rsidR="00F16AD4" w:rsidRPr="001D48C3" w:rsidRDefault="00F658DB" w:rsidP="00963529">
      <w:pPr>
        <w:rPr>
          <w:lang w:eastAsia="en-AU"/>
        </w:rPr>
      </w:pPr>
      <w:r w:rsidRPr="001D48C3">
        <w:rPr>
          <w:lang w:eastAsia="en-AU"/>
        </w:rPr>
        <w:t xml:space="preserve">The </w:t>
      </w:r>
      <w:r w:rsidR="0005785E" w:rsidRPr="001D48C3">
        <w:rPr>
          <w:lang w:eastAsia="en-AU"/>
        </w:rPr>
        <w:t>unemployment gap at the end of the forecast period is estimated to be 1.</w:t>
      </w:r>
      <w:r w:rsidR="009B28EF" w:rsidRPr="001D48C3">
        <w:rPr>
          <w:lang w:eastAsia="en-AU"/>
        </w:rPr>
        <w:t>2</w:t>
      </w:r>
      <w:r w:rsidR="0005785E" w:rsidRPr="001D48C3">
        <w:rPr>
          <w:lang w:eastAsia="en-AU"/>
        </w:rPr>
        <w:t xml:space="preserve">5 percentage </w:t>
      </w:r>
      <w:r w:rsidR="00DC0FA1" w:rsidRPr="001D48C3">
        <w:rPr>
          <w:lang w:eastAsia="en-AU"/>
        </w:rPr>
        <w:t xml:space="preserve">points, </w:t>
      </w:r>
      <w:r w:rsidR="0005785E" w:rsidRPr="001D48C3">
        <w:rPr>
          <w:lang w:eastAsia="en-AU"/>
        </w:rPr>
        <w:t xml:space="preserve">while </w:t>
      </w:r>
      <w:r w:rsidR="00DC0FA1" w:rsidRPr="001D48C3">
        <w:rPr>
          <w:lang w:eastAsia="en-AU"/>
        </w:rPr>
        <w:t xml:space="preserve">the </w:t>
      </w:r>
      <w:r w:rsidRPr="001D48C3">
        <w:rPr>
          <w:lang w:eastAsia="en-AU"/>
        </w:rPr>
        <w:t>output gap is estimated to be</w:t>
      </w:r>
      <w:r w:rsidR="0005785E" w:rsidRPr="001D48C3">
        <w:rPr>
          <w:lang w:eastAsia="en-AU"/>
        </w:rPr>
        <w:t xml:space="preserve"> </w:t>
      </w:r>
      <w:r w:rsidR="00B45E23">
        <w:rPr>
          <w:lang w:eastAsia="en-AU"/>
        </w:rPr>
        <w:t>2.1</w:t>
      </w:r>
      <w:r w:rsidRPr="001D48C3">
        <w:rPr>
          <w:lang w:eastAsia="en-AU"/>
        </w:rPr>
        <w:t xml:space="preserve"> per cent of potential output, </w:t>
      </w:r>
      <w:r w:rsidR="0005785E" w:rsidRPr="001D48C3">
        <w:rPr>
          <w:lang w:eastAsia="en-AU"/>
        </w:rPr>
        <w:t xml:space="preserve">which is </w:t>
      </w:r>
      <w:r w:rsidR="00E237B4" w:rsidRPr="001D48C3">
        <w:rPr>
          <w:lang w:eastAsia="en-AU"/>
        </w:rPr>
        <w:t xml:space="preserve">broadly </w:t>
      </w:r>
      <w:r w:rsidR="0005785E" w:rsidRPr="001D48C3">
        <w:rPr>
          <w:lang w:eastAsia="en-AU"/>
        </w:rPr>
        <w:t xml:space="preserve">consistent with </w:t>
      </w:r>
      <w:r w:rsidR="00DC0FA1" w:rsidRPr="001D48C3">
        <w:rPr>
          <w:lang w:eastAsia="en-AU"/>
        </w:rPr>
        <w:t xml:space="preserve">empirical estimates of </w:t>
      </w:r>
      <w:r w:rsidR="0005785E" w:rsidRPr="001D48C3">
        <w:rPr>
          <w:lang w:eastAsia="en-AU"/>
        </w:rPr>
        <w:t>Okun</w:t>
      </w:r>
      <w:r w:rsidR="001D5BF5">
        <w:rPr>
          <w:lang w:eastAsia="en-AU"/>
        </w:rPr>
        <w:t>’</w:t>
      </w:r>
      <w:r w:rsidR="0005785E" w:rsidRPr="001D48C3">
        <w:rPr>
          <w:lang w:eastAsia="en-AU"/>
        </w:rPr>
        <w:t xml:space="preserve">s </w:t>
      </w:r>
      <w:r w:rsidR="0042312F" w:rsidRPr="001D48C3">
        <w:rPr>
          <w:lang w:eastAsia="en-AU"/>
        </w:rPr>
        <w:t>law</w:t>
      </w:r>
      <w:r w:rsidR="0005785E" w:rsidRPr="001D48C3">
        <w:rPr>
          <w:lang w:eastAsia="en-AU"/>
        </w:rPr>
        <w:t xml:space="preserve">. </w:t>
      </w:r>
      <w:r w:rsidRPr="001D48C3">
        <w:rPr>
          <w:lang w:eastAsia="en-AU"/>
        </w:rPr>
        <w:t xml:space="preserve">Following the </w:t>
      </w:r>
      <w:r w:rsidR="00DC0FA1" w:rsidRPr="001D48C3">
        <w:rPr>
          <w:lang w:eastAsia="en-AU"/>
        </w:rPr>
        <w:t xml:space="preserve">cyclical adjustment </w:t>
      </w:r>
      <w:r w:rsidRPr="001D48C3">
        <w:rPr>
          <w:lang w:eastAsia="en-AU"/>
        </w:rPr>
        <w:t xml:space="preserve">methodology these gaps </w:t>
      </w:r>
      <w:r w:rsidR="00167E06" w:rsidRPr="001D48C3">
        <w:rPr>
          <w:lang w:eastAsia="en-AU"/>
        </w:rPr>
        <w:t xml:space="preserve">are closed over the five year period </w:t>
      </w:r>
      <w:r w:rsidRPr="001D48C3">
        <w:rPr>
          <w:lang w:eastAsia="en-AU"/>
        </w:rPr>
        <w:t xml:space="preserve">from </w:t>
      </w:r>
      <w:r w:rsidR="00D66BF3" w:rsidRPr="001D48C3">
        <w:rPr>
          <w:lang w:eastAsia="en-AU"/>
        </w:rPr>
        <w:t>201</w:t>
      </w:r>
      <w:r w:rsidR="00883F59">
        <w:rPr>
          <w:lang w:eastAsia="en-AU"/>
        </w:rPr>
        <w:t>6</w:t>
      </w:r>
      <w:r w:rsidR="001D5BF5">
        <w:rPr>
          <w:lang w:eastAsia="en-AU"/>
        </w:rPr>
        <w:noBreakHyphen/>
      </w:r>
      <w:r w:rsidR="00D66BF3" w:rsidRPr="001D48C3">
        <w:rPr>
          <w:lang w:eastAsia="en-AU"/>
        </w:rPr>
        <w:t>1</w:t>
      </w:r>
      <w:r w:rsidR="00D66BF3">
        <w:rPr>
          <w:lang w:eastAsia="en-AU"/>
        </w:rPr>
        <w:t>7</w:t>
      </w:r>
      <w:r w:rsidR="00D66BF3" w:rsidRPr="001D48C3">
        <w:rPr>
          <w:lang w:eastAsia="en-AU"/>
        </w:rPr>
        <w:t xml:space="preserve"> </w:t>
      </w:r>
      <w:r w:rsidR="00167E06" w:rsidRPr="001D48C3">
        <w:rPr>
          <w:lang w:eastAsia="en-AU"/>
        </w:rPr>
        <w:t xml:space="preserve">to </w:t>
      </w:r>
      <w:r w:rsidR="00D66BF3" w:rsidRPr="001D48C3">
        <w:rPr>
          <w:lang w:eastAsia="en-AU"/>
        </w:rPr>
        <w:t>20</w:t>
      </w:r>
      <w:r w:rsidR="00D66BF3">
        <w:rPr>
          <w:lang w:eastAsia="en-AU"/>
        </w:rPr>
        <w:t>20</w:t>
      </w:r>
      <w:r w:rsidR="001D5BF5">
        <w:rPr>
          <w:lang w:eastAsia="en-AU"/>
        </w:rPr>
        <w:noBreakHyphen/>
      </w:r>
      <w:r w:rsidR="00D66BF3" w:rsidRPr="001D48C3">
        <w:rPr>
          <w:lang w:eastAsia="en-AU"/>
        </w:rPr>
        <w:t>2</w:t>
      </w:r>
      <w:r w:rsidR="00D66BF3">
        <w:rPr>
          <w:lang w:eastAsia="en-AU"/>
        </w:rPr>
        <w:t>1</w:t>
      </w:r>
      <w:r w:rsidRPr="001D48C3">
        <w:rPr>
          <w:lang w:eastAsia="en-AU"/>
        </w:rPr>
        <w:t xml:space="preserve">, with both gaps held at zero thereafter </w:t>
      </w:r>
      <w:r w:rsidR="00491230">
        <w:rPr>
          <w:lang w:eastAsia="en-AU"/>
        </w:rPr>
        <w:br/>
      </w:r>
      <w:r w:rsidR="00167E06" w:rsidRPr="001D48C3">
        <w:rPr>
          <w:lang w:eastAsia="en-AU"/>
        </w:rPr>
        <w:t>(</w:t>
      </w:r>
      <w:r w:rsidR="00DC0FA1" w:rsidRPr="001D48C3">
        <w:rPr>
          <w:lang w:eastAsia="en-AU"/>
        </w:rPr>
        <w:fldChar w:fldCharType="begin"/>
      </w:r>
      <w:r w:rsidR="00DC0FA1" w:rsidRPr="001D48C3">
        <w:rPr>
          <w:lang w:eastAsia="en-AU"/>
        </w:rPr>
        <w:instrText xml:space="preserve"> REF _Ref385432045 \h </w:instrText>
      </w:r>
      <w:r w:rsidR="00DC0FA1" w:rsidRPr="001D48C3">
        <w:rPr>
          <w:lang w:eastAsia="en-AU"/>
        </w:rPr>
      </w:r>
      <w:r w:rsidR="00DC0FA1" w:rsidRPr="001D48C3">
        <w:rPr>
          <w:lang w:eastAsia="en-AU"/>
        </w:rPr>
        <w:fldChar w:fldCharType="separate"/>
      </w:r>
      <w:r w:rsidR="00C65A3D" w:rsidRPr="001D48C3">
        <w:t xml:space="preserve">Chart </w:t>
      </w:r>
      <w:r w:rsidR="00C65A3D">
        <w:rPr>
          <w:noProof/>
        </w:rPr>
        <w:t>5</w:t>
      </w:r>
      <w:r w:rsidR="00DC0FA1" w:rsidRPr="001D48C3">
        <w:rPr>
          <w:lang w:eastAsia="en-AU"/>
        </w:rPr>
        <w:fldChar w:fldCharType="end"/>
      </w:r>
      <w:r w:rsidR="00167E06" w:rsidRPr="001D48C3">
        <w:rPr>
          <w:lang w:eastAsia="en-AU"/>
        </w:rPr>
        <w:t>).</w:t>
      </w:r>
    </w:p>
    <w:p w14:paraId="3170FDE1" w14:textId="77777777" w:rsidR="007236C2" w:rsidRPr="001D48C3" w:rsidRDefault="007236C2" w:rsidP="001D48C3">
      <w:pPr>
        <w:pStyle w:val="CaptionHeading1"/>
      </w:pPr>
      <w:bookmarkStart w:id="9" w:name="_Ref385432045"/>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5</w:t>
      </w:r>
      <w:r w:rsidR="00711272">
        <w:rPr>
          <w:noProof/>
        </w:rPr>
        <w:fldChar w:fldCharType="end"/>
      </w:r>
      <w:bookmarkEnd w:id="9"/>
      <w:r w:rsidRPr="001D48C3">
        <w:t xml:space="preserve">: Output and unemployment </w:t>
      </w:r>
      <w:r w:rsidR="00DC0FA1" w:rsidRPr="001D48C3">
        <w:t>gaps</w:t>
      </w:r>
    </w:p>
    <w:p w14:paraId="56C864D9" w14:textId="00A9BB87" w:rsidR="00167E06" w:rsidRDefault="00EC5040" w:rsidP="00237D09">
      <w:pPr>
        <w:pStyle w:val="ChartGraphic"/>
      </w:pPr>
      <w:r>
        <w:object w:dxaOrig="8745" w:dyaOrig="3961" w14:anchorId="229AEF13">
          <v:shape id="_x0000_i1086" type="#_x0000_t75" alt="This chart plots projections of the output and unemployment gaps from June 1980 to June 2025. The chart shows the gaps closing from June 2016 to June 2021." style="width:437.25pt;height:198pt" o:ole="">
            <v:imagedata r:id="rId143" o:title=""/>
          </v:shape>
          <o:OLEObject Type="Link" ProgID="Excel.Sheet.12" ShapeID="_x0000_i1086" DrawAspect="Content" r:id="rId144" UpdateMode="Always">
            <o:LinkType>EnhancedMetaFile</o:LinkType>
            <o:LockedField>false</o:LockedField>
          </o:OLEObject>
        </w:object>
      </w:r>
    </w:p>
    <w:p w14:paraId="6C595E26" w14:textId="77777777" w:rsidR="00237D09" w:rsidRPr="00237D09" w:rsidRDefault="00237D09" w:rsidP="00230266">
      <w:pPr>
        <w:rPr>
          <w:lang w:eastAsia="en-AU"/>
        </w:rPr>
      </w:pPr>
    </w:p>
    <w:p w14:paraId="60D1B6F1" w14:textId="2F2A6EDF" w:rsidR="00F1502C" w:rsidRPr="001D48C3" w:rsidRDefault="00C71B0B" w:rsidP="00963529">
      <w:pPr>
        <w:rPr>
          <w:lang w:eastAsia="ja-JP"/>
        </w:rPr>
      </w:pPr>
      <w:r w:rsidRPr="001D48C3">
        <w:rPr>
          <w:lang w:eastAsia="ja-JP"/>
        </w:rPr>
        <w:t xml:space="preserve">Over the cyclical adjustment period there is strong growth in </w:t>
      </w:r>
      <w:r w:rsidR="0042312F" w:rsidRPr="001D48C3">
        <w:rPr>
          <w:lang w:eastAsia="ja-JP"/>
        </w:rPr>
        <w:t xml:space="preserve">real </w:t>
      </w:r>
      <w:r w:rsidRPr="001D48C3">
        <w:rPr>
          <w:lang w:eastAsia="ja-JP"/>
        </w:rPr>
        <w:t>output due to the closing of the output gap</w:t>
      </w:r>
      <w:r w:rsidR="0042312F" w:rsidRPr="001D48C3">
        <w:rPr>
          <w:lang w:eastAsia="ja-JP"/>
        </w:rPr>
        <w:t xml:space="preserve">, with real output </w:t>
      </w:r>
      <w:r w:rsidR="00163675" w:rsidRPr="001D48C3">
        <w:rPr>
          <w:lang w:eastAsia="ja-JP"/>
        </w:rPr>
        <w:t xml:space="preserve">projected </w:t>
      </w:r>
      <w:r w:rsidR="0042312F" w:rsidRPr="001D48C3">
        <w:rPr>
          <w:lang w:eastAsia="ja-JP"/>
        </w:rPr>
        <w:t xml:space="preserve">to grow by </w:t>
      </w:r>
      <w:r w:rsidR="00E63E7F" w:rsidRPr="001D48C3">
        <w:rPr>
          <w:lang w:eastAsia="ja-JP"/>
        </w:rPr>
        <w:t>3</w:t>
      </w:r>
      <w:r w:rsidR="00DA22B0" w:rsidRPr="001D48C3">
        <w:rPr>
          <w:lang w:eastAsia="ja-JP"/>
        </w:rPr>
        <w:t>½</w:t>
      </w:r>
      <w:r w:rsidR="0042312F" w:rsidRPr="001D48C3">
        <w:rPr>
          <w:lang w:eastAsia="ja-JP"/>
        </w:rPr>
        <w:t xml:space="preserve"> per cent per year</w:t>
      </w:r>
      <w:r w:rsidR="00817D6C" w:rsidRPr="001D48C3">
        <w:rPr>
          <w:lang w:eastAsia="ja-JP"/>
        </w:rPr>
        <w:t xml:space="preserve"> (</w:t>
      </w:r>
      <w:r w:rsidR="00817D6C" w:rsidRPr="001D48C3">
        <w:rPr>
          <w:lang w:eastAsia="ja-JP"/>
        </w:rPr>
        <w:fldChar w:fldCharType="begin"/>
      </w:r>
      <w:r w:rsidR="00817D6C" w:rsidRPr="001D48C3">
        <w:rPr>
          <w:lang w:eastAsia="ja-JP"/>
        </w:rPr>
        <w:instrText xml:space="preserve"> REF _Ref385433319 \h </w:instrText>
      </w:r>
      <w:r w:rsidR="00817D6C" w:rsidRPr="001D48C3">
        <w:rPr>
          <w:lang w:eastAsia="ja-JP"/>
        </w:rPr>
      </w:r>
      <w:r w:rsidR="00817D6C" w:rsidRPr="001D48C3">
        <w:rPr>
          <w:lang w:eastAsia="ja-JP"/>
        </w:rPr>
        <w:fldChar w:fldCharType="separate"/>
      </w:r>
      <w:r w:rsidR="00C65A3D" w:rsidRPr="001D48C3">
        <w:t xml:space="preserve">Chart </w:t>
      </w:r>
      <w:r w:rsidR="00C65A3D">
        <w:rPr>
          <w:noProof/>
        </w:rPr>
        <w:t>6</w:t>
      </w:r>
      <w:r w:rsidR="00817D6C" w:rsidRPr="001D48C3">
        <w:rPr>
          <w:lang w:eastAsia="ja-JP"/>
        </w:rPr>
        <w:fldChar w:fldCharType="end"/>
      </w:r>
      <w:r w:rsidR="00817D6C" w:rsidRPr="001D48C3">
        <w:rPr>
          <w:lang w:eastAsia="ja-JP"/>
        </w:rPr>
        <w:t>)</w:t>
      </w:r>
      <w:r w:rsidR="00322190" w:rsidRPr="001D48C3">
        <w:rPr>
          <w:lang w:eastAsia="ja-JP"/>
        </w:rPr>
        <w:t>.</w:t>
      </w:r>
    </w:p>
    <w:p w14:paraId="68641AC8" w14:textId="77777777" w:rsidR="00713344" w:rsidRPr="001D48C3" w:rsidRDefault="00713344" w:rsidP="001D48C3">
      <w:pPr>
        <w:pStyle w:val="CaptionHeading1"/>
      </w:pPr>
      <w:bookmarkStart w:id="10" w:name="_Ref385433319"/>
      <w:r w:rsidRPr="001D48C3">
        <w:t xml:space="preserve">Chart </w:t>
      </w:r>
      <w:r w:rsidR="00711272">
        <w:fldChar w:fldCharType="begin"/>
      </w:r>
      <w:r w:rsidR="00711272">
        <w:instrText xml:space="preserve"> SEQ Chart \* ARABIC </w:instrText>
      </w:r>
      <w:r w:rsidR="00711272">
        <w:fldChar w:fldCharType="separate"/>
      </w:r>
      <w:r w:rsidR="00C65A3D">
        <w:rPr>
          <w:noProof/>
        </w:rPr>
        <w:t>6</w:t>
      </w:r>
      <w:r w:rsidR="00711272">
        <w:rPr>
          <w:noProof/>
        </w:rPr>
        <w:fldChar w:fldCharType="end"/>
      </w:r>
      <w:bookmarkEnd w:id="10"/>
      <w:r w:rsidRPr="001D48C3">
        <w:t>: Nominal GDP growth</w:t>
      </w:r>
    </w:p>
    <w:p w14:paraId="636465B0" w14:textId="76AFE804" w:rsidR="0025690C" w:rsidRDefault="00EC5040" w:rsidP="00237D09">
      <w:pPr>
        <w:pStyle w:val="ChartGraphic"/>
      </w:pPr>
      <w:r>
        <w:object w:dxaOrig="8775" w:dyaOrig="4530" w14:anchorId="19027E60">
          <v:shape id="_x0000_i1087" type="#_x0000_t75" alt="This chart plots forecasts and projections of nominal GDP growth, decomposed into growth in real output and prices." style="width:438.75pt;height:226.5pt" o:ole="">
            <v:imagedata r:id="rId145" o:title=""/>
          </v:shape>
          <o:OLEObject Type="Link" ProgID="Excel.Sheet.12" ShapeID="_x0000_i1087" DrawAspect="Content" r:id="rId146" UpdateMode="Always">
            <o:LinkType>EnhancedMetaFile</o:LinkType>
            <o:LockedField>false</o:LockedField>
          </o:OLEObject>
        </w:object>
      </w:r>
    </w:p>
    <w:p w14:paraId="4A694B2A" w14:textId="77777777" w:rsidR="00237D09" w:rsidRPr="00237D09" w:rsidRDefault="00237D09" w:rsidP="00230266">
      <w:pPr>
        <w:rPr>
          <w:lang w:eastAsia="en-AU"/>
        </w:rPr>
      </w:pPr>
    </w:p>
    <w:p w14:paraId="1D9DF485" w14:textId="439271C9" w:rsidR="002E0312" w:rsidRPr="001D48C3" w:rsidRDefault="0042312F" w:rsidP="004A06B5">
      <w:pPr>
        <w:rPr>
          <w:lang w:eastAsia="ja-JP"/>
        </w:rPr>
      </w:pPr>
      <w:r w:rsidRPr="001D48C3">
        <w:rPr>
          <w:lang w:eastAsia="ja-JP"/>
        </w:rPr>
        <w:t xml:space="preserve">Nominal unit labour costs respond to the unemployment gap </w:t>
      </w:r>
      <w:r w:rsidRPr="001D48C3">
        <w:rPr>
          <w:rFonts w:eastAsiaTheme="minorEastAsia"/>
          <w:szCs w:val="20"/>
          <w:lang w:eastAsia="ja-JP"/>
        </w:rPr>
        <w:t>and</w:t>
      </w:r>
      <w:r w:rsidRPr="001D48C3">
        <w:rPr>
          <w:lang w:eastAsia="ja-JP"/>
        </w:rPr>
        <w:t xml:space="preserve"> </w:t>
      </w:r>
      <w:r w:rsidRPr="001D48C3">
        <w:rPr>
          <w:rFonts w:eastAsiaTheme="minorEastAsia"/>
          <w:szCs w:val="20"/>
          <w:lang w:eastAsia="ja-JP"/>
        </w:rPr>
        <w:t xml:space="preserve">lagged </w:t>
      </w:r>
      <w:r w:rsidR="005A6334" w:rsidRPr="001D48C3">
        <w:rPr>
          <w:rFonts w:eastAsiaTheme="minorEastAsia"/>
          <w:szCs w:val="20"/>
          <w:lang w:eastAsia="ja-JP"/>
        </w:rPr>
        <w:t xml:space="preserve">growth in </w:t>
      </w:r>
      <w:r w:rsidRPr="001D48C3">
        <w:rPr>
          <w:rFonts w:eastAsiaTheme="minorEastAsia"/>
          <w:szCs w:val="20"/>
          <w:lang w:eastAsia="ja-JP"/>
        </w:rPr>
        <w:t>expenditure pr</w:t>
      </w:r>
      <w:r w:rsidR="00F06F2B" w:rsidRPr="001D48C3">
        <w:rPr>
          <w:rFonts w:eastAsiaTheme="minorEastAsia"/>
          <w:szCs w:val="20"/>
          <w:lang w:eastAsia="ja-JP"/>
        </w:rPr>
        <w:t xml:space="preserve">ices (equation </w:t>
      </w:r>
      <w:r w:rsidR="00ED39D5" w:rsidRPr="001D48C3">
        <w:rPr>
          <w:rFonts w:eastAsiaTheme="minorEastAsia"/>
          <w:szCs w:val="20"/>
          <w:lang w:eastAsia="ja-JP"/>
        </w:rPr>
        <w:t>28</w:t>
      </w:r>
      <w:r w:rsidR="00F06F2B" w:rsidRPr="001D48C3">
        <w:rPr>
          <w:rFonts w:eastAsiaTheme="minorEastAsia"/>
          <w:szCs w:val="20"/>
          <w:lang w:eastAsia="ja-JP"/>
        </w:rPr>
        <w:t xml:space="preserve">). </w:t>
      </w:r>
      <w:r w:rsidR="002E0312" w:rsidRPr="001D48C3">
        <w:rPr>
          <w:lang w:eastAsia="ja-JP"/>
        </w:rPr>
        <w:t>W</w:t>
      </w:r>
      <w:r w:rsidR="004A06B5" w:rsidRPr="001D48C3">
        <w:rPr>
          <w:rFonts w:eastAsiaTheme="minorEastAsia"/>
          <w:szCs w:val="20"/>
          <w:lang w:eastAsia="ja-JP"/>
        </w:rPr>
        <w:t>age growth is below its long</w:t>
      </w:r>
      <w:r w:rsidR="001D5BF5">
        <w:rPr>
          <w:rFonts w:eastAsiaTheme="minorEastAsia"/>
          <w:szCs w:val="20"/>
          <w:lang w:eastAsia="ja-JP"/>
        </w:rPr>
        <w:noBreakHyphen/>
      </w:r>
      <w:r w:rsidR="004A06B5" w:rsidRPr="001D48C3">
        <w:rPr>
          <w:rFonts w:eastAsiaTheme="minorEastAsia"/>
          <w:szCs w:val="20"/>
          <w:lang w:eastAsia="ja-JP"/>
        </w:rPr>
        <w:t>run rate of 4 per cent over the cyclical</w:t>
      </w:r>
      <w:r w:rsidR="001D5BF5">
        <w:rPr>
          <w:rFonts w:eastAsiaTheme="minorEastAsia"/>
          <w:szCs w:val="20"/>
          <w:lang w:eastAsia="ja-JP"/>
        </w:rPr>
        <w:noBreakHyphen/>
      </w:r>
      <w:r w:rsidR="004A06B5" w:rsidRPr="001D48C3">
        <w:rPr>
          <w:rFonts w:eastAsiaTheme="minorEastAsia"/>
          <w:szCs w:val="20"/>
          <w:lang w:eastAsia="ja-JP"/>
        </w:rPr>
        <w:t>adjustment period</w:t>
      </w:r>
      <w:r w:rsidR="002E0312" w:rsidRPr="001D48C3">
        <w:rPr>
          <w:rFonts w:eastAsiaTheme="minorEastAsia"/>
          <w:szCs w:val="20"/>
          <w:lang w:eastAsia="ja-JP"/>
        </w:rPr>
        <w:t xml:space="preserve"> (</w:t>
      </w:r>
      <w:r w:rsidR="002E0312" w:rsidRPr="001D48C3">
        <w:rPr>
          <w:rFonts w:eastAsiaTheme="minorEastAsia"/>
          <w:szCs w:val="20"/>
          <w:lang w:eastAsia="ja-JP"/>
        </w:rPr>
        <w:fldChar w:fldCharType="begin"/>
      </w:r>
      <w:r w:rsidR="002E0312" w:rsidRPr="001D48C3">
        <w:rPr>
          <w:rFonts w:eastAsiaTheme="minorEastAsia"/>
          <w:szCs w:val="20"/>
          <w:lang w:eastAsia="ja-JP"/>
        </w:rPr>
        <w:instrText xml:space="preserve"> REF _Ref385440206 \h </w:instrText>
      </w:r>
      <w:r w:rsidR="002E0312" w:rsidRPr="001D48C3">
        <w:rPr>
          <w:rFonts w:eastAsiaTheme="minorEastAsia"/>
          <w:szCs w:val="20"/>
          <w:lang w:eastAsia="ja-JP"/>
        </w:rPr>
      </w:r>
      <w:r w:rsidR="002E0312" w:rsidRPr="001D48C3">
        <w:rPr>
          <w:rFonts w:eastAsiaTheme="minorEastAsia"/>
          <w:szCs w:val="20"/>
          <w:lang w:eastAsia="ja-JP"/>
        </w:rPr>
        <w:fldChar w:fldCharType="separate"/>
      </w:r>
      <w:r w:rsidR="00C65A3D" w:rsidRPr="001D48C3">
        <w:t xml:space="preserve">Chart </w:t>
      </w:r>
      <w:r w:rsidR="00C65A3D">
        <w:rPr>
          <w:noProof/>
        </w:rPr>
        <w:t>7</w:t>
      </w:r>
      <w:r w:rsidR="002E0312" w:rsidRPr="001D48C3">
        <w:rPr>
          <w:rFonts w:eastAsiaTheme="minorEastAsia"/>
          <w:szCs w:val="20"/>
          <w:lang w:eastAsia="ja-JP"/>
        </w:rPr>
        <w:fldChar w:fldCharType="end"/>
      </w:r>
      <w:r w:rsidR="002E0312" w:rsidRPr="001D48C3">
        <w:rPr>
          <w:rFonts w:eastAsiaTheme="minorEastAsia"/>
          <w:szCs w:val="20"/>
          <w:lang w:eastAsia="ja-JP"/>
        </w:rPr>
        <w:t>). Expenditure prices grow s</w:t>
      </w:r>
      <w:r w:rsidR="002E0312" w:rsidRPr="001D48C3">
        <w:rPr>
          <w:lang w:eastAsia="ja-JP"/>
        </w:rPr>
        <w:t>lightly below the expected long</w:t>
      </w:r>
      <w:r w:rsidR="001D5BF5">
        <w:rPr>
          <w:lang w:eastAsia="ja-JP"/>
        </w:rPr>
        <w:noBreakHyphen/>
      </w:r>
      <w:r w:rsidR="002E0312" w:rsidRPr="001D48C3">
        <w:rPr>
          <w:lang w:eastAsia="ja-JP"/>
        </w:rPr>
        <w:t xml:space="preserve">run inflation rate, </w:t>
      </w:r>
      <w:r w:rsidR="005A6334" w:rsidRPr="001D48C3">
        <w:rPr>
          <w:rFonts w:eastAsiaTheme="minorEastAsia"/>
          <w:szCs w:val="20"/>
          <w:lang w:eastAsia="ja-JP"/>
        </w:rPr>
        <w:t>as a consequence</w:t>
      </w:r>
      <w:r w:rsidR="002E0312" w:rsidRPr="001D48C3">
        <w:rPr>
          <w:rFonts w:eastAsiaTheme="minorEastAsia"/>
          <w:szCs w:val="20"/>
          <w:lang w:eastAsia="ja-JP"/>
        </w:rPr>
        <w:t xml:space="preserve"> </w:t>
      </w:r>
      <w:r w:rsidR="009113BB" w:rsidRPr="001D48C3">
        <w:rPr>
          <w:rFonts w:eastAsiaTheme="minorEastAsia"/>
          <w:szCs w:val="20"/>
          <w:lang w:eastAsia="ja-JP"/>
        </w:rPr>
        <w:t xml:space="preserve">of </w:t>
      </w:r>
      <w:r w:rsidR="002E0312" w:rsidRPr="001D48C3">
        <w:rPr>
          <w:rFonts w:eastAsiaTheme="minorEastAsia"/>
          <w:szCs w:val="20"/>
          <w:lang w:eastAsia="ja-JP"/>
        </w:rPr>
        <w:t xml:space="preserve">the relatively weak wages growth </w:t>
      </w:r>
      <w:r w:rsidR="004A06B5" w:rsidRPr="001D48C3">
        <w:rPr>
          <w:rFonts w:eastAsiaTheme="minorEastAsia"/>
          <w:szCs w:val="20"/>
          <w:lang w:eastAsia="ja-JP"/>
        </w:rPr>
        <w:t xml:space="preserve">due to </w:t>
      </w:r>
      <w:r w:rsidR="005A6334" w:rsidRPr="001D48C3">
        <w:rPr>
          <w:rFonts w:eastAsiaTheme="minorEastAsia"/>
          <w:szCs w:val="20"/>
          <w:lang w:eastAsia="ja-JP"/>
        </w:rPr>
        <w:t xml:space="preserve">the </w:t>
      </w:r>
      <w:r w:rsidR="004A06B5" w:rsidRPr="001D48C3">
        <w:rPr>
          <w:rFonts w:eastAsiaTheme="minorEastAsia"/>
          <w:szCs w:val="20"/>
          <w:lang w:eastAsia="ja-JP"/>
        </w:rPr>
        <w:t>employment gap.</w:t>
      </w:r>
    </w:p>
    <w:p w14:paraId="4FBA5527" w14:textId="77777777" w:rsidR="004A06B5" w:rsidRPr="001D48C3" w:rsidRDefault="004A06B5" w:rsidP="001D48C3">
      <w:pPr>
        <w:pStyle w:val="CaptionHeading1"/>
      </w:pPr>
      <w:bookmarkStart w:id="11" w:name="_Ref385440206"/>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7</w:t>
      </w:r>
      <w:r w:rsidR="00711272">
        <w:rPr>
          <w:noProof/>
        </w:rPr>
        <w:fldChar w:fldCharType="end"/>
      </w:r>
      <w:bookmarkEnd w:id="11"/>
      <w:r w:rsidRPr="001D48C3">
        <w:t>: Wages growth and unemployment rate</w:t>
      </w:r>
    </w:p>
    <w:p w14:paraId="3A6193E8" w14:textId="4B2CE82F" w:rsidR="004A06B5" w:rsidRDefault="00EC5040" w:rsidP="00237D09">
      <w:pPr>
        <w:pStyle w:val="ChartGraphic"/>
      </w:pPr>
      <w:r>
        <w:object w:dxaOrig="8775" w:dyaOrig="4515" w14:anchorId="355984DB">
          <v:shape id="_x0000_i1088" type="#_x0000_t75" alt="This chart plots forecasts and projections of growth in wages and expenditure prices, and the level of the unemployment rate from 2012-13 to 2024-25." style="width:438.75pt;height:225.75pt" o:ole="">
            <v:imagedata r:id="rId147" o:title=""/>
          </v:shape>
          <o:OLEObject Type="Link" ProgID="Excel.Sheet.12" ShapeID="_x0000_i1088" DrawAspect="Content" r:id="rId148" UpdateMode="Always">
            <o:LinkType>EnhancedMetaFile</o:LinkType>
            <o:LockedField>false</o:LockedField>
          </o:OLEObject>
        </w:object>
      </w:r>
    </w:p>
    <w:p w14:paraId="58A5E46E" w14:textId="77777777" w:rsidR="00237D09" w:rsidRPr="001D48C3" w:rsidRDefault="00237D09" w:rsidP="00237D09">
      <w:pPr>
        <w:pStyle w:val="SingleParagraph"/>
        <w:rPr>
          <w:lang w:eastAsia="ja-JP"/>
        </w:rPr>
      </w:pPr>
    </w:p>
    <w:p w14:paraId="4C7403D9" w14:textId="19A0B4EB" w:rsidR="002775BE" w:rsidRPr="001D48C3" w:rsidRDefault="002775BE" w:rsidP="002775BE">
      <w:pPr>
        <w:rPr>
          <w:lang w:eastAsia="ja-JP"/>
        </w:rPr>
      </w:pPr>
      <w:r w:rsidRPr="001D48C3">
        <w:rPr>
          <w:lang w:eastAsia="ja-JP"/>
        </w:rPr>
        <w:t xml:space="preserve">Growth in expenditure prices is driven by growth in prices </w:t>
      </w:r>
      <w:r w:rsidR="002C53BC" w:rsidRPr="001D48C3">
        <w:rPr>
          <w:lang w:eastAsia="ja-JP"/>
        </w:rPr>
        <w:t xml:space="preserve">of </w:t>
      </w:r>
      <w:r w:rsidR="007A0745" w:rsidRPr="001D48C3">
        <w:rPr>
          <w:lang w:eastAsia="ja-JP"/>
        </w:rPr>
        <w:t>output sold domestically</w:t>
      </w:r>
      <w:r w:rsidR="002C53BC" w:rsidRPr="001D48C3">
        <w:rPr>
          <w:lang w:eastAsia="ja-JP"/>
        </w:rPr>
        <w:t xml:space="preserve">, </w:t>
      </w:r>
      <w:r w:rsidRPr="001D48C3">
        <w:rPr>
          <w:lang w:eastAsia="ja-JP"/>
        </w:rPr>
        <w:t>and import prices (equation 36) (</w:t>
      </w:r>
      <w:r w:rsidR="00C654CB" w:rsidRPr="001D48C3">
        <w:rPr>
          <w:lang w:eastAsia="ja-JP"/>
        </w:rPr>
        <w:t>Charts 8 and 9</w:t>
      </w:r>
      <w:r w:rsidRPr="001D48C3">
        <w:rPr>
          <w:lang w:eastAsia="ja-JP"/>
        </w:rPr>
        <w:t>). Over the cyclical adjustment period, import prices grow at a rate well above the expected long</w:t>
      </w:r>
      <w:r w:rsidR="001D5BF5">
        <w:rPr>
          <w:lang w:eastAsia="ja-JP"/>
        </w:rPr>
        <w:noBreakHyphen/>
      </w:r>
      <w:r w:rsidRPr="001D48C3">
        <w:rPr>
          <w:lang w:eastAsia="ja-JP"/>
        </w:rPr>
        <w:t>run inflation rate due to the projected depreciation in the Australian dollar caused by the weakening terms of trade (equation 35)</w:t>
      </w:r>
      <w:r w:rsidR="00C32EC5">
        <w:rPr>
          <w:lang w:eastAsia="ja-JP"/>
        </w:rPr>
        <w:t>.</w:t>
      </w:r>
      <w:r w:rsidRPr="001D48C3">
        <w:rPr>
          <w:lang w:eastAsia="ja-JP"/>
        </w:rPr>
        <w:t xml:space="preserve"> </w:t>
      </w:r>
      <w:r w:rsidR="00C32EC5">
        <w:rPr>
          <w:lang w:eastAsia="ja-JP"/>
        </w:rPr>
        <w:t>This</w:t>
      </w:r>
      <w:r w:rsidR="00C32EC5" w:rsidRPr="001D48C3">
        <w:rPr>
          <w:lang w:eastAsia="ja-JP"/>
        </w:rPr>
        <w:t xml:space="preserve"> </w:t>
      </w:r>
      <w:r w:rsidRPr="001D48C3">
        <w:rPr>
          <w:lang w:eastAsia="ja-JP"/>
        </w:rPr>
        <w:t>offsets the below trend growth of prices</w:t>
      </w:r>
      <w:r w:rsidR="002C53BC" w:rsidRPr="001D48C3">
        <w:rPr>
          <w:lang w:eastAsia="ja-JP"/>
        </w:rPr>
        <w:t xml:space="preserve"> of </w:t>
      </w:r>
      <w:r w:rsidR="007A0745" w:rsidRPr="001D48C3">
        <w:rPr>
          <w:lang w:eastAsia="ja-JP"/>
        </w:rPr>
        <w:t xml:space="preserve">output sold domestically </w:t>
      </w:r>
      <w:r w:rsidRPr="001D48C3">
        <w:rPr>
          <w:lang w:eastAsia="ja-JP"/>
        </w:rPr>
        <w:t xml:space="preserve">leading to near trend growth in expenditure prices. </w:t>
      </w:r>
    </w:p>
    <w:p w14:paraId="19C46A22" w14:textId="2AC41117" w:rsidR="005C582E" w:rsidRPr="001D48C3" w:rsidRDefault="002775BE" w:rsidP="0042312F">
      <w:pPr>
        <w:rPr>
          <w:rFonts w:eastAsiaTheme="minorEastAsia"/>
          <w:szCs w:val="20"/>
          <w:lang w:eastAsia="ja-JP"/>
        </w:rPr>
      </w:pPr>
      <w:r w:rsidRPr="001D48C3">
        <w:rPr>
          <w:lang w:eastAsia="ja-JP"/>
        </w:rPr>
        <w:t>Output prices grow below their long</w:t>
      </w:r>
      <w:r w:rsidR="001D5BF5">
        <w:rPr>
          <w:lang w:eastAsia="ja-JP"/>
        </w:rPr>
        <w:noBreakHyphen/>
      </w:r>
      <w:r w:rsidRPr="001D48C3">
        <w:rPr>
          <w:lang w:eastAsia="ja-JP"/>
        </w:rPr>
        <w:t xml:space="preserve">run rate of 2.5 </w:t>
      </w:r>
      <w:r w:rsidR="00C32EC5">
        <w:rPr>
          <w:lang w:eastAsia="ja-JP"/>
        </w:rPr>
        <w:t xml:space="preserve">per cent </w:t>
      </w:r>
      <w:r w:rsidRPr="001D48C3">
        <w:rPr>
          <w:lang w:eastAsia="ja-JP"/>
        </w:rPr>
        <w:t xml:space="preserve">over the cyclical adjustment period, which reflects relatively weak growth in the prices of both exports and </w:t>
      </w:r>
      <w:r w:rsidR="007A0745" w:rsidRPr="001D48C3">
        <w:rPr>
          <w:lang w:eastAsia="ja-JP"/>
        </w:rPr>
        <w:t>output sold domestically</w:t>
      </w:r>
      <w:r w:rsidR="002C53BC" w:rsidRPr="001D48C3">
        <w:rPr>
          <w:lang w:eastAsia="ja-JP"/>
        </w:rPr>
        <w:t xml:space="preserve"> </w:t>
      </w:r>
      <w:r w:rsidRPr="001D48C3">
        <w:rPr>
          <w:lang w:eastAsia="ja-JP"/>
        </w:rPr>
        <w:t>(Chart 9)</w:t>
      </w:r>
      <w:r w:rsidR="00E237B4" w:rsidRPr="001D48C3">
        <w:rPr>
          <w:rFonts w:eastAsiaTheme="minorEastAsia"/>
          <w:szCs w:val="20"/>
          <w:lang w:eastAsia="ja-JP"/>
        </w:rPr>
        <w:t>.</w:t>
      </w:r>
    </w:p>
    <w:p w14:paraId="1F286D13" w14:textId="6D78C01A" w:rsidR="00DC1EDC" w:rsidRPr="001D48C3" w:rsidRDefault="00C115F9" w:rsidP="00C115F9">
      <w:pPr>
        <w:pStyle w:val="CaptionHeading1"/>
        <w:tabs>
          <w:tab w:val="center" w:pos="2268"/>
          <w:tab w:val="center" w:pos="6804"/>
        </w:tabs>
        <w:jc w:val="left"/>
      </w:pPr>
      <w:bookmarkStart w:id="12" w:name="_Ref385515501"/>
      <w:r>
        <w:t xml:space="preserve"> </w:t>
      </w:r>
      <w:r>
        <w:tab/>
      </w:r>
      <w:r w:rsidR="00DC1EDC" w:rsidRPr="001D48C3">
        <w:t xml:space="preserve">Chart </w:t>
      </w:r>
      <w:r w:rsidR="00711272">
        <w:fldChar w:fldCharType="begin"/>
      </w:r>
      <w:r w:rsidR="00711272">
        <w:instrText xml:space="preserve"> SE</w:instrText>
      </w:r>
      <w:r w:rsidR="00711272">
        <w:instrText xml:space="preserve">Q Chart \* ARABIC </w:instrText>
      </w:r>
      <w:r w:rsidR="00711272">
        <w:fldChar w:fldCharType="separate"/>
      </w:r>
      <w:r w:rsidR="00C65A3D">
        <w:rPr>
          <w:noProof/>
        </w:rPr>
        <w:t>8</w:t>
      </w:r>
      <w:r w:rsidR="00711272">
        <w:rPr>
          <w:noProof/>
        </w:rPr>
        <w:fldChar w:fldCharType="end"/>
      </w:r>
      <w:bookmarkEnd w:id="12"/>
      <w:r w:rsidR="001D48C3">
        <w:t>: Expenditure prices</w:t>
      </w:r>
      <w:r w:rsidR="00DC1EDC" w:rsidRPr="001D48C3">
        <w:tab/>
        <w:t xml:space="preserve">Chart </w:t>
      </w:r>
      <w:r w:rsidR="00711272">
        <w:fldChar w:fldCharType="begin"/>
      </w:r>
      <w:r w:rsidR="00711272">
        <w:instrText xml:space="preserve"> SEQ Chart \* ARABIC </w:instrText>
      </w:r>
      <w:r w:rsidR="00711272">
        <w:fldChar w:fldCharType="separate"/>
      </w:r>
      <w:r w:rsidR="00C65A3D">
        <w:rPr>
          <w:noProof/>
        </w:rPr>
        <w:t>9</w:t>
      </w:r>
      <w:r w:rsidR="00711272">
        <w:rPr>
          <w:noProof/>
        </w:rPr>
        <w:fldChar w:fldCharType="end"/>
      </w:r>
      <w:r w:rsidR="00DC1EDC" w:rsidRPr="001D48C3">
        <w:t xml:space="preserve">: </w:t>
      </w:r>
      <w:r w:rsidR="004A06B5" w:rsidRPr="001D48C3">
        <w:t>Output</w:t>
      </w:r>
      <w:r w:rsidR="00DC1EDC" w:rsidRPr="001D48C3">
        <w:t xml:space="preserve"> prices</w:t>
      </w:r>
    </w:p>
    <w:p w14:paraId="6CED39C2" w14:textId="1B53EB7E" w:rsidR="005C582E" w:rsidRDefault="00EC5040" w:rsidP="00237D09">
      <w:pPr>
        <w:pStyle w:val="ChartGraphic"/>
      </w:pPr>
      <w:r>
        <w:object w:dxaOrig="4516" w:dyaOrig="4530" w14:anchorId="507E0640">
          <v:shape id="_x0000_i1089" type="#_x0000_t75" alt="This chart plots projected growth in expenditure prices and its components – domestic and import prices – from 2012-13 to 2023-24." style="width:225.75pt;height:226.5pt" o:ole="">
            <v:imagedata r:id="rId149" o:title=""/>
          </v:shape>
          <o:OLEObject Type="Link" ProgID="Excel.Sheet.12" ShapeID="_x0000_i1089" DrawAspect="Content" r:id="rId150" UpdateMode="Always">
            <o:LinkType>EnhancedMetaFile</o:LinkType>
            <o:LockedField>false</o:LockedField>
          </o:OLEObject>
        </w:object>
      </w:r>
      <w:r w:rsidR="00614825">
        <w:object w:dxaOrig="4516" w:dyaOrig="4530" w14:anchorId="22B7E095">
          <v:shape id="_x0000_i1090" type="#_x0000_t75" alt="This chart plots projected growth in output prices and its components – domestic and export prices – from 2012-13 to 2023-24." style="width:225.75pt;height:226.5pt" o:ole="">
            <v:imagedata r:id="rId151" o:title=""/>
          </v:shape>
          <o:OLEObject Type="Link" ProgID="Excel.Sheet.12" ShapeID="_x0000_i1090" DrawAspect="Content" r:id="rId152" UpdateMode="Always">
            <o:LinkType>EnhancedMetaFile</o:LinkType>
            <o:LockedField>false</o:LockedField>
          </o:OLEObject>
        </w:object>
      </w:r>
    </w:p>
    <w:p w14:paraId="5AB36A78" w14:textId="77777777" w:rsidR="00237D09" w:rsidRPr="001D48C3" w:rsidRDefault="00237D09" w:rsidP="00237D09">
      <w:pPr>
        <w:pStyle w:val="SingleParagraph"/>
      </w:pPr>
    </w:p>
    <w:p w14:paraId="63CDA8BB" w14:textId="54F61B1C" w:rsidR="0042312F" w:rsidRPr="001D48C3" w:rsidRDefault="0042312F" w:rsidP="0042312F">
      <w:pPr>
        <w:rPr>
          <w:b/>
        </w:rPr>
      </w:pPr>
      <w:r w:rsidRPr="001D48C3">
        <w:rPr>
          <w:lang w:eastAsia="ja-JP"/>
        </w:rPr>
        <w:t xml:space="preserve">Combining the </w:t>
      </w:r>
      <w:r w:rsidR="005A6334" w:rsidRPr="001D48C3">
        <w:rPr>
          <w:lang w:eastAsia="ja-JP"/>
        </w:rPr>
        <w:t xml:space="preserve">projections of </w:t>
      </w:r>
      <w:r w:rsidRPr="001D48C3">
        <w:rPr>
          <w:lang w:eastAsia="ja-JP"/>
        </w:rPr>
        <w:t>real output and price</w:t>
      </w:r>
      <w:r w:rsidR="005A6334" w:rsidRPr="001D48C3">
        <w:rPr>
          <w:lang w:eastAsia="ja-JP"/>
        </w:rPr>
        <w:t>s</w:t>
      </w:r>
      <w:r w:rsidRPr="001D48C3">
        <w:rPr>
          <w:lang w:eastAsia="ja-JP"/>
        </w:rPr>
        <w:t xml:space="preserve"> results in nominal GDP growth that gradually increases from around </w:t>
      </w:r>
      <w:r w:rsidR="00816226">
        <w:rPr>
          <w:lang w:eastAsia="ja-JP"/>
        </w:rPr>
        <w:t>4</w:t>
      </w:r>
      <w:r w:rsidR="00816226" w:rsidRPr="001D48C3">
        <w:rPr>
          <w:lang w:eastAsia="ja-JP"/>
        </w:rPr>
        <w:t>¾</w:t>
      </w:r>
      <w:r w:rsidRPr="001D48C3">
        <w:rPr>
          <w:lang w:eastAsia="ja-JP"/>
        </w:rPr>
        <w:t xml:space="preserve"> per cent at the end of the forecast period to </w:t>
      </w:r>
      <w:r w:rsidR="000045A0">
        <w:rPr>
          <w:lang w:eastAsia="ja-JP"/>
        </w:rPr>
        <w:t xml:space="preserve">around </w:t>
      </w:r>
      <w:r w:rsidRPr="001D48C3">
        <w:rPr>
          <w:lang w:eastAsia="ja-JP"/>
        </w:rPr>
        <w:t xml:space="preserve">5¾ per cent over the cyclical adjustment period </w:t>
      </w:r>
      <w:r w:rsidR="007618C3" w:rsidRPr="001D48C3">
        <w:rPr>
          <w:lang w:eastAsia="ja-JP"/>
        </w:rPr>
        <w:t xml:space="preserve">then </w:t>
      </w:r>
      <w:r w:rsidRPr="001D48C3">
        <w:rPr>
          <w:lang w:eastAsia="ja-JP"/>
        </w:rPr>
        <w:t xml:space="preserve">gradually </w:t>
      </w:r>
      <w:r w:rsidR="00DA22B0" w:rsidRPr="001D48C3">
        <w:rPr>
          <w:lang w:eastAsia="ja-JP"/>
        </w:rPr>
        <w:t xml:space="preserve">declines </w:t>
      </w:r>
      <w:r w:rsidRPr="001D48C3">
        <w:rPr>
          <w:lang w:eastAsia="ja-JP"/>
        </w:rPr>
        <w:t>to 5½ per cent over the long</w:t>
      </w:r>
      <w:r w:rsidR="001D5BF5">
        <w:rPr>
          <w:lang w:eastAsia="ja-JP"/>
        </w:rPr>
        <w:noBreakHyphen/>
      </w:r>
      <w:r w:rsidRPr="001D48C3">
        <w:rPr>
          <w:lang w:eastAsia="ja-JP"/>
        </w:rPr>
        <w:t>run (</w:t>
      </w:r>
      <w:r w:rsidRPr="001D48C3">
        <w:rPr>
          <w:lang w:eastAsia="ja-JP"/>
        </w:rPr>
        <w:fldChar w:fldCharType="begin"/>
      </w:r>
      <w:r w:rsidRPr="001D48C3">
        <w:rPr>
          <w:lang w:eastAsia="ja-JP"/>
        </w:rPr>
        <w:instrText xml:space="preserve"> REF _Ref385433319 \h </w:instrText>
      </w:r>
      <w:r w:rsidRPr="001D48C3">
        <w:rPr>
          <w:lang w:eastAsia="ja-JP"/>
        </w:rPr>
      </w:r>
      <w:r w:rsidRPr="001D48C3">
        <w:rPr>
          <w:lang w:eastAsia="ja-JP"/>
        </w:rPr>
        <w:fldChar w:fldCharType="separate"/>
      </w:r>
      <w:r w:rsidR="00C65A3D" w:rsidRPr="001D48C3">
        <w:t xml:space="preserve">Chart </w:t>
      </w:r>
      <w:r w:rsidR="00C65A3D">
        <w:rPr>
          <w:noProof/>
        </w:rPr>
        <w:t>6</w:t>
      </w:r>
      <w:r w:rsidRPr="001D48C3">
        <w:rPr>
          <w:lang w:eastAsia="ja-JP"/>
        </w:rPr>
        <w:fldChar w:fldCharType="end"/>
      </w:r>
      <w:r w:rsidRPr="001D48C3">
        <w:rPr>
          <w:lang w:eastAsia="ja-JP"/>
        </w:rPr>
        <w:t>).</w:t>
      </w:r>
    </w:p>
    <w:p w14:paraId="0A7E537C" w14:textId="72E980D0" w:rsidR="00D66BF3" w:rsidRPr="001D48C3" w:rsidRDefault="00D66BF3" w:rsidP="00D3016A">
      <w:pPr>
        <w:pStyle w:val="Heading3"/>
      </w:pPr>
      <w:r w:rsidRPr="001D48C3">
        <w:lastRenderedPageBreak/>
        <w:t xml:space="preserve">The effect of </w:t>
      </w:r>
      <w:r w:rsidR="00883F59">
        <w:t>methodological changes</w:t>
      </w:r>
      <w:r w:rsidRPr="001D48C3">
        <w:t xml:space="preserve"> on real and nominal output</w:t>
      </w:r>
      <w:r w:rsidR="00016DCB">
        <w:t xml:space="preserve"> projections</w:t>
      </w:r>
    </w:p>
    <w:p w14:paraId="180AF5A6" w14:textId="2DB06CA7" w:rsidR="00B51473" w:rsidRPr="001D48C3" w:rsidRDefault="00D66BF3" w:rsidP="00490D72">
      <w:pPr>
        <w:rPr>
          <w:lang w:eastAsia="en-AU"/>
        </w:rPr>
      </w:pPr>
      <w:r>
        <w:t xml:space="preserve">This section identifies the effect </w:t>
      </w:r>
      <w:r w:rsidR="00C32EC5">
        <w:t xml:space="preserve">of changes in methodology </w:t>
      </w:r>
      <w:r>
        <w:t>on real and nominal output projections</w:t>
      </w:r>
      <w:r w:rsidR="00073551" w:rsidRPr="001D48C3">
        <w:rPr>
          <w:lang w:eastAsia="en-AU"/>
        </w:rPr>
        <w:t xml:space="preserve">. </w:t>
      </w:r>
      <w:r w:rsidR="00C32EC5">
        <w:rPr>
          <w:lang w:eastAsia="en-AU"/>
        </w:rPr>
        <w:t>To</w:t>
      </w:r>
      <w:r w:rsidR="00A76E2E">
        <w:rPr>
          <w:lang w:eastAsia="en-AU"/>
        </w:rPr>
        <w:t> </w:t>
      </w:r>
      <w:r w:rsidR="00C32EC5">
        <w:rPr>
          <w:lang w:eastAsia="en-AU"/>
        </w:rPr>
        <w:t xml:space="preserve">assess the impact of the methodological changes the methodology used at MYEFO is applied to the Budget forecast. </w:t>
      </w:r>
      <w:r w:rsidR="006B6B3C" w:rsidRPr="001D48C3">
        <w:rPr>
          <w:lang w:eastAsia="en-AU"/>
        </w:rPr>
        <w:t>C</w:t>
      </w:r>
      <w:r w:rsidR="00B51473" w:rsidRPr="001D48C3">
        <w:rPr>
          <w:lang w:eastAsia="en-AU"/>
        </w:rPr>
        <w:t xml:space="preserve">hanges </w:t>
      </w:r>
      <w:r w:rsidR="000D60BF" w:rsidRPr="001D48C3">
        <w:rPr>
          <w:lang w:eastAsia="en-AU"/>
        </w:rPr>
        <w:t>to</w:t>
      </w:r>
      <w:r w:rsidR="00B51473" w:rsidRPr="001D48C3">
        <w:rPr>
          <w:lang w:eastAsia="en-AU"/>
        </w:rPr>
        <w:t xml:space="preserve"> the proje</w:t>
      </w:r>
      <w:r w:rsidR="00003549" w:rsidRPr="001D48C3">
        <w:rPr>
          <w:lang w:eastAsia="en-AU"/>
        </w:rPr>
        <w:t>ction methodology</w:t>
      </w:r>
      <w:r w:rsidR="00016DCB">
        <w:rPr>
          <w:lang w:eastAsia="en-AU"/>
        </w:rPr>
        <w:t xml:space="preserve"> </w:t>
      </w:r>
      <w:r w:rsidR="000D60BF" w:rsidRPr="001D48C3">
        <w:rPr>
          <w:lang w:eastAsia="en-AU"/>
        </w:rPr>
        <w:t xml:space="preserve">since </w:t>
      </w:r>
      <w:r w:rsidR="00876796">
        <w:rPr>
          <w:lang w:eastAsia="en-AU"/>
        </w:rPr>
        <w:t xml:space="preserve">the </w:t>
      </w:r>
      <w:r w:rsidR="002F0E0E">
        <w:rPr>
          <w:lang w:eastAsia="en-AU"/>
        </w:rPr>
        <w:t>2013</w:t>
      </w:r>
      <w:r w:rsidR="001D5BF5">
        <w:rPr>
          <w:lang w:eastAsia="en-AU"/>
        </w:rPr>
        <w:noBreakHyphen/>
      </w:r>
      <w:r w:rsidR="002F0E0E">
        <w:rPr>
          <w:lang w:eastAsia="en-AU"/>
        </w:rPr>
        <w:t xml:space="preserve">14 </w:t>
      </w:r>
      <w:r w:rsidR="000D60BF" w:rsidRPr="001D48C3">
        <w:rPr>
          <w:lang w:eastAsia="en-AU"/>
        </w:rPr>
        <w:t>MYEFO (</w:t>
      </w:r>
      <w:r w:rsidR="00876796">
        <w:rPr>
          <w:lang w:eastAsia="en-AU"/>
        </w:rPr>
        <w:t>described</w:t>
      </w:r>
      <w:r w:rsidR="00876796" w:rsidRPr="001D48C3">
        <w:rPr>
          <w:lang w:eastAsia="en-AU"/>
        </w:rPr>
        <w:t xml:space="preserve"> </w:t>
      </w:r>
      <w:r w:rsidR="00876796">
        <w:rPr>
          <w:lang w:eastAsia="en-AU"/>
        </w:rPr>
        <w:t xml:space="preserve">in detail </w:t>
      </w:r>
      <w:r w:rsidR="000D60BF" w:rsidRPr="001D48C3">
        <w:rPr>
          <w:lang w:eastAsia="en-AU"/>
        </w:rPr>
        <w:t>below)</w:t>
      </w:r>
      <w:r w:rsidR="00003549" w:rsidRPr="001D48C3">
        <w:rPr>
          <w:lang w:eastAsia="en-AU"/>
        </w:rPr>
        <w:t xml:space="preserve"> </w:t>
      </w:r>
      <w:r w:rsidR="002F0E0E">
        <w:rPr>
          <w:lang w:eastAsia="en-AU"/>
        </w:rPr>
        <w:t>increase the</w:t>
      </w:r>
      <w:r w:rsidR="006B6B3C" w:rsidRPr="001D48C3">
        <w:rPr>
          <w:lang w:eastAsia="en-AU"/>
        </w:rPr>
        <w:t xml:space="preserve"> </w:t>
      </w:r>
      <w:r w:rsidR="002F0E0E">
        <w:rPr>
          <w:lang w:eastAsia="en-AU"/>
        </w:rPr>
        <w:t xml:space="preserve">projected </w:t>
      </w:r>
      <w:r w:rsidR="006B6B3C" w:rsidRPr="001D48C3">
        <w:rPr>
          <w:lang w:eastAsia="en-AU"/>
        </w:rPr>
        <w:t xml:space="preserve">level of nominal GDP </w:t>
      </w:r>
      <w:r w:rsidR="008D512C" w:rsidRPr="001D48C3">
        <w:rPr>
          <w:lang w:eastAsia="en-AU"/>
        </w:rPr>
        <w:t>by $</w:t>
      </w:r>
      <w:r w:rsidR="000A79E8">
        <w:rPr>
          <w:lang w:eastAsia="en-AU"/>
        </w:rPr>
        <w:t>7</w:t>
      </w:r>
      <w:r w:rsidR="008D512C" w:rsidRPr="001D48C3">
        <w:rPr>
          <w:lang w:eastAsia="en-AU"/>
        </w:rPr>
        <w:t>.</w:t>
      </w:r>
      <w:r w:rsidR="000A79E8">
        <w:rPr>
          <w:lang w:eastAsia="en-AU"/>
        </w:rPr>
        <w:t>6</w:t>
      </w:r>
      <w:r w:rsidR="006B6B3C" w:rsidRPr="001D48C3">
        <w:rPr>
          <w:lang w:eastAsia="en-AU"/>
        </w:rPr>
        <w:t xml:space="preserve"> billion (0.</w:t>
      </w:r>
      <w:r w:rsidR="000A79E8">
        <w:rPr>
          <w:lang w:eastAsia="en-AU"/>
        </w:rPr>
        <w:t>4</w:t>
      </w:r>
      <w:r w:rsidR="006B6B3C" w:rsidRPr="001D48C3">
        <w:rPr>
          <w:lang w:eastAsia="en-AU"/>
        </w:rPr>
        <w:t xml:space="preserve"> per cent) in </w:t>
      </w:r>
      <w:r w:rsidR="002F0E0E" w:rsidRPr="001D48C3">
        <w:rPr>
          <w:lang w:eastAsia="en-AU"/>
        </w:rPr>
        <w:t>201</w:t>
      </w:r>
      <w:r w:rsidR="002F0E0E">
        <w:rPr>
          <w:lang w:eastAsia="en-AU"/>
        </w:rPr>
        <w:t>7</w:t>
      </w:r>
      <w:r w:rsidR="001D5BF5">
        <w:rPr>
          <w:lang w:eastAsia="en-AU"/>
        </w:rPr>
        <w:noBreakHyphen/>
      </w:r>
      <w:r w:rsidR="002F0E0E" w:rsidRPr="001D48C3">
        <w:rPr>
          <w:lang w:eastAsia="en-AU"/>
        </w:rPr>
        <w:t>1</w:t>
      </w:r>
      <w:r w:rsidR="002F0E0E">
        <w:rPr>
          <w:lang w:eastAsia="en-AU"/>
        </w:rPr>
        <w:t>8</w:t>
      </w:r>
      <w:r w:rsidR="002F0E0E" w:rsidRPr="001D48C3">
        <w:rPr>
          <w:lang w:eastAsia="en-AU"/>
        </w:rPr>
        <w:t xml:space="preserve"> </w:t>
      </w:r>
      <w:r w:rsidR="006B6B3C" w:rsidRPr="001D48C3">
        <w:rPr>
          <w:lang w:eastAsia="en-AU"/>
        </w:rPr>
        <w:t xml:space="preserve">and </w:t>
      </w:r>
      <w:r w:rsidR="008D512C" w:rsidRPr="001D48C3">
        <w:rPr>
          <w:lang w:eastAsia="en-AU"/>
        </w:rPr>
        <w:t>$2</w:t>
      </w:r>
      <w:r w:rsidR="000A79E8">
        <w:rPr>
          <w:lang w:eastAsia="en-AU"/>
        </w:rPr>
        <w:t>2</w:t>
      </w:r>
      <w:r w:rsidR="008D512C" w:rsidRPr="001D48C3">
        <w:rPr>
          <w:lang w:eastAsia="en-AU"/>
        </w:rPr>
        <w:t>.</w:t>
      </w:r>
      <w:r w:rsidR="000A79E8">
        <w:rPr>
          <w:lang w:eastAsia="en-AU"/>
        </w:rPr>
        <w:t>4</w:t>
      </w:r>
      <w:r w:rsidR="002103C9">
        <w:rPr>
          <w:lang w:eastAsia="en-AU"/>
        </w:rPr>
        <w:t> </w:t>
      </w:r>
      <w:r w:rsidR="00B51473" w:rsidRPr="001D48C3">
        <w:rPr>
          <w:lang w:eastAsia="en-AU"/>
        </w:rPr>
        <w:t>billion</w:t>
      </w:r>
      <w:r w:rsidR="000A79E8">
        <w:rPr>
          <w:lang w:eastAsia="en-AU"/>
        </w:rPr>
        <w:t xml:space="preserve"> </w:t>
      </w:r>
      <w:r w:rsidR="008D512C" w:rsidRPr="001D48C3">
        <w:rPr>
          <w:lang w:eastAsia="en-AU"/>
        </w:rPr>
        <w:t>(</w:t>
      </w:r>
      <w:r w:rsidR="000A79E8">
        <w:rPr>
          <w:lang w:eastAsia="en-AU"/>
        </w:rPr>
        <w:t>0.8</w:t>
      </w:r>
      <w:r w:rsidR="00C36058" w:rsidRPr="001D48C3">
        <w:rPr>
          <w:lang w:eastAsia="en-AU"/>
        </w:rPr>
        <w:t> per </w:t>
      </w:r>
      <w:r w:rsidR="00003549" w:rsidRPr="001D48C3">
        <w:rPr>
          <w:lang w:eastAsia="en-AU"/>
        </w:rPr>
        <w:t>cent)</w:t>
      </w:r>
      <w:r w:rsidR="00B51473" w:rsidRPr="001D48C3">
        <w:rPr>
          <w:lang w:eastAsia="en-AU"/>
        </w:rPr>
        <w:t xml:space="preserve"> </w:t>
      </w:r>
      <w:r w:rsidR="00F339A0" w:rsidRPr="001D48C3">
        <w:rPr>
          <w:lang w:eastAsia="en-AU"/>
        </w:rPr>
        <w:t xml:space="preserve">in </w:t>
      </w:r>
      <w:r w:rsidR="00883F59" w:rsidRPr="001D48C3">
        <w:rPr>
          <w:lang w:eastAsia="en-AU"/>
        </w:rPr>
        <w:t>202</w:t>
      </w:r>
      <w:r w:rsidR="00883F59">
        <w:rPr>
          <w:lang w:eastAsia="en-AU"/>
        </w:rPr>
        <w:t>4</w:t>
      </w:r>
      <w:r w:rsidR="001D5BF5">
        <w:rPr>
          <w:lang w:eastAsia="en-AU"/>
        </w:rPr>
        <w:noBreakHyphen/>
      </w:r>
      <w:r w:rsidR="00883F59" w:rsidRPr="001D48C3">
        <w:rPr>
          <w:lang w:eastAsia="en-AU"/>
        </w:rPr>
        <w:t>2</w:t>
      </w:r>
      <w:r w:rsidR="00883F59">
        <w:rPr>
          <w:lang w:eastAsia="en-AU"/>
        </w:rPr>
        <w:t xml:space="preserve">5 </w:t>
      </w:r>
      <w:r w:rsidR="002F0E0E">
        <w:rPr>
          <w:lang w:eastAsia="en-AU"/>
        </w:rPr>
        <w:t>(</w:t>
      </w:r>
      <w:r w:rsidR="002F0E0E">
        <w:rPr>
          <w:lang w:eastAsia="en-AU"/>
        </w:rPr>
        <w:fldChar w:fldCharType="begin"/>
      </w:r>
      <w:r w:rsidR="002F0E0E">
        <w:rPr>
          <w:lang w:eastAsia="en-AU"/>
        </w:rPr>
        <w:instrText xml:space="preserve"> REF _Ref385434364 \h </w:instrText>
      </w:r>
      <w:r w:rsidR="002F0E0E">
        <w:rPr>
          <w:lang w:eastAsia="en-AU"/>
        </w:rPr>
      </w:r>
      <w:r w:rsidR="002F0E0E">
        <w:rPr>
          <w:lang w:eastAsia="en-AU"/>
        </w:rPr>
        <w:fldChar w:fldCharType="separate"/>
      </w:r>
      <w:r w:rsidR="00C65A3D" w:rsidRPr="001D48C3">
        <w:t xml:space="preserve">Chart </w:t>
      </w:r>
      <w:r w:rsidR="00C65A3D">
        <w:rPr>
          <w:noProof/>
        </w:rPr>
        <w:t>10</w:t>
      </w:r>
      <w:r w:rsidR="002F0E0E">
        <w:rPr>
          <w:lang w:eastAsia="en-AU"/>
        </w:rPr>
        <w:fldChar w:fldCharType="end"/>
      </w:r>
      <w:r w:rsidR="002F0E0E">
        <w:rPr>
          <w:lang w:eastAsia="en-AU"/>
        </w:rPr>
        <w:t>).</w:t>
      </w:r>
    </w:p>
    <w:p w14:paraId="51EFE25B" w14:textId="2BC6C336" w:rsidR="00E8042E" w:rsidRPr="001D48C3" w:rsidRDefault="00713344" w:rsidP="001D48C3">
      <w:pPr>
        <w:pStyle w:val="CaptionHeading1"/>
      </w:pPr>
      <w:bookmarkStart w:id="13" w:name="_Ref385434364"/>
      <w:r w:rsidRPr="001D48C3">
        <w:t xml:space="preserve">Chart </w:t>
      </w:r>
      <w:r w:rsidR="00711272">
        <w:fldChar w:fldCharType="begin"/>
      </w:r>
      <w:r w:rsidR="00711272">
        <w:instrText xml:space="preserve"> SEQ Chart \* ARABIC </w:instrText>
      </w:r>
      <w:r w:rsidR="00711272">
        <w:fldChar w:fldCharType="separate"/>
      </w:r>
      <w:r w:rsidR="00C65A3D">
        <w:rPr>
          <w:noProof/>
        </w:rPr>
        <w:t>10</w:t>
      </w:r>
      <w:r w:rsidR="00711272">
        <w:rPr>
          <w:noProof/>
        </w:rPr>
        <w:fldChar w:fldCharType="end"/>
      </w:r>
      <w:bookmarkEnd w:id="13"/>
      <w:r w:rsidRPr="001D48C3">
        <w:t xml:space="preserve">: </w:t>
      </w:r>
      <w:r w:rsidR="002F0E0E">
        <w:t>C</w:t>
      </w:r>
      <w:r w:rsidRPr="001D48C3">
        <w:t xml:space="preserve">hange in nominal GDP </w:t>
      </w:r>
      <w:r w:rsidR="00EF384F">
        <w:t>due to</w:t>
      </w:r>
      <w:r w:rsidR="00883F59">
        <w:t xml:space="preserve"> </w:t>
      </w:r>
      <w:r w:rsidR="002F0E0E">
        <w:t>methodolog</w:t>
      </w:r>
      <w:r w:rsidR="00EF384F">
        <w:t>ical changes</w:t>
      </w:r>
    </w:p>
    <w:p w14:paraId="7ACBA8BA" w14:textId="6DA50A03" w:rsidR="00003549" w:rsidRDefault="00614825" w:rsidP="00237D09">
      <w:pPr>
        <w:pStyle w:val="ChartGraphic"/>
      </w:pPr>
      <w:r>
        <w:object w:dxaOrig="8775" w:dyaOrig="4515" w14:anchorId="328FFBAD">
          <v:shape id="_x0000_i1091" type="#_x0000_t75" alt="This chart shows the difference in nominal GDP projections between the medium term methodology and the methodology used in the 2013-14 MYEFO, expressed as a share of nominal GDP from 2012 13 to 2023 24." style="width:438.75pt;height:225.75pt" o:ole="">
            <v:imagedata r:id="rId153" o:title=""/>
          </v:shape>
          <o:OLEObject Type="Link" ProgID="Excel.Sheet.12" ShapeID="_x0000_i1091" DrawAspect="Content" r:id="rId154" UpdateMode="Always">
            <o:LinkType>EnhancedMetaFile</o:LinkType>
            <o:LockedField>false</o:LockedField>
          </o:OLEObject>
        </w:object>
      </w:r>
    </w:p>
    <w:p w14:paraId="0B14DCD5" w14:textId="77777777" w:rsidR="00883F59" w:rsidRPr="00CB7FD2" w:rsidRDefault="00883F59" w:rsidP="007D08FE"/>
    <w:p w14:paraId="486BFCB8" w14:textId="2955BFF7" w:rsidR="00713344" w:rsidRPr="001D48C3" w:rsidRDefault="00713344" w:rsidP="001D48C3">
      <w:pPr>
        <w:pStyle w:val="CaptionHeading1"/>
      </w:pPr>
      <w:bookmarkStart w:id="14" w:name="_Ref385438163"/>
      <w:r w:rsidRPr="001D48C3">
        <w:t xml:space="preserve">Chart </w:t>
      </w:r>
      <w:r w:rsidR="00711272">
        <w:fldChar w:fldCharType="begin"/>
      </w:r>
      <w:r w:rsidR="00711272">
        <w:instrText xml:space="preserve"> SEQ Chart \* ARABIC </w:instrText>
      </w:r>
      <w:r w:rsidR="00711272">
        <w:fldChar w:fldCharType="separate"/>
      </w:r>
      <w:r w:rsidR="00C65A3D">
        <w:rPr>
          <w:noProof/>
        </w:rPr>
        <w:t>11</w:t>
      </w:r>
      <w:r w:rsidR="00711272">
        <w:rPr>
          <w:noProof/>
        </w:rPr>
        <w:fldChar w:fldCharType="end"/>
      </w:r>
      <w:bookmarkEnd w:id="14"/>
      <w:r w:rsidRPr="001D48C3">
        <w:t xml:space="preserve">: Decomposition of change </w:t>
      </w:r>
      <w:r w:rsidR="00883F59">
        <w:t>in</w:t>
      </w:r>
      <w:r w:rsidRPr="001D48C3">
        <w:t xml:space="preserve"> nominal GDP </w:t>
      </w:r>
      <w:r w:rsidR="00EF384F">
        <w:t>due to methodological changes</w:t>
      </w:r>
    </w:p>
    <w:p w14:paraId="71CAE7BF" w14:textId="496BCA85" w:rsidR="008D63CE" w:rsidRDefault="002765B2" w:rsidP="00237D09">
      <w:pPr>
        <w:pStyle w:val="ChartGraphic"/>
      </w:pPr>
      <w:r>
        <w:fldChar w:fldCharType="begin"/>
      </w:r>
      <w:r>
        <w:instrText xml:space="preserve"> LINK Excel.Sheet.12 "" "" \a \p </w:instrText>
      </w:r>
      <w:r>
        <w:fldChar w:fldCharType="separate"/>
      </w:r>
      <w:r w:rsidR="00711272">
        <w:object w:dxaOrig="11712" w:dyaOrig="6036" w14:anchorId="05EC79E2">
          <v:shape id="_x0000_i1092" type="#_x0000_t75" alt="This chart shows the difference in nominal GDP projections between the medium term methodology and the methodology used in the 2013-14 MYEFO, expressed as a share of nominal GDP. The change is decomposed into changes in real output, domestic prices and export prices, from 2012 13 to 2023 24." style="width:438.75pt;height:226.5pt">
            <v:imagedata r:id="rId155" o:title=""/>
          </v:shape>
        </w:object>
      </w:r>
      <w:r>
        <w:fldChar w:fldCharType="end"/>
      </w:r>
    </w:p>
    <w:p w14:paraId="2817EB6D" w14:textId="77777777" w:rsidR="00237D09" w:rsidRDefault="00237D09" w:rsidP="00237D09">
      <w:pPr>
        <w:pStyle w:val="SingleParagraph"/>
        <w:rPr>
          <w:lang w:eastAsia="en-AU"/>
        </w:rPr>
      </w:pPr>
    </w:p>
    <w:p w14:paraId="52C1F934" w14:textId="77777777" w:rsidR="000B0FEB" w:rsidRDefault="000B0FEB">
      <w:pPr>
        <w:rPr>
          <w:lang w:eastAsia="en-AU"/>
        </w:rPr>
      </w:pPr>
      <w:r>
        <w:rPr>
          <w:lang w:eastAsia="en-AU"/>
        </w:rPr>
        <w:br w:type="page"/>
      </w:r>
    </w:p>
    <w:p w14:paraId="1040617F" w14:textId="3CF1F18E" w:rsidR="002F0E0E" w:rsidRPr="001D48C3" w:rsidRDefault="00883F59" w:rsidP="007D08FE">
      <w:pPr>
        <w:rPr>
          <w:lang w:eastAsia="en-AU"/>
        </w:rPr>
      </w:pPr>
      <w:r>
        <w:rPr>
          <w:lang w:eastAsia="en-AU"/>
        </w:rPr>
        <w:lastRenderedPageBreak/>
        <w:t xml:space="preserve">The </w:t>
      </w:r>
      <w:r w:rsidR="002F0E0E">
        <w:rPr>
          <w:lang w:eastAsia="en-AU"/>
        </w:rPr>
        <w:t>MYEFO introduced</w:t>
      </w:r>
      <w:r w:rsidR="002F0E0E" w:rsidRPr="001D48C3">
        <w:rPr>
          <w:lang w:eastAsia="en-AU"/>
        </w:rPr>
        <w:t xml:space="preserve"> new assumptions for the unemployment rate and the projected path of the terms of trade. This paper further develops the projections methodology through more detailed modelling of the real and nominal aspects of the cyclical adjustment process. </w:t>
      </w:r>
      <w:r w:rsidR="002F0E0E" w:rsidRPr="001D48C3">
        <w:rPr>
          <w:lang w:eastAsia="en-AU"/>
        </w:rPr>
        <w:fldChar w:fldCharType="begin"/>
      </w:r>
      <w:r w:rsidR="002F0E0E" w:rsidRPr="001D48C3">
        <w:rPr>
          <w:lang w:eastAsia="en-AU"/>
        </w:rPr>
        <w:instrText xml:space="preserve"> REF _Ref385438163 \h </w:instrText>
      </w:r>
      <w:r w:rsidR="002F0E0E" w:rsidRPr="001D48C3">
        <w:rPr>
          <w:lang w:eastAsia="en-AU"/>
        </w:rPr>
      </w:r>
      <w:r w:rsidR="002F0E0E" w:rsidRPr="001D48C3">
        <w:rPr>
          <w:lang w:eastAsia="en-AU"/>
        </w:rPr>
        <w:fldChar w:fldCharType="separate"/>
      </w:r>
      <w:r w:rsidR="00C65A3D" w:rsidRPr="001D48C3">
        <w:t xml:space="preserve">Chart </w:t>
      </w:r>
      <w:r w:rsidR="00C65A3D">
        <w:rPr>
          <w:noProof/>
        </w:rPr>
        <w:t>11</w:t>
      </w:r>
      <w:r w:rsidR="002F0E0E" w:rsidRPr="001D48C3">
        <w:rPr>
          <w:lang w:eastAsia="en-AU"/>
        </w:rPr>
        <w:fldChar w:fldCharType="end"/>
      </w:r>
      <w:r w:rsidR="002F0E0E" w:rsidRPr="001D48C3">
        <w:rPr>
          <w:lang w:eastAsia="en-AU"/>
        </w:rPr>
        <w:t xml:space="preserve"> decomposes the resulting changes to nominal output into the effect from real output, prices of output sold domestically and export prices. We now discuss each of these effects in turn.</w:t>
      </w:r>
    </w:p>
    <w:p w14:paraId="1029807A" w14:textId="67FEFE36" w:rsidR="005E424A" w:rsidRPr="001D48C3" w:rsidRDefault="005E424A" w:rsidP="005E424A">
      <w:pPr>
        <w:rPr>
          <w:lang w:eastAsia="en-AU"/>
        </w:rPr>
      </w:pPr>
      <w:r w:rsidRPr="001D48C3">
        <w:rPr>
          <w:lang w:eastAsia="en-AU"/>
        </w:rPr>
        <w:t>In MYEFO, the unemployment rate was assumed to remain a</w:t>
      </w:r>
      <w:r w:rsidR="000B0FEB">
        <w:rPr>
          <w:lang w:eastAsia="en-AU"/>
        </w:rPr>
        <w:t>t its last forecast level of 6¼ </w:t>
      </w:r>
      <w:r w:rsidRPr="001D48C3">
        <w:rPr>
          <w:lang w:eastAsia="en-AU"/>
        </w:rPr>
        <w:t>per</w:t>
      </w:r>
      <w:r w:rsidR="000B0FEB">
        <w:rPr>
          <w:lang w:eastAsia="en-AU"/>
        </w:rPr>
        <w:t> </w:t>
      </w:r>
      <w:r w:rsidRPr="001D48C3">
        <w:rPr>
          <w:lang w:eastAsia="en-AU"/>
        </w:rPr>
        <w:t xml:space="preserve">cent </w:t>
      </w:r>
      <w:r w:rsidR="005A6334" w:rsidRPr="001D48C3">
        <w:rPr>
          <w:lang w:eastAsia="en-AU"/>
        </w:rPr>
        <w:t xml:space="preserve">over </w:t>
      </w:r>
      <w:r w:rsidRPr="001D48C3">
        <w:rPr>
          <w:lang w:eastAsia="en-AU"/>
        </w:rPr>
        <w:t xml:space="preserve">the </w:t>
      </w:r>
      <w:r w:rsidR="0022726E" w:rsidRPr="001D48C3">
        <w:rPr>
          <w:lang w:eastAsia="en-AU"/>
        </w:rPr>
        <w:t xml:space="preserve">first </w:t>
      </w:r>
      <w:r w:rsidRPr="001D48C3">
        <w:rPr>
          <w:lang w:eastAsia="en-AU"/>
        </w:rPr>
        <w:t xml:space="preserve">two projection years. Beyond </w:t>
      </w:r>
      <w:r w:rsidR="005A6334" w:rsidRPr="001D48C3">
        <w:rPr>
          <w:lang w:eastAsia="en-AU"/>
        </w:rPr>
        <w:t>that</w:t>
      </w:r>
      <w:r w:rsidRPr="001D48C3">
        <w:rPr>
          <w:lang w:eastAsia="en-AU"/>
        </w:rPr>
        <w:t xml:space="preserve">, the unemployment rate was assumed to fall </w:t>
      </w:r>
      <w:r w:rsidR="005A6334" w:rsidRPr="001D48C3">
        <w:rPr>
          <w:lang w:eastAsia="en-AU"/>
        </w:rPr>
        <w:t>(</w:t>
      </w:r>
      <w:r w:rsidRPr="001D48C3">
        <w:rPr>
          <w:lang w:eastAsia="en-AU"/>
        </w:rPr>
        <w:t xml:space="preserve">by </w:t>
      </w:r>
      <w:r w:rsidR="005A6334" w:rsidRPr="001D48C3">
        <w:rPr>
          <w:lang w:eastAsia="en-AU"/>
        </w:rPr>
        <w:t xml:space="preserve">slightly more than </w:t>
      </w:r>
      <w:r w:rsidRPr="001D48C3">
        <w:rPr>
          <w:lang w:eastAsia="en-AU"/>
        </w:rPr>
        <w:t>0.1 per cent each year</w:t>
      </w:r>
      <w:r w:rsidR="005A6334" w:rsidRPr="001D48C3">
        <w:rPr>
          <w:lang w:eastAsia="en-AU"/>
        </w:rPr>
        <w:t>)</w:t>
      </w:r>
      <w:r w:rsidRPr="001D48C3">
        <w:rPr>
          <w:lang w:eastAsia="en-AU"/>
        </w:rPr>
        <w:t xml:space="preserve"> over </w:t>
      </w:r>
      <w:r w:rsidR="005A6334" w:rsidRPr="001D48C3">
        <w:rPr>
          <w:lang w:eastAsia="en-AU"/>
        </w:rPr>
        <w:t xml:space="preserve">the subsequent </w:t>
      </w:r>
      <w:r w:rsidRPr="001D48C3">
        <w:rPr>
          <w:lang w:eastAsia="en-AU"/>
        </w:rPr>
        <w:t>10 year</w:t>
      </w:r>
      <w:r w:rsidR="00083D62" w:rsidRPr="001D48C3">
        <w:rPr>
          <w:lang w:eastAsia="en-AU"/>
        </w:rPr>
        <w:t>s</w:t>
      </w:r>
      <w:r w:rsidRPr="001D48C3">
        <w:rPr>
          <w:lang w:eastAsia="en-AU"/>
        </w:rPr>
        <w:t xml:space="preserve"> so that </w:t>
      </w:r>
      <w:r w:rsidR="00083D62" w:rsidRPr="001D48C3">
        <w:rPr>
          <w:lang w:eastAsia="en-AU"/>
        </w:rPr>
        <w:t>it</w:t>
      </w:r>
      <w:r w:rsidRPr="001D48C3">
        <w:rPr>
          <w:lang w:eastAsia="en-AU"/>
        </w:rPr>
        <w:t xml:space="preserve"> reached the NAIRU</w:t>
      </w:r>
      <w:r w:rsidR="00D310E1">
        <w:rPr>
          <w:lang w:eastAsia="en-AU"/>
        </w:rPr>
        <w:t xml:space="preserve"> in 202</w:t>
      </w:r>
      <w:r w:rsidR="00F138D3">
        <w:rPr>
          <w:lang w:eastAsia="en-AU"/>
        </w:rPr>
        <w:t>7</w:t>
      </w:r>
      <w:r w:rsidR="001D5BF5">
        <w:rPr>
          <w:lang w:eastAsia="en-AU"/>
        </w:rPr>
        <w:noBreakHyphen/>
      </w:r>
      <w:r w:rsidR="00D310E1">
        <w:rPr>
          <w:lang w:eastAsia="en-AU"/>
        </w:rPr>
        <w:t>2</w:t>
      </w:r>
      <w:r w:rsidR="00F138D3">
        <w:rPr>
          <w:lang w:eastAsia="en-AU"/>
        </w:rPr>
        <w:t>8</w:t>
      </w:r>
      <w:r w:rsidR="00016DCB">
        <w:rPr>
          <w:lang w:eastAsia="en-AU"/>
        </w:rPr>
        <w:t xml:space="preserve"> (</w:t>
      </w:r>
      <w:r w:rsidR="002103C9">
        <w:rPr>
          <w:lang w:eastAsia="en-AU"/>
        </w:rPr>
        <w:t>Chart 12)</w:t>
      </w:r>
      <w:r w:rsidRPr="001D48C3">
        <w:rPr>
          <w:lang w:eastAsia="en-AU"/>
        </w:rPr>
        <w:t>.</w:t>
      </w:r>
    </w:p>
    <w:p w14:paraId="233285FD" w14:textId="39C8F748" w:rsidR="004210E5" w:rsidRPr="001D48C3" w:rsidRDefault="00083D62" w:rsidP="004210E5">
      <w:pPr>
        <w:rPr>
          <w:lang w:eastAsia="en-AU"/>
        </w:rPr>
      </w:pPr>
      <w:r w:rsidRPr="001D48C3">
        <w:rPr>
          <w:lang w:eastAsia="en-AU"/>
        </w:rPr>
        <w:t>For</w:t>
      </w:r>
      <w:r w:rsidR="00DF5F57" w:rsidRPr="001D48C3">
        <w:rPr>
          <w:lang w:eastAsia="en-AU"/>
        </w:rPr>
        <w:t xml:space="preserve"> the unemployment rate to fall over the 10 year period, real GDP was assumed to grow above potential over the same period. Real</w:t>
      </w:r>
      <w:r w:rsidR="005E424A" w:rsidRPr="001D48C3">
        <w:rPr>
          <w:lang w:eastAsia="en-AU"/>
        </w:rPr>
        <w:t xml:space="preserve"> GDP g</w:t>
      </w:r>
      <w:r w:rsidR="001D48C3">
        <w:rPr>
          <w:lang w:eastAsia="en-AU"/>
        </w:rPr>
        <w:t>rowth was approximately 0.1 per </w:t>
      </w:r>
      <w:r w:rsidR="005E424A" w:rsidRPr="001D48C3">
        <w:rPr>
          <w:lang w:eastAsia="en-AU"/>
        </w:rPr>
        <w:t xml:space="preserve">cent above </w:t>
      </w:r>
      <w:r w:rsidR="006D046E" w:rsidRPr="001D48C3">
        <w:rPr>
          <w:lang w:eastAsia="en-AU"/>
        </w:rPr>
        <w:t xml:space="preserve">potential output </w:t>
      </w:r>
      <w:r w:rsidR="005E424A" w:rsidRPr="001D48C3">
        <w:rPr>
          <w:lang w:eastAsia="en-AU"/>
        </w:rPr>
        <w:t>growth while the unemployment g</w:t>
      </w:r>
      <w:r w:rsidR="003A5B4E" w:rsidRPr="001D48C3">
        <w:rPr>
          <w:lang w:eastAsia="en-AU"/>
        </w:rPr>
        <w:t>ap was being closed (</w:t>
      </w:r>
      <w:r w:rsidR="004210E5" w:rsidRPr="001D48C3">
        <w:rPr>
          <w:lang w:eastAsia="en-AU"/>
        </w:rPr>
        <w:fldChar w:fldCharType="begin"/>
      </w:r>
      <w:r w:rsidR="004210E5" w:rsidRPr="001D48C3">
        <w:rPr>
          <w:lang w:eastAsia="en-AU"/>
        </w:rPr>
        <w:instrText xml:space="preserve"> REF _Ref385439103 \h </w:instrText>
      </w:r>
      <w:r w:rsidR="004210E5" w:rsidRPr="001D48C3">
        <w:rPr>
          <w:lang w:eastAsia="en-AU"/>
        </w:rPr>
      </w:r>
      <w:r w:rsidR="004210E5" w:rsidRPr="001D48C3">
        <w:rPr>
          <w:lang w:eastAsia="en-AU"/>
        </w:rPr>
        <w:fldChar w:fldCharType="separate"/>
      </w:r>
      <w:r w:rsidR="00C65A3D" w:rsidRPr="001D48C3">
        <w:t xml:space="preserve">Chart </w:t>
      </w:r>
      <w:r w:rsidR="00C65A3D">
        <w:rPr>
          <w:noProof/>
        </w:rPr>
        <w:t>12</w:t>
      </w:r>
      <w:r w:rsidR="004210E5" w:rsidRPr="001D48C3">
        <w:rPr>
          <w:lang w:eastAsia="en-AU"/>
        </w:rPr>
        <w:fldChar w:fldCharType="end"/>
      </w:r>
      <w:r w:rsidR="005E424A" w:rsidRPr="001D48C3">
        <w:rPr>
          <w:lang w:eastAsia="en-AU"/>
        </w:rPr>
        <w:t>).</w:t>
      </w:r>
      <w:r w:rsidR="004210E5" w:rsidRPr="001D48C3">
        <w:rPr>
          <w:lang w:eastAsia="en-AU"/>
        </w:rPr>
        <w:t xml:space="preserve"> While the MYEFO methodology </w:t>
      </w:r>
      <w:r w:rsidRPr="001D48C3">
        <w:rPr>
          <w:lang w:eastAsia="en-AU"/>
        </w:rPr>
        <w:t>closed</w:t>
      </w:r>
      <w:r w:rsidR="004210E5" w:rsidRPr="001D48C3">
        <w:rPr>
          <w:lang w:eastAsia="en-AU"/>
        </w:rPr>
        <w:t xml:space="preserve"> the unemployment gap, the cyclical participation rate and cyclical productivity gap were held constant. This meant that the output gap was only partially closed (</w:t>
      </w:r>
      <w:r w:rsidR="004210E5" w:rsidRPr="001D48C3">
        <w:rPr>
          <w:lang w:eastAsia="en-AU"/>
        </w:rPr>
        <w:fldChar w:fldCharType="begin"/>
      </w:r>
      <w:r w:rsidR="004210E5" w:rsidRPr="001D48C3">
        <w:rPr>
          <w:lang w:eastAsia="en-AU"/>
        </w:rPr>
        <w:instrText xml:space="preserve"> REF _Ref385439227 \h </w:instrText>
      </w:r>
      <w:r w:rsidR="004210E5" w:rsidRPr="001D48C3">
        <w:rPr>
          <w:lang w:eastAsia="en-AU"/>
        </w:rPr>
      </w:r>
      <w:r w:rsidR="004210E5" w:rsidRPr="001D48C3">
        <w:rPr>
          <w:lang w:eastAsia="en-AU"/>
        </w:rPr>
        <w:fldChar w:fldCharType="separate"/>
      </w:r>
      <w:r w:rsidR="00C65A3D" w:rsidRPr="001D48C3">
        <w:t xml:space="preserve">Chart </w:t>
      </w:r>
      <w:r w:rsidR="00C65A3D">
        <w:rPr>
          <w:noProof/>
        </w:rPr>
        <w:t>13</w:t>
      </w:r>
      <w:r w:rsidR="004210E5" w:rsidRPr="001D48C3">
        <w:rPr>
          <w:lang w:eastAsia="en-AU"/>
        </w:rPr>
        <w:fldChar w:fldCharType="end"/>
      </w:r>
      <w:r w:rsidR="004210E5" w:rsidRPr="001D48C3">
        <w:rPr>
          <w:lang w:eastAsia="en-AU"/>
        </w:rPr>
        <w:t>)</w:t>
      </w:r>
      <w:r w:rsidR="00073551" w:rsidRPr="001D48C3">
        <w:rPr>
          <w:lang w:eastAsia="en-AU"/>
        </w:rPr>
        <w:t xml:space="preserve"> — </w:t>
      </w:r>
      <w:r w:rsidR="002E4505" w:rsidRPr="001D48C3">
        <w:t xml:space="preserve">that is, Australia was forever projected to have real activity below the </w:t>
      </w:r>
      <w:r w:rsidR="00925343" w:rsidRPr="001D48C3">
        <w:t>economy</w:t>
      </w:r>
      <w:r w:rsidR="001D5BF5">
        <w:t>’</w:t>
      </w:r>
      <w:r w:rsidR="00925343" w:rsidRPr="001D48C3">
        <w:t>s potential level of output</w:t>
      </w:r>
      <w:r w:rsidR="003F42F1">
        <w:t xml:space="preserve"> (as was also the case using the earlier methodology of assuming trend growth from the end of the forecast period)</w:t>
      </w:r>
      <w:r w:rsidR="004210E5" w:rsidRPr="001D48C3">
        <w:rPr>
          <w:lang w:eastAsia="en-AU"/>
        </w:rPr>
        <w:t>.</w:t>
      </w:r>
    </w:p>
    <w:p w14:paraId="644B0131" w14:textId="765927CC" w:rsidR="005E424A" w:rsidRPr="001D48C3" w:rsidRDefault="00546C39" w:rsidP="005E424A">
      <w:pPr>
        <w:rPr>
          <w:lang w:eastAsia="en-AU"/>
        </w:rPr>
      </w:pPr>
      <w:r w:rsidRPr="001D48C3">
        <w:rPr>
          <w:lang w:eastAsia="en-AU"/>
        </w:rPr>
        <w:t xml:space="preserve">In </w:t>
      </w:r>
      <w:r w:rsidR="00F06F2B" w:rsidRPr="001D48C3">
        <w:rPr>
          <w:lang w:eastAsia="en-AU"/>
        </w:rPr>
        <w:t xml:space="preserve">contrast, </w:t>
      </w:r>
      <w:r w:rsidRPr="001D48C3">
        <w:rPr>
          <w:lang w:eastAsia="en-AU"/>
        </w:rPr>
        <w:t>the projection methodology presented in this paper fully closes th</w:t>
      </w:r>
      <w:r w:rsidR="00842D9B" w:rsidRPr="001D48C3">
        <w:rPr>
          <w:lang w:eastAsia="en-AU"/>
        </w:rPr>
        <w:t xml:space="preserve">e output and unemployment gaps </w:t>
      </w:r>
      <w:r w:rsidRPr="001D48C3">
        <w:rPr>
          <w:lang w:eastAsia="en-AU"/>
        </w:rPr>
        <w:t xml:space="preserve">by </w:t>
      </w:r>
      <w:r w:rsidR="00883F59" w:rsidRPr="001D48C3">
        <w:rPr>
          <w:lang w:eastAsia="en-AU"/>
        </w:rPr>
        <w:t>20</w:t>
      </w:r>
      <w:r w:rsidR="00883F59">
        <w:rPr>
          <w:lang w:eastAsia="en-AU"/>
        </w:rPr>
        <w:t>20</w:t>
      </w:r>
      <w:r w:rsidR="001D5BF5">
        <w:rPr>
          <w:lang w:eastAsia="en-AU"/>
        </w:rPr>
        <w:noBreakHyphen/>
      </w:r>
      <w:r w:rsidR="00883F59" w:rsidRPr="001D48C3">
        <w:rPr>
          <w:lang w:eastAsia="en-AU"/>
        </w:rPr>
        <w:t>2</w:t>
      </w:r>
      <w:r w:rsidR="00883F59">
        <w:rPr>
          <w:lang w:eastAsia="en-AU"/>
        </w:rPr>
        <w:t>1</w:t>
      </w:r>
      <w:r w:rsidR="00883F59" w:rsidRPr="001D48C3">
        <w:rPr>
          <w:lang w:eastAsia="en-AU"/>
        </w:rPr>
        <w:t xml:space="preserve"> </w:t>
      </w:r>
      <w:r w:rsidR="00083D62" w:rsidRPr="001D48C3">
        <w:rPr>
          <w:lang w:eastAsia="en-AU"/>
        </w:rPr>
        <w:t>(</w:t>
      </w:r>
      <w:r w:rsidR="00083D62" w:rsidRPr="001D48C3">
        <w:rPr>
          <w:lang w:eastAsia="en-AU"/>
        </w:rPr>
        <w:fldChar w:fldCharType="begin"/>
      </w:r>
      <w:r w:rsidR="00083D62" w:rsidRPr="001D48C3">
        <w:rPr>
          <w:lang w:eastAsia="en-AU"/>
        </w:rPr>
        <w:instrText xml:space="preserve"> REF _Ref385432045 \h </w:instrText>
      </w:r>
      <w:r w:rsidR="00083D62" w:rsidRPr="001D48C3">
        <w:rPr>
          <w:lang w:eastAsia="en-AU"/>
        </w:rPr>
      </w:r>
      <w:r w:rsidR="00083D62" w:rsidRPr="001D48C3">
        <w:rPr>
          <w:lang w:eastAsia="en-AU"/>
        </w:rPr>
        <w:fldChar w:fldCharType="separate"/>
      </w:r>
      <w:r w:rsidR="00C65A3D" w:rsidRPr="001D48C3">
        <w:t xml:space="preserve">Chart </w:t>
      </w:r>
      <w:r w:rsidR="00C65A3D">
        <w:rPr>
          <w:noProof/>
        </w:rPr>
        <w:t>5</w:t>
      </w:r>
      <w:r w:rsidR="00083D62" w:rsidRPr="001D48C3">
        <w:rPr>
          <w:lang w:eastAsia="en-AU"/>
        </w:rPr>
        <w:fldChar w:fldCharType="end"/>
      </w:r>
      <w:r w:rsidR="00083D62" w:rsidRPr="001D48C3">
        <w:rPr>
          <w:lang w:eastAsia="en-AU"/>
        </w:rPr>
        <w:t>)</w:t>
      </w:r>
      <w:r w:rsidR="00F06F2B" w:rsidRPr="001D48C3">
        <w:rPr>
          <w:lang w:eastAsia="en-AU"/>
        </w:rPr>
        <w:t>.</w:t>
      </w:r>
      <w:r w:rsidRPr="001D48C3">
        <w:rPr>
          <w:lang w:eastAsia="en-AU"/>
        </w:rPr>
        <w:t xml:space="preserve"> Closing the output gap </w:t>
      </w:r>
      <w:r w:rsidR="00842D9B" w:rsidRPr="001D48C3">
        <w:rPr>
          <w:lang w:eastAsia="en-AU"/>
        </w:rPr>
        <w:t>leads to</w:t>
      </w:r>
      <w:r w:rsidRPr="001D48C3">
        <w:rPr>
          <w:lang w:eastAsia="en-AU"/>
        </w:rPr>
        <w:t xml:space="preserve"> </w:t>
      </w:r>
      <w:r w:rsidR="00842D9B" w:rsidRPr="001D48C3">
        <w:rPr>
          <w:lang w:eastAsia="en-AU"/>
        </w:rPr>
        <w:t xml:space="preserve">higher projected </w:t>
      </w:r>
      <w:r w:rsidRPr="001D48C3">
        <w:rPr>
          <w:lang w:eastAsia="en-AU"/>
        </w:rPr>
        <w:t>level</w:t>
      </w:r>
      <w:r w:rsidR="002F0E0E">
        <w:rPr>
          <w:lang w:eastAsia="en-AU"/>
        </w:rPr>
        <w:t>s</w:t>
      </w:r>
      <w:r w:rsidRPr="001D48C3">
        <w:rPr>
          <w:lang w:eastAsia="en-AU"/>
        </w:rPr>
        <w:t xml:space="preserve"> of real GDP</w:t>
      </w:r>
      <w:r w:rsidR="00925343" w:rsidRPr="001D48C3">
        <w:rPr>
          <w:lang w:eastAsia="en-AU"/>
        </w:rPr>
        <w:t>,</w:t>
      </w:r>
      <w:r w:rsidR="00842D9B" w:rsidRPr="001D48C3">
        <w:rPr>
          <w:lang w:eastAsia="en-AU"/>
        </w:rPr>
        <w:t xml:space="preserve"> </w:t>
      </w:r>
      <w:r w:rsidRPr="001D48C3">
        <w:rPr>
          <w:lang w:eastAsia="en-AU"/>
        </w:rPr>
        <w:t>which increase the level of nominal GDP by $</w:t>
      </w:r>
      <w:r w:rsidR="000A79E8">
        <w:rPr>
          <w:lang w:eastAsia="en-AU"/>
        </w:rPr>
        <w:t>19.6</w:t>
      </w:r>
      <w:r w:rsidRPr="001D48C3">
        <w:rPr>
          <w:lang w:eastAsia="en-AU"/>
        </w:rPr>
        <w:t xml:space="preserve"> billion (1.0 per cent) in </w:t>
      </w:r>
      <w:r w:rsidR="00816226" w:rsidRPr="001D48C3">
        <w:rPr>
          <w:lang w:eastAsia="en-AU"/>
        </w:rPr>
        <w:t>201</w:t>
      </w:r>
      <w:r w:rsidR="00816226">
        <w:rPr>
          <w:lang w:eastAsia="en-AU"/>
        </w:rPr>
        <w:t>7</w:t>
      </w:r>
      <w:r w:rsidR="001D5BF5">
        <w:rPr>
          <w:lang w:eastAsia="en-AU"/>
        </w:rPr>
        <w:noBreakHyphen/>
      </w:r>
      <w:r w:rsidR="00816226" w:rsidRPr="001D48C3">
        <w:rPr>
          <w:lang w:eastAsia="en-AU"/>
        </w:rPr>
        <w:t>1</w:t>
      </w:r>
      <w:r w:rsidR="00816226">
        <w:rPr>
          <w:lang w:eastAsia="en-AU"/>
        </w:rPr>
        <w:t>8</w:t>
      </w:r>
      <w:r w:rsidR="00816226" w:rsidRPr="001D48C3">
        <w:rPr>
          <w:lang w:eastAsia="en-AU"/>
        </w:rPr>
        <w:t xml:space="preserve"> </w:t>
      </w:r>
      <w:r w:rsidRPr="001D48C3">
        <w:rPr>
          <w:lang w:eastAsia="en-AU"/>
        </w:rPr>
        <w:t>and $50.</w:t>
      </w:r>
      <w:r w:rsidR="000A79E8">
        <w:rPr>
          <w:lang w:eastAsia="en-AU"/>
        </w:rPr>
        <w:t>4</w:t>
      </w:r>
      <w:r w:rsidR="00491230">
        <w:rPr>
          <w:lang w:eastAsia="en-AU"/>
        </w:rPr>
        <w:t> </w:t>
      </w:r>
      <w:r w:rsidRPr="001D48C3">
        <w:rPr>
          <w:lang w:eastAsia="en-AU"/>
        </w:rPr>
        <w:t>billion (1.</w:t>
      </w:r>
      <w:r w:rsidR="000A79E8">
        <w:rPr>
          <w:lang w:eastAsia="en-AU"/>
        </w:rPr>
        <w:t>8</w:t>
      </w:r>
      <w:r w:rsidRPr="001D48C3">
        <w:rPr>
          <w:lang w:eastAsia="en-AU"/>
        </w:rPr>
        <w:t xml:space="preserve"> per</w:t>
      </w:r>
      <w:r w:rsidR="001D48C3">
        <w:rPr>
          <w:lang w:eastAsia="en-AU"/>
        </w:rPr>
        <w:t> </w:t>
      </w:r>
      <w:r w:rsidRPr="001D48C3">
        <w:rPr>
          <w:lang w:eastAsia="en-AU"/>
        </w:rPr>
        <w:t>cent)</w:t>
      </w:r>
      <w:r w:rsidR="00083D62" w:rsidRPr="001D48C3">
        <w:rPr>
          <w:lang w:eastAsia="en-AU"/>
        </w:rPr>
        <w:t xml:space="preserve"> in 202</w:t>
      </w:r>
      <w:r w:rsidR="000A79E8">
        <w:rPr>
          <w:lang w:eastAsia="en-AU"/>
        </w:rPr>
        <w:t>4</w:t>
      </w:r>
      <w:r w:rsidR="001D5BF5">
        <w:rPr>
          <w:lang w:eastAsia="en-AU"/>
        </w:rPr>
        <w:noBreakHyphen/>
      </w:r>
      <w:r w:rsidR="000A79E8">
        <w:rPr>
          <w:lang w:eastAsia="en-AU"/>
        </w:rPr>
        <w:t>25</w:t>
      </w:r>
      <w:r w:rsidRPr="001D48C3">
        <w:rPr>
          <w:lang w:eastAsia="en-AU"/>
        </w:rPr>
        <w:t xml:space="preserve"> (</w:t>
      </w:r>
      <w:r w:rsidRPr="001D48C3">
        <w:rPr>
          <w:lang w:eastAsia="en-AU"/>
        </w:rPr>
        <w:fldChar w:fldCharType="begin"/>
      </w:r>
      <w:r w:rsidRPr="001D48C3">
        <w:rPr>
          <w:lang w:eastAsia="en-AU"/>
        </w:rPr>
        <w:instrText xml:space="preserve"> REF _Ref385438163 \h </w:instrText>
      </w:r>
      <w:r w:rsidRPr="001D48C3">
        <w:rPr>
          <w:lang w:eastAsia="en-AU"/>
        </w:rPr>
      </w:r>
      <w:r w:rsidRPr="001D48C3">
        <w:rPr>
          <w:lang w:eastAsia="en-AU"/>
        </w:rPr>
        <w:fldChar w:fldCharType="separate"/>
      </w:r>
      <w:r w:rsidR="00C65A3D" w:rsidRPr="001D48C3">
        <w:t xml:space="preserve">Chart </w:t>
      </w:r>
      <w:r w:rsidR="00C65A3D">
        <w:rPr>
          <w:noProof/>
        </w:rPr>
        <w:t>11</w:t>
      </w:r>
      <w:r w:rsidRPr="001D48C3">
        <w:rPr>
          <w:lang w:eastAsia="en-AU"/>
        </w:rPr>
        <w:fldChar w:fldCharType="end"/>
      </w:r>
      <w:r w:rsidRPr="001D48C3">
        <w:rPr>
          <w:lang w:eastAsia="en-AU"/>
        </w:rPr>
        <w:t>).</w:t>
      </w:r>
    </w:p>
    <w:p w14:paraId="2C799D2D" w14:textId="44A0E775" w:rsidR="00713344" w:rsidRPr="001D48C3" w:rsidRDefault="00713344" w:rsidP="001D48C3">
      <w:pPr>
        <w:pStyle w:val="CaptionHeading1"/>
      </w:pPr>
      <w:bookmarkStart w:id="15" w:name="_Ref385439103"/>
      <w:r w:rsidRPr="001D48C3">
        <w:t xml:space="preserve">Chart </w:t>
      </w:r>
      <w:r w:rsidR="00711272">
        <w:fldChar w:fldCharType="begin"/>
      </w:r>
      <w:r w:rsidR="00711272">
        <w:instrText xml:space="preserve"> SEQ Chart \* ARABIC </w:instrText>
      </w:r>
      <w:r w:rsidR="00711272">
        <w:fldChar w:fldCharType="separate"/>
      </w:r>
      <w:r w:rsidR="00C65A3D">
        <w:rPr>
          <w:noProof/>
        </w:rPr>
        <w:t>12</w:t>
      </w:r>
      <w:r w:rsidR="00711272">
        <w:rPr>
          <w:noProof/>
        </w:rPr>
        <w:fldChar w:fldCharType="end"/>
      </w:r>
      <w:bookmarkEnd w:id="15"/>
      <w:r w:rsidRPr="001D48C3">
        <w:t xml:space="preserve">: GDP growth and unemployment rate </w:t>
      </w:r>
      <w:r w:rsidR="00883F59">
        <w:t xml:space="preserve">using </w:t>
      </w:r>
      <w:r w:rsidRPr="001D48C3">
        <w:t>MYEFO</w:t>
      </w:r>
      <w:r w:rsidR="00883F59">
        <w:t xml:space="preserve"> methodology</w:t>
      </w:r>
    </w:p>
    <w:p w14:paraId="508FA229" w14:textId="25ABE8F8" w:rsidR="005E424A" w:rsidRPr="001D48C3" w:rsidRDefault="00614825" w:rsidP="00237D09">
      <w:pPr>
        <w:pStyle w:val="ChartGraphic"/>
      </w:pPr>
      <w:r>
        <w:object w:dxaOrig="8761" w:dyaOrig="4530" w14:anchorId="2BE5D8F7">
          <v:shape id="_x0000_i1093" type="#_x0000_t75" alt="This chart plots forecasts and projections of growth in potential output and real GDP, and the unemployment rate from 2011-12 to 2029-30 using the 2013-14 MYEFO methodology." style="width:438pt;height:226.5pt" o:ole="">
            <v:imagedata r:id="rId156" o:title=""/>
          </v:shape>
          <o:OLEObject Type="Link" ProgID="Excel.Sheet.12" ShapeID="_x0000_i1093" DrawAspect="Content" r:id="rId157" UpdateMode="Always">
            <o:LinkType>EnhancedMetaFile</o:LinkType>
            <o:LockedField>false</o:LockedField>
          </o:OLEObject>
        </w:object>
      </w:r>
    </w:p>
    <w:p w14:paraId="314CDE6E" w14:textId="77777777" w:rsidR="00997267" w:rsidRPr="001D48C3" w:rsidRDefault="00997267" w:rsidP="00997267">
      <w:pPr>
        <w:rPr>
          <w:lang w:eastAsia="en-AU"/>
        </w:rPr>
      </w:pPr>
    </w:p>
    <w:p w14:paraId="6CFDEC23" w14:textId="44A3FCB0" w:rsidR="00713344" w:rsidRPr="001D48C3" w:rsidRDefault="00713344" w:rsidP="00C115F9">
      <w:pPr>
        <w:pStyle w:val="CaptionHeading1"/>
      </w:pPr>
      <w:bookmarkStart w:id="16" w:name="_Ref385439227"/>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13</w:t>
      </w:r>
      <w:r w:rsidR="00711272">
        <w:rPr>
          <w:noProof/>
        </w:rPr>
        <w:fldChar w:fldCharType="end"/>
      </w:r>
      <w:bookmarkEnd w:id="16"/>
      <w:r w:rsidRPr="001D48C3">
        <w:t xml:space="preserve">: Output gap and unemployment cycle </w:t>
      </w:r>
      <w:r w:rsidR="00883F59">
        <w:t xml:space="preserve">using </w:t>
      </w:r>
      <w:r w:rsidRPr="001D48C3">
        <w:t>MYEFO</w:t>
      </w:r>
      <w:r w:rsidR="00883F59">
        <w:t xml:space="preserve"> methodology</w:t>
      </w:r>
    </w:p>
    <w:p w14:paraId="6458F42C" w14:textId="758E828D" w:rsidR="005E424A" w:rsidRDefault="00614825" w:rsidP="00237D09">
      <w:pPr>
        <w:pStyle w:val="ChartGraphic"/>
      </w:pPr>
      <w:r>
        <w:object w:dxaOrig="8775" w:dyaOrig="4530" w14:anchorId="5F983E2D">
          <v:shape id="_x0000_i1094" type="#_x0000_t75" alt="This chart plots forecasts and projections of the output and unemployment gaps, using the 2013-14 MYEFO methodology from 2011-12 to 2029-30." style="width:438.75pt;height:226.5pt" o:ole="">
            <v:imagedata r:id="rId158" o:title=""/>
          </v:shape>
          <o:OLEObject Type="Link" ProgID="Excel.Sheet.12" ShapeID="_x0000_i1094" DrawAspect="Content" r:id="rId159" UpdateMode="Always">
            <o:LinkType>EnhancedMetaFile</o:LinkType>
            <o:LockedField>false</o:LockedField>
          </o:OLEObject>
        </w:object>
      </w:r>
    </w:p>
    <w:p w14:paraId="5472436D" w14:textId="77777777" w:rsidR="005E7582" w:rsidRPr="005E7582" w:rsidRDefault="005E7582" w:rsidP="005E7582">
      <w:pPr>
        <w:pStyle w:val="SingleParagraph"/>
        <w:rPr>
          <w:lang w:eastAsia="en-AU"/>
        </w:rPr>
      </w:pPr>
    </w:p>
    <w:p w14:paraId="439C26C2" w14:textId="5E004328" w:rsidR="00AC4ED2" w:rsidRPr="001D48C3" w:rsidRDefault="0077371E" w:rsidP="00AC4ED2">
      <w:pPr>
        <w:rPr>
          <w:lang w:eastAsia="en-AU"/>
        </w:rPr>
      </w:pPr>
      <w:r w:rsidRPr="001D48C3">
        <w:rPr>
          <w:lang w:eastAsia="en-AU"/>
        </w:rPr>
        <w:t>In</w:t>
      </w:r>
      <w:r w:rsidR="00987DB8" w:rsidRPr="001D48C3">
        <w:rPr>
          <w:lang w:eastAsia="en-AU"/>
        </w:rPr>
        <w:t xml:space="preserve"> MYEFO</w:t>
      </w:r>
      <w:r w:rsidRPr="001D48C3">
        <w:rPr>
          <w:lang w:eastAsia="en-AU"/>
        </w:rPr>
        <w:t>,</w:t>
      </w:r>
      <w:r w:rsidR="00987DB8" w:rsidRPr="001D48C3">
        <w:rPr>
          <w:lang w:eastAsia="en-AU"/>
        </w:rPr>
        <w:t xml:space="preserve"> wages and </w:t>
      </w:r>
      <w:r w:rsidR="00FD5B69" w:rsidRPr="001D48C3">
        <w:rPr>
          <w:lang w:eastAsia="en-AU"/>
        </w:rPr>
        <w:t xml:space="preserve">aggregate </w:t>
      </w:r>
      <w:r w:rsidR="00BA4FBD" w:rsidRPr="001D48C3">
        <w:rPr>
          <w:lang w:eastAsia="en-AU"/>
        </w:rPr>
        <w:t xml:space="preserve">expenditure </w:t>
      </w:r>
      <w:r w:rsidR="00987DB8" w:rsidRPr="001D48C3">
        <w:rPr>
          <w:lang w:eastAsia="en-AU"/>
        </w:rPr>
        <w:t xml:space="preserve">prices were assumed to immediately return to their </w:t>
      </w:r>
      <w:r w:rsidR="00E13EE4" w:rsidRPr="001D48C3">
        <w:rPr>
          <w:lang w:eastAsia="en-AU"/>
        </w:rPr>
        <w:t>long</w:t>
      </w:r>
      <w:r w:rsidR="001D5BF5">
        <w:rPr>
          <w:lang w:eastAsia="en-AU"/>
        </w:rPr>
        <w:noBreakHyphen/>
      </w:r>
      <w:r w:rsidR="00546C39" w:rsidRPr="001D48C3">
        <w:rPr>
          <w:lang w:eastAsia="en-AU"/>
        </w:rPr>
        <w:t>run</w:t>
      </w:r>
      <w:r w:rsidR="00987DB8" w:rsidRPr="001D48C3">
        <w:rPr>
          <w:lang w:eastAsia="en-AU"/>
        </w:rPr>
        <w:t xml:space="preserve"> growth </w:t>
      </w:r>
      <w:r w:rsidR="00546C39" w:rsidRPr="001D48C3">
        <w:rPr>
          <w:lang w:eastAsia="en-AU"/>
        </w:rPr>
        <w:t>rate</w:t>
      </w:r>
      <w:r w:rsidR="00083D62" w:rsidRPr="001D48C3">
        <w:rPr>
          <w:lang w:eastAsia="en-AU"/>
        </w:rPr>
        <w:t>s</w:t>
      </w:r>
      <w:r w:rsidR="00546C39" w:rsidRPr="001D48C3">
        <w:rPr>
          <w:lang w:eastAsia="en-AU"/>
        </w:rPr>
        <w:t xml:space="preserve"> </w:t>
      </w:r>
      <w:r w:rsidR="00987DB8" w:rsidRPr="001D48C3">
        <w:rPr>
          <w:lang w:eastAsia="en-AU"/>
        </w:rPr>
        <w:t>at the start of the projection period (</w:t>
      </w:r>
      <w:r w:rsidR="00546C39" w:rsidRPr="001D48C3">
        <w:rPr>
          <w:lang w:eastAsia="en-AU"/>
        </w:rPr>
        <w:fldChar w:fldCharType="begin"/>
      </w:r>
      <w:r w:rsidR="00546C39" w:rsidRPr="001D48C3">
        <w:rPr>
          <w:lang w:eastAsia="en-AU"/>
        </w:rPr>
        <w:instrText xml:space="preserve"> REF _Ref385439919 \h </w:instrText>
      </w:r>
      <w:r w:rsidR="00546C39" w:rsidRPr="001D48C3">
        <w:rPr>
          <w:lang w:eastAsia="en-AU"/>
        </w:rPr>
      </w:r>
      <w:r w:rsidR="00546C39" w:rsidRPr="001D48C3">
        <w:rPr>
          <w:lang w:eastAsia="en-AU"/>
        </w:rPr>
        <w:fldChar w:fldCharType="separate"/>
      </w:r>
      <w:r w:rsidR="00C65A3D" w:rsidRPr="001D48C3">
        <w:t xml:space="preserve">Chart </w:t>
      </w:r>
      <w:r w:rsidR="00C65A3D">
        <w:rPr>
          <w:noProof/>
        </w:rPr>
        <w:t>14</w:t>
      </w:r>
      <w:r w:rsidR="00546C39" w:rsidRPr="001D48C3">
        <w:rPr>
          <w:lang w:eastAsia="en-AU"/>
        </w:rPr>
        <w:fldChar w:fldCharType="end"/>
      </w:r>
      <w:r w:rsidR="00987DB8" w:rsidRPr="001D48C3">
        <w:rPr>
          <w:lang w:eastAsia="en-AU"/>
        </w:rPr>
        <w:t xml:space="preserve">). </w:t>
      </w:r>
      <w:r w:rsidR="00BE6E6E" w:rsidRPr="001D48C3">
        <w:rPr>
          <w:lang w:eastAsia="en-AU"/>
        </w:rPr>
        <w:t xml:space="preserve">The projection methodology presented </w:t>
      </w:r>
      <w:r w:rsidR="00083D62" w:rsidRPr="001D48C3">
        <w:rPr>
          <w:lang w:eastAsia="en-AU"/>
        </w:rPr>
        <w:t>here</w:t>
      </w:r>
      <w:r w:rsidR="00111E57" w:rsidRPr="001D48C3">
        <w:rPr>
          <w:lang w:eastAsia="en-AU"/>
        </w:rPr>
        <w:t xml:space="preserve"> </w:t>
      </w:r>
      <w:r w:rsidR="00BE6E6E" w:rsidRPr="001D48C3">
        <w:rPr>
          <w:lang w:eastAsia="en-AU"/>
        </w:rPr>
        <w:t xml:space="preserve">generates growth in wages and </w:t>
      </w:r>
      <w:r w:rsidR="00FD5B69" w:rsidRPr="001D48C3">
        <w:rPr>
          <w:lang w:eastAsia="en-AU"/>
        </w:rPr>
        <w:t xml:space="preserve">aggregate </w:t>
      </w:r>
      <w:r w:rsidR="00DF5F57" w:rsidRPr="001D48C3">
        <w:rPr>
          <w:lang w:eastAsia="en-AU"/>
        </w:rPr>
        <w:t xml:space="preserve">expenditure </w:t>
      </w:r>
      <w:r w:rsidR="00BE6E6E" w:rsidRPr="001D48C3">
        <w:rPr>
          <w:lang w:eastAsia="en-AU"/>
        </w:rPr>
        <w:t>prices below their long</w:t>
      </w:r>
      <w:r w:rsidR="001D5BF5">
        <w:rPr>
          <w:lang w:eastAsia="en-AU"/>
        </w:rPr>
        <w:noBreakHyphen/>
      </w:r>
      <w:r w:rsidR="00BE6E6E" w:rsidRPr="001D48C3">
        <w:rPr>
          <w:lang w:eastAsia="en-AU"/>
        </w:rPr>
        <w:t>run growth rates over the cyclical adjustment period</w:t>
      </w:r>
      <w:r w:rsidR="00E23035" w:rsidRPr="001D48C3">
        <w:rPr>
          <w:lang w:eastAsia="en-AU"/>
        </w:rPr>
        <w:t xml:space="preserve">; </w:t>
      </w:r>
      <w:r w:rsidR="00083D62" w:rsidRPr="001D48C3">
        <w:rPr>
          <w:lang w:eastAsia="en-AU"/>
        </w:rPr>
        <w:t>that is, while output remains below potential</w:t>
      </w:r>
      <w:r w:rsidR="00111E57" w:rsidRPr="001D48C3">
        <w:rPr>
          <w:lang w:eastAsia="en-AU"/>
        </w:rPr>
        <w:t xml:space="preserve"> </w:t>
      </w:r>
      <w:r w:rsidR="00491230">
        <w:rPr>
          <w:lang w:eastAsia="en-AU"/>
        </w:rPr>
        <w:br/>
      </w:r>
      <w:r w:rsidR="00BE6E6E" w:rsidRPr="001D48C3">
        <w:rPr>
          <w:lang w:eastAsia="en-AU"/>
        </w:rPr>
        <w:t>(</w:t>
      </w:r>
      <w:r w:rsidR="00925343" w:rsidRPr="001D48C3">
        <w:rPr>
          <w:lang w:eastAsia="en-AU"/>
        </w:rPr>
        <w:fldChar w:fldCharType="begin"/>
      </w:r>
      <w:r w:rsidR="00925343" w:rsidRPr="001D48C3">
        <w:rPr>
          <w:lang w:eastAsia="en-AU"/>
        </w:rPr>
        <w:instrText xml:space="preserve"> REF _Ref385440206 \h </w:instrText>
      </w:r>
      <w:r w:rsidR="00925343" w:rsidRPr="001D48C3">
        <w:rPr>
          <w:lang w:eastAsia="en-AU"/>
        </w:rPr>
      </w:r>
      <w:r w:rsidR="00925343" w:rsidRPr="001D48C3">
        <w:rPr>
          <w:lang w:eastAsia="en-AU"/>
        </w:rPr>
        <w:fldChar w:fldCharType="separate"/>
      </w:r>
      <w:r w:rsidR="00C65A3D" w:rsidRPr="001D48C3">
        <w:t xml:space="preserve">Chart </w:t>
      </w:r>
      <w:r w:rsidR="00C65A3D">
        <w:rPr>
          <w:noProof/>
        </w:rPr>
        <w:t>7</w:t>
      </w:r>
      <w:r w:rsidR="00925343" w:rsidRPr="001D48C3">
        <w:rPr>
          <w:lang w:eastAsia="en-AU"/>
        </w:rPr>
        <w:fldChar w:fldCharType="end"/>
      </w:r>
      <w:r w:rsidR="00111E57" w:rsidRPr="001D48C3">
        <w:rPr>
          <w:lang w:eastAsia="en-AU"/>
        </w:rPr>
        <w:t>).</w:t>
      </w:r>
    </w:p>
    <w:p w14:paraId="5887B418" w14:textId="2D8E0772" w:rsidR="00713344" w:rsidRPr="001D48C3" w:rsidRDefault="00713344" w:rsidP="00C115F9">
      <w:pPr>
        <w:pStyle w:val="CaptionHeading1"/>
      </w:pPr>
      <w:bookmarkStart w:id="17" w:name="_Ref385439919"/>
      <w:r w:rsidRPr="001D48C3">
        <w:t xml:space="preserve">Chart </w:t>
      </w:r>
      <w:r w:rsidR="00711272">
        <w:fldChar w:fldCharType="begin"/>
      </w:r>
      <w:r w:rsidR="00711272">
        <w:instrText xml:space="preserve"> SEQ Chart \* ARABIC </w:instrText>
      </w:r>
      <w:r w:rsidR="00711272">
        <w:fldChar w:fldCharType="separate"/>
      </w:r>
      <w:r w:rsidR="00C65A3D">
        <w:rPr>
          <w:noProof/>
        </w:rPr>
        <w:t>14</w:t>
      </w:r>
      <w:r w:rsidR="00711272">
        <w:rPr>
          <w:noProof/>
        </w:rPr>
        <w:fldChar w:fldCharType="end"/>
      </w:r>
      <w:bookmarkEnd w:id="17"/>
      <w:r w:rsidRPr="001D48C3">
        <w:t>: Wage</w:t>
      </w:r>
      <w:r w:rsidR="00546C39" w:rsidRPr="001D48C3">
        <w:t>s</w:t>
      </w:r>
      <w:r w:rsidRPr="001D48C3">
        <w:t xml:space="preserve"> </w:t>
      </w:r>
      <w:r w:rsidR="00546C39" w:rsidRPr="001D48C3">
        <w:t>growth</w:t>
      </w:r>
      <w:r w:rsidRPr="001D48C3">
        <w:t xml:space="preserve"> and unemployment rate </w:t>
      </w:r>
      <w:r w:rsidR="00883F59">
        <w:t>using MYEFO methodology</w:t>
      </w:r>
    </w:p>
    <w:p w14:paraId="6914F1D4" w14:textId="03D4E3DB" w:rsidR="005E424A" w:rsidRDefault="00614825" w:rsidP="00237D09">
      <w:pPr>
        <w:pStyle w:val="ChartGraphic"/>
      </w:pPr>
      <w:r>
        <w:object w:dxaOrig="8775" w:dyaOrig="4530" w14:anchorId="2200FA83">
          <v:shape id="_x0000_i1095" type="#_x0000_t75" alt="This chart plots forecasts and projections of growth in wages and expenditure prices, and the level of the unemployment rate from 2012-13 to 2024-25 using the 2013-14 MYEFO methodology." style="width:438.75pt;height:226.5pt" o:ole="">
            <v:imagedata r:id="rId160" o:title=""/>
          </v:shape>
          <o:OLEObject Type="Link" ProgID="Excel.Sheet.12" ShapeID="_x0000_i1095" DrawAspect="Content" r:id="rId161" UpdateMode="Always">
            <o:LinkType>EnhancedMetaFile</o:LinkType>
            <o:LockedField>false</o:LockedField>
          </o:OLEObject>
        </w:object>
      </w:r>
    </w:p>
    <w:p w14:paraId="35FB41FD" w14:textId="77777777" w:rsidR="00237D09" w:rsidRPr="00237D09" w:rsidRDefault="00237D09" w:rsidP="00237D09">
      <w:pPr>
        <w:pStyle w:val="SingleParagraph"/>
        <w:rPr>
          <w:lang w:eastAsia="en-AU"/>
        </w:rPr>
      </w:pPr>
    </w:p>
    <w:p w14:paraId="638E4E8B" w14:textId="33A54712" w:rsidR="00781254" w:rsidRPr="001D48C3" w:rsidRDefault="00FD1C7D" w:rsidP="00490D72">
      <w:pPr>
        <w:rPr>
          <w:lang w:eastAsia="en-AU"/>
        </w:rPr>
      </w:pPr>
      <w:r w:rsidRPr="001D48C3">
        <w:rPr>
          <w:lang w:eastAsia="en-AU"/>
        </w:rPr>
        <w:t>T</w:t>
      </w:r>
      <w:r w:rsidR="00BE6E6E" w:rsidRPr="001D48C3">
        <w:rPr>
          <w:lang w:eastAsia="en-AU"/>
        </w:rPr>
        <w:t xml:space="preserve">he </w:t>
      </w:r>
      <w:r w:rsidR="00490D72" w:rsidRPr="001D48C3">
        <w:rPr>
          <w:lang w:eastAsia="en-AU"/>
        </w:rPr>
        <w:t>MYEFO</w:t>
      </w:r>
      <w:r w:rsidR="00BE6E6E" w:rsidRPr="001D48C3">
        <w:rPr>
          <w:lang w:eastAsia="en-AU"/>
        </w:rPr>
        <w:t xml:space="preserve"> updated </w:t>
      </w:r>
      <w:r w:rsidR="00490D72" w:rsidRPr="001D48C3">
        <w:rPr>
          <w:lang w:eastAsia="en-AU"/>
        </w:rPr>
        <w:t xml:space="preserve">the terms of trade </w:t>
      </w:r>
      <w:r w:rsidR="00BE6E6E" w:rsidRPr="001D48C3">
        <w:rPr>
          <w:lang w:eastAsia="en-AU"/>
        </w:rPr>
        <w:t xml:space="preserve">assumption </w:t>
      </w:r>
      <w:r w:rsidRPr="001D48C3">
        <w:rPr>
          <w:lang w:eastAsia="en-AU"/>
        </w:rPr>
        <w:t>over the projection period, based on modelling presented in Bullen, Kouparitsas and Krolikowski (2014).</w:t>
      </w:r>
      <w:r w:rsidR="00BE6E6E" w:rsidRPr="001D48C3">
        <w:rPr>
          <w:lang w:eastAsia="en-AU"/>
        </w:rPr>
        <w:t xml:space="preserve"> </w:t>
      </w:r>
      <w:r w:rsidRPr="001D48C3">
        <w:rPr>
          <w:lang w:eastAsia="en-AU"/>
        </w:rPr>
        <w:t xml:space="preserve">Under the </w:t>
      </w:r>
      <w:r w:rsidR="008F4B35" w:rsidRPr="001D48C3">
        <w:rPr>
          <w:lang w:eastAsia="en-AU"/>
        </w:rPr>
        <w:t>MYEFO</w:t>
      </w:r>
      <w:r w:rsidR="00BE6E6E" w:rsidRPr="001D48C3">
        <w:rPr>
          <w:lang w:eastAsia="en-AU"/>
        </w:rPr>
        <w:t xml:space="preserve"> </w:t>
      </w:r>
      <w:r w:rsidRPr="001D48C3">
        <w:rPr>
          <w:lang w:eastAsia="en-AU"/>
        </w:rPr>
        <w:t>assumption, the t</w:t>
      </w:r>
      <w:r w:rsidR="00BE6E6E" w:rsidRPr="001D48C3">
        <w:rPr>
          <w:lang w:eastAsia="en-AU"/>
        </w:rPr>
        <w:t>erms of trade</w:t>
      </w:r>
      <w:r w:rsidRPr="001D48C3">
        <w:rPr>
          <w:lang w:eastAsia="en-AU"/>
        </w:rPr>
        <w:t xml:space="preserve"> are expected</w:t>
      </w:r>
      <w:r w:rsidR="00490D72" w:rsidRPr="001D48C3">
        <w:rPr>
          <w:lang w:eastAsia="en-AU"/>
        </w:rPr>
        <w:t xml:space="preserve"> to fall from their level at the end of the forecast period to the level observed in 2005</w:t>
      </w:r>
      <w:r w:rsidR="001D5BF5">
        <w:rPr>
          <w:lang w:eastAsia="en-AU"/>
        </w:rPr>
        <w:noBreakHyphen/>
      </w:r>
      <w:r w:rsidR="00490D72" w:rsidRPr="001D48C3">
        <w:rPr>
          <w:lang w:eastAsia="en-AU"/>
        </w:rPr>
        <w:t>06 by 2019</w:t>
      </w:r>
      <w:r w:rsidR="001D5BF5">
        <w:rPr>
          <w:lang w:eastAsia="en-AU"/>
        </w:rPr>
        <w:noBreakHyphen/>
      </w:r>
      <w:r w:rsidR="00490D72" w:rsidRPr="001D48C3">
        <w:rPr>
          <w:lang w:eastAsia="en-AU"/>
        </w:rPr>
        <w:t>20</w:t>
      </w:r>
      <w:r w:rsidRPr="001D48C3">
        <w:rPr>
          <w:lang w:eastAsia="en-AU"/>
        </w:rPr>
        <w:t xml:space="preserve"> and remain constant thereafter</w:t>
      </w:r>
      <w:r w:rsidR="00073551" w:rsidRPr="001D48C3">
        <w:rPr>
          <w:lang w:eastAsia="en-AU"/>
        </w:rPr>
        <w:t xml:space="preserve">. </w:t>
      </w:r>
      <w:r w:rsidR="00753F4F">
        <w:rPr>
          <w:lang w:eastAsia="en-AU"/>
        </w:rPr>
        <w:t>In contrast to the methodology reported here, t</w:t>
      </w:r>
      <w:r w:rsidR="00C6155D">
        <w:rPr>
          <w:lang w:eastAsia="en-AU"/>
        </w:rPr>
        <w:t xml:space="preserve">he </w:t>
      </w:r>
      <w:r w:rsidR="008F4B35" w:rsidRPr="001D48C3">
        <w:rPr>
          <w:lang w:eastAsia="en-AU"/>
        </w:rPr>
        <w:t>MYEFO</w:t>
      </w:r>
      <w:r w:rsidR="00C6155D">
        <w:rPr>
          <w:lang w:eastAsia="en-AU"/>
        </w:rPr>
        <w:t xml:space="preserve"> </w:t>
      </w:r>
      <w:r w:rsidR="00753F4F">
        <w:rPr>
          <w:lang w:eastAsia="en-AU"/>
        </w:rPr>
        <w:t xml:space="preserve">framework </w:t>
      </w:r>
      <w:r w:rsidR="00753F4F" w:rsidRPr="001D48C3">
        <w:rPr>
          <w:lang w:eastAsia="en-AU"/>
        </w:rPr>
        <w:t>assumed the fall in the terms of trade was driven entirely by a fall in export prices</w:t>
      </w:r>
      <w:r w:rsidR="00753F4F">
        <w:rPr>
          <w:lang w:eastAsia="en-AU"/>
        </w:rPr>
        <w:t>,</w:t>
      </w:r>
      <w:r w:rsidR="00753F4F" w:rsidRPr="001D48C3">
        <w:rPr>
          <w:lang w:eastAsia="en-AU"/>
        </w:rPr>
        <w:t xml:space="preserve"> </w:t>
      </w:r>
      <w:r w:rsidR="00753F4F">
        <w:rPr>
          <w:lang w:eastAsia="en-AU"/>
        </w:rPr>
        <w:t xml:space="preserve">which </w:t>
      </w:r>
      <w:r w:rsidR="008F4B35" w:rsidRPr="001D48C3">
        <w:rPr>
          <w:lang w:eastAsia="en-AU"/>
        </w:rPr>
        <w:t>implicitly assumed no growth in import prices</w:t>
      </w:r>
      <w:r w:rsidR="00753F4F">
        <w:rPr>
          <w:lang w:eastAsia="en-AU"/>
        </w:rPr>
        <w:t xml:space="preserve"> </w:t>
      </w:r>
      <w:r w:rsidR="00781254" w:rsidRPr="001D48C3">
        <w:rPr>
          <w:lang w:eastAsia="en-AU"/>
        </w:rPr>
        <w:t>(</w:t>
      </w:r>
      <w:r w:rsidR="0043266D" w:rsidRPr="001D48C3">
        <w:rPr>
          <w:lang w:eastAsia="en-AU"/>
        </w:rPr>
        <w:t xml:space="preserve">Charts </w:t>
      </w:r>
      <w:r w:rsidR="002B4E86" w:rsidRPr="001D48C3">
        <w:rPr>
          <w:lang w:eastAsia="en-AU"/>
        </w:rPr>
        <w:t>1</w:t>
      </w:r>
      <w:r w:rsidR="002B4E86">
        <w:rPr>
          <w:lang w:eastAsia="en-AU"/>
        </w:rPr>
        <w:t>5</w:t>
      </w:r>
      <w:r w:rsidR="002B4E86" w:rsidRPr="001D48C3">
        <w:rPr>
          <w:lang w:eastAsia="en-AU"/>
        </w:rPr>
        <w:t xml:space="preserve"> </w:t>
      </w:r>
      <w:r w:rsidR="0023487C" w:rsidRPr="001D48C3">
        <w:rPr>
          <w:lang w:eastAsia="en-AU"/>
        </w:rPr>
        <w:t xml:space="preserve">and </w:t>
      </w:r>
      <w:r w:rsidR="002B4E86" w:rsidRPr="001D48C3">
        <w:rPr>
          <w:lang w:eastAsia="en-AU"/>
        </w:rPr>
        <w:t>1</w:t>
      </w:r>
      <w:r w:rsidR="002B4E86">
        <w:rPr>
          <w:lang w:eastAsia="en-AU"/>
        </w:rPr>
        <w:t>6</w:t>
      </w:r>
      <w:r w:rsidR="00781254" w:rsidRPr="001D48C3">
        <w:rPr>
          <w:lang w:eastAsia="en-AU"/>
        </w:rPr>
        <w:t>)</w:t>
      </w:r>
      <w:r w:rsidR="00490D72" w:rsidRPr="001D48C3">
        <w:rPr>
          <w:lang w:eastAsia="en-AU"/>
        </w:rPr>
        <w:t>.</w:t>
      </w:r>
    </w:p>
    <w:p w14:paraId="6568265A" w14:textId="6C39EDDE" w:rsidR="00F31C09" w:rsidRPr="001D48C3" w:rsidRDefault="00067E19" w:rsidP="00490D72">
      <w:pPr>
        <w:rPr>
          <w:lang w:eastAsia="en-AU"/>
        </w:rPr>
      </w:pPr>
      <w:r w:rsidRPr="001D48C3">
        <w:rPr>
          <w:lang w:eastAsia="en-AU"/>
        </w:rPr>
        <w:lastRenderedPageBreak/>
        <w:t xml:space="preserve">Bullen, </w:t>
      </w:r>
      <w:r w:rsidR="00F06F2B" w:rsidRPr="001D48C3">
        <w:rPr>
          <w:lang w:eastAsia="en-AU"/>
        </w:rPr>
        <w:t>et al</w:t>
      </w:r>
      <w:r w:rsidR="000B0FEB">
        <w:rPr>
          <w:lang w:eastAsia="en-AU"/>
        </w:rPr>
        <w:t>.</w:t>
      </w:r>
      <w:r w:rsidR="001D5BF5">
        <w:rPr>
          <w:lang w:eastAsia="en-AU"/>
        </w:rPr>
        <w:t>’</w:t>
      </w:r>
      <w:r w:rsidR="00F06F2B" w:rsidRPr="001D48C3">
        <w:rPr>
          <w:lang w:eastAsia="en-AU"/>
        </w:rPr>
        <w:t>s</w:t>
      </w:r>
      <w:r w:rsidRPr="001D48C3">
        <w:rPr>
          <w:lang w:eastAsia="en-AU"/>
        </w:rPr>
        <w:t xml:space="preserve"> </w:t>
      </w:r>
      <w:r w:rsidR="00873A44" w:rsidRPr="001D48C3">
        <w:rPr>
          <w:lang w:eastAsia="en-AU"/>
        </w:rPr>
        <w:t xml:space="preserve">analysis generated </w:t>
      </w:r>
      <w:r w:rsidR="008F4B35" w:rsidRPr="001D48C3">
        <w:rPr>
          <w:lang w:eastAsia="en-AU"/>
        </w:rPr>
        <w:t>forecast</w:t>
      </w:r>
      <w:r w:rsidR="00873A44" w:rsidRPr="001D48C3">
        <w:rPr>
          <w:lang w:eastAsia="en-AU"/>
        </w:rPr>
        <w:t>s</w:t>
      </w:r>
      <w:r w:rsidR="008F4B35" w:rsidRPr="001D48C3">
        <w:rPr>
          <w:lang w:eastAsia="en-AU"/>
        </w:rPr>
        <w:t xml:space="preserve"> </w:t>
      </w:r>
      <w:r w:rsidR="00873A44" w:rsidRPr="001D48C3">
        <w:rPr>
          <w:lang w:eastAsia="en-AU"/>
        </w:rPr>
        <w:t xml:space="preserve">of </w:t>
      </w:r>
      <w:r w:rsidRPr="001D48C3">
        <w:rPr>
          <w:lang w:eastAsia="en-AU"/>
        </w:rPr>
        <w:t>the price</w:t>
      </w:r>
      <w:r w:rsidR="00873A44" w:rsidRPr="001D48C3">
        <w:rPr>
          <w:lang w:eastAsia="en-AU"/>
        </w:rPr>
        <w:t>s</w:t>
      </w:r>
      <w:r w:rsidRPr="001D48C3">
        <w:rPr>
          <w:lang w:eastAsia="en-AU"/>
        </w:rPr>
        <w:t xml:space="preserve"> of </w:t>
      </w:r>
      <w:r w:rsidR="00873A44" w:rsidRPr="001D48C3">
        <w:rPr>
          <w:lang w:eastAsia="en-AU"/>
        </w:rPr>
        <w:t xml:space="preserve">various export categories </w:t>
      </w:r>
      <w:r w:rsidRPr="001D48C3">
        <w:rPr>
          <w:lang w:eastAsia="en-AU"/>
        </w:rPr>
        <w:t>relative to imports</w:t>
      </w:r>
      <w:r w:rsidR="00873A44" w:rsidRPr="001D48C3">
        <w:rPr>
          <w:lang w:eastAsia="en-AU"/>
        </w:rPr>
        <w:t>, which did not rely on an explicit exchange rate assumption</w:t>
      </w:r>
      <w:r w:rsidRPr="001D48C3">
        <w:rPr>
          <w:lang w:eastAsia="en-AU"/>
        </w:rPr>
        <w:t xml:space="preserve">. </w:t>
      </w:r>
      <w:r w:rsidR="00873A44" w:rsidRPr="001D48C3">
        <w:rPr>
          <w:lang w:eastAsia="en-AU"/>
        </w:rPr>
        <w:t xml:space="preserve">For the purpose of their paper they assumed a constant exchange rate and constant growth in </w:t>
      </w:r>
      <w:r w:rsidRPr="001D48C3">
        <w:rPr>
          <w:lang w:eastAsia="en-AU"/>
        </w:rPr>
        <w:t xml:space="preserve">import prices </w:t>
      </w:r>
      <w:r w:rsidR="00873A44" w:rsidRPr="001D48C3">
        <w:rPr>
          <w:lang w:eastAsia="en-AU"/>
        </w:rPr>
        <w:t xml:space="preserve">equal to the </w:t>
      </w:r>
      <w:r w:rsidR="003F42F1">
        <w:rPr>
          <w:lang w:eastAsia="en-AU"/>
        </w:rPr>
        <w:t>assumed</w:t>
      </w:r>
      <w:r w:rsidR="003F42F1" w:rsidRPr="001D48C3">
        <w:rPr>
          <w:lang w:eastAsia="en-AU"/>
        </w:rPr>
        <w:t xml:space="preserve"> </w:t>
      </w:r>
      <w:r w:rsidRPr="001D48C3">
        <w:rPr>
          <w:lang w:eastAsia="en-AU"/>
        </w:rPr>
        <w:t>rate of foreign price inflation</w:t>
      </w:r>
      <w:r w:rsidR="00873A44" w:rsidRPr="001D48C3">
        <w:rPr>
          <w:lang w:eastAsia="en-AU"/>
        </w:rPr>
        <w:t xml:space="preserve"> of 2.5 per cent</w:t>
      </w:r>
      <w:r w:rsidR="003F42F1">
        <w:rPr>
          <w:lang w:eastAsia="en-AU"/>
        </w:rPr>
        <w:t xml:space="preserve"> per annum</w:t>
      </w:r>
      <w:r w:rsidRPr="001D48C3">
        <w:rPr>
          <w:lang w:eastAsia="en-AU"/>
        </w:rPr>
        <w:t>.</w:t>
      </w:r>
      <w:r w:rsidR="00873A44" w:rsidRPr="001D48C3">
        <w:rPr>
          <w:lang w:eastAsia="en-AU"/>
        </w:rPr>
        <w:t xml:space="preserve"> In light of equation (3</w:t>
      </w:r>
      <w:r w:rsidR="0077725A" w:rsidRPr="001D48C3">
        <w:rPr>
          <w:lang w:eastAsia="en-AU"/>
        </w:rPr>
        <w:t>4</w:t>
      </w:r>
      <w:r w:rsidR="00873A44" w:rsidRPr="001D48C3">
        <w:rPr>
          <w:lang w:eastAsia="en-AU"/>
        </w:rPr>
        <w:t xml:space="preserve">), </w:t>
      </w:r>
      <w:r w:rsidR="00F06F2B" w:rsidRPr="001D48C3">
        <w:rPr>
          <w:lang w:eastAsia="en-AU"/>
        </w:rPr>
        <w:t>their</w:t>
      </w:r>
      <w:r w:rsidR="00873A44" w:rsidRPr="001D48C3">
        <w:rPr>
          <w:lang w:eastAsia="en-AU"/>
        </w:rPr>
        <w:t xml:space="preserve"> </w:t>
      </w:r>
      <w:r w:rsidR="00F06F2B" w:rsidRPr="001D48C3">
        <w:rPr>
          <w:lang w:eastAsia="en-AU"/>
        </w:rPr>
        <w:t>analysis</w:t>
      </w:r>
      <w:r w:rsidR="00873A44" w:rsidRPr="001D48C3">
        <w:rPr>
          <w:lang w:eastAsia="en-AU"/>
        </w:rPr>
        <w:t xml:space="preserve"> implies </w:t>
      </w:r>
      <w:r w:rsidR="00B856D5" w:rsidRPr="001D48C3">
        <w:rPr>
          <w:lang w:eastAsia="en-AU"/>
        </w:rPr>
        <w:t xml:space="preserve">higher growth in both import and export prices relative to </w:t>
      </w:r>
      <w:r w:rsidR="00C6155D">
        <w:rPr>
          <w:lang w:eastAsia="en-AU"/>
        </w:rPr>
        <w:t xml:space="preserve">the </w:t>
      </w:r>
      <w:r w:rsidR="00B856D5" w:rsidRPr="001D48C3">
        <w:rPr>
          <w:lang w:eastAsia="en-AU"/>
        </w:rPr>
        <w:t>MYEFO</w:t>
      </w:r>
      <w:r w:rsidR="00C6155D">
        <w:rPr>
          <w:lang w:eastAsia="en-AU"/>
        </w:rPr>
        <w:t xml:space="preserve"> methodology</w:t>
      </w:r>
      <w:r w:rsidR="00B856D5" w:rsidRPr="001D48C3">
        <w:rPr>
          <w:lang w:eastAsia="en-AU"/>
        </w:rPr>
        <w:t>.</w:t>
      </w:r>
    </w:p>
    <w:p w14:paraId="67942E33" w14:textId="3BABEA4B" w:rsidR="00F36A11" w:rsidRPr="001D48C3" w:rsidRDefault="00F31C09" w:rsidP="00490D72">
      <w:pPr>
        <w:rPr>
          <w:lang w:eastAsia="en-AU"/>
        </w:rPr>
      </w:pPr>
      <w:r w:rsidRPr="001D48C3">
        <w:rPr>
          <w:lang w:eastAsia="en-AU"/>
        </w:rPr>
        <w:t xml:space="preserve">The methodology presented in this paper treats the terms of trade profile from Bullen, </w:t>
      </w:r>
      <w:r w:rsidR="00B856D5" w:rsidRPr="001D48C3">
        <w:rPr>
          <w:lang w:eastAsia="en-AU"/>
        </w:rPr>
        <w:t>et al</w:t>
      </w:r>
      <w:r w:rsidR="00C47BAE" w:rsidRPr="001D48C3">
        <w:rPr>
          <w:lang w:eastAsia="en-AU"/>
        </w:rPr>
        <w:t>.</w:t>
      </w:r>
      <w:r w:rsidRPr="001D48C3">
        <w:rPr>
          <w:lang w:eastAsia="en-AU"/>
        </w:rPr>
        <w:t xml:space="preserve"> as an exogenous input</w:t>
      </w:r>
      <w:r w:rsidR="00B856D5" w:rsidRPr="001D48C3">
        <w:rPr>
          <w:lang w:eastAsia="en-AU"/>
        </w:rPr>
        <w:t xml:space="preserve"> and </w:t>
      </w:r>
      <w:r w:rsidRPr="001D48C3">
        <w:rPr>
          <w:lang w:eastAsia="en-AU"/>
        </w:rPr>
        <w:t>incorporates stronger import</w:t>
      </w:r>
      <w:r w:rsidR="00803AD4" w:rsidRPr="001D48C3">
        <w:rPr>
          <w:lang w:eastAsia="en-AU"/>
        </w:rPr>
        <w:t xml:space="preserve"> and export</w:t>
      </w:r>
      <w:r w:rsidRPr="001D48C3">
        <w:rPr>
          <w:lang w:eastAsia="en-AU"/>
        </w:rPr>
        <w:t xml:space="preserve"> prices growth owing to the </w:t>
      </w:r>
      <w:r w:rsidR="00E23035" w:rsidRPr="001D48C3">
        <w:rPr>
          <w:lang w:eastAsia="en-AU"/>
        </w:rPr>
        <w:t xml:space="preserve">assumed </w:t>
      </w:r>
      <w:r w:rsidRPr="001D48C3">
        <w:rPr>
          <w:lang w:eastAsia="en-AU"/>
        </w:rPr>
        <w:t xml:space="preserve">depreciation in the exchange rate </w:t>
      </w:r>
      <w:r w:rsidR="00803AD4" w:rsidRPr="001D48C3">
        <w:rPr>
          <w:lang w:eastAsia="en-AU"/>
        </w:rPr>
        <w:t xml:space="preserve">from </w:t>
      </w:r>
      <w:r w:rsidR="00196A45">
        <w:rPr>
          <w:lang w:eastAsia="en-AU"/>
        </w:rPr>
        <w:t xml:space="preserve">the </w:t>
      </w:r>
      <w:r w:rsidR="00803AD4" w:rsidRPr="001D48C3">
        <w:rPr>
          <w:lang w:eastAsia="en-AU"/>
        </w:rPr>
        <w:t>falling terms of trade</w:t>
      </w:r>
      <w:r w:rsidRPr="001D48C3">
        <w:rPr>
          <w:lang w:eastAsia="en-AU"/>
        </w:rPr>
        <w:t>.</w:t>
      </w:r>
      <w:r w:rsidR="00463F79" w:rsidRPr="001D48C3">
        <w:rPr>
          <w:lang w:eastAsia="en-AU"/>
        </w:rPr>
        <w:t xml:space="preserve"> Changes to the projected level of export prices leads to </w:t>
      </w:r>
      <w:r w:rsidR="00213216" w:rsidRPr="001D48C3">
        <w:rPr>
          <w:lang w:eastAsia="en-AU"/>
        </w:rPr>
        <w:t xml:space="preserve">a </w:t>
      </w:r>
      <w:r w:rsidR="00E13EE4" w:rsidRPr="001D48C3">
        <w:rPr>
          <w:lang w:eastAsia="en-AU"/>
        </w:rPr>
        <w:t>$</w:t>
      </w:r>
      <w:r w:rsidR="00196A45">
        <w:rPr>
          <w:lang w:eastAsia="en-AU"/>
        </w:rPr>
        <w:t>30.7</w:t>
      </w:r>
      <w:r w:rsidR="00E13EE4" w:rsidRPr="001D48C3">
        <w:rPr>
          <w:lang w:eastAsia="en-AU"/>
        </w:rPr>
        <w:t xml:space="preserve"> billion (1.</w:t>
      </w:r>
      <w:r w:rsidR="00196A45">
        <w:rPr>
          <w:lang w:eastAsia="en-AU"/>
        </w:rPr>
        <w:t>6</w:t>
      </w:r>
      <w:r w:rsidR="00C41362" w:rsidRPr="001D48C3">
        <w:rPr>
          <w:lang w:eastAsia="en-AU"/>
        </w:rPr>
        <w:t> per </w:t>
      </w:r>
      <w:r w:rsidR="00463F79" w:rsidRPr="001D48C3">
        <w:rPr>
          <w:lang w:eastAsia="en-AU"/>
        </w:rPr>
        <w:t>cent)</w:t>
      </w:r>
      <w:r w:rsidR="00C41362" w:rsidRPr="001D48C3">
        <w:rPr>
          <w:lang w:eastAsia="en-AU"/>
        </w:rPr>
        <w:t xml:space="preserve"> </w:t>
      </w:r>
      <w:r w:rsidRPr="001D48C3">
        <w:rPr>
          <w:lang w:eastAsia="en-AU"/>
        </w:rPr>
        <w:t xml:space="preserve">increase in nominal GDP in </w:t>
      </w:r>
      <w:r w:rsidR="00883F59" w:rsidRPr="001D48C3">
        <w:rPr>
          <w:lang w:eastAsia="en-AU"/>
        </w:rPr>
        <w:t>201</w:t>
      </w:r>
      <w:r w:rsidR="00883F59">
        <w:rPr>
          <w:lang w:eastAsia="en-AU"/>
        </w:rPr>
        <w:t>7</w:t>
      </w:r>
      <w:r w:rsidR="001D5BF5">
        <w:rPr>
          <w:lang w:eastAsia="en-AU"/>
        </w:rPr>
        <w:noBreakHyphen/>
      </w:r>
      <w:r w:rsidR="00883F59" w:rsidRPr="001D48C3">
        <w:rPr>
          <w:lang w:eastAsia="en-AU"/>
        </w:rPr>
        <w:t>1</w:t>
      </w:r>
      <w:r w:rsidR="00883F59">
        <w:rPr>
          <w:lang w:eastAsia="en-AU"/>
        </w:rPr>
        <w:t>8</w:t>
      </w:r>
      <w:r w:rsidR="00883F59" w:rsidRPr="001D48C3">
        <w:rPr>
          <w:lang w:eastAsia="en-AU"/>
        </w:rPr>
        <w:t xml:space="preserve"> </w:t>
      </w:r>
      <w:r w:rsidR="00463F79" w:rsidRPr="001D48C3">
        <w:rPr>
          <w:lang w:eastAsia="en-AU"/>
        </w:rPr>
        <w:t>and a $1</w:t>
      </w:r>
      <w:r w:rsidR="00E13EE4" w:rsidRPr="001D48C3">
        <w:rPr>
          <w:lang w:eastAsia="en-AU"/>
        </w:rPr>
        <w:t>4</w:t>
      </w:r>
      <w:r w:rsidR="00196A45">
        <w:rPr>
          <w:lang w:eastAsia="en-AU"/>
        </w:rPr>
        <w:t>4</w:t>
      </w:r>
      <w:r w:rsidR="00E13EE4" w:rsidRPr="001D48C3">
        <w:rPr>
          <w:lang w:eastAsia="en-AU"/>
        </w:rPr>
        <w:t>.0 billion (5.</w:t>
      </w:r>
      <w:r w:rsidR="00196A45">
        <w:rPr>
          <w:lang w:eastAsia="en-AU"/>
        </w:rPr>
        <w:t>2</w:t>
      </w:r>
      <w:r w:rsidR="00C115F9">
        <w:rPr>
          <w:lang w:eastAsia="en-AU"/>
        </w:rPr>
        <w:t> </w:t>
      </w:r>
      <w:r w:rsidR="00463F79" w:rsidRPr="001D48C3">
        <w:rPr>
          <w:lang w:eastAsia="en-AU"/>
        </w:rPr>
        <w:t>per</w:t>
      </w:r>
      <w:r w:rsidR="00C115F9">
        <w:rPr>
          <w:lang w:eastAsia="en-AU"/>
        </w:rPr>
        <w:t> </w:t>
      </w:r>
      <w:r w:rsidR="00463F79" w:rsidRPr="001D48C3">
        <w:rPr>
          <w:lang w:eastAsia="en-AU"/>
        </w:rPr>
        <w:t xml:space="preserve">cent) increase in nominal GDP in </w:t>
      </w:r>
      <w:r w:rsidR="002B4E86" w:rsidRPr="001D48C3">
        <w:rPr>
          <w:lang w:eastAsia="en-AU"/>
        </w:rPr>
        <w:t>202</w:t>
      </w:r>
      <w:r w:rsidR="002B4E86">
        <w:rPr>
          <w:lang w:eastAsia="en-AU"/>
        </w:rPr>
        <w:t>4</w:t>
      </w:r>
      <w:r w:rsidR="001D5BF5">
        <w:rPr>
          <w:lang w:eastAsia="en-AU"/>
        </w:rPr>
        <w:noBreakHyphen/>
      </w:r>
      <w:r w:rsidR="002B4E86" w:rsidRPr="001D48C3">
        <w:rPr>
          <w:lang w:eastAsia="en-AU"/>
        </w:rPr>
        <w:t>2</w:t>
      </w:r>
      <w:r w:rsidR="002B4E86">
        <w:rPr>
          <w:lang w:eastAsia="en-AU"/>
        </w:rPr>
        <w:t>5</w:t>
      </w:r>
      <w:r w:rsidR="002B4E86" w:rsidRPr="001D48C3">
        <w:rPr>
          <w:lang w:eastAsia="en-AU"/>
        </w:rPr>
        <w:t xml:space="preserve"> </w:t>
      </w:r>
      <w:r w:rsidRPr="001D48C3">
        <w:rPr>
          <w:lang w:eastAsia="en-AU"/>
        </w:rPr>
        <w:t>(</w:t>
      </w:r>
      <w:r w:rsidR="00B856D5" w:rsidRPr="001D48C3">
        <w:rPr>
          <w:lang w:eastAsia="en-AU"/>
        </w:rPr>
        <w:fldChar w:fldCharType="begin"/>
      </w:r>
      <w:r w:rsidR="00B856D5" w:rsidRPr="001D48C3">
        <w:rPr>
          <w:lang w:eastAsia="en-AU"/>
        </w:rPr>
        <w:instrText xml:space="preserve"> REF _Ref385438163 \h </w:instrText>
      </w:r>
      <w:r w:rsidR="00B856D5" w:rsidRPr="001D48C3">
        <w:rPr>
          <w:lang w:eastAsia="en-AU"/>
        </w:rPr>
      </w:r>
      <w:r w:rsidR="00B856D5" w:rsidRPr="001D48C3">
        <w:rPr>
          <w:lang w:eastAsia="en-AU"/>
        </w:rPr>
        <w:fldChar w:fldCharType="separate"/>
      </w:r>
      <w:r w:rsidR="00C65A3D" w:rsidRPr="001D48C3">
        <w:t xml:space="preserve">Chart </w:t>
      </w:r>
      <w:r w:rsidR="00C65A3D">
        <w:rPr>
          <w:noProof/>
        </w:rPr>
        <w:t>11</w:t>
      </w:r>
      <w:r w:rsidR="00B856D5" w:rsidRPr="001D48C3">
        <w:rPr>
          <w:lang w:eastAsia="en-AU"/>
        </w:rPr>
        <w:fldChar w:fldCharType="end"/>
      </w:r>
      <w:r w:rsidRPr="001D48C3">
        <w:rPr>
          <w:lang w:eastAsia="en-AU"/>
        </w:rPr>
        <w:t>).</w:t>
      </w:r>
    </w:p>
    <w:p w14:paraId="3ABD3CC2" w14:textId="2FC7A047" w:rsidR="00F36A11" w:rsidRPr="001D48C3" w:rsidRDefault="00C115F9" w:rsidP="00C115F9">
      <w:pPr>
        <w:pStyle w:val="CaptionHeading1"/>
        <w:tabs>
          <w:tab w:val="center" w:pos="2268"/>
          <w:tab w:val="center" w:pos="6804"/>
        </w:tabs>
        <w:jc w:val="left"/>
      </w:pPr>
      <w:bookmarkStart w:id="18" w:name="_Ref385440900"/>
      <w:bookmarkStart w:id="19" w:name="_Ref385516911"/>
      <w:r>
        <w:t xml:space="preserve"> </w:t>
      </w:r>
      <w:r>
        <w:tab/>
      </w:r>
      <w:r w:rsidR="00713344" w:rsidRPr="001D48C3">
        <w:t xml:space="preserve">Chart </w:t>
      </w:r>
      <w:r w:rsidR="00711272">
        <w:fldChar w:fldCharType="begin"/>
      </w:r>
      <w:r w:rsidR="00711272">
        <w:instrText xml:space="preserve"> SEQ Chart \* ARABIC </w:instrText>
      </w:r>
      <w:r w:rsidR="00711272">
        <w:fldChar w:fldCharType="separate"/>
      </w:r>
      <w:r w:rsidR="00C65A3D">
        <w:rPr>
          <w:noProof/>
        </w:rPr>
        <w:t>15</w:t>
      </w:r>
      <w:r w:rsidR="00711272">
        <w:rPr>
          <w:noProof/>
        </w:rPr>
        <w:fldChar w:fldCharType="end"/>
      </w:r>
      <w:bookmarkEnd w:id="18"/>
      <w:bookmarkEnd w:id="19"/>
      <w:r w:rsidR="00713344" w:rsidRPr="001D48C3">
        <w:t xml:space="preserve">: </w:t>
      </w:r>
      <w:r w:rsidR="00996BE9" w:rsidRPr="001D48C3">
        <w:t>Ex</w:t>
      </w:r>
      <w:r w:rsidR="00713344" w:rsidRPr="001D48C3">
        <w:t>ports implicit price deflator</w:t>
      </w:r>
      <w:r>
        <w:tab/>
      </w:r>
      <w:r w:rsidR="000F3987" w:rsidRPr="001D48C3">
        <w:t xml:space="preserve">Chart </w:t>
      </w:r>
      <w:r w:rsidR="00711272">
        <w:fldChar w:fldCharType="begin"/>
      </w:r>
      <w:r w:rsidR="00711272">
        <w:instrText xml:space="preserve"> SEQ Chart \* ARABIC </w:instrText>
      </w:r>
      <w:r w:rsidR="00711272">
        <w:fldChar w:fldCharType="separate"/>
      </w:r>
      <w:r w:rsidR="00C65A3D">
        <w:rPr>
          <w:noProof/>
        </w:rPr>
        <w:t>16</w:t>
      </w:r>
      <w:r w:rsidR="00711272">
        <w:rPr>
          <w:noProof/>
        </w:rPr>
        <w:fldChar w:fldCharType="end"/>
      </w:r>
      <w:r w:rsidR="000F3987" w:rsidRPr="001D48C3">
        <w:t xml:space="preserve">: </w:t>
      </w:r>
      <w:r w:rsidR="00996BE9" w:rsidRPr="001D48C3">
        <w:t>Im</w:t>
      </w:r>
      <w:r w:rsidR="000F3987" w:rsidRPr="001D48C3">
        <w:t>ports implicit price deflator</w:t>
      </w:r>
    </w:p>
    <w:p w14:paraId="08D0BD57" w14:textId="503CC89E" w:rsidR="00F36A11" w:rsidRDefault="000004FE" w:rsidP="00237D09">
      <w:pPr>
        <w:pStyle w:val="ChartGraphic"/>
      </w:pPr>
      <w:r>
        <w:fldChar w:fldCharType="begin"/>
      </w:r>
      <w:r>
        <w:instrText xml:space="preserve"> LINK Excel.Sheet.12 "" "" \a \p </w:instrText>
      </w:r>
      <w:r>
        <w:fldChar w:fldCharType="separate"/>
      </w:r>
      <w:r w:rsidR="00711272">
        <w:object w:dxaOrig="6046" w:dyaOrig="6016" w14:anchorId="63010EE5">
          <v:shape id="_x0000_i1096" type="#_x0000_t75" alt="This chart plots the level of the exports implicit price deflator from 2012-13 to 2024-25 under three different scenarios – using the 2013-14 MYEFO methodology, using the medium term methodology with a constant exchange rate assumption, and using the medium term methodology with an endogenous exchange rate." style="width:226.5pt;height:225.75pt">
            <v:imagedata r:id="rId162" o:title=""/>
          </v:shape>
        </w:object>
      </w:r>
      <w:r>
        <w:fldChar w:fldCharType="end"/>
      </w:r>
      <w:r>
        <w:fldChar w:fldCharType="begin"/>
      </w:r>
      <w:r>
        <w:instrText xml:space="preserve"> LINK Excel.Sheet.12 "" "" \a \p </w:instrText>
      </w:r>
      <w:r>
        <w:fldChar w:fldCharType="separate"/>
      </w:r>
      <w:r w:rsidR="00711272">
        <w:object w:dxaOrig="5986" w:dyaOrig="6016" w14:anchorId="2A810B5C">
          <v:shape id="_x0000_i1097" type="#_x0000_t75" alt="This chart plots the level of the imports implicit price deflator from 2012-13 to 2024-25 under three different scenarios – using the 2013-14 MYEFO methodology, using the medium term methodology with a constant exchange rate assumption, and using the medium term methodology with an endogenous exchange rate." style="width:224.25pt;height:225.75pt">
            <v:imagedata r:id="rId163" o:title=""/>
          </v:shape>
        </w:object>
      </w:r>
      <w:r>
        <w:fldChar w:fldCharType="end"/>
      </w:r>
    </w:p>
    <w:p w14:paraId="0BE0CE53" w14:textId="77777777" w:rsidR="00237D09" w:rsidRPr="00237D09" w:rsidRDefault="00237D09" w:rsidP="00237D09">
      <w:pPr>
        <w:pStyle w:val="SingleParagraph"/>
        <w:rPr>
          <w:lang w:eastAsia="en-AU"/>
        </w:rPr>
      </w:pPr>
    </w:p>
    <w:p w14:paraId="4AFC646F" w14:textId="61D1D458" w:rsidR="00925343" w:rsidRPr="001D48C3" w:rsidRDefault="00C47BAE" w:rsidP="00713344">
      <w:pPr>
        <w:rPr>
          <w:lang w:eastAsia="en-AU"/>
        </w:rPr>
      </w:pPr>
      <w:r w:rsidRPr="001D48C3">
        <w:rPr>
          <w:lang w:eastAsia="en-AU"/>
        </w:rPr>
        <w:t xml:space="preserve">Changes to the projected level of export prices and wages </w:t>
      </w:r>
      <w:r w:rsidR="00B54011" w:rsidRPr="001D48C3">
        <w:rPr>
          <w:lang w:eastAsia="en-AU"/>
        </w:rPr>
        <w:t xml:space="preserve">due to methodological changes imply lower </w:t>
      </w:r>
      <w:r w:rsidRPr="001D48C3">
        <w:rPr>
          <w:lang w:eastAsia="en-AU"/>
        </w:rPr>
        <w:t>prices</w:t>
      </w:r>
      <w:r w:rsidR="00111E57" w:rsidRPr="001D48C3">
        <w:rPr>
          <w:lang w:eastAsia="en-AU"/>
        </w:rPr>
        <w:t xml:space="preserve"> </w:t>
      </w:r>
      <w:r w:rsidR="007A0745" w:rsidRPr="001D48C3">
        <w:rPr>
          <w:lang w:eastAsia="en-AU"/>
        </w:rPr>
        <w:t>for</w:t>
      </w:r>
      <w:r w:rsidR="00111E57" w:rsidRPr="001D48C3">
        <w:rPr>
          <w:lang w:eastAsia="en-AU"/>
        </w:rPr>
        <w:t xml:space="preserve"> </w:t>
      </w:r>
      <w:r w:rsidR="007A0745" w:rsidRPr="001D48C3">
        <w:rPr>
          <w:lang w:eastAsia="en-AU"/>
        </w:rPr>
        <w:t>output sold domestically</w:t>
      </w:r>
      <w:r w:rsidR="00B54011" w:rsidRPr="001D48C3">
        <w:rPr>
          <w:lang w:eastAsia="en-AU"/>
        </w:rPr>
        <w:t>, which in turn</w:t>
      </w:r>
      <w:r w:rsidR="00D31D43" w:rsidRPr="001D48C3">
        <w:rPr>
          <w:lang w:eastAsia="en-AU"/>
        </w:rPr>
        <w:t xml:space="preserve"> lead</w:t>
      </w:r>
      <w:r w:rsidR="00111E57" w:rsidRPr="001D48C3">
        <w:rPr>
          <w:lang w:eastAsia="en-AU"/>
        </w:rPr>
        <w:t>s</w:t>
      </w:r>
      <w:r w:rsidR="00D31D43" w:rsidRPr="001D48C3">
        <w:rPr>
          <w:lang w:eastAsia="en-AU"/>
        </w:rPr>
        <w:t xml:space="preserve"> to a $</w:t>
      </w:r>
      <w:r w:rsidR="00196A45">
        <w:rPr>
          <w:lang w:eastAsia="en-AU"/>
        </w:rPr>
        <w:t>42.6</w:t>
      </w:r>
      <w:r w:rsidR="00D31D43" w:rsidRPr="001D48C3">
        <w:rPr>
          <w:lang w:eastAsia="en-AU"/>
        </w:rPr>
        <w:t xml:space="preserve"> billion (2.</w:t>
      </w:r>
      <w:r w:rsidR="00196A45">
        <w:rPr>
          <w:lang w:eastAsia="en-AU"/>
        </w:rPr>
        <w:t>3</w:t>
      </w:r>
      <w:r w:rsidRPr="001D48C3">
        <w:rPr>
          <w:lang w:eastAsia="en-AU"/>
        </w:rPr>
        <w:t xml:space="preserve"> per cent) decrease in n</w:t>
      </w:r>
      <w:r w:rsidR="00D31D43" w:rsidRPr="001D48C3">
        <w:rPr>
          <w:lang w:eastAsia="en-AU"/>
        </w:rPr>
        <w:t xml:space="preserve">ominal GDP in </w:t>
      </w:r>
      <w:r w:rsidR="002B4E86" w:rsidRPr="001D48C3">
        <w:rPr>
          <w:lang w:eastAsia="en-AU"/>
        </w:rPr>
        <w:t>201</w:t>
      </w:r>
      <w:r w:rsidR="002B4E86">
        <w:rPr>
          <w:lang w:eastAsia="en-AU"/>
        </w:rPr>
        <w:t>7</w:t>
      </w:r>
      <w:r w:rsidR="001D5BF5">
        <w:rPr>
          <w:lang w:eastAsia="en-AU"/>
        </w:rPr>
        <w:noBreakHyphen/>
      </w:r>
      <w:r w:rsidR="002B4E86" w:rsidRPr="001D48C3">
        <w:rPr>
          <w:lang w:eastAsia="en-AU"/>
        </w:rPr>
        <w:t>1</w:t>
      </w:r>
      <w:r w:rsidR="002B4E86">
        <w:rPr>
          <w:lang w:eastAsia="en-AU"/>
        </w:rPr>
        <w:t>8</w:t>
      </w:r>
      <w:r w:rsidR="002B4E86" w:rsidRPr="001D48C3">
        <w:rPr>
          <w:lang w:eastAsia="en-AU"/>
        </w:rPr>
        <w:t xml:space="preserve"> </w:t>
      </w:r>
      <w:r w:rsidR="00D31D43" w:rsidRPr="001D48C3">
        <w:rPr>
          <w:lang w:eastAsia="en-AU"/>
        </w:rPr>
        <w:t>and a $17</w:t>
      </w:r>
      <w:r w:rsidR="00196A45">
        <w:rPr>
          <w:lang w:eastAsia="en-AU"/>
        </w:rPr>
        <w:t>1</w:t>
      </w:r>
      <w:r w:rsidR="00D31D43" w:rsidRPr="001D48C3">
        <w:rPr>
          <w:lang w:eastAsia="en-AU"/>
        </w:rPr>
        <w:t>.</w:t>
      </w:r>
      <w:r w:rsidR="00196A45">
        <w:rPr>
          <w:lang w:eastAsia="en-AU"/>
        </w:rPr>
        <w:t>9</w:t>
      </w:r>
      <w:r w:rsidR="00D31D43" w:rsidRPr="001D48C3">
        <w:rPr>
          <w:lang w:eastAsia="en-AU"/>
        </w:rPr>
        <w:t> billion (6.</w:t>
      </w:r>
      <w:r w:rsidR="00196A45">
        <w:rPr>
          <w:lang w:eastAsia="en-AU"/>
        </w:rPr>
        <w:t>2</w:t>
      </w:r>
      <w:r w:rsidRPr="001D48C3">
        <w:rPr>
          <w:lang w:eastAsia="en-AU"/>
        </w:rPr>
        <w:t xml:space="preserve"> per cent) decrease in nominal GDP in </w:t>
      </w:r>
      <w:r w:rsidR="002B4E86" w:rsidRPr="001D48C3">
        <w:rPr>
          <w:lang w:eastAsia="en-AU"/>
        </w:rPr>
        <w:t>202</w:t>
      </w:r>
      <w:r w:rsidR="002B4E86">
        <w:rPr>
          <w:lang w:eastAsia="en-AU"/>
        </w:rPr>
        <w:t>4</w:t>
      </w:r>
      <w:r w:rsidR="001D5BF5">
        <w:rPr>
          <w:lang w:eastAsia="en-AU"/>
        </w:rPr>
        <w:noBreakHyphen/>
      </w:r>
      <w:r w:rsidR="002B4E86" w:rsidRPr="001D48C3">
        <w:rPr>
          <w:lang w:eastAsia="en-AU"/>
        </w:rPr>
        <w:t>2</w:t>
      </w:r>
      <w:r w:rsidR="002B4E86">
        <w:rPr>
          <w:lang w:eastAsia="en-AU"/>
        </w:rPr>
        <w:t>5</w:t>
      </w:r>
      <w:r w:rsidR="002B4E86" w:rsidRPr="001D48C3">
        <w:rPr>
          <w:lang w:eastAsia="en-AU"/>
        </w:rPr>
        <w:t xml:space="preserve"> </w:t>
      </w:r>
      <w:r w:rsidR="00491230">
        <w:rPr>
          <w:lang w:eastAsia="en-AU"/>
        </w:rPr>
        <w:br/>
      </w:r>
      <w:r w:rsidRPr="001D48C3">
        <w:rPr>
          <w:lang w:eastAsia="en-AU"/>
        </w:rPr>
        <w:t>(</w:t>
      </w:r>
      <w:r w:rsidR="00925343" w:rsidRPr="001D48C3">
        <w:rPr>
          <w:lang w:eastAsia="en-AU"/>
        </w:rPr>
        <w:fldChar w:fldCharType="begin"/>
      </w:r>
      <w:r w:rsidR="00925343" w:rsidRPr="001D48C3">
        <w:rPr>
          <w:lang w:eastAsia="en-AU"/>
        </w:rPr>
        <w:instrText xml:space="preserve"> REF _Ref385438163 \h </w:instrText>
      </w:r>
      <w:r w:rsidR="00925343" w:rsidRPr="001D48C3">
        <w:rPr>
          <w:lang w:eastAsia="en-AU"/>
        </w:rPr>
      </w:r>
      <w:r w:rsidR="00925343" w:rsidRPr="001D48C3">
        <w:rPr>
          <w:lang w:eastAsia="en-AU"/>
        </w:rPr>
        <w:fldChar w:fldCharType="separate"/>
      </w:r>
      <w:r w:rsidR="00C65A3D" w:rsidRPr="001D48C3">
        <w:t xml:space="preserve">Chart </w:t>
      </w:r>
      <w:r w:rsidR="00C65A3D">
        <w:rPr>
          <w:noProof/>
        </w:rPr>
        <w:t>11</w:t>
      </w:r>
      <w:r w:rsidR="00925343" w:rsidRPr="001D48C3">
        <w:rPr>
          <w:lang w:eastAsia="en-AU"/>
        </w:rPr>
        <w:fldChar w:fldCharType="end"/>
      </w:r>
      <w:r w:rsidRPr="001D48C3">
        <w:rPr>
          <w:lang w:eastAsia="en-AU"/>
        </w:rPr>
        <w:t>).</w:t>
      </w:r>
    </w:p>
    <w:p w14:paraId="32FD653B" w14:textId="5149F096" w:rsidR="002F0E0E" w:rsidRPr="001D48C3" w:rsidRDefault="002F0E0E" w:rsidP="002F0E0E">
      <w:pPr>
        <w:spacing w:after="120"/>
      </w:pPr>
      <w:r w:rsidRPr="001D48C3">
        <w:rPr>
          <w:lang w:eastAsia="en-AU"/>
        </w:rPr>
        <w:t xml:space="preserve">Notwithstanding the higher nominal GDP, these methodological changes have minimal impact on aggregate revenue projections, with receipts projected to be </w:t>
      </w:r>
      <w:r w:rsidRPr="00AB4B2D">
        <w:rPr>
          <w:lang w:eastAsia="en-AU"/>
        </w:rPr>
        <w:t>$0.</w:t>
      </w:r>
      <w:r w:rsidR="00536686" w:rsidRPr="00AB4B2D">
        <w:rPr>
          <w:lang w:eastAsia="en-AU"/>
        </w:rPr>
        <w:t>6</w:t>
      </w:r>
      <w:r w:rsidRPr="00AB4B2D">
        <w:rPr>
          <w:lang w:eastAsia="en-AU"/>
        </w:rPr>
        <w:t xml:space="preserve"> billion (0.0</w:t>
      </w:r>
      <w:r w:rsidR="00536686" w:rsidRPr="00AB4B2D">
        <w:rPr>
          <w:lang w:eastAsia="en-AU"/>
        </w:rPr>
        <w:t>3</w:t>
      </w:r>
      <w:r w:rsidRPr="00AB4B2D">
        <w:rPr>
          <w:lang w:eastAsia="en-AU"/>
        </w:rPr>
        <w:t xml:space="preserve"> per cent of GDP)</w:t>
      </w:r>
      <w:r w:rsidRPr="001D48C3">
        <w:rPr>
          <w:lang w:eastAsia="en-AU"/>
        </w:rPr>
        <w:t xml:space="preserve"> lower in 201</w:t>
      </w:r>
      <w:r w:rsidR="002B4E86">
        <w:rPr>
          <w:lang w:eastAsia="en-AU"/>
        </w:rPr>
        <w:t>7</w:t>
      </w:r>
      <w:r w:rsidR="001D5BF5">
        <w:rPr>
          <w:lang w:eastAsia="en-AU"/>
        </w:rPr>
        <w:noBreakHyphen/>
      </w:r>
      <w:r w:rsidRPr="001D48C3">
        <w:rPr>
          <w:lang w:eastAsia="en-AU"/>
        </w:rPr>
        <w:t>1</w:t>
      </w:r>
      <w:r w:rsidR="002B4E86">
        <w:rPr>
          <w:lang w:eastAsia="en-AU"/>
        </w:rPr>
        <w:t>8</w:t>
      </w:r>
      <w:r w:rsidRPr="001D48C3">
        <w:rPr>
          <w:lang w:eastAsia="en-AU"/>
        </w:rPr>
        <w:t xml:space="preserve"> and </w:t>
      </w:r>
      <w:r w:rsidRPr="00AB4B2D">
        <w:rPr>
          <w:lang w:eastAsia="en-AU"/>
        </w:rPr>
        <w:t>$</w:t>
      </w:r>
      <w:r w:rsidR="00F94511">
        <w:rPr>
          <w:lang w:eastAsia="en-AU"/>
        </w:rPr>
        <w:t>1.0</w:t>
      </w:r>
      <w:r w:rsidRPr="00AB4B2D">
        <w:rPr>
          <w:lang w:eastAsia="en-AU"/>
        </w:rPr>
        <w:t xml:space="preserve"> billion (</w:t>
      </w:r>
      <w:r w:rsidR="00AC6CD6" w:rsidRPr="00AB4B2D">
        <w:rPr>
          <w:lang w:eastAsia="en-AU"/>
        </w:rPr>
        <w:t>0.0</w:t>
      </w:r>
      <w:r w:rsidR="00F94511">
        <w:rPr>
          <w:lang w:eastAsia="en-AU"/>
        </w:rPr>
        <w:t>4</w:t>
      </w:r>
      <w:r w:rsidRPr="00AB4B2D">
        <w:rPr>
          <w:lang w:eastAsia="en-AU"/>
        </w:rPr>
        <w:t xml:space="preserve"> per cent of GDP)</w:t>
      </w:r>
      <w:r w:rsidRPr="001D48C3">
        <w:rPr>
          <w:lang w:eastAsia="en-AU"/>
        </w:rPr>
        <w:t xml:space="preserve"> higher in 202</w:t>
      </w:r>
      <w:r w:rsidR="002B4E86">
        <w:rPr>
          <w:lang w:eastAsia="en-AU"/>
        </w:rPr>
        <w:t>4</w:t>
      </w:r>
      <w:r w:rsidR="001D5BF5">
        <w:rPr>
          <w:lang w:eastAsia="en-AU"/>
        </w:rPr>
        <w:noBreakHyphen/>
      </w:r>
      <w:r w:rsidRPr="001D48C3">
        <w:rPr>
          <w:lang w:eastAsia="en-AU"/>
        </w:rPr>
        <w:t>2</w:t>
      </w:r>
      <w:r w:rsidR="002B4E86">
        <w:rPr>
          <w:lang w:eastAsia="en-AU"/>
        </w:rPr>
        <w:t>5</w:t>
      </w:r>
      <w:r w:rsidRPr="001D48C3">
        <w:rPr>
          <w:lang w:eastAsia="en-AU"/>
        </w:rPr>
        <w:t>. Underlying these outcomes are compositional shifts due to changes to the prices and wages methodology. Factoring weakness in the labour market into wages results in a lower share of income accruing to workers, which implies lower individual tax revenue. This effect is largely offset by the rise in company income, which implies higher corporate tax revenue. Similarly, changes to the methodology underlying import prices leads to a shift of corporate income away from the non</w:t>
      </w:r>
      <w:r w:rsidR="001D5BF5">
        <w:rPr>
          <w:lang w:eastAsia="en-AU"/>
        </w:rPr>
        <w:noBreakHyphen/>
      </w:r>
      <w:r w:rsidRPr="001D48C3">
        <w:rPr>
          <w:lang w:eastAsia="en-AU"/>
        </w:rPr>
        <w:t>mining to the mining sector, which moderates the rise in corporate tax revenue, since the ratio of company tax to gross operating surplus is lower for the mining industry than for non</w:t>
      </w:r>
      <w:r w:rsidR="001D5BF5">
        <w:rPr>
          <w:lang w:eastAsia="en-AU"/>
        </w:rPr>
        <w:noBreakHyphen/>
      </w:r>
      <w:r w:rsidRPr="001D48C3">
        <w:rPr>
          <w:lang w:eastAsia="en-AU"/>
        </w:rPr>
        <w:t>mining industries taken as a whole. The net effect is to have revenue relatively unchanged</w:t>
      </w:r>
      <w:r w:rsidRPr="001D48C3">
        <w:t>.</w:t>
      </w:r>
    </w:p>
    <w:p w14:paraId="43DDE740" w14:textId="037B6FE4" w:rsidR="002F0E0E" w:rsidRDefault="006A7CB3" w:rsidP="00713344">
      <w:r>
        <w:lastRenderedPageBreak/>
        <w:t xml:space="preserve">The methodological changes have a </w:t>
      </w:r>
      <w:r w:rsidR="003F42F1">
        <w:t xml:space="preserve">slightly </w:t>
      </w:r>
      <w:r>
        <w:t>larger effect on aggregate payment projections, with payments projected to be $</w:t>
      </w:r>
      <w:r w:rsidR="00C37814">
        <w:t>1</w:t>
      </w:r>
      <w:r>
        <w:t>.</w:t>
      </w:r>
      <w:r w:rsidR="00C37814">
        <w:t>5</w:t>
      </w:r>
      <w:r>
        <w:t xml:space="preserve"> billion (0.</w:t>
      </w:r>
      <w:r w:rsidR="00C37814">
        <w:t>08</w:t>
      </w:r>
      <w:r>
        <w:t xml:space="preserve"> per cent of GDP) lower in 201</w:t>
      </w:r>
      <w:r w:rsidR="00816226">
        <w:t>7</w:t>
      </w:r>
      <w:r w:rsidR="001D5BF5">
        <w:noBreakHyphen/>
      </w:r>
      <w:r>
        <w:t>1</w:t>
      </w:r>
      <w:r w:rsidR="00816226">
        <w:t>8</w:t>
      </w:r>
      <w:r>
        <w:t xml:space="preserve"> and $</w:t>
      </w:r>
      <w:r w:rsidR="00F94511">
        <w:t>2.4</w:t>
      </w:r>
      <w:r>
        <w:t xml:space="preserve"> billion (0.</w:t>
      </w:r>
      <w:r w:rsidR="00F94511">
        <w:t>09</w:t>
      </w:r>
      <w:r>
        <w:t> per cent of GDP) lower in 2024</w:t>
      </w:r>
      <w:r w:rsidR="001D5BF5">
        <w:noBreakHyphen/>
      </w:r>
      <w:r>
        <w:t>25. This aggregate change reflects lower wage</w:t>
      </w:r>
      <w:r w:rsidR="001D5BF5">
        <w:noBreakHyphen/>
      </w:r>
      <w:r>
        <w:t xml:space="preserve">indexed payments due to changes in the prices and wages methodology, and lower unemployment benefits payments due to closing the </w:t>
      </w:r>
      <w:r w:rsidR="003F42F1">
        <w:t>un</w:t>
      </w:r>
      <w:r w:rsidR="00816226">
        <w:t>employment</w:t>
      </w:r>
      <w:r>
        <w:t xml:space="preserve"> gap over five years rather than the 12 assumed </w:t>
      </w:r>
      <w:r w:rsidR="00816226">
        <w:t>in</w:t>
      </w:r>
      <w:r>
        <w:t xml:space="preserve"> the 2013</w:t>
      </w:r>
      <w:r w:rsidR="001D5BF5">
        <w:noBreakHyphen/>
      </w:r>
      <w:r>
        <w:t>14 MYEFO.</w:t>
      </w:r>
    </w:p>
    <w:p w14:paraId="7E5B0271" w14:textId="1EA2D648" w:rsidR="00C37814" w:rsidRPr="001D48C3" w:rsidRDefault="00C37814" w:rsidP="00230266">
      <w:pPr>
        <w:spacing w:after="120"/>
      </w:pPr>
      <w:r>
        <w:t xml:space="preserve">Overall, </w:t>
      </w:r>
      <w:r w:rsidR="00E14C4A">
        <w:t>the methodological change</w:t>
      </w:r>
      <w:r w:rsidR="000129FF">
        <w:t xml:space="preserve"> </w:t>
      </w:r>
      <w:r w:rsidR="00FA2680">
        <w:t xml:space="preserve">leads to </w:t>
      </w:r>
      <w:r w:rsidR="003F42F1">
        <w:t xml:space="preserve">a slight </w:t>
      </w:r>
      <w:r w:rsidR="00702C53">
        <w:t>improvement in the Underlying Cash Balance of</w:t>
      </w:r>
      <w:r>
        <w:t xml:space="preserve"> </w:t>
      </w:r>
      <w:r w:rsidR="000129FF">
        <w:t>$</w:t>
      </w:r>
      <w:r w:rsidR="00F94511">
        <w:t>0.9</w:t>
      </w:r>
      <w:r w:rsidR="003F42F1">
        <w:t xml:space="preserve"> billion </w:t>
      </w:r>
      <w:r w:rsidR="000129FF">
        <w:t>(0.</w:t>
      </w:r>
      <w:r w:rsidR="00F94511">
        <w:t>05</w:t>
      </w:r>
      <w:r w:rsidR="000129FF">
        <w:t xml:space="preserve"> per cent of GDP) in 2017</w:t>
      </w:r>
      <w:r w:rsidR="001D5BF5">
        <w:noBreakHyphen/>
      </w:r>
      <w:r w:rsidR="000129FF">
        <w:t xml:space="preserve">18 </w:t>
      </w:r>
      <w:r>
        <w:t>and $</w:t>
      </w:r>
      <w:r w:rsidR="0062785E">
        <w:t>3</w:t>
      </w:r>
      <w:r w:rsidR="00F94511">
        <w:t>.4</w:t>
      </w:r>
      <w:r>
        <w:t xml:space="preserve"> billion</w:t>
      </w:r>
      <w:r w:rsidR="000129FF">
        <w:t xml:space="preserve"> (0.</w:t>
      </w:r>
      <w:r w:rsidR="00F94511">
        <w:t>12</w:t>
      </w:r>
      <w:r w:rsidR="000129FF">
        <w:t xml:space="preserve"> per cent of GDP) in 2024</w:t>
      </w:r>
      <w:r w:rsidR="001D5BF5">
        <w:noBreakHyphen/>
      </w:r>
      <w:r w:rsidR="000129FF">
        <w:t>25.</w:t>
      </w:r>
    </w:p>
    <w:p w14:paraId="25FC1AC5" w14:textId="77777777" w:rsidR="00516EAB" w:rsidRPr="001D48C3" w:rsidRDefault="00516EAB" w:rsidP="001D48C3">
      <w:pPr>
        <w:pStyle w:val="Heading2"/>
      </w:pPr>
      <w:r w:rsidRPr="001D48C3">
        <w:t>Sensitivity analysis</w:t>
      </w:r>
    </w:p>
    <w:p w14:paraId="539BBD8C" w14:textId="77777777" w:rsidR="00A149DE" w:rsidRPr="001D48C3" w:rsidRDefault="00A149DE" w:rsidP="00A149DE">
      <w:r w:rsidRPr="001D48C3">
        <w:t>This section assesses the sensitivity of the medium term projections to trend assumptions, the duration of the cyclical adjustment period</w:t>
      </w:r>
      <w:r w:rsidR="00997267" w:rsidRPr="001D48C3">
        <w:t>,</w:t>
      </w:r>
      <w:r w:rsidRPr="001D48C3">
        <w:t xml:space="preserve"> and </w:t>
      </w:r>
      <w:r w:rsidR="00E23035" w:rsidRPr="001D48C3">
        <w:t xml:space="preserve">the </w:t>
      </w:r>
      <w:r w:rsidRPr="001D48C3">
        <w:t>cyclical position of the economy</w:t>
      </w:r>
      <w:r w:rsidR="00E23035" w:rsidRPr="001D48C3">
        <w:t xml:space="preserve"> at the end of forecast period</w:t>
      </w:r>
      <w:r w:rsidRPr="001D48C3">
        <w:t>.</w:t>
      </w:r>
    </w:p>
    <w:p w14:paraId="18C396BA" w14:textId="77777777" w:rsidR="00A149DE" w:rsidRPr="001D48C3" w:rsidRDefault="00A149DE" w:rsidP="00D3016A">
      <w:pPr>
        <w:pStyle w:val="Heading3"/>
      </w:pPr>
      <w:r w:rsidRPr="001D48C3">
        <w:t>Trend assumptions</w:t>
      </w:r>
    </w:p>
    <w:p w14:paraId="227A2282" w14:textId="77777777" w:rsidR="00A149DE" w:rsidRPr="001D48C3" w:rsidRDefault="00A149DE" w:rsidP="002128FD">
      <w:pPr>
        <w:pStyle w:val="Heading4"/>
      </w:pPr>
      <w:r w:rsidRPr="001D48C3">
        <w:t>Growth rate of trend productivity</w:t>
      </w:r>
    </w:p>
    <w:p w14:paraId="428A8CE6" w14:textId="4E169B2F" w:rsidR="00A149DE" w:rsidRPr="001D48C3" w:rsidRDefault="00A149DE" w:rsidP="00A149DE">
      <w:r w:rsidRPr="001D48C3">
        <w:t xml:space="preserve">As demonstrated by the updated trend parameters, the estimated growth rate of trend labour productivity can vary over time. This sensitivity analysis involves a permanent increase in the growth rate of trend labour productivity of 0.1 per cent from </w:t>
      </w:r>
      <w:r w:rsidR="00EF384F" w:rsidRPr="001D48C3">
        <w:t>201</w:t>
      </w:r>
      <w:r w:rsidR="00EF384F">
        <w:t>6</w:t>
      </w:r>
      <w:r w:rsidR="001D5BF5">
        <w:noBreakHyphen/>
      </w:r>
      <w:r w:rsidR="00EF384F" w:rsidRPr="001D48C3">
        <w:t>1</w:t>
      </w:r>
      <w:r w:rsidR="00EF384F">
        <w:t>7</w:t>
      </w:r>
      <w:r w:rsidR="00EF384F" w:rsidRPr="001D48C3">
        <w:t xml:space="preserve"> </w:t>
      </w:r>
      <w:r w:rsidRPr="001D48C3">
        <w:t>(i.e., the st</w:t>
      </w:r>
      <w:r w:rsidR="00310613" w:rsidRPr="001D48C3">
        <w:t xml:space="preserve">art of the projection period). </w:t>
      </w:r>
      <w:r w:rsidRPr="001D48C3">
        <w:t xml:space="preserve">This change increases the level of potential and real output by roughly </w:t>
      </w:r>
      <w:r w:rsidR="00D5093B">
        <w:t>0.9</w:t>
      </w:r>
      <w:r w:rsidR="00D5093B" w:rsidRPr="001D48C3">
        <w:t xml:space="preserve"> </w:t>
      </w:r>
      <w:r w:rsidRPr="001D48C3">
        <w:t xml:space="preserve">per cent over the </w:t>
      </w:r>
      <w:r w:rsidR="00816226">
        <w:t>9 </w:t>
      </w:r>
      <w:r w:rsidR="00E23035" w:rsidRPr="001D48C3">
        <w:t xml:space="preserve">year </w:t>
      </w:r>
      <w:r w:rsidRPr="001D48C3">
        <w:t>projection period</w:t>
      </w:r>
      <w:r w:rsidR="00073551" w:rsidRPr="001D48C3">
        <w:t xml:space="preserve">. </w:t>
      </w:r>
      <w:r w:rsidRPr="001D48C3">
        <w:t xml:space="preserve">The growth rate shift requires </w:t>
      </w:r>
      <w:r w:rsidR="00E23035" w:rsidRPr="001D48C3">
        <w:t>higher</w:t>
      </w:r>
      <w:r w:rsidRPr="001D48C3">
        <w:t xml:space="preserve"> growt</w:t>
      </w:r>
      <w:r w:rsidR="0005330D" w:rsidRPr="001D48C3">
        <w:t>h of real GDP over the cyclical</w:t>
      </w:r>
      <w:r w:rsidR="001D5BF5">
        <w:noBreakHyphen/>
      </w:r>
      <w:r w:rsidRPr="001D48C3">
        <w:t>adjustment p</w:t>
      </w:r>
      <w:r w:rsidR="00310613" w:rsidRPr="001D48C3">
        <w:t xml:space="preserve">eriod to close the output gap. </w:t>
      </w:r>
      <w:r w:rsidRPr="001D48C3">
        <w:t xml:space="preserve">In addition, an increase in </w:t>
      </w:r>
      <w:r w:rsidR="00310613" w:rsidRPr="001D48C3">
        <w:t>trend productivity</w:t>
      </w:r>
      <w:r w:rsidRPr="001D48C3">
        <w:t xml:space="preserve"> growth also permanently increases the rate of potential output growth and hence output growth </w:t>
      </w:r>
      <w:r w:rsidR="00310613" w:rsidRPr="001D48C3">
        <w:t>in the</w:t>
      </w:r>
      <w:r w:rsidRPr="001D48C3">
        <w:t xml:space="preserve"> long</w:t>
      </w:r>
      <w:r w:rsidR="001D5BF5">
        <w:noBreakHyphen/>
      </w:r>
      <w:r w:rsidRPr="001D48C3">
        <w:t>run (</w:t>
      </w:r>
      <w:r w:rsidR="00310613" w:rsidRPr="001D48C3">
        <w:fldChar w:fldCharType="begin"/>
      </w:r>
      <w:r w:rsidR="00310613" w:rsidRPr="001D48C3">
        <w:instrText xml:space="preserve"> REF _Ref386200417 \h </w:instrText>
      </w:r>
      <w:r w:rsidR="00310613" w:rsidRPr="001D48C3">
        <w:fldChar w:fldCharType="separate"/>
      </w:r>
      <w:r w:rsidR="00C65A3D" w:rsidRPr="001D48C3">
        <w:t xml:space="preserve">Chart </w:t>
      </w:r>
      <w:r w:rsidR="00C65A3D">
        <w:rPr>
          <w:noProof/>
        </w:rPr>
        <w:t>17</w:t>
      </w:r>
      <w:r w:rsidR="00310613" w:rsidRPr="001D48C3">
        <w:fldChar w:fldCharType="end"/>
      </w:r>
      <w:r w:rsidR="00310613" w:rsidRPr="001D48C3">
        <w:t>).</w:t>
      </w:r>
    </w:p>
    <w:p w14:paraId="584C2BD2" w14:textId="00A52173" w:rsidR="00A149DE" w:rsidRPr="001D48C3" w:rsidRDefault="00A149DE" w:rsidP="00C115F9">
      <w:pPr>
        <w:pStyle w:val="CaptionHeading1"/>
      </w:pPr>
      <w:bookmarkStart w:id="20" w:name="_Ref386200417"/>
      <w:bookmarkStart w:id="21" w:name="_Ref386200406"/>
      <w:r w:rsidRPr="001D48C3">
        <w:t xml:space="preserve">Chart </w:t>
      </w:r>
      <w:r w:rsidR="00711272">
        <w:fldChar w:fldCharType="begin"/>
      </w:r>
      <w:r w:rsidR="00711272">
        <w:instrText xml:space="preserve"> SEQ Chart \* ARABIC </w:instrText>
      </w:r>
      <w:r w:rsidR="00711272">
        <w:fldChar w:fldCharType="separate"/>
      </w:r>
      <w:r w:rsidR="00C65A3D">
        <w:rPr>
          <w:noProof/>
        </w:rPr>
        <w:t>17</w:t>
      </w:r>
      <w:r w:rsidR="00711272">
        <w:rPr>
          <w:noProof/>
        </w:rPr>
        <w:fldChar w:fldCharType="end"/>
      </w:r>
      <w:bookmarkEnd w:id="20"/>
      <w:r w:rsidRPr="001D48C3">
        <w:t>: Real GDP growth rate</w:t>
      </w:r>
      <w:bookmarkEnd w:id="21"/>
      <w:r w:rsidR="003A6670" w:rsidRPr="001D48C3">
        <w:t>—</w:t>
      </w:r>
      <w:r w:rsidR="00B072BA" w:rsidRPr="001D48C3">
        <w:t xml:space="preserve">implications of higher trend </w:t>
      </w:r>
      <w:r w:rsidR="00F337B9">
        <w:br/>
      </w:r>
      <w:r w:rsidR="00B072BA" w:rsidRPr="001D48C3">
        <w:t>productivity growth</w:t>
      </w:r>
    </w:p>
    <w:p w14:paraId="7D39F013" w14:textId="6FD43320" w:rsidR="00A149DE" w:rsidRDefault="00B83BA9" w:rsidP="00237D09">
      <w:pPr>
        <w:pStyle w:val="ChartGraphic"/>
      </w:pPr>
      <w:r>
        <w:fldChar w:fldCharType="begin"/>
      </w:r>
      <w:r>
        <w:instrText xml:space="preserve"> LINK Excel.Sheet.12 "" "" \a \p </w:instrText>
      </w:r>
      <w:r>
        <w:fldChar w:fldCharType="separate"/>
      </w:r>
      <w:r w:rsidR="00711272">
        <w:object w:dxaOrig="11712" w:dyaOrig="6036" w14:anchorId="392C9D5F">
          <v:shape id="_x0000_i1098" type="#_x0000_t75" alt="This chart plots the real GDP growth projection generated by the increase trend productivity sensitivity analysis and from the baseline over the period 2012-13 to 2024-25." style="width:438.75pt;height:226.5pt">
            <v:imagedata r:id="rId164" o:title=""/>
          </v:shape>
        </w:object>
      </w:r>
      <w:r>
        <w:fldChar w:fldCharType="end"/>
      </w:r>
    </w:p>
    <w:p w14:paraId="0035EF11" w14:textId="77777777" w:rsidR="00237D09" w:rsidRPr="00230266" w:rsidRDefault="00237D09" w:rsidP="00237D09">
      <w:pPr>
        <w:pStyle w:val="SingleParagraph"/>
        <w:rPr>
          <w:sz w:val="18"/>
          <w:szCs w:val="18"/>
        </w:rPr>
      </w:pPr>
    </w:p>
    <w:p w14:paraId="32BC1279" w14:textId="0BA3FBD8" w:rsidR="00A149DE" w:rsidRPr="001D48C3" w:rsidRDefault="00A149DE" w:rsidP="00A149DE">
      <w:r w:rsidRPr="001D48C3">
        <w:t>Higher trend labour productivity growth leads to a higher level of real outp</w:t>
      </w:r>
      <w:r w:rsidR="00310613" w:rsidRPr="001D48C3">
        <w:t>ut</w:t>
      </w:r>
      <w:r w:rsidR="00F337B9">
        <w:t>,</w:t>
      </w:r>
      <w:r w:rsidR="00A4779A" w:rsidRPr="001D48C3">
        <w:t xml:space="preserve"> </w:t>
      </w:r>
      <w:r w:rsidR="00F337B9">
        <w:t>while</w:t>
      </w:r>
      <w:r w:rsidR="00F337B9" w:rsidRPr="001D48C3">
        <w:t xml:space="preserve"> </w:t>
      </w:r>
      <w:r w:rsidR="00A4779A" w:rsidRPr="001D48C3">
        <w:t xml:space="preserve">it has a negligible effect on </w:t>
      </w:r>
      <w:r w:rsidR="00310613" w:rsidRPr="001D48C3">
        <w:t xml:space="preserve">wages and </w:t>
      </w:r>
      <w:r w:rsidR="007A0745" w:rsidRPr="001D48C3">
        <w:t>output</w:t>
      </w:r>
      <w:r w:rsidR="00A4779A" w:rsidRPr="001D48C3">
        <w:t xml:space="preserve"> prices</w:t>
      </w:r>
      <w:r w:rsidR="00310613" w:rsidRPr="001D48C3">
        <w:t xml:space="preserve">. </w:t>
      </w:r>
      <w:r w:rsidRPr="001D48C3">
        <w:t>A permanent increas</w:t>
      </w:r>
      <w:r w:rsidR="00C115F9">
        <w:t>e in productivity growth of 0.1 </w:t>
      </w:r>
      <w:r w:rsidRPr="001D48C3">
        <w:t>p</w:t>
      </w:r>
      <w:r w:rsidR="00C115F9">
        <w:t>er </w:t>
      </w:r>
      <w:r w:rsidR="0005330D" w:rsidRPr="001D48C3">
        <w:t>cent leads to a $2</w:t>
      </w:r>
      <w:r w:rsidR="00536686">
        <w:t>6</w:t>
      </w:r>
      <w:r w:rsidR="0005330D" w:rsidRPr="001D48C3">
        <w:t> billion (0.9</w:t>
      </w:r>
      <w:r w:rsidRPr="001D48C3">
        <w:t xml:space="preserve"> per cent) increase in nominal GDP in </w:t>
      </w:r>
      <w:r w:rsidR="00EF384F" w:rsidRPr="001D48C3">
        <w:t>202</w:t>
      </w:r>
      <w:r w:rsidR="00EF384F">
        <w:t>4</w:t>
      </w:r>
      <w:r w:rsidR="001D5BF5">
        <w:noBreakHyphen/>
      </w:r>
      <w:r w:rsidR="00EF384F" w:rsidRPr="001D48C3">
        <w:t>2</w:t>
      </w:r>
      <w:r w:rsidR="00EF384F">
        <w:t>5</w:t>
      </w:r>
      <w:r w:rsidR="00EF384F" w:rsidRPr="001D48C3">
        <w:t xml:space="preserve"> </w:t>
      </w:r>
      <w:r w:rsidRPr="001D48C3">
        <w:t>(</w:t>
      </w:r>
      <w:r w:rsidR="00A143A9" w:rsidRPr="001D48C3">
        <w:fldChar w:fldCharType="begin"/>
      </w:r>
      <w:r w:rsidR="00A143A9" w:rsidRPr="001D48C3">
        <w:instrText xml:space="preserve"> REF _Ref386621144 \h </w:instrText>
      </w:r>
      <w:r w:rsidR="00A143A9" w:rsidRPr="001D48C3">
        <w:fldChar w:fldCharType="separate"/>
      </w:r>
      <w:r w:rsidR="00C65A3D" w:rsidRPr="001D48C3">
        <w:t xml:space="preserve">Chart </w:t>
      </w:r>
      <w:r w:rsidR="00C65A3D">
        <w:rPr>
          <w:noProof/>
        </w:rPr>
        <w:t>18</w:t>
      </w:r>
      <w:r w:rsidR="00A143A9" w:rsidRPr="001D48C3">
        <w:fldChar w:fldCharType="end"/>
      </w:r>
      <w:r w:rsidRPr="001D48C3">
        <w:t>).</w:t>
      </w:r>
    </w:p>
    <w:p w14:paraId="741D7250" w14:textId="759E3B50" w:rsidR="00A149DE" w:rsidRPr="001D48C3" w:rsidRDefault="00A149DE" w:rsidP="00C115F9">
      <w:pPr>
        <w:pStyle w:val="CaptionHeading1"/>
      </w:pPr>
      <w:bookmarkStart w:id="22" w:name="_Ref386621144"/>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18</w:t>
      </w:r>
      <w:r w:rsidR="00711272">
        <w:rPr>
          <w:noProof/>
        </w:rPr>
        <w:fldChar w:fldCharType="end"/>
      </w:r>
      <w:bookmarkEnd w:id="22"/>
      <w:r w:rsidRPr="001D48C3">
        <w:t>: Change in nominal GDP level</w:t>
      </w:r>
      <w:r w:rsidR="003A6670" w:rsidRPr="001D48C3">
        <w:t>—</w:t>
      </w:r>
      <w:r w:rsidR="00B072BA" w:rsidRPr="001D48C3">
        <w:t xml:space="preserve">implications of higher trend </w:t>
      </w:r>
      <w:r w:rsidR="00C115F9">
        <w:br/>
      </w:r>
      <w:r w:rsidR="00B072BA" w:rsidRPr="001D48C3">
        <w:t>productivity growth</w:t>
      </w:r>
    </w:p>
    <w:p w14:paraId="28B75668" w14:textId="4E106FE9" w:rsidR="00A149DE" w:rsidRDefault="00CB7FD2" w:rsidP="00237D09">
      <w:pPr>
        <w:pStyle w:val="ChartGraphic"/>
      </w:pPr>
      <w:r>
        <w:fldChar w:fldCharType="begin"/>
      </w:r>
      <w:r>
        <w:instrText xml:space="preserve"> LINK Excel.Sheet.12 "" "" \a \p </w:instrText>
      </w:r>
      <w:r>
        <w:fldChar w:fldCharType="separate"/>
      </w:r>
      <w:r w:rsidR="00711272">
        <w:object w:dxaOrig="11692" w:dyaOrig="6016" w14:anchorId="136233D6">
          <v:shape id="_x0000_i1099" type="#_x0000_t75" alt="This chart plots the change in the projected level of nominal GDP generated by the increase trend productivity sensitivity analysis compared to the baseline, expressed as a per cent of GDP, over the period 2012 13 to 2024 25. The change in nominal GDP level is decomposed into change in real output and change in prices." style="width:438pt;height:225.75pt;mso-position-vertical:absolute">
            <v:imagedata r:id="rId165" o:title=""/>
          </v:shape>
        </w:object>
      </w:r>
      <w:r>
        <w:fldChar w:fldCharType="end"/>
      </w:r>
    </w:p>
    <w:p w14:paraId="1D1398EF" w14:textId="77777777" w:rsidR="00237D09" w:rsidRPr="00237D09" w:rsidRDefault="00237D09" w:rsidP="00237D09">
      <w:pPr>
        <w:pStyle w:val="SingleParagraph"/>
        <w:rPr>
          <w:lang w:eastAsia="en-AU"/>
        </w:rPr>
      </w:pPr>
    </w:p>
    <w:p w14:paraId="1C7AAA7A" w14:textId="77777777" w:rsidR="00A149DE" w:rsidRPr="001D48C3" w:rsidRDefault="00A149DE" w:rsidP="002128FD">
      <w:pPr>
        <w:pStyle w:val="Heading4"/>
      </w:pPr>
      <w:r w:rsidRPr="001D48C3">
        <w:t>Trend labour force participation rate</w:t>
      </w:r>
    </w:p>
    <w:p w14:paraId="28EAC3DE" w14:textId="53D1D3A0" w:rsidR="00A4779A" w:rsidRPr="001D48C3" w:rsidRDefault="00A149DE" w:rsidP="00A4779A">
      <w:pPr>
        <w:rPr>
          <w:lang w:eastAsia="en-AU"/>
        </w:rPr>
      </w:pPr>
      <w:r w:rsidRPr="001D48C3">
        <w:t>This sensitivity analysis inv</w:t>
      </w:r>
      <w:r w:rsidR="00A4779A" w:rsidRPr="001D48C3">
        <w:t xml:space="preserve">olves an </w:t>
      </w:r>
      <w:r w:rsidRPr="001D48C3">
        <w:t xml:space="preserve">increase in the trend labour force participation </w:t>
      </w:r>
      <w:r w:rsidR="00310613" w:rsidRPr="001D48C3">
        <w:t xml:space="preserve">rate </w:t>
      </w:r>
      <w:r w:rsidR="005E6B1B" w:rsidRPr="001D48C3">
        <w:t>of 0.</w:t>
      </w:r>
      <w:r w:rsidR="00A4779A" w:rsidRPr="001D48C3">
        <w:t>02</w:t>
      </w:r>
      <w:r w:rsidR="005E6B1B" w:rsidRPr="001D48C3">
        <w:t> </w:t>
      </w:r>
      <w:r w:rsidR="00C115F9">
        <w:t>per </w:t>
      </w:r>
      <w:r w:rsidRPr="001D48C3">
        <w:t xml:space="preserve">cent </w:t>
      </w:r>
      <w:r w:rsidR="00A4779A" w:rsidRPr="001D48C3">
        <w:t>per</w:t>
      </w:r>
      <w:r w:rsidR="00491230">
        <w:t> </w:t>
      </w:r>
      <w:r w:rsidR="00A4779A" w:rsidRPr="001D48C3">
        <w:t xml:space="preserve">annum </w:t>
      </w:r>
      <w:r w:rsidR="0071605C" w:rsidRPr="001D48C3">
        <w:t>over the cyclical adjustment period,</w:t>
      </w:r>
      <w:r w:rsidR="00A4779A" w:rsidRPr="001D48C3">
        <w:t xml:space="preserve"> which implies a permanent increase in the participation rate </w:t>
      </w:r>
      <w:r w:rsidR="001543F1">
        <w:t>of 0.1 per </w:t>
      </w:r>
      <w:r w:rsidR="0071605C" w:rsidRPr="001D48C3">
        <w:t xml:space="preserve">cent </w:t>
      </w:r>
      <w:r w:rsidR="00A4779A" w:rsidRPr="001D48C3">
        <w:t>from 2021</w:t>
      </w:r>
      <w:r w:rsidR="001D5BF5">
        <w:noBreakHyphen/>
      </w:r>
      <w:r w:rsidR="00A4779A" w:rsidRPr="001D48C3">
        <w:t xml:space="preserve">22 </w:t>
      </w:r>
      <w:r w:rsidR="00F04FB3" w:rsidRPr="001D48C3">
        <w:t>(</w:t>
      </w:r>
      <w:r w:rsidR="00491230">
        <w:fldChar w:fldCharType="begin"/>
      </w:r>
      <w:r w:rsidR="00491230">
        <w:instrText xml:space="preserve"> REF  _Ref386200865 \h </w:instrText>
      </w:r>
      <w:r w:rsidR="00491230">
        <w:fldChar w:fldCharType="separate"/>
      </w:r>
      <w:r w:rsidR="00C65A3D" w:rsidRPr="001D48C3">
        <w:t xml:space="preserve">Chart </w:t>
      </w:r>
      <w:r w:rsidR="00C65A3D">
        <w:rPr>
          <w:noProof/>
        </w:rPr>
        <w:t>19</w:t>
      </w:r>
      <w:r w:rsidR="00491230">
        <w:fldChar w:fldCharType="end"/>
      </w:r>
      <w:r w:rsidR="00F04FB3" w:rsidRPr="001D48C3">
        <w:t>)</w:t>
      </w:r>
      <w:r w:rsidR="00310613" w:rsidRPr="001D48C3">
        <w:t>. A h</w:t>
      </w:r>
      <w:r w:rsidRPr="001D48C3">
        <w:t xml:space="preserve">igher trend participation rate leads to a permanently higher </w:t>
      </w:r>
      <w:r w:rsidR="00310613" w:rsidRPr="001D48C3">
        <w:t>trend labour force</w:t>
      </w:r>
      <w:r w:rsidR="0071605C" w:rsidRPr="001D48C3">
        <w:t xml:space="preserve">, </w:t>
      </w:r>
      <w:r w:rsidRPr="001D48C3">
        <w:t xml:space="preserve">a higher level of </w:t>
      </w:r>
      <w:r w:rsidR="00310613" w:rsidRPr="001D48C3">
        <w:t xml:space="preserve">potential </w:t>
      </w:r>
      <w:r w:rsidRPr="001D48C3">
        <w:t>output</w:t>
      </w:r>
      <w:r w:rsidR="00F04FB3" w:rsidRPr="001D48C3">
        <w:t xml:space="preserve"> </w:t>
      </w:r>
      <w:r w:rsidR="0071605C" w:rsidRPr="001D48C3">
        <w:t xml:space="preserve">and a </w:t>
      </w:r>
      <w:r w:rsidR="00A4779A" w:rsidRPr="001D48C3">
        <w:rPr>
          <w:lang w:eastAsia="en-AU"/>
        </w:rPr>
        <w:t xml:space="preserve">negligible </w:t>
      </w:r>
      <w:r w:rsidR="0071605C" w:rsidRPr="001D48C3">
        <w:rPr>
          <w:lang w:eastAsia="en-AU"/>
        </w:rPr>
        <w:t>rise in</w:t>
      </w:r>
      <w:r w:rsidR="00A4779A" w:rsidRPr="001D48C3">
        <w:rPr>
          <w:lang w:eastAsia="en-AU"/>
        </w:rPr>
        <w:t xml:space="preserve"> wages and output prices</w:t>
      </w:r>
      <w:r w:rsidR="0071605C" w:rsidRPr="001D48C3">
        <w:rPr>
          <w:lang w:eastAsia="en-AU"/>
        </w:rPr>
        <w:t xml:space="preserve"> </w:t>
      </w:r>
      <w:r w:rsidR="0071605C" w:rsidRPr="001D48C3">
        <w:t>(</w:t>
      </w:r>
      <w:r w:rsidR="0071605C" w:rsidRPr="001D48C3">
        <w:fldChar w:fldCharType="begin"/>
      </w:r>
      <w:r w:rsidR="0071605C" w:rsidRPr="001D48C3">
        <w:instrText xml:space="preserve"> REF _Ref386200899 \h </w:instrText>
      </w:r>
      <w:r w:rsidR="0071605C" w:rsidRPr="001D48C3">
        <w:fldChar w:fldCharType="separate"/>
      </w:r>
      <w:r w:rsidR="00C65A3D" w:rsidRPr="001D48C3">
        <w:t xml:space="preserve">Chart </w:t>
      </w:r>
      <w:r w:rsidR="00C65A3D">
        <w:rPr>
          <w:noProof/>
        </w:rPr>
        <w:t>21</w:t>
      </w:r>
      <w:r w:rsidR="0071605C" w:rsidRPr="001D48C3">
        <w:fldChar w:fldCharType="end"/>
      </w:r>
      <w:r w:rsidR="0071605C" w:rsidRPr="001D48C3">
        <w:t>)</w:t>
      </w:r>
      <w:r w:rsidR="00A4779A" w:rsidRPr="001D48C3">
        <w:rPr>
          <w:lang w:eastAsia="en-AU"/>
        </w:rPr>
        <w:t xml:space="preserve">. </w:t>
      </w:r>
      <w:r w:rsidR="0071605C" w:rsidRPr="001D48C3">
        <w:rPr>
          <w:lang w:eastAsia="en-AU"/>
        </w:rPr>
        <w:t xml:space="preserve">Overall, the rise in the trend participation leads to a </w:t>
      </w:r>
      <w:r w:rsidR="001543F1">
        <w:rPr>
          <w:lang w:eastAsia="en-AU"/>
        </w:rPr>
        <w:t>$</w:t>
      </w:r>
      <w:r w:rsidR="00536686">
        <w:rPr>
          <w:lang w:eastAsia="en-AU"/>
        </w:rPr>
        <w:t>6</w:t>
      </w:r>
      <w:r w:rsidR="001543F1">
        <w:rPr>
          <w:lang w:eastAsia="en-AU"/>
        </w:rPr>
        <w:t xml:space="preserve"> billion (0.2 per </w:t>
      </w:r>
      <w:r w:rsidR="00A4779A" w:rsidRPr="001D48C3">
        <w:rPr>
          <w:lang w:eastAsia="en-AU"/>
        </w:rPr>
        <w:t>cent) incr</w:t>
      </w:r>
      <w:r w:rsidR="0071605C" w:rsidRPr="001D48C3">
        <w:rPr>
          <w:lang w:eastAsia="en-AU"/>
        </w:rPr>
        <w:t xml:space="preserve">ease in nominal GDP in </w:t>
      </w:r>
      <w:r w:rsidR="00EF384F" w:rsidRPr="001D48C3">
        <w:rPr>
          <w:lang w:eastAsia="en-AU"/>
        </w:rPr>
        <w:t>202</w:t>
      </w:r>
      <w:r w:rsidR="00EF384F">
        <w:rPr>
          <w:lang w:eastAsia="en-AU"/>
        </w:rPr>
        <w:t>4</w:t>
      </w:r>
      <w:r w:rsidR="001D5BF5">
        <w:rPr>
          <w:lang w:eastAsia="en-AU"/>
        </w:rPr>
        <w:noBreakHyphen/>
      </w:r>
      <w:r w:rsidR="00EF384F" w:rsidRPr="001D48C3">
        <w:rPr>
          <w:lang w:eastAsia="en-AU"/>
        </w:rPr>
        <w:t>2</w:t>
      </w:r>
      <w:r w:rsidR="00EF384F">
        <w:rPr>
          <w:lang w:eastAsia="en-AU"/>
        </w:rPr>
        <w:t>5</w:t>
      </w:r>
      <w:r w:rsidR="0071605C" w:rsidRPr="001D48C3">
        <w:rPr>
          <w:lang w:eastAsia="en-AU"/>
        </w:rPr>
        <w:t>.</w:t>
      </w:r>
    </w:p>
    <w:p w14:paraId="5168E24E" w14:textId="77777777" w:rsidR="00A149DE" w:rsidRPr="00230266" w:rsidRDefault="00A149DE" w:rsidP="00230266">
      <w:pPr>
        <w:pStyle w:val="SingleParagraph"/>
      </w:pPr>
    </w:p>
    <w:p w14:paraId="1153B103" w14:textId="64928E9D" w:rsidR="00A149DE" w:rsidRPr="001D48C3" w:rsidRDefault="00A149DE" w:rsidP="00F77C4A">
      <w:pPr>
        <w:pStyle w:val="Caption1"/>
        <w:tabs>
          <w:tab w:val="clear" w:pos="4438"/>
          <w:tab w:val="center" w:pos="2268"/>
          <w:tab w:val="center" w:pos="6804"/>
        </w:tabs>
        <w:ind w:left="709"/>
      </w:pPr>
      <w:bookmarkStart w:id="23" w:name="_Ref386200865"/>
      <w:r w:rsidRPr="001D48C3">
        <w:t xml:space="preserve">Chart </w:t>
      </w:r>
      <w:r w:rsidR="00711272">
        <w:fldChar w:fldCharType="begin"/>
      </w:r>
      <w:r w:rsidR="00711272">
        <w:instrText xml:space="preserve"> SEQ Chart \* ARABIC </w:instrText>
      </w:r>
      <w:r w:rsidR="00711272">
        <w:fldChar w:fldCharType="separate"/>
      </w:r>
      <w:r w:rsidR="00C65A3D">
        <w:rPr>
          <w:noProof/>
        </w:rPr>
        <w:t>19</w:t>
      </w:r>
      <w:r w:rsidR="00711272">
        <w:rPr>
          <w:noProof/>
        </w:rPr>
        <w:fldChar w:fldCharType="end"/>
      </w:r>
      <w:bookmarkEnd w:id="23"/>
      <w:r w:rsidR="00C115F9">
        <w:t>: Participation rate</w:t>
      </w:r>
      <w:r w:rsidR="00C115F9">
        <w:tab/>
      </w:r>
      <w:r w:rsidRPr="001D48C3">
        <w:t xml:space="preserve">Chart </w:t>
      </w:r>
      <w:r w:rsidR="00711272">
        <w:fldChar w:fldCharType="begin"/>
      </w:r>
      <w:r w:rsidR="00711272">
        <w:instrText xml:space="preserve"> SEQ Chart \* ARABIC </w:instrText>
      </w:r>
      <w:r w:rsidR="00711272">
        <w:fldChar w:fldCharType="separate"/>
      </w:r>
      <w:r w:rsidR="00C65A3D">
        <w:rPr>
          <w:noProof/>
        </w:rPr>
        <w:t>20</w:t>
      </w:r>
      <w:r w:rsidR="00711272">
        <w:rPr>
          <w:noProof/>
        </w:rPr>
        <w:fldChar w:fldCharType="end"/>
      </w:r>
      <w:r w:rsidR="00F77C4A">
        <w:t>: Real GDP growth rate</w:t>
      </w:r>
    </w:p>
    <w:p w14:paraId="52BA7B22" w14:textId="5200E56D" w:rsidR="00A149DE" w:rsidRPr="001D48C3" w:rsidRDefault="00CB7FD2" w:rsidP="00237D09">
      <w:pPr>
        <w:pStyle w:val="ChartGraphic"/>
      </w:pPr>
      <w:r>
        <w:fldChar w:fldCharType="begin"/>
      </w:r>
      <w:r>
        <w:instrText xml:space="preserve"> LINK Excel.Sheet.12 "" "" \a \p </w:instrText>
      </w:r>
      <w:r>
        <w:fldChar w:fldCharType="separate"/>
      </w:r>
      <w:r w:rsidR="00711272">
        <w:object w:dxaOrig="6026" w:dyaOrig="6016" w14:anchorId="33F87FCE">
          <v:shape id="_x0000_i1100" type="#_x0000_t75" alt="This chart plots the participation rate generated by the increase trend participation rate sensitivity analysis and from the baseline over the period 2012-13 to 2024-25." style="width:225.75pt;height:225.75pt">
            <v:imagedata r:id="rId166" o:title=""/>
          </v:shape>
        </w:object>
      </w:r>
      <w:r>
        <w:fldChar w:fldCharType="end"/>
      </w:r>
      <w:r>
        <w:fldChar w:fldCharType="begin"/>
      </w:r>
      <w:r>
        <w:instrText xml:space="preserve"> LINK Excel.Sheet.12 "" "" \a \p </w:instrText>
      </w:r>
      <w:r>
        <w:fldChar w:fldCharType="separate"/>
      </w:r>
      <w:r w:rsidR="00711272">
        <w:object w:dxaOrig="6026" w:dyaOrig="6016" w14:anchorId="2FB5016B">
          <v:shape id="_x0000_i1101" type="#_x0000_t75" alt="This chart plots the real GDP growth projection generated by the increase trend participation rate sensitivity analysis and from the baseline over the period 2012-13 to 2024-25." style="width:225.75pt;height:225.75pt">
            <v:imagedata r:id="rId167" o:title=""/>
          </v:shape>
        </w:object>
      </w:r>
      <w:r>
        <w:fldChar w:fldCharType="end"/>
      </w:r>
    </w:p>
    <w:p w14:paraId="5712A649" w14:textId="77777777" w:rsidR="00F04FB3" w:rsidRPr="001D48C3" w:rsidRDefault="00F04FB3" w:rsidP="00C115F9">
      <w:pPr>
        <w:spacing w:after="120"/>
        <w:rPr>
          <w:lang w:eastAsia="en-AU"/>
        </w:rPr>
      </w:pPr>
    </w:p>
    <w:p w14:paraId="01821DAF" w14:textId="30FC0CAE" w:rsidR="00A149DE" w:rsidRPr="001D48C3" w:rsidRDefault="00A149DE" w:rsidP="00C115F9">
      <w:pPr>
        <w:pStyle w:val="CaptionHeading1"/>
      </w:pPr>
      <w:bookmarkStart w:id="24" w:name="_Ref386200899"/>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21</w:t>
      </w:r>
      <w:r w:rsidR="00711272">
        <w:rPr>
          <w:noProof/>
        </w:rPr>
        <w:fldChar w:fldCharType="end"/>
      </w:r>
      <w:bookmarkEnd w:id="24"/>
      <w:r w:rsidRPr="001D48C3">
        <w:t>: Change in nominal GDP level</w:t>
      </w:r>
      <w:r w:rsidR="003A6670" w:rsidRPr="001D48C3">
        <w:t>—</w:t>
      </w:r>
      <w:r w:rsidR="00B072BA" w:rsidRPr="001D48C3">
        <w:t>implications of higher trend participation</w:t>
      </w:r>
    </w:p>
    <w:p w14:paraId="77B969E9" w14:textId="5157E76A" w:rsidR="00A149DE" w:rsidRDefault="00CB7FD2" w:rsidP="00237D09">
      <w:pPr>
        <w:pStyle w:val="ChartGraphic"/>
      </w:pPr>
      <w:r>
        <w:fldChar w:fldCharType="begin"/>
      </w:r>
      <w:r>
        <w:instrText xml:space="preserve"> LINK Excel.Sheet.12 "" "" \a \p </w:instrText>
      </w:r>
      <w:r>
        <w:fldChar w:fldCharType="separate"/>
      </w:r>
      <w:r w:rsidR="00711272">
        <w:object w:dxaOrig="11712" w:dyaOrig="6016" w14:anchorId="13D7EAE6">
          <v:shape id="_x0000_i1102" type="#_x0000_t75" alt="This chart plots the change in the projected level of nominal GDP generated by the increase trend participation rate sensitivity analysis compared to the baseline, expressed as a per cent of GDP, over the period 2012-13 to 2023-24. The change in nominal GDP level is decomposed into change in real output and change in prices." style="width:438.75pt;height:225.75pt">
            <v:imagedata r:id="rId168" o:title=""/>
          </v:shape>
        </w:object>
      </w:r>
      <w:r>
        <w:fldChar w:fldCharType="end"/>
      </w:r>
    </w:p>
    <w:p w14:paraId="7B38E937" w14:textId="77777777" w:rsidR="00A76E2E" w:rsidRPr="00A76E2E" w:rsidRDefault="00A76E2E" w:rsidP="00A76E2E">
      <w:pPr>
        <w:pStyle w:val="SingleParagraph"/>
        <w:rPr>
          <w:lang w:eastAsia="en-AU"/>
        </w:rPr>
      </w:pPr>
    </w:p>
    <w:p w14:paraId="1F20F759" w14:textId="77777777" w:rsidR="00A149DE" w:rsidRPr="001D48C3" w:rsidRDefault="00A149DE" w:rsidP="00D3016A">
      <w:pPr>
        <w:pStyle w:val="Heading3"/>
      </w:pPr>
      <w:r w:rsidRPr="001D48C3">
        <w:t>Cyclical adjustment assumptions</w:t>
      </w:r>
    </w:p>
    <w:p w14:paraId="4EBDDF55" w14:textId="0FA17F2B" w:rsidR="00A149DE" w:rsidRPr="001D48C3" w:rsidRDefault="00A149DE" w:rsidP="00A149DE">
      <w:r w:rsidRPr="001D48C3">
        <w:t xml:space="preserve">A key assumption </w:t>
      </w:r>
      <w:r w:rsidR="00F337B9">
        <w:t xml:space="preserve">of the new methodology </w:t>
      </w:r>
      <w:r w:rsidRPr="001D48C3">
        <w:t xml:space="preserve">is the </w:t>
      </w:r>
      <w:r w:rsidR="005C4922" w:rsidRPr="001D48C3">
        <w:t>time it takes to close the</w:t>
      </w:r>
      <w:r w:rsidRPr="001D48C3">
        <w:t xml:space="preserve"> output gap</w:t>
      </w:r>
      <w:r w:rsidR="005C4922" w:rsidRPr="001D48C3">
        <w:t xml:space="preserve">. </w:t>
      </w:r>
      <w:r w:rsidRPr="001D48C3">
        <w:t>This section assesses the sensitivity of nominal GDP projection</w:t>
      </w:r>
      <w:r w:rsidR="005C4922" w:rsidRPr="001D48C3">
        <w:t>s</w:t>
      </w:r>
      <w:r w:rsidRPr="001D48C3">
        <w:t xml:space="preserve"> to closing the gap over three years</w:t>
      </w:r>
      <w:r w:rsidR="00925343" w:rsidRPr="001D48C3">
        <w:t xml:space="preserve"> as against the </w:t>
      </w:r>
      <w:r w:rsidR="00A64ABE" w:rsidRPr="001D48C3">
        <w:t>five</w:t>
      </w:r>
      <w:r w:rsidR="00925343" w:rsidRPr="001D48C3">
        <w:t xml:space="preserve"> years in the new methodology.</w:t>
      </w:r>
    </w:p>
    <w:p w14:paraId="652D9D16" w14:textId="77777777" w:rsidR="00A149DE" w:rsidRPr="001D48C3" w:rsidRDefault="00A149DE" w:rsidP="002128FD">
      <w:pPr>
        <w:pStyle w:val="Heading4"/>
      </w:pPr>
      <w:r w:rsidRPr="001D48C3">
        <w:t>Output gap closed over three years</w:t>
      </w:r>
    </w:p>
    <w:p w14:paraId="21F053B3" w14:textId="16C2EC60" w:rsidR="00A149DE" w:rsidRPr="001D48C3" w:rsidRDefault="00A149DE" w:rsidP="00A149DE">
      <w:r w:rsidRPr="001D48C3">
        <w:t>If the output gap were closed over a three year period then the constant year</w:t>
      </w:r>
      <w:r w:rsidR="001D5BF5">
        <w:noBreakHyphen/>
      </w:r>
      <w:r w:rsidRPr="001D48C3">
        <w:t>average growth rate required to close the output gap would increase from 3.5 per cent to 3.8 per cent (</w:t>
      </w:r>
      <w:r w:rsidR="005C4922" w:rsidRPr="001D48C3">
        <w:fldChar w:fldCharType="begin"/>
      </w:r>
      <w:r w:rsidR="005C4922" w:rsidRPr="001D48C3">
        <w:instrText xml:space="preserve"> REF _Ref386201256 \h </w:instrText>
      </w:r>
      <w:r w:rsidR="005C4922" w:rsidRPr="001D48C3">
        <w:fldChar w:fldCharType="separate"/>
      </w:r>
      <w:r w:rsidR="00C65A3D" w:rsidRPr="001D48C3">
        <w:t xml:space="preserve">Chart </w:t>
      </w:r>
      <w:r w:rsidR="00C65A3D">
        <w:rPr>
          <w:noProof/>
        </w:rPr>
        <w:t>22</w:t>
      </w:r>
      <w:r w:rsidR="005C4922" w:rsidRPr="001D48C3">
        <w:fldChar w:fldCharType="end"/>
      </w:r>
      <w:r w:rsidR="005C4922" w:rsidRPr="001D48C3">
        <w:t>).</w:t>
      </w:r>
    </w:p>
    <w:p w14:paraId="1BC7B36D" w14:textId="462BC3CE" w:rsidR="00A149DE" w:rsidRPr="001D48C3" w:rsidRDefault="00A149DE" w:rsidP="00C115F9">
      <w:pPr>
        <w:pStyle w:val="CaptionHeading1"/>
      </w:pPr>
      <w:bookmarkStart w:id="25" w:name="_Ref386201256"/>
      <w:r w:rsidRPr="001D48C3">
        <w:t xml:space="preserve">Chart </w:t>
      </w:r>
      <w:r w:rsidR="00711272">
        <w:fldChar w:fldCharType="begin"/>
      </w:r>
      <w:r w:rsidR="00711272">
        <w:instrText xml:space="preserve"> SEQ Chart \* ARABIC </w:instrText>
      </w:r>
      <w:r w:rsidR="00711272">
        <w:fldChar w:fldCharType="separate"/>
      </w:r>
      <w:r w:rsidR="00C65A3D">
        <w:rPr>
          <w:noProof/>
        </w:rPr>
        <w:t>22</w:t>
      </w:r>
      <w:r w:rsidR="00711272">
        <w:rPr>
          <w:noProof/>
        </w:rPr>
        <w:fldChar w:fldCharType="end"/>
      </w:r>
      <w:bookmarkEnd w:id="25"/>
      <w:r w:rsidRPr="001D48C3">
        <w:t>: Real GDP growth rate</w:t>
      </w:r>
      <w:r w:rsidR="003A6670" w:rsidRPr="001D48C3">
        <w:t>—</w:t>
      </w:r>
      <w:r w:rsidR="00B072BA" w:rsidRPr="001D48C3">
        <w:t>implications of closing the gap over three years</w:t>
      </w:r>
    </w:p>
    <w:p w14:paraId="573B1551" w14:textId="6FE63B5C" w:rsidR="00A149DE" w:rsidRDefault="00614825" w:rsidP="00237D09">
      <w:pPr>
        <w:pStyle w:val="ChartGraphic"/>
      </w:pPr>
      <w:r>
        <w:object w:dxaOrig="8775" w:dyaOrig="4530" w14:anchorId="5FD18938">
          <v:shape id="_x0000_i1103" type="#_x0000_t75" alt="This chart plots the real output growth projection generated by the close the output gap over three years sensitivity analysis and from the baseline over the period 2012-13 to 2023-24." style="width:438.75pt;height:226.5pt" o:ole="">
            <v:imagedata r:id="rId169" o:title=""/>
          </v:shape>
          <o:OLEObject Type="Link" ProgID="Excel.Sheet.12" ShapeID="_x0000_i1103" DrawAspect="Content" r:id="rId170" UpdateMode="Always">
            <o:LinkType>EnhancedMetaFile</o:LinkType>
            <o:LockedField>false</o:LockedField>
          </o:OLEObject>
        </w:object>
      </w:r>
    </w:p>
    <w:p w14:paraId="783855EF" w14:textId="77777777" w:rsidR="00237D09" w:rsidRPr="00237D09" w:rsidRDefault="00237D09" w:rsidP="00237D09">
      <w:pPr>
        <w:pStyle w:val="SingleParagraph"/>
        <w:rPr>
          <w:lang w:eastAsia="en-AU"/>
        </w:rPr>
      </w:pPr>
    </w:p>
    <w:p w14:paraId="613AFD16" w14:textId="77777777" w:rsidR="00230266" w:rsidRDefault="00230266">
      <w:r>
        <w:br w:type="page"/>
      </w:r>
    </w:p>
    <w:p w14:paraId="10ADB186" w14:textId="579314CD" w:rsidR="005C4922" w:rsidRPr="001D48C3" w:rsidRDefault="00A149DE" w:rsidP="005C4922">
      <w:r w:rsidRPr="001D48C3">
        <w:lastRenderedPageBreak/>
        <w:t>While the long</w:t>
      </w:r>
      <w:r w:rsidR="001D5BF5">
        <w:noBreakHyphen/>
      </w:r>
      <w:r w:rsidRPr="001D48C3">
        <w:t xml:space="preserve">run level of potential </w:t>
      </w:r>
      <w:r w:rsidR="002103C9">
        <w:t>output</w:t>
      </w:r>
      <w:r w:rsidR="002103C9" w:rsidRPr="001D48C3">
        <w:t xml:space="preserve"> </w:t>
      </w:r>
      <w:r w:rsidRPr="001D48C3">
        <w:t>remain</w:t>
      </w:r>
      <w:r w:rsidR="005C4922" w:rsidRPr="001D48C3">
        <w:t>s</w:t>
      </w:r>
      <w:r w:rsidRPr="001D48C3">
        <w:t xml:space="preserve"> the same, the faster transition impl</w:t>
      </w:r>
      <w:r w:rsidR="005C4922" w:rsidRPr="001D48C3">
        <w:t>ies</w:t>
      </w:r>
      <w:r w:rsidRPr="001D48C3">
        <w:t xml:space="preserve"> a lower unemployment rate over the cyclical</w:t>
      </w:r>
      <w:r w:rsidR="001D5BF5">
        <w:noBreakHyphen/>
      </w:r>
      <w:r w:rsidRPr="001D48C3">
        <w:t xml:space="preserve">adjustment period </w:t>
      </w:r>
      <w:r w:rsidR="00B072BA" w:rsidRPr="001D48C3">
        <w:t>(</w:t>
      </w:r>
      <w:r w:rsidR="00747C6E" w:rsidRPr="001D48C3">
        <w:t xml:space="preserve">Charts </w:t>
      </w:r>
      <w:r w:rsidR="00C6155D" w:rsidRPr="001D48C3">
        <w:t>2</w:t>
      </w:r>
      <w:r w:rsidR="00C6155D">
        <w:t>3</w:t>
      </w:r>
      <w:r w:rsidR="00C6155D" w:rsidRPr="001D48C3">
        <w:t xml:space="preserve"> </w:t>
      </w:r>
      <w:r w:rsidR="00747C6E" w:rsidRPr="001D48C3">
        <w:t xml:space="preserve">and </w:t>
      </w:r>
      <w:r w:rsidR="00C6155D" w:rsidRPr="001D48C3">
        <w:t>2</w:t>
      </w:r>
      <w:r w:rsidR="00C6155D">
        <w:t>4</w:t>
      </w:r>
      <w:r w:rsidR="00B072BA" w:rsidRPr="001D48C3">
        <w:t xml:space="preserve">) </w:t>
      </w:r>
      <w:r w:rsidRPr="001D48C3">
        <w:t xml:space="preserve">and hence permanently higher </w:t>
      </w:r>
      <w:r w:rsidR="00F10E98" w:rsidRPr="001D48C3">
        <w:t xml:space="preserve">levels for both </w:t>
      </w:r>
      <w:r w:rsidRPr="001D48C3">
        <w:t>wage</w:t>
      </w:r>
      <w:r w:rsidR="00F10E98" w:rsidRPr="001D48C3">
        <w:t>s</w:t>
      </w:r>
      <w:r w:rsidRPr="001D48C3">
        <w:t xml:space="preserve"> and output prices.</w:t>
      </w:r>
      <w:r w:rsidR="00F10E98" w:rsidRPr="001D48C3">
        <w:t xml:space="preserve"> Overall, closing the output gap over three years lead</w:t>
      </w:r>
      <w:r w:rsidR="00A16A22" w:rsidRPr="001D48C3">
        <w:t>s</w:t>
      </w:r>
      <w:r w:rsidR="00F10E98" w:rsidRPr="001D48C3">
        <w:t xml:space="preserve"> </w:t>
      </w:r>
      <w:r w:rsidR="00A16A22" w:rsidRPr="001D48C3">
        <w:t xml:space="preserve">to </w:t>
      </w:r>
      <w:r w:rsidR="00F10E98" w:rsidRPr="001D48C3">
        <w:t xml:space="preserve">nominal GDP </w:t>
      </w:r>
      <w:r w:rsidR="00A16A22" w:rsidRPr="001D48C3">
        <w:t>that is</w:t>
      </w:r>
      <w:r w:rsidR="00F10E98" w:rsidRPr="001D48C3">
        <w:t xml:space="preserve"> $3</w:t>
      </w:r>
      <w:r w:rsidR="00536686">
        <w:t>7</w:t>
      </w:r>
      <w:r w:rsidR="00F10E98" w:rsidRPr="001D48C3">
        <w:t> billion (1.</w:t>
      </w:r>
      <w:r w:rsidR="00536686">
        <w:t>3</w:t>
      </w:r>
      <w:r w:rsidR="00F10E98" w:rsidRPr="001D48C3">
        <w:t xml:space="preserve"> per cent) higher in </w:t>
      </w:r>
      <w:r w:rsidR="00EF384F" w:rsidRPr="001D48C3">
        <w:t>202</w:t>
      </w:r>
      <w:r w:rsidR="00EF384F">
        <w:t>4</w:t>
      </w:r>
      <w:r w:rsidR="001D5BF5">
        <w:noBreakHyphen/>
      </w:r>
      <w:r w:rsidR="00EF384F" w:rsidRPr="001D48C3">
        <w:t>2</w:t>
      </w:r>
      <w:r w:rsidR="00EF384F">
        <w:t>5</w:t>
      </w:r>
      <w:r w:rsidR="00EF384F" w:rsidRPr="001D48C3">
        <w:t xml:space="preserve"> </w:t>
      </w:r>
      <w:r w:rsidR="00AD2EE2" w:rsidRPr="001D48C3">
        <w:t>than it would be if the gap is closed over</w:t>
      </w:r>
      <w:r w:rsidR="00F10E98" w:rsidRPr="001D48C3">
        <w:t xml:space="preserve"> five years (</w:t>
      </w:r>
      <w:r w:rsidR="00F10E98" w:rsidRPr="001D48C3">
        <w:fldChar w:fldCharType="begin"/>
      </w:r>
      <w:r w:rsidR="00F10E98" w:rsidRPr="001D48C3">
        <w:instrText xml:space="preserve"> REF _Ref386201505 \h </w:instrText>
      </w:r>
      <w:r w:rsidR="00F10E98" w:rsidRPr="001D48C3">
        <w:fldChar w:fldCharType="separate"/>
      </w:r>
      <w:r w:rsidR="00C65A3D" w:rsidRPr="001D48C3">
        <w:t xml:space="preserve">Chart </w:t>
      </w:r>
      <w:r w:rsidR="00C65A3D">
        <w:rPr>
          <w:noProof/>
        </w:rPr>
        <w:t>25</w:t>
      </w:r>
      <w:r w:rsidR="00F10E98" w:rsidRPr="001D48C3">
        <w:fldChar w:fldCharType="end"/>
      </w:r>
      <w:r w:rsidR="00F10E98" w:rsidRPr="001D48C3">
        <w:t>).</w:t>
      </w:r>
    </w:p>
    <w:p w14:paraId="72802723" w14:textId="303869BF" w:rsidR="00A149DE" w:rsidRPr="001D48C3" w:rsidRDefault="005C4922" w:rsidP="00C115F9">
      <w:pPr>
        <w:pStyle w:val="CaptionHeading1"/>
        <w:tabs>
          <w:tab w:val="center" w:pos="2268"/>
          <w:tab w:val="center" w:pos="6804"/>
        </w:tabs>
        <w:jc w:val="left"/>
      </w:pPr>
      <w:bookmarkStart w:id="26" w:name="_Ref386201313"/>
      <w:r w:rsidRPr="001D48C3">
        <w:tab/>
      </w:r>
      <w:bookmarkStart w:id="27" w:name="_Ref386444452"/>
      <w:r w:rsidR="00A149DE" w:rsidRPr="001D48C3">
        <w:t xml:space="preserve">Chart </w:t>
      </w:r>
      <w:r w:rsidR="00711272">
        <w:fldChar w:fldCharType="begin"/>
      </w:r>
      <w:r w:rsidR="00711272">
        <w:instrText xml:space="preserve"> SEQ Chart \* ARABIC </w:instrText>
      </w:r>
      <w:r w:rsidR="00711272">
        <w:fldChar w:fldCharType="separate"/>
      </w:r>
      <w:r w:rsidR="00C65A3D">
        <w:rPr>
          <w:noProof/>
        </w:rPr>
        <w:t>23</w:t>
      </w:r>
      <w:r w:rsidR="00711272">
        <w:rPr>
          <w:noProof/>
        </w:rPr>
        <w:fldChar w:fldCharType="end"/>
      </w:r>
      <w:bookmarkEnd w:id="26"/>
      <w:bookmarkEnd w:id="27"/>
      <w:r w:rsidR="00C115F9">
        <w:t>: Output gap</w:t>
      </w:r>
      <w:r w:rsidR="00A149DE" w:rsidRPr="001D48C3">
        <w:tab/>
        <w:t xml:space="preserve">Chart </w:t>
      </w:r>
      <w:r w:rsidR="00711272">
        <w:fldChar w:fldCharType="begin"/>
      </w:r>
      <w:r w:rsidR="00711272">
        <w:instrText xml:space="preserve"> SEQ Chart \* ARABIC </w:instrText>
      </w:r>
      <w:r w:rsidR="00711272">
        <w:fldChar w:fldCharType="separate"/>
      </w:r>
      <w:r w:rsidR="00C65A3D">
        <w:rPr>
          <w:noProof/>
        </w:rPr>
        <w:t>24</w:t>
      </w:r>
      <w:r w:rsidR="00711272">
        <w:rPr>
          <w:noProof/>
        </w:rPr>
        <w:fldChar w:fldCharType="end"/>
      </w:r>
      <w:r w:rsidR="00A149DE" w:rsidRPr="001D48C3">
        <w:t>: Unemployment rate</w:t>
      </w:r>
    </w:p>
    <w:p w14:paraId="396A522A" w14:textId="1E3FF020" w:rsidR="00A149DE" w:rsidRPr="001D48C3" w:rsidRDefault="00614825" w:rsidP="00237D09">
      <w:pPr>
        <w:pStyle w:val="ChartGraphic"/>
      </w:pPr>
      <w:r>
        <w:object w:dxaOrig="4530" w:dyaOrig="4530" w14:anchorId="4CE10CEF">
          <v:shape id="_x0000_i1104" type="#_x0000_t75" alt="This chart plots the output gap generated by the close the output gap over three years sensitivity analysis and from the baseline over the period 2012-13 to 2024-25." style="width:226.5pt;height:226.5pt" o:ole="">
            <v:imagedata r:id="rId171" o:title=""/>
          </v:shape>
          <o:OLEObject Type="Link" ProgID="Excel.Sheet.12" ShapeID="_x0000_i1104" DrawAspect="Content" r:id="rId172" UpdateMode="Always">
            <o:LinkType>EnhancedMetaFile</o:LinkType>
            <o:LockedField>false</o:LockedField>
          </o:OLEObject>
        </w:object>
      </w:r>
      <w:r>
        <w:object w:dxaOrig="4516" w:dyaOrig="4515" w14:anchorId="69C3E1AA">
          <v:shape id="_x0000_i1105" type="#_x0000_t75" alt="This chart plots the unemployment rate generated by the close the output gap over three years sensitivity analysis and from the baseline over the period 2012-13 to 2024-25." style="width:225.75pt;height:225.75pt;mso-position-vertical:absolute" o:ole="">
            <v:imagedata r:id="rId173" o:title=""/>
          </v:shape>
          <o:OLEObject Type="Link" ProgID="Excel.Sheet.12" ShapeID="_x0000_i1105" DrawAspect="Content" r:id="rId174" UpdateMode="Always">
            <o:LinkType>EnhancedMetaFile</o:LinkType>
            <o:LockedField>false</o:LockedField>
          </o:OLEObject>
        </w:object>
      </w:r>
    </w:p>
    <w:p w14:paraId="3EDEF70A" w14:textId="77777777" w:rsidR="00F10E98" w:rsidRPr="001D48C3" w:rsidRDefault="00F10E98" w:rsidP="00237D09">
      <w:pPr>
        <w:pStyle w:val="SingleParagraph"/>
      </w:pPr>
    </w:p>
    <w:p w14:paraId="0AB8160D" w14:textId="54E4596E" w:rsidR="00A149DE" w:rsidRPr="001D48C3" w:rsidRDefault="00A149DE" w:rsidP="00C115F9">
      <w:pPr>
        <w:pStyle w:val="CaptionHeading1"/>
      </w:pPr>
      <w:bookmarkStart w:id="28" w:name="_Ref386201505"/>
      <w:r w:rsidRPr="001D48C3">
        <w:t xml:space="preserve">Chart </w:t>
      </w:r>
      <w:r w:rsidR="00711272">
        <w:fldChar w:fldCharType="begin"/>
      </w:r>
      <w:r w:rsidR="00711272">
        <w:instrText xml:space="preserve"> SEQ Chart \* ARABIC </w:instrText>
      </w:r>
      <w:r w:rsidR="00711272">
        <w:fldChar w:fldCharType="separate"/>
      </w:r>
      <w:r w:rsidR="00C65A3D">
        <w:rPr>
          <w:noProof/>
        </w:rPr>
        <w:t>25</w:t>
      </w:r>
      <w:r w:rsidR="00711272">
        <w:rPr>
          <w:noProof/>
        </w:rPr>
        <w:fldChar w:fldCharType="end"/>
      </w:r>
      <w:bookmarkEnd w:id="28"/>
      <w:r w:rsidRPr="001D48C3">
        <w:t>: Nominal GDP level</w:t>
      </w:r>
      <w:r w:rsidR="003A6670" w:rsidRPr="001D48C3">
        <w:t>—</w:t>
      </w:r>
      <w:r w:rsidR="00B072BA" w:rsidRPr="001D48C3">
        <w:t>implications of closing the gap over three years</w:t>
      </w:r>
    </w:p>
    <w:p w14:paraId="533294EA" w14:textId="59DD88FD" w:rsidR="00A149DE" w:rsidRDefault="00614825" w:rsidP="00237D09">
      <w:pPr>
        <w:pStyle w:val="ChartGraphic"/>
      </w:pPr>
      <w:r>
        <w:object w:dxaOrig="8775" w:dyaOrig="4515" w14:anchorId="6941755C">
          <v:shape id="_x0000_i1106" type="#_x0000_t75" alt="This chart plots the change in the projected level of nominal GDP generated by close the gap over three years sensitivity analysis compared to the baseline, expressed as a per cent of GDP, over the period 2012-13 to 2024-25. The change in nominal GDP level is decomposed into change in real output and change in prices." style="width:438.75pt;height:225.75pt" o:ole="">
            <v:imagedata r:id="rId175" o:title=""/>
          </v:shape>
          <o:OLEObject Type="Link" ProgID="Excel.Sheet.12" ShapeID="_x0000_i1106" DrawAspect="Content" r:id="rId176" UpdateMode="Always">
            <o:LinkType>EnhancedMetaFile</o:LinkType>
            <o:LockedField>false</o:LockedField>
          </o:OLEObject>
        </w:object>
      </w:r>
    </w:p>
    <w:p w14:paraId="51A02CE1" w14:textId="77777777" w:rsidR="00237D09" w:rsidRPr="00D3016A" w:rsidRDefault="00237D09" w:rsidP="00D3016A">
      <w:pPr>
        <w:pStyle w:val="SingleParagraph"/>
      </w:pPr>
    </w:p>
    <w:p w14:paraId="5687A495" w14:textId="77777777" w:rsidR="00A149DE" w:rsidRPr="001D48C3" w:rsidRDefault="00A149DE" w:rsidP="00D3016A">
      <w:pPr>
        <w:pStyle w:val="Heading3"/>
      </w:pPr>
      <w:r w:rsidRPr="001D48C3">
        <w:t>Cyclical position at the end of the forecast period</w:t>
      </w:r>
    </w:p>
    <w:p w14:paraId="2CC1BE39" w14:textId="04837A74" w:rsidR="00A149DE" w:rsidRPr="001D48C3" w:rsidRDefault="00265380" w:rsidP="00A149DE">
      <w:pPr>
        <w:rPr>
          <w:lang w:eastAsia="en-AU"/>
        </w:rPr>
      </w:pPr>
      <w:r w:rsidRPr="001D48C3">
        <w:t>There are empirical studies</w:t>
      </w:r>
      <w:r w:rsidR="0081080B" w:rsidRPr="001D48C3">
        <w:t xml:space="preserve"> </w:t>
      </w:r>
      <w:r w:rsidR="006F5510" w:rsidRPr="001D48C3">
        <w:t xml:space="preserve">which </w:t>
      </w:r>
      <w:r w:rsidR="002B4E86">
        <w:t>challenge</w:t>
      </w:r>
      <w:r w:rsidR="002B4E86" w:rsidRPr="001D48C3">
        <w:t xml:space="preserve"> </w:t>
      </w:r>
      <w:r w:rsidR="006F5510" w:rsidRPr="001D48C3">
        <w:t>the predominant approach of the literature</w:t>
      </w:r>
      <w:r w:rsidR="0081080B" w:rsidRPr="001D48C3">
        <w:t xml:space="preserve"> </w:t>
      </w:r>
      <w:r w:rsidR="006F5510" w:rsidRPr="001D48C3">
        <w:t>by</w:t>
      </w:r>
      <w:r w:rsidRPr="001D48C3">
        <w:t xml:space="preserve"> find</w:t>
      </w:r>
      <w:r w:rsidR="006F5510" w:rsidRPr="001D48C3">
        <w:t>ing</w:t>
      </w:r>
      <w:r w:rsidRPr="001D48C3">
        <w:t xml:space="preserve"> </w:t>
      </w:r>
      <w:r w:rsidR="006F5510" w:rsidRPr="001D48C3">
        <w:t xml:space="preserve">that </w:t>
      </w:r>
      <w:r w:rsidRPr="001D48C3">
        <w:t>fluctuations in the trend and cycle of real GDP are not independent, with cyclical fluctuations implying a permanent shift in the trend. In keeping with Treasury</w:t>
      </w:r>
      <w:r w:rsidR="001D5BF5">
        <w:t>’</w:t>
      </w:r>
      <w:r w:rsidRPr="001D48C3">
        <w:t>s philosophy that medium</w:t>
      </w:r>
      <w:r w:rsidR="001D5BF5">
        <w:noBreakHyphen/>
      </w:r>
      <w:r w:rsidRPr="001D48C3">
        <w:t xml:space="preserve">term </w:t>
      </w:r>
      <w:r w:rsidR="001F62D7" w:rsidRPr="001D48C3">
        <w:t xml:space="preserve">projections </w:t>
      </w:r>
      <w:r w:rsidRPr="001D48C3">
        <w:lastRenderedPageBreak/>
        <w:t xml:space="preserve">should be based on parsimonious rules, the methodology developed in this paper follows the broader </w:t>
      </w:r>
      <w:r w:rsidR="00032C46" w:rsidRPr="001D48C3">
        <w:t xml:space="preserve">macroeconomics </w:t>
      </w:r>
      <w:r w:rsidRPr="001D48C3">
        <w:t xml:space="preserve">literature in assuming independence of the trend and cycle. </w:t>
      </w:r>
      <w:r w:rsidR="00AA1D2D" w:rsidRPr="001D48C3">
        <w:rPr>
          <w:lang w:eastAsia="en-AU"/>
        </w:rPr>
        <w:t>T</w:t>
      </w:r>
      <w:r w:rsidR="00A149DE" w:rsidRPr="001D48C3">
        <w:rPr>
          <w:lang w:eastAsia="en-AU"/>
        </w:rPr>
        <w:t xml:space="preserve">he </w:t>
      </w:r>
      <w:r w:rsidR="00032C46" w:rsidRPr="001D48C3">
        <w:rPr>
          <w:lang w:eastAsia="en-AU"/>
        </w:rPr>
        <w:t xml:space="preserve">main </w:t>
      </w:r>
      <w:r w:rsidR="00F839D2" w:rsidRPr="001D48C3">
        <w:rPr>
          <w:lang w:eastAsia="en-AU"/>
        </w:rPr>
        <w:t>consequence</w:t>
      </w:r>
      <w:r w:rsidR="00032C46" w:rsidRPr="001D48C3">
        <w:rPr>
          <w:lang w:eastAsia="en-AU"/>
        </w:rPr>
        <w:t xml:space="preserve"> of that assumption is</w:t>
      </w:r>
      <w:r w:rsidR="0070307C" w:rsidRPr="001D48C3">
        <w:rPr>
          <w:lang w:eastAsia="en-AU"/>
        </w:rPr>
        <w:t xml:space="preserve"> </w:t>
      </w:r>
      <w:r w:rsidR="00A149DE" w:rsidRPr="001D48C3">
        <w:rPr>
          <w:lang w:eastAsia="en-AU"/>
        </w:rPr>
        <w:t>that variations in the cyclical position of the economy at the end of the forecast period</w:t>
      </w:r>
      <w:r w:rsidR="00AA1D2D" w:rsidRPr="001D48C3">
        <w:rPr>
          <w:lang w:eastAsia="en-AU"/>
        </w:rPr>
        <w:t xml:space="preserve"> have no </w:t>
      </w:r>
      <w:r w:rsidR="00687FE8">
        <w:rPr>
          <w:lang w:eastAsia="en-AU"/>
        </w:rPr>
        <w:t>effect on</w:t>
      </w:r>
      <w:r w:rsidR="00AA1D2D" w:rsidRPr="001D48C3">
        <w:rPr>
          <w:lang w:eastAsia="en-AU"/>
        </w:rPr>
        <w:t xml:space="preserve"> the long run level of real GDP, but do</w:t>
      </w:r>
      <w:r w:rsidR="00A149DE" w:rsidRPr="001D48C3">
        <w:rPr>
          <w:lang w:eastAsia="en-AU"/>
        </w:rPr>
        <w:t xml:space="preserve"> have a permanent effect on the level of nominal GDP through a </w:t>
      </w:r>
      <w:r w:rsidR="00AA1D2D" w:rsidRPr="001D48C3">
        <w:rPr>
          <w:lang w:eastAsia="en-AU"/>
        </w:rPr>
        <w:t xml:space="preserve">changed </w:t>
      </w:r>
      <w:r w:rsidR="00A149DE" w:rsidRPr="001D48C3">
        <w:rPr>
          <w:lang w:eastAsia="en-AU"/>
        </w:rPr>
        <w:t>price level over the medium</w:t>
      </w:r>
      <w:r w:rsidR="001D5BF5">
        <w:rPr>
          <w:lang w:eastAsia="en-AU"/>
        </w:rPr>
        <w:noBreakHyphen/>
      </w:r>
      <w:r w:rsidR="00A149DE" w:rsidRPr="001D48C3">
        <w:rPr>
          <w:lang w:eastAsia="en-AU"/>
        </w:rPr>
        <w:t>term. The size and speed of the cyclical response has no effect on the long</w:t>
      </w:r>
      <w:r w:rsidR="001D5BF5">
        <w:rPr>
          <w:lang w:eastAsia="en-AU"/>
        </w:rPr>
        <w:noBreakHyphen/>
      </w:r>
      <w:r w:rsidR="00A149DE" w:rsidRPr="001D48C3">
        <w:rPr>
          <w:lang w:eastAsia="en-AU"/>
        </w:rPr>
        <w:t xml:space="preserve">run level of real GDP because </w:t>
      </w:r>
      <w:r w:rsidR="00AA1D2D" w:rsidRPr="001D48C3">
        <w:rPr>
          <w:lang w:eastAsia="en-AU"/>
        </w:rPr>
        <w:t>output</w:t>
      </w:r>
      <w:r w:rsidR="00A149DE" w:rsidRPr="001D48C3">
        <w:rPr>
          <w:lang w:eastAsia="en-AU"/>
        </w:rPr>
        <w:t xml:space="preserve"> converges to the level of potential output at the end of the cyclical adjustment period, while the size and speed of the cyclical response lead to different long</w:t>
      </w:r>
      <w:r w:rsidR="001D5BF5">
        <w:rPr>
          <w:lang w:eastAsia="en-AU"/>
        </w:rPr>
        <w:noBreakHyphen/>
      </w:r>
      <w:r w:rsidR="00A149DE" w:rsidRPr="001D48C3">
        <w:rPr>
          <w:lang w:eastAsia="en-AU"/>
        </w:rPr>
        <w:t xml:space="preserve">run levels of nominal GDP because the growth rate of wages and in turn output prices are </w:t>
      </w:r>
      <w:r w:rsidR="00AA1D2D" w:rsidRPr="001D48C3">
        <w:rPr>
          <w:lang w:eastAsia="en-AU"/>
        </w:rPr>
        <w:t xml:space="preserve">strongly influenced </w:t>
      </w:r>
      <w:r w:rsidR="001F62D7" w:rsidRPr="001D48C3">
        <w:rPr>
          <w:lang w:eastAsia="en-AU"/>
        </w:rPr>
        <w:t>by the unemployment gap.</w:t>
      </w:r>
    </w:p>
    <w:p w14:paraId="1FAB5F3C" w14:textId="18A1C368" w:rsidR="00A149DE" w:rsidRPr="001D48C3" w:rsidRDefault="00A149DE" w:rsidP="001543F1">
      <w:pPr>
        <w:spacing w:after="240"/>
        <w:rPr>
          <w:lang w:eastAsia="en-AU"/>
        </w:rPr>
      </w:pPr>
      <w:r w:rsidRPr="001D48C3">
        <w:rPr>
          <w:lang w:eastAsia="en-AU"/>
        </w:rPr>
        <w:t xml:space="preserve">This section assesses the implications of changes to </w:t>
      </w:r>
      <w:r w:rsidR="00AA1D2D" w:rsidRPr="001D48C3">
        <w:rPr>
          <w:lang w:eastAsia="en-AU"/>
        </w:rPr>
        <w:t xml:space="preserve">the </w:t>
      </w:r>
      <w:r w:rsidRPr="001D48C3">
        <w:rPr>
          <w:lang w:eastAsia="en-AU"/>
        </w:rPr>
        <w:t>cyclical position of the economy at the end of forecast period on the medium</w:t>
      </w:r>
      <w:r w:rsidR="001D5BF5">
        <w:rPr>
          <w:lang w:eastAsia="en-AU"/>
        </w:rPr>
        <w:noBreakHyphen/>
      </w:r>
      <w:r w:rsidRPr="001D48C3">
        <w:rPr>
          <w:lang w:eastAsia="en-AU"/>
        </w:rPr>
        <w:t>term projections. The framework is linear so proportionate upgrades and downgrades to the cyclical inputs will raise or lower the medium</w:t>
      </w:r>
      <w:r w:rsidR="001D5BF5">
        <w:rPr>
          <w:lang w:eastAsia="en-AU"/>
        </w:rPr>
        <w:noBreakHyphen/>
      </w:r>
      <w:r w:rsidRPr="001D48C3">
        <w:rPr>
          <w:lang w:eastAsia="en-AU"/>
        </w:rPr>
        <w:t>term projections by the same amount</w:t>
      </w:r>
      <w:r w:rsidR="00B24E05" w:rsidRPr="001D48C3">
        <w:rPr>
          <w:lang w:eastAsia="en-AU"/>
        </w:rPr>
        <w:t>.</w:t>
      </w:r>
      <w:r w:rsidRPr="001D48C3">
        <w:rPr>
          <w:lang w:eastAsia="en-AU"/>
        </w:rPr>
        <w:t xml:space="preserve"> For brevity, changes during the forecast period are presented in terms o</w:t>
      </w:r>
      <w:r w:rsidR="00B24E05" w:rsidRPr="001D48C3">
        <w:rPr>
          <w:lang w:eastAsia="en-AU"/>
        </w:rPr>
        <w:t xml:space="preserve">f an upgrade to the forecasts. </w:t>
      </w:r>
      <w:r w:rsidRPr="001D48C3">
        <w:rPr>
          <w:lang w:eastAsia="en-AU"/>
        </w:rPr>
        <w:t xml:space="preserve">Similarly, while the analysis isolates the </w:t>
      </w:r>
      <w:r w:rsidR="00B24E05" w:rsidRPr="001D48C3">
        <w:rPr>
          <w:lang w:eastAsia="en-AU"/>
        </w:rPr>
        <w:t>effect</w:t>
      </w:r>
      <w:r w:rsidRPr="001D48C3">
        <w:rPr>
          <w:lang w:eastAsia="en-AU"/>
        </w:rPr>
        <w:t xml:space="preserve"> of an increase in forecast output or prices on nominal GDP, the impact of a combined increase in </w:t>
      </w:r>
      <w:r w:rsidR="00AA1D2D" w:rsidRPr="001D48C3">
        <w:rPr>
          <w:lang w:eastAsia="en-AU"/>
        </w:rPr>
        <w:t>both</w:t>
      </w:r>
      <w:r w:rsidRPr="001D48C3">
        <w:rPr>
          <w:lang w:eastAsia="en-AU"/>
        </w:rPr>
        <w:t xml:space="preserve"> is broadly the sum of the two individual effects.</w:t>
      </w:r>
    </w:p>
    <w:p w14:paraId="0C714210" w14:textId="77777777" w:rsidR="00A149DE" w:rsidRPr="001D48C3" w:rsidRDefault="00A149DE" w:rsidP="002128FD">
      <w:pPr>
        <w:pStyle w:val="Heading4"/>
      </w:pPr>
      <w:r w:rsidRPr="001D48C3">
        <w:t xml:space="preserve">Smaller (absolute) output gap reflecting </w:t>
      </w:r>
      <w:r w:rsidR="00366196" w:rsidRPr="001D48C3">
        <w:t xml:space="preserve">a </w:t>
      </w:r>
      <w:r w:rsidRPr="001D48C3">
        <w:t>smaller unemployment gap</w:t>
      </w:r>
    </w:p>
    <w:p w14:paraId="70001B4E" w14:textId="4FB0F204" w:rsidR="00A149DE" w:rsidRPr="001D48C3" w:rsidRDefault="00A149DE" w:rsidP="00337EB8">
      <w:pPr>
        <w:spacing w:after="120"/>
      </w:pPr>
      <w:r w:rsidRPr="001D48C3">
        <w:t xml:space="preserve">In the case of an economy operating below potential, higher real output at the end of the forecast period </w:t>
      </w:r>
      <w:r w:rsidR="00366884" w:rsidRPr="001D48C3">
        <w:t>implies</w:t>
      </w:r>
      <w:r w:rsidRPr="001D48C3">
        <w:t xml:space="preserve"> a smaller </w:t>
      </w:r>
      <w:r w:rsidR="00366884" w:rsidRPr="001D48C3">
        <w:t xml:space="preserve">(absolute) </w:t>
      </w:r>
      <w:r w:rsidRPr="001D48C3">
        <w:t>output gap</w:t>
      </w:r>
      <w:r w:rsidR="004436E7" w:rsidRPr="001D48C3">
        <w:t xml:space="preserve">. </w:t>
      </w:r>
      <w:r w:rsidRPr="001D48C3">
        <w:t xml:space="preserve">This in turn </w:t>
      </w:r>
      <w:r w:rsidR="00AA1D2D" w:rsidRPr="001D48C3">
        <w:t xml:space="preserve">lowers </w:t>
      </w:r>
      <w:r w:rsidRPr="001D48C3">
        <w:t>the constant growth rate req</w:t>
      </w:r>
      <w:r w:rsidR="004436E7" w:rsidRPr="001D48C3">
        <w:t xml:space="preserve">uired to close the output gap. </w:t>
      </w:r>
      <w:r w:rsidRPr="001D48C3">
        <w:t xml:space="preserve">For instance, </w:t>
      </w:r>
      <w:r w:rsidR="00F839D2" w:rsidRPr="001D48C3">
        <w:t>a</w:t>
      </w:r>
      <w:r w:rsidR="00F839D2">
        <w:t xml:space="preserve"> </w:t>
      </w:r>
      <w:r w:rsidR="00F839D2" w:rsidRPr="001D48C3">
        <w:t>$</w:t>
      </w:r>
      <w:r w:rsidR="00C43AA7">
        <w:t>9</w:t>
      </w:r>
      <w:r w:rsidR="00F839D2">
        <w:t> </w:t>
      </w:r>
      <w:r w:rsidR="00F839D2" w:rsidRPr="001D48C3">
        <w:t xml:space="preserve">billion </w:t>
      </w:r>
      <w:r w:rsidRPr="001D48C3">
        <w:t xml:space="preserve">increase in the level of </w:t>
      </w:r>
      <w:r w:rsidR="00AA1D2D" w:rsidRPr="001D48C3">
        <w:t xml:space="preserve">real </w:t>
      </w:r>
      <w:r w:rsidRPr="001D48C3">
        <w:t xml:space="preserve">GDP forecast </w:t>
      </w:r>
      <w:r w:rsidR="00F839D2">
        <w:t xml:space="preserve">in </w:t>
      </w:r>
      <w:r w:rsidR="00F839D2" w:rsidRPr="001D48C3">
        <w:t>201</w:t>
      </w:r>
      <w:r w:rsidR="00F839D2">
        <w:t>5</w:t>
      </w:r>
      <w:r w:rsidR="001D5BF5">
        <w:noBreakHyphen/>
      </w:r>
      <w:r w:rsidR="00F839D2" w:rsidRPr="001D48C3">
        <w:t>1</w:t>
      </w:r>
      <w:r w:rsidR="00F839D2">
        <w:t xml:space="preserve">6 </w:t>
      </w:r>
      <w:r w:rsidR="00E601D9">
        <w:t xml:space="preserve">(which is calibrated to achieve a $10 billion nominal GDP increase in 2015-16) </w:t>
      </w:r>
      <w:r w:rsidR="00AA1D2D" w:rsidRPr="001D48C3">
        <w:t>reduce</w:t>
      </w:r>
      <w:r w:rsidR="00F839D2">
        <w:t>s</w:t>
      </w:r>
      <w:r w:rsidR="00AA1D2D" w:rsidRPr="001D48C3">
        <w:t xml:space="preserve"> </w:t>
      </w:r>
      <w:r w:rsidRPr="001D48C3">
        <w:t xml:space="preserve">the output gap at the end of the forecast period (in absolute terms) from </w:t>
      </w:r>
      <w:r w:rsidR="0047080E">
        <w:t>2</w:t>
      </w:r>
      <w:r w:rsidRPr="001D48C3">
        <w:t>.</w:t>
      </w:r>
      <w:r w:rsidR="0047080E">
        <w:t>1</w:t>
      </w:r>
      <w:r w:rsidRPr="001D48C3">
        <w:t xml:space="preserve"> per cent to 1.</w:t>
      </w:r>
      <w:r w:rsidR="0047080E">
        <w:t>5</w:t>
      </w:r>
      <w:r w:rsidRPr="001D48C3">
        <w:t> per cent</w:t>
      </w:r>
      <w:r w:rsidR="00925343" w:rsidRPr="001D48C3">
        <w:t xml:space="preserve"> of GDP</w:t>
      </w:r>
      <w:r w:rsidRPr="001D48C3">
        <w:t xml:space="preserve"> (</w:t>
      </w:r>
      <w:r w:rsidR="004436E7" w:rsidRPr="001D48C3">
        <w:fldChar w:fldCharType="begin"/>
      </w:r>
      <w:r w:rsidR="004436E7" w:rsidRPr="001D48C3">
        <w:instrText xml:space="preserve"> REF _Ref386203108 \h </w:instrText>
      </w:r>
      <w:r w:rsidR="004436E7" w:rsidRPr="001D48C3">
        <w:fldChar w:fldCharType="separate"/>
      </w:r>
      <w:r w:rsidR="00C65A3D" w:rsidRPr="001D48C3">
        <w:t xml:space="preserve">Chart </w:t>
      </w:r>
      <w:r w:rsidR="00C65A3D">
        <w:rPr>
          <w:noProof/>
        </w:rPr>
        <w:t>26</w:t>
      </w:r>
      <w:r w:rsidR="004436E7" w:rsidRPr="001D48C3">
        <w:fldChar w:fldCharType="end"/>
      </w:r>
      <w:r w:rsidRPr="001D48C3">
        <w:t xml:space="preserve">) and the constant growth rate required to close the output gap </w:t>
      </w:r>
      <w:r w:rsidR="00AA1D2D" w:rsidRPr="001D48C3">
        <w:t>fall</w:t>
      </w:r>
      <w:r w:rsidR="00F839D2">
        <w:t>s</w:t>
      </w:r>
      <w:r w:rsidR="00AA1D2D" w:rsidRPr="001D48C3">
        <w:t xml:space="preserve"> </w:t>
      </w:r>
      <w:r w:rsidRPr="001D48C3">
        <w:t xml:space="preserve">from 3.5 per cent to 3.4 per cent </w:t>
      </w:r>
      <w:r w:rsidR="00925343" w:rsidRPr="001D48C3">
        <w:t>per</w:t>
      </w:r>
      <w:r w:rsidR="00A76E2E">
        <w:t> </w:t>
      </w:r>
      <w:r w:rsidR="00925343" w:rsidRPr="001D48C3">
        <w:t xml:space="preserve">annum </w:t>
      </w:r>
      <w:r w:rsidRPr="001D48C3">
        <w:t>(</w:t>
      </w:r>
      <w:r w:rsidR="004436E7" w:rsidRPr="001D48C3">
        <w:t xml:space="preserve">Chart </w:t>
      </w:r>
      <w:r w:rsidR="00C6155D" w:rsidRPr="001D48C3">
        <w:t>2</w:t>
      </w:r>
      <w:r w:rsidR="00C6155D">
        <w:t>7</w:t>
      </w:r>
      <w:r w:rsidRPr="001D48C3">
        <w:t>).</w:t>
      </w:r>
    </w:p>
    <w:p w14:paraId="4F2461B7" w14:textId="38B2C273" w:rsidR="00A149DE" w:rsidRPr="001D48C3" w:rsidRDefault="00A149DE" w:rsidP="001543F1">
      <w:pPr>
        <w:pStyle w:val="CaptionHeading1"/>
        <w:tabs>
          <w:tab w:val="center" w:pos="2268"/>
          <w:tab w:val="center" w:pos="6804"/>
        </w:tabs>
        <w:ind w:left="993" w:right="226"/>
      </w:pPr>
      <w:bookmarkStart w:id="29" w:name="_Ref386203108"/>
      <w:r w:rsidRPr="001D48C3">
        <w:t xml:space="preserve">Chart </w:t>
      </w:r>
      <w:r w:rsidR="00711272">
        <w:fldChar w:fldCharType="begin"/>
      </w:r>
      <w:r w:rsidR="00711272">
        <w:instrText xml:space="preserve"> SEQ Chart \* ARABIC </w:instrText>
      </w:r>
      <w:r w:rsidR="00711272">
        <w:fldChar w:fldCharType="separate"/>
      </w:r>
      <w:r w:rsidR="00C65A3D">
        <w:rPr>
          <w:noProof/>
        </w:rPr>
        <w:t>26</w:t>
      </w:r>
      <w:r w:rsidR="00711272">
        <w:rPr>
          <w:noProof/>
        </w:rPr>
        <w:fldChar w:fldCharType="end"/>
      </w:r>
      <w:bookmarkEnd w:id="29"/>
      <w:r w:rsidRPr="001D48C3">
        <w:t xml:space="preserve">: Output gap </w:t>
      </w:r>
      <w:r w:rsidRPr="001D48C3">
        <w:tab/>
        <w:t xml:space="preserve">Chart </w:t>
      </w:r>
      <w:r w:rsidR="00711272">
        <w:fldChar w:fldCharType="begin"/>
      </w:r>
      <w:r w:rsidR="00711272">
        <w:instrText xml:space="preserve"> SEQ Chart \* ARABIC </w:instrText>
      </w:r>
      <w:r w:rsidR="00711272">
        <w:fldChar w:fldCharType="separate"/>
      </w:r>
      <w:r w:rsidR="00C65A3D">
        <w:rPr>
          <w:noProof/>
        </w:rPr>
        <w:t>27</w:t>
      </w:r>
      <w:r w:rsidR="00711272">
        <w:rPr>
          <w:noProof/>
        </w:rPr>
        <w:fldChar w:fldCharType="end"/>
      </w:r>
      <w:r w:rsidRPr="001D48C3">
        <w:t>: Real output growth rate</w:t>
      </w:r>
    </w:p>
    <w:p w14:paraId="41C5965A" w14:textId="7BEB5902" w:rsidR="00A149DE" w:rsidRDefault="00CB7FD2" w:rsidP="00337EB8">
      <w:pPr>
        <w:pStyle w:val="ChartGraphic"/>
      </w:pPr>
      <w:r>
        <w:fldChar w:fldCharType="begin"/>
      </w:r>
      <w:r>
        <w:instrText xml:space="preserve"> LINK Excel.Sheet.12 "" "" \a \p </w:instrText>
      </w:r>
      <w:r>
        <w:fldChar w:fldCharType="separate"/>
      </w:r>
      <w:r w:rsidR="00711272">
        <w:object w:dxaOrig="6046" w:dyaOrig="6016" w14:anchorId="51F3FE2C">
          <v:shape id="_x0000_i1107" type="#_x0000_t75" alt="This chart plots the output gap generated by the smaller output gap reflecting a smaller unemployment gap sensitivity analysis and from the baseline over the period 2012-13 to 2024-25." style="width:226.5pt;height:225.75pt">
            <v:imagedata r:id="rId177" o:title=""/>
          </v:shape>
        </w:object>
      </w:r>
      <w:r>
        <w:fldChar w:fldCharType="end"/>
      </w:r>
      <w:r>
        <w:fldChar w:fldCharType="begin"/>
      </w:r>
      <w:r>
        <w:instrText xml:space="preserve"> LINK Excel.Sheet.12 "" "" \a \p </w:instrText>
      </w:r>
      <w:r>
        <w:fldChar w:fldCharType="separate"/>
      </w:r>
      <w:r w:rsidR="00711272">
        <w:object w:dxaOrig="6026" w:dyaOrig="6036" w14:anchorId="0C624A60">
          <v:shape id="_x0000_i1108" type="#_x0000_t75" alt="This chart plots the real output growth projection generated by the smaller output gap reflecting a smaller unemployment gap sensitivity analysis and from the baseline over the period 2012-13 to 2024-25." style="width:225.75pt;height:226.5pt">
            <v:imagedata r:id="rId178" o:title=""/>
          </v:shape>
        </w:object>
      </w:r>
      <w:r>
        <w:fldChar w:fldCharType="end"/>
      </w:r>
    </w:p>
    <w:p w14:paraId="27AC7EDC" w14:textId="77777777" w:rsidR="00337EB8" w:rsidRPr="00337EB8" w:rsidRDefault="00337EB8" w:rsidP="00337EB8">
      <w:pPr>
        <w:pStyle w:val="SingleParagraph"/>
        <w:rPr>
          <w:lang w:eastAsia="en-AU"/>
        </w:rPr>
      </w:pPr>
    </w:p>
    <w:p w14:paraId="2B92D178" w14:textId="77777777" w:rsidR="00230266" w:rsidRDefault="00230266">
      <w:r>
        <w:br w:type="page"/>
      </w:r>
    </w:p>
    <w:p w14:paraId="5425D19C" w14:textId="10844F73" w:rsidR="00A149DE" w:rsidRPr="001D48C3" w:rsidRDefault="00A149DE" w:rsidP="00A149DE">
      <w:r w:rsidRPr="001D48C3">
        <w:lastRenderedPageBreak/>
        <w:t xml:space="preserve">The effect of a change in the level of </w:t>
      </w:r>
      <w:r w:rsidR="004436E7" w:rsidRPr="001D48C3">
        <w:t xml:space="preserve">real output at the </w:t>
      </w:r>
      <w:r w:rsidRPr="001D48C3">
        <w:t>end of forecast period on the level of nominal GDP over the medium</w:t>
      </w:r>
      <w:r w:rsidR="001D5BF5">
        <w:noBreakHyphen/>
      </w:r>
      <w:r w:rsidRPr="001D48C3">
        <w:t>term depend</w:t>
      </w:r>
      <w:r w:rsidR="004436E7" w:rsidRPr="001D48C3">
        <w:t>s</w:t>
      </w:r>
      <w:r w:rsidRPr="001D48C3">
        <w:t xml:space="preserve"> on </w:t>
      </w:r>
      <w:r w:rsidR="004436E7" w:rsidRPr="001D48C3">
        <w:t xml:space="preserve">the composition of the change. </w:t>
      </w:r>
      <w:r w:rsidRPr="001D48C3">
        <w:t xml:space="preserve">Assuming no change to potential output, an increase in output over the forecast period could be driven by an increase in cyclical employment, labour force participation or </w:t>
      </w:r>
      <w:r w:rsidR="004436E7" w:rsidRPr="001D48C3">
        <w:t xml:space="preserve">labour productivity. </w:t>
      </w:r>
      <w:r w:rsidRPr="001D48C3">
        <w:t xml:space="preserve">In practice it could be driven by </w:t>
      </w:r>
      <w:r w:rsidR="00625309" w:rsidRPr="001D48C3">
        <w:t>a</w:t>
      </w:r>
      <w:r w:rsidR="00A76E2E">
        <w:t> </w:t>
      </w:r>
      <w:r w:rsidR="00625309" w:rsidRPr="001D48C3">
        <w:t xml:space="preserve">combination of </w:t>
      </w:r>
      <w:r w:rsidR="004436E7" w:rsidRPr="001D48C3">
        <w:t>all three.</w:t>
      </w:r>
    </w:p>
    <w:p w14:paraId="49E7427C" w14:textId="104035C5" w:rsidR="00A149DE" w:rsidRPr="001D48C3" w:rsidRDefault="00A149DE" w:rsidP="00230266">
      <w:pPr>
        <w:rPr>
          <w:b/>
        </w:rPr>
      </w:pPr>
      <w:r w:rsidRPr="001D48C3">
        <w:t>Following Okun</w:t>
      </w:r>
      <w:r w:rsidR="001D5BF5">
        <w:t>’</w:t>
      </w:r>
      <w:r w:rsidRPr="001D48C3">
        <w:t>s law, the 0.6 per cent fall in the output gap is matched by a 0.6 per cent rise in the level of employment and a 0.3 percentage point rise in the particip</w:t>
      </w:r>
      <w:r w:rsidR="00C115F9">
        <w:t>ation rate, which implies a 0.3 </w:t>
      </w:r>
      <w:r w:rsidRPr="001D48C3">
        <w:t>percentage point fall in the unemployment gap (</w:t>
      </w:r>
      <w:r w:rsidR="00AA1D2D" w:rsidRPr="001D48C3">
        <w:t xml:space="preserve">Charts </w:t>
      </w:r>
      <w:r w:rsidR="00C6155D" w:rsidRPr="001D48C3">
        <w:t>2</w:t>
      </w:r>
      <w:r w:rsidR="00C6155D">
        <w:t>8</w:t>
      </w:r>
      <w:r w:rsidR="00C6155D" w:rsidRPr="001D48C3">
        <w:t xml:space="preserve"> </w:t>
      </w:r>
      <w:r w:rsidR="00AA1D2D" w:rsidRPr="001D48C3">
        <w:t xml:space="preserve">and </w:t>
      </w:r>
      <w:r w:rsidR="00C6155D">
        <w:t>29</w:t>
      </w:r>
      <w:r w:rsidRPr="001D48C3">
        <w:t>).</w:t>
      </w:r>
    </w:p>
    <w:p w14:paraId="47EE6FB4" w14:textId="4484820A" w:rsidR="00A149DE" w:rsidRPr="001D48C3" w:rsidRDefault="00C115F9" w:rsidP="00C115F9">
      <w:pPr>
        <w:pStyle w:val="CaptionHeading1"/>
        <w:tabs>
          <w:tab w:val="center" w:pos="2268"/>
          <w:tab w:val="center" w:pos="6804"/>
        </w:tabs>
        <w:jc w:val="left"/>
      </w:pPr>
      <w:bookmarkStart w:id="30" w:name="_Ref386203218"/>
      <w:r>
        <w:t xml:space="preserve"> </w:t>
      </w:r>
      <w:r>
        <w:tab/>
      </w:r>
      <w:r w:rsidR="00A149DE" w:rsidRPr="001D48C3">
        <w:t xml:space="preserve">Chart </w:t>
      </w:r>
      <w:r w:rsidR="00711272">
        <w:fldChar w:fldCharType="begin"/>
      </w:r>
      <w:r w:rsidR="00711272">
        <w:instrText xml:space="preserve"> SEQ Chart \* ARABIC </w:instrText>
      </w:r>
      <w:r w:rsidR="00711272">
        <w:fldChar w:fldCharType="separate"/>
      </w:r>
      <w:r w:rsidR="00C65A3D">
        <w:rPr>
          <w:noProof/>
        </w:rPr>
        <w:t>28</w:t>
      </w:r>
      <w:r w:rsidR="00711272">
        <w:rPr>
          <w:noProof/>
        </w:rPr>
        <w:fldChar w:fldCharType="end"/>
      </w:r>
      <w:bookmarkEnd w:id="30"/>
      <w:r w:rsidR="00A149DE" w:rsidRPr="001D48C3">
        <w:t xml:space="preserve">: Unemployment rate </w:t>
      </w:r>
      <w:r w:rsidR="00A149DE" w:rsidRPr="001D48C3">
        <w:tab/>
        <w:t xml:space="preserve">Chart </w:t>
      </w:r>
      <w:r w:rsidR="00711272">
        <w:fldChar w:fldCharType="begin"/>
      </w:r>
      <w:r w:rsidR="00711272">
        <w:instrText xml:space="preserve"> SEQ Chart \* ARABIC </w:instrText>
      </w:r>
      <w:r w:rsidR="00711272">
        <w:fldChar w:fldCharType="separate"/>
      </w:r>
      <w:r w:rsidR="00C65A3D">
        <w:rPr>
          <w:noProof/>
        </w:rPr>
        <w:t>29</w:t>
      </w:r>
      <w:r w:rsidR="00711272">
        <w:rPr>
          <w:noProof/>
        </w:rPr>
        <w:fldChar w:fldCharType="end"/>
      </w:r>
      <w:r>
        <w:t>: Participation rate</w:t>
      </w:r>
    </w:p>
    <w:p w14:paraId="2140325F" w14:textId="6544D6B8" w:rsidR="00A149DE" w:rsidRDefault="00CB7FD2" w:rsidP="00337EB8">
      <w:pPr>
        <w:pStyle w:val="ChartGraphic"/>
      </w:pPr>
      <w:r>
        <w:fldChar w:fldCharType="begin"/>
      </w:r>
      <w:r>
        <w:instrText xml:space="preserve"> LINK Excel.Sheet.12 "" "" \a \p </w:instrText>
      </w:r>
      <w:r>
        <w:fldChar w:fldCharType="separate"/>
      </w:r>
      <w:r w:rsidR="00711272">
        <w:object w:dxaOrig="6066" w:dyaOrig="6036" w14:anchorId="4BB5FC51">
          <v:shape id="_x0000_i1109" type="#_x0000_t75" alt="This chart plots the unemployment rate generated by the smaller output gap reflecting a smaller unemployment gap sensitivity analysis and from the baseline over the period 2012-13 to 2024-25." style="width:227.25pt;height:226.5pt">
            <v:imagedata r:id="rId179" o:title=""/>
          </v:shape>
        </w:object>
      </w:r>
      <w:r>
        <w:fldChar w:fldCharType="end"/>
      </w:r>
      <w:r>
        <w:fldChar w:fldCharType="begin"/>
      </w:r>
      <w:r>
        <w:instrText xml:space="preserve"> LINK Excel.Sheet.12 "" "" \a \p </w:instrText>
      </w:r>
      <w:r>
        <w:fldChar w:fldCharType="separate"/>
      </w:r>
      <w:r w:rsidR="00711272">
        <w:object w:dxaOrig="6006" w:dyaOrig="6036" w14:anchorId="1C2FA2BF">
          <v:shape id="_x0000_i1110" type="#_x0000_t75" alt="This chart plots the participation rate generated by the smaller output gap reflecting a smaller unemployment gap sensitivity analysis and from the baseline over the period 2012-13 to 2024-25." style="width:225pt;height:226.5pt">
            <v:imagedata r:id="rId180" o:title=""/>
          </v:shape>
        </w:object>
      </w:r>
      <w:r>
        <w:fldChar w:fldCharType="end"/>
      </w:r>
    </w:p>
    <w:p w14:paraId="36D92228" w14:textId="5FA8A998" w:rsidR="00A149DE" w:rsidRPr="001D48C3" w:rsidRDefault="00A149DE" w:rsidP="00230266">
      <w:pPr>
        <w:spacing w:before="120" w:after="120"/>
      </w:pPr>
      <w:r w:rsidRPr="001D48C3">
        <w:t>A fall in the unemployment gap places upward pressure on wages growth over the cyclical adjustment period (</w:t>
      </w:r>
      <w:r w:rsidR="004436E7" w:rsidRPr="001D48C3">
        <w:fldChar w:fldCharType="begin"/>
      </w:r>
      <w:r w:rsidR="004436E7" w:rsidRPr="001D48C3">
        <w:instrText xml:space="preserve"> REF _Ref386203256 \h </w:instrText>
      </w:r>
      <w:r w:rsidR="004436E7" w:rsidRPr="001D48C3">
        <w:fldChar w:fldCharType="separate"/>
      </w:r>
      <w:r w:rsidR="00C65A3D" w:rsidRPr="001D48C3">
        <w:t xml:space="preserve">Chart </w:t>
      </w:r>
      <w:r w:rsidR="00C65A3D">
        <w:rPr>
          <w:noProof/>
        </w:rPr>
        <w:t>30</w:t>
      </w:r>
      <w:r w:rsidR="004436E7" w:rsidRPr="001D48C3">
        <w:fldChar w:fldCharType="end"/>
      </w:r>
      <w:r w:rsidRPr="001D48C3">
        <w:t>), which leads to a permanent rise in the level of wages and output prices (</w:t>
      </w:r>
      <w:r w:rsidR="00857B4C" w:rsidRPr="001D48C3">
        <w:t xml:space="preserve">Chart </w:t>
      </w:r>
      <w:r w:rsidR="00C6155D" w:rsidRPr="001D48C3">
        <w:t>3</w:t>
      </w:r>
      <w:r w:rsidR="00C6155D">
        <w:t>1</w:t>
      </w:r>
      <w:r w:rsidRPr="001D48C3">
        <w:t>).</w:t>
      </w:r>
    </w:p>
    <w:p w14:paraId="4300227C" w14:textId="3B589824" w:rsidR="00A149DE" w:rsidRPr="001D48C3" w:rsidRDefault="00A149DE" w:rsidP="001543F1">
      <w:pPr>
        <w:pStyle w:val="CaptionHeading1"/>
        <w:tabs>
          <w:tab w:val="center" w:pos="2127"/>
          <w:tab w:val="center" w:pos="6804"/>
        </w:tabs>
        <w:ind w:left="709" w:right="367"/>
      </w:pPr>
      <w:bookmarkStart w:id="31" w:name="_Ref386203256"/>
      <w:r w:rsidRPr="001D48C3">
        <w:t xml:space="preserve">Chart </w:t>
      </w:r>
      <w:r w:rsidR="00711272">
        <w:fldChar w:fldCharType="begin"/>
      </w:r>
      <w:r w:rsidR="00711272">
        <w:instrText xml:space="preserve"> SEQ Chart \* ARABIC </w:instrText>
      </w:r>
      <w:r w:rsidR="00711272">
        <w:fldChar w:fldCharType="separate"/>
      </w:r>
      <w:r w:rsidR="00C65A3D">
        <w:rPr>
          <w:noProof/>
        </w:rPr>
        <w:t>30</w:t>
      </w:r>
      <w:r w:rsidR="00711272">
        <w:rPr>
          <w:noProof/>
        </w:rPr>
        <w:fldChar w:fldCharType="end"/>
      </w:r>
      <w:bookmarkEnd w:id="31"/>
      <w:r w:rsidR="00773B1D" w:rsidRPr="001D48C3">
        <w:t>: Wages</w:t>
      </w:r>
      <w:r w:rsidRPr="001D48C3">
        <w:t xml:space="preserve"> growth rate</w:t>
      </w:r>
      <w:r w:rsidR="00C115F9">
        <w:tab/>
      </w:r>
      <w:r w:rsidRPr="001D48C3">
        <w:t xml:space="preserve">Chart </w:t>
      </w:r>
      <w:r w:rsidR="00711272">
        <w:fldChar w:fldCharType="begin"/>
      </w:r>
      <w:r w:rsidR="00711272">
        <w:instrText xml:space="preserve"> SEQ Chart \* ARABIC </w:instrText>
      </w:r>
      <w:r w:rsidR="00711272">
        <w:fldChar w:fldCharType="separate"/>
      </w:r>
      <w:r w:rsidR="00C65A3D">
        <w:rPr>
          <w:noProof/>
        </w:rPr>
        <w:t>31</w:t>
      </w:r>
      <w:r w:rsidR="00711272">
        <w:rPr>
          <w:noProof/>
        </w:rPr>
        <w:fldChar w:fldCharType="end"/>
      </w:r>
      <w:r w:rsidRPr="001D48C3">
        <w:t xml:space="preserve">: </w:t>
      </w:r>
      <w:r w:rsidR="005D4752" w:rsidRPr="001D48C3">
        <w:t>W</w:t>
      </w:r>
      <w:r w:rsidR="00773B1D" w:rsidRPr="001D48C3">
        <w:t>ages</w:t>
      </w:r>
      <w:r w:rsidRPr="001D48C3">
        <w:t xml:space="preserve"> and GDP deflator</w:t>
      </w:r>
    </w:p>
    <w:p w14:paraId="7737D399" w14:textId="7212BEE7" w:rsidR="00A149DE" w:rsidRDefault="00CB7FD2" w:rsidP="00337EB8">
      <w:pPr>
        <w:pStyle w:val="ChartGraphic"/>
      </w:pPr>
      <w:r>
        <w:fldChar w:fldCharType="begin"/>
      </w:r>
      <w:r>
        <w:instrText xml:space="preserve"> LINK Excel.Sheet.12 "" "" \a \p </w:instrText>
      </w:r>
      <w:r>
        <w:fldChar w:fldCharType="separate"/>
      </w:r>
      <w:r w:rsidR="00711272">
        <w:object w:dxaOrig="6046" w:dyaOrig="6036" w14:anchorId="3C5D4FBB">
          <v:shape id="_x0000_i1111" type="#_x0000_t75" alt="This chart plots the wages growth rate generated by the smaller output gap reflecting a smaller unemployment gap sensitivity analysis and from the baseline over the period 2012-13 to 2024-25." style="width:226.5pt;height:226.5pt">
            <v:imagedata r:id="rId181" o:title=""/>
          </v:shape>
        </w:object>
      </w:r>
      <w:r>
        <w:fldChar w:fldCharType="end"/>
      </w:r>
      <w:r>
        <w:fldChar w:fldCharType="begin"/>
      </w:r>
      <w:r>
        <w:instrText xml:space="preserve"> LINK Excel.Sheet.12 "" "" \a \p </w:instrText>
      </w:r>
      <w:r>
        <w:fldChar w:fldCharType="separate"/>
      </w:r>
      <w:r w:rsidR="00711272">
        <w:object w:dxaOrig="6046" w:dyaOrig="6036" w14:anchorId="4D424319">
          <v:shape id="_x0000_i1112" type="#_x0000_t75" alt="This chart plots the percentage change in the level of wages and percentage change in the level of the GDP deflator between the smaller output gap reflecting a smaller unemployment gap sensitivity analysis and the baseline over the period 2012-13 to 2024-25." style="width:226.5pt;height:226.5pt">
            <v:imagedata r:id="rId182" o:title=""/>
          </v:shape>
        </w:object>
      </w:r>
      <w:r>
        <w:fldChar w:fldCharType="end"/>
      </w:r>
    </w:p>
    <w:p w14:paraId="3850A97B" w14:textId="77777777" w:rsidR="00337EB8" w:rsidRPr="00337EB8" w:rsidRDefault="00337EB8" w:rsidP="00337EB8">
      <w:pPr>
        <w:pStyle w:val="SingleParagraph"/>
        <w:rPr>
          <w:lang w:eastAsia="en-AU"/>
        </w:rPr>
      </w:pPr>
    </w:p>
    <w:p w14:paraId="33BD8BA5" w14:textId="7B9BF6A4" w:rsidR="00A149DE" w:rsidRPr="001D48C3" w:rsidRDefault="00857B4C" w:rsidP="00337EB8">
      <w:pPr>
        <w:spacing w:after="120"/>
      </w:pPr>
      <w:r w:rsidRPr="001D48C3">
        <w:lastRenderedPageBreak/>
        <w:fldChar w:fldCharType="begin"/>
      </w:r>
      <w:r w:rsidRPr="001D48C3">
        <w:instrText xml:space="preserve"> REF _Ref386203284 \h </w:instrText>
      </w:r>
      <w:r w:rsidRPr="001D48C3">
        <w:fldChar w:fldCharType="separate"/>
      </w:r>
      <w:r w:rsidR="00C65A3D" w:rsidRPr="001D48C3">
        <w:t xml:space="preserve">Chart </w:t>
      </w:r>
      <w:r w:rsidR="00C65A3D">
        <w:rPr>
          <w:noProof/>
        </w:rPr>
        <w:t>32</w:t>
      </w:r>
      <w:r w:rsidRPr="001D48C3">
        <w:fldChar w:fldCharType="end"/>
      </w:r>
      <w:r w:rsidR="00A149DE" w:rsidRPr="001D48C3">
        <w:t xml:space="preserve"> demonstrates that changes to the level of </w:t>
      </w:r>
      <w:r w:rsidRPr="001D48C3">
        <w:t xml:space="preserve">real </w:t>
      </w:r>
      <w:r w:rsidR="00A149DE" w:rsidRPr="001D48C3">
        <w:t xml:space="preserve">output </w:t>
      </w:r>
      <w:r w:rsidRPr="001D48C3">
        <w:t>at</w:t>
      </w:r>
      <w:r w:rsidR="00A149DE" w:rsidRPr="001D48C3">
        <w:t xml:space="preserve"> the </w:t>
      </w:r>
      <w:r w:rsidRPr="001D48C3">
        <w:t xml:space="preserve">end of the </w:t>
      </w:r>
      <w:r w:rsidR="00A149DE" w:rsidRPr="001D48C3">
        <w:t>forecast period have no long</w:t>
      </w:r>
      <w:r w:rsidR="001D5BF5">
        <w:noBreakHyphen/>
      </w:r>
      <w:r w:rsidR="00A149DE" w:rsidRPr="001D48C3">
        <w:t>run effect on the level of real output, while there is a permanent effect on the level of prices and nominal GDP. In term</w:t>
      </w:r>
      <w:r w:rsidRPr="001D48C3">
        <w:t xml:space="preserve">s of the level of nominal GDP, </w:t>
      </w:r>
      <w:r w:rsidR="005D4752" w:rsidRPr="001D48C3">
        <w:t xml:space="preserve">the </w:t>
      </w:r>
      <w:r w:rsidR="00876796">
        <w:t>higher</w:t>
      </w:r>
      <w:r w:rsidR="00A149DE" w:rsidRPr="001D48C3">
        <w:t xml:space="preserve"> real GDP </w:t>
      </w:r>
      <w:r w:rsidR="00876796">
        <w:t xml:space="preserve">forecast </w:t>
      </w:r>
      <w:r w:rsidR="00A149DE" w:rsidRPr="001D48C3">
        <w:t xml:space="preserve">implies an increase to nominal GDP of $10 billion (0.6 per cent) in </w:t>
      </w:r>
      <w:r w:rsidR="002B4E86" w:rsidRPr="001D48C3">
        <w:t>201</w:t>
      </w:r>
      <w:r w:rsidR="002B4E86">
        <w:t>5</w:t>
      </w:r>
      <w:r w:rsidR="001D5BF5">
        <w:noBreakHyphen/>
      </w:r>
      <w:r w:rsidR="002B4E86" w:rsidRPr="001D48C3">
        <w:t>1</w:t>
      </w:r>
      <w:r w:rsidR="002B4E86">
        <w:t>6</w:t>
      </w:r>
      <w:r w:rsidR="002B4E86" w:rsidRPr="001D48C3">
        <w:t xml:space="preserve"> </w:t>
      </w:r>
      <w:r w:rsidRPr="001D48C3">
        <w:t>which rises</w:t>
      </w:r>
      <w:r w:rsidR="00A149DE" w:rsidRPr="001D48C3">
        <w:t xml:space="preserve"> to $20 billion (0.7 per cent) in </w:t>
      </w:r>
      <w:r w:rsidR="002B4E86" w:rsidRPr="001D48C3">
        <w:t>202</w:t>
      </w:r>
      <w:r w:rsidR="002B4E86">
        <w:t>4</w:t>
      </w:r>
      <w:r w:rsidR="001D5BF5">
        <w:noBreakHyphen/>
      </w:r>
      <w:r w:rsidR="002B4E86" w:rsidRPr="001D48C3">
        <w:t>2</w:t>
      </w:r>
      <w:r w:rsidR="002B4E86">
        <w:t>5</w:t>
      </w:r>
      <w:r w:rsidR="00A149DE" w:rsidRPr="001D48C3">
        <w:t>.</w:t>
      </w:r>
    </w:p>
    <w:p w14:paraId="09A3048C" w14:textId="1C6930C1" w:rsidR="00A149DE" w:rsidRPr="001D48C3" w:rsidRDefault="00A149DE" w:rsidP="00C115F9">
      <w:pPr>
        <w:pStyle w:val="CaptionHeading1"/>
      </w:pPr>
      <w:bookmarkStart w:id="32" w:name="_Ref386203284"/>
      <w:r w:rsidRPr="001D48C3">
        <w:t xml:space="preserve">Chart </w:t>
      </w:r>
      <w:r w:rsidR="00711272">
        <w:fldChar w:fldCharType="begin"/>
      </w:r>
      <w:r w:rsidR="00711272">
        <w:instrText xml:space="preserve"> SEQ Chart \* ARABIC </w:instrText>
      </w:r>
      <w:r w:rsidR="00711272">
        <w:fldChar w:fldCharType="separate"/>
      </w:r>
      <w:r w:rsidR="00C65A3D">
        <w:rPr>
          <w:noProof/>
        </w:rPr>
        <w:t>32</w:t>
      </w:r>
      <w:r w:rsidR="00711272">
        <w:rPr>
          <w:noProof/>
        </w:rPr>
        <w:fldChar w:fldCharType="end"/>
      </w:r>
      <w:bookmarkEnd w:id="32"/>
      <w:r w:rsidRPr="001D48C3">
        <w:t>: Change in nominal GDP level</w:t>
      </w:r>
      <w:r w:rsidR="003A6670" w:rsidRPr="001D48C3">
        <w:t>—</w:t>
      </w:r>
      <w:r w:rsidR="005D4752" w:rsidRPr="001D48C3">
        <w:t>implications of smaller unemployment gap</w:t>
      </w:r>
    </w:p>
    <w:p w14:paraId="4DF22CE6" w14:textId="1F10BE01" w:rsidR="00A149DE" w:rsidRDefault="0081544F" w:rsidP="00337EB8">
      <w:pPr>
        <w:pStyle w:val="ChartGraphic"/>
      </w:pPr>
      <w:r>
        <w:fldChar w:fldCharType="begin"/>
      </w:r>
      <w:r>
        <w:instrText xml:space="preserve"> LINK Excel.Sheet.12 "" "" \a \p </w:instrText>
      </w:r>
      <w:r>
        <w:fldChar w:fldCharType="separate"/>
      </w:r>
      <w:r w:rsidR="00711272">
        <w:object w:dxaOrig="11712" w:dyaOrig="6016" w14:anchorId="5C2705C4">
          <v:shape id="_x0000_i1113" type="#_x0000_t75" alt="This chart plots the change in the projected level of nominal generated by the smaller output gap reflecting a smaller unemployment gap sensitivity analysis compared to the baseline, expressed as a per cent of GDP, over the period 2012-13 to 2024-25. The change in nominal GDP level is decomposed into change in real output and change in prices." style="width:438.75pt;height:225.75pt">
            <v:imagedata r:id="rId183" o:title=""/>
          </v:shape>
        </w:object>
      </w:r>
      <w:r>
        <w:fldChar w:fldCharType="end"/>
      </w:r>
    </w:p>
    <w:p w14:paraId="0756E9E5" w14:textId="77777777" w:rsidR="00337EB8" w:rsidRPr="001D48C3" w:rsidRDefault="00337EB8" w:rsidP="00230266"/>
    <w:p w14:paraId="5EB15CAD" w14:textId="12B9FA43" w:rsidR="00A149DE" w:rsidRPr="001D48C3" w:rsidRDefault="00A149DE" w:rsidP="002128FD">
      <w:pPr>
        <w:pStyle w:val="Heading4"/>
      </w:pPr>
      <w:r w:rsidRPr="002128FD">
        <w:t>Smaller</w:t>
      </w:r>
      <w:r w:rsidRPr="001D48C3">
        <w:t xml:space="preserve"> (absolute) output gap reflecting higher cyclical productivity</w:t>
      </w:r>
    </w:p>
    <w:p w14:paraId="553D52FB" w14:textId="440F215C" w:rsidR="00A149DE" w:rsidRPr="001D48C3" w:rsidRDefault="00A149DE" w:rsidP="002128FD">
      <w:r w:rsidRPr="001D48C3">
        <w:t xml:space="preserve">An alternative </w:t>
      </w:r>
      <w:r w:rsidR="00472DDC" w:rsidRPr="001D48C3">
        <w:t xml:space="preserve">scenario </w:t>
      </w:r>
      <w:r w:rsidRPr="001D48C3">
        <w:t xml:space="preserve">is that the </w:t>
      </w:r>
      <w:r w:rsidR="00472DDC" w:rsidRPr="001D48C3">
        <w:t>$</w:t>
      </w:r>
      <w:r w:rsidR="00C43AA7">
        <w:t>9</w:t>
      </w:r>
      <w:r w:rsidR="00472DDC" w:rsidRPr="001D48C3">
        <w:t xml:space="preserve"> billion </w:t>
      </w:r>
      <w:r w:rsidRPr="001D48C3">
        <w:t xml:space="preserve">increase in the level of </w:t>
      </w:r>
      <w:r w:rsidR="002B4E86" w:rsidRPr="001D48C3">
        <w:t>201</w:t>
      </w:r>
      <w:r w:rsidR="002B4E86">
        <w:t>5</w:t>
      </w:r>
      <w:r w:rsidR="001D5BF5">
        <w:noBreakHyphen/>
      </w:r>
      <w:r w:rsidR="002B4E86" w:rsidRPr="001D48C3">
        <w:t>1</w:t>
      </w:r>
      <w:r w:rsidR="002B4E86">
        <w:t>6</w:t>
      </w:r>
      <w:r w:rsidR="002B4E86" w:rsidRPr="001D48C3">
        <w:t xml:space="preserve"> </w:t>
      </w:r>
      <w:r w:rsidR="005D4752" w:rsidRPr="001D48C3">
        <w:t xml:space="preserve">real </w:t>
      </w:r>
      <w:r w:rsidRPr="001D48C3">
        <w:t xml:space="preserve">GDP </w:t>
      </w:r>
      <w:r w:rsidR="00472DDC" w:rsidRPr="001D48C3">
        <w:t>is due to an</w:t>
      </w:r>
      <w:r w:rsidRPr="001D48C3">
        <w:t xml:space="preserve"> incr</w:t>
      </w:r>
      <w:r w:rsidR="00472DDC" w:rsidRPr="001D48C3">
        <w:t xml:space="preserve">ease in cyclical productivity. </w:t>
      </w:r>
      <w:r w:rsidRPr="001D48C3">
        <w:t xml:space="preserve">As in the </w:t>
      </w:r>
      <w:r w:rsidR="00472DDC" w:rsidRPr="001D48C3">
        <w:t>previous scenario</w:t>
      </w:r>
      <w:r w:rsidRPr="001D48C3">
        <w:t xml:space="preserve"> this cause</w:t>
      </w:r>
      <w:r w:rsidR="00472DDC" w:rsidRPr="001D48C3">
        <w:t>s</w:t>
      </w:r>
      <w:r w:rsidRPr="001D48C3">
        <w:t xml:space="preserve"> the output gap at the end of the forecast period to fall (in absolute terms) from </w:t>
      </w:r>
      <w:r w:rsidR="0085377B">
        <w:t>2</w:t>
      </w:r>
      <w:r w:rsidRPr="001D48C3">
        <w:t>.</w:t>
      </w:r>
      <w:r w:rsidR="0085377B">
        <w:t>1</w:t>
      </w:r>
      <w:r w:rsidRPr="001D48C3">
        <w:t xml:space="preserve"> per cent to 1.</w:t>
      </w:r>
      <w:r w:rsidR="0085377B">
        <w:t>5</w:t>
      </w:r>
      <w:r w:rsidRPr="001D48C3">
        <w:t> per cent (</w:t>
      </w:r>
      <w:r w:rsidR="00472DDC" w:rsidRPr="001D48C3">
        <w:fldChar w:fldCharType="begin"/>
      </w:r>
      <w:r w:rsidR="00472DDC" w:rsidRPr="001D48C3">
        <w:instrText xml:space="preserve"> REF _Ref386203108 \h </w:instrText>
      </w:r>
      <w:r w:rsidR="00472DDC" w:rsidRPr="001D48C3">
        <w:fldChar w:fldCharType="separate"/>
      </w:r>
      <w:r w:rsidR="00C65A3D" w:rsidRPr="001D48C3">
        <w:t xml:space="preserve">Chart </w:t>
      </w:r>
      <w:r w:rsidR="00C65A3D">
        <w:rPr>
          <w:noProof/>
        </w:rPr>
        <w:t>26</w:t>
      </w:r>
      <w:r w:rsidR="00472DDC" w:rsidRPr="001D48C3">
        <w:fldChar w:fldCharType="end"/>
      </w:r>
      <w:r w:rsidRPr="001D48C3">
        <w:t xml:space="preserve">) and the constant growth rate required to close the output gap </w:t>
      </w:r>
      <w:r w:rsidR="00876796">
        <w:t>to</w:t>
      </w:r>
      <w:r w:rsidR="00876796" w:rsidRPr="001D48C3">
        <w:t xml:space="preserve"> </w:t>
      </w:r>
      <w:r w:rsidR="00876796">
        <w:t xml:space="preserve">fall </w:t>
      </w:r>
      <w:r w:rsidR="00C115F9">
        <w:t>from 3.5 per cent to 3.4 per </w:t>
      </w:r>
      <w:r w:rsidRPr="001D48C3">
        <w:t>cent (</w:t>
      </w:r>
      <w:r w:rsidR="00472DDC" w:rsidRPr="001D48C3">
        <w:t xml:space="preserve">Chart </w:t>
      </w:r>
      <w:r w:rsidR="00C6155D" w:rsidRPr="001D48C3">
        <w:t>2</w:t>
      </w:r>
      <w:r w:rsidR="00C6155D">
        <w:t>7</w:t>
      </w:r>
      <w:r w:rsidR="00472DDC" w:rsidRPr="001D48C3">
        <w:t xml:space="preserve">). </w:t>
      </w:r>
      <w:r w:rsidRPr="001D48C3">
        <w:t xml:space="preserve">However, </w:t>
      </w:r>
      <w:r w:rsidR="00472DDC" w:rsidRPr="001D48C3">
        <w:t>an</w:t>
      </w:r>
      <w:r w:rsidRPr="001D48C3">
        <w:t xml:space="preserve"> increase in real output caused by an increase in cyclical productivity </w:t>
      </w:r>
      <w:r w:rsidR="00472DDC" w:rsidRPr="001D48C3">
        <w:t>implies a smaller</w:t>
      </w:r>
      <w:r w:rsidRPr="001D48C3">
        <w:t xml:space="preserve"> change in employment and hence the unemployment rate (</w:t>
      </w:r>
      <w:r w:rsidR="00472DDC" w:rsidRPr="001D48C3">
        <w:t xml:space="preserve">Chart </w:t>
      </w:r>
      <w:r w:rsidR="00C6155D" w:rsidRPr="001D48C3">
        <w:t>3</w:t>
      </w:r>
      <w:r w:rsidR="00C6155D">
        <w:t>4</w:t>
      </w:r>
      <w:r w:rsidRPr="001D48C3">
        <w:t>).</w:t>
      </w:r>
    </w:p>
    <w:p w14:paraId="2CA543DF" w14:textId="2C27EA92" w:rsidR="00A149DE" w:rsidRPr="001D48C3" w:rsidRDefault="00A149DE" w:rsidP="002128FD">
      <w:r w:rsidRPr="001D48C3">
        <w:t>The small increase in employment over the transition period is due to the dynamics of th</w:t>
      </w:r>
      <w:r w:rsidR="00472DDC" w:rsidRPr="001D48C3">
        <w:t xml:space="preserve">e cyclical productivity shock. </w:t>
      </w:r>
      <w:r w:rsidRPr="001D48C3">
        <w:t>Cyclical productivity has low persistence, with an autoregressive coe</w:t>
      </w:r>
      <w:r w:rsidR="00472DDC" w:rsidRPr="001D48C3">
        <w:t>fficient estimated to be 0.</w:t>
      </w:r>
      <w:r w:rsidR="00876796" w:rsidRPr="001D48C3">
        <w:t>6</w:t>
      </w:r>
      <w:r w:rsidR="00876796">
        <w:t>8</w:t>
      </w:r>
      <w:r w:rsidR="00472DDC" w:rsidRPr="001D48C3">
        <w:t xml:space="preserve">. </w:t>
      </w:r>
      <w:r w:rsidRPr="001D48C3">
        <w:t xml:space="preserve">Cyclical productivity returns back to its trend </w:t>
      </w:r>
      <w:r w:rsidR="00472DDC" w:rsidRPr="001D48C3">
        <w:t xml:space="preserve">in roughly two years. </w:t>
      </w:r>
      <w:r w:rsidRPr="001D48C3">
        <w:t xml:space="preserve">Over the remaining three years of the </w:t>
      </w:r>
      <w:r w:rsidR="00472DDC" w:rsidRPr="001D48C3">
        <w:t>cyclical adjustment</w:t>
      </w:r>
      <w:r w:rsidRPr="001D48C3">
        <w:t xml:space="preserve"> period, </w:t>
      </w:r>
      <w:r w:rsidR="00472DDC" w:rsidRPr="001D48C3">
        <w:t>a</w:t>
      </w:r>
      <w:r w:rsidRPr="001D48C3">
        <w:t xml:space="preserve"> higher level of real output is maintained</w:t>
      </w:r>
      <w:r w:rsidR="00472DDC" w:rsidRPr="001D48C3">
        <w:t xml:space="preserve"> through increased employment.</w:t>
      </w:r>
    </w:p>
    <w:p w14:paraId="5B298FF0" w14:textId="57C01290" w:rsidR="00A149DE" w:rsidRPr="001D48C3" w:rsidRDefault="00A149DE" w:rsidP="00674299">
      <w:pPr>
        <w:pStyle w:val="CaptionHeading1"/>
        <w:tabs>
          <w:tab w:val="center" w:pos="2268"/>
          <w:tab w:val="center" w:pos="6804"/>
        </w:tabs>
        <w:spacing w:before="0"/>
        <w:ind w:left="567" w:right="509"/>
      </w:pPr>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33</w:t>
      </w:r>
      <w:r w:rsidR="00711272">
        <w:rPr>
          <w:noProof/>
        </w:rPr>
        <w:fldChar w:fldCharType="end"/>
      </w:r>
      <w:r w:rsidRPr="001D48C3">
        <w:t>: Productivity growth</w:t>
      </w:r>
      <w:r w:rsidR="00C115F9">
        <w:tab/>
      </w:r>
      <w:r w:rsidRPr="001D48C3">
        <w:t xml:space="preserve">Chart </w:t>
      </w:r>
      <w:r w:rsidR="00711272">
        <w:fldChar w:fldCharType="begin"/>
      </w:r>
      <w:r w:rsidR="00711272">
        <w:instrText xml:space="preserve"> SEQ Chart \* ARABIC </w:instrText>
      </w:r>
      <w:r w:rsidR="00711272">
        <w:fldChar w:fldCharType="separate"/>
      </w:r>
      <w:r w:rsidR="00C65A3D">
        <w:rPr>
          <w:noProof/>
        </w:rPr>
        <w:t>34</w:t>
      </w:r>
      <w:r w:rsidR="00711272">
        <w:rPr>
          <w:noProof/>
        </w:rPr>
        <w:fldChar w:fldCharType="end"/>
      </w:r>
      <w:r w:rsidRPr="001D48C3">
        <w:t>: Unemployment rate</w:t>
      </w:r>
    </w:p>
    <w:p w14:paraId="6483C06E" w14:textId="30F55A1E" w:rsidR="00A149DE" w:rsidRPr="001D48C3" w:rsidRDefault="00151C2C" w:rsidP="001B0243">
      <w:pPr>
        <w:pStyle w:val="ChartGraphic"/>
      </w:pPr>
      <w:r>
        <w:object w:dxaOrig="4530" w:dyaOrig="4530" w14:anchorId="0F0E3764">
          <v:shape id="_x0000_i1114" type="#_x0000_t75" alt="This chart plots the productivity growth rate generated by the smaller output gap reflecting higher cyclical productivity sensitivity analysis and from the baseline over the period 2012-13 to 2024-25." style="width:226.5pt;height:226.5pt" o:ole="">
            <v:imagedata r:id="rId184" o:title=""/>
          </v:shape>
          <o:OLEObject Type="Link" ProgID="Excel.Sheet.12" ShapeID="_x0000_i1114" DrawAspect="Content" r:id="rId185" UpdateMode="Always">
            <o:LinkType>EnhancedMetaFile</o:LinkType>
            <o:LockedField>false</o:LockedField>
          </o:OLEObject>
        </w:object>
      </w:r>
      <w:r>
        <w:object w:dxaOrig="4530" w:dyaOrig="4515" w14:anchorId="00DCAB34">
          <v:shape id="_x0000_i1115" type="#_x0000_t75" alt="This chart plots the unemployment rate generated by the smaller output gap reflecting higher cyclical productivity sensitivity analysis and from the baseline over the period 2012-13 to 2024-25." style="width:226.5pt;height:225.75pt;mso-position-vertical:absolute" o:ole="">
            <v:imagedata r:id="rId186" o:title=""/>
          </v:shape>
          <o:OLEObject Type="Link" ProgID="Excel.Sheet.12" ShapeID="_x0000_i1115" DrawAspect="Content" r:id="rId187" UpdateMode="Always">
            <o:LinkType>EnhancedMetaFile</o:LinkType>
            <o:LockedField>false</o:LockedField>
          </o:OLEObject>
        </w:object>
      </w:r>
    </w:p>
    <w:p w14:paraId="2D7A186D" w14:textId="77777777" w:rsidR="00472DDC" w:rsidRPr="002128FD" w:rsidRDefault="00472DDC" w:rsidP="002128FD">
      <w:pPr>
        <w:pStyle w:val="SingleParagraph"/>
      </w:pPr>
    </w:p>
    <w:p w14:paraId="4007C69E" w14:textId="2C838CFD" w:rsidR="00A149DE" w:rsidRPr="001D48C3" w:rsidRDefault="00A149DE" w:rsidP="00C115F9">
      <w:pPr>
        <w:pStyle w:val="CaptionHeading1"/>
        <w:tabs>
          <w:tab w:val="center" w:pos="2268"/>
          <w:tab w:val="center" w:pos="6804"/>
        </w:tabs>
        <w:jc w:val="left"/>
      </w:pPr>
      <w:r w:rsidRPr="001D48C3">
        <w:t xml:space="preserve"> </w:t>
      </w:r>
      <w:r w:rsidR="00C115F9">
        <w:tab/>
      </w:r>
      <w:r w:rsidRPr="001D48C3">
        <w:t xml:space="preserve"> </w:t>
      </w:r>
      <w:bookmarkStart w:id="33" w:name="_Ref386203937"/>
      <w:r w:rsidRPr="001D48C3">
        <w:t xml:space="preserve">Chart </w:t>
      </w:r>
      <w:r w:rsidR="00711272">
        <w:fldChar w:fldCharType="begin"/>
      </w:r>
      <w:r w:rsidR="00711272">
        <w:instrText xml:space="preserve"> SEQ Chart \* ARABIC </w:instrText>
      </w:r>
      <w:r w:rsidR="00711272">
        <w:fldChar w:fldCharType="separate"/>
      </w:r>
      <w:r w:rsidR="00C65A3D">
        <w:rPr>
          <w:noProof/>
        </w:rPr>
        <w:t>35</w:t>
      </w:r>
      <w:r w:rsidR="00711272">
        <w:rPr>
          <w:noProof/>
        </w:rPr>
        <w:fldChar w:fldCharType="end"/>
      </w:r>
      <w:bookmarkEnd w:id="33"/>
      <w:r w:rsidRPr="001D48C3">
        <w:t>: Wages growth rate</w:t>
      </w:r>
      <w:r w:rsidR="00C115F9">
        <w:tab/>
      </w:r>
      <w:r w:rsidRPr="001D48C3">
        <w:t xml:space="preserve">Chart </w:t>
      </w:r>
      <w:r w:rsidR="00711272">
        <w:fldChar w:fldCharType="begin"/>
      </w:r>
      <w:r w:rsidR="00711272">
        <w:instrText xml:space="preserve"> SEQ Chart \* ARABIC </w:instrText>
      </w:r>
      <w:r w:rsidR="00711272">
        <w:fldChar w:fldCharType="separate"/>
      </w:r>
      <w:r w:rsidR="00C65A3D">
        <w:rPr>
          <w:noProof/>
        </w:rPr>
        <w:t>36</w:t>
      </w:r>
      <w:r w:rsidR="00711272">
        <w:rPr>
          <w:noProof/>
        </w:rPr>
        <w:fldChar w:fldCharType="end"/>
      </w:r>
      <w:r w:rsidRPr="001D48C3">
        <w:t xml:space="preserve">: </w:t>
      </w:r>
      <w:r w:rsidR="005D4752" w:rsidRPr="001D48C3">
        <w:t>W</w:t>
      </w:r>
      <w:r w:rsidRPr="001D48C3">
        <w:t>age</w:t>
      </w:r>
      <w:r w:rsidR="005D4752" w:rsidRPr="001D48C3">
        <w:t>s</w:t>
      </w:r>
      <w:r w:rsidRPr="001D48C3">
        <w:t xml:space="preserve"> and GDP deflator</w:t>
      </w:r>
    </w:p>
    <w:p w14:paraId="055B7E02" w14:textId="475D4433" w:rsidR="00A149DE" w:rsidRDefault="00151C2C" w:rsidP="001B0243">
      <w:pPr>
        <w:pStyle w:val="ChartGraphic"/>
      </w:pPr>
      <w:r>
        <w:object w:dxaOrig="4516" w:dyaOrig="4515" w14:anchorId="60B522EF">
          <v:shape id="_x0000_i1116" type="#_x0000_t75" alt="This chart plots the wages growth rate generated by the smaller output gap reflecting higher cyclical productivity sensitivity analysis and from the baseline over the period 2012-13 to 2024-25." style="width:225.75pt;height:225.75pt" o:ole="">
            <v:imagedata r:id="rId188" o:title=""/>
          </v:shape>
          <o:OLEObject Type="Link" ProgID="Excel.Sheet.12" ShapeID="_x0000_i1116" DrawAspect="Content" r:id="rId189" UpdateMode="Always">
            <o:LinkType>EnhancedMetaFile</o:LinkType>
            <o:LockedField>false</o:LockedField>
          </o:OLEObject>
        </w:object>
      </w:r>
      <w:r>
        <w:object w:dxaOrig="4530" w:dyaOrig="4515" w14:anchorId="3DDADBCE">
          <v:shape id="_x0000_i1117" type="#_x0000_t75" alt="This chart plots the percentage change in the level of wages and percentage change in the level of the GDP deflator between the smaller output gap reflecting higher cyclical productivity sensitivity analysis and the baseline over the period 2012-13 to 2024-25." style="width:226.5pt;height:225.75pt" o:ole="">
            <v:imagedata r:id="rId190" o:title=""/>
          </v:shape>
          <o:OLEObject Type="Link" ProgID="Excel.Sheet.12" ShapeID="_x0000_i1117" DrawAspect="Content" r:id="rId191" UpdateMode="Always">
            <o:LinkType>EnhancedMetaFile</o:LinkType>
            <o:LockedField>false</o:LockedField>
          </o:OLEObject>
        </w:object>
      </w:r>
    </w:p>
    <w:p w14:paraId="7CD949D7" w14:textId="77777777" w:rsidR="001B0243" w:rsidRPr="002128FD" w:rsidRDefault="001B0243" w:rsidP="002128FD">
      <w:pPr>
        <w:pStyle w:val="SingleParagraph"/>
      </w:pPr>
    </w:p>
    <w:p w14:paraId="21FDC7B4" w14:textId="21A1629C" w:rsidR="00A149DE" w:rsidRPr="001D48C3" w:rsidRDefault="00472DDC" w:rsidP="00A149DE">
      <w:r w:rsidRPr="001D48C3">
        <w:t xml:space="preserve">While there is a decrease in the unemployment rate, the decrease is not as </w:t>
      </w:r>
      <w:r w:rsidR="000D06AD" w:rsidRPr="001D48C3">
        <w:t>large</w:t>
      </w:r>
      <w:r w:rsidRPr="001D48C3">
        <w:t xml:space="preserve"> as in the previous scenario. The increase in wages growth and therefore output prices </w:t>
      </w:r>
      <w:r w:rsidR="000D06AD" w:rsidRPr="001D48C3">
        <w:t>are</w:t>
      </w:r>
      <w:r w:rsidRPr="001D48C3">
        <w:t xml:space="preserve"> </w:t>
      </w:r>
      <w:r w:rsidR="000D06AD" w:rsidRPr="001D48C3">
        <w:t>not as large (</w:t>
      </w:r>
      <w:r w:rsidR="00F24977" w:rsidRPr="001D48C3">
        <w:t xml:space="preserve">Charts </w:t>
      </w:r>
      <w:r w:rsidR="00C6155D" w:rsidRPr="001D48C3">
        <w:t>3</w:t>
      </w:r>
      <w:r w:rsidR="00C6155D">
        <w:t>5</w:t>
      </w:r>
      <w:r w:rsidR="00C6155D" w:rsidRPr="001D48C3">
        <w:t xml:space="preserve"> </w:t>
      </w:r>
      <w:r w:rsidR="000D06AD" w:rsidRPr="001D48C3">
        <w:t xml:space="preserve">and </w:t>
      </w:r>
      <w:r w:rsidR="00C6155D" w:rsidRPr="001D48C3">
        <w:t>3</w:t>
      </w:r>
      <w:r w:rsidR="00C6155D">
        <w:t>6</w:t>
      </w:r>
      <w:r w:rsidR="000D06AD" w:rsidRPr="001D48C3">
        <w:t xml:space="preserve">). Overall, the effect of </w:t>
      </w:r>
      <w:r w:rsidR="00876796">
        <w:t xml:space="preserve">the </w:t>
      </w:r>
      <w:r w:rsidR="000D06AD" w:rsidRPr="001D48C3">
        <w:t xml:space="preserve">rise in cyclical productivity is an increase </w:t>
      </w:r>
      <w:r w:rsidR="00A149DE" w:rsidRPr="001D48C3">
        <w:t>in nomi</w:t>
      </w:r>
      <w:r w:rsidR="00674299">
        <w:t>nal GDP of $10</w:t>
      </w:r>
      <w:r w:rsidR="009D203F">
        <w:t> </w:t>
      </w:r>
      <w:r w:rsidR="00674299">
        <w:t>billion (0.6 per </w:t>
      </w:r>
      <w:r w:rsidR="00A149DE" w:rsidRPr="001D48C3">
        <w:t xml:space="preserve">cent) in </w:t>
      </w:r>
      <w:r w:rsidR="002B4E86" w:rsidRPr="001D48C3">
        <w:t>201</w:t>
      </w:r>
      <w:r w:rsidR="002B4E86">
        <w:t>5</w:t>
      </w:r>
      <w:r w:rsidR="001D5BF5">
        <w:noBreakHyphen/>
      </w:r>
      <w:r w:rsidR="002B4E86" w:rsidRPr="001D48C3">
        <w:t>1</w:t>
      </w:r>
      <w:r w:rsidR="002B4E86">
        <w:t>6</w:t>
      </w:r>
      <w:r w:rsidR="002B4E86" w:rsidRPr="001D48C3">
        <w:t xml:space="preserve"> </w:t>
      </w:r>
      <w:r w:rsidR="000D06AD" w:rsidRPr="001D48C3">
        <w:t>and</w:t>
      </w:r>
      <w:r w:rsidR="00A149DE" w:rsidRPr="001D48C3">
        <w:t xml:space="preserve"> $16 billion (0.6 per cent) in </w:t>
      </w:r>
      <w:r w:rsidR="002B4E86" w:rsidRPr="001D48C3">
        <w:t>202</w:t>
      </w:r>
      <w:r w:rsidR="002B4E86">
        <w:t>4</w:t>
      </w:r>
      <w:r w:rsidR="001D5BF5">
        <w:noBreakHyphen/>
      </w:r>
      <w:r w:rsidR="002B4E86" w:rsidRPr="001D48C3">
        <w:t>2</w:t>
      </w:r>
      <w:r w:rsidR="002B4E86">
        <w:t>5</w:t>
      </w:r>
      <w:r w:rsidR="002B4E86" w:rsidRPr="001D48C3">
        <w:t xml:space="preserve"> </w:t>
      </w:r>
      <w:r w:rsidR="00A149DE" w:rsidRPr="001D48C3">
        <w:t>(</w:t>
      </w:r>
      <w:r w:rsidR="000D06AD" w:rsidRPr="001D48C3">
        <w:fldChar w:fldCharType="begin"/>
      </w:r>
      <w:r w:rsidR="000D06AD" w:rsidRPr="001D48C3">
        <w:instrText xml:space="preserve"> REF _Ref386204021 \h </w:instrText>
      </w:r>
      <w:r w:rsidR="000D06AD" w:rsidRPr="001D48C3">
        <w:fldChar w:fldCharType="separate"/>
      </w:r>
      <w:r w:rsidR="00C65A3D" w:rsidRPr="001D48C3">
        <w:t xml:space="preserve">Chart </w:t>
      </w:r>
      <w:r w:rsidR="00C65A3D">
        <w:rPr>
          <w:noProof/>
        </w:rPr>
        <w:t>37</w:t>
      </w:r>
      <w:r w:rsidR="000D06AD" w:rsidRPr="001D48C3">
        <w:fldChar w:fldCharType="end"/>
      </w:r>
      <w:r w:rsidR="00A149DE" w:rsidRPr="001D48C3">
        <w:t>)</w:t>
      </w:r>
      <w:r w:rsidR="000D06AD" w:rsidRPr="001D48C3">
        <w:t>.</w:t>
      </w:r>
    </w:p>
    <w:p w14:paraId="1FE307FA" w14:textId="5047710A" w:rsidR="00A149DE" w:rsidRPr="001D48C3" w:rsidRDefault="00A149DE" w:rsidP="00C115F9">
      <w:pPr>
        <w:pStyle w:val="CaptionHeading1"/>
      </w:pPr>
      <w:bookmarkStart w:id="34" w:name="_Ref386204021"/>
      <w:r w:rsidRPr="001D48C3">
        <w:lastRenderedPageBreak/>
        <w:t xml:space="preserve">Chart </w:t>
      </w:r>
      <w:r w:rsidR="00711272">
        <w:fldChar w:fldCharType="begin"/>
      </w:r>
      <w:r w:rsidR="00711272">
        <w:instrText xml:space="preserve"> SEQ Chart \* ARABIC </w:instrText>
      </w:r>
      <w:r w:rsidR="00711272">
        <w:fldChar w:fldCharType="separate"/>
      </w:r>
      <w:r w:rsidR="00C65A3D">
        <w:rPr>
          <w:noProof/>
        </w:rPr>
        <w:t>37</w:t>
      </w:r>
      <w:r w:rsidR="00711272">
        <w:rPr>
          <w:noProof/>
        </w:rPr>
        <w:fldChar w:fldCharType="end"/>
      </w:r>
      <w:bookmarkEnd w:id="34"/>
      <w:r w:rsidRPr="001D48C3">
        <w:t>: Change in nominal GDP level</w:t>
      </w:r>
      <w:r w:rsidR="003A6670" w:rsidRPr="001D48C3">
        <w:t>—</w:t>
      </w:r>
      <w:r w:rsidR="005D4752" w:rsidRPr="001D48C3">
        <w:t>implications of higher cyclical productivity</w:t>
      </w:r>
    </w:p>
    <w:p w14:paraId="63B5D583" w14:textId="6DD03BB6" w:rsidR="00A149DE" w:rsidRDefault="00D43323" w:rsidP="001B0243">
      <w:pPr>
        <w:pStyle w:val="ChartGraphic"/>
      </w:pPr>
      <w:r>
        <w:object w:dxaOrig="8775" w:dyaOrig="4530" w14:anchorId="0747BA27">
          <v:shape id="_x0000_i1118" type="#_x0000_t75" alt="This chart plots the change in the projected level of nominal generated by the smaller output gap reflecting higher cyclical productivity sensitivity analysis compared to the baseline, expressed as a per cent of GDP, over the period 2012-13 to 2023-24. The change in nominal GDP level is decomposed into change in real output and change in prices." style="width:438.75pt;height:226.5pt" o:ole="">
            <v:imagedata r:id="rId192" o:title=""/>
          </v:shape>
          <o:OLEObject Type="Link" ProgID="Excel.Sheet.12" ShapeID="_x0000_i1118" DrawAspect="Content" r:id="rId193" UpdateMode="Always">
            <o:LinkType>EnhancedMetaFile</o:LinkType>
            <o:LockedField>false</o:LockedField>
          </o:OLEObject>
        </w:object>
      </w:r>
    </w:p>
    <w:p w14:paraId="2AA8C023" w14:textId="77777777" w:rsidR="001B0243" w:rsidRPr="001B0243" w:rsidRDefault="001B0243" w:rsidP="001B0243">
      <w:pPr>
        <w:pStyle w:val="SingleParagraph"/>
        <w:rPr>
          <w:lang w:eastAsia="en-AU"/>
        </w:rPr>
      </w:pPr>
    </w:p>
    <w:p w14:paraId="51CCFEAC" w14:textId="77777777" w:rsidR="00A149DE" w:rsidRPr="001D48C3" w:rsidRDefault="00A149DE" w:rsidP="002128FD">
      <w:pPr>
        <w:pStyle w:val="Heading4"/>
      </w:pPr>
      <w:r w:rsidRPr="001D48C3">
        <w:t>Higher output price</w:t>
      </w:r>
    </w:p>
    <w:p w14:paraId="4052DE88" w14:textId="7FE4BA90" w:rsidR="00A149DE" w:rsidRPr="001D48C3" w:rsidRDefault="00804E49" w:rsidP="002A41AE">
      <w:pPr>
        <w:spacing w:after="120"/>
      </w:pPr>
      <w:r w:rsidRPr="001D48C3">
        <w:t>C</w:t>
      </w:r>
      <w:r w:rsidR="00A149DE" w:rsidRPr="001D48C3">
        <w:t xml:space="preserve">hanges to the level of </w:t>
      </w:r>
      <w:r w:rsidR="000D06AD" w:rsidRPr="001D48C3">
        <w:t>output</w:t>
      </w:r>
      <w:r w:rsidR="00A149DE" w:rsidRPr="001D48C3">
        <w:t xml:space="preserve"> prices over the</w:t>
      </w:r>
      <w:r w:rsidR="000D06AD" w:rsidRPr="001D48C3">
        <w:t xml:space="preserve"> forecast period </w:t>
      </w:r>
      <w:r w:rsidRPr="001D48C3">
        <w:t xml:space="preserve">have a </w:t>
      </w:r>
      <w:r w:rsidR="000D06AD" w:rsidRPr="001D48C3">
        <w:t>permanent</w:t>
      </w:r>
      <w:r w:rsidRPr="001D48C3">
        <w:t xml:space="preserve"> effect</w:t>
      </w:r>
      <w:r w:rsidR="000D06AD" w:rsidRPr="001D48C3">
        <w:t xml:space="preserve">. </w:t>
      </w:r>
      <w:r w:rsidR="00A149DE" w:rsidRPr="001D48C3">
        <w:t xml:space="preserve">For example, an increase in the forecast level of </w:t>
      </w:r>
      <w:r w:rsidR="00FD5B69" w:rsidRPr="001D48C3">
        <w:t xml:space="preserve">output </w:t>
      </w:r>
      <w:r w:rsidR="00A149DE" w:rsidRPr="001D48C3">
        <w:t xml:space="preserve">prices in </w:t>
      </w:r>
      <w:r w:rsidR="00C6155D" w:rsidRPr="001D48C3">
        <w:t>201</w:t>
      </w:r>
      <w:r w:rsidR="00C6155D">
        <w:t>4</w:t>
      </w:r>
      <w:r w:rsidR="001D5BF5">
        <w:noBreakHyphen/>
      </w:r>
      <w:r w:rsidR="00C6155D" w:rsidRPr="001D48C3">
        <w:t>1</w:t>
      </w:r>
      <w:r w:rsidR="00C6155D">
        <w:t>5</w:t>
      </w:r>
      <w:r w:rsidR="00C6155D" w:rsidRPr="001D48C3">
        <w:t xml:space="preserve"> </w:t>
      </w:r>
      <w:r w:rsidR="00A149DE" w:rsidRPr="001D48C3">
        <w:t>that increase</w:t>
      </w:r>
      <w:r w:rsidR="000D06AD" w:rsidRPr="001D48C3">
        <w:t>s</w:t>
      </w:r>
      <w:r w:rsidR="00A149DE" w:rsidRPr="001D48C3">
        <w:t xml:space="preserve"> to the level of nominal GDP in </w:t>
      </w:r>
      <w:r w:rsidR="002B4E86" w:rsidRPr="001D48C3">
        <w:t>201</w:t>
      </w:r>
      <w:r w:rsidR="002B4E86">
        <w:t>5</w:t>
      </w:r>
      <w:r w:rsidR="001D5BF5">
        <w:noBreakHyphen/>
      </w:r>
      <w:r w:rsidR="002B4E86" w:rsidRPr="001D48C3">
        <w:t>1</w:t>
      </w:r>
      <w:r w:rsidR="002B4E86">
        <w:t>6</w:t>
      </w:r>
      <w:r w:rsidR="002B4E86" w:rsidRPr="001D48C3">
        <w:t xml:space="preserve"> </w:t>
      </w:r>
      <w:r w:rsidR="00A149DE" w:rsidRPr="001D48C3">
        <w:t>by</w:t>
      </w:r>
      <w:r w:rsidR="000D06AD" w:rsidRPr="001D48C3">
        <w:t xml:space="preserve"> $10 billion (0.6 per cent) </w:t>
      </w:r>
      <w:r w:rsidR="00A149DE" w:rsidRPr="001D48C3">
        <w:t>increases the level of nomi</w:t>
      </w:r>
      <w:r w:rsidR="009D203F">
        <w:t>nal GDP by $16 billion (0.6 per </w:t>
      </w:r>
      <w:r w:rsidR="00A149DE" w:rsidRPr="001D48C3">
        <w:t xml:space="preserve">cent) in </w:t>
      </w:r>
      <w:r w:rsidR="002B4E86" w:rsidRPr="001D48C3">
        <w:t>202</w:t>
      </w:r>
      <w:r w:rsidR="002B4E86">
        <w:t>4</w:t>
      </w:r>
      <w:r w:rsidR="001D5BF5">
        <w:noBreakHyphen/>
      </w:r>
      <w:r w:rsidR="002B4E86" w:rsidRPr="001D48C3">
        <w:t>2</w:t>
      </w:r>
      <w:r w:rsidR="002B4E86">
        <w:t>5</w:t>
      </w:r>
      <w:r w:rsidR="002B4E86" w:rsidRPr="001D48C3">
        <w:t xml:space="preserve"> </w:t>
      </w:r>
      <w:r w:rsidR="00A149DE" w:rsidRPr="001D48C3">
        <w:t>(</w:t>
      </w:r>
      <w:r w:rsidR="000D06AD" w:rsidRPr="001D48C3">
        <w:fldChar w:fldCharType="begin"/>
      </w:r>
      <w:r w:rsidR="000D06AD" w:rsidRPr="001D48C3">
        <w:instrText xml:space="preserve"> REF _Ref386204140 \h </w:instrText>
      </w:r>
      <w:r w:rsidR="000D06AD" w:rsidRPr="001D48C3">
        <w:fldChar w:fldCharType="separate"/>
      </w:r>
      <w:r w:rsidR="00C65A3D" w:rsidRPr="001D48C3">
        <w:t xml:space="preserve">Chart </w:t>
      </w:r>
      <w:r w:rsidR="00C65A3D">
        <w:rPr>
          <w:noProof/>
        </w:rPr>
        <w:t>38</w:t>
      </w:r>
      <w:r w:rsidR="000D06AD" w:rsidRPr="001D48C3">
        <w:fldChar w:fldCharType="end"/>
      </w:r>
      <w:r w:rsidR="00A149DE" w:rsidRPr="001D48C3">
        <w:t>).</w:t>
      </w:r>
    </w:p>
    <w:p w14:paraId="462FDD46" w14:textId="4B9C6AE8" w:rsidR="00A149DE" w:rsidRPr="001D48C3" w:rsidRDefault="00A149DE" w:rsidP="002A41AE">
      <w:pPr>
        <w:pStyle w:val="CaptionHeading1"/>
      </w:pPr>
      <w:bookmarkStart w:id="35" w:name="_Ref386204140"/>
      <w:r w:rsidRPr="001D48C3">
        <w:t xml:space="preserve">Chart </w:t>
      </w:r>
      <w:r w:rsidR="00711272">
        <w:fldChar w:fldCharType="begin"/>
      </w:r>
      <w:r w:rsidR="00711272">
        <w:instrText xml:space="preserve"> SEQ Chart \* ARABIC </w:instrText>
      </w:r>
      <w:r w:rsidR="00711272">
        <w:fldChar w:fldCharType="separate"/>
      </w:r>
      <w:r w:rsidR="00C65A3D">
        <w:rPr>
          <w:noProof/>
        </w:rPr>
        <w:t>38</w:t>
      </w:r>
      <w:r w:rsidR="00711272">
        <w:rPr>
          <w:noProof/>
        </w:rPr>
        <w:fldChar w:fldCharType="end"/>
      </w:r>
      <w:bookmarkEnd w:id="35"/>
      <w:r w:rsidRPr="001D48C3">
        <w:t>: Change in nominal GDP</w:t>
      </w:r>
      <w:r w:rsidR="005D4752" w:rsidRPr="001D48C3">
        <w:t xml:space="preserve"> level</w:t>
      </w:r>
      <w:r w:rsidR="003A6670" w:rsidRPr="001D48C3">
        <w:t>—</w:t>
      </w:r>
      <w:r w:rsidR="005D4752" w:rsidRPr="001D48C3">
        <w:t>implications of higher output price</w:t>
      </w:r>
    </w:p>
    <w:p w14:paraId="3548A66A" w14:textId="4A05E2F0" w:rsidR="00A149DE" w:rsidRDefault="00E739E3" w:rsidP="001B0243">
      <w:pPr>
        <w:pStyle w:val="ChartGraphic"/>
      </w:pPr>
      <w:r>
        <w:fldChar w:fldCharType="begin"/>
      </w:r>
      <w:r>
        <w:instrText xml:space="preserve"> LINK Excel.Sheet.12 "" "" \a \p </w:instrText>
      </w:r>
      <w:r>
        <w:fldChar w:fldCharType="separate"/>
      </w:r>
      <w:r w:rsidR="00711272">
        <w:object w:dxaOrig="11712" w:dyaOrig="6016" w14:anchorId="404DCE8A">
          <v:shape id="_x0000_i1119" type="#_x0000_t75" alt="This chart plots the change in the projected level of nominal generated by the higher output price sensitivity analysis compared to the baseline, expressed as a per cent of GDP, over the period 2012-13 to 2023-24. The change in nominal GDP level is decomposed into change in real output and change in prices." style="width:438.75pt;height:225.75pt">
            <v:imagedata r:id="rId194" o:title=""/>
          </v:shape>
        </w:object>
      </w:r>
      <w:r>
        <w:fldChar w:fldCharType="end"/>
      </w:r>
    </w:p>
    <w:p w14:paraId="71316CCB" w14:textId="77777777" w:rsidR="001B0243" w:rsidRPr="001B0243" w:rsidRDefault="001B0243" w:rsidP="001B0243">
      <w:pPr>
        <w:pStyle w:val="SingleParagraph"/>
        <w:rPr>
          <w:lang w:eastAsia="en-AU"/>
        </w:rPr>
      </w:pPr>
    </w:p>
    <w:p w14:paraId="3F24FE22" w14:textId="76F01204" w:rsidR="00516EAB" w:rsidRPr="001D48C3" w:rsidRDefault="00876796" w:rsidP="00516EAB">
      <w:r>
        <w:t>More generally, c</w:t>
      </w:r>
      <w:r w:rsidR="00A149DE" w:rsidRPr="001D48C3">
        <w:t xml:space="preserve">hanges to the growth rate of output prices </w:t>
      </w:r>
      <w:r w:rsidR="000D06AD" w:rsidRPr="001D48C3">
        <w:t>over</w:t>
      </w:r>
      <w:r w:rsidR="00A149DE" w:rsidRPr="001D48C3">
        <w:t xml:space="preserve"> the forecast period will also influence the projected growth rate of expenditure prices and in turn wages over t</w:t>
      </w:r>
      <w:r w:rsidR="000D06AD" w:rsidRPr="001D48C3">
        <w:t xml:space="preserve">he cyclical adjustment period. </w:t>
      </w:r>
      <w:r w:rsidR="002103C9">
        <w:t>For example, t</w:t>
      </w:r>
      <w:r w:rsidR="00A149DE" w:rsidRPr="001D48C3">
        <w:t xml:space="preserve">he dynamics </w:t>
      </w:r>
      <w:r w:rsidR="002103C9">
        <w:t>of</w:t>
      </w:r>
      <w:r w:rsidR="002103C9" w:rsidRPr="001D48C3">
        <w:t xml:space="preserve"> </w:t>
      </w:r>
      <w:r w:rsidR="000D06AD" w:rsidRPr="001D48C3">
        <w:t>the wage model (see equation 28</w:t>
      </w:r>
      <w:r w:rsidR="00A149DE" w:rsidRPr="001D48C3">
        <w:t xml:space="preserve">) </w:t>
      </w:r>
      <w:r w:rsidR="002103C9">
        <w:t xml:space="preserve">may </w:t>
      </w:r>
      <w:r w:rsidR="00A149DE" w:rsidRPr="001D48C3">
        <w:t>generate a</w:t>
      </w:r>
      <w:r w:rsidR="002103C9">
        <w:t xml:space="preserve"> response</w:t>
      </w:r>
      <w:r w:rsidR="002103C9" w:rsidRPr="001D48C3">
        <w:t xml:space="preserve"> </w:t>
      </w:r>
      <w:r w:rsidR="00A149DE" w:rsidRPr="001D48C3">
        <w:t>in the output price</w:t>
      </w:r>
      <w:r w:rsidR="002103C9">
        <w:t xml:space="preserve"> above the initial change</w:t>
      </w:r>
      <w:r w:rsidR="00A149DE" w:rsidRPr="001D48C3">
        <w:t xml:space="preserve">. The effect of these dynamics will depend on the timing of the change, with the response of output prices more sensitive to </w:t>
      </w:r>
      <w:r w:rsidR="000D06AD" w:rsidRPr="001D48C3">
        <w:t xml:space="preserve">growth rate </w:t>
      </w:r>
      <w:r w:rsidR="00A149DE" w:rsidRPr="001D48C3">
        <w:t xml:space="preserve">changes that occur </w:t>
      </w:r>
      <w:r w:rsidR="000D06AD" w:rsidRPr="001D48C3">
        <w:t>at</w:t>
      </w:r>
      <w:r w:rsidR="00A149DE" w:rsidRPr="001D48C3">
        <w:t xml:space="preserve"> </w:t>
      </w:r>
      <w:r w:rsidR="000D06AD" w:rsidRPr="001D48C3">
        <w:t>the end of the forecast period.</w:t>
      </w:r>
    </w:p>
    <w:p w14:paraId="09363F16" w14:textId="77777777" w:rsidR="00963529" w:rsidRPr="001D48C3" w:rsidRDefault="00963529" w:rsidP="001D48C3">
      <w:pPr>
        <w:pStyle w:val="Heading2"/>
      </w:pPr>
      <w:r w:rsidRPr="001D48C3">
        <w:lastRenderedPageBreak/>
        <w:t>Conclusion</w:t>
      </w:r>
    </w:p>
    <w:p w14:paraId="011EF594" w14:textId="0FA896A4" w:rsidR="00963529" w:rsidRPr="001D48C3" w:rsidRDefault="00FF1064" w:rsidP="00C14788">
      <w:r w:rsidRPr="001D48C3">
        <w:t>Treasury routinely assesses it</w:t>
      </w:r>
      <w:r w:rsidR="00B30AB1" w:rsidRPr="001D48C3">
        <w:t>s</w:t>
      </w:r>
      <w:r w:rsidRPr="001D48C3">
        <w:t xml:space="preserve"> medium</w:t>
      </w:r>
      <w:r w:rsidR="001D5BF5">
        <w:noBreakHyphen/>
      </w:r>
      <w:r w:rsidRPr="001D48C3">
        <w:t xml:space="preserve"> to long</w:t>
      </w:r>
      <w:r w:rsidR="001D5BF5">
        <w:noBreakHyphen/>
      </w:r>
      <w:r w:rsidRPr="001D48C3">
        <w:t xml:space="preserve">run projection methodology in light of new data, improved modelling techniques and structural changes to the economy. The measured cyclical weakness of recent years calls for an enhancement to the existing trend growth rate rules, which recognises </w:t>
      </w:r>
      <w:r w:rsidR="009970B0" w:rsidRPr="001D48C3">
        <w:t xml:space="preserve">the need for </w:t>
      </w:r>
      <w:r w:rsidRPr="001D48C3">
        <w:t>a</w:t>
      </w:r>
      <w:r w:rsidR="009B030E" w:rsidRPr="001D48C3">
        <w:t>n</w:t>
      </w:r>
      <w:r w:rsidRPr="001D48C3">
        <w:t xml:space="preserve"> adjustment period over which the economy transitions from a cyclical high or low to its potential level of output. Working towards that end, this paper develops a projection methodology that overcomes the cyclical limitations of the existing framework. </w:t>
      </w:r>
      <w:r w:rsidR="00B30AB1" w:rsidRPr="001D48C3">
        <w:t xml:space="preserve">Applying these </w:t>
      </w:r>
      <w:r w:rsidRPr="001D48C3">
        <w:t xml:space="preserve">methodological changes </w:t>
      </w:r>
      <w:r w:rsidR="00B30AB1" w:rsidRPr="001D48C3">
        <w:t xml:space="preserve">to the economic estimates </w:t>
      </w:r>
      <w:r w:rsidR="009D5BD1">
        <w:t xml:space="preserve">in the 2014-15 Budget </w:t>
      </w:r>
      <w:r w:rsidR="00B30AB1" w:rsidRPr="001D48C3">
        <w:t xml:space="preserve">generates minimal changes to revenue projections out to </w:t>
      </w:r>
      <w:r w:rsidR="002B4E86" w:rsidRPr="001D48C3">
        <w:t>202</w:t>
      </w:r>
      <w:r w:rsidR="002B4E86">
        <w:t>4</w:t>
      </w:r>
      <w:r w:rsidR="001D5BF5">
        <w:noBreakHyphen/>
      </w:r>
      <w:r w:rsidR="002B4E86" w:rsidRPr="001D48C3">
        <w:t>2</w:t>
      </w:r>
      <w:r w:rsidR="002B4E86">
        <w:t>5</w:t>
      </w:r>
      <w:r w:rsidR="00847358" w:rsidRPr="001D48C3">
        <w:t>.</w:t>
      </w:r>
      <w:r w:rsidR="00710518">
        <w:t xml:space="preserve"> The methodological changes have a</w:t>
      </w:r>
      <w:r w:rsidR="003F42F1">
        <w:t xml:space="preserve"> slightly</w:t>
      </w:r>
      <w:r w:rsidR="00710518">
        <w:t xml:space="preserve"> larger effect on payment projections, with payments projected to be $</w:t>
      </w:r>
      <w:r w:rsidR="00F94511">
        <w:t>1.5</w:t>
      </w:r>
      <w:r w:rsidR="00710518">
        <w:t xml:space="preserve"> billion (0.</w:t>
      </w:r>
      <w:r w:rsidR="005D6C0E">
        <w:t>0</w:t>
      </w:r>
      <w:r w:rsidR="00F94511">
        <w:t>8</w:t>
      </w:r>
      <w:r w:rsidR="00710518">
        <w:t xml:space="preserve"> per cent of GDP) lower in 2017</w:t>
      </w:r>
      <w:r w:rsidR="001D5BF5">
        <w:noBreakHyphen/>
      </w:r>
      <w:r w:rsidR="00710518">
        <w:t>18 and $</w:t>
      </w:r>
      <w:r w:rsidR="00F94511">
        <w:t>2.4</w:t>
      </w:r>
      <w:r w:rsidR="00710518">
        <w:t xml:space="preserve"> billion (0.</w:t>
      </w:r>
      <w:r w:rsidR="00F94511">
        <w:t>09</w:t>
      </w:r>
      <w:r w:rsidR="00710518">
        <w:t> per cent of GDP) lower in 2024</w:t>
      </w:r>
      <w:r w:rsidR="001D5BF5">
        <w:noBreakHyphen/>
      </w:r>
      <w:r w:rsidR="00710518">
        <w:t>25.</w:t>
      </w:r>
      <w:r w:rsidR="00702C53">
        <w:t xml:space="preserve"> Overall, the methodological changes </w:t>
      </w:r>
      <w:r w:rsidR="00FA2680">
        <w:t xml:space="preserve">lead to </w:t>
      </w:r>
      <w:r w:rsidR="003F42F1">
        <w:t>a slight</w:t>
      </w:r>
      <w:r w:rsidR="00702C53">
        <w:t xml:space="preserve"> improvement in the Underlying Cash Balance of $</w:t>
      </w:r>
      <w:r w:rsidR="00F94511">
        <w:t>0.9</w:t>
      </w:r>
      <w:r w:rsidR="00702C53">
        <w:t xml:space="preserve"> </w:t>
      </w:r>
      <w:r w:rsidR="003F42F1">
        <w:t xml:space="preserve">billion </w:t>
      </w:r>
      <w:r w:rsidR="00702C53">
        <w:t>(0.</w:t>
      </w:r>
      <w:r w:rsidR="00F94511">
        <w:t>05</w:t>
      </w:r>
      <w:r w:rsidR="00702C53">
        <w:t xml:space="preserve"> per cent of GDP) in 2017</w:t>
      </w:r>
      <w:r w:rsidR="001D5BF5">
        <w:noBreakHyphen/>
      </w:r>
      <w:r w:rsidR="00702C53">
        <w:t>18 and $</w:t>
      </w:r>
      <w:r w:rsidR="00DD771A">
        <w:t>3</w:t>
      </w:r>
      <w:r w:rsidR="00F94511">
        <w:t>.4</w:t>
      </w:r>
      <w:r w:rsidR="00E10DD2">
        <w:t> </w:t>
      </w:r>
      <w:r w:rsidR="00702C53">
        <w:t>billion (0.</w:t>
      </w:r>
      <w:r w:rsidR="00F94511">
        <w:t>12</w:t>
      </w:r>
      <w:r w:rsidR="00702C53">
        <w:t xml:space="preserve"> per cent of GDP) in 2024</w:t>
      </w:r>
      <w:r w:rsidR="001D5BF5">
        <w:noBreakHyphen/>
      </w:r>
      <w:r w:rsidR="00702C53">
        <w:t>25.</w:t>
      </w:r>
    </w:p>
    <w:p w14:paraId="1BBFE64A" w14:textId="77777777" w:rsidR="00963529" w:rsidRPr="001D48C3" w:rsidRDefault="00963529" w:rsidP="00C14788"/>
    <w:p w14:paraId="2BF26F37" w14:textId="77777777" w:rsidR="00C14788" w:rsidRPr="001D48C3" w:rsidRDefault="00C14788" w:rsidP="00C14788">
      <w:pPr>
        <w:sectPr w:rsidR="00C14788" w:rsidRPr="001D48C3" w:rsidSect="008C0793">
          <w:headerReference w:type="first" r:id="rId195"/>
          <w:footerReference w:type="first" r:id="rId196"/>
          <w:pgSz w:w="11906" w:h="16838" w:code="9"/>
          <w:pgMar w:top="1418" w:right="1304" w:bottom="1418" w:left="1304" w:header="567" w:footer="567" w:gutter="0"/>
          <w:pgNumType w:start="1"/>
          <w:cols w:space="708"/>
          <w:titlePg/>
          <w:docGrid w:linePitch="360"/>
        </w:sectPr>
      </w:pPr>
    </w:p>
    <w:p w14:paraId="0EA15727" w14:textId="77777777" w:rsidR="00F012EA" w:rsidRPr="001D48C3" w:rsidRDefault="0017098E" w:rsidP="00F012EA">
      <w:pPr>
        <w:pStyle w:val="AppendixHeadingLevel2NotNumbered"/>
      </w:pPr>
      <w:r w:rsidRPr="001D48C3">
        <w:lastRenderedPageBreak/>
        <w:t>References</w:t>
      </w:r>
    </w:p>
    <w:p w14:paraId="5E993DE8" w14:textId="77777777" w:rsidR="0017098E" w:rsidRPr="001D48C3" w:rsidRDefault="0017098E" w:rsidP="0017098E">
      <w:r w:rsidRPr="001D48C3">
        <w:t xml:space="preserve">Acemoglu, D. (2009) </w:t>
      </w:r>
      <w:r w:rsidRPr="00766EDD">
        <w:rPr>
          <w:i/>
        </w:rPr>
        <w:t>Introduction to modern economic growth</w:t>
      </w:r>
      <w:r w:rsidRPr="001D48C3">
        <w:t>, Princeton University Press: Princeton, USA.</w:t>
      </w:r>
    </w:p>
    <w:p w14:paraId="37E8E175" w14:textId="77777777" w:rsidR="0017098E" w:rsidRPr="001D48C3" w:rsidRDefault="0017098E" w:rsidP="0017098E">
      <w:r w:rsidRPr="001D48C3">
        <w:t xml:space="preserve">Australian Government (2010) </w:t>
      </w:r>
      <w:r w:rsidRPr="00766EDD">
        <w:rPr>
          <w:i/>
        </w:rPr>
        <w:t>Australia to 2050: future challenges</w:t>
      </w:r>
      <w:r w:rsidRPr="001D48C3">
        <w:t>, Intergenerational Report, Australian Treasury: Canberra.</w:t>
      </w:r>
    </w:p>
    <w:p w14:paraId="7C1E2482" w14:textId="77777777" w:rsidR="0017098E" w:rsidRPr="001D48C3" w:rsidRDefault="0017098E" w:rsidP="0017098E">
      <w:r w:rsidRPr="001D48C3">
        <w:t>Australian Treasury (1996) Documentation of the Treasury macroeconomic (TRYM) model of the Australian economy, Australian Treasury: Canberra.</w:t>
      </w:r>
    </w:p>
    <w:p w14:paraId="2B6B9BB8" w14:textId="77777777" w:rsidR="0017098E" w:rsidRPr="001D48C3" w:rsidRDefault="0017098E" w:rsidP="0017098E">
      <w:r w:rsidRPr="001D48C3">
        <w:t xml:space="preserve">Australian Treasury (2012) </w:t>
      </w:r>
      <w:r w:rsidRPr="00766EDD">
        <w:rPr>
          <w:i/>
        </w:rPr>
        <w:t>Review of Treasury macroeconomic and revenue forecasting</w:t>
      </w:r>
      <w:r w:rsidRPr="001D48C3">
        <w:t>, Australian Treasury: Canberra.</w:t>
      </w:r>
    </w:p>
    <w:p w14:paraId="5A41AB7F" w14:textId="356B63E9" w:rsidR="00356B99" w:rsidRPr="001D48C3" w:rsidRDefault="00356B99" w:rsidP="0017098E">
      <w:r w:rsidRPr="001D48C3">
        <w:t xml:space="preserve">Baxter </w:t>
      </w:r>
      <w:r w:rsidR="00E74CA6" w:rsidRPr="001D48C3">
        <w:t xml:space="preserve">M. </w:t>
      </w:r>
      <w:r w:rsidRPr="001D48C3">
        <w:t xml:space="preserve">and King </w:t>
      </w:r>
      <w:r w:rsidR="00E74CA6" w:rsidRPr="001D48C3">
        <w:t xml:space="preserve">R. </w:t>
      </w:r>
      <w:r w:rsidRPr="001D48C3">
        <w:t>(1999)</w:t>
      </w:r>
      <w:r w:rsidR="00E74CA6" w:rsidRPr="00766EDD">
        <w:rPr>
          <w:i/>
        </w:rPr>
        <w:t xml:space="preserve"> Measuring business cycles: Approximate band</w:t>
      </w:r>
      <w:r w:rsidR="001D5BF5">
        <w:rPr>
          <w:i/>
        </w:rPr>
        <w:noBreakHyphen/>
      </w:r>
      <w:r w:rsidR="00E74CA6" w:rsidRPr="00766EDD">
        <w:rPr>
          <w:i/>
        </w:rPr>
        <w:t>pass filters for economic time series</w:t>
      </w:r>
      <w:r w:rsidR="00E74CA6" w:rsidRPr="001D48C3">
        <w:t>, The Review of Economics and Statistics, Vol. 81, No.</w:t>
      </w:r>
      <w:r w:rsidR="005365D9">
        <w:t xml:space="preserve"> </w:t>
      </w:r>
      <w:r w:rsidR="00E74CA6" w:rsidRPr="001D48C3">
        <w:t>4, pp.</w:t>
      </w:r>
      <w:r w:rsidR="005365D9">
        <w:t xml:space="preserve"> </w:t>
      </w:r>
      <w:r w:rsidR="00E74CA6" w:rsidRPr="001D48C3">
        <w:t>573</w:t>
      </w:r>
      <w:r w:rsidR="001D5BF5">
        <w:noBreakHyphen/>
      </w:r>
      <w:r w:rsidR="00E74CA6" w:rsidRPr="001D48C3">
        <w:t>593.</w:t>
      </w:r>
    </w:p>
    <w:p w14:paraId="245D162F" w14:textId="731AE185" w:rsidR="0017098E" w:rsidRPr="001D48C3" w:rsidRDefault="0017098E" w:rsidP="0017098E">
      <w:pPr>
        <w:rPr>
          <w:lang w:eastAsia="en-AU"/>
        </w:rPr>
      </w:pPr>
      <w:r w:rsidRPr="001D48C3">
        <w:rPr>
          <w:lang w:eastAsia="en-AU"/>
        </w:rPr>
        <w:t>Beames A. and Kouparitsas M. (</w:t>
      </w:r>
      <w:r w:rsidR="0059035E" w:rsidRPr="001D48C3">
        <w:rPr>
          <w:lang w:eastAsia="en-AU"/>
        </w:rPr>
        <w:t>2013</w:t>
      </w:r>
      <w:r w:rsidRPr="001D48C3">
        <w:rPr>
          <w:lang w:eastAsia="en-AU"/>
        </w:rPr>
        <w:t>) Modelling Australia</w:t>
      </w:r>
      <w:r w:rsidR="001D5BF5">
        <w:rPr>
          <w:lang w:eastAsia="en-AU"/>
        </w:rPr>
        <w:t>’</w:t>
      </w:r>
      <w:r w:rsidRPr="001D48C3">
        <w:rPr>
          <w:lang w:eastAsia="en-AU"/>
        </w:rPr>
        <w:t xml:space="preserve">s imports of goods and services, Treasury Working Paper (unpublished </w:t>
      </w:r>
      <w:r w:rsidR="0059035E" w:rsidRPr="001D48C3">
        <w:rPr>
          <w:lang w:eastAsia="en-AU"/>
        </w:rPr>
        <w:t>draft</w:t>
      </w:r>
      <w:r w:rsidRPr="001D48C3">
        <w:rPr>
          <w:lang w:eastAsia="en-AU"/>
        </w:rPr>
        <w:t>), Australian Treasury.</w:t>
      </w:r>
    </w:p>
    <w:p w14:paraId="2228C3E5" w14:textId="6C27F296" w:rsidR="0017098E" w:rsidRPr="001D48C3" w:rsidRDefault="0017098E" w:rsidP="0017098E">
      <w:r w:rsidRPr="001D48C3">
        <w:t xml:space="preserve">Bullen J., Kouparitsas M. and Krolikowski M. (2014) </w:t>
      </w:r>
      <w:r w:rsidRPr="00766EDD">
        <w:rPr>
          <w:i/>
        </w:rPr>
        <w:t>Long</w:t>
      </w:r>
      <w:r w:rsidR="001D5BF5">
        <w:rPr>
          <w:i/>
        </w:rPr>
        <w:noBreakHyphen/>
      </w:r>
      <w:r w:rsidRPr="00766EDD">
        <w:rPr>
          <w:i/>
        </w:rPr>
        <w:t>run forecasts of Australia</w:t>
      </w:r>
      <w:r w:rsidR="001D5BF5">
        <w:rPr>
          <w:i/>
        </w:rPr>
        <w:t>’</w:t>
      </w:r>
      <w:r w:rsidRPr="00766EDD">
        <w:rPr>
          <w:i/>
        </w:rPr>
        <w:t>s terms of trade</w:t>
      </w:r>
      <w:r w:rsidRPr="001D48C3">
        <w:t>, Treasury Working Paper No. 2014</w:t>
      </w:r>
      <w:r w:rsidR="001D5BF5">
        <w:noBreakHyphen/>
      </w:r>
      <w:r w:rsidR="00A15B8D" w:rsidRPr="001D48C3">
        <w:t>01</w:t>
      </w:r>
      <w:r w:rsidRPr="001D48C3">
        <w:t>, Australian Treasury.</w:t>
      </w:r>
    </w:p>
    <w:p w14:paraId="10EFF239" w14:textId="77777777" w:rsidR="0017098E" w:rsidRPr="001D48C3" w:rsidRDefault="0017098E" w:rsidP="0017098E">
      <w:r w:rsidRPr="001D48C3">
        <w:t xml:space="preserve">Department of Immigration and Border Protection (2013) </w:t>
      </w:r>
      <w:r w:rsidRPr="00766EDD">
        <w:rPr>
          <w:i/>
        </w:rPr>
        <w:t>The outlook for net overseas migration</w:t>
      </w:r>
      <w:r w:rsidRPr="001D48C3">
        <w:t>, Department of Immigration and Border Protection: Canberra.</w:t>
      </w:r>
    </w:p>
    <w:p w14:paraId="602C39DD" w14:textId="7E4C9EDD" w:rsidR="0017098E" w:rsidRPr="001D48C3" w:rsidRDefault="0017098E" w:rsidP="0017098E">
      <w:r w:rsidRPr="001D48C3">
        <w:t xml:space="preserve">Dixon R., Freebairn J. and Lim G. (2005) </w:t>
      </w:r>
      <w:r w:rsidRPr="00766EDD">
        <w:rPr>
          <w:i/>
        </w:rPr>
        <w:t>An employment equation for Australia</w:t>
      </w:r>
      <w:r w:rsidRPr="001D48C3">
        <w:t>, The Economic Record, Vol. 81, No. 254, pp. 204</w:t>
      </w:r>
      <w:r w:rsidR="001D5BF5">
        <w:noBreakHyphen/>
      </w:r>
      <w:r w:rsidRPr="001D48C3">
        <w:t>214.</w:t>
      </w:r>
    </w:p>
    <w:p w14:paraId="1BB4C63A" w14:textId="714D73B4" w:rsidR="0017098E" w:rsidRPr="001D48C3" w:rsidRDefault="0017098E" w:rsidP="0017098E">
      <w:r w:rsidRPr="001D48C3">
        <w:t xml:space="preserve">Gruen D., Pagan A. and Thompson C. (1999) </w:t>
      </w:r>
      <w:r w:rsidRPr="00766EDD">
        <w:rPr>
          <w:i/>
        </w:rPr>
        <w:t>The Phillips curve in Australia</w:t>
      </w:r>
      <w:r w:rsidRPr="001D48C3">
        <w:t xml:space="preserve">, Journal of Monetary Economics, Vol. 44, No. </w:t>
      </w:r>
      <w:r w:rsidR="00945F00" w:rsidRPr="001D48C3">
        <w:t>2</w:t>
      </w:r>
      <w:r w:rsidRPr="001D48C3">
        <w:t>, pp. 223</w:t>
      </w:r>
      <w:r w:rsidR="001D5BF5">
        <w:noBreakHyphen/>
      </w:r>
      <w:r w:rsidRPr="001D48C3">
        <w:t>258.</w:t>
      </w:r>
    </w:p>
    <w:p w14:paraId="01256AFA" w14:textId="31507C4C" w:rsidR="0017098E" w:rsidRPr="001D48C3" w:rsidRDefault="0017098E" w:rsidP="0017098E">
      <w:r w:rsidRPr="001D48C3">
        <w:t xml:space="preserve">Gruen D. and Wilkinson J. (1994) </w:t>
      </w:r>
      <w:r w:rsidRPr="00766EDD">
        <w:rPr>
          <w:i/>
        </w:rPr>
        <w:t>Australia</w:t>
      </w:r>
      <w:r w:rsidR="001D5BF5">
        <w:rPr>
          <w:i/>
        </w:rPr>
        <w:t>’</w:t>
      </w:r>
      <w:r w:rsidRPr="00766EDD">
        <w:rPr>
          <w:i/>
        </w:rPr>
        <w:t>s real exchange rate</w:t>
      </w:r>
      <w:r w:rsidR="00073551" w:rsidRPr="00766EDD">
        <w:rPr>
          <w:i/>
        </w:rPr>
        <w:t xml:space="preserve"> — </w:t>
      </w:r>
      <w:r w:rsidRPr="00766EDD">
        <w:rPr>
          <w:i/>
        </w:rPr>
        <w:t xml:space="preserve">is it explained by real interest differentials </w:t>
      </w:r>
      <w:r w:rsidR="000073EC" w:rsidRPr="00766EDD">
        <w:rPr>
          <w:i/>
        </w:rPr>
        <w:t>o</w:t>
      </w:r>
      <w:r w:rsidR="000073EC">
        <w:rPr>
          <w:i/>
        </w:rPr>
        <w:t>r</w:t>
      </w:r>
      <w:r w:rsidR="000073EC" w:rsidRPr="00766EDD">
        <w:rPr>
          <w:i/>
        </w:rPr>
        <w:t xml:space="preserve"> </w:t>
      </w:r>
      <w:r w:rsidRPr="00766EDD">
        <w:rPr>
          <w:i/>
        </w:rPr>
        <w:t>the terms of trade?</w:t>
      </w:r>
      <w:r w:rsidRPr="001D48C3">
        <w:t xml:space="preserve"> Economic Record, Vol. 70, No. 209, pp. 204</w:t>
      </w:r>
      <w:r w:rsidR="001D5BF5">
        <w:noBreakHyphen/>
      </w:r>
      <w:r w:rsidRPr="001D48C3">
        <w:t>219.</w:t>
      </w:r>
    </w:p>
    <w:p w14:paraId="1385AC60" w14:textId="776F6E5D" w:rsidR="00847358" w:rsidRPr="001D48C3" w:rsidRDefault="00847358" w:rsidP="0017098E">
      <w:r w:rsidRPr="001D48C3">
        <w:t xml:space="preserve">Hutchings R. and Kouparitsas M. (2012) </w:t>
      </w:r>
      <w:r w:rsidRPr="00766EDD">
        <w:rPr>
          <w:i/>
        </w:rPr>
        <w:t>Modelling aggregate labour demand</w:t>
      </w:r>
      <w:r w:rsidRPr="001D48C3">
        <w:t>, Treasury Working Paper No.</w:t>
      </w:r>
      <w:r w:rsidR="005365D9">
        <w:t xml:space="preserve"> </w:t>
      </w:r>
      <w:r w:rsidRPr="001D48C3">
        <w:t>2012</w:t>
      </w:r>
      <w:r w:rsidR="001D5BF5">
        <w:noBreakHyphen/>
      </w:r>
      <w:r w:rsidRPr="001D48C3">
        <w:t>02., Australian Treasury.</w:t>
      </w:r>
    </w:p>
    <w:p w14:paraId="0A329128" w14:textId="0E967EC4" w:rsidR="006834A6" w:rsidRPr="001D48C3" w:rsidRDefault="006834A6" w:rsidP="0017098E">
      <w:r w:rsidRPr="001D48C3">
        <w:t xml:space="preserve">Jaeger, A. and Parkinson, M, (1994) </w:t>
      </w:r>
      <w:r w:rsidRPr="00766EDD">
        <w:rPr>
          <w:i/>
        </w:rPr>
        <w:t>Some evidence on hysteresis in unemployment series</w:t>
      </w:r>
      <w:r w:rsidRPr="001D48C3">
        <w:t>, European Economic Review, Vol. 38, pp. 329</w:t>
      </w:r>
      <w:r w:rsidR="001D5BF5">
        <w:noBreakHyphen/>
      </w:r>
      <w:r w:rsidRPr="001D48C3">
        <w:t>42.</w:t>
      </w:r>
    </w:p>
    <w:p w14:paraId="50F765F0" w14:textId="585AB3C6" w:rsidR="005F2133" w:rsidRPr="001D48C3" w:rsidRDefault="005F2133" w:rsidP="0017098E">
      <w:r w:rsidRPr="001D48C3">
        <w:t xml:space="preserve">Kaldor, N. (1963) </w:t>
      </w:r>
      <w:r w:rsidRPr="00766EDD">
        <w:rPr>
          <w:i/>
        </w:rPr>
        <w:t>Capital accumulation and economic growth</w:t>
      </w:r>
      <w:r w:rsidRPr="001D48C3">
        <w:t xml:space="preserve">, </w:t>
      </w:r>
      <w:r w:rsidR="005365D9">
        <w:t>I</w:t>
      </w:r>
      <w:r w:rsidRPr="001D48C3">
        <w:t xml:space="preserve">n </w:t>
      </w:r>
      <w:r w:rsidR="00766EDD">
        <w:t>p</w:t>
      </w:r>
      <w:r w:rsidRPr="001D48C3">
        <w:t>roceedings of</w:t>
      </w:r>
      <w:r w:rsidR="00766EDD">
        <w:t xml:space="preserve"> a c</w:t>
      </w:r>
      <w:r w:rsidRPr="001D48C3">
        <w:t xml:space="preserve">onference </w:t>
      </w:r>
      <w:r w:rsidR="00766EDD">
        <w:t>h</w:t>
      </w:r>
      <w:r w:rsidRPr="001D48C3">
        <w:t>eld by the International Economics Association, Lutz F. and Hague D. (eds), Macmillan: London, UK.</w:t>
      </w:r>
    </w:p>
    <w:p w14:paraId="3E0E8570" w14:textId="4A7DEF0B" w:rsidR="0017098E" w:rsidRPr="001D48C3" w:rsidRDefault="0017098E" w:rsidP="0017098E">
      <w:r w:rsidRPr="001D48C3">
        <w:t xml:space="preserve">King R., Plosser C. and Rebelo S. (1999) </w:t>
      </w:r>
      <w:r w:rsidRPr="00766EDD">
        <w:rPr>
          <w:i/>
        </w:rPr>
        <w:t>Resuscitating business cycles</w:t>
      </w:r>
      <w:r w:rsidRPr="001D48C3">
        <w:t>, in Handbook of Macroeconomics, Taylor J. and Woodford M. (eds), North</w:t>
      </w:r>
      <w:r w:rsidR="001D5BF5">
        <w:noBreakHyphen/>
      </w:r>
      <w:r w:rsidRPr="001D48C3">
        <w:t>Holland: Amsterdam, Netherlands</w:t>
      </w:r>
      <w:r w:rsidR="008120ED">
        <w:t>.</w:t>
      </w:r>
    </w:p>
    <w:p w14:paraId="4E21E25E" w14:textId="6075ECB1" w:rsidR="0017098E" w:rsidRPr="001D48C3" w:rsidRDefault="0017098E" w:rsidP="0017098E">
      <w:r w:rsidRPr="001D48C3">
        <w:lastRenderedPageBreak/>
        <w:t xml:space="preserve">Lim G., Dixon R. and Tsiaplias S. (2009) </w:t>
      </w:r>
      <w:r w:rsidRPr="00766EDD">
        <w:rPr>
          <w:i/>
        </w:rPr>
        <w:t>Phillips curve and the equilibrium unemployment rate</w:t>
      </w:r>
      <w:r w:rsidRPr="001D48C3">
        <w:t>, The Economic Record, Vol. 85, No. 271, pp. 371</w:t>
      </w:r>
      <w:r w:rsidR="001D5BF5">
        <w:noBreakHyphen/>
      </w:r>
      <w:r w:rsidRPr="001D48C3">
        <w:t>382.</w:t>
      </w:r>
    </w:p>
    <w:p w14:paraId="04F61156" w14:textId="4BC4D4CC" w:rsidR="0017098E" w:rsidRPr="001D48C3" w:rsidRDefault="0017098E" w:rsidP="002A41AE">
      <w:r w:rsidRPr="001D48C3">
        <w:t xml:space="preserve">Productivity Commission (2005) </w:t>
      </w:r>
      <w:r w:rsidRPr="00E80168">
        <w:rPr>
          <w:i/>
        </w:rPr>
        <w:t>Economic Implications of an Ageing Australia</w:t>
      </w:r>
      <w:r w:rsidRPr="001D48C3">
        <w:t>, Research Report, Productivity Commission: Canberra.</w:t>
      </w:r>
      <w:r w:rsidR="006228B9" w:rsidRPr="001D48C3">
        <w:t xml:space="preserve"> (</w:t>
      </w:r>
      <w:hyperlink r:id="rId197" w:history="1">
        <w:r w:rsidR="002A41AE" w:rsidRPr="002A41AE">
          <w:t>www.pc.gov.au/projects/study/ageing/docs/finalreport/technicalpapers</w:t>
        </w:r>
      </w:hyperlink>
      <w:r w:rsidR="006228B9" w:rsidRPr="001D48C3">
        <w:t>)</w:t>
      </w:r>
    </w:p>
    <w:p w14:paraId="6F03B3E8" w14:textId="19A9EC74" w:rsidR="00356B99" w:rsidRPr="001D48C3" w:rsidRDefault="00356B99" w:rsidP="0017098E">
      <w:r w:rsidRPr="001D48C3">
        <w:t xml:space="preserve">Ravn </w:t>
      </w:r>
      <w:r w:rsidR="00E74CA6" w:rsidRPr="001D48C3">
        <w:t xml:space="preserve">M. </w:t>
      </w:r>
      <w:r w:rsidRPr="001D48C3">
        <w:t xml:space="preserve">and Uhlig </w:t>
      </w:r>
      <w:r w:rsidR="00E74CA6" w:rsidRPr="001D48C3">
        <w:t xml:space="preserve">H. </w:t>
      </w:r>
      <w:r w:rsidRPr="001D48C3">
        <w:t>(2002)</w:t>
      </w:r>
      <w:r w:rsidR="00E74CA6" w:rsidRPr="001D48C3">
        <w:t xml:space="preserve"> </w:t>
      </w:r>
      <w:r w:rsidR="00E74CA6" w:rsidRPr="00766EDD">
        <w:rPr>
          <w:i/>
        </w:rPr>
        <w:t>O</w:t>
      </w:r>
      <w:r w:rsidR="00766EDD">
        <w:rPr>
          <w:i/>
        </w:rPr>
        <w:t>n</w:t>
      </w:r>
      <w:r w:rsidR="00E74CA6" w:rsidRPr="00766EDD">
        <w:rPr>
          <w:i/>
        </w:rPr>
        <w:t xml:space="preserve"> adjusting the Hodrick</w:t>
      </w:r>
      <w:r w:rsidR="001D5BF5">
        <w:rPr>
          <w:i/>
        </w:rPr>
        <w:noBreakHyphen/>
      </w:r>
      <w:r w:rsidR="00E74CA6" w:rsidRPr="00766EDD">
        <w:rPr>
          <w:i/>
        </w:rPr>
        <w:t>Prescott filter for the frequency of observations</w:t>
      </w:r>
      <w:r w:rsidR="00E74CA6" w:rsidRPr="001D48C3">
        <w:t>, The Review of Economics and Statistics, Vol. 84, No. 2, pp. 371</w:t>
      </w:r>
      <w:r w:rsidR="001D5BF5">
        <w:noBreakHyphen/>
      </w:r>
      <w:r w:rsidR="00E74CA6" w:rsidRPr="001D48C3">
        <w:t>375.</w:t>
      </w:r>
    </w:p>
    <w:p w14:paraId="7C19B6CD" w14:textId="77D53BA6" w:rsidR="0017098E" w:rsidRPr="001D48C3" w:rsidRDefault="0017098E" w:rsidP="0017098E">
      <w:r w:rsidRPr="001D48C3">
        <w:t>Schmitt</w:t>
      </w:r>
      <w:r w:rsidR="001D5BF5">
        <w:noBreakHyphen/>
      </w:r>
      <w:r w:rsidRPr="001D48C3">
        <w:t xml:space="preserve">Grohe S. and Uribe M. (2003) </w:t>
      </w:r>
      <w:r w:rsidRPr="00766EDD">
        <w:rPr>
          <w:i/>
        </w:rPr>
        <w:t>Closing small open economy models</w:t>
      </w:r>
      <w:r w:rsidRPr="001D48C3">
        <w:t xml:space="preserve">, Journal of International Economics, Elsevier, </w:t>
      </w:r>
      <w:r w:rsidR="008120ED">
        <w:t>V</w:t>
      </w:r>
      <w:r w:rsidR="008120ED" w:rsidRPr="001D48C3">
        <w:t>ol</w:t>
      </w:r>
      <w:r w:rsidRPr="001D48C3">
        <w:t xml:space="preserve">. 61(1), </w:t>
      </w:r>
      <w:r w:rsidR="008120ED" w:rsidRPr="001D48C3">
        <w:t>p</w:t>
      </w:r>
      <w:r w:rsidR="008120ED">
        <w:t>p</w:t>
      </w:r>
      <w:r w:rsidR="001D5BF5">
        <w:t xml:space="preserve">. </w:t>
      </w:r>
      <w:r w:rsidRPr="001D48C3">
        <w:t>163</w:t>
      </w:r>
      <w:r w:rsidR="001D5BF5">
        <w:noBreakHyphen/>
      </w:r>
      <w:r w:rsidRPr="001D48C3">
        <w:t>185, October.</w:t>
      </w:r>
    </w:p>
    <w:p w14:paraId="0186C97E" w14:textId="1B122E89" w:rsidR="0017098E" w:rsidRPr="001D48C3" w:rsidRDefault="0017098E" w:rsidP="0017098E">
      <w:r w:rsidRPr="001D48C3">
        <w:t xml:space="preserve">Stone A., Wheatley T. and Wilkinson L. (2005) </w:t>
      </w:r>
      <w:r w:rsidRPr="00766EDD">
        <w:rPr>
          <w:i/>
        </w:rPr>
        <w:t>Small model of the Australian economy: An Update</w:t>
      </w:r>
      <w:r w:rsidRPr="001D48C3">
        <w:t>, Reserve Bank of Australia Discussion Paper No. 2005</w:t>
      </w:r>
      <w:r w:rsidR="001D5BF5">
        <w:noBreakHyphen/>
      </w:r>
      <w:r w:rsidRPr="001D48C3">
        <w:t>11, Reserve Bank of Australia.</w:t>
      </w:r>
    </w:p>
    <w:p w14:paraId="2AEC935B" w14:textId="2F762377" w:rsidR="00F012EA" w:rsidRPr="001D48C3" w:rsidRDefault="0017098E" w:rsidP="00F012EA">
      <w:r w:rsidRPr="001D48C3">
        <w:t xml:space="preserve">US Congressional Budget Office (2001) </w:t>
      </w:r>
      <w:r w:rsidRPr="00766EDD">
        <w:rPr>
          <w:i/>
        </w:rPr>
        <w:t>CBO</w:t>
      </w:r>
      <w:r w:rsidR="001D5BF5">
        <w:rPr>
          <w:i/>
        </w:rPr>
        <w:t>’</w:t>
      </w:r>
      <w:r w:rsidRPr="00766EDD">
        <w:rPr>
          <w:i/>
        </w:rPr>
        <w:t>s method for estimating potential output: An update</w:t>
      </w:r>
      <w:r w:rsidRPr="001D48C3">
        <w:t>, The Congress of the United States Congressional Budget Office.</w:t>
      </w:r>
    </w:p>
    <w:p w14:paraId="50DDE6D2" w14:textId="77777777" w:rsidR="0017098E" w:rsidRPr="001D48C3" w:rsidRDefault="0017098E" w:rsidP="00F012EA"/>
    <w:p w14:paraId="6BECE6AF" w14:textId="77777777" w:rsidR="00F012EA" w:rsidRPr="001D48C3" w:rsidRDefault="00F012EA" w:rsidP="008627B1">
      <w:pPr>
        <w:sectPr w:rsidR="00F012EA" w:rsidRPr="001D48C3" w:rsidSect="008C0793">
          <w:pgSz w:w="11906" w:h="16838" w:code="9"/>
          <w:pgMar w:top="1418" w:right="1304" w:bottom="1418" w:left="1304" w:header="567" w:footer="567" w:gutter="0"/>
          <w:cols w:space="708"/>
          <w:titlePg/>
          <w:docGrid w:linePitch="360"/>
        </w:sectPr>
      </w:pPr>
    </w:p>
    <w:p w14:paraId="7A5AA861" w14:textId="77777777" w:rsidR="00F012EA" w:rsidRPr="001D48C3" w:rsidRDefault="0017098E" w:rsidP="00F012EA">
      <w:pPr>
        <w:pStyle w:val="AppendixHeadingLevel2NotNumbered"/>
      </w:pPr>
      <w:r w:rsidRPr="001D48C3">
        <w:lastRenderedPageBreak/>
        <w:t>Appendix A: Data sources</w:t>
      </w:r>
    </w:p>
    <w:p w14:paraId="02FA8528" w14:textId="77777777" w:rsidR="00A8460C" w:rsidRPr="001D48C3" w:rsidRDefault="00A8460C" w:rsidP="00A8460C">
      <w:pPr>
        <w:autoSpaceDE w:val="0"/>
        <w:autoSpaceDN w:val="0"/>
        <w:adjustRightInd w:val="0"/>
        <w:spacing w:after="240" w:line="240" w:lineRule="auto"/>
      </w:pPr>
      <w:r w:rsidRPr="001D48C3">
        <w:t xml:space="preserve">Australian Bureau of Statistics (2013) Australian National Accounts: National Income, Expenditure and Product — June Quarter 2013. ABS Catalogue 5206.0. Australian </w:t>
      </w:r>
      <w:r w:rsidR="00643A8C" w:rsidRPr="001D48C3">
        <w:t>Bureau of Statistics: Canberra.</w:t>
      </w:r>
    </w:p>
    <w:p w14:paraId="5FD30301" w14:textId="788B6B60" w:rsidR="00A8460C" w:rsidRPr="001D48C3" w:rsidRDefault="00A8460C" w:rsidP="00A8460C">
      <w:pPr>
        <w:autoSpaceDE w:val="0"/>
        <w:autoSpaceDN w:val="0"/>
        <w:adjustRightInd w:val="0"/>
        <w:spacing w:after="240" w:line="240" w:lineRule="auto"/>
      </w:pPr>
      <w:r w:rsidRPr="001D48C3">
        <w:t>Australian Bureau of Statistics (2013) Australian System of National Accounts, 2012</w:t>
      </w:r>
      <w:r w:rsidR="001D5BF5">
        <w:noBreakHyphen/>
      </w:r>
      <w:r w:rsidR="0023048C">
        <w:t>13. ABS </w:t>
      </w:r>
      <w:r w:rsidR="00766EDD">
        <w:t>Catalogue </w:t>
      </w:r>
      <w:r w:rsidRPr="001D48C3">
        <w:t xml:space="preserve">5204.0. Australian </w:t>
      </w:r>
      <w:r w:rsidR="00643A8C" w:rsidRPr="001D48C3">
        <w:t>Bureau of Statistics: Canberra.</w:t>
      </w:r>
    </w:p>
    <w:p w14:paraId="3D273567" w14:textId="77777777" w:rsidR="003B6E62" w:rsidRPr="001D48C3" w:rsidRDefault="003B6E62" w:rsidP="003B6E62">
      <w:r w:rsidRPr="001D48C3">
        <w:t>Australian Bureau of Statistics (2013)</w:t>
      </w:r>
      <w:r w:rsidRPr="001D48C3">
        <w:rPr>
          <w:lang w:eastAsia="en-AU"/>
        </w:rPr>
        <w:t xml:space="preserve"> Births, Australia 2012. </w:t>
      </w:r>
      <w:r w:rsidRPr="001D48C3">
        <w:t>ABS Catalogue</w:t>
      </w:r>
      <w:r w:rsidRPr="001D48C3">
        <w:rPr>
          <w:lang w:eastAsia="en-AU"/>
        </w:rPr>
        <w:t xml:space="preserve"> 3301.0. </w:t>
      </w:r>
      <w:r w:rsidRPr="001D48C3">
        <w:t>Australian Bureau of Statistics: Canberra.</w:t>
      </w:r>
    </w:p>
    <w:p w14:paraId="24387A73" w14:textId="77777777" w:rsidR="00643A8C" w:rsidRPr="001D48C3" w:rsidRDefault="00643A8C" w:rsidP="00F012EA">
      <w:r w:rsidRPr="001D48C3">
        <w:t>Australian Bureau of Statistics (2013) Labour Force Australia, ABS Catalogue 6202.0. Australian Bureau of Statistics: Canberra.</w:t>
      </w:r>
    </w:p>
    <w:p w14:paraId="25BE52F0" w14:textId="7F58664A" w:rsidR="00A8460C" w:rsidRPr="001D48C3" w:rsidRDefault="00643A8C" w:rsidP="00F012EA">
      <w:r w:rsidRPr="001D48C3">
        <w:t>Australian Bureau of Statistics (2013) Labour Force Australia: Det</w:t>
      </w:r>
      <w:r w:rsidR="0023048C">
        <w:t>ailed Quarterly. ABS </w:t>
      </w:r>
      <w:r w:rsidR="00766EDD">
        <w:t>Catalogue </w:t>
      </w:r>
      <w:r w:rsidRPr="001D48C3">
        <w:t>6291.0.55.003. Australian Bureau of Statistics: Canberra.</w:t>
      </w:r>
    </w:p>
    <w:p w14:paraId="11808DC4" w14:textId="3C3DC968" w:rsidR="003B6E62" w:rsidRPr="001D48C3" w:rsidRDefault="003B6E62" w:rsidP="003B6E62">
      <w:pPr>
        <w:autoSpaceDE w:val="0"/>
        <w:autoSpaceDN w:val="0"/>
        <w:adjustRightInd w:val="0"/>
        <w:spacing w:after="240" w:line="240" w:lineRule="auto"/>
      </w:pPr>
      <w:r w:rsidRPr="001D48C3">
        <w:t>Australian Bureau of Statistics (2013) NIF</w:t>
      </w:r>
      <w:r w:rsidR="001D5BF5">
        <w:noBreakHyphen/>
      </w:r>
      <w:r w:rsidRPr="001D48C3">
        <w:t>10S Database. Australian Bureau of Statistics: Canberra.</w:t>
      </w:r>
    </w:p>
    <w:p w14:paraId="0BCB641C" w14:textId="0E3F64E9" w:rsidR="00A8460C" w:rsidRPr="001D48C3" w:rsidRDefault="00A8460C" w:rsidP="00A8460C">
      <w:r w:rsidRPr="001D48C3">
        <w:t>Reserve Bank of Australia, Trade</w:t>
      </w:r>
      <w:r w:rsidR="001D5BF5">
        <w:noBreakHyphen/>
      </w:r>
      <w:r w:rsidRPr="001D48C3">
        <w:t>weighted exchange rates, Table F11.</w:t>
      </w:r>
    </w:p>
    <w:p w14:paraId="14CC39BA" w14:textId="4A891893" w:rsidR="005405F6" w:rsidRPr="001D48C3" w:rsidRDefault="005405F6" w:rsidP="00A8460C">
      <w:r w:rsidRPr="001D48C3">
        <w:t>Department of Immigration and Border Protection (2013)</w:t>
      </w:r>
      <w:r w:rsidR="00766EDD">
        <w:t>,</w:t>
      </w:r>
      <w:r w:rsidRPr="001D48C3">
        <w:t xml:space="preserve"> </w:t>
      </w:r>
      <w:r w:rsidRPr="00766EDD">
        <w:rPr>
          <w:i/>
        </w:rPr>
        <w:t>The outlook for net overseas migration</w:t>
      </w:r>
      <w:r w:rsidRPr="001D48C3">
        <w:t>, Department of Immigration and Border Protection: Canberra.</w:t>
      </w:r>
    </w:p>
    <w:p w14:paraId="79CF46D8" w14:textId="77777777" w:rsidR="00F012EA" w:rsidRPr="001D48C3" w:rsidRDefault="00F012EA" w:rsidP="008627B1"/>
    <w:sectPr w:rsidR="00F012EA" w:rsidRPr="001D48C3" w:rsidSect="008C0793">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3DA3C" w14:textId="77777777" w:rsidR="00797325" w:rsidRDefault="00797325" w:rsidP="005F100C">
      <w:pPr>
        <w:spacing w:after="0" w:line="240" w:lineRule="auto"/>
      </w:pPr>
      <w:r>
        <w:separator/>
      </w:r>
    </w:p>
  </w:endnote>
  <w:endnote w:type="continuationSeparator" w:id="0">
    <w:p w14:paraId="6A0761B0" w14:textId="77777777" w:rsidR="00797325" w:rsidRDefault="00797325" w:rsidP="005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1246" w14:textId="77777777" w:rsidR="00797325" w:rsidRDefault="00797325"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71BFA" w14:textId="77777777" w:rsidR="00797325" w:rsidRDefault="00797325"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11272">
      <w:rPr>
        <w:rStyle w:val="PageNumber"/>
        <w:noProof/>
      </w:rPr>
      <w:t>35</w:t>
    </w:r>
    <w:r w:rsidRPr="00365C6D">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C837" w14:textId="77777777" w:rsidR="00797325" w:rsidRDefault="007973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073F" w14:textId="77777777" w:rsidR="00797325" w:rsidRDefault="00797325"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11272">
      <w:rPr>
        <w:rStyle w:val="PageNumber"/>
        <w:noProof/>
      </w:rPr>
      <w:t>36</w:t>
    </w:r>
    <w:r w:rsidRPr="00365C6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33C5F" w14:textId="77777777" w:rsidR="00797325" w:rsidRDefault="00797325" w:rsidP="005F100C">
      <w:pPr>
        <w:spacing w:after="0" w:line="240" w:lineRule="auto"/>
      </w:pPr>
      <w:r>
        <w:separator/>
      </w:r>
    </w:p>
  </w:footnote>
  <w:footnote w:type="continuationSeparator" w:id="0">
    <w:p w14:paraId="6D9D7AFD" w14:textId="77777777" w:rsidR="00797325" w:rsidRDefault="00797325" w:rsidP="005F100C">
      <w:pPr>
        <w:spacing w:after="0" w:line="240" w:lineRule="auto"/>
      </w:pPr>
      <w:r>
        <w:continuationSeparator/>
      </w:r>
    </w:p>
  </w:footnote>
  <w:footnote w:id="1">
    <w:p w14:paraId="18C5274C" w14:textId="043CB5C2" w:rsidR="00797325" w:rsidRPr="00614F35" w:rsidRDefault="00797325" w:rsidP="00A4156A">
      <w:pPr>
        <w:pStyle w:val="FootnoteText"/>
      </w:pPr>
      <w:r w:rsidRPr="00A4156A">
        <w:rPr>
          <w:rStyle w:val="FootnoteReference"/>
          <w:vertAlign w:val="baseline"/>
        </w:rPr>
        <w:footnoteRef/>
      </w:r>
      <w:r w:rsidRPr="000464B6">
        <w:t xml:space="preserve"> </w:t>
      </w:r>
      <w:r>
        <w:tab/>
      </w:r>
      <w:r w:rsidRPr="007236C2">
        <w:t xml:space="preserve">Jared Bullen, Jacinta Greenwell, David Muller and Rhett Wilcox: </w:t>
      </w:r>
      <w:r>
        <w:t>Macroeconomic Conditions</w:t>
      </w:r>
      <w:r w:rsidRPr="007236C2">
        <w:t xml:space="preserve"> Division, Macroeconomic Group; </w:t>
      </w:r>
      <w:r>
        <w:t xml:space="preserve">Michael Kouparitsas: Macroeconomic Modelling and Policy Division, Macroeconomic Group; </w:t>
      </w:r>
      <w:r w:rsidRPr="007236C2">
        <w:t>and John O</w:t>
      </w:r>
      <w:r>
        <w:t>’</w:t>
      </w:r>
      <w:r w:rsidRPr="007236C2">
        <w:t>Leary: Tax Analysis Division, Revenue Group, The Treasury, Langton Crescent, Parkes ACT 2600, Australia. Correspondence: Michael Kouparitsas, michael.kouparitsas@tre</w:t>
      </w:r>
      <w:r>
        <w:t>a</w:t>
      </w:r>
      <w:r w:rsidRPr="007236C2">
        <w:t xml:space="preserve">sury.gov.au. We thank </w:t>
      </w:r>
      <w:r w:rsidRPr="00306697">
        <w:t>Fiscal Group and Revenue Group colleagues for assistance with the fiscal modelling</w:t>
      </w:r>
      <w:r>
        <w:t xml:space="preserve">, David Gruen for suggestions on modelling strategy and detailed comments on an earlier draft, </w:t>
      </w:r>
      <w:r w:rsidRPr="007236C2">
        <w:t xml:space="preserve">Bryn Battersby, </w:t>
      </w:r>
      <w:r>
        <w:t xml:space="preserve">Owen Freestone, Martin Parkinson and Luke Willard </w:t>
      </w:r>
      <w:r w:rsidRPr="007236C2">
        <w:t>for comments and suggests on an earlier draft.</w:t>
      </w:r>
    </w:p>
  </w:footnote>
  <w:footnote w:id="2">
    <w:p w14:paraId="5E814741" w14:textId="75A315AB" w:rsidR="00797325" w:rsidRDefault="00797325" w:rsidP="00A4156A">
      <w:pPr>
        <w:pStyle w:val="FootnoteText"/>
      </w:pPr>
      <w:r w:rsidRPr="00A4156A">
        <w:rPr>
          <w:rStyle w:val="FootnoteReference"/>
          <w:vertAlign w:val="baseline"/>
        </w:rPr>
        <w:footnoteRef/>
      </w:r>
      <w:r w:rsidRPr="000464B6">
        <w:t xml:space="preserve"> </w:t>
      </w:r>
      <w:r>
        <w:tab/>
        <w:t>The views expressed in this paper are those of the authors and do not necessarily reflect those of the Australian Government.</w:t>
      </w:r>
    </w:p>
    <w:p w14:paraId="20976EBE" w14:textId="77777777" w:rsidR="00797325" w:rsidRDefault="00797325" w:rsidP="00A4156A">
      <w:pPr>
        <w:pStyle w:val="FootnoteText"/>
      </w:pPr>
      <w:r>
        <w:rPr>
          <w:noProof/>
          <w:lang w:eastAsia="en-AU"/>
        </w:rPr>
        <w:drawing>
          <wp:inline distT="0" distB="0" distL="0" distR="0" wp14:anchorId="3E7967F2" wp14:editId="529590EB">
            <wp:extent cx="5759450" cy="82995"/>
            <wp:effectExtent l="0" t="0" r="0" b="0"/>
            <wp:docPr id="2" name="Picture 2" descr="H:\MCD\Publishing\Graphic Design Services Team\Digital_Assets\Corporate elements\elements\colour bar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D\Publishing\Graphic Design Services Team\Digital_Assets\Corporate elements\elements\colour bar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995"/>
                    </a:xfrm>
                    <a:prstGeom prst="rect">
                      <a:avLst/>
                    </a:prstGeom>
                    <a:noFill/>
                    <a:ln>
                      <a:noFill/>
                    </a:ln>
                  </pic:spPr>
                </pic:pic>
              </a:graphicData>
            </a:graphic>
          </wp:inline>
        </w:drawing>
      </w:r>
    </w:p>
  </w:footnote>
  <w:footnote w:id="3">
    <w:p w14:paraId="6C80389A" w14:textId="21C0FF03" w:rsidR="00797325" w:rsidRPr="00A4156A" w:rsidRDefault="00797325" w:rsidP="001D5BF5">
      <w:pPr>
        <w:pStyle w:val="FootnoteText"/>
      </w:pPr>
      <w:r w:rsidRPr="00A4156A">
        <w:rPr>
          <w:rStyle w:val="FootnoteReference"/>
          <w:vertAlign w:val="baseline"/>
        </w:rPr>
        <w:footnoteRef/>
      </w:r>
      <w:r>
        <w:t xml:space="preserve"> </w:t>
      </w:r>
      <w:r>
        <w:tab/>
        <w:t xml:space="preserve">Australia. Parliament. Senate. </w:t>
      </w:r>
      <w:r w:rsidRPr="00A4156A">
        <w:t>Economics Legislation Committee — Esti</w:t>
      </w:r>
      <w:r>
        <w:t>mates, Hansard, 26 February 2014,</w:t>
      </w:r>
      <w:r w:rsidRPr="00A4156A">
        <w:t xml:space="preserve"> </w:t>
      </w:r>
      <w:hyperlink r:id="rId2" w:history="1">
        <w:r w:rsidRPr="00C25643">
          <w:t>www.aph.gov.au/Parliamentary_Business/Senate_Estimates/economicsctte/estimates/add1314/index</w:t>
        </w:r>
      </w:hyperlink>
      <w:r>
        <w:t xml:space="preserve">. </w:t>
      </w:r>
    </w:p>
  </w:footnote>
  <w:footnote w:id="4">
    <w:p w14:paraId="0E085406" w14:textId="0F5A4721" w:rsidR="00797325" w:rsidRDefault="00797325" w:rsidP="00A4156A">
      <w:pPr>
        <w:pStyle w:val="FootnoteText"/>
      </w:pPr>
      <w:r w:rsidRPr="00A4156A">
        <w:rPr>
          <w:rStyle w:val="FootnoteReference"/>
          <w:vertAlign w:val="baseline"/>
        </w:rPr>
        <w:footnoteRef/>
      </w:r>
      <w:r>
        <w:t xml:space="preserve"> </w:t>
      </w:r>
      <w:r>
        <w:tab/>
        <w:t>See Acemoglu (2009), and references therein, for a detailed discussion of growth theory and the basic neoclassical approach that underpins the analysis in this paper.</w:t>
      </w:r>
    </w:p>
  </w:footnote>
  <w:footnote w:id="5">
    <w:p w14:paraId="708C2931" w14:textId="33DDCC90" w:rsidR="00797325" w:rsidRDefault="00797325" w:rsidP="00A4156A">
      <w:pPr>
        <w:pStyle w:val="FootnoteText"/>
      </w:pPr>
      <w:r w:rsidRPr="00A4156A">
        <w:rPr>
          <w:rStyle w:val="FootnoteReference"/>
          <w:vertAlign w:val="baseline"/>
        </w:rPr>
        <w:footnoteRef/>
      </w:r>
      <w:r>
        <w:t xml:space="preserve"> </w:t>
      </w:r>
      <w:r>
        <w:tab/>
        <w:t>See the extensive survey of business cycle theory and method in King, Plosser and Rebelo (1999), and references therein, for further details.</w:t>
      </w:r>
    </w:p>
  </w:footnote>
  <w:footnote w:id="6">
    <w:p w14:paraId="4C1533C9" w14:textId="6C8D5FAF" w:rsidR="00797325" w:rsidRDefault="00797325" w:rsidP="00A4156A">
      <w:pPr>
        <w:pStyle w:val="FootnoteText"/>
      </w:pPr>
      <w:r w:rsidRPr="00A4156A">
        <w:rPr>
          <w:rStyle w:val="FootnoteReference"/>
          <w:vertAlign w:val="baseline"/>
        </w:rPr>
        <w:footnoteRef/>
      </w:r>
      <w:r>
        <w:t xml:space="preserve"> </w:t>
      </w:r>
      <w:r>
        <w:tab/>
        <w:t>Jaeger and Parkinson (1994), for example, find that changes in the trend unemployment rate are positively correlated with fluctuations in cyclical unemployment.</w:t>
      </w:r>
    </w:p>
  </w:footnote>
  <w:footnote w:id="7">
    <w:p w14:paraId="647090F1" w14:textId="2C9AAB22" w:rsidR="00797325" w:rsidRDefault="00797325" w:rsidP="00A4156A">
      <w:pPr>
        <w:pStyle w:val="FootnoteText"/>
      </w:pPr>
      <w:r w:rsidRPr="00A4156A">
        <w:rPr>
          <w:rStyle w:val="FootnoteReference"/>
          <w:vertAlign w:val="baseline"/>
        </w:rPr>
        <w:footnoteRef/>
      </w:r>
      <w:r>
        <w:t xml:space="preserve"> </w:t>
      </w:r>
      <w:r>
        <w:tab/>
        <w:t>Treasury’s estimates</w:t>
      </w:r>
      <w:r w:rsidRPr="004A4310">
        <w:t xml:space="preserve"> over the forecast period are based on </w:t>
      </w:r>
      <w:r>
        <w:t xml:space="preserve">a range of </w:t>
      </w:r>
      <w:r w:rsidRPr="004A4310">
        <w:t>detaile</w:t>
      </w:r>
      <w:r>
        <w:t>d short</w:t>
      </w:r>
      <w:r>
        <w:noBreakHyphen/>
        <w:t>run forecasting models, including econometric and bottom</w:t>
      </w:r>
      <w:r>
        <w:noBreakHyphen/>
        <w:t>up spread sheet analysis. Interested readers can find more detail in the</w:t>
      </w:r>
      <w:r w:rsidRPr="004A4310">
        <w:t xml:space="preserve"> recent review of Treasury macroeconomic and revenue forecasting (Australian Treasury, 2012</w:t>
      </w:r>
      <w:r>
        <w:t>).</w:t>
      </w:r>
    </w:p>
  </w:footnote>
  <w:footnote w:id="8">
    <w:p w14:paraId="4D754F1B" w14:textId="48CF73C2" w:rsidR="00797325" w:rsidRDefault="00797325" w:rsidP="00A4156A">
      <w:pPr>
        <w:pStyle w:val="FootnoteText"/>
      </w:pPr>
      <w:r w:rsidRPr="00A4156A">
        <w:rPr>
          <w:rStyle w:val="FootnoteReference"/>
          <w:vertAlign w:val="baseline"/>
        </w:rPr>
        <w:footnoteRef/>
      </w:r>
      <w:r>
        <w:t xml:space="preserve"> </w:t>
      </w:r>
      <w:r>
        <w:tab/>
        <w:t>The great ratios underlying balanced growth are implied by the so</w:t>
      </w:r>
      <w:r>
        <w:noBreakHyphen/>
        <w:t xml:space="preserve">called Kaldor facts (Kaldor, 1963). Kaldor observed that while per capita output increases over time, the capital output ratio, the real cost of capital and the distribution of income between capital and labour was roughly constant. King, Plosser and Rebelo (1999), and others, show that balanced growth and the Kaldor facts imply the constancy of many other economic ratios, including consumption to output and investment to output, which they collectively refer to as the </w:t>
      </w:r>
      <w:r w:rsidRPr="00797418">
        <w:rPr>
          <w:i/>
        </w:rPr>
        <w:t>great ratios</w:t>
      </w:r>
      <w:r>
        <w:t>. These theoretical predictions are supported by empirical estimates for a broad set of countries.</w:t>
      </w:r>
    </w:p>
  </w:footnote>
  <w:footnote w:id="9">
    <w:p w14:paraId="2868ABAE" w14:textId="7EBA175C" w:rsidR="00797325" w:rsidRDefault="00797325" w:rsidP="00A4156A">
      <w:pPr>
        <w:pStyle w:val="FootnoteText"/>
      </w:pPr>
      <w:r w:rsidRPr="00A4156A">
        <w:rPr>
          <w:rStyle w:val="FootnoteReference"/>
          <w:vertAlign w:val="baseline"/>
        </w:rPr>
        <w:footnoteRef/>
      </w:r>
      <w:r>
        <w:t xml:space="preserve"> </w:t>
      </w:r>
      <w:r>
        <w:tab/>
        <w:t>This potential limitation is the subject of ongoing Treasury research along the lines of Dixon, Freebairn and Lim (2005).</w:t>
      </w:r>
    </w:p>
  </w:footnote>
  <w:footnote w:id="10">
    <w:p w14:paraId="528F0920" w14:textId="518E82D2" w:rsidR="00797325" w:rsidRDefault="00797325" w:rsidP="00A4156A">
      <w:pPr>
        <w:pStyle w:val="FootnoteText"/>
      </w:pPr>
      <w:r w:rsidRPr="00A4156A">
        <w:rPr>
          <w:rStyle w:val="FootnoteReference"/>
          <w:vertAlign w:val="baseline"/>
        </w:rPr>
        <w:footnoteRef/>
      </w:r>
      <w:r>
        <w:t xml:space="preserve"> </w:t>
      </w:r>
      <w:r>
        <w:tab/>
        <w:t>See Schmitt</w:t>
      </w:r>
      <w:r>
        <w:noBreakHyphen/>
        <w:t>Grohe and Uribe (2003) for a detailed discussion of the issue.</w:t>
      </w:r>
    </w:p>
  </w:footnote>
  <w:footnote w:id="11">
    <w:p w14:paraId="545E0570" w14:textId="4E82B9A3" w:rsidR="00797325" w:rsidRDefault="00797325" w:rsidP="00A4156A">
      <w:pPr>
        <w:pStyle w:val="FootnoteText"/>
      </w:pPr>
      <w:r w:rsidRPr="00A4156A">
        <w:rPr>
          <w:rStyle w:val="FootnoteReference"/>
          <w:vertAlign w:val="baseline"/>
        </w:rPr>
        <w:footnoteRef/>
      </w:r>
      <w:r>
        <w:t xml:space="preserve"> </w:t>
      </w:r>
      <w:r>
        <w:tab/>
        <w:t>See Baxter and King (1999), and Ravn and Uhlig (2002) for a detailed description of the Hodrick</w:t>
      </w:r>
      <w:r>
        <w:noBreakHyphen/>
        <w:t>Prescott filter, choice of filter weight and end point issues.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DA2C1" w14:textId="77777777" w:rsidR="00797325" w:rsidRDefault="00797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848E" w14:textId="77777777" w:rsidR="00797325" w:rsidRDefault="00797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3594C" w14:textId="77777777" w:rsidR="00797325" w:rsidRPr="00F012EA" w:rsidRDefault="00797325" w:rsidP="00F012EA">
    <w:pPr>
      <w:pStyle w:val="Header"/>
    </w:pPr>
    <w:r>
      <w:rPr>
        <w:noProof/>
        <w:lang w:eastAsia="en-AU"/>
      </w:rPr>
      <w:drawing>
        <wp:inline distT="0" distB="0" distL="0" distR="0" wp14:anchorId="250D6808" wp14:editId="0E5CCA2F">
          <wp:extent cx="1926336" cy="1194816"/>
          <wp:effectExtent l="0" t="0" r="0" b="5715"/>
          <wp:docPr id="4" name="Picture 4" descr="The Treasury, Australian Government." title="The Treasu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78BCC" w14:textId="77777777" w:rsidR="00797325" w:rsidRPr="00F012EA" w:rsidRDefault="00797325" w:rsidP="00F012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48407" w14:textId="77777777" w:rsidR="00797325" w:rsidRPr="00F60530" w:rsidRDefault="00797325" w:rsidP="00F605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751E30"/>
    <w:multiLevelType w:val="hybridMultilevel"/>
    <w:tmpl w:val="C3121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2">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4350853"/>
    <w:multiLevelType w:val="multilevel"/>
    <w:tmpl w:val="9714489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6">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45B0A7E"/>
    <w:multiLevelType w:val="multilevel"/>
    <w:tmpl w:val="EDEE4FB6"/>
    <w:numStyleLink w:val="RecommendationBulletList"/>
  </w:abstractNum>
  <w:abstractNum w:abstractNumId="18">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10D2021"/>
    <w:multiLevelType w:val="multilevel"/>
    <w:tmpl w:val="72F8140E"/>
    <w:numStyleLink w:val="OutlineList"/>
  </w:abstractNum>
  <w:abstractNum w:abstractNumId="2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F73129"/>
    <w:multiLevelType w:val="multilevel"/>
    <w:tmpl w:val="D9A8A212"/>
    <w:numStyleLink w:val="RomanNumeralList"/>
  </w:abstractNum>
  <w:abstractNum w:abstractNumId="22">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3">
    <w:nsid w:val="6A5F7B24"/>
    <w:multiLevelType w:val="multilevel"/>
    <w:tmpl w:val="C480ED5C"/>
    <w:lvl w:ilvl="0">
      <w:start w:val="1"/>
      <w:numFmt w:val="decimal"/>
      <w:lvlRestart w:val="0"/>
      <w:pStyle w:val="Heading2"/>
      <w:lvlText w:val="%1."/>
      <w:lvlJc w:val="left"/>
      <w:pPr>
        <w:tabs>
          <w:tab w:val="num" w:pos="5170"/>
        </w:tabs>
        <w:ind w:left="4320" w:firstLine="0"/>
      </w:pPr>
      <w:rPr>
        <w:rFonts w:ascii="Arial Bold" w:hAnsi="Arial Bold" w:cs="Arial" w:hint="default"/>
        <w:b/>
        <w:i w:val="0"/>
        <w:color w:val="003157"/>
      </w:rPr>
    </w:lvl>
    <w:lvl w:ilvl="1">
      <w:start w:val="1"/>
      <w:numFmt w:val="decimal"/>
      <w:lvlText w:val="%1.%2"/>
      <w:lvlJc w:val="left"/>
      <w:pPr>
        <w:tabs>
          <w:tab w:val="num" w:pos="634"/>
        </w:tabs>
        <w:ind w:left="-216" w:firstLine="0"/>
      </w:pPr>
      <w:rPr>
        <w:rFonts w:ascii="Arial Bold" w:hAnsi="Arial Bold" w:cs="Arial" w:hint="default"/>
        <w:b/>
        <w:i w:val="0"/>
        <w:color w:val="003157"/>
      </w:rPr>
    </w:lvl>
    <w:lvl w:ilvl="2">
      <w:start w:val="1"/>
      <w:numFmt w:val="none"/>
      <w:pStyle w:val="Heading4"/>
      <w:lvlText w:val=""/>
      <w:lvlJc w:val="left"/>
      <w:pPr>
        <w:tabs>
          <w:tab w:val="num" w:pos="-216"/>
        </w:tabs>
        <w:ind w:left="-216" w:firstLine="0"/>
      </w:pPr>
      <w:rPr>
        <w:rFonts w:ascii="Arial" w:hAnsi="Arial" w:cs="Arial" w:hint="default"/>
        <w:b w:val="0"/>
        <w:i w:val="0"/>
        <w:color w:val="003157"/>
      </w:rPr>
    </w:lvl>
    <w:lvl w:ilvl="3">
      <w:start w:val="1"/>
      <w:numFmt w:val="decimal"/>
      <w:lvlText w:val="%4"/>
      <w:lvlJc w:val="left"/>
      <w:pPr>
        <w:tabs>
          <w:tab w:val="num" w:pos="2052"/>
        </w:tabs>
        <w:ind w:left="2052" w:hanging="567"/>
      </w:pPr>
      <w:rPr>
        <w:rFonts w:hint="default"/>
        <w:b w:val="0"/>
        <w:i w:val="0"/>
        <w:color w:val="000000"/>
      </w:rPr>
    </w:lvl>
    <w:lvl w:ilvl="4">
      <w:start w:val="1"/>
      <w:numFmt w:val="decimal"/>
      <w:lvlText w:val="%5"/>
      <w:lvlJc w:val="left"/>
      <w:pPr>
        <w:tabs>
          <w:tab w:val="num" w:pos="2619"/>
        </w:tabs>
        <w:ind w:left="2619" w:hanging="567"/>
      </w:pPr>
      <w:rPr>
        <w:rFonts w:hint="default"/>
        <w:b w:val="0"/>
        <w:i w:val="0"/>
        <w:color w:val="000000"/>
      </w:rPr>
    </w:lvl>
    <w:lvl w:ilvl="5">
      <w:start w:val="1"/>
      <w:numFmt w:val="decimal"/>
      <w:lvlText w:val="%6"/>
      <w:lvlJc w:val="left"/>
      <w:pPr>
        <w:tabs>
          <w:tab w:val="num" w:pos="3186"/>
        </w:tabs>
        <w:ind w:left="3186" w:hanging="567"/>
      </w:pPr>
      <w:rPr>
        <w:rFonts w:hint="default"/>
        <w:b w:val="0"/>
        <w:i w:val="0"/>
        <w:color w:val="000000"/>
      </w:rPr>
    </w:lvl>
    <w:lvl w:ilvl="6">
      <w:start w:val="1"/>
      <w:numFmt w:val="decimal"/>
      <w:lvlText w:val="%7"/>
      <w:lvlJc w:val="left"/>
      <w:pPr>
        <w:tabs>
          <w:tab w:val="num" w:pos="3753"/>
        </w:tabs>
        <w:ind w:left="3753" w:hanging="567"/>
      </w:pPr>
      <w:rPr>
        <w:rFonts w:hint="default"/>
        <w:b w:val="0"/>
        <w:i w:val="0"/>
        <w:color w:val="000000"/>
      </w:rPr>
    </w:lvl>
    <w:lvl w:ilvl="7">
      <w:start w:val="1"/>
      <w:numFmt w:val="decimal"/>
      <w:lvlText w:val="%8"/>
      <w:lvlJc w:val="left"/>
      <w:pPr>
        <w:tabs>
          <w:tab w:val="num" w:pos="4320"/>
        </w:tabs>
        <w:ind w:left="4320" w:hanging="567"/>
      </w:pPr>
      <w:rPr>
        <w:rFonts w:hint="default"/>
        <w:b w:val="0"/>
        <w:i w:val="0"/>
        <w:color w:val="000000"/>
      </w:rPr>
    </w:lvl>
    <w:lvl w:ilvl="8">
      <w:start w:val="1"/>
      <w:numFmt w:val="decimal"/>
      <w:lvlText w:val="%9"/>
      <w:lvlJc w:val="left"/>
      <w:pPr>
        <w:tabs>
          <w:tab w:val="num" w:pos="4887"/>
        </w:tabs>
        <w:ind w:left="4887" w:hanging="567"/>
      </w:pPr>
      <w:rPr>
        <w:rFonts w:hint="default"/>
        <w:b w:val="0"/>
        <w:i w:val="0"/>
        <w:color w:val="000000"/>
      </w:rPr>
    </w:lvl>
  </w:abstractNum>
  <w:abstractNum w:abstractNumId="24">
    <w:nsid w:val="703156AC"/>
    <w:multiLevelType w:val="hybridMultilevel"/>
    <w:tmpl w:val="EA0A00F0"/>
    <w:lvl w:ilvl="0" w:tplc="75665984">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
  </w:num>
  <w:num w:numId="3">
    <w:abstractNumId w:val="18"/>
  </w:num>
  <w:num w:numId="4">
    <w:abstractNumId w:val="13"/>
  </w:num>
  <w:num w:numId="5">
    <w:abstractNumId w:val="3"/>
  </w:num>
  <w:num w:numId="6">
    <w:abstractNumId w:val="5"/>
  </w:num>
  <w:num w:numId="7">
    <w:abstractNumId w:val="2"/>
  </w:num>
  <w:num w:numId="8">
    <w:abstractNumId w:val="4"/>
  </w:num>
  <w:num w:numId="9">
    <w:abstractNumId w:val="19"/>
  </w:num>
  <w:num w:numId="10">
    <w:abstractNumId w:val="17"/>
  </w:num>
  <w:num w:numId="11">
    <w:abstractNumId w:val="21"/>
  </w:num>
  <w:num w:numId="12">
    <w:abstractNumId w:val="12"/>
  </w:num>
  <w:num w:numId="13">
    <w:abstractNumId w:val="20"/>
  </w:num>
  <w:num w:numId="14">
    <w:abstractNumId w:val="7"/>
  </w:num>
  <w:num w:numId="15">
    <w:abstractNumId w:val="7"/>
  </w:num>
  <w:num w:numId="16">
    <w:abstractNumId w:val="23"/>
  </w:num>
  <w:num w:numId="17">
    <w:abstractNumId w:val="16"/>
  </w:num>
  <w:num w:numId="18">
    <w:abstractNumId w:val="0"/>
  </w:num>
  <w:num w:numId="19">
    <w:abstractNumId w:val="22"/>
  </w:num>
  <w:num w:numId="20">
    <w:abstractNumId w:val="9"/>
  </w:num>
  <w:num w:numId="21">
    <w:abstractNumId w:val="15"/>
  </w:num>
  <w:num w:numId="22">
    <w:abstractNumId w:val="23"/>
  </w:num>
  <w:num w:numId="23">
    <w:abstractNumId w:val="24"/>
  </w:num>
  <w:num w:numId="24">
    <w:abstractNumId w:val="1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4"/>
    <w:lvlOverride w:ilvl="0">
      <w:startOverride w:val="1"/>
    </w:lvlOverride>
  </w:num>
  <w:num w:numId="29">
    <w:abstractNumId w:val="2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9139EB"/>
    <w:rsid w:val="000004FE"/>
    <w:rsid w:val="000026DD"/>
    <w:rsid w:val="00003549"/>
    <w:rsid w:val="00003ACD"/>
    <w:rsid w:val="000045A0"/>
    <w:rsid w:val="00005C1C"/>
    <w:rsid w:val="00005DD2"/>
    <w:rsid w:val="000073EC"/>
    <w:rsid w:val="00007CDE"/>
    <w:rsid w:val="000129FF"/>
    <w:rsid w:val="00014426"/>
    <w:rsid w:val="000167A9"/>
    <w:rsid w:val="00016DCB"/>
    <w:rsid w:val="0002034C"/>
    <w:rsid w:val="0002250C"/>
    <w:rsid w:val="00030810"/>
    <w:rsid w:val="00032C46"/>
    <w:rsid w:val="00035752"/>
    <w:rsid w:val="00035A76"/>
    <w:rsid w:val="00036BF8"/>
    <w:rsid w:val="000430F1"/>
    <w:rsid w:val="00043B26"/>
    <w:rsid w:val="000464B6"/>
    <w:rsid w:val="000503E6"/>
    <w:rsid w:val="00051C46"/>
    <w:rsid w:val="0005330D"/>
    <w:rsid w:val="00056CBD"/>
    <w:rsid w:val="00057433"/>
    <w:rsid w:val="0005785E"/>
    <w:rsid w:val="000602B1"/>
    <w:rsid w:val="000611D0"/>
    <w:rsid w:val="000622B2"/>
    <w:rsid w:val="00063E26"/>
    <w:rsid w:val="0006436D"/>
    <w:rsid w:val="000653B9"/>
    <w:rsid w:val="000669A0"/>
    <w:rsid w:val="000671AE"/>
    <w:rsid w:val="00067E19"/>
    <w:rsid w:val="000716CA"/>
    <w:rsid w:val="00072AD0"/>
    <w:rsid w:val="00073551"/>
    <w:rsid w:val="00074558"/>
    <w:rsid w:val="00074E58"/>
    <w:rsid w:val="00077D52"/>
    <w:rsid w:val="0008058D"/>
    <w:rsid w:val="00082A41"/>
    <w:rsid w:val="00083D62"/>
    <w:rsid w:val="0008473C"/>
    <w:rsid w:val="00087202"/>
    <w:rsid w:val="00091054"/>
    <w:rsid w:val="00093FD7"/>
    <w:rsid w:val="00094F58"/>
    <w:rsid w:val="00095C3F"/>
    <w:rsid w:val="000A059E"/>
    <w:rsid w:val="000A1654"/>
    <w:rsid w:val="000A560A"/>
    <w:rsid w:val="000A5AFF"/>
    <w:rsid w:val="000A79E8"/>
    <w:rsid w:val="000B0FEB"/>
    <w:rsid w:val="000C024A"/>
    <w:rsid w:val="000C1003"/>
    <w:rsid w:val="000C1F48"/>
    <w:rsid w:val="000D06AD"/>
    <w:rsid w:val="000D15DD"/>
    <w:rsid w:val="000D4148"/>
    <w:rsid w:val="000D60BF"/>
    <w:rsid w:val="000D66CD"/>
    <w:rsid w:val="000D6734"/>
    <w:rsid w:val="000E3838"/>
    <w:rsid w:val="000E5CE8"/>
    <w:rsid w:val="000F04F0"/>
    <w:rsid w:val="000F3987"/>
    <w:rsid w:val="000F439D"/>
    <w:rsid w:val="0010021B"/>
    <w:rsid w:val="00101174"/>
    <w:rsid w:val="0010128F"/>
    <w:rsid w:val="00103510"/>
    <w:rsid w:val="001035EF"/>
    <w:rsid w:val="00105727"/>
    <w:rsid w:val="0010574F"/>
    <w:rsid w:val="00105A9A"/>
    <w:rsid w:val="00106B75"/>
    <w:rsid w:val="0011148A"/>
    <w:rsid w:val="00111E57"/>
    <w:rsid w:val="00114F4B"/>
    <w:rsid w:val="00120361"/>
    <w:rsid w:val="001214CC"/>
    <w:rsid w:val="001242A4"/>
    <w:rsid w:val="00125E72"/>
    <w:rsid w:val="00127F91"/>
    <w:rsid w:val="00131223"/>
    <w:rsid w:val="0013758F"/>
    <w:rsid w:val="00140113"/>
    <w:rsid w:val="00140133"/>
    <w:rsid w:val="00140182"/>
    <w:rsid w:val="0014059D"/>
    <w:rsid w:val="00142DCB"/>
    <w:rsid w:val="00146BE7"/>
    <w:rsid w:val="00147046"/>
    <w:rsid w:val="00150F48"/>
    <w:rsid w:val="00150FED"/>
    <w:rsid w:val="00151C2C"/>
    <w:rsid w:val="00152682"/>
    <w:rsid w:val="001543F1"/>
    <w:rsid w:val="00154B38"/>
    <w:rsid w:val="00154D9E"/>
    <w:rsid w:val="00155385"/>
    <w:rsid w:val="0015587A"/>
    <w:rsid w:val="00156B1A"/>
    <w:rsid w:val="0016104D"/>
    <w:rsid w:val="001621E4"/>
    <w:rsid w:val="00162DF0"/>
    <w:rsid w:val="00163675"/>
    <w:rsid w:val="0016537F"/>
    <w:rsid w:val="0016689D"/>
    <w:rsid w:val="00166A9B"/>
    <w:rsid w:val="00167E06"/>
    <w:rsid w:val="0017098E"/>
    <w:rsid w:val="00172C2B"/>
    <w:rsid w:val="00172D13"/>
    <w:rsid w:val="00174DB3"/>
    <w:rsid w:val="00175822"/>
    <w:rsid w:val="001759E9"/>
    <w:rsid w:val="00177FF7"/>
    <w:rsid w:val="00182F0E"/>
    <w:rsid w:val="0018306C"/>
    <w:rsid w:val="00183D99"/>
    <w:rsid w:val="00194EEC"/>
    <w:rsid w:val="0019536D"/>
    <w:rsid w:val="00195506"/>
    <w:rsid w:val="0019607D"/>
    <w:rsid w:val="00196A45"/>
    <w:rsid w:val="00197468"/>
    <w:rsid w:val="001A0E5D"/>
    <w:rsid w:val="001A1A42"/>
    <w:rsid w:val="001A26E6"/>
    <w:rsid w:val="001A37E3"/>
    <w:rsid w:val="001A3B10"/>
    <w:rsid w:val="001A420D"/>
    <w:rsid w:val="001A6BA3"/>
    <w:rsid w:val="001B0172"/>
    <w:rsid w:val="001B0243"/>
    <w:rsid w:val="001B36EA"/>
    <w:rsid w:val="001B54B2"/>
    <w:rsid w:val="001B5529"/>
    <w:rsid w:val="001B6E2B"/>
    <w:rsid w:val="001C296C"/>
    <w:rsid w:val="001C348D"/>
    <w:rsid w:val="001C491E"/>
    <w:rsid w:val="001C4B35"/>
    <w:rsid w:val="001C65A4"/>
    <w:rsid w:val="001C7C4C"/>
    <w:rsid w:val="001D0D8B"/>
    <w:rsid w:val="001D25B2"/>
    <w:rsid w:val="001D3C5E"/>
    <w:rsid w:val="001D4392"/>
    <w:rsid w:val="001D48C3"/>
    <w:rsid w:val="001D5A5C"/>
    <w:rsid w:val="001D5BF5"/>
    <w:rsid w:val="001D5DBA"/>
    <w:rsid w:val="001E1341"/>
    <w:rsid w:val="001E1D66"/>
    <w:rsid w:val="001E341D"/>
    <w:rsid w:val="001E380A"/>
    <w:rsid w:val="001E42B8"/>
    <w:rsid w:val="001E4739"/>
    <w:rsid w:val="001E664D"/>
    <w:rsid w:val="001F46DB"/>
    <w:rsid w:val="001F53DE"/>
    <w:rsid w:val="001F62D7"/>
    <w:rsid w:val="001F7154"/>
    <w:rsid w:val="002015AB"/>
    <w:rsid w:val="00203D76"/>
    <w:rsid w:val="0020659B"/>
    <w:rsid w:val="00206DF2"/>
    <w:rsid w:val="002103C9"/>
    <w:rsid w:val="00211545"/>
    <w:rsid w:val="002119BA"/>
    <w:rsid w:val="002128FD"/>
    <w:rsid w:val="00213216"/>
    <w:rsid w:val="00214065"/>
    <w:rsid w:val="002142C2"/>
    <w:rsid w:val="00215926"/>
    <w:rsid w:val="00215C3E"/>
    <w:rsid w:val="00215E3A"/>
    <w:rsid w:val="00216EBF"/>
    <w:rsid w:val="00217322"/>
    <w:rsid w:val="0022020B"/>
    <w:rsid w:val="002224A2"/>
    <w:rsid w:val="00223894"/>
    <w:rsid w:val="002249D2"/>
    <w:rsid w:val="00225EA3"/>
    <w:rsid w:val="002271BB"/>
    <w:rsid w:val="0022726E"/>
    <w:rsid w:val="00230266"/>
    <w:rsid w:val="0023048C"/>
    <w:rsid w:val="002306C6"/>
    <w:rsid w:val="002330AC"/>
    <w:rsid w:val="0023378D"/>
    <w:rsid w:val="0023487C"/>
    <w:rsid w:val="00237D09"/>
    <w:rsid w:val="002425FE"/>
    <w:rsid w:val="00243387"/>
    <w:rsid w:val="002470E2"/>
    <w:rsid w:val="00247A19"/>
    <w:rsid w:val="002510F4"/>
    <w:rsid w:val="002517CC"/>
    <w:rsid w:val="00254373"/>
    <w:rsid w:val="0025690C"/>
    <w:rsid w:val="0025759C"/>
    <w:rsid w:val="00257A2D"/>
    <w:rsid w:val="002609AE"/>
    <w:rsid w:val="0026285F"/>
    <w:rsid w:val="00262A28"/>
    <w:rsid w:val="00262D37"/>
    <w:rsid w:val="00264210"/>
    <w:rsid w:val="00265380"/>
    <w:rsid w:val="00272228"/>
    <w:rsid w:val="002730A3"/>
    <w:rsid w:val="00273651"/>
    <w:rsid w:val="002739F6"/>
    <w:rsid w:val="002759BF"/>
    <w:rsid w:val="00275A66"/>
    <w:rsid w:val="002765B2"/>
    <w:rsid w:val="002768B3"/>
    <w:rsid w:val="002775BE"/>
    <w:rsid w:val="00277EB5"/>
    <w:rsid w:val="00280374"/>
    <w:rsid w:val="00280D28"/>
    <w:rsid w:val="002849DF"/>
    <w:rsid w:val="00286439"/>
    <w:rsid w:val="002905B9"/>
    <w:rsid w:val="002911CB"/>
    <w:rsid w:val="00291251"/>
    <w:rsid w:val="00291434"/>
    <w:rsid w:val="00291937"/>
    <w:rsid w:val="00292FA6"/>
    <w:rsid w:val="002936D8"/>
    <w:rsid w:val="0029383D"/>
    <w:rsid w:val="002939B5"/>
    <w:rsid w:val="00293FF3"/>
    <w:rsid w:val="002975FD"/>
    <w:rsid w:val="00297C46"/>
    <w:rsid w:val="002A2C32"/>
    <w:rsid w:val="002A2F8B"/>
    <w:rsid w:val="002A41AE"/>
    <w:rsid w:val="002A56CD"/>
    <w:rsid w:val="002A6E89"/>
    <w:rsid w:val="002B0AA3"/>
    <w:rsid w:val="002B23D3"/>
    <w:rsid w:val="002B4E86"/>
    <w:rsid w:val="002B53E2"/>
    <w:rsid w:val="002B6537"/>
    <w:rsid w:val="002B6C5E"/>
    <w:rsid w:val="002B73BC"/>
    <w:rsid w:val="002B7D55"/>
    <w:rsid w:val="002C0648"/>
    <w:rsid w:val="002C095C"/>
    <w:rsid w:val="002C0B4E"/>
    <w:rsid w:val="002C284E"/>
    <w:rsid w:val="002C3075"/>
    <w:rsid w:val="002C3379"/>
    <w:rsid w:val="002C5398"/>
    <w:rsid w:val="002C53BC"/>
    <w:rsid w:val="002C7481"/>
    <w:rsid w:val="002D23F9"/>
    <w:rsid w:val="002D26F4"/>
    <w:rsid w:val="002D316D"/>
    <w:rsid w:val="002D37C6"/>
    <w:rsid w:val="002D3FDA"/>
    <w:rsid w:val="002D477B"/>
    <w:rsid w:val="002D7689"/>
    <w:rsid w:val="002E0312"/>
    <w:rsid w:val="002E130E"/>
    <w:rsid w:val="002E14A2"/>
    <w:rsid w:val="002E1ED4"/>
    <w:rsid w:val="002E3338"/>
    <w:rsid w:val="002E399F"/>
    <w:rsid w:val="002E4505"/>
    <w:rsid w:val="002E5F5C"/>
    <w:rsid w:val="002E68F8"/>
    <w:rsid w:val="002E7527"/>
    <w:rsid w:val="002E7BDD"/>
    <w:rsid w:val="002E7E2B"/>
    <w:rsid w:val="002F0A96"/>
    <w:rsid w:val="002F0B99"/>
    <w:rsid w:val="002F0E0E"/>
    <w:rsid w:val="002F3DFC"/>
    <w:rsid w:val="002F63D3"/>
    <w:rsid w:val="002F7051"/>
    <w:rsid w:val="002F73DF"/>
    <w:rsid w:val="002F77A3"/>
    <w:rsid w:val="002F78E3"/>
    <w:rsid w:val="00300E62"/>
    <w:rsid w:val="00301313"/>
    <w:rsid w:val="00301406"/>
    <w:rsid w:val="00301A52"/>
    <w:rsid w:val="003030AD"/>
    <w:rsid w:val="00304F62"/>
    <w:rsid w:val="00306208"/>
    <w:rsid w:val="00306697"/>
    <w:rsid w:val="003070A7"/>
    <w:rsid w:val="003100E3"/>
    <w:rsid w:val="00310613"/>
    <w:rsid w:val="00311C25"/>
    <w:rsid w:val="003120E0"/>
    <w:rsid w:val="00312CEA"/>
    <w:rsid w:val="00313474"/>
    <w:rsid w:val="00314D83"/>
    <w:rsid w:val="00322190"/>
    <w:rsid w:val="00323A6F"/>
    <w:rsid w:val="0032615B"/>
    <w:rsid w:val="00326D33"/>
    <w:rsid w:val="00327010"/>
    <w:rsid w:val="00330735"/>
    <w:rsid w:val="0033138B"/>
    <w:rsid w:val="003323E5"/>
    <w:rsid w:val="003326C6"/>
    <w:rsid w:val="00334270"/>
    <w:rsid w:val="00334335"/>
    <w:rsid w:val="0033503D"/>
    <w:rsid w:val="00336E1C"/>
    <w:rsid w:val="00337A5D"/>
    <w:rsid w:val="00337EB8"/>
    <w:rsid w:val="003406DF"/>
    <w:rsid w:val="0034198F"/>
    <w:rsid w:val="00345CBB"/>
    <w:rsid w:val="00347C94"/>
    <w:rsid w:val="003504AC"/>
    <w:rsid w:val="00354DD7"/>
    <w:rsid w:val="0035637E"/>
    <w:rsid w:val="003566EB"/>
    <w:rsid w:val="00356B99"/>
    <w:rsid w:val="00363BA1"/>
    <w:rsid w:val="003640A3"/>
    <w:rsid w:val="003641BA"/>
    <w:rsid w:val="00364592"/>
    <w:rsid w:val="00365342"/>
    <w:rsid w:val="00365554"/>
    <w:rsid w:val="00365C6D"/>
    <w:rsid w:val="00366196"/>
    <w:rsid w:val="0036622E"/>
    <w:rsid w:val="00366884"/>
    <w:rsid w:val="00371376"/>
    <w:rsid w:val="003766E4"/>
    <w:rsid w:val="00376D28"/>
    <w:rsid w:val="00377864"/>
    <w:rsid w:val="003809EA"/>
    <w:rsid w:val="00381076"/>
    <w:rsid w:val="00381C51"/>
    <w:rsid w:val="00383291"/>
    <w:rsid w:val="00385C9F"/>
    <w:rsid w:val="00386EB2"/>
    <w:rsid w:val="00390529"/>
    <w:rsid w:val="00391D07"/>
    <w:rsid w:val="00392BF3"/>
    <w:rsid w:val="00394866"/>
    <w:rsid w:val="0039560A"/>
    <w:rsid w:val="00395A9D"/>
    <w:rsid w:val="00396EBE"/>
    <w:rsid w:val="003A1A88"/>
    <w:rsid w:val="003A204D"/>
    <w:rsid w:val="003A594F"/>
    <w:rsid w:val="003A5B4E"/>
    <w:rsid w:val="003A6670"/>
    <w:rsid w:val="003B0501"/>
    <w:rsid w:val="003B0846"/>
    <w:rsid w:val="003B1B8D"/>
    <w:rsid w:val="003B6E62"/>
    <w:rsid w:val="003C2171"/>
    <w:rsid w:val="003C24E6"/>
    <w:rsid w:val="003C366C"/>
    <w:rsid w:val="003C36A2"/>
    <w:rsid w:val="003C3FB2"/>
    <w:rsid w:val="003C6F70"/>
    <w:rsid w:val="003C720F"/>
    <w:rsid w:val="003D1BD6"/>
    <w:rsid w:val="003D1F96"/>
    <w:rsid w:val="003D27B3"/>
    <w:rsid w:val="003D2849"/>
    <w:rsid w:val="003D296C"/>
    <w:rsid w:val="003D2CA2"/>
    <w:rsid w:val="003D356C"/>
    <w:rsid w:val="003D3DC9"/>
    <w:rsid w:val="003D3EF8"/>
    <w:rsid w:val="003D769E"/>
    <w:rsid w:val="003E0E7B"/>
    <w:rsid w:val="003E3374"/>
    <w:rsid w:val="003E5CCC"/>
    <w:rsid w:val="003E5D18"/>
    <w:rsid w:val="003E6B90"/>
    <w:rsid w:val="003E7772"/>
    <w:rsid w:val="003E7ED3"/>
    <w:rsid w:val="003F0404"/>
    <w:rsid w:val="003F2903"/>
    <w:rsid w:val="003F30AB"/>
    <w:rsid w:val="003F42F1"/>
    <w:rsid w:val="003F453A"/>
    <w:rsid w:val="003F7BE3"/>
    <w:rsid w:val="00401E91"/>
    <w:rsid w:val="00404047"/>
    <w:rsid w:val="004058A2"/>
    <w:rsid w:val="00406016"/>
    <w:rsid w:val="00406652"/>
    <w:rsid w:val="004071C0"/>
    <w:rsid w:val="00411577"/>
    <w:rsid w:val="00412C08"/>
    <w:rsid w:val="0041699C"/>
    <w:rsid w:val="00416E7C"/>
    <w:rsid w:val="004210E5"/>
    <w:rsid w:val="004212E3"/>
    <w:rsid w:val="0042312F"/>
    <w:rsid w:val="00424401"/>
    <w:rsid w:val="0042606D"/>
    <w:rsid w:val="00426533"/>
    <w:rsid w:val="004266D1"/>
    <w:rsid w:val="00426CC1"/>
    <w:rsid w:val="00430F48"/>
    <w:rsid w:val="004311E3"/>
    <w:rsid w:val="0043266D"/>
    <w:rsid w:val="004349F3"/>
    <w:rsid w:val="004370F4"/>
    <w:rsid w:val="004373AC"/>
    <w:rsid w:val="00437940"/>
    <w:rsid w:val="00437D7A"/>
    <w:rsid w:val="00441D5A"/>
    <w:rsid w:val="00442014"/>
    <w:rsid w:val="0044238A"/>
    <w:rsid w:val="00442469"/>
    <w:rsid w:val="004436E7"/>
    <w:rsid w:val="00443B48"/>
    <w:rsid w:val="004444FB"/>
    <w:rsid w:val="00444F65"/>
    <w:rsid w:val="00445416"/>
    <w:rsid w:val="00447BCD"/>
    <w:rsid w:val="00456639"/>
    <w:rsid w:val="00460338"/>
    <w:rsid w:val="00460A29"/>
    <w:rsid w:val="00460C65"/>
    <w:rsid w:val="00463F79"/>
    <w:rsid w:val="004644F0"/>
    <w:rsid w:val="00466A51"/>
    <w:rsid w:val="00466ABE"/>
    <w:rsid w:val="0046753C"/>
    <w:rsid w:val="0047080E"/>
    <w:rsid w:val="00471368"/>
    <w:rsid w:val="00472DDC"/>
    <w:rsid w:val="00473152"/>
    <w:rsid w:val="0047372C"/>
    <w:rsid w:val="004757CD"/>
    <w:rsid w:val="004757F1"/>
    <w:rsid w:val="00475DA0"/>
    <w:rsid w:val="00490D72"/>
    <w:rsid w:val="00491230"/>
    <w:rsid w:val="00491BE8"/>
    <w:rsid w:val="0049277D"/>
    <w:rsid w:val="00493CDC"/>
    <w:rsid w:val="0049419E"/>
    <w:rsid w:val="004941FB"/>
    <w:rsid w:val="00494A99"/>
    <w:rsid w:val="00494C41"/>
    <w:rsid w:val="00494DE6"/>
    <w:rsid w:val="004A06B5"/>
    <w:rsid w:val="004A1120"/>
    <w:rsid w:val="004A480E"/>
    <w:rsid w:val="004A7ACF"/>
    <w:rsid w:val="004B07A5"/>
    <w:rsid w:val="004B1CEE"/>
    <w:rsid w:val="004B6D7E"/>
    <w:rsid w:val="004C0058"/>
    <w:rsid w:val="004C14FA"/>
    <w:rsid w:val="004C154A"/>
    <w:rsid w:val="004C167F"/>
    <w:rsid w:val="004C1E15"/>
    <w:rsid w:val="004C34BD"/>
    <w:rsid w:val="004C4D6E"/>
    <w:rsid w:val="004C6F52"/>
    <w:rsid w:val="004D30E1"/>
    <w:rsid w:val="004D5614"/>
    <w:rsid w:val="004D7182"/>
    <w:rsid w:val="004E1AB2"/>
    <w:rsid w:val="004E21A5"/>
    <w:rsid w:val="004E6758"/>
    <w:rsid w:val="004E6886"/>
    <w:rsid w:val="004E749C"/>
    <w:rsid w:val="004F0638"/>
    <w:rsid w:val="004F1E5D"/>
    <w:rsid w:val="004F4EE7"/>
    <w:rsid w:val="00500704"/>
    <w:rsid w:val="005065CB"/>
    <w:rsid w:val="00506751"/>
    <w:rsid w:val="00511EE8"/>
    <w:rsid w:val="0051251F"/>
    <w:rsid w:val="005133BE"/>
    <w:rsid w:val="00516EAB"/>
    <w:rsid w:val="005204A3"/>
    <w:rsid w:val="0052113C"/>
    <w:rsid w:val="00523197"/>
    <w:rsid w:val="00525CBA"/>
    <w:rsid w:val="00526174"/>
    <w:rsid w:val="005306EC"/>
    <w:rsid w:val="005339F2"/>
    <w:rsid w:val="005365D9"/>
    <w:rsid w:val="00536686"/>
    <w:rsid w:val="005405F6"/>
    <w:rsid w:val="00542496"/>
    <w:rsid w:val="00543507"/>
    <w:rsid w:val="00544B28"/>
    <w:rsid w:val="0054538E"/>
    <w:rsid w:val="00546C39"/>
    <w:rsid w:val="00547909"/>
    <w:rsid w:val="005539FF"/>
    <w:rsid w:val="0055461E"/>
    <w:rsid w:val="00555B0A"/>
    <w:rsid w:val="00557CBF"/>
    <w:rsid w:val="00562CCF"/>
    <w:rsid w:val="00562EFB"/>
    <w:rsid w:val="005630B1"/>
    <w:rsid w:val="00565122"/>
    <w:rsid w:val="00565C7A"/>
    <w:rsid w:val="00567823"/>
    <w:rsid w:val="0057074A"/>
    <w:rsid w:val="00571BD3"/>
    <w:rsid w:val="005739AC"/>
    <w:rsid w:val="00574DEA"/>
    <w:rsid w:val="005806CB"/>
    <w:rsid w:val="00580FC4"/>
    <w:rsid w:val="005847C9"/>
    <w:rsid w:val="0059035E"/>
    <w:rsid w:val="005904CD"/>
    <w:rsid w:val="00590A25"/>
    <w:rsid w:val="00592621"/>
    <w:rsid w:val="00592E76"/>
    <w:rsid w:val="00593506"/>
    <w:rsid w:val="0059539B"/>
    <w:rsid w:val="00596138"/>
    <w:rsid w:val="00596A3A"/>
    <w:rsid w:val="00596AF2"/>
    <w:rsid w:val="005978ED"/>
    <w:rsid w:val="005A12B5"/>
    <w:rsid w:val="005A29F8"/>
    <w:rsid w:val="005A3158"/>
    <w:rsid w:val="005A3806"/>
    <w:rsid w:val="005A490B"/>
    <w:rsid w:val="005A6334"/>
    <w:rsid w:val="005A79C2"/>
    <w:rsid w:val="005B1F00"/>
    <w:rsid w:val="005B2AA9"/>
    <w:rsid w:val="005B2C15"/>
    <w:rsid w:val="005B52C6"/>
    <w:rsid w:val="005B5D9A"/>
    <w:rsid w:val="005B5EC3"/>
    <w:rsid w:val="005C0C69"/>
    <w:rsid w:val="005C316B"/>
    <w:rsid w:val="005C4922"/>
    <w:rsid w:val="005C582E"/>
    <w:rsid w:val="005C7CED"/>
    <w:rsid w:val="005D1B1A"/>
    <w:rsid w:val="005D1D12"/>
    <w:rsid w:val="005D4752"/>
    <w:rsid w:val="005D6C0E"/>
    <w:rsid w:val="005D785B"/>
    <w:rsid w:val="005D7A0C"/>
    <w:rsid w:val="005E10BF"/>
    <w:rsid w:val="005E424A"/>
    <w:rsid w:val="005E487E"/>
    <w:rsid w:val="005E56CB"/>
    <w:rsid w:val="005E6A6C"/>
    <w:rsid w:val="005E6B1B"/>
    <w:rsid w:val="005E7582"/>
    <w:rsid w:val="005E7802"/>
    <w:rsid w:val="005F0DB7"/>
    <w:rsid w:val="005F100C"/>
    <w:rsid w:val="005F1061"/>
    <w:rsid w:val="005F1BB2"/>
    <w:rsid w:val="005F2133"/>
    <w:rsid w:val="005F3390"/>
    <w:rsid w:val="005F3BD7"/>
    <w:rsid w:val="005F5653"/>
    <w:rsid w:val="005F5B93"/>
    <w:rsid w:val="005F66EC"/>
    <w:rsid w:val="005F6EA2"/>
    <w:rsid w:val="00600952"/>
    <w:rsid w:val="00602014"/>
    <w:rsid w:val="00604424"/>
    <w:rsid w:val="00604846"/>
    <w:rsid w:val="00605B22"/>
    <w:rsid w:val="00607979"/>
    <w:rsid w:val="00614825"/>
    <w:rsid w:val="00614BAC"/>
    <w:rsid w:val="00621207"/>
    <w:rsid w:val="006228B9"/>
    <w:rsid w:val="00622BF0"/>
    <w:rsid w:val="0062376E"/>
    <w:rsid w:val="00625309"/>
    <w:rsid w:val="0062785E"/>
    <w:rsid w:val="006304A5"/>
    <w:rsid w:val="0063073A"/>
    <w:rsid w:val="00631EBC"/>
    <w:rsid w:val="006339D2"/>
    <w:rsid w:val="006355AD"/>
    <w:rsid w:val="00635851"/>
    <w:rsid w:val="00637C0A"/>
    <w:rsid w:val="0064088D"/>
    <w:rsid w:val="00643A8C"/>
    <w:rsid w:val="006441BF"/>
    <w:rsid w:val="006457CC"/>
    <w:rsid w:val="00645922"/>
    <w:rsid w:val="00651D4E"/>
    <w:rsid w:val="00652060"/>
    <w:rsid w:val="00655F20"/>
    <w:rsid w:val="00656558"/>
    <w:rsid w:val="0066095D"/>
    <w:rsid w:val="00660A85"/>
    <w:rsid w:val="00663B96"/>
    <w:rsid w:val="006657FE"/>
    <w:rsid w:val="00666F4A"/>
    <w:rsid w:val="0067051B"/>
    <w:rsid w:val="00671391"/>
    <w:rsid w:val="00672387"/>
    <w:rsid w:val="006730D6"/>
    <w:rsid w:val="00674299"/>
    <w:rsid w:val="0067560F"/>
    <w:rsid w:val="006759C1"/>
    <w:rsid w:val="00676B7F"/>
    <w:rsid w:val="00677E09"/>
    <w:rsid w:val="00680628"/>
    <w:rsid w:val="006812C1"/>
    <w:rsid w:val="006833E3"/>
    <w:rsid w:val="006834A6"/>
    <w:rsid w:val="00683653"/>
    <w:rsid w:val="006851CF"/>
    <w:rsid w:val="00687FE8"/>
    <w:rsid w:val="00690935"/>
    <w:rsid w:val="00691ED5"/>
    <w:rsid w:val="00693987"/>
    <w:rsid w:val="0069500E"/>
    <w:rsid w:val="006960C5"/>
    <w:rsid w:val="0069696B"/>
    <w:rsid w:val="006A026A"/>
    <w:rsid w:val="006A30A5"/>
    <w:rsid w:val="006A39DB"/>
    <w:rsid w:val="006A6078"/>
    <w:rsid w:val="006A7CB3"/>
    <w:rsid w:val="006B019C"/>
    <w:rsid w:val="006B401A"/>
    <w:rsid w:val="006B4F9F"/>
    <w:rsid w:val="006B6B3C"/>
    <w:rsid w:val="006B77FE"/>
    <w:rsid w:val="006B7DF0"/>
    <w:rsid w:val="006C63C8"/>
    <w:rsid w:val="006C7FEC"/>
    <w:rsid w:val="006D032B"/>
    <w:rsid w:val="006D046E"/>
    <w:rsid w:val="006D08E5"/>
    <w:rsid w:val="006D0ABA"/>
    <w:rsid w:val="006D203E"/>
    <w:rsid w:val="006D542F"/>
    <w:rsid w:val="006D6023"/>
    <w:rsid w:val="006D7F96"/>
    <w:rsid w:val="006E15C8"/>
    <w:rsid w:val="006E29D1"/>
    <w:rsid w:val="006E4318"/>
    <w:rsid w:val="006E6842"/>
    <w:rsid w:val="006F1607"/>
    <w:rsid w:val="006F2CD2"/>
    <w:rsid w:val="006F3E0E"/>
    <w:rsid w:val="006F5510"/>
    <w:rsid w:val="0070019C"/>
    <w:rsid w:val="007015D9"/>
    <w:rsid w:val="00702C53"/>
    <w:rsid w:val="0070307C"/>
    <w:rsid w:val="007033A9"/>
    <w:rsid w:val="00703AFD"/>
    <w:rsid w:val="00704ACC"/>
    <w:rsid w:val="00707632"/>
    <w:rsid w:val="00707BB9"/>
    <w:rsid w:val="00710384"/>
    <w:rsid w:val="00710518"/>
    <w:rsid w:val="00711272"/>
    <w:rsid w:val="00711655"/>
    <w:rsid w:val="00713344"/>
    <w:rsid w:val="00714153"/>
    <w:rsid w:val="007150FF"/>
    <w:rsid w:val="0071605C"/>
    <w:rsid w:val="007167B3"/>
    <w:rsid w:val="00720EDD"/>
    <w:rsid w:val="007236C2"/>
    <w:rsid w:val="00723BC1"/>
    <w:rsid w:val="00730C56"/>
    <w:rsid w:val="00731B3D"/>
    <w:rsid w:val="00732B24"/>
    <w:rsid w:val="00741D3F"/>
    <w:rsid w:val="00743AF0"/>
    <w:rsid w:val="00743B33"/>
    <w:rsid w:val="00744302"/>
    <w:rsid w:val="00744AC3"/>
    <w:rsid w:val="007459FB"/>
    <w:rsid w:val="0074633E"/>
    <w:rsid w:val="007475BF"/>
    <w:rsid w:val="00747C6E"/>
    <w:rsid w:val="007506A6"/>
    <w:rsid w:val="00752746"/>
    <w:rsid w:val="007538DB"/>
    <w:rsid w:val="007539F7"/>
    <w:rsid w:val="00753F04"/>
    <w:rsid w:val="00753F4F"/>
    <w:rsid w:val="00754340"/>
    <w:rsid w:val="00756DE8"/>
    <w:rsid w:val="00761205"/>
    <w:rsid w:val="007618C3"/>
    <w:rsid w:val="00761E80"/>
    <w:rsid w:val="00763900"/>
    <w:rsid w:val="00766EDD"/>
    <w:rsid w:val="00767F36"/>
    <w:rsid w:val="007705AB"/>
    <w:rsid w:val="00770DF4"/>
    <w:rsid w:val="00773431"/>
    <w:rsid w:val="0077371E"/>
    <w:rsid w:val="00773B1D"/>
    <w:rsid w:val="00774F85"/>
    <w:rsid w:val="00776C2C"/>
    <w:rsid w:val="007771F9"/>
    <w:rsid w:val="0077725A"/>
    <w:rsid w:val="00781254"/>
    <w:rsid w:val="0078165F"/>
    <w:rsid w:val="0078304B"/>
    <w:rsid w:val="00783783"/>
    <w:rsid w:val="00783DBE"/>
    <w:rsid w:val="007863B2"/>
    <w:rsid w:val="00790EDD"/>
    <w:rsid w:val="007922B8"/>
    <w:rsid w:val="00792C38"/>
    <w:rsid w:val="00797325"/>
    <w:rsid w:val="00797418"/>
    <w:rsid w:val="00797D5A"/>
    <w:rsid w:val="007A0745"/>
    <w:rsid w:val="007A2ACB"/>
    <w:rsid w:val="007A2B18"/>
    <w:rsid w:val="007A407E"/>
    <w:rsid w:val="007B013D"/>
    <w:rsid w:val="007B026E"/>
    <w:rsid w:val="007B03CA"/>
    <w:rsid w:val="007B0C23"/>
    <w:rsid w:val="007B36CD"/>
    <w:rsid w:val="007B576F"/>
    <w:rsid w:val="007B7901"/>
    <w:rsid w:val="007C055A"/>
    <w:rsid w:val="007C21D6"/>
    <w:rsid w:val="007C2D50"/>
    <w:rsid w:val="007C48F0"/>
    <w:rsid w:val="007C553C"/>
    <w:rsid w:val="007D08FE"/>
    <w:rsid w:val="007D118B"/>
    <w:rsid w:val="007D1606"/>
    <w:rsid w:val="007D172B"/>
    <w:rsid w:val="007D34BF"/>
    <w:rsid w:val="007D3866"/>
    <w:rsid w:val="007D4214"/>
    <w:rsid w:val="007D72AF"/>
    <w:rsid w:val="007E0AEB"/>
    <w:rsid w:val="007E2685"/>
    <w:rsid w:val="007E74C8"/>
    <w:rsid w:val="007F53C5"/>
    <w:rsid w:val="007F5851"/>
    <w:rsid w:val="007F59F3"/>
    <w:rsid w:val="007F72C7"/>
    <w:rsid w:val="0080059A"/>
    <w:rsid w:val="00802F69"/>
    <w:rsid w:val="008031F5"/>
    <w:rsid w:val="00803AD4"/>
    <w:rsid w:val="00803B2A"/>
    <w:rsid w:val="00803F63"/>
    <w:rsid w:val="00804E49"/>
    <w:rsid w:val="008070ED"/>
    <w:rsid w:val="00807635"/>
    <w:rsid w:val="0081080B"/>
    <w:rsid w:val="00811649"/>
    <w:rsid w:val="008120ED"/>
    <w:rsid w:val="00812433"/>
    <w:rsid w:val="00814009"/>
    <w:rsid w:val="00814D62"/>
    <w:rsid w:val="0081544F"/>
    <w:rsid w:val="00815658"/>
    <w:rsid w:val="00816226"/>
    <w:rsid w:val="00817D6C"/>
    <w:rsid w:val="00817EE7"/>
    <w:rsid w:val="0082097D"/>
    <w:rsid w:val="00823357"/>
    <w:rsid w:val="00825131"/>
    <w:rsid w:val="00825310"/>
    <w:rsid w:val="00826B64"/>
    <w:rsid w:val="00826FEE"/>
    <w:rsid w:val="008307F9"/>
    <w:rsid w:val="00832D54"/>
    <w:rsid w:val="00833945"/>
    <w:rsid w:val="00835DD8"/>
    <w:rsid w:val="0084016F"/>
    <w:rsid w:val="008429DA"/>
    <w:rsid w:val="00842D9B"/>
    <w:rsid w:val="008442CB"/>
    <w:rsid w:val="00845293"/>
    <w:rsid w:val="008464A7"/>
    <w:rsid w:val="00846ADC"/>
    <w:rsid w:val="00847358"/>
    <w:rsid w:val="0085231C"/>
    <w:rsid w:val="0085377B"/>
    <w:rsid w:val="00857B4C"/>
    <w:rsid w:val="008601F5"/>
    <w:rsid w:val="00861754"/>
    <w:rsid w:val="008627B1"/>
    <w:rsid w:val="00863B02"/>
    <w:rsid w:val="00864D1D"/>
    <w:rsid w:val="00866643"/>
    <w:rsid w:val="008674D4"/>
    <w:rsid w:val="00867785"/>
    <w:rsid w:val="00870764"/>
    <w:rsid w:val="0087125F"/>
    <w:rsid w:val="00871C0C"/>
    <w:rsid w:val="00872C41"/>
    <w:rsid w:val="00873A44"/>
    <w:rsid w:val="00875658"/>
    <w:rsid w:val="00875F67"/>
    <w:rsid w:val="00876796"/>
    <w:rsid w:val="008769D4"/>
    <w:rsid w:val="00880ADB"/>
    <w:rsid w:val="00880EA6"/>
    <w:rsid w:val="00882E7F"/>
    <w:rsid w:val="00883EE8"/>
    <w:rsid w:val="00883F59"/>
    <w:rsid w:val="008847CC"/>
    <w:rsid w:val="00885467"/>
    <w:rsid w:val="00892079"/>
    <w:rsid w:val="008926B3"/>
    <w:rsid w:val="00894417"/>
    <w:rsid w:val="008A1527"/>
    <w:rsid w:val="008A2D5E"/>
    <w:rsid w:val="008A69E9"/>
    <w:rsid w:val="008A6E07"/>
    <w:rsid w:val="008A7CCB"/>
    <w:rsid w:val="008A7EDB"/>
    <w:rsid w:val="008B0133"/>
    <w:rsid w:val="008B090D"/>
    <w:rsid w:val="008B43A6"/>
    <w:rsid w:val="008B5B30"/>
    <w:rsid w:val="008B7E77"/>
    <w:rsid w:val="008C0793"/>
    <w:rsid w:val="008C1101"/>
    <w:rsid w:val="008C68A9"/>
    <w:rsid w:val="008D08BE"/>
    <w:rsid w:val="008D32D8"/>
    <w:rsid w:val="008D3DD6"/>
    <w:rsid w:val="008D4E9A"/>
    <w:rsid w:val="008D512C"/>
    <w:rsid w:val="008D63CE"/>
    <w:rsid w:val="008E08BF"/>
    <w:rsid w:val="008E2299"/>
    <w:rsid w:val="008E2BFE"/>
    <w:rsid w:val="008E32A9"/>
    <w:rsid w:val="008E4CEB"/>
    <w:rsid w:val="008E65F5"/>
    <w:rsid w:val="008F186A"/>
    <w:rsid w:val="008F1ACC"/>
    <w:rsid w:val="008F2D54"/>
    <w:rsid w:val="008F306C"/>
    <w:rsid w:val="008F3098"/>
    <w:rsid w:val="008F373B"/>
    <w:rsid w:val="008F4B35"/>
    <w:rsid w:val="008F541B"/>
    <w:rsid w:val="00900384"/>
    <w:rsid w:val="009005D1"/>
    <w:rsid w:val="00900B96"/>
    <w:rsid w:val="0090339D"/>
    <w:rsid w:val="009034FE"/>
    <w:rsid w:val="00903F8C"/>
    <w:rsid w:val="00905C42"/>
    <w:rsid w:val="00905CA5"/>
    <w:rsid w:val="009113BB"/>
    <w:rsid w:val="00913575"/>
    <w:rsid w:val="009139EB"/>
    <w:rsid w:val="00913F9F"/>
    <w:rsid w:val="00914726"/>
    <w:rsid w:val="00915902"/>
    <w:rsid w:val="009215E1"/>
    <w:rsid w:val="0092354D"/>
    <w:rsid w:val="0092486A"/>
    <w:rsid w:val="00924B18"/>
    <w:rsid w:val="00924B35"/>
    <w:rsid w:val="00925343"/>
    <w:rsid w:val="00926588"/>
    <w:rsid w:val="00930F69"/>
    <w:rsid w:val="009322B5"/>
    <w:rsid w:val="00932960"/>
    <w:rsid w:val="0093607B"/>
    <w:rsid w:val="00936238"/>
    <w:rsid w:val="009422C5"/>
    <w:rsid w:val="00942AA0"/>
    <w:rsid w:val="00945F00"/>
    <w:rsid w:val="009514DB"/>
    <w:rsid w:val="00952D98"/>
    <w:rsid w:val="00953D71"/>
    <w:rsid w:val="009541D3"/>
    <w:rsid w:val="0095562B"/>
    <w:rsid w:val="00955F84"/>
    <w:rsid w:val="00955F8D"/>
    <w:rsid w:val="00956701"/>
    <w:rsid w:val="00961C5B"/>
    <w:rsid w:val="00963529"/>
    <w:rsid w:val="00963893"/>
    <w:rsid w:val="009643D8"/>
    <w:rsid w:val="009702E3"/>
    <w:rsid w:val="0097280B"/>
    <w:rsid w:val="00973565"/>
    <w:rsid w:val="00973B44"/>
    <w:rsid w:val="009758B7"/>
    <w:rsid w:val="00980729"/>
    <w:rsid w:val="0098360A"/>
    <w:rsid w:val="0098376C"/>
    <w:rsid w:val="00983A87"/>
    <w:rsid w:val="009841DC"/>
    <w:rsid w:val="00984B1E"/>
    <w:rsid w:val="00985D59"/>
    <w:rsid w:val="009862D1"/>
    <w:rsid w:val="00986500"/>
    <w:rsid w:val="00986C3E"/>
    <w:rsid w:val="00987B9F"/>
    <w:rsid w:val="00987DB8"/>
    <w:rsid w:val="00991A43"/>
    <w:rsid w:val="009925F8"/>
    <w:rsid w:val="00996BE9"/>
    <w:rsid w:val="009970B0"/>
    <w:rsid w:val="00997267"/>
    <w:rsid w:val="009A1434"/>
    <w:rsid w:val="009A1B55"/>
    <w:rsid w:val="009A4C3F"/>
    <w:rsid w:val="009A4E89"/>
    <w:rsid w:val="009A6C76"/>
    <w:rsid w:val="009B030E"/>
    <w:rsid w:val="009B0C91"/>
    <w:rsid w:val="009B256E"/>
    <w:rsid w:val="009B28EF"/>
    <w:rsid w:val="009B3174"/>
    <w:rsid w:val="009B322E"/>
    <w:rsid w:val="009B392E"/>
    <w:rsid w:val="009B6952"/>
    <w:rsid w:val="009B69AD"/>
    <w:rsid w:val="009C1116"/>
    <w:rsid w:val="009C2C86"/>
    <w:rsid w:val="009C3BCC"/>
    <w:rsid w:val="009C44BC"/>
    <w:rsid w:val="009C47E3"/>
    <w:rsid w:val="009C57C2"/>
    <w:rsid w:val="009C7E17"/>
    <w:rsid w:val="009D030B"/>
    <w:rsid w:val="009D0790"/>
    <w:rsid w:val="009D203F"/>
    <w:rsid w:val="009D2353"/>
    <w:rsid w:val="009D4C47"/>
    <w:rsid w:val="009D4D49"/>
    <w:rsid w:val="009D5BD1"/>
    <w:rsid w:val="009E32AC"/>
    <w:rsid w:val="009E6AB6"/>
    <w:rsid w:val="009F2851"/>
    <w:rsid w:val="009F2BD9"/>
    <w:rsid w:val="009F3A15"/>
    <w:rsid w:val="009F6E25"/>
    <w:rsid w:val="00A0097C"/>
    <w:rsid w:val="00A013B2"/>
    <w:rsid w:val="00A030ED"/>
    <w:rsid w:val="00A043A9"/>
    <w:rsid w:val="00A07502"/>
    <w:rsid w:val="00A12CDA"/>
    <w:rsid w:val="00A143A9"/>
    <w:rsid w:val="00A149DE"/>
    <w:rsid w:val="00A14CD4"/>
    <w:rsid w:val="00A14CD9"/>
    <w:rsid w:val="00A15B8D"/>
    <w:rsid w:val="00A163B9"/>
    <w:rsid w:val="00A1658C"/>
    <w:rsid w:val="00A16A22"/>
    <w:rsid w:val="00A2146C"/>
    <w:rsid w:val="00A218DB"/>
    <w:rsid w:val="00A22F9A"/>
    <w:rsid w:val="00A231B7"/>
    <w:rsid w:val="00A23614"/>
    <w:rsid w:val="00A23D69"/>
    <w:rsid w:val="00A23EE5"/>
    <w:rsid w:val="00A2599E"/>
    <w:rsid w:val="00A301E3"/>
    <w:rsid w:val="00A33E55"/>
    <w:rsid w:val="00A34433"/>
    <w:rsid w:val="00A3513E"/>
    <w:rsid w:val="00A40494"/>
    <w:rsid w:val="00A404E4"/>
    <w:rsid w:val="00A4156A"/>
    <w:rsid w:val="00A41B8C"/>
    <w:rsid w:val="00A429F7"/>
    <w:rsid w:val="00A42F49"/>
    <w:rsid w:val="00A436B8"/>
    <w:rsid w:val="00A4418C"/>
    <w:rsid w:val="00A44201"/>
    <w:rsid w:val="00A44E36"/>
    <w:rsid w:val="00A46922"/>
    <w:rsid w:val="00A4779A"/>
    <w:rsid w:val="00A504A5"/>
    <w:rsid w:val="00A5303F"/>
    <w:rsid w:val="00A537E0"/>
    <w:rsid w:val="00A54F80"/>
    <w:rsid w:val="00A57D3F"/>
    <w:rsid w:val="00A633A3"/>
    <w:rsid w:val="00A64ABE"/>
    <w:rsid w:val="00A65044"/>
    <w:rsid w:val="00A65419"/>
    <w:rsid w:val="00A72B0E"/>
    <w:rsid w:val="00A73103"/>
    <w:rsid w:val="00A74D39"/>
    <w:rsid w:val="00A75F04"/>
    <w:rsid w:val="00A76021"/>
    <w:rsid w:val="00A76E2E"/>
    <w:rsid w:val="00A82322"/>
    <w:rsid w:val="00A8460C"/>
    <w:rsid w:val="00A861A4"/>
    <w:rsid w:val="00A92194"/>
    <w:rsid w:val="00A9348F"/>
    <w:rsid w:val="00A954C6"/>
    <w:rsid w:val="00A95704"/>
    <w:rsid w:val="00A9572D"/>
    <w:rsid w:val="00A95D20"/>
    <w:rsid w:val="00A970CE"/>
    <w:rsid w:val="00AA0386"/>
    <w:rsid w:val="00AA1D2D"/>
    <w:rsid w:val="00AA3673"/>
    <w:rsid w:val="00AA4528"/>
    <w:rsid w:val="00AA57F2"/>
    <w:rsid w:val="00AA66C7"/>
    <w:rsid w:val="00AA79B1"/>
    <w:rsid w:val="00AB1CFE"/>
    <w:rsid w:val="00AB1F61"/>
    <w:rsid w:val="00AB311A"/>
    <w:rsid w:val="00AB4B2D"/>
    <w:rsid w:val="00AB5111"/>
    <w:rsid w:val="00AB525B"/>
    <w:rsid w:val="00AC21D8"/>
    <w:rsid w:val="00AC4ED2"/>
    <w:rsid w:val="00AC54EE"/>
    <w:rsid w:val="00AC6CD6"/>
    <w:rsid w:val="00AC7501"/>
    <w:rsid w:val="00AD13CD"/>
    <w:rsid w:val="00AD1897"/>
    <w:rsid w:val="00AD1F1B"/>
    <w:rsid w:val="00AD2015"/>
    <w:rsid w:val="00AD26B7"/>
    <w:rsid w:val="00AD27DF"/>
    <w:rsid w:val="00AD2EE2"/>
    <w:rsid w:val="00AD4CC2"/>
    <w:rsid w:val="00AD67F4"/>
    <w:rsid w:val="00AD711D"/>
    <w:rsid w:val="00AE0697"/>
    <w:rsid w:val="00AE0A40"/>
    <w:rsid w:val="00AE21CA"/>
    <w:rsid w:val="00AE347F"/>
    <w:rsid w:val="00AE7BDB"/>
    <w:rsid w:val="00AF12F2"/>
    <w:rsid w:val="00AF7C9C"/>
    <w:rsid w:val="00B004B6"/>
    <w:rsid w:val="00B05752"/>
    <w:rsid w:val="00B0608C"/>
    <w:rsid w:val="00B065A2"/>
    <w:rsid w:val="00B06BE8"/>
    <w:rsid w:val="00B072BA"/>
    <w:rsid w:val="00B07DF7"/>
    <w:rsid w:val="00B10D7C"/>
    <w:rsid w:val="00B10EAE"/>
    <w:rsid w:val="00B10FC2"/>
    <w:rsid w:val="00B15363"/>
    <w:rsid w:val="00B20EB1"/>
    <w:rsid w:val="00B24E05"/>
    <w:rsid w:val="00B26544"/>
    <w:rsid w:val="00B27A66"/>
    <w:rsid w:val="00B30AB1"/>
    <w:rsid w:val="00B32D35"/>
    <w:rsid w:val="00B33AA8"/>
    <w:rsid w:val="00B3417A"/>
    <w:rsid w:val="00B35456"/>
    <w:rsid w:val="00B35615"/>
    <w:rsid w:val="00B40DCD"/>
    <w:rsid w:val="00B412E0"/>
    <w:rsid w:val="00B41EC5"/>
    <w:rsid w:val="00B42CA6"/>
    <w:rsid w:val="00B45022"/>
    <w:rsid w:val="00B45E23"/>
    <w:rsid w:val="00B472F4"/>
    <w:rsid w:val="00B47951"/>
    <w:rsid w:val="00B505AB"/>
    <w:rsid w:val="00B50C7C"/>
    <w:rsid w:val="00B51473"/>
    <w:rsid w:val="00B52FE8"/>
    <w:rsid w:val="00B54011"/>
    <w:rsid w:val="00B54026"/>
    <w:rsid w:val="00B55137"/>
    <w:rsid w:val="00B6185D"/>
    <w:rsid w:val="00B62621"/>
    <w:rsid w:val="00B63ED1"/>
    <w:rsid w:val="00B64054"/>
    <w:rsid w:val="00B7224B"/>
    <w:rsid w:val="00B723E7"/>
    <w:rsid w:val="00B73225"/>
    <w:rsid w:val="00B7482C"/>
    <w:rsid w:val="00B74D78"/>
    <w:rsid w:val="00B757BD"/>
    <w:rsid w:val="00B804EF"/>
    <w:rsid w:val="00B8140F"/>
    <w:rsid w:val="00B81DDA"/>
    <w:rsid w:val="00B837A7"/>
    <w:rsid w:val="00B83BA9"/>
    <w:rsid w:val="00B84435"/>
    <w:rsid w:val="00B84B3D"/>
    <w:rsid w:val="00B856D5"/>
    <w:rsid w:val="00B902EE"/>
    <w:rsid w:val="00B944AE"/>
    <w:rsid w:val="00B9708E"/>
    <w:rsid w:val="00BA160F"/>
    <w:rsid w:val="00BA19BA"/>
    <w:rsid w:val="00BA3A1D"/>
    <w:rsid w:val="00BA4DBA"/>
    <w:rsid w:val="00BA4FBD"/>
    <w:rsid w:val="00BA5D4B"/>
    <w:rsid w:val="00BA6BF3"/>
    <w:rsid w:val="00BA7113"/>
    <w:rsid w:val="00BA731B"/>
    <w:rsid w:val="00BA7A17"/>
    <w:rsid w:val="00BA7BD2"/>
    <w:rsid w:val="00BB0387"/>
    <w:rsid w:val="00BB06AA"/>
    <w:rsid w:val="00BB0CDE"/>
    <w:rsid w:val="00BB10F7"/>
    <w:rsid w:val="00BB3278"/>
    <w:rsid w:val="00BB394D"/>
    <w:rsid w:val="00BB4CC0"/>
    <w:rsid w:val="00BB536F"/>
    <w:rsid w:val="00BB539D"/>
    <w:rsid w:val="00BB7BE4"/>
    <w:rsid w:val="00BC239D"/>
    <w:rsid w:val="00BC3733"/>
    <w:rsid w:val="00BC3F4A"/>
    <w:rsid w:val="00BC4ADF"/>
    <w:rsid w:val="00BC4E9D"/>
    <w:rsid w:val="00BC5A10"/>
    <w:rsid w:val="00BC6527"/>
    <w:rsid w:val="00BD0C7E"/>
    <w:rsid w:val="00BD25A8"/>
    <w:rsid w:val="00BD4839"/>
    <w:rsid w:val="00BD491D"/>
    <w:rsid w:val="00BD58BB"/>
    <w:rsid w:val="00BE0BF2"/>
    <w:rsid w:val="00BE1D7E"/>
    <w:rsid w:val="00BE4D7B"/>
    <w:rsid w:val="00BE5118"/>
    <w:rsid w:val="00BE59DB"/>
    <w:rsid w:val="00BE6E6E"/>
    <w:rsid w:val="00BE77D2"/>
    <w:rsid w:val="00BF26AC"/>
    <w:rsid w:val="00BF70D7"/>
    <w:rsid w:val="00C007C0"/>
    <w:rsid w:val="00C04EB4"/>
    <w:rsid w:val="00C05521"/>
    <w:rsid w:val="00C07102"/>
    <w:rsid w:val="00C07F94"/>
    <w:rsid w:val="00C115F9"/>
    <w:rsid w:val="00C14788"/>
    <w:rsid w:val="00C1481B"/>
    <w:rsid w:val="00C165B6"/>
    <w:rsid w:val="00C2259F"/>
    <w:rsid w:val="00C22DEC"/>
    <w:rsid w:val="00C23F3D"/>
    <w:rsid w:val="00C25643"/>
    <w:rsid w:val="00C25D5D"/>
    <w:rsid w:val="00C26351"/>
    <w:rsid w:val="00C2654F"/>
    <w:rsid w:val="00C26CA6"/>
    <w:rsid w:val="00C32EC5"/>
    <w:rsid w:val="00C33EA1"/>
    <w:rsid w:val="00C36058"/>
    <w:rsid w:val="00C37129"/>
    <w:rsid w:val="00C37814"/>
    <w:rsid w:val="00C41362"/>
    <w:rsid w:val="00C4323F"/>
    <w:rsid w:val="00C4371F"/>
    <w:rsid w:val="00C43AA7"/>
    <w:rsid w:val="00C43B1A"/>
    <w:rsid w:val="00C46072"/>
    <w:rsid w:val="00C47BAE"/>
    <w:rsid w:val="00C5064C"/>
    <w:rsid w:val="00C509F5"/>
    <w:rsid w:val="00C52DD3"/>
    <w:rsid w:val="00C53DA6"/>
    <w:rsid w:val="00C540C9"/>
    <w:rsid w:val="00C541FD"/>
    <w:rsid w:val="00C56A82"/>
    <w:rsid w:val="00C573F6"/>
    <w:rsid w:val="00C60B78"/>
    <w:rsid w:val="00C6155D"/>
    <w:rsid w:val="00C63763"/>
    <w:rsid w:val="00C6379F"/>
    <w:rsid w:val="00C642EF"/>
    <w:rsid w:val="00C64C94"/>
    <w:rsid w:val="00C64F10"/>
    <w:rsid w:val="00C65114"/>
    <w:rsid w:val="00C654CB"/>
    <w:rsid w:val="00C657E4"/>
    <w:rsid w:val="00C65A3D"/>
    <w:rsid w:val="00C66581"/>
    <w:rsid w:val="00C6715C"/>
    <w:rsid w:val="00C71167"/>
    <w:rsid w:val="00C71B0B"/>
    <w:rsid w:val="00C73729"/>
    <w:rsid w:val="00C76A5B"/>
    <w:rsid w:val="00C773B3"/>
    <w:rsid w:val="00C80944"/>
    <w:rsid w:val="00C80C60"/>
    <w:rsid w:val="00C81430"/>
    <w:rsid w:val="00C82343"/>
    <w:rsid w:val="00C82DF3"/>
    <w:rsid w:val="00C83A84"/>
    <w:rsid w:val="00C86465"/>
    <w:rsid w:val="00C8767F"/>
    <w:rsid w:val="00C911C1"/>
    <w:rsid w:val="00C930D7"/>
    <w:rsid w:val="00C93C68"/>
    <w:rsid w:val="00C93D14"/>
    <w:rsid w:val="00C953A9"/>
    <w:rsid w:val="00C955C7"/>
    <w:rsid w:val="00C95B60"/>
    <w:rsid w:val="00C961C6"/>
    <w:rsid w:val="00CA2E41"/>
    <w:rsid w:val="00CA333D"/>
    <w:rsid w:val="00CA3B57"/>
    <w:rsid w:val="00CA4E38"/>
    <w:rsid w:val="00CA7A4F"/>
    <w:rsid w:val="00CB1E5D"/>
    <w:rsid w:val="00CB2127"/>
    <w:rsid w:val="00CB224A"/>
    <w:rsid w:val="00CB2BA8"/>
    <w:rsid w:val="00CB52F1"/>
    <w:rsid w:val="00CB5A43"/>
    <w:rsid w:val="00CB6AA7"/>
    <w:rsid w:val="00CB7812"/>
    <w:rsid w:val="00CB7FD2"/>
    <w:rsid w:val="00CC086B"/>
    <w:rsid w:val="00CC1A8A"/>
    <w:rsid w:val="00CC5C2C"/>
    <w:rsid w:val="00CC67EF"/>
    <w:rsid w:val="00CC6CAB"/>
    <w:rsid w:val="00CC755F"/>
    <w:rsid w:val="00CD0732"/>
    <w:rsid w:val="00CD1501"/>
    <w:rsid w:val="00CD228D"/>
    <w:rsid w:val="00CD3B55"/>
    <w:rsid w:val="00CD429A"/>
    <w:rsid w:val="00CD5157"/>
    <w:rsid w:val="00CD7F6B"/>
    <w:rsid w:val="00CE4121"/>
    <w:rsid w:val="00CE6B32"/>
    <w:rsid w:val="00CF0660"/>
    <w:rsid w:val="00CF1D61"/>
    <w:rsid w:val="00CF3107"/>
    <w:rsid w:val="00CF6E04"/>
    <w:rsid w:val="00CF6FB3"/>
    <w:rsid w:val="00CF7744"/>
    <w:rsid w:val="00D013C3"/>
    <w:rsid w:val="00D10E43"/>
    <w:rsid w:val="00D11517"/>
    <w:rsid w:val="00D126C5"/>
    <w:rsid w:val="00D12827"/>
    <w:rsid w:val="00D12C6F"/>
    <w:rsid w:val="00D12E58"/>
    <w:rsid w:val="00D14D82"/>
    <w:rsid w:val="00D201BE"/>
    <w:rsid w:val="00D20990"/>
    <w:rsid w:val="00D20D0E"/>
    <w:rsid w:val="00D2137E"/>
    <w:rsid w:val="00D24B20"/>
    <w:rsid w:val="00D24E13"/>
    <w:rsid w:val="00D26962"/>
    <w:rsid w:val="00D27800"/>
    <w:rsid w:val="00D3016A"/>
    <w:rsid w:val="00D310E1"/>
    <w:rsid w:val="00D313E6"/>
    <w:rsid w:val="00D31D43"/>
    <w:rsid w:val="00D34AB0"/>
    <w:rsid w:val="00D36145"/>
    <w:rsid w:val="00D37EF0"/>
    <w:rsid w:val="00D4005D"/>
    <w:rsid w:val="00D40BB0"/>
    <w:rsid w:val="00D410D4"/>
    <w:rsid w:val="00D41BFC"/>
    <w:rsid w:val="00D41F18"/>
    <w:rsid w:val="00D42F93"/>
    <w:rsid w:val="00D43323"/>
    <w:rsid w:val="00D43737"/>
    <w:rsid w:val="00D43942"/>
    <w:rsid w:val="00D46334"/>
    <w:rsid w:val="00D470AF"/>
    <w:rsid w:val="00D5093B"/>
    <w:rsid w:val="00D50FA6"/>
    <w:rsid w:val="00D55EF5"/>
    <w:rsid w:val="00D56EFC"/>
    <w:rsid w:val="00D61F3F"/>
    <w:rsid w:val="00D6257B"/>
    <w:rsid w:val="00D63908"/>
    <w:rsid w:val="00D649BE"/>
    <w:rsid w:val="00D64E79"/>
    <w:rsid w:val="00D650F4"/>
    <w:rsid w:val="00D66BF3"/>
    <w:rsid w:val="00D66FE0"/>
    <w:rsid w:val="00D70202"/>
    <w:rsid w:val="00D70526"/>
    <w:rsid w:val="00D71177"/>
    <w:rsid w:val="00D73AFF"/>
    <w:rsid w:val="00D7594F"/>
    <w:rsid w:val="00D76986"/>
    <w:rsid w:val="00D802B3"/>
    <w:rsid w:val="00D82140"/>
    <w:rsid w:val="00D83334"/>
    <w:rsid w:val="00D83627"/>
    <w:rsid w:val="00D91918"/>
    <w:rsid w:val="00D9461B"/>
    <w:rsid w:val="00D973F5"/>
    <w:rsid w:val="00DA22B0"/>
    <w:rsid w:val="00DA4B02"/>
    <w:rsid w:val="00DB07B7"/>
    <w:rsid w:val="00DB13C9"/>
    <w:rsid w:val="00DB19C2"/>
    <w:rsid w:val="00DB3C14"/>
    <w:rsid w:val="00DB5B51"/>
    <w:rsid w:val="00DB700D"/>
    <w:rsid w:val="00DC0FA1"/>
    <w:rsid w:val="00DC1028"/>
    <w:rsid w:val="00DC1576"/>
    <w:rsid w:val="00DC1EDC"/>
    <w:rsid w:val="00DC1FD5"/>
    <w:rsid w:val="00DC3047"/>
    <w:rsid w:val="00DC6201"/>
    <w:rsid w:val="00DC65D7"/>
    <w:rsid w:val="00DC7863"/>
    <w:rsid w:val="00DC7E30"/>
    <w:rsid w:val="00DD057C"/>
    <w:rsid w:val="00DD07B6"/>
    <w:rsid w:val="00DD771A"/>
    <w:rsid w:val="00DE0CB2"/>
    <w:rsid w:val="00DE1887"/>
    <w:rsid w:val="00DE1F14"/>
    <w:rsid w:val="00DE1FF8"/>
    <w:rsid w:val="00DE2B14"/>
    <w:rsid w:val="00DE5B92"/>
    <w:rsid w:val="00DE638F"/>
    <w:rsid w:val="00DE658F"/>
    <w:rsid w:val="00DE76CB"/>
    <w:rsid w:val="00DF0DCE"/>
    <w:rsid w:val="00DF104C"/>
    <w:rsid w:val="00DF2560"/>
    <w:rsid w:val="00DF25E3"/>
    <w:rsid w:val="00DF2791"/>
    <w:rsid w:val="00DF2E0E"/>
    <w:rsid w:val="00DF4F94"/>
    <w:rsid w:val="00DF5F57"/>
    <w:rsid w:val="00E007AD"/>
    <w:rsid w:val="00E027A2"/>
    <w:rsid w:val="00E03336"/>
    <w:rsid w:val="00E06FF8"/>
    <w:rsid w:val="00E10DD2"/>
    <w:rsid w:val="00E1307D"/>
    <w:rsid w:val="00E13753"/>
    <w:rsid w:val="00E13B71"/>
    <w:rsid w:val="00E13EE4"/>
    <w:rsid w:val="00E1490A"/>
    <w:rsid w:val="00E14C4A"/>
    <w:rsid w:val="00E16339"/>
    <w:rsid w:val="00E172B6"/>
    <w:rsid w:val="00E177C9"/>
    <w:rsid w:val="00E21274"/>
    <w:rsid w:val="00E2177F"/>
    <w:rsid w:val="00E228ED"/>
    <w:rsid w:val="00E23035"/>
    <w:rsid w:val="00E237B4"/>
    <w:rsid w:val="00E2425F"/>
    <w:rsid w:val="00E27DDF"/>
    <w:rsid w:val="00E30189"/>
    <w:rsid w:val="00E3201C"/>
    <w:rsid w:val="00E341C7"/>
    <w:rsid w:val="00E362AB"/>
    <w:rsid w:val="00E401CB"/>
    <w:rsid w:val="00E410E8"/>
    <w:rsid w:val="00E423A2"/>
    <w:rsid w:val="00E43F9B"/>
    <w:rsid w:val="00E44260"/>
    <w:rsid w:val="00E4672E"/>
    <w:rsid w:val="00E5013E"/>
    <w:rsid w:val="00E5024D"/>
    <w:rsid w:val="00E54BA2"/>
    <w:rsid w:val="00E54DB4"/>
    <w:rsid w:val="00E55B5D"/>
    <w:rsid w:val="00E56029"/>
    <w:rsid w:val="00E601D9"/>
    <w:rsid w:val="00E602B0"/>
    <w:rsid w:val="00E6058E"/>
    <w:rsid w:val="00E6213E"/>
    <w:rsid w:val="00E62159"/>
    <w:rsid w:val="00E63D7E"/>
    <w:rsid w:val="00E63E7F"/>
    <w:rsid w:val="00E644F0"/>
    <w:rsid w:val="00E64B28"/>
    <w:rsid w:val="00E65DEC"/>
    <w:rsid w:val="00E702F3"/>
    <w:rsid w:val="00E715A3"/>
    <w:rsid w:val="00E739E3"/>
    <w:rsid w:val="00E74364"/>
    <w:rsid w:val="00E74CA6"/>
    <w:rsid w:val="00E80168"/>
    <w:rsid w:val="00E8042E"/>
    <w:rsid w:val="00E80EED"/>
    <w:rsid w:val="00E84EDF"/>
    <w:rsid w:val="00E90907"/>
    <w:rsid w:val="00E927DA"/>
    <w:rsid w:val="00E9296B"/>
    <w:rsid w:val="00E951A2"/>
    <w:rsid w:val="00E96BE1"/>
    <w:rsid w:val="00E96C21"/>
    <w:rsid w:val="00E97758"/>
    <w:rsid w:val="00EA44E1"/>
    <w:rsid w:val="00EA666C"/>
    <w:rsid w:val="00EA67FC"/>
    <w:rsid w:val="00EA715F"/>
    <w:rsid w:val="00EA7617"/>
    <w:rsid w:val="00EA7AD7"/>
    <w:rsid w:val="00EA7E80"/>
    <w:rsid w:val="00EB169C"/>
    <w:rsid w:val="00EB21D6"/>
    <w:rsid w:val="00EB2387"/>
    <w:rsid w:val="00EB602F"/>
    <w:rsid w:val="00EB690C"/>
    <w:rsid w:val="00EB6DC5"/>
    <w:rsid w:val="00EB71FE"/>
    <w:rsid w:val="00EB7B3B"/>
    <w:rsid w:val="00EB7EAE"/>
    <w:rsid w:val="00EC0E25"/>
    <w:rsid w:val="00EC4CD1"/>
    <w:rsid w:val="00EC4EA8"/>
    <w:rsid w:val="00EC5040"/>
    <w:rsid w:val="00ED39D5"/>
    <w:rsid w:val="00ED4817"/>
    <w:rsid w:val="00ED5D07"/>
    <w:rsid w:val="00EE0030"/>
    <w:rsid w:val="00EE58EC"/>
    <w:rsid w:val="00EE6F94"/>
    <w:rsid w:val="00EE7DA1"/>
    <w:rsid w:val="00EF2478"/>
    <w:rsid w:val="00EF384F"/>
    <w:rsid w:val="00EF3E90"/>
    <w:rsid w:val="00EF428A"/>
    <w:rsid w:val="00EF5535"/>
    <w:rsid w:val="00EF5D56"/>
    <w:rsid w:val="00EF61C2"/>
    <w:rsid w:val="00EF7224"/>
    <w:rsid w:val="00F012EA"/>
    <w:rsid w:val="00F026D5"/>
    <w:rsid w:val="00F02E95"/>
    <w:rsid w:val="00F03469"/>
    <w:rsid w:val="00F036EF"/>
    <w:rsid w:val="00F0427A"/>
    <w:rsid w:val="00F04FB3"/>
    <w:rsid w:val="00F05EC6"/>
    <w:rsid w:val="00F06C9A"/>
    <w:rsid w:val="00F06F2B"/>
    <w:rsid w:val="00F07233"/>
    <w:rsid w:val="00F10126"/>
    <w:rsid w:val="00F10822"/>
    <w:rsid w:val="00F10948"/>
    <w:rsid w:val="00F10E98"/>
    <w:rsid w:val="00F138D3"/>
    <w:rsid w:val="00F13C4C"/>
    <w:rsid w:val="00F13D63"/>
    <w:rsid w:val="00F13FC0"/>
    <w:rsid w:val="00F1502C"/>
    <w:rsid w:val="00F158C8"/>
    <w:rsid w:val="00F16AD4"/>
    <w:rsid w:val="00F20A48"/>
    <w:rsid w:val="00F2112D"/>
    <w:rsid w:val="00F2489B"/>
    <w:rsid w:val="00F24977"/>
    <w:rsid w:val="00F24F0C"/>
    <w:rsid w:val="00F264DD"/>
    <w:rsid w:val="00F27E23"/>
    <w:rsid w:val="00F31870"/>
    <w:rsid w:val="00F31C09"/>
    <w:rsid w:val="00F327F4"/>
    <w:rsid w:val="00F337B9"/>
    <w:rsid w:val="00F339A0"/>
    <w:rsid w:val="00F33A6A"/>
    <w:rsid w:val="00F35EE5"/>
    <w:rsid w:val="00F36425"/>
    <w:rsid w:val="00F366D0"/>
    <w:rsid w:val="00F36A11"/>
    <w:rsid w:val="00F40010"/>
    <w:rsid w:val="00F4166D"/>
    <w:rsid w:val="00F41E30"/>
    <w:rsid w:val="00F5185C"/>
    <w:rsid w:val="00F5722D"/>
    <w:rsid w:val="00F60530"/>
    <w:rsid w:val="00F64BAE"/>
    <w:rsid w:val="00F6535A"/>
    <w:rsid w:val="00F658DB"/>
    <w:rsid w:val="00F65B22"/>
    <w:rsid w:val="00F703DE"/>
    <w:rsid w:val="00F71631"/>
    <w:rsid w:val="00F73064"/>
    <w:rsid w:val="00F74714"/>
    <w:rsid w:val="00F74A07"/>
    <w:rsid w:val="00F75D77"/>
    <w:rsid w:val="00F76AD0"/>
    <w:rsid w:val="00F77C4A"/>
    <w:rsid w:val="00F8046B"/>
    <w:rsid w:val="00F805AB"/>
    <w:rsid w:val="00F81046"/>
    <w:rsid w:val="00F814A8"/>
    <w:rsid w:val="00F81E2A"/>
    <w:rsid w:val="00F8278C"/>
    <w:rsid w:val="00F83349"/>
    <w:rsid w:val="00F839D2"/>
    <w:rsid w:val="00F85206"/>
    <w:rsid w:val="00F865ED"/>
    <w:rsid w:val="00F8675B"/>
    <w:rsid w:val="00F87048"/>
    <w:rsid w:val="00F87BB2"/>
    <w:rsid w:val="00F90417"/>
    <w:rsid w:val="00F913A3"/>
    <w:rsid w:val="00F9270E"/>
    <w:rsid w:val="00F92A3D"/>
    <w:rsid w:val="00F94511"/>
    <w:rsid w:val="00F95748"/>
    <w:rsid w:val="00F97029"/>
    <w:rsid w:val="00FA0D2B"/>
    <w:rsid w:val="00FA24EB"/>
    <w:rsid w:val="00FA2680"/>
    <w:rsid w:val="00FA6EE3"/>
    <w:rsid w:val="00FA71D2"/>
    <w:rsid w:val="00FA74F9"/>
    <w:rsid w:val="00FA7977"/>
    <w:rsid w:val="00FB04E9"/>
    <w:rsid w:val="00FB0922"/>
    <w:rsid w:val="00FB28EA"/>
    <w:rsid w:val="00FB3FED"/>
    <w:rsid w:val="00FB5015"/>
    <w:rsid w:val="00FB50BD"/>
    <w:rsid w:val="00FB59AE"/>
    <w:rsid w:val="00FB5B60"/>
    <w:rsid w:val="00FC4C0C"/>
    <w:rsid w:val="00FC5297"/>
    <w:rsid w:val="00FC5BC4"/>
    <w:rsid w:val="00FC6D69"/>
    <w:rsid w:val="00FD1C7D"/>
    <w:rsid w:val="00FD2BE6"/>
    <w:rsid w:val="00FD3723"/>
    <w:rsid w:val="00FD5B69"/>
    <w:rsid w:val="00FE04BC"/>
    <w:rsid w:val="00FE0584"/>
    <w:rsid w:val="00FE1699"/>
    <w:rsid w:val="00FE2817"/>
    <w:rsid w:val="00FE6745"/>
    <w:rsid w:val="00FE6819"/>
    <w:rsid w:val="00FF057F"/>
    <w:rsid w:val="00FF05E0"/>
    <w:rsid w:val="00FF1064"/>
    <w:rsid w:val="00FF1296"/>
    <w:rsid w:val="00FF1581"/>
    <w:rsid w:val="00FF34C8"/>
    <w:rsid w:val="00FF41BE"/>
    <w:rsid w:val="00FF4FD6"/>
    <w:rsid w:val="00FF5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42D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98"/>
    <w:rPr>
      <w:rFonts w:ascii="Calibri" w:hAnsi="Calibri"/>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autoRedefine/>
    <w:qFormat/>
    <w:rsid w:val="001D48C3"/>
    <w:pPr>
      <w:widowControl w:val="0"/>
      <w:numPr>
        <w:numId w:val="22"/>
      </w:numPr>
      <w:tabs>
        <w:tab w:val="clear" w:pos="5170"/>
        <w:tab w:val="left" w:pos="426"/>
      </w:tabs>
      <w:adjustRightInd w:val="0"/>
      <w:spacing w:before="360" w:after="12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D3016A"/>
    <w:pPr>
      <w:keepNext/>
      <w:widowControl w:val="0"/>
      <w:tabs>
        <w:tab w:val="left" w:pos="0"/>
      </w:tabs>
      <w:adjustRightInd w:val="0"/>
      <w:spacing w:after="240" w:line="240" w:lineRule="auto"/>
      <w:textAlignment w:val="baseline"/>
      <w:outlineLvl w:val="2"/>
    </w:pPr>
    <w:rPr>
      <w:rFonts w:ascii="Arial" w:hAnsi="Arial"/>
      <w:color w:val="003157"/>
      <w:sz w:val="28"/>
      <w:lang w:eastAsia="en-AU"/>
    </w:rPr>
  </w:style>
  <w:style w:type="paragraph" w:styleId="Heading4">
    <w:name w:val="heading 4"/>
    <w:basedOn w:val="HeadingBaseStyle"/>
    <w:next w:val="Normal"/>
    <w:link w:val="Heading4Char"/>
    <w:autoRedefine/>
    <w:qFormat/>
    <w:rsid w:val="002128FD"/>
    <w:pPr>
      <w:numPr>
        <w:ilvl w:val="2"/>
        <w:numId w:val="16"/>
      </w:numPr>
      <w:tabs>
        <w:tab w:val="clear" w:pos="-216"/>
        <w:tab w:val="num" w:pos="0"/>
      </w:tabs>
      <w:spacing w:after="120"/>
      <w:ind w:left="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1D48C3"/>
    <w:rPr>
      <w:rFonts w:ascii="Arial Bold" w:hAnsi="Arial Bold"/>
      <w:b/>
      <w:smallCaps/>
      <w:color w:val="003157"/>
      <w:sz w:val="32"/>
    </w:rPr>
  </w:style>
  <w:style w:type="character" w:customStyle="1" w:styleId="Heading3Char">
    <w:name w:val="Heading 3 Char"/>
    <w:basedOn w:val="DefaultParagraphFont"/>
    <w:link w:val="Heading3"/>
    <w:rsid w:val="00D3016A"/>
    <w:rPr>
      <w:rFonts w:ascii="Arial" w:hAnsi="Arial"/>
      <w:color w:val="003157"/>
      <w:sz w:val="28"/>
      <w:lang w:eastAsia="en-AU"/>
    </w:rPr>
  </w:style>
  <w:style w:type="character" w:customStyle="1" w:styleId="Heading4Char">
    <w:name w:val="Heading 4 Char"/>
    <w:basedOn w:val="DefaultParagraphFont"/>
    <w:link w:val="Heading4"/>
    <w:rsid w:val="002128FD"/>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aliases w:val="b,b1,b + line"/>
    <w:basedOn w:val="Normal"/>
    <w:link w:val="BulletChar"/>
    <w:rsid w:val="00F73064"/>
    <w:pPr>
      <w:keepNext/>
      <w:numPr>
        <w:numId w:val="20"/>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20"/>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4156A"/>
    <w:pPr>
      <w:tabs>
        <w:tab w:val="left" w:pos="284"/>
      </w:tabs>
      <w:spacing w:after="0" w:line="240" w:lineRule="auto"/>
      <w:ind w:left="284" w:hanging="284"/>
    </w:pPr>
    <w:rPr>
      <w:sz w:val="20"/>
    </w:rPr>
  </w:style>
  <w:style w:type="character" w:customStyle="1" w:styleId="FootnoteTextChar">
    <w:name w:val="Footnote Text Char"/>
    <w:basedOn w:val="DefaultParagraphFont"/>
    <w:link w:val="FootnoteText"/>
    <w:rsid w:val="00A4156A"/>
    <w:rPr>
      <w:rFonts w:ascii="Calibri" w:hAnsi="Calibri"/>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line="240" w:lineRule="auto"/>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8C0793"/>
    <w:pPr>
      <w:spacing w:after="60"/>
      <w:jc w:val="center"/>
    </w:pPr>
    <w:rPr>
      <w:rFonts w:ascii="Times New Roman" w:eastAsia="Times New Roman" w:hAnsi="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8C0793"/>
    <w:rPr>
      <w:rFonts w:ascii="Times New Roman" w:eastAsia="Times New Roman" w:hAnsi="Times New Roman"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7"/>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8"/>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8"/>
      </w:numPr>
    </w:pPr>
  </w:style>
  <w:style w:type="paragraph" w:customStyle="1" w:styleId="AppendixHeadingLevel4">
    <w:name w:val="Appendix Heading Level 4"/>
    <w:basedOn w:val="Heading4"/>
    <w:next w:val="Normal"/>
    <w:rsid w:val="00F73064"/>
    <w:pPr>
      <w:numPr>
        <w:ilvl w:val="3"/>
        <w:numId w:val="18"/>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rsid w:val="005E7582"/>
    <w:pPr>
      <w:numPr>
        <w:numId w:val="23"/>
      </w:numPr>
      <w:spacing w:after="120"/>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aliases w:val="b Char,b + line Char Char,b Char Char"/>
    <w:basedOn w:val="DefaultParagraphFont"/>
    <w:link w:val="Bullet"/>
    <w:rsid w:val="00F36425"/>
    <w:rPr>
      <w:rFonts w:ascii="Calibri" w:hAnsi="Calibri"/>
    </w:rPr>
  </w:style>
  <w:style w:type="character" w:customStyle="1" w:styleId="DashChar">
    <w:name w:val="Dash Char"/>
    <w:basedOn w:val="DefaultParagraphFont"/>
    <w:link w:val="Dash"/>
    <w:rsid w:val="00F36425"/>
    <w:rPr>
      <w:rFonts w:ascii="Calibri" w:hAnsi="Calibri"/>
    </w:rPr>
  </w:style>
  <w:style w:type="paragraph" w:styleId="ListParagraph">
    <w:name w:val="List Paragraph"/>
    <w:basedOn w:val="Normal"/>
    <w:uiPriority w:val="34"/>
    <w:qFormat/>
    <w:rsid w:val="00885467"/>
    <w:pPr>
      <w:spacing w:after="0" w:line="240" w:lineRule="auto"/>
      <w:ind w:left="720"/>
    </w:pPr>
    <w:rPr>
      <w:rFonts w:cs="Times New Roman"/>
    </w:rPr>
  </w:style>
  <w:style w:type="paragraph" w:customStyle="1" w:styleId="Copyrightheading">
    <w:name w:val="Copyright heading"/>
    <w:basedOn w:val="Heading3NotNumbered"/>
    <w:qFormat/>
    <w:rsid w:val="000D6734"/>
    <w:rPr>
      <w:rFonts w:ascii="Calibri" w:hAnsi="Calibri"/>
      <w:i/>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98"/>
    <w:rPr>
      <w:rFonts w:ascii="Calibri" w:hAnsi="Calibri"/>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autoRedefine/>
    <w:qFormat/>
    <w:rsid w:val="001D48C3"/>
    <w:pPr>
      <w:widowControl w:val="0"/>
      <w:numPr>
        <w:numId w:val="22"/>
      </w:numPr>
      <w:tabs>
        <w:tab w:val="clear" w:pos="5170"/>
        <w:tab w:val="left" w:pos="426"/>
      </w:tabs>
      <w:adjustRightInd w:val="0"/>
      <w:spacing w:before="360" w:after="12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D3016A"/>
    <w:pPr>
      <w:keepNext/>
      <w:widowControl w:val="0"/>
      <w:tabs>
        <w:tab w:val="left" w:pos="0"/>
      </w:tabs>
      <w:adjustRightInd w:val="0"/>
      <w:spacing w:after="240" w:line="240" w:lineRule="auto"/>
      <w:textAlignment w:val="baseline"/>
      <w:outlineLvl w:val="2"/>
    </w:pPr>
    <w:rPr>
      <w:rFonts w:ascii="Arial" w:hAnsi="Arial"/>
      <w:color w:val="003157"/>
      <w:sz w:val="28"/>
      <w:lang w:eastAsia="en-AU"/>
    </w:rPr>
  </w:style>
  <w:style w:type="paragraph" w:styleId="Heading4">
    <w:name w:val="heading 4"/>
    <w:basedOn w:val="HeadingBaseStyle"/>
    <w:next w:val="Normal"/>
    <w:link w:val="Heading4Char"/>
    <w:autoRedefine/>
    <w:qFormat/>
    <w:rsid w:val="002128FD"/>
    <w:pPr>
      <w:numPr>
        <w:ilvl w:val="2"/>
        <w:numId w:val="16"/>
      </w:numPr>
      <w:tabs>
        <w:tab w:val="clear" w:pos="-216"/>
        <w:tab w:val="num" w:pos="0"/>
      </w:tabs>
      <w:spacing w:after="120"/>
      <w:ind w:left="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1D48C3"/>
    <w:rPr>
      <w:rFonts w:ascii="Arial Bold" w:hAnsi="Arial Bold"/>
      <w:b/>
      <w:smallCaps/>
      <w:color w:val="003157"/>
      <w:sz w:val="32"/>
    </w:rPr>
  </w:style>
  <w:style w:type="character" w:customStyle="1" w:styleId="Heading3Char">
    <w:name w:val="Heading 3 Char"/>
    <w:basedOn w:val="DefaultParagraphFont"/>
    <w:link w:val="Heading3"/>
    <w:rsid w:val="00D3016A"/>
    <w:rPr>
      <w:rFonts w:ascii="Arial" w:hAnsi="Arial"/>
      <w:color w:val="003157"/>
      <w:sz w:val="28"/>
      <w:lang w:eastAsia="en-AU"/>
    </w:rPr>
  </w:style>
  <w:style w:type="character" w:customStyle="1" w:styleId="Heading4Char">
    <w:name w:val="Heading 4 Char"/>
    <w:basedOn w:val="DefaultParagraphFont"/>
    <w:link w:val="Heading4"/>
    <w:rsid w:val="002128FD"/>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aliases w:val="b,b1,b + line"/>
    <w:basedOn w:val="Normal"/>
    <w:link w:val="BulletChar"/>
    <w:rsid w:val="00F73064"/>
    <w:pPr>
      <w:keepNext/>
      <w:numPr>
        <w:numId w:val="20"/>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20"/>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4156A"/>
    <w:pPr>
      <w:tabs>
        <w:tab w:val="left" w:pos="284"/>
      </w:tabs>
      <w:spacing w:after="0" w:line="240" w:lineRule="auto"/>
      <w:ind w:left="284" w:hanging="284"/>
    </w:pPr>
    <w:rPr>
      <w:sz w:val="20"/>
    </w:rPr>
  </w:style>
  <w:style w:type="character" w:customStyle="1" w:styleId="FootnoteTextChar">
    <w:name w:val="Footnote Text Char"/>
    <w:basedOn w:val="DefaultParagraphFont"/>
    <w:link w:val="FootnoteText"/>
    <w:rsid w:val="00A4156A"/>
    <w:rPr>
      <w:rFonts w:ascii="Calibri" w:hAnsi="Calibri"/>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line="240" w:lineRule="auto"/>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8C0793"/>
    <w:pPr>
      <w:spacing w:after="60"/>
      <w:jc w:val="center"/>
    </w:pPr>
    <w:rPr>
      <w:rFonts w:ascii="Times New Roman" w:eastAsia="Times New Roman" w:hAnsi="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8C0793"/>
    <w:rPr>
      <w:rFonts w:ascii="Times New Roman" w:eastAsia="Times New Roman" w:hAnsi="Times New Roman"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7"/>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8"/>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8"/>
      </w:numPr>
    </w:pPr>
  </w:style>
  <w:style w:type="paragraph" w:customStyle="1" w:styleId="AppendixHeadingLevel4">
    <w:name w:val="Appendix Heading Level 4"/>
    <w:basedOn w:val="Heading4"/>
    <w:next w:val="Normal"/>
    <w:rsid w:val="00F73064"/>
    <w:pPr>
      <w:numPr>
        <w:ilvl w:val="3"/>
        <w:numId w:val="18"/>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rsid w:val="005E7582"/>
    <w:pPr>
      <w:numPr>
        <w:numId w:val="23"/>
      </w:numPr>
      <w:spacing w:after="120"/>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aliases w:val="b Char,b + line Char Char,b Char Char"/>
    <w:basedOn w:val="DefaultParagraphFont"/>
    <w:link w:val="Bullet"/>
    <w:rsid w:val="00F36425"/>
    <w:rPr>
      <w:rFonts w:ascii="Calibri" w:hAnsi="Calibri"/>
    </w:rPr>
  </w:style>
  <w:style w:type="character" w:customStyle="1" w:styleId="DashChar">
    <w:name w:val="Dash Char"/>
    <w:basedOn w:val="DefaultParagraphFont"/>
    <w:link w:val="Dash"/>
    <w:rsid w:val="00F36425"/>
    <w:rPr>
      <w:rFonts w:ascii="Calibri" w:hAnsi="Calibri"/>
    </w:rPr>
  </w:style>
  <w:style w:type="paragraph" w:styleId="ListParagraph">
    <w:name w:val="List Paragraph"/>
    <w:basedOn w:val="Normal"/>
    <w:uiPriority w:val="34"/>
    <w:qFormat/>
    <w:rsid w:val="00885467"/>
    <w:pPr>
      <w:spacing w:after="0" w:line="240" w:lineRule="auto"/>
      <w:ind w:left="720"/>
    </w:pPr>
    <w:rPr>
      <w:rFonts w:cs="Times New Roman"/>
    </w:rPr>
  </w:style>
  <w:style w:type="paragraph" w:customStyle="1" w:styleId="Copyrightheading">
    <w:name w:val="Copyright heading"/>
    <w:basedOn w:val="Heading3NotNumbered"/>
    <w:qFormat/>
    <w:rsid w:val="000D6734"/>
    <w:rPr>
      <w:rFonts w:ascii="Calibri" w:hAnsi="Calibri"/>
      <w: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header" Target="header4.xml"/><Relationship Id="rId42" Type="http://schemas.openxmlformats.org/officeDocument/2006/relationships/image" Target="media/image14.wmf"/><Relationship Id="rId63" Type="http://schemas.openxmlformats.org/officeDocument/2006/relationships/oleObject" Target="embeddings/oleObject20.bin"/><Relationship Id="rId84" Type="http://schemas.openxmlformats.org/officeDocument/2006/relationships/oleObject" Target="embeddings/oleObject31.bin"/><Relationship Id="rId138" Type="http://schemas.openxmlformats.org/officeDocument/2006/relationships/oleObject" Target="file:///\\romulus\ecd_pro$\RESEARCH\NAFF\Output%20-%20Projection%20methodology\Working%20Paper%20analysis\DAT%20-%20Theory%20and%20estimation%20charts.xlsx!Part%20rate!%5bDAT%20-%20Theory%20and%20estimation%20charts.xlsx%5dPart%20rate%20Chart%201" TargetMode="External"/><Relationship Id="rId159" Type="http://schemas.openxmlformats.org/officeDocument/2006/relationships/oleObject" Target="file:///\\romulus\ecd_pro$\RESEARCH\NAFF\Output%20-%20Projection%20methodology\Working%20Paper%20analysis\DAT%20-%20Chart%20of%20change%20in%20nominal%20GDP%20Budget.xlsx!MYEFO%20cycle!%5bDAT%20-%20Chart%20of%20change%20in%20nominal%20GDP%20Budget.xlsx%5dMYEFO%20cycle%20Chart%201" TargetMode="External"/><Relationship Id="rId170" Type="http://schemas.openxmlformats.org/officeDocument/2006/relationships/oleObject" Target="file:///\\romulus\ecd_pro$\RESEARCH\NAFF\Output%20-%20Projection%20methodology\Working%20Paper%20analysis\Budget%20sensitivity%20analysis\Sensitivity%20analysis%20data%20and%20charts.xlsx!Close%20gap%203%20years!%5bSensitivity%20analysis%20data%20and%20charts.xlsx%5dClose%20gap%203%20years%20Chart%201" TargetMode="External"/><Relationship Id="rId191" Type="http://schemas.openxmlformats.org/officeDocument/2006/relationships/oleObject" Target="file:///\\romulus\ecd_pro$\RESEARCH\NAFF\Output%20-%20Projection%20methodology\Working%20Paper%20analysis\Budget%20sensitivity%20analysis\Sensitivity%20analysis%20data%20and%20charts.xlsx!Increase%20output%20$10b!%5bSensitivity%20analysis%20data%20and%20charts.xlsx%5dIncrease%20output%20$10b%20C" TargetMode="External"/><Relationship Id="rId196" Type="http://schemas.openxmlformats.org/officeDocument/2006/relationships/footer" Target="footer4.xml"/><Relationship Id="rId16" Type="http://schemas.openxmlformats.org/officeDocument/2006/relationships/hyperlink" Target="http://creativecommons.org/licenses/by/3.0/au/legalcode" TargetMode="External"/><Relationship Id="rId107" Type="http://schemas.openxmlformats.org/officeDocument/2006/relationships/image" Target="media/image46.wmf"/><Relationship Id="rId11" Type="http://schemas.openxmlformats.org/officeDocument/2006/relationships/footer" Target="footer1.xml"/><Relationship Id="rId32" Type="http://schemas.openxmlformats.org/officeDocument/2006/relationships/image" Target="media/image9.w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2.wmf"/><Relationship Id="rId74" Type="http://schemas.openxmlformats.org/officeDocument/2006/relationships/oleObject" Target="embeddings/oleObject26.bin"/><Relationship Id="rId79" Type="http://schemas.openxmlformats.org/officeDocument/2006/relationships/image" Target="media/image32.wmf"/><Relationship Id="rId102" Type="http://schemas.openxmlformats.org/officeDocument/2006/relationships/oleObject" Target="embeddings/oleObject40.bin"/><Relationship Id="rId123" Type="http://schemas.openxmlformats.org/officeDocument/2006/relationships/image" Target="media/image54.wmf"/><Relationship Id="rId128" Type="http://schemas.openxmlformats.org/officeDocument/2006/relationships/oleObject" Target="embeddings/oleObject53.bin"/><Relationship Id="rId144" Type="http://schemas.openxmlformats.org/officeDocument/2006/relationships/oleObject" Target="file:///\\romulus\ecd_pro$\RESEARCH\NAFF\Output%20-%20Projection%20methodology\Working%20Paper%20analysis\DAT%20-%20Chart%20of%20change%20in%20nominal%20GDP%20Budget.xlsx!Output%20gap!%5bDAT%20-%20Chart%20of%20change%20in%20nominal%20GDP%20Budget.xlsx%5dOutput%20gap%20Chart%201" TargetMode="External"/><Relationship Id="rId149" Type="http://schemas.openxmlformats.org/officeDocument/2006/relationships/image" Target="media/image67.emf"/><Relationship Id="rId5" Type="http://schemas.openxmlformats.org/officeDocument/2006/relationships/settings" Target="settings.xml"/><Relationship Id="rId90" Type="http://schemas.openxmlformats.org/officeDocument/2006/relationships/oleObject" Target="embeddings/oleObject34.bin"/><Relationship Id="rId95" Type="http://schemas.openxmlformats.org/officeDocument/2006/relationships/image" Target="media/image40.wmf"/><Relationship Id="rId160" Type="http://schemas.openxmlformats.org/officeDocument/2006/relationships/image" Target="media/image73.emf"/><Relationship Id="rId165" Type="http://schemas.openxmlformats.org/officeDocument/2006/relationships/image" Target="media/image77.emf"/><Relationship Id="rId181" Type="http://schemas.openxmlformats.org/officeDocument/2006/relationships/image" Target="media/image89.emf"/><Relationship Id="rId186" Type="http://schemas.openxmlformats.org/officeDocument/2006/relationships/image" Target="media/image93.emf"/><Relationship Id="rId22" Type="http://schemas.openxmlformats.org/officeDocument/2006/relationships/image" Target="media/image4.emf"/><Relationship Id="rId27" Type="http://schemas.openxmlformats.org/officeDocument/2006/relationships/oleObject" Target="embeddings/oleObject2.bin"/><Relationship Id="rId43" Type="http://schemas.openxmlformats.org/officeDocument/2006/relationships/oleObject" Target="embeddings/oleObject10.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image" Target="media/image27.wmf"/><Relationship Id="rId113" Type="http://schemas.openxmlformats.org/officeDocument/2006/relationships/image" Target="media/image49.wmf"/><Relationship Id="rId118" Type="http://schemas.openxmlformats.org/officeDocument/2006/relationships/oleObject" Target="embeddings/oleObject48.bin"/><Relationship Id="rId134" Type="http://schemas.openxmlformats.org/officeDocument/2006/relationships/oleObject" Target="embeddings/oleObject56.bin"/><Relationship Id="rId139" Type="http://schemas.openxmlformats.org/officeDocument/2006/relationships/image" Target="media/image62.emf"/><Relationship Id="rId80" Type="http://schemas.openxmlformats.org/officeDocument/2006/relationships/oleObject" Target="embeddings/oleObject29.bin"/><Relationship Id="rId85" Type="http://schemas.openxmlformats.org/officeDocument/2006/relationships/image" Target="media/image35.wmf"/><Relationship Id="rId150" Type="http://schemas.openxmlformats.org/officeDocument/2006/relationships/oleObject" Target="file:///\\romulus\ecd_pro$\RESEARCH\NAFF\Output%20-%20Projection%20methodology\Working%20Paper%20analysis\DAT%20-%20Chart%20of%20change%20in%20nominal%20GDP%20Budget.xlsx!Expenditure%20prices!%5bDAT%20-%20Chart%20of%20change%20in%20nominal%20GDP%20Budget.xlsx%5dExpenditure%20prices%20Chart%202" TargetMode="External"/><Relationship Id="rId155" Type="http://schemas.openxmlformats.org/officeDocument/2006/relationships/image" Target="media/image70.emf"/><Relationship Id="rId171" Type="http://schemas.openxmlformats.org/officeDocument/2006/relationships/image" Target="media/image82.emf"/><Relationship Id="rId176" Type="http://schemas.openxmlformats.org/officeDocument/2006/relationships/oleObject" Target="file:///\\romulus\ecd_pro$\RESEARCH\NAFF\Output%20-%20Projection%20methodology\Working%20Paper%20analysis\Budget%20sensitivity%20analysis\Sensitivity%20analysis%20data%20and%20charts.xlsx!Close%20gap%203%20years!%5bSensitivity%20analysis%20data%20and%20charts.xlsx%5dClose%20gap%203%20years%20Chart%202" TargetMode="External"/><Relationship Id="rId192" Type="http://schemas.openxmlformats.org/officeDocument/2006/relationships/image" Target="media/image96.emf"/><Relationship Id="rId197" Type="http://schemas.openxmlformats.org/officeDocument/2006/relationships/hyperlink" Target="http://www.pc.gov.au/projects/study/ageing/docs/finalreport/technicalpapers" TargetMode="External"/><Relationship Id="rId12" Type="http://schemas.openxmlformats.org/officeDocument/2006/relationships/footer" Target="footer2.xml"/><Relationship Id="rId17" Type="http://schemas.openxmlformats.org/officeDocument/2006/relationships/image" Target="media/image3.wmf"/><Relationship Id="rId33" Type="http://schemas.openxmlformats.org/officeDocument/2006/relationships/oleObject" Target="embeddings/oleObject5.bin"/><Relationship Id="rId38" Type="http://schemas.openxmlformats.org/officeDocument/2006/relationships/image" Target="media/image12.wmf"/><Relationship Id="rId59" Type="http://schemas.openxmlformats.org/officeDocument/2006/relationships/oleObject" Target="embeddings/oleObject18.bin"/><Relationship Id="rId103" Type="http://schemas.openxmlformats.org/officeDocument/2006/relationships/image" Target="media/image44.wmf"/><Relationship Id="rId108" Type="http://schemas.openxmlformats.org/officeDocument/2006/relationships/oleObject" Target="embeddings/oleObject43.bin"/><Relationship Id="rId124" Type="http://schemas.openxmlformats.org/officeDocument/2006/relationships/oleObject" Target="embeddings/oleObject51.bin"/><Relationship Id="rId129" Type="http://schemas.openxmlformats.org/officeDocument/2006/relationships/image" Target="media/image57.wmf"/><Relationship Id="rId54" Type="http://schemas.openxmlformats.org/officeDocument/2006/relationships/image" Target="media/image20.wmf"/><Relationship Id="rId70" Type="http://schemas.openxmlformats.org/officeDocument/2006/relationships/oleObject" Target="embeddings/oleObject24.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37.bin"/><Relationship Id="rId140" Type="http://schemas.openxmlformats.org/officeDocument/2006/relationships/oleObject" Target="file:///\\romulus\ecd_pro$\RESEARCH\NAFF\Output%20-%20Projection%20methodology\Working%20Paper%20analysis\DAT%20-%20Theory%20and%20estimation%20charts.xlsx!NAIRU!%5bDAT%20-%20Theory%20and%20estimation%20charts.xlsx%5dNAIRU%20Chart%203" TargetMode="External"/><Relationship Id="rId145" Type="http://schemas.openxmlformats.org/officeDocument/2006/relationships/image" Target="media/image65.emf"/><Relationship Id="rId161" Type="http://schemas.openxmlformats.org/officeDocument/2006/relationships/oleObject" Target="file:///\\romulus\ecd_pro$\RESEARCH\NAFF\Output%20-%20Projection%20methodology\Working%20Paper%20analysis\DAT%20-%20Chart%20of%20change%20in%20nominal%20GDP%20Budget.xlsx!WPI%20and%20unemployment%20rate!%5bDAT%20-%20Chart%20of%20change%20in%20nominal%20GDP%20Budget.xlsx%5dWPI%20and%20unemployment%20rate%20Chart%20" TargetMode="External"/><Relationship Id="rId166" Type="http://schemas.openxmlformats.org/officeDocument/2006/relationships/image" Target="media/image78.emf"/><Relationship Id="rId182" Type="http://schemas.openxmlformats.org/officeDocument/2006/relationships/image" Target="media/image90.emf"/><Relationship Id="rId187" Type="http://schemas.openxmlformats.org/officeDocument/2006/relationships/oleObject" Target="file:///\\romulus\ecd_pro$\RESEARCH\NAFF\Output%20-%20Projection%20methodology\Working%20Paper%20analysis\Budget%20sensitivity%20analysis\Sensitivity%20analysis%20data%20and%20charts.xlsx!Increase%20output%20$10b!%5bSensitivity%20analysis%20data%20and%20charts.xlsx%5dIncrease%20output%20$10b%20C"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file:///\\romulus\ecd_pro$\RESEARCH\NAFF\Output%20-%20Projection%20methodology\Documents\Technical%20working%20paper\Charts\Cyclical%20chart\Output\DETREND.xlsx!DETREND!%5bDETREND.xlsx%5dDETREND%20Chart%202" TargetMode="External"/><Relationship Id="rId28" Type="http://schemas.openxmlformats.org/officeDocument/2006/relationships/image" Target="media/image7.wmf"/><Relationship Id="rId49" Type="http://schemas.openxmlformats.org/officeDocument/2006/relationships/oleObject" Target="embeddings/oleObject13.bin"/><Relationship Id="rId114" Type="http://schemas.openxmlformats.org/officeDocument/2006/relationships/oleObject" Target="embeddings/oleObject46.bin"/><Relationship Id="rId119" Type="http://schemas.openxmlformats.org/officeDocument/2006/relationships/image" Target="media/image52.wmf"/><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1.bin"/><Relationship Id="rId81" Type="http://schemas.openxmlformats.org/officeDocument/2006/relationships/image" Target="media/image33.wmf"/><Relationship Id="rId86" Type="http://schemas.openxmlformats.org/officeDocument/2006/relationships/oleObject" Target="embeddings/oleObject32.bin"/><Relationship Id="rId130" Type="http://schemas.openxmlformats.org/officeDocument/2006/relationships/oleObject" Target="embeddings/oleObject54.bin"/><Relationship Id="rId135" Type="http://schemas.openxmlformats.org/officeDocument/2006/relationships/image" Target="media/image60.wmf"/><Relationship Id="rId151" Type="http://schemas.openxmlformats.org/officeDocument/2006/relationships/image" Target="media/image68.emf"/><Relationship Id="rId156" Type="http://schemas.openxmlformats.org/officeDocument/2006/relationships/image" Target="media/image71.emf"/><Relationship Id="rId177" Type="http://schemas.openxmlformats.org/officeDocument/2006/relationships/image" Target="media/image85.emf"/><Relationship Id="rId198" Type="http://schemas.openxmlformats.org/officeDocument/2006/relationships/fontTable" Target="fontTable.xml"/><Relationship Id="rId172" Type="http://schemas.openxmlformats.org/officeDocument/2006/relationships/oleObject" Target="file:///\\romulus\ecd_pro$\RESEARCH\NAFF\Output%20-%20Projection%20methodology\Working%20Paper%20analysis\Budget%20sensitivity%20analysis\Sensitivity%20analysis%20data%20and%20charts.xlsx!Close%20gap%203%20years!%5bSensitivity%20analysis%20data%20and%20charts.xlsx%5dClose%20gap%203%20years%20Chart%201" TargetMode="External"/><Relationship Id="rId193" Type="http://schemas.openxmlformats.org/officeDocument/2006/relationships/oleObject" Target="file:///\\romulus\ecd_pro$\RESEARCH\NAFF\Output%20-%20Projection%20methodology\Working%20Paper%20analysis\Budget%20sensitivity%20analysis\Sensitivity%20analysis%20data%20and%20charts.xlsx!Increase%20output%20$10b!%5bSensitivity%20analysis%20data%20and%20charts.xlsx%5dIncrease%20output%20$10b%20C" TargetMode="Externa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39" Type="http://schemas.openxmlformats.org/officeDocument/2006/relationships/oleObject" Target="embeddings/oleObject8.bin"/><Relationship Id="rId109" Type="http://schemas.openxmlformats.org/officeDocument/2006/relationships/image" Target="media/image47.wmf"/><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6.bin"/><Relationship Id="rId76" Type="http://schemas.openxmlformats.org/officeDocument/2006/relationships/oleObject" Target="embeddings/oleObject27.bin"/><Relationship Id="rId97" Type="http://schemas.openxmlformats.org/officeDocument/2006/relationships/image" Target="media/image41.wmf"/><Relationship Id="rId104" Type="http://schemas.openxmlformats.org/officeDocument/2006/relationships/oleObject" Target="embeddings/oleObject41.bin"/><Relationship Id="rId120" Type="http://schemas.openxmlformats.org/officeDocument/2006/relationships/oleObject" Target="embeddings/oleObject49.bin"/><Relationship Id="rId125" Type="http://schemas.openxmlformats.org/officeDocument/2006/relationships/image" Target="media/image55.wmf"/><Relationship Id="rId141" Type="http://schemas.openxmlformats.org/officeDocument/2006/relationships/image" Target="media/image63.emf"/><Relationship Id="rId146" Type="http://schemas.openxmlformats.org/officeDocument/2006/relationships/oleObject" Target="file:///\\romulus\ecd_pro$\RESEARCH\NAFF\Output%20-%20Projection%20methodology\Working%20Paper%20analysis\Budget%20sensitivity%20analysis\Sensitivity%20analysis%20data%20and%20charts.xlsx!Baseline!%5bSensitivity%20analysis%20data%20and%20charts.xlsx%5dBaseline%20Chart%202" TargetMode="External"/><Relationship Id="rId167" Type="http://schemas.openxmlformats.org/officeDocument/2006/relationships/image" Target="media/image79.emf"/><Relationship Id="rId188" Type="http://schemas.openxmlformats.org/officeDocument/2006/relationships/image" Target="media/image94.emf"/><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35.bin"/><Relationship Id="rId162" Type="http://schemas.openxmlformats.org/officeDocument/2006/relationships/image" Target="media/image74.emf"/><Relationship Id="rId183" Type="http://schemas.openxmlformats.org/officeDocument/2006/relationships/image" Target="media/image91.emf"/><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1.bin"/><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oleObject" Target="embeddings/oleObject44.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57.bin"/><Relationship Id="rId157" Type="http://schemas.openxmlformats.org/officeDocument/2006/relationships/oleObject" Target="file:///\\romulus\ecd_pro$\RESEARCH\NAFF\Output%20-%20Projection%20methodology\Working%20Paper%20analysis\DAT%20-%20Chart%20of%20change%20in%20nominal%20GDP%20Budget.xlsx!MYEFO%20GDP%20growth!%5bDAT%20-%20Chart%20of%20change%20in%20nominal%20GDP%20Budget.xlsx%5dMYEFO%20GDP%20growth%20Chart%201" TargetMode="External"/><Relationship Id="rId178" Type="http://schemas.openxmlformats.org/officeDocument/2006/relationships/image" Target="media/image86.emf"/><Relationship Id="rId61" Type="http://schemas.openxmlformats.org/officeDocument/2006/relationships/oleObject" Target="embeddings/oleObject19.bin"/><Relationship Id="rId82" Type="http://schemas.openxmlformats.org/officeDocument/2006/relationships/oleObject" Target="embeddings/oleObject30.bin"/><Relationship Id="rId152" Type="http://schemas.openxmlformats.org/officeDocument/2006/relationships/oleObject" Target="file:///\\romulus\ecd_pro$\RESEARCH\NAFF\Output%20-%20Projection%20methodology\Working%20Paper%20analysis\DAT%20-%20Chart%20of%20change%20in%20nominal%20GDP%20Budget.xlsx!Expenditure%20prices!%5bDAT%20-%20Chart%20of%20change%20in%20nominal%20GDP%20Budget.xlsx%5dExpenditure%20prices%20Chart%203" TargetMode="External"/><Relationship Id="rId173" Type="http://schemas.openxmlformats.org/officeDocument/2006/relationships/image" Target="media/image83.emf"/><Relationship Id="rId194" Type="http://schemas.openxmlformats.org/officeDocument/2006/relationships/image" Target="media/image97.emf"/><Relationship Id="rId199" Type="http://schemas.openxmlformats.org/officeDocument/2006/relationships/theme" Target="theme/theme1.xml"/><Relationship Id="rId19" Type="http://schemas.openxmlformats.org/officeDocument/2006/relationships/hyperlink" Target="http://www.itsanhonour.gov.au" TargetMode="External"/><Relationship Id="rId14" Type="http://schemas.openxmlformats.org/officeDocument/2006/relationships/footer" Target="footer3.xml"/><Relationship Id="rId30" Type="http://schemas.openxmlformats.org/officeDocument/2006/relationships/image" Target="media/image8.wmf"/><Relationship Id="rId35" Type="http://schemas.openxmlformats.org/officeDocument/2006/relationships/oleObject" Target="embeddings/oleObject6.bin"/><Relationship Id="rId56" Type="http://schemas.openxmlformats.org/officeDocument/2006/relationships/image" Target="media/image21.wmf"/><Relationship Id="rId77" Type="http://schemas.openxmlformats.org/officeDocument/2006/relationships/image" Target="media/image31.wmf"/><Relationship Id="rId100" Type="http://schemas.openxmlformats.org/officeDocument/2006/relationships/oleObject" Target="embeddings/oleObject39.bin"/><Relationship Id="rId105" Type="http://schemas.openxmlformats.org/officeDocument/2006/relationships/image" Target="media/image45.wmf"/><Relationship Id="rId126" Type="http://schemas.openxmlformats.org/officeDocument/2006/relationships/oleObject" Target="embeddings/oleObject52.bin"/><Relationship Id="rId147" Type="http://schemas.openxmlformats.org/officeDocument/2006/relationships/image" Target="media/image66.emf"/><Relationship Id="rId168" Type="http://schemas.openxmlformats.org/officeDocument/2006/relationships/image" Target="media/image80.emf"/><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oleObject" Target="embeddings/oleObject25.bin"/><Relationship Id="rId93" Type="http://schemas.openxmlformats.org/officeDocument/2006/relationships/image" Target="media/image39.wmf"/><Relationship Id="rId98" Type="http://schemas.openxmlformats.org/officeDocument/2006/relationships/oleObject" Target="embeddings/oleObject38.bin"/><Relationship Id="rId121" Type="http://schemas.openxmlformats.org/officeDocument/2006/relationships/image" Target="media/image53.wmf"/><Relationship Id="rId142" Type="http://schemas.openxmlformats.org/officeDocument/2006/relationships/oleObject" Target="file:///\\romulus\ecd_pro$\RESEARCH\NAFF\Output%20-%20Projection%20methodology\Working%20Paper%20analysis\DAT%20-%20Decomposition%20change%20in%20trend%20GDP%20Budget.xlsx!Sheet1!%5bDAT%20-%20Decomposition%20change%20in%20trend%20GDP%20Budget.xlsx%5dSheet1%20Chart%201" TargetMode="External"/><Relationship Id="rId163" Type="http://schemas.openxmlformats.org/officeDocument/2006/relationships/image" Target="media/image75.emf"/><Relationship Id="rId184" Type="http://schemas.openxmlformats.org/officeDocument/2006/relationships/image" Target="media/image92.emf"/><Relationship Id="rId189" Type="http://schemas.openxmlformats.org/officeDocument/2006/relationships/oleObject" Target="file:///\\romulus\ecd_pro$\RESEARCH\NAFF\Output%20-%20Projection%20methodology\Working%20Paper%20analysis\Budget%20sensitivity%20analysis\Sensitivity%20analysis%20data%20and%20charts.xlsx!Increase%20output%20$10b!%5bSensitivity%20analysis%20data%20and%20charts.xlsx%5dIncrease%20output%20$10b%20C" TargetMode="External"/><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image" Target="media/image16.wmf"/><Relationship Id="rId67" Type="http://schemas.openxmlformats.org/officeDocument/2006/relationships/oleObject" Target="embeddings/oleObject22.bin"/><Relationship Id="rId116" Type="http://schemas.openxmlformats.org/officeDocument/2006/relationships/oleObject" Target="embeddings/oleObject47.bin"/><Relationship Id="rId137" Type="http://schemas.openxmlformats.org/officeDocument/2006/relationships/image" Target="media/image61.emf"/><Relationship Id="rId158" Type="http://schemas.openxmlformats.org/officeDocument/2006/relationships/image" Target="media/image72.emf"/><Relationship Id="rId20" Type="http://schemas.openxmlformats.org/officeDocument/2006/relationships/hyperlink" Target="mailto:medialiaison@treasury.gov.au" TargetMode="External"/><Relationship Id="rId41" Type="http://schemas.openxmlformats.org/officeDocument/2006/relationships/oleObject" Target="embeddings/oleObject9.bin"/><Relationship Id="rId62" Type="http://schemas.openxmlformats.org/officeDocument/2006/relationships/image" Target="media/image24.wmf"/><Relationship Id="rId83" Type="http://schemas.openxmlformats.org/officeDocument/2006/relationships/image" Target="media/image34.wmf"/><Relationship Id="rId88" Type="http://schemas.openxmlformats.org/officeDocument/2006/relationships/oleObject" Target="embeddings/oleObject33.bin"/><Relationship Id="rId111" Type="http://schemas.openxmlformats.org/officeDocument/2006/relationships/image" Target="media/image48.wmf"/><Relationship Id="rId132" Type="http://schemas.openxmlformats.org/officeDocument/2006/relationships/oleObject" Target="embeddings/oleObject55.bin"/><Relationship Id="rId153" Type="http://schemas.openxmlformats.org/officeDocument/2006/relationships/image" Target="media/image69.emf"/><Relationship Id="rId174" Type="http://schemas.openxmlformats.org/officeDocument/2006/relationships/oleObject" Target="file:///\\romulus\ecd_pro$\RESEARCH\NAFF\Output%20-%20Projection%20methodology\Working%20Paper%20analysis\Budget%20sensitivity%20analysis\Sensitivity%20analysis%20data%20and%20charts.xlsx!Close%20gap%203%20years!%5bSensitivity%20analysis%20data%20and%20charts.xlsx%5dClose%20gap%203%20years%20Chart%201" TargetMode="External"/><Relationship Id="rId179" Type="http://schemas.openxmlformats.org/officeDocument/2006/relationships/image" Target="media/image87.emf"/><Relationship Id="rId195" Type="http://schemas.openxmlformats.org/officeDocument/2006/relationships/header" Target="header5.xml"/><Relationship Id="rId190" Type="http://schemas.openxmlformats.org/officeDocument/2006/relationships/image" Target="media/image95.emf"/><Relationship Id="rId15" Type="http://schemas.openxmlformats.org/officeDocument/2006/relationships/hyperlink" Target="http://creativecommons.org/licenses/by/3.0/au/deed.en" TargetMode="External"/><Relationship Id="rId36" Type="http://schemas.openxmlformats.org/officeDocument/2006/relationships/image" Target="media/image11.wmf"/><Relationship Id="rId57" Type="http://schemas.openxmlformats.org/officeDocument/2006/relationships/oleObject" Target="embeddings/oleObject17.bin"/><Relationship Id="rId106" Type="http://schemas.openxmlformats.org/officeDocument/2006/relationships/oleObject" Target="embeddings/oleObject42.bin"/><Relationship Id="rId127" Type="http://schemas.openxmlformats.org/officeDocument/2006/relationships/image" Target="media/image56.wmf"/><Relationship Id="rId10" Type="http://schemas.openxmlformats.org/officeDocument/2006/relationships/header" Target="header2.xml"/><Relationship Id="rId31" Type="http://schemas.openxmlformats.org/officeDocument/2006/relationships/oleObject" Target="embeddings/oleObject4.bin"/><Relationship Id="rId52" Type="http://schemas.openxmlformats.org/officeDocument/2006/relationships/image" Target="media/image19.wmf"/><Relationship Id="rId73" Type="http://schemas.openxmlformats.org/officeDocument/2006/relationships/image" Target="media/image29.wmf"/><Relationship Id="rId78" Type="http://schemas.openxmlformats.org/officeDocument/2006/relationships/oleObject" Target="embeddings/oleObject28.bin"/><Relationship Id="rId94" Type="http://schemas.openxmlformats.org/officeDocument/2006/relationships/oleObject" Target="embeddings/oleObject36.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0.bin"/><Relationship Id="rId143" Type="http://schemas.openxmlformats.org/officeDocument/2006/relationships/image" Target="media/image64.emf"/><Relationship Id="rId148" Type="http://schemas.openxmlformats.org/officeDocument/2006/relationships/oleObject" Target="file:///\\romulus\ecd_pro$\RESEARCH\NAFF\Output%20-%20Projection%20methodology\Working%20Paper%20analysis\Budget%20sensitivity%20analysis\Sensitivity%20analysis%20data%20and%20charts.xlsx!Baseline!%5bSensitivity%20analysis%20data%20and%20charts.xlsx%5dBaseline%20Chart%205" TargetMode="External"/><Relationship Id="rId164" Type="http://schemas.openxmlformats.org/officeDocument/2006/relationships/image" Target="media/image76.emf"/><Relationship Id="rId169" Type="http://schemas.openxmlformats.org/officeDocument/2006/relationships/image" Target="media/image81.emf"/><Relationship Id="rId185" Type="http://schemas.openxmlformats.org/officeDocument/2006/relationships/oleObject" Target="file:///\\romulus\ecd_pro$\RESEARCH\NAFF\Output%20-%20Projection%20methodology\Working%20Paper%20analysis\Budget%20sensitivity%20analysis\Sensitivity%20analysis%20data%20and%20charts.xlsx!Increase%20output%20$10b!%5bSensitivity%20analysis%20data%20and%20charts.xlsx%5dIncrease%20output%20$10b%20C"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image" Target="media/image88.emf"/><Relationship Id="rId26" Type="http://schemas.openxmlformats.org/officeDocument/2006/relationships/image" Target="media/image6.wmf"/><Relationship Id="rId47" Type="http://schemas.openxmlformats.org/officeDocument/2006/relationships/oleObject" Target="embeddings/oleObject12.bin"/><Relationship Id="rId68" Type="http://schemas.openxmlformats.org/officeDocument/2006/relationships/oleObject" Target="embeddings/oleObject23.bin"/><Relationship Id="rId89" Type="http://schemas.openxmlformats.org/officeDocument/2006/relationships/image" Target="media/image37.wmf"/><Relationship Id="rId112" Type="http://schemas.openxmlformats.org/officeDocument/2006/relationships/oleObject" Target="embeddings/oleObject45.bin"/><Relationship Id="rId133" Type="http://schemas.openxmlformats.org/officeDocument/2006/relationships/image" Target="media/image59.wmf"/><Relationship Id="rId154" Type="http://schemas.openxmlformats.org/officeDocument/2006/relationships/oleObject" Target="file:///\\romulus\ecd_pro$\RESEARCH\NAFF\Output%20-%20Projection%20methodology\Working%20Paper%20analysis\DAT%20-%20Chart%20of%20change%20in%20nominal%20GDP%20Budget.xlsx!Change%20since%20MYEFO!%5bDAT%20-%20Chart%20of%20change%20in%20nominal%20GDP%20Budget.xlsx%5dChange%20since%20MYEFO%20Chart%204" TargetMode="External"/><Relationship Id="rId175" Type="http://schemas.openxmlformats.org/officeDocument/2006/relationships/image" Target="media/image84.emf"/></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Senate_Estimates/economicsctte/estimates/add1314/index"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A11C-47BF-4F7C-8A8D-4608203C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12606</Words>
  <Characters>71860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TREASURY’S MEDIUM TERM ECONOMIC PROJECTION METHODOLOGY</vt:lpstr>
    </vt:vector>
  </TitlesOfParts>
  <Company/>
  <LinksUpToDate>false</LinksUpToDate>
  <CharactersWithSpaces>84298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TREASURY’S MEDIUM TERM ECONOMIC PROJECTION METHODOLOGY</dc:title>
  <dc:subject/>
  <dc:creator/>
  <cp:keywords/>
  <cp:lastModifiedBy/>
  <cp:revision>1</cp:revision>
  <dcterms:created xsi:type="dcterms:W3CDTF">2014-05-13T00:52:00Z</dcterms:created>
  <dcterms:modified xsi:type="dcterms:W3CDTF">2014-05-13T00:52:00Z</dcterms:modified>
</cp:coreProperties>
</file>