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98246D" w14:textId="5B3A98C0" w:rsidR="005C315B" w:rsidRPr="00E56C66" w:rsidRDefault="00A32B49" w:rsidP="00322524">
      <w:pPr>
        <w:pStyle w:val="Heading1"/>
        <w:jc w:val="center"/>
        <w:rPr>
          <w:sz w:val="24"/>
          <w:szCs w:val="24"/>
          <w:u w:val="single"/>
        </w:rPr>
      </w:pPr>
      <w:r w:rsidRPr="00E56C66">
        <w:rPr>
          <w:sz w:val="24"/>
          <w:szCs w:val="24"/>
          <w:u w:val="single"/>
        </w:rPr>
        <w:t xml:space="preserve">EXPLANATORY </w:t>
      </w:r>
      <w:r w:rsidR="006C24F7">
        <w:rPr>
          <w:sz w:val="24"/>
          <w:szCs w:val="24"/>
          <w:u w:val="single"/>
        </w:rPr>
        <w:t>Materials</w:t>
      </w:r>
    </w:p>
    <w:p w14:paraId="111D169F" w14:textId="18C176A8" w:rsidR="005C315B" w:rsidRPr="0042023C" w:rsidRDefault="006C616A" w:rsidP="00BA6AFA">
      <w:pPr>
        <w:tabs>
          <w:tab w:val="left" w:pos="1701"/>
          <w:tab w:val="right" w:pos="9072"/>
        </w:tabs>
        <w:ind w:right="91"/>
        <w:jc w:val="center"/>
        <w:rPr>
          <w:u w:val="single"/>
        </w:rPr>
      </w:pPr>
      <w:r w:rsidRPr="0042023C">
        <w:rPr>
          <w:u w:val="single"/>
        </w:rPr>
        <w:t xml:space="preserve">Treasury Laws Amendment </w:t>
      </w:r>
      <w:r w:rsidR="00E56C66" w:rsidRPr="0042023C">
        <w:rPr>
          <w:u w:val="single"/>
        </w:rPr>
        <w:t xml:space="preserve">(Protecting Your Superannuation </w:t>
      </w:r>
      <w:r w:rsidR="00BA6AFA" w:rsidRPr="0042023C">
        <w:rPr>
          <w:u w:val="single"/>
        </w:rPr>
        <w:t>Package) Regulations </w:t>
      </w:r>
      <w:r w:rsidR="00444141" w:rsidRPr="0042023C">
        <w:rPr>
          <w:u w:val="single"/>
        </w:rPr>
        <w:t>2019</w:t>
      </w:r>
    </w:p>
    <w:p w14:paraId="4F5E826C" w14:textId="1D7164E9" w:rsidR="00F27FB0" w:rsidRDefault="00622279" w:rsidP="002D1C7A">
      <w:r>
        <w:t xml:space="preserve">The Government announced the </w:t>
      </w:r>
      <w:r w:rsidRPr="00622279">
        <w:rPr>
          <w:i/>
        </w:rPr>
        <w:t>Protecting Your Super Package</w:t>
      </w:r>
      <w:r>
        <w:t xml:space="preserve"> in the </w:t>
      </w:r>
      <w:bookmarkStart w:id="0" w:name="_GoBack"/>
      <w:bookmarkEnd w:id="0"/>
      <w:r>
        <w:t>2018</w:t>
      </w:r>
      <w:r>
        <w:noBreakHyphen/>
        <w:t xml:space="preserve">19 Budget. </w:t>
      </w:r>
      <w:r w:rsidR="00F27FB0">
        <w:t xml:space="preserve">The </w:t>
      </w:r>
      <w:r w:rsidR="00F27FB0" w:rsidRPr="00622279">
        <w:rPr>
          <w:i/>
        </w:rPr>
        <w:t xml:space="preserve">Protecting Your Super </w:t>
      </w:r>
      <w:r w:rsidR="00F27FB0">
        <w:t>reforms seek to protect individuals’ retirement savings from erosion, ultimately increasing Australians’ superannuation balances.</w:t>
      </w:r>
    </w:p>
    <w:p w14:paraId="0BA62E50" w14:textId="5A191341" w:rsidR="006C24F7" w:rsidRDefault="006C24F7" w:rsidP="002D1C7A">
      <w:r w:rsidRPr="00F30EB3">
        <w:t>The Treasury Laws Amendment (Protecting Your Superannuation Package) Bill 2018</w:t>
      </w:r>
      <w:r w:rsidRPr="00F30EB3">
        <w:rPr>
          <w:i/>
        </w:rPr>
        <w:t xml:space="preserve"> </w:t>
      </w:r>
      <w:r w:rsidRPr="00F30EB3">
        <w:t xml:space="preserve">passed Parliament on 18 February 2019. </w:t>
      </w:r>
    </w:p>
    <w:p w14:paraId="2822654A" w14:textId="6FD47530" w:rsidR="00BC738E" w:rsidRDefault="00BC738E" w:rsidP="002D1C7A">
      <w:r>
        <w:t xml:space="preserve">The purpose of the </w:t>
      </w:r>
      <w:r>
        <w:rPr>
          <w:i/>
        </w:rPr>
        <w:t>Treasury Laws Amendment (Protecting Your Superannuation Package) Regulations 2018</w:t>
      </w:r>
      <w:r>
        <w:t xml:space="preserve"> (the Regulations) is to supplement and support the </w:t>
      </w:r>
      <w:r w:rsidR="00AA5150" w:rsidRPr="00622279">
        <w:rPr>
          <w:i/>
        </w:rPr>
        <w:t xml:space="preserve">Protecting Your Super </w:t>
      </w:r>
      <w:r w:rsidRPr="00622279">
        <w:t>reforms</w:t>
      </w:r>
      <w:r w:rsidR="005B529D">
        <w:t>.</w:t>
      </w:r>
    </w:p>
    <w:p w14:paraId="5F64C808" w14:textId="4B5C031A" w:rsidR="00D71138" w:rsidRDefault="00AA5150" w:rsidP="002821CD">
      <w:pPr>
        <w:spacing w:before="240" w:after="200"/>
        <w:jc w:val="both"/>
      </w:pPr>
      <w:r>
        <w:t xml:space="preserve">The </w:t>
      </w:r>
      <w:r w:rsidRPr="00622279">
        <w:rPr>
          <w:i/>
        </w:rPr>
        <w:t xml:space="preserve">Protecting Your Super </w:t>
      </w:r>
      <w:r>
        <w:t xml:space="preserve">reforms look to ensure that arrangements for insurance in superannuation are appropriate </w:t>
      </w:r>
      <w:r w:rsidR="00416AAA">
        <w:t>and</w:t>
      </w:r>
      <w:r>
        <w:t xml:space="preserve"> that members are not paying for insurance cover that they do not know about or premiums that inappropriately erode their retirement savings. As part of the </w:t>
      </w:r>
      <w:r w:rsidRPr="00622279">
        <w:rPr>
          <w:i/>
        </w:rPr>
        <w:t xml:space="preserve">Protecting Your Super </w:t>
      </w:r>
      <w:r>
        <w:t xml:space="preserve">reforms, trustees will be unable to </w:t>
      </w:r>
      <w:r w:rsidR="00D71138">
        <w:t xml:space="preserve">provide insurance </w:t>
      </w:r>
      <w:r w:rsidR="00416AAA">
        <w:t>by default</w:t>
      </w:r>
      <w:r w:rsidR="00D71138">
        <w:t xml:space="preserve"> when an account ha</w:t>
      </w:r>
      <w:r w:rsidR="00444141">
        <w:t>s been inactive for more than 16</w:t>
      </w:r>
      <w:r w:rsidR="006C24F7">
        <w:t> </w:t>
      </w:r>
      <w:r w:rsidR="00D71138">
        <w:t xml:space="preserve">months. </w:t>
      </w:r>
    </w:p>
    <w:p w14:paraId="04D1B875" w14:textId="7C9E17CC" w:rsidR="00F8088A" w:rsidRPr="00F8088A" w:rsidRDefault="00F8088A" w:rsidP="00E058FB">
      <w:pPr>
        <w:spacing w:before="240" w:after="200"/>
        <w:jc w:val="both"/>
        <w:rPr>
          <w:b/>
          <w:u w:val="single"/>
        </w:rPr>
      </w:pPr>
      <w:r w:rsidRPr="00F8088A">
        <w:rPr>
          <w:b/>
          <w:u w:val="single"/>
        </w:rPr>
        <w:t>Insurance</w:t>
      </w:r>
    </w:p>
    <w:p w14:paraId="49820842" w14:textId="38FDBFED" w:rsidR="00D71138" w:rsidRDefault="007B40C1" w:rsidP="00E058FB">
      <w:pPr>
        <w:spacing w:before="240" w:after="200"/>
        <w:jc w:val="both"/>
      </w:pPr>
      <w:r>
        <w:t xml:space="preserve">The </w:t>
      </w:r>
      <w:r w:rsidR="005B529D">
        <w:t>Regulations</w:t>
      </w:r>
      <w:r w:rsidR="006C24F7">
        <w:t xml:space="preserve"> will</w:t>
      </w:r>
      <w:r w:rsidR="00D9258A">
        <w:t xml:space="preserve"> amend </w:t>
      </w:r>
      <w:r w:rsidR="00D71138">
        <w:t xml:space="preserve">the </w:t>
      </w:r>
      <w:r w:rsidR="00D71138" w:rsidRPr="00D71138">
        <w:rPr>
          <w:i/>
        </w:rPr>
        <w:t>Corporations Regulations 2001</w:t>
      </w:r>
      <w:r w:rsidR="00D71138">
        <w:t xml:space="preserve"> </w:t>
      </w:r>
      <w:r w:rsidR="00D71138" w:rsidRPr="00EC629E">
        <w:t>(the Corporations Regulations)</w:t>
      </w:r>
      <w:r w:rsidR="00D71138">
        <w:t xml:space="preserve"> to support </w:t>
      </w:r>
      <w:r w:rsidR="00D9258A">
        <w:t>the</w:t>
      </w:r>
      <w:r w:rsidR="00D71138">
        <w:t xml:space="preserve"> insurance changes by setting out:</w:t>
      </w:r>
    </w:p>
    <w:p w14:paraId="433C15C1" w14:textId="34E199A0" w:rsidR="00D71138" w:rsidRPr="00E058FB" w:rsidRDefault="00D71138" w:rsidP="00E058FB">
      <w:pPr>
        <w:pStyle w:val="Bullet"/>
        <w:rPr>
          <w:rFonts w:ascii="Times New Roman" w:hAnsi="Times New Roman" w:cs="Times New Roman"/>
          <w:color w:val="auto"/>
        </w:rPr>
      </w:pPr>
      <w:r w:rsidRPr="00E058FB">
        <w:rPr>
          <w:rFonts w:ascii="Times New Roman" w:hAnsi="Times New Roman" w:cs="Times New Roman"/>
          <w:color w:val="auto"/>
        </w:rPr>
        <w:t xml:space="preserve">when a trustee must notify a member that a member’s account has been inactive and that insurance may no longer be offered or maintained without a direction from the member; and  </w:t>
      </w:r>
    </w:p>
    <w:p w14:paraId="731B5D0F" w14:textId="3BDF1139" w:rsidR="00D71138" w:rsidRPr="00E058FB" w:rsidRDefault="00D71138" w:rsidP="00E058FB">
      <w:pPr>
        <w:pStyle w:val="Bullet"/>
        <w:rPr>
          <w:color w:val="auto"/>
        </w:rPr>
      </w:pPr>
      <w:proofErr w:type="gramStart"/>
      <w:r w:rsidRPr="00E058FB">
        <w:rPr>
          <w:rFonts w:ascii="Times New Roman" w:hAnsi="Times New Roman" w:cs="Times New Roman"/>
          <w:color w:val="auto"/>
        </w:rPr>
        <w:t>how</w:t>
      </w:r>
      <w:proofErr w:type="gramEnd"/>
      <w:r w:rsidRPr="00E058FB">
        <w:rPr>
          <w:rFonts w:ascii="Times New Roman" w:hAnsi="Times New Roman" w:cs="Times New Roman"/>
          <w:color w:val="auto"/>
        </w:rPr>
        <w:t xml:space="preserve"> a trustee must inform a member that the member can cancel their insurance  where the member has previously directed the trustee to take out or maintain insurance coverage. </w:t>
      </w:r>
    </w:p>
    <w:p w14:paraId="19A72264" w14:textId="77777777" w:rsidR="00E058FB" w:rsidRPr="00E058FB" w:rsidRDefault="00E058FB" w:rsidP="00E058FB">
      <w:pPr>
        <w:pStyle w:val="Bullet"/>
        <w:numPr>
          <w:ilvl w:val="0"/>
          <w:numId w:val="0"/>
        </w:numPr>
        <w:ind w:left="567"/>
        <w:rPr>
          <w:color w:val="auto"/>
        </w:rPr>
      </w:pPr>
    </w:p>
    <w:p w14:paraId="1C6D696B" w14:textId="56A655B8" w:rsidR="00416AAA" w:rsidRPr="00103758" w:rsidRDefault="007A224C" w:rsidP="00416AAA">
      <w:pPr>
        <w:spacing w:after="0"/>
      </w:pPr>
      <w:r>
        <w:t xml:space="preserve">As a result of the changes to </w:t>
      </w:r>
      <w:r w:rsidR="00416AAA">
        <w:t xml:space="preserve">insurance, amendments are also required to the </w:t>
      </w:r>
      <w:r w:rsidR="00416AAA" w:rsidRPr="002D3EEE">
        <w:rPr>
          <w:i/>
        </w:rPr>
        <w:t xml:space="preserve">Superannuation Guarantee </w:t>
      </w:r>
      <w:r w:rsidR="00416AAA">
        <w:rPr>
          <w:i/>
        </w:rPr>
        <w:t>(</w:t>
      </w:r>
      <w:r w:rsidR="00416AAA" w:rsidRPr="002D3EEE">
        <w:rPr>
          <w:i/>
        </w:rPr>
        <w:t>Administration</w:t>
      </w:r>
      <w:r w:rsidR="00416AAA">
        <w:rPr>
          <w:i/>
        </w:rPr>
        <w:t>)</w:t>
      </w:r>
      <w:r w:rsidR="00416AAA" w:rsidRPr="002D3EEE">
        <w:rPr>
          <w:i/>
        </w:rPr>
        <w:t xml:space="preserve"> Regulations 1993</w:t>
      </w:r>
      <w:r w:rsidR="00416AAA">
        <w:t xml:space="preserve"> (SG Regulations). The </w:t>
      </w:r>
      <w:r w:rsidR="006C24F7">
        <w:t>Regulations will</w:t>
      </w:r>
      <w:r w:rsidR="00416AAA">
        <w:t xml:space="preserve"> amend the SG Regulations to remove the requirement that an employer make contributions to a fund that offers a certain level of insurance when the trustee cannot offer insurance as a result of the </w:t>
      </w:r>
      <w:r w:rsidR="00416AAA" w:rsidRPr="00E058FB">
        <w:rPr>
          <w:i/>
        </w:rPr>
        <w:t>Protecting Your Super</w:t>
      </w:r>
      <w:r w:rsidR="00416AAA">
        <w:t xml:space="preserve"> reforms.  </w:t>
      </w:r>
    </w:p>
    <w:p w14:paraId="5803EF42" w14:textId="28F791B7" w:rsidR="00F8088A" w:rsidRPr="00F8088A" w:rsidRDefault="00F8088A" w:rsidP="00E058FB">
      <w:pPr>
        <w:spacing w:before="240" w:after="200"/>
        <w:jc w:val="both"/>
        <w:rPr>
          <w:b/>
          <w:u w:val="single"/>
        </w:rPr>
      </w:pPr>
      <w:r w:rsidRPr="00F8088A">
        <w:rPr>
          <w:b/>
          <w:u w:val="single"/>
        </w:rPr>
        <w:t>Fees</w:t>
      </w:r>
    </w:p>
    <w:p w14:paraId="225DB1A6" w14:textId="77E8F97E" w:rsidR="00DF2EAC" w:rsidRDefault="00D71138" w:rsidP="00E058FB">
      <w:pPr>
        <w:spacing w:before="240" w:after="200"/>
        <w:jc w:val="both"/>
      </w:pPr>
      <w:r w:rsidRPr="009A6977">
        <w:t>The</w:t>
      </w:r>
      <w:r w:rsidRPr="00E058FB">
        <w:rPr>
          <w:i/>
        </w:rPr>
        <w:t xml:space="preserve"> Protect</w:t>
      </w:r>
      <w:r w:rsidR="00F30EB3">
        <w:rPr>
          <w:i/>
        </w:rPr>
        <w:t>ing</w:t>
      </w:r>
      <w:r w:rsidRPr="00E058FB">
        <w:rPr>
          <w:i/>
        </w:rPr>
        <w:t xml:space="preserve"> Your Super </w:t>
      </w:r>
      <w:r w:rsidR="00416AAA">
        <w:t>r</w:t>
      </w:r>
      <w:r w:rsidRPr="00416AAA">
        <w:t>eforms</w:t>
      </w:r>
      <w:r w:rsidRPr="00E058FB">
        <w:rPr>
          <w:i/>
        </w:rPr>
        <w:t xml:space="preserve"> </w:t>
      </w:r>
      <w:r w:rsidR="00DF2EAC" w:rsidRPr="00E058FB">
        <w:t>also look to</w:t>
      </w:r>
      <w:r w:rsidR="00DF2EAC">
        <w:rPr>
          <w:i/>
        </w:rPr>
        <w:t xml:space="preserve"> </w:t>
      </w:r>
      <w:r w:rsidR="00DF2EAC">
        <w:t xml:space="preserve">protect </w:t>
      </w:r>
      <w:r w:rsidR="009A6977">
        <w:t xml:space="preserve">low balance </w:t>
      </w:r>
      <w:r w:rsidR="00DF2EAC">
        <w:t xml:space="preserve">superannuation by capping the fees that can be deducted during a year. The Regulations </w:t>
      </w:r>
      <w:r w:rsidR="006C24F7">
        <w:t>will</w:t>
      </w:r>
      <w:r w:rsidR="00DF2EAC">
        <w:t xml:space="preserve"> amend the </w:t>
      </w:r>
      <w:r w:rsidR="00DF2EAC" w:rsidRPr="00491A1C">
        <w:rPr>
          <w:i/>
        </w:rPr>
        <w:t xml:space="preserve">Superannuation (Industry) Supervision </w:t>
      </w:r>
      <w:r w:rsidR="00DF2EAC">
        <w:rPr>
          <w:i/>
        </w:rPr>
        <w:t>Regulations </w:t>
      </w:r>
      <w:r w:rsidR="00DF2EAC" w:rsidRPr="00491A1C">
        <w:rPr>
          <w:i/>
        </w:rPr>
        <w:t>1994</w:t>
      </w:r>
      <w:r w:rsidR="009A6977">
        <w:t xml:space="preserve"> (SIS </w:t>
      </w:r>
      <w:r w:rsidR="00DF2EAC">
        <w:t>Regulations) to set</w:t>
      </w:r>
      <w:r w:rsidR="00DF2EAC" w:rsidRPr="00EC629E">
        <w:t xml:space="preserve"> out </w:t>
      </w:r>
      <w:r w:rsidR="00DF2EAC">
        <w:t>further</w:t>
      </w:r>
      <w:r w:rsidR="00DF2EAC" w:rsidRPr="00EC629E">
        <w:t xml:space="preserve"> detail </w:t>
      </w:r>
      <w:r w:rsidR="00DF2EAC">
        <w:t>needed to administer</w:t>
      </w:r>
      <w:r w:rsidR="00DF2EAC" w:rsidRPr="00EC629E">
        <w:t xml:space="preserve"> the fee cap including the percentage of the cap</w:t>
      </w:r>
      <w:r w:rsidR="00DF2EAC">
        <w:t xml:space="preserve"> and how to determine which fees are capped. </w:t>
      </w:r>
      <w:r w:rsidR="00DF2EAC" w:rsidRPr="00EC629E">
        <w:t xml:space="preserve"> </w:t>
      </w:r>
    </w:p>
    <w:p w14:paraId="1AA349DC" w14:textId="4817FBFB" w:rsidR="00416AAA" w:rsidRDefault="00416AAA" w:rsidP="00E058FB">
      <w:pPr>
        <w:spacing w:before="240" w:after="200"/>
        <w:jc w:val="both"/>
      </w:pPr>
      <w:r>
        <w:lastRenderedPageBreak/>
        <w:t xml:space="preserve">As a result of the fee cap, the </w:t>
      </w:r>
      <w:r w:rsidR="00F8088A">
        <w:t>Regulations will</w:t>
      </w:r>
      <w:r>
        <w:t xml:space="preserve"> amend the Corporations Regulations to place an obligation on trustees to disclose the fee cap to members in</w:t>
      </w:r>
      <w:r w:rsidRPr="00EC629E">
        <w:t xml:space="preserve"> product disclosure statements and periodic statements.</w:t>
      </w:r>
    </w:p>
    <w:p w14:paraId="38A90B01" w14:textId="67156748" w:rsidR="00F8088A" w:rsidRPr="00F8088A" w:rsidRDefault="00F8088A" w:rsidP="00E058FB">
      <w:pPr>
        <w:spacing w:before="240" w:after="200"/>
        <w:jc w:val="both"/>
        <w:rPr>
          <w:b/>
          <w:u w:val="single"/>
        </w:rPr>
      </w:pPr>
      <w:r w:rsidRPr="00F8088A">
        <w:rPr>
          <w:b/>
          <w:u w:val="single"/>
        </w:rPr>
        <w:t>Consolidation of inactive low balance accounts</w:t>
      </w:r>
    </w:p>
    <w:p w14:paraId="7F74F682" w14:textId="3631E45B" w:rsidR="00DF2EAC" w:rsidRPr="007A224C" w:rsidRDefault="007A224C" w:rsidP="00E058FB">
      <w:pPr>
        <w:spacing w:before="240" w:after="200"/>
        <w:jc w:val="both"/>
      </w:pPr>
      <w:r w:rsidRPr="009A6977">
        <w:t>The</w:t>
      </w:r>
      <w:r w:rsidRPr="002D3EEE">
        <w:rPr>
          <w:i/>
        </w:rPr>
        <w:t xml:space="preserve"> Protect</w:t>
      </w:r>
      <w:r w:rsidR="00F30EB3">
        <w:rPr>
          <w:i/>
        </w:rPr>
        <w:t>ing</w:t>
      </w:r>
      <w:r w:rsidRPr="002D3EEE">
        <w:rPr>
          <w:i/>
        </w:rPr>
        <w:t xml:space="preserve"> Your Super </w:t>
      </w:r>
      <w:r w:rsidR="00416AAA">
        <w:t>r</w:t>
      </w:r>
      <w:r w:rsidRPr="00E058FB">
        <w:t>eforms</w:t>
      </w:r>
      <w:r w:rsidRPr="002D3EEE">
        <w:rPr>
          <w:i/>
        </w:rPr>
        <w:t xml:space="preserve"> </w:t>
      </w:r>
      <w:r w:rsidRPr="00E058FB">
        <w:t xml:space="preserve">also </w:t>
      </w:r>
      <w:r w:rsidRPr="007A224C">
        <w:t>ban</w:t>
      </w:r>
      <w:r>
        <w:t xml:space="preserve"> </w:t>
      </w:r>
      <w:r w:rsidR="00DF2EAC" w:rsidRPr="007A224C">
        <w:t xml:space="preserve">exit fees to remove a </w:t>
      </w:r>
      <w:r>
        <w:t xml:space="preserve">possible </w:t>
      </w:r>
      <w:r w:rsidR="00DF2EAC" w:rsidRPr="007A224C">
        <w:t>barrier to account consolidation</w:t>
      </w:r>
      <w:r>
        <w:t xml:space="preserve">. The Regulations </w:t>
      </w:r>
      <w:r w:rsidR="00F8088A">
        <w:t>will</w:t>
      </w:r>
      <w:r>
        <w:t xml:space="preserve"> amend the Corporations Regulations to </w:t>
      </w:r>
      <w:r w:rsidR="00416AAA">
        <w:t>remove</w:t>
      </w:r>
      <w:r>
        <w:t xml:space="preserve"> references to ‘exit fees</w:t>
      </w:r>
      <w:r w:rsidR="00416AAA">
        <w:t xml:space="preserve">’ as a </w:t>
      </w:r>
      <w:r w:rsidR="009D35AC">
        <w:t>consequence</w:t>
      </w:r>
      <w:r w:rsidR="00416AAA">
        <w:t xml:space="preserve"> of the exit fee ban</w:t>
      </w:r>
      <w:r>
        <w:t xml:space="preserve">. </w:t>
      </w:r>
    </w:p>
    <w:p w14:paraId="3E78B7A3" w14:textId="6F6E6D74" w:rsidR="00C45388" w:rsidRDefault="006D7C2B" w:rsidP="00D048D4">
      <w:pPr>
        <w:spacing w:before="240" w:after="200"/>
      </w:pPr>
      <w:r>
        <w:t xml:space="preserve">The </w:t>
      </w:r>
      <w:r w:rsidR="00416AAA" w:rsidRPr="00E058FB">
        <w:rPr>
          <w:i/>
        </w:rPr>
        <w:t>Protect</w:t>
      </w:r>
      <w:r w:rsidR="00F30EB3">
        <w:rPr>
          <w:i/>
        </w:rPr>
        <w:t>ing</w:t>
      </w:r>
      <w:r w:rsidR="00416AAA" w:rsidRPr="00E058FB">
        <w:rPr>
          <w:i/>
        </w:rPr>
        <w:t xml:space="preserve"> Your Super</w:t>
      </w:r>
      <w:r w:rsidR="00416AAA">
        <w:t xml:space="preserve"> </w:t>
      </w:r>
      <w:r w:rsidR="009D35AC">
        <w:t xml:space="preserve">reforms also give the Commissioner of Taxation additional powers to consolidate low balance superannuation accounts without being directed by the member. The </w:t>
      </w:r>
      <w:r w:rsidR="002821CD">
        <w:t xml:space="preserve">Regulations </w:t>
      </w:r>
      <w:r w:rsidR="00F8088A">
        <w:t>will</w:t>
      </w:r>
      <w:r w:rsidR="002821CD">
        <w:t xml:space="preserve"> </w:t>
      </w:r>
      <w:r>
        <w:t xml:space="preserve">amend </w:t>
      </w:r>
      <w:r w:rsidR="000C65C7">
        <w:t xml:space="preserve">the </w:t>
      </w:r>
      <w:r w:rsidR="005E19E7" w:rsidRPr="00444141">
        <w:rPr>
          <w:i/>
        </w:rPr>
        <w:t>Superannuation (Unclaimed Money and Lost Members) Regulations 1999</w:t>
      </w:r>
      <w:r w:rsidR="005E19E7">
        <w:t xml:space="preserve"> (SUMLM Regulations) </w:t>
      </w:r>
      <w:r w:rsidR="000C65C7">
        <w:t>to</w:t>
      </w:r>
      <w:r w:rsidR="009D35AC">
        <w:t xml:space="preserve"> support account consolidation by</w:t>
      </w:r>
      <w:r w:rsidR="000C65C7">
        <w:t xml:space="preserve"> </w:t>
      </w:r>
      <w:r w:rsidR="00C45388">
        <w:t>set</w:t>
      </w:r>
      <w:r w:rsidR="009D35AC">
        <w:t>ting</w:t>
      </w:r>
      <w:r w:rsidR="00C45388">
        <w:t xml:space="preserve"> out rul</w:t>
      </w:r>
      <w:r w:rsidR="00120F60">
        <w:t>es to direct the Commissioner</w:t>
      </w:r>
      <w:r w:rsidR="00C45388">
        <w:t xml:space="preserve"> to </w:t>
      </w:r>
      <w:r w:rsidR="000C65C7">
        <w:t>the</w:t>
      </w:r>
      <w:r w:rsidR="00C45388">
        <w:t xml:space="preserve"> fund </w:t>
      </w:r>
      <w:r w:rsidR="000C65C7">
        <w:t xml:space="preserve">into which </w:t>
      </w:r>
      <w:r w:rsidR="00C45388">
        <w:t>amount</w:t>
      </w:r>
      <w:r w:rsidR="009D35AC">
        <w:t>s</w:t>
      </w:r>
      <w:r w:rsidR="00C45388">
        <w:t xml:space="preserve"> should be paid</w:t>
      </w:r>
      <w:r w:rsidR="000C65C7">
        <w:t xml:space="preserve">. </w:t>
      </w:r>
    </w:p>
    <w:p w14:paraId="03C1E837" w14:textId="032611A1" w:rsidR="00317816" w:rsidRDefault="00317816" w:rsidP="00D048D4">
      <w:pPr>
        <w:spacing w:before="240" w:after="200"/>
      </w:pPr>
      <w:r>
        <w:t xml:space="preserve">Details of the Regulations are set out in the </w:t>
      </w:r>
      <w:r w:rsidRPr="00317816">
        <w:rPr>
          <w:u w:val="single"/>
        </w:rPr>
        <w:t>Attachment</w:t>
      </w:r>
      <w:r>
        <w:t>.</w:t>
      </w:r>
    </w:p>
    <w:p w14:paraId="32E0393F" w14:textId="3D3B43A7" w:rsidR="00322524" w:rsidRPr="00322524" w:rsidRDefault="00322524" w:rsidP="00D048D4">
      <w:pPr>
        <w:spacing w:after="200"/>
      </w:pPr>
      <w:r w:rsidRPr="00322524">
        <w:t>The Regulation</w:t>
      </w:r>
      <w:r w:rsidR="00317816">
        <w:t>s</w:t>
      </w:r>
      <w:r w:rsidRPr="00322524">
        <w:t xml:space="preserve"> commence </w:t>
      </w:r>
      <w:r w:rsidR="00735C5C">
        <w:t xml:space="preserve">the </w:t>
      </w:r>
      <w:r w:rsidR="00E56C66">
        <w:t xml:space="preserve">day after </w:t>
      </w:r>
      <w:r w:rsidR="00F8088A">
        <w:t xml:space="preserve">being </w:t>
      </w:r>
      <w:r w:rsidR="00496829">
        <w:t>registered</w:t>
      </w:r>
      <w:r w:rsidR="00187534">
        <w:t xml:space="preserve"> and apply from 1 July 2019</w:t>
      </w:r>
      <w:r w:rsidR="002652CA">
        <w:rPr>
          <w:color w:val="auto"/>
        </w:rPr>
        <w:t xml:space="preserve">. </w:t>
      </w:r>
    </w:p>
    <w:p w14:paraId="0C843B78" w14:textId="77777777" w:rsidR="00C45388" w:rsidRDefault="00C45388">
      <w:pPr>
        <w:spacing w:after="0"/>
      </w:pPr>
      <w:r>
        <w:br w:type="page"/>
      </w:r>
    </w:p>
    <w:p w14:paraId="35F8EDA2" w14:textId="7BD0E2FF" w:rsidR="00C45388" w:rsidRDefault="000C65C7" w:rsidP="005D5818">
      <w:pPr>
        <w:tabs>
          <w:tab w:val="left" w:pos="2835"/>
        </w:tabs>
        <w:spacing w:before="240" w:after="120"/>
        <w:ind w:right="91"/>
        <w:jc w:val="right"/>
        <w:rPr>
          <w:u w:val="single"/>
        </w:rPr>
      </w:pPr>
      <w:r>
        <w:rPr>
          <w:u w:val="single"/>
        </w:rPr>
        <w:lastRenderedPageBreak/>
        <w:t>Attachment</w:t>
      </w:r>
    </w:p>
    <w:p w14:paraId="2FE23BF9" w14:textId="62A8DE95" w:rsidR="00C45388" w:rsidRPr="0025185B" w:rsidRDefault="00C45388" w:rsidP="00C45388">
      <w:pPr>
        <w:pStyle w:val="Heading2"/>
        <w:rPr>
          <w:i/>
        </w:rPr>
      </w:pPr>
      <w:r w:rsidRPr="0029436A">
        <w:t xml:space="preserve">Details of the </w:t>
      </w:r>
      <w:r w:rsidRPr="0046102C">
        <w:t>Treasury Laws Amendment (</w:t>
      </w:r>
      <w:r>
        <w:t>Protecting Your Superannuation Package</w:t>
      </w:r>
      <w:r w:rsidRPr="0046102C">
        <w:t>) Regulations 201</w:t>
      </w:r>
      <w:r w:rsidR="00E34441">
        <w:t>9</w:t>
      </w:r>
    </w:p>
    <w:p w14:paraId="15239328" w14:textId="5C75C7B0" w:rsidR="00C45388" w:rsidRPr="00AA101B" w:rsidRDefault="00C45388" w:rsidP="00C45388">
      <w:pPr>
        <w:pStyle w:val="Heading3"/>
      </w:pPr>
      <w:r>
        <w:t>Section 1</w:t>
      </w:r>
      <w:r>
        <w:rPr>
          <w:rFonts w:ascii="Calibri" w:hAnsi="Calibri"/>
        </w:rPr>
        <w:t>—</w:t>
      </w:r>
      <w:r w:rsidRPr="00AA101B">
        <w:t>Name</w:t>
      </w:r>
      <w:r w:rsidR="00120F60">
        <w:t xml:space="preserve"> of the Regulations</w:t>
      </w:r>
    </w:p>
    <w:p w14:paraId="10D114E4" w14:textId="32867BA5" w:rsidR="00C45388" w:rsidRPr="0029436A" w:rsidRDefault="00C45388" w:rsidP="00C45388">
      <w:r w:rsidRPr="0029436A">
        <w:t xml:space="preserve">This section </w:t>
      </w:r>
      <w:r w:rsidR="00544551">
        <w:t>provide</w:t>
      </w:r>
      <w:r w:rsidR="00F8088A">
        <w:t>s</w:t>
      </w:r>
      <w:r w:rsidR="00544551">
        <w:t xml:space="preserve"> </w:t>
      </w:r>
      <w:r w:rsidR="00120F60">
        <w:t>that the title of the</w:t>
      </w:r>
      <w:r>
        <w:t xml:space="preserve"> </w:t>
      </w:r>
      <w:r w:rsidRPr="0029436A">
        <w:t>Regulation</w:t>
      </w:r>
      <w:r>
        <w:t>s</w:t>
      </w:r>
      <w:r w:rsidRPr="0029436A">
        <w:t xml:space="preserve"> is the </w:t>
      </w:r>
      <w:r w:rsidRPr="00345D9B">
        <w:rPr>
          <w:i/>
        </w:rPr>
        <w:t>Treasury Laws Amendment (</w:t>
      </w:r>
      <w:r>
        <w:rPr>
          <w:i/>
        </w:rPr>
        <w:t>Protecting Your Superannuation Package</w:t>
      </w:r>
      <w:r w:rsidRPr="00345D9B">
        <w:rPr>
          <w:i/>
        </w:rPr>
        <w:t>) Regulations 201</w:t>
      </w:r>
      <w:r w:rsidR="00E34441">
        <w:rPr>
          <w:i/>
        </w:rPr>
        <w:t>9</w:t>
      </w:r>
      <w:r w:rsidR="00735C5C">
        <w:rPr>
          <w:i/>
        </w:rPr>
        <w:t xml:space="preserve"> </w:t>
      </w:r>
      <w:r w:rsidR="00120F60">
        <w:t>(the</w:t>
      </w:r>
      <w:proofErr w:type="gramStart"/>
      <w:r w:rsidR="00120F60">
        <w:t> </w:t>
      </w:r>
      <w:r w:rsidR="00735C5C">
        <w:t xml:space="preserve"> Regulations</w:t>
      </w:r>
      <w:proofErr w:type="gramEnd"/>
      <w:r w:rsidR="00735C5C">
        <w:t>)</w:t>
      </w:r>
      <w:r>
        <w:t>.</w:t>
      </w:r>
    </w:p>
    <w:p w14:paraId="401B1A83" w14:textId="77777777" w:rsidR="00C45388" w:rsidRPr="0022302D" w:rsidRDefault="00C45388" w:rsidP="00C45388">
      <w:pPr>
        <w:pStyle w:val="Heading3"/>
      </w:pPr>
      <w:r>
        <w:t>Section 2</w:t>
      </w:r>
      <w:r>
        <w:rPr>
          <w:rFonts w:ascii="Calibri" w:hAnsi="Calibri"/>
        </w:rPr>
        <w:t>—</w:t>
      </w:r>
      <w:r w:rsidRPr="0022302D">
        <w:t>Commencement</w:t>
      </w:r>
    </w:p>
    <w:p w14:paraId="6AD4E975" w14:textId="3A0AC982" w:rsidR="00C45388" w:rsidRPr="0029436A" w:rsidRDefault="00C45388" w:rsidP="00C45388">
      <w:r w:rsidRPr="0029436A">
        <w:t xml:space="preserve">This section </w:t>
      </w:r>
      <w:r w:rsidR="00F8088A">
        <w:t>will</w:t>
      </w:r>
      <w:r w:rsidR="00544551">
        <w:t xml:space="preserve"> set</w:t>
      </w:r>
      <w:r w:rsidRPr="0029436A">
        <w:t xml:space="preserve"> out the commencement dates for the various parts of the Regulation</w:t>
      </w:r>
      <w:r>
        <w:t>s</w:t>
      </w:r>
      <w:r w:rsidRPr="0029436A">
        <w:t xml:space="preserve">. </w:t>
      </w:r>
    </w:p>
    <w:p w14:paraId="050D0D7E" w14:textId="56110A22" w:rsidR="00C45388" w:rsidRPr="0029436A" w:rsidRDefault="00120F60" w:rsidP="00C45388">
      <w:r>
        <w:t xml:space="preserve">The </w:t>
      </w:r>
      <w:r w:rsidR="00C45388">
        <w:t xml:space="preserve">Regulations </w:t>
      </w:r>
      <w:r w:rsidR="00F8088A">
        <w:t>will</w:t>
      </w:r>
      <w:r w:rsidR="00544551">
        <w:t xml:space="preserve"> </w:t>
      </w:r>
      <w:r w:rsidR="00C45388" w:rsidRPr="00503E44">
        <w:t xml:space="preserve">commence on </w:t>
      </w:r>
      <w:r w:rsidR="00C45388">
        <w:t xml:space="preserve">the </w:t>
      </w:r>
      <w:r w:rsidR="00735C5C">
        <w:t xml:space="preserve">later of the </w:t>
      </w:r>
      <w:r w:rsidR="00C45388">
        <w:t>day after this instrument is registered.</w:t>
      </w:r>
      <w:r w:rsidR="00735C5C">
        <w:t xml:space="preserve"> </w:t>
      </w:r>
    </w:p>
    <w:p w14:paraId="60CB421C" w14:textId="77777777" w:rsidR="00C45388" w:rsidRPr="0022302D" w:rsidRDefault="00C45388" w:rsidP="00C45388">
      <w:pPr>
        <w:pStyle w:val="Heading3"/>
      </w:pPr>
      <w:r>
        <w:t>Section 3</w:t>
      </w:r>
      <w:r>
        <w:rPr>
          <w:rFonts w:ascii="Calibri" w:hAnsi="Calibri"/>
        </w:rPr>
        <w:t>—</w:t>
      </w:r>
      <w:r w:rsidRPr="0022302D">
        <w:t>Authority</w:t>
      </w:r>
    </w:p>
    <w:p w14:paraId="70B413DF" w14:textId="36775A2E" w:rsidR="00C45388" w:rsidRPr="0029436A" w:rsidRDefault="00C45388" w:rsidP="00C45388">
      <w:pPr>
        <w:rPr>
          <w:i/>
        </w:rPr>
      </w:pPr>
      <w:r w:rsidRPr="0029436A">
        <w:t xml:space="preserve">This section </w:t>
      </w:r>
      <w:r w:rsidR="0073444B">
        <w:t>will</w:t>
      </w:r>
      <w:r w:rsidR="00544551">
        <w:t xml:space="preserve"> provide</w:t>
      </w:r>
      <w:r w:rsidRPr="0029436A">
        <w:t xml:space="preserve"> that the Regulation</w:t>
      </w:r>
      <w:r>
        <w:t>s</w:t>
      </w:r>
      <w:r w:rsidRPr="0029436A">
        <w:t xml:space="preserve"> </w:t>
      </w:r>
      <w:r>
        <w:t>are</w:t>
      </w:r>
      <w:r w:rsidRPr="0029436A">
        <w:t xml:space="preserve"> made under the Corporations Act</w:t>
      </w:r>
      <w:r>
        <w:t xml:space="preserve">, </w:t>
      </w:r>
      <w:r w:rsidR="00A11996">
        <w:t xml:space="preserve">the </w:t>
      </w:r>
      <w:r>
        <w:t xml:space="preserve">SGA Act, </w:t>
      </w:r>
      <w:r w:rsidR="003F1A26">
        <w:t xml:space="preserve">the </w:t>
      </w:r>
      <w:r>
        <w:t>SIS Act and the SUMLM Act.</w:t>
      </w:r>
      <w:r w:rsidRPr="0029436A">
        <w:t xml:space="preserve"> </w:t>
      </w:r>
    </w:p>
    <w:p w14:paraId="476B3AD6" w14:textId="77777777" w:rsidR="00C45388" w:rsidRPr="0022302D" w:rsidRDefault="00C45388" w:rsidP="00C45388">
      <w:pPr>
        <w:pStyle w:val="Heading3"/>
      </w:pPr>
      <w:r>
        <w:t>Section 4</w:t>
      </w:r>
      <w:r>
        <w:rPr>
          <w:rFonts w:ascii="Calibri" w:hAnsi="Calibri"/>
        </w:rPr>
        <w:t>—</w:t>
      </w:r>
      <w:r w:rsidRPr="0022302D">
        <w:t>Schedules</w:t>
      </w:r>
    </w:p>
    <w:p w14:paraId="77BD0213" w14:textId="07B7B1BE" w:rsidR="00C45388" w:rsidRPr="0029436A" w:rsidRDefault="00C45388" w:rsidP="00C45388">
      <w:r w:rsidRPr="0029436A">
        <w:t xml:space="preserve">This section </w:t>
      </w:r>
      <w:r w:rsidR="00544551">
        <w:t>provide</w:t>
      </w:r>
      <w:r w:rsidR="0073444B">
        <w:t>s</w:t>
      </w:r>
      <w:r w:rsidR="00120F60">
        <w:t xml:space="preserve"> that each instrument</w:t>
      </w:r>
      <w:r w:rsidRPr="0029436A">
        <w:t xml:space="preserve"> specified in a Schedule to the Regulation</w:t>
      </w:r>
      <w:r>
        <w:t>s</w:t>
      </w:r>
      <w:r w:rsidRPr="0029436A">
        <w:t xml:space="preserve"> </w:t>
      </w:r>
      <w:r w:rsidR="00120F60">
        <w:t>be</w:t>
      </w:r>
      <w:r w:rsidRPr="0029436A">
        <w:t xml:space="preserve"> amended or repealed as set out in the applicable </w:t>
      </w:r>
      <w:r w:rsidR="00120F60">
        <w:t>items in the Schedule concerned</w:t>
      </w:r>
      <w:r w:rsidRPr="0029436A">
        <w:t xml:space="preserve"> and any other item in a</w:t>
      </w:r>
      <w:r w:rsidR="00120F60">
        <w:t xml:space="preserve"> Schedule to this instrument have</w:t>
      </w:r>
      <w:r w:rsidRPr="0029436A">
        <w:t xml:space="preserve"> effect according to its terms. </w:t>
      </w:r>
    </w:p>
    <w:p w14:paraId="2905870B" w14:textId="767C8501" w:rsidR="00C45388" w:rsidRPr="00C45388" w:rsidRDefault="00C45388" w:rsidP="00C45388">
      <w:pPr>
        <w:pStyle w:val="Heading2"/>
        <w:rPr>
          <w:b/>
          <w:u w:val="none"/>
        </w:rPr>
      </w:pPr>
      <w:r w:rsidRPr="00C45388">
        <w:rPr>
          <w:b/>
          <w:u w:val="none"/>
        </w:rPr>
        <w:t>Insurance information in relation to inactive superannuation accounts</w:t>
      </w:r>
    </w:p>
    <w:p w14:paraId="541A794D" w14:textId="67E13F6B" w:rsidR="00C45388" w:rsidRDefault="00735C5C" w:rsidP="00C45388">
      <w:r>
        <w:t>From 1 July 2019, s</w:t>
      </w:r>
      <w:r w:rsidR="00C45388" w:rsidRPr="006D7595">
        <w:t xml:space="preserve">ection 68AAA of the SIS Act </w:t>
      </w:r>
      <w:r w:rsidR="009D35AC">
        <w:t xml:space="preserve">will </w:t>
      </w:r>
      <w:r w:rsidR="00C45388">
        <w:t xml:space="preserve">prevent a trustee of a superannuation fund from offering or maintaining insurance for its members holding a </w:t>
      </w:r>
      <w:proofErr w:type="spellStart"/>
      <w:r w:rsidR="00C45388">
        <w:t>MySuper</w:t>
      </w:r>
      <w:proofErr w:type="spellEnd"/>
      <w:r w:rsidR="00C45388">
        <w:t xml:space="preserve"> or choice product if the </w:t>
      </w:r>
      <w:r w:rsidR="007A71C1">
        <w:t>account has been inactive for 16</w:t>
      </w:r>
      <w:r w:rsidR="00C45388">
        <w:t xml:space="preserve"> months or more,</w:t>
      </w:r>
      <w:r w:rsidR="00C45388" w:rsidDel="005D52DA">
        <w:t xml:space="preserve"> </w:t>
      </w:r>
      <w:r w:rsidR="00C45388">
        <w:t>unless the member has directed the trustee to maintain the insurance.</w:t>
      </w:r>
    </w:p>
    <w:p w14:paraId="16AC63AE" w14:textId="77777777" w:rsidR="00C45388" w:rsidRDefault="00C45388" w:rsidP="00C45388">
      <w:r>
        <w:t>Paragraph 1017DA(1)(a) of the Corporations Act allows regulations to prescribe additional obligations on trustees of superannuation funds</w:t>
      </w:r>
      <w:r w:rsidRPr="00CD3575">
        <w:t xml:space="preserve"> </w:t>
      </w:r>
      <w:r>
        <w:t>to provide information on certain matters and one of those matters is a superannuation product holder’s benefit entitlements. Those benefit entitlements include the provision of insurance cover for the member through superannuation products.</w:t>
      </w:r>
      <w:r w:rsidRPr="002F216F">
        <w:t xml:space="preserve"> </w:t>
      </w:r>
    </w:p>
    <w:p w14:paraId="6E78C27B" w14:textId="717565C9" w:rsidR="00C45388" w:rsidRDefault="00C45388" w:rsidP="00C45388">
      <w:r>
        <w:t>Th</w:t>
      </w:r>
      <w:r w:rsidR="0073444B">
        <w:t>e</w:t>
      </w:r>
      <w:r>
        <w:t xml:space="preserve"> Regulations </w:t>
      </w:r>
      <w:r w:rsidR="0073444B">
        <w:t xml:space="preserve">will </w:t>
      </w:r>
      <w:r>
        <w:t xml:space="preserve">insert </w:t>
      </w:r>
      <w:r w:rsidR="0080751E">
        <w:t xml:space="preserve">new </w:t>
      </w:r>
      <w:r w:rsidR="0047378B">
        <w:t>regulation</w:t>
      </w:r>
      <w:r w:rsidR="00ED2B1A">
        <w:t xml:space="preserve">s </w:t>
      </w:r>
      <w:r w:rsidR="0080751E">
        <w:t>into</w:t>
      </w:r>
      <w:r>
        <w:t xml:space="preserve"> the Corporations Regulations </w:t>
      </w:r>
      <w:r w:rsidR="0073444B">
        <w:t xml:space="preserve">to </w:t>
      </w:r>
      <w:r>
        <w:t xml:space="preserve">require a trustee to notify a member once their account has been inactive for </w:t>
      </w:r>
      <w:r w:rsidR="007A71C1">
        <w:t xml:space="preserve">nine, </w:t>
      </w:r>
      <w:r w:rsidR="0073444B">
        <w:t>12 </w:t>
      </w:r>
      <w:r w:rsidR="007A71C1">
        <w:t xml:space="preserve">and 15 </w:t>
      </w:r>
      <w:r>
        <w:t xml:space="preserve">months, giving the member an opportunity to take steps to maintain their insurance cover if they wish. </w:t>
      </w:r>
    </w:p>
    <w:p w14:paraId="29C9D256" w14:textId="228233F3" w:rsidR="00C45388" w:rsidRDefault="00120F60" w:rsidP="00C45388">
      <w:r>
        <w:t xml:space="preserve">The </w:t>
      </w:r>
      <w:r w:rsidR="00C45388">
        <w:t xml:space="preserve">Regulations </w:t>
      </w:r>
      <w:r w:rsidR="0073444B">
        <w:t xml:space="preserve">will </w:t>
      </w:r>
      <w:r w:rsidR="00C45388">
        <w:t>also place obligations on the trustee to acknowledge a member’s direction to maintain insurance cover even though the member’s account may be considered inactive and provide annual reminders to the member.</w:t>
      </w:r>
    </w:p>
    <w:p w14:paraId="3E96E510" w14:textId="418CE310" w:rsidR="00C45388" w:rsidRDefault="00120F60" w:rsidP="00C45388">
      <w:r>
        <w:t xml:space="preserve">The </w:t>
      </w:r>
      <w:r w:rsidR="0080751E">
        <w:t>Regulations</w:t>
      </w:r>
      <w:r w:rsidR="00C45388">
        <w:t xml:space="preserve"> </w:t>
      </w:r>
      <w:r w:rsidR="0073444B">
        <w:t>will</w:t>
      </w:r>
      <w:r w:rsidR="00544551">
        <w:t xml:space="preserve"> provide</w:t>
      </w:r>
      <w:r w:rsidR="00C45388">
        <w:t xml:space="preserve"> that the notices do not need to be given to defined benefit members and A</w:t>
      </w:r>
      <w:r>
        <w:t xml:space="preserve">ustralian </w:t>
      </w:r>
      <w:r w:rsidR="00C45388">
        <w:t>D</w:t>
      </w:r>
      <w:r>
        <w:t xml:space="preserve">efence </w:t>
      </w:r>
      <w:r w:rsidR="00C45388">
        <w:t>F</w:t>
      </w:r>
      <w:r>
        <w:t>orce</w:t>
      </w:r>
      <w:r w:rsidR="00C45388">
        <w:t xml:space="preserve"> Super members as the changes in the </w:t>
      </w:r>
      <w:r w:rsidR="00544551">
        <w:t>SIS Act</w:t>
      </w:r>
      <w:r w:rsidR="00C45388">
        <w:t xml:space="preserve"> do not apply to those members. </w:t>
      </w:r>
    </w:p>
    <w:p w14:paraId="3DDE7D04" w14:textId="0C8F52AD" w:rsidR="00C45388" w:rsidRDefault="00120F60" w:rsidP="00C45388">
      <w:r>
        <w:lastRenderedPageBreak/>
        <w:t xml:space="preserve">The </w:t>
      </w:r>
      <w:r w:rsidR="0080751E">
        <w:t xml:space="preserve">Regulations </w:t>
      </w:r>
      <w:r w:rsidR="0073444B">
        <w:t>will</w:t>
      </w:r>
      <w:r w:rsidR="0080751E">
        <w:t xml:space="preserve"> also provide that n</w:t>
      </w:r>
      <w:r w:rsidR="00C45388">
        <w:t xml:space="preserve">otices are needed for a member whose employer makes contributions on their behalf, which cover the full cost of the members’ insurance premiums in addition to the employer’s superannuation guarantee obligations. </w:t>
      </w:r>
    </w:p>
    <w:p w14:paraId="40C65832" w14:textId="7163726A" w:rsidR="00ED2B1A" w:rsidRDefault="00ED2B1A" w:rsidP="00C45388">
      <w:r>
        <w:t>The obligation</w:t>
      </w:r>
      <w:r w:rsidR="00C4210D">
        <w:t>s</w:t>
      </w:r>
      <w:r>
        <w:t xml:space="preserve"> apply from 1 July 2019.</w:t>
      </w:r>
    </w:p>
    <w:p w14:paraId="1B6ED301" w14:textId="77777777" w:rsidR="00C45388" w:rsidRPr="00C45388" w:rsidRDefault="00C45388" w:rsidP="00C45388">
      <w:pPr>
        <w:rPr>
          <w:i/>
        </w:rPr>
      </w:pPr>
      <w:r w:rsidRPr="00C45388">
        <w:rPr>
          <w:i/>
        </w:rPr>
        <w:t>Notice about inactivity</w:t>
      </w:r>
    </w:p>
    <w:p w14:paraId="05A18AF5" w14:textId="52CBEB08" w:rsidR="00C45388" w:rsidRDefault="00C45388" w:rsidP="00C45388">
      <w:r>
        <w:t xml:space="preserve">The notification obligations </w:t>
      </w:r>
      <w:r w:rsidR="0073444B">
        <w:t>will</w:t>
      </w:r>
      <w:r w:rsidR="00986E28">
        <w:t xml:space="preserve"> be</w:t>
      </w:r>
      <w:r>
        <w:t xml:space="preserve"> triggered after a period of inactivity</w:t>
      </w:r>
      <w:r w:rsidR="00C4210D">
        <w:t xml:space="preserve">. The Regulations </w:t>
      </w:r>
      <w:r w:rsidR="0073444B">
        <w:t>will</w:t>
      </w:r>
      <w:r w:rsidR="00C4210D">
        <w:t xml:space="preserve"> insert a </w:t>
      </w:r>
      <w:r>
        <w:t xml:space="preserve">definition of </w:t>
      </w:r>
      <w:r w:rsidRPr="00092970">
        <w:rPr>
          <w:i/>
        </w:rPr>
        <w:t>inactive</w:t>
      </w:r>
      <w:r>
        <w:t xml:space="preserve"> into the Corporations Regulations</w:t>
      </w:r>
      <w:r w:rsidR="00C4210D">
        <w:t xml:space="preserve">. </w:t>
      </w:r>
    </w:p>
    <w:p w14:paraId="215C9852" w14:textId="1206295C" w:rsidR="00C45388" w:rsidRDefault="0042023C" w:rsidP="00C45388">
      <w:r>
        <w:t xml:space="preserve">Item 1 </w:t>
      </w:r>
      <w:r w:rsidR="0073444B">
        <w:t>will</w:t>
      </w:r>
      <w:r w:rsidR="00986E28">
        <w:t xml:space="preserve"> insert a new regulation, Regulation</w:t>
      </w:r>
      <w:r w:rsidR="009629A5">
        <w:t> </w:t>
      </w:r>
      <w:r w:rsidR="00C45388" w:rsidRPr="00205437">
        <w:t>7.9.44A</w:t>
      </w:r>
      <w:r w:rsidR="00C45388">
        <w:t xml:space="preserve"> </w:t>
      </w:r>
      <w:r w:rsidR="00986E28">
        <w:t>into</w:t>
      </w:r>
      <w:r w:rsidR="00C45388">
        <w:t xml:space="preserve"> the Corporations Regulations </w:t>
      </w:r>
      <w:r w:rsidR="00986E28">
        <w:t>to</w:t>
      </w:r>
      <w:r w:rsidR="004F1076">
        <w:t xml:space="preserve"> </w:t>
      </w:r>
      <w:r w:rsidR="00544551">
        <w:t>provide</w:t>
      </w:r>
      <w:r w:rsidR="00C45388" w:rsidRPr="00205437">
        <w:t xml:space="preserve"> t</w:t>
      </w:r>
      <w:r w:rsidR="00C45388">
        <w:t xml:space="preserve">hat the definition of </w:t>
      </w:r>
      <w:r w:rsidR="00C45388" w:rsidRPr="00092970">
        <w:rPr>
          <w:i/>
        </w:rPr>
        <w:t>inactive</w:t>
      </w:r>
      <w:r w:rsidR="00C45388" w:rsidRPr="00205437">
        <w:t xml:space="preserve"> is the same definition as</w:t>
      </w:r>
      <w:r w:rsidR="00C45388">
        <w:t xml:space="preserve"> in the SIS Act. An inactive account </w:t>
      </w:r>
      <w:r w:rsidR="0073444B">
        <w:t>will</w:t>
      </w:r>
      <w:r w:rsidR="00544551">
        <w:t xml:space="preserve"> be </w:t>
      </w:r>
      <w:r w:rsidR="00C45388">
        <w:t xml:space="preserve">an account that has not received an amount such as a contribution </w:t>
      </w:r>
      <w:r w:rsidR="0047378B">
        <w:t>or a rollover in the previous 16</w:t>
      </w:r>
      <w:r w:rsidR="00C45388">
        <w:t xml:space="preserve"> months. </w:t>
      </w:r>
    </w:p>
    <w:p w14:paraId="784C47EB" w14:textId="10617CE4" w:rsidR="00C45388" w:rsidRDefault="00C45388" w:rsidP="00C45388">
      <w:r w:rsidRPr="003C3752">
        <w:t xml:space="preserve">Item </w:t>
      </w:r>
      <w:r>
        <w:t>2</w:t>
      </w:r>
      <w:r w:rsidRPr="003C3752">
        <w:t xml:space="preserve"> </w:t>
      </w:r>
      <w:r w:rsidR="0073444B">
        <w:t>will</w:t>
      </w:r>
      <w:r w:rsidR="00544551">
        <w:t xml:space="preserve"> </w:t>
      </w:r>
      <w:r w:rsidR="004F1076">
        <w:t xml:space="preserve">insert a transitional provision into Chapter 10 of the Corporation Regulations </w:t>
      </w:r>
      <w:r w:rsidR="0073444B">
        <w:t>to</w:t>
      </w:r>
      <w:r w:rsidR="004F1076">
        <w:t xml:space="preserve"> </w:t>
      </w:r>
      <w:r w:rsidR="00544551">
        <w:t>provide</w:t>
      </w:r>
      <w:r w:rsidRPr="003C3752">
        <w:t xml:space="preserve"> that when considering a period of inactivity, the trustee must</w:t>
      </w:r>
      <w:r>
        <w:t xml:space="preserve"> include the</w:t>
      </w:r>
      <w:r w:rsidR="001A1A08">
        <w:t xml:space="preserve"> period before the </w:t>
      </w:r>
      <w:r w:rsidRPr="003C3752">
        <w:t xml:space="preserve">Regulations commenced. </w:t>
      </w:r>
    </w:p>
    <w:p w14:paraId="2170032D" w14:textId="6917F789" w:rsidR="00C45388" w:rsidRPr="00C45388" w:rsidRDefault="00C45388" w:rsidP="00BC738E">
      <w:pPr>
        <w:tabs>
          <w:tab w:val="left" w:pos="6645"/>
        </w:tabs>
        <w:rPr>
          <w:i/>
        </w:rPr>
      </w:pPr>
      <w:r w:rsidRPr="00C45388">
        <w:rPr>
          <w:i/>
        </w:rPr>
        <w:t>What should be included in the inactivity notices?</w:t>
      </w:r>
      <w:r w:rsidR="00BC738E">
        <w:rPr>
          <w:i/>
        </w:rPr>
        <w:tab/>
      </w:r>
    </w:p>
    <w:p w14:paraId="6136921D" w14:textId="1B5F4A3D" w:rsidR="00C45388" w:rsidRDefault="0042023C" w:rsidP="00C45388">
      <w:r>
        <w:t xml:space="preserve">Item 1 </w:t>
      </w:r>
      <w:r w:rsidR="0073444B">
        <w:t>will</w:t>
      </w:r>
      <w:r w:rsidR="004F1076">
        <w:t xml:space="preserve"> insert a new regulation, </w:t>
      </w:r>
      <w:r w:rsidR="00C45388">
        <w:t xml:space="preserve">Regulation 7.9.44B </w:t>
      </w:r>
      <w:r w:rsidR="0073444B">
        <w:t xml:space="preserve">to </w:t>
      </w:r>
      <w:r w:rsidR="0065525D">
        <w:t>require</w:t>
      </w:r>
      <w:r w:rsidR="00C45388">
        <w:t xml:space="preserve"> a trustee of a superannuation fund to provide an </w:t>
      </w:r>
      <w:r w:rsidR="00C45388" w:rsidRPr="00E77BA6">
        <w:rPr>
          <w:i/>
        </w:rPr>
        <w:t>insurance inactivity notice</w:t>
      </w:r>
      <w:r w:rsidR="00C45388">
        <w:t xml:space="preserve"> to a </w:t>
      </w:r>
      <w:proofErr w:type="spellStart"/>
      <w:r w:rsidR="00C45388">
        <w:t>MySuper</w:t>
      </w:r>
      <w:proofErr w:type="spellEnd"/>
      <w:r w:rsidR="00C45388">
        <w:t xml:space="preserve"> or choice member whose account has been inactive for nine</w:t>
      </w:r>
      <w:r w:rsidR="004C015A">
        <w:t xml:space="preserve"> and </w:t>
      </w:r>
      <w:r w:rsidR="0047378B">
        <w:t>12</w:t>
      </w:r>
      <w:r w:rsidR="004C015A">
        <w:t xml:space="preserve"> </w:t>
      </w:r>
      <w:r w:rsidR="00C45388">
        <w:t xml:space="preserve">months if the member has not elected to take out or maintain insurance. </w:t>
      </w:r>
    </w:p>
    <w:p w14:paraId="0590484B" w14:textId="4A9BB1CC" w:rsidR="00C45388" w:rsidRDefault="00C45388" w:rsidP="00C45388">
      <w:r>
        <w:t xml:space="preserve">The insurance inactivity notice </w:t>
      </w:r>
      <w:r w:rsidR="0073444B">
        <w:t>will</w:t>
      </w:r>
      <w:r>
        <w:t>:</w:t>
      </w:r>
    </w:p>
    <w:p w14:paraId="0B320BFD" w14:textId="004B5963" w:rsidR="00C45388" w:rsidRDefault="00C45388" w:rsidP="001A1A08">
      <w:pPr>
        <w:pStyle w:val="Dotpoint"/>
        <w:tabs>
          <w:tab w:val="clear" w:pos="360"/>
          <w:tab w:val="num" w:pos="720"/>
        </w:tabs>
        <w:ind w:left="720"/>
      </w:pPr>
      <w:r>
        <w:t xml:space="preserve">state the length of time that the member’s account has been inactive in relation to the </w:t>
      </w:r>
      <w:proofErr w:type="spellStart"/>
      <w:r>
        <w:t>MySuper</w:t>
      </w:r>
      <w:proofErr w:type="spellEnd"/>
      <w:r>
        <w:t xml:space="preserve"> or choice product and the date on which the </w:t>
      </w:r>
      <w:r w:rsidR="007F185A">
        <w:t xml:space="preserve">account </w:t>
      </w:r>
      <w:r w:rsidR="0073444B">
        <w:t>will</w:t>
      </w:r>
      <w:r w:rsidR="007F185A">
        <w:t xml:space="preserve"> be inactive for 16</w:t>
      </w:r>
      <w:r>
        <w:t xml:space="preserve"> months;</w:t>
      </w:r>
    </w:p>
    <w:p w14:paraId="1A0298DE" w14:textId="6D960739" w:rsidR="00C45388" w:rsidRDefault="00C45388" w:rsidP="001A1A08">
      <w:pPr>
        <w:pStyle w:val="Dotpoint"/>
        <w:tabs>
          <w:tab w:val="clear" w:pos="360"/>
          <w:tab w:val="num" w:pos="720"/>
        </w:tabs>
        <w:ind w:left="720"/>
      </w:pPr>
      <w:r>
        <w:t xml:space="preserve">explain that the account will become active if it receives an amount, </w:t>
      </w:r>
      <w:r w:rsidR="007F185A">
        <w:t>such as</w:t>
      </w:r>
      <w:r>
        <w:t xml:space="preserve"> a contribution or rollover;</w:t>
      </w:r>
    </w:p>
    <w:p w14:paraId="70AF39B6" w14:textId="77777777" w:rsidR="00C45388" w:rsidRDefault="00C45388" w:rsidP="001A1A08">
      <w:pPr>
        <w:pStyle w:val="Dotpoint"/>
        <w:tabs>
          <w:tab w:val="clear" w:pos="360"/>
          <w:tab w:val="num" w:pos="720"/>
        </w:tabs>
        <w:ind w:left="720"/>
      </w:pPr>
      <w:r>
        <w:t>state the insurance fee charged for the product in the previous income year;</w:t>
      </w:r>
    </w:p>
    <w:p w14:paraId="0D45FCBF" w14:textId="226C091B" w:rsidR="00C45388" w:rsidRDefault="00C45388" w:rsidP="001A1A08">
      <w:pPr>
        <w:pStyle w:val="Dotpoint"/>
        <w:tabs>
          <w:tab w:val="clear" w:pos="360"/>
          <w:tab w:val="num" w:pos="720"/>
        </w:tabs>
        <w:ind w:left="720"/>
      </w:pPr>
      <w:r>
        <w:t xml:space="preserve">explain that the trustee will only be able to offer or maintain insurance for its </w:t>
      </w:r>
      <w:proofErr w:type="spellStart"/>
      <w:r>
        <w:t>MySuper</w:t>
      </w:r>
      <w:proofErr w:type="spellEnd"/>
      <w:r>
        <w:t xml:space="preserve"> or choice members from 1 July 2019 on an opt in basis where </w:t>
      </w:r>
      <w:r w:rsidR="007F185A">
        <w:t>the account is inactive for 16</w:t>
      </w:r>
      <w:r>
        <w:t xml:space="preserve"> months or more;</w:t>
      </w:r>
    </w:p>
    <w:p w14:paraId="50FDE801" w14:textId="77777777" w:rsidR="00C45388" w:rsidRDefault="00C45388" w:rsidP="001A1A08">
      <w:pPr>
        <w:pStyle w:val="Dotpoint"/>
        <w:tabs>
          <w:tab w:val="clear" w:pos="360"/>
          <w:tab w:val="num" w:pos="720"/>
        </w:tabs>
        <w:ind w:left="720"/>
      </w:pPr>
      <w:r>
        <w:t>set out the methods by which the member can opt in; and</w:t>
      </w:r>
    </w:p>
    <w:p w14:paraId="37BA462E" w14:textId="77777777" w:rsidR="00C45388" w:rsidRDefault="00C45388" w:rsidP="001A1A08">
      <w:pPr>
        <w:pStyle w:val="Dotpoint"/>
        <w:tabs>
          <w:tab w:val="clear" w:pos="360"/>
          <w:tab w:val="num" w:pos="720"/>
        </w:tabs>
        <w:ind w:left="720"/>
      </w:pPr>
      <w:r>
        <w:t>explain that the member’s right to be covered by insurance is unaffected until the end of the period for which premiums have been charged or the expiry date of the term of the member’s existing insurance contract.</w:t>
      </w:r>
    </w:p>
    <w:p w14:paraId="55416B63" w14:textId="26D1CAFA" w:rsidR="004C015A" w:rsidRDefault="004C015A" w:rsidP="00C4210D">
      <w:r w:rsidRPr="004743F3">
        <w:t xml:space="preserve">The notices need to be provided to the member within </w:t>
      </w:r>
      <w:r>
        <w:t>two weeks</w:t>
      </w:r>
      <w:r w:rsidRPr="004743F3">
        <w:t xml:space="preserve"> of the end </w:t>
      </w:r>
      <w:r>
        <w:t>of the nine and 12</w:t>
      </w:r>
      <w:r w:rsidRPr="004743F3">
        <w:t xml:space="preserve"> month </w:t>
      </w:r>
      <w:r>
        <w:t xml:space="preserve">periods of </w:t>
      </w:r>
      <w:r w:rsidRPr="004743F3">
        <w:t>inactivity.</w:t>
      </w:r>
    </w:p>
    <w:p w14:paraId="0023280F" w14:textId="549CA466" w:rsidR="00C45388" w:rsidRDefault="00C45388" w:rsidP="004C015A">
      <w:r>
        <w:t xml:space="preserve">Regulation 7.9.44B </w:t>
      </w:r>
      <w:r w:rsidR="0073444B">
        <w:t>will</w:t>
      </w:r>
      <w:r w:rsidR="0065525D">
        <w:t xml:space="preserve"> require</w:t>
      </w:r>
      <w:r>
        <w:t xml:space="preserve"> a trustee to provide a </w:t>
      </w:r>
      <w:r w:rsidRPr="004C015A">
        <w:rPr>
          <w:i/>
        </w:rPr>
        <w:t>final inactivity notice</w:t>
      </w:r>
      <w:r>
        <w:t xml:space="preserve"> to a </w:t>
      </w:r>
      <w:proofErr w:type="spellStart"/>
      <w:r>
        <w:t>MySuper</w:t>
      </w:r>
      <w:proofErr w:type="spellEnd"/>
      <w:r>
        <w:t xml:space="preserve"> or choice member whose a</w:t>
      </w:r>
      <w:r w:rsidR="007F185A">
        <w:t>ccount has been inactive for 15</w:t>
      </w:r>
      <w:r w:rsidR="0065525D">
        <w:t> </w:t>
      </w:r>
      <w:r>
        <w:t>months and the member has not elected to take out or maintain insurance.</w:t>
      </w:r>
    </w:p>
    <w:p w14:paraId="045FD690" w14:textId="5D7B46A7" w:rsidR="004C015A" w:rsidRDefault="00C45388" w:rsidP="004C015A">
      <w:r>
        <w:lastRenderedPageBreak/>
        <w:t xml:space="preserve">The final insurance inactivity notice </w:t>
      </w:r>
      <w:r w:rsidR="0073444B">
        <w:t>will</w:t>
      </w:r>
      <w:r w:rsidR="0065525D">
        <w:t xml:space="preserve"> be</w:t>
      </w:r>
      <w:r>
        <w:t xml:space="preserve"> required to cover the same matters as the insurance inactivity notice and state the date on which the insurance cover </w:t>
      </w:r>
      <w:r w:rsidR="0073444B">
        <w:t>will</w:t>
      </w:r>
      <w:r w:rsidR="0065525D">
        <w:t xml:space="preserve"> cease if the account continued</w:t>
      </w:r>
      <w:r>
        <w:t xml:space="preserve"> to have no activity. </w:t>
      </w:r>
      <w:r w:rsidR="004C015A">
        <w:t>The notice</w:t>
      </w:r>
      <w:r w:rsidR="004C015A" w:rsidRPr="004743F3">
        <w:t xml:space="preserve"> </w:t>
      </w:r>
      <w:r w:rsidR="0073444B">
        <w:t>will</w:t>
      </w:r>
      <w:r w:rsidR="004C015A">
        <w:t xml:space="preserve"> </w:t>
      </w:r>
      <w:r w:rsidR="004C015A" w:rsidRPr="004743F3">
        <w:t xml:space="preserve">need to be provided to the member within </w:t>
      </w:r>
      <w:r w:rsidR="004C015A">
        <w:t>two weeks</w:t>
      </w:r>
      <w:r w:rsidR="004C015A" w:rsidRPr="004743F3">
        <w:t xml:space="preserve"> of the end </w:t>
      </w:r>
      <w:r w:rsidR="004C015A">
        <w:t>of the 15</w:t>
      </w:r>
      <w:r w:rsidR="004C015A" w:rsidRPr="004743F3">
        <w:t xml:space="preserve"> month </w:t>
      </w:r>
      <w:r w:rsidR="004C015A">
        <w:t xml:space="preserve">period of </w:t>
      </w:r>
      <w:r w:rsidR="004C015A" w:rsidRPr="004743F3">
        <w:t>inactivity.</w:t>
      </w:r>
    </w:p>
    <w:p w14:paraId="24517C2A" w14:textId="77777777" w:rsidR="00C45388" w:rsidRPr="00C45388" w:rsidRDefault="00C45388" w:rsidP="00C45388">
      <w:r w:rsidRPr="00C45388">
        <w:rPr>
          <w:i/>
        </w:rPr>
        <w:t>Notice about the right to cease insurance cover</w:t>
      </w:r>
    </w:p>
    <w:p w14:paraId="65150FAD" w14:textId="77777777" w:rsidR="00C45388" w:rsidRDefault="00C45388" w:rsidP="00C45388">
      <w:r>
        <w:t>Where a member’s account is considered inactive and the member has elected to take out or maintain insurance, the member must be made aware of how to cancel the insurance cover in the future.</w:t>
      </w:r>
    </w:p>
    <w:p w14:paraId="58B21344" w14:textId="5A5397B8" w:rsidR="00C45388" w:rsidRDefault="0042023C" w:rsidP="00C45388">
      <w:r>
        <w:t xml:space="preserve">Item 1 will insert </w:t>
      </w:r>
      <w:r w:rsidR="00C45388">
        <w:t xml:space="preserve">Regulation 7.9.44C </w:t>
      </w:r>
      <w:r>
        <w:t>to</w:t>
      </w:r>
      <w:r w:rsidR="0065525D">
        <w:t xml:space="preserve"> require</w:t>
      </w:r>
      <w:r w:rsidR="00C45388">
        <w:t xml:space="preserve"> a trustee of the fund to provide a notice about rights to cease insurance within two weeks of the member making the elect</w:t>
      </w:r>
      <w:r w:rsidR="00ED2B1A">
        <w:t>ion to acknowledge the election</w:t>
      </w:r>
      <w:r w:rsidR="00C45388">
        <w:t xml:space="preserve"> and </w:t>
      </w:r>
      <w:r w:rsidR="00ED2B1A">
        <w:t>at certain intervals</w:t>
      </w:r>
      <w:r w:rsidR="00C45388">
        <w:t xml:space="preserve"> after that to remind the member that insurance premiums are still being charged to the member’s account. </w:t>
      </w:r>
    </w:p>
    <w:p w14:paraId="4299FEBB" w14:textId="4FA7C66E" w:rsidR="00C45388" w:rsidRDefault="00C45388" w:rsidP="00C45388">
      <w:r>
        <w:t xml:space="preserve">The trustee </w:t>
      </w:r>
      <w:r w:rsidR="0073444B">
        <w:t>will</w:t>
      </w:r>
      <w:r w:rsidR="0065525D">
        <w:t xml:space="preserve"> be able to </w:t>
      </w:r>
      <w:r>
        <w:t>decide the date that the annual reminder is sent to the me</w:t>
      </w:r>
      <w:r w:rsidR="00ED2B1A">
        <w:t>mber, as long as it is within 15</w:t>
      </w:r>
      <w:r>
        <w:t xml:space="preserve"> months of the last notice sent to the member. This </w:t>
      </w:r>
      <w:r w:rsidR="0073444B">
        <w:t>will</w:t>
      </w:r>
      <w:r w:rsidR="0065525D">
        <w:t xml:space="preserve"> give </w:t>
      </w:r>
      <w:r>
        <w:t>trustees the flexibility to align the distribution of reminder notices with their ordinary distribution schedule.</w:t>
      </w:r>
    </w:p>
    <w:p w14:paraId="28CE1C69" w14:textId="726814FC" w:rsidR="00C45388" w:rsidRDefault="00C45388" w:rsidP="00C45388">
      <w:r>
        <w:t xml:space="preserve">The notice about rights to cease insurance cover </w:t>
      </w:r>
      <w:r w:rsidR="0073444B">
        <w:t>will</w:t>
      </w:r>
      <w:r>
        <w:t>:</w:t>
      </w:r>
    </w:p>
    <w:p w14:paraId="06249EC5" w14:textId="5A0ECA2C" w:rsidR="00C45388" w:rsidRDefault="00C45388" w:rsidP="00C45388">
      <w:pPr>
        <w:pStyle w:val="Dotpoint"/>
      </w:pPr>
      <w:r>
        <w:t>explain that the member has elected to take out or maintain insurance cover even though their account may not have received contributions or r</w:t>
      </w:r>
      <w:r w:rsidR="00ED2B1A">
        <w:t>ollovers in the previous 16</w:t>
      </w:r>
      <w:r>
        <w:t> months;</w:t>
      </w:r>
    </w:p>
    <w:p w14:paraId="45EBAF00" w14:textId="77777777" w:rsidR="00C45388" w:rsidRDefault="00C45388" w:rsidP="00C45388">
      <w:pPr>
        <w:pStyle w:val="Dotpoint"/>
      </w:pPr>
      <w:r>
        <w:t>state the date the election was made; and</w:t>
      </w:r>
    </w:p>
    <w:p w14:paraId="7DA57F1E" w14:textId="77777777" w:rsidR="00C45388" w:rsidRDefault="00C45388" w:rsidP="00C45388">
      <w:pPr>
        <w:pStyle w:val="Dotpoint"/>
      </w:pPr>
      <w:proofErr w:type="gramStart"/>
      <w:r>
        <w:t>explain</w:t>
      </w:r>
      <w:proofErr w:type="gramEnd"/>
      <w:r>
        <w:t xml:space="preserve"> how the member can cancel their insurance cover.</w:t>
      </w:r>
    </w:p>
    <w:p w14:paraId="510AA639" w14:textId="77777777" w:rsidR="00C45388" w:rsidRPr="00C45388" w:rsidRDefault="00C45388" w:rsidP="001A1A08">
      <w:pPr>
        <w:spacing w:before="240" w:after="120"/>
        <w:rPr>
          <w:i/>
        </w:rPr>
      </w:pPr>
      <w:r w:rsidRPr="00C45388">
        <w:rPr>
          <w:i/>
        </w:rPr>
        <w:t>Impact on employer’s superannuation guarantee obligations</w:t>
      </w:r>
    </w:p>
    <w:p w14:paraId="2097AA02" w14:textId="1A1EB08D" w:rsidR="00C45388" w:rsidRDefault="00C45388" w:rsidP="00C45388">
      <w:r>
        <w:t xml:space="preserve">The insurance requirements set out in the SIS Act have implications for the obligations on an employer under the SGA Regulations. </w:t>
      </w:r>
    </w:p>
    <w:p w14:paraId="7561C545" w14:textId="77777777" w:rsidR="00C45388" w:rsidRDefault="00C45388" w:rsidP="00C45388">
      <w:r>
        <w:t xml:space="preserve">Where the member has not chosen a fund, an employer meets their superannuation guarantee obligations under the SGA Act by making contributions for a member to a </w:t>
      </w:r>
      <w:proofErr w:type="spellStart"/>
      <w:r>
        <w:t>MySuper</w:t>
      </w:r>
      <w:proofErr w:type="spellEnd"/>
      <w:r>
        <w:t xml:space="preserve"> product that provides a certain level of death cover. </w:t>
      </w:r>
    </w:p>
    <w:p w14:paraId="42D9F143" w14:textId="5AF240E2" w:rsidR="00C45388" w:rsidRPr="00E85403" w:rsidRDefault="00C45388" w:rsidP="00C45388">
      <w:r w:rsidRPr="00F91934">
        <w:t xml:space="preserve">Items </w:t>
      </w:r>
      <w:r>
        <w:t>29</w:t>
      </w:r>
      <w:r w:rsidRPr="00F91934">
        <w:t xml:space="preserve"> and </w:t>
      </w:r>
      <w:r>
        <w:t>33</w:t>
      </w:r>
      <w:r w:rsidRPr="00F91934">
        <w:t xml:space="preserve"> </w:t>
      </w:r>
      <w:r w:rsidR="0073444B">
        <w:t>will</w:t>
      </w:r>
      <w:r w:rsidR="0065525D">
        <w:t xml:space="preserve"> </w:t>
      </w:r>
      <w:r w:rsidRPr="00F91934">
        <w:t>amend the SG</w:t>
      </w:r>
      <w:r>
        <w:t>A</w:t>
      </w:r>
      <w:r w:rsidRPr="00F91934">
        <w:t xml:space="preserve"> Regulations so that employers </w:t>
      </w:r>
      <w:r w:rsidR="0073444B">
        <w:t>will</w:t>
      </w:r>
      <w:r w:rsidRPr="00F91934">
        <w:t xml:space="preserve"> continue to meet</w:t>
      </w:r>
      <w:r>
        <w:t xml:space="preserve"> their superannuation guarantee obligations </w:t>
      </w:r>
      <w:r w:rsidRPr="00335787">
        <w:t xml:space="preserve">when </w:t>
      </w:r>
      <w:r>
        <w:t>a</w:t>
      </w:r>
      <w:r w:rsidRPr="00335787">
        <w:t xml:space="preserve"> contribution is made to a fund</w:t>
      </w:r>
      <w:r>
        <w:t>, on or after 1 July 2019,</w:t>
      </w:r>
      <w:r w:rsidRPr="00335787">
        <w:t xml:space="preserve"> </w:t>
      </w:r>
      <w:r>
        <w:t xml:space="preserve">but insurance is not provided because the trustee is prevented from providing that member with insurance as a result of the changes to the SIS Act.  </w:t>
      </w:r>
    </w:p>
    <w:p w14:paraId="3E09614B" w14:textId="7C3EA524" w:rsidR="00C45388" w:rsidRPr="00C45388" w:rsidRDefault="00C45388" w:rsidP="00C45388">
      <w:pPr>
        <w:pStyle w:val="Heading2"/>
        <w:rPr>
          <w:b/>
          <w:u w:val="none"/>
        </w:rPr>
      </w:pPr>
      <w:r w:rsidRPr="00C45388">
        <w:rPr>
          <w:b/>
          <w:u w:val="none"/>
        </w:rPr>
        <w:t>Fee protection</w:t>
      </w:r>
    </w:p>
    <w:p w14:paraId="08E65ECE" w14:textId="77777777" w:rsidR="00C45388" w:rsidRPr="00C45388" w:rsidRDefault="00C45388" w:rsidP="00C45388">
      <w:r w:rsidRPr="00C45388">
        <w:rPr>
          <w:i/>
        </w:rPr>
        <w:t>Cap on certain fees and costs</w:t>
      </w:r>
    </w:p>
    <w:p w14:paraId="08CFAF2D" w14:textId="0D6DB258" w:rsidR="00C45388" w:rsidRDefault="009D35AC" w:rsidP="00C45388">
      <w:pPr>
        <w:spacing w:before="240"/>
      </w:pPr>
      <w:r>
        <w:t>From 1 July 2019, t</w:t>
      </w:r>
      <w:r w:rsidR="0065525D">
        <w:t>he</w:t>
      </w:r>
      <w:r w:rsidR="00C45388">
        <w:t xml:space="preserve"> SIS Act </w:t>
      </w:r>
      <w:r>
        <w:t xml:space="preserve">will apply </w:t>
      </w:r>
      <w:r w:rsidR="00C45388">
        <w:t xml:space="preserve">a cap on the amount of administration fees, investment fees and certain costs that a member can be charged where the balance of the </w:t>
      </w:r>
      <w:r w:rsidR="00C45388" w:rsidRPr="006D512E">
        <w:t xml:space="preserve">account on the last day of the income year, or the day that the member ceases to hold the account, for a </w:t>
      </w:r>
      <w:proofErr w:type="spellStart"/>
      <w:r w:rsidR="00C45388">
        <w:t>MySuper</w:t>
      </w:r>
      <w:proofErr w:type="spellEnd"/>
      <w:r w:rsidR="00C45388">
        <w:t xml:space="preserve"> or choice</w:t>
      </w:r>
      <w:r w:rsidR="00C45388" w:rsidRPr="006D512E">
        <w:t xml:space="preserve"> product</w:t>
      </w:r>
      <w:r w:rsidR="00C45388" w:rsidRPr="00A70FA5">
        <w:t xml:space="preserve"> is less than $6,000</w:t>
      </w:r>
      <w:r w:rsidR="00C45388">
        <w:t xml:space="preserve">. </w:t>
      </w:r>
    </w:p>
    <w:p w14:paraId="227FF684" w14:textId="45799E2E" w:rsidR="00C45388" w:rsidRDefault="009D35AC" w:rsidP="00C45388">
      <w:pPr>
        <w:spacing w:before="240"/>
      </w:pPr>
      <w:r>
        <w:lastRenderedPageBreak/>
        <w:t>The</w:t>
      </w:r>
      <w:r w:rsidR="0065525D">
        <w:t xml:space="preserve"> </w:t>
      </w:r>
      <w:r w:rsidR="00C45388">
        <w:t xml:space="preserve">cap </w:t>
      </w:r>
      <w:r>
        <w:t xml:space="preserve">will </w:t>
      </w:r>
      <w:r w:rsidR="00C45388">
        <w:t>appl</w:t>
      </w:r>
      <w:r>
        <w:t>y</w:t>
      </w:r>
      <w:r w:rsidR="00C45388">
        <w:t xml:space="preserve"> as a percentage of that balance. If the total amount of the administration fees, investment fees and certain costs for the income year charged to a member </w:t>
      </w:r>
      <w:r w:rsidR="0025393D">
        <w:t xml:space="preserve">for </w:t>
      </w:r>
      <w:r w:rsidR="00C45388">
        <w:t xml:space="preserve">a </w:t>
      </w:r>
      <w:proofErr w:type="spellStart"/>
      <w:r w:rsidR="00C45388">
        <w:t>MySuper</w:t>
      </w:r>
      <w:proofErr w:type="spellEnd"/>
      <w:r w:rsidR="00C45388">
        <w:t xml:space="preserve"> or choice product is more than the maximum permitted amount calculated using the percentage, the difference must be refunded to the member’s account within three months of the end of the fund’s income year.</w:t>
      </w:r>
    </w:p>
    <w:p w14:paraId="2220DD07" w14:textId="7048565C" w:rsidR="00C45388" w:rsidRDefault="001A1A08" w:rsidP="00C45388">
      <w:pPr>
        <w:spacing w:before="240"/>
      </w:pPr>
      <w:r>
        <w:t xml:space="preserve">The </w:t>
      </w:r>
      <w:r w:rsidR="0065525D">
        <w:t xml:space="preserve">Regulations </w:t>
      </w:r>
      <w:r w:rsidR="0073444B">
        <w:t>will</w:t>
      </w:r>
      <w:r w:rsidR="0065525D">
        <w:t xml:space="preserve"> </w:t>
      </w:r>
      <w:r w:rsidR="00AE4435">
        <w:t xml:space="preserve">amend the </w:t>
      </w:r>
      <w:r w:rsidR="0025393D">
        <w:t>SIS Regulations</w:t>
      </w:r>
      <w:r w:rsidR="00AE4435">
        <w:t xml:space="preserve"> to </w:t>
      </w:r>
      <w:r w:rsidR="00C45388">
        <w:t xml:space="preserve">provide: </w:t>
      </w:r>
    </w:p>
    <w:p w14:paraId="61CC1C6C" w14:textId="77777777" w:rsidR="00C45388" w:rsidRPr="00C45388" w:rsidRDefault="00C45388" w:rsidP="00C45388">
      <w:pPr>
        <w:pStyle w:val="Bullet"/>
        <w:rPr>
          <w:rFonts w:ascii="Times New Roman" w:hAnsi="Times New Roman" w:cs="Times New Roman"/>
          <w:color w:val="auto"/>
        </w:rPr>
      </w:pPr>
      <w:r w:rsidRPr="00C45388">
        <w:rPr>
          <w:rFonts w:ascii="Times New Roman" w:hAnsi="Times New Roman" w:cs="Times New Roman"/>
          <w:color w:val="auto"/>
        </w:rPr>
        <w:t>the percentage of the fee cap; and</w:t>
      </w:r>
    </w:p>
    <w:p w14:paraId="6E6B54FE" w14:textId="53681FDD" w:rsidR="00C45388" w:rsidRPr="00C45388" w:rsidRDefault="00C45388" w:rsidP="00C45388">
      <w:pPr>
        <w:pStyle w:val="Bullet"/>
        <w:rPr>
          <w:rFonts w:ascii="Times New Roman" w:hAnsi="Times New Roman" w:cs="Times New Roman"/>
          <w:color w:val="auto"/>
        </w:rPr>
      </w:pPr>
      <w:r w:rsidRPr="00C45388">
        <w:rPr>
          <w:rFonts w:ascii="Times New Roman" w:hAnsi="Times New Roman" w:cs="Times New Roman"/>
          <w:color w:val="auto"/>
        </w:rPr>
        <w:t xml:space="preserve">how to work out </w:t>
      </w:r>
      <w:r w:rsidR="0065525D">
        <w:rPr>
          <w:rFonts w:ascii="Times New Roman" w:hAnsi="Times New Roman" w:cs="Times New Roman"/>
          <w:color w:val="auto"/>
        </w:rPr>
        <w:t>the</w:t>
      </w:r>
      <w:r w:rsidRPr="00C45388">
        <w:rPr>
          <w:rFonts w:ascii="Times New Roman" w:hAnsi="Times New Roman" w:cs="Times New Roman"/>
          <w:color w:val="auto"/>
        </w:rPr>
        <w:t xml:space="preserve"> amount that is subject to the cap, </w:t>
      </w:r>
      <w:r w:rsidR="0065525D">
        <w:rPr>
          <w:rFonts w:ascii="Times New Roman" w:hAnsi="Times New Roman" w:cs="Times New Roman"/>
          <w:color w:val="auto"/>
        </w:rPr>
        <w:t xml:space="preserve">but which </w:t>
      </w:r>
      <w:r w:rsidRPr="00C45388">
        <w:rPr>
          <w:rFonts w:ascii="Times New Roman" w:hAnsi="Times New Roman" w:cs="Times New Roman"/>
          <w:color w:val="auto"/>
        </w:rPr>
        <w:t xml:space="preserve">is not charged to the member as a fee, </w:t>
      </w:r>
      <w:r w:rsidR="0065525D">
        <w:rPr>
          <w:rFonts w:ascii="Times New Roman" w:hAnsi="Times New Roman" w:cs="Times New Roman"/>
          <w:color w:val="auto"/>
        </w:rPr>
        <w:t xml:space="preserve">but </w:t>
      </w:r>
      <w:r w:rsidRPr="00C45388">
        <w:rPr>
          <w:rFonts w:ascii="Times New Roman" w:hAnsi="Times New Roman" w:cs="Times New Roman"/>
          <w:color w:val="auto"/>
        </w:rPr>
        <w:t xml:space="preserve">is incurred by the trustee and relates to the administration of the fund or the investment of the assets of the fund. </w:t>
      </w:r>
    </w:p>
    <w:p w14:paraId="26A8747C" w14:textId="277DFC9E" w:rsidR="00C45388" w:rsidRDefault="00C45388" w:rsidP="00C45388">
      <w:pPr>
        <w:spacing w:before="240"/>
      </w:pPr>
      <w:r w:rsidRPr="001E0360">
        <w:t xml:space="preserve">Item </w:t>
      </w:r>
      <w:r>
        <w:t>31</w:t>
      </w:r>
      <w:r w:rsidRPr="001E0360">
        <w:t xml:space="preserve"> </w:t>
      </w:r>
      <w:r w:rsidR="0073444B">
        <w:t>will</w:t>
      </w:r>
      <w:r w:rsidR="00AE4435">
        <w:t xml:space="preserve"> amend the SIS Regulations to </w:t>
      </w:r>
      <w:r w:rsidR="0025393D">
        <w:t>insert Regulation 9.51</w:t>
      </w:r>
      <w:r w:rsidR="004F1076">
        <w:t xml:space="preserve"> which </w:t>
      </w:r>
      <w:r w:rsidR="00AE4435">
        <w:t>set</w:t>
      </w:r>
      <w:r w:rsidR="004F1076">
        <w:t>s</w:t>
      </w:r>
      <w:r>
        <w:t xml:space="preserve"> out the percentage of the cap as </w:t>
      </w:r>
      <w:r w:rsidR="00AE4435">
        <w:t>three per </w:t>
      </w:r>
      <w:r w:rsidRPr="00A70FA5">
        <w:t>cent o</w:t>
      </w:r>
      <w:r>
        <w:t>f the member’s account balance for a product.</w:t>
      </w:r>
    </w:p>
    <w:p w14:paraId="27897537" w14:textId="6B564899" w:rsidR="00C45388" w:rsidRDefault="00C45388" w:rsidP="00C45388">
      <w:pPr>
        <w:spacing w:before="240"/>
      </w:pPr>
      <w:r>
        <w:t xml:space="preserve">Where a member holds a superannuation product with multiple underlying investment options, the total administration and investment fees and certain costs that could be charged for the product (including platform fees, and fees and costs associated with the investment options) </w:t>
      </w:r>
      <w:r w:rsidR="0073444B">
        <w:t>will</w:t>
      </w:r>
      <w:r>
        <w:t xml:space="preserve"> be capped with reference to the sum of the interests held in that product.</w:t>
      </w:r>
    </w:p>
    <w:p w14:paraId="5F629359" w14:textId="7CF0C156" w:rsidR="00C45388" w:rsidRDefault="00C45388" w:rsidP="00C45388">
      <w:pPr>
        <w:spacing w:before="240"/>
      </w:pPr>
      <w:r>
        <w:t xml:space="preserve">Where a member holds interests in respect of </w:t>
      </w:r>
      <w:proofErr w:type="spellStart"/>
      <w:r>
        <w:t>MySuper</w:t>
      </w:r>
      <w:proofErr w:type="spellEnd"/>
      <w:r>
        <w:t xml:space="preserve"> and choice products in a superannuation fund, only the account balance relating to the </w:t>
      </w:r>
      <w:proofErr w:type="spellStart"/>
      <w:r>
        <w:t>MySuper</w:t>
      </w:r>
      <w:proofErr w:type="spellEnd"/>
      <w:r>
        <w:t xml:space="preserve"> product </w:t>
      </w:r>
      <w:r w:rsidR="0073444B">
        <w:t>will</w:t>
      </w:r>
      <w:r>
        <w:t xml:space="preserve"> be assessed separately. </w:t>
      </w:r>
    </w:p>
    <w:p w14:paraId="0982ED9B" w14:textId="21A7C7FE" w:rsidR="00AE4435" w:rsidRDefault="004F1076" w:rsidP="00C45388">
      <w:pPr>
        <w:spacing w:before="240"/>
        <w:rPr>
          <w:color w:val="auto"/>
        </w:rPr>
      </w:pPr>
      <w:r>
        <w:t xml:space="preserve">Item 31 </w:t>
      </w:r>
      <w:r w:rsidR="0073444B">
        <w:t>will</w:t>
      </w:r>
      <w:r w:rsidR="00AE4435">
        <w:t xml:space="preserve"> </w:t>
      </w:r>
      <w:r>
        <w:t xml:space="preserve">also </w:t>
      </w:r>
      <w:r w:rsidR="00AE4435">
        <w:t xml:space="preserve">amend the SIS Regulations to </w:t>
      </w:r>
      <w:r w:rsidR="0025393D">
        <w:t xml:space="preserve">insert Regulation 9.50 to </w:t>
      </w:r>
      <w:r w:rsidR="00AE4435">
        <w:t xml:space="preserve">provide how to determine </w:t>
      </w:r>
      <w:r w:rsidR="00AE4435">
        <w:rPr>
          <w:color w:val="auto"/>
        </w:rPr>
        <w:t>the</w:t>
      </w:r>
      <w:r w:rsidR="00AE4435" w:rsidRPr="00C45388">
        <w:rPr>
          <w:color w:val="auto"/>
        </w:rPr>
        <w:t xml:space="preserve"> amount that is subject to the cap, </w:t>
      </w:r>
      <w:r w:rsidR="00AE4435">
        <w:rPr>
          <w:color w:val="auto"/>
        </w:rPr>
        <w:t xml:space="preserve">but which </w:t>
      </w:r>
      <w:r w:rsidR="00AE4435" w:rsidRPr="00C45388">
        <w:rPr>
          <w:color w:val="auto"/>
        </w:rPr>
        <w:t xml:space="preserve">is not charged to the member as a fee, </w:t>
      </w:r>
      <w:r w:rsidR="00AE4435">
        <w:rPr>
          <w:color w:val="auto"/>
        </w:rPr>
        <w:t xml:space="preserve">but </w:t>
      </w:r>
      <w:r w:rsidR="00AE4435" w:rsidRPr="00C45388">
        <w:rPr>
          <w:color w:val="auto"/>
        </w:rPr>
        <w:t xml:space="preserve">is incurred by the trustee and relates to the administration of the fund or the investment of the assets of the fund. </w:t>
      </w:r>
    </w:p>
    <w:p w14:paraId="63BBAB66" w14:textId="4D741C68" w:rsidR="00C45388" w:rsidRDefault="00AE4435" w:rsidP="00C45388">
      <w:pPr>
        <w:spacing w:before="240"/>
      </w:pPr>
      <w:r>
        <w:t xml:space="preserve">The </w:t>
      </w:r>
      <w:r w:rsidR="00C45388" w:rsidRPr="003B210F">
        <w:t xml:space="preserve">total amount subject to the cap </w:t>
      </w:r>
      <w:r w:rsidR="0073444B">
        <w:t>will</w:t>
      </w:r>
      <w:r>
        <w:t xml:space="preserve"> include </w:t>
      </w:r>
      <w:r w:rsidR="00C45388" w:rsidRPr="003B210F">
        <w:t>any indirect cost</w:t>
      </w:r>
      <w:r w:rsidR="00C45388">
        <w:t>s</w:t>
      </w:r>
      <w:r w:rsidR="00C45388" w:rsidRPr="003B210F">
        <w:t xml:space="preserve"> reported to a member in their periodic statement that are not already included as administration fees or investment fees </w:t>
      </w:r>
      <w:r w:rsidR="00C45388">
        <w:t>for</w:t>
      </w:r>
      <w:r w:rsidR="00C45388" w:rsidRPr="003B210F">
        <w:t xml:space="preserve"> the product for the income year. </w:t>
      </w:r>
      <w:r w:rsidR="00C45388">
        <w:t>Such</w:t>
      </w:r>
      <w:r w:rsidR="00C45388" w:rsidRPr="003B210F">
        <w:t xml:space="preserve"> indirect cost</w:t>
      </w:r>
      <w:r w:rsidR="00C45388">
        <w:t>s</w:t>
      </w:r>
      <w:r w:rsidR="00C45388" w:rsidRPr="003B210F">
        <w:t xml:space="preserve"> must not have been charged to the member as a fee, </w:t>
      </w:r>
      <w:r w:rsidR="00C45388">
        <w:t xml:space="preserve">and must be </w:t>
      </w:r>
      <w:r w:rsidR="00C45388" w:rsidRPr="003B210F">
        <w:t xml:space="preserve">incurred by the trustee and </w:t>
      </w:r>
      <w:r w:rsidR="00C45388">
        <w:t xml:space="preserve">be </w:t>
      </w:r>
      <w:r w:rsidR="00C45388" w:rsidRPr="003B210F">
        <w:t xml:space="preserve">related to the administration of the fund or the investment of the fund’s assets.  </w:t>
      </w:r>
    </w:p>
    <w:p w14:paraId="31AB61BD" w14:textId="62288271" w:rsidR="00C45388" w:rsidRPr="00AE4435" w:rsidRDefault="00AE4435" w:rsidP="007B40C1">
      <w:pPr>
        <w:keepNext/>
        <w:spacing w:before="240"/>
        <w:ind w:left="720"/>
        <w:rPr>
          <w:b/>
          <w:szCs w:val="24"/>
        </w:rPr>
      </w:pPr>
      <w:r>
        <w:rPr>
          <w:b/>
          <w:szCs w:val="24"/>
        </w:rPr>
        <w:t>Example – I</w:t>
      </w:r>
      <w:r w:rsidR="00C45388" w:rsidRPr="00AE4435">
        <w:rPr>
          <w:b/>
          <w:szCs w:val="24"/>
        </w:rPr>
        <w:t>nvestment platforms</w:t>
      </w:r>
    </w:p>
    <w:p w14:paraId="16D168E7" w14:textId="77777777" w:rsidR="00C45388" w:rsidRDefault="00C45388" w:rsidP="00AE4435">
      <w:pPr>
        <w:keepNext/>
        <w:spacing w:before="240"/>
        <w:ind w:left="720"/>
      </w:pPr>
      <w:r>
        <w:t xml:space="preserve">Sebastian uses a platform to invest his superannuation savings into three investment options: cash, Australian shares and property. On the last day of the income year, each investment option has a balance of $1,000. </w:t>
      </w:r>
    </w:p>
    <w:p w14:paraId="7AB22634" w14:textId="68F1DBE9" w:rsidR="00C45388" w:rsidRDefault="00C45388" w:rsidP="00AE4435">
      <w:pPr>
        <w:spacing w:before="240"/>
        <w:ind w:left="720"/>
      </w:pPr>
      <w:r>
        <w:t xml:space="preserve">The total administration and investment fees and certain costs that could be charged across the platform </w:t>
      </w:r>
      <w:r w:rsidR="0073444B">
        <w:t>will</w:t>
      </w:r>
      <w:r>
        <w:t xml:space="preserve"> be capped and calculated against the $3,000 balance of his aggregated interests.</w:t>
      </w:r>
    </w:p>
    <w:p w14:paraId="5801E393" w14:textId="77777777" w:rsidR="00D11A44" w:rsidRDefault="00D11A44" w:rsidP="00D11A44">
      <w:pPr>
        <w:spacing w:before="240"/>
        <w:rPr>
          <w:i/>
        </w:rPr>
      </w:pPr>
      <w:r>
        <w:rPr>
          <w:i/>
        </w:rPr>
        <w:t>Trustee ability to refuse to roll over or transfer an amount</w:t>
      </w:r>
    </w:p>
    <w:p w14:paraId="5B846FB1" w14:textId="77777777" w:rsidR="00D11A44" w:rsidRDefault="00D11A44" w:rsidP="00D11A44">
      <w:pPr>
        <w:spacing w:before="240"/>
      </w:pPr>
      <w:r>
        <w:t>Currently under the SIS Regulations, a trustee of a fund is allowed to refuse to roll over or transfer part of the member’s account balance to another fund if the residual balance will be less than $5,000.</w:t>
      </w:r>
    </w:p>
    <w:p w14:paraId="02BDCBB8" w14:textId="77777777" w:rsidR="00D11A44" w:rsidRDefault="00D11A44" w:rsidP="00D11A44">
      <w:pPr>
        <w:spacing w:before="240"/>
      </w:pPr>
      <w:r>
        <w:lastRenderedPageBreak/>
        <w:t>Item 30 will amend the SIS Regulations to update that threshold to $6,000 to align with the balance threshold for the fee cap. The change will mean that the trustee can refuse to roll over or transfer an amount to another fund if the residual balance in the fund will be less than $6,000.</w:t>
      </w:r>
    </w:p>
    <w:p w14:paraId="463D1355" w14:textId="77777777" w:rsidR="00D11A44" w:rsidRDefault="00D11A44" w:rsidP="00D11A44">
      <w:pPr>
        <w:spacing w:before="240"/>
      </w:pPr>
      <w:r>
        <w:t>Item 34 will provide that the revised threshold applies to requests made on or after the commencement of the Regulations.</w:t>
      </w:r>
    </w:p>
    <w:p w14:paraId="1F709340" w14:textId="0E8E3FCA" w:rsidR="00C45388" w:rsidRPr="00C45388" w:rsidRDefault="00C45388" w:rsidP="00C45388">
      <w:pPr>
        <w:spacing w:before="240"/>
      </w:pPr>
      <w:r w:rsidRPr="00C45388">
        <w:rPr>
          <w:i/>
        </w:rPr>
        <w:t>Disclosure of fees and costs</w:t>
      </w:r>
    </w:p>
    <w:p w14:paraId="3CCDC98E" w14:textId="1D338EF6" w:rsidR="00C45388" w:rsidRDefault="00C45388" w:rsidP="00C45388">
      <w:pPr>
        <w:spacing w:before="240"/>
      </w:pPr>
      <w:r>
        <w:t xml:space="preserve">The SIS Act and the </w:t>
      </w:r>
      <w:r w:rsidRPr="000A297C">
        <w:t>SIS</w:t>
      </w:r>
      <w:r w:rsidR="00AE4435">
        <w:t> Regulations</w:t>
      </w:r>
      <w:r>
        <w:t xml:space="preserve"> set out </w:t>
      </w:r>
      <w:r w:rsidR="00AE4435">
        <w:t>the</w:t>
      </w:r>
      <w:r>
        <w:t xml:space="preserve"> </w:t>
      </w:r>
      <w:r w:rsidR="00AE4435">
        <w:t xml:space="preserve">obligations on a superannuation trustee about the </w:t>
      </w:r>
      <w:r>
        <w:t>fees and costs charged to the member. However, f</w:t>
      </w:r>
      <w:r w:rsidRPr="006464A5">
        <w:t xml:space="preserve">ees and costs </w:t>
      </w:r>
      <w:r>
        <w:t xml:space="preserve">for a product </w:t>
      </w:r>
      <w:r w:rsidRPr="006464A5">
        <w:t xml:space="preserve">are disclosed to members through product disclosure statements and periodic statements. </w:t>
      </w:r>
      <w:r>
        <w:t xml:space="preserve">The </w:t>
      </w:r>
      <w:r w:rsidRPr="006464A5">
        <w:t>Corporations Regulation</w:t>
      </w:r>
      <w:r>
        <w:t>s</w:t>
      </w:r>
      <w:r w:rsidRPr="006464A5">
        <w:t xml:space="preserve"> </w:t>
      </w:r>
      <w:r>
        <w:t>provide t</w:t>
      </w:r>
      <w:r w:rsidRPr="006464A5">
        <w:t xml:space="preserve">he </w:t>
      </w:r>
      <w:r>
        <w:t>content and presentation</w:t>
      </w:r>
      <w:r w:rsidRPr="006464A5">
        <w:t xml:space="preserve"> </w:t>
      </w:r>
      <w:r>
        <w:t>of</w:t>
      </w:r>
      <w:r w:rsidRPr="006464A5">
        <w:t xml:space="preserve"> </w:t>
      </w:r>
      <w:r>
        <w:t xml:space="preserve">those documents, including template texts and tables. </w:t>
      </w:r>
    </w:p>
    <w:p w14:paraId="3DBA151E" w14:textId="7699F9CE" w:rsidR="00C45388" w:rsidRPr="00C95E08" w:rsidRDefault="00C45388" w:rsidP="00C45388">
      <w:pPr>
        <w:spacing w:before="240"/>
      </w:pPr>
      <w:r w:rsidRPr="00C95E08">
        <w:t xml:space="preserve">Items </w:t>
      </w:r>
      <w:r>
        <w:t>6, 7</w:t>
      </w:r>
      <w:r w:rsidRPr="00C95E08">
        <w:t xml:space="preserve">, </w:t>
      </w:r>
      <w:r>
        <w:t xml:space="preserve">9 </w:t>
      </w:r>
      <w:r w:rsidRPr="00C95E08">
        <w:t xml:space="preserve">to </w:t>
      </w:r>
      <w:r>
        <w:t>13</w:t>
      </w:r>
      <w:r w:rsidRPr="00C95E08">
        <w:t xml:space="preserve">, </w:t>
      </w:r>
      <w:r>
        <w:t>21</w:t>
      </w:r>
      <w:r w:rsidRPr="00C95E08">
        <w:t xml:space="preserve">, </w:t>
      </w:r>
      <w:r>
        <w:t>22</w:t>
      </w:r>
      <w:r w:rsidR="00722633">
        <w:t>, 24</w:t>
      </w:r>
      <w:r w:rsidRPr="00C95E08">
        <w:t xml:space="preserve"> and</w:t>
      </w:r>
      <w:r w:rsidR="00722633">
        <w:t>,</w:t>
      </w:r>
      <w:r w:rsidRPr="00C95E08">
        <w:t xml:space="preserve"> </w:t>
      </w:r>
      <w:r>
        <w:t>25</w:t>
      </w:r>
      <w:r w:rsidRPr="00C95E08">
        <w:t xml:space="preserve"> to </w:t>
      </w:r>
      <w:r>
        <w:t>27</w:t>
      </w:r>
      <w:r w:rsidRPr="00C95E08">
        <w:t xml:space="preserve"> </w:t>
      </w:r>
      <w:r w:rsidR="0073444B">
        <w:t>will</w:t>
      </w:r>
      <w:r w:rsidR="00AE4435">
        <w:t xml:space="preserve"> </w:t>
      </w:r>
      <w:r w:rsidRPr="00C95E08">
        <w:t xml:space="preserve">amend the Corporations Regulations to update the template texts in product disclosure statements and shorter form product disclosure statements. The updated template texts </w:t>
      </w:r>
      <w:r w:rsidR="0073444B">
        <w:t>will</w:t>
      </w:r>
      <w:r w:rsidR="00AE4435">
        <w:t xml:space="preserve"> </w:t>
      </w:r>
      <w:r w:rsidRPr="00C95E08">
        <w:t xml:space="preserve">explain </w:t>
      </w:r>
      <w:r>
        <w:t xml:space="preserve">that </w:t>
      </w:r>
      <w:r w:rsidRPr="00C95E08">
        <w:t xml:space="preserve">certain fees and costs are subject to the cap and any amount charged in excess of the cap must be refunded to the member’s account. </w:t>
      </w:r>
    </w:p>
    <w:p w14:paraId="26C8F325" w14:textId="721868E6" w:rsidR="00C45388" w:rsidRDefault="00C45388" w:rsidP="00C45388">
      <w:pPr>
        <w:spacing w:before="240"/>
      </w:pPr>
      <w:r w:rsidRPr="00C95E08">
        <w:t xml:space="preserve">Item </w:t>
      </w:r>
      <w:r>
        <w:t>20</w:t>
      </w:r>
      <w:r w:rsidRPr="00C95E08">
        <w:t xml:space="preserve"> </w:t>
      </w:r>
      <w:r w:rsidR="0073444B">
        <w:t>will</w:t>
      </w:r>
      <w:r w:rsidR="00AE4435">
        <w:t xml:space="preserve"> amend</w:t>
      </w:r>
      <w:r w:rsidRPr="00C95E08">
        <w:t xml:space="preserve"> the Corporations Regulation to provide that a periodic statement for a </w:t>
      </w:r>
      <w:proofErr w:type="spellStart"/>
      <w:r>
        <w:t>MySuper</w:t>
      </w:r>
      <w:proofErr w:type="spellEnd"/>
      <w:r>
        <w:t xml:space="preserve"> or choice</w:t>
      </w:r>
      <w:r w:rsidRPr="00C95E08">
        <w:t xml:space="preserve"> product must include a statement about the fees and costs being</w:t>
      </w:r>
      <w:r>
        <w:t xml:space="preserve"> capped and the refund of any excess amounts, if it has not been covered elsewhere in the periodic statement.</w:t>
      </w:r>
    </w:p>
    <w:p w14:paraId="0624A4B7" w14:textId="3713F11C" w:rsidR="00C45388" w:rsidRDefault="00C45388" w:rsidP="00C45388">
      <w:pPr>
        <w:spacing w:before="240"/>
      </w:pPr>
      <w:r>
        <w:t xml:space="preserve">The </w:t>
      </w:r>
      <w:r w:rsidR="00AE4435">
        <w:t xml:space="preserve">amendments </w:t>
      </w:r>
      <w:r>
        <w:t xml:space="preserve">ensure that members with account balances of less than $6,000 are aware that certain fees and costs of products are capped. The changes also ensure members are aware of the impact of the cap on their account balances in respect of those products. </w:t>
      </w:r>
    </w:p>
    <w:p w14:paraId="46CFC4E4" w14:textId="3C65933D" w:rsidR="00C45388" w:rsidRDefault="00C45388" w:rsidP="00C45388">
      <w:pPr>
        <w:spacing w:before="240"/>
      </w:pPr>
      <w:r w:rsidRPr="0092521B">
        <w:t xml:space="preserve">Item </w:t>
      </w:r>
      <w:r>
        <w:t>2</w:t>
      </w:r>
      <w:r w:rsidRPr="0092521B">
        <w:t xml:space="preserve"> </w:t>
      </w:r>
      <w:r w:rsidR="0073444B">
        <w:t>will</w:t>
      </w:r>
      <w:r w:rsidR="00AE4435">
        <w:t xml:space="preserve"> amend the Corporations Regulations </w:t>
      </w:r>
      <w:r w:rsidR="00716CF5">
        <w:t xml:space="preserve">to provide </w:t>
      </w:r>
      <w:r w:rsidRPr="0092521B">
        <w:t>that product disclosure statements or period</w:t>
      </w:r>
      <w:r>
        <w:t>ic</w:t>
      </w:r>
      <w:r w:rsidRPr="0092521B">
        <w:t xml:space="preserve"> statement</w:t>
      </w:r>
      <w:r>
        <w:t>s</w:t>
      </w:r>
      <w:r w:rsidRPr="0092521B">
        <w:t xml:space="preserve"> given on or after 1 July 2019 must contain the updated information.</w:t>
      </w:r>
      <w:r>
        <w:t xml:space="preserve"> </w:t>
      </w:r>
    </w:p>
    <w:p w14:paraId="639A8BAD" w14:textId="77777777" w:rsidR="00C45388" w:rsidRPr="00C45388" w:rsidRDefault="00C45388" w:rsidP="00716CF5">
      <w:pPr>
        <w:keepNext/>
        <w:spacing w:before="240"/>
      </w:pPr>
      <w:r w:rsidRPr="00C45388">
        <w:rPr>
          <w:i/>
        </w:rPr>
        <w:t>Prohibition of exit fees</w:t>
      </w:r>
    </w:p>
    <w:p w14:paraId="3AED4E14" w14:textId="3B8EA41D" w:rsidR="00C45388" w:rsidRDefault="009D75AA" w:rsidP="00716CF5">
      <w:pPr>
        <w:keepNext/>
        <w:spacing w:before="240"/>
      </w:pPr>
      <w:r>
        <w:t>From 1 July 2019, t</w:t>
      </w:r>
      <w:r w:rsidR="00716CF5">
        <w:t>he</w:t>
      </w:r>
      <w:r w:rsidR="00C45388">
        <w:t xml:space="preserve"> SIS Act </w:t>
      </w:r>
      <w:r>
        <w:t xml:space="preserve">will prohibit </w:t>
      </w:r>
      <w:r w:rsidR="00C45388">
        <w:t>exit fees on all superannuation accounts, regardless of a member’s account balance.</w:t>
      </w:r>
    </w:p>
    <w:p w14:paraId="3CD93420" w14:textId="77777777" w:rsidR="00C45388" w:rsidRPr="003B210F" w:rsidRDefault="00C45388" w:rsidP="00C45388">
      <w:pPr>
        <w:spacing w:before="240"/>
      </w:pPr>
      <w:r>
        <w:t>Similar to the capped fees and costs, exit fees are disclosed to members in product disclosure statements.</w:t>
      </w:r>
    </w:p>
    <w:p w14:paraId="73B187D0" w14:textId="7C3E2BDB" w:rsidR="00C45388" w:rsidRPr="00F83C4F" w:rsidRDefault="00C45388" w:rsidP="00C45388">
      <w:pPr>
        <w:spacing w:before="240"/>
      </w:pPr>
      <w:r w:rsidRPr="00AA73A2">
        <w:t xml:space="preserve">Items </w:t>
      </w:r>
      <w:r>
        <w:t>3</w:t>
      </w:r>
      <w:r w:rsidRPr="00AA73A2">
        <w:t xml:space="preserve"> to </w:t>
      </w:r>
      <w:r>
        <w:t>5</w:t>
      </w:r>
      <w:r w:rsidRPr="00AA73A2">
        <w:t xml:space="preserve">, </w:t>
      </w:r>
      <w:r w:rsidR="009A2001">
        <w:t>8, 14 to 19</w:t>
      </w:r>
      <w:r w:rsidRPr="00AA73A2">
        <w:t xml:space="preserve">, </w:t>
      </w:r>
      <w:r>
        <w:t xml:space="preserve">23 </w:t>
      </w:r>
      <w:r w:rsidRPr="00AA73A2">
        <w:t xml:space="preserve">and </w:t>
      </w:r>
      <w:r>
        <w:t>28</w:t>
      </w:r>
      <w:r w:rsidRPr="00AA73A2">
        <w:t xml:space="preserve"> </w:t>
      </w:r>
      <w:r w:rsidR="0073444B">
        <w:t>will</w:t>
      </w:r>
      <w:r w:rsidR="00716CF5">
        <w:t xml:space="preserve"> amend the Corporations Regulations to </w:t>
      </w:r>
      <w:r w:rsidRPr="00AA73A2">
        <w:t xml:space="preserve">update or remove references to exit fees </w:t>
      </w:r>
      <w:r>
        <w:t>for</w:t>
      </w:r>
      <w:r w:rsidRPr="00AD266C">
        <w:t xml:space="preserve"> superannuation products</w:t>
      </w:r>
      <w:r>
        <w:t xml:space="preserve">, to reflect that these </w:t>
      </w:r>
      <w:r w:rsidRPr="00AD266C">
        <w:t xml:space="preserve">fees </w:t>
      </w:r>
      <w:r>
        <w:t xml:space="preserve">can no longer be charged for </w:t>
      </w:r>
      <w:r w:rsidRPr="00AD266C">
        <w:t>superannuation products</w:t>
      </w:r>
      <w:r>
        <w:t xml:space="preserve">. </w:t>
      </w:r>
      <w:r w:rsidR="009D75AA">
        <w:t xml:space="preserve">These amendments apply to periodic statements given on or after 1 July 2019. </w:t>
      </w:r>
    </w:p>
    <w:p w14:paraId="7CB42EBE" w14:textId="180B430D" w:rsidR="00C45388" w:rsidRPr="00C45388" w:rsidRDefault="00C45388" w:rsidP="00C45388">
      <w:pPr>
        <w:pStyle w:val="Heading2"/>
        <w:rPr>
          <w:b/>
          <w:u w:val="none"/>
        </w:rPr>
      </w:pPr>
      <w:r w:rsidRPr="00C45388">
        <w:rPr>
          <w:b/>
          <w:u w:val="none"/>
        </w:rPr>
        <w:lastRenderedPageBreak/>
        <w:t>Reunification of superannuation balances</w:t>
      </w:r>
    </w:p>
    <w:p w14:paraId="27723CB7" w14:textId="1927D1A4" w:rsidR="00C45388" w:rsidRDefault="00966106" w:rsidP="00C45388">
      <w:r>
        <w:t xml:space="preserve">From 1 July 2019, </w:t>
      </w:r>
      <w:r w:rsidR="00716CF5">
        <w:t>the</w:t>
      </w:r>
      <w:r w:rsidR="00C45388">
        <w:t xml:space="preserve"> SUMLM Act </w:t>
      </w:r>
      <w:r>
        <w:t xml:space="preserve">will allow </w:t>
      </w:r>
      <w:r w:rsidR="00716CF5">
        <w:t>the</w:t>
      </w:r>
      <w:r w:rsidR="00C45388">
        <w:t xml:space="preserve"> Commissioner to pay amounts held in respect of a person to an active account of the person, where the reunited account balance </w:t>
      </w:r>
      <w:r w:rsidR="0073444B">
        <w:t>will</w:t>
      </w:r>
      <w:r w:rsidR="00C45388">
        <w:t xml:space="preserve"> be $6,000 or more.</w:t>
      </w:r>
    </w:p>
    <w:p w14:paraId="648FFE89" w14:textId="77777777" w:rsidR="00C45388" w:rsidRDefault="00C45388" w:rsidP="00C45388">
      <w:r>
        <w:t>Those amounts are made up of amounts paid to the Commissioner as unclaimed money, inactive low</w:t>
      </w:r>
      <w:r>
        <w:noBreakHyphen/>
        <w:t>balance accounts and lost member accounts. However, they exclude any amounts that have already been paid out under Part 3 of the SUMLM Act (unclaimed money), Part 3B (inactive low</w:t>
      </w:r>
      <w:r>
        <w:noBreakHyphen/>
        <w:t>balance accounts) or section 24E (lost members).</w:t>
      </w:r>
    </w:p>
    <w:p w14:paraId="0324C79B" w14:textId="184BA560" w:rsidR="00C45388" w:rsidRDefault="00C45388" w:rsidP="00C45388">
      <w:r>
        <w:t xml:space="preserve">In addition to the requirement that the reunited account balance </w:t>
      </w:r>
      <w:r w:rsidR="0073444B">
        <w:t>will</w:t>
      </w:r>
      <w:r>
        <w:t xml:space="preserve"> be $6,000 or more, the fund receiving the reunited amount must have received a contribution or rollover for the person within a certain period </w:t>
      </w:r>
      <w:r w:rsidR="00716CF5">
        <w:t xml:space="preserve">prescribed in the regulations. </w:t>
      </w:r>
      <w:r>
        <w:t xml:space="preserve">This is to ensure that the account for the person is considered active. </w:t>
      </w:r>
    </w:p>
    <w:p w14:paraId="350A461F" w14:textId="0BCE3CB2" w:rsidR="00C45388" w:rsidRDefault="00716CF5" w:rsidP="00C45388">
      <w:r>
        <w:t xml:space="preserve">Item 32 </w:t>
      </w:r>
      <w:r w:rsidR="0073444B">
        <w:t>will</w:t>
      </w:r>
      <w:r>
        <w:t xml:space="preserve"> insert Regulation </w:t>
      </w:r>
      <w:r w:rsidR="00C45388">
        <w:t xml:space="preserve">10 </w:t>
      </w:r>
      <w:r>
        <w:t xml:space="preserve">into the </w:t>
      </w:r>
      <w:r w:rsidR="005159D2">
        <w:t>SUMLM R</w:t>
      </w:r>
      <w:r w:rsidR="0025393D">
        <w:t>egulations</w:t>
      </w:r>
      <w:r>
        <w:t xml:space="preserve"> to set the period of time in which an amount must have been received by a fund in order to be considered ‘active’. This period </w:t>
      </w:r>
      <w:r w:rsidR="0073444B">
        <w:t>is</w:t>
      </w:r>
      <w:r>
        <w:t xml:space="preserve"> </w:t>
      </w:r>
      <w:r w:rsidR="00C45388">
        <w:t>the</w:t>
      </w:r>
      <w:r w:rsidR="00C45388" w:rsidRPr="000038EF">
        <w:t xml:space="preserve"> </w:t>
      </w:r>
      <w:r w:rsidR="00C45388">
        <w:t xml:space="preserve">previous financial year and the days in the current financial year before the Commissioner makes the payment to the fund. For example, if the payment day is 1 November 2019, the fund </w:t>
      </w:r>
      <w:r w:rsidR="0073444B">
        <w:t>will</w:t>
      </w:r>
      <w:r>
        <w:t xml:space="preserve"> have needed to receive </w:t>
      </w:r>
      <w:r w:rsidR="00C45388">
        <w:t>a contribution or rollover for the person on or after 1 July 2018 and before 1 November 2019 in order to receive the amount.</w:t>
      </w:r>
    </w:p>
    <w:p w14:paraId="6630F1AC" w14:textId="77777777" w:rsidR="00C45388" w:rsidRPr="00C45388" w:rsidRDefault="00C45388" w:rsidP="00C45388">
      <w:pPr>
        <w:rPr>
          <w:i/>
        </w:rPr>
      </w:pPr>
      <w:r w:rsidRPr="00C45388">
        <w:rPr>
          <w:i/>
        </w:rPr>
        <w:t>Hierarchy of factors</w:t>
      </w:r>
    </w:p>
    <w:p w14:paraId="7EB43F3A" w14:textId="1DA8096F" w:rsidR="00C45388" w:rsidRDefault="00C45388" w:rsidP="00C45388">
      <w:r>
        <w:t xml:space="preserve">Where more than one account across multiple funds meets the requirements, </w:t>
      </w:r>
      <w:r w:rsidR="005159D2">
        <w:t>the</w:t>
      </w:r>
      <w:r w:rsidR="00FE4D78">
        <w:t xml:space="preserve"> </w:t>
      </w:r>
      <w:r>
        <w:t xml:space="preserve">Regulations </w:t>
      </w:r>
      <w:r w:rsidR="0073444B">
        <w:t>will</w:t>
      </w:r>
      <w:r w:rsidR="00FE4D78">
        <w:t xml:space="preserve"> amend the SUMLM R</w:t>
      </w:r>
      <w:r w:rsidR="005159D2">
        <w:t xml:space="preserve">egulations to </w:t>
      </w:r>
      <w:r>
        <w:t xml:space="preserve">set out the factors the Commissioner must consider in determining into which account to pay the amounts held. </w:t>
      </w:r>
    </w:p>
    <w:p w14:paraId="63EA9BEA" w14:textId="149299A2" w:rsidR="00C45388" w:rsidRDefault="009A2001" w:rsidP="00C45388">
      <w:r>
        <w:t xml:space="preserve">Item 32 will also insert </w:t>
      </w:r>
      <w:r w:rsidR="00C45388">
        <w:t xml:space="preserve">Regulation 10A </w:t>
      </w:r>
      <w:r>
        <w:t xml:space="preserve">which </w:t>
      </w:r>
      <w:r w:rsidR="005159D2">
        <w:t>set</w:t>
      </w:r>
      <w:r>
        <w:t>s</w:t>
      </w:r>
      <w:r w:rsidR="00C45388">
        <w:t xml:space="preserve"> out the hierarchy of those factors and tiebreaker rules where a specific factor does not determine a single fund to receive the payment. This </w:t>
      </w:r>
      <w:r w:rsidR="005159D2">
        <w:t>could</w:t>
      </w:r>
      <w:r w:rsidR="00C45388">
        <w:t xml:space="preserve"> happen if the specific factor is met by multiple funds or by none of the funds. The Commissioner </w:t>
      </w:r>
      <w:r w:rsidR="0073444B">
        <w:t>will</w:t>
      </w:r>
      <w:r w:rsidR="00C45388">
        <w:t xml:space="preserve"> consider the factors in light of the information that is reported to the Commissioner or otherwise available at the time.</w:t>
      </w:r>
    </w:p>
    <w:p w14:paraId="3A6C45FC" w14:textId="4636EB81" w:rsidR="00C45388" w:rsidRDefault="00C45388" w:rsidP="00C45388">
      <w:r>
        <w:t>First, the Commissioner pay</w:t>
      </w:r>
      <w:r w:rsidR="0073444B">
        <w:t>s</w:t>
      </w:r>
      <w:r>
        <w:t xml:space="preserve"> the a</w:t>
      </w:r>
      <w:r w:rsidRPr="00944713">
        <w:t xml:space="preserve">mount to a fund that the Commissioner has made </w:t>
      </w:r>
      <w:r>
        <w:t xml:space="preserve">a </w:t>
      </w:r>
      <w:r w:rsidRPr="00944713">
        <w:t xml:space="preserve">payment to during the </w:t>
      </w:r>
      <w:r>
        <w:t xml:space="preserve">current </w:t>
      </w:r>
      <w:r w:rsidRPr="00944713">
        <w:t>financial year for the person</w:t>
      </w:r>
      <w:r>
        <w:t xml:space="preserve">. This </w:t>
      </w:r>
      <w:r w:rsidR="0073444B">
        <w:t>will</w:t>
      </w:r>
      <w:r>
        <w:t xml:space="preserve"> occur where </w:t>
      </w:r>
      <w:r w:rsidRPr="009F0B38">
        <w:t>the Commissioner has already paid amounts for the person under subsection 17(2) and section 20H of the SUMLM Act (unclaimed money), section 20QF (inactive low</w:t>
      </w:r>
      <w:r w:rsidRPr="009F0B38">
        <w:noBreakHyphen/>
        <w:t>balance accounts), section 24G (lost members) or section 24NA (superannuation balance reunification).</w:t>
      </w:r>
      <w:r>
        <w:t xml:space="preserve"> </w:t>
      </w:r>
    </w:p>
    <w:p w14:paraId="66C5B68D" w14:textId="7947EB7C" w:rsidR="00C45388" w:rsidRDefault="00C45388" w:rsidP="00C45388">
      <w:r>
        <w:t>Second, the Commissioner pay</w:t>
      </w:r>
      <w:r w:rsidR="0073444B">
        <w:t>s</w:t>
      </w:r>
      <w:r>
        <w:t xml:space="preserve"> the amount to the fund that received the most recent contribution during the previous or current financial year, based on the contribution information reported by funds to the Commissioner.</w:t>
      </w:r>
    </w:p>
    <w:p w14:paraId="49F92F8A" w14:textId="4399F156" w:rsidR="00C45388" w:rsidRDefault="00C45388" w:rsidP="00C45388">
      <w:r>
        <w:t xml:space="preserve">Third, the amount </w:t>
      </w:r>
      <w:r w:rsidR="0073444B">
        <w:t xml:space="preserve">is </w:t>
      </w:r>
      <w:r>
        <w:t>paid to the fund that had the largest account balance for the member at the end of the previous financial year.</w:t>
      </w:r>
    </w:p>
    <w:p w14:paraId="77A1A5AF" w14:textId="30B57AF8" w:rsidR="00C45388" w:rsidRDefault="00C45388" w:rsidP="00C45388">
      <w:r>
        <w:lastRenderedPageBreak/>
        <w:t xml:space="preserve">Finally, the Commissioner </w:t>
      </w:r>
      <w:r w:rsidR="0073444B">
        <w:t>will have</w:t>
      </w:r>
      <w:r w:rsidR="005159D2">
        <w:t xml:space="preserve"> </w:t>
      </w:r>
      <w:r>
        <w:t>the discretion to determine the fund that the amount is to be paid to.</w:t>
      </w:r>
    </w:p>
    <w:p w14:paraId="293D35D2" w14:textId="77777777" w:rsidR="00C45388" w:rsidRPr="005159D2" w:rsidRDefault="00C45388" w:rsidP="007B40C1">
      <w:pPr>
        <w:keepNext/>
        <w:spacing w:before="240"/>
        <w:ind w:left="720"/>
        <w:rPr>
          <w:b/>
          <w:szCs w:val="24"/>
        </w:rPr>
      </w:pPr>
      <w:r w:rsidRPr="005159D2">
        <w:rPr>
          <w:b/>
          <w:szCs w:val="24"/>
        </w:rPr>
        <w:t xml:space="preserve">Example – payment order </w:t>
      </w:r>
    </w:p>
    <w:p w14:paraId="2C467755" w14:textId="77777777" w:rsidR="00C45388" w:rsidRPr="00A63272" w:rsidRDefault="00C45388" w:rsidP="005159D2">
      <w:pPr>
        <w:ind w:left="720"/>
        <w:rPr>
          <w:szCs w:val="24"/>
        </w:rPr>
      </w:pPr>
      <w:r w:rsidRPr="00A63272">
        <w:rPr>
          <w:szCs w:val="24"/>
        </w:rPr>
        <w:t>The Commissioner holds a consolidated amount of $3,500 for</w:t>
      </w:r>
      <w:r>
        <w:rPr>
          <w:szCs w:val="24"/>
        </w:rPr>
        <w:t xml:space="preserve"> the person under the SUMLM Act</w:t>
      </w:r>
      <w:r w:rsidRPr="00A63272">
        <w:rPr>
          <w:szCs w:val="24"/>
        </w:rPr>
        <w:t>.</w:t>
      </w:r>
    </w:p>
    <w:p w14:paraId="265CBAA4" w14:textId="77777777" w:rsidR="00C45388" w:rsidRPr="003355A8" w:rsidRDefault="00C45388" w:rsidP="005159D2">
      <w:pPr>
        <w:ind w:left="720"/>
        <w:rPr>
          <w:i/>
          <w:sz w:val="22"/>
          <w:szCs w:val="22"/>
        </w:rPr>
      </w:pPr>
      <w:r w:rsidRPr="00A63272">
        <w:rPr>
          <w:szCs w:val="24"/>
        </w:rPr>
        <w:t>The Commissioner intends to pay the consolidated amount to the person’s active account on 1 November 2019 and has the following available</w:t>
      </w:r>
      <w:r>
        <w:rPr>
          <w:szCs w:val="24"/>
        </w:rPr>
        <w:t xml:space="preserve"> information for the person at that time.</w:t>
      </w:r>
    </w:p>
    <w:tbl>
      <w:tblPr>
        <w:tblStyle w:val="TableGrid"/>
        <w:tblW w:w="0" w:type="auto"/>
        <w:tblInd w:w="1040" w:type="dxa"/>
        <w:tblLook w:val="04A0" w:firstRow="1" w:lastRow="0" w:firstColumn="1" w:lastColumn="0" w:noHBand="0" w:noVBand="1"/>
      </w:tblPr>
      <w:tblGrid>
        <w:gridCol w:w="1546"/>
        <w:gridCol w:w="2162"/>
        <w:gridCol w:w="1879"/>
      </w:tblGrid>
      <w:tr w:rsidR="00C45388" w:rsidRPr="003355A8" w14:paraId="23F97045" w14:textId="77777777" w:rsidTr="0095296A">
        <w:tc>
          <w:tcPr>
            <w:tcW w:w="1546" w:type="dxa"/>
          </w:tcPr>
          <w:p w14:paraId="4E70F959" w14:textId="77777777" w:rsidR="00C45388" w:rsidRPr="003355A8" w:rsidRDefault="00C45388" w:rsidP="0095296A">
            <w:pPr>
              <w:jc w:val="center"/>
              <w:rPr>
                <w:b/>
                <w:i/>
                <w:sz w:val="22"/>
                <w:szCs w:val="22"/>
              </w:rPr>
            </w:pPr>
            <w:r w:rsidRPr="003355A8">
              <w:rPr>
                <w:b/>
                <w:i/>
                <w:sz w:val="22"/>
                <w:szCs w:val="22"/>
              </w:rPr>
              <w:t>Fund name</w:t>
            </w:r>
          </w:p>
        </w:tc>
        <w:tc>
          <w:tcPr>
            <w:tcW w:w="2162" w:type="dxa"/>
          </w:tcPr>
          <w:p w14:paraId="5F1AA804" w14:textId="77777777" w:rsidR="00C45388" w:rsidRPr="003355A8" w:rsidRDefault="00C45388" w:rsidP="0095296A">
            <w:pPr>
              <w:jc w:val="center"/>
              <w:rPr>
                <w:b/>
                <w:i/>
                <w:sz w:val="22"/>
                <w:szCs w:val="22"/>
              </w:rPr>
            </w:pPr>
            <w:r w:rsidRPr="003355A8">
              <w:rPr>
                <w:b/>
                <w:i/>
                <w:sz w:val="22"/>
                <w:szCs w:val="22"/>
              </w:rPr>
              <w:t xml:space="preserve">Date of </w:t>
            </w:r>
            <w:r>
              <w:rPr>
                <w:b/>
                <w:i/>
                <w:sz w:val="22"/>
                <w:szCs w:val="22"/>
              </w:rPr>
              <w:t xml:space="preserve">last </w:t>
            </w:r>
            <w:r w:rsidRPr="003355A8">
              <w:rPr>
                <w:b/>
                <w:i/>
                <w:sz w:val="22"/>
                <w:szCs w:val="22"/>
              </w:rPr>
              <w:t>contribution</w:t>
            </w:r>
          </w:p>
        </w:tc>
        <w:tc>
          <w:tcPr>
            <w:tcW w:w="1879" w:type="dxa"/>
          </w:tcPr>
          <w:p w14:paraId="1CAC95BF" w14:textId="77777777" w:rsidR="00C45388" w:rsidRPr="003355A8" w:rsidRDefault="00C45388" w:rsidP="0095296A">
            <w:pPr>
              <w:jc w:val="center"/>
              <w:rPr>
                <w:b/>
                <w:i/>
                <w:sz w:val="22"/>
                <w:szCs w:val="22"/>
              </w:rPr>
            </w:pPr>
            <w:r w:rsidRPr="003355A8">
              <w:rPr>
                <w:b/>
                <w:i/>
                <w:sz w:val="22"/>
                <w:szCs w:val="22"/>
              </w:rPr>
              <w:t xml:space="preserve">Account balance </w:t>
            </w:r>
            <w:r>
              <w:rPr>
                <w:b/>
                <w:i/>
                <w:sz w:val="22"/>
                <w:szCs w:val="22"/>
              </w:rPr>
              <w:t>on 30 June 2019</w:t>
            </w:r>
          </w:p>
        </w:tc>
      </w:tr>
      <w:tr w:rsidR="00C45388" w14:paraId="40916F69" w14:textId="77777777" w:rsidTr="0095296A">
        <w:tc>
          <w:tcPr>
            <w:tcW w:w="1546" w:type="dxa"/>
          </w:tcPr>
          <w:p w14:paraId="3354BD2A" w14:textId="77777777" w:rsidR="00C45388" w:rsidRPr="003355A8" w:rsidRDefault="00C45388" w:rsidP="0095296A">
            <w:pPr>
              <w:jc w:val="center"/>
              <w:rPr>
                <w:sz w:val="22"/>
                <w:szCs w:val="22"/>
              </w:rPr>
            </w:pPr>
            <w:r w:rsidRPr="003355A8">
              <w:rPr>
                <w:sz w:val="22"/>
                <w:szCs w:val="22"/>
              </w:rPr>
              <w:t>Fund A</w:t>
            </w:r>
          </w:p>
        </w:tc>
        <w:tc>
          <w:tcPr>
            <w:tcW w:w="2162" w:type="dxa"/>
          </w:tcPr>
          <w:p w14:paraId="54E9D3A4" w14:textId="77777777" w:rsidR="00C45388" w:rsidRPr="003355A8" w:rsidRDefault="00C45388" w:rsidP="0095296A">
            <w:pPr>
              <w:jc w:val="center"/>
              <w:rPr>
                <w:sz w:val="22"/>
                <w:szCs w:val="22"/>
              </w:rPr>
            </w:pPr>
            <w:r>
              <w:rPr>
                <w:sz w:val="22"/>
                <w:szCs w:val="22"/>
              </w:rPr>
              <w:t>20 April 2018</w:t>
            </w:r>
          </w:p>
        </w:tc>
        <w:tc>
          <w:tcPr>
            <w:tcW w:w="1879" w:type="dxa"/>
          </w:tcPr>
          <w:p w14:paraId="29691D2F" w14:textId="77777777" w:rsidR="00C45388" w:rsidRPr="003355A8" w:rsidRDefault="00C45388" w:rsidP="0095296A">
            <w:pPr>
              <w:jc w:val="right"/>
              <w:rPr>
                <w:sz w:val="22"/>
                <w:szCs w:val="22"/>
              </w:rPr>
            </w:pPr>
            <w:r>
              <w:rPr>
                <w:sz w:val="22"/>
                <w:szCs w:val="22"/>
              </w:rPr>
              <w:t>$12,500</w:t>
            </w:r>
          </w:p>
        </w:tc>
      </w:tr>
      <w:tr w:rsidR="00C45388" w14:paraId="0119041F" w14:textId="77777777" w:rsidTr="0095296A">
        <w:tc>
          <w:tcPr>
            <w:tcW w:w="1546" w:type="dxa"/>
          </w:tcPr>
          <w:p w14:paraId="266BF918" w14:textId="77777777" w:rsidR="00C45388" w:rsidRPr="003355A8" w:rsidRDefault="00C45388" w:rsidP="0095296A">
            <w:pPr>
              <w:jc w:val="center"/>
              <w:rPr>
                <w:sz w:val="22"/>
                <w:szCs w:val="22"/>
              </w:rPr>
            </w:pPr>
            <w:r w:rsidRPr="003355A8">
              <w:rPr>
                <w:sz w:val="22"/>
                <w:szCs w:val="22"/>
              </w:rPr>
              <w:t>Fund B</w:t>
            </w:r>
          </w:p>
        </w:tc>
        <w:tc>
          <w:tcPr>
            <w:tcW w:w="2162" w:type="dxa"/>
          </w:tcPr>
          <w:p w14:paraId="173FE16B" w14:textId="77777777" w:rsidR="00C45388" w:rsidRPr="003355A8" w:rsidRDefault="00C45388" w:rsidP="0095296A">
            <w:pPr>
              <w:jc w:val="center"/>
              <w:rPr>
                <w:sz w:val="22"/>
                <w:szCs w:val="22"/>
              </w:rPr>
            </w:pPr>
            <w:r>
              <w:rPr>
                <w:sz w:val="22"/>
                <w:szCs w:val="22"/>
              </w:rPr>
              <w:t>31 October 2018</w:t>
            </w:r>
          </w:p>
        </w:tc>
        <w:tc>
          <w:tcPr>
            <w:tcW w:w="1879" w:type="dxa"/>
          </w:tcPr>
          <w:p w14:paraId="08B7753B" w14:textId="77777777" w:rsidR="00C45388" w:rsidRPr="003355A8" w:rsidRDefault="00C45388" w:rsidP="0095296A">
            <w:pPr>
              <w:jc w:val="right"/>
              <w:rPr>
                <w:sz w:val="22"/>
                <w:szCs w:val="22"/>
              </w:rPr>
            </w:pPr>
            <w:r>
              <w:rPr>
                <w:sz w:val="22"/>
                <w:szCs w:val="22"/>
              </w:rPr>
              <w:t>$3,100</w:t>
            </w:r>
          </w:p>
        </w:tc>
      </w:tr>
      <w:tr w:rsidR="00C45388" w14:paraId="339214C2" w14:textId="77777777" w:rsidTr="0095296A">
        <w:tc>
          <w:tcPr>
            <w:tcW w:w="1546" w:type="dxa"/>
          </w:tcPr>
          <w:p w14:paraId="37BFC8C4" w14:textId="77777777" w:rsidR="00C45388" w:rsidRPr="003355A8" w:rsidRDefault="00C45388" w:rsidP="0095296A">
            <w:pPr>
              <w:jc w:val="center"/>
              <w:rPr>
                <w:sz w:val="22"/>
                <w:szCs w:val="22"/>
              </w:rPr>
            </w:pPr>
            <w:r w:rsidRPr="003355A8">
              <w:rPr>
                <w:sz w:val="22"/>
                <w:szCs w:val="22"/>
              </w:rPr>
              <w:t>Fund C</w:t>
            </w:r>
          </w:p>
        </w:tc>
        <w:tc>
          <w:tcPr>
            <w:tcW w:w="2162" w:type="dxa"/>
          </w:tcPr>
          <w:p w14:paraId="5385E730" w14:textId="77777777" w:rsidR="00C45388" w:rsidRPr="003355A8" w:rsidRDefault="00C45388" w:rsidP="0095296A">
            <w:pPr>
              <w:jc w:val="center"/>
              <w:rPr>
                <w:sz w:val="22"/>
                <w:szCs w:val="22"/>
              </w:rPr>
            </w:pPr>
            <w:r>
              <w:rPr>
                <w:sz w:val="22"/>
                <w:szCs w:val="22"/>
              </w:rPr>
              <w:t>23 February 2019</w:t>
            </w:r>
          </w:p>
        </w:tc>
        <w:tc>
          <w:tcPr>
            <w:tcW w:w="1879" w:type="dxa"/>
          </w:tcPr>
          <w:p w14:paraId="5302F587" w14:textId="77777777" w:rsidR="00C45388" w:rsidRPr="003355A8" w:rsidRDefault="00C45388" w:rsidP="0095296A">
            <w:pPr>
              <w:jc w:val="right"/>
              <w:rPr>
                <w:sz w:val="22"/>
                <w:szCs w:val="22"/>
              </w:rPr>
            </w:pPr>
            <w:r>
              <w:rPr>
                <w:sz w:val="22"/>
                <w:szCs w:val="22"/>
              </w:rPr>
              <w:t>$3,500</w:t>
            </w:r>
          </w:p>
        </w:tc>
      </w:tr>
      <w:tr w:rsidR="00C45388" w14:paraId="7B397BBE" w14:textId="77777777" w:rsidTr="0095296A">
        <w:tc>
          <w:tcPr>
            <w:tcW w:w="1546" w:type="dxa"/>
          </w:tcPr>
          <w:p w14:paraId="063332B8" w14:textId="77777777" w:rsidR="00C45388" w:rsidRPr="003355A8" w:rsidRDefault="00C45388" w:rsidP="0095296A">
            <w:pPr>
              <w:jc w:val="center"/>
              <w:rPr>
                <w:sz w:val="22"/>
                <w:szCs w:val="22"/>
              </w:rPr>
            </w:pPr>
            <w:r w:rsidRPr="003355A8">
              <w:rPr>
                <w:sz w:val="22"/>
                <w:szCs w:val="22"/>
              </w:rPr>
              <w:t>Fund D</w:t>
            </w:r>
          </w:p>
        </w:tc>
        <w:tc>
          <w:tcPr>
            <w:tcW w:w="2162" w:type="dxa"/>
          </w:tcPr>
          <w:p w14:paraId="752D60F5" w14:textId="77777777" w:rsidR="00C45388" w:rsidRPr="003355A8" w:rsidRDefault="00C45388" w:rsidP="0095296A">
            <w:pPr>
              <w:jc w:val="center"/>
              <w:rPr>
                <w:sz w:val="22"/>
                <w:szCs w:val="22"/>
              </w:rPr>
            </w:pPr>
            <w:r>
              <w:rPr>
                <w:sz w:val="22"/>
                <w:szCs w:val="22"/>
              </w:rPr>
              <w:t>23 February 2019</w:t>
            </w:r>
          </w:p>
        </w:tc>
        <w:tc>
          <w:tcPr>
            <w:tcW w:w="1879" w:type="dxa"/>
          </w:tcPr>
          <w:p w14:paraId="68ED85F8" w14:textId="77777777" w:rsidR="00C45388" w:rsidRPr="003355A8" w:rsidRDefault="00C45388" w:rsidP="0095296A">
            <w:pPr>
              <w:jc w:val="right"/>
              <w:rPr>
                <w:sz w:val="22"/>
                <w:szCs w:val="22"/>
              </w:rPr>
            </w:pPr>
            <w:r>
              <w:rPr>
                <w:sz w:val="22"/>
                <w:szCs w:val="22"/>
              </w:rPr>
              <w:t>$4,000</w:t>
            </w:r>
          </w:p>
        </w:tc>
      </w:tr>
      <w:tr w:rsidR="00C45388" w14:paraId="322297F6" w14:textId="77777777" w:rsidTr="0095296A">
        <w:tc>
          <w:tcPr>
            <w:tcW w:w="1546" w:type="dxa"/>
          </w:tcPr>
          <w:p w14:paraId="674D2381" w14:textId="77777777" w:rsidR="00C45388" w:rsidRPr="003355A8" w:rsidRDefault="00C45388" w:rsidP="0095296A">
            <w:pPr>
              <w:jc w:val="center"/>
              <w:rPr>
                <w:sz w:val="22"/>
                <w:szCs w:val="22"/>
              </w:rPr>
            </w:pPr>
            <w:r w:rsidRPr="003355A8">
              <w:rPr>
                <w:sz w:val="22"/>
                <w:szCs w:val="22"/>
              </w:rPr>
              <w:t>Fund E</w:t>
            </w:r>
          </w:p>
        </w:tc>
        <w:tc>
          <w:tcPr>
            <w:tcW w:w="2162" w:type="dxa"/>
          </w:tcPr>
          <w:p w14:paraId="1557F2E5" w14:textId="77777777" w:rsidR="00C45388" w:rsidRPr="003355A8" w:rsidRDefault="00C45388" w:rsidP="0095296A">
            <w:pPr>
              <w:jc w:val="center"/>
              <w:rPr>
                <w:sz w:val="22"/>
                <w:szCs w:val="22"/>
              </w:rPr>
            </w:pPr>
            <w:r>
              <w:rPr>
                <w:sz w:val="22"/>
                <w:szCs w:val="22"/>
              </w:rPr>
              <w:t>31 May 2019</w:t>
            </w:r>
          </w:p>
        </w:tc>
        <w:tc>
          <w:tcPr>
            <w:tcW w:w="1879" w:type="dxa"/>
          </w:tcPr>
          <w:p w14:paraId="6A0DE54D" w14:textId="77777777" w:rsidR="00C45388" w:rsidRPr="003355A8" w:rsidRDefault="00C45388" w:rsidP="0095296A">
            <w:pPr>
              <w:jc w:val="right"/>
              <w:rPr>
                <w:sz w:val="22"/>
                <w:szCs w:val="22"/>
              </w:rPr>
            </w:pPr>
            <w:r>
              <w:rPr>
                <w:sz w:val="22"/>
                <w:szCs w:val="22"/>
              </w:rPr>
              <w:t>$2,000</w:t>
            </w:r>
          </w:p>
        </w:tc>
      </w:tr>
    </w:tbl>
    <w:p w14:paraId="742C7BCD" w14:textId="77777777" w:rsidR="00C45388" w:rsidRPr="00A63272" w:rsidRDefault="00C45388" w:rsidP="005159D2">
      <w:pPr>
        <w:spacing w:before="240"/>
        <w:ind w:left="720"/>
        <w:rPr>
          <w:szCs w:val="24"/>
        </w:rPr>
      </w:pPr>
      <w:r w:rsidRPr="00A63272">
        <w:rPr>
          <w:szCs w:val="24"/>
        </w:rPr>
        <w:t xml:space="preserve">As the payment day </w:t>
      </w:r>
      <w:r>
        <w:rPr>
          <w:szCs w:val="24"/>
        </w:rPr>
        <w:t>is</w:t>
      </w:r>
      <w:r w:rsidRPr="00A63272">
        <w:rPr>
          <w:szCs w:val="24"/>
        </w:rPr>
        <w:t xml:space="preserve"> 1 November 2019, the fund must have received a contribution or rollover </w:t>
      </w:r>
      <w:r>
        <w:rPr>
          <w:szCs w:val="24"/>
        </w:rPr>
        <w:t>on or after</w:t>
      </w:r>
      <w:r w:rsidRPr="00A63272">
        <w:rPr>
          <w:szCs w:val="24"/>
        </w:rPr>
        <w:t xml:space="preserve"> 1 July 2018 and </w:t>
      </w:r>
      <w:r>
        <w:rPr>
          <w:szCs w:val="24"/>
        </w:rPr>
        <w:t xml:space="preserve">before 1 November 2019 </w:t>
      </w:r>
      <w:r w:rsidRPr="00A63272">
        <w:rPr>
          <w:szCs w:val="24"/>
        </w:rPr>
        <w:t>(the prescribed period) in order to receive the consolidated amount.</w:t>
      </w:r>
    </w:p>
    <w:p w14:paraId="69965398" w14:textId="77777777" w:rsidR="00C45388" w:rsidRPr="00A63272" w:rsidRDefault="00C45388" w:rsidP="005159D2">
      <w:pPr>
        <w:ind w:left="720"/>
        <w:rPr>
          <w:szCs w:val="24"/>
        </w:rPr>
      </w:pPr>
      <w:r w:rsidRPr="00A63272">
        <w:rPr>
          <w:szCs w:val="24"/>
        </w:rPr>
        <w:t>The last amount received by Fund A is before the prescribed period, so the consolidated amount cannot be paid to Fund A</w:t>
      </w:r>
      <w:r>
        <w:rPr>
          <w:szCs w:val="24"/>
        </w:rPr>
        <w:t xml:space="preserve"> under subsection </w:t>
      </w:r>
      <w:proofErr w:type="gramStart"/>
      <w:r>
        <w:rPr>
          <w:szCs w:val="24"/>
        </w:rPr>
        <w:t>24NA(</w:t>
      </w:r>
      <w:proofErr w:type="gramEnd"/>
      <w:r>
        <w:rPr>
          <w:szCs w:val="24"/>
        </w:rPr>
        <w:t>2)</w:t>
      </w:r>
      <w:r w:rsidRPr="00A63272">
        <w:rPr>
          <w:szCs w:val="24"/>
        </w:rPr>
        <w:t>.</w:t>
      </w:r>
    </w:p>
    <w:p w14:paraId="4711CC41" w14:textId="77777777" w:rsidR="00C45388" w:rsidRPr="00A63272" w:rsidRDefault="00C45388" w:rsidP="005159D2">
      <w:pPr>
        <w:ind w:left="720"/>
        <w:rPr>
          <w:szCs w:val="24"/>
        </w:rPr>
      </w:pPr>
      <w:r w:rsidRPr="00A63272">
        <w:rPr>
          <w:szCs w:val="24"/>
        </w:rPr>
        <w:t xml:space="preserve">The requirement for the reunited </w:t>
      </w:r>
      <w:r>
        <w:rPr>
          <w:szCs w:val="24"/>
        </w:rPr>
        <w:t>account balance</w:t>
      </w:r>
      <w:r w:rsidRPr="00A63272">
        <w:rPr>
          <w:szCs w:val="24"/>
        </w:rPr>
        <w:t xml:space="preserve"> to be $6,000 or more means that Fund E also cannot receive the consolidated amount </w:t>
      </w:r>
      <w:r>
        <w:rPr>
          <w:szCs w:val="24"/>
        </w:rPr>
        <w:t xml:space="preserve">under section 24NA(2) </w:t>
      </w:r>
      <w:r w:rsidRPr="00A63272">
        <w:rPr>
          <w:szCs w:val="24"/>
        </w:rPr>
        <w:t xml:space="preserve">as the reunited </w:t>
      </w:r>
      <w:r>
        <w:rPr>
          <w:szCs w:val="24"/>
        </w:rPr>
        <w:t>balance</w:t>
      </w:r>
      <w:r w:rsidRPr="00A63272">
        <w:rPr>
          <w:szCs w:val="24"/>
        </w:rPr>
        <w:t xml:space="preserve"> </w:t>
      </w:r>
      <w:r>
        <w:rPr>
          <w:szCs w:val="24"/>
        </w:rPr>
        <w:t xml:space="preserve">for the person’s account in Fund E </w:t>
      </w:r>
      <w:r w:rsidRPr="00A63272">
        <w:rPr>
          <w:szCs w:val="24"/>
        </w:rPr>
        <w:t>would be $5,500.</w:t>
      </w:r>
    </w:p>
    <w:p w14:paraId="10D5B1E2" w14:textId="77777777" w:rsidR="00C45388" w:rsidRDefault="00C45388" w:rsidP="005159D2">
      <w:pPr>
        <w:ind w:left="720"/>
        <w:rPr>
          <w:szCs w:val="24"/>
        </w:rPr>
      </w:pPr>
      <w:r w:rsidRPr="00A63272">
        <w:rPr>
          <w:szCs w:val="24"/>
        </w:rPr>
        <w:t>As Funds B, C and D received contributions within the prescribed period and the reunited amount</w:t>
      </w:r>
      <w:r>
        <w:rPr>
          <w:szCs w:val="24"/>
        </w:rPr>
        <w:t>s</w:t>
      </w:r>
      <w:r w:rsidRPr="00A63272">
        <w:rPr>
          <w:szCs w:val="24"/>
        </w:rPr>
        <w:t xml:space="preserve"> </w:t>
      </w:r>
      <w:r>
        <w:rPr>
          <w:szCs w:val="24"/>
        </w:rPr>
        <w:t>would be</w:t>
      </w:r>
      <w:r w:rsidRPr="00A63272">
        <w:rPr>
          <w:szCs w:val="24"/>
        </w:rPr>
        <w:t xml:space="preserve"> more than $6,000, </w:t>
      </w:r>
      <w:r>
        <w:rPr>
          <w:szCs w:val="24"/>
        </w:rPr>
        <w:t>they are all eligible funds under subsection 24NA(2). T</w:t>
      </w:r>
      <w:r w:rsidRPr="00A63272">
        <w:rPr>
          <w:szCs w:val="24"/>
        </w:rPr>
        <w:t xml:space="preserve">he Commissioner will pay the amount to </w:t>
      </w:r>
      <w:r>
        <w:rPr>
          <w:szCs w:val="24"/>
        </w:rPr>
        <w:t>one of those</w:t>
      </w:r>
      <w:r w:rsidRPr="00A63272">
        <w:rPr>
          <w:szCs w:val="24"/>
        </w:rPr>
        <w:t xml:space="preserve"> fund</w:t>
      </w:r>
      <w:r>
        <w:rPr>
          <w:szCs w:val="24"/>
        </w:rPr>
        <w:t>s</w:t>
      </w:r>
      <w:r w:rsidRPr="00A63272">
        <w:rPr>
          <w:szCs w:val="24"/>
        </w:rPr>
        <w:t xml:space="preserve"> in accordance with the hierarchy of factors. </w:t>
      </w:r>
    </w:p>
    <w:p w14:paraId="7115DD87" w14:textId="77777777" w:rsidR="00C45388" w:rsidRPr="00C45388" w:rsidRDefault="00C45388" w:rsidP="00C45388">
      <w:pPr>
        <w:pStyle w:val="ListParagraph"/>
        <w:numPr>
          <w:ilvl w:val="0"/>
          <w:numId w:val="5"/>
        </w:numPr>
        <w:ind w:left="714" w:hanging="357"/>
        <w:contextualSpacing w:val="0"/>
        <w:rPr>
          <w:szCs w:val="24"/>
        </w:rPr>
      </w:pPr>
      <w:r w:rsidRPr="00C45388">
        <w:rPr>
          <w:szCs w:val="24"/>
        </w:rPr>
        <w:t>The Commissioner has not made a payment for the person under Part 3 of the SUMLM Act (unclaimed money), Part 3B (inactive low</w:t>
      </w:r>
      <w:r w:rsidRPr="00C45388">
        <w:rPr>
          <w:szCs w:val="24"/>
        </w:rPr>
        <w:noBreakHyphen/>
        <w:t>balance accounts) or section 24E (lost members) to Fund B, C or D on or after 1 July 2019.</w:t>
      </w:r>
    </w:p>
    <w:p w14:paraId="6EE0673F" w14:textId="77777777" w:rsidR="00C45388" w:rsidRPr="00C45388" w:rsidRDefault="00C45388" w:rsidP="00C45388">
      <w:pPr>
        <w:pStyle w:val="ListParagraph"/>
        <w:numPr>
          <w:ilvl w:val="0"/>
          <w:numId w:val="5"/>
        </w:numPr>
        <w:ind w:left="714" w:hanging="357"/>
        <w:contextualSpacing w:val="0"/>
        <w:rPr>
          <w:szCs w:val="24"/>
        </w:rPr>
      </w:pPr>
      <w:r w:rsidRPr="00C45388">
        <w:rPr>
          <w:szCs w:val="24"/>
        </w:rPr>
        <w:t>The most recent contribution for the person was received on 23 February 2019 by both Funds C and D.</w:t>
      </w:r>
    </w:p>
    <w:p w14:paraId="31E5C89C" w14:textId="77777777" w:rsidR="00C45388" w:rsidRPr="00C45388" w:rsidRDefault="00C45388" w:rsidP="00C45388">
      <w:pPr>
        <w:pStyle w:val="ListParagraph"/>
        <w:numPr>
          <w:ilvl w:val="0"/>
          <w:numId w:val="5"/>
        </w:numPr>
        <w:ind w:left="714" w:hanging="357"/>
        <w:contextualSpacing w:val="0"/>
        <w:rPr>
          <w:szCs w:val="24"/>
        </w:rPr>
      </w:pPr>
      <w:r w:rsidRPr="00C45388">
        <w:rPr>
          <w:szCs w:val="24"/>
        </w:rPr>
        <w:t>Out of Funds C and D, the largest account balance for the member at the end of the previous financial year, 30 June 2019, was held by Fund D.</w:t>
      </w:r>
    </w:p>
    <w:p w14:paraId="7E608F14" w14:textId="574DD1BA" w:rsidR="00C45388" w:rsidRPr="00C45388" w:rsidRDefault="00C45388" w:rsidP="00C45388">
      <w:pPr>
        <w:tabs>
          <w:tab w:val="left" w:pos="2835"/>
        </w:tabs>
        <w:spacing w:before="240" w:after="120"/>
        <w:ind w:right="91"/>
        <w:jc w:val="right"/>
        <w:rPr>
          <w:u w:val="single"/>
        </w:rPr>
      </w:pPr>
      <w:r>
        <w:t>Therefore, the Commissioner would pay $3,500 to Fund D on 1 November 2019.</w:t>
      </w:r>
    </w:p>
    <w:sectPr w:rsidR="00C45388" w:rsidRPr="00C45388" w:rsidSect="00FE4D78">
      <w:footerReference w:type="default" r:id="rId14"/>
      <w:footerReference w:type="first" r:id="rId15"/>
      <w:pgSz w:w="11906" w:h="16838" w:code="9"/>
      <w:pgMar w:top="1134" w:right="1797" w:bottom="1134" w:left="1797" w:header="720" w:footer="72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82302B" w15:done="0"/>
  <w15:commentEx w15:paraId="22D3459D" w15:done="0"/>
  <w15:commentEx w15:paraId="12445C0D" w15:done="0"/>
  <w15:commentEx w15:paraId="71135B27" w15:done="0"/>
  <w15:commentEx w15:paraId="1F330EBB" w15:done="0"/>
  <w15:commentEx w15:paraId="47FBA9BF" w15:done="0"/>
  <w15:commentEx w15:paraId="17F7398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D23D9" w14:textId="77777777" w:rsidR="00C72A9E" w:rsidRDefault="00C72A9E" w:rsidP="00322524">
      <w:pPr>
        <w:spacing w:after="0"/>
      </w:pPr>
      <w:r>
        <w:separator/>
      </w:r>
    </w:p>
  </w:endnote>
  <w:endnote w:type="continuationSeparator" w:id="0">
    <w:p w14:paraId="499A18F8" w14:textId="77777777" w:rsidR="00C72A9E" w:rsidRDefault="00C72A9E" w:rsidP="00322524">
      <w:pPr>
        <w:spacing w:after="0"/>
      </w:pPr>
      <w:r>
        <w:continuationSeparator/>
      </w:r>
    </w:p>
  </w:endnote>
  <w:endnote w:type="continuationNotice" w:id="1">
    <w:p w14:paraId="60E3F614" w14:textId="77777777" w:rsidR="00C72A9E" w:rsidRDefault="00C72A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5592445"/>
      <w:docPartObj>
        <w:docPartGallery w:val="Page Numbers (Bottom of Page)"/>
        <w:docPartUnique/>
      </w:docPartObj>
    </w:sdtPr>
    <w:sdtEndPr>
      <w:rPr>
        <w:noProof/>
      </w:rPr>
    </w:sdtEndPr>
    <w:sdtContent>
      <w:p w14:paraId="33009123" w14:textId="10630780" w:rsidR="00C72A9E" w:rsidRDefault="00C72A9E">
        <w:pPr>
          <w:pStyle w:val="Footer"/>
          <w:jc w:val="center"/>
        </w:pPr>
        <w:r>
          <w:fldChar w:fldCharType="begin"/>
        </w:r>
        <w:r>
          <w:instrText xml:space="preserve"> PAGE   \* MERGEFORMAT </w:instrText>
        </w:r>
        <w:r>
          <w:fldChar w:fldCharType="separate"/>
        </w:r>
        <w:r w:rsidR="002723A9">
          <w:rPr>
            <w:noProof/>
          </w:rPr>
          <w:t>9</w:t>
        </w:r>
        <w:r>
          <w:rPr>
            <w:noProof/>
          </w:rPr>
          <w:fldChar w:fldCharType="end"/>
        </w:r>
      </w:p>
    </w:sdtContent>
  </w:sdt>
  <w:p w14:paraId="2344E82B" w14:textId="77777777" w:rsidR="00C72A9E" w:rsidRDefault="00C72A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4F6CD" w14:textId="5000CEC0" w:rsidR="00C72A9E" w:rsidRDefault="00C72A9E">
    <w:pPr>
      <w:pStyle w:val="Footer"/>
      <w:jc w:val="center"/>
    </w:pPr>
  </w:p>
  <w:p w14:paraId="2CECD3FE" w14:textId="77777777" w:rsidR="00C72A9E" w:rsidRDefault="00C72A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0384B" w14:textId="77777777" w:rsidR="00C72A9E" w:rsidRDefault="00C72A9E" w:rsidP="00322524">
      <w:pPr>
        <w:spacing w:after="0"/>
      </w:pPr>
      <w:r>
        <w:separator/>
      </w:r>
    </w:p>
  </w:footnote>
  <w:footnote w:type="continuationSeparator" w:id="0">
    <w:p w14:paraId="2544ED1A" w14:textId="77777777" w:rsidR="00C72A9E" w:rsidRDefault="00C72A9E" w:rsidP="00322524">
      <w:pPr>
        <w:spacing w:after="0"/>
      </w:pPr>
      <w:r>
        <w:continuationSeparator/>
      </w:r>
    </w:p>
  </w:footnote>
  <w:footnote w:type="continuationNotice" w:id="1">
    <w:p w14:paraId="62739EA9" w14:textId="77777777" w:rsidR="00C72A9E" w:rsidRDefault="00C72A9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B7A65"/>
    <w:multiLevelType w:val="multilevel"/>
    <w:tmpl w:val="AF0CFF8A"/>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F176E2C"/>
    <w:multiLevelType w:val="multilevel"/>
    <w:tmpl w:val="B5A2921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
    <w:nsid w:val="28EE6A38"/>
    <w:multiLevelType w:val="hybridMultilevel"/>
    <w:tmpl w:val="54D019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nsid w:val="38C52504"/>
    <w:multiLevelType w:val="hybridMultilevel"/>
    <w:tmpl w:val="35E4C2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F950960"/>
    <w:multiLevelType w:val="multilevel"/>
    <w:tmpl w:val="AD1C7528"/>
    <w:name w:val="DotPointList"/>
    <w:lvl w:ilvl="0">
      <w:start w:val="1"/>
      <w:numFmt w:val="bullet"/>
      <w:lvlRestart w:val="0"/>
      <w:pStyle w:val="dotpoint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6">
    <w:nsid w:val="67A43C0B"/>
    <w:multiLevelType w:val="multilevel"/>
    <w:tmpl w:val="4344F31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6AB3E32"/>
    <w:multiLevelType w:val="hybridMultilevel"/>
    <w:tmpl w:val="F8044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2"/>
  </w:num>
  <w:num w:numId="6">
    <w:abstractNumId w:val="3"/>
  </w:num>
  <w:num w:numId="7">
    <w:abstractNumId w:val="3"/>
  </w:num>
  <w:num w:numId="8">
    <w:abstractNumId w:val="4"/>
  </w:num>
  <w:num w:numId="9">
    <w:abstractNumId w:val="7"/>
  </w:num>
  <w:num w:numId="10">
    <w:abstractNumId w:val="1"/>
  </w:num>
  <w:num w:numId="11">
    <w:abstractNumId w:val="1"/>
  </w:num>
  <w:num w:numId="12">
    <w:abstractNumId w:val="1"/>
  </w:num>
  <w:num w:numId="13">
    <w:abstractNumId w:val="5"/>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asmus, Nicolle">
    <w15:presenceInfo w15:providerId="None" w15:userId="Erasmus, Nicolle"/>
  </w15:person>
  <w15:person w15:author="O'Neill, Stephanie">
    <w15:presenceInfo w15:providerId="None" w15:userId="O'Neill, Stephan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noTabHangInd/>
    <w:noColumnBalance/>
    <w:suppressBottomSpacing/>
    <w:suppressTopSpacing/>
    <w:suppressSpBfAfterPgBrk/>
    <w:noSpaceRaiseLower/>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16A"/>
    <w:rsid w:val="000117BF"/>
    <w:rsid w:val="000331D9"/>
    <w:rsid w:val="00034A6D"/>
    <w:rsid w:val="00036647"/>
    <w:rsid w:val="00036AB2"/>
    <w:rsid w:val="00041F4D"/>
    <w:rsid w:val="000826C5"/>
    <w:rsid w:val="00085ED0"/>
    <w:rsid w:val="0008617C"/>
    <w:rsid w:val="000C65C7"/>
    <w:rsid w:val="00120F60"/>
    <w:rsid w:val="001641C8"/>
    <w:rsid w:val="001804B6"/>
    <w:rsid w:val="00187534"/>
    <w:rsid w:val="001973FE"/>
    <w:rsid w:val="001A1A08"/>
    <w:rsid w:val="001E2348"/>
    <w:rsid w:val="00200CFC"/>
    <w:rsid w:val="0025393D"/>
    <w:rsid w:val="0025398A"/>
    <w:rsid w:val="00256AB0"/>
    <w:rsid w:val="002652CA"/>
    <w:rsid w:val="002723A9"/>
    <w:rsid w:val="002821CD"/>
    <w:rsid w:val="0029055E"/>
    <w:rsid w:val="00294DA8"/>
    <w:rsid w:val="002A7B9B"/>
    <w:rsid w:val="002D1C7A"/>
    <w:rsid w:val="002F5000"/>
    <w:rsid w:val="00317816"/>
    <w:rsid w:val="00322524"/>
    <w:rsid w:val="003247DA"/>
    <w:rsid w:val="00397A4C"/>
    <w:rsid w:val="003E5151"/>
    <w:rsid w:val="003F1A26"/>
    <w:rsid w:val="003F38B6"/>
    <w:rsid w:val="003F69B8"/>
    <w:rsid w:val="00416AAA"/>
    <w:rsid w:val="0042023C"/>
    <w:rsid w:val="004337D3"/>
    <w:rsid w:val="00444141"/>
    <w:rsid w:val="0047378B"/>
    <w:rsid w:val="00486462"/>
    <w:rsid w:val="00496829"/>
    <w:rsid w:val="004B524C"/>
    <w:rsid w:val="004C015A"/>
    <w:rsid w:val="004C1A8D"/>
    <w:rsid w:val="004F1076"/>
    <w:rsid w:val="00503EF5"/>
    <w:rsid w:val="005159D2"/>
    <w:rsid w:val="00544551"/>
    <w:rsid w:val="005B529D"/>
    <w:rsid w:val="005C315B"/>
    <w:rsid w:val="005D5818"/>
    <w:rsid w:val="005E19E7"/>
    <w:rsid w:val="005E25E2"/>
    <w:rsid w:val="00622279"/>
    <w:rsid w:val="0063640F"/>
    <w:rsid w:val="0065525D"/>
    <w:rsid w:val="00664150"/>
    <w:rsid w:val="00692E63"/>
    <w:rsid w:val="006C24F7"/>
    <w:rsid w:val="006C616A"/>
    <w:rsid w:val="006D7C2B"/>
    <w:rsid w:val="006E4B80"/>
    <w:rsid w:val="00701B8D"/>
    <w:rsid w:val="00716CF5"/>
    <w:rsid w:val="00722633"/>
    <w:rsid w:val="0073444B"/>
    <w:rsid w:val="00735C5C"/>
    <w:rsid w:val="00753962"/>
    <w:rsid w:val="0076021D"/>
    <w:rsid w:val="00767AE1"/>
    <w:rsid w:val="00791942"/>
    <w:rsid w:val="007A224C"/>
    <w:rsid w:val="007A3B5F"/>
    <w:rsid w:val="007A71C1"/>
    <w:rsid w:val="007B40C1"/>
    <w:rsid w:val="007F185A"/>
    <w:rsid w:val="0080751E"/>
    <w:rsid w:val="00880DA2"/>
    <w:rsid w:val="008974F0"/>
    <w:rsid w:val="008A3A1B"/>
    <w:rsid w:val="008F0120"/>
    <w:rsid w:val="008F5B93"/>
    <w:rsid w:val="0095296A"/>
    <w:rsid w:val="009629A5"/>
    <w:rsid w:val="00966106"/>
    <w:rsid w:val="00986E28"/>
    <w:rsid w:val="009A2001"/>
    <w:rsid w:val="009A24E0"/>
    <w:rsid w:val="009A6977"/>
    <w:rsid w:val="009D35AC"/>
    <w:rsid w:val="009D75AA"/>
    <w:rsid w:val="00A03AF2"/>
    <w:rsid w:val="00A11996"/>
    <w:rsid w:val="00A32B49"/>
    <w:rsid w:val="00A40AB3"/>
    <w:rsid w:val="00A41D19"/>
    <w:rsid w:val="00A800B5"/>
    <w:rsid w:val="00AA5150"/>
    <w:rsid w:val="00AB1B93"/>
    <w:rsid w:val="00AD03A6"/>
    <w:rsid w:val="00AE4435"/>
    <w:rsid w:val="00B20BBC"/>
    <w:rsid w:val="00BA6AFA"/>
    <w:rsid w:val="00BC738E"/>
    <w:rsid w:val="00BF29D0"/>
    <w:rsid w:val="00C213F2"/>
    <w:rsid w:val="00C30A9D"/>
    <w:rsid w:val="00C4210D"/>
    <w:rsid w:val="00C45388"/>
    <w:rsid w:val="00C46C22"/>
    <w:rsid w:val="00C51A8D"/>
    <w:rsid w:val="00C70775"/>
    <w:rsid w:val="00C72A9E"/>
    <w:rsid w:val="00CB6772"/>
    <w:rsid w:val="00CC66B0"/>
    <w:rsid w:val="00D048D4"/>
    <w:rsid w:val="00D11A44"/>
    <w:rsid w:val="00D255DC"/>
    <w:rsid w:val="00D30D31"/>
    <w:rsid w:val="00D3322F"/>
    <w:rsid w:val="00D37DA5"/>
    <w:rsid w:val="00D71138"/>
    <w:rsid w:val="00D76226"/>
    <w:rsid w:val="00D81AD6"/>
    <w:rsid w:val="00D9258A"/>
    <w:rsid w:val="00D954E3"/>
    <w:rsid w:val="00DB36CC"/>
    <w:rsid w:val="00DC4099"/>
    <w:rsid w:val="00DF2EAC"/>
    <w:rsid w:val="00E058FB"/>
    <w:rsid w:val="00E24FB9"/>
    <w:rsid w:val="00E31548"/>
    <w:rsid w:val="00E34441"/>
    <w:rsid w:val="00E56C66"/>
    <w:rsid w:val="00EB58AC"/>
    <w:rsid w:val="00ED2B1A"/>
    <w:rsid w:val="00ED6A88"/>
    <w:rsid w:val="00EE288F"/>
    <w:rsid w:val="00EF57D1"/>
    <w:rsid w:val="00F27FB0"/>
    <w:rsid w:val="00F30EB3"/>
    <w:rsid w:val="00F40383"/>
    <w:rsid w:val="00F73FD5"/>
    <w:rsid w:val="00F8088A"/>
    <w:rsid w:val="00F8574E"/>
    <w:rsid w:val="00FA788D"/>
    <w:rsid w:val="00FC3F63"/>
    <w:rsid w:val="00FE4D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6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524"/>
    <w:pPr>
      <w:spacing w:after="240"/>
    </w:pPr>
    <w:rPr>
      <w:color w:val="000000" w:themeColor="text1"/>
      <w:sz w:val="24"/>
    </w:rPr>
  </w:style>
  <w:style w:type="paragraph" w:styleId="Heading1">
    <w:name w:val="heading 1"/>
    <w:basedOn w:val="Normal"/>
    <w:next w:val="Normal"/>
    <w:qFormat/>
    <w:pPr>
      <w:keepNext/>
      <w:spacing w:before="240" w:after="360"/>
      <w:outlineLvl w:val="0"/>
    </w:pPr>
    <w:rPr>
      <w:b/>
      <w:caps/>
      <w:sz w:val="28"/>
    </w:rPr>
  </w:style>
  <w:style w:type="paragraph" w:styleId="Heading2">
    <w:name w:val="heading 2"/>
    <w:basedOn w:val="Heading6"/>
    <w:next w:val="Normal"/>
    <w:qFormat/>
    <w:rsid w:val="00322524"/>
    <w:pPr>
      <w:tabs>
        <w:tab w:val="right" w:pos="9072"/>
      </w:tabs>
      <w:spacing w:before="0"/>
      <w:outlineLvl w:val="1"/>
    </w:pPr>
  </w:style>
  <w:style w:type="paragraph" w:styleId="Heading3">
    <w:name w:val="heading 3"/>
    <w:basedOn w:val="Normal"/>
    <w:next w:val="Normal"/>
    <w:qFormat/>
    <w:rsid w:val="00322524"/>
    <w:pPr>
      <w:keepNext/>
      <w:spacing w:before="240" w:after="120"/>
      <w:outlineLvl w:val="2"/>
    </w:pPr>
    <w:rPr>
      <w:b/>
    </w:rPr>
  </w:style>
  <w:style w:type="paragraph" w:styleId="Heading4">
    <w:name w:val="heading 4"/>
    <w:basedOn w:val="Normal"/>
    <w:next w:val="Normal"/>
    <w:qFormat/>
    <w:pPr>
      <w:keepNext/>
      <w:outlineLvl w:val="3"/>
    </w:pPr>
    <w:rPr>
      <w:i/>
      <w:sz w:val="20"/>
    </w:rPr>
  </w:style>
  <w:style w:type="paragraph" w:styleId="Heading6">
    <w:name w:val="heading 6"/>
    <w:basedOn w:val="Normal"/>
    <w:next w:val="Normal"/>
    <w:qFormat/>
    <w:pPr>
      <w:keepNext/>
      <w:spacing w:before="240"/>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style>
  <w:style w:type="paragraph" w:customStyle="1" w:styleId="ChartMainHeading">
    <w:name w:val="Chart Main Heading"/>
    <w:basedOn w:val="SingleParagraph"/>
    <w:next w:val="Normal"/>
    <w:pPr>
      <w:jc w:val="center"/>
    </w:pPr>
    <w:rPr>
      <w:b/>
      <w:caps/>
    </w:rPr>
  </w:style>
  <w:style w:type="paragraph" w:customStyle="1" w:styleId="ChartSecondHeading">
    <w:name w:val="Chart Second Heading"/>
    <w:basedOn w:val="SingleParagraph"/>
    <w:next w:val="Normal"/>
    <w:pPr>
      <w:jc w:val="center"/>
    </w:pPr>
    <w:rPr>
      <w:b/>
    </w:rPr>
  </w:style>
  <w:style w:type="paragraph" w:customStyle="1" w:styleId="TableMainHeading">
    <w:name w:val="Table Main Heading"/>
    <w:basedOn w:val="Heading2"/>
    <w:next w:val="Normal"/>
    <w:pPr>
      <w:spacing w:before="240"/>
      <w:outlineLvl w:val="9"/>
    </w:pPr>
    <w:rPr>
      <w:rFonts w:ascii="Helvetica" w:hAnsi="Helvetica"/>
      <w:b/>
      <w:caps/>
      <w:spacing w:val="30"/>
      <w:sz w:val="22"/>
    </w:rPr>
  </w:style>
  <w:style w:type="paragraph" w:styleId="Header">
    <w:name w:val="header"/>
    <w:basedOn w:val="Normal"/>
    <w:link w:val="HeaderChar"/>
    <w:uiPriority w:val="99"/>
    <w:unhideWhenUsed/>
    <w:rsid w:val="00322524"/>
    <w:pPr>
      <w:tabs>
        <w:tab w:val="center" w:pos="4513"/>
        <w:tab w:val="right" w:pos="9026"/>
      </w:tabs>
      <w:spacing w:after="0"/>
    </w:pPr>
  </w:style>
  <w:style w:type="character" w:customStyle="1" w:styleId="HeaderChar">
    <w:name w:val="Header Char"/>
    <w:basedOn w:val="DefaultParagraphFont"/>
    <w:link w:val="Header"/>
    <w:uiPriority w:val="99"/>
    <w:rsid w:val="00322524"/>
    <w:rPr>
      <w:color w:val="000000" w:themeColor="text1"/>
      <w:sz w:val="24"/>
    </w:rPr>
  </w:style>
  <w:style w:type="paragraph" w:styleId="Footer">
    <w:name w:val="footer"/>
    <w:basedOn w:val="Normal"/>
    <w:link w:val="FooterChar"/>
    <w:uiPriority w:val="99"/>
    <w:unhideWhenUsed/>
    <w:rsid w:val="00322524"/>
    <w:pPr>
      <w:tabs>
        <w:tab w:val="center" w:pos="4513"/>
        <w:tab w:val="right" w:pos="9026"/>
      </w:tabs>
      <w:spacing w:after="0"/>
    </w:pPr>
  </w:style>
  <w:style w:type="character" w:customStyle="1" w:styleId="FooterChar">
    <w:name w:val="Footer Char"/>
    <w:basedOn w:val="DefaultParagraphFont"/>
    <w:link w:val="Footer"/>
    <w:uiPriority w:val="99"/>
    <w:rsid w:val="00322524"/>
    <w:rPr>
      <w:color w:val="000000" w:themeColor="text1"/>
      <w:sz w:val="24"/>
    </w:rPr>
  </w:style>
  <w:style w:type="paragraph" w:styleId="NormalWeb">
    <w:name w:val="Normal (Web)"/>
    <w:basedOn w:val="Normal"/>
    <w:uiPriority w:val="99"/>
    <w:semiHidden/>
    <w:unhideWhenUsed/>
    <w:rsid w:val="00322524"/>
    <w:rPr>
      <w:szCs w:val="24"/>
    </w:rPr>
  </w:style>
  <w:style w:type="paragraph" w:customStyle="1" w:styleId="Bullet">
    <w:name w:val="Bullet"/>
    <w:basedOn w:val="Normal"/>
    <w:link w:val="BulletChar"/>
    <w:rsid w:val="001804B6"/>
    <w:pPr>
      <w:numPr>
        <w:numId w:val="1"/>
      </w:numPr>
      <w:spacing w:after="120"/>
    </w:pPr>
    <w:rPr>
      <w:rFonts w:ascii="Arial" w:eastAsiaTheme="minorHAnsi" w:hAnsi="Arial" w:cs="Arial"/>
      <w:color w:val="FF0000"/>
      <w:szCs w:val="24"/>
      <w:lang w:eastAsia="en-US"/>
    </w:rPr>
  </w:style>
  <w:style w:type="character" w:customStyle="1" w:styleId="BulletChar">
    <w:name w:val="Bullet Char"/>
    <w:basedOn w:val="DefaultParagraphFont"/>
    <w:link w:val="Bullet"/>
    <w:rsid w:val="001804B6"/>
    <w:rPr>
      <w:rFonts w:ascii="Arial" w:eastAsiaTheme="minorHAnsi" w:hAnsi="Arial" w:cs="Arial"/>
      <w:color w:val="FF0000"/>
      <w:sz w:val="24"/>
      <w:szCs w:val="24"/>
      <w:lang w:eastAsia="en-US"/>
    </w:rPr>
  </w:style>
  <w:style w:type="paragraph" w:customStyle="1" w:styleId="Dash">
    <w:name w:val="Dash"/>
    <w:basedOn w:val="Normal"/>
    <w:link w:val="DashChar"/>
    <w:rsid w:val="001804B6"/>
    <w:pPr>
      <w:numPr>
        <w:ilvl w:val="1"/>
        <w:numId w:val="1"/>
      </w:numPr>
      <w:spacing w:before="60" w:after="60"/>
    </w:pPr>
    <w:rPr>
      <w:rFonts w:ascii="Arial" w:eastAsiaTheme="minorHAnsi" w:hAnsi="Arial" w:cs="Arial"/>
      <w:color w:val="FF0000"/>
      <w:szCs w:val="24"/>
      <w:lang w:eastAsia="en-US"/>
    </w:rPr>
  </w:style>
  <w:style w:type="character" w:customStyle="1" w:styleId="DashChar">
    <w:name w:val="Dash Char"/>
    <w:basedOn w:val="DefaultParagraphFont"/>
    <w:link w:val="Dash"/>
    <w:rsid w:val="001804B6"/>
    <w:rPr>
      <w:rFonts w:ascii="Arial" w:eastAsiaTheme="minorHAnsi" w:hAnsi="Arial" w:cs="Arial"/>
      <w:color w:val="FF0000"/>
      <w:sz w:val="24"/>
      <w:szCs w:val="24"/>
      <w:lang w:eastAsia="en-US"/>
    </w:rPr>
  </w:style>
  <w:style w:type="paragraph" w:customStyle="1" w:styleId="DoubleDot">
    <w:name w:val="Double Dot"/>
    <w:basedOn w:val="Normal"/>
    <w:rsid w:val="001804B6"/>
    <w:pPr>
      <w:numPr>
        <w:ilvl w:val="2"/>
        <w:numId w:val="1"/>
      </w:numPr>
      <w:spacing w:after="300" w:line="360" w:lineRule="auto"/>
    </w:pPr>
    <w:rPr>
      <w:rFonts w:ascii="Arial" w:eastAsiaTheme="minorHAnsi" w:hAnsi="Arial" w:cs="Arial"/>
      <w:color w:val="FF0000"/>
      <w:szCs w:val="24"/>
      <w:lang w:eastAsia="en-US"/>
    </w:rPr>
  </w:style>
  <w:style w:type="paragraph" w:styleId="BalloonText">
    <w:name w:val="Balloon Text"/>
    <w:basedOn w:val="Normal"/>
    <w:link w:val="BalloonTextChar"/>
    <w:uiPriority w:val="99"/>
    <w:semiHidden/>
    <w:unhideWhenUsed/>
    <w:rsid w:val="00A800B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0B5"/>
    <w:rPr>
      <w:rFonts w:ascii="Tahoma" w:hAnsi="Tahoma" w:cs="Tahoma"/>
      <w:color w:val="000000" w:themeColor="text1"/>
      <w:sz w:val="16"/>
      <w:szCs w:val="16"/>
    </w:rPr>
  </w:style>
  <w:style w:type="character" w:styleId="Hyperlink">
    <w:name w:val="Hyperlink"/>
    <w:basedOn w:val="DefaultParagraphFont"/>
    <w:uiPriority w:val="99"/>
    <w:unhideWhenUsed/>
    <w:rsid w:val="00C213F2"/>
    <w:rPr>
      <w:color w:val="0000FF" w:themeColor="hyperlink"/>
      <w:u w:val="single"/>
    </w:rPr>
  </w:style>
  <w:style w:type="character" w:styleId="FollowedHyperlink">
    <w:name w:val="FollowedHyperlink"/>
    <w:basedOn w:val="DefaultParagraphFont"/>
    <w:uiPriority w:val="99"/>
    <w:semiHidden/>
    <w:unhideWhenUsed/>
    <w:rsid w:val="008F0120"/>
    <w:rPr>
      <w:color w:val="800080" w:themeColor="followedHyperlink"/>
      <w:u w:val="single"/>
    </w:rPr>
  </w:style>
  <w:style w:type="paragraph" w:customStyle="1" w:styleId="Dotpoint">
    <w:name w:val="Dot point"/>
    <w:basedOn w:val="Normal"/>
    <w:rsid w:val="003F69B8"/>
    <w:pPr>
      <w:numPr>
        <w:numId w:val="2"/>
      </w:numPr>
      <w:tabs>
        <w:tab w:val="left" w:pos="851"/>
      </w:tabs>
      <w:spacing w:before="120" w:after="120"/>
    </w:pPr>
    <w:rPr>
      <w:color w:val="auto"/>
    </w:rPr>
  </w:style>
  <w:style w:type="table" w:styleId="TableGrid">
    <w:name w:val="Table Grid"/>
    <w:basedOn w:val="TableNormal"/>
    <w:uiPriority w:val="59"/>
    <w:rsid w:val="00C45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umbered1">
    <w:name w:val="Outline Numbered 1"/>
    <w:basedOn w:val="Normal"/>
    <w:link w:val="OutlineNumbered1Char"/>
    <w:rsid w:val="00C45388"/>
    <w:pPr>
      <w:numPr>
        <w:numId w:val="4"/>
      </w:numPr>
      <w:spacing w:before="120" w:after="120"/>
    </w:pPr>
    <w:rPr>
      <w:rFonts w:ascii="Arial" w:eastAsiaTheme="minorHAnsi" w:hAnsi="Arial" w:cs="Arial"/>
      <w:color w:val="000000"/>
      <w:szCs w:val="23"/>
      <w:lang w:eastAsia="en-US"/>
    </w:rPr>
  </w:style>
  <w:style w:type="character" w:customStyle="1" w:styleId="OutlineNumbered1Char">
    <w:name w:val="Outline Numbered 1 Char"/>
    <w:basedOn w:val="BulletChar"/>
    <w:link w:val="OutlineNumbered1"/>
    <w:rsid w:val="00C45388"/>
    <w:rPr>
      <w:rFonts w:ascii="Arial" w:eastAsiaTheme="minorHAnsi" w:hAnsi="Arial" w:cs="Arial"/>
      <w:color w:val="000000"/>
      <w:sz w:val="24"/>
      <w:szCs w:val="23"/>
      <w:lang w:eastAsia="en-US"/>
    </w:rPr>
  </w:style>
  <w:style w:type="paragraph" w:customStyle="1" w:styleId="OutlineNumbered2">
    <w:name w:val="Outline Numbered 2"/>
    <w:basedOn w:val="Normal"/>
    <w:rsid w:val="00C45388"/>
    <w:pPr>
      <w:numPr>
        <w:ilvl w:val="1"/>
        <w:numId w:val="4"/>
      </w:numPr>
      <w:spacing w:before="120" w:after="120"/>
    </w:pPr>
    <w:rPr>
      <w:color w:val="000000"/>
      <w:szCs w:val="23"/>
    </w:rPr>
  </w:style>
  <w:style w:type="paragraph" w:customStyle="1" w:styleId="OutlineNumbered3">
    <w:name w:val="Outline Numbered 3"/>
    <w:basedOn w:val="Normal"/>
    <w:rsid w:val="00C45388"/>
    <w:pPr>
      <w:numPr>
        <w:ilvl w:val="2"/>
        <w:numId w:val="4"/>
      </w:numPr>
      <w:spacing w:before="120" w:after="120"/>
    </w:pPr>
    <w:rPr>
      <w:color w:val="000000"/>
      <w:szCs w:val="23"/>
    </w:rPr>
  </w:style>
  <w:style w:type="paragraph" w:styleId="ListParagraph">
    <w:name w:val="List Paragraph"/>
    <w:basedOn w:val="Normal"/>
    <w:uiPriority w:val="34"/>
    <w:qFormat/>
    <w:rsid w:val="00C45388"/>
    <w:pPr>
      <w:ind w:left="720"/>
      <w:contextualSpacing/>
    </w:pPr>
  </w:style>
  <w:style w:type="character" w:styleId="CommentReference">
    <w:name w:val="annotation reference"/>
    <w:basedOn w:val="DefaultParagraphFont"/>
    <w:uiPriority w:val="99"/>
    <w:semiHidden/>
    <w:unhideWhenUsed/>
    <w:rsid w:val="00486462"/>
    <w:rPr>
      <w:sz w:val="16"/>
      <w:szCs w:val="16"/>
    </w:rPr>
  </w:style>
  <w:style w:type="paragraph" w:styleId="CommentText">
    <w:name w:val="annotation text"/>
    <w:basedOn w:val="Normal"/>
    <w:link w:val="CommentTextChar"/>
    <w:uiPriority w:val="99"/>
    <w:semiHidden/>
    <w:unhideWhenUsed/>
    <w:rsid w:val="00486462"/>
    <w:rPr>
      <w:sz w:val="20"/>
    </w:rPr>
  </w:style>
  <w:style w:type="character" w:customStyle="1" w:styleId="CommentTextChar">
    <w:name w:val="Comment Text Char"/>
    <w:basedOn w:val="DefaultParagraphFont"/>
    <w:link w:val="CommentText"/>
    <w:uiPriority w:val="99"/>
    <w:semiHidden/>
    <w:rsid w:val="00486462"/>
    <w:rPr>
      <w:color w:val="000000" w:themeColor="text1"/>
    </w:rPr>
  </w:style>
  <w:style w:type="paragraph" w:styleId="CommentSubject">
    <w:name w:val="annotation subject"/>
    <w:basedOn w:val="CommentText"/>
    <w:next w:val="CommentText"/>
    <w:link w:val="CommentSubjectChar"/>
    <w:uiPriority w:val="99"/>
    <w:semiHidden/>
    <w:unhideWhenUsed/>
    <w:rsid w:val="00486462"/>
    <w:rPr>
      <w:b/>
      <w:bCs/>
    </w:rPr>
  </w:style>
  <w:style w:type="character" w:customStyle="1" w:styleId="CommentSubjectChar">
    <w:name w:val="Comment Subject Char"/>
    <w:basedOn w:val="CommentTextChar"/>
    <w:link w:val="CommentSubject"/>
    <w:uiPriority w:val="99"/>
    <w:semiHidden/>
    <w:rsid w:val="00486462"/>
    <w:rPr>
      <w:b/>
      <w:bCs/>
      <w:color w:val="000000" w:themeColor="text1"/>
    </w:rPr>
  </w:style>
  <w:style w:type="paragraph" w:customStyle="1" w:styleId="dotpoint0">
    <w:name w:val="dot point"/>
    <w:basedOn w:val="Normal"/>
    <w:rsid w:val="00DF2EAC"/>
    <w:pPr>
      <w:numPr>
        <w:numId w:val="13"/>
      </w:numPr>
      <w:spacing w:before="120" w:after="120"/>
    </w:pPr>
    <w:rPr>
      <w:color w:val="auto"/>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524"/>
    <w:pPr>
      <w:spacing w:after="240"/>
    </w:pPr>
    <w:rPr>
      <w:color w:val="000000" w:themeColor="text1"/>
      <w:sz w:val="24"/>
    </w:rPr>
  </w:style>
  <w:style w:type="paragraph" w:styleId="Heading1">
    <w:name w:val="heading 1"/>
    <w:basedOn w:val="Normal"/>
    <w:next w:val="Normal"/>
    <w:qFormat/>
    <w:pPr>
      <w:keepNext/>
      <w:spacing w:before="240" w:after="360"/>
      <w:outlineLvl w:val="0"/>
    </w:pPr>
    <w:rPr>
      <w:b/>
      <w:caps/>
      <w:sz w:val="28"/>
    </w:rPr>
  </w:style>
  <w:style w:type="paragraph" w:styleId="Heading2">
    <w:name w:val="heading 2"/>
    <w:basedOn w:val="Heading6"/>
    <w:next w:val="Normal"/>
    <w:qFormat/>
    <w:rsid w:val="00322524"/>
    <w:pPr>
      <w:tabs>
        <w:tab w:val="right" w:pos="9072"/>
      </w:tabs>
      <w:spacing w:before="0"/>
      <w:outlineLvl w:val="1"/>
    </w:pPr>
  </w:style>
  <w:style w:type="paragraph" w:styleId="Heading3">
    <w:name w:val="heading 3"/>
    <w:basedOn w:val="Normal"/>
    <w:next w:val="Normal"/>
    <w:qFormat/>
    <w:rsid w:val="00322524"/>
    <w:pPr>
      <w:keepNext/>
      <w:spacing w:before="240" w:after="120"/>
      <w:outlineLvl w:val="2"/>
    </w:pPr>
    <w:rPr>
      <w:b/>
    </w:rPr>
  </w:style>
  <w:style w:type="paragraph" w:styleId="Heading4">
    <w:name w:val="heading 4"/>
    <w:basedOn w:val="Normal"/>
    <w:next w:val="Normal"/>
    <w:qFormat/>
    <w:pPr>
      <w:keepNext/>
      <w:outlineLvl w:val="3"/>
    </w:pPr>
    <w:rPr>
      <w:i/>
      <w:sz w:val="20"/>
    </w:rPr>
  </w:style>
  <w:style w:type="paragraph" w:styleId="Heading6">
    <w:name w:val="heading 6"/>
    <w:basedOn w:val="Normal"/>
    <w:next w:val="Normal"/>
    <w:qFormat/>
    <w:pPr>
      <w:keepNext/>
      <w:spacing w:before="240"/>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style>
  <w:style w:type="paragraph" w:customStyle="1" w:styleId="ChartMainHeading">
    <w:name w:val="Chart Main Heading"/>
    <w:basedOn w:val="SingleParagraph"/>
    <w:next w:val="Normal"/>
    <w:pPr>
      <w:jc w:val="center"/>
    </w:pPr>
    <w:rPr>
      <w:b/>
      <w:caps/>
    </w:rPr>
  </w:style>
  <w:style w:type="paragraph" w:customStyle="1" w:styleId="ChartSecondHeading">
    <w:name w:val="Chart Second Heading"/>
    <w:basedOn w:val="SingleParagraph"/>
    <w:next w:val="Normal"/>
    <w:pPr>
      <w:jc w:val="center"/>
    </w:pPr>
    <w:rPr>
      <w:b/>
    </w:rPr>
  </w:style>
  <w:style w:type="paragraph" w:customStyle="1" w:styleId="TableMainHeading">
    <w:name w:val="Table Main Heading"/>
    <w:basedOn w:val="Heading2"/>
    <w:next w:val="Normal"/>
    <w:pPr>
      <w:spacing w:before="240"/>
      <w:outlineLvl w:val="9"/>
    </w:pPr>
    <w:rPr>
      <w:rFonts w:ascii="Helvetica" w:hAnsi="Helvetica"/>
      <w:b/>
      <w:caps/>
      <w:spacing w:val="30"/>
      <w:sz w:val="22"/>
    </w:rPr>
  </w:style>
  <w:style w:type="paragraph" w:styleId="Header">
    <w:name w:val="header"/>
    <w:basedOn w:val="Normal"/>
    <w:link w:val="HeaderChar"/>
    <w:uiPriority w:val="99"/>
    <w:unhideWhenUsed/>
    <w:rsid w:val="00322524"/>
    <w:pPr>
      <w:tabs>
        <w:tab w:val="center" w:pos="4513"/>
        <w:tab w:val="right" w:pos="9026"/>
      </w:tabs>
      <w:spacing w:after="0"/>
    </w:pPr>
  </w:style>
  <w:style w:type="character" w:customStyle="1" w:styleId="HeaderChar">
    <w:name w:val="Header Char"/>
    <w:basedOn w:val="DefaultParagraphFont"/>
    <w:link w:val="Header"/>
    <w:uiPriority w:val="99"/>
    <w:rsid w:val="00322524"/>
    <w:rPr>
      <w:color w:val="000000" w:themeColor="text1"/>
      <w:sz w:val="24"/>
    </w:rPr>
  </w:style>
  <w:style w:type="paragraph" w:styleId="Footer">
    <w:name w:val="footer"/>
    <w:basedOn w:val="Normal"/>
    <w:link w:val="FooterChar"/>
    <w:uiPriority w:val="99"/>
    <w:unhideWhenUsed/>
    <w:rsid w:val="00322524"/>
    <w:pPr>
      <w:tabs>
        <w:tab w:val="center" w:pos="4513"/>
        <w:tab w:val="right" w:pos="9026"/>
      </w:tabs>
      <w:spacing w:after="0"/>
    </w:pPr>
  </w:style>
  <w:style w:type="character" w:customStyle="1" w:styleId="FooterChar">
    <w:name w:val="Footer Char"/>
    <w:basedOn w:val="DefaultParagraphFont"/>
    <w:link w:val="Footer"/>
    <w:uiPriority w:val="99"/>
    <w:rsid w:val="00322524"/>
    <w:rPr>
      <w:color w:val="000000" w:themeColor="text1"/>
      <w:sz w:val="24"/>
    </w:rPr>
  </w:style>
  <w:style w:type="paragraph" w:styleId="NormalWeb">
    <w:name w:val="Normal (Web)"/>
    <w:basedOn w:val="Normal"/>
    <w:uiPriority w:val="99"/>
    <w:semiHidden/>
    <w:unhideWhenUsed/>
    <w:rsid w:val="00322524"/>
    <w:rPr>
      <w:szCs w:val="24"/>
    </w:rPr>
  </w:style>
  <w:style w:type="paragraph" w:customStyle="1" w:styleId="Bullet">
    <w:name w:val="Bullet"/>
    <w:basedOn w:val="Normal"/>
    <w:link w:val="BulletChar"/>
    <w:rsid w:val="001804B6"/>
    <w:pPr>
      <w:numPr>
        <w:numId w:val="1"/>
      </w:numPr>
      <w:spacing w:after="120"/>
    </w:pPr>
    <w:rPr>
      <w:rFonts w:ascii="Arial" w:eastAsiaTheme="minorHAnsi" w:hAnsi="Arial" w:cs="Arial"/>
      <w:color w:val="FF0000"/>
      <w:szCs w:val="24"/>
      <w:lang w:eastAsia="en-US"/>
    </w:rPr>
  </w:style>
  <w:style w:type="character" w:customStyle="1" w:styleId="BulletChar">
    <w:name w:val="Bullet Char"/>
    <w:basedOn w:val="DefaultParagraphFont"/>
    <w:link w:val="Bullet"/>
    <w:rsid w:val="001804B6"/>
    <w:rPr>
      <w:rFonts w:ascii="Arial" w:eastAsiaTheme="minorHAnsi" w:hAnsi="Arial" w:cs="Arial"/>
      <w:color w:val="FF0000"/>
      <w:sz w:val="24"/>
      <w:szCs w:val="24"/>
      <w:lang w:eastAsia="en-US"/>
    </w:rPr>
  </w:style>
  <w:style w:type="paragraph" w:customStyle="1" w:styleId="Dash">
    <w:name w:val="Dash"/>
    <w:basedOn w:val="Normal"/>
    <w:link w:val="DashChar"/>
    <w:rsid w:val="001804B6"/>
    <w:pPr>
      <w:numPr>
        <w:ilvl w:val="1"/>
        <w:numId w:val="1"/>
      </w:numPr>
      <w:spacing w:before="60" w:after="60"/>
    </w:pPr>
    <w:rPr>
      <w:rFonts w:ascii="Arial" w:eastAsiaTheme="minorHAnsi" w:hAnsi="Arial" w:cs="Arial"/>
      <w:color w:val="FF0000"/>
      <w:szCs w:val="24"/>
      <w:lang w:eastAsia="en-US"/>
    </w:rPr>
  </w:style>
  <w:style w:type="character" w:customStyle="1" w:styleId="DashChar">
    <w:name w:val="Dash Char"/>
    <w:basedOn w:val="DefaultParagraphFont"/>
    <w:link w:val="Dash"/>
    <w:rsid w:val="001804B6"/>
    <w:rPr>
      <w:rFonts w:ascii="Arial" w:eastAsiaTheme="minorHAnsi" w:hAnsi="Arial" w:cs="Arial"/>
      <w:color w:val="FF0000"/>
      <w:sz w:val="24"/>
      <w:szCs w:val="24"/>
      <w:lang w:eastAsia="en-US"/>
    </w:rPr>
  </w:style>
  <w:style w:type="paragraph" w:customStyle="1" w:styleId="DoubleDot">
    <w:name w:val="Double Dot"/>
    <w:basedOn w:val="Normal"/>
    <w:rsid w:val="001804B6"/>
    <w:pPr>
      <w:numPr>
        <w:ilvl w:val="2"/>
        <w:numId w:val="1"/>
      </w:numPr>
      <w:spacing w:after="300" w:line="360" w:lineRule="auto"/>
    </w:pPr>
    <w:rPr>
      <w:rFonts w:ascii="Arial" w:eastAsiaTheme="minorHAnsi" w:hAnsi="Arial" w:cs="Arial"/>
      <w:color w:val="FF0000"/>
      <w:szCs w:val="24"/>
      <w:lang w:eastAsia="en-US"/>
    </w:rPr>
  </w:style>
  <w:style w:type="paragraph" w:styleId="BalloonText">
    <w:name w:val="Balloon Text"/>
    <w:basedOn w:val="Normal"/>
    <w:link w:val="BalloonTextChar"/>
    <w:uiPriority w:val="99"/>
    <w:semiHidden/>
    <w:unhideWhenUsed/>
    <w:rsid w:val="00A800B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0B5"/>
    <w:rPr>
      <w:rFonts w:ascii="Tahoma" w:hAnsi="Tahoma" w:cs="Tahoma"/>
      <w:color w:val="000000" w:themeColor="text1"/>
      <w:sz w:val="16"/>
      <w:szCs w:val="16"/>
    </w:rPr>
  </w:style>
  <w:style w:type="character" w:styleId="Hyperlink">
    <w:name w:val="Hyperlink"/>
    <w:basedOn w:val="DefaultParagraphFont"/>
    <w:uiPriority w:val="99"/>
    <w:unhideWhenUsed/>
    <w:rsid w:val="00C213F2"/>
    <w:rPr>
      <w:color w:val="0000FF" w:themeColor="hyperlink"/>
      <w:u w:val="single"/>
    </w:rPr>
  </w:style>
  <w:style w:type="character" w:styleId="FollowedHyperlink">
    <w:name w:val="FollowedHyperlink"/>
    <w:basedOn w:val="DefaultParagraphFont"/>
    <w:uiPriority w:val="99"/>
    <w:semiHidden/>
    <w:unhideWhenUsed/>
    <w:rsid w:val="008F0120"/>
    <w:rPr>
      <w:color w:val="800080" w:themeColor="followedHyperlink"/>
      <w:u w:val="single"/>
    </w:rPr>
  </w:style>
  <w:style w:type="paragraph" w:customStyle="1" w:styleId="Dotpoint">
    <w:name w:val="Dot point"/>
    <w:basedOn w:val="Normal"/>
    <w:rsid w:val="003F69B8"/>
    <w:pPr>
      <w:numPr>
        <w:numId w:val="2"/>
      </w:numPr>
      <w:tabs>
        <w:tab w:val="left" w:pos="851"/>
      </w:tabs>
      <w:spacing w:before="120" w:after="120"/>
    </w:pPr>
    <w:rPr>
      <w:color w:val="auto"/>
    </w:rPr>
  </w:style>
  <w:style w:type="table" w:styleId="TableGrid">
    <w:name w:val="Table Grid"/>
    <w:basedOn w:val="TableNormal"/>
    <w:uiPriority w:val="59"/>
    <w:rsid w:val="00C45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umbered1">
    <w:name w:val="Outline Numbered 1"/>
    <w:basedOn w:val="Normal"/>
    <w:link w:val="OutlineNumbered1Char"/>
    <w:rsid w:val="00C45388"/>
    <w:pPr>
      <w:numPr>
        <w:numId w:val="4"/>
      </w:numPr>
      <w:spacing w:before="120" w:after="120"/>
    </w:pPr>
    <w:rPr>
      <w:rFonts w:ascii="Arial" w:eastAsiaTheme="minorHAnsi" w:hAnsi="Arial" w:cs="Arial"/>
      <w:color w:val="000000"/>
      <w:szCs w:val="23"/>
      <w:lang w:eastAsia="en-US"/>
    </w:rPr>
  </w:style>
  <w:style w:type="character" w:customStyle="1" w:styleId="OutlineNumbered1Char">
    <w:name w:val="Outline Numbered 1 Char"/>
    <w:basedOn w:val="BulletChar"/>
    <w:link w:val="OutlineNumbered1"/>
    <w:rsid w:val="00C45388"/>
    <w:rPr>
      <w:rFonts w:ascii="Arial" w:eastAsiaTheme="minorHAnsi" w:hAnsi="Arial" w:cs="Arial"/>
      <w:color w:val="000000"/>
      <w:sz w:val="24"/>
      <w:szCs w:val="23"/>
      <w:lang w:eastAsia="en-US"/>
    </w:rPr>
  </w:style>
  <w:style w:type="paragraph" w:customStyle="1" w:styleId="OutlineNumbered2">
    <w:name w:val="Outline Numbered 2"/>
    <w:basedOn w:val="Normal"/>
    <w:rsid w:val="00C45388"/>
    <w:pPr>
      <w:numPr>
        <w:ilvl w:val="1"/>
        <w:numId w:val="4"/>
      </w:numPr>
      <w:spacing w:before="120" w:after="120"/>
    </w:pPr>
    <w:rPr>
      <w:color w:val="000000"/>
      <w:szCs w:val="23"/>
    </w:rPr>
  </w:style>
  <w:style w:type="paragraph" w:customStyle="1" w:styleId="OutlineNumbered3">
    <w:name w:val="Outline Numbered 3"/>
    <w:basedOn w:val="Normal"/>
    <w:rsid w:val="00C45388"/>
    <w:pPr>
      <w:numPr>
        <w:ilvl w:val="2"/>
        <w:numId w:val="4"/>
      </w:numPr>
      <w:spacing w:before="120" w:after="120"/>
    </w:pPr>
    <w:rPr>
      <w:color w:val="000000"/>
      <w:szCs w:val="23"/>
    </w:rPr>
  </w:style>
  <w:style w:type="paragraph" w:styleId="ListParagraph">
    <w:name w:val="List Paragraph"/>
    <w:basedOn w:val="Normal"/>
    <w:uiPriority w:val="34"/>
    <w:qFormat/>
    <w:rsid w:val="00C45388"/>
    <w:pPr>
      <w:ind w:left="720"/>
      <w:contextualSpacing/>
    </w:pPr>
  </w:style>
  <w:style w:type="character" w:styleId="CommentReference">
    <w:name w:val="annotation reference"/>
    <w:basedOn w:val="DefaultParagraphFont"/>
    <w:uiPriority w:val="99"/>
    <w:semiHidden/>
    <w:unhideWhenUsed/>
    <w:rsid w:val="00486462"/>
    <w:rPr>
      <w:sz w:val="16"/>
      <w:szCs w:val="16"/>
    </w:rPr>
  </w:style>
  <w:style w:type="paragraph" w:styleId="CommentText">
    <w:name w:val="annotation text"/>
    <w:basedOn w:val="Normal"/>
    <w:link w:val="CommentTextChar"/>
    <w:uiPriority w:val="99"/>
    <w:semiHidden/>
    <w:unhideWhenUsed/>
    <w:rsid w:val="00486462"/>
    <w:rPr>
      <w:sz w:val="20"/>
    </w:rPr>
  </w:style>
  <w:style w:type="character" w:customStyle="1" w:styleId="CommentTextChar">
    <w:name w:val="Comment Text Char"/>
    <w:basedOn w:val="DefaultParagraphFont"/>
    <w:link w:val="CommentText"/>
    <w:uiPriority w:val="99"/>
    <w:semiHidden/>
    <w:rsid w:val="00486462"/>
    <w:rPr>
      <w:color w:val="000000" w:themeColor="text1"/>
    </w:rPr>
  </w:style>
  <w:style w:type="paragraph" w:styleId="CommentSubject">
    <w:name w:val="annotation subject"/>
    <w:basedOn w:val="CommentText"/>
    <w:next w:val="CommentText"/>
    <w:link w:val="CommentSubjectChar"/>
    <w:uiPriority w:val="99"/>
    <w:semiHidden/>
    <w:unhideWhenUsed/>
    <w:rsid w:val="00486462"/>
    <w:rPr>
      <w:b/>
      <w:bCs/>
    </w:rPr>
  </w:style>
  <w:style w:type="character" w:customStyle="1" w:styleId="CommentSubjectChar">
    <w:name w:val="Comment Subject Char"/>
    <w:basedOn w:val="CommentTextChar"/>
    <w:link w:val="CommentSubject"/>
    <w:uiPriority w:val="99"/>
    <w:semiHidden/>
    <w:rsid w:val="00486462"/>
    <w:rPr>
      <w:b/>
      <w:bCs/>
      <w:color w:val="000000" w:themeColor="text1"/>
    </w:rPr>
  </w:style>
  <w:style w:type="paragraph" w:customStyle="1" w:styleId="dotpoint0">
    <w:name w:val="dot point"/>
    <w:basedOn w:val="Normal"/>
    <w:rsid w:val="00DF2EAC"/>
    <w:pPr>
      <w:numPr>
        <w:numId w:val="13"/>
      </w:numPr>
      <w:spacing w:before="120" w:after="120"/>
    </w:pPr>
    <w:rPr>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25</Value>
    </TaxCatchAll>
    <_dlc_DocId xmlns="0f563589-9cf9-4143-b1eb-fb0534803d38">2019FG-211-3140</_dlc_DocId>
    <_dlc_DocIdUrl xmlns="0f563589-9cf9-4143-b1eb-fb0534803d38">
      <Url>http://tweb/sites/fg/ripd/prudpolicy/_layouts/15/DocIdRedir.aspx?ID=2019FG-211-3140</Url>
      <Description>2019FG-211-3140</Description>
    </_dlc_DocIdUr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0615997562990B47B421B4CF3B3F29CE" ma:contentTypeVersion="17909" ma:contentTypeDescription="" ma:contentTypeScope="" ma:versionID="75783133bfe01a0cab5ce9199be61a29">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f34746324d97fc97a5e2f24c15e97c9"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7;#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BB72E-DB41-4720-A0CF-9A82D5669333}">
  <ds:schemaRefs>
    <ds:schemaRef ds:uri="http://schemas.microsoft.com/office/2006/metadata/properties"/>
    <ds:schemaRef ds:uri="http://purl.org/dc/elements/1.1/"/>
    <ds:schemaRef ds:uri="http://purl.org/dc/terms/"/>
    <ds:schemaRef ds:uri="http://schemas.microsoft.com/office/2006/documentManagement/types"/>
    <ds:schemaRef ds:uri="http://purl.org/dc/dcmitype/"/>
    <ds:schemaRef ds:uri="e544e5cc-ab70-42e1-849e-1a0f8bb1f4ef"/>
    <ds:schemaRef ds:uri="http://schemas.microsoft.com/sharepoint/v3"/>
    <ds:schemaRef ds:uri="0f563589-9cf9-4143-b1eb-fb0534803d38"/>
    <ds:schemaRef ds:uri="http://www.w3.org/XML/1998/namespace"/>
    <ds:schemaRef ds:uri="http://schemas.microsoft.com/office/infopath/2007/PartnerControls"/>
    <ds:schemaRef ds:uri="http://schemas.openxmlformats.org/package/2006/metadata/core-properties"/>
    <ds:schemaRef ds:uri="http://schemas.microsoft.com/sharepoint/v4"/>
  </ds:schemaRefs>
</ds:datastoreItem>
</file>

<file path=customXml/itemProps2.xml><?xml version="1.0" encoding="utf-8"?>
<ds:datastoreItem xmlns:ds="http://schemas.openxmlformats.org/officeDocument/2006/customXml" ds:itemID="{96F38E9B-8498-45D7-BEB2-4AE87438B687}">
  <ds:schemaRefs>
    <ds:schemaRef ds:uri="http://schemas.microsoft.com/sharepoint/v3/contenttype/forms"/>
  </ds:schemaRefs>
</ds:datastoreItem>
</file>

<file path=customXml/itemProps3.xml><?xml version="1.0" encoding="utf-8"?>
<ds:datastoreItem xmlns:ds="http://schemas.openxmlformats.org/officeDocument/2006/customXml" ds:itemID="{4190A2EB-4A7D-4FDE-90EA-A1D532CAA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A84F19-6FAF-4FAD-A979-DA1D8537E7A6}">
  <ds:schemaRefs>
    <ds:schemaRef ds:uri="http://schemas.microsoft.com/sharepoint/events"/>
  </ds:schemaRefs>
</ds:datastoreItem>
</file>

<file path=customXml/itemProps5.xml><?xml version="1.0" encoding="utf-8"?>
<ds:datastoreItem xmlns:ds="http://schemas.openxmlformats.org/officeDocument/2006/customXml" ds:itemID="{399FD263-3331-49FD-A0D2-2C10BAC2F207}">
  <ds:schemaRefs>
    <ds:schemaRef ds:uri="office.server.policy"/>
  </ds:schemaRefs>
</ds:datastoreItem>
</file>

<file path=customXml/itemProps6.xml><?xml version="1.0" encoding="utf-8"?>
<ds:datastoreItem xmlns:ds="http://schemas.openxmlformats.org/officeDocument/2006/customXml" ds:itemID="{5641839E-B4A1-4E78-A55C-7780B7EF3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Sub-EM.dotx</Template>
  <TotalTime>2</TotalTime>
  <Pages>9</Pages>
  <Words>3535</Words>
  <Characters>17821</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Protecting Your Superannuation Package</vt:lpstr>
    </vt:vector>
  </TitlesOfParts>
  <Company>The Treasury</Company>
  <LinksUpToDate>false</LinksUpToDate>
  <CharactersWithSpaces>21314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Protecting Your Superannuation Package</dc:title>
  <dc:subject>Explanatory Material</dc:subject>
  <dc:creator>The Treasury</dc:creator>
  <cp:lastModifiedBy>Thomas, Deborah</cp:lastModifiedBy>
  <cp:revision>3</cp:revision>
  <cp:lastPrinted>2016-06-15T23:01:00Z</cp:lastPrinted>
  <dcterms:created xsi:type="dcterms:W3CDTF">2019-02-21T00:19:00Z</dcterms:created>
  <dcterms:modified xsi:type="dcterms:W3CDTF">2019-02-21T22:51:00Z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0x010100348D01E61E107C4DA4B97E380EA20D47000615997562990B47B421B4CF3B3F29CE</vt:lpwstr>
  </property>
  <property fmtid="{D5CDD505-2E9C-101B-9397-08002B2CF9AE}" pid="4" name="TSYRecordClass">
    <vt:lpwstr>25;#TSY RA-9236 - Retain as national archives|c6a225b4-6b93-473e-bcbb-6bc6ab25b623</vt:lpwstr>
  </property>
  <property fmtid="{D5CDD505-2E9C-101B-9397-08002B2CF9AE}" pid="5" name="_dlc_DocIdItemGuid">
    <vt:lpwstr>61566f3d-8731-46e0-ad94-059780445ae2</vt:lpwstr>
  </property>
  <property fmtid="{D5CDD505-2E9C-101B-9397-08002B2CF9AE}" pid="6" name="RecordPoint_WorkflowType">
    <vt:lpwstr>ActiveSubmitStub</vt:lpwstr>
  </property>
  <property fmtid="{D5CDD505-2E9C-101B-9397-08002B2CF9AE}" pid="7" name="RecordPoint_ActiveItemUniqueId">
    <vt:lpwstr>{45c1cdb8-b356-42e4-8402-c7d2a45bf6ba}</vt:lpwstr>
  </property>
  <property fmtid="{D5CDD505-2E9C-101B-9397-08002B2CF9AE}" pid="8" name="RecordPoint_ActiveItemWebId">
    <vt:lpwstr>{09392e0d-4618-463d-b4d2-50a90b9447cf}</vt:lpwstr>
  </property>
  <property fmtid="{D5CDD505-2E9C-101B-9397-08002B2CF9AE}" pid="9" name="RecordPoint_ActiveItemSiteId">
    <vt:lpwstr>{5b52b9a5-e5b2-4521-8814-a1e24ca2869d}</vt:lpwstr>
  </property>
  <property fmtid="{D5CDD505-2E9C-101B-9397-08002B2CF9AE}" pid="10" name="RecordPoint_ActiveItemListId">
    <vt:lpwstr>{687b78b0-2ddd-4441-8a8b-c9638c2a1939}</vt:lpwstr>
  </property>
  <property fmtid="{D5CDD505-2E9C-101B-9397-08002B2CF9AE}" pid="11" name="_AdHocReviewCycleID">
    <vt:i4>-1864972447</vt:i4>
  </property>
  <property fmtid="{D5CDD505-2E9C-101B-9397-08002B2CF9AE}" pid="12" name="_NewReviewCycle">
    <vt:lpwstr/>
  </property>
  <property fmtid="{D5CDD505-2E9C-101B-9397-08002B2CF9AE}" pid="13" name="_EmailSubject">
    <vt:lpwstr>Update - Consultation &amp; Discussions Papers Request #S80494 [SEC=UNCLASSIFIED]</vt:lpwstr>
  </property>
  <property fmtid="{D5CDD505-2E9C-101B-9397-08002B2CF9AE}" pid="14" name="_AuthorEmail">
    <vt:lpwstr>Naomi.Saif@TREASURY.GOV.AU</vt:lpwstr>
  </property>
  <property fmtid="{D5CDD505-2E9C-101B-9397-08002B2CF9AE}" pid="15" name="_AuthorEmailDisplayName">
    <vt:lpwstr>Saif, Naomi</vt:lpwstr>
  </property>
  <property fmtid="{D5CDD505-2E9C-101B-9397-08002B2CF9AE}" pid="16" name="RecordPoint_SubmissionDate">
    <vt:lpwstr/>
  </property>
  <property fmtid="{D5CDD505-2E9C-101B-9397-08002B2CF9AE}" pid="17" name="RecordPoint_RecordNumberSubmitted">
    <vt:lpwstr>R0002005266</vt:lpwstr>
  </property>
  <property fmtid="{D5CDD505-2E9C-101B-9397-08002B2CF9AE}" pid="18" name="RecordPoint_ActiveItemMoved">
    <vt:lpwstr/>
  </property>
  <property fmtid="{D5CDD505-2E9C-101B-9397-08002B2CF9AE}" pid="19" name="RecordPoint_RecordFormat">
    <vt:lpwstr/>
  </property>
  <property fmtid="{D5CDD505-2E9C-101B-9397-08002B2CF9AE}" pid="20" name="RecordPoint_SubmissionCompleted">
    <vt:lpwstr>2019-02-20T11:18:30.0456121+11:00</vt:lpwstr>
  </property>
  <property fmtid="{D5CDD505-2E9C-101B-9397-08002B2CF9AE}" pid="21" name="_PreviousAdHocReviewCycleID">
    <vt:i4>898515883</vt:i4>
  </property>
  <property fmtid="{D5CDD505-2E9C-101B-9397-08002B2CF9AE}" pid="22" name="_ReviewingToolsShownOnce">
    <vt:lpwstr/>
  </property>
</Properties>
</file>