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FBAAF" w14:textId="13C10DB8" w:rsidR="000F08BA" w:rsidRDefault="00D934A2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Senator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Hon Z. </w:t>
      </w:r>
      <w:proofErr w:type="spellStart"/>
      <w:r>
        <w:rPr>
          <w:rFonts w:ascii="Arial" w:hAnsi="Arial" w:cs="Arial"/>
          <w:sz w:val="20"/>
          <w:szCs w:val="20"/>
        </w:rPr>
        <w:t>Seselja</w:t>
      </w:r>
      <w:proofErr w:type="spellEnd"/>
    </w:p>
    <w:p w14:paraId="7037F786" w14:textId="24AD8E66" w:rsidR="00D934A2" w:rsidRDefault="00D934A2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Minister for Treasury and Finance</w:t>
      </w:r>
    </w:p>
    <w:p w14:paraId="560D2177" w14:textId="3C43D9B1" w:rsidR="00D934A2" w:rsidRDefault="00D934A2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Box 6022</w:t>
      </w:r>
    </w:p>
    <w:p w14:paraId="0E39AEA9" w14:textId="17CFBE95" w:rsidR="00D934A2" w:rsidRDefault="00D934A2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 of Representatives</w:t>
      </w:r>
    </w:p>
    <w:p w14:paraId="17CF1B65" w14:textId="0093E61E" w:rsidR="00D934A2" w:rsidRDefault="00D934A2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Parliament House</w:t>
      </w:r>
    </w:p>
    <w:p w14:paraId="28DD5F1A" w14:textId="07C23F05" w:rsidR="00D934A2" w:rsidRPr="002831AD" w:rsidRDefault="00D934A2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Canberra  ACT</w:t>
      </w:r>
      <w:proofErr w:type="gramEnd"/>
      <w:r>
        <w:rPr>
          <w:rFonts w:ascii="Arial" w:hAnsi="Arial" w:cs="Arial"/>
          <w:sz w:val="20"/>
          <w:szCs w:val="20"/>
        </w:rPr>
        <w:t xml:space="preserve">  2600</w:t>
      </w:r>
    </w:p>
    <w:p w14:paraId="01E988F2" w14:textId="77777777" w:rsidR="00B15E64" w:rsidRPr="002831AD" w:rsidRDefault="00B15E64" w:rsidP="00283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375652" w14:textId="234F647A" w:rsidR="00B15E64" w:rsidRPr="002831AD" w:rsidRDefault="00D934A2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February 2019 </w:t>
      </w:r>
    </w:p>
    <w:p w14:paraId="20F780A7" w14:textId="77777777" w:rsidR="00B15E64" w:rsidRPr="002831AD" w:rsidRDefault="00B15E64" w:rsidP="00283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0F509F" w14:textId="77777777" w:rsidR="000B53AC" w:rsidRPr="002831AD" w:rsidRDefault="000B53AC" w:rsidP="00283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94C851" w14:textId="752ABE62" w:rsidR="00B15E64" w:rsidRPr="002831AD" w:rsidRDefault="00B15E64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31AD">
        <w:rPr>
          <w:rFonts w:ascii="Arial" w:hAnsi="Arial" w:cs="Arial"/>
          <w:sz w:val="20"/>
          <w:szCs w:val="20"/>
        </w:rPr>
        <w:t xml:space="preserve">Dear </w:t>
      </w:r>
      <w:r w:rsidR="00DE5572">
        <w:rPr>
          <w:rFonts w:ascii="Arial" w:hAnsi="Arial" w:cs="Arial"/>
          <w:sz w:val="20"/>
          <w:szCs w:val="20"/>
        </w:rPr>
        <w:t xml:space="preserve">Assistant </w:t>
      </w:r>
      <w:r w:rsidR="00BC134D" w:rsidRPr="002831AD">
        <w:rPr>
          <w:rFonts w:ascii="Arial" w:hAnsi="Arial" w:cs="Arial"/>
          <w:sz w:val="20"/>
          <w:szCs w:val="20"/>
        </w:rPr>
        <w:t>Minister,</w:t>
      </w:r>
    </w:p>
    <w:p w14:paraId="56D59C1F" w14:textId="77777777" w:rsidR="000F08BA" w:rsidRPr="002831AD" w:rsidRDefault="000F08BA" w:rsidP="00283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915804" w14:textId="542E33D1" w:rsidR="00E75736" w:rsidRPr="00E75736" w:rsidRDefault="00E75736" w:rsidP="00E757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75736">
        <w:rPr>
          <w:rFonts w:ascii="Arial" w:hAnsi="Arial" w:cs="Arial"/>
          <w:b/>
          <w:sz w:val="20"/>
          <w:szCs w:val="20"/>
          <w:u w:val="single"/>
        </w:rPr>
        <w:t>Symphony Services Australia pre-Budget submission on priorities for the 2019-20 Federal Budget</w:t>
      </w:r>
    </w:p>
    <w:p w14:paraId="0B86B431" w14:textId="49BB786B" w:rsidR="00E75736" w:rsidRDefault="00E75736" w:rsidP="00283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0778B0" w14:textId="2966897C" w:rsidR="00E75736" w:rsidRDefault="00E75736" w:rsidP="00283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Symphony Services Australia (“SSA”) provides services to Australia’s six symphony orchestras</w:t>
      </w:r>
      <w:r w:rsidR="004E2D3C">
        <w:rPr>
          <w:rFonts w:ascii="Arial" w:hAnsi="Arial" w:cs="Arial"/>
          <w:sz w:val="20"/>
          <w:szCs w:val="20"/>
        </w:rPr>
        <w:t xml:space="preserve"> (the Adelaide, Melbourne, Queensland, Sydney, Tasmanian and West Australian Symphony Orchestras), on whose behalf we </w:t>
      </w:r>
      <w:r>
        <w:rPr>
          <w:rFonts w:ascii="Arial" w:hAnsi="Arial" w:cs="Arial"/>
          <w:sz w:val="20"/>
          <w:szCs w:val="20"/>
        </w:rPr>
        <w:t>make this submission. The symphony orchestras are also members of the Australian Major Performing Arts Group (“AMPAG”) which has made a separate pre-budget submission. SSA supports the key data and recommendations contained in that submission.</w:t>
      </w:r>
    </w:p>
    <w:p w14:paraId="513A740A" w14:textId="4A827947" w:rsidR="00E75736" w:rsidRDefault="00E75736" w:rsidP="00283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9CE22" w14:textId="28AC6861" w:rsidR="0011246A" w:rsidRDefault="004E2D3C" w:rsidP="00112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75736">
        <w:rPr>
          <w:rFonts w:ascii="Arial" w:hAnsi="Arial" w:cs="Arial"/>
          <w:sz w:val="20"/>
          <w:szCs w:val="20"/>
        </w:rPr>
        <w:t xml:space="preserve">e draw your attention to the </w:t>
      </w:r>
      <w:r w:rsidR="00A67D69">
        <w:rPr>
          <w:rFonts w:ascii="Arial" w:hAnsi="Arial" w:cs="Arial"/>
          <w:sz w:val="20"/>
          <w:szCs w:val="20"/>
        </w:rPr>
        <w:t xml:space="preserve">2018 review of the </w:t>
      </w:r>
      <w:r w:rsidR="00E75736">
        <w:rPr>
          <w:rFonts w:ascii="Arial" w:hAnsi="Arial" w:cs="Arial"/>
          <w:sz w:val="20"/>
          <w:szCs w:val="20"/>
        </w:rPr>
        <w:t>Major Performing Arts</w:t>
      </w:r>
      <w:r>
        <w:rPr>
          <w:rFonts w:ascii="Arial" w:hAnsi="Arial" w:cs="Arial"/>
          <w:sz w:val="20"/>
          <w:szCs w:val="20"/>
        </w:rPr>
        <w:t xml:space="preserve"> (“MPA”)</w:t>
      </w:r>
      <w:r w:rsidR="00E75736">
        <w:rPr>
          <w:rFonts w:ascii="Arial" w:hAnsi="Arial" w:cs="Arial"/>
          <w:sz w:val="20"/>
          <w:szCs w:val="20"/>
        </w:rPr>
        <w:t xml:space="preserve"> Framework</w:t>
      </w:r>
      <w:r w:rsidR="00A67D69">
        <w:rPr>
          <w:rFonts w:ascii="Arial" w:hAnsi="Arial" w:cs="Arial"/>
          <w:sz w:val="20"/>
          <w:szCs w:val="20"/>
        </w:rPr>
        <w:t xml:space="preserve"> and note its importance in the ongoing stability and creativity of Australia’s MPA companies. </w:t>
      </w:r>
      <w:r w:rsidR="0011246A" w:rsidRPr="0011246A">
        <w:rPr>
          <w:rFonts w:ascii="Arial" w:hAnsi="Arial" w:cs="Arial"/>
          <w:sz w:val="20"/>
          <w:szCs w:val="20"/>
        </w:rPr>
        <w:t xml:space="preserve">SSA welcomes any strengthening of the MPA Framework, which </w:t>
      </w:r>
      <w:r>
        <w:rPr>
          <w:rFonts w:ascii="Arial" w:hAnsi="Arial" w:cs="Arial"/>
          <w:sz w:val="20"/>
          <w:szCs w:val="20"/>
        </w:rPr>
        <w:t>supports</w:t>
      </w:r>
      <w:r w:rsidR="0011246A" w:rsidRPr="0011246A">
        <w:rPr>
          <w:rFonts w:ascii="Arial" w:hAnsi="Arial" w:cs="Arial"/>
          <w:sz w:val="20"/>
          <w:szCs w:val="20"/>
        </w:rPr>
        <w:t xml:space="preserve"> the six symphony orchestras </w:t>
      </w:r>
      <w:r>
        <w:rPr>
          <w:rFonts w:ascii="Arial" w:hAnsi="Arial" w:cs="Arial"/>
          <w:sz w:val="20"/>
          <w:szCs w:val="20"/>
        </w:rPr>
        <w:t>in</w:t>
      </w:r>
      <w:r w:rsidR="0011246A" w:rsidRPr="0011246A">
        <w:rPr>
          <w:rFonts w:ascii="Arial" w:hAnsi="Arial" w:cs="Arial"/>
          <w:sz w:val="20"/>
          <w:szCs w:val="20"/>
        </w:rPr>
        <w:t xml:space="preserve"> deliver</w:t>
      </w:r>
      <w:r>
        <w:rPr>
          <w:rFonts w:ascii="Arial" w:hAnsi="Arial" w:cs="Arial"/>
          <w:sz w:val="20"/>
          <w:szCs w:val="20"/>
        </w:rPr>
        <w:t>ing</w:t>
      </w:r>
      <w:r w:rsidR="0011246A" w:rsidRPr="0011246A">
        <w:rPr>
          <w:rFonts w:ascii="Arial" w:hAnsi="Arial" w:cs="Arial"/>
          <w:sz w:val="20"/>
          <w:szCs w:val="20"/>
        </w:rPr>
        <w:t xml:space="preserve"> high quality orchestral music to all Australians regardless of where they live, how old they are or how much they earn. </w:t>
      </w:r>
      <w:r w:rsidR="0011246A">
        <w:rPr>
          <w:rFonts w:ascii="Arial" w:hAnsi="Arial" w:cs="Arial"/>
          <w:sz w:val="20"/>
          <w:szCs w:val="20"/>
        </w:rPr>
        <w:t>A separate submission has been made to the Dept of Communications and the Arts on this subject.</w:t>
      </w:r>
    </w:p>
    <w:p w14:paraId="15620ABE" w14:textId="6D42D6F7" w:rsidR="00BF1592" w:rsidRDefault="00BF1592" w:rsidP="00112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3DA78F" w14:textId="36F81944" w:rsidR="00BF1592" w:rsidRDefault="00BF1592" w:rsidP="00112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SSA supports the following </w:t>
      </w:r>
      <w:r w:rsidR="002C2604">
        <w:rPr>
          <w:rFonts w:ascii="Arial" w:hAnsi="Arial" w:cs="Arial"/>
          <w:sz w:val="20"/>
          <w:szCs w:val="20"/>
        </w:rPr>
        <w:t>pre-Budget recommendations from AMPAG:</w:t>
      </w:r>
    </w:p>
    <w:p w14:paraId="66EE07CA" w14:textId="54ADB22A" w:rsidR="002C2604" w:rsidRDefault="002C2604" w:rsidP="00112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98D0AC" w14:textId="7DDED8F2" w:rsidR="002C2604" w:rsidRDefault="002C2604" w:rsidP="00112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</w:t>
      </w:r>
      <w:r w:rsidR="004E2D3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ongoing</w:t>
      </w:r>
      <w:r>
        <w:rPr>
          <w:rFonts w:ascii="Arial" w:hAnsi="Arial" w:cs="Arial"/>
          <w:sz w:val="20"/>
          <w:szCs w:val="20"/>
        </w:rPr>
        <w:tab/>
        <w:t xml:space="preserve">Retain commitment to </w:t>
      </w:r>
      <w:r w:rsidR="004439D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refreshed MPA framework</w:t>
      </w:r>
    </w:p>
    <w:p w14:paraId="3A6B1548" w14:textId="391C3197" w:rsidR="002C2604" w:rsidRDefault="002C2604" w:rsidP="00112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A73DCF" w14:textId="35D62C2D" w:rsidR="002C2604" w:rsidRDefault="002C2604" w:rsidP="001124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2019-202</w:t>
      </w:r>
      <w:r w:rsidR="007B5E2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  <w:t>Invest an additional $25m per year for 4 years into the Australia Council for:</w:t>
      </w:r>
    </w:p>
    <w:p w14:paraId="59AA4AC7" w14:textId="45599514" w:rsidR="002C2604" w:rsidRDefault="002C2604" w:rsidP="002C260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performing arts portfolio (MPA) companies, including capacity for new entrants into the Framework</w:t>
      </w:r>
    </w:p>
    <w:p w14:paraId="18B8E8F3" w14:textId="13E4166B" w:rsidR="002C2604" w:rsidRDefault="002C2604" w:rsidP="002C260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 initiatives that enable increased exposure, professional development and distribution</w:t>
      </w:r>
    </w:p>
    <w:p w14:paraId="5C2A4AD1" w14:textId="65773160" w:rsidR="002C2604" w:rsidRDefault="002C2604" w:rsidP="002C260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establishment of a seed fund for major new works</w:t>
      </w:r>
    </w:p>
    <w:p w14:paraId="28AE15B4" w14:textId="303CCD61" w:rsidR="002C2604" w:rsidRDefault="002C2604" w:rsidP="002C26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9FD928" w14:textId="41DD15FA" w:rsidR="002C2604" w:rsidRDefault="002C2604" w:rsidP="002C2604">
      <w:pPr>
        <w:spacing w:after="0" w:line="240" w:lineRule="auto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2019-2020</w:t>
      </w:r>
      <w:r>
        <w:rPr>
          <w:rFonts w:ascii="Arial" w:hAnsi="Arial" w:cs="Arial"/>
          <w:sz w:val="20"/>
          <w:szCs w:val="20"/>
        </w:rPr>
        <w:tab/>
        <w:t>Increase investment in the Playing Australia fund by $1.25m per year for 4 years to support regional performing arts access, creation and engagement</w:t>
      </w:r>
    </w:p>
    <w:p w14:paraId="12C84B63" w14:textId="2900C5E5" w:rsidR="002C2604" w:rsidRDefault="002C2604" w:rsidP="002C26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B4AD1F" w14:textId="6ECE009E" w:rsidR="002C2604" w:rsidRDefault="002C2604" w:rsidP="002C2604">
      <w:pPr>
        <w:spacing w:after="0" w:line="240" w:lineRule="auto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2019-2020</w:t>
      </w:r>
      <w:r>
        <w:rPr>
          <w:rFonts w:ascii="Arial" w:hAnsi="Arial" w:cs="Arial"/>
          <w:sz w:val="20"/>
          <w:szCs w:val="20"/>
        </w:rPr>
        <w:tab/>
        <w:t>Allocate funds to undertake a review of the small to medium performing arts companies and individual artists to establish a robust business case for growth and sustain ability across the entire performing arts sector</w:t>
      </w:r>
    </w:p>
    <w:p w14:paraId="6FFA959F" w14:textId="7B4AE813" w:rsidR="002C2604" w:rsidRDefault="002C2604" w:rsidP="002C26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B60FBA" w14:textId="5048CF61" w:rsidR="002C2604" w:rsidRPr="002C2604" w:rsidRDefault="002C2604" w:rsidP="002C2604">
      <w:pPr>
        <w:spacing w:after="0" w:line="240" w:lineRule="auto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2019-2020</w:t>
      </w:r>
      <w:r>
        <w:rPr>
          <w:rFonts w:ascii="Arial" w:hAnsi="Arial" w:cs="Arial"/>
          <w:sz w:val="20"/>
          <w:szCs w:val="20"/>
        </w:rPr>
        <w:tab/>
        <w:t>Commit to $0.9m in new funding per year over 5 years for the development of a National Indigenous Arts and Cultural Authority (NIACA)</w:t>
      </w:r>
    </w:p>
    <w:p w14:paraId="0A7363E0" w14:textId="5DA220A8" w:rsidR="00E75736" w:rsidRDefault="00E75736" w:rsidP="00283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BCF4E2" w14:textId="3225C9EF" w:rsidR="00757EBB" w:rsidRPr="002831AD" w:rsidRDefault="00757EBB" w:rsidP="00283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31AD">
        <w:rPr>
          <w:rFonts w:ascii="Arial" w:hAnsi="Arial" w:cs="Arial"/>
          <w:sz w:val="20"/>
          <w:szCs w:val="20"/>
        </w:rPr>
        <w:t xml:space="preserve">Yours </w:t>
      </w:r>
      <w:r w:rsidR="00777087">
        <w:rPr>
          <w:rFonts w:ascii="Arial" w:hAnsi="Arial" w:cs="Arial"/>
          <w:sz w:val="20"/>
          <w:szCs w:val="20"/>
        </w:rPr>
        <w:t>sincerely,</w:t>
      </w:r>
    </w:p>
    <w:p w14:paraId="4CFC4179" w14:textId="77777777" w:rsidR="00B15E64" w:rsidRPr="002831AD" w:rsidRDefault="00AA2389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31A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82DD92" wp14:editId="1D8BF160">
            <wp:extent cx="1085850" cy="4070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82" cy="4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8B6F16" w14:textId="77777777" w:rsidR="004E2D3C" w:rsidRDefault="00B15E64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31AD">
        <w:rPr>
          <w:rFonts w:ascii="Arial" w:hAnsi="Arial" w:cs="Arial"/>
          <w:sz w:val="20"/>
          <w:szCs w:val="20"/>
        </w:rPr>
        <w:t>Kate Lidbetter</w:t>
      </w:r>
      <w:bookmarkStart w:id="0" w:name="_GoBack"/>
      <w:bookmarkEnd w:id="0"/>
    </w:p>
    <w:p w14:paraId="3ADA65DF" w14:textId="3DF455C6" w:rsidR="00B15E64" w:rsidRPr="002831AD" w:rsidRDefault="00B15E64" w:rsidP="00283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31AD">
        <w:rPr>
          <w:rFonts w:ascii="Arial" w:hAnsi="Arial" w:cs="Arial"/>
          <w:sz w:val="20"/>
          <w:szCs w:val="20"/>
        </w:rPr>
        <w:t>Chief Executive Officer</w:t>
      </w:r>
    </w:p>
    <w:sectPr w:rsidR="00B15E64" w:rsidRPr="002831AD" w:rsidSect="004E2D3C">
      <w:headerReference w:type="default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5C335" w14:textId="77777777" w:rsidR="00EE1E0D" w:rsidRDefault="00EE1E0D" w:rsidP="00FD18BB">
      <w:pPr>
        <w:spacing w:after="0" w:line="240" w:lineRule="auto"/>
      </w:pPr>
      <w:r>
        <w:separator/>
      </w:r>
    </w:p>
  </w:endnote>
  <w:endnote w:type="continuationSeparator" w:id="0">
    <w:p w14:paraId="16B90617" w14:textId="77777777" w:rsidR="00EE1E0D" w:rsidRDefault="00EE1E0D" w:rsidP="00FD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F0E20" w14:textId="77777777" w:rsidR="00757EBB" w:rsidRDefault="00757EBB" w:rsidP="00FA16AD">
    <w:pPr>
      <w:pStyle w:val="Footer"/>
      <w:jc w:val="center"/>
      <w:rPr>
        <w:rFonts w:ascii="Trebuchet MS" w:hAnsi="Trebuchet MS"/>
        <w:b/>
        <w:sz w:val="16"/>
      </w:rPr>
    </w:pPr>
    <w:r w:rsidRPr="00766A7F">
      <w:rPr>
        <w:rFonts w:ascii="Trebuchet MS" w:hAnsi="Trebuchet MS"/>
        <w:b/>
        <w:sz w:val="16"/>
      </w:rPr>
      <w:t xml:space="preserve">SYMPHONY SERVICES </w:t>
    </w:r>
    <w:r>
      <w:rPr>
        <w:rFonts w:ascii="Trebuchet MS" w:hAnsi="Trebuchet MS"/>
        <w:b/>
        <w:sz w:val="16"/>
      </w:rPr>
      <w:t>AUSTRALIA LIMITED</w:t>
    </w:r>
  </w:p>
  <w:p w14:paraId="200DBC71" w14:textId="77777777" w:rsidR="00757EBB" w:rsidRPr="00C96E35" w:rsidRDefault="00757EBB" w:rsidP="00FA16AD">
    <w:pPr>
      <w:pStyle w:val="Footer"/>
      <w:jc w:val="center"/>
      <w:rPr>
        <w:rFonts w:ascii="Trebuchet MS" w:hAnsi="Trebuchet MS"/>
        <w:b/>
        <w:sz w:val="8"/>
      </w:rPr>
    </w:pPr>
  </w:p>
  <w:p w14:paraId="4A02F439" w14:textId="77777777" w:rsidR="00757EBB" w:rsidRPr="00766A7F" w:rsidRDefault="00757EBB" w:rsidP="00FA16AD">
    <w:pPr>
      <w:pStyle w:val="Footer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Clocktower Square,</w:t>
    </w:r>
    <w:r w:rsidRPr="00766A7F">
      <w:rPr>
        <w:rFonts w:ascii="Trebuchet MS" w:hAnsi="Trebuchet MS"/>
        <w:sz w:val="16"/>
      </w:rPr>
      <w:t xml:space="preserve"> </w:t>
    </w:r>
    <w:r>
      <w:rPr>
        <w:rFonts w:ascii="Trebuchet MS" w:hAnsi="Trebuchet MS"/>
        <w:sz w:val="16"/>
      </w:rPr>
      <w:t>Ground Floor, Shops 6-9,</w:t>
    </w:r>
    <w:r w:rsidRPr="00766A7F">
      <w:rPr>
        <w:rFonts w:ascii="Trebuchet MS" w:hAnsi="Trebuchet MS"/>
        <w:sz w:val="16"/>
      </w:rPr>
      <w:t xml:space="preserve"> </w:t>
    </w:r>
    <w:r>
      <w:rPr>
        <w:rFonts w:ascii="Trebuchet MS" w:hAnsi="Trebuchet MS"/>
        <w:sz w:val="16"/>
      </w:rPr>
      <w:t>35 Harrington Street, The Rocks NSW 200</w:t>
    </w:r>
    <w:r w:rsidRPr="00766A7F">
      <w:rPr>
        <w:rFonts w:ascii="Trebuchet MS" w:hAnsi="Trebuchet MS"/>
        <w:sz w:val="16"/>
      </w:rPr>
      <w:t>0</w:t>
    </w:r>
  </w:p>
  <w:p w14:paraId="6E5FF8E2" w14:textId="77777777" w:rsidR="00757EBB" w:rsidRDefault="00757EBB" w:rsidP="00FA16AD">
    <w:pPr>
      <w:pStyle w:val="Footer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Telephone +61 2 8215 4666</w:t>
    </w:r>
    <w:r w:rsidRPr="00766A7F">
      <w:rPr>
        <w:rFonts w:ascii="Trebuchet MS" w:hAnsi="Trebuchet MS"/>
        <w:sz w:val="16"/>
      </w:rPr>
      <w:t xml:space="preserve"> </w:t>
    </w:r>
    <w:r w:rsidRPr="00766A7F">
      <w:rPr>
        <w:rFonts w:ascii="Trebuchet MS" w:hAnsi="Trebuchet MS"/>
        <w:color w:val="808080"/>
        <w:sz w:val="16"/>
      </w:rPr>
      <w:sym w:font="Wingdings" w:char="F06E"/>
    </w:r>
    <w:r w:rsidRPr="00766A7F">
      <w:rPr>
        <w:rFonts w:ascii="Trebuchet MS" w:hAnsi="Trebuchet MS"/>
        <w:sz w:val="16"/>
      </w:rPr>
      <w:t xml:space="preserve"> </w:t>
    </w:r>
    <w:r>
      <w:rPr>
        <w:rFonts w:ascii="Trebuchet MS" w:hAnsi="Trebuchet MS"/>
        <w:sz w:val="16"/>
      </w:rPr>
      <w:t>Facsimile +61 2 8215 4669</w:t>
    </w:r>
  </w:p>
  <w:p w14:paraId="72DBEF8F" w14:textId="77777777" w:rsidR="00757EBB" w:rsidRPr="00C96E35" w:rsidRDefault="00757EBB" w:rsidP="00FA16AD">
    <w:pPr>
      <w:pStyle w:val="Footer"/>
      <w:jc w:val="center"/>
      <w:rPr>
        <w:rFonts w:ascii="Trebuchet MS" w:hAnsi="Trebuchet MS"/>
        <w:sz w:val="8"/>
      </w:rPr>
    </w:pPr>
  </w:p>
  <w:p w14:paraId="7A822BB8" w14:textId="77777777" w:rsidR="00757EBB" w:rsidRPr="00C96E35" w:rsidRDefault="00757EBB" w:rsidP="00FA16AD">
    <w:pPr>
      <w:pStyle w:val="Footer"/>
      <w:jc w:val="center"/>
      <w:rPr>
        <w:rFonts w:ascii="Trebuchet MS" w:hAnsi="Trebuchet MS"/>
        <w:sz w:val="14"/>
        <w:szCs w:val="16"/>
      </w:rPr>
    </w:pPr>
    <w:r w:rsidRPr="00C96E35">
      <w:rPr>
        <w:rFonts w:ascii="Trebuchet MS" w:hAnsi="Trebuchet MS"/>
        <w:sz w:val="14"/>
        <w:szCs w:val="16"/>
      </w:rPr>
      <w:t>ACN 121 149 755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6D729" w14:textId="77777777" w:rsidR="00EE1E0D" w:rsidRDefault="00EE1E0D" w:rsidP="00FD18BB">
      <w:pPr>
        <w:spacing w:after="0" w:line="240" w:lineRule="auto"/>
      </w:pPr>
      <w:r>
        <w:separator/>
      </w:r>
    </w:p>
  </w:footnote>
  <w:footnote w:type="continuationSeparator" w:id="0">
    <w:p w14:paraId="30E4FA24" w14:textId="77777777" w:rsidR="00EE1E0D" w:rsidRDefault="00EE1E0D" w:rsidP="00FD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1FF10" w14:textId="77777777" w:rsidR="00757EBB" w:rsidRDefault="00757EBB" w:rsidP="00FD18BB">
    <w:pPr>
      <w:pStyle w:val="Header"/>
      <w:jc w:val="center"/>
    </w:pPr>
    <w:r w:rsidRPr="00FD18BB">
      <w:rPr>
        <w:noProof/>
      </w:rPr>
      <w:drawing>
        <wp:inline distT="0" distB="0" distL="0" distR="0" wp14:anchorId="43CBA935" wp14:editId="77272EF7">
          <wp:extent cx="1066800" cy="1333500"/>
          <wp:effectExtent l="19050" t="0" r="0" b="0"/>
          <wp:docPr id="2" name="Picture 1" descr="C:\Documents and Settings\longl\Local Settings\Temp\Temporary Directory 10 for gif.zip\gif\SSA_ver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ongl\Local Settings\Temp\Temporary Directory 10 for gif.zip\gif\SSA_vert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52ECD8" w14:textId="77777777" w:rsidR="00757EBB" w:rsidRDefault="00757E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83AE5"/>
    <w:multiLevelType w:val="hybridMultilevel"/>
    <w:tmpl w:val="2362C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46BAB"/>
    <w:multiLevelType w:val="hybridMultilevel"/>
    <w:tmpl w:val="BF3285C4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BB"/>
    <w:rsid w:val="00014142"/>
    <w:rsid w:val="00017938"/>
    <w:rsid w:val="0005241F"/>
    <w:rsid w:val="00052CB2"/>
    <w:rsid w:val="000A319F"/>
    <w:rsid w:val="000B53AC"/>
    <w:rsid w:val="000F08BA"/>
    <w:rsid w:val="0011246A"/>
    <w:rsid w:val="00271C19"/>
    <w:rsid w:val="002831AD"/>
    <w:rsid w:val="002C1FF5"/>
    <w:rsid w:val="002C2604"/>
    <w:rsid w:val="003159C0"/>
    <w:rsid w:val="003457B9"/>
    <w:rsid w:val="00390E06"/>
    <w:rsid w:val="003F6886"/>
    <w:rsid w:val="004439D0"/>
    <w:rsid w:val="004E2D3C"/>
    <w:rsid w:val="004F4873"/>
    <w:rsid w:val="00500B34"/>
    <w:rsid w:val="00506CB1"/>
    <w:rsid w:val="00514C9F"/>
    <w:rsid w:val="005F02B2"/>
    <w:rsid w:val="005F24FD"/>
    <w:rsid w:val="005F71A6"/>
    <w:rsid w:val="00624BBE"/>
    <w:rsid w:val="0064360F"/>
    <w:rsid w:val="00675F2C"/>
    <w:rsid w:val="006A3FE4"/>
    <w:rsid w:val="0070152E"/>
    <w:rsid w:val="00757EBB"/>
    <w:rsid w:val="00777087"/>
    <w:rsid w:val="007B5E28"/>
    <w:rsid w:val="007D7C45"/>
    <w:rsid w:val="0080033F"/>
    <w:rsid w:val="00817B7F"/>
    <w:rsid w:val="00835784"/>
    <w:rsid w:val="008610C5"/>
    <w:rsid w:val="00883249"/>
    <w:rsid w:val="008852DA"/>
    <w:rsid w:val="008A1ABF"/>
    <w:rsid w:val="009D0C61"/>
    <w:rsid w:val="009F61C3"/>
    <w:rsid w:val="00A67D69"/>
    <w:rsid w:val="00A866BD"/>
    <w:rsid w:val="00AA2389"/>
    <w:rsid w:val="00B15E64"/>
    <w:rsid w:val="00B5640C"/>
    <w:rsid w:val="00BB1D1C"/>
    <w:rsid w:val="00BB1D75"/>
    <w:rsid w:val="00BC134D"/>
    <w:rsid w:val="00BF1592"/>
    <w:rsid w:val="00C356AE"/>
    <w:rsid w:val="00C62B74"/>
    <w:rsid w:val="00C81706"/>
    <w:rsid w:val="00C957A7"/>
    <w:rsid w:val="00CB23EA"/>
    <w:rsid w:val="00D02565"/>
    <w:rsid w:val="00D80322"/>
    <w:rsid w:val="00D934A2"/>
    <w:rsid w:val="00DA20B5"/>
    <w:rsid w:val="00DE32D8"/>
    <w:rsid w:val="00DE5572"/>
    <w:rsid w:val="00E6068B"/>
    <w:rsid w:val="00E75736"/>
    <w:rsid w:val="00E926B8"/>
    <w:rsid w:val="00ED049E"/>
    <w:rsid w:val="00EE1E0D"/>
    <w:rsid w:val="00F822AA"/>
    <w:rsid w:val="00F92F91"/>
    <w:rsid w:val="00FA16AD"/>
    <w:rsid w:val="00FB2EA6"/>
    <w:rsid w:val="00FD18BB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D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8BB"/>
  </w:style>
  <w:style w:type="paragraph" w:styleId="Footer">
    <w:name w:val="footer"/>
    <w:basedOn w:val="Normal"/>
    <w:link w:val="FooterChar"/>
    <w:unhideWhenUsed/>
    <w:rsid w:val="00FD1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8BB"/>
  </w:style>
  <w:style w:type="paragraph" w:styleId="BalloonText">
    <w:name w:val="Balloon Text"/>
    <w:basedOn w:val="Normal"/>
    <w:link w:val="BalloonTextChar"/>
    <w:uiPriority w:val="99"/>
    <w:semiHidden/>
    <w:unhideWhenUsed/>
    <w:rsid w:val="00FD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41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0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8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5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8BB"/>
  </w:style>
  <w:style w:type="paragraph" w:styleId="Footer">
    <w:name w:val="footer"/>
    <w:basedOn w:val="Normal"/>
    <w:link w:val="FooterChar"/>
    <w:unhideWhenUsed/>
    <w:rsid w:val="00FD1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8BB"/>
  </w:style>
  <w:style w:type="paragraph" w:styleId="BalloonText">
    <w:name w:val="Balloon Text"/>
    <w:basedOn w:val="Normal"/>
    <w:link w:val="BalloonTextChar"/>
    <w:uiPriority w:val="99"/>
    <w:semiHidden/>
    <w:unhideWhenUsed/>
    <w:rsid w:val="00FD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41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0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8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8593" ma:contentTypeDescription="" ma:contentTypeScope="" ma:versionID="31936082abd6175b063309289019edb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RA-8733 - Destroy 10 years after action completed</TermName>
          <TermId xmlns="http://schemas.microsoft.com/office/infopath/2007/PartnerControls">18609896-7c96-418c-bbc1-db3751e97ee3</TermId>
        </TermInfo>
      </Terms>
    </lb508a4dc5e84436a0fe496b536466aa>
    <TaxCatchAll xmlns="0f563589-9cf9-4143-b1eb-fb0534803d38">
      <Value>2</Value>
    </TaxCatchAll>
    <_dlc_DocId xmlns="0f563589-9cf9-4143-b1eb-fb0534803d38">2019MINS-957875958-553</_dlc_DocId>
    <_dlc_DocIdUrl xmlns="0f563589-9cf9-4143-b1eb-fb0534803d38">
      <Url>http://tweb/sites/mins/activity/prebudget/_layouts/15/DocIdRedir.aspx?ID=2019MINS-957875958-553</Url>
      <Description>2019MINS-957875958-553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2D0C-930A-4921-83CE-160B7C3424F9}"/>
</file>

<file path=customXml/itemProps2.xml><?xml version="1.0" encoding="utf-8"?>
<ds:datastoreItem xmlns:ds="http://schemas.openxmlformats.org/officeDocument/2006/customXml" ds:itemID="{1A156ED3-8AC7-410D-9FAF-644567FFCB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69CEB2-E031-41CC-A9E6-88D50ADD311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1E7C6C8-910E-4722-A84D-EF32038154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72A920-28FB-4183-94B6-53F46B661DF0}">
  <ds:schemaRefs>
    <ds:schemaRef ds:uri="http://schemas.microsoft.com/office/infopath/2007/PartnerControls"/>
    <ds:schemaRef ds:uri="http://purl.org/dc/dcmitype/"/>
    <ds:schemaRef ds:uri="0f563589-9cf9-4143-b1eb-fb0534803d38"/>
    <ds:schemaRef ds:uri="http://schemas.microsoft.com/sharepoint/v3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768d4202-dccb-4ec8-a008-7abfadedbb89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D22E020-1C12-434C-90F9-F1A9BB85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longl</dc:creator>
  <cp:lastModifiedBy>Whittaker, Jillian</cp:lastModifiedBy>
  <cp:revision>2</cp:revision>
  <cp:lastPrinted>2018-05-25T05:38:00Z</cp:lastPrinted>
  <dcterms:created xsi:type="dcterms:W3CDTF">2019-02-25T02:51:00Z</dcterms:created>
  <dcterms:modified xsi:type="dcterms:W3CDTF">2019-02-25T02:51:00Z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2;#TSY RA-8733 - Destroy 10 years after action completed|18609896-7c96-418c-bbc1-db3751e97ee3</vt:lpwstr>
  </property>
  <property fmtid="{D5CDD505-2E9C-101B-9397-08002B2CF9AE}" pid="4" name="_dlc_DocIdItemGuid">
    <vt:lpwstr>37f5a541-fe06-48eb-943e-07054db960b4</vt:lpwstr>
  </property>
</Properties>
</file>