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84977" w14:textId="77777777" w:rsidR="006F78BF" w:rsidRDefault="006F78BF" w:rsidP="006F78BF">
      <w:pPr>
        <w:jc w:val="center"/>
      </w:pPr>
      <w:bookmarkStart w:id="0" w:name="_GoBack"/>
      <w:bookmarkEnd w:id="0"/>
    </w:p>
    <w:p w14:paraId="5AF744B4" w14:textId="77777777" w:rsidR="006F78BF" w:rsidRDefault="006F78BF" w:rsidP="006F78BF">
      <w:pPr>
        <w:jc w:val="center"/>
      </w:pPr>
    </w:p>
    <w:p w14:paraId="5B138B80" w14:textId="77777777" w:rsidR="006F78BF" w:rsidRPr="00D63A15" w:rsidRDefault="006F78BF" w:rsidP="006F78BF">
      <w:pPr>
        <w:jc w:val="center"/>
        <w:rPr>
          <w:caps/>
        </w:rPr>
      </w:pPr>
      <w:r>
        <w:rPr>
          <w:caps/>
          <w:noProof/>
        </w:rPr>
        <w:drawing>
          <wp:inline distT="0" distB="0" distL="0" distR="0" wp14:anchorId="5CFB60DA" wp14:editId="32BF821C">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17DB8CBD" w14:textId="77777777" w:rsidR="006F78BF" w:rsidRDefault="006F78BF" w:rsidP="006F78BF">
      <w:pPr>
        <w:spacing w:after="0"/>
        <w:jc w:val="center"/>
      </w:pPr>
    </w:p>
    <w:p w14:paraId="5CB2DCF7" w14:textId="77777777" w:rsidR="006F78BF" w:rsidRDefault="006F78BF" w:rsidP="006F78BF">
      <w:pPr>
        <w:spacing w:after="0"/>
      </w:pPr>
    </w:p>
    <w:p w14:paraId="54D3D34F" w14:textId="77777777" w:rsidR="006F78BF" w:rsidRDefault="006F78BF" w:rsidP="006F78BF">
      <w:pPr>
        <w:spacing w:after="0"/>
      </w:pPr>
    </w:p>
    <w:p w14:paraId="5D5E66E6" w14:textId="6F7C9006" w:rsidR="006F78BF" w:rsidRDefault="006F78BF" w:rsidP="006F78BF">
      <w:pPr>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sidR="00C91EE0">
        <w:rPr>
          <w:sz w:val="36"/>
          <w:szCs w:val="36"/>
        </w:rPr>
        <w:t xml:space="preserve"> </w:t>
      </w:r>
      <w:r w:rsidR="00C91EE0">
        <w:rPr>
          <w:sz w:val="36"/>
          <w:szCs w:val="36"/>
        </w:rPr>
        <w:br/>
        <w:t xml:space="preserve">Standing Committee on Tax and Revenue </w:t>
      </w:r>
      <w:r w:rsidRPr="009B57C6">
        <w:rPr>
          <w:sz w:val="36"/>
          <w:szCs w:val="36"/>
        </w:rPr>
        <w:t>report</w:t>
      </w:r>
      <w:r>
        <w:rPr>
          <w:sz w:val="36"/>
          <w:szCs w:val="36"/>
        </w:rPr>
        <w:t>:</w:t>
      </w:r>
    </w:p>
    <w:p w14:paraId="099E604C" w14:textId="77777777" w:rsidR="006F78BF" w:rsidRPr="006F78BF" w:rsidRDefault="006F78BF" w:rsidP="006F78BF">
      <w:pPr>
        <w:jc w:val="center"/>
        <w:rPr>
          <w:szCs w:val="24"/>
        </w:rPr>
      </w:pPr>
    </w:p>
    <w:p w14:paraId="1BE0F5D0" w14:textId="6B2BE5BE" w:rsidR="006F78BF" w:rsidRDefault="00C91EE0" w:rsidP="006F78BF">
      <w:pPr>
        <w:jc w:val="center"/>
        <w:rPr>
          <w:sz w:val="36"/>
          <w:szCs w:val="36"/>
        </w:rPr>
      </w:pPr>
      <w:r>
        <w:rPr>
          <w:sz w:val="36"/>
          <w:szCs w:val="36"/>
        </w:rPr>
        <w:t xml:space="preserve">2015 Annual Report of the Australian Taxation Office – </w:t>
      </w:r>
      <w:r>
        <w:rPr>
          <w:sz w:val="36"/>
          <w:szCs w:val="36"/>
        </w:rPr>
        <w:br/>
        <w:t>First Report</w:t>
      </w:r>
    </w:p>
    <w:p w14:paraId="2042FADD" w14:textId="77777777" w:rsidR="006F78BF" w:rsidRDefault="006F78BF" w:rsidP="006F78BF">
      <w:pPr>
        <w:spacing w:after="0"/>
        <w:jc w:val="center"/>
        <w:rPr>
          <w:sz w:val="36"/>
          <w:szCs w:val="36"/>
        </w:rPr>
      </w:pPr>
    </w:p>
    <w:p w14:paraId="449EC302" w14:textId="77777777" w:rsidR="006F78BF" w:rsidRDefault="006F78BF" w:rsidP="006F78BF">
      <w:pPr>
        <w:spacing w:after="0"/>
        <w:jc w:val="center"/>
        <w:rPr>
          <w:sz w:val="36"/>
          <w:szCs w:val="36"/>
        </w:rPr>
      </w:pPr>
    </w:p>
    <w:p w14:paraId="19ABEB96" w14:textId="77777777" w:rsidR="006F78BF" w:rsidRDefault="006F78BF" w:rsidP="006F78BF">
      <w:pPr>
        <w:spacing w:after="0"/>
        <w:jc w:val="center"/>
        <w:rPr>
          <w:sz w:val="36"/>
          <w:szCs w:val="36"/>
        </w:rPr>
      </w:pPr>
    </w:p>
    <w:p w14:paraId="73799462" w14:textId="77777777" w:rsidR="006F78BF" w:rsidRDefault="006F78BF" w:rsidP="006F78BF">
      <w:pPr>
        <w:spacing w:after="0"/>
        <w:jc w:val="center"/>
        <w:rPr>
          <w:sz w:val="36"/>
          <w:szCs w:val="36"/>
        </w:rPr>
      </w:pPr>
    </w:p>
    <w:p w14:paraId="1A3E6AF7" w14:textId="77777777" w:rsidR="006F78BF" w:rsidRDefault="006F78BF" w:rsidP="006F78BF">
      <w:pPr>
        <w:spacing w:after="0"/>
        <w:jc w:val="center"/>
        <w:rPr>
          <w:sz w:val="36"/>
          <w:szCs w:val="36"/>
        </w:rPr>
      </w:pPr>
    </w:p>
    <w:p w14:paraId="679A46D7" w14:textId="77777777" w:rsidR="006F78BF" w:rsidRDefault="006F78BF" w:rsidP="006F78BF">
      <w:pPr>
        <w:spacing w:after="0"/>
        <w:jc w:val="center"/>
        <w:rPr>
          <w:sz w:val="36"/>
          <w:szCs w:val="36"/>
        </w:rPr>
      </w:pPr>
    </w:p>
    <w:p w14:paraId="249CA064" w14:textId="77777777" w:rsidR="006F78BF" w:rsidRDefault="006F78BF" w:rsidP="006F78BF">
      <w:pPr>
        <w:spacing w:after="0"/>
        <w:jc w:val="center"/>
        <w:rPr>
          <w:sz w:val="36"/>
          <w:szCs w:val="36"/>
        </w:rPr>
      </w:pPr>
    </w:p>
    <w:p w14:paraId="27C1E097" w14:textId="77777777" w:rsidR="006F78BF" w:rsidRDefault="006F78BF" w:rsidP="006F78BF">
      <w:pPr>
        <w:spacing w:after="0"/>
        <w:jc w:val="center"/>
        <w:rPr>
          <w:sz w:val="36"/>
          <w:szCs w:val="36"/>
        </w:rPr>
      </w:pPr>
    </w:p>
    <w:p w14:paraId="53D1C68A" w14:textId="77777777" w:rsidR="006F78BF" w:rsidRDefault="006F78BF" w:rsidP="006F78BF">
      <w:pPr>
        <w:spacing w:after="0"/>
        <w:jc w:val="center"/>
        <w:rPr>
          <w:sz w:val="36"/>
          <w:szCs w:val="36"/>
        </w:rPr>
      </w:pPr>
    </w:p>
    <w:p w14:paraId="31BA7320" w14:textId="77777777" w:rsidR="006F78BF" w:rsidRDefault="006F78BF" w:rsidP="006F78BF">
      <w:pPr>
        <w:spacing w:after="0"/>
        <w:jc w:val="center"/>
        <w:rPr>
          <w:sz w:val="36"/>
          <w:szCs w:val="36"/>
        </w:rPr>
      </w:pPr>
    </w:p>
    <w:p w14:paraId="58DF680B" w14:textId="77777777" w:rsidR="006F78BF" w:rsidRDefault="006F78BF" w:rsidP="006F78BF">
      <w:pPr>
        <w:spacing w:after="0"/>
        <w:jc w:val="center"/>
        <w:rPr>
          <w:sz w:val="36"/>
          <w:szCs w:val="36"/>
        </w:rPr>
      </w:pPr>
    </w:p>
    <w:p w14:paraId="0DA74A89" w14:textId="77777777" w:rsidR="006F78BF" w:rsidRDefault="006F78BF" w:rsidP="006F78BF">
      <w:pPr>
        <w:spacing w:after="0"/>
        <w:jc w:val="center"/>
        <w:rPr>
          <w:sz w:val="36"/>
          <w:szCs w:val="36"/>
        </w:rPr>
      </w:pPr>
    </w:p>
    <w:p w14:paraId="65E329C2" w14:textId="77777777" w:rsidR="006F78BF" w:rsidRDefault="006F78BF" w:rsidP="006F78BF">
      <w:pPr>
        <w:spacing w:after="0"/>
        <w:jc w:val="center"/>
        <w:rPr>
          <w:sz w:val="36"/>
          <w:szCs w:val="36"/>
        </w:rPr>
      </w:pPr>
    </w:p>
    <w:p w14:paraId="56C5D5F6" w14:textId="77777777" w:rsidR="006F78BF" w:rsidRDefault="006F78BF" w:rsidP="006F78BF">
      <w:pPr>
        <w:spacing w:after="0"/>
        <w:jc w:val="center"/>
        <w:rPr>
          <w:sz w:val="36"/>
          <w:szCs w:val="36"/>
        </w:rPr>
      </w:pPr>
    </w:p>
    <w:p w14:paraId="7EAE1A13" w14:textId="77777777" w:rsidR="006F78BF" w:rsidRDefault="006F78BF" w:rsidP="006F78BF">
      <w:pPr>
        <w:spacing w:after="0"/>
        <w:jc w:val="center"/>
        <w:rPr>
          <w:sz w:val="36"/>
          <w:szCs w:val="36"/>
        </w:rPr>
      </w:pPr>
    </w:p>
    <w:p w14:paraId="31D006D4" w14:textId="77777777" w:rsidR="006F78BF" w:rsidRPr="00D63A15" w:rsidRDefault="006F78BF" w:rsidP="006F78BF">
      <w:pPr>
        <w:spacing w:after="0"/>
        <w:rPr>
          <w:caps/>
          <w:sz w:val="36"/>
          <w:szCs w:val="36"/>
        </w:rPr>
      </w:pPr>
    </w:p>
    <w:p w14:paraId="3D84F891" w14:textId="3254A75F" w:rsidR="006F78BF" w:rsidRDefault="00501031" w:rsidP="006F78BF">
      <w:pPr>
        <w:jc w:val="right"/>
        <w:rPr>
          <w:b/>
        </w:rPr>
      </w:pPr>
      <w:r>
        <w:rPr>
          <w:sz w:val="28"/>
          <w:szCs w:val="28"/>
        </w:rPr>
        <w:t>June</w:t>
      </w:r>
      <w:r w:rsidR="00C91EE0">
        <w:rPr>
          <w:sz w:val="28"/>
          <w:szCs w:val="28"/>
        </w:rPr>
        <w:t xml:space="preserve"> 2017</w:t>
      </w:r>
      <w:r w:rsidR="006F78BF">
        <w:rPr>
          <w:b/>
        </w:rPr>
        <w:br w:type="page"/>
      </w:r>
    </w:p>
    <w:p w14:paraId="5DC02166" w14:textId="2D5F4102" w:rsidR="00CC75FB" w:rsidRDefault="003E0E8F" w:rsidP="00E93F90">
      <w:pPr>
        <w:jc w:val="center"/>
        <w:rPr>
          <w:b/>
        </w:rPr>
      </w:pPr>
      <w:r>
        <w:rPr>
          <w:b/>
        </w:rPr>
        <w:lastRenderedPageBreak/>
        <w:t>STANDING COMMITTEE ON TAX AND REVENUE</w:t>
      </w:r>
    </w:p>
    <w:p w14:paraId="5DC02167" w14:textId="6D740D73" w:rsidR="00683591" w:rsidRPr="009B4F2C" w:rsidRDefault="003E0E8F" w:rsidP="00CC75FB">
      <w:pPr>
        <w:jc w:val="center"/>
        <w:rPr>
          <w:rFonts w:eastAsiaTheme="minorHAnsi"/>
          <w:b/>
          <w:bCs/>
          <w:color w:val="000000"/>
          <w:szCs w:val="24"/>
        </w:rPr>
      </w:pPr>
      <w:r>
        <w:rPr>
          <w:b/>
        </w:rPr>
        <w:t xml:space="preserve">2015 ANNUAL REPORT OF THE AUSTRALIAN TAXATION OFFICE – </w:t>
      </w:r>
      <w:r>
        <w:rPr>
          <w:b/>
        </w:rPr>
        <w:br/>
        <w:t>FIRST REPORT</w:t>
      </w:r>
    </w:p>
    <w:p w14:paraId="5DC02168" w14:textId="77777777" w:rsidR="00683591" w:rsidRDefault="00683591" w:rsidP="00683591">
      <w:pPr>
        <w:jc w:val="center"/>
        <w:rPr>
          <w:rFonts w:eastAsiaTheme="minorHAnsi"/>
          <w:b/>
          <w:bCs/>
          <w:color w:val="000000"/>
          <w:szCs w:val="24"/>
        </w:rPr>
      </w:pPr>
    </w:p>
    <w:p w14:paraId="5DC02169" w14:textId="77777777" w:rsidR="00683591" w:rsidRPr="009B4F2C" w:rsidRDefault="00683591" w:rsidP="00683591">
      <w:pPr>
        <w:jc w:val="center"/>
        <w:rPr>
          <w:rFonts w:eastAsiaTheme="minorHAnsi"/>
          <w:bCs/>
          <w:color w:val="000000"/>
          <w:szCs w:val="24"/>
          <w:u w:val="single"/>
        </w:rPr>
      </w:pPr>
      <w:r w:rsidRPr="009B4F2C">
        <w:rPr>
          <w:rFonts w:eastAsiaTheme="minorHAnsi"/>
          <w:bCs/>
          <w:color w:val="000000"/>
          <w:szCs w:val="24"/>
          <w:u w:val="single"/>
        </w:rPr>
        <w:t>Government Response</w:t>
      </w:r>
    </w:p>
    <w:p w14:paraId="050280EC" w14:textId="77777777" w:rsidR="00DF2469" w:rsidRPr="00DF2469" w:rsidRDefault="00DF2469" w:rsidP="00DF2469">
      <w:pPr>
        <w:pBdr>
          <w:top w:val="single" w:sz="4" w:space="1" w:color="auto"/>
          <w:left w:val="single" w:sz="4" w:space="4" w:color="auto"/>
          <w:bottom w:val="single" w:sz="4" w:space="1" w:color="auto"/>
          <w:right w:val="single" w:sz="4" w:space="4" w:color="auto"/>
        </w:pBdr>
        <w:rPr>
          <w:rFonts w:eastAsiaTheme="minorHAnsi"/>
          <w:b/>
          <w:bCs/>
          <w:color w:val="000000" w:themeColor="text1"/>
          <w:szCs w:val="24"/>
        </w:rPr>
      </w:pPr>
      <w:r w:rsidRPr="00DF2469">
        <w:rPr>
          <w:rFonts w:eastAsiaTheme="minorHAnsi"/>
          <w:b/>
          <w:bCs/>
          <w:color w:val="000000" w:themeColor="text1"/>
          <w:szCs w:val="24"/>
        </w:rPr>
        <w:t>Recommendation 1</w:t>
      </w:r>
    </w:p>
    <w:p w14:paraId="4C1890AF" w14:textId="30760BFC" w:rsidR="00DF2469" w:rsidRPr="00DF2469" w:rsidRDefault="003E0E8F" w:rsidP="00DF2469">
      <w:pPr>
        <w:pStyle w:val="Bullet"/>
        <w:pBdr>
          <w:top w:val="single" w:sz="4" w:space="1" w:color="auto"/>
          <w:left w:val="single" w:sz="4" w:space="4" w:color="auto"/>
          <w:bottom w:val="single" w:sz="4" w:space="1" w:color="auto"/>
          <w:right w:val="single" w:sz="4" w:space="4" w:color="auto"/>
        </w:pBdr>
        <w:rPr>
          <w:color w:val="000000" w:themeColor="text1"/>
        </w:rPr>
      </w:pPr>
      <w:r w:rsidRPr="003E0E8F">
        <w:rPr>
          <w:color w:val="000000" w:themeColor="text1"/>
        </w:rPr>
        <w:t>The Committee recommends that the ATO make a clear public statement of its timetable for the transition to the new tax agent platform.</w:t>
      </w:r>
    </w:p>
    <w:p w14:paraId="2486103D" w14:textId="7DF2A10D" w:rsidR="00DF2469" w:rsidRPr="00DF2469" w:rsidRDefault="003E0E8F" w:rsidP="00DF2469">
      <w:pPr>
        <w:pStyle w:val="Bullet"/>
        <w:numPr>
          <w:ilvl w:val="0"/>
          <w:numId w:val="0"/>
        </w:numPr>
        <w:rPr>
          <w:color w:val="000000" w:themeColor="text1"/>
        </w:rPr>
      </w:pPr>
      <w:proofErr w:type="gramStart"/>
      <w:r>
        <w:rPr>
          <w:color w:val="000000" w:themeColor="text1"/>
        </w:rPr>
        <w:t>Agreed.</w:t>
      </w:r>
      <w:proofErr w:type="gramEnd"/>
      <w:r>
        <w:rPr>
          <w:color w:val="000000" w:themeColor="text1"/>
        </w:rPr>
        <w:t xml:space="preserve"> </w:t>
      </w:r>
      <w:r w:rsidR="00A85CDE">
        <w:rPr>
          <w:color w:val="000000" w:themeColor="text1"/>
        </w:rPr>
        <w:t xml:space="preserve"> </w:t>
      </w:r>
      <w:r w:rsidRPr="003E0E8F">
        <w:rPr>
          <w:color w:val="000000" w:themeColor="text1"/>
        </w:rPr>
        <w:t xml:space="preserve">The ATO will publish on </w:t>
      </w:r>
      <w:r w:rsidRPr="00A85CDE">
        <w:rPr>
          <w:color w:val="000000" w:themeColor="text1"/>
          <w:u w:val="single"/>
        </w:rPr>
        <w:t>ato.gov.au</w:t>
      </w:r>
      <w:r w:rsidRPr="003E0E8F">
        <w:rPr>
          <w:color w:val="000000" w:themeColor="text1"/>
        </w:rPr>
        <w:t xml:space="preserve"> a timetable for the transition to the new tax agent platform.</w:t>
      </w:r>
    </w:p>
    <w:p w14:paraId="1D24B4B8" w14:textId="77777777" w:rsidR="00DF2469" w:rsidRPr="00DF2469" w:rsidRDefault="00DF2469" w:rsidP="00DF2469">
      <w:pPr>
        <w:pBdr>
          <w:top w:val="single" w:sz="4" w:space="1" w:color="auto"/>
          <w:left w:val="single" w:sz="4" w:space="4" w:color="auto"/>
          <w:bottom w:val="single" w:sz="4" w:space="1" w:color="auto"/>
          <w:right w:val="single" w:sz="4" w:space="4" w:color="auto"/>
        </w:pBdr>
        <w:rPr>
          <w:rFonts w:eastAsiaTheme="minorHAnsi"/>
          <w:b/>
          <w:bCs/>
          <w:color w:val="000000" w:themeColor="text1"/>
          <w:szCs w:val="24"/>
        </w:rPr>
      </w:pPr>
      <w:r w:rsidRPr="00DF2469">
        <w:rPr>
          <w:rFonts w:eastAsiaTheme="minorHAnsi"/>
          <w:b/>
          <w:bCs/>
          <w:color w:val="000000" w:themeColor="text1"/>
          <w:szCs w:val="24"/>
        </w:rPr>
        <w:t>Recommendation 2</w:t>
      </w:r>
    </w:p>
    <w:p w14:paraId="2435ACF2" w14:textId="65BFBD8B" w:rsidR="00DF2469" w:rsidRPr="00DF2469" w:rsidRDefault="003E0E8F" w:rsidP="00DF2469">
      <w:pPr>
        <w:pStyle w:val="Bullet"/>
        <w:pBdr>
          <w:top w:val="single" w:sz="4" w:space="1" w:color="auto"/>
          <w:left w:val="single" w:sz="4" w:space="4" w:color="auto"/>
          <w:bottom w:val="single" w:sz="4" w:space="1" w:color="auto"/>
          <w:right w:val="single" w:sz="4" w:space="4" w:color="auto"/>
        </w:pBdr>
        <w:rPr>
          <w:color w:val="000000" w:themeColor="text1"/>
        </w:rPr>
      </w:pPr>
      <w:r w:rsidRPr="003E0E8F">
        <w:rPr>
          <w:color w:val="000000" w:themeColor="text1"/>
        </w:rPr>
        <w:t>In order to give certainty to taxpayers, the Committee recommends that the ATO issue notices of assessment whenever an assessment is finalised.</w:t>
      </w:r>
    </w:p>
    <w:p w14:paraId="12377230" w14:textId="5CE85627" w:rsidR="003E0E8F" w:rsidRPr="003E0E8F" w:rsidRDefault="003E0E8F" w:rsidP="003E0E8F">
      <w:pPr>
        <w:pStyle w:val="Bullet"/>
        <w:numPr>
          <w:ilvl w:val="0"/>
          <w:numId w:val="0"/>
        </w:numPr>
        <w:rPr>
          <w:color w:val="000000" w:themeColor="text1"/>
        </w:rPr>
      </w:pPr>
      <w:proofErr w:type="gramStart"/>
      <w:r w:rsidRPr="003E0E8F">
        <w:rPr>
          <w:color w:val="000000" w:themeColor="text1"/>
        </w:rPr>
        <w:t>Noted.</w:t>
      </w:r>
      <w:proofErr w:type="gramEnd"/>
      <w:r>
        <w:rPr>
          <w:color w:val="000000" w:themeColor="text1"/>
        </w:rPr>
        <w:t xml:space="preserve"> </w:t>
      </w:r>
      <w:r w:rsidR="00A85CDE">
        <w:rPr>
          <w:color w:val="000000" w:themeColor="text1"/>
        </w:rPr>
        <w:t xml:space="preserve"> </w:t>
      </w:r>
      <w:r w:rsidRPr="003E0E8F">
        <w:rPr>
          <w:color w:val="000000" w:themeColor="text1"/>
        </w:rPr>
        <w:t>There are only limited circumstances when a notice of assessment is not issued to an individual and a very small number of</w:t>
      </w:r>
      <w:r w:rsidR="00A85CDE">
        <w:rPr>
          <w:color w:val="000000" w:themeColor="text1"/>
        </w:rPr>
        <w:t xml:space="preserve"> taxpayers are affected.</w:t>
      </w:r>
    </w:p>
    <w:p w14:paraId="74244BB0" w14:textId="77777777" w:rsidR="003E0E8F" w:rsidRPr="003E0E8F" w:rsidRDefault="003E0E8F" w:rsidP="003E0E8F">
      <w:pPr>
        <w:pStyle w:val="Bullet"/>
        <w:numPr>
          <w:ilvl w:val="0"/>
          <w:numId w:val="0"/>
        </w:numPr>
        <w:rPr>
          <w:color w:val="000000" w:themeColor="text1"/>
        </w:rPr>
      </w:pPr>
      <w:r w:rsidRPr="003E0E8F">
        <w:rPr>
          <w:color w:val="000000" w:themeColor="text1"/>
        </w:rPr>
        <w:t>A notice of assessment is not issued when a non-resident individual:</w:t>
      </w:r>
    </w:p>
    <w:p w14:paraId="2F789E3E" w14:textId="48D05272" w:rsidR="003E0E8F" w:rsidRPr="003E0E8F" w:rsidRDefault="003E0E8F" w:rsidP="003E0E8F">
      <w:pPr>
        <w:pStyle w:val="Bullet"/>
        <w:spacing w:after="120"/>
        <w:rPr>
          <w:color w:val="000000" w:themeColor="text1"/>
        </w:rPr>
      </w:pPr>
      <w:r w:rsidRPr="003E0E8F">
        <w:rPr>
          <w:color w:val="000000" w:themeColor="text1"/>
        </w:rPr>
        <w:t>only has income that is subject to foreign resident withholding, such as interest or dividends</w:t>
      </w:r>
      <w:r w:rsidR="008B5150">
        <w:rPr>
          <w:color w:val="000000" w:themeColor="text1"/>
        </w:rPr>
        <w:t>;</w:t>
      </w:r>
    </w:p>
    <w:p w14:paraId="415B7B61" w14:textId="7AF7C038" w:rsidR="003E0E8F" w:rsidRPr="003E0E8F" w:rsidRDefault="003E0E8F" w:rsidP="003E0E8F">
      <w:pPr>
        <w:pStyle w:val="Bullet"/>
        <w:spacing w:after="120"/>
        <w:rPr>
          <w:color w:val="000000" w:themeColor="text1"/>
        </w:rPr>
      </w:pPr>
      <w:r w:rsidRPr="003E0E8F">
        <w:rPr>
          <w:color w:val="000000" w:themeColor="text1"/>
        </w:rPr>
        <w:t>an amount was not withheld by the payer or the individual wants to pay that amount themselves</w:t>
      </w:r>
      <w:r w:rsidR="008B5150">
        <w:rPr>
          <w:color w:val="000000" w:themeColor="text1"/>
        </w:rPr>
        <w:t>;</w:t>
      </w:r>
      <w:r w:rsidRPr="003E0E8F">
        <w:rPr>
          <w:color w:val="000000" w:themeColor="text1"/>
        </w:rPr>
        <w:t xml:space="preserve"> and </w:t>
      </w:r>
    </w:p>
    <w:p w14:paraId="3A3878EF" w14:textId="6D98FD52" w:rsidR="00DF2469" w:rsidRPr="003E0E8F" w:rsidRDefault="003E0E8F" w:rsidP="003E0E8F">
      <w:pPr>
        <w:pStyle w:val="Bullet"/>
        <w:spacing w:after="120"/>
        <w:rPr>
          <w:color w:val="000000" w:themeColor="text1"/>
        </w:rPr>
      </w:pPr>
      <w:proofErr w:type="gramStart"/>
      <w:r w:rsidRPr="003E0E8F">
        <w:rPr>
          <w:color w:val="000000" w:themeColor="text1"/>
        </w:rPr>
        <w:t>the</w:t>
      </w:r>
      <w:proofErr w:type="gramEnd"/>
      <w:r w:rsidRPr="003E0E8F">
        <w:rPr>
          <w:color w:val="000000" w:themeColor="text1"/>
        </w:rPr>
        <w:t xml:space="preserve"> individual has no other taxable income.</w:t>
      </w:r>
    </w:p>
    <w:p w14:paraId="6282FC40" w14:textId="53D63BD5" w:rsidR="003E0E8F" w:rsidRPr="00DF2469" w:rsidRDefault="003E0E8F" w:rsidP="003E0E8F">
      <w:pPr>
        <w:pBdr>
          <w:top w:val="single" w:sz="4" w:space="1" w:color="auto"/>
          <w:left w:val="single" w:sz="4" w:space="4" w:color="auto"/>
          <w:bottom w:val="single" w:sz="4" w:space="1" w:color="auto"/>
          <w:right w:val="single" w:sz="4" w:space="4" w:color="auto"/>
        </w:pBdr>
        <w:rPr>
          <w:rFonts w:eastAsiaTheme="minorHAnsi"/>
          <w:b/>
          <w:bCs/>
          <w:color w:val="000000" w:themeColor="text1"/>
          <w:szCs w:val="24"/>
        </w:rPr>
      </w:pPr>
      <w:r>
        <w:rPr>
          <w:rFonts w:eastAsiaTheme="minorHAnsi"/>
          <w:b/>
          <w:bCs/>
          <w:color w:val="000000" w:themeColor="text1"/>
          <w:szCs w:val="24"/>
        </w:rPr>
        <w:t>Recommendation 3</w:t>
      </w:r>
    </w:p>
    <w:p w14:paraId="56141D28" w14:textId="4D632461" w:rsidR="003E0E8F" w:rsidRPr="00DF2469" w:rsidRDefault="003E0E8F" w:rsidP="003E0E8F">
      <w:pPr>
        <w:pStyle w:val="Bullet"/>
        <w:pBdr>
          <w:top w:val="single" w:sz="4" w:space="1" w:color="auto"/>
          <w:left w:val="single" w:sz="4" w:space="4" w:color="auto"/>
          <w:bottom w:val="single" w:sz="4" w:space="1" w:color="auto"/>
          <w:right w:val="single" w:sz="4" w:space="4" w:color="auto"/>
        </w:pBdr>
        <w:rPr>
          <w:color w:val="000000" w:themeColor="text1"/>
        </w:rPr>
      </w:pPr>
      <w:r w:rsidRPr="003E0E8F">
        <w:rPr>
          <w:color w:val="000000" w:themeColor="text1"/>
        </w:rPr>
        <w:t>The Committee recommends that for future draft public rulings the ATO consider a provision that they cease on a certain date or when they are made redundant by legislation.</w:t>
      </w:r>
    </w:p>
    <w:p w14:paraId="1296F579" w14:textId="78C1C278" w:rsidR="003E0E8F" w:rsidRPr="003E0E8F" w:rsidRDefault="003E0E8F" w:rsidP="003E0E8F">
      <w:pPr>
        <w:pStyle w:val="Bullet"/>
        <w:numPr>
          <w:ilvl w:val="0"/>
          <w:numId w:val="0"/>
        </w:numPr>
        <w:rPr>
          <w:color w:val="000000" w:themeColor="text1"/>
        </w:rPr>
      </w:pPr>
      <w:r w:rsidRPr="003E0E8F">
        <w:rPr>
          <w:color w:val="000000" w:themeColor="text1"/>
        </w:rPr>
        <w:t>Partially agree.</w:t>
      </w:r>
      <w:r>
        <w:rPr>
          <w:color w:val="000000" w:themeColor="text1"/>
        </w:rPr>
        <w:t xml:space="preserve"> </w:t>
      </w:r>
      <w:r w:rsidR="00A83576">
        <w:rPr>
          <w:color w:val="000000" w:themeColor="text1"/>
        </w:rPr>
        <w:t xml:space="preserve"> </w:t>
      </w:r>
      <w:r w:rsidRPr="003E0E8F">
        <w:rPr>
          <w:color w:val="000000" w:themeColor="text1"/>
        </w:rPr>
        <w:t>Whilst not providing the full legal protection afforded by a finalised ruling, a draft ruling does provide protection from the imposition of penalties and interest. The ATO administrative framework requires that staff follow draft rulings, so draft rulings indicate the way the ATO will apply the law in practice.</w:t>
      </w:r>
    </w:p>
    <w:p w14:paraId="4453D276" w14:textId="0235CE33" w:rsidR="003E0E8F" w:rsidRPr="003E0E8F" w:rsidRDefault="003E0E8F" w:rsidP="003E0E8F">
      <w:pPr>
        <w:pStyle w:val="Bullet"/>
        <w:numPr>
          <w:ilvl w:val="0"/>
          <w:numId w:val="0"/>
        </w:numPr>
        <w:rPr>
          <w:color w:val="000000" w:themeColor="text1"/>
        </w:rPr>
      </w:pPr>
      <w:r w:rsidRPr="003E0E8F">
        <w:rPr>
          <w:color w:val="000000" w:themeColor="text1"/>
        </w:rPr>
        <w:t>Nonetheless, it may be appropriate to withdraw some aged draft rulings in some circumstances. The automatic withdrawal of all draft rulings after a certain period without replacement would create an absence of guidance on relevant issues, and could lead to taxpayer uncertainty about the current ATO view</w:t>
      </w:r>
      <w:r>
        <w:rPr>
          <w:color w:val="000000" w:themeColor="text1"/>
        </w:rPr>
        <w:t>.</w:t>
      </w:r>
    </w:p>
    <w:p w14:paraId="5EBDD8D9" w14:textId="77777777" w:rsidR="003E0E8F" w:rsidRPr="003E0E8F" w:rsidRDefault="003E0E8F" w:rsidP="003E0E8F">
      <w:pPr>
        <w:pStyle w:val="Bullet"/>
        <w:numPr>
          <w:ilvl w:val="0"/>
          <w:numId w:val="0"/>
        </w:numPr>
        <w:rPr>
          <w:color w:val="000000" w:themeColor="text1"/>
        </w:rPr>
      </w:pPr>
      <w:r w:rsidRPr="003E0E8F">
        <w:rPr>
          <w:color w:val="000000" w:themeColor="text1"/>
        </w:rPr>
        <w:t>The ATO proposes to consult with relevant stakeholders to obtain their views before finalising its position.</w:t>
      </w:r>
    </w:p>
    <w:sectPr w:rsidR="003E0E8F" w:rsidRPr="003E0E8F" w:rsidSect="00884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EB0E287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566232E2"/>
    <w:multiLevelType w:val="multilevel"/>
    <w:tmpl w:val="A83C810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34"/>
    <w:rsid w:val="00001934"/>
    <w:rsid w:val="000233C4"/>
    <w:rsid w:val="00042FC6"/>
    <w:rsid w:val="000721D3"/>
    <w:rsid w:val="00095C3F"/>
    <w:rsid w:val="000A5181"/>
    <w:rsid w:val="000B3D30"/>
    <w:rsid w:val="00107FCE"/>
    <w:rsid w:val="00154BB7"/>
    <w:rsid w:val="00193738"/>
    <w:rsid w:val="00220A9A"/>
    <w:rsid w:val="0025275A"/>
    <w:rsid w:val="00271E83"/>
    <w:rsid w:val="002A552B"/>
    <w:rsid w:val="002D114B"/>
    <w:rsid w:val="0030324C"/>
    <w:rsid w:val="00305997"/>
    <w:rsid w:val="00347BCB"/>
    <w:rsid w:val="00362C64"/>
    <w:rsid w:val="003B3D4A"/>
    <w:rsid w:val="003E0E8F"/>
    <w:rsid w:val="003F256B"/>
    <w:rsid w:val="00443A95"/>
    <w:rsid w:val="00445B31"/>
    <w:rsid w:val="00460C65"/>
    <w:rsid w:val="0049698B"/>
    <w:rsid w:val="004A031F"/>
    <w:rsid w:val="004A2289"/>
    <w:rsid w:val="004B0CB5"/>
    <w:rsid w:val="004D32A4"/>
    <w:rsid w:val="00501031"/>
    <w:rsid w:val="00586206"/>
    <w:rsid w:val="005D455A"/>
    <w:rsid w:val="0063002E"/>
    <w:rsid w:val="006310ED"/>
    <w:rsid w:val="00647A1D"/>
    <w:rsid w:val="00683591"/>
    <w:rsid w:val="006A5D6E"/>
    <w:rsid w:val="006F78BF"/>
    <w:rsid w:val="007572BA"/>
    <w:rsid w:val="00781BD8"/>
    <w:rsid w:val="007869A4"/>
    <w:rsid w:val="007919BE"/>
    <w:rsid w:val="007C298D"/>
    <w:rsid w:val="00836CD5"/>
    <w:rsid w:val="00851442"/>
    <w:rsid w:val="00870B3B"/>
    <w:rsid w:val="00883F38"/>
    <w:rsid w:val="008847CC"/>
    <w:rsid w:val="008B5150"/>
    <w:rsid w:val="008B6296"/>
    <w:rsid w:val="008E6A85"/>
    <w:rsid w:val="00901070"/>
    <w:rsid w:val="009548F9"/>
    <w:rsid w:val="009A7CFD"/>
    <w:rsid w:val="009B4F2C"/>
    <w:rsid w:val="009C126A"/>
    <w:rsid w:val="009D5EB9"/>
    <w:rsid w:val="00A04D69"/>
    <w:rsid w:val="00A10D3C"/>
    <w:rsid w:val="00A11996"/>
    <w:rsid w:val="00A6477D"/>
    <w:rsid w:val="00A705EC"/>
    <w:rsid w:val="00A83576"/>
    <w:rsid w:val="00A84CCD"/>
    <w:rsid w:val="00A85CDE"/>
    <w:rsid w:val="00AC3423"/>
    <w:rsid w:val="00AD04FE"/>
    <w:rsid w:val="00AD64F9"/>
    <w:rsid w:val="00B13CA5"/>
    <w:rsid w:val="00B471E1"/>
    <w:rsid w:val="00B81B07"/>
    <w:rsid w:val="00C17269"/>
    <w:rsid w:val="00C4635F"/>
    <w:rsid w:val="00C478BC"/>
    <w:rsid w:val="00C911C1"/>
    <w:rsid w:val="00C91EE0"/>
    <w:rsid w:val="00CC67EF"/>
    <w:rsid w:val="00CC75FB"/>
    <w:rsid w:val="00CD797E"/>
    <w:rsid w:val="00CE3D84"/>
    <w:rsid w:val="00D04AC5"/>
    <w:rsid w:val="00D631A3"/>
    <w:rsid w:val="00D86B10"/>
    <w:rsid w:val="00D97A2C"/>
    <w:rsid w:val="00DD5889"/>
    <w:rsid w:val="00DD6F91"/>
    <w:rsid w:val="00DF1D75"/>
    <w:rsid w:val="00DF2469"/>
    <w:rsid w:val="00E3112A"/>
    <w:rsid w:val="00E42477"/>
    <w:rsid w:val="00E44260"/>
    <w:rsid w:val="00E662C6"/>
    <w:rsid w:val="00E93F90"/>
    <w:rsid w:val="00E94DB9"/>
    <w:rsid w:val="00EB06A5"/>
    <w:rsid w:val="00EC036B"/>
    <w:rsid w:val="00ED7109"/>
    <w:rsid w:val="00EF7F35"/>
    <w:rsid w:val="00F122D7"/>
    <w:rsid w:val="00F148F6"/>
    <w:rsid w:val="00F265B3"/>
    <w:rsid w:val="00F41ADC"/>
    <w:rsid w:val="00F76331"/>
    <w:rsid w:val="00F85557"/>
    <w:rsid w:val="00F90417"/>
    <w:rsid w:val="00FA2B23"/>
    <w:rsid w:val="00FA40FD"/>
    <w:rsid w:val="00FB2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34"/>
    <w:pPr>
      <w:spacing w:after="24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uiPriority w:val="9"/>
    <w:qFormat/>
    <w:rsid w:val="003E0E8F"/>
    <w:pPr>
      <w:keepNext/>
      <w:widowControl w:val="0"/>
      <w:spacing w:before="240" w:after="12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customStyle="1" w:styleId="Bullet">
    <w:name w:val="Bullet"/>
    <w:basedOn w:val="Normal"/>
    <w:link w:val="BulletChar"/>
    <w:rsid w:val="00001934"/>
    <w:pPr>
      <w:numPr>
        <w:numId w:val="1"/>
      </w:numPr>
    </w:pPr>
  </w:style>
  <w:style w:type="paragraph" w:customStyle="1" w:styleId="Dash">
    <w:name w:val="Dash"/>
    <w:basedOn w:val="Normal"/>
    <w:link w:val="DashChar"/>
    <w:rsid w:val="00001934"/>
    <w:pPr>
      <w:numPr>
        <w:ilvl w:val="1"/>
        <w:numId w:val="1"/>
      </w:numPr>
    </w:pPr>
  </w:style>
  <w:style w:type="paragraph" w:customStyle="1" w:styleId="DoubleDot">
    <w:name w:val="Double Dot"/>
    <w:basedOn w:val="Normal"/>
    <w:rsid w:val="00001934"/>
    <w:pPr>
      <w:numPr>
        <w:ilvl w:val="2"/>
        <w:numId w:val="1"/>
      </w:numPr>
    </w:pPr>
  </w:style>
  <w:style w:type="character" w:customStyle="1" w:styleId="BulletChar">
    <w:name w:val="Bullet Char"/>
    <w:basedOn w:val="DefaultParagraphFont"/>
    <w:link w:val="Bullet"/>
    <w:rsid w:val="000233C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81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07"/>
    <w:rPr>
      <w:rFonts w:ascii="Tahoma" w:eastAsia="Times New Roman" w:hAnsi="Tahoma" w:cs="Tahoma"/>
      <w:sz w:val="16"/>
      <w:szCs w:val="16"/>
      <w:lang w:eastAsia="en-AU"/>
    </w:rPr>
  </w:style>
  <w:style w:type="character" w:customStyle="1" w:styleId="DashChar">
    <w:name w:val="Dash Char"/>
    <w:basedOn w:val="DefaultParagraphFont"/>
    <w:link w:val="Dash"/>
    <w:rsid w:val="00B13CA5"/>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uiPriority w:val="9"/>
    <w:rsid w:val="003E0E8F"/>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34"/>
    <w:pPr>
      <w:spacing w:after="24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uiPriority w:val="9"/>
    <w:qFormat/>
    <w:rsid w:val="003E0E8F"/>
    <w:pPr>
      <w:keepNext/>
      <w:widowControl w:val="0"/>
      <w:spacing w:before="240" w:after="12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customStyle="1" w:styleId="Bullet">
    <w:name w:val="Bullet"/>
    <w:basedOn w:val="Normal"/>
    <w:link w:val="BulletChar"/>
    <w:rsid w:val="00001934"/>
    <w:pPr>
      <w:numPr>
        <w:numId w:val="1"/>
      </w:numPr>
    </w:pPr>
  </w:style>
  <w:style w:type="paragraph" w:customStyle="1" w:styleId="Dash">
    <w:name w:val="Dash"/>
    <w:basedOn w:val="Normal"/>
    <w:link w:val="DashChar"/>
    <w:rsid w:val="00001934"/>
    <w:pPr>
      <w:numPr>
        <w:ilvl w:val="1"/>
        <w:numId w:val="1"/>
      </w:numPr>
    </w:pPr>
  </w:style>
  <w:style w:type="paragraph" w:customStyle="1" w:styleId="DoubleDot">
    <w:name w:val="Double Dot"/>
    <w:basedOn w:val="Normal"/>
    <w:rsid w:val="00001934"/>
    <w:pPr>
      <w:numPr>
        <w:ilvl w:val="2"/>
        <w:numId w:val="1"/>
      </w:numPr>
    </w:pPr>
  </w:style>
  <w:style w:type="character" w:customStyle="1" w:styleId="BulletChar">
    <w:name w:val="Bullet Char"/>
    <w:basedOn w:val="DefaultParagraphFont"/>
    <w:link w:val="Bullet"/>
    <w:rsid w:val="000233C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81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07"/>
    <w:rPr>
      <w:rFonts w:ascii="Tahoma" w:eastAsia="Times New Roman" w:hAnsi="Tahoma" w:cs="Tahoma"/>
      <w:sz w:val="16"/>
      <w:szCs w:val="16"/>
      <w:lang w:eastAsia="en-AU"/>
    </w:rPr>
  </w:style>
  <w:style w:type="character" w:customStyle="1" w:styleId="DashChar">
    <w:name w:val="Dash Char"/>
    <w:basedOn w:val="DefaultParagraphFont"/>
    <w:link w:val="Dash"/>
    <w:rsid w:val="00B13CA5"/>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uiPriority w:val="9"/>
    <w:rsid w:val="003E0E8F"/>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92799">
      <w:bodyDiv w:val="1"/>
      <w:marLeft w:val="0"/>
      <w:marRight w:val="0"/>
      <w:marTop w:val="0"/>
      <w:marBottom w:val="0"/>
      <w:divBdr>
        <w:top w:val="none" w:sz="0" w:space="0" w:color="auto"/>
        <w:left w:val="none" w:sz="0" w:space="0" w:color="auto"/>
        <w:bottom w:val="none" w:sz="0" w:space="0" w:color="auto"/>
        <w:right w:val="none" w:sz="0" w:space="0" w:color="auto"/>
      </w:divBdr>
    </w:div>
    <w:div w:id="14700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2017RG-269-839</_dlc_DocId>
    <_dlc_DocIdUrl xmlns="9f7bc583-7cbe-45b9-a2bd-8bbb6543b37e">
      <Url>http://tweb13/sites/rg/iitd/rr/_layouts/15/DocIdRedir.aspx?ID=2017RG-269-839</Url>
      <Description>2017RG-269-839</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9f7bc583-7cbe-45b9-a2bd-8bbb6543b37e">
      <Value>8</Value>
    </TaxCatchAll>
    <_dlc_DocIdPersistId xmlns="9f7bc583-7cbe-45b9-a2bd-8bbb6543b3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27942E2C4BAF1148BAD47705F549ED9C" ma:contentTypeVersion="6421" ma:contentTypeDescription="" ma:contentTypeScope="" ma:versionID="7da33cd97eec00772e0990c15a3d01b1">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215186dd4cce1c30c83f21e367562a8"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CF1C-E2B8-4577-A4EB-9E20D82BF023}">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9f7bc583-7cbe-45b9-a2bd-8bbb6543b37e"/>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B5E27D54-8709-43C8-A7D7-779114E950A8}">
  <ds:schemaRefs>
    <ds:schemaRef ds:uri="http://schemas.microsoft.com/sharepoint/v3/contenttype/forms"/>
  </ds:schemaRefs>
</ds:datastoreItem>
</file>

<file path=customXml/itemProps3.xml><?xml version="1.0" encoding="utf-8"?>
<ds:datastoreItem xmlns:ds="http://schemas.openxmlformats.org/officeDocument/2006/customXml" ds:itemID="{4E9EAA69-04E4-4303-A9D6-A43F8CA53834}"/>
</file>

<file path=customXml/itemProps4.xml><?xml version="1.0" encoding="utf-8"?>
<ds:datastoreItem xmlns:ds="http://schemas.openxmlformats.org/officeDocument/2006/customXml" ds:itemID="{C299FDDD-060F-44E3-98E8-2C787E9F9B2C}">
  <ds:schemaRefs>
    <ds:schemaRef ds:uri="http://schemas.microsoft.com/sharepoint/events"/>
  </ds:schemaRefs>
</ds:datastoreItem>
</file>

<file path=customXml/itemProps5.xml><?xml version="1.0" encoding="utf-8"?>
<ds:datastoreItem xmlns:ds="http://schemas.openxmlformats.org/officeDocument/2006/customXml" ds:itemID="{E5B31A7B-A594-40B5-B078-A24971A72EAD}">
  <ds:schemaRefs>
    <ds:schemaRef ds:uri="office.server.policy"/>
  </ds:schemaRefs>
</ds:datastoreItem>
</file>

<file path=customXml/itemProps6.xml><?xml version="1.0" encoding="utf-8"?>
<ds:datastoreItem xmlns:ds="http://schemas.openxmlformats.org/officeDocument/2006/customXml" ds:itemID="{F163B1F6-E041-4942-9536-CF509045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Mias, Mark</dc:creator>
  <cp:lastModifiedBy>Vandenhurk, Anne</cp:lastModifiedBy>
  <cp:revision>2</cp:revision>
  <cp:lastPrinted>2012-06-19T05:27:00Z</cp:lastPrinted>
  <dcterms:created xsi:type="dcterms:W3CDTF">2017-09-14T07:43:00Z</dcterms:created>
  <dcterms:modified xsi:type="dcterms:W3CDTF">2017-09-14T07:43:00Z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0x01010036BB8DE7EC542E42A8B2E98CC20CB6970027942E2C4BAF1148BAD47705F549ED9C</vt:lpwstr>
  </property>
  <property fmtid="{D5CDD505-2E9C-101B-9397-08002B2CF9AE}" pid="4" name="_dlc_DocIdItemGuid">
    <vt:lpwstr>aba7435a-c898-416a-b78d-7cb936b50210</vt:lpwstr>
  </property>
  <property fmtid="{D5CDD505-2E9C-101B-9397-08002B2CF9AE}" pid="5" name="Order">
    <vt:r8>1348700</vt:r8>
  </property>
  <property fmtid="{D5CDD505-2E9C-101B-9397-08002B2CF9AE}" pid="6" name="AlternateThumbnailUrl">
    <vt:lpwstr/>
  </property>
  <property fmtid="{D5CDD505-2E9C-101B-9397-08002B2CF9AE}" pid="7" name="xd_ProgID">
    <vt:lpwstr/>
  </property>
  <property fmtid="{D5CDD505-2E9C-101B-9397-08002B2CF9AE}" pid="8" name="Comments">
    <vt:lpwstr/>
  </property>
  <property fmtid="{D5CDD505-2E9C-101B-9397-08002B2CF9AE}" pid="9" name="TemplateUrl">
    <vt:lpwstr/>
  </property>
  <property fmtid="{D5CDD505-2E9C-101B-9397-08002B2CF9AE}" pid="10" name="TSYRecordClass">
    <vt:lpwstr>8;#TSY RA-9242 - Destroy 10 years after action completed|f06ddbdb-86df-426a-bbc0-a9044fd46ab3</vt:lpwstr>
  </property>
  <property fmtid="{D5CDD505-2E9C-101B-9397-08002B2CF9AE}" pid="11" name="RecordPoint_WorkflowType">
    <vt:lpwstr>ActiveSubmitStub</vt:lpwstr>
  </property>
  <property fmtid="{D5CDD505-2E9C-101B-9397-08002B2CF9AE}" pid="12" name="RecordPoint_ActiveItemWebId">
    <vt:lpwstr>{5a9ccb83-97b2-41aa-81b8-272b24042df0}</vt:lpwstr>
  </property>
  <property fmtid="{D5CDD505-2E9C-101B-9397-08002B2CF9AE}" pid="13" name="RecordPoint_ActiveItemSiteId">
    <vt:lpwstr>{5b52b9a5-e5b2-4521-8814-a1e24ca2869d}</vt:lpwstr>
  </property>
  <property fmtid="{D5CDD505-2E9C-101B-9397-08002B2CF9AE}" pid="14" name="RecordPoint_ActiveItemListId">
    <vt:lpwstr>{8f930f60-0f10-4012-9d6f-8c4d77bcb940}</vt:lpwstr>
  </property>
  <property fmtid="{D5CDD505-2E9C-101B-9397-08002B2CF9AE}" pid="15" name="RecordPoint_ActiveItemUniqueId">
    <vt:lpwstr>{aba7435a-c898-416a-b78d-7cb936b50210}</vt:lpwstr>
  </property>
  <property fmtid="{D5CDD505-2E9C-101B-9397-08002B2CF9AE}" pid="16" name="RecordPoint_RecordNumberSubmitted">
    <vt:lpwstr>R0001428234</vt:lpwstr>
  </property>
  <property fmtid="{D5CDD505-2E9C-101B-9397-08002B2CF9AE}" pid="17" name="RecordPoint_SubmissionCompleted">
    <vt:lpwstr>2017-09-14T18:37:00.4366193+10:00</vt:lpwstr>
  </property>
  <property fmtid="{D5CDD505-2E9C-101B-9397-08002B2CF9AE}" pid="18" name="_AdHocReviewCycleID">
    <vt:i4>839169017</vt:i4>
  </property>
  <property fmtid="{D5CDD505-2E9C-101B-9397-08002B2CF9AE}" pid="19" name="_EmailSubject">
    <vt:lpwstr>Update - Faults #232157 [SEC=UNCLASSIFIED]</vt:lpwstr>
  </property>
  <property fmtid="{D5CDD505-2E9C-101B-9397-08002B2CF9AE}" pid="20" name="_AuthorEmail">
    <vt:lpwstr>Anne.Vandenhurk@treasury.gov.au</vt:lpwstr>
  </property>
  <property fmtid="{D5CDD505-2E9C-101B-9397-08002B2CF9AE}" pid="21" name="_AuthorEmailDisplayName">
    <vt:lpwstr>Vandenhurk, Anne</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y fmtid="{D5CDD505-2E9C-101B-9397-08002B2CF9AE}" pid="26" name="_PreviousAdHocReviewCycleID">
    <vt:i4>-691516807</vt:i4>
  </property>
</Properties>
</file>