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DEB6D" w14:textId="5C2B8A78" w:rsidR="00EC29E5" w:rsidRDefault="0002586A">
      <w:pPr>
        <w:pStyle w:val="Heading1"/>
      </w:pPr>
      <w:bookmarkStart w:id="0" w:name="_GoBack"/>
      <w:bookmarkEnd w:id="0"/>
      <w:r>
        <w:t>A</w:t>
      </w:r>
      <w:r w:rsidR="00B65DAE">
        <w:t xml:space="preserve">ustralian </w:t>
      </w:r>
      <w:r w:rsidR="00FE5597">
        <w:t>p</w:t>
      </w:r>
      <w:r w:rsidR="00B65DAE">
        <w:t xml:space="preserve">roductivity </w:t>
      </w:r>
      <w:r w:rsidR="00FE5597">
        <w:t>t</w:t>
      </w:r>
      <w:r w:rsidR="00B65DAE">
        <w:t xml:space="preserve">rends and the </w:t>
      </w:r>
      <w:r w:rsidR="008C7B26">
        <w:t xml:space="preserve">effect </w:t>
      </w:r>
      <w:r w:rsidR="00B65DAE">
        <w:t xml:space="preserve">of </w:t>
      </w:r>
      <w:r w:rsidR="00FE5597">
        <w:t>s</w:t>
      </w:r>
      <w:r w:rsidR="00B65DAE">
        <w:t xml:space="preserve">tructural </w:t>
      </w:r>
      <w:r w:rsidR="00FE5597">
        <w:t>c</w:t>
      </w:r>
      <w:r>
        <w:t>hange</w:t>
      </w:r>
    </w:p>
    <w:p w14:paraId="6D6DEB6E" w14:textId="70588DC3" w:rsidR="00EC29E5" w:rsidRDefault="00B65DAE">
      <w:pPr>
        <w:pStyle w:val="Author"/>
      </w:pPr>
      <w:r>
        <w:t>Simon Campbell and Harry Withers</w:t>
      </w:r>
    </w:p>
    <w:p w14:paraId="6D6DEB6F" w14:textId="4DF515EE" w:rsidR="00DB7431" w:rsidRPr="005863B4" w:rsidRDefault="00C30853" w:rsidP="00682744">
      <w:r w:rsidRPr="005863B4">
        <w:t xml:space="preserve">For a small open economy like Australia, </w:t>
      </w:r>
      <w:r w:rsidR="008C7B26" w:rsidRPr="005863B4">
        <w:t xml:space="preserve">which specialises in commodity exports, </w:t>
      </w:r>
      <w:r w:rsidR="00C51016" w:rsidRPr="005863B4">
        <w:t xml:space="preserve">fluctuations </w:t>
      </w:r>
      <w:r w:rsidRPr="005863B4">
        <w:t xml:space="preserve">in the terms of trade and productivity </w:t>
      </w:r>
      <w:r w:rsidR="00FE5597" w:rsidRPr="005863B4">
        <w:t xml:space="preserve">growth </w:t>
      </w:r>
      <w:r w:rsidRPr="005863B4">
        <w:t xml:space="preserve">are </w:t>
      </w:r>
      <w:r w:rsidR="00FE5597" w:rsidRPr="005863B4">
        <w:t>the primary driver</w:t>
      </w:r>
      <w:r w:rsidRPr="005863B4">
        <w:t>s</w:t>
      </w:r>
      <w:r w:rsidR="00FE5597" w:rsidRPr="005863B4">
        <w:t xml:space="preserve"> of </w:t>
      </w:r>
      <w:r w:rsidR="008C7B26" w:rsidRPr="005863B4">
        <w:t xml:space="preserve">per capita </w:t>
      </w:r>
      <w:r w:rsidR="00FE5597" w:rsidRPr="005863B4">
        <w:t xml:space="preserve">income growth. </w:t>
      </w:r>
      <w:r w:rsidR="00855C64" w:rsidRPr="005863B4">
        <w:t>Because the global mining sector responds to higher commodity prices by expanding capacity, the terms of trade are unlikely to provide sustained boosts to Australia</w:t>
      </w:r>
      <w:r w:rsidR="00E86E34">
        <w:t>’</w:t>
      </w:r>
      <w:r w:rsidR="00855C64" w:rsidRPr="005863B4">
        <w:t>s living standards.</w:t>
      </w:r>
      <w:r w:rsidR="003B7CCB" w:rsidRPr="005863B4">
        <w:t xml:space="preserve"> </w:t>
      </w:r>
      <w:r w:rsidR="00855C64" w:rsidRPr="005863B4">
        <w:t>As such, l</w:t>
      </w:r>
      <w:r w:rsidR="003B7CCB" w:rsidRPr="005863B4">
        <w:t xml:space="preserve">abour productivity </w:t>
      </w:r>
      <w:r w:rsidR="002C4301" w:rsidRPr="005863B4">
        <w:t xml:space="preserve">is likely to </w:t>
      </w:r>
      <w:r w:rsidR="003B7CCB" w:rsidRPr="005863B4">
        <w:t>be the main driver of future growth in living standards.</w:t>
      </w:r>
      <w:r w:rsidRPr="005863B4">
        <w:t xml:space="preserve"> </w:t>
      </w:r>
      <w:r w:rsidR="00DB7431" w:rsidRPr="005863B4">
        <w:t>This paper analyses trends in Australia</w:t>
      </w:r>
      <w:r w:rsidR="00E86E34">
        <w:t>’</w:t>
      </w:r>
      <w:r w:rsidR="00DB7431" w:rsidRPr="005863B4">
        <w:t>s productivity performance and disaggregate</w:t>
      </w:r>
      <w:r w:rsidR="00FF17F8" w:rsidRPr="005863B4">
        <w:t>s</w:t>
      </w:r>
      <w:r w:rsidR="00DB7431" w:rsidRPr="005863B4">
        <w:t xml:space="preserve"> productivity growth into industry contributions to evaluate how structural change is </w:t>
      </w:r>
      <w:r w:rsidR="00E755B4" w:rsidRPr="005863B4">
        <w:t xml:space="preserve">affecting </w:t>
      </w:r>
      <w:r w:rsidR="00DB7431" w:rsidRPr="005863B4">
        <w:t>productivity growth.</w:t>
      </w:r>
    </w:p>
    <w:p w14:paraId="6D6DEB72" w14:textId="77777777" w:rsidR="00DB7431" w:rsidRPr="00682744" w:rsidRDefault="00DB7431" w:rsidP="00682744">
      <w:r>
        <w:br w:type="page"/>
      </w:r>
    </w:p>
    <w:p w14:paraId="6D6DEB73" w14:textId="77777777" w:rsidR="001F4E9B" w:rsidRDefault="009415C4" w:rsidP="00682744">
      <w:pPr>
        <w:pStyle w:val="Heading2"/>
      </w:pPr>
      <w:r>
        <w:lastRenderedPageBreak/>
        <w:t>Introduction</w:t>
      </w:r>
    </w:p>
    <w:p w14:paraId="06AFE84B" w14:textId="56A24F6D" w:rsidR="00A27DBC" w:rsidRDefault="00E74AA7" w:rsidP="005863B4">
      <w:r>
        <w:t xml:space="preserve">Labour productivity growth is, and is expected to continue to be, the key determinant of growth in Australian living standards. </w:t>
      </w:r>
      <w:r w:rsidR="00A27DBC">
        <w:t>In terms of the size of the economy,</w:t>
      </w:r>
      <w:r>
        <w:t xml:space="preserve"> </w:t>
      </w:r>
      <w:r w:rsidR="00A27DBC">
        <w:t>e</w:t>
      </w:r>
      <w:r w:rsidR="00502367" w:rsidRPr="004204D8">
        <w:t xml:space="preserve">conomic growth is determined by </w:t>
      </w:r>
      <w:r w:rsidR="00502367">
        <w:t xml:space="preserve">growth in </w:t>
      </w:r>
      <w:r w:rsidR="006850C6">
        <w:t>labour utilisation</w:t>
      </w:r>
      <w:r w:rsidR="006850C6">
        <w:rPr>
          <w:rStyle w:val="FootnoteReference"/>
        </w:rPr>
        <w:footnoteReference w:id="2"/>
      </w:r>
      <w:r w:rsidR="00502367">
        <w:t xml:space="preserve"> </w:t>
      </w:r>
      <w:r w:rsidR="00502367" w:rsidRPr="004204D8">
        <w:t>and growth in labour productivity</w:t>
      </w:r>
      <w:r w:rsidR="007A5909">
        <w:t>.</w:t>
      </w:r>
      <w:r w:rsidR="00566622">
        <w:rPr>
          <w:rStyle w:val="FootnoteReference"/>
        </w:rPr>
        <w:footnoteReference w:id="3"/>
      </w:r>
      <w:r w:rsidR="0065578D">
        <w:t xml:space="preserve"> </w:t>
      </w:r>
      <w:r w:rsidR="00A27DBC">
        <w:t xml:space="preserve">At an individual level, the primary drivers of per capita income growth are fluctuations in the terms of trade and </w:t>
      </w:r>
      <w:r w:rsidR="009077D6">
        <w:t xml:space="preserve">labour </w:t>
      </w:r>
      <w:r w:rsidR="00A27DBC">
        <w:t xml:space="preserve">productivity growth. </w:t>
      </w:r>
    </w:p>
    <w:p w14:paraId="3769DCAC" w14:textId="0238B5E3" w:rsidR="00A27DBC" w:rsidRDefault="00A27DBC" w:rsidP="0065578D">
      <w:r w:rsidRPr="00855C64">
        <w:t>Because the global mining sector responds to higher commodity prices by expanding capacity, the terms of trade are unlikely to provide sustained boosts to Australia</w:t>
      </w:r>
      <w:r w:rsidR="00E86E34">
        <w:t>’</w:t>
      </w:r>
      <w:r w:rsidRPr="00855C64">
        <w:t xml:space="preserve">s living standards. As such, labour productivity </w:t>
      </w:r>
      <w:r>
        <w:t>is likely to</w:t>
      </w:r>
      <w:r w:rsidRPr="00855C64">
        <w:t xml:space="preserve"> be the main driver of future growth in living standards</w:t>
      </w:r>
      <w:r>
        <w:t xml:space="preserve">. </w:t>
      </w:r>
    </w:p>
    <w:p w14:paraId="6AA17DC9" w14:textId="11F341CC" w:rsidR="0065578D" w:rsidRDefault="0065578D" w:rsidP="0065578D">
      <w:r>
        <w:t>Despite concerns, Australia</w:t>
      </w:r>
      <w:r w:rsidR="00E86E34">
        <w:t>’</w:t>
      </w:r>
      <w:r>
        <w:t>s labour productivity growth over recent years is in line with its longer</w:t>
      </w:r>
      <w:r w:rsidR="00E86E34">
        <w:noBreakHyphen/>
      </w:r>
      <w:r>
        <w:t xml:space="preserve">term performance. </w:t>
      </w:r>
      <w:r w:rsidRPr="004204D8">
        <w:t>In the five years to 201</w:t>
      </w:r>
      <w:r>
        <w:t>5</w:t>
      </w:r>
      <w:r w:rsidR="00E86E34">
        <w:noBreakHyphen/>
      </w:r>
      <w:r w:rsidRPr="004204D8">
        <w:t>1</w:t>
      </w:r>
      <w:r>
        <w:t>6</w:t>
      </w:r>
      <w:r w:rsidRPr="004204D8">
        <w:t>, labour productivity in the whole economy has grown at an average annual rate of 1.</w:t>
      </w:r>
      <w:r>
        <w:t>8</w:t>
      </w:r>
      <w:r w:rsidRPr="004204D8">
        <w:t xml:space="preserve"> per cent. This compares to an average annual rate </w:t>
      </w:r>
      <w:r>
        <w:t>of 1.4 per </w:t>
      </w:r>
      <w:r w:rsidRPr="004204D8">
        <w:t>cent over the past 15 years and 1.6 per cent over the past 30 years.</w:t>
      </w:r>
      <w:r w:rsidR="009077D6">
        <w:rPr>
          <w:rStyle w:val="FootnoteReference"/>
        </w:rPr>
        <w:footnoteReference w:id="4"/>
      </w:r>
    </w:p>
    <w:p w14:paraId="33CC58C6" w14:textId="14848120" w:rsidR="00413527" w:rsidRDefault="00413527" w:rsidP="009C7F46">
      <w:r>
        <w:t>Given the importance of labour productivity growth in improving living standards, an understanding of trends in Australia</w:t>
      </w:r>
      <w:r w:rsidR="00E86E34">
        <w:t>’</w:t>
      </w:r>
      <w:r>
        <w:t>s productivity performance and the impact of structural change on productivity growth can help reveal where we stand and implications for the future. This paper discusses sources of productivity growth in the Australian context, followed by an examination of sectoral productivity growth to highlight how within</w:t>
      </w:r>
      <w:r w:rsidR="00E86E34">
        <w:noBreakHyphen/>
      </w:r>
      <w:r>
        <w:t>sector productivity growth and across</w:t>
      </w:r>
      <w:r w:rsidR="00E86E34">
        <w:noBreakHyphen/>
      </w:r>
      <w:r>
        <w:t>sector productivity growth (or the effects of structural change on productivity) contribute to aggregate productivity growth.</w:t>
      </w:r>
    </w:p>
    <w:p w14:paraId="6D6DEB75" w14:textId="5F9F1339" w:rsidR="00DB7431" w:rsidRDefault="007B785A" w:rsidP="002A2825">
      <w:r>
        <w:t xml:space="preserve">In analysing sources of labour productivity growth, we address the tension between </w:t>
      </w:r>
      <w:r w:rsidR="001F30A6">
        <w:t xml:space="preserve">labour productivity growth and multifactor productivity (MFP) metrics. </w:t>
      </w:r>
      <w:r w:rsidR="00D31AEE">
        <w:t xml:space="preserve">Commentators </w:t>
      </w:r>
      <w:r w:rsidR="006A0760">
        <w:t xml:space="preserve">who </w:t>
      </w:r>
      <w:r w:rsidR="00D31AEE">
        <w:t xml:space="preserve">view labour productivity growth through the lens of a closed economy neoclassical growth framework have voiced concerns about the slow growth of </w:t>
      </w:r>
      <w:r w:rsidR="00DB7431">
        <w:t xml:space="preserve">MFP </w:t>
      </w:r>
      <w:r w:rsidR="00541286">
        <w:t>(Garnaut, 2015)</w:t>
      </w:r>
      <w:r w:rsidR="00D31AEE">
        <w:t xml:space="preserve">. This concern, in large part, stems from the belief that </w:t>
      </w:r>
      <w:r w:rsidR="00C51016">
        <w:t>sustainable l</w:t>
      </w:r>
      <w:r w:rsidR="00D31AEE">
        <w:t>ong</w:t>
      </w:r>
      <w:r w:rsidR="00E86E34">
        <w:noBreakHyphen/>
      </w:r>
      <w:r w:rsidR="00D31AEE">
        <w:t xml:space="preserve">run </w:t>
      </w:r>
      <w:r w:rsidR="00C51016">
        <w:t xml:space="preserve">economic </w:t>
      </w:r>
      <w:r w:rsidR="00D31AEE">
        <w:t xml:space="preserve">growth must be balanced with output and capital growing at the same rate and that this common growth rate </w:t>
      </w:r>
      <w:r w:rsidR="005C5EDC">
        <w:t xml:space="preserve">is </w:t>
      </w:r>
      <w:r w:rsidR="00D31AEE">
        <w:t xml:space="preserve">determined </w:t>
      </w:r>
      <w:r w:rsidR="005C5EDC">
        <w:t xml:space="preserve">solely </w:t>
      </w:r>
      <w:r w:rsidR="00D31AEE">
        <w:t>by the growth of MFP.</w:t>
      </w:r>
      <w:r w:rsidR="00195684">
        <w:t xml:space="preserve"> Our </w:t>
      </w:r>
      <w:r w:rsidR="00DB7431">
        <w:t>analysis shows that Australia</w:t>
      </w:r>
      <w:r w:rsidR="00E86E34">
        <w:t>’</w:t>
      </w:r>
      <w:r w:rsidR="00D31AEE">
        <w:t xml:space="preserve">s </w:t>
      </w:r>
      <w:r w:rsidR="00DB7431">
        <w:t xml:space="preserve">labour productivity growth </w:t>
      </w:r>
      <w:r w:rsidR="00D31AEE">
        <w:t xml:space="preserve">has not been limited by balanced growth or the growth rate of MFP. </w:t>
      </w:r>
      <w:r w:rsidR="00195684" w:rsidRPr="00195684">
        <w:t>Australia</w:t>
      </w:r>
      <w:r w:rsidR="00E86E34">
        <w:t>’</w:t>
      </w:r>
      <w:r w:rsidR="00195684" w:rsidRPr="00195684">
        <w:t xml:space="preserve">s labour productivity growth </w:t>
      </w:r>
      <w:r w:rsidR="00DB7431">
        <w:t xml:space="preserve">has </w:t>
      </w:r>
      <w:r w:rsidR="00195684">
        <w:t xml:space="preserve">largely been driven by </w:t>
      </w:r>
      <w:r w:rsidR="00DB7431">
        <w:t xml:space="preserve">capital deepening (that is, higher capital per worker) rather than MFP growth. </w:t>
      </w:r>
    </w:p>
    <w:p w14:paraId="308AD0F3" w14:textId="2C24B322" w:rsidR="004039E9" w:rsidRDefault="00DB7431" w:rsidP="002A2825">
      <w:r>
        <w:t xml:space="preserve">Sectoral analysis reveals how </w:t>
      </w:r>
      <w:r w:rsidR="0068636A">
        <w:t xml:space="preserve">aggregate productivity growth can be affected by </w:t>
      </w:r>
      <w:r>
        <w:t xml:space="preserve">structural change in the economy. </w:t>
      </w:r>
      <w:r w:rsidR="004039E9">
        <w:t>In Australia, most sectors have broadly similar productivity levels with the exception of the Mining and Utilities sectors, which have relatively high productivity levels. The movement of workers into and out of the Mining sector is the dominant factor behind the effect of structural change on aggregate productivity growth.</w:t>
      </w:r>
    </w:p>
    <w:p w14:paraId="6D6DEB77" w14:textId="2B914B18" w:rsidR="00DB7431" w:rsidRDefault="004039E9" w:rsidP="002A2825">
      <w:r>
        <w:lastRenderedPageBreak/>
        <w:t>Outside a Mining boom</w:t>
      </w:r>
      <w:r w:rsidR="00B4459D">
        <w:t>, where the structural change effect supplements within</w:t>
      </w:r>
      <w:r w:rsidR="00E86E34">
        <w:noBreakHyphen/>
      </w:r>
      <w:r w:rsidR="00B4459D">
        <w:t>sector productivity growth, aggregate productivity growth is driven overwhelmingly by within</w:t>
      </w:r>
      <w:r w:rsidR="00E86E34">
        <w:noBreakHyphen/>
      </w:r>
      <w:r w:rsidR="00B4459D">
        <w:t xml:space="preserve">sector productivity growth. </w:t>
      </w:r>
      <w:r w:rsidR="00DB7431">
        <w:t xml:space="preserve">While </w:t>
      </w:r>
      <w:r w:rsidR="00B4459D">
        <w:t>within</w:t>
      </w:r>
      <w:r w:rsidR="00E86E34">
        <w:noBreakHyphen/>
      </w:r>
      <w:r w:rsidR="00B4459D">
        <w:t>sector</w:t>
      </w:r>
      <w:r w:rsidR="00DB7431">
        <w:t xml:space="preserve"> </w:t>
      </w:r>
      <w:r w:rsidR="00B65A98">
        <w:t>M</w:t>
      </w:r>
      <w:r w:rsidR="00DB7431">
        <w:t xml:space="preserve">ining </w:t>
      </w:r>
      <w:r w:rsidR="00B4459D">
        <w:t>productivity growth</w:t>
      </w:r>
      <w:r w:rsidR="00DB7431">
        <w:t xml:space="preserve"> </w:t>
      </w:r>
      <w:r w:rsidR="00B4459D">
        <w:t>is expected</w:t>
      </w:r>
      <w:r w:rsidR="00DB7431">
        <w:t xml:space="preserve"> to </w:t>
      </w:r>
      <w:r w:rsidR="00B4459D">
        <w:t xml:space="preserve">contribute strongly to aggregate productivity growth for the next few years, </w:t>
      </w:r>
      <w:r w:rsidR="00DB7431">
        <w:t xml:space="preserve">the </w:t>
      </w:r>
      <w:r w:rsidR="00B4459D">
        <w:t xml:space="preserve">large and growing </w:t>
      </w:r>
      <w:r w:rsidR="0065578D">
        <w:t>services sectors</w:t>
      </w:r>
      <w:r w:rsidR="00DB7431">
        <w:t xml:space="preserve"> will remain responsible for growth prospects in the longer term. Efforts to increase productivity in the services sectors will grow in importance into the future.</w:t>
      </w:r>
    </w:p>
    <w:p w14:paraId="6D6DEBBD" w14:textId="2DA28181" w:rsidR="00BA6D11" w:rsidRPr="004204D8" w:rsidRDefault="00BA6D11" w:rsidP="00682744">
      <w:pPr>
        <w:pStyle w:val="Heading3"/>
      </w:pPr>
      <w:r w:rsidRPr="004204D8">
        <w:t xml:space="preserve">Sources of </w:t>
      </w:r>
      <w:r w:rsidR="00E460A1">
        <w:t xml:space="preserve">aggregate </w:t>
      </w:r>
      <w:r w:rsidRPr="004204D8">
        <w:t>labour productivity growth</w:t>
      </w:r>
    </w:p>
    <w:p w14:paraId="1BFB341A" w14:textId="512D65B6" w:rsidR="00BF5D08" w:rsidRDefault="00BA6D11" w:rsidP="00BA6D11">
      <w:r w:rsidRPr="004204D8">
        <w:t xml:space="preserve">Labour productivity growth </w:t>
      </w:r>
      <w:r w:rsidR="00195684">
        <w:t xml:space="preserve">can be </w:t>
      </w:r>
      <w:r w:rsidR="00E460A1">
        <w:t xml:space="preserve">calculated as the sum of </w:t>
      </w:r>
      <w:r w:rsidR="00C80B08">
        <w:t xml:space="preserve">capital deepening </w:t>
      </w:r>
      <w:r w:rsidR="0068636A">
        <w:t>and MFP growth.</w:t>
      </w:r>
      <w:r w:rsidR="000375E2">
        <w:t xml:space="preserve"> </w:t>
      </w:r>
      <w:r w:rsidR="006776CA">
        <w:t>Capital deepening is the change in the ratio of capital to labour</w:t>
      </w:r>
      <w:r w:rsidR="006776CA">
        <w:rPr>
          <w:rStyle w:val="FootnoteReference"/>
        </w:rPr>
        <w:footnoteReference w:id="5"/>
      </w:r>
      <w:r w:rsidR="006776CA">
        <w:t xml:space="preserve"> multiplied by capital</w:t>
      </w:r>
      <w:r w:rsidR="00E86E34">
        <w:t>’</w:t>
      </w:r>
      <w:r w:rsidR="006776CA">
        <w:t>s share of factor income.</w:t>
      </w:r>
      <w:r w:rsidR="00BF5D08">
        <w:t xml:space="preserve"> </w:t>
      </w:r>
      <w:r w:rsidRPr="004204D8">
        <w:t>MFP</w:t>
      </w:r>
      <w:r w:rsidR="00BF5D08">
        <w:t>, which is</w:t>
      </w:r>
      <w:r w:rsidRPr="004204D8">
        <w:t xml:space="preserve"> also known as total factor productivity</w:t>
      </w:r>
      <w:r w:rsidR="00BF5D08">
        <w:t>,</w:t>
      </w:r>
      <w:r w:rsidRPr="004204D8">
        <w:t xml:space="preserve"> </w:t>
      </w:r>
      <w:r w:rsidR="006B4B65">
        <w:t xml:space="preserve">reflects the overall efficiency with which labour </w:t>
      </w:r>
      <w:r w:rsidR="0004539C">
        <w:t>and capital inputs are used together in the production process</w:t>
      </w:r>
      <w:r w:rsidRPr="004204D8">
        <w:t>.</w:t>
      </w:r>
      <w:r w:rsidR="00577B28">
        <w:t xml:space="preserve"> </w:t>
      </w:r>
      <w:r w:rsidR="00BF5D08" w:rsidRPr="00BF5D08">
        <w:t xml:space="preserve">In simplified terms, labour productivity </w:t>
      </w:r>
      <w:r w:rsidR="00BF5D08">
        <w:t xml:space="preserve">growth </w:t>
      </w:r>
      <w:r w:rsidR="00BF5D08" w:rsidRPr="00BF5D08">
        <w:t>can therefore be thought of as the sum of</w:t>
      </w:r>
      <w:r w:rsidR="00BF5D08">
        <w:t>:</w:t>
      </w:r>
      <w:r w:rsidR="00BF5D08" w:rsidRPr="00BF5D08">
        <w:t xml:space="preserve"> (i) </w:t>
      </w:r>
      <w:r w:rsidR="00BF5D08">
        <w:t xml:space="preserve">increases in </w:t>
      </w:r>
      <w:r w:rsidR="00BF5D08" w:rsidRPr="00BF5D08">
        <w:t>the amount of capital per worker</w:t>
      </w:r>
      <w:r w:rsidR="00BF5D08">
        <w:t>; and (ii) how much better</w:t>
      </w:r>
      <w:r w:rsidR="00BF5D08" w:rsidRPr="00BF5D08">
        <w:t xml:space="preserve"> labour and capital work together.</w:t>
      </w:r>
    </w:p>
    <w:p w14:paraId="6D6DEBC4" w14:textId="20FA8CB8" w:rsidR="00002FDF" w:rsidRDefault="00BA6D11" w:rsidP="00BA6D11">
      <w:r w:rsidRPr="004204D8">
        <w:t xml:space="preserve">MFP growth can arise for many reasons, including new management practices that allow capital and labour to be combined more effectively or </w:t>
      </w:r>
      <w:r>
        <w:t>a more efficient allocation</w:t>
      </w:r>
      <w:r w:rsidRPr="004204D8">
        <w:t xml:space="preserve"> </w:t>
      </w:r>
      <w:r w:rsidR="007B58C7">
        <w:t xml:space="preserve">of </w:t>
      </w:r>
      <w:r w:rsidRPr="004204D8">
        <w:t xml:space="preserve">labour and capital </w:t>
      </w:r>
      <w:r>
        <w:t>across</w:t>
      </w:r>
      <w:r w:rsidRPr="004204D8">
        <w:t xml:space="preserve"> the economy.</w:t>
      </w:r>
      <w:r w:rsidR="00577B28">
        <w:t xml:space="preserve"> </w:t>
      </w:r>
      <w:r w:rsidR="00BF5D08">
        <w:t>But unlike</w:t>
      </w:r>
      <w:r w:rsidRPr="004204D8">
        <w:t xml:space="preserve"> output, labour </w:t>
      </w:r>
      <w:r w:rsidR="00BF5D08">
        <w:t>or</w:t>
      </w:r>
      <w:r w:rsidRPr="004204D8">
        <w:t xml:space="preserve"> capital</w:t>
      </w:r>
      <w:r w:rsidR="00BF5D08">
        <w:t>,</w:t>
      </w:r>
      <w:r w:rsidRPr="004204D8">
        <w:t xml:space="preserve"> </w:t>
      </w:r>
      <w:r w:rsidR="00BF5D08">
        <w:t>MFP is not directly observed.</w:t>
      </w:r>
      <w:r w:rsidR="00150B29">
        <w:t xml:space="preserve"> </w:t>
      </w:r>
      <w:r w:rsidR="00BF5D08">
        <w:t xml:space="preserve">Rather, </w:t>
      </w:r>
      <w:r w:rsidR="009C200E">
        <w:t xml:space="preserve">it </w:t>
      </w:r>
      <w:r w:rsidRPr="004204D8">
        <w:t>is calcu</w:t>
      </w:r>
      <w:r w:rsidR="008153F9">
        <w:t>lated as a residual</w:t>
      </w:r>
      <w:r w:rsidRPr="004204D8">
        <w:t xml:space="preserve"> </w:t>
      </w:r>
      <w:r w:rsidR="008153F9">
        <w:t>(meaning</w:t>
      </w:r>
      <w:r w:rsidRPr="004204D8">
        <w:t xml:space="preserve"> mismeasurement of labour or capital inputs will be reflected in mismeasured MFP</w:t>
      </w:r>
      <w:r w:rsidR="005A32C3">
        <w:t>).</w:t>
      </w:r>
      <w:r w:rsidR="005A32C3">
        <w:rPr>
          <w:rStyle w:val="FootnoteReference"/>
        </w:rPr>
        <w:footnoteReference w:id="6"/>
      </w:r>
    </w:p>
    <w:p w14:paraId="4D77DD05" w14:textId="06DC1AEC" w:rsidR="00E66125" w:rsidRPr="004204D8" w:rsidRDefault="00E66125" w:rsidP="00BA6D11">
      <w:r w:rsidRPr="00E66125">
        <w:t>Internationally, G7 countries</w:t>
      </w:r>
      <w:r>
        <w:t xml:space="preserve"> </w:t>
      </w:r>
      <w:r w:rsidRPr="00E66125">
        <w:t>have experienced a slowdown in MFP growth relative to capital deepening over recent decades. Up until around the late 1990s, the contribution of MFP growth to labour productivity in G7 countries was generally at least as important as the contribution of capital deepening. Since then, most of the slowdown in labour productivity growth has been driven by lower MFP growth</w:t>
      </w:r>
      <w:r>
        <w:t xml:space="preserve"> </w:t>
      </w:r>
      <w:r w:rsidRPr="00E66125">
        <w:t>(OECD, 2015).</w:t>
      </w:r>
    </w:p>
    <w:p w14:paraId="6D6DEBC7" w14:textId="4EF33C56" w:rsidR="008153F9" w:rsidRDefault="00D33E64" w:rsidP="008153F9">
      <w:r>
        <w:t xml:space="preserve">The contribution to labour productivity growth in </w:t>
      </w:r>
      <w:r w:rsidR="008153F9" w:rsidRPr="004204D8">
        <w:t>Australia</w:t>
      </w:r>
      <w:r w:rsidR="001A2894">
        <w:t xml:space="preserve"> </w:t>
      </w:r>
      <w:r>
        <w:t>from</w:t>
      </w:r>
      <w:r w:rsidR="008153F9" w:rsidRPr="004204D8">
        <w:t xml:space="preserve"> capital deepening </w:t>
      </w:r>
      <w:r w:rsidR="001A2894">
        <w:t>has been</w:t>
      </w:r>
      <w:r w:rsidR="001A2894" w:rsidRPr="004204D8">
        <w:t xml:space="preserve"> </w:t>
      </w:r>
      <w:r w:rsidR="008153F9" w:rsidRPr="004204D8">
        <w:t xml:space="preserve">higher than the </w:t>
      </w:r>
      <w:r>
        <w:t>contribution from</w:t>
      </w:r>
      <w:r w:rsidR="008153F9" w:rsidRPr="004204D8">
        <w:t xml:space="preserve"> MFP</w:t>
      </w:r>
      <w:r>
        <w:t xml:space="preserve"> growth</w:t>
      </w:r>
      <w:r w:rsidR="001A2894">
        <w:t>.</w:t>
      </w:r>
      <w:r w:rsidR="001A2894" w:rsidRPr="004204D8">
        <w:t xml:space="preserve"> </w:t>
      </w:r>
      <w:r w:rsidR="008153F9">
        <w:t xml:space="preserve">Of the </w:t>
      </w:r>
      <w:r w:rsidR="0004539C">
        <w:t>30</w:t>
      </w:r>
      <w:r w:rsidR="00E86E34">
        <w:noBreakHyphen/>
      </w:r>
      <w:r w:rsidR="0004539C">
        <w:t>year</w:t>
      </w:r>
      <w:r w:rsidR="008153F9">
        <w:t xml:space="preserve"> average of 1.6 per cent whole</w:t>
      </w:r>
      <w:r w:rsidR="00E86E34">
        <w:noBreakHyphen/>
      </w:r>
      <w:r w:rsidR="008153F9">
        <w:t>of</w:t>
      </w:r>
      <w:r w:rsidR="00E86E34">
        <w:noBreakHyphen/>
      </w:r>
      <w:r w:rsidR="008153F9">
        <w:t>economy labour productivity</w:t>
      </w:r>
      <w:r w:rsidR="0004539C">
        <w:t xml:space="preserve"> growth</w:t>
      </w:r>
      <w:r w:rsidR="008153F9">
        <w:t xml:space="preserve">, </w:t>
      </w:r>
      <w:r w:rsidR="008153F9" w:rsidRPr="00577B28">
        <w:t xml:space="preserve">capital deepening </w:t>
      </w:r>
      <w:r w:rsidR="008153F9">
        <w:t xml:space="preserve">contributed </w:t>
      </w:r>
      <w:r w:rsidR="00F4643F">
        <w:t>0</w:t>
      </w:r>
      <w:r w:rsidR="008153F9">
        <w:t>.</w:t>
      </w:r>
      <w:r w:rsidR="00F4643F">
        <w:t>9</w:t>
      </w:r>
      <w:r w:rsidR="008153F9">
        <w:t xml:space="preserve"> per</w:t>
      </w:r>
      <w:r w:rsidR="008153F9" w:rsidRPr="00577B28">
        <w:t>cent</w:t>
      </w:r>
      <w:r w:rsidR="008153F9">
        <w:t>age</w:t>
      </w:r>
      <w:r w:rsidR="008153F9" w:rsidRPr="00577B28">
        <w:t xml:space="preserve"> </w:t>
      </w:r>
      <w:r w:rsidR="008153F9">
        <w:t>points and MFP 0.</w:t>
      </w:r>
      <w:r w:rsidR="00F4643F">
        <w:t>7</w:t>
      </w:r>
      <w:r w:rsidR="008153F9">
        <w:t> percentage points</w:t>
      </w:r>
      <w:r w:rsidR="0004539C">
        <w:t xml:space="preserve"> (Chart 1)</w:t>
      </w:r>
      <w:r w:rsidR="008153F9" w:rsidRPr="00577B28">
        <w:t>.</w:t>
      </w:r>
      <w:r w:rsidR="00195684">
        <w:t xml:space="preserve"> This is at odds with the balanced growth</w:t>
      </w:r>
      <w:r w:rsidR="00E66125">
        <w:t>/MFP growth</w:t>
      </w:r>
      <w:r w:rsidR="00195684">
        <w:t xml:space="preserve"> framework</w:t>
      </w:r>
      <w:r w:rsidR="001C58F5">
        <w:t>,</w:t>
      </w:r>
      <w:r w:rsidR="00195684">
        <w:t xml:space="preserve"> which implies a contribution from capital deepening equal to capital</w:t>
      </w:r>
      <w:r w:rsidR="00E86E34">
        <w:t>’</w:t>
      </w:r>
      <w:r w:rsidR="00195684">
        <w:t xml:space="preserve">s share of </w:t>
      </w:r>
      <w:r w:rsidR="001C58F5">
        <w:t>factor incomes</w:t>
      </w:r>
      <w:r w:rsidR="007D2F6C">
        <w:t>. A</w:t>
      </w:r>
      <w:r w:rsidR="007D2F6C" w:rsidRPr="00375800">
        <w:t>fter rising slowly over the past 30 years</w:t>
      </w:r>
      <w:r w:rsidR="007D2F6C">
        <w:t>,</w:t>
      </w:r>
      <w:r w:rsidR="007D2F6C" w:rsidRPr="00375800">
        <w:t xml:space="preserve"> capital</w:t>
      </w:r>
      <w:r w:rsidR="00E86E34">
        <w:t>’</w:t>
      </w:r>
      <w:r w:rsidR="007D2F6C" w:rsidRPr="00375800">
        <w:t xml:space="preserve">s share of </w:t>
      </w:r>
      <w:r w:rsidR="007D2F6C">
        <w:t>factor income in Australia</w:t>
      </w:r>
      <w:r w:rsidR="00E86E34">
        <w:t>’</w:t>
      </w:r>
      <w:r w:rsidR="007D2F6C">
        <w:t>s</w:t>
      </w:r>
      <w:r w:rsidR="007D2F6C" w:rsidRPr="00375800">
        <w:t xml:space="preserve"> market sector is currently around 41 per cent (coming off its peak of 44 per cent in 2011</w:t>
      </w:r>
      <w:r w:rsidR="00E86E34">
        <w:noBreakHyphen/>
      </w:r>
      <w:r w:rsidR="007D2F6C" w:rsidRPr="00375800">
        <w:t>12).</w:t>
      </w:r>
      <w:r w:rsidR="007D2F6C">
        <w:rPr>
          <w:rStyle w:val="FootnoteReference"/>
        </w:rPr>
        <w:footnoteReference w:id="7"/>
      </w:r>
      <w:r w:rsidR="001C58F5">
        <w:t xml:space="preserve"> </w:t>
      </w:r>
    </w:p>
    <w:p w14:paraId="6D6DEBC9" w14:textId="2D43B33A" w:rsidR="00BA6D11" w:rsidRDefault="00A83D64" w:rsidP="0004539C">
      <w:pPr>
        <w:pStyle w:val="ChartMainHeading"/>
      </w:pPr>
      <w:r w:rsidRPr="00A83D64">
        <w:lastRenderedPageBreak/>
        <w:t xml:space="preserve">Chart 1: Labour productivity </w:t>
      </w:r>
      <w:r w:rsidR="0004539C">
        <w:t xml:space="preserve">growth </w:t>
      </w:r>
      <w:r w:rsidRPr="00A83D64">
        <w:t>decomposition</w:t>
      </w:r>
      <w:r w:rsidR="001D0E12">
        <w:rPr>
          <w:rStyle w:val="FootnoteReference"/>
        </w:rPr>
        <w:footnoteReference w:id="8"/>
      </w:r>
    </w:p>
    <w:p w14:paraId="6D6DEBCA" w14:textId="276C9C9C" w:rsidR="00A83D64" w:rsidRPr="00A83D64" w:rsidRDefault="00C61F9B" w:rsidP="00A83D64">
      <w:pPr>
        <w:pStyle w:val="ChartGraphic"/>
      </w:pPr>
      <w:r>
        <w:rPr>
          <w:noProof/>
        </w:rPr>
        <w:drawing>
          <wp:inline distT="0" distB="0" distL="0" distR="0" wp14:anchorId="77307899" wp14:editId="4ABCE64A">
            <wp:extent cx="5731510" cy="2832923"/>
            <wp:effectExtent l="0" t="0" r="254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6DEBCB" w14:textId="77777777" w:rsidR="004C391E" w:rsidRDefault="00A83D64" w:rsidP="008169BF">
      <w:pPr>
        <w:pStyle w:val="ChartorTableNote"/>
      </w:pPr>
      <w:r w:rsidRPr="002C41CF">
        <w:t>Source: ABS cat. no. 5260.0.55.002 and Treasury calculations</w:t>
      </w:r>
      <w:r>
        <w:t>.</w:t>
      </w:r>
    </w:p>
    <w:p w14:paraId="37E8B961" w14:textId="77777777" w:rsidR="00245515" w:rsidRPr="005863B4" w:rsidRDefault="00245515" w:rsidP="007A5909">
      <w:pPr>
        <w:pStyle w:val="SingleParagraph"/>
      </w:pPr>
    </w:p>
    <w:p w14:paraId="1A930959" w14:textId="4A961C8D" w:rsidR="00AE4085" w:rsidRDefault="00AE4085" w:rsidP="00AE4085">
      <w:r>
        <w:t>As a source of labour productivity growth, MFP growth is considered to have an important advantage over capital deepening. Neoclassical growth theory implicitly assumes that</w:t>
      </w:r>
      <w:r w:rsidRPr="004C391E">
        <w:t xml:space="preserve">, unlike capital deepening, </w:t>
      </w:r>
      <w:r>
        <w:t xml:space="preserve">MFP growth </w:t>
      </w:r>
      <w:r w:rsidRPr="004C391E">
        <w:t>does not necessarily require an economy to forgo consumption</w:t>
      </w:r>
      <w:r>
        <w:t xml:space="preserve">. As such, </w:t>
      </w:r>
      <w:r w:rsidRPr="004C391E">
        <w:t>growth in MFP is generally considered a highly desirable</w:t>
      </w:r>
      <w:r w:rsidR="00E86E34">
        <w:t xml:space="preserve"> — </w:t>
      </w:r>
      <w:r w:rsidRPr="004C391E">
        <w:t>and sustainable</w:t>
      </w:r>
      <w:r w:rsidR="00E86E34">
        <w:t xml:space="preserve"> — </w:t>
      </w:r>
      <w:r w:rsidRPr="004C391E">
        <w:t xml:space="preserve">source of labour productivity growth. </w:t>
      </w:r>
      <w:r>
        <w:t xml:space="preserve">That said, improvements in MFP do not come for free, given they usually require the use of other factors of production. </w:t>
      </w:r>
    </w:p>
    <w:p w14:paraId="15DA6657" w14:textId="72D26678" w:rsidR="00AE4085" w:rsidRPr="004C391E" w:rsidRDefault="00AE4085" w:rsidP="00AE4085">
      <w:r>
        <w:t>However, Australia has largely avoided the downside to capital deepening</w:t>
      </w:r>
      <w:r w:rsidR="00E86E34">
        <w:noBreakHyphen/>
      </w:r>
      <w:r>
        <w:t xml:space="preserve">led labour productivity growth. Productivity improvements in the rest of the world have caused a persistent fall in </w:t>
      </w:r>
      <w:r w:rsidRPr="004C391E">
        <w:t>the price of capital goods relative to consumption goods</w:t>
      </w:r>
      <w:r>
        <w:t>. This</w:t>
      </w:r>
      <w:r w:rsidRPr="004C391E">
        <w:t xml:space="preserve"> has allowed Australia to </w:t>
      </w:r>
      <w:r>
        <w:t>sustain</w:t>
      </w:r>
      <w:r w:rsidRPr="004C391E">
        <w:t xml:space="preserve"> its </w:t>
      </w:r>
      <w:r>
        <w:t xml:space="preserve">high </w:t>
      </w:r>
      <w:r w:rsidRPr="004C391E">
        <w:t xml:space="preserve">rate of capital deepening without forgoing </w:t>
      </w:r>
      <w:r>
        <w:t xml:space="preserve">ever higher levels of </w:t>
      </w:r>
      <w:r w:rsidRPr="004C391E">
        <w:t>consumption</w:t>
      </w:r>
      <w:r>
        <w:t>.</w:t>
      </w:r>
    </w:p>
    <w:p w14:paraId="7694C442" w14:textId="47039010" w:rsidR="00AE4085" w:rsidRDefault="00AE4085" w:rsidP="00AE4085">
      <w:r>
        <w:t>It is important to note that the</w:t>
      </w:r>
      <w:r w:rsidRPr="004C391E">
        <w:t xml:space="preserve"> </w:t>
      </w:r>
      <w:r>
        <w:t xml:space="preserve">relative </w:t>
      </w:r>
      <w:r w:rsidRPr="004C391E">
        <w:t>contribution of capital deepening and MFP</w:t>
      </w:r>
      <w:r>
        <w:t xml:space="preserve"> may be skewed if new capital </w:t>
      </w:r>
      <w:r w:rsidRPr="004C391E">
        <w:t>take</w:t>
      </w:r>
      <w:r>
        <w:t>s</w:t>
      </w:r>
      <w:r w:rsidRPr="004C391E">
        <w:t xml:space="preserve"> some time to </w:t>
      </w:r>
      <w:r>
        <w:t>boost</w:t>
      </w:r>
      <w:r w:rsidRPr="004C391E">
        <w:t xml:space="preserve"> output. For example, during an investment boom the contribution of capital deepening to </w:t>
      </w:r>
      <w:r>
        <w:t>labour productivity growth may be over</w:t>
      </w:r>
      <w:r w:rsidRPr="004C391E">
        <w:t xml:space="preserve">stated and the contribution of MFP </w:t>
      </w:r>
      <w:r>
        <w:t xml:space="preserve">growth </w:t>
      </w:r>
      <w:r w:rsidRPr="004C391E">
        <w:t>understated</w:t>
      </w:r>
      <w:r>
        <w:t xml:space="preserve"> </w:t>
      </w:r>
      <w:r w:rsidRPr="004C391E">
        <w:t>for capital with a long</w:t>
      </w:r>
      <w:r w:rsidR="00E86E34">
        <w:noBreakHyphen/>
      </w:r>
      <w:r w:rsidRPr="004C391E">
        <w:t>time</w:t>
      </w:r>
      <w:r w:rsidR="00E86E34">
        <w:noBreakHyphen/>
      </w:r>
      <w:r w:rsidRPr="004C391E">
        <w:t>to</w:t>
      </w:r>
      <w:r w:rsidR="00E86E34">
        <w:noBreakHyphen/>
      </w:r>
      <w:r w:rsidRPr="004C391E">
        <w:t>build.</w:t>
      </w:r>
      <w:r>
        <w:t xml:space="preserve"> Such a</w:t>
      </w:r>
      <w:r w:rsidRPr="004C391E">
        <w:t xml:space="preserve"> delay in productivity associated with capital investment has be</w:t>
      </w:r>
      <w:r>
        <w:t>en particularly evident in the M</w:t>
      </w:r>
      <w:r w:rsidRPr="004C391E">
        <w:t>ining sector over the past decade</w:t>
      </w:r>
      <w:r w:rsidR="00E86E34">
        <w:t xml:space="preserve"> — </w:t>
      </w:r>
      <w:r w:rsidRPr="004C391E">
        <w:t>with flow</w:t>
      </w:r>
      <w:r w:rsidR="00E86E34">
        <w:noBreakHyphen/>
      </w:r>
      <w:r w:rsidRPr="004C391E">
        <w:t>on effects to whole of economy estimates of capital deepening and MFP</w:t>
      </w:r>
      <w:r>
        <w:t xml:space="preserve"> growth</w:t>
      </w:r>
      <w:r w:rsidRPr="004C391E">
        <w:t>.</w:t>
      </w:r>
      <w:r>
        <w:t xml:space="preserve"> With</w:t>
      </w:r>
      <w:r w:rsidRPr="004C391E">
        <w:t xml:space="preserve"> the </w:t>
      </w:r>
      <w:r>
        <w:t>ending of the M</w:t>
      </w:r>
      <w:r w:rsidRPr="004C391E">
        <w:t>ining investment boom an</w:t>
      </w:r>
      <w:r>
        <w:t>d Mining output continuing</w:t>
      </w:r>
      <w:r w:rsidRPr="004C391E">
        <w:t xml:space="preserve"> to grow over coming years</w:t>
      </w:r>
      <w:r>
        <w:t>,</w:t>
      </w:r>
      <w:r w:rsidRPr="004C391E">
        <w:t xml:space="preserve"> MFP growth is expected </w:t>
      </w:r>
      <w:r>
        <w:t>to recover (although potentially be overstated)</w:t>
      </w:r>
      <w:r w:rsidRPr="004C391E">
        <w:t>.</w:t>
      </w:r>
    </w:p>
    <w:p w14:paraId="1F31D098" w14:textId="7603DD8B" w:rsidR="00531686" w:rsidRDefault="00531686" w:rsidP="00682744">
      <w:pPr>
        <w:pStyle w:val="Heading4"/>
      </w:pPr>
      <w:r>
        <w:t xml:space="preserve">Factors driving </w:t>
      </w:r>
      <w:r w:rsidR="00444B8E">
        <w:t xml:space="preserve">historical </w:t>
      </w:r>
      <w:r>
        <w:t>aggregate labour productivity growth</w:t>
      </w:r>
    </w:p>
    <w:p w14:paraId="551C097F" w14:textId="36160360" w:rsidR="00531686" w:rsidRDefault="00531686" w:rsidP="00531686">
      <w:r>
        <w:t>During the 1990s</w:t>
      </w:r>
      <w:r w:rsidR="007B58C7">
        <w:t>,</w:t>
      </w:r>
      <w:r>
        <w:t xml:space="preserve"> there was strong growth in aggregate labour productivity</w:t>
      </w:r>
      <w:r w:rsidR="00444B8E">
        <w:t xml:space="preserve"> (Chart 1</w:t>
      </w:r>
      <w:r w:rsidR="003E5BA0">
        <w:t xml:space="preserve">). This </w:t>
      </w:r>
      <w:r>
        <w:t>can largely be attributed to more investment by firms in information and communications technology (ICT)</w:t>
      </w:r>
      <w:r w:rsidR="003E5BA0">
        <w:t xml:space="preserve"> and important microeconomic and macroeconomic reforms introduced since the mid</w:t>
      </w:r>
      <w:r w:rsidR="00E86E34">
        <w:noBreakHyphen/>
      </w:r>
      <w:r w:rsidR="003E5BA0">
        <w:t>1980s. The former</w:t>
      </w:r>
      <w:r>
        <w:t xml:space="preserve"> contributed not only to productivity growth th</w:t>
      </w:r>
      <w:r w:rsidR="00CE4841">
        <w:t>r</w:t>
      </w:r>
      <w:r>
        <w:t>ough ICT production but also the use of ICT (Gretton, Gali and Parham, 2004)</w:t>
      </w:r>
      <w:r w:rsidR="00CE4841">
        <w:t>.</w:t>
      </w:r>
      <w:r w:rsidR="003E5BA0">
        <w:t xml:space="preserve"> </w:t>
      </w:r>
      <w:r w:rsidR="00CE4841">
        <w:t>T</w:t>
      </w:r>
      <w:r w:rsidR="003E5BA0">
        <w:t>he latter</w:t>
      </w:r>
      <w:r>
        <w:t xml:space="preserve"> included changes in monetary and fiscal policies, capital markets, industry assistance, taxation, government enterprises, regulation, labour markets and industrial relations, competition policy, innovation and training (Productivity Commission, 1999 and </w:t>
      </w:r>
      <w:r w:rsidR="007A5909">
        <w:t> </w:t>
      </w:r>
      <w:r>
        <w:t>2004).</w:t>
      </w:r>
      <w:r w:rsidRPr="00D86EEF">
        <w:t xml:space="preserve"> </w:t>
      </w:r>
    </w:p>
    <w:p w14:paraId="2FA52268" w14:textId="3166A705" w:rsidR="00531686" w:rsidRDefault="00531686" w:rsidP="00531686">
      <w:r>
        <w:t xml:space="preserve">These </w:t>
      </w:r>
      <w:r w:rsidR="00CE4841">
        <w:t xml:space="preserve">reforms </w:t>
      </w:r>
      <w:r w:rsidR="003E5BA0">
        <w:t xml:space="preserve">have been shown to have </w:t>
      </w:r>
      <w:r>
        <w:t xml:space="preserve">increased competition, promoted more efficient allocation of resources and improved international competitiveness. </w:t>
      </w:r>
      <w:r w:rsidR="003E5BA0">
        <w:t>S</w:t>
      </w:r>
      <w:r>
        <w:t xml:space="preserve">ome </w:t>
      </w:r>
      <w:r w:rsidR="003E5BA0">
        <w:t xml:space="preserve">have </w:t>
      </w:r>
      <w:r>
        <w:t xml:space="preserve">argued </w:t>
      </w:r>
      <w:r w:rsidR="003E5BA0">
        <w:t xml:space="preserve">that </w:t>
      </w:r>
      <w:r>
        <w:t xml:space="preserve">they </w:t>
      </w:r>
      <w:r w:rsidR="003E5BA0">
        <w:t xml:space="preserve">also </w:t>
      </w:r>
      <w:r>
        <w:t xml:space="preserve">created a competitive environment </w:t>
      </w:r>
      <w:r w:rsidR="003E5BA0">
        <w:t xml:space="preserve">that has led to </w:t>
      </w:r>
      <w:r>
        <w:t>permanently higher levels of innovation as businesses anticipated global changes in technology, international competition and tastes (Dolman, 2009).</w:t>
      </w:r>
    </w:p>
    <w:p w14:paraId="0273F5D5" w14:textId="0C0E1C00" w:rsidR="008D360C" w:rsidRDefault="008D360C" w:rsidP="008D360C">
      <w:pPr>
        <w:tabs>
          <w:tab w:val="num" w:pos="1134"/>
        </w:tabs>
      </w:pPr>
      <w:r>
        <w:t>The resurgence of economy</w:t>
      </w:r>
      <w:r w:rsidR="00E86E34">
        <w:noBreakHyphen/>
      </w:r>
      <w:r>
        <w:t xml:space="preserve">wide labour productivity growth during the 1990s was led by the services sector. Industries like wholesale trade and financial services seized on new advances in </w:t>
      </w:r>
      <w:r w:rsidR="00E27366">
        <w:t>ICT</w:t>
      </w:r>
      <w:r>
        <w:t xml:space="preserve"> to transform the way they did business. And following the corporatisation and privatisation of their operations, industries like telecommunications and utilities achieved continued productivity growth by scaling back investment levels and substantially reducing their workforces. Productivity levels in these industries rose towards the international technological frontier (Dolman and Gruen, 2012).</w:t>
      </w:r>
    </w:p>
    <w:p w14:paraId="72C00ED2" w14:textId="23D179CD" w:rsidR="008D360C" w:rsidRDefault="008D360C" w:rsidP="008D360C">
      <w:pPr>
        <w:tabs>
          <w:tab w:val="num" w:pos="1134"/>
        </w:tabs>
      </w:pPr>
      <w:r>
        <w:t xml:space="preserve">However, aggregate </w:t>
      </w:r>
      <w:r w:rsidRPr="004B5978">
        <w:t xml:space="preserve">labour productivity </w:t>
      </w:r>
      <w:r>
        <w:t>growth slowed</w:t>
      </w:r>
      <w:r w:rsidRPr="004B5978">
        <w:t xml:space="preserve"> </w:t>
      </w:r>
      <w:r>
        <w:t>during the 2000s</w:t>
      </w:r>
      <w:r w:rsidRPr="004B5978">
        <w:t>. Several factors contributed to this decline</w:t>
      </w:r>
      <w:r>
        <w:t xml:space="preserve">. The Agriculture sector was hit by drought and the </w:t>
      </w:r>
      <w:r w:rsidRPr="003E5BA0">
        <w:t>Mining and Utilities sectors</w:t>
      </w:r>
      <w:r>
        <w:t xml:space="preserve"> experienced a fall in productivity as it pursued an</w:t>
      </w:r>
      <w:r w:rsidRPr="004B5978">
        <w:t xml:space="preserve"> </w:t>
      </w:r>
      <w:r w:rsidR="00E86E34">
        <w:t>‘</w:t>
      </w:r>
      <w:r w:rsidRPr="004B5978">
        <w:t>unrequited acceleration in input use</w:t>
      </w:r>
      <w:r w:rsidR="00E86E34">
        <w:t>’</w:t>
      </w:r>
      <w:r w:rsidRPr="004B5978">
        <w:t xml:space="preserve"> without </w:t>
      </w:r>
      <w:r>
        <w:t>a</w:t>
      </w:r>
      <w:r w:rsidRPr="004B5978">
        <w:t xml:space="preserve"> corresponding change in output (</w:t>
      </w:r>
      <w:r>
        <w:rPr>
          <w:rFonts w:cs="Arial"/>
          <w:lang w:val="en"/>
        </w:rPr>
        <w:t>Parham,</w:t>
      </w:r>
      <w:r w:rsidRPr="004B5978">
        <w:rPr>
          <w:rFonts w:cs="Arial"/>
          <w:lang w:val="en"/>
        </w:rPr>
        <w:t xml:space="preserve"> 2012)</w:t>
      </w:r>
      <w:r>
        <w:rPr>
          <w:rFonts w:ascii="Arial" w:hAnsi="Arial" w:cs="Arial"/>
          <w:lang w:val="en"/>
        </w:rPr>
        <w:t xml:space="preserve">. </w:t>
      </w:r>
      <w:r>
        <w:t>At a broader level, a</w:t>
      </w:r>
      <w:r w:rsidRPr="004B5978">
        <w:t xml:space="preserve"> reduction of productivity growth in most developed countries would suggest a possible decline in the pace of technological change (Gordon, 2014).</w:t>
      </w:r>
    </w:p>
    <w:p w14:paraId="641D1FA6" w14:textId="77777777" w:rsidR="00531686" w:rsidRDefault="00531686" w:rsidP="00531686">
      <w:pPr>
        <w:tabs>
          <w:tab w:val="num" w:pos="1134"/>
        </w:tabs>
      </w:pPr>
      <w:r>
        <w:t>In the end, policy settings that seek to support both capital deepening (by lowering the cost of capital) and MFP improvements (through greater efficiency, innovation and reallocation within existing resource constraints) will support future growth in labour productivity in Australia</w:t>
      </w:r>
      <w:r w:rsidRPr="004C391E">
        <w:t xml:space="preserve">. </w:t>
      </w:r>
    </w:p>
    <w:p w14:paraId="6D6DEBD1" w14:textId="77777777" w:rsidR="004C391E" w:rsidRDefault="004C391E" w:rsidP="00682744">
      <w:pPr>
        <w:pStyle w:val="Heading3"/>
      </w:pPr>
      <w:r>
        <w:t xml:space="preserve">Sectoral </w:t>
      </w:r>
      <w:r w:rsidR="00E475F4">
        <w:t>analysis</w:t>
      </w:r>
      <w:r>
        <w:t xml:space="preserve"> </w:t>
      </w:r>
    </w:p>
    <w:p w14:paraId="2AA6C26A" w14:textId="01D74046" w:rsidR="005D2E9D" w:rsidRDefault="005D2E9D" w:rsidP="00EA27D3">
      <w:pPr>
        <w:tabs>
          <w:tab w:val="num" w:pos="1134"/>
        </w:tabs>
      </w:pPr>
      <w:r>
        <w:t>The drivers of aggregate labour productivity growth can be better understood by examining the issue from a sectoral perspective. In particular, doing so provides insights into the role that structural change plays on aggregate productivity growth.</w:t>
      </w:r>
    </w:p>
    <w:p w14:paraId="6D6DEBD2" w14:textId="1A453395" w:rsidR="00D12416" w:rsidRDefault="00EA27D3" w:rsidP="005863B4">
      <w:r w:rsidRPr="00EA27D3">
        <w:t xml:space="preserve">Labour productivity, capital deepening and MFP can </w:t>
      </w:r>
      <w:r w:rsidR="005D2E9D">
        <w:t xml:space="preserve">each </w:t>
      </w:r>
      <w:r w:rsidRPr="00EA27D3">
        <w:t>be measured at the sectoral level</w:t>
      </w:r>
      <w:r w:rsidR="005D2E9D">
        <w:t>.</w:t>
      </w:r>
      <w:r w:rsidR="005D2E9D">
        <w:rPr>
          <w:rStyle w:val="FootnoteReference"/>
        </w:rPr>
        <w:footnoteReference w:id="9"/>
      </w:r>
      <w:r w:rsidRPr="00EA27D3">
        <w:t xml:space="preserve"> </w:t>
      </w:r>
      <w:r w:rsidR="005D2E9D">
        <w:t>In the analysis that follows, the paper disaggregates the economy into six sectors: Agriculture, Forestry and Fishing; Mining; Manufacturing; Utilities; Construction and Services, where Services is an aggregate of all remaining sectors</w:t>
      </w:r>
      <w:r w:rsidR="00D86440">
        <w:t xml:space="preserve"> in the Australian economy.</w:t>
      </w:r>
      <w:r w:rsidR="00AB1D4A">
        <w:rPr>
          <w:rStyle w:val="FootnoteReference"/>
        </w:rPr>
        <w:footnoteReference w:id="10"/>
      </w:r>
    </w:p>
    <w:p w14:paraId="22C34E78" w14:textId="0FF08E3E" w:rsidR="00873D40" w:rsidRPr="00EA27D3" w:rsidRDefault="002F1165" w:rsidP="00873D40">
      <w:pPr>
        <w:tabs>
          <w:tab w:val="num" w:pos="1134"/>
        </w:tabs>
      </w:pPr>
      <w:r>
        <w:t>For this analysis, a</w:t>
      </w:r>
      <w:r w:rsidRPr="00EA27D3">
        <w:t xml:space="preserve">ggregate labour productivity growth </w:t>
      </w:r>
      <w:r>
        <w:t>comprises two components: a</w:t>
      </w:r>
      <w:r w:rsidRPr="00EA27D3">
        <w:t xml:space="preserve"> </w:t>
      </w:r>
      <w:r>
        <w:t>within</w:t>
      </w:r>
      <w:r w:rsidR="00E86E34">
        <w:noBreakHyphen/>
      </w:r>
      <w:r w:rsidRPr="00EA27D3">
        <w:t>sector contribution</w:t>
      </w:r>
      <w:r>
        <w:t>;</w:t>
      </w:r>
      <w:r w:rsidRPr="00EA27D3">
        <w:t xml:space="preserve"> </w:t>
      </w:r>
      <w:r>
        <w:t>and an across</w:t>
      </w:r>
      <w:r w:rsidR="00E86E34">
        <w:noBreakHyphen/>
      </w:r>
      <w:r w:rsidRPr="00EA27D3">
        <w:t>sector contribution</w:t>
      </w:r>
      <w:r>
        <w:t xml:space="preserve">, also known as a structural change effect. The former is the </w:t>
      </w:r>
      <w:r w:rsidRPr="00EA27D3">
        <w:t>sum of sectoral productivity growth weight</w:t>
      </w:r>
      <w:r>
        <w:t>ed by sectoral GDP share. The latter is</w:t>
      </w:r>
      <w:r w:rsidRPr="00EA27D3">
        <w:t xml:space="preserve"> </w:t>
      </w:r>
      <w:r>
        <w:t xml:space="preserve">the </w:t>
      </w:r>
      <w:r w:rsidRPr="00EA27D3">
        <w:t>change in productivity from sectoral</w:t>
      </w:r>
      <w:r>
        <w:t xml:space="preserve"> </w:t>
      </w:r>
      <w:r w:rsidRPr="00EA27D3">
        <w:t>reallocation of workers</w:t>
      </w:r>
      <w:r w:rsidR="00873D40">
        <w:t xml:space="preserve"> </w:t>
      </w:r>
      <w:r>
        <w:t>(s</w:t>
      </w:r>
      <w:r w:rsidR="00873D40">
        <w:t xml:space="preserve">ee Appendix </w:t>
      </w:r>
      <w:r w:rsidR="001C6CF9">
        <w:t xml:space="preserve">B </w:t>
      </w:r>
      <w:r w:rsidR="00873D40">
        <w:t>for methodology</w:t>
      </w:r>
      <w:r w:rsidR="007A5909">
        <w:t>).</w:t>
      </w:r>
      <w:r w:rsidR="00873D40">
        <w:rPr>
          <w:rStyle w:val="FootnoteReference"/>
        </w:rPr>
        <w:footnoteReference w:id="11"/>
      </w:r>
    </w:p>
    <w:p w14:paraId="6D6DEBD9" w14:textId="480E3619" w:rsidR="00E475F4" w:rsidRDefault="00556118" w:rsidP="00682744">
      <w:pPr>
        <w:pStyle w:val="Heading4"/>
      </w:pPr>
      <w:r>
        <w:t>Within</w:t>
      </w:r>
      <w:r w:rsidR="00E86E34">
        <w:noBreakHyphen/>
      </w:r>
      <w:r>
        <w:t>sector l</w:t>
      </w:r>
      <w:r w:rsidR="00E475F4">
        <w:t>abour productivity growth</w:t>
      </w:r>
    </w:p>
    <w:p w14:paraId="5129240D" w14:textId="18B296C6" w:rsidR="002F1165" w:rsidRPr="00EA27D3" w:rsidRDefault="002F1165" w:rsidP="002F1165">
      <w:r>
        <w:t xml:space="preserve">In the absence of workers moving between sectors, it is the productivity </w:t>
      </w:r>
      <w:r w:rsidRPr="00CB41A9">
        <w:t>growth</w:t>
      </w:r>
      <w:r>
        <w:t xml:space="preserve"> within sectors that determines growth in aggregate labour productivity. </w:t>
      </w:r>
      <w:r w:rsidRPr="00EA27D3">
        <w:t xml:space="preserve">Chart </w:t>
      </w:r>
      <w:r>
        <w:t>2</w:t>
      </w:r>
      <w:r w:rsidRPr="00EA27D3">
        <w:t xml:space="preserve"> shows how labour productivity</w:t>
      </w:r>
      <w:r>
        <w:t xml:space="preserve"> has grown in different sectors. </w:t>
      </w:r>
    </w:p>
    <w:p w14:paraId="6D6DEBE2" w14:textId="3FB44597" w:rsidR="00EA27D3" w:rsidRDefault="0076664A" w:rsidP="005863B4">
      <w:pPr>
        <w:pStyle w:val="ChartMainHeading"/>
      </w:pPr>
      <w:r w:rsidRPr="0076664A">
        <w:t xml:space="preserve">Chart </w:t>
      </w:r>
      <w:r w:rsidR="00873D40">
        <w:t>2</w:t>
      </w:r>
      <w:r w:rsidRPr="0076664A">
        <w:t>: Sectoral labour productivity (indexed to 1988</w:t>
      </w:r>
      <w:r w:rsidR="00E86E34">
        <w:noBreakHyphen/>
      </w:r>
      <w:r w:rsidRPr="0076664A">
        <w:t>89)</w:t>
      </w:r>
    </w:p>
    <w:p w14:paraId="6D6DEBE3" w14:textId="1F0A092C" w:rsidR="0076664A" w:rsidRDefault="00B02A06" w:rsidP="0076664A">
      <w:pPr>
        <w:pStyle w:val="ChartGraphic"/>
      </w:pPr>
      <w:r>
        <w:rPr>
          <w:noProof/>
        </w:rPr>
        <w:drawing>
          <wp:inline distT="0" distB="0" distL="0" distR="0" wp14:anchorId="27088D69" wp14:editId="0E25AB9F">
            <wp:extent cx="5580000" cy="2880000"/>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6DEBE4" w14:textId="77777777" w:rsidR="005E6D05" w:rsidRPr="005E6D05" w:rsidRDefault="0076664A" w:rsidP="005E6D05">
      <w:pPr>
        <w:pStyle w:val="ChartorTableNote"/>
      </w:pPr>
      <w:r w:rsidRPr="0076664A">
        <w:t xml:space="preserve">Source: ABS </w:t>
      </w:r>
      <w:r w:rsidR="00652E6B">
        <w:t>c</w:t>
      </w:r>
      <w:r w:rsidRPr="0076664A">
        <w:t>at</w:t>
      </w:r>
      <w:r w:rsidR="00652E6B">
        <w:t>. no.</w:t>
      </w:r>
      <w:r w:rsidRPr="0076664A">
        <w:t xml:space="preserve"> 5204</w:t>
      </w:r>
      <w:r w:rsidR="00652E6B">
        <w:t>.0</w:t>
      </w:r>
      <w:r w:rsidRPr="0076664A">
        <w:t xml:space="preserve"> (Table 5, Table 15), ABS </w:t>
      </w:r>
      <w:r w:rsidR="00652E6B">
        <w:t xml:space="preserve">cat. no. </w:t>
      </w:r>
      <w:r w:rsidRPr="0076664A">
        <w:t>5260</w:t>
      </w:r>
      <w:r w:rsidR="00B10BAB">
        <w:t>.0.55.002 (Table 6</w:t>
      </w:r>
      <w:r w:rsidRPr="0076664A">
        <w:t xml:space="preserve">), </w:t>
      </w:r>
      <w:r w:rsidR="00652E6B">
        <w:t xml:space="preserve">ABS cat. no. </w:t>
      </w:r>
      <w:r w:rsidRPr="0076664A">
        <w:t>6291</w:t>
      </w:r>
      <w:r w:rsidR="00652E6B">
        <w:t>.0.55.003</w:t>
      </w:r>
      <w:r w:rsidRPr="0076664A">
        <w:t xml:space="preserve"> </w:t>
      </w:r>
      <w:r w:rsidR="00652E6B">
        <w:t>(</w:t>
      </w:r>
      <w:r w:rsidRPr="0076664A">
        <w:t>Table 11</w:t>
      </w:r>
      <w:r w:rsidR="00652E6B">
        <w:t xml:space="preserve">, </w:t>
      </w:r>
      <w:r w:rsidRPr="0076664A">
        <w:t>supplemented with unpublished ABS data) and Treasury calculations.</w:t>
      </w:r>
    </w:p>
    <w:p w14:paraId="164EDB89" w14:textId="77777777" w:rsidR="002F1165" w:rsidRPr="005863B4" w:rsidRDefault="002F1165" w:rsidP="007A5909">
      <w:pPr>
        <w:pStyle w:val="SingleParagraph"/>
      </w:pPr>
    </w:p>
    <w:p w14:paraId="6CF4F98F" w14:textId="57D1A915" w:rsidR="002F1165" w:rsidRDefault="002F1165" w:rsidP="00E4072B">
      <w:pPr>
        <w:tabs>
          <w:tab w:val="num" w:pos="1134"/>
        </w:tabs>
      </w:pPr>
      <w:r>
        <w:t>A few initial observations can be made from Chart 2:</w:t>
      </w:r>
    </w:p>
    <w:p w14:paraId="7AA6AAA5" w14:textId="443AACC1" w:rsidR="002F1165" w:rsidRDefault="002F1165" w:rsidP="002F1165">
      <w:pPr>
        <w:pStyle w:val="Bullet"/>
      </w:pPr>
      <w:r>
        <w:t>L</w:t>
      </w:r>
      <w:r w:rsidRPr="00E4072B">
        <w:t>abour productivity has grown strongly in the Agriculture</w:t>
      </w:r>
      <w:r>
        <w:t>, Forestry and Fishing</w:t>
      </w:r>
      <w:r w:rsidRPr="00E4072B">
        <w:t xml:space="preserve"> sector, with productivity in the sector</w:t>
      </w:r>
      <w:r>
        <w:t xml:space="preserve"> now over </w:t>
      </w:r>
      <w:r w:rsidRPr="006A5BF1">
        <w:t>2½</w:t>
      </w:r>
      <w:r>
        <w:t xml:space="preserve"> times its 1988</w:t>
      </w:r>
      <w:r w:rsidR="00E86E34">
        <w:noBreakHyphen/>
      </w:r>
      <w:r>
        <w:t>89 level.</w:t>
      </w:r>
    </w:p>
    <w:p w14:paraId="38B9553B" w14:textId="6B932F5D" w:rsidR="00DB356C" w:rsidRDefault="002F1165" w:rsidP="007A5909">
      <w:pPr>
        <w:pStyle w:val="Bullet"/>
        <w:spacing w:after="0"/>
        <w:ind w:left="471" w:hanging="471"/>
      </w:pPr>
      <w:r>
        <w:t xml:space="preserve">The </w:t>
      </w:r>
      <w:r w:rsidRPr="00E4072B">
        <w:t xml:space="preserve">Mining and Utilities </w:t>
      </w:r>
      <w:r>
        <w:t xml:space="preserve">sectors </w:t>
      </w:r>
      <w:r w:rsidRPr="00E4072B">
        <w:t>showed strong labour productiv</w:t>
      </w:r>
      <w:r>
        <w:t>ity growth until the early 2000s</w:t>
      </w:r>
      <w:r w:rsidRPr="00E4072B">
        <w:t xml:space="preserve"> before steadily declining </w:t>
      </w:r>
      <w:r>
        <w:t>through to 2011</w:t>
      </w:r>
      <w:r w:rsidR="00E86E34">
        <w:noBreakHyphen/>
      </w:r>
      <w:r>
        <w:t>12</w:t>
      </w:r>
      <w:r w:rsidRPr="00E4072B">
        <w:t>.</w:t>
      </w:r>
      <w:r>
        <w:rPr>
          <w:rStyle w:val="FootnoteReference"/>
        </w:rPr>
        <w:footnoteReference w:id="12"/>
      </w:r>
      <w:r>
        <w:t xml:space="preserve"> In fact, </w:t>
      </w:r>
      <w:r w:rsidRPr="00E4072B">
        <w:t>Mining</w:t>
      </w:r>
      <w:r>
        <w:t xml:space="preserve"> sector</w:t>
      </w:r>
      <w:r w:rsidRPr="00E4072B">
        <w:t xml:space="preserve"> productivity </w:t>
      </w:r>
      <w:r>
        <w:t>fell so far over the perio</w:t>
      </w:r>
      <w:r w:rsidRPr="00E4072B">
        <w:t>d</w:t>
      </w:r>
      <w:r>
        <w:t xml:space="preserve"> that in 2011</w:t>
      </w:r>
      <w:r w:rsidR="00E86E34">
        <w:noBreakHyphen/>
      </w:r>
      <w:r>
        <w:t>12 it was below its 1988</w:t>
      </w:r>
      <w:r w:rsidR="00E86E34">
        <w:noBreakHyphen/>
      </w:r>
      <w:r>
        <w:t>89 levels.</w:t>
      </w:r>
      <w:r>
        <w:rPr>
          <w:rStyle w:val="FootnoteReference"/>
        </w:rPr>
        <w:footnoteReference w:id="13"/>
      </w:r>
      <w:r>
        <w:t xml:space="preserve"> </w:t>
      </w:r>
    </w:p>
    <w:p w14:paraId="66ED64B0" w14:textId="697D447B" w:rsidR="002F1165" w:rsidRDefault="002F1165" w:rsidP="00183191">
      <w:pPr>
        <w:pStyle w:val="Dash"/>
      </w:pPr>
      <w:r>
        <w:t xml:space="preserve">Recent data show that with the shift of the </w:t>
      </w:r>
      <w:r w:rsidRPr="00EE43C6">
        <w:t xml:space="preserve">mining boom </w:t>
      </w:r>
      <w:r>
        <w:t xml:space="preserve">to </w:t>
      </w:r>
      <w:r w:rsidRPr="00EE43C6">
        <w:t>the production phase</w:t>
      </w:r>
      <w:r>
        <w:t>,</w:t>
      </w:r>
      <w:r w:rsidRPr="00EE43C6">
        <w:t xml:space="preserve"> </w:t>
      </w:r>
      <w:r>
        <w:t xml:space="preserve">Mining sector </w:t>
      </w:r>
      <w:r w:rsidRPr="00EE43C6">
        <w:t xml:space="preserve">labour productivity growth has </w:t>
      </w:r>
      <w:r>
        <w:t>improved</w:t>
      </w:r>
      <w:r w:rsidRPr="00EE43C6">
        <w:t>.</w:t>
      </w:r>
      <w:r>
        <w:t xml:space="preserve"> </w:t>
      </w:r>
      <w:r w:rsidRPr="00C61257">
        <w:t xml:space="preserve">Despite </w:t>
      </w:r>
      <w:r>
        <w:t>more subdued</w:t>
      </w:r>
      <w:r w:rsidRPr="00C61257">
        <w:t xml:space="preserve"> productivity growth in </w:t>
      </w:r>
      <w:r>
        <w:t xml:space="preserve">Mining during </w:t>
      </w:r>
      <w:r w:rsidRPr="00C61257">
        <w:t>2015</w:t>
      </w:r>
      <w:r w:rsidR="00E86E34">
        <w:noBreakHyphen/>
      </w:r>
      <w:r w:rsidRPr="00C61257">
        <w:t>16</w:t>
      </w:r>
      <w:r>
        <w:t xml:space="preserve">, the </w:t>
      </w:r>
      <w:r w:rsidRPr="00EE43C6">
        <w:t>sector</w:t>
      </w:r>
      <w:r w:rsidR="00E86E34">
        <w:t>’</w:t>
      </w:r>
      <w:r>
        <w:t>s</w:t>
      </w:r>
      <w:r w:rsidRPr="00EE43C6">
        <w:t xml:space="preserve"> productivity growth is expected to continue its recovery in coming years as output increases</w:t>
      </w:r>
      <w:r>
        <w:t xml:space="preserve"> (the payoff to the capital deepening from 2003</w:t>
      </w:r>
      <w:r w:rsidR="00E86E34">
        <w:noBreakHyphen/>
      </w:r>
      <w:r>
        <w:t>04 seen in Chart 1)</w:t>
      </w:r>
      <w:r w:rsidRPr="00EE43C6">
        <w:t>.</w:t>
      </w:r>
      <w:r>
        <w:t xml:space="preserve"> </w:t>
      </w:r>
    </w:p>
    <w:p w14:paraId="3C3CB198" w14:textId="77777777" w:rsidR="002F1165" w:rsidRDefault="002F1165" w:rsidP="002F1165">
      <w:pPr>
        <w:pStyle w:val="Bullet"/>
      </w:pPr>
      <w:r w:rsidRPr="00E4072B">
        <w:t xml:space="preserve">Productivity in the Manufacturing and Construction sectors has shown growth consistent with that of the </w:t>
      </w:r>
      <w:r>
        <w:t xml:space="preserve">broader economy. </w:t>
      </w:r>
    </w:p>
    <w:p w14:paraId="7D68640A" w14:textId="1A3FBC57" w:rsidR="00DB356C" w:rsidRDefault="002F1165" w:rsidP="002F1165">
      <w:pPr>
        <w:pStyle w:val="Bullet"/>
      </w:pPr>
      <w:r>
        <w:t>Similarly, labour p</w:t>
      </w:r>
      <w:r w:rsidRPr="00E4072B">
        <w:t>roductivity in Australia</w:t>
      </w:r>
      <w:r w:rsidR="00E86E34">
        <w:t>’</w:t>
      </w:r>
      <w:r w:rsidRPr="00E4072B">
        <w:t>s services sectors over the past 25 years has grown at an average annual rate of 1.</w:t>
      </w:r>
      <w:r>
        <w:t>7</w:t>
      </w:r>
      <w:r w:rsidRPr="00E4072B">
        <w:t xml:space="preserve"> per cent</w:t>
      </w:r>
      <w:r w:rsidR="00E86E34">
        <w:t xml:space="preserve"> — </w:t>
      </w:r>
      <w:r w:rsidRPr="00E4072B">
        <w:t xml:space="preserve">broadly in line with </w:t>
      </w:r>
      <w:r>
        <w:t>long</w:t>
      </w:r>
      <w:r w:rsidR="00E86E34">
        <w:noBreakHyphen/>
      </w:r>
      <w:r>
        <w:t xml:space="preserve">run labour productivity </w:t>
      </w:r>
      <w:r w:rsidRPr="00E4072B">
        <w:t>growth for the whole economy.</w:t>
      </w:r>
      <w:r>
        <w:t xml:space="preserve"> </w:t>
      </w:r>
    </w:p>
    <w:p w14:paraId="7F75DF25" w14:textId="35EBFE2B" w:rsidR="002F1165" w:rsidRDefault="002F1165" w:rsidP="00183191">
      <w:pPr>
        <w:pStyle w:val="Dash"/>
      </w:pPr>
      <w:r>
        <w:t>This result is not surprising, given</w:t>
      </w:r>
      <w:r w:rsidRPr="00E4072B">
        <w:t xml:space="preserve"> the services sectors </w:t>
      </w:r>
      <w:r>
        <w:t xml:space="preserve">we define collectively </w:t>
      </w:r>
      <w:r w:rsidRPr="00E4072B">
        <w:t>account for almost 70 per cent of Australia</w:t>
      </w:r>
      <w:r w:rsidR="00E86E34">
        <w:t>’</w:t>
      </w:r>
      <w:r w:rsidRPr="00E4072B">
        <w:t>s economic output</w:t>
      </w:r>
      <w:r>
        <w:t xml:space="preserve"> </w:t>
      </w:r>
      <w:r w:rsidRPr="00E4072B">
        <w:t xml:space="preserve">(sector shares of output are shown </w:t>
      </w:r>
      <w:r>
        <w:t>below in Chart 3</w:t>
      </w:r>
      <w:r w:rsidR="00E86E34">
        <w:t xml:space="preserve"> — </w:t>
      </w:r>
      <w:r w:rsidRPr="00EE346C">
        <w:t>note that the services sectors are plotted against the right</w:t>
      </w:r>
      <w:r w:rsidR="00E86E34">
        <w:noBreakHyphen/>
      </w:r>
      <w:r w:rsidRPr="00EE346C">
        <w:t>hand</w:t>
      </w:r>
      <w:r w:rsidR="00E86E34">
        <w:noBreakHyphen/>
      </w:r>
      <w:r w:rsidRPr="00EE346C">
        <w:t>side axis</w:t>
      </w:r>
      <w:r w:rsidRPr="00E4072B">
        <w:t>).</w:t>
      </w:r>
      <w:r>
        <w:rPr>
          <w:rStyle w:val="FootnoteReference"/>
        </w:rPr>
        <w:footnoteReference w:id="14"/>
      </w:r>
    </w:p>
    <w:p w14:paraId="6D6DEBEB" w14:textId="3254F59B" w:rsidR="008C4C36" w:rsidRDefault="008C4C36" w:rsidP="008C4C36">
      <w:pPr>
        <w:pStyle w:val="ChartMainHeading"/>
      </w:pPr>
      <w:r>
        <w:t xml:space="preserve">Chart </w:t>
      </w:r>
      <w:r w:rsidR="009C7227">
        <w:t>3</w:t>
      </w:r>
      <w:r w:rsidRPr="00455214">
        <w:t xml:space="preserve">: Sector </w:t>
      </w:r>
      <w:r w:rsidR="00B81038" w:rsidRPr="00B81038">
        <w:t>shares of total economic output (gross value added)</w:t>
      </w:r>
    </w:p>
    <w:p w14:paraId="6D6DEBEC" w14:textId="154A916D" w:rsidR="008C4C36" w:rsidRDefault="00494C16" w:rsidP="008C4C36">
      <w:pPr>
        <w:pStyle w:val="ChartGraphic"/>
      </w:pPr>
      <w:r>
        <w:rPr>
          <w:noProof/>
        </w:rPr>
        <w:drawing>
          <wp:inline distT="0" distB="0" distL="0" distR="0" wp14:anchorId="75BCB3EB" wp14:editId="634F2AB7">
            <wp:extent cx="5580000" cy="2520000"/>
            <wp:effectExtent l="0" t="0" r="190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D429C7" w14:textId="0B847E50" w:rsidR="007C30F0" w:rsidRPr="007C30F0" w:rsidRDefault="00652E6B" w:rsidP="00096234">
      <w:pPr>
        <w:pStyle w:val="ChartorTableNote"/>
      </w:pPr>
      <w:r w:rsidRPr="00400A91">
        <w:t>Source: ABS c</w:t>
      </w:r>
      <w:r w:rsidR="008C4C36" w:rsidRPr="00734CA1">
        <w:t xml:space="preserve">at. </w:t>
      </w:r>
      <w:r w:rsidRPr="00734CA1">
        <w:t xml:space="preserve">no. </w:t>
      </w:r>
      <w:r w:rsidR="008C4C36" w:rsidRPr="00734CA1">
        <w:t>5204</w:t>
      </w:r>
      <w:r w:rsidRPr="0050233A">
        <w:t>.0</w:t>
      </w:r>
      <w:r w:rsidR="008C4C36" w:rsidRPr="00D61A79">
        <w:t xml:space="preserve"> </w:t>
      </w:r>
      <w:r w:rsidRPr="00462BF5">
        <w:t>(</w:t>
      </w:r>
      <w:r w:rsidR="008C4C36" w:rsidRPr="00BC2906">
        <w:t>Table 5</w:t>
      </w:r>
      <w:r w:rsidRPr="00BC2906">
        <w:t>)</w:t>
      </w:r>
      <w:r w:rsidR="008C4C36" w:rsidRPr="000040F8">
        <w:t>.</w:t>
      </w:r>
    </w:p>
    <w:p w14:paraId="25782A64" w14:textId="77777777" w:rsidR="000C7524" w:rsidRPr="005863B4" w:rsidRDefault="000C7524" w:rsidP="007A5909">
      <w:pPr>
        <w:pStyle w:val="SingleParagraph"/>
      </w:pPr>
    </w:p>
    <w:p w14:paraId="43896505" w14:textId="554056B3" w:rsidR="00DB356C" w:rsidRDefault="00DB356C" w:rsidP="00DB356C">
      <w:pPr>
        <w:tabs>
          <w:tab w:val="num" w:pos="1134"/>
        </w:tabs>
      </w:pPr>
      <w:r>
        <w:t>Chart 3 demonstrates that despite the attention given to Mining as a determinant of Australia</w:t>
      </w:r>
      <w:r w:rsidR="00E86E34">
        <w:t>’</w:t>
      </w:r>
      <w:r>
        <w:t>s productivity performance, it is the services sectors that will continue to play a key role in driving future aggregate productivity growth. Mining</w:t>
      </w:r>
      <w:r w:rsidR="00E86E34">
        <w:t>’</w:t>
      </w:r>
      <w:r>
        <w:t>s share of output is certainly significant</w:t>
      </w:r>
      <w:r w:rsidR="00E86E34">
        <w:t xml:space="preserve"> — </w:t>
      </w:r>
      <w:r>
        <w:t>now ov</w:t>
      </w:r>
      <w:r w:rsidR="00D75E05">
        <w:t>er 8 </w:t>
      </w:r>
      <w:r>
        <w:t>per cent of the economy, rising sharply from just over 5</w:t>
      </w:r>
      <w:r w:rsidRPr="008A518F">
        <w:t>½</w:t>
      </w:r>
      <w:r>
        <w:t xml:space="preserve"> per cent in 2003</w:t>
      </w:r>
      <w:r w:rsidR="00E86E34">
        <w:noBreakHyphen/>
      </w:r>
      <w:r>
        <w:t>04. But o</w:t>
      </w:r>
      <w:r w:rsidRPr="00804A3C">
        <w:t xml:space="preserve">ver the last five years </w:t>
      </w:r>
      <w:r>
        <w:t>over half</w:t>
      </w:r>
      <w:r w:rsidRPr="00804A3C">
        <w:t xml:space="preserve"> of </w:t>
      </w:r>
      <w:r>
        <w:t>Australia</w:t>
      </w:r>
      <w:r w:rsidR="00E86E34">
        <w:t>’</w:t>
      </w:r>
      <w:r>
        <w:t xml:space="preserve">s </w:t>
      </w:r>
      <w:r w:rsidRPr="00804A3C">
        <w:t xml:space="preserve">annual aggregate labour productivity growth was attributable to </w:t>
      </w:r>
      <w:r>
        <w:t>growth within the</w:t>
      </w:r>
      <w:r w:rsidRPr="00804A3C">
        <w:t xml:space="preserve"> services sectors, </w:t>
      </w:r>
      <w:r>
        <w:t>compared with</w:t>
      </w:r>
      <w:r w:rsidRPr="00804A3C">
        <w:t xml:space="preserve"> around one</w:t>
      </w:r>
      <w:r w:rsidR="00E86E34">
        <w:noBreakHyphen/>
      </w:r>
      <w:r w:rsidRPr="00804A3C">
        <w:t xml:space="preserve">quarter </w:t>
      </w:r>
      <w:r>
        <w:t xml:space="preserve">attributable to Mining. This underlines the importance of policy settings in the services sectors. </w:t>
      </w:r>
    </w:p>
    <w:p w14:paraId="08F537ED" w14:textId="60ED4FBE" w:rsidR="00DB356C" w:rsidRDefault="00DB356C" w:rsidP="00DB356C">
      <w:pPr>
        <w:tabs>
          <w:tab w:val="num" w:pos="1134"/>
        </w:tabs>
      </w:pPr>
      <w:r>
        <w:t>Meanwhile, Manufacturing and A</w:t>
      </w:r>
      <w:r w:rsidRPr="008A518F">
        <w:t>griculture (often referred to as key drivers of Australia</w:t>
      </w:r>
      <w:r w:rsidR="00E86E34">
        <w:t>’</w:t>
      </w:r>
      <w:r w:rsidRPr="008A518F">
        <w:t>s productivity) continue to shrink</w:t>
      </w:r>
      <w:r>
        <w:t>. The two industries</w:t>
      </w:r>
      <w:r w:rsidRPr="008A518F">
        <w:t xml:space="preserve"> now contribute less than 10 per cent of Australia</w:t>
      </w:r>
      <w:r w:rsidR="00E86E34">
        <w:t>’</w:t>
      </w:r>
      <w:r w:rsidRPr="008A518F">
        <w:t>s output combined (around 7 per cent and 2½ per cent respectively)</w:t>
      </w:r>
      <w:r>
        <w:t xml:space="preserve">. Their </w:t>
      </w:r>
      <w:r w:rsidRPr="008A518F">
        <w:t xml:space="preserve">contribution to aggregate productivity </w:t>
      </w:r>
      <w:r>
        <w:t xml:space="preserve">growth </w:t>
      </w:r>
      <w:r w:rsidRPr="008A518F">
        <w:t xml:space="preserve">over </w:t>
      </w:r>
      <w:r>
        <w:t>the last five years</w:t>
      </w:r>
      <w:r w:rsidRPr="004E6AE4">
        <w:t xml:space="preserve"> </w:t>
      </w:r>
      <w:r>
        <w:t xml:space="preserve">has been </w:t>
      </w:r>
      <w:r w:rsidRPr="008A518F">
        <w:t>n</w:t>
      </w:r>
      <w:r>
        <w:t>egligible</w:t>
      </w:r>
      <w:r w:rsidRPr="008A518F">
        <w:t>.</w:t>
      </w:r>
    </w:p>
    <w:p w14:paraId="6D6DEBEF" w14:textId="16446090" w:rsidR="005D017B" w:rsidRDefault="001D0E12" w:rsidP="00682744">
      <w:pPr>
        <w:pStyle w:val="Heading4"/>
      </w:pPr>
      <w:r>
        <w:t>Structural change</w:t>
      </w:r>
    </w:p>
    <w:p w14:paraId="5A6C0B07" w14:textId="31CDD2CE" w:rsidR="00255291" w:rsidRDefault="00255291" w:rsidP="00255291">
      <w:r w:rsidRPr="005D017B">
        <w:t xml:space="preserve">Structural change involves the shift of resources from one industry to another. </w:t>
      </w:r>
      <w:r>
        <w:t>As workers shift in this way, the contribution to aggregate labour productivity growth will depend on the relative productivity between sectors. For instance, workers moving from relatively high productivity sectors to relatively low productivity sectors will detract from aggregate productivity growth (and vice</w:t>
      </w:r>
      <w:r w:rsidR="007A5909">
        <w:t> </w:t>
      </w:r>
      <w:r>
        <w:t>versa).</w:t>
      </w:r>
    </w:p>
    <w:p w14:paraId="762AC7C0" w14:textId="709C879D" w:rsidR="00873D40" w:rsidRDefault="00255291" w:rsidP="00873D40">
      <w:pPr>
        <w:tabs>
          <w:tab w:val="num" w:pos="1134"/>
        </w:tabs>
      </w:pPr>
      <w:r>
        <w:t>In this respect, the key sector is Mining. Although the level of productivity in the Mining sector over recent decades has been far from consistent, it has remained the highest in the Australian economy. Among the sectors featured in Chart 4, only the productivity levels of the Utilities sector have come close to the levels of the Mining sector in this period. The Mining sector is currently recording productivity that is over three times the economy wide average in 2015</w:t>
      </w:r>
      <w:r w:rsidR="00E86E34">
        <w:noBreakHyphen/>
      </w:r>
      <w:r>
        <w:t>16 (after peaking at almost six</w:t>
      </w:r>
      <w:r w:rsidR="007A5909">
        <w:t> </w:t>
      </w:r>
      <w:r>
        <w:t>times the economy wide average in 2000</w:t>
      </w:r>
      <w:r w:rsidR="00E86E34">
        <w:noBreakHyphen/>
      </w:r>
      <w:r>
        <w:t>01).</w:t>
      </w:r>
    </w:p>
    <w:p w14:paraId="623E17D8" w14:textId="23FDDF75" w:rsidR="00873D40" w:rsidRDefault="00873D40" w:rsidP="00873D40">
      <w:pPr>
        <w:pStyle w:val="ChartMainHeading"/>
      </w:pPr>
      <w:r>
        <w:t>Chart</w:t>
      </w:r>
      <w:r w:rsidRPr="00BF554B">
        <w:t xml:space="preserve"> </w:t>
      </w:r>
      <w:r w:rsidR="008709D6">
        <w:t>4</w:t>
      </w:r>
      <w:r w:rsidRPr="00BF554B">
        <w:t>: Sectoral labour productivity</w:t>
      </w:r>
      <w:r>
        <w:t xml:space="preserve"> levels (relative to economy</w:t>
      </w:r>
      <w:r w:rsidR="00E86E34">
        <w:noBreakHyphen/>
      </w:r>
      <w:r>
        <w:t>wide average)</w:t>
      </w:r>
    </w:p>
    <w:p w14:paraId="0325A67E" w14:textId="14811409" w:rsidR="00873D40" w:rsidRDefault="00494C16" w:rsidP="00873D40">
      <w:pPr>
        <w:pStyle w:val="ChartGraphic"/>
      </w:pPr>
      <w:r>
        <w:rPr>
          <w:noProof/>
        </w:rPr>
        <w:drawing>
          <wp:inline distT="0" distB="0" distL="0" distR="0" wp14:anchorId="36EA4B34" wp14:editId="5553CAA1">
            <wp:extent cx="5592700" cy="2880000"/>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0EE43" w14:textId="77777777" w:rsidR="00873D40" w:rsidRDefault="00873D40" w:rsidP="00873D40">
      <w:pPr>
        <w:pStyle w:val="ChartorTableNote"/>
      </w:pPr>
      <w:r>
        <w:t>Source: ABS c</w:t>
      </w:r>
      <w:r w:rsidRPr="00D57044">
        <w:t>at.</w:t>
      </w:r>
      <w:r>
        <w:t xml:space="preserve"> no. 5204.0 (Table 5), ABS c</w:t>
      </w:r>
      <w:r w:rsidRPr="00D57044">
        <w:t>at.</w:t>
      </w:r>
      <w:r>
        <w:t xml:space="preserve"> no. </w:t>
      </w:r>
      <w:r w:rsidRPr="00D57044">
        <w:t>6291</w:t>
      </w:r>
      <w:r>
        <w:t>.0.55.003</w:t>
      </w:r>
      <w:r w:rsidRPr="00D57044">
        <w:t xml:space="preserve"> </w:t>
      </w:r>
      <w:r>
        <w:t xml:space="preserve">(Table 11, </w:t>
      </w:r>
      <w:r w:rsidRPr="00D57044">
        <w:t>supplemented with unpublished ABS data) and Treasury calculations.</w:t>
      </w:r>
    </w:p>
    <w:p w14:paraId="40224290" w14:textId="77777777" w:rsidR="00873D40" w:rsidRPr="005863B4" w:rsidRDefault="00873D40" w:rsidP="005863B4"/>
    <w:p w14:paraId="32C7CCF6" w14:textId="3C77A8A0" w:rsidR="009A69BA" w:rsidRDefault="00255291" w:rsidP="009B33D8">
      <w:pPr>
        <w:tabs>
          <w:tab w:val="num" w:pos="1134"/>
        </w:tabs>
      </w:pPr>
      <w:r>
        <w:t>As such, structural change will only have a significant effect on aggregate labour productivity growth when labour moves in and out of the Mining sector (and to a slightly lesser extent, the Utilities sector). As Chart 4 shows, there is little gain or cost to aggregate labour productivity growth when labour moves between sectors with similar productivity levels, such as Manufacturing, Construction and Services.</w:t>
      </w:r>
    </w:p>
    <w:p w14:paraId="166B3524" w14:textId="31673CF6" w:rsidR="007B22C4" w:rsidRDefault="007B22C4" w:rsidP="007B22C4">
      <w:pPr>
        <w:tabs>
          <w:tab w:val="num" w:pos="1134"/>
        </w:tabs>
      </w:pPr>
      <w:r>
        <w:t>In some sectors, there has been an inverse relationship between productivity growth and labour share. Chart 5 below shows how each sector</w:t>
      </w:r>
      <w:r w:rsidR="00E86E34">
        <w:t>’</w:t>
      </w:r>
      <w:r>
        <w:t>s share of hours worked has changed since 1988</w:t>
      </w:r>
      <w:r w:rsidR="00E86E34">
        <w:noBreakHyphen/>
      </w:r>
      <w:r>
        <w:t>89, thereby highlighting the movement of labour across sectors (again, note that the services sectors are plotted against the right</w:t>
      </w:r>
      <w:r w:rsidR="00E86E34">
        <w:noBreakHyphen/>
      </w:r>
      <w:r>
        <w:t>hand</w:t>
      </w:r>
      <w:r w:rsidR="00E86E34">
        <w:noBreakHyphen/>
      </w:r>
      <w:r>
        <w:t>side axis).</w:t>
      </w:r>
      <w:r w:rsidRPr="006B4174">
        <w:t xml:space="preserve"> </w:t>
      </w:r>
      <w:r w:rsidRPr="00330C72">
        <w:t xml:space="preserve">The </w:t>
      </w:r>
      <w:r>
        <w:t>strong labour productivity growth in Agriculture over recent decades shown in Chart 2 is explained by the sector experiencing</w:t>
      </w:r>
      <w:r w:rsidRPr="00330C72">
        <w:t xml:space="preserve"> reduced hours worked </w:t>
      </w:r>
      <w:r>
        <w:t xml:space="preserve">(Chart 5) </w:t>
      </w:r>
      <w:r w:rsidRPr="00330C72">
        <w:t>for the production o</w:t>
      </w:r>
      <w:r>
        <w:t>f broadly the same output (Chart 3</w:t>
      </w:r>
      <w:r w:rsidRPr="00330C72">
        <w:t xml:space="preserve">). </w:t>
      </w:r>
    </w:p>
    <w:p w14:paraId="6D6DEBF3" w14:textId="77777777" w:rsidR="004E4448" w:rsidRDefault="004E4448" w:rsidP="004E4448">
      <w:pPr>
        <w:pStyle w:val="ChartMainHeading"/>
      </w:pPr>
      <w:r>
        <w:t>Chart 5: Hours worked share</w:t>
      </w:r>
    </w:p>
    <w:p w14:paraId="6D6DEBF4" w14:textId="57A721D2" w:rsidR="004E4448" w:rsidRDefault="00494C16" w:rsidP="004E4448">
      <w:pPr>
        <w:pStyle w:val="ChartGraphic"/>
      </w:pPr>
      <w:r>
        <w:rPr>
          <w:noProof/>
        </w:rPr>
        <w:drawing>
          <wp:inline distT="0" distB="0" distL="0" distR="0" wp14:anchorId="49F12402" wp14:editId="42FF3BFD">
            <wp:extent cx="5594287" cy="2520000"/>
            <wp:effectExtent l="0" t="0" r="698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4614A" w:rsidDel="0054614A">
        <w:rPr>
          <w:noProof/>
        </w:rPr>
        <w:t xml:space="preserve"> </w:t>
      </w:r>
    </w:p>
    <w:p w14:paraId="6D04B7DA" w14:textId="77777777" w:rsidR="005863B4" w:rsidRDefault="00652E6B" w:rsidP="005863B4">
      <w:pPr>
        <w:pStyle w:val="ChartorTableNote"/>
      </w:pPr>
      <w:r>
        <w:t>Source: ABS cat. n</w:t>
      </w:r>
      <w:r w:rsidR="004E4448" w:rsidRPr="00FF3F45">
        <w:t xml:space="preserve">o. </w:t>
      </w:r>
      <w:r w:rsidRPr="0076664A">
        <w:t>6291</w:t>
      </w:r>
      <w:r>
        <w:t>.0.55.003</w:t>
      </w:r>
      <w:r w:rsidRPr="0076664A">
        <w:t xml:space="preserve"> </w:t>
      </w:r>
      <w:r>
        <w:t xml:space="preserve">(Table 11, </w:t>
      </w:r>
      <w:r w:rsidR="004E4448" w:rsidRPr="00FF3F45">
        <w:t>supplemented with unpublished ABS data) and Treasury calculations.</w:t>
      </w:r>
    </w:p>
    <w:p w14:paraId="6D6DEBF5" w14:textId="3B94AAB0" w:rsidR="00F847FB" w:rsidRPr="005863B4" w:rsidRDefault="00F847FB" w:rsidP="005863B4"/>
    <w:p w14:paraId="1FFBA3E9" w14:textId="0A85B692" w:rsidR="009A69BA" w:rsidRDefault="007B22C4" w:rsidP="00FF3F45">
      <w:pPr>
        <w:tabs>
          <w:tab w:val="num" w:pos="1134"/>
        </w:tabs>
      </w:pPr>
      <w:r>
        <w:t>The same inverse relationship is evident in the Mining sector</w:t>
      </w:r>
      <w:r w:rsidR="00E86E34">
        <w:t xml:space="preserve"> — </w:t>
      </w:r>
      <w:r>
        <w:t>with significant ramifications for aggregate productivity growth. The decline in the share of hours worked in the Mining and Utilities sectors from 1988</w:t>
      </w:r>
      <w:r w:rsidR="00E86E34">
        <w:noBreakHyphen/>
      </w:r>
      <w:r>
        <w:t>89 to the early 2000s is associated with rising productiv</w:t>
      </w:r>
      <w:r w:rsidR="00B86ABE">
        <w:t>ity levels illustrated in Chart </w:t>
      </w:r>
      <w:r>
        <w:t>2 and Chart 4. This inverse relationship, particularly in Mining, then continued albeit in the other direction as the Mining boom attracted labour while productivity fell sharply (due to a combination of a significant increase in labour with a modest increase in output). This is now beginning to turn around again. These movements of labour into and out of Mining have been the key driver behind the fluctuations in both the within and across sector contributions to aggregate labour productivity growth.</w:t>
      </w:r>
    </w:p>
    <w:p w14:paraId="3FE7C3BA" w14:textId="4B04AA07" w:rsidR="00A2319C" w:rsidRDefault="00A2319C" w:rsidP="00682744">
      <w:pPr>
        <w:pStyle w:val="Heading4"/>
      </w:pPr>
      <w:r>
        <w:t>Overall contributions to aggregate productivity growth</w:t>
      </w:r>
    </w:p>
    <w:p w14:paraId="5813ED10" w14:textId="16C4FC60" w:rsidR="007B22C4" w:rsidRDefault="007B22C4" w:rsidP="007B22C4">
      <w:pPr>
        <w:tabs>
          <w:tab w:val="num" w:pos="1134"/>
        </w:tabs>
      </w:pPr>
      <w:r>
        <w:t>To understand the relative contributions of each to aggregate productivity growth, Chart 6 below decomposes it</w:t>
      </w:r>
      <w:r w:rsidRPr="00A70849">
        <w:t xml:space="preserve"> </w:t>
      </w:r>
      <w:r>
        <w:t>into contributions from within</w:t>
      </w:r>
      <w:r w:rsidR="00E86E34">
        <w:noBreakHyphen/>
      </w:r>
      <w:r>
        <w:t>sector growth</w:t>
      </w:r>
      <w:r w:rsidRPr="00A70849">
        <w:t xml:space="preserve"> and </w:t>
      </w:r>
      <w:r>
        <w:t>the reallocation of workers across sectors. In doing so, it illustrates distinct periods where sector reallocation has detracted from aggregate labour productivity growth and where it has contributed to it</w:t>
      </w:r>
      <w:r w:rsidRPr="00A70849">
        <w:t>.</w:t>
      </w:r>
      <w:r>
        <w:rPr>
          <w:rStyle w:val="FootnoteReference"/>
        </w:rPr>
        <w:footnoteReference w:id="15"/>
      </w:r>
      <w:r>
        <w:t xml:space="preserve"> </w:t>
      </w:r>
    </w:p>
    <w:p w14:paraId="6D6DEBF6" w14:textId="1A250BE1" w:rsidR="00FF3F45" w:rsidRDefault="007B22C4" w:rsidP="007B22C4">
      <w:pPr>
        <w:tabs>
          <w:tab w:val="num" w:pos="1134"/>
        </w:tabs>
      </w:pPr>
      <w:r>
        <w:t>The chart shows that productivity growth is largely driven by the within</w:t>
      </w:r>
      <w:r w:rsidR="00E86E34">
        <w:noBreakHyphen/>
      </w:r>
      <w:r>
        <w:t>sector contribution. Looking across the whole sample, just over 90 per cent of the economy</w:t>
      </w:r>
      <w:r w:rsidR="00E86E34">
        <w:t>’</w:t>
      </w:r>
      <w:r>
        <w:t>s aggregate labour productivity growth has come from within</w:t>
      </w:r>
      <w:r w:rsidR="00E86E34">
        <w:noBreakHyphen/>
      </w:r>
      <w:r>
        <w:t>sector productivity growth. In other words, the effects of structural change, including the ups and downs of the Mining boom, has contributed less than 10 per cent of the economy</w:t>
      </w:r>
      <w:r w:rsidR="00E86E34">
        <w:t>’</w:t>
      </w:r>
      <w:r>
        <w:t>s aggregate labour productivity growth since 1988</w:t>
      </w:r>
      <w:r w:rsidR="00E86E34">
        <w:noBreakHyphen/>
      </w:r>
      <w:r>
        <w:t>89.</w:t>
      </w:r>
    </w:p>
    <w:p w14:paraId="6D6DEBF7" w14:textId="50C1D415" w:rsidR="00FF3F45" w:rsidRDefault="0026166E" w:rsidP="00FF3F45">
      <w:pPr>
        <w:pStyle w:val="ChartMainHeading"/>
      </w:pPr>
      <w:r>
        <w:t>Chart 6</w:t>
      </w:r>
      <w:r w:rsidR="00FF3F45" w:rsidRPr="00FF3F45">
        <w:t xml:space="preserve">: Labour productivity </w:t>
      </w:r>
      <w:r w:rsidR="007A6C17">
        <w:t xml:space="preserve">growth </w:t>
      </w:r>
      <w:r w:rsidR="00FF3F45" w:rsidRPr="00FF3F45">
        <w:t xml:space="preserve">decomposed into within and </w:t>
      </w:r>
      <w:r w:rsidR="008709D6">
        <w:t>across</w:t>
      </w:r>
      <w:r w:rsidR="008709D6" w:rsidRPr="00FF3F45">
        <w:t xml:space="preserve"> </w:t>
      </w:r>
      <w:r w:rsidR="00215AB0">
        <w:t>sector</w:t>
      </w:r>
      <w:r w:rsidR="00215AB0" w:rsidRPr="00FF3F45">
        <w:t xml:space="preserve"> </w:t>
      </w:r>
      <w:r w:rsidR="00FF3F45" w:rsidRPr="00FF3F45">
        <w:t>effects</w:t>
      </w:r>
    </w:p>
    <w:p w14:paraId="6D6DEBF8" w14:textId="36F207F7" w:rsidR="00FF3F45" w:rsidRDefault="008709D6" w:rsidP="00FF3F45">
      <w:pPr>
        <w:pStyle w:val="ChartGraphic"/>
      </w:pPr>
      <w:r w:rsidDel="008709D6">
        <w:rPr>
          <w:noProof/>
        </w:rPr>
        <w:t xml:space="preserve"> </w:t>
      </w:r>
      <w:r w:rsidR="007A339F">
        <w:rPr>
          <w:noProof/>
        </w:rPr>
        <w:drawing>
          <wp:inline distT="0" distB="0" distL="0" distR="0" wp14:anchorId="4A2E06F6" wp14:editId="550D9D22">
            <wp:extent cx="5589525" cy="2880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6DEBF9" w14:textId="77777777" w:rsidR="0026166E" w:rsidRDefault="00652E6B" w:rsidP="00652E6B">
      <w:pPr>
        <w:pStyle w:val="ChartorTableNote"/>
        <w:jc w:val="left"/>
      </w:pPr>
      <w:r>
        <w:t>Source: ABS c</w:t>
      </w:r>
      <w:r w:rsidR="00FF3F45" w:rsidRPr="00FF3F45">
        <w:t xml:space="preserve">at. </w:t>
      </w:r>
      <w:r>
        <w:t xml:space="preserve">no. </w:t>
      </w:r>
      <w:r w:rsidR="00FF3F45" w:rsidRPr="00FF3F45">
        <w:t>5204</w:t>
      </w:r>
      <w:r>
        <w:t>.0</w:t>
      </w:r>
      <w:r w:rsidR="00FF3F45" w:rsidRPr="00FF3F45">
        <w:t xml:space="preserve"> </w:t>
      </w:r>
      <w:r>
        <w:t>(</w:t>
      </w:r>
      <w:r w:rsidR="00FF3F45" w:rsidRPr="00FF3F45">
        <w:t>Table 5</w:t>
      </w:r>
      <w:r>
        <w:t>), ABS c</w:t>
      </w:r>
      <w:r w:rsidR="00FF3F45" w:rsidRPr="00FF3F45">
        <w:t xml:space="preserve">at. </w:t>
      </w:r>
      <w:r>
        <w:t xml:space="preserve">no. </w:t>
      </w:r>
      <w:r w:rsidRPr="00652E6B">
        <w:t>6291.0.55.003</w:t>
      </w:r>
      <w:r w:rsidR="00FF3F45" w:rsidRPr="00FF3F45">
        <w:t xml:space="preserve"> </w:t>
      </w:r>
      <w:r>
        <w:t xml:space="preserve">(Table 11, </w:t>
      </w:r>
      <w:r w:rsidR="00FF3F45" w:rsidRPr="00FF3F45">
        <w:t xml:space="preserve">supplemented with unpublished ABS data) and Treasury calculations. </w:t>
      </w:r>
      <w:r w:rsidR="00FF3F45" w:rsidRPr="00FF3F45">
        <w:br/>
        <w:t>*There are slight differences in labour productivity aggregated growth rates using hours worked data in this figure and the indexed hours worked data reported in National Accounts.</w:t>
      </w:r>
    </w:p>
    <w:p w14:paraId="6D6DEBFA" w14:textId="77777777" w:rsidR="0026166E" w:rsidRPr="005863B4" w:rsidRDefault="0026166E" w:rsidP="005863B4"/>
    <w:p w14:paraId="50243B45" w14:textId="77777777" w:rsidR="007B22C4" w:rsidRDefault="007B22C4" w:rsidP="007B22C4">
      <w:pPr>
        <w:tabs>
          <w:tab w:val="num" w:pos="1134"/>
        </w:tabs>
      </w:pPr>
      <w:r>
        <w:t>A few episodes highlighted in Chart 6 are worth highlighting:</w:t>
      </w:r>
    </w:p>
    <w:p w14:paraId="1902B4D0" w14:textId="3C9DFF2D" w:rsidR="007B22C4" w:rsidRDefault="007B22C4" w:rsidP="007B22C4">
      <w:pPr>
        <w:pStyle w:val="Bullet"/>
      </w:pPr>
      <w:r>
        <w:t>The 1988</w:t>
      </w:r>
      <w:r w:rsidR="00E86E34">
        <w:noBreakHyphen/>
      </w:r>
      <w:r>
        <w:t>89 to 1999</w:t>
      </w:r>
      <w:r w:rsidR="00E86E34">
        <w:noBreakHyphen/>
      </w:r>
      <w:r>
        <w:t>00 period, represented by strong within</w:t>
      </w:r>
      <w:r w:rsidR="00E86E34">
        <w:noBreakHyphen/>
      </w:r>
      <w:r>
        <w:t>sector labour productivity growth partially offset by the loss of labour from high</w:t>
      </w:r>
      <w:r w:rsidR="00E86E34">
        <w:noBreakHyphen/>
      </w:r>
      <w:r>
        <w:t>productivity sectors (Mining and Utilities), bares similarities with 2014</w:t>
      </w:r>
      <w:r w:rsidR="00E86E34">
        <w:noBreakHyphen/>
      </w:r>
      <w:r>
        <w:t xml:space="preserve">15. </w:t>
      </w:r>
    </w:p>
    <w:p w14:paraId="17DF54E0" w14:textId="396D662D" w:rsidR="007B22C4" w:rsidRDefault="007B22C4" w:rsidP="007B22C4">
      <w:pPr>
        <w:pStyle w:val="Bullet"/>
      </w:pPr>
      <w:r>
        <w:t>The 1999</w:t>
      </w:r>
      <w:r w:rsidR="00E86E34">
        <w:noBreakHyphen/>
      </w:r>
      <w:r>
        <w:t>00 to 2013</w:t>
      </w:r>
      <w:r w:rsidR="00E86E34">
        <w:noBreakHyphen/>
      </w:r>
      <w:r>
        <w:t>14 period, represented by generally lower within</w:t>
      </w:r>
      <w:r w:rsidR="00E86E34">
        <w:noBreakHyphen/>
      </w:r>
      <w:r>
        <w:t>sector labour productivity growth supplemented by the addition of labour to high</w:t>
      </w:r>
      <w:r w:rsidR="00E86E34">
        <w:noBreakHyphen/>
      </w:r>
      <w:r>
        <w:t>productivity sectors, looks more like 2015</w:t>
      </w:r>
      <w:r w:rsidR="00E86E34">
        <w:noBreakHyphen/>
      </w:r>
      <w:r>
        <w:t>16</w:t>
      </w:r>
      <w:r w:rsidR="007A5909">
        <w:t>.</w:t>
      </w:r>
      <w:r>
        <w:rPr>
          <w:rStyle w:val="FootnoteReference"/>
        </w:rPr>
        <w:footnoteReference w:id="16"/>
      </w:r>
      <w:r>
        <w:t xml:space="preserve"> </w:t>
      </w:r>
    </w:p>
    <w:p w14:paraId="6DC7C986" w14:textId="5F83FD9D" w:rsidR="007B22C4" w:rsidRDefault="007B22C4" w:rsidP="007B22C4">
      <w:pPr>
        <w:pStyle w:val="Bullet"/>
      </w:pPr>
      <w:r>
        <w:t>The last two years, when taken together, reflect the recent declining trend in</w:t>
      </w:r>
      <w:r w:rsidRPr="00F925C9">
        <w:t xml:space="preserve"> the share of Australia</w:t>
      </w:r>
      <w:r w:rsidR="00E86E34">
        <w:t>’</w:t>
      </w:r>
      <w:r>
        <w:t>s labour force attached to the M</w:t>
      </w:r>
      <w:r w:rsidRPr="00F925C9">
        <w:t xml:space="preserve">ining sector while the </w:t>
      </w:r>
      <w:r w:rsidRPr="00726E12">
        <w:t>services sector</w:t>
      </w:r>
      <w:r w:rsidR="00E86E34">
        <w:t>’</w:t>
      </w:r>
      <w:r w:rsidRPr="00726E12">
        <w:t xml:space="preserve">s labour share </w:t>
      </w:r>
      <w:r>
        <w:t>continues to grow</w:t>
      </w:r>
      <w:r w:rsidRPr="00BB182D">
        <w:t>,</w:t>
      </w:r>
      <w:r w:rsidRPr="0001164E" w:rsidDel="00F925C9">
        <w:t xml:space="preserve"> </w:t>
      </w:r>
      <w:r w:rsidRPr="00BB182D">
        <w:t>detract</w:t>
      </w:r>
      <w:r w:rsidRPr="0001164E">
        <w:t>ing</w:t>
      </w:r>
      <w:r w:rsidRPr="00726E12">
        <w:t xml:space="preserve"> from aggregate labour productivity growth</w:t>
      </w:r>
      <w:r w:rsidRPr="00BB182D">
        <w:t>.</w:t>
      </w:r>
      <w:r w:rsidRPr="00726E12">
        <w:rPr>
          <w:rStyle w:val="FootnoteReference"/>
        </w:rPr>
        <w:footnoteReference w:id="17"/>
      </w:r>
    </w:p>
    <w:p w14:paraId="248B03B5" w14:textId="07128DB3" w:rsidR="007B22C4" w:rsidRPr="00812EEA" w:rsidRDefault="007B22C4" w:rsidP="007B22C4">
      <w:pPr>
        <w:tabs>
          <w:tab w:val="num" w:pos="1134"/>
        </w:tabs>
      </w:pPr>
      <w:r>
        <w:t>The above observations suggest likely future developments in Australia</w:t>
      </w:r>
      <w:r w:rsidR="00E86E34">
        <w:t>’</w:t>
      </w:r>
      <w:r>
        <w:t>s productivity growth. Notwithstanding the slight return of labour to Mining in 2015</w:t>
      </w:r>
      <w:r w:rsidR="00E86E34">
        <w:noBreakHyphen/>
      </w:r>
      <w:r>
        <w:t>16 due to the relatively labour intensive LNG projects in Western Australia and Queensland, Mining</w:t>
      </w:r>
      <w:r w:rsidR="00E86E34">
        <w:t>’</w:t>
      </w:r>
      <w:r>
        <w:t xml:space="preserve">s share of the labour force </w:t>
      </w:r>
      <w:r w:rsidRPr="00812EEA">
        <w:t xml:space="preserve">is expected to continue </w:t>
      </w:r>
      <w:r>
        <w:t>to fall across the following decade and provide a drag on aggregate labour productivity growth</w:t>
      </w:r>
      <w:r w:rsidRPr="00812EEA">
        <w:t>.</w:t>
      </w:r>
      <w:r>
        <w:t xml:space="preserve"> But as output in the M</w:t>
      </w:r>
      <w:r w:rsidRPr="00804A3C">
        <w:t>ining sector continues to rise during th</w:t>
      </w:r>
      <w:r>
        <w:t xml:space="preserve">e continuing </w:t>
      </w:r>
      <w:r w:rsidRPr="00804A3C">
        <w:t xml:space="preserve">production phase (see Chart </w:t>
      </w:r>
      <w:r>
        <w:t>3</w:t>
      </w:r>
      <w:r w:rsidRPr="00804A3C">
        <w:t xml:space="preserve">) </w:t>
      </w:r>
      <w:r>
        <w:t xml:space="preserve">and </w:t>
      </w:r>
      <w:r w:rsidRPr="00804A3C">
        <w:t xml:space="preserve">labour </w:t>
      </w:r>
      <w:r>
        <w:t>moves elsewhere</w:t>
      </w:r>
      <w:r w:rsidRPr="00804A3C">
        <w:t>,</w:t>
      </w:r>
      <w:r>
        <w:t xml:space="preserve"> we expect within</w:t>
      </w:r>
      <w:r w:rsidR="00E86E34">
        <w:noBreakHyphen/>
      </w:r>
      <w:r>
        <w:t>sector M</w:t>
      </w:r>
      <w:r w:rsidRPr="00804A3C">
        <w:t xml:space="preserve">ining productivity growth to more than offset the </w:t>
      </w:r>
      <w:r>
        <w:t>detraction to aggregate productivity</w:t>
      </w:r>
      <w:r w:rsidRPr="00804A3C">
        <w:t xml:space="preserve"> </w:t>
      </w:r>
      <w:r>
        <w:t xml:space="preserve">growth from </w:t>
      </w:r>
      <w:r w:rsidRPr="00804A3C">
        <w:t>labour moving to less productive sectors (like services).</w:t>
      </w:r>
    </w:p>
    <w:p w14:paraId="2FF67D18" w14:textId="17951EF6" w:rsidR="00726E12" w:rsidRDefault="007B22C4" w:rsidP="00FF3F45">
      <w:pPr>
        <w:tabs>
          <w:tab w:val="num" w:pos="1134"/>
        </w:tabs>
      </w:pPr>
      <w:r>
        <w:t>Chart 7 provides further insights into the relationship between labour movements into and out of the Mining sector and productivity growth within that sector. It reproduces Chart 6 but separates the years where movements of labour detract from aggregate productivity growth and where they add to it; and separately identifies the contribution to aggregate labour productivity growth of the Mining and services sectors.</w:t>
      </w:r>
      <w:r w:rsidR="005E72ED">
        <w:t xml:space="preserve"> </w:t>
      </w:r>
    </w:p>
    <w:p w14:paraId="6D6DEC01" w14:textId="045CD490" w:rsidR="007F1103" w:rsidRDefault="007F1103" w:rsidP="0095532A">
      <w:pPr>
        <w:pStyle w:val="ChartMainHeading"/>
      </w:pPr>
      <w:r>
        <w:t xml:space="preserve">Chart </w:t>
      </w:r>
      <w:r w:rsidR="00531E64">
        <w:t>7</w:t>
      </w:r>
      <w:r>
        <w:t xml:space="preserve">: </w:t>
      </w:r>
      <w:r w:rsidRPr="007F1103">
        <w:t xml:space="preserve">Labour productivity </w:t>
      </w:r>
      <w:r>
        <w:t xml:space="preserve">for selected periods </w:t>
      </w:r>
      <w:r w:rsidRPr="007F1103">
        <w:t xml:space="preserve">decomposed into </w:t>
      </w:r>
      <w:r w:rsidR="00FE53B1">
        <w:br/>
      </w:r>
      <w:r w:rsidRPr="007F1103">
        <w:t>within</w:t>
      </w:r>
      <w:r>
        <w:t xml:space="preserve"> </w:t>
      </w:r>
      <w:r w:rsidR="00FE53B1">
        <w:t xml:space="preserve">(by sector) </w:t>
      </w:r>
      <w:r w:rsidRPr="007F1103">
        <w:t xml:space="preserve">and </w:t>
      </w:r>
      <w:r w:rsidR="00556118">
        <w:t>across</w:t>
      </w:r>
      <w:r w:rsidR="00556118" w:rsidRPr="007F1103">
        <w:t xml:space="preserve"> </w:t>
      </w:r>
      <w:r w:rsidR="00556118">
        <w:t>sector</w:t>
      </w:r>
      <w:r w:rsidR="00556118" w:rsidRPr="007F1103">
        <w:t xml:space="preserve"> </w:t>
      </w:r>
      <w:r w:rsidRPr="007F1103">
        <w:t>effects</w:t>
      </w:r>
    </w:p>
    <w:p w14:paraId="6D6DEC02" w14:textId="487057A2" w:rsidR="007F1103" w:rsidRPr="007F1103" w:rsidRDefault="00FD0E5C" w:rsidP="007F1103">
      <w:pPr>
        <w:pStyle w:val="ChartGraphic"/>
      </w:pPr>
      <w:r>
        <w:rPr>
          <w:noProof/>
        </w:rPr>
        <w:drawing>
          <wp:inline distT="0" distB="0" distL="0" distR="0" wp14:anchorId="375F1858" wp14:editId="5635BEBC">
            <wp:extent cx="5566810" cy="288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6DEC03" w14:textId="030FF497" w:rsidR="007F1103" w:rsidRDefault="00652E6B" w:rsidP="007F1103">
      <w:pPr>
        <w:pStyle w:val="ChartorTableNote"/>
      </w:pPr>
      <w:r>
        <w:t>Source: ABS c</w:t>
      </w:r>
      <w:r w:rsidR="007F1103">
        <w:t xml:space="preserve">at. </w:t>
      </w:r>
      <w:r>
        <w:t xml:space="preserve">no. </w:t>
      </w:r>
      <w:r w:rsidR="007F1103">
        <w:t>5204</w:t>
      </w:r>
      <w:r>
        <w:t>.0</w:t>
      </w:r>
      <w:r w:rsidR="007F1103">
        <w:t xml:space="preserve"> </w:t>
      </w:r>
      <w:r>
        <w:t>(</w:t>
      </w:r>
      <w:r w:rsidR="007F1103">
        <w:t>Table 5</w:t>
      </w:r>
      <w:r>
        <w:t>), ABS c</w:t>
      </w:r>
      <w:r w:rsidR="007F1103">
        <w:t xml:space="preserve">at. </w:t>
      </w:r>
      <w:r>
        <w:t xml:space="preserve">no. </w:t>
      </w:r>
      <w:r w:rsidRPr="00652E6B">
        <w:t>6291.0.55.003</w:t>
      </w:r>
      <w:r w:rsidR="007F1103">
        <w:t xml:space="preserve"> </w:t>
      </w:r>
      <w:r>
        <w:t xml:space="preserve">(Table 11, </w:t>
      </w:r>
      <w:r w:rsidR="007F1103">
        <w:t xml:space="preserve">supplemented with unpublished ABS data) and Treasury calculations. </w:t>
      </w:r>
    </w:p>
    <w:p w14:paraId="6D6DEC04" w14:textId="77777777" w:rsidR="007F1103" w:rsidRDefault="007F1103" w:rsidP="007F1103">
      <w:pPr>
        <w:pStyle w:val="ChartorTableNote"/>
      </w:pPr>
      <w:r>
        <w:t>*There are slight differences in labour productivity aggregated growth rates using hours worked data in this figure and the indexed hours worked data reported in National Accounts.</w:t>
      </w:r>
    </w:p>
    <w:p w14:paraId="3AF42DA3" w14:textId="77777777" w:rsidR="007A6C17" w:rsidRPr="005863B4" w:rsidRDefault="007A6C17" w:rsidP="005863B4"/>
    <w:p w14:paraId="0D3BA199" w14:textId="752F7CE4" w:rsidR="0095532A" w:rsidRDefault="0095532A" w:rsidP="0095532A">
      <w:pPr>
        <w:tabs>
          <w:tab w:val="num" w:pos="1134"/>
        </w:tabs>
      </w:pPr>
      <w:r>
        <w:t xml:space="preserve">A striking feature of Chart </w:t>
      </w:r>
      <w:r w:rsidR="00531E64">
        <w:t>7</w:t>
      </w:r>
      <w:r>
        <w:t xml:space="preserve"> is that when labour movements have detracted from aggregate productivity growth (the first and third columns), aggregate productivity growth in those years (the black marker) has been higher than years where labour movements have made a positive contribution (the second and fourth columns). This means, essentially, that the within</w:t>
      </w:r>
      <w:r w:rsidR="00E86E34">
        <w:noBreakHyphen/>
      </w:r>
      <w:r>
        <w:t>sector effect from Mining when labour leaves the sector dominates the across</w:t>
      </w:r>
      <w:r w:rsidR="00E86E34">
        <w:noBreakHyphen/>
      </w:r>
      <w:r>
        <w:t>sector effect. When labour moves towards Mining, within</w:t>
      </w:r>
      <w:r w:rsidR="00E86E34">
        <w:noBreakHyphen/>
      </w:r>
      <w:r>
        <w:t xml:space="preserve">sector productivity growth in Mining is significantly weaker. </w:t>
      </w:r>
    </w:p>
    <w:p w14:paraId="6C60F27D" w14:textId="0FA6683F" w:rsidR="00016656" w:rsidRDefault="0095532A" w:rsidP="0095532A">
      <w:pPr>
        <w:tabs>
          <w:tab w:val="num" w:pos="1134"/>
        </w:tabs>
      </w:pPr>
      <w:r>
        <w:t>The longer</w:t>
      </w:r>
      <w:r w:rsidR="00E86E34">
        <w:noBreakHyphen/>
      </w:r>
      <w:r>
        <w:t xml:space="preserve">term samples of the first two columns of Chart </w:t>
      </w:r>
      <w:r w:rsidR="00531E64">
        <w:t>7</w:t>
      </w:r>
      <w:r>
        <w:t xml:space="preserve"> also highlight the significant role that the services sectors have played in underpinning aggregate labour productivity growth over almost three decades. </w:t>
      </w:r>
    </w:p>
    <w:p w14:paraId="6B059536" w14:textId="78FE912B" w:rsidR="0095532A" w:rsidRDefault="0095532A" w:rsidP="0095532A">
      <w:pPr>
        <w:tabs>
          <w:tab w:val="num" w:pos="1134"/>
        </w:tabs>
      </w:pPr>
      <w:r>
        <w:t xml:space="preserve">While no clear pattern emerges from </w:t>
      </w:r>
      <w:r w:rsidR="00016656">
        <w:t>recent years</w:t>
      </w:r>
      <w:r>
        <w:t xml:space="preserve"> to help predict what the next few years may look like, </w:t>
      </w:r>
      <w:r w:rsidR="00016656">
        <w:t>we expect the foreseeable future to look more like</w:t>
      </w:r>
      <w:r>
        <w:t xml:space="preserve"> </w:t>
      </w:r>
      <w:r w:rsidRPr="00710B31">
        <w:t>the first and third columns</w:t>
      </w:r>
      <w:r w:rsidR="00710B31" w:rsidRPr="00710B31">
        <w:t>, with quite strong aggregate labour productivity growth</w:t>
      </w:r>
      <w:r w:rsidRPr="00710B31">
        <w:t xml:space="preserve">. </w:t>
      </w:r>
      <w:r w:rsidRPr="00096234">
        <w:t xml:space="preserve">A risk to this </w:t>
      </w:r>
      <w:r w:rsidR="00275ACE">
        <w:t>prediction</w:t>
      </w:r>
      <w:r w:rsidR="00531E64">
        <w:t>,</w:t>
      </w:r>
      <w:r w:rsidR="00275ACE">
        <w:t xml:space="preserve"> which is evident in 2015</w:t>
      </w:r>
      <w:r w:rsidR="00E86E34">
        <w:noBreakHyphen/>
      </w:r>
      <w:r w:rsidR="00275ACE">
        <w:t>16</w:t>
      </w:r>
      <w:r w:rsidR="00531E64">
        <w:t>,</w:t>
      </w:r>
      <w:r w:rsidR="00275ACE">
        <w:t xml:space="preserve"> </w:t>
      </w:r>
      <w:r w:rsidRPr="00096234">
        <w:t xml:space="preserve">is the possibility that additional labour will be used to take advantage </w:t>
      </w:r>
      <w:r w:rsidR="00531E64">
        <w:t xml:space="preserve">of the </w:t>
      </w:r>
      <w:r w:rsidR="00275ACE">
        <w:t xml:space="preserve">temporary </w:t>
      </w:r>
      <w:r w:rsidRPr="00096234">
        <w:t>spike</w:t>
      </w:r>
      <w:r w:rsidR="00275ACE">
        <w:t>s</w:t>
      </w:r>
      <w:r w:rsidRPr="00096234">
        <w:t xml:space="preserve"> in </w:t>
      </w:r>
      <w:r w:rsidR="00275ACE">
        <w:t>resources</w:t>
      </w:r>
      <w:r w:rsidR="00275ACE" w:rsidRPr="00096234">
        <w:t xml:space="preserve"> </w:t>
      </w:r>
      <w:r w:rsidRPr="00096234">
        <w:t>prices in the shorter term, which would lead to more columns like the fourth column.</w:t>
      </w:r>
      <w:r w:rsidRPr="00096234">
        <w:rPr>
          <w:rStyle w:val="FootnoteReference"/>
        </w:rPr>
        <w:footnoteReference w:id="18"/>
      </w:r>
    </w:p>
    <w:p w14:paraId="6D6DEC07" w14:textId="04B9BE33" w:rsidR="00FF3F45" w:rsidRPr="00A72CFF" w:rsidRDefault="00710B31" w:rsidP="005054A0">
      <w:pPr>
        <w:tabs>
          <w:tab w:val="num" w:pos="1134"/>
        </w:tabs>
      </w:pPr>
      <w:r>
        <w:t>Regardless</w:t>
      </w:r>
      <w:r w:rsidR="0022744C">
        <w:t xml:space="preserve">, </w:t>
      </w:r>
      <w:r w:rsidR="0005761D">
        <w:t xml:space="preserve">the Mining sector is expected to continue to be a significant contributor to aggregate labour productivity growth in coming years. </w:t>
      </w:r>
      <w:r w:rsidR="006A3452">
        <w:t>For example, despite the Mining sector actually adding</w:t>
      </w:r>
      <w:r w:rsidR="006A3452" w:rsidRPr="006A3452">
        <w:t xml:space="preserve"> labour in 2015</w:t>
      </w:r>
      <w:r w:rsidR="00E86E34">
        <w:noBreakHyphen/>
      </w:r>
      <w:r w:rsidR="006A3452" w:rsidRPr="006A3452">
        <w:t>16</w:t>
      </w:r>
      <w:r w:rsidR="00E86E34">
        <w:t xml:space="preserve"> — </w:t>
      </w:r>
      <w:r w:rsidR="006A3452">
        <w:t>which</w:t>
      </w:r>
      <w:r w:rsidR="006A3452" w:rsidRPr="006A3452">
        <w:t xml:space="preserve"> contributed to labour productivity growth </w:t>
      </w:r>
      <w:r w:rsidR="006A3452">
        <w:t xml:space="preserve">in the sector </w:t>
      </w:r>
      <w:r w:rsidR="006A3452" w:rsidRPr="006A3452">
        <w:t>falling from 29.5</w:t>
      </w:r>
      <w:r w:rsidR="00F54D87">
        <w:t> </w:t>
      </w:r>
      <w:r w:rsidR="006A3452" w:rsidRPr="006A3452">
        <w:t>per cent in 2014</w:t>
      </w:r>
      <w:r w:rsidR="00E86E34">
        <w:noBreakHyphen/>
      </w:r>
      <w:r w:rsidR="006A3452" w:rsidRPr="006A3452">
        <w:t xml:space="preserve">15 </w:t>
      </w:r>
      <w:r w:rsidR="006A3452">
        <w:t>to 3.4 per cent in 2015</w:t>
      </w:r>
      <w:r w:rsidR="00E86E34">
        <w:noBreakHyphen/>
      </w:r>
      <w:r w:rsidR="006A3452">
        <w:t>16</w:t>
      </w:r>
      <w:r w:rsidR="00E86E34">
        <w:t xml:space="preserve"> — </w:t>
      </w:r>
      <w:r w:rsidR="008927C3">
        <w:t xml:space="preserve">within sector </w:t>
      </w:r>
      <w:r w:rsidR="006A3452">
        <w:t>Mining</w:t>
      </w:r>
      <w:r w:rsidR="006A3452" w:rsidRPr="006A3452">
        <w:t xml:space="preserve"> </w:t>
      </w:r>
      <w:r w:rsidR="008927C3">
        <w:t xml:space="preserve">productivity growth </w:t>
      </w:r>
      <w:r w:rsidR="006A3452" w:rsidRPr="006A3452">
        <w:t xml:space="preserve">still contributed around a </w:t>
      </w:r>
      <w:r w:rsidR="000D47B0">
        <w:t>quarter</w:t>
      </w:r>
      <w:r w:rsidR="006A3452" w:rsidRPr="006A3452">
        <w:t xml:space="preserve"> of the economy</w:t>
      </w:r>
      <w:r w:rsidR="00E86E34">
        <w:t>’</w:t>
      </w:r>
      <w:r w:rsidR="006A3452" w:rsidRPr="006A3452">
        <w:t>s aggregate labour productivity growth</w:t>
      </w:r>
      <w:r>
        <w:t xml:space="preserve"> (column 4 of Chart </w:t>
      </w:r>
      <w:r w:rsidR="00693E5C">
        <w:t>7</w:t>
      </w:r>
      <w:r>
        <w:t>)</w:t>
      </w:r>
      <w:r w:rsidR="006A3452" w:rsidRPr="006A3452">
        <w:t xml:space="preserve">. </w:t>
      </w:r>
    </w:p>
    <w:p w14:paraId="6D6DEC09" w14:textId="77777777" w:rsidR="00807C2A" w:rsidRPr="00807C2A" w:rsidRDefault="00D57AD2" w:rsidP="00682744">
      <w:pPr>
        <w:pStyle w:val="Heading2"/>
      </w:pPr>
      <w:r>
        <w:t>Conclusion</w:t>
      </w:r>
    </w:p>
    <w:p w14:paraId="1C069C67" w14:textId="1F0EB96C" w:rsidR="00E90767" w:rsidRDefault="00E90767" w:rsidP="007F1547">
      <w:pPr>
        <w:tabs>
          <w:tab w:val="num" w:pos="1134"/>
        </w:tabs>
      </w:pPr>
      <w:r>
        <w:t>Despite concerns about Australia</w:t>
      </w:r>
      <w:r w:rsidR="00E86E34">
        <w:t>’</w:t>
      </w:r>
      <w:r>
        <w:t>s labour productivity and MFP growth in light of the lower terms of trade and an ageing population, recent labour productivity growth (driven by capital deepening) is in line with its longer</w:t>
      </w:r>
      <w:r w:rsidR="00E86E34">
        <w:noBreakHyphen/>
      </w:r>
      <w:r>
        <w:t>term averages</w:t>
      </w:r>
      <w:r w:rsidR="0026470B">
        <w:t>.</w:t>
      </w:r>
      <w:r>
        <w:t xml:space="preserve"> </w:t>
      </w:r>
    </w:p>
    <w:p w14:paraId="6D6DEC0D" w14:textId="5C74A8F4" w:rsidR="00136D03" w:rsidRDefault="0026470B" w:rsidP="0026470B">
      <w:pPr>
        <w:tabs>
          <w:tab w:val="num" w:pos="1134"/>
        </w:tabs>
      </w:pPr>
      <w:r>
        <w:t>In addition, there is little cause for alarm over the</w:t>
      </w:r>
      <w:r w:rsidR="007F1547">
        <w:t xml:space="preserve"> </w:t>
      </w:r>
      <w:r>
        <w:t>effect of structural change on productivity growth</w:t>
      </w:r>
      <w:r w:rsidR="007F1547">
        <w:t xml:space="preserve">. </w:t>
      </w:r>
      <w:r>
        <w:t>While</w:t>
      </w:r>
      <w:r w:rsidR="00D20245">
        <w:t xml:space="preserve"> </w:t>
      </w:r>
      <w:r>
        <w:t xml:space="preserve">the services </w:t>
      </w:r>
      <w:r w:rsidR="00D20245">
        <w:t xml:space="preserve">sectors </w:t>
      </w:r>
      <w:r>
        <w:t xml:space="preserve">continue to </w:t>
      </w:r>
      <w:r w:rsidR="00D20245">
        <w:t>attract more and more labour</w:t>
      </w:r>
      <w:r w:rsidR="00C26263">
        <w:t>,</w:t>
      </w:r>
      <w:r w:rsidR="00D20245">
        <w:t xml:space="preserve"> </w:t>
      </w:r>
      <w:r w:rsidR="00C10648">
        <w:t xml:space="preserve">their </w:t>
      </w:r>
      <w:r w:rsidR="002A65A8">
        <w:t xml:space="preserve">aggregate </w:t>
      </w:r>
      <w:r w:rsidR="00C10648">
        <w:t>productivity level is similar to all other sectors of the economy bar Mining and Utilities</w:t>
      </w:r>
      <w:r w:rsidR="007F1547">
        <w:t xml:space="preserve"> </w:t>
      </w:r>
      <w:r w:rsidR="00705FB5">
        <w:t>and</w:t>
      </w:r>
      <w:r w:rsidR="007F1547">
        <w:t xml:space="preserve"> their </w:t>
      </w:r>
      <w:r w:rsidR="00C10648">
        <w:t>combined within</w:t>
      </w:r>
      <w:r w:rsidR="00E86E34">
        <w:noBreakHyphen/>
      </w:r>
      <w:r w:rsidR="00C10648">
        <w:t xml:space="preserve">sector </w:t>
      </w:r>
      <w:r w:rsidR="007F1547">
        <w:t xml:space="preserve">productivity growth </w:t>
      </w:r>
      <w:r w:rsidR="002A0446">
        <w:t>is</w:t>
      </w:r>
      <w:r w:rsidR="007F1547">
        <w:t xml:space="preserve"> tracking at similar speeds to that of the whole economy</w:t>
      </w:r>
      <w:r w:rsidR="002A65A8">
        <w:t xml:space="preserve"> (in part as they already represent over two</w:t>
      </w:r>
      <w:r w:rsidR="00E86E34">
        <w:noBreakHyphen/>
      </w:r>
      <w:r w:rsidR="002A65A8">
        <w:t>thirds of the economy)</w:t>
      </w:r>
      <w:r w:rsidR="007F1547">
        <w:t>.</w:t>
      </w:r>
      <w:r w:rsidR="00C920D9">
        <w:t xml:space="preserve"> </w:t>
      </w:r>
      <w:r w:rsidR="00705FB5">
        <w:t>Indeed, it is labour productivity growth in the services sectors that has been underpinning aggregate productivity growth in Australia over recent decades, and will continue to do so</w:t>
      </w:r>
      <w:r w:rsidR="00517434">
        <w:t>,</w:t>
      </w:r>
      <w:r w:rsidR="00705FB5">
        <w:t xml:space="preserve"> notwithstanding cyclical periods of weak and strong productivity growth in the Mining</w:t>
      </w:r>
      <w:r w:rsidR="00517434">
        <w:t xml:space="preserve"> sector</w:t>
      </w:r>
      <w:r w:rsidR="00C10648">
        <w:t xml:space="preserve"> (which is largely associated with inflows and outflows of workers in the sector)</w:t>
      </w:r>
      <w:r w:rsidR="00517434">
        <w:t xml:space="preserve"> or other sectors.</w:t>
      </w:r>
    </w:p>
    <w:p w14:paraId="6D6DEC0E" w14:textId="061FD540" w:rsidR="000F1B12" w:rsidRPr="005863B4" w:rsidRDefault="00B65A98" w:rsidP="005863B4">
      <w:r>
        <w:t>While the Mining sector is expected to continue to make a strong contribution to Australia</w:t>
      </w:r>
      <w:r w:rsidR="00E86E34">
        <w:t>’</w:t>
      </w:r>
      <w:r>
        <w:t xml:space="preserve">s productivity growth in </w:t>
      </w:r>
      <w:r w:rsidR="00D470FE">
        <w:t xml:space="preserve">the next few </w:t>
      </w:r>
      <w:r>
        <w:t>years, the services sectors will remain responsible for growth prospects in the longer term. With within</w:t>
      </w:r>
      <w:r w:rsidR="00E86E34">
        <w:noBreakHyphen/>
      </w:r>
      <w:r>
        <w:t>sector productivity growth the dominant force behind aggregate productivity growth, b</w:t>
      </w:r>
      <w:r w:rsidR="002863EE">
        <w:t xml:space="preserve">oth capital deepening and MFP improvements will </w:t>
      </w:r>
      <w:r>
        <w:t xml:space="preserve">be important to </w:t>
      </w:r>
      <w:r w:rsidR="002863EE">
        <w:t>support future growth in labour productivity in Australia</w:t>
      </w:r>
      <w:r w:rsidR="002863EE" w:rsidRPr="004C391E">
        <w:t>.</w:t>
      </w:r>
      <w:r w:rsidR="000F1B12">
        <w:br w:type="page"/>
      </w:r>
    </w:p>
    <w:p w14:paraId="6D6DEC0F" w14:textId="77777777" w:rsidR="00FF3F45" w:rsidRDefault="00136D03" w:rsidP="00682744">
      <w:pPr>
        <w:pStyle w:val="Heading2"/>
      </w:pPr>
      <w:r>
        <w:t>References</w:t>
      </w:r>
    </w:p>
    <w:p w14:paraId="6D6DEC10" w14:textId="46C81BB6" w:rsidR="000C7B7A" w:rsidRDefault="000C7B7A" w:rsidP="00136D03">
      <w:pPr>
        <w:tabs>
          <w:tab w:val="num" w:pos="1134"/>
        </w:tabs>
        <w:jc w:val="left"/>
      </w:pPr>
      <w:r w:rsidRPr="000C7B7A">
        <w:t>Dolman, B</w:t>
      </w:r>
      <w:r w:rsidR="005D3F24">
        <w:t xml:space="preserve">., 2009, </w:t>
      </w:r>
      <w:r w:rsidR="00E86E34">
        <w:t>‘</w:t>
      </w:r>
      <w:r w:rsidRPr="000C7B7A">
        <w:t xml:space="preserve">What Happened to </w:t>
      </w:r>
      <w:r w:rsidR="005D3F24">
        <w:t>Australia</w:t>
      </w:r>
      <w:r w:rsidR="00E86E34">
        <w:t>’</w:t>
      </w:r>
      <w:r w:rsidR="005D3F24">
        <w:t>s Productivity Surge?</w:t>
      </w:r>
      <w:r w:rsidR="00E86E34">
        <w:t>’</w:t>
      </w:r>
      <w:r w:rsidRPr="000C7B7A">
        <w:t>, Australian Economic Review, vol 42, pp 243</w:t>
      </w:r>
      <w:r w:rsidR="00E86E34">
        <w:noBreakHyphen/>
      </w:r>
      <w:r w:rsidRPr="000C7B7A">
        <w:t>263.</w:t>
      </w:r>
    </w:p>
    <w:p w14:paraId="6D6DEC11" w14:textId="1CCA03EB" w:rsidR="00136D03" w:rsidRDefault="00136D03" w:rsidP="00136D03">
      <w:pPr>
        <w:tabs>
          <w:tab w:val="num" w:pos="1134"/>
        </w:tabs>
        <w:jc w:val="left"/>
      </w:pPr>
      <w:r w:rsidRPr="00136D03">
        <w:t xml:space="preserve">Dolman, B. and Gruen, D., 2012. </w:t>
      </w:r>
      <w:r w:rsidR="00E86E34">
        <w:t>‘</w:t>
      </w:r>
      <w:r w:rsidRPr="00136D03">
        <w:t>Prod</w:t>
      </w:r>
      <w:r w:rsidR="00544EEF">
        <w:t>uctivity and structural change</w:t>
      </w:r>
      <w:r w:rsidR="00E86E34">
        <w:t>’</w:t>
      </w:r>
      <w:r w:rsidR="00544EEF">
        <w:t>,</w:t>
      </w:r>
      <w:r w:rsidRPr="00136D03">
        <w:t xml:space="preserve"> 41st Australian Conference of Economists, 10</w:t>
      </w:r>
      <w:r w:rsidR="00A316A0">
        <w:t xml:space="preserve"> </w:t>
      </w:r>
      <w:r w:rsidRPr="00136D03">
        <w:t>July 2012.</w:t>
      </w:r>
    </w:p>
    <w:p w14:paraId="6D6DEC12" w14:textId="5362B634" w:rsidR="002F15F9" w:rsidRDefault="002F15F9" w:rsidP="00136D03">
      <w:pPr>
        <w:tabs>
          <w:tab w:val="num" w:pos="1134"/>
        </w:tabs>
        <w:jc w:val="left"/>
      </w:pPr>
      <w:r w:rsidRPr="002F15F9">
        <w:t>Eslake, S</w:t>
      </w:r>
      <w:r w:rsidR="005D3F24">
        <w:t xml:space="preserve">., 2011, </w:t>
      </w:r>
      <w:r w:rsidR="00E86E34">
        <w:t>‘</w:t>
      </w:r>
      <w:r w:rsidR="005D3F24">
        <w:t>Productivity: The Lost Decade</w:t>
      </w:r>
      <w:r w:rsidR="00E86E34">
        <w:t>’</w:t>
      </w:r>
      <w:r w:rsidRPr="002F15F9">
        <w:t>, Paper presented to Reserve Bank of Australia Conference on The Australian Economy in the 2000s, Sydney, 15 August</w:t>
      </w:r>
      <w:r w:rsidR="005D3F24">
        <w:t xml:space="preserve"> 2011.</w:t>
      </w:r>
    </w:p>
    <w:p w14:paraId="454A7FC3" w14:textId="2332F344" w:rsidR="00541286" w:rsidRDefault="00541286" w:rsidP="00136D03">
      <w:pPr>
        <w:tabs>
          <w:tab w:val="num" w:pos="1134"/>
        </w:tabs>
        <w:jc w:val="left"/>
      </w:pPr>
      <w:r>
        <w:t xml:space="preserve">Garnaut, R., 2015, Addresses to the </w:t>
      </w:r>
      <w:r w:rsidRPr="002C2FF7">
        <w:rPr>
          <w:i/>
        </w:rPr>
        <w:t>Nati</w:t>
      </w:r>
      <w:r w:rsidRPr="00DD2F99">
        <w:rPr>
          <w:i/>
        </w:rPr>
        <w:t>onal Reform Summit</w:t>
      </w:r>
      <w:r>
        <w:t xml:space="preserve"> (26 August 2015, Sydney) and </w:t>
      </w:r>
      <w:r w:rsidRPr="002C2FF7">
        <w:rPr>
          <w:i/>
        </w:rPr>
        <w:t>Workforce and Productivity Summit</w:t>
      </w:r>
      <w:r>
        <w:t xml:space="preserve"> (8 December 2015, Melbourne).</w:t>
      </w:r>
    </w:p>
    <w:p w14:paraId="6D6DEC13" w14:textId="74E91784" w:rsidR="00E91C67" w:rsidRDefault="00E91C67" w:rsidP="00136D03">
      <w:pPr>
        <w:tabs>
          <w:tab w:val="num" w:pos="1134"/>
        </w:tabs>
        <w:jc w:val="left"/>
      </w:pPr>
      <w:r>
        <w:t xml:space="preserve">Gordon, R.J., 2014. </w:t>
      </w:r>
      <w:r w:rsidR="00E86E34">
        <w:t>‘</w:t>
      </w:r>
      <w:r w:rsidRPr="00E91C67">
        <w:t>The Demise of U.S. Economic Growth: Restatement, Rebuttal, and Reflections</w:t>
      </w:r>
      <w:r w:rsidR="00E86E34">
        <w:t>’</w:t>
      </w:r>
      <w:r>
        <w:t xml:space="preserve">, </w:t>
      </w:r>
      <w:r w:rsidRPr="00E91C67">
        <w:t>National Bureau of Economic Research</w:t>
      </w:r>
      <w:r>
        <w:t>, Working Paper 19895.</w:t>
      </w:r>
    </w:p>
    <w:p w14:paraId="6D6DEC14" w14:textId="1DF1D954" w:rsidR="00046920" w:rsidRDefault="00046920" w:rsidP="00136D03">
      <w:pPr>
        <w:tabs>
          <w:tab w:val="num" w:pos="1134"/>
        </w:tabs>
        <w:jc w:val="left"/>
      </w:pPr>
      <w:r w:rsidRPr="00046920">
        <w:t>Gretton, P</w:t>
      </w:r>
      <w:r w:rsidR="005D3F24">
        <w:t>.,</w:t>
      </w:r>
      <w:r w:rsidRPr="00046920">
        <w:t xml:space="preserve"> Gali, J</w:t>
      </w:r>
      <w:r w:rsidR="005D3F24">
        <w:t>.</w:t>
      </w:r>
      <w:r w:rsidRPr="00046920">
        <w:t xml:space="preserve"> and Parham, D</w:t>
      </w:r>
      <w:r w:rsidR="005D3F24">
        <w:t xml:space="preserve">., 2004, </w:t>
      </w:r>
      <w:r w:rsidR="00E86E34">
        <w:t>‘</w:t>
      </w:r>
      <w:r w:rsidRPr="00046920">
        <w:t>The effects of ICTs and complementary innovations on</w:t>
      </w:r>
      <w:r w:rsidR="005D3F24">
        <w:t xml:space="preserve"> Australian productivity growth</w:t>
      </w:r>
      <w:r w:rsidR="00E86E34">
        <w:t>’</w:t>
      </w:r>
      <w:r w:rsidRPr="00046920">
        <w:t>, in The Economic Impact of ICT — Measurement, Evidence and Implications, OECD, Paris.</w:t>
      </w:r>
    </w:p>
    <w:p w14:paraId="6D6DEC15" w14:textId="45A81E83" w:rsidR="00555060" w:rsidRDefault="00555060" w:rsidP="00136D03">
      <w:pPr>
        <w:tabs>
          <w:tab w:val="num" w:pos="1134"/>
        </w:tabs>
        <w:jc w:val="left"/>
      </w:pPr>
      <w:r w:rsidRPr="00555060">
        <w:t>Inklaar, R</w:t>
      </w:r>
      <w:r w:rsidR="00DA7CDD">
        <w:t>.,</w:t>
      </w:r>
      <w:r w:rsidRPr="00555060">
        <w:t xml:space="preserve"> Timmer, M</w:t>
      </w:r>
      <w:r w:rsidR="00DA7CDD">
        <w:t>.,</w:t>
      </w:r>
      <w:r w:rsidRPr="00555060">
        <w:t xml:space="preserve"> and van Ark, B</w:t>
      </w:r>
      <w:r w:rsidR="00DA7CDD">
        <w:t>.,</w:t>
      </w:r>
      <w:r w:rsidRPr="00555060">
        <w:t xml:space="preserve"> 2007</w:t>
      </w:r>
      <w:r w:rsidR="00DA7CDD">
        <w:t>.</w:t>
      </w:r>
      <w:r w:rsidRPr="00555060">
        <w:t xml:space="preserve"> </w:t>
      </w:r>
      <w:r w:rsidR="00E86E34">
        <w:t>‘</w:t>
      </w:r>
      <w:r w:rsidRPr="00555060">
        <w:t>Mind the Gap! International Comparisons of Productivity i</w:t>
      </w:r>
      <w:r w:rsidR="00DA7CDD">
        <w:t>n Services and Goods Production</w:t>
      </w:r>
      <w:r w:rsidR="00E86E34">
        <w:t>’</w:t>
      </w:r>
      <w:r w:rsidRPr="00555060">
        <w:t>, German Economic Review, vol 8, pp 281</w:t>
      </w:r>
      <w:r w:rsidR="00E86E34">
        <w:noBreakHyphen/>
      </w:r>
      <w:r w:rsidRPr="00555060">
        <w:t>307.</w:t>
      </w:r>
    </w:p>
    <w:p w14:paraId="6D6DEC16" w14:textId="35E27753" w:rsidR="00485079" w:rsidRDefault="00485079" w:rsidP="00136D03">
      <w:pPr>
        <w:tabs>
          <w:tab w:val="num" w:pos="1134"/>
        </w:tabs>
        <w:jc w:val="left"/>
      </w:pPr>
      <w:r>
        <w:t xml:space="preserve">OECD, 2015. </w:t>
      </w:r>
      <w:r w:rsidR="00E86E34">
        <w:t>‘</w:t>
      </w:r>
      <w:r>
        <w:t>OECD Compendium of Productivity Indicators 2015</w:t>
      </w:r>
      <w:r w:rsidR="00E86E34">
        <w:t>’</w:t>
      </w:r>
      <w:r>
        <w:t>, OECD Publishing, Paris.</w:t>
      </w:r>
    </w:p>
    <w:p w14:paraId="6D6DEC17" w14:textId="3C8CBD1E" w:rsidR="000B2982" w:rsidRDefault="000B2982" w:rsidP="00136D03">
      <w:pPr>
        <w:tabs>
          <w:tab w:val="num" w:pos="1134"/>
        </w:tabs>
        <w:jc w:val="left"/>
      </w:pPr>
      <w:r w:rsidRPr="000B2982">
        <w:t xml:space="preserve">Parham, D 2012, </w:t>
      </w:r>
      <w:r w:rsidR="00E86E34">
        <w:t>‘</w:t>
      </w:r>
      <w:r w:rsidRPr="000B2982">
        <w:t>Australia</w:t>
      </w:r>
      <w:r w:rsidR="00E86E34">
        <w:t>’</w:t>
      </w:r>
      <w:r w:rsidRPr="000B2982">
        <w:t>s Productivity Growth Slump: Signs of Crisis, Adjustment or Both?</w:t>
      </w:r>
      <w:r w:rsidR="00E86E34">
        <w:t>’</w:t>
      </w:r>
      <w:r w:rsidRPr="000B2982">
        <w:t>, Visiting Researcher Paper, Productivity Commission, Canberra.</w:t>
      </w:r>
    </w:p>
    <w:p w14:paraId="6D6DEC18" w14:textId="08000413" w:rsidR="00136D03" w:rsidRPr="00136D03" w:rsidRDefault="00136D03" w:rsidP="00136D03">
      <w:pPr>
        <w:tabs>
          <w:tab w:val="num" w:pos="1134"/>
        </w:tabs>
        <w:jc w:val="left"/>
      </w:pPr>
      <w:r w:rsidRPr="00136D03">
        <w:t xml:space="preserve">Productivity Commission, 1999. </w:t>
      </w:r>
      <w:r w:rsidR="00E86E34">
        <w:t>‘</w:t>
      </w:r>
      <w:r w:rsidRPr="00136D03">
        <w:t>Microcosmic reforms and Australian productivity: Exploring the links</w:t>
      </w:r>
      <w:r w:rsidR="00E86E34">
        <w:t>’</w:t>
      </w:r>
      <w:r w:rsidRPr="00136D03">
        <w:t>, Commission Research Paper, AusInfo, Canberra.</w:t>
      </w:r>
    </w:p>
    <w:p w14:paraId="6D6DEC19" w14:textId="304AA37D" w:rsidR="00AF2D96" w:rsidRDefault="00AF2D96" w:rsidP="00136D03">
      <w:pPr>
        <w:tabs>
          <w:tab w:val="num" w:pos="1134"/>
        </w:tabs>
        <w:jc w:val="left"/>
      </w:pPr>
      <w:r>
        <w:t xml:space="preserve">Productivity Commission, 2004. </w:t>
      </w:r>
      <w:r w:rsidR="00E86E34">
        <w:t>‘</w:t>
      </w:r>
      <w:r w:rsidRPr="00AF2D96">
        <w:t>ICT Use and Productivity: A Synthesis from Studies of Australian Firms</w:t>
      </w:r>
      <w:r w:rsidR="00E86E34">
        <w:t>’</w:t>
      </w:r>
      <w:r>
        <w:t>, Commission Research Paper, Canberra.</w:t>
      </w:r>
    </w:p>
    <w:p w14:paraId="6D6DEC1A" w14:textId="42A4C00F" w:rsidR="003A104D" w:rsidRDefault="00136D03" w:rsidP="00136D03">
      <w:pPr>
        <w:tabs>
          <w:tab w:val="num" w:pos="1134"/>
        </w:tabs>
        <w:jc w:val="left"/>
      </w:pPr>
      <w:r w:rsidRPr="00136D03">
        <w:t>Productivity Commission, 2012</w:t>
      </w:r>
      <w:r w:rsidR="003E33D8">
        <w:t>a</w:t>
      </w:r>
      <w:r w:rsidRPr="00136D03">
        <w:t xml:space="preserve">. </w:t>
      </w:r>
      <w:r w:rsidR="00E86E34">
        <w:t>‘</w:t>
      </w:r>
      <w:r w:rsidRPr="00136D03">
        <w:t>Impacts of COAG reforms: Business regulation &amp; VET, Supplement to research report</w:t>
      </w:r>
      <w:r w:rsidR="00E86E34">
        <w:t>’</w:t>
      </w:r>
      <w:r w:rsidRPr="00136D03">
        <w:t>, July</w:t>
      </w:r>
      <w:r>
        <w:t xml:space="preserve"> 2012.</w:t>
      </w:r>
    </w:p>
    <w:p w14:paraId="6D6DEC1B" w14:textId="60064FD8" w:rsidR="003E33D8" w:rsidRPr="00136D03" w:rsidRDefault="003E33D8" w:rsidP="003E33D8">
      <w:pPr>
        <w:tabs>
          <w:tab w:val="num" w:pos="1134"/>
        </w:tabs>
        <w:jc w:val="left"/>
      </w:pPr>
      <w:r w:rsidRPr="00136D03">
        <w:t>Productivity Commission, 2012</w:t>
      </w:r>
      <w:r>
        <w:t>b</w:t>
      </w:r>
      <w:r w:rsidRPr="00136D03">
        <w:t xml:space="preserve">. </w:t>
      </w:r>
      <w:r w:rsidR="00E86E34">
        <w:t>‘</w:t>
      </w:r>
      <w:r>
        <w:t>Productivity in Electricity, Gas and Water: Measurement and Interpretation</w:t>
      </w:r>
      <w:r w:rsidRPr="00136D03">
        <w:t xml:space="preserve">, </w:t>
      </w:r>
      <w:r>
        <w:t>March 2012.</w:t>
      </w:r>
    </w:p>
    <w:p w14:paraId="6D6DEC1C" w14:textId="77777777" w:rsidR="003E33D8" w:rsidRDefault="003E33D8" w:rsidP="00136D03">
      <w:pPr>
        <w:tabs>
          <w:tab w:val="num" w:pos="1134"/>
        </w:tabs>
        <w:jc w:val="left"/>
      </w:pPr>
    </w:p>
    <w:p w14:paraId="6D6DEC1D" w14:textId="77777777" w:rsidR="003A104D" w:rsidRDefault="003A104D" w:rsidP="00544EEF">
      <w:pPr>
        <w:tabs>
          <w:tab w:val="num" w:pos="1134"/>
        </w:tabs>
        <w:jc w:val="left"/>
      </w:pPr>
      <w:r>
        <w:br w:type="page"/>
      </w:r>
    </w:p>
    <w:p w14:paraId="1439999D" w14:textId="546EB3F1" w:rsidR="00502367" w:rsidRDefault="00502367" w:rsidP="00682744">
      <w:pPr>
        <w:pStyle w:val="Heading2"/>
      </w:pPr>
      <w:r>
        <w:t>Appendix A</w:t>
      </w:r>
    </w:p>
    <w:p w14:paraId="2FDB97BA" w14:textId="77777777" w:rsidR="00502367" w:rsidRDefault="00502367" w:rsidP="00682744">
      <w:pPr>
        <w:pStyle w:val="Heading3"/>
      </w:pPr>
      <w:r>
        <w:t>Data</w:t>
      </w:r>
    </w:p>
    <w:p w14:paraId="16588713" w14:textId="77777777" w:rsidR="00502367" w:rsidRDefault="00502367" w:rsidP="00502367">
      <w:r w:rsidRPr="00EA27D3">
        <w:t xml:space="preserve">This </w:t>
      </w:r>
      <w:r>
        <w:t>article</w:t>
      </w:r>
      <w:r w:rsidRPr="00EA27D3">
        <w:t xml:space="preserve"> uses two differen</w:t>
      </w:r>
      <w:r>
        <w:t>t</w:t>
      </w:r>
      <w:r w:rsidRPr="00EA27D3">
        <w:t xml:space="preserve"> sources of Australian Bureau of Statistics (ABS) hours worked</w:t>
      </w:r>
      <w:r>
        <w:t xml:space="preserve"> data to calculate labour input. Index data is </w:t>
      </w:r>
      <w:r w:rsidRPr="00EA27D3">
        <w:t>sourced f</w:t>
      </w:r>
      <w:r>
        <w:t>rom the National Accounts (ABS cat. n</w:t>
      </w:r>
      <w:r w:rsidRPr="00EA27D3">
        <w:t>o. 5204</w:t>
      </w:r>
      <w:r>
        <w:t>.0</w:t>
      </w:r>
      <w:r w:rsidRPr="00EA27D3">
        <w:t>) and</w:t>
      </w:r>
      <w:r>
        <w:t xml:space="preserve"> Multifactor Productivity (ABS cat. n</w:t>
      </w:r>
      <w:r w:rsidRPr="00EA27D3">
        <w:t xml:space="preserve">o. </w:t>
      </w:r>
      <w:r w:rsidRPr="00D63D90">
        <w:t>5260.0.55.002</w:t>
      </w:r>
      <w:r w:rsidRPr="00EA27D3">
        <w:t>) data releases and is typically used for official productivity reporting.</w:t>
      </w:r>
      <w:r>
        <w:t xml:space="preserve"> Levels data is</w:t>
      </w:r>
      <w:r w:rsidRPr="00EA27D3">
        <w:t xml:space="preserve"> sourced from </w:t>
      </w:r>
      <w:r>
        <w:t xml:space="preserve">the </w:t>
      </w:r>
      <w:r w:rsidRPr="00EA27D3">
        <w:t>Labour Force Statist</w:t>
      </w:r>
      <w:r>
        <w:t>ics (ABS cat. n</w:t>
      </w:r>
      <w:r w:rsidRPr="00EA27D3">
        <w:t xml:space="preserve">o. </w:t>
      </w:r>
      <w:r w:rsidRPr="00D63D90">
        <w:t>6291.0.55.003</w:t>
      </w:r>
      <w:r w:rsidRPr="00EA27D3">
        <w:t>) and is required for the analysis of movements of labour.</w:t>
      </w:r>
    </w:p>
    <w:p w14:paraId="5D42A8D6" w14:textId="177357C7" w:rsidR="00502367" w:rsidRDefault="00502367" w:rsidP="00502367">
      <w:r>
        <w:t>Using these sources, aggregate labour productivity estimates for the 12 industry market sector, the 16 industry market sector and the whole economy are available from 1973</w:t>
      </w:r>
      <w:r w:rsidR="00E86E34">
        <w:noBreakHyphen/>
      </w:r>
      <w:r>
        <w:t>74, 1994</w:t>
      </w:r>
      <w:r w:rsidR="00E86E34">
        <w:noBreakHyphen/>
      </w:r>
      <w:r>
        <w:t>95 and 1977</w:t>
      </w:r>
      <w:r w:rsidR="00E86E34">
        <w:noBreakHyphen/>
      </w:r>
      <w:r>
        <w:t>78 respectively</w:t>
      </w:r>
      <w:r w:rsidR="00E86E34">
        <w:t xml:space="preserve">. </w:t>
      </w:r>
    </w:p>
    <w:p w14:paraId="6153F7C7" w14:textId="65A8C4C0" w:rsidR="00502367" w:rsidRPr="00EA27D3" w:rsidRDefault="00502367" w:rsidP="00502367">
      <w:r>
        <w:t xml:space="preserve">Sectoral productivity analysis </w:t>
      </w:r>
      <w:r w:rsidRPr="00196983">
        <w:t>requires levels data from the ABS Labour Force Statistics</w:t>
      </w:r>
      <w:r>
        <w:t>.</w:t>
      </w:r>
      <w:r w:rsidRPr="00196983">
        <w:t xml:space="preserve"> </w:t>
      </w:r>
      <w:r w:rsidRPr="00EA27D3">
        <w:t xml:space="preserve">There are slight differences between estimates of growth in hours worked </w:t>
      </w:r>
      <w:r>
        <w:t>using levels data and the index data used elsewhere in the paper</w:t>
      </w:r>
      <w:r w:rsidR="00E86E34">
        <w:t xml:space="preserve"> — </w:t>
      </w:r>
      <w:r w:rsidRPr="00EA27D3">
        <w:t>particularly when comparing whole of economy and disaggregated industry sector data</w:t>
      </w:r>
      <w:r w:rsidR="00E86E34">
        <w:t xml:space="preserve"> — </w:t>
      </w:r>
      <w:r w:rsidRPr="00EA27D3">
        <w:t>which lead to differences in labour productivity estimates for a given increase in real GDP.</w:t>
      </w:r>
      <w:r>
        <w:rPr>
          <w:rStyle w:val="FootnoteReference"/>
        </w:rPr>
        <w:footnoteReference w:id="19"/>
      </w:r>
    </w:p>
    <w:p w14:paraId="6D55658E" w14:textId="77777777" w:rsidR="00502367" w:rsidRPr="00EA27D3" w:rsidRDefault="00502367" w:rsidP="00502367">
      <w:r>
        <w:t xml:space="preserve">While improvements in labour quality, for example through education and training, can be a source of productivity gains, for simplicity this article uses an hours worked basis when considering labour input (as opposed to quality adjusted hours worked). </w:t>
      </w:r>
    </w:p>
    <w:p w14:paraId="0025F7BE" w14:textId="77777777" w:rsidR="00502367" w:rsidRPr="00EA27D3" w:rsidRDefault="00502367" w:rsidP="00682744">
      <w:pPr>
        <w:pStyle w:val="Heading4"/>
        <w:rPr>
          <w:rFonts w:eastAsia="Arial"/>
          <w:lang w:eastAsia="en-US"/>
        </w:rPr>
      </w:pPr>
      <w:r w:rsidRPr="00EA27D3">
        <w:rPr>
          <w:rFonts w:eastAsia="Arial"/>
          <w:lang w:eastAsia="en-US"/>
        </w:rPr>
        <w:t>Industry classification</w:t>
      </w:r>
    </w:p>
    <w:p w14:paraId="4B9DF0F1" w14:textId="4440696E" w:rsidR="00502367" w:rsidRDefault="00502367" w:rsidP="00502367">
      <w:pPr>
        <w:rPr>
          <w:rFonts w:ascii="Arial Bold" w:hAnsi="Arial Bold"/>
          <w:b/>
          <w:color w:val="365F91"/>
        </w:rPr>
      </w:pPr>
      <w:r w:rsidRPr="00EA27D3">
        <w:t>The economy comprises market and non</w:t>
      </w:r>
      <w:r w:rsidR="00E86E34">
        <w:noBreakHyphen/>
      </w:r>
      <w:r w:rsidRPr="00EA27D3">
        <w:t xml:space="preserve">market industries, listed </w:t>
      </w:r>
      <w:r>
        <w:t xml:space="preserve">with their availabilities </w:t>
      </w:r>
      <w:r w:rsidRPr="00EA27D3">
        <w:t xml:space="preserve">in Table 1 below. The market sector industries are broken up into the 12 industry market sector industries and four </w:t>
      </w:r>
      <w:r w:rsidR="00E86E34">
        <w:t>‘</w:t>
      </w:r>
      <w:r w:rsidRPr="00EA27D3">
        <w:t>new</w:t>
      </w:r>
      <w:r w:rsidR="00E86E34">
        <w:t>’</w:t>
      </w:r>
      <w:r w:rsidRPr="00EA27D3">
        <w:t xml:space="preserve"> services industries, included since 1994</w:t>
      </w:r>
      <w:r w:rsidR="00E86E34">
        <w:noBreakHyphen/>
      </w:r>
      <w:r w:rsidRPr="00EA27D3">
        <w:t xml:space="preserve">95. </w:t>
      </w:r>
    </w:p>
    <w:p w14:paraId="6C1CC86B" w14:textId="77777777" w:rsidR="00502367" w:rsidRDefault="00502367">
      <w:pPr>
        <w:spacing w:after="0" w:line="240" w:lineRule="auto"/>
        <w:jc w:val="left"/>
        <w:rPr>
          <w:rFonts w:ascii="Arial Bold" w:hAnsi="Arial Bold"/>
          <w:b/>
          <w:color w:val="365F91"/>
        </w:rPr>
      </w:pPr>
      <w:r>
        <w:br w:type="page"/>
      </w:r>
    </w:p>
    <w:p w14:paraId="05311AE2" w14:textId="7CDAAC9C" w:rsidR="00502367" w:rsidRDefault="00502367" w:rsidP="00502367">
      <w:pPr>
        <w:pStyle w:val="TableMainHeading"/>
      </w:pPr>
      <w:r w:rsidRPr="00EA27D3">
        <w:t>Table 1: Australian and New Zealand Standard Industrial Classification 2006 (ANZSIC06)</w:t>
      </w:r>
    </w:p>
    <w:tbl>
      <w:tblPr>
        <w:tblStyle w:val="TableGrid"/>
        <w:tblW w:w="0" w:type="auto"/>
        <w:tblInd w:w="108" w:type="dxa"/>
        <w:tblLook w:val="04A0" w:firstRow="1" w:lastRow="0" w:firstColumn="1" w:lastColumn="0" w:noHBand="0" w:noVBand="1"/>
      </w:tblPr>
      <w:tblGrid>
        <w:gridCol w:w="2694"/>
        <w:gridCol w:w="3543"/>
        <w:gridCol w:w="2694"/>
      </w:tblGrid>
      <w:tr w:rsidR="00502367" w14:paraId="491E5BA6" w14:textId="77777777" w:rsidTr="00F54D87">
        <w:tc>
          <w:tcPr>
            <w:tcW w:w="2694" w:type="dxa"/>
          </w:tcPr>
          <w:p w14:paraId="47E0FCFC" w14:textId="15993CAB" w:rsidR="00502367" w:rsidRPr="00447D44" w:rsidRDefault="00E86E34" w:rsidP="001801BE">
            <w:pPr>
              <w:pStyle w:val="TableColumnHeadingLeft"/>
              <w:jc w:val="left"/>
            </w:pPr>
            <w:r>
              <w:t>‘</w:t>
            </w:r>
            <w:r w:rsidR="00502367" w:rsidRPr="00885055">
              <w:t>12 industry market sector</w:t>
            </w:r>
            <w:r>
              <w:t>’</w:t>
            </w:r>
            <w:r w:rsidR="00502367">
              <w:t xml:space="preserve"> industries </w:t>
            </w:r>
          </w:p>
        </w:tc>
        <w:tc>
          <w:tcPr>
            <w:tcW w:w="3543" w:type="dxa"/>
          </w:tcPr>
          <w:p w14:paraId="1D5621D2" w14:textId="322E01FF" w:rsidR="00502367" w:rsidRPr="00885055" w:rsidRDefault="00E86E34" w:rsidP="001801BE">
            <w:pPr>
              <w:pStyle w:val="TableColumnHeadingLeft"/>
              <w:jc w:val="left"/>
            </w:pPr>
            <w:r>
              <w:t>‘</w:t>
            </w:r>
            <w:r w:rsidR="00502367">
              <w:t>N</w:t>
            </w:r>
            <w:r w:rsidR="00502367" w:rsidRPr="00827D10">
              <w:t>ew</w:t>
            </w:r>
            <w:r>
              <w:t>’</w:t>
            </w:r>
            <w:r w:rsidR="00502367" w:rsidRPr="00827D10">
              <w:t xml:space="preserve"> services industries</w:t>
            </w:r>
          </w:p>
        </w:tc>
        <w:tc>
          <w:tcPr>
            <w:tcW w:w="2694" w:type="dxa"/>
          </w:tcPr>
          <w:p w14:paraId="0C5C39B4" w14:textId="2649D0F6" w:rsidR="00502367" w:rsidRPr="00885055" w:rsidRDefault="00502367" w:rsidP="001801BE">
            <w:pPr>
              <w:pStyle w:val="TableColumnHeadingLeft"/>
            </w:pPr>
            <w:r>
              <w:t>Non</w:t>
            </w:r>
            <w:r w:rsidR="00E86E34">
              <w:noBreakHyphen/>
            </w:r>
            <w:r>
              <w:t>m</w:t>
            </w:r>
            <w:r w:rsidRPr="00885055">
              <w:t xml:space="preserve">arket industries </w:t>
            </w:r>
          </w:p>
        </w:tc>
      </w:tr>
      <w:tr w:rsidR="00502367" w14:paraId="601CB350" w14:textId="77777777" w:rsidTr="00F54D87">
        <w:tc>
          <w:tcPr>
            <w:tcW w:w="2694" w:type="dxa"/>
          </w:tcPr>
          <w:p w14:paraId="2CAEBE0E" w14:textId="182F37D5" w:rsidR="00502367" w:rsidRDefault="00502367" w:rsidP="001801BE">
            <w:pPr>
              <w:pStyle w:val="TableColumnHeadingLeft"/>
            </w:pPr>
            <w:r w:rsidRPr="00447D44">
              <w:rPr>
                <w:b w:val="0"/>
                <w:i/>
              </w:rPr>
              <w:t xml:space="preserve">Industry data from </w:t>
            </w:r>
            <w:r>
              <w:rPr>
                <w:b w:val="0"/>
                <w:i/>
              </w:rPr>
              <w:t>1988</w:t>
            </w:r>
            <w:r w:rsidR="00E86E34">
              <w:rPr>
                <w:b w:val="0"/>
                <w:i/>
              </w:rPr>
              <w:noBreakHyphen/>
            </w:r>
            <w:r>
              <w:rPr>
                <w:b w:val="0"/>
                <w:i/>
              </w:rPr>
              <w:t>89</w:t>
            </w:r>
          </w:p>
        </w:tc>
        <w:tc>
          <w:tcPr>
            <w:tcW w:w="3543" w:type="dxa"/>
          </w:tcPr>
          <w:p w14:paraId="46BDF541" w14:textId="7A5385F0" w:rsidR="00502367" w:rsidRDefault="00502367" w:rsidP="001801BE">
            <w:pPr>
              <w:pStyle w:val="TableColumnHeadingLeft"/>
            </w:pPr>
            <w:r w:rsidRPr="00447D44">
              <w:rPr>
                <w:b w:val="0"/>
                <w:i/>
              </w:rPr>
              <w:t xml:space="preserve">Industry data from </w:t>
            </w:r>
            <w:r>
              <w:rPr>
                <w:b w:val="0"/>
                <w:i/>
              </w:rPr>
              <w:t>1994</w:t>
            </w:r>
            <w:r w:rsidR="00E86E34">
              <w:rPr>
                <w:b w:val="0"/>
                <w:i/>
              </w:rPr>
              <w:noBreakHyphen/>
            </w:r>
            <w:r>
              <w:rPr>
                <w:b w:val="0"/>
                <w:i/>
              </w:rPr>
              <w:t>95</w:t>
            </w:r>
            <w:r>
              <w:rPr>
                <w:rStyle w:val="FootnoteReference"/>
                <w:b w:val="0"/>
                <w:i/>
              </w:rPr>
              <w:footnoteReference w:id="20"/>
            </w:r>
          </w:p>
        </w:tc>
        <w:tc>
          <w:tcPr>
            <w:tcW w:w="2694" w:type="dxa"/>
          </w:tcPr>
          <w:p w14:paraId="0076941C" w14:textId="2CBC1F76" w:rsidR="00502367" w:rsidRDefault="00502367" w:rsidP="001801BE">
            <w:pPr>
              <w:pStyle w:val="TableColumnHeadingLeft"/>
              <w:jc w:val="left"/>
            </w:pPr>
            <w:r w:rsidRPr="00447D44">
              <w:rPr>
                <w:b w:val="0"/>
                <w:i/>
              </w:rPr>
              <w:t xml:space="preserve">Industry data from </w:t>
            </w:r>
            <w:r>
              <w:rPr>
                <w:b w:val="0"/>
                <w:i/>
              </w:rPr>
              <w:t>1994</w:t>
            </w:r>
            <w:r w:rsidR="00E86E34">
              <w:rPr>
                <w:b w:val="0"/>
                <w:i/>
              </w:rPr>
              <w:noBreakHyphen/>
            </w:r>
            <w:r>
              <w:rPr>
                <w:b w:val="0"/>
                <w:i/>
              </w:rPr>
              <w:t>95</w:t>
            </w:r>
            <w:r>
              <w:rPr>
                <w:rStyle w:val="FootnoteReference"/>
                <w:b w:val="0"/>
                <w:i/>
              </w:rPr>
              <w:footnoteReference w:id="21"/>
            </w:r>
          </w:p>
        </w:tc>
      </w:tr>
      <w:tr w:rsidR="00502367" w14:paraId="76DE6917" w14:textId="77777777" w:rsidTr="00F54D87">
        <w:tc>
          <w:tcPr>
            <w:tcW w:w="2694" w:type="dxa"/>
          </w:tcPr>
          <w:p w14:paraId="4817E64B" w14:textId="77777777" w:rsidR="00502367" w:rsidRPr="00885055" w:rsidRDefault="00502367" w:rsidP="001801BE">
            <w:pPr>
              <w:pStyle w:val="TableTextLeft"/>
              <w:rPr>
                <w:b/>
              </w:rPr>
            </w:pPr>
            <w:r w:rsidRPr="00885055">
              <w:t>Agriculture, Forestry and Fishing</w:t>
            </w:r>
          </w:p>
        </w:tc>
        <w:tc>
          <w:tcPr>
            <w:tcW w:w="3543" w:type="dxa"/>
          </w:tcPr>
          <w:p w14:paraId="57EAB591" w14:textId="77777777" w:rsidR="00502367" w:rsidRPr="00885055" w:rsidRDefault="00502367" w:rsidP="001801BE">
            <w:pPr>
              <w:pStyle w:val="TableTextLeft"/>
            </w:pPr>
            <w:r w:rsidRPr="00885055">
              <w:t>Rental, Hiring and Real Estate Services</w:t>
            </w:r>
          </w:p>
        </w:tc>
        <w:tc>
          <w:tcPr>
            <w:tcW w:w="2694" w:type="dxa"/>
          </w:tcPr>
          <w:p w14:paraId="62447236" w14:textId="77777777" w:rsidR="00502367" w:rsidRPr="00885055" w:rsidRDefault="00502367" w:rsidP="001801BE">
            <w:pPr>
              <w:pStyle w:val="TableTextLeft"/>
            </w:pPr>
            <w:r w:rsidRPr="00885055">
              <w:t>Public Administration and Safety</w:t>
            </w:r>
          </w:p>
        </w:tc>
      </w:tr>
      <w:tr w:rsidR="00502367" w14:paraId="7A22295F" w14:textId="77777777" w:rsidTr="00F54D87">
        <w:tc>
          <w:tcPr>
            <w:tcW w:w="2694" w:type="dxa"/>
          </w:tcPr>
          <w:p w14:paraId="4D7291A3" w14:textId="77777777" w:rsidR="00502367" w:rsidRPr="00885055" w:rsidRDefault="00502367" w:rsidP="001801BE">
            <w:pPr>
              <w:pStyle w:val="TableTextLeft"/>
              <w:rPr>
                <w:b/>
              </w:rPr>
            </w:pPr>
            <w:r w:rsidRPr="00885055">
              <w:t>Mining</w:t>
            </w:r>
          </w:p>
        </w:tc>
        <w:tc>
          <w:tcPr>
            <w:tcW w:w="3543" w:type="dxa"/>
          </w:tcPr>
          <w:p w14:paraId="3F4A04D7" w14:textId="77777777" w:rsidR="00502367" w:rsidRPr="00885055" w:rsidRDefault="00502367" w:rsidP="001801BE">
            <w:pPr>
              <w:pStyle w:val="TableTextLeft"/>
            </w:pPr>
            <w:r w:rsidRPr="00885055">
              <w:t>Professional, Scientific and Technical Services</w:t>
            </w:r>
          </w:p>
        </w:tc>
        <w:tc>
          <w:tcPr>
            <w:tcW w:w="2694" w:type="dxa"/>
          </w:tcPr>
          <w:p w14:paraId="15A871CB" w14:textId="77777777" w:rsidR="00502367" w:rsidRPr="00885055" w:rsidRDefault="00502367" w:rsidP="001801BE">
            <w:pPr>
              <w:pStyle w:val="TableTextLeft"/>
            </w:pPr>
            <w:r w:rsidRPr="00885055">
              <w:t>Education and Training</w:t>
            </w:r>
          </w:p>
        </w:tc>
      </w:tr>
      <w:tr w:rsidR="00502367" w14:paraId="15C56037" w14:textId="77777777" w:rsidTr="00F54D87">
        <w:tc>
          <w:tcPr>
            <w:tcW w:w="2694" w:type="dxa"/>
          </w:tcPr>
          <w:p w14:paraId="0B9A1D4C" w14:textId="77777777" w:rsidR="00502367" w:rsidRPr="00885055" w:rsidRDefault="00502367" w:rsidP="001801BE">
            <w:pPr>
              <w:pStyle w:val="TableTextLeft"/>
              <w:rPr>
                <w:b/>
              </w:rPr>
            </w:pPr>
            <w:r w:rsidRPr="00885055">
              <w:t>Manufacturing</w:t>
            </w:r>
          </w:p>
        </w:tc>
        <w:tc>
          <w:tcPr>
            <w:tcW w:w="3543" w:type="dxa"/>
          </w:tcPr>
          <w:p w14:paraId="3262A2C9" w14:textId="77777777" w:rsidR="00502367" w:rsidRPr="00885055" w:rsidRDefault="00502367" w:rsidP="001801BE">
            <w:pPr>
              <w:pStyle w:val="TableTextLeft"/>
            </w:pPr>
            <w:r w:rsidRPr="00885055">
              <w:t>Administrative and Support Services</w:t>
            </w:r>
          </w:p>
        </w:tc>
        <w:tc>
          <w:tcPr>
            <w:tcW w:w="2694" w:type="dxa"/>
          </w:tcPr>
          <w:p w14:paraId="0D0BB903" w14:textId="77777777" w:rsidR="00502367" w:rsidRPr="00885055" w:rsidRDefault="00502367" w:rsidP="001801BE">
            <w:pPr>
              <w:pStyle w:val="TableTextLeft"/>
            </w:pPr>
            <w:r w:rsidRPr="00885055">
              <w:t>Health Care and Social Assistance</w:t>
            </w:r>
          </w:p>
        </w:tc>
      </w:tr>
      <w:tr w:rsidR="00502367" w14:paraId="3BDF8FF4" w14:textId="77777777" w:rsidTr="00F54D87">
        <w:tc>
          <w:tcPr>
            <w:tcW w:w="2694" w:type="dxa"/>
          </w:tcPr>
          <w:p w14:paraId="5008D354" w14:textId="77777777" w:rsidR="00502367" w:rsidRPr="00885055" w:rsidRDefault="00502367" w:rsidP="001801BE">
            <w:pPr>
              <w:pStyle w:val="TableTextLeft"/>
              <w:jc w:val="left"/>
              <w:rPr>
                <w:b/>
              </w:rPr>
            </w:pPr>
            <w:r w:rsidRPr="00885055">
              <w:t>Electricity, Gas, Water and Waste Services</w:t>
            </w:r>
          </w:p>
        </w:tc>
        <w:tc>
          <w:tcPr>
            <w:tcW w:w="3543" w:type="dxa"/>
          </w:tcPr>
          <w:p w14:paraId="7DA023F0" w14:textId="77777777" w:rsidR="00502367" w:rsidRPr="00885055" w:rsidRDefault="00502367" w:rsidP="001801BE">
            <w:pPr>
              <w:pStyle w:val="TableTextLeft"/>
            </w:pPr>
            <w:r w:rsidRPr="00885055">
              <w:t>Other Services</w:t>
            </w:r>
          </w:p>
        </w:tc>
        <w:tc>
          <w:tcPr>
            <w:tcW w:w="2694" w:type="dxa"/>
          </w:tcPr>
          <w:p w14:paraId="038FBA02" w14:textId="77777777" w:rsidR="00502367" w:rsidRPr="00885055" w:rsidRDefault="00502367" w:rsidP="001801BE">
            <w:pPr>
              <w:pStyle w:val="TableTextLeft"/>
            </w:pPr>
            <w:r w:rsidRPr="00885055">
              <w:t>Ownership of Dwellings</w:t>
            </w:r>
          </w:p>
        </w:tc>
      </w:tr>
      <w:tr w:rsidR="00502367" w14:paraId="6F545A14" w14:textId="77777777" w:rsidTr="00F54D87">
        <w:tc>
          <w:tcPr>
            <w:tcW w:w="2694" w:type="dxa"/>
          </w:tcPr>
          <w:p w14:paraId="0AA26A72" w14:textId="77777777" w:rsidR="00502367" w:rsidRPr="00885055" w:rsidRDefault="00502367" w:rsidP="001801BE">
            <w:pPr>
              <w:pStyle w:val="TableTextLeft"/>
              <w:rPr>
                <w:b/>
              </w:rPr>
            </w:pPr>
            <w:r w:rsidRPr="00885055">
              <w:t>Construction</w:t>
            </w:r>
          </w:p>
        </w:tc>
        <w:tc>
          <w:tcPr>
            <w:tcW w:w="3543" w:type="dxa"/>
          </w:tcPr>
          <w:p w14:paraId="13DA52FC" w14:textId="77777777" w:rsidR="00502367" w:rsidRPr="00885055" w:rsidRDefault="00502367" w:rsidP="001801BE">
            <w:pPr>
              <w:pStyle w:val="TableTextLeft"/>
            </w:pPr>
          </w:p>
        </w:tc>
        <w:tc>
          <w:tcPr>
            <w:tcW w:w="2694" w:type="dxa"/>
          </w:tcPr>
          <w:p w14:paraId="39AE5089" w14:textId="77777777" w:rsidR="00502367" w:rsidRPr="00885055" w:rsidRDefault="00502367" w:rsidP="001801BE">
            <w:pPr>
              <w:pStyle w:val="TableTextLeft"/>
            </w:pPr>
          </w:p>
        </w:tc>
      </w:tr>
      <w:tr w:rsidR="00502367" w14:paraId="7E32A930" w14:textId="77777777" w:rsidTr="00F54D87">
        <w:tc>
          <w:tcPr>
            <w:tcW w:w="2694" w:type="dxa"/>
          </w:tcPr>
          <w:p w14:paraId="1210A7F5" w14:textId="77777777" w:rsidR="00502367" w:rsidRPr="00885055" w:rsidRDefault="00502367" w:rsidP="001801BE">
            <w:pPr>
              <w:pStyle w:val="TableTextLeft"/>
              <w:rPr>
                <w:b/>
              </w:rPr>
            </w:pPr>
            <w:r w:rsidRPr="00885055">
              <w:t>Wholesale Trade</w:t>
            </w:r>
          </w:p>
        </w:tc>
        <w:tc>
          <w:tcPr>
            <w:tcW w:w="3543" w:type="dxa"/>
          </w:tcPr>
          <w:p w14:paraId="24080AB1" w14:textId="77777777" w:rsidR="00502367" w:rsidRPr="00885055" w:rsidRDefault="00502367" w:rsidP="001801BE">
            <w:pPr>
              <w:pStyle w:val="TableTextLeft"/>
            </w:pPr>
          </w:p>
        </w:tc>
        <w:tc>
          <w:tcPr>
            <w:tcW w:w="2694" w:type="dxa"/>
          </w:tcPr>
          <w:p w14:paraId="638EF3FA" w14:textId="77777777" w:rsidR="00502367" w:rsidRPr="00885055" w:rsidRDefault="00502367" w:rsidP="001801BE">
            <w:pPr>
              <w:pStyle w:val="TableTextLeft"/>
            </w:pPr>
          </w:p>
        </w:tc>
      </w:tr>
      <w:tr w:rsidR="00502367" w14:paraId="334EDAE3" w14:textId="77777777" w:rsidTr="00F54D87">
        <w:tc>
          <w:tcPr>
            <w:tcW w:w="2694" w:type="dxa"/>
          </w:tcPr>
          <w:p w14:paraId="7891A1CD" w14:textId="77777777" w:rsidR="00502367" w:rsidRPr="00885055" w:rsidRDefault="00502367" w:rsidP="001801BE">
            <w:pPr>
              <w:pStyle w:val="TableTextLeft"/>
              <w:rPr>
                <w:b/>
              </w:rPr>
            </w:pPr>
            <w:r w:rsidRPr="00885055">
              <w:t>Retail Trade</w:t>
            </w:r>
          </w:p>
        </w:tc>
        <w:tc>
          <w:tcPr>
            <w:tcW w:w="3543" w:type="dxa"/>
          </w:tcPr>
          <w:p w14:paraId="05F92FFC" w14:textId="77777777" w:rsidR="00502367" w:rsidRPr="00885055" w:rsidRDefault="00502367" w:rsidP="001801BE">
            <w:pPr>
              <w:pStyle w:val="TableTextLeft"/>
            </w:pPr>
          </w:p>
        </w:tc>
        <w:tc>
          <w:tcPr>
            <w:tcW w:w="2694" w:type="dxa"/>
          </w:tcPr>
          <w:p w14:paraId="43B2896C" w14:textId="77777777" w:rsidR="00502367" w:rsidRPr="00885055" w:rsidRDefault="00502367" w:rsidP="001801BE">
            <w:pPr>
              <w:pStyle w:val="TableTextLeft"/>
            </w:pPr>
          </w:p>
        </w:tc>
      </w:tr>
      <w:tr w:rsidR="00502367" w14:paraId="39E40D4F" w14:textId="77777777" w:rsidTr="00F54D87">
        <w:tc>
          <w:tcPr>
            <w:tcW w:w="2694" w:type="dxa"/>
          </w:tcPr>
          <w:p w14:paraId="73300A75" w14:textId="77777777" w:rsidR="00502367" w:rsidRPr="00885055" w:rsidRDefault="00502367" w:rsidP="001801BE">
            <w:pPr>
              <w:pStyle w:val="TableTextLeft"/>
              <w:rPr>
                <w:b/>
              </w:rPr>
            </w:pPr>
            <w:r w:rsidRPr="00885055">
              <w:t>Accommodation and Food Services</w:t>
            </w:r>
          </w:p>
        </w:tc>
        <w:tc>
          <w:tcPr>
            <w:tcW w:w="3543" w:type="dxa"/>
          </w:tcPr>
          <w:p w14:paraId="150E1C19" w14:textId="77777777" w:rsidR="00502367" w:rsidRPr="00885055" w:rsidRDefault="00502367" w:rsidP="001801BE">
            <w:pPr>
              <w:pStyle w:val="TableTextLeft"/>
            </w:pPr>
          </w:p>
        </w:tc>
        <w:tc>
          <w:tcPr>
            <w:tcW w:w="2694" w:type="dxa"/>
          </w:tcPr>
          <w:p w14:paraId="5958ACA5" w14:textId="77777777" w:rsidR="00502367" w:rsidRPr="00885055" w:rsidRDefault="00502367" w:rsidP="001801BE">
            <w:pPr>
              <w:pStyle w:val="TableTextLeft"/>
            </w:pPr>
          </w:p>
        </w:tc>
      </w:tr>
      <w:tr w:rsidR="00502367" w14:paraId="6822E5CD" w14:textId="77777777" w:rsidTr="00F54D87">
        <w:tc>
          <w:tcPr>
            <w:tcW w:w="2694" w:type="dxa"/>
          </w:tcPr>
          <w:p w14:paraId="7CDF6198" w14:textId="77777777" w:rsidR="00502367" w:rsidRPr="00885055" w:rsidRDefault="00502367" w:rsidP="001801BE">
            <w:pPr>
              <w:pStyle w:val="TableTextLeft"/>
              <w:rPr>
                <w:b/>
              </w:rPr>
            </w:pPr>
            <w:r w:rsidRPr="00885055">
              <w:t>Transport, Postal and Warehousing</w:t>
            </w:r>
          </w:p>
        </w:tc>
        <w:tc>
          <w:tcPr>
            <w:tcW w:w="3543" w:type="dxa"/>
          </w:tcPr>
          <w:p w14:paraId="20AFF284" w14:textId="77777777" w:rsidR="00502367" w:rsidRPr="00885055" w:rsidRDefault="00502367" w:rsidP="001801BE">
            <w:pPr>
              <w:pStyle w:val="TableTextLeft"/>
            </w:pPr>
          </w:p>
        </w:tc>
        <w:tc>
          <w:tcPr>
            <w:tcW w:w="2694" w:type="dxa"/>
          </w:tcPr>
          <w:p w14:paraId="18F773D1" w14:textId="77777777" w:rsidR="00502367" w:rsidRPr="00885055" w:rsidRDefault="00502367" w:rsidP="001801BE">
            <w:pPr>
              <w:pStyle w:val="TableTextLeft"/>
            </w:pPr>
          </w:p>
        </w:tc>
      </w:tr>
      <w:tr w:rsidR="00502367" w14:paraId="5457D1E0" w14:textId="77777777" w:rsidTr="00F54D87">
        <w:tc>
          <w:tcPr>
            <w:tcW w:w="2694" w:type="dxa"/>
          </w:tcPr>
          <w:p w14:paraId="1DD6D140" w14:textId="77777777" w:rsidR="00502367" w:rsidRPr="00885055" w:rsidRDefault="00502367" w:rsidP="001801BE">
            <w:pPr>
              <w:pStyle w:val="TableTextLeft"/>
              <w:jc w:val="left"/>
              <w:rPr>
                <w:b/>
              </w:rPr>
            </w:pPr>
            <w:r w:rsidRPr="00885055">
              <w:t>Information, Media and Telecommunications</w:t>
            </w:r>
          </w:p>
        </w:tc>
        <w:tc>
          <w:tcPr>
            <w:tcW w:w="3543" w:type="dxa"/>
          </w:tcPr>
          <w:p w14:paraId="55264DAE" w14:textId="77777777" w:rsidR="00502367" w:rsidRPr="00885055" w:rsidRDefault="00502367" w:rsidP="001801BE">
            <w:pPr>
              <w:pStyle w:val="TableTextLeft"/>
            </w:pPr>
          </w:p>
        </w:tc>
        <w:tc>
          <w:tcPr>
            <w:tcW w:w="2694" w:type="dxa"/>
          </w:tcPr>
          <w:p w14:paraId="397EE65A" w14:textId="77777777" w:rsidR="00502367" w:rsidRPr="00885055" w:rsidRDefault="00502367" w:rsidP="001801BE">
            <w:pPr>
              <w:pStyle w:val="TableTextLeft"/>
            </w:pPr>
          </w:p>
        </w:tc>
      </w:tr>
      <w:tr w:rsidR="00502367" w14:paraId="143786AB" w14:textId="77777777" w:rsidTr="00F54D87">
        <w:tc>
          <w:tcPr>
            <w:tcW w:w="2694" w:type="dxa"/>
          </w:tcPr>
          <w:p w14:paraId="481B6DA5" w14:textId="77777777" w:rsidR="00502367" w:rsidRPr="00885055" w:rsidRDefault="00502367" w:rsidP="001801BE">
            <w:pPr>
              <w:pStyle w:val="TableTextLeft"/>
              <w:rPr>
                <w:b/>
              </w:rPr>
            </w:pPr>
            <w:r w:rsidRPr="00885055">
              <w:t>Financial and Insurance Services</w:t>
            </w:r>
          </w:p>
        </w:tc>
        <w:tc>
          <w:tcPr>
            <w:tcW w:w="3543" w:type="dxa"/>
          </w:tcPr>
          <w:p w14:paraId="5F4A22AA" w14:textId="77777777" w:rsidR="00502367" w:rsidRPr="00885055" w:rsidRDefault="00502367" w:rsidP="001801BE">
            <w:pPr>
              <w:pStyle w:val="TableTextLeft"/>
            </w:pPr>
          </w:p>
        </w:tc>
        <w:tc>
          <w:tcPr>
            <w:tcW w:w="2694" w:type="dxa"/>
          </w:tcPr>
          <w:p w14:paraId="3A20B7CA" w14:textId="77777777" w:rsidR="00502367" w:rsidRPr="00885055" w:rsidRDefault="00502367" w:rsidP="001801BE">
            <w:pPr>
              <w:pStyle w:val="TableTextLeft"/>
            </w:pPr>
          </w:p>
        </w:tc>
      </w:tr>
      <w:tr w:rsidR="00502367" w14:paraId="7A6A92ED" w14:textId="77777777" w:rsidTr="00F54D87">
        <w:tc>
          <w:tcPr>
            <w:tcW w:w="2694" w:type="dxa"/>
          </w:tcPr>
          <w:p w14:paraId="31361022" w14:textId="77777777" w:rsidR="00502367" w:rsidRPr="00885055" w:rsidRDefault="00502367" w:rsidP="001801BE">
            <w:pPr>
              <w:pStyle w:val="TableTextLeft"/>
            </w:pPr>
            <w:r w:rsidRPr="00885055">
              <w:t>Arts and Recreation Services</w:t>
            </w:r>
          </w:p>
        </w:tc>
        <w:tc>
          <w:tcPr>
            <w:tcW w:w="3543" w:type="dxa"/>
          </w:tcPr>
          <w:p w14:paraId="0215C32B" w14:textId="77777777" w:rsidR="00502367" w:rsidRPr="00885055" w:rsidRDefault="00502367" w:rsidP="001801BE">
            <w:pPr>
              <w:pStyle w:val="TableTextLeft"/>
            </w:pPr>
          </w:p>
        </w:tc>
        <w:tc>
          <w:tcPr>
            <w:tcW w:w="2694" w:type="dxa"/>
          </w:tcPr>
          <w:p w14:paraId="17ED01CB" w14:textId="77777777" w:rsidR="00502367" w:rsidRPr="00885055" w:rsidRDefault="00502367" w:rsidP="001801BE">
            <w:pPr>
              <w:pStyle w:val="TableTextLeft"/>
            </w:pPr>
          </w:p>
        </w:tc>
      </w:tr>
    </w:tbl>
    <w:p w14:paraId="247FC329" w14:textId="77777777" w:rsidR="00502367" w:rsidRPr="00502367" w:rsidRDefault="00502367" w:rsidP="00CB41A9"/>
    <w:p w14:paraId="675E3763" w14:textId="77777777" w:rsidR="00502367" w:rsidRPr="00682744" w:rsidRDefault="00502367" w:rsidP="00682744">
      <w:r>
        <w:br w:type="page"/>
      </w:r>
    </w:p>
    <w:p w14:paraId="6D6DEC1E" w14:textId="00C6D822" w:rsidR="003A104D" w:rsidRDefault="003A104D" w:rsidP="00682744">
      <w:pPr>
        <w:pStyle w:val="Heading2"/>
      </w:pPr>
      <w:r>
        <w:t>Appendix</w:t>
      </w:r>
      <w:r w:rsidR="00502367">
        <w:t xml:space="preserve"> B</w:t>
      </w:r>
    </w:p>
    <w:p w14:paraId="6D6DEC1F" w14:textId="1E6BCE6F" w:rsidR="00556118" w:rsidRPr="00556118" w:rsidRDefault="00556118" w:rsidP="00556118">
      <w:r>
        <w:t>We thank Michael Kouparitsas and Daniel Silva</w:t>
      </w:r>
      <w:r w:rsidR="00E86E34">
        <w:noBreakHyphen/>
      </w:r>
      <w:r>
        <w:t>Withmory for providing the following analysis.</w:t>
      </w:r>
    </w:p>
    <w:p w14:paraId="6D6DEC20" w14:textId="7AA7EF17" w:rsidR="000A7C03" w:rsidRDefault="000A7C03" w:rsidP="00682744">
      <w:pPr>
        <w:pStyle w:val="Heading3"/>
      </w:pPr>
      <w:r>
        <w:t>Shift</w:t>
      </w:r>
      <w:r w:rsidR="00E86E34">
        <w:noBreakHyphen/>
      </w:r>
      <w:r>
        <w:t>share analysis</w:t>
      </w:r>
    </w:p>
    <w:p w14:paraId="6D6DEC21" w14:textId="25FC1770" w:rsidR="00502F38" w:rsidRPr="00502F38" w:rsidRDefault="00502F38" w:rsidP="00502F38">
      <w:pPr>
        <w:spacing w:after="200" w:line="276" w:lineRule="auto"/>
        <w:jc w:val="left"/>
        <w:rPr>
          <w:rFonts w:eastAsia="Calibri"/>
          <w:color w:val="auto"/>
          <w:lang w:eastAsia="en-US"/>
        </w:rPr>
      </w:pPr>
      <w:r w:rsidRPr="00502F38">
        <w:rPr>
          <w:rFonts w:eastAsia="Calibri"/>
          <w:color w:val="auto"/>
          <w:lang w:eastAsia="en-US"/>
        </w:rPr>
        <w:t xml:space="preserve">Aggregate labour productivity is the ratio of total gross value added to the number of hours worked in the economy; </w:t>
      </w:r>
      <w:r w:rsidR="00DF36F8">
        <w:rPr>
          <w:rFonts w:eastAsia="Calibri"/>
          <w:color w:val="auto"/>
          <w:lang w:eastAsia="en-US"/>
        </w:rPr>
        <w:t xml:space="preserve">equal to </w:t>
      </w:r>
      <w:r w:rsidRPr="00502F38">
        <w:rPr>
          <w:rFonts w:eastAsia="Calibri"/>
          <w:color w:val="auto"/>
          <w:lang w:eastAsia="en-US"/>
        </w:rPr>
        <w:t>the sum of labour pro</w:t>
      </w:r>
      <w:r w:rsidR="00DF36F8">
        <w:rPr>
          <w:rFonts w:eastAsia="Calibri"/>
          <w:color w:val="auto"/>
          <w:lang w:eastAsia="en-US"/>
        </w:rPr>
        <w:t>ductivity levels in each sector</w:t>
      </w:r>
      <w:r w:rsidRPr="00502F38">
        <w:rPr>
          <w:rFonts w:eastAsia="Calibri"/>
          <w:color w:val="auto"/>
          <w:lang w:eastAsia="en-US"/>
        </w:rPr>
        <w:t xml:space="preserve"> weighted by the hours worked in those sectors</w:t>
      </w:r>
      <w:r w:rsidR="00E86E34">
        <w:rPr>
          <w:rFonts w:eastAsia="Calibri"/>
          <w:color w:val="auto"/>
          <w:lang w:eastAsia="en-US"/>
        </w:rPr>
        <w:t xml:space="preserve">. </w:t>
      </w:r>
      <w:r w:rsidRPr="00502F38">
        <w:rPr>
          <w:rFonts w:eastAsia="Calibri"/>
          <w:color w:val="auto"/>
          <w:lang w:eastAsia="en-US"/>
        </w:rPr>
        <w:t>Growth (or decline) in labour productivity can the</w:t>
      </w:r>
      <w:r w:rsidR="00DF36F8">
        <w:rPr>
          <w:rFonts w:eastAsia="Calibri"/>
          <w:color w:val="auto"/>
          <w:lang w:eastAsia="en-US"/>
        </w:rPr>
        <w:t xml:space="preserve">refore be attributed to either </w:t>
      </w:r>
      <w:r w:rsidRPr="00502F38">
        <w:rPr>
          <w:rFonts w:eastAsia="Calibri"/>
          <w:color w:val="auto"/>
          <w:lang w:eastAsia="en-US"/>
        </w:rPr>
        <w:t>changes in productivity levels in individual sectors</w:t>
      </w:r>
      <w:r w:rsidR="00413527">
        <w:rPr>
          <w:rFonts w:eastAsia="Calibri"/>
          <w:color w:val="auto"/>
          <w:lang w:eastAsia="en-US"/>
        </w:rPr>
        <w:t xml:space="preserve"> or</w:t>
      </w:r>
      <w:r w:rsidRPr="00502F38">
        <w:rPr>
          <w:rFonts w:eastAsia="Calibri"/>
          <w:color w:val="auto"/>
          <w:lang w:eastAsia="en-US"/>
        </w:rPr>
        <w:t xml:space="preserve"> changes in employment share in each industry.</w:t>
      </w:r>
    </w:p>
    <w:p w14:paraId="6D6DEC22" w14:textId="77777777" w:rsidR="00502F38" w:rsidRPr="00502F38" w:rsidRDefault="00502F38" w:rsidP="00502F38">
      <w:pPr>
        <w:spacing w:after="200" w:line="276" w:lineRule="auto"/>
        <w:jc w:val="left"/>
        <w:rPr>
          <w:color w:val="auto"/>
          <w:lang w:eastAsia="en-US"/>
        </w:rPr>
      </w:pPr>
      <w:r w:rsidRPr="00502F38">
        <w:rPr>
          <w:color w:val="auto"/>
          <w:lang w:eastAsia="en-US"/>
        </w:rPr>
        <w:t xml:space="preserve">This decomposition of aggregate labour productivity growth  is shown below, by letting </w:t>
      </w:r>
      <m:oMath>
        <m:r>
          <w:rPr>
            <w:rFonts w:ascii="Cambria Math" w:eastAsia="Calibri" w:hAnsi="Cambria Math"/>
            <w:color w:val="auto"/>
            <w:lang w:eastAsia="en-US"/>
          </w:rPr>
          <m:t>Y</m:t>
        </m:r>
      </m:oMath>
      <w:r w:rsidRPr="00502F38">
        <w:rPr>
          <w:color w:val="auto"/>
          <w:lang w:eastAsia="en-US"/>
        </w:rPr>
        <w:t xml:space="preserve"> be aggregate output and </w:t>
      </w:r>
      <m:oMath>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m:t>
            </m:r>
          </m:sub>
        </m:sSub>
      </m:oMath>
      <w:r w:rsidRPr="00502F38">
        <w:rPr>
          <w:color w:val="auto"/>
          <w:lang w:eastAsia="en-US"/>
        </w:rPr>
        <w:t xml:space="preserve"> be sectoral output, </w:t>
      </w:r>
      <m:oMath>
        <m:r>
          <w:rPr>
            <w:rFonts w:ascii="Cambria Math" w:eastAsia="Calibri" w:hAnsi="Cambria Math"/>
            <w:color w:val="auto"/>
            <w:lang w:eastAsia="en-US"/>
          </w:rPr>
          <m:t>N</m:t>
        </m:r>
      </m:oMath>
      <w:r w:rsidRPr="00502F38">
        <w:rPr>
          <w:color w:val="auto"/>
          <w:lang w:eastAsia="en-US"/>
        </w:rPr>
        <w:t xml:space="preserve"> be aggregate hours worked and </w:t>
      </w:r>
      <m:oMath>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m:t>
            </m:r>
          </m:sub>
        </m:sSub>
      </m:oMath>
      <w:r w:rsidRPr="00502F38">
        <w:rPr>
          <w:color w:val="auto"/>
          <w:lang w:eastAsia="en-US"/>
        </w:rPr>
        <w:t xml:space="preserve"> be sectoral hours worked. </w:t>
      </w:r>
    </w:p>
    <w:p w14:paraId="6D6DEC23" w14:textId="77777777" w:rsidR="00502F38" w:rsidRPr="00502F38" w:rsidRDefault="00502F38" w:rsidP="00502F38">
      <w:pPr>
        <w:spacing w:after="200" w:line="276" w:lineRule="auto"/>
        <w:jc w:val="left"/>
        <w:rPr>
          <w:color w:val="auto"/>
          <w:lang w:eastAsia="en-US"/>
        </w:rPr>
      </w:pPr>
      <w:r w:rsidRPr="00502F38">
        <w:rPr>
          <w:color w:val="auto"/>
          <w:lang w:eastAsia="en-US"/>
        </w:rPr>
        <w:t xml:space="preserve">Output at time </w:t>
      </w:r>
      <w:r w:rsidRPr="00502F38">
        <w:rPr>
          <w:i/>
          <w:color w:val="auto"/>
          <w:lang w:eastAsia="en-US"/>
        </w:rPr>
        <w:t>t</w:t>
      </w:r>
      <w:r w:rsidRPr="00502F38">
        <w:rPr>
          <w:color w:val="auto"/>
          <w:lang w:eastAsia="en-US"/>
        </w:rPr>
        <w:t xml:space="preserve"> is the sum of sectoral output</w:t>
      </w:r>
      <m:oMath>
        <m:r>
          <w:rPr>
            <w:rFonts w:ascii="Cambria Math" w:hAnsi="Cambria Math"/>
            <w:color w:val="auto"/>
            <w:lang w:eastAsia="en-US"/>
          </w:rPr>
          <m:t xml:space="preserve"> </m:t>
        </m:r>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oMath>
      <w:r w:rsidRPr="00502F38">
        <w:rPr>
          <w:color w:val="auto"/>
          <w:lang w:eastAsia="en-US"/>
        </w:rPr>
        <w:t>:</w:t>
      </w:r>
    </w:p>
    <w:p w14:paraId="6D6DEC24" w14:textId="77777777" w:rsidR="00502F38" w:rsidRPr="00502F38" w:rsidRDefault="0065729B" w:rsidP="00502F38">
      <w:pPr>
        <w:spacing w:after="200" w:line="276" w:lineRule="auto"/>
        <w:jc w:val="left"/>
        <w:rPr>
          <w:color w:val="auto"/>
          <w:lang w:eastAsia="en-US"/>
        </w:rPr>
      </w:pPr>
      <m:oMathPara>
        <m:oMath>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m:t>
              </m:r>
            </m:sub>
          </m:sSub>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r>
                <w:rPr>
                  <w:rFonts w:ascii="Cambria Math" w:eastAsia="Calibri" w:hAnsi="Cambria Math"/>
                  <w:color w:val="auto"/>
                  <w:lang w:eastAsia="en-US"/>
                </w:rPr>
                <m:t xml:space="preserve"> </m:t>
              </m:r>
            </m:e>
          </m:nary>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oMath>
      </m:oMathPara>
    </w:p>
    <w:p w14:paraId="6D6DEC25" w14:textId="77777777" w:rsidR="00502F38" w:rsidRPr="00502F38" w:rsidRDefault="00502F38" w:rsidP="00502F38">
      <w:pPr>
        <w:spacing w:after="200" w:line="276" w:lineRule="auto"/>
        <w:jc w:val="left"/>
        <w:rPr>
          <w:color w:val="auto"/>
          <w:lang w:eastAsia="en-US"/>
        </w:rPr>
      </w:pPr>
      <w:r w:rsidRPr="00502F38">
        <w:rPr>
          <w:color w:val="auto"/>
          <w:lang w:eastAsia="en-US"/>
        </w:rPr>
        <w:t xml:space="preserve">Which we can divide through by hours worked for productivity: </w:t>
      </w:r>
    </w:p>
    <w:p w14:paraId="6D6DEC26" w14:textId="77777777" w:rsidR="00502F38" w:rsidRPr="00502F38" w:rsidRDefault="0065729B" w:rsidP="00502F38">
      <w:pPr>
        <w:spacing w:after="200" w:line="276" w:lineRule="auto"/>
        <w:jc w:val="left"/>
        <w:rPr>
          <w:color w:val="auto"/>
          <w:lang w:eastAsia="en-US"/>
        </w:rPr>
      </w:pPr>
      <m:oMathPara>
        <m:oMath>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den>
              </m:f>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e>
          </m:nary>
        </m:oMath>
      </m:oMathPara>
    </w:p>
    <w:p w14:paraId="6D6DEC27" w14:textId="77777777" w:rsidR="00502F38" w:rsidRPr="00502F38" w:rsidRDefault="00502F38" w:rsidP="00502F38">
      <w:pPr>
        <w:spacing w:after="200" w:line="276" w:lineRule="auto"/>
        <w:jc w:val="left"/>
        <w:rPr>
          <w:color w:val="auto"/>
          <w:lang w:eastAsia="en-US"/>
        </w:rPr>
      </w:pPr>
      <w:r w:rsidRPr="00502F38">
        <w:rPr>
          <w:color w:val="auto"/>
          <w:lang w:eastAsia="en-US"/>
        </w:rPr>
        <w:t>Subtracting by previous period for the change in productivity;</w:t>
      </w:r>
    </w:p>
    <w:p w14:paraId="6D6DEC28" w14:textId="77777777" w:rsidR="00502F38" w:rsidRPr="00502F38" w:rsidRDefault="0065729B" w:rsidP="00502F38">
      <w:pPr>
        <w:spacing w:after="200" w:line="276" w:lineRule="auto"/>
        <w:jc w:val="left"/>
        <w:rPr>
          <w:color w:val="auto"/>
          <w:lang w:eastAsia="en-US"/>
        </w:rPr>
      </w:pPr>
      <m:oMathPara>
        <m:oMath>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den>
              </m:f>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e>
          </m:nary>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nary>
        </m:oMath>
      </m:oMathPara>
    </w:p>
    <w:p w14:paraId="6D6DEC29" w14:textId="77777777" w:rsidR="00502F38" w:rsidRPr="00502F38" w:rsidRDefault="00502F38" w:rsidP="00502F38">
      <w:pPr>
        <w:spacing w:after="200" w:line="276" w:lineRule="auto"/>
        <w:jc w:val="left"/>
        <w:rPr>
          <w:color w:val="auto"/>
          <w:lang w:eastAsia="en-US"/>
        </w:rPr>
      </w:pPr>
      <w:r w:rsidRPr="00502F38">
        <w:rPr>
          <w:color w:val="auto"/>
          <w:lang w:eastAsia="en-US"/>
        </w:rPr>
        <w:t xml:space="preserve">And rearranging: </w:t>
      </w:r>
    </w:p>
    <w:p w14:paraId="6D6DEC2A" w14:textId="77777777" w:rsidR="00502F38" w:rsidRPr="00502F38" w:rsidRDefault="0065729B" w:rsidP="00502F38">
      <w:pPr>
        <w:spacing w:after="200" w:line="276" w:lineRule="auto"/>
        <w:jc w:val="left"/>
        <w:rPr>
          <w:color w:val="auto"/>
          <w:lang w:eastAsia="en-US"/>
        </w:rPr>
      </w:pPr>
      <m:oMathPara>
        <m:oMath>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e>
              </m:d>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e>
          </m:nary>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d>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nary>
        </m:oMath>
      </m:oMathPara>
    </w:p>
    <w:p w14:paraId="6D6DEC2B" w14:textId="77777777" w:rsidR="00502F38" w:rsidRPr="00502F38" w:rsidRDefault="00502F38" w:rsidP="00502F38">
      <w:pPr>
        <w:spacing w:after="200" w:line="276" w:lineRule="auto"/>
        <w:jc w:val="left"/>
        <w:rPr>
          <w:color w:val="auto"/>
          <w:lang w:eastAsia="en-US"/>
        </w:rPr>
      </w:pPr>
      <w:r w:rsidRPr="00502F38">
        <w:rPr>
          <w:color w:val="auto"/>
          <w:lang w:eastAsia="en-US"/>
        </w:rPr>
        <w:t>Which we can divide through by lagged productivity the aggregate for growth rate:</w:t>
      </w:r>
    </w:p>
    <w:p w14:paraId="6D6DEC2C" w14:textId="77777777" w:rsidR="00502F38" w:rsidRPr="00502F38" w:rsidRDefault="0065729B" w:rsidP="00502F38">
      <w:pPr>
        <w:spacing w:after="200" w:line="276" w:lineRule="auto"/>
        <w:jc w:val="left"/>
        <w:rPr>
          <w:color w:val="auto"/>
          <w:lang w:eastAsia="en-US"/>
        </w:rPr>
      </w:pPr>
      <m:oMathPara>
        <m:oMath>
          <m:f>
            <m:fPr>
              <m:ctrlPr>
                <w:rPr>
                  <w:rFonts w:ascii="Cambria Math" w:eastAsia="Calibri" w:hAnsi="Cambria Math"/>
                  <w:i/>
                  <w:color w:val="auto"/>
                  <w:lang w:eastAsia="en-US"/>
                </w:rPr>
              </m:ctrlPr>
            </m:fPr>
            <m:num>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d>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e>
                  </m:d>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e>
          </m:nary>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d>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e>
          </m:nary>
        </m:oMath>
      </m:oMathPara>
    </w:p>
    <w:p w14:paraId="6D6DEC2D" w14:textId="77777777" w:rsidR="00502F38" w:rsidRPr="00502F38" w:rsidRDefault="00502F38" w:rsidP="00502F38">
      <w:pPr>
        <w:spacing w:after="200" w:line="276" w:lineRule="auto"/>
        <w:jc w:val="left"/>
        <w:rPr>
          <w:color w:val="auto"/>
          <w:lang w:eastAsia="en-US"/>
        </w:rPr>
      </w:pPr>
      <w:r w:rsidRPr="00502F38">
        <w:rPr>
          <w:color w:val="auto"/>
          <w:lang w:eastAsia="en-US"/>
        </w:rPr>
        <w:t>And rearranging to express the growth rate of productivity as its contributions from within industry productivity improvements and reallocations of labour.</w:t>
      </w:r>
    </w:p>
    <w:p w14:paraId="6D6DEC2E" w14:textId="16C4D1EA" w:rsidR="00502F38" w:rsidRPr="00A72CFF" w:rsidRDefault="00502F38" w:rsidP="00502F38">
      <w:pPr>
        <w:spacing w:after="200" w:line="276" w:lineRule="auto"/>
        <w:jc w:val="left"/>
        <w:rPr>
          <w:color w:val="auto"/>
          <w:lang w:eastAsia="en-US"/>
        </w:rPr>
      </w:pPr>
      <m:oMathPara>
        <m:oMath>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d>
                    <m:dPr>
                      <m:begChr m:val="["/>
                      <m:endChr m:val="]"/>
                      <m:ctrlPr>
                        <w:rPr>
                          <w:rFonts w:ascii="Cambria Math" w:eastAsia="Calibri" w:hAnsi="Cambria Math"/>
                          <w:i/>
                          <w:color w:val="auto"/>
                          <w:lang w:eastAsia="en-US"/>
                        </w:rPr>
                      </m:ctrlPr>
                    </m:dPr>
                    <m:e>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e>
                      </m:d>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e>
                  </m:d>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den>
              </m:f>
            </m:e>
          </m:nary>
          <m:f>
            <m:fPr>
              <m:ctrlPr>
                <w:rPr>
                  <w:rFonts w:ascii="Cambria Math" w:eastAsia="Calibri" w:hAnsi="Cambria Math"/>
                  <w:i/>
                  <w:color w:val="auto"/>
                  <w:lang w:eastAsia="en-US"/>
                </w:rPr>
              </m:ctrlPr>
            </m:fPr>
            <m:num>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d>
            </m:e>
          </m:nary>
          <m:f>
            <m:fPr>
              <m:ctrlPr>
                <w:rPr>
                  <w:rFonts w:ascii="Cambria Math" w:eastAsia="Calibri" w:hAnsi="Cambria Math"/>
                  <w:i/>
                  <w:color w:val="auto"/>
                  <w:lang w:eastAsia="en-US"/>
                </w:rPr>
              </m:ctrlPr>
            </m:fPr>
            <m:num>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oMath>
      </m:oMathPara>
    </w:p>
    <w:p w14:paraId="6D6DEC2F" w14:textId="1A758708" w:rsidR="00002FDF" w:rsidRPr="00B10964" w:rsidRDefault="00502F38" w:rsidP="00502F38">
      <w:pPr>
        <w:spacing w:after="200" w:line="276" w:lineRule="auto"/>
        <w:jc w:val="left"/>
        <w:rPr>
          <w:rFonts w:ascii="Cambria Math" w:eastAsia="Calibri" w:hAnsi="Cambria Math"/>
          <w:i/>
          <w:color w:val="auto"/>
          <w:lang w:eastAsia="en-US"/>
        </w:rPr>
      </w:pPr>
      <m:oMathPara>
        <m:oMath>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e>
                  </m:d>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den>
              </m:f>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den>
              </m:f>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e>
          </m:nary>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r>
            <w:rPr>
              <w:rFonts w:ascii="Cambria Math" w:eastAsia="Calibri" w:hAnsi="Cambria Math"/>
              <w:color w:val="auto"/>
              <w:lang w:eastAsia="en-US"/>
            </w:rPr>
            <m:t>+</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d>
            </m:e>
          </m:nary>
          <m:f>
            <m:fPr>
              <m:ctrlPr>
                <w:rPr>
                  <w:rFonts w:ascii="Cambria Math" w:eastAsia="Calibri" w:hAnsi="Cambria Math"/>
                  <w:i/>
                  <w:color w:val="auto"/>
                  <w:lang w:eastAsia="en-US"/>
                </w:rPr>
              </m:ctrlPr>
            </m:fPr>
            <m:num>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oMath>
      </m:oMathPara>
    </w:p>
    <w:p w14:paraId="4BC1C6CC" w14:textId="51F0701F" w:rsidR="00B10964" w:rsidRDefault="00B10964" w:rsidP="00B10964">
      <w:pPr>
        <w:spacing w:after="200" w:line="276" w:lineRule="auto"/>
        <w:jc w:val="left"/>
        <w:rPr>
          <w:color w:val="auto"/>
        </w:rPr>
      </w:pPr>
      <w:r>
        <w:rPr>
          <w:color w:val="auto"/>
        </w:rPr>
        <w:t>Given that:</w:t>
      </w:r>
    </w:p>
    <w:p w14:paraId="63F45A2C" w14:textId="77777777" w:rsidR="00B10964" w:rsidRDefault="0065729B" w:rsidP="00B10964">
      <w:pPr>
        <w:spacing w:after="200" w:line="276" w:lineRule="auto"/>
        <w:jc w:val="left"/>
        <w:rPr>
          <w:color w:val="auto"/>
        </w:rPr>
      </w:pPr>
      <m:oMathPara>
        <m:oMath>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r>
            <w:rPr>
              <w:rFonts w:ascii="Cambria Math" w:eastAsia="Calibri" w:hAnsi="Cambria Math"/>
              <w:color w:val="auto"/>
              <w:lang w:eastAsia="en-US"/>
            </w:rPr>
            <m:t>≈1</m:t>
          </m:r>
        </m:oMath>
      </m:oMathPara>
    </w:p>
    <w:p w14:paraId="6264B006" w14:textId="414C3440" w:rsidR="00B10964" w:rsidRPr="00B10964" w:rsidRDefault="00B10964" w:rsidP="00B10964">
      <w:pPr>
        <w:rPr>
          <w:rFonts w:eastAsia="Calibri"/>
          <w:lang w:eastAsia="en-US"/>
        </w:rPr>
      </w:pPr>
      <w:r>
        <w:rPr>
          <w:rFonts w:eastAsia="Calibri"/>
          <w:lang w:eastAsia="en-US"/>
        </w:rPr>
        <w:t>It follows that:</w:t>
      </w:r>
    </w:p>
    <w:p w14:paraId="06B3AE75" w14:textId="5A403DB0" w:rsidR="00B10964" w:rsidRPr="00A72CFF" w:rsidRDefault="0065729B" w:rsidP="00B10964">
      <w:pPr>
        <w:spacing w:after="200" w:line="276" w:lineRule="auto"/>
        <w:jc w:val="left"/>
        <w:rPr>
          <w:rFonts w:ascii="Cambria Math" w:eastAsia="Calibri" w:hAnsi="Cambria Math"/>
          <w:i/>
          <w:color w:val="auto"/>
          <w:lang w:eastAsia="en-US"/>
        </w:rPr>
      </w:pPr>
      <m:oMathPara>
        <m:oMath>
          <m:f>
            <m:fPr>
              <m:ctrlPr>
                <w:rPr>
                  <w:rFonts w:ascii="Cambria Math" w:eastAsia="Calibri" w:hAnsi="Cambria Math"/>
                  <w:i/>
                  <w:color w:val="auto"/>
                  <w:lang w:eastAsia="en-US"/>
                </w:rPr>
              </m:ctrlPr>
            </m:fPr>
            <m:num>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d>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r>
            <w:rPr>
              <w:rFonts w:ascii="Cambria Math" w:eastAsia="Calibri" w:hAnsi="Cambria Math"/>
              <w:color w:val="auto"/>
              <w:lang w:eastAsia="en-US"/>
            </w:rPr>
            <m:t>≈</m:t>
          </m:r>
          <m:m>
            <m:mPr>
              <m:mcs>
                <m:mc>
                  <m:mcPr>
                    <m:count m:val="1"/>
                    <m:mcJc m:val="center"/>
                  </m:mcPr>
                </m:mc>
              </m:mcs>
              <m:ctrlPr>
                <w:rPr>
                  <w:rFonts w:ascii="Cambria Math" w:eastAsia="Calibri" w:hAnsi="Cambria Math"/>
                  <w:i/>
                  <w:color w:val="auto"/>
                  <w:lang w:eastAsia="en-US"/>
                </w:rPr>
              </m:ctrlPr>
            </m:mPr>
            <m:mr>
              <m:e>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f>
                      <m:fPr>
                        <m:ctrlPr>
                          <w:rPr>
                            <w:rFonts w:ascii="Cambria Math" w:eastAsia="Calibri" w:hAnsi="Cambria Math"/>
                            <w:i/>
                            <w:color w:val="auto"/>
                            <w:lang w:eastAsia="en-US"/>
                          </w:rPr>
                        </m:ctrlPr>
                      </m:fPr>
                      <m:num>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e>
                        </m:d>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den>
                    </m:f>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den>
                    </m:f>
                  </m:e>
                </m:nary>
              </m:e>
            </m:mr>
            <m:mr>
              <m:e>
                <m:d>
                  <m:dPr>
                    <m:ctrlPr>
                      <w:rPr>
                        <w:rFonts w:ascii="Cambria Math" w:eastAsia="Calibri" w:hAnsi="Cambria Math"/>
                        <w:i/>
                        <w:color w:val="auto"/>
                        <w:lang w:eastAsia="en-US"/>
                      </w:rPr>
                    </m:ctrlPr>
                  </m:dPr>
                  <m:e>
                    <m:r>
                      <w:rPr>
                        <w:rFonts w:ascii="Cambria Math" w:eastAsia="Calibri" w:hAnsi="Cambria Math"/>
                        <w:color w:val="auto"/>
                        <w:lang w:eastAsia="en-US"/>
                      </w:rPr>
                      <m:t xml:space="preserve">Within industry </m:t>
                    </m:r>
                  </m:e>
                </m:d>
              </m:e>
            </m:mr>
          </m:m>
          <m:m>
            <m:mPr>
              <m:mcs>
                <m:mc>
                  <m:mcPr>
                    <m:count m:val="1"/>
                    <m:mcJc m:val="center"/>
                  </m:mcPr>
                </m:mc>
              </m:mcs>
              <m:ctrlPr>
                <w:rPr>
                  <w:rFonts w:ascii="Cambria Math" w:eastAsia="Calibri" w:hAnsi="Cambria Math"/>
                  <w:i/>
                  <w:color w:val="auto"/>
                  <w:lang w:eastAsia="en-US"/>
                </w:rPr>
              </m:ctrlPr>
            </m:mPr>
            <m:mr>
              <m:e>
                <m:r>
                  <w:rPr>
                    <w:rFonts w:ascii="Cambria Math" w:eastAsia="Calibri" w:hAnsi="Cambria Math"/>
                    <w:color w:val="auto"/>
                    <w:lang w:eastAsia="en-US"/>
                  </w:rPr>
                  <m:t xml:space="preserve"> +</m:t>
                </m:r>
                <m:nary>
                  <m:naryPr>
                    <m:chr m:val="∑"/>
                    <m:limLoc m:val="undOvr"/>
                    <m:supHide m:val="1"/>
                    <m:ctrlPr>
                      <w:rPr>
                        <w:rFonts w:ascii="Cambria Math" w:eastAsia="Calibri" w:hAnsi="Cambria Math"/>
                        <w:i/>
                        <w:color w:val="auto"/>
                        <w:lang w:eastAsia="en-US"/>
                      </w:rPr>
                    </m:ctrlPr>
                  </m:naryPr>
                  <m:sub>
                    <m:r>
                      <w:rPr>
                        <w:rFonts w:ascii="Cambria Math" w:eastAsia="Calibri" w:hAnsi="Cambria Math"/>
                        <w:color w:val="auto"/>
                        <w:lang w:eastAsia="en-US"/>
                      </w:rPr>
                      <m:t>i</m:t>
                    </m:r>
                  </m:sub>
                  <m:sup/>
                  <m:e>
                    <m:d>
                      <m:dPr>
                        <m:ctrlPr>
                          <w:rPr>
                            <w:rFonts w:ascii="Cambria Math" w:eastAsia="Calibri" w:hAnsi="Cambria Math"/>
                            <w:i/>
                            <w:color w:val="auto"/>
                            <w:lang w:eastAsia="en-US"/>
                          </w:rPr>
                        </m:ctrlPr>
                      </m:dPr>
                      <m:e>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m:t>
                                </m:r>
                              </m:sub>
                            </m:sSub>
                          </m:den>
                        </m:f>
                        <m:r>
                          <w:rPr>
                            <w:rFonts w:ascii="Cambria Math" w:eastAsia="Calibri" w:hAnsi="Cambria Math"/>
                            <w:color w:val="auto"/>
                            <w:lang w:eastAsia="en-US"/>
                          </w:rPr>
                          <m:t>-</m:t>
                        </m:r>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e>
                    </m:d>
                  </m:e>
                </m:nary>
                <m:f>
                  <m:fPr>
                    <m:ctrlPr>
                      <w:rPr>
                        <w:rFonts w:ascii="Cambria Math" w:eastAsia="Calibri" w:hAnsi="Cambria Math"/>
                        <w:i/>
                        <w:color w:val="auto"/>
                        <w:lang w:eastAsia="en-US"/>
                      </w:rPr>
                    </m:ctrlPr>
                  </m:fPr>
                  <m:num>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it-1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it-1</m:t>
                            </m:r>
                          </m:sub>
                        </m:sSub>
                      </m:den>
                    </m:f>
                  </m:num>
                  <m:den>
                    <m:f>
                      <m:fPr>
                        <m:ctrlPr>
                          <w:rPr>
                            <w:rFonts w:ascii="Cambria Math" w:eastAsia="Calibri" w:hAnsi="Cambria Math"/>
                            <w:i/>
                            <w:color w:val="auto"/>
                            <w:lang w:eastAsia="en-US"/>
                          </w:rPr>
                        </m:ctrlPr>
                      </m:fPr>
                      <m:num>
                        <m:sSub>
                          <m:sSubPr>
                            <m:ctrlPr>
                              <w:rPr>
                                <w:rFonts w:ascii="Cambria Math" w:eastAsia="Calibri" w:hAnsi="Cambria Math"/>
                                <w:i/>
                                <w:color w:val="auto"/>
                                <w:lang w:eastAsia="en-US"/>
                              </w:rPr>
                            </m:ctrlPr>
                          </m:sSubPr>
                          <m:e>
                            <m:r>
                              <w:rPr>
                                <w:rFonts w:ascii="Cambria Math" w:eastAsia="Calibri" w:hAnsi="Cambria Math"/>
                                <w:color w:val="auto"/>
                                <w:lang w:eastAsia="en-US"/>
                              </w:rPr>
                              <m:t>Y</m:t>
                            </m:r>
                          </m:e>
                          <m:sub>
                            <m:r>
                              <w:rPr>
                                <w:rFonts w:ascii="Cambria Math" w:eastAsia="Calibri" w:hAnsi="Cambria Math"/>
                                <w:color w:val="auto"/>
                                <w:lang w:eastAsia="en-US"/>
                              </w:rPr>
                              <m:t>t-1</m:t>
                            </m:r>
                          </m:sub>
                        </m:sSub>
                      </m:num>
                      <m:den>
                        <m:sSub>
                          <m:sSubPr>
                            <m:ctrlPr>
                              <w:rPr>
                                <w:rFonts w:ascii="Cambria Math" w:eastAsia="Calibri" w:hAnsi="Cambria Math"/>
                                <w:i/>
                                <w:color w:val="auto"/>
                                <w:lang w:eastAsia="en-US"/>
                              </w:rPr>
                            </m:ctrlPr>
                          </m:sSubPr>
                          <m:e>
                            <m:r>
                              <w:rPr>
                                <w:rFonts w:ascii="Cambria Math" w:eastAsia="Calibri" w:hAnsi="Cambria Math"/>
                                <w:color w:val="auto"/>
                                <w:lang w:eastAsia="en-US"/>
                              </w:rPr>
                              <m:t>N</m:t>
                            </m:r>
                          </m:e>
                          <m:sub>
                            <m:r>
                              <w:rPr>
                                <w:rFonts w:ascii="Cambria Math" w:eastAsia="Calibri" w:hAnsi="Cambria Math"/>
                                <w:color w:val="auto"/>
                                <w:lang w:eastAsia="en-US"/>
                              </w:rPr>
                              <m:t>t-1</m:t>
                            </m:r>
                          </m:sub>
                        </m:sSub>
                      </m:den>
                    </m:f>
                  </m:den>
                </m:f>
              </m:e>
            </m:mr>
            <m:mr>
              <m:e>
                <m:d>
                  <m:dPr>
                    <m:ctrlPr>
                      <w:rPr>
                        <w:rFonts w:ascii="Cambria Math" w:eastAsia="Calibri" w:hAnsi="Cambria Math"/>
                        <w:i/>
                        <w:color w:val="auto"/>
                        <w:lang w:eastAsia="en-US"/>
                      </w:rPr>
                    </m:ctrlPr>
                  </m:dPr>
                  <m:e>
                    <m:r>
                      <w:rPr>
                        <w:rFonts w:ascii="Cambria Math" w:eastAsia="Calibri" w:hAnsi="Cambria Math"/>
                        <w:color w:val="auto"/>
                        <w:lang w:eastAsia="en-US"/>
                      </w:rPr>
                      <m:t>Across industry</m:t>
                    </m:r>
                  </m:e>
                </m:d>
              </m:e>
            </m:mr>
          </m:m>
        </m:oMath>
      </m:oMathPara>
    </w:p>
    <w:p w14:paraId="48C58851" w14:textId="674C0BBD" w:rsidR="00FE586A" w:rsidRDefault="00502F38" w:rsidP="00502F38">
      <w:pPr>
        <w:spacing w:after="200" w:line="276" w:lineRule="auto"/>
        <w:jc w:val="left"/>
        <w:rPr>
          <w:rFonts w:eastAsia="Calibri"/>
          <w:color w:val="auto"/>
          <w:lang w:eastAsia="en-US"/>
        </w:rPr>
      </w:pPr>
      <w:r w:rsidRPr="00A72CFF">
        <w:rPr>
          <w:rFonts w:eastAsia="Calibri"/>
          <w:color w:val="auto"/>
          <w:lang w:eastAsia="en-US"/>
        </w:rPr>
        <w:t>The first term in the decomposition is the weighted sum of productivity growth within individual sectors, w</w:t>
      </w:r>
      <w:r w:rsidR="0015335C" w:rsidRPr="00A72CFF">
        <w:rPr>
          <w:rFonts w:eastAsia="Calibri"/>
          <w:color w:val="auto"/>
          <w:lang w:eastAsia="en-US"/>
        </w:rPr>
        <w:t>h</w:t>
      </w:r>
      <w:r w:rsidRPr="00A72CFF">
        <w:rPr>
          <w:rFonts w:eastAsia="Calibri"/>
          <w:color w:val="auto"/>
          <w:lang w:eastAsia="en-US"/>
        </w:rPr>
        <w:t xml:space="preserve">ere weights are the share of </w:t>
      </w:r>
      <w:r w:rsidR="00B10964">
        <w:rPr>
          <w:rFonts w:eastAsia="Calibri"/>
          <w:color w:val="auto"/>
          <w:lang w:eastAsia="en-US"/>
        </w:rPr>
        <w:t>output</w:t>
      </w:r>
      <w:r w:rsidRPr="00A72CFF">
        <w:rPr>
          <w:rFonts w:eastAsia="Calibri"/>
          <w:color w:val="auto"/>
          <w:lang w:eastAsia="en-US"/>
        </w:rPr>
        <w:t xml:space="preserve"> of each sector at the beginning of the time period</w:t>
      </w:r>
      <w:r w:rsidR="00E86E34">
        <w:rPr>
          <w:rFonts w:eastAsia="Calibri"/>
          <w:color w:val="auto"/>
          <w:lang w:eastAsia="en-US"/>
        </w:rPr>
        <w:t xml:space="preserve"> — </w:t>
      </w:r>
      <w:r w:rsidRPr="00A72CFF">
        <w:rPr>
          <w:rFonts w:eastAsia="Calibri"/>
          <w:color w:val="auto"/>
          <w:lang w:eastAsia="en-US"/>
        </w:rPr>
        <w:t xml:space="preserve">the </w:t>
      </w:r>
      <w:r w:rsidR="00F54D87">
        <w:rPr>
          <w:rFonts w:eastAsia="Calibri"/>
          <w:color w:val="auto"/>
          <w:lang w:eastAsia="en-US"/>
        </w:rPr>
        <w:t>‘</w:t>
      </w:r>
      <w:r w:rsidRPr="00A72CFF">
        <w:rPr>
          <w:rFonts w:eastAsia="Calibri"/>
          <w:color w:val="auto"/>
          <w:lang w:eastAsia="en-US"/>
        </w:rPr>
        <w:t>within</w:t>
      </w:r>
      <w:r w:rsidR="0096514A">
        <w:rPr>
          <w:rFonts w:eastAsia="Calibri"/>
          <w:color w:val="auto"/>
          <w:lang w:eastAsia="en-US"/>
        </w:rPr>
        <w:t xml:space="preserve"> industry</w:t>
      </w:r>
      <w:r w:rsidR="00F54D87">
        <w:rPr>
          <w:rFonts w:eastAsia="Calibri"/>
          <w:color w:val="auto"/>
          <w:lang w:eastAsia="en-US"/>
        </w:rPr>
        <w:t>’</w:t>
      </w:r>
      <w:r w:rsidRPr="00A72CFF">
        <w:rPr>
          <w:rFonts w:eastAsia="Calibri"/>
          <w:color w:val="auto"/>
          <w:lang w:eastAsia="en-US"/>
        </w:rPr>
        <w:t xml:space="preserve"> co</w:t>
      </w:r>
      <w:r w:rsidR="005A260B" w:rsidRPr="00A72CFF">
        <w:rPr>
          <w:rFonts w:eastAsia="Calibri"/>
          <w:color w:val="auto"/>
          <w:lang w:eastAsia="en-US"/>
        </w:rPr>
        <w:t xml:space="preserve">mponent of productivity growth. </w:t>
      </w:r>
    </w:p>
    <w:p w14:paraId="6D6DEC31" w14:textId="03F51EA2" w:rsidR="00502F38" w:rsidRPr="005A260B" w:rsidRDefault="00502F38" w:rsidP="00502F38">
      <w:pPr>
        <w:spacing w:after="200" w:line="276" w:lineRule="auto"/>
        <w:jc w:val="left"/>
        <w:rPr>
          <w:rFonts w:eastAsia="Calibri"/>
          <w:color w:val="auto"/>
          <w:lang w:eastAsia="en-US"/>
        </w:rPr>
      </w:pPr>
      <w:r w:rsidRPr="00A72CFF">
        <w:rPr>
          <w:rFonts w:eastAsia="Calibri"/>
          <w:color w:val="auto"/>
          <w:lang w:eastAsia="en-US"/>
        </w:rPr>
        <w:t xml:space="preserve">The second term captures the </w:t>
      </w:r>
      <w:r w:rsidR="0096514A">
        <w:rPr>
          <w:rFonts w:eastAsia="Calibri"/>
          <w:color w:val="auto"/>
          <w:lang w:eastAsia="en-US"/>
        </w:rPr>
        <w:t xml:space="preserve">effect on </w:t>
      </w:r>
      <w:r w:rsidRPr="00A72CFF">
        <w:rPr>
          <w:rFonts w:eastAsia="Calibri"/>
          <w:color w:val="auto"/>
          <w:lang w:eastAsia="en-US"/>
        </w:rPr>
        <w:t xml:space="preserve">aggregate productivity growth </w:t>
      </w:r>
      <w:r w:rsidR="0096514A">
        <w:rPr>
          <w:rFonts w:eastAsia="Calibri"/>
          <w:color w:val="auto"/>
          <w:lang w:eastAsia="en-US"/>
        </w:rPr>
        <w:t xml:space="preserve">from the reallocation </w:t>
      </w:r>
      <w:r w:rsidRPr="00A72CFF">
        <w:rPr>
          <w:rFonts w:eastAsia="Calibri"/>
          <w:color w:val="auto"/>
          <w:lang w:eastAsia="en-US"/>
        </w:rPr>
        <w:t xml:space="preserve">of labour across different sectors. This is </w:t>
      </w:r>
      <w:r w:rsidR="00996F10">
        <w:rPr>
          <w:rFonts w:eastAsia="Calibri"/>
          <w:color w:val="auto"/>
          <w:lang w:eastAsia="en-US"/>
        </w:rPr>
        <w:t>a</w:t>
      </w:r>
      <w:r w:rsidR="00996F10" w:rsidRPr="00A72CFF">
        <w:rPr>
          <w:rFonts w:eastAsia="Calibri"/>
          <w:color w:val="auto"/>
          <w:lang w:eastAsia="en-US"/>
        </w:rPr>
        <w:t xml:space="preserve"> </w:t>
      </w:r>
      <w:r w:rsidR="00996F10">
        <w:rPr>
          <w:rFonts w:eastAsia="Calibri"/>
          <w:color w:val="auto"/>
          <w:lang w:eastAsia="en-US"/>
        </w:rPr>
        <w:t>weighted sum</w:t>
      </w:r>
      <w:r w:rsidR="00996F10" w:rsidRPr="00A72CFF">
        <w:rPr>
          <w:rFonts w:eastAsia="Calibri"/>
          <w:color w:val="auto"/>
          <w:lang w:eastAsia="en-US"/>
        </w:rPr>
        <w:t xml:space="preserve"> of </w:t>
      </w:r>
      <w:r w:rsidR="00996F10">
        <w:rPr>
          <w:rFonts w:eastAsia="Calibri"/>
          <w:color w:val="auto"/>
          <w:lang w:eastAsia="en-US"/>
        </w:rPr>
        <w:t xml:space="preserve">the changes in sectoral employment shares, where the weights are relative </w:t>
      </w:r>
      <w:r w:rsidRPr="00A72CFF">
        <w:rPr>
          <w:rFonts w:eastAsia="Calibri"/>
          <w:color w:val="auto"/>
          <w:lang w:eastAsia="en-US"/>
        </w:rPr>
        <w:t xml:space="preserve">productivity levels at the </w:t>
      </w:r>
      <w:r w:rsidR="00996F10" w:rsidRPr="00A72CFF">
        <w:rPr>
          <w:rFonts w:eastAsia="Calibri"/>
          <w:color w:val="auto"/>
          <w:lang w:eastAsia="en-US"/>
        </w:rPr>
        <w:t>beginning</w:t>
      </w:r>
      <w:r w:rsidRPr="00A72CFF">
        <w:rPr>
          <w:rFonts w:eastAsia="Calibri"/>
          <w:color w:val="auto"/>
          <w:lang w:eastAsia="en-US"/>
        </w:rPr>
        <w:t xml:space="preserve"> of the time period</w:t>
      </w:r>
      <w:r w:rsidR="00E86E34">
        <w:rPr>
          <w:rFonts w:eastAsia="Calibri"/>
          <w:color w:val="auto"/>
          <w:lang w:eastAsia="en-US"/>
        </w:rPr>
        <w:t xml:space="preserve"> — </w:t>
      </w:r>
      <w:r w:rsidR="0096514A" w:rsidRPr="00A72CFF">
        <w:rPr>
          <w:rFonts w:eastAsia="Calibri"/>
          <w:color w:val="auto"/>
          <w:lang w:eastAsia="en-US"/>
        </w:rPr>
        <w:t xml:space="preserve">the </w:t>
      </w:r>
      <w:r w:rsidR="00F54D87">
        <w:rPr>
          <w:rFonts w:eastAsia="Calibri"/>
          <w:color w:val="auto"/>
          <w:lang w:eastAsia="en-US"/>
        </w:rPr>
        <w:t>‘</w:t>
      </w:r>
      <w:r w:rsidR="0096514A">
        <w:rPr>
          <w:rFonts w:eastAsia="Calibri"/>
          <w:color w:val="auto"/>
          <w:lang w:eastAsia="en-US"/>
        </w:rPr>
        <w:t>across industry</w:t>
      </w:r>
      <w:r w:rsidR="00F54D87">
        <w:rPr>
          <w:rFonts w:eastAsia="Calibri"/>
          <w:color w:val="auto"/>
          <w:lang w:eastAsia="en-US"/>
        </w:rPr>
        <w:t>’</w:t>
      </w:r>
      <w:r w:rsidR="0096514A" w:rsidRPr="00A72CFF">
        <w:rPr>
          <w:rFonts w:eastAsia="Calibri"/>
          <w:color w:val="auto"/>
          <w:lang w:eastAsia="en-US"/>
        </w:rPr>
        <w:t xml:space="preserve"> component of productivity growth</w:t>
      </w:r>
      <w:r w:rsidR="00E86E34">
        <w:rPr>
          <w:rFonts w:eastAsia="Calibri"/>
          <w:color w:val="auto"/>
          <w:lang w:eastAsia="en-US"/>
        </w:rPr>
        <w:t xml:space="preserve">. </w:t>
      </w:r>
    </w:p>
    <w:p w14:paraId="6D6DEC32" w14:textId="77777777" w:rsidR="00E4072B" w:rsidRPr="00E4072B" w:rsidRDefault="00E4072B" w:rsidP="00E4072B"/>
    <w:sectPr w:rsidR="00E4072B" w:rsidRPr="00E4072B" w:rsidSect="00951CCD">
      <w:headerReference w:type="even" r:id="rId21"/>
      <w:headerReference w:type="default" r:id="rId22"/>
      <w:footerReference w:type="even" r:id="rId23"/>
      <w:footerReference w:type="default" r:id="rId24"/>
      <w:footerReference w:type="first" r:id="rId2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1759E" w14:textId="77777777" w:rsidR="007A5909" w:rsidRDefault="007A5909">
      <w:pPr>
        <w:spacing w:after="0" w:line="240" w:lineRule="auto"/>
      </w:pPr>
      <w:r>
        <w:separator/>
      </w:r>
    </w:p>
  </w:endnote>
  <w:endnote w:type="continuationSeparator" w:id="0">
    <w:p w14:paraId="1D5EF287" w14:textId="77777777" w:rsidR="007A5909" w:rsidRDefault="007A5909">
      <w:pPr>
        <w:spacing w:after="0" w:line="240" w:lineRule="auto"/>
      </w:pPr>
      <w:r>
        <w:continuationSeparator/>
      </w:r>
    </w:p>
  </w:endnote>
  <w:endnote w:type="continuationNotice" w:id="1">
    <w:p w14:paraId="10A3EC5A" w14:textId="77777777" w:rsidR="007A5909" w:rsidRDefault="007A59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72D82" w14:textId="709F23E6" w:rsidR="007A5909" w:rsidRDefault="007A5909" w:rsidP="007A5909">
    <w:pPr>
      <w:pStyle w:val="FooterOdd"/>
      <w:jc w:val="left"/>
    </w:pPr>
    <w:r>
      <w:fldChar w:fldCharType="begin"/>
    </w:r>
    <w:r>
      <w:instrText xml:space="preserve"> PAGE </w:instrText>
    </w:r>
    <w:r>
      <w:fldChar w:fldCharType="separate"/>
    </w:r>
    <w:r w:rsidR="0065729B">
      <w:rPr>
        <w:noProof/>
      </w:rPr>
      <w:t>16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374C2" w14:textId="704783E5" w:rsidR="007A5909" w:rsidRDefault="007A5909" w:rsidP="007A5909">
    <w:pPr>
      <w:pStyle w:val="FooterOdd"/>
    </w:pPr>
    <w:r>
      <w:fldChar w:fldCharType="begin"/>
    </w:r>
    <w:r>
      <w:instrText xml:space="preserve"> PAGE </w:instrText>
    </w:r>
    <w:r>
      <w:fldChar w:fldCharType="separate"/>
    </w:r>
    <w:r w:rsidR="0065729B">
      <w:rPr>
        <w:noProof/>
      </w:rPr>
      <w:t>17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DEC49" w14:textId="77777777" w:rsidR="007A5909" w:rsidRDefault="007A5909">
    <w:pPr>
      <w:pStyle w:val="FooterOdd"/>
    </w:pPr>
    <w:r>
      <w:fldChar w:fldCharType="begin"/>
    </w:r>
    <w:r>
      <w:instrText xml:space="preserve"> PAGE </w:instrText>
    </w:r>
    <w:r>
      <w:fldChar w:fldCharType="separate"/>
    </w:r>
    <w:r w:rsidR="0065729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67DD9" w14:textId="77777777" w:rsidR="007A5909" w:rsidRDefault="007A5909">
      <w:pPr>
        <w:spacing w:after="0" w:line="240" w:lineRule="auto"/>
      </w:pPr>
      <w:r>
        <w:separator/>
      </w:r>
    </w:p>
  </w:footnote>
  <w:footnote w:type="continuationSeparator" w:id="0">
    <w:p w14:paraId="58027771" w14:textId="77777777" w:rsidR="007A5909" w:rsidRDefault="007A5909">
      <w:pPr>
        <w:spacing w:after="0" w:line="240" w:lineRule="auto"/>
      </w:pPr>
      <w:r>
        <w:continuationSeparator/>
      </w:r>
    </w:p>
  </w:footnote>
  <w:footnote w:type="continuationNotice" w:id="1">
    <w:p w14:paraId="1963667F" w14:textId="77777777" w:rsidR="007A5909" w:rsidRDefault="007A5909">
      <w:pPr>
        <w:spacing w:after="0" w:line="240" w:lineRule="auto"/>
      </w:pPr>
    </w:p>
  </w:footnote>
  <w:footnote w:id="2">
    <w:p w14:paraId="22AD11D8" w14:textId="6D3078CE" w:rsidR="007A5909" w:rsidRPr="007A5909" w:rsidRDefault="007A5909" w:rsidP="009C7F46">
      <w:pPr>
        <w:pStyle w:val="FootnoteText"/>
      </w:pPr>
      <w:r w:rsidRPr="007A5909">
        <w:rPr>
          <w:rStyle w:val="FootnoteReference"/>
          <w:vertAlign w:val="baseline"/>
        </w:rPr>
        <w:footnoteRef/>
      </w:r>
      <w:r w:rsidRPr="007A5909">
        <w:t xml:space="preserve"> </w:t>
      </w:r>
      <w:r w:rsidRPr="007A5909">
        <w:tab/>
        <w:t xml:space="preserve">Labour utilisation is a function of the ratio of the working age population to the total population; the labour force participation rate; the employment (unemployment) rate; and average hours worked. </w:t>
      </w:r>
    </w:p>
  </w:footnote>
  <w:footnote w:id="3">
    <w:p w14:paraId="1B710706" w14:textId="02ADC032" w:rsidR="007A5909" w:rsidRPr="007A5909" w:rsidRDefault="007A5909" w:rsidP="009C7F46">
      <w:pPr>
        <w:pStyle w:val="FootnoteText"/>
      </w:pPr>
      <w:r w:rsidRPr="007A5909">
        <w:rPr>
          <w:rStyle w:val="FootnoteReference"/>
          <w:vertAlign w:val="baseline"/>
        </w:rPr>
        <w:footnoteRef/>
      </w:r>
      <w:r w:rsidRPr="007A5909">
        <w:t xml:space="preserve"> </w:t>
      </w:r>
      <w:r w:rsidRPr="007A5909">
        <w:tab/>
        <w:t>Labour productivity growth — the key measure of productivity growth — measures growth in output per worker (typically defined on an hours worked basis). Labour productivity growth is driven by increases in the ratio of capital to labour (capital deepening), as well as improvements in the efficiency with which labour and capital inputs are utilised (multifactor productivity).</w:t>
      </w:r>
    </w:p>
  </w:footnote>
  <w:footnote w:id="4">
    <w:p w14:paraId="5C3C348D" w14:textId="41E9D35A"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This is not a reason for complacency, however. Mechanically, there would need to be a sustained lift in average annual productivity growth to around 2½ per cent to allow living standards (measured as per capita income) to continue to improve at the long</w:t>
      </w:r>
      <w:r w:rsidRPr="007A5909">
        <w:noBreakHyphen/>
        <w:t>run historical rate (represented by 30</w:t>
      </w:r>
      <w:r w:rsidRPr="007A5909">
        <w:noBreakHyphen/>
        <w:t xml:space="preserve">year average growth in real gross national income per capita) of around 2 per cent per annum. </w:t>
      </w:r>
    </w:p>
  </w:footnote>
  <w:footnote w:id="5">
    <w:p w14:paraId="3C73DF17" w14:textId="3DC78656" w:rsidR="007A5909" w:rsidRPr="007A5909" w:rsidRDefault="007A5909" w:rsidP="009C7F46">
      <w:pPr>
        <w:pStyle w:val="FootnoteText"/>
      </w:pPr>
      <w:r w:rsidRPr="007A5909">
        <w:rPr>
          <w:rStyle w:val="FootnoteReference"/>
          <w:vertAlign w:val="baseline"/>
        </w:rPr>
        <w:footnoteRef/>
      </w:r>
      <w:r w:rsidRPr="007A5909">
        <w:t xml:space="preserve"> </w:t>
      </w:r>
      <w:r w:rsidRPr="007A5909">
        <w:tab/>
        <w:t>Labour being hours worked in our analysis.</w:t>
      </w:r>
    </w:p>
  </w:footnote>
  <w:footnote w:id="6">
    <w:p w14:paraId="43553B11" w14:textId="0BB91A73" w:rsidR="007A5909" w:rsidRPr="007A5909" w:rsidRDefault="007A5909">
      <w:pPr>
        <w:pStyle w:val="FootnoteText"/>
      </w:pPr>
      <w:r w:rsidRPr="007A5909">
        <w:rPr>
          <w:rStyle w:val="FootnoteReference"/>
          <w:vertAlign w:val="baseline"/>
        </w:rPr>
        <w:footnoteRef/>
      </w:r>
      <w:r w:rsidRPr="007A5909">
        <w:t xml:space="preserve"> </w:t>
      </w:r>
      <w:r w:rsidRPr="007A5909">
        <w:tab/>
        <w:t>For example, it can be difficult to accurately measure the volume of capital services.</w:t>
      </w:r>
    </w:p>
  </w:footnote>
  <w:footnote w:id="7">
    <w:p w14:paraId="20C5FA6D" w14:textId="4A9ADF97" w:rsidR="007A5909" w:rsidRPr="007A5909" w:rsidRDefault="007A5909">
      <w:pPr>
        <w:pStyle w:val="FootnoteText"/>
      </w:pPr>
      <w:r w:rsidRPr="007A5909">
        <w:rPr>
          <w:rStyle w:val="FootnoteReference"/>
          <w:vertAlign w:val="baseline"/>
        </w:rPr>
        <w:footnoteRef/>
      </w:r>
      <w:r w:rsidRPr="007A5909">
        <w:t xml:space="preserve"> </w:t>
      </w:r>
      <w:r w:rsidRPr="007A5909">
        <w:tab/>
        <w:t>Labour’s share of income is therefore currently around 59 per cent. (ABS cat. no. 5260.0.55.002, Table 14).</w:t>
      </w:r>
    </w:p>
  </w:footnote>
  <w:footnote w:id="8">
    <w:p w14:paraId="7E733C22" w14:textId="7A35A799"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The time periods on the x</w:t>
      </w:r>
      <w:r w:rsidRPr="007A5909">
        <w:noBreakHyphen/>
        <w:t>axis are productivity cycles as calculated by the ABS. Productivity growth cycle peaks are determined by comparing the annual MFP estimates with their corresponding long</w:t>
      </w:r>
      <w:r w:rsidRPr="007A5909">
        <w:noBreakHyphen/>
        <w:t>term trend estimates. The peak deviations between these two series are the primary indicators of a growth cycle peak, although general economic conditions at the time are also considered.</w:t>
      </w:r>
    </w:p>
  </w:footnote>
  <w:footnote w:id="9">
    <w:p w14:paraId="0A923875" w14:textId="70658949" w:rsidR="007A5909" w:rsidRPr="007A5909" w:rsidRDefault="007A5909" w:rsidP="005D2E9D">
      <w:pPr>
        <w:pStyle w:val="FootnoteText"/>
      </w:pPr>
      <w:r w:rsidRPr="007A5909">
        <w:rPr>
          <w:rStyle w:val="FootnoteReference"/>
          <w:vertAlign w:val="baseline"/>
        </w:rPr>
        <w:footnoteRef/>
      </w:r>
      <w:r w:rsidRPr="007A5909">
        <w:t xml:space="preserve"> </w:t>
      </w:r>
      <w:r w:rsidRPr="007A5909">
        <w:tab/>
        <w:t>Although data is unfortunately only available from 1988</w:t>
      </w:r>
      <w:r w:rsidRPr="007A5909">
        <w:noBreakHyphen/>
        <w:t>89 to 2015</w:t>
      </w:r>
      <w:r w:rsidRPr="007A5909">
        <w:noBreakHyphen/>
        <w:t>16.</w:t>
      </w:r>
    </w:p>
  </w:footnote>
  <w:footnote w:id="10">
    <w:p w14:paraId="6D6DEC54" w14:textId="630B9AE1"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The ‘services sectors’ are the combination of the following sectors: Wholesale trade; Retail trade; Accommodation and food services; Transport, postal and warehousing; Information media and telecommunications; Financial and insurance services; Arts and recreation services; Rental, hiring and real estate services; Professional, scientific and technical services; Administrative and support services; Other services; Public administration and safety; Education and training; and Health care and social assistance.</w:t>
      </w:r>
    </w:p>
  </w:footnote>
  <w:footnote w:id="11">
    <w:p w14:paraId="39A60884" w14:textId="6BC2FE1D"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The shift share</w:t>
      </w:r>
      <w:r w:rsidRPr="007A5909">
        <w:noBreakHyphen/>
        <w:t>analysis considered in this article can be used to shed light on whether resource reallocations between industries are producing efficiency gains through higher productivity outcomes or whether developments within industries are driving aggregate productivity outcomes. The analysis is primarily concerned with describing where, on an industry basis, productivity growth is coming from. The analysis says nothing about the underlying factors driving resource allocation between industries or the nature of developments within industries.</w:t>
      </w:r>
    </w:p>
  </w:footnote>
  <w:footnote w:id="12">
    <w:p w14:paraId="67FE80DB" w14:textId="341DC603"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The productivity decline in the Utilities sector from 1997</w:t>
      </w:r>
      <w:r w:rsidRPr="007A5909">
        <w:noBreakHyphen/>
        <w:t>98 was due to its own unique set of factors. The construction of new facilities for the provision of water services, the higher levels of investment to replace ageing network infrastructure, the move from large coal to gas</w:t>
      </w:r>
      <w:r w:rsidRPr="007A5909">
        <w:noBreakHyphen/>
        <w:t>fired power stations and renewable energy sources which require higher inputs per unit of output and the drought affecting output levels in water in the early 2000s all detracted from productivity growth in the sector (Productivity Commission, 2012a and 2012b).</w:t>
      </w:r>
    </w:p>
  </w:footnote>
  <w:footnote w:id="13">
    <w:p w14:paraId="29A2397C" w14:textId="021F2FEB"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The reduction in the level of labour productivity in the Mining industry during the 2000s can be explained by the lead times between capital investment and the corresponding increase in output, the employment of less skilled workers at the outset of the mining boom and the depletion of high quality natural resources. In interpreting Mining sector productivity it should be noted the dramatic fall in Mining productivity in the 2000s may also reflect some Construction sector labour being misclassified as Mining sector labour.</w:t>
      </w:r>
    </w:p>
  </w:footnote>
  <w:footnote w:id="14">
    <w:p w14:paraId="4F84216A" w14:textId="0B3E880E" w:rsidR="007A5909" w:rsidRPr="007A5909" w:rsidRDefault="007A5909" w:rsidP="009C7F46">
      <w:pPr>
        <w:pStyle w:val="FootnoteText"/>
      </w:pPr>
      <w:r w:rsidRPr="007A5909">
        <w:rPr>
          <w:rStyle w:val="FootnoteReference"/>
          <w:vertAlign w:val="baseline"/>
        </w:rPr>
        <w:footnoteRef/>
      </w:r>
      <w:r w:rsidRPr="007A5909">
        <w:t xml:space="preserve"> </w:t>
      </w:r>
      <w:r w:rsidRPr="007A5909">
        <w:tab/>
        <w:t>It should also be noted that within the services sector composite the individual productivity levels and growth rates of individual services sectors differ greatly; some suggest this makes them inappropriate to consider in aggregate (Inklaar, Timmer and van Ark, 2007). While analysis of individual services sectors is beyond the scope of this paper (perceptions about poor productivity performance in the services sectors could relate to individual sectors) they have been aggregated to demonstrate their size and historical contribution to aggregate growth.</w:t>
      </w:r>
    </w:p>
  </w:footnote>
  <w:footnote w:id="15">
    <w:p w14:paraId="12AB4317" w14:textId="5248B216"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The red bars of Chart 6 are closely related to movements of the Mining sector’s share of hours worked in the economy in Chart 5. That is, when Mining’s share of hours worked falls (such as during the period from the early 1990s up until the turn of the century), we see large blue bars (strong within</w:t>
      </w:r>
      <w:r w:rsidRPr="007A5909">
        <w:noBreakHyphen/>
        <w:t>sector productivity growth, largely driven by Mining’s productivity performance) and smaller negative red bars (the offsetting effect on aggregate labour productivity growth of losing labour to less productive sectors). When the Mining sector’s share of hours worked rise (such as from the early 2000s until recently), we see smaller blue bars combining with positive red bars as reduced productivity growth within Mining is supplemented by the positive effect of the sector attracting labour from lower productivity sectors like Agriculture and Manufacturing.</w:t>
      </w:r>
    </w:p>
  </w:footnote>
  <w:footnote w:id="16">
    <w:p w14:paraId="1B041159" w14:textId="64E0D81C" w:rsidR="007A5909" w:rsidRPr="007A5909" w:rsidRDefault="007A5909" w:rsidP="009C7F46">
      <w:pPr>
        <w:pStyle w:val="FootnoteText"/>
      </w:pPr>
      <w:r w:rsidRPr="007A5909">
        <w:rPr>
          <w:rStyle w:val="FootnoteReference"/>
          <w:vertAlign w:val="baseline"/>
        </w:rPr>
        <w:footnoteRef/>
      </w:r>
      <w:r w:rsidRPr="007A5909">
        <w:t xml:space="preserve"> </w:t>
      </w:r>
      <w:r w:rsidRPr="007A5909">
        <w:tab/>
        <w:t>2015</w:t>
      </w:r>
      <w:r w:rsidRPr="007A5909">
        <w:noBreakHyphen/>
        <w:t>16 saw a slight return of labour towards Mining.</w:t>
      </w:r>
    </w:p>
  </w:footnote>
  <w:footnote w:id="17">
    <w:p w14:paraId="446CFAE3" w14:textId="03B3C6FA" w:rsidR="007A5909" w:rsidRPr="007A5909" w:rsidRDefault="007A5909" w:rsidP="009C7F46">
      <w:pPr>
        <w:pStyle w:val="FootnoteText"/>
      </w:pPr>
      <w:r w:rsidRPr="007A5909">
        <w:rPr>
          <w:rStyle w:val="FootnoteReference"/>
          <w:vertAlign w:val="baseline"/>
        </w:rPr>
        <w:footnoteRef/>
      </w:r>
      <w:r w:rsidRPr="007A5909">
        <w:t xml:space="preserve"> </w:t>
      </w:r>
      <w:r w:rsidRPr="007A5909">
        <w:tab/>
        <w:t>It is worth noting that this reallocation of labour coincided with the end of the construction phase of the mining boom, so the combination of less labour needed and greater output from the production phase means that productivity within the sector is beginning to recover (Chart 4).</w:t>
      </w:r>
    </w:p>
  </w:footnote>
  <w:footnote w:id="18">
    <w:p w14:paraId="4BF65BB4" w14:textId="68BE3ECB" w:rsidR="007A5909" w:rsidRPr="007A5909" w:rsidRDefault="007A5909" w:rsidP="009C7F46">
      <w:pPr>
        <w:pStyle w:val="FootnoteText"/>
      </w:pPr>
      <w:r w:rsidRPr="007A5909">
        <w:rPr>
          <w:rStyle w:val="FootnoteReference"/>
          <w:vertAlign w:val="baseline"/>
        </w:rPr>
        <w:footnoteRef/>
      </w:r>
      <w:r w:rsidRPr="007A5909">
        <w:t xml:space="preserve"> </w:t>
      </w:r>
      <w:r w:rsidRPr="007A5909">
        <w:tab/>
        <w:t>At the 2017</w:t>
      </w:r>
      <w:r w:rsidRPr="007A5909">
        <w:noBreakHyphen/>
        <w:t>18 Budget, the assumed price for Australia’s key commodities exports were: iron ore at US$66/tonne; metallurgical coal at US$200/tonne; thermal coal at US$85/tonne.</w:t>
      </w:r>
    </w:p>
  </w:footnote>
  <w:footnote w:id="19">
    <w:p w14:paraId="65937832" w14:textId="0238E47B" w:rsidR="007A5909" w:rsidRPr="007A5909" w:rsidRDefault="007A5909" w:rsidP="009C7F46">
      <w:pPr>
        <w:pStyle w:val="FootnoteText"/>
      </w:pPr>
      <w:r w:rsidRPr="007A5909">
        <w:rPr>
          <w:rStyle w:val="FootnoteReference"/>
          <w:vertAlign w:val="baseline"/>
        </w:rPr>
        <w:footnoteRef/>
      </w:r>
      <w:r w:rsidRPr="007A5909">
        <w:t xml:space="preserve"> </w:t>
      </w:r>
      <w:r w:rsidRPr="007A5909">
        <w:tab/>
        <w:t>The levels data are stock data (referring to a particular week within the quarter) and will therefore not sum to the ABS headline figures used in the National Accounts (which is based on flow data that covers the entire quarter).</w:t>
      </w:r>
    </w:p>
    <w:p w14:paraId="6576F7CB" w14:textId="77777777" w:rsidR="007A5909" w:rsidRPr="007A5909" w:rsidRDefault="007A5909" w:rsidP="00502367">
      <w:pPr>
        <w:pStyle w:val="FootnoteText"/>
        <w:tabs>
          <w:tab w:val="clear" w:pos="284"/>
          <w:tab w:val="left" w:pos="142"/>
        </w:tabs>
        <w:ind w:left="142" w:hanging="142"/>
      </w:pPr>
    </w:p>
  </w:footnote>
  <w:footnote w:id="20">
    <w:p w14:paraId="200D1A96" w14:textId="77EA2019" w:rsidR="007A5909" w:rsidRPr="007A5909" w:rsidRDefault="007A5909" w:rsidP="009C7F46">
      <w:pPr>
        <w:pStyle w:val="FootnoteText"/>
      </w:pPr>
      <w:r w:rsidRPr="007A5909">
        <w:rPr>
          <w:rStyle w:val="FootnoteReference"/>
          <w:vertAlign w:val="baseline"/>
        </w:rPr>
        <w:footnoteRef/>
      </w:r>
      <w:r w:rsidRPr="007A5909">
        <w:t xml:space="preserve"> </w:t>
      </w:r>
      <w:r w:rsidRPr="007A5909">
        <w:tab/>
        <w:t>While data from the ‘new’ services industries is available as part of the ‘16 industry market sector’ from 1994</w:t>
      </w:r>
      <w:r w:rsidRPr="007A5909">
        <w:noBreakHyphen/>
        <w:t>95, output and employment data for these industries can be obtained from 1988</w:t>
      </w:r>
      <w:r w:rsidRPr="007A5909">
        <w:noBreakHyphen/>
        <w:t>89 to create the composite ‘services sectors’ series from 1988</w:t>
      </w:r>
      <w:r w:rsidRPr="007A5909">
        <w:noBreakHyphen/>
        <w:t>89 used in this article.</w:t>
      </w:r>
    </w:p>
  </w:footnote>
  <w:footnote w:id="21">
    <w:p w14:paraId="31C1BF4A" w14:textId="42F3C391" w:rsidR="007A5909" w:rsidRPr="007A5909" w:rsidRDefault="007A5909" w:rsidP="009C7F46">
      <w:pPr>
        <w:pStyle w:val="FootnoteText"/>
      </w:pPr>
      <w:r w:rsidRPr="007A5909">
        <w:rPr>
          <w:rStyle w:val="FootnoteReference"/>
          <w:vertAlign w:val="baseline"/>
        </w:rPr>
        <w:footnoteRef/>
      </w:r>
      <w:r w:rsidRPr="007A5909">
        <w:t xml:space="preserve"> </w:t>
      </w:r>
      <w:r w:rsidRPr="007A5909">
        <w:tab/>
        <w:t>MFP and capital deepening components are unavailable for these industries.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DEC47" w14:textId="77777777" w:rsidR="007A5909" w:rsidRPr="00AE083F" w:rsidRDefault="007A5909" w:rsidP="00AE083F">
    <w:pPr>
      <w:pStyle w:val="HeaderEven"/>
    </w:pPr>
    <w:r w:rsidRPr="00D57044">
      <w:t>Australian productivity trends and the impact of structural change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50CEC" w14:textId="77777777" w:rsidR="007A5909" w:rsidRPr="00AE083F" w:rsidRDefault="007A5909" w:rsidP="007A5909">
    <w:pPr>
      <w:pStyle w:val="HeaderEven"/>
      <w:jc w:val="right"/>
    </w:pPr>
    <w:r w:rsidRPr="00D57044">
      <w:t>Australian productivity trends and the impact of structural change</w:t>
    </w:r>
  </w:p>
  <w:p w14:paraId="4991CE2D" w14:textId="77777777" w:rsidR="007A5909" w:rsidRDefault="007A5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4AA5C6"/>
    <w:lvl w:ilvl="0">
      <w:start w:val="1"/>
      <w:numFmt w:val="decimal"/>
      <w:lvlText w:val="%1."/>
      <w:lvlJc w:val="left"/>
      <w:pPr>
        <w:tabs>
          <w:tab w:val="num" w:pos="1492"/>
        </w:tabs>
        <w:ind w:left="1492" w:hanging="360"/>
      </w:pPr>
    </w:lvl>
  </w:abstractNum>
  <w:abstractNum w:abstractNumId="1">
    <w:nsid w:val="FFFFFF7D"/>
    <w:multiLevelType w:val="singleLevel"/>
    <w:tmpl w:val="76D0AF1A"/>
    <w:lvl w:ilvl="0">
      <w:start w:val="1"/>
      <w:numFmt w:val="decimal"/>
      <w:lvlText w:val="%1."/>
      <w:lvlJc w:val="left"/>
      <w:pPr>
        <w:tabs>
          <w:tab w:val="num" w:pos="1209"/>
        </w:tabs>
        <w:ind w:left="1209" w:hanging="360"/>
      </w:pPr>
    </w:lvl>
  </w:abstractNum>
  <w:abstractNum w:abstractNumId="2">
    <w:nsid w:val="FFFFFF7E"/>
    <w:multiLevelType w:val="singleLevel"/>
    <w:tmpl w:val="4402913A"/>
    <w:lvl w:ilvl="0">
      <w:start w:val="1"/>
      <w:numFmt w:val="decimal"/>
      <w:lvlText w:val="%1."/>
      <w:lvlJc w:val="left"/>
      <w:pPr>
        <w:tabs>
          <w:tab w:val="num" w:pos="926"/>
        </w:tabs>
        <w:ind w:left="926" w:hanging="360"/>
      </w:pPr>
    </w:lvl>
  </w:abstractNum>
  <w:abstractNum w:abstractNumId="3">
    <w:nsid w:val="FFFFFF7F"/>
    <w:multiLevelType w:val="singleLevel"/>
    <w:tmpl w:val="4AD41538"/>
    <w:lvl w:ilvl="0">
      <w:start w:val="1"/>
      <w:numFmt w:val="decimal"/>
      <w:lvlText w:val="%1."/>
      <w:lvlJc w:val="left"/>
      <w:pPr>
        <w:tabs>
          <w:tab w:val="num" w:pos="643"/>
        </w:tabs>
        <w:ind w:left="643" w:hanging="360"/>
      </w:pPr>
    </w:lvl>
  </w:abstractNum>
  <w:abstractNum w:abstractNumId="4">
    <w:nsid w:val="FFFFFF80"/>
    <w:multiLevelType w:val="singleLevel"/>
    <w:tmpl w:val="71B81F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6857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5BC3E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080A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228476"/>
    <w:lvl w:ilvl="0">
      <w:start w:val="1"/>
      <w:numFmt w:val="decimal"/>
      <w:lvlText w:val="%1."/>
      <w:lvlJc w:val="left"/>
      <w:pPr>
        <w:tabs>
          <w:tab w:val="num" w:pos="360"/>
        </w:tabs>
        <w:ind w:left="360" w:hanging="360"/>
      </w:pPr>
    </w:lvl>
  </w:abstractNum>
  <w:abstractNum w:abstractNumId="9">
    <w:nsid w:val="FFFFFF89"/>
    <w:multiLevelType w:val="singleLevel"/>
    <w:tmpl w:val="7DA47E72"/>
    <w:lvl w:ilvl="0">
      <w:start w:val="1"/>
      <w:numFmt w:val="bullet"/>
      <w:lvlText w:val=""/>
      <w:lvlJc w:val="left"/>
      <w:pPr>
        <w:tabs>
          <w:tab w:val="num" w:pos="360"/>
        </w:tabs>
        <w:ind w:left="360" w:hanging="360"/>
      </w:pPr>
      <w:rPr>
        <w:rFonts w:ascii="Symbol" w:hAnsi="Symbol" w:hint="default"/>
      </w:rPr>
    </w:lvl>
  </w:abstractNum>
  <w:abstractNum w:abstractNumId="10">
    <w:nsid w:val="030329CA"/>
    <w:multiLevelType w:val="multilevel"/>
    <w:tmpl w:val="EECCBCE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9C960FD"/>
    <w:multiLevelType w:val="multilevel"/>
    <w:tmpl w:val="4D9CCDFA"/>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2">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nsid w:val="244237C5"/>
    <w:multiLevelType w:val="multilevel"/>
    <w:tmpl w:val="F0BE3518"/>
    <w:name w:val="StandardNumberedList"/>
    <w:lvl w:ilvl="0">
      <w:start w:val="1"/>
      <w:numFmt w:val="decimal"/>
      <w:lvlRestart w:val="0"/>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nsid w:val="27440C8B"/>
    <w:multiLevelType w:val="multilevel"/>
    <w:tmpl w:val="A156F44C"/>
    <w:name w:val="StandardBulletedList"/>
    <w:lvl w:ilvl="0">
      <w:start w:val="1"/>
      <w:numFmt w:val="bullet"/>
      <w:pStyle w:val="Bullet"/>
      <w:lvlText w:val="•"/>
      <w:lvlJc w:val="left"/>
      <w:pPr>
        <w:tabs>
          <w:tab w:val="num" w:pos="472"/>
        </w:tabs>
        <w:ind w:left="472" w:hanging="472"/>
      </w:pPr>
      <w:rPr>
        <w:rFonts w:ascii="Times New Roman" w:hAnsi="Times New Roman" w:cs="Times New Roman"/>
        <w:b w:val="0"/>
        <w:i w:val="0"/>
      </w:rPr>
    </w:lvl>
    <w:lvl w:ilvl="1">
      <w:start w:val="1"/>
      <w:numFmt w:val="bullet"/>
      <w:pStyle w:val="Dash"/>
      <w:lvlText w:val="–"/>
      <w:lvlJc w:val="left"/>
      <w:pPr>
        <w:tabs>
          <w:tab w:val="num" w:pos="944"/>
        </w:tabs>
        <w:ind w:left="944" w:hanging="472"/>
      </w:pPr>
      <w:rPr>
        <w:rFonts w:ascii="Times New Roman" w:hAnsi="Times New Roman" w:cs="Times New Roman"/>
        <w:b w:val="0"/>
        <w:i w:val="0"/>
      </w:rPr>
    </w:lvl>
    <w:lvl w:ilvl="2">
      <w:start w:val="1"/>
      <w:numFmt w:val="bullet"/>
      <w:pStyle w:val="DoubleDot"/>
      <w:lvlText w:val=":"/>
      <w:lvlJc w:val="left"/>
      <w:pPr>
        <w:tabs>
          <w:tab w:val="num" w:pos="1416"/>
        </w:tabs>
        <w:ind w:left="1416" w:hanging="472"/>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16">
    <w:nsid w:val="2E676638"/>
    <w:multiLevelType w:val="multilevel"/>
    <w:tmpl w:val="32F2C594"/>
    <w:lvl w:ilvl="0">
      <w:start w:val="1"/>
      <w:numFmt w:val="bullet"/>
      <w:lvlText w:val="•"/>
      <w:lvlJc w:val="left"/>
      <w:pPr>
        <w:tabs>
          <w:tab w:val="num" w:pos="614"/>
        </w:tabs>
        <w:ind w:left="614" w:hanging="614"/>
      </w:pPr>
      <w:rPr>
        <w:rFonts w:ascii="Times New Roman" w:hAnsi="Times New Roman" w:cs="Times New Roman"/>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C857931"/>
    <w:multiLevelType w:val="singleLevel"/>
    <w:tmpl w:val="0C09000F"/>
    <w:lvl w:ilvl="0">
      <w:start w:val="1"/>
      <w:numFmt w:val="decimal"/>
      <w:lvlText w:val="%1."/>
      <w:lvlJc w:val="left"/>
      <w:pPr>
        <w:tabs>
          <w:tab w:val="num" w:pos="720"/>
        </w:tabs>
        <w:ind w:left="720" w:hanging="360"/>
      </w:pPr>
    </w:lvl>
  </w:abstractNum>
  <w:abstractNum w:abstractNumId="18">
    <w:nsid w:val="418B22D4"/>
    <w:multiLevelType w:val="singleLevel"/>
    <w:tmpl w:val="0C09000F"/>
    <w:lvl w:ilvl="0">
      <w:start w:val="1"/>
      <w:numFmt w:val="decimal"/>
      <w:lvlText w:val="%1."/>
      <w:lvlJc w:val="left"/>
      <w:pPr>
        <w:tabs>
          <w:tab w:val="num" w:pos="720"/>
        </w:tabs>
        <w:ind w:left="720" w:hanging="360"/>
      </w:pPr>
    </w:lvl>
  </w:abstractNum>
  <w:abstractNum w:abstractNumId="19">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0">
    <w:nsid w:val="535357C1"/>
    <w:multiLevelType w:val="singleLevel"/>
    <w:tmpl w:val="0C09000F"/>
    <w:lvl w:ilvl="0">
      <w:start w:val="1"/>
      <w:numFmt w:val="decimal"/>
      <w:lvlText w:val="%1."/>
      <w:lvlJc w:val="left"/>
      <w:pPr>
        <w:tabs>
          <w:tab w:val="num" w:pos="720"/>
        </w:tabs>
        <w:ind w:left="720" w:hanging="360"/>
      </w:pPr>
    </w:lvl>
  </w:abstractNum>
  <w:abstractNum w:abstractNumId="21">
    <w:nsid w:val="553E0053"/>
    <w:multiLevelType w:val="multilevel"/>
    <w:tmpl w:val="FCB2F92C"/>
    <w:lvl w:ilvl="0">
      <w:start w:val="1"/>
      <w:numFmt w:val="bullet"/>
      <w:pStyle w:val="Summary"/>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hint="default"/>
      </w:rPr>
    </w:lvl>
    <w:lvl w:ilvl="2">
      <w:start w:val="1"/>
      <w:numFmt w:val="bullet"/>
      <w:lvlText w:val=":"/>
      <w:lvlJc w:val="left"/>
      <w:pPr>
        <w:tabs>
          <w:tab w:val="num" w:pos="1701"/>
        </w:tabs>
        <w:ind w:left="1701" w:hanging="567"/>
      </w:pPr>
      <w:rPr>
        <w:rFonts w:ascii="Times New Roman" w:hAnsi="Times New Roman" w:hint="default"/>
      </w:rPr>
    </w:lvl>
    <w:lvl w:ilvl="3">
      <w:start w:val="1"/>
      <w:numFmt w:val="decimal"/>
      <w:lvlText w:val="%1.%2.%3.%4."/>
      <w:lvlJc w:val="left"/>
      <w:pPr>
        <w:tabs>
          <w:tab w:val="num" w:pos="1797"/>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2">
    <w:nsid w:val="58101827"/>
    <w:multiLevelType w:val="multilevel"/>
    <w:tmpl w:val="072C6E52"/>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nsid w:val="5E0A6F8D"/>
    <w:multiLevelType w:val="multilevel"/>
    <w:tmpl w:val="C5FABF2E"/>
    <w:lvl w:ilvl="0">
      <w:start w:val="1"/>
      <w:numFmt w:val="bullet"/>
      <w:pStyle w:val="SummaryBullet"/>
      <w:lvlText w:val=""/>
      <w:lvlJc w:val="left"/>
      <w:pPr>
        <w:tabs>
          <w:tab w:val="num" w:pos="644"/>
        </w:tabs>
        <w:ind w:left="644" w:hanging="360"/>
      </w:pPr>
      <w:rPr>
        <w:rFonts w:ascii="Wingdings" w:hAnsi="Wingdings" w:hint="default"/>
        <w:b w:val="0"/>
        <w:i w:val="0"/>
        <w:sz w:val="18"/>
        <w:szCs w:val="18"/>
      </w:rPr>
    </w:lvl>
    <w:lvl w:ilvl="1">
      <w:start w:val="1"/>
      <w:numFmt w:val="bullet"/>
      <w:pStyle w:val="RecommendationDash"/>
      <w:lvlText w:val="–"/>
      <w:lvlJc w:val="left"/>
      <w:pPr>
        <w:tabs>
          <w:tab w:val="num" w:pos="567"/>
        </w:tabs>
        <w:ind w:left="567" w:hanging="284"/>
      </w:pPr>
      <w:rPr>
        <w:rFonts w:hint="default"/>
        <w:b w:val="0"/>
        <w:i w:val="0"/>
      </w:rPr>
    </w:lvl>
    <w:lvl w:ilvl="2">
      <w:start w:val="1"/>
      <w:numFmt w:val="bullet"/>
      <w:pStyle w:val="Recommendation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4">
    <w:nsid w:val="65FB0D17"/>
    <w:multiLevelType w:val="singleLevel"/>
    <w:tmpl w:val="0C09000F"/>
    <w:lvl w:ilvl="0">
      <w:start w:val="1"/>
      <w:numFmt w:val="decimal"/>
      <w:lvlText w:val="%1."/>
      <w:lvlJc w:val="left"/>
      <w:pPr>
        <w:tabs>
          <w:tab w:val="num" w:pos="720"/>
        </w:tabs>
        <w:ind w:left="720" w:hanging="360"/>
      </w:pPr>
    </w:lvl>
  </w:abstractNum>
  <w:abstractNum w:abstractNumId="25">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13"/>
  </w:num>
  <w:num w:numId="3">
    <w:abstractNumId w:val="15"/>
  </w:num>
  <w:num w:numId="4">
    <w:abstractNumId w:val="19"/>
  </w:num>
  <w:num w:numId="5">
    <w:abstractNumId w:val="12"/>
  </w:num>
  <w:num w:numId="6">
    <w:abstractNumId w:val="12"/>
  </w:num>
  <w:num w:numId="7">
    <w:abstractNumId w:val="12"/>
  </w:num>
  <w:num w:numId="8">
    <w:abstractNumId w:val="25"/>
  </w:num>
  <w:num w:numId="9">
    <w:abstractNumId w:val="22"/>
  </w:num>
  <w:num w:numId="10">
    <w:abstractNumId w:val="11"/>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23"/>
  </w:num>
  <w:num w:numId="24">
    <w:abstractNumId w:val="10"/>
  </w:num>
  <w:num w:numId="25">
    <w:abstractNumId w:val="14"/>
  </w:num>
  <w:num w:numId="26">
    <w:abstractNumId w:val="2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86A"/>
    <w:rsid w:val="00002FDF"/>
    <w:rsid w:val="000040F8"/>
    <w:rsid w:val="000042A0"/>
    <w:rsid w:val="00007B25"/>
    <w:rsid w:val="00010F46"/>
    <w:rsid w:val="0001164E"/>
    <w:rsid w:val="000159BC"/>
    <w:rsid w:val="0001647D"/>
    <w:rsid w:val="00016656"/>
    <w:rsid w:val="0002586A"/>
    <w:rsid w:val="00025F8D"/>
    <w:rsid w:val="00026C11"/>
    <w:rsid w:val="0003028B"/>
    <w:rsid w:val="00030CAF"/>
    <w:rsid w:val="000375E2"/>
    <w:rsid w:val="00042094"/>
    <w:rsid w:val="0004539C"/>
    <w:rsid w:val="00046920"/>
    <w:rsid w:val="00046DD4"/>
    <w:rsid w:val="00050C9E"/>
    <w:rsid w:val="0005761D"/>
    <w:rsid w:val="00061634"/>
    <w:rsid w:val="000721F2"/>
    <w:rsid w:val="0007394B"/>
    <w:rsid w:val="00077862"/>
    <w:rsid w:val="0008081B"/>
    <w:rsid w:val="00080D86"/>
    <w:rsid w:val="00081580"/>
    <w:rsid w:val="00095DC8"/>
    <w:rsid w:val="00096234"/>
    <w:rsid w:val="000A7C03"/>
    <w:rsid w:val="000B2982"/>
    <w:rsid w:val="000B3559"/>
    <w:rsid w:val="000B48D6"/>
    <w:rsid w:val="000B53FE"/>
    <w:rsid w:val="000B6BC4"/>
    <w:rsid w:val="000C7524"/>
    <w:rsid w:val="000C7B7A"/>
    <w:rsid w:val="000D1285"/>
    <w:rsid w:val="000D47B0"/>
    <w:rsid w:val="000E3453"/>
    <w:rsid w:val="000E3AC8"/>
    <w:rsid w:val="000E67CF"/>
    <w:rsid w:val="000F1B12"/>
    <w:rsid w:val="0010587F"/>
    <w:rsid w:val="00125E0D"/>
    <w:rsid w:val="00126A76"/>
    <w:rsid w:val="001273F9"/>
    <w:rsid w:val="001360DE"/>
    <w:rsid w:val="00136D03"/>
    <w:rsid w:val="00145599"/>
    <w:rsid w:val="00145A44"/>
    <w:rsid w:val="00150B29"/>
    <w:rsid w:val="0015335C"/>
    <w:rsid w:val="00163CCF"/>
    <w:rsid w:val="001801BE"/>
    <w:rsid w:val="00183191"/>
    <w:rsid w:val="0018567C"/>
    <w:rsid w:val="00195684"/>
    <w:rsid w:val="00196983"/>
    <w:rsid w:val="00197343"/>
    <w:rsid w:val="001A2894"/>
    <w:rsid w:val="001A3388"/>
    <w:rsid w:val="001C3864"/>
    <w:rsid w:val="001C3AC7"/>
    <w:rsid w:val="001C41F6"/>
    <w:rsid w:val="001C480F"/>
    <w:rsid w:val="001C58F5"/>
    <w:rsid w:val="001C6CF9"/>
    <w:rsid w:val="001D0457"/>
    <w:rsid w:val="001D0E12"/>
    <w:rsid w:val="001D6E61"/>
    <w:rsid w:val="001E2E34"/>
    <w:rsid w:val="001E756F"/>
    <w:rsid w:val="001F30A6"/>
    <w:rsid w:val="001F4E9B"/>
    <w:rsid w:val="00205D63"/>
    <w:rsid w:val="002127F6"/>
    <w:rsid w:val="00213DFA"/>
    <w:rsid w:val="00215AB0"/>
    <w:rsid w:val="00223B8E"/>
    <w:rsid w:val="002244FC"/>
    <w:rsid w:val="0022744C"/>
    <w:rsid w:val="00245515"/>
    <w:rsid w:val="002512A5"/>
    <w:rsid w:val="00255291"/>
    <w:rsid w:val="00257D66"/>
    <w:rsid w:val="0026166E"/>
    <w:rsid w:val="0026470B"/>
    <w:rsid w:val="002661BA"/>
    <w:rsid w:val="00270E91"/>
    <w:rsid w:val="00275A19"/>
    <w:rsid w:val="00275ACE"/>
    <w:rsid w:val="00275DD3"/>
    <w:rsid w:val="002811AA"/>
    <w:rsid w:val="0028465B"/>
    <w:rsid w:val="002863EE"/>
    <w:rsid w:val="00295386"/>
    <w:rsid w:val="00296044"/>
    <w:rsid w:val="002A0446"/>
    <w:rsid w:val="002A2825"/>
    <w:rsid w:val="002A514A"/>
    <w:rsid w:val="002A65A8"/>
    <w:rsid w:val="002A6A3F"/>
    <w:rsid w:val="002B0BB6"/>
    <w:rsid w:val="002B45B8"/>
    <w:rsid w:val="002B7B31"/>
    <w:rsid w:val="002C22C7"/>
    <w:rsid w:val="002C2A7F"/>
    <w:rsid w:val="002C2FF7"/>
    <w:rsid w:val="002C4301"/>
    <w:rsid w:val="002E1089"/>
    <w:rsid w:val="002F04EE"/>
    <w:rsid w:val="002F1165"/>
    <w:rsid w:val="002F15F9"/>
    <w:rsid w:val="002F36DF"/>
    <w:rsid w:val="002F4E6F"/>
    <w:rsid w:val="00312F46"/>
    <w:rsid w:val="00314A82"/>
    <w:rsid w:val="0031507D"/>
    <w:rsid w:val="00325AB3"/>
    <w:rsid w:val="00330C72"/>
    <w:rsid w:val="003379BA"/>
    <w:rsid w:val="00340761"/>
    <w:rsid w:val="003430B4"/>
    <w:rsid w:val="003536C8"/>
    <w:rsid w:val="0035640E"/>
    <w:rsid w:val="00370C9F"/>
    <w:rsid w:val="00375800"/>
    <w:rsid w:val="00376BC4"/>
    <w:rsid w:val="00396FE9"/>
    <w:rsid w:val="003A104D"/>
    <w:rsid w:val="003B043D"/>
    <w:rsid w:val="003B384D"/>
    <w:rsid w:val="003B4385"/>
    <w:rsid w:val="003B4A13"/>
    <w:rsid w:val="003B7CCB"/>
    <w:rsid w:val="003B7E26"/>
    <w:rsid w:val="003C1CC0"/>
    <w:rsid w:val="003C3AFB"/>
    <w:rsid w:val="003C3C11"/>
    <w:rsid w:val="003E1ED7"/>
    <w:rsid w:val="003E33D8"/>
    <w:rsid w:val="003E3AB3"/>
    <w:rsid w:val="003E4F23"/>
    <w:rsid w:val="003E5BA0"/>
    <w:rsid w:val="003F093A"/>
    <w:rsid w:val="00400575"/>
    <w:rsid w:val="004009E1"/>
    <w:rsid w:val="00400A91"/>
    <w:rsid w:val="00400FD0"/>
    <w:rsid w:val="004039E9"/>
    <w:rsid w:val="00404251"/>
    <w:rsid w:val="004049F3"/>
    <w:rsid w:val="00407B0F"/>
    <w:rsid w:val="00413527"/>
    <w:rsid w:val="00424854"/>
    <w:rsid w:val="004267B4"/>
    <w:rsid w:val="00444B8E"/>
    <w:rsid w:val="00445232"/>
    <w:rsid w:val="00446DE9"/>
    <w:rsid w:val="00447D44"/>
    <w:rsid w:val="0045507A"/>
    <w:rsid w:val="004566BE"/>
    <w:rsid w:val="00462BF5"/>
    <w:rsid w:val="0047004C"/>
    <w:rsid w:val="00485079"/>
    <w:rsid w:val="00485217"/>
    <w:rsid w:val="004859D9"/>
    <w:rsid w:val="00486AAB"/>
    <w:rsid w:val="0049120F"/>
    <w:rsid w:val="004921B9"/>
    <w:rsid w:val="00494C16"/>
    <w:rsid w:val="00497F83"/>
    <w:rsid w:val="004A7157"/>
    <w:rsid w:val="004B5978"/>
    <w:rsid w:val="004B6574"/>
    <w:rsid w:val="004C391E"/>
    <w:rsid w:val="004D0BD9"/>
    <w:rsid w:val="004D1358"/>
    <w:rsid w:val="004D3005"/>
    <w:rsid w:val="004D3365"/>
    <w:rsid w:val="004E04D2"/>
    <w:rsid w:val="004E1366"/>
    <w:rsid w:val="004E1BC1"/>
    <w:rsid w:val="004E4448"/>
    <w:rsid w:val="004E5A89"/>
    <w:rsid w:val="004F1B58"/>
    <w:rsid w:val="00502181"/>
    <w:rsid w:val="0050233A"/>
    <w:rsid w:val="00502367"/>
    <w:rsid w:val="00502F38"/>
    <w:rsid w:val="005054A0"/>
    <w:rsid w:val="00507137"/>
    <w:rsid w:val="005169CF"/>
    <w:rsid w:val="00517434"/>
    <w:rsid w:val="00527A42"/>
    <w:rsid w:val="00531686"/>
    <w:rsid w:val="00531E64"/>
    <w:rsid w:val="005323EF"/>
    <w:rsid w:val="005367A7"/>
    <w:rsid w:val="00540C09"/>
    <w:rsid w:val="00541286"/>
    <w:rsid w:val="00542B53"/>
    <w:rsid w:val="00544A81"/>
    <w:rsid w:val="00544EEF"/>
    <w:rsid w:val="0054614A"/>
    <w:rsid w:val="00552494"/>
    <w:rsid w:val="00555060"/>
    <w:rsid w:val="00556118"/>
    <w:rsid w:val="00565BA0"/>
    <w:rsid w:val="00566622"/>
    <w:rsid w:val="005725F1"/>
    <w:rsid w:val="00577B28"/>
    <w:rsid w:val="00580827"/>
    <w:rsid w:val="005845B8"/>
    <w:rsid w:val="005863B4"/>
    <w:rsid w:val="00587AE9"/>
    <w:rsid w:val="00587B0F"/>
    <w:rsid w:val="00590DC7"/>
    <w:rsid w:val="00592815"/>
    <w:rsid w:val="005A260B"/>
    <w:rsid w:val="005A32C3"/>
    <w:rsid w:val="005A3DF1"/>
    <w:rsid w:val="005A5730"/>
    <w:rsid w:val="005A61FE"/>
    <w:rsid w:val="005A798A"/>
    <w:rsid w:val="005C43ED"/>
    <w:rsid w:val="005C5EDC"/>
    <w:rsid w:val="005C68C5"/>
    <w:rsid w:val="005C6BBF"/>
    <w:rsid w:val="005D017B"/>
    <w:rsid w:val="005D23F9"/>
    <w:rsid w:val="005D2A48"/>
    <w:rsid w:val="005D2CFA"/>
    <w:rsid w:val="005D2E9D"/>
    <w:rsid w:val="005D3F24"/>
    <w:rsid w:val="005D7AEA"/>
    <w:rsid w:val="005E2B33"/>
    <w:rsid w:val="005E59A2"/>
    <w:rsid w:val="005E6D05"/>
    <w:rsid w:val="005E72ED"/>
    <w:rsid w:val="005F15B6"/>
    <w:rsid w:val="005F57D3"/>
    <w:rsid w:val="00610AF4"/>
    <w:rsid w:val="006205F9"/>
    <w:rsid w:val="00632CB8"/>
    <w:rsid w:val="00634247"/>
    <w:rsid w:val="00635425"/>
    <w:rsid w:val="0063593B"/>
    <w:rsid w:val="00642528"/>
    <w:rsid w:val="00645D50"/>
    <w:rsid w:val="00646819"/>
    <w:rsid w:val="00652E6B"/>
    <w:rsid w:val="00654C43"/>
    <w:rsid w:val="0065578D"/>
    <w:rsid w:val="00656460"/>
    <w:rsid w:val="00656F03"/>
    <w:rsid w:val="0065729B"/>
    <w:rsid w:val="00660583"/>
    <w:rsid w:val="006669EB"/>
    <w:rsid w:val="006725C8"/>
    <w:rsid w:val="006742C6"/>
    <w:rsid w:val="006767EF"/>
    <w:rsid w:val="006776CA"/>
    <w:rsid w:val="00681BAD"/>
    <w:rsid w:val="00682744"/>
    <w:rsid w:val="006850C6"/>
    <w:rsid w:val="0068636A"/>
    <w:rsid w:val="00693E5C"/>
    <w:rsid w:val="00697D7B"/>
    <w:rsid w:val="006A0760"/>
    <w:rsid w:val="006A3452"/>
    <w:rsid w:val="006A4264"/>
    <w:rsid w:val="006A5BF1"/>
    <w:rsid w:val="006B1F16"/>
    <w:rsid w:val="006B4B65"/>
    <w:rsid w:val="006C5667"/>
    <w:rsid w:val="006D3BA1"/>
    <w:rsid w:val="006D70E5"/>
    <w:rsid w:val="006D7D2D"/>
    <w:rsid w:val="006E0346"/>
    <w:rsid w:val="006E4BC7"/>
    <w:rsid w:val="007013D2"/>
    <w:rsid w:val="00705FB5"/>
    <w:rsid w:val="00710B31"/>
    <w:rsid w:val="00711FF8"/>
    <w:rsid w:val="00713798"/>
    <w:rsid w:val="0071485A"/>
    <w:rsid w:val="00716358"/>
    <w:rsid w:val="0071689E"/>
    <w:rsid w:val="007240DA"/>
    <w:rsid w:val="00726E12"/>
    <w:rsid w:val="00734CA1"/>
    <w:rsid w:val="007527F3"/>
    <w:rsid w:val="00753C6B"/>
    <w:rsid w:val="00753DDD"/>
    <w:rsid w:val="007600CD"/>
    <w:rsid w:val="0076664A"/>
    <w:rsid w:val="00780B6E"/>
    <w:rsid w:val="0079145D"/>
    <w:rsid w:val="007A2F13"/>
    <w:rsid w:val="007A339F"/>
    <w:rsid w:val="007A5909"/>
    <w:rsid w:val="007A6C17"/>
    <w:rsid w:val="007B22C4"/>
    <w:rsid w:val="007B58C7"/>
    <w:rsid w:val="007B785A"/>
    <w:rsid w:val="007C1DD8"/>
    <w:rsid w:val="007C30F0"/>
    <w:rsid w:val="007C61D2"/>
    <w:rsid w:val="007C7D7B"/>
    <w:rsid w:val="007D2F6C"/>
    <w:rsid w:val="007D5D23"/>
    <w:rsid w:val="007E3267"/>
    <w:rsid w:val="007E4C77"/>
    <w:rsid w:val="007F1103"/>
    <w:rsid w:val="007F1547"/>
    <w:rsid w:val="00804A3C"/>
    <w:rsid w:val="00807182"/>
    <w:rsid w:val="00807C2A"/>
    <w:rsid w:val="008153F9"/>
    <w:rsid w:val="008169BF"/>
    <w:rsid w:val="00821263"/>
    <w:rsid w:val="00822326"/>
    <w:rsid w:val="00823644"/>
    <w:rsid w:val="00823E65"/>
    <w:rsid w:val="00824936"/>
    <w:rsid w:val="00825FFD"/>
    <w:rsid w:val="00827262"/>
    <w:rsid w:val="00827D10"/>
    <w:rsid w:val="00833D54"/>
    <w:rsid w:val="0083781B"/>
    <w:rsid w:val="008467FD"/>
    <w:rsid w:val="00850421"/>
    <w:rsid w:val="008506F4"/>
    <w:rsid w:val="008531E7"/>
    <w:rsid w:val="00854512"/>
    <w:rsid w:val="00855C64"/>
    <w:rsid w:val="008709D6"/>
    <w:rsid w:val="00873D40"/>
    <w:rsid w:val="008806F3"/>
    <w:rsid w:val="00884204"/>
    <w:rsid w:val="0088583F"/>
    <w:rsid w:val="008927C3"/>
    <w:rsid w:val="008940ED"/>
    <w:rsid w:val="00896C54"/>
    <w:rsid w:val="00897598"/>
    <w:rsid w:val="008A518F"/>
    <w:rsid w:val="008A56E9"/>
    <w:rsid w:val="008B7BAD"/>
    <w:rsid w:val="008C18C6"/>
    <w:rsid w:val="008C213D"/>
    <w:rsid w:val="008C3264"/>
    <w:rsid w:val="008C4C36"/>
    <w:rsid w:val="008C7722"/>
    <w:rsid w:val="008C7B26"/>
    <w:rsid w:val="008D360C"/>
    <w:rsid w:val="008F682A"/>
    <w:rsid w:val="00901738"/>
    <w:rsid w:val="00905550"/>
    <w:rsid w:val="00905C24"/>
    <w:rsid w:val="009077D6"/>
    <w:rsid w:val="00912A2C"/>
    <w:rsid w:val="00924E86"/>
    <w:rsid w:val="00926340"/>
    <w:rsid w:val="009415C4"/>
    <w:rsid w:val="009446CE"/>
    <w:rsid w:val="00951CCD"/>
    <w:rsid w:val="0095532A"/>
    <w:rsid w:val="0096514A"/>
    <w:rsid w:val="009772E0"/>
    <w:rsid w:val="00987A8F"/>
    <w:rsid w:val="00990712"/>
    <w:rsid w:val="00996F10"/>
    <w:rsid w:val="009A1A01"/>
    <w:rsid w:val="009A69BA"/>
    <w:rsid w:val="009A6A7E"/>
    <w:rsid w:val="009B33D8"/>
    <w:rsid w:val="009B439D"/>
    <w:rsid w:val="009C200E"/>
    <w:rsid w:val="009C57E5"/>
    <w:rsid w:val="009C7227"/>
    <w:rsid w:val="009C7F46"/>
    <w:rsid w:val="009D0807"/>
    <w:rsid w:val="009D439E"/>
    <w:rsid w:val="009F2EBC"/>
    <w:rsid w:val="00A10FAC"/>
    <w:rsid w:val="00A2319C"/>
    <w:rsid w:val="00A27DBC"/>
    <w:rsid w:val="00A316A0"/>
    <w:rsid w:val="00A439E1"/>
    <w:rsid w:val="00A47B51"/>
    <w:rsid w:val="00A51C70"/>
    <w:rsid w:val="00A53297"/>
    <w:rsid w:val="00A53768"/>
    <w:rsid w:val="00A64A59"/>
    <w:rsid w:val="00A6669B"/>
    <w:rsid w:val="00A716DA"/>
    <w:rsid w:val="00A72CFF"/>
    <w:rsid w:val="00A7593C"/>
    <w:rsid w:val="00A776B3"/>
    <w:rsid w:val="00A8117C"/>
    <w:rsid w:val="00A83D64"/>
    <w:rsid w:val="00AA4FCB"/>
    <w:rsid w:val="00AA6AAB"/>
    <w:rsid w:val="00AA6BE3"/>
    <w:rsid w:val="00AB1D4A"/>
    <w:rsid w:val="00AB3C37"/>
    <w:rsid w:val="00AC79A5"/>
    <w:rsid w:val="00AD031C"/>
    <w:rsid w:val="00AD143E"/>
    <w:rsid w:val="00AD1EE6"/>
    <w:rsid w:val="00AD5156"/>
    <w:rsid w:val="00AE083F"/>
    <w:rsid w:val="00AE4085"/>
    <w:rsid w:val="00AF2D96"/>
    <w:rsid w:val="00AF7F74"/>
    <w:rsid w:val="00B00CA0"/>
    <w:rsid w:val="00B02A06"/>
    <w:rsid w:val="00B03D6B"/>
    <w:rsid w:val="00B042A3"/>
    <w:rsid w:val="00B10964"/>
    <w:rsid w:val="00B10BAB"/>
    <w:rsid w:val="00B11219"/>
    <w:rsid w:val="00B1726E"/>
    <w:rsid w:val="00B17A8F"/>
    <w:rsid w:val="00B328FE"/>
    <w:rsid w:val="00B408ED"/>
    <w:rsid w:val="00B40D5F"/>
    <w:rsid w:val="00B4459D"/>
    <w:rsid w:val="00B632CF"/>
    <w:rsid w:val="00B65A98"/>
    <w:rsid w:val="00B65DAE"/>
    <w:rsid w:val="00B77E9D"/>
    <w:rsid w:val="00B81038"/>
    <w:rsid w:val="00B85560"/>
    <w:rsid w:val="00B86ABE"/>
    <w:rsid w:val="00B90DD4"/>
    <w:rsid w:val="00B97C82"/>
    <w:rsid w:val="00BA6D11"/>
    <w:rsid w:val="00BB182D"/>
    <w:rsid w:val="00BC2906"/>
    <w:rsid w:val="00BF5D08"/>
    <w:rsid w:val="00C01082"/>
    <w:rsid w:val="00C01346"/>
    <w:rsid w:val="00C10648"/>
    <w:rsid w:val="00C14B76"/>
    <w:rsid w:val="00C15692"/>
    <w:rsid w:val="00C2515F"/>
    <w:rsid w:val="00C26263"/>
    <w:rsid w:val="00C26AF3"/>
    <w:rsid w:val="00C30853"/>
    <w:rsid w:val="00C32349"/>
    <w:rsid w:val="00C51016"/>
    <w:rsid w:val="00C61257"/>
    <w:rsid w:val="00C61618"/>
    <w:rsid w:val="00C61F9B"/>
    <w:rsid w:val="00C70C40"/>
    <w:rsid w:val="00C80B08"/>
    <w:rsid w:val="00C859E6"/>
    <w:rsid w:val="00C86FFD"/>
    <w:rsid w:val="00C920D9"/>
    <w:rsid w:val="00CA11A1"/>
    <w:rsid w:val="00CA3194"/>
    <w:rsid w:val="00CA66F5"/>
    <w:rsid w:val="00CB03B8"/>
    <w:rsid w:val="00CB3DEA"/>
    <w:rsid w:val="00CB41A9"/>
    <w:rsid w:val="00CB54DF"/>
    <w:rsid w:val="00CC1193"/>
    <w:rsid w:val="00CC6471"/>
    <w:rsid w:val="00CD4DB1"/>
    <w:rsid w:val="00CE426D"/>
    <w:rsid w:val="00CE4841"/>
    <w:rsid w:val="00CF48F2"/>
    <w:rsid w:val="00D12416"/>
    <w:rsid w:val="00D136AB"/>
    <w:rsid w:val="00D166A2"/>
    <w:rsid w:val="00D16B0D"/>
    <w:rsid w:val="00D20245"/>
    <w:rsid w:val="00D20AE9"/>
    <w:rsid w:val="00D253CA"/>
    <w:rsid w:val="00D26DD5"/>
    <w:rsid w:val="00D31AEE"/>
    <w:rsid w:val="00D32C06"/>
    <w:rsid w:val="00D33AA3"/>
    <w:rsid w:val="00D33E64"/>
    <w:rsid w:val="00D4529E"/>
    <w:rsid w:val="00D4557C"/>
    <w:rsid w:val="00D45E59"/>
    <w:rsid w:val="00D45FED"/>
    <w:rsid w:val="00D46526"/>
    <w:rsid w:val="00D470FE"/>
    <w:rsid w:val="00D47533"/>
    <w:rsid w:val="00D57044"/>
    <w:rsid w:val="00D57AD2"/>
    <w:rsid w:val="00D61A79"/>
    <w:rsid w:val="00D63D90"/>
    <w:rsid w:val="00D749E1"/>
    <w:rsid w:val="00D75E05"/>
    <w:rsid w:val="00D86440"/>
    <w:rsid w:val="00D86EEF"/>
    <w:rsid w:val="00D87463"/>
    <w:rsid w:val="00D875CB"/>
    <w:rsid w:val="00D90F83"/>
    <w:rsid w:val="00D94DD0"/>
    <w:rsid w:val="00D964EF"/>
    <w:rsid w:val="00DA10FE"/>
    <w:rsid w:val="00DA4DE1"/>
    <w:rsid w:val="00DA7CDD"/>
    <w:rsid w:val="00DB04B3"/>
    <w:rsid w:val="00DB356C"/>
    <w:rsid w:val="00DB7431"/>
    <w:rsid w:val="00DD2A25"/>
    <w:rsid w:val="00DD2F99"/>
    <w:rsid w:val="00DD6544"/>
    <w:rsid w:val="00DF0271"/>
    <w:rsid w:val="00DF36F8"/>
    <w:rsid w:val="00E05C68"/>
    <w:rsid w:val="00E169DC"/>
    <w:rsid w:val="00E22B08"/>
    <w:rsid w:val="00E27366"/>
    <w:rsid w:val="00E4072B"/>
    <w:rsid w:val="00E43E58"/>
    <w:rsid w:val="00E460A1"/>
    <w:rsid w:val="00E475F4"/>
    <w:rsid w:val="00E477A3"/>
    <w:rsid w:val="00E56C28"/>
    <w:rsid w:val="00E5748A"/>
    <w:rsid w:val="00E66125"/>
    <w:rsid w:val="00E70765"/>
    <w:rsid w:val="00E74AA7"/>
    <w:rsid w:val="00E7541C"/>
    <w:rsid w:val="00E755B4"/>
    <w:rsid w:val="00E848CA"/>
    <w:rsid w:val="00E84C8E"/>
    <w:rsid w:val="00E85E4B"/>
    <w:rsid w:val="00E86E34"/>
    <w:rsid w:val="00E86EF1"/>
    <w:rsid w:val="00E90767"/>
    <w:rsid w:val="00E91C67"/>
    <w:rsid w:val="00EA123F"/>
    <w:rsid w:val="00EA27D3"/>
    <w:rsid w:val="00EA4643"/>
    <w:rsid w:val="00EB6D02"/>
    <w:rsid w:val="00EC29E5"/>
    <w:rsid w:val="00ED0A3A"/>
    <w:rsid w:val="00EE03D0"/>
    <w:rsid w:val="00EE1C45"/>
    <w:rsid w:val="00EE346C"/>
    <w:rsid w:val="00EE43C6"/>
    <w:rsid w:val="00F1144E"/>
    <w:rsid w:val="00F3029D"/>
    <w:rsid w:val="00F4643F"/>
    <w:rsid w:val="00F507DC"/>
    <w:rsid w:val="00F5380E"/>
    <w:rsid w:val="00F54D87"/>
    <w:rsid w:val="00F60D18"/>
    <w:rsid w:val="00F635B8"/>
    <w:rsid w:val="00F648BF"/>
    <w:rsid w:val="00F64A17"/>
    <w:rsid w:val="00F66510"/>
    <w:rsid w:val="00F70AAB"/>
    <w:rsid w:val="00F739E6"/>
    <w:rsid w:val="00F77625"/>
    <w:rsid w:val="00F81651"/>
    <w:rsid w:val="00F847FB"/>
    <w:rsid w:val="00F87977"/>
    <w:rsid w:val="00F925C9"/>
    <w:rsid w:val="00FA24C3"/>
    <w:rsid w:val="00FA6DD4"/>
    <w:rsid w:val="00FC14C8"/>
    <w:rsid w:val="00FC1E03"/>
    <w:rsid w:val="00FD0E5C"/>
    <w:rsid w:val="00FD2963"/>
    <w:rsid w:val="00FD490D"/>
    <w:rsid w:val="00FE53B1"/>
    <w:rsid w:val="00FE5597"/>
    <w:rsid w:val="00FE586A"/>
    <w:rsid w:val="00FF17F8"/>
    <w:rsid w:val="00FF3A09"/>
    <w:rsid w:val="00FF3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6D6D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F23"/>
    <w:pPr>
      <w:spacing w:after="240" w:line="280" w:lineRule="exact"/>
      <w:jc w:val="both"/>
    </w:pPr>
    <w:rPr>
      <w:rFonts w:ascii="Book Antiqua" w:hAnsi="Book Antiqua"/>
      <w:color w:val="000000"/>
    </w:rPr>
  </w:style>
  <w:style w:type="paragraph" w:styleId="Heading1">
    <w:name w:val="heading 1"/>
    <w:basedOn w:val="HeadingBase"/>
    <w:next w:val="Normal"/>
    <w:qFormat/>
    <w:rsid w:val="00D47533"/>
    <w:pPr>
      <w:spacing w:before="2000" w:after="240"/>
      <w:outlineLvl w:val="0"/>
    </w:pPr>
    <w:rPr>
      <w:rFonts w:ascii="Arial Bold" w:hAnsi="Arial Bold" w:cs="Arial"/>
      <w:b/>
      <w:bCs/>
      <w:kern w:val="32"/>
      <w:sz w:val="40"/>
      <w:szCs w:val="40"/>
    </w:rPr>
  </w:style>
  <w:style w:type="paragraph" w:styleId="Heading2">
    <w:name w:val="heading 2"/>
    <w:basedOn w:val="HeadingBase"/>
    <w:next w:val="Normal"/>
    <w:qFormat/>
    <w:rsid w:val="00D47533"/>
    <w:pPr>
      <w:spacing w:before="240" w:after="120"/>
      <w:outlineLvl w:val="1"/>
    </w:pPr>
    <w:rPr>
      <w:rFonts w:cs="Arial"/>
      <w:bCs/>
      <w:iCs/>
      <w:sz w:val="28"/>
      <w:szCs w:val="28"/>
    </w:rPr>
  </w:style>
  <w:style w:type="paragraph" w:styleId="Heading3">
    <w:name w:val="heading 3"/>
    <w:basedOn w:val="HeadingBase"/>
    <w:next w:val="Normal"/>
    <w:qFormat/>
    <w:rsid w:val="00D47533"/>
    <w:pPr>
      <w:spacing w:before="120" w:after="120"/>
      <w:outlineLvl w:val="2"/>
    </w:pPr>
    <w:rPr>
      <w:rFonts w:cs="Arial"/>
      <w:bCs/>
      <w:sz w:val="24"/>
      <w:szCs w:val="24"/>
    </w:rPr>
  </w:style>
  <w:style w:type="paragraph" w:styleId="Heading4">
    <w:name w:val="heading 4"/>
    <w:basedOn w:val="HeadingBase"/>
    <w:next w:val="Normal"/>
    <w:qFormat/>
    <w:rsid w:val="00D47533"/>
    <w:pPr>
      <w:spacing w:before="60" w:after="120"/>
      <w:outlineLvl w:val="3"/>
    </w:pPr>
    <w:rPr>
      <w:bCs/>
    </w:rPr>
  </w:style>
  <w:style w:type="paragraph" w:styleId="Heading5">
    <w:name w:val="heading 5"/>
    <w:basedOn w:val="HeadingBase"/>
    <w:next w:val="Normal"/>
    <w:qFormat/>
    <w:rsid w:val="00D47533"/>
    <w:pPr>
      <w:spacing w:after="120"/>
      <w:outlineLvl w:val="4"/>
    </w:pPr>
    <w:rPr>
      <w:bCs/>
      <w:i/>
      <w:iCs/>
    </w:rPr>
  </w:style>
  <w:style w:type="paragraph" w:styleId="Heading6">
    <w:name w:val="heading 6"/>
    <w:basedOn w:val="HeadingBase"/>
    <w:next w:val="Normal"/>
    <w:qFormat/>
    <w:rsid w:val="00D47533"/>
    <w:pPr>
      <w:spacing w:after="120"/>
      <w:outlineLvl w:val="5"/>
    </w:pPr>
    <w:rPr>
      <w:bCs/>
      <w:szCs w:val="22"/>
    </w:rPr>
  </w:style>
  <w:style w:type="paragraph" w:styleId="Heading7">
    <w:name w:val="heading 7"/>
    <w:basedOn w:val="HeadingBase"/>
    <w:next w:val="Normal"/>
    <w:qFormat/>
    <w:rsid w:val="00D47533"/>
    <w:pPr>
      <w:spacing w:after="120"/>
      <w:outlineLvl w:val="6"/>
    </w:pPr>
    <w:rPr>
      <w:szCs w:val="24"/>
    </w:rPr>
  </w:style>
  <w:style w:type="paragraph" w:styleId="Heading8">
    <w:name w:val="heading 8"/>
    <w:basedOn w:val="HeadingBase"/>
    <w:next w:val="Normal"/>
    <w:qFormat/>
    <w:rsid w:val="00D47533"/>
    <w:pPr>
      <w:spacing w:after="120"/>
      <w:outlineLvl w:val="7"/>
    </w:pPr>
    <w:rPr>
      <w:iCs/>
      <w:szCs w:val="24"/>
    </w:rPr>
  </w:style>
  <w:style w:type="paragraph" w:styleId="Heading9">
    <w:name w:val="heading 9"/>
    <w:basedOn w:val="HeadingBase"/>
    <w:next w:val="Normal"/>
    <w:qFormat/>
    <w:rsid w:val="00D4753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D47533"/>
    <w:pPr>
      <w:spacing w:after="0"/>
    </w:pPr>
  </w:style>
  <w:style w:type="character" w:styleId="Hyperlink">
    <w:name w:val="Hyperlink"/>
    <w:basedOn w:val="DefaultParagraphFont"/>
    <w:rsid w:val="00D47533"/>
    <w:rPr>
      <w:color w:val="auto"/>
      <w:u w:val="none"/>
    </w:rPr>
  </w:style>
  <w:style w:type="character" w:styleId="FootnoteReference">
    <w:name w:val="footnote reference"/>
    <w:basedOn w:val="DefaultParagraphFont"/>
    <w:rsid w:val="00D47533"/>
    <w:rPr>
      <w:vertAlign w:val="superscript"/>
    </w:rPr>
  </w:style>
  <w:style w:type="character" w:styleId="FollowedHyperlink">
    <w:name w:val="FollowedHyperlink"/>
    <w:basedOn w:val="DefaultParagraphFont"/>
    <w:rsid w:val="00D47533"/>
    <w:rPr>
      <w:color w:val="auto"/>
      <w:u w:val="none"/>
    </w:rPr>
  </w:style>
  <w:style w:type="character" w:styleId="PageNumber">
    <w:name w:val="page number"/>
    <w:basedOn w:val="DefaultParagraphFont"/>
    <w:rsid w:val="00D47533"/>
  </w:style>
  <w:style w:type="paragraph" w:styleId="FootnoteText">
    <w:name w:val="footnote text"/>
    <w:basedOn w:val="Normal"/>
    <w:link w:val="FootnoteTextChar"/>
    <w:rsid w:val="00D47533"/>
    <w:pPr>
      <w:tabs>
        <w:tab w:val="left" w:pos="284"/>
      </w:tabs>
      <w:spacing w:after="0" w:line="240" w:lineRule="auto"/>
      <w:ind w:left="284" w:hanging="284"/>
    </w:pPr>
    <w:rPr>
      <w:sz w:val="18"/>
    </w:rPr>
  </w:style>
  <w:style w:type="paragraph" w:customStyle="1" w:styleId="Bullet">
    <w:name w:val="Bullet"/>
    <w:basedOn w:val="Normal"/>
    <w:link w:val="BulletChar"/>
    <w:rsid w:val="00D47533"/>
    <w:pPr>
      <w:numPr>
        <w:numId w:val="1"/>
      </w:numPr>
    </w:pPr>
  </w:style>
  <w:style w:type="paragraph" w:customStyle="1" w:styleId="Dash">
    <w:name w:val="Dash"/>
    <w:basedOn w:val="Normal"/>
    <w:link w:val="DashChar"/>
    <w:rsid w:val="00D47533"/>
    <w:pPr>
      <w:numPr>
        <w:ilvl w:val="1"/>
        <w:numId w:val="1"/>
      </w:numPr>
    </w:pPr>
  </w:style>
  <w:style w:type="paragraph" w:customStyle="1" w:styleId="DoubleDot">
    <w:name w:val="Double Dot"/>
    <w:basedOn w:val="Normal"/>
    <w:link w:val="DoubleDotChar"/>
    <w:rsid w:val="00D47533"/>
    <w:pPr>
      <w:numPr>
        <w:ilvl w:val="2"/>
        <w:numId w:val="1"/>
      </w:numPr>
    </w:pPr>
  </w:style>
  <w:style w:type="paragraph" w:customStyle="1" w:styleId="OutlineNumbered1">
    <w:name w:val="Outline Numbered 1"/>
    <w:basedOn w:val="Normal"/>
    <w:rsid w:val="00D47533"/>
    <w:pPr>
      <w:numPr>
        <w:numId w:val="2"/>
      </w:numPr>
    </w:pPr>
  </w:style>
  <w:style w:type="paragraph" w:customStyle="1" w:styleId="OutlineNumbered2">
    <w:name w:val="Outline Numbered 2"/>
    <w:basedOn w:val="Normal"/>
    <w:rsid w:val="00D47533"/>
    <w:pPr>
      <w:numPr>
        <w:ilvl w:val="1"/>
        <w:numId w:val="2"/>
      </w:numPr>
    </w:pPr>
  </w:style>
  <w:style w:type="paragraph" w:customStyle="1" w:styleId="OutlineNumbered3">
    <w:name w:val="Outline Numbered 3"/>
    <w:basedOn w:val="Normal"/>
    <w:rsid w:val="00D47533"/>
    <w:pPr>
      <w:numPr>
        <w:ilvl w:val="2"/>
        <w:numId w:val="2"/>
      </w:numPr>
    </w:pPr>
  </w:style>
  <w:style w:type="paragraph" w:customStyle="1" w:styleId="AlphaParagraph">
    <w:name w:val="Alpha Paragraph"/>
    <w:basedOn w:val="Normal"/>
    <w:rsid w:val="00D47533"/>
    <w:pPr>
      <w:numPr>
        <w:numId w:val="3"/>
      </w:numPr>
      <w:tabs>
        <w:tab w:val="clear" w:pos="567"/>
        <w:tab w:val="num" w:pos="283"/>
      </w:tabs>
      <w:ind w:left="283" w:hanging="283"/>
    </w:pPr>
  </w:style>
  <w:style w:type="paragraph" w:customStyle="1" w:styleId="HeadingBase">
    <w:name w:val="Heading Base"/>
    <w:next w:val="Normal"/>
    <w:rsid w:val="00C01082"/>
    <w:pPr>
      <w:keepNext/>
    </w:pPr>
    <w:rPr>
      <w:rFonts w:ascii="Arial" w:hAnsi="Arial"/>
      <w:color w:val="365F91"/>
    </w:rPr>
  </w:style>
  <w:style w:type="paragraph" w:customStyle="1" w:styleId="AppendixHeading">
    <w:name w:val="Appendix Heading"/>
    <w:basedOn w:val="HeadingBase"/>
    <w:next w:val="Normal"/>
    <w:rsid w:val="00D47533"/>
    <w:pPr>
      <w:spacing w:before="720" w:after="360"/>
    </w:pPr>
    <w:rPr>
      <w:rFonts w:ascii="Arial Bold" w:hAnsi="Arial Bold"/>
      <w:b/>
      <w:smallCaps/>
      <w:sz w:val="36"/>
      <w:szCs w:val="36"/>
    </w:rPr>
  </w:style>
  <w:style w:type="character" w:customStyle="1" w:styleId="Bold">
    <w:name w:val="Bold"/>
    <w:basedOn w:val="DefaultParagraphFont"/>
    <w:rsid w:val="00D47533"/>
    <w:rPr>
      <w:b/>
    </w:rPr>
  </w:style>
  <w:style w:type="paragraph" w:customStyle="1" w:styleId="BoxHeading">
    <w:name w:val="Box Heading"/>
    <w:basedOn w:val="HeadingBase"/>
    <w:next w:val="BoxText"/>
    <w:rsid w:val="00D47533"/>
    <w:pPr>
      <w:spacing w:before="120" w:after="120"/>
    </w:pPr>
    <w:rPr>
      <w:b/>
      <w:sz w:val="22"/>
    </w:rPr>
  </w:style>
  <w:style w:type="paragraph" w:customStyle="1" w:styleId="BoxTextBase">
    <w:name w:val="Box Text Base"/>
    <w:basedOn w:val="Normal"/>
    <w:rsid w:val="00D47533"/>
    <w:pPr>
      <w:spacing w:before="120" w:after="120" w:line="240" w:lineRule="auto"/>
    </w:pPr>
  </w:style>
  <w:style w:type="paragraph" w:customStyle="1" w:styleId="ChartandTableFootnoteAlpha">
    <w:name w:val="Chart and Table Footnote Alpha"/>
    <w:rsid w:val="00D47533"/>
    <w:pPr>
      <w:numPr>
        <w:numId w:val="4"/>
      </w:numPr>
      <w:jc w:val="both"/>
    </w:pPr>
    <w:rPr>
      <w:rFonts w:ascii="Arial" w:hAnsi="Arial"/>
      <w:color w:val="000000"/>
      <w:sz w:val="16"/>
      <w:szCs w:val="16"/>
    </w:rPr>
  </w:style>
  <w:style w:type="paragraph" w:customStyle="1" w:styleId="ChartGraphic">
    <w:name w:val="Chart Graphic"/>
    <w:basedOn w:val="HeadingBase"/>
    <w:rsid w:val="00D47533"/>
    <w:pPr>
      <w:jc w:val="center"/>
    </w:pPr>
  </w:style>
  <w:style w:type="paragraph" w:customStyle="1" w:styleId="ChartMainHeading">
    <w:name w:val="Chart Main Heading"/>
    <w:basedOn w:val="HeadingBase"/>
    <w:next w:val="ChartGraphic"/>
    <w:rsid w:val="00D47533"/>
    <w:pPr>
      <w:spacing w:after="20"/>
      <w:jc w:val="center"/>
    </w:pPr>
    <w:rPr>
      <w:rFonts w:ascii="Arial Bold" w:hAnsi="Arial Bold"/>
      <w:b/>
    </w:rPr>
  </w:style>
  <w:style w:type="paragraph" w:customStyle="1" w:styleId="ChartorTableNote">
    <w:name w:val="Chart or Table Note"/>
    <w:next w:val="Normal"/>
    <w:rsid w:val="00D47533"/>
    <w:pPr>
      <w:jc w:val="both"/>
    </w:pPr>
    <w:rPr>
      <w:rFonts w:ascii="Arial" w:hAnsi="Arial"/>
      <w:color w:val="000000"/>
      <w:sz w:val="16"/>
    </w:rPr>
  </w:style>
  <w:style w:type="paragraph" w:customStyle="1" w:styleId="ChartSecondHeading">
    <w:name w:val="Chart Second Heading"/>
    <w:basedOn w:val="HeadingBase"/>
    <w:next w:val="ChartGraphic"/>
    <w:rsid w:val="00D47533"/>
    <w:pPr>
      <w:spacing w:after="20"/>
      <w:jc w:val="center"/>
    </w:pPr>
  </w:style>
  <w:style w:type="paragraph" w:customStyle="1" w:styleId="Classification">
    <w:name w:val="Classification"/>
    <w:basedOn w:val="HeadingBase"/>
    <w:next w:val="Footer"/>
    <w:rsid w:val="00D47533"/>
    <w:pPr>
      <w:spacing w:after="120"/>
      <w:jc w:val="center"/>
    </w:pPr>
    <w:rPr>
      <w:b/>
      <w:smallCaps/>
    </w:rPr>
  </w:style>
  <w:style w:type="paragraph" w:styleId="Footer">
    <w:name w:val="footer"/>
    <w:basedOn w:val="HeadingBase"/>
    <w:link w:val="FooterChar"/>
    <w:rsid w:val="00D47533"/>
    <w:rPr>
      <w:sz w:val="18"/>
    </w:rPr>
  </w:style>
  <w:style w:type="paragraph" w:customStyle="1" w:styleId="ContentsHeading">
    <w:name w:val="Contents Heading"/>
    <w:basedOn w:val="HeadingBase"/>
    <w:next w:val="Normal"/>
    <w:rsid w:val="00D47533"/>
    <w:pPr>
      <w:spacing w:after="360"/>
    </w:pPr>
    <w:rPr>
      <w:smallCaps/>
      <w:sz w:val="36"/>
      <w:szCs w:val="36"/>
    </w:rPr>
  </w:style>
  <w:style w:type="paragraph" w:customStyle="1" w:styleId="CoverTitleMain">
    <w:name w:val="Cover Title Main"/>
    <w:basedOn w:val="HeadingBase"/>
    <w:next w:val="Normal"/>
    <w:rsid w:val="00D47533"/>
    <w:pPr>
      <w:spacing w:after="480"/>
      <w:jc w:val="center"/>
    </w:pPr>
    <w:rPr>
      <w:b/>
      <w:sz w:val="48"/>
    </w:rPr>
  </w:style>
  <w:style w:type="paragraph" w:customStyle="1" w:styleId="CoverTitleSub">
    <w:name w:val="Cover Title Sub"/>
    <w:basedOn w:val="HeadingBase"/>
    <w:rsid w:val="00D47533"/>
    <w:pPr>
      <w:spacing w:after="360"/>
      <w:jc w:val="center"/>
    </w:pPr>
    <w:rPr>
      <w:sz w:val="36"/>
    </w:rPr>
  </w:style>
  <w:style w:type="paragraph" w:customStyle="1" w:styleId="FooterCentered">
    <w:name w:val="Footer Centered"/>
    <w:basedOn w:val="Footer"/>
    <w:rsid w:val="00D47533"/>
    <w:pPr>
      <w:jc w:val="center"/>
    </w:pPr>
  </w:style>
  <w:style w:type="paragraph" w:customStyle="1" w:styleId="FooterEven">
    <w:name w:val="Footer Even"/>
    <w:basedOn w:val="Footer"/>
    <w:rsid w:val="00D47533"/>
  </w:style>
  <w:style w:type="paragraph" w:customStyle="1" w:styleId="FooterOdd">
    <w:name w:val="Footer Odd"/>
    <w:basedOn w:val="Footer"/>
    <w:rsid w:val="00D47533"/>
    <w:pPr>
      <w:jc w:val="right"/>
    </w:pPr>
  </w:style>
  <w:style w:type="character" w:customStyle="1" w:styleId="FramedFooter">
    <w:name w:val="Framed Footer"/>
    <w:rsid w:val="00D47533"/>
    <w:rPr>
      <w:rFonts w:ascii="Arial" w:hAnsi="Arial"/>
      <w:sz w:val="18"/>
    </w:rPr>
  </w:style>
  <w:style w:type="character" w:customStyle="1" w:styleId="FramedHeader">
    <w:name w:val="Framed Header"/>
    <w:basedOn w:val="DefaultParagraphFont"/>
    <w:rsid w:val="00D47533"/>
    <w:rPr>
      <w:rFonts w:ascii="Arial" w:hAnsi="Arial"/>
      <w:dstrike w:val="0"/>
      <w:color w:val="auto"/>
      <w:sz w:val="18"/>
      <w:vertAlign w:val="baseline"/>
    </w:rPr>
  </w:style>
  <w:style w:type="paragraph" w:styleId="Header">
    <w:name w:val="header"/>
    <w:basedOn w:val="HeadingBase"/>
    <w:rsid w:val="00D47533"/>
    <w:rPr>
      <w:sz w:val="18"/>
    </w:rPr>
  </w:style>
  <w:style w:type="paragraph" w:customStyle="1" w:styleId="HeaderEven">
    <w:name w:val="Header Even"/>
    <w:basedOn w:val="Header"/>
    <w:rsid w:val="00D47533"/>
  </w:style>
  <w:style w:type="paragraph" w:customStyle="1" w:styleId="HeaderOdd">
    <w:name w:val="Header Odd"/>
    <w:basedOn w:val="Header"/>
    <w:rsid w:val="00D47533"/>
    <w:pPr>
      <w:jc w:val="right"/>
    </w:pPr>
  </w:style>
  <w:style w:type="paragraph" w:styleId="NormalIndent">
    <w:name w:val="Normal Indent"/>
    <w:basedOn w:val="Normal"/>
    <w:rsid w:val="00D47533"/>
    <w:pPr>
      <w:ind w:left="567"/>
    </w:pPr>
  </w:style>
  <w:style w:type="paragraph" w:customStyle="1" w:styleId="RecommendationHeading">
    <w:name w:val="Recommendation Heading"/>
    <w:basedOn w:val="HeadingBase"/>
    <w:next w:val="RecommendationText"/>
    <w:rsid w:val="00D47533"/>
    <w:pPr>
      <w:spacing w:after="240"/>
    </w:pPr>
    <w:rPr>
      <w:b/>
      <w:sz w:val="22"/>
    </w:rPr>
  </w:style>
  <w:style w:type="paragraph" w:customStyle="1" w:styleId="RecommendationBaseText">
    <w:name w:val="Recommendation Base Text"/>
    <w:basedOn w:val="Normal"/>
    <w:rsid w:val="00D47533"/>
  </w:style>
  <w:style w:type="paragraph" w:customStyle="1" w:styleId="RecommendationText">
    <w:name w:val="Recommendation Text"/>
    <w:basedOn w:val="RecommendationBaseText"/>
    <w:rsid w:val="00D47533"/>
  </w:style>
  <w:style w:type="paragraph" w:customStyle="1" w:styleId="TableTextBase">
    <w:name w:val="Table Text Base"/>
    <w:rsid w:val="00D47533"/>
    <w:pPr>
      <w:spacing w:before="40" w:after="40"/>
    </w:pPr>
    <w:rPr>
      <w:rFonts w:ascii="Arial" w:hAnsi="Arial"/>
      <w:color w:val="000000"/>
      <w:sz w:val="16"/>
    </w:rPr>
  </w:style>
  <w:style w:type="paragraph" w:customStyle="1" w:styleId="TableColumnHeadingCentred">
    <w:name w:val="Table Column Heading Centred"/>
    <w:basedOn w:val="TableTextBase"/>
    <w:rsid w:val="00D47533"/>
    <w:pPr>
      <w:jc w:val="center"/>
    </w:pPr>
    <w:rPr>
      <w:b/>
    </w:rPr>
  </w:style>
  <w:style w:type="paragraph" w:customStyle="1" w:styleId="TableColumnHeadingLeft">
    <w:name w:val="Table Column Heading Left"/>
    <w:basedOn w:val="TableTextBase"/>
    <w:rsid w:val="00D47533"/>
    <w:rPr>
      <w:b/>
    </w:rPr>
  </w:style>
  <w:style w:type="paragraph" w:customStyle="1" w:styleId="TableColumnHeadingRight">
    <w:name w:val="Table Column Heading Right"/>
    <w:basedOn w:val="TableTextBase"/>
    <w:rsid w:val="00D47533"/>
    <w:pPr>
      <w:jc w:val="right"/>
    </w:pPr>
    <w:rPr>
      <w:b/>
    </w:rPr>
  </w:style>
  <w:style w:type="paragraph" w:customStyle="1" w:styleId="TableGraphic">
    <w:name w:val="Table Graphic"/>
    <w:basedOn w:val="HeadingBase"/>
    <w:next w:val="Normal"/>
    <w:rsid w:val="00D47533"/>
    <w:pPr>
      <w:spacing w:after="20"/>
      <w:ind w:right="-113"/>
    </w:pPr>
  </w:style>
  <w:style w:type="paragraph" w:customStyle="1" w:styleId="TableMainHeading">
    <w:name w:val="Table Main Heading"/>
    <w:basedOn w:val="HeadingBase"/>
    <w:next w:val="TableGraphic"/>
    <w:rsid w:val="00D47533"/>
    <w:pPr>
      <w:spacing w:after="20"/>
    </w:pPr>
    <w:rPr>
      <w:rFonts w:ascii="Arial Bold" w:hAnsi="Arial Bold"/>
      <w:b/>
    </w:rPr>
  </w:style>
  <w:style w:type="paragraph" w:customStyle="1" w:styleId="TableMainHeadingContd">
    <w:name w:val="Table Main Heading Contd"/>
    <w:basedOn w:val="HeadingBase"/>
    <w:next w:val="TableGraphic"/>
    <w:rsid w:val="00D47533"/>
    <w:pPr>
      <w:spacing w:after="20"/>
    </w:pPr>
    <w:rPr>
      <w:b/>
      <w:sz w:val="22"/>
    </w:rPr>
  </w:style>
  <w:style w:type="paragraph" w:customStyle="1" w:styleId="TableSecondHeading">
    <w:name w:val="Table Second Heading"/>
    <w:basedOn w:val="HeadingBase"/>
    <w:next w:val="TableGraphic"/>
    <w:rsid w:val="00D47533"/>
    <w:pPr>
      <w:spacing w:after="20"/>
    </w:pPr>
  </w:style>
  <w:style w:type="paragraph" w:customStyle="1" w:styleId="TableTextCentered">
    <w:name w:val="Table Text Centered"/>
    <w:basedOn w:val="TableTextBase"/>
    <w:rsid w:val="00D47533"/>
    <w:pPr>
      <w:jc w:val="center"/>
    </w:pPr>
  </w:style>
  <w:style w:type="paragraph" w:customStyle="1" w:styleId="TableTextIndented">
    <w:name w:val="Table Text Indented"/>
    <w:basedOn w:val="TableTextBase"/>
    <w:rsid w:val="00D47533"/>
    <w:pPr>
      <w:ind w:left="284"/>
    </w:pPr>
  </w:style>
  <w:style w:type="paragraph" w:customStyle="1" w:styleId="TableTextLeft">
    <w:name w:val="Table Text Left"/>
    <w:basedOn w:val="TableTextBase"/>
    <w:rsid w:val="00D47533"/>
  </w:style>
  <w:style w:type="paragraph" w:customStyle="1" w:styleId="TableTextRight">
    <w:name w:val="Table Text Right"/>
    <w:basedOn w:val="TableTextBase"/>
    <w:rsid w:val="00D47533"/>
    <w:pPr>
      <w:jc w:val="right"/>
    </w:pPr>
  </w:style>
  <w:style w:type="paragraph" w:styleId="TOC1">
    <w:name w:val="toc 1"/>
    <w:basedOn w:val="HeadingBase"/>
    <w:next w:val="Normal"/>
    <w:rsid w:val="00D47533"/>
    <w:pPr>
      <w:tabs>
        <w:tab w:val="right" w:pos="7700"/>
      </w:tabs>
      <w:spacing w:before="180"/>
      <w:ind w:right="851"/>
    </w:pPr>
    <w:rPr>
      <w:b/>
      <w:smallCaps/>
      <w:sz w:val="22"/>
      <w:szCs w:val="22"/>
    </w:rPr>
  </w:style>
  <w:style w:type="paragraph" w:styleId="TOC2">
    <w:name w:val="toc 2"/>
    <w:basedOn w:val="HeadingBase"/>
    <w:next w:val="Normal"/>
    <w:rsid w:val="00D47533"/>
    <w:pPr>
      <w:tabs>
        <w:tab w:val="right" w:pos="7700"/>
      </w:tabs>
      <w:spacing w:before="40" w:after="20"/>
      <w:ind w:right="851"/>
    </w:pPr>
  </w:style>
  <w:style w:type="paragraph" w:styleId="TOC3">
    <w:name w:val="toc 3"/>
    <w:basedOn w:val="Normal"/>
    <w:next w:val="Normal"/>
    <w:rsid w:val="00D47533"/>
    <w:pPr>
      <w:tabs>
        <w:tab w:val="right" w:pos="7700"/>
      </w:tabs>
      <w:spacing w:before="20" w:after="0" w:line="240" w:lineRule="auto"/>
      <w:ind w:left="284" w:right="851"/>
    </w:pPr>
  </w:style>
  <w:style w:type="paragraph" w:styleId="TOC4">
    <w:name w:val="toc 4"/>
    <w:basedOn w:val="Normal"/>
    <w:next w:val="Normal"/>
    <w:rsid w:val="00D47533"/>
    <w:pPr>
      <w:tabs>
        <w:tab w:val="right" w:pos="7700"/>
      </w:tabs>
      <w:spacing w:after="0" w:line="240" w:lineRule="auto"/>
      <w:ind w:left="284" w:right="851"/>
    </w:pPr>
  </w:style>
  <w:style w:type="character" w:customStyle="1" w:styleId="Italic">
    <w:name w:val="Italic"/>
    <w:basedOn w:val="DefaultParagraphFont"/>
    <w:rsid w:val="00D47533"/>
    <w:rPr>
      <w:i/>
    </w:rPr>
  </w:style>
  <w:style w:type="paragraph" w:customStyle="1" w:styleId="OneLevelNumberedParagraph">
    <w:name w:val="One Level Numbered Paragraph"/>
    <w:basedOn w:val="Normal"/>
    <w:rsid w:val="00D47533"/>
    <w:pPr>
      <w:numPr>
        <w:numId w:val="10"/>
      </w:numPr>
    </w:pPr>
  </w:style>
  <w:style w:type="paragraph" w:customStyle="1" w:styleId="BoxText">
    <w:name w:val="Box Text"/>
    <w:basedOn w:val="BoxTextBase"/>
    <w:rsid w:val="00D47533"/>
  </w:style>
  <w:style w:type="paragraph" w:customStyle="1" w:styleId="BoxBullet">
    <w:name w:val="Box Bullet"/>
    <w:basedOn w:val="BoxTextBase"/>
    <w:rsid w:val="00D47533"/>
    <w:pPr>
      <w:numPr>
        <w:numId w:val="9"/>
      </w:numPr>
    </w:pPr>
  </w:style>
  <w:style w:type="paragraph" w:customStyle="1" w:styleId="BoxDash">
    <w:name w:val="Box Dash"/>
    <w:basedOn w:val="Normal"/>
    <w:rsid w:val="00D47533"/>
    <w:pPr>
      <w:numPr>
        <w:ilvl w:val="1"/>
        <w:numId w:val="9"/>
      </w:numPr>
    </w:pPr>
  </w:style>
  <w:style w:type="paragraph" w:customStyle="1" w:styleId="BoxDoubleDot">
    <w:name w:val="Box Double Dot"/>
    <w:basedOn w:val="BoxTextBase"/>
    <w:rsid w:val="00D47533"/>
    <w:pPr>
      <w:numPr>
        <w:ilvl w:val="2"/>
        <w:numId w:val="9"/>
      </w:numPr>
    </w:pPr>
  </w:style>
  <w:style w:type="paragraph" w:customStyle="1" w:styleId="RecommendationBullet">
    <w:name w:val="Recommendation Bullet"/>
    <w:basedOn w:val="RecommendationBaseText"/>
    <w:rsid w:val="00D47533"/>
  </w:style>
  <w:style w:type="paragraph" w:customStyle="1" w:styleId="RecommendationDash">
    <w:name w:val="Recommendation Dash"/>
    <w:basedOn w:val="RecommendationBaseText"/>
    <w:rsid w:val="00D47533"/>
    <w:pPr>
      <w:numPr>
        <w:ilvl w:val="1"/>
        <w:numId w:val="23"/>
      </w:numPr>
    </w:pPr>
  </w:style>
  <w:style w:type="paragraph" w:customStyle="1" w:styleId="RecommendationDoubleDot">
    <w:name w:val="Recommendation Double Dot"/>
    <w:basedOn w:val="RecommendationBaseText"/>
    <w:rsid w:val="00D47533"/>
    <w:pPr>
      <w:numPr>
        <w:ilvl w:val="2"/>
        <w:numId w:val="23"/>
      </w:numPr>
    </w:pPr>
  </w:style>
  <w:style w:type="character" w:customStyle="1" w:styleId="Boldanditalic">
    <w:name w:val="Bold and italic"/>
    <w:basedOn w:val="DefaultParagraphFont"/>
    <w:rsid w:val="00D47533"/>
    <w:rPr>
      <w:b/>
      <w:i/>
    </w:rPr>
  </w:style>
  <w:style w:type="table" w:styleId="TableGrid">
    <w:name w:val="Table Grid"/>
    <w:basedOn w:val="TableNormal"/>
    <w:rsid w:val="00D47533"/>
    <w:pPr>
      <w:spacing w:after="240" w:line="260" w:lineRule="exact"/>
      <w:jc w:val="both"/>
    </w:pPr>
    <w:tblPr/>
    <w:tcPr>
      <w:shd w:val="clear" w:color="auto" w:fill="E6E6E6"/>
    </w:tcPr>
  </w:style>
  <w:style w:type="character" w:customStyle="1" w:styleId="Italics">
    <w:name w:val="Italics"/>
    <w:basedOn w:val="DefaultParagraphFont"/>
    <w:rsid w:val="00D47533"/>
    <w:rPr>
      <w:i/>
    </w:rPr>
  </w:style>
  <w:style w:type="paragraph" w:customStyle="1" w:styleId="Author">
    <w:name w:val="Author"/>
    <w:basedOn w:val="Normal"/>
    <w:next w:val="Summarytext"/>
    <w:rsid w:val="00D47533"/>
    <w:pPr>
      <w:spacing w:after="2000" w:line="240" w:lineRule="auto"/>
    </w:pPr>
    <w:rPr>
      <w:rFonts w:ascii="Arial" w:hAnsi="Arial"/>
    </w:rPr>
  </w:style>
  <w:style w:type="paragraph" w:customStyle="1" w:styleId="Summarytext">
    <w:name w:val="Summary text"/>
    <w:basedOn w:val="Author"/>
    <w:rsid w:val="00D47533"/>
    <w:pPr>
      <w:spacing w:after="240" w:line="280" w:lineRule="exact"/>
    </w:pPr>
    <w:rPr>
      <w:rFonts w:ascii="Arial Narrow" w:hAnsi="Arial Narrow"/>
      <w:sz w:val="22"/>
      <w:szCs w:val="22"/>
    </w:rPr>
  </w:style>
  <w:style w:type="paragraph" w:customStyle="1" w:styleId="TemplateInformationtext">
    <w:name w:val="Template Information text"/>
    <w:basedOn w:val="Normal"/>
    <w:next w:val="Normal"/>
    <w:link w:val="TemplateInformationtextChar"/>
    <w:rsid w:val="00D47533"/>
    <w:rPr>
      <w:rFonts w:ascii="Arial" w:hAnsi="Arial"/>
      <w:color w:val="0000FF"/>
    </w:rPr>
  </w:style>
  <w:style w:type="character" w:customStyle="1" w:styleId="TemplateInformationtextChar">
    <w:name w:val="Template Information text Char"/>
    <w:basedOn w:val="DefaultParagraphFont"/>
    <w:link w:val="TemplateInformationtext"/>
    <w:rsid w:val="00D47533"/>
    <w:rPr>
      <w:rFonts w:ascii="Arial" w:hAnsi="Arial"/>
      <w:color w:val="0000FF"/>
      <w:lang w:val="en-AU" w:eastAsia="en-AU" w:bidi="ar-SA"/>
    </w:rPr>
  </w:style>
  <w:style w:type="paragraph" w:customStyle="1" w:styleId="BoxSecondHeading">
    <w:name w:val="Box Second Heading"/>
    <w:basedOn w:val="HeadingBase"/>
    <w:next w:val="BoxText"/>
    <w:rsid w:val="006D7D2D"/>
  </w:style>
  <w:style w:type="paragraph" w:customStyle="1" w:styleId="SummaryBullet">
    <w:name w:val="Summary Bullet"/>
    <w:basedOn w:val="RecommendationBaseText"/>
    <w:rsid w:val="00B11219"/>
    <w:pPr>
      <w:numPr>
        <w:numId w:val="23"/>
      </w:numPr>
      <w:tabs>
        <w:tab w:val="clear" w:pos="644"/>
        <w:tab w:val="num" w:pos="283"/>
      </w:tabs>
      <w:spacing w:after="120"/>
      <w:ind w:left="283" w:firstLine="1"/>
    </w:pPr>
    <w:rPr>
      <w:rFonts w:ascii="Arial Narrow" w:hAnsi="Arial Narrow"/>
      <w:sz w:val="22"/>
      <w:szCs w:val="22"/>
    </w:rPr>
  </w:style>
  <w:style w:type="paragraph" w:styleId="BalloonText">
    <w:name w:val="Balloon Text"/>
    <w:basedOn w:val="Normal"/>
    <w:link w:val="BalloonTextChar"/>
    <w:uiPriority w:val="99"/>
    <w:semiHidden/>
    <w:unhideWhenUsed/>
    <w:rsid w:val="00C14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B76"/>
    <w:rPr>
      <w:rFonts w:ascii="Tahoma" w:hAnsi="Tahoma" w:cs="Tahoma"/>
      <w:color w:val="000000"/>
      <w:sz w:val="16"/>
      <w:szCs w:val="16"/>
    </w:rPr>
  </w:style>
  <w:style w:type="character" w:customStyle="1" w:styleId="FooterChar">
    <w:name w:val="Footer Char"/>
    <w:basedOn w:val="DefaultParagraphFont"/>
    <w:link w:val="Footer"/>
    <w:rsid w:val="00FF3A09"/>
    <w:rPr>
      <w:rFonts w:ascii="Arial" w:hAnsi="Arial"/>
      <w:color w:val="365F91"/>
      <w:sz w:val="18"/>
    </w:rPr>
  </w:style>
  <w:style w:type="character" w:customStyle="1" w:styleId="BulletChar">
    <w:name w:val="Bullet Char"/>
    <w:basedOn w:val="DefaultParagraphFont"/>
    <w:link w:val="Bullet"/>
    <w:rsid w:val="00BA6D11"/>
    <w:rPr>
      <w:rFonts w:ascii="Book Antiqua" w:hAnsi="Book Antiqua"/>
      <w:color w:val="000000"/>
    </w:rPr>
  </w:style>
  <w:style w:type="character" w:customStyle="1" w:styleId="DashChar">
    <w:name w:val="Dash Char"/>
    <w:basedOn w:val="DefaultParagraphFont"/>
    <w:link w:val="Dash"/>
    <w:rsid w:val="00BA6D11"/>
    <w:rPr>
      <w:rFonts w:ascii="Book Antiqua" w:hAnsi="Book Antiqua"/>
      <w:color w:val="000000"/>
    </w:rPr>
  </w:style>
  <w:style w:type="character" w:customStyle="1" w:styleId="DoubleDotChar">
    <w:name w:val="Double Dot Char"/>
    <w:basedOn w:val="DefaultParagraphFont"/>
    <w:link w:val="DoubleDot"/>
    <w:rsid w:val="00BA6D11"/>
    <w:rPr>
      <w:rFonts w:ascii="Book Antiqua" w:hAnsi="Book Antiqua"/>
      <w:color w:val="000000"/>
    </w:rPr>
  </w:style>
  <w:style w:type="paragraph" w:customStyle="1" w:styleId="Summary">
    <w:name w:val="Summary"/>
    <w:basedOn w:val="Normal"/>
    <w:next w:val="Normal"/>
    <w:rsid w:val="00FF3F45"/>
    <w:pPr>
      <w:numPr>
        <w:numId w:val="26"/>
      </w:numPr>
      <w:spacing w:after="200" w:line="240" w:lineRule="auto"/>
      <w:jc w:val="left"/>
    </w:pPr>
    <w:rPr>
      <w:rFonts w:ascii="Times New Roman" w:hAnsi="Times New Roman"/>
      <w:color w:val="auto"/>
      <w:sz w:val="24"/>
    </w:rPr>
  </w:style>
  <w:style w:type="character" w:styleId="CommentReference">
    <w:name w:val="annotation reference"/>
    <w:basedOn w:val="DefaultParagraphFont"/>
    <w:uiPriority w:val="99"/>
    <w:semiHidden/>
    <w:unhideWhenUsed/>
    <w:rsid w:val="00FF3F45"/>
    <w:rPr>
      <w:sz w:val="16"/>
      <w:szCs w:val="16"/>
    </w:rPr>
  </w:style>
  <w:style w:type="paragraph" w:styleId="CommentText">
    <w:name w:val="annotation text"/>
    <w:basedOn w:val="Normal"/>
    <w:link w:val="CommentTextChar"/>
    <w:uiPriority w:val="99"/>
    <w:semiHidden/>
    <w:unhideWhenUsed/>
    <w:rsid w:val="00FF3F45"/>
    <w:pPr>
      <w:spacing w:after="200" w:line="240" w:lineRule="auto"/>
      <w:jc w:val="left"/>
    </w:pPr>
    <w:rPr>
      <w:rFonts w:ascii="Times New Roman" w:hAnsi="Times New Roman"/>
      <w:color w:val="auto"/>
    </w:rPr>
  </w:style>
  <w:style w:type="character" w:customStyle="1" w:styleId="CommentTextChar">
    <w:name w:val="Comment Text Char"/>
    <w:basedOn w:val="DefaultParagraphFont"/>
    <w:link w:val="CommentText"/>
    <w:uiPriority w:val="99"/>
    <w:semiHidden/>
    <w:rsid w:val="00FF3F45"/>
  </w:style>
  <w:style w:type="paragraph" w:styleId="CommentSubject">
    <w:name w:val="annotation subject"/>
    <w:basedOn w:val="CommentText"/>
    <w:next w:val="CommentText"/>
    <w:link w:val="CommentSubjectChar"/>
    <w:uiPriority w:val="99"/>
    <w:semiHidden/>
    <w:unhideWhenUsed/>
    <w:rsid w:val="00F66510"/>
    <w:pPr>
      <w:spacing w:after="240"/>
      <w:jc w:val="both"/>
    </w:pPr>
    <w:rPr>
      <w:rFonts w:ascii="Book Antiqua" w:hAnsi="Book Antiqua"/>
      <w:b/>
      <w:bCs/>
      <w:color w:val="000000"/>
    </w:rPr>
  </w:style>
  <w:style w:type="character" w:customStyle="1" w:styleId="CommentSubjectChar">
    <w:name w:val="Comment Subject Char"/>
    <w:basedOn w:val="CommentTextChar"/>
    <w:link w:val="CommentSubject"/>
    <w:uiPriority w:val="99"/>
    <w:semiHidden/>
    <w:rsid w:val="00F66510"/>
    <w:rPr>
      <w:rFonts w:ascii="Book Antiqua" w:hAnsi="Book Antiqua"/>
      <w:b/>
      <w:bCs/>
      <w:color w:val="000000"/>
    </w:rPr>
  </w:style>
  <w:style w:type="table" w:customStyle="1" w:styleId="TableGrid1">
    <w:name w:val="Table Grid1"/>
    <w:basedOn w:val="TableNormal"/>
    <w:next w:val="TableGrid"/>
    <w:uiPriority w:val="59"/>
    <w:rsid w:val="00270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F36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0D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6656"/>
    <w:rPr>
      <w:rFonts w:ascii="Book Antiqua" w:hAnsi="Book Antiqua"/>
      <w:color w:val="000000"/>
    </w:rPr>
  </w:style>
  <w:style w:type="character" w:customStyle="1" w:styleId="FootnoteTextChar">
    <w:name w:val="Footnote Text Char"/>
    <w:basedOn w:val="DefaultParagraphFont"/>
    <w:link w:val="FootnoteText"/>
    <w:rsid w:val="002F1165"/>
    <w:rPr>
      <w:rFonts w:ascii="Book Antiqua" w:hAnsi="Book Antiqua"/>
      <w:color w:val="000000"/>
      <w:sz w:val="18"/>
    </w:rPr>
  </w:style>
  <w:style w:type="paragraph" w:styleId="NormalWeb">
    <w:name w:val="Normal (Web)"/>
    <w:basedOn w:val="Normal"/>
    <w:uiPriority w:val="99"/>
    <w:semiHidden/>
    <w:unhideWhenUsed/>
    <w:rsid w:val="00E86E34"/>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F23"/>
    <w:pPr>
      <w:spacing w:after="240" w:line="280" w:lineRule="exact"/>
      <w:jc w:val="both"/>
    </w:pPr>
    <w:rPr>
      <w:rFonts w:ascii="Book Antiqua" w:hAnsi="Book Antiqua"/>
      <w:color w:val="000000"/>
    </w:rPr>
  </w:style>
  <w:style w:type="paragraph" w:styleId="Heading1">
    <w:name w:val="heading 1"/>
    <w:basedOn w:val="HeadingBase"/>
    <w:next w:val="Normal"/>
    <w:qFormat/>
    <w:rsid w:val="00D47533"/>
    <w:pPr>
      <w:spacing w:before="2000" w:after="240"/>
      <w:outlineLvl w:val="0"/>
    </w:pPr>
    <w:rPr>
      <w:rFonts w:ascii="Arial Bold" w:hAnsi="Arial Bold" w:cs="Arial"/>
      <w:b/>
      <w:bCs/>
      <w:kern w:val="32"/>
      <w:sz w:val="40"/>
      <w:szCs w:val="40"/>
    </w:rPr>
  </w:style>
  <w:style w:type="paragraph" w:styleId="Heading2">
    <w:name w:val="heading 2"/>
    <w:basedOn w:val="HeadingBase"/>
    <w:next w:val="Normal"/>
    <w:qFormat/>
    <w:rsid w:val="00D47533"/>
    <w:pPr>
      <w:spacing w:before="240" w:after="120"/>
      <w:outlineLvl w:val="1"/>
    </w:pPr>
    <w:rPr>
      <w:rFonts w:cs="Arial"/>
      <w:bCs/>
      <w:iCs/>
      <w:sz w:val="28"/>
      <w:szCs w:val="28"/>
    </w:rPr>
  </w:style>
  <w:style w:type="paragraph" w:styleId="Heading3">
    <w:name w:val="heading 3"/>
    <w:basedOn w:val="HeadingBase"/>
    <w:next w:val="Normal"/>
    <w:qFormat/>
    <w:rsid w:val="00D47533"/>
    <w:pPr>
      <w:spacing w:before="120" w:after="120"/>
      <w:outlineLvl w:val="2"/>
    </w:pPr>
    <w:rPr>
      <w:rFonts w:cs="Arial"/>
      <w:bCs/>
      <w:sz w:val="24"/>
      <w:szCs w:val="24"/>
    </w:rPr>
  </w:style>
  <w:style w:type="paragraph" w:styleId="Heading4">
    <w:name w:val="heading 4"/>
    <w:basedOn w:val="HeadingBase"/>
    <w:next w:val="Normal"/>
    <w:qFormat/>
    <w:rsid w:val="00D47533"/>
    <w:pPr>
      <w:spacing w:before="60" w:after="120"/>
      <w:outlineLvl w:val="3"/>
    </w:pPr>
    <w:rPr>
      <w:bCs/>
    </w:rPr>
  </w:style>
  <w:style w:type="paragraph" w:styleId="Heading5">
    <w:name w:val="heading 5"/>
    <w:basedOn w:val="HeadingBase"/>
    <w:next w:val="Normal"/>
    <w:qFormat/>
    <w:rsid w:val="00D47533"/>
    <w:pPr>
      <w:spacing w:after="120"/>
      <w:outlineLvl w:val="4"/>
    </w:pPr>
    <w:rPr>
      <w:bCs/>
      <w:i/>
      <w:iCs/>
    </w:rPr>
  </w:style>
  <w:style w:type="paragraph" w:styleId="Heading6">
    <w:name w:val="heading 6"/>
    <w:basedOn w:val="HeadingBase"/>
    <w:next w:val="Normal"/>
    <w:qFormat/>
    <w:rsid w:val="00D47533"/>
    <w:pPr>
      <w:spacing w:after="120"/>
      <w:outlineLvl w:val="5"/>
    </w:pPr>
    <w:rPr>
      <w:bCs/>
      <w:szCs w:val="22"/>
    </w:rPr>
  </w:style>
  <w:style w:type="paragraph" w:styleId="Heading7">
    <w:name w:val="heading 7"/>
    <w:basedOn w:val="HeadingBase"/>
    <w:next w:val="Normal"/>
    <w:qFormat/>
    <w:rsid w:val="00D47533"/>
    <w:pPr>
      <w:spacing w:after="120"/>
      <w:outlineLvl w:val="6"/>
    </w:pPr>
    <w:rPr>
      <w:szCs w:val="24"/>
    </w:rPr>
  </w:style>
  <w:style w:type="paragraph" w:styleId="Heading8">
    <w:name w:val="heading 8"/>
    <w:basedOn w:val="HeadingBase"/>
    <w:next w:val="Normal"/>
    <w:qFormat/>
    <w:rsid w:val="00D47533"/>
    <w:pPr>
      <w:spacing w:after="120"/>
      <w:outlineLvl w:val="7"/>
    </w:pPr>
    <w:rPr>
      <w:iCs/>
      <w:szCs w:val="24"/>
    </w:rPr>
  </w:style>
  <w:style w:type="paragraph" w:styleId="Heading9">
    <w:name w:val="heading 9"/>
    <w:basedOn w:val="HeadingBase"/>
    <w:next w:val="Normal"/>
    <w:qFormat/>
    <w:rsid w:val="00D4753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D47533"/>
    <w:pPr>
      <w:spacing w:after="0"/>
    </w:pPr>
  </w:style>
  <w:style w:type="character" w:styleId="Hyperlink">
    <w:name w:val="Hyperlink"/>
    <w:basedOn w:val="DefaultParagraphFont"/>
    <w:rsid w:val="00D47533"/>
    <w:rPr>
      <w:color w:val="auto"/>
      <w:u w:val="none"/>
    </w:rPr>
  </w:style>
  <w:style w:type="character" w:styleId="FootnoteReference">
    <w:name w:val="footnote reference"/>
    <w:basedOn w:val="DefaultParagraphFont"/>
    <w:rsid w:val="00D47533"/>
    <w:rPr>
      <w:vertAlign w:val="superscript"/>
    </w:rPr>
  </w:style>
  <w:style w:type="character" w:styleId="FollowedHyperlink">
    <w:name w:val="FollowedHyperlink"/>
    <w:basedOn w:val="DefaultParagraphFont"/>
    <w:rsid w:val="00D47533"/>
    <w:rPr>
      <w:color w:val="auto"/>
      <w:u w:val="none"/>
    </w:rPr>
  </w:style>
  <w:style w:type="character" w:styleId="PageNumber">
    <w:name w:val="page number"/>
    <w:basedOn w:val="DefaultParagraphFont"/>
    <w:rsid w:val="00D47533"/>
  </w:style>
  <w:style w:type="paragraph" w:styleId="FootnoteText">
    <w:name w:val="footnote text"/>
    <w:basedOn w:val="Normal"/>
    <w:link w:val="FootnoteTextChar"/>
    <w:rsid w:val="00D47533"/>
    <w:pPr>
      <w:tabs>
        <w:tab w:val="left" w:pos="284"/>
      </w:tabs>
      <w:spacing w:after="0" w:line="240" w:lineRule="auto"/>
      <w:ind w:left="284" w:hanging="284"/>
    </w:pPr>
    <w:rPr>
      <w:sz w:val="18"/>
    </w:rPr>
  </w:style>
  <w:style w:type="paragraph" w:customStyle="1" w:styleId="Bullet">
    <w:name w:val="Bullet"/>
    <w:basedOn w:val="Normal"/>
    <w:link w:val="BulletChar"/>
    <w:rsid w:val="00D47533"/>
    <w:pPr>
      <w:numPr>
        <w:numId w:val="1"/>
      </w:numPr>
    </w:pPr>
  </w:style>
  <w:style w:type="paragraph" w:customStyle="1" w:styleId="Dash">
    <w:name w:val="Dash"/>
    <w:basedOn w:val="Normal"/>
    <w:link w:val="DashChar"/>
    <w:rsid w:val="00D47533"/>
    <w:pPr>
      <w:numPr>
        <w:ilvl w:val="1"/>
        <w:numId w:val="1"/>
      </w:numPr>
    </w:pPr>
  </w:style>
  <w:style w:type="paragraph" w:customStyle="1" w:styleId="DoubleDot">
    <w:name w:val="Double Dot"/>
    <w:basedOn w:val="Normal"/>
    <w:link w:val="DoubleDotChar"/>
    <w:rsid w:val="00D47533"/>
    <w:pPr>
      <w:numPr>
        <w:ilvl w:val="2"/>
        <w:numId w:val="1"/>
      </w:numPr>
    </w:pPr>
  </w:style>
  <w:style w:type="paragraph" w:customStyle="1" w:styleId="OutlineNumbered1">
    <w:name w:val="Outline Numbered 1"/>
    <w:basedOn w:val="Normal"/>
    <w:rsid w:val="00D47533"/>
    <w:pPr>
      <w:numPr>
        <w:numId w:val="2"/>
      </w:numPr>
    </w:pPr>
  </w:style>
  <w:style w:type="paragraph" w:customStyle="1" w:styleId="OutlineNumbered2">
    <w:name w:val="Outline Numbered 2"/>
    <w:basedOn w:val="Normal"/>
    <w:rsid w:val="00D47533"/>
    <w:pPr>
      <w:numPr>
        <w:ilvl w:val="1"/>
        <w:numId w:val="2"/>
      </w:numPr>
    </w:pPr>
  </w:style>
  <w:style w:type="paragraph" w:customStyle="1" w:styleId="OutlineNumbered3">
    <w:name w:val="Outline Numbered 3"/>
    <w:basedOn w:val="Normal"/>
    <w:rsid w:val="00D47533"/>
    <w:pPr>
      <w:numPr>
        <w:ilvl w:val="2"/>
        <w:numId w:val="2"/>
      </w:numPr>
    </w:pPr>
  </w:style>
  <w:style w:type="paragraph" w:customStyle="1" w:styleId="AlphaParagraph">
    <w:name w:val="Alpha Paragraph"/>
    <w:basedOn w:val="Normal"/>
    <w:rsid w:val="00D47533"/>
    <w:pPr>
      <w:numPr>
        <w:numId w:val="3"/>
      </w:numPr>
      <w:tabs>
        <w:tab w:val="clear" w:pos="567"/>
        <w:tab w:val="num" w:pos="283"/>
      </w:tabs>
      <w:ind w:left="283" w:hanging="283"/>
    </w:pPr>
  </w:style>
  <w:style w:type="paragraph" w:customStyle="1" w:styleId="HeadingBase">
    <w:name w:val="Heading Base"/>
    <w:next w:val="Normal"/>
    <w:rsid w:val="00C01082"/>
    <w:pPr>
      <w:keepNext/>
    </w:pPr>
    <w:rPr>
      <w:rFonts w:ascii="Arial" w:hAnsi="Arial"/>
      <w:color w:val="365F91"/>
    </w:rPr>
  </w:style>
  <w:style w:type="paragraph" w:customStyle="1" w:styleId="AppendixHeading">
    <w:name w:val="Appendix Heading"/>
    <w:basedOn w:val="HeadingBase"/>
    <w:next w:val="Normal"/>
    <w:rsid w:val="00D47533"/>
    <w:pPr>
      <w:spacing w:before="720" w:after="360"/>
    </w:pPr>
    <w:rPr>
      <w:rFonts w:ascii="Arial Bold" w:hAnsi="Arial Bold"/>
      <w:b/>
      <w:smallCaps/>
      <w:sz w:val="36"/>
      <w:szCs w:val="36"/>
    </w:rPr>
  </w:style>
  <w:style w:type="character" w:customStyle="1" w:styleId="Bold">
    <w:name w:val="Bold"/>
    <w:basedOn w:val="DefaultParagraphFont"/>
    <w:rsid w:val="00D47533"/>
    <w:rPr>
      <w:b/>
    </w:rPr>
  </w:style>
  <w:style w:type="paragraph" w:customStyle="1" w:styleId="BoxHeading">
    <w:name w:val="Box Heading"/>
    <w:basedOn w:val="HeadingBase"/>
    <w:next w:val="BoxText"/>
    <w:rsid w:val="00D47533"/>
    <w:pPr>
      <w:spacing w:before="120" w:after="120"/>
    </w:pPr>
    <w:rPr>
      <w:b/>
      <w:sz w:val="22"/>
    </w:rPr>
  </w:style>
  <w:style w:type="paragraph" w:customStyle="1" w:styleId="BoxTextBase">
    <w:name w:val="Box Text Base"/>
    <w:basedOn w:val="Normal"/>
    <w:rsid w:val="00D47533"/>
    <w:pPr>
      <w:spacing w:before="120" w:after="120" w:line="240" w:lineRule="auto"/>
    </w:pPr>
  </w:style>
  <w:style w:type="paragraph" w:customStyle="1" w:styleId="ChartandTableFootnoteAlpha">
    <w:name w:val="Chart and Table Footnote Alpha"/>
    <w:rsid w:val="00D47533"/>
    <w:pPr>
      <w:numPr>
        <w:numId w:val="4"/>
      </w:numPr>
      <w:jc w:val="both"/>
    </w:pPr>
    <w:rPr>
      <w:rFonts w:ascii="Arial" w:hAnsi="Arial"/>
      <w:color w:val="000000"/>
      <w:sz w:val="16"/>
      <w:szCs w:val="16"/>
    </w:rPr>
  </w:style>
  <w:style w:type="paragraph" w:customStyle="1" w:styleId="ChartGraphic">
    <w:name w:val="Chart Graphic"/>
    <w:basedOn w:val="HeadingBase"/>
    <w:rsid w:val="00D47533"/>
    <w:pPr>
      <w:jc w:val="center"/>
    </w:pPr>
  </w:style>
  <w:style w:type="paragraph" w:customStyle="1" w:styleId="ChartMainHeading">
    <w:name w:val="Chart Main Heading"/>
    <w:basedOn w:val="HeadingBase"/>
    <w:next w:val="ChartGraphic"/>
    <w:rsid w:val="00D47533"/>
    <w:pPr>
      <w:spacing w:after="20"/>
      <w:jc w:val="center"/>
    </w:pPr>
    <w:rPr>
      <w:rFonts w:ascii="Arial Bold" w:hAnsi="Arial Bold"/>
      <w:b/>
    </w:rPr>
  </w:style>
  <w:style w:type="paragraph" w:customStyle="1" w:styleId="ChartorTableNote">
    <w:name w:val="Chart or Table Note"/>
    <w:next w:val="Normal"/>
    <w:rsid w:val="00D47533"/>
    <w:pPr>
      <w:jc w:val="both"/>
    </w:pPr>
    <w:rPr>
      <w:rFonts w:ascii="Arial" w:hAnsi="Arial"/>
      <w:color w:val="000000"/>
      <w:sz w:val="16"/>
    </w:rPr>
  </w:style>
  <w:style w:type="paragraph" w:customStyle="1" w:styleId="ChartSecondHeading">
    <w:name w:val="Chart Second Heading"/>
    <w:basedOn w:val="HeadingBase"/>
    <w:next w:val="ChartGraphic"/>
    <w:rsid w:val="00D47533"/>
    <w:pPr>
      <w:spacing w:after="20"/>
      <w:jc w:val="center"/>
    </w:pPr>
  </w:style>
  <w:style w:type="paragraph" w:customStyle="1" w:styleId="Classification">
    <w:name w:val="Classification"/>
    <w:basedOn w:val="HeadingBase"/>
    <w:next w:val="Footer"/>
    <w:rsid w:val="00D47533"/>
    <w:pPr>
      <w:spacing w:after="120"/>
      <w:jc w:val="center"/>
    </w:pPr>
    <w:rPr>
      <w:b/>
      <w:smallCaps/>
    </w:rPr>
  </w:style>
  <w:style w:type="paragraph" w:styleId="Footer">
    <w:name w:val="footer"/>
    <w:basedOn w:val="HeadingBase"/>
    <w:link w:val="FooterChar"/>
    <w:rsid w:val="00D47533"/>
    <w:rPr>
      <w:sz w:val="18"/>
    </w:rPr>
  </w:style>
  <w:style w:type="paragraph" w:customStyle="1" w:styleId="ContentsHeading">
    <w:name w:val="Contents Heading"/>
    <w:basedOn w:val="HeadingBase"/>
    <w:next w:val="Normal"/>
    <w:rsid w:val="00D47533"/>
    <w:pPr>
      <w:spacing w:after="360"/>
    </w:pPr>
    <w:rPr>
      <w:smallCaps/>
      <w:sz w:val="36"/>
      <w:szCs w:val="36"/>
    </w:rPr>
  </w:style>
  <w:style w:type="paragraph" w:customStyle="1" w:styleId="CoverTitleMain">
    <w:name w:val="Cover Title Main"/>
    <w:basedOn w:val="HeadingBase"/>
    <w:next w:val="Normal"/>
    <w:rsid w:val="00D47533"/>
    <w:pPr>
      <w:spacing w:after="480"/>
      <w:jc w:val="center"/>
    </w:pPr>
    <w:rPr>
      <w:b/>
      <w:sz w:val="48"/>
    </w:rPr>
  </w:style>
  <w:style w:type="paragraph" w:customStyle="1" w:styleId="CoverTitleSub">
    <w:name w:val="Cover Title Sub"/>
    <w:basedOn w:val="HeadingBase"/>
    <w:rsid w:val="00D47533"/>
    <w:pPr>
      <w:spacing w:after="360"/>
      <w:jc w:val="center"/>
    </w:pPr>
    <w:rPr>
      <w:sz w:val="36"/>
    </w:rPr>
  </w:style>
  <w:style w:type="paragraph" w:customStyle="1" w:styleId="FooterCentered">
    <w:name w:val="Footer Centered"/>
    <w:basedOn w:val="Footer"/>
    <w:rsid w:val="00D47533"/>
    <w:pPr>
      <w:jc w:val="center"/>
    </w:pPr>
  </w:style>
  <w:style w:type="paragraph" w:customStyle="1" w:styleId="FooterEven">
    <w:name w:val="Footer Even"/>
    <w:basedOn w:val="Footer"/>
    <w:rsid w:val="00D47533"/>
  </w:style>
  <w:style w:type="paragraph" w:customStyle="1" w:styleId="FooterOdd">
    <w:name w:val="Footer Odd"/>
    <w:basedOn w:val="Footer"/>
    <w:rsid w:val="00D47533"/>
    <w:pPr>
      <w:jc w:val="right"/>
    </w:pPr>
  </w:style>
  <w:style w:type="character" w:customStyle="1" w:styleId="FramedFooter">
    <w:name w:val="Framed Footer"/>
    <w:rsid w:val="00D47533"/>
    <w:rPr>
      <w:rFonts w:ascii="Arial" w:hAnsi="Arial"/>
      <w:sz w:val="18"/>
    </w:rPr>
  </w:style>
  <w:style w:type="character" w:customStyle="1" w:styleId="FramedHeader">
    <w:name w:val="Framed Header"/>
    <w:basedOn w:val="DefaultParagraphFont"/>
    <w:rsid w:val="00D47533"/>
    <w:rPr>
      <w:rFonts w:ascii="Arial" w:hAnsi="Arial"/>
      <w:dstrike w:val="0"/>
      <w:color w:val="auto"/>
      <w:sz w:val="18"/>
      <w:vertAlign w:val="baseline"/>
    </w:rPr>
  </w:style>
  <w:style w:type="paragraph" w:styleId="Header">
    <w:name w:val="header"/>
    <w:basedOn w:val="HeadingBase"/>
    <w:rsid w:val="00D47533"/>
    <w:rPr>
      <w:sz w:val="18"/>
    </w:rPr>
  </w:style>
  <w:style w:type="paragraph" w:customStyle="1" w:styleId="HeaderEven">
    <w:name w:val="Header Even"/>
    <w:basedOn w:val="Header"/>
    <w:rsid w:val="00D47533"/>
  </w:style>
  <w:style w:type="paragraph" w:customStyle="1" w:styleId="HeaderOdd">
    <w:name w:val="Header Odd"/>
    <w:basedOn w:val="Header"/>
    <w:rsid w:val="00D47533"/>
    <w:pPr>
      <w:jc w:val="right"/>
    </w:pPr>
  </w:style>
  <w:style w:type="paragraph" w:styleId="NormalIndent">
    <w:name w:val="Normal Indent"/>
    <w:basedOn w:val="Normal"/>
    <w:rsid w:val="00D47533"/>
    <w:pPr>
      <w:ind w:left="567"/>
    </w:pPr>
  </w:style>
  <w:style w:type="paragraph" w:customStyle="1" w:styleId="RecommendationHeading">
    <w:name w:val="Recommendation Heading"/>
    <w:basedOn w:val="HeadingBase"/>
    <w:next w:val="RecommendationText"/>
    <w:rsid w:val="00D47533"/>
    <w:pPr>
      <w:spacing w:after="240"/>
    </w:pPr>
    <w:rPr>
      <w:b/>
      <w:sz w:val="22"/>
    </w:rPr>
  </w:style>
  <w:style w:type="paragraph" w:customStyle="1" w:styleId="RecommendationBaseText">
    <w:name w:val="Recommendation Base Text"/>
    <w:basedOn w:val="Normal"/>
    <w:rsid w:val="00D47533"/>
  </w:style>
  <w:style w:type="paragraph" w:customStyle="1" w:styleId="RecommendationText">
    <w:name w:val="Recommendation Text"/>
    <w:basedOn w:val="RecommendationBaseText"/>
    <w:rsid w:val="00D47533"/>
  </w:style>
  <w:style w:type="paragraph" w:customStyle="1" w:styleId="TableTextBase">
    <w:name w:val="Table Text Base"/>
    <w:rsid w:val="00D47533"/>
    <w:pPr>
      <w:spacing w:before="40" w:after="40"/>
    </w:pPr>
    <w:rPr>
      <w:rFonts w:ascii="Arial" w:hAnsi="Arial"/>
      <w:color w:val="000000"/>
      <w:sz w:val="16"/>
    </w:rPr>
  </w:style>
  <w:style w:type="paragraph" w:customStyle="1" w:styleId="TableColumnHeadingCentred">
    <w:name w:val="Table Column Heading Centred"/>
    <w:basedOn w:val="TableTextBase"/>
    <w:rsid w:val="00D47533"/>
    <w:pPr>
      <w:jc w:val="center"/>
    </w:pPr>
    <w:rPr>
      <w:b/>
    </w:rPr>
  </w:style>
  <w:style w:type="paragraph" w:customStyle="1" w:styleId="TableColumnHeadingLeft">
    <w:name w:val="Table Column Heading Left"/>
    <w:basedOn w:val="TableTextBase"/>
    <w:rsid w:val="00D47533"/>
    <w:rPr>
      <w:b/>
    </w:rPr>
  </w:style>
  <w:style w:type="paragraph" w:customStyle="1" w:styleId="TableColumnHeadingRight">
    <w:name w:val="Table Column Heading Right"/>
    <w:basedOn w:val="TableTextBase"/>
    <w:rsid w:val="00D47533"/>
    <w:pPr>
      <w:jc w:val="right"/>
    </w:pPr>
    <w:rPr>
      <w:b/>
    </w:rPr>
  </w:style>
  <w:style w:type="paragraph" w:customStyle="1" w:styleId="TableGraphic">
    <w:name w:val="Table Graphic"/>
    <w:basedOn w:val="HeadingBase"/>
    <w:next w:val="Normal"/>
    <w:rsid w:val="00D47533"/>
    <w:pPr>
      <w:spacing w:after="20"/>
      <w:ind w:right="-113"/>
    </w:pPr>
  </w:style>
  <w:style w:type="paragraph" w:customStyle="1" w:styleId="TableMainHeading">
    <w:name w:val="Table Main Heading"/>
    <w:basedOn w:val="HeadingBase"/>
    <w:next w:val="TableGraphic"/>
    <w:rsid w:val="00D47533"/>
    <w:pPr>
      <w:spacing w:after="20"/>
    </w:pPr>
    <w:rPr>
      <w:rFonts w:ascii="Arial Bold" w:hAnsi="Arial Bold"/>
      <w:b/>
    </w:rPr>
  </w:style>
  <w:style w:type="paragraph" w:customStyle="1" w:styleId="TableMainHeadingContd">
    <w:name w:val="Table Main Heading Contd"/>
    <w:basedOn w:val="HeadingBase"/>
    <w:next w:val="TableGraphic"/>
    <w:rsid w:val="00D47533"/>
    <w:pPr>
      <w:spacing w:after="20"/>
    </w:pPr>
    <w:rPr>
      <w:b/>
      <w:sz w:val="22"/>
    </w:rPr>
  </w:style>
  <w:style w:type="paragraph" w:customStyle="1" w:styleId="TableSecondHeading">
    <w:name w:val="Table Second Heading"/>
    <w:basedOn w:val="HeadingBase"/>
    <w:next w:val="TableGraphic"/>
    <w:rsid w:val="00D47533"/>
    <w:pPr>
      <w:spacing w:after="20"/>
    </w:pPr>
  </w:style>
  <w:style w:type="paragraph" w:customStyle="1" w:styleId="TableTextCentered">
    <w:name w:val="Table Text Centered"/>
    <w:basedOn w:val="TableTextBase"/>
    <w:rsid w:val="00D47533"/>
    <w:pPr>
      <w:jc w:val="center"/>
    </w:pPr>
  </w:style>
  <w:style w:type="paragraph" w:customStyle="1" w:styleId="TableTextIndented">
    <w:name w:val="Table Text Indented"/>
    <w:basedOn w:val="TableTextBase"/>
    <w:rsid w:val="00D47533"/>
    <w:pPr>
      <w:ind w:left="284"/>
    </w:pPr>
  </w:style>
  <w:style w:type="paragraph" w:customStyle="1" w:styleId="TableTextLeft">
    <w:name w:val="Table Text Left"/>
    <w:basedOn w:val="TableTextBase"/>
    <w:rsid w:val="00D47533"/>
  </w:style>
  <w:style w:type="paragraph" w:customStyle="1" w:styleId="TableTextRight">
    <w:name w:val="Table Text Right"/>
    <w:basedOn w:val="TableTextBase"/>
    <w:rsid w:val="00D47533"/>
    <w:pPr>
      <w:jc w:val="right"/>
    </w:pPr>
  </w:style>
  <w:style w:type="paragraph" w:styleId="TOC1">
    <w:name w:val="toc 1"/>
    <w:basedOn w:val="HeadingBase"/>
    <w:next w:val="Normal"/>
    <w:rsid w:val="00D47533"/>
    <w:pPr>
      <w:tabs>
        <w:tab w:val="right" w:pos="7700"/>
      </w:tabs>
      <w:spacing w:before="180"/>
      <w:ind w:right="851"/>
    </w:pPr>
    <w:rPr>
      <w:b/>
      <w:smallCaps/>
      <w:sz w:val="22"/>
      <w:szCs w:val="22"/>
    </w:rPr>
  </w:style>
  <w:style w:type="paragraph" w:styleId="TOC2">
    <w:name w:val="toc 2"/>
    <w:basedOn w:val="HeadingBase"/>
    <w:next w:val="Normal"/>
    <w:rsid w:val="00D47533"/>
    <w:pPr>
      <w:tabs>
        <w:tab w:val="right" w:pos="7700"/>
      </w:tabs>
      <w:spacing w:before="40" w:after="20"/>
      <w:ind w:right="851"/>
    </w:pPr>
  </w:style>
  <w:style w:type="paragraph" w:styleId="TOC3">
    <w:name w:val="toc 3"/>
    <w:basedOn w:val="Normal"/>
    <w:next w:val="Normal"/>
    <w:rsid w:val="00D47533"/>
    <w:pPr>
      <w:tabs>
        <w:tab w:val="right" w:pos="7700"/>
      </w:tabs>
      <w:spacing w:before="20" w:after="0" w:line="240" w:lineRule="auto"/>
      <w:ind w:left="284" w:right="851"/>
    </w:pPr>
  </w:style>
  <w:style w:type="paragraph" w:styleId="TOC4">
    <w:name w:val="toc 4"/>
    <w:basedOn w:val="Normal"/>
    <w:next w:val="Normal"/>
    <w:rsid w:val="00D47533"/>
    <w:pPr>
      <w:tabs>
        <w:tab w:val="right" w:pos="7700"/>
      </w:tabs>
      <w:spacing w:after="0" w:line="240" w:lineRule="auto"/>
      <w:ind w:left="284" w:right="851"/>
    </w:pPr>
  </w:style>
  <w:style w:type="character" w:customStyle="1" w:styleId="Italic">
    <w:name w:val="Italic"/>
    <w:basedOn w:val="DefaultParagraphFont"/>
    <w:rsid w:val="00D47533"/>
    <w:rPr>
      <w:i/>
    </w:rPr>
  </w:style>
  <w:style w:type="paragraph" w:customStyle="1" w:styleId="OneLevelNumberedParagraph">
    <w:name w:val="One Level Numbered Paragraph"/>
    <w:basedOn w:val="Normal"/>
    <w:rsid w:val="00D47533"/>
    <w:pPr>
      <w:numPr>
        <w:numId w:val="10"/>
      </w:numPr>
    </w:pPr>
  </w:style>
  <w:style w:type="paragraph" w:customStyle="1" w:styleId="BoxText">
    <w:name w:val="Box Text"/>
    <w:basedOn w:val="BoxTextBase"/>
    <w:rsid w:val="00D47533"/>
  </w:style>
  <w:style w:type="paragraph" w:customStyle="1" w:styleId="BoxBullet">
    <w:name w:val="Box Bullet"/>
    <w:basedOn w:val="BoxTextBase"/>
    <w:rsid w:val="00D47533"/>
    <w:pPr>
      <w:numPr>
        <w:numId w:val="9"/>
      </w:numPr>
    </w:pPr>
  </w:style>
  <w:style w:type="paragraph" w:customStyle="1" w:styleId="BoxDash">
    <w:name w:val="Box Dash"/>
    <w:basedOn w:val="Normal"/>
    <w:rsid w:val="00D47533"/>
    <w:pPr>
      <w:numPr>
        <w:ilvl w:val="1"/>
        <w:numId w:val="9"/>
      </w:numPr>
    </w:pPr>
  </w:style>
  <w:style w:type="paragraph" w:customStyle="1" w:styleId="BoxDoubleDot">
    <w:name w:val="Box Double Dot"/>
    <w:basedOn w:val="BoxTextBase"/>
    <w:rsid w:val="00D47533"/>
    <w:pPr>
      <w:numPr>
        <w:ilvl w:val="2"/>
        <w:numId w:val="9"/>
      </w:numPr>
    </w:pPr>
  </w:style>
  <w:style w:type="paragraph" w:customStyle="1" w:styleId="RecommendationBullet">
    <w:name w:val="Recommendation Bullet"/>
    <w:basedOn w:val="RecommendationBaseText"/>
    <w:rsid w:val="00D47533"/>
  </w:style>
  <w:style w:type="paragraph" w:customStyle="1" w:styleId="RecommendationDash">
    <w:name w:val="Recommendation Dash"/>
    <w:basedOn w:val="RecommendationBaseText"/>
    <w:rsid w:val="00D47533"/>
    <w:pPr>
      <w:numPr>
        <w:ilvl w:val="1"/>
        <w:numId w:val="23"/>
      </w:numPr>
    </w:pPr>
  </w:style>
  <w:style w:type="paragraph" w:customStyle="1" w:styleId="RecommendationDoubleDot">
    <w:name w:val="Recommendation Double Dot"/>
    <w:basedOn w:val="RecommendationBaseText"/>
    <w:rsid w:val="00D47533"/>
    <w:pPr>
      <w:numPr>
        <w:ilvl w:val="2"/>
        <w:numId w:val="23"/>
      </w:numPr>
    </w:pPr>
  </w:style>
  <w:style w:type="character" w:customStyle="1" w:styleId="Boldanditalic">
    <w:name w:val="Bold and italic"/>
    <w:basedOn w:val="DefaultParagraphFont"/>
    <w:rsid w:val="00D47533"/>
    <w:rPr>
      <w:b/>
      <w:i/>
    </w:rPr>
  </w:style>
  <w:style w:type="table" w:styleId="TableGrid">
    <w:name w:val="Table Grid"/>
    <w:basedOn w:val="TableNormal"/>
    <w:rsid w:val="00D47533"/>
    <w:pPr>
      <w:spacing w:after="240" w:line="260" w:lineRule="exact"/>
      <w:jc w:val="both"/>
    </w:pPr>
    <w:tblPr/>
    <w:tcPr>
      <w:shd w:val="clear" w:color="auto" w:fill="E6E6E6"/>
    </w:tcPr>
  </w:style>
  <w:style w:type="character" w:customStyle="1" w:styleId="Italics">
    <w:name w:val="Italics"/>
    <w:basedOn w:val="DefaultParagraphFont"/>
    <w:rsid w:val="00D47533"/>
    <w:rPr>
      <w:i/>
    </w:rPr>
  </w:style>
  <w:style w:type="paragraph" w:customStyle="1" w:styleId="Author">
    <w:name w:val="Author"/>
    <w:basedOn w:val="Normal"/>
    <w:next w:val="Summarytext"/>
    <w:rsid w:val="00D47533"/>
    <w:pPr>
      <w:spacing w:after="2000" w:line="240" w:lineRule="auto"/>
    </w:pPr>
    <w:rPr>
      <w:rFonts w:ascii="Arial" w:hAnsi="Arial"/>
    </w:rPr>
  </w:style>
  <w:style w:type="paragraph" w:customStyle="1" w:styleId="Summarytext">
    <w:name w:val="Summary text"/>
    <w:basedOn w:val="Author"/>
    <w:rsid w:val="00D47533"/>
    <w:pPr>
      <w:spacing w:after="240" w:line="280" w:lineRule="exact"/>
    </w:pPr>
    <w:rPr>
      <w:rFonts w:ascii="Arial Narrow" w:hAnsi="Arial Narrow"/>
      <w:sz w:val="22"/>
      <w:szCs w:val="22"/>
    </w:rPr>
  </w:style>
  <w:style w:type="paragraph" w:customStyle="1" w:styleId="TemplateInformationtext">
    <w:name w:val="Template Information text"/>
    <w:basedOn w:val="Normal"/>
    <w:next w:val="Normal"/>
    <w:link w:val="TemplateInformationtextChar"/>
    <w:rsid w:val="00D47533"/>
    <w:rPr>
      <w:rFonts w:ascii="Arial" w:hAnsi="Arial"/>
      <w:color w:val="0000FF"/>
    </w:rPr>
  </w:style>
  <w:style w:type="character" w:customStyle="1" w:styleId="TemplateInformationtextChar">
    <w:name w:val="Template Information text Char"/>
    <w:basedOn w:val="DefaultParagraphFont"/>
    <w:link w:val="TemplateInformationtext"/>
    <w:rsid w:val="00D47533"/>
    <w:rPr>
      <w:rFonts w:ascii="Arial" w:hAnsi="Arial"/>
      <w:color w:val="0000FF"/>
      <w:lang w:val="en-AU" w:eastAsia="en-AU" w:bidi="ar-SA"/>
    </w:rPr>
  </w:style>
  <w:style w:type="paragraph" w:customStyle="1" w:styleId="BoxSecondHeading">
    <w:name w:val="Box Second Heading"/>
    <w:basedOn w:val="HeadingBase"/>
    <w:next w:val="BoxText"/>
    <w:rsid w:val="006D7D2D"/>
  </w:style>
  <w:style w:type="paragraph" w:customStyle="1" w:styleId="SummaryBullet">
    <w:name w:val="Summary Bullet"/>
    <w:basedOn w:val="RecommendationBaseText"/>
    <w:rsid w:val="00B11219"/>
    <w:pPr>
      <w:numPr>
        <w:numId w:val="23"/>
      </w:numPr>
      <w:tabs>
        <w:tab w:val="clear" w:pos="644"/>
        <w:tab w:val="num" w:pos="283"/>
      </w:tabs>
      <w:spacing w:after="120"/>
      <w:ind w:left="283" w:firstLine="1"/>
    </w:pPr>
    <w:rPr>
      <w:rFonts w:ascii="Arial Narrow" w:hAnsi="Arial Narrow"/>
      <w:sz w:val="22"/>
      <w:szCs w:val="22"/>
    </w:rPr>
  </w:style>
  <w:style w:type="paragraph" w:styleId="BalloonText">
    <w:name w:val="Balloon Text"/>
    <w:basedOn w:val="Normal"/>
    <w:link w:val="BalloonTextChar"/>
    <w:uiPriority w:val="99"/>
    <w:semiHidden/>
    <w:unhideWhenUsed/>
    <w:rsid w:val="00C14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B76"/>
    <w:rPr>
      <w:rFonts w:ascii="Tahoma" w:hAnsi="Tahoma" w:cs="Tahoma"/>
      <w:color w:val="000000"/>
      <w:sz w:val="16"/>
      <w:szCs w:val="16"/>
    </w:rPr>
  </w:style>
  <w:style w:type="character" w:customStyle="1" w:styleId="FooterChar">
    <w:name w:val="Footer Char"/>
    <w:basedOn w:val="DefaultParagraphFont"/>
    <w:link w:val="Footer"/>
    <w:rsid w:val="00FF3A09"/>
    <w:rPr>
      <w:rFonts w:ascii="Arial" w:hAnsi="Arial"/>
      <w:color w:val="365F91"/>
      <w:sz w:val="18"/>
    </w:rPr>
  </w:style>
  <w:style w:type="character" w:customStyle="1" w:styleId="BulletChar">
    <w:name w:val="Bullet Char"/>
    <w:basedOn w:val="DefaultParagraphFont"/>
    <w:link w:val="Bullet"/>
    <w:rsid w:val="00BA6D11"/>
    <w:rPr>
      <w:rFonts w:ascii="Book Antiqua" w:hAnsi="Book Antiqua"/>
      <w:color w:val="000000"/>
    </w:rPr>
  </w:style>
  <w:style w:type="character" w:customStyle="1" w:styleId="DashChar">
    <w:name w:val="Dash Char"/>
    <w:basedOn w:val="DefaultParagraphFont"/>
    <w:link w:val="Dash"/>
    <w:rsid w:val="00BA6D11"/>
    <w:rPr>
      <w:rFonts w:ascii="Book Antiqua" w:hAnsi="Book Antiqua"/>
      <w:color w:val="000000"/>
    </w:rPr>
  </w:style>
  <w:style w:type="character" w:customStyle="1" w:styleId="DoubleDotChar">
    <w:name w:val="Double Dot Char"/>
    <w:basedOn w:val="DefaultParagraphFont"/>
    <w:link w:val="DoubleDot"/>
    <w:rsid w:val="00BA6D11"/>
    <w:rPr>
      <w:rFonts w:ascii="Book Antiqua" w:hAnsi="Book Antiqua"/>
      <w:color w:val="000000"/>
    </w:rPr>
  </w:style>
  <w:style w:type="paragraph" w:customStyle="1" w:styleId="Summary">
    <w:name w:val="Summary"/>
    <w:basedOn w:val="Normal"/>
    <w:next w:val="Normal"/>
    <w:rsid w:val="00FF3F45"/>
    <w:pPr>
      <w:numPr>
        <w:numId w:val="26"/>
      </w:numPr>
      <w:spacing w:after="200" w:line="240" w:lineRule="auto"/>
      <w:jc w:val="left"/>
    </w:pPr>
    <w:rPr>
      <w:rFonts w:ascii="Times New Roman" w:hAnsi="Times New Roman"/>
      <w:color w:val="auto"/>
      <w:sz w:val="24"/>
    </w:rPr>
  </w:style>
  <w:style w:type="character" w:styleId="CommentReference">
    <w:name w:val="annotation reference"/>
    <w:basedOn w:val="DefaultParagraphFont"/>
    <w:uiPriority w:val="99"/>
    <w:semiHidden/>
    <w:unhideWhenUsed/>
    <w:rsid w:val="00FF3F45"/>
    <w:rPr>
      <w:sz w:val="16"/>
      <w:szCs w:val="16"/>
    </w:rPr>
  </w:style>
  <w:style w:type="paragraph" w:styleId="CommentText">
    <w:name w:val="annotation text"/>
    <w:basedOn w:val="Normal"/>
    <w:link w:val="CommentTextChar"/>
    <w:uiPriority w:val="99"/>
    <w:semiHidden/>
    <w:unhideWhenUsed/>
    <w:rsid w:val="00FF3F45"/>
    <w:pPr>
      <w:spacing w:after="200" w:line="240" w:lineRule="auto"/>
      <w:jc w:val="left"/>
    </w:pPr>
    <w:rPr>
      <w:rFonts w:ascii="Times New Roman" w:hAnsi="Times New Roman"/>
      <w:color w:val="auto"/>
    </w:rPr>
  </w:style>
  <w:style w:type="character" w:customStyle="1" w:styleId="CommentTextChar">
    <w:name w:val="Comment Text Char"/>
    <w:basedOn w:val="DefaultParagraphFont"/>
    <w:link w:val="CommentText"/>
    <w:uiPriority w:val="99"/>
    <w:semiHidden/>
    <w:rsid w:val="00FF3F45"/>
  </w:style>
  <w:style w:type="paragraph" w:styleId="CommentSubject">
    <w:name w:val="annotation subject"/>
    <w:basedOn w:val="CommentText"/>
    <w:next w:val="CommentText"/>
    <w:link w:val="CommentSubjectChar"/>
    <w:uiPriority w:val="99"/>
    <w:semiHidden/>
    <w:unhideWhenUsed/>
    <w:rsid w:val="00F66510"/>
    <w:pPr>
      <w:spacing w:after="240"/>
      <w:jc w:val="both"/>
    </w:pPr>
    <w:rPr>
      <w:rFonts w:ascii="Book Antiqua" w:hAnsi="Book Antiqua"/>
      <w:b/>
      <w:bCs/>
      <w:color w:val="000000"/>
    </w:rPr>
  </w:style>
  <w:style w:type="character" w:customStyle="1" w:styleId="CommentSubjectChar">
    <w:name w:val="Comment Subject Char"/>
    <w:basedOn w:val="CommentTextChar"/>
    <w:link w:val="CommentSubject"/>
    <w:uiPriority w:val="99"/>
    <w:semiHidden/>
    <w:rsid w:val="00F66510"/>
    <w:rPr>
      <w:rFonts w:ascii="Book Antiqua" w:hAnsi="Book Antiqua"/>
      <w:b/>
      <w:bCs/>
      <w:color w:val="000000"/>
    </w:rPr>
  </w:style>
  <w:style w:type="table" w:customStyle="1" w:styleId="TableGrid1">
    <w:name w:val="Table Grid1"/>
    <w:basedOn w:val="TableNormal"/>
    <w:next w:val="TableGrid"/>
    <w:uiPriority w:val="59"/>
    <w:rsid w:val="00270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F36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0D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6656"/>
    <w:rPr>
      <w:rFonts w:ascii="Book Antiqua" w:hAnsi="Book Antiqua"/>
      <w:color w:val="000000"/>
    </w:rPr>
  </w:style>
  <w:style w:type="character" w:customStyle="1" w:styleId="FootnoteTextChar">
    <w:name w:val="Footnote Text Char"/>
    <w:basedOn w:val="DefaultParagraphFont"/>
    <w:link w:val="FootnoteText"/>
    <w:rsid w:val="002F1165"/>
    <w:rPr>
      <w:rFonts w:ascii="Book Antiqua" w:hAnsi="Book Antiqua"/>
      <w:color w:val="000000"/>
      <w:sz w:val="18"/>
    </w:rPr>
  </w:style>
  <w:style w:type="paragraph" w:styleId="NormalWeb">
    <w:name w:val="Normal (Web)"/>
    <w:basedOn w:val="Normal"/>
    <w:uiPriority w:val="99"/>
    <w:semiHidden/>
    <w:unhideWhenUsed/>
    <w:rsid w:val="00E86E3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74680">
      <w:bodyDiv w:val="1"/>
      <w:marLeft w:val="0"/>
      <w:marRight w:val="0"/>
      <w:marTop w:val="0"/>
      <w:marBottom w:val="0"/>
      <w:divBdr>
        <w:top w:val="none" w:sz="0" w:space="0" w:color="auto"/>
        <w:left w:val="none" w:sz="0" w:space="0" w:color="auto"/>
        <w:bottom w:val="none" w:sz="0" w:space="0" w:color="auto"/>
        <w:right w:val="none" w:sz="0" w:space="0" w:color="auto"/>
      </w:divBdr>
    </w:div>
    <w:div w:id="107139388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chart" Target="charts/chart6.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Economic%20Roundup.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1379993212796027E-2"/>
          <c:y val="3.9735099337748346E-2"/>
          <c:w val="0.98862000678720396"/>
          <c:h val="0.88013245033112586"/>
        </c:manualLayout>
      </c:layout>
      <c:barChart>
        <c:barDir val="col"/>
        <c:grouping val="stacked"/>
        <c:varyColors val="0"/>
        <c:ser>
          <c:idx val="4"/>
          <c:order val="1"/>
          <c:tx>
            <c:strRef>
              <c:f>'Back up method'!$O$3</c:f>
              <c:strCache>
                <c:ptCount val="1"/>
                <c:pt idx="0">
                  <c:v>MFP</c:v>
                </c:pt>
              </c:strCache>
            </c:strRef>
          </c:tx>
          <c:spPr>
            <a:solidFill>
              <a:srgbClr val="FF0000"/>
            </a:solidFill>
          </c:spPr>
          <c:invertIfNegative val="0"/>
          <c:cat>
            <c:strRef>
              <c:f>'Back up method'!$A$56:$A$62</c:f>
              <c:strCache>
                <c:ptCount val="7"/>
                <c:pt idx="0">
                  <c:v>1981-82 to 1984-85</c:v>
                </c:pt>
                <c:pt idx="1">
                  <c:v>1984-85 to 1988-89</c:v>
                </c:pt>
                <c:pt idx="2">
                  <c:v>1988-89 to 1993-94</c:v>
                </c:pt>
                <c:pt idx="3">
                  <c:v>1993-94 to 1998-99</c:v>
                </c:pt>
                <c:pt idx="4">
                  <c:v>1998-99 to 2003-04</c:v>
                </c:pt>
                <c:pt idx="5">
                  <c:v>2003-04 to 2007-08</c:v>
                </c:pt>
                <c:pt idx="6">
                  <c:v>2007-08 to 2015-16</c:v>
                </c:pt>
              </c:strCache>
            </c:strRef>
          </c:cat>
          <c:val>
            <c:numRef>
              <c:f>'Back up method'!$O$56:$O$62</c:f>
              <c:numCache>
                <c:formatCode>0.00;\-0.00;0.00;@</c:formatCode>
                <c:ptCount val="7"/>
                <c:pt idx="0">
                  <c:v>0.62101471134549646</c:v>
                </c:pt>
                <c:pt idx="1">
                  <c:v>0.35127595677767981</c:v>
                </c:pt>
                <c:pt idx="2">
                  <c:v>0.81747815456789519</c:v>
                </c:pt>
                <c:pt idx="3">
                  <c:v>1.6509954141395935</c:v>
                </c:pt>
                <c:pt idx="4">
                  <c:v>0.80938174105128613</c:v>
                </c:pt>
                <c:pt idx="5">
                  <c:v>-0.3033002983004025</c:v>
                </c:pt>
                <c:pt idx="6">
                  <c:v>0.20680344766920589</c:v>
                </c:pt>
              </c:numCache>
            </c:numRef>
          </c:val>
        </c:ser>
        <c:ser>
          <c:idx val="6"/>
          <c:order val="2"/>
          <c:tx>
            <c:strRef>
              <c:f>'Back up method'!$P$3</c:f>
              <c:strCache>
                <c:ptCount val="1"/>
                <c:pt idx="0">
                  <c:v>Capital deepening</c:v>
                </c:pt>
              </c:strCache>
            </c:strRef>
          </c:tx>
          <c:spPr>
            <a:solidFill>
              <a:srgbClr val="0000FF"/>
            </a:solidFill>
          </c:spPr>
          <c:invertIfNegative val="0"/>
          <c:cat>
            <c:strRef>
              <c:f>'Back up method'!$A$56:$A$62</c:f>
              <c:strCache>
                <c:ptCount val="7"/>
                <c:pt idx="0">
                  <c:v>1981-82 to 1984-85</c:v>
                </c:pt>
                <c:pt idx="1">
                  <c:v>1984-85 to 1988-89</c:v>
                </c:pt>
                <c:pt idx="2">
                  <c:v>1988-89 to 1993-94</c:v>
                </c:pt>
                <c:pt idx="3">
                  <c:v>1993-94 to 1998-99</c:v>
                </c:pt>
                <c:pt idx="4">
                  <c:v>1998-99 to 2003-04</c:v>
                </c:pt>
                <c:pt idx="5">
                  <c:v>2003-04 to 2007-08</c:v>
                </c:pt>
                <c:pt idx="6">
                  <c:v>2007-08 to 2015-16</c:v>
                </c:pt>
              </c:strCache>
            </c:strRef>
          </c:cat>
          <c:val>
            <c:numRef>
              <c:f>'Back up method'!$P$56:$P$62</c:f>
              <c:numCache>
                <c:formatCode>0.00</c:formatCode>
                <c:ptCount val="7"/>
                <c:pt idx="0">
                  <c:v>1.3800529804929131</c:v>
                </c:pt>
                <c:pt idx="1">
                  <c:v>0.43743298659547108</c:v>
                </c:pt>
                <c:pt idx="2">
                  <c:v>1.1338467240522534</c:v>
                </c:pt>
                <c:pt idx="3">
                  <c:v>0.81079946408841175</c:v>
                </c:pt>
                <c:pt idx="4">
                  <c:v>0.88513149312418815</c:v>
                </c:pt>
                <c:pt idx="5">
                  <c:v>1.1746644994101836</c:v>
                </c:pt>
                <c:pt idx="6">
                  <c:v>1.1653298790230315</c:v>
                </c:pt>
              </c:numCache>
            </c:numRef>
          </c:val>
        </c:ser>
        <c:dLbls>
          <c:showLegendKey val="0"/>
          <c:showVal val="0"/>
          <c:showCatName val="0"/>
          <c:showSerName val="0"/>
          <c:showPercent val="0"/>
          <c:showBubbleSize val="0"/>
        </c:dLbls>
        <c:gapWidth val="150"/>
        <c:overlap val="100"/>
        <c:axId val="134907392"/>
        <c:axId val="134908928"/>
      </c:barChart>
      <c:barChart>
        <c:barDir val="col"/>
        <c:grouping val="stacked"/>
        <c:varyColors val="0"/>
        <c:ser>
          <c:idx val="0"/>
          <c:order val="3"/>
          <c:tx>
            <c:v>DUMMY</c:v>
          </c:tx>
          <c:spPr>
            <a:noFill/>
            <a:ln w="25400">
              <a:noFill/>
            </a:ln>
          </c:spPr>
          <c:invertIfNegative val="0"/>
          <c:val>
            <c:numLit>
              <c:formatCode>General</c:formatCode>
              <c:ptCount val="1"/>
              <c:pt idx="0">
                <c:v>0</c:v>
              </c:pt>
            </c:numLit>
          </c:val>
        </c:ser>
        <c:dLbls>
          <c:showLegendKey val="0"/>
          <c:showVal val="0"/>
          <c:showCatName val="0"/>
          <c:showSerName val="0"/>
          <c:showPercent val="0"/>
          <c:showBubbleSize val="0"/>
        </c:dLbls>
        <c:gapWidth val="150"/>
        <c:overlap val="100"/>
        <c:axId val="134915200"/>
        <c:axId val="134916736"/>
      </c:barChart>
      <c:scatterChart>
        <c:scatterStyle val="lineMarker"/>
        <c:varyColors val="0"/>
        <c:ser>
          <c:idx val="2"/>
          <c:order val="0"/>
          <c:tx>
            <c:strRef>
              <c:f>'Back up method'!$I$3</c:f>
              <c:strCache>
                <c:ptCount val="1"/>
                <c:pt idx="0">
                  <c:v>Labour productivity</c:v>
                </c:pt>
              </c:strCache>
            </c:strRef>
          </c:tx>
          <c:spPr>
            <a:ln w="28575">
              <a:solidFill>
                <a:sysClr val="windowText" lastClr="000000"/>
              </a:solidFill>
            </a:ln>
          </c:spPr>
          <c:marker>
            <c:symbol val="none"/>
          </c:marker>
          <c:xVal>
            <c:strRef>
              <c:f>'Back up method'!$A$56:$A$62</c:f>
              <c:strCache>
                <c:ptCount val="7"/>
                <c:pt idx="0">
                  <c:v>1981-82 to 1984-85</c:v>
                </c:pt>
                <c:pt idx="1">
                  <c:v>1984-85 to 1988-89</c:v>
                </c:pt>
                <c:pt idx="2">
                  <c:v>1988-89 to 1993-94</c:v>
                </c:pt>
                <c:pt idx="3">
                  <c:v>1993-94 to 1998-99</c:v>
                </c:pt>
                <c:pt idx="4">
                  <c:v>1998-99 to 2003-04</c:v>
                </c:pt>
                <c:pt idx="5">
                  <c:v>2003-04 to 2007-08</c:v>
                </c:pt>
                <c:pt idx="6">
                  <c:v>2007-08 to 2015-16</c:v>
                </c:pt>
              </c:strCache>
            </c:strRef>
          </c:xVal>
          <c:yVal>
            <c:numRef>
              <c:f>'Back up method'!$C$56:$C$62</c:f>
              <c:numCache>
                <c:formatCode>0.00;\-0.00;0.00;@</c:formatCode>
                <c:ptCount val="7"/>
                <c:pt idx="0">
                  <c:v>2.0010676918384096</c:v>
                </c:pt>
                <c:pt idx="1">
                  <c:v>0.78870894337315089</c:v>
                </c:pt>
                <c:pt idx="2">
                  <c:v>1.9513248786201487</c:v>
                </c:pt>
                <c:pt idx="3">
                  <c:v>2.4617948782280052</c:v>
                </c:pt>
                <c:pt idx="4">
                  <c:v>1.6945132341754743</c:v>
                </c:pt>
                <c:pt idx="5">
                  <c:v>0.87136420110978108</c:v>
                </c:pt>
                <c:pt idx="6">
                  <c:v>1.3721333266922375</c:v>
                </c:pt>
              </c:numCache>
            </c:numRef>
          </c:yVal>
          <c:smooth val="0"/>
        </c:ser>
        <c:dLbls>
          <c:showLegendKey val="0"/>
          <c:showVal val="0"/>
          <c:showCatName val="0"/>
          <c:showSerName val="0"/>
          <c:showPercent val="0"/>
          <c:showBubbleSize val="0"/>
        </c:dLbls>
        <c:axId val="134915200"/>
        <c:axId val="134916736"/>
      </c:scatterChart>
      <c:catAx>
        <c:axId val="134907392"/>
        <c:scaling>
          <c:orientation val="minMax"/>
        </c:scaling>
        <c:delete val="0"/>
        <c:axPos val="b"/>
        <c:numFmt formatCode="General" sourceLinked="1"/>
        <c:majorTickMark val="cross"/>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4908928"/>
        <c:crosses val="autoZero"/>
        <c:auto val="1"/>
        <c:lblAlgn val="ctr"/>
        <c:lblOffset val="100"/>
        <c:noMultiLvlLbl val="0"/>
      </c:catAx>
      <c:valAx>
        <c:axId val="134908928"/>
        <c:scaling>
          <c:orientation val="minMax"/>
          <c:max val="2.5"/>
          <c:min val="-0.5"/>
        </c:scaling>
        <c:delete val="0"/>
        <c:axPos val="l"/>
        <c:title>
          <c:tx>
            <c:rich>
              <a:bodyPr rot="0" vert="horz"/>
              <a:lstStyle/>
              <a:p>
                <a:pPr algn="ctr">
                  <a:defRPr sz="800" b="0" i="0" u="none" strike="noStrike" baseline="0">
                    <a:solidFill>
                      <a:srgbClr val="000000"/>
                    </a:solidFill>
                    <a:latin typeface="Arial"/>
                    <a:ea typeface="Arial"/>
                    <a:cs typeface="Arial"/>
                  </a:defRPr>
                </a:pPr>
                <a:r>
                  <a:rPr lang="en-US"/>
                  <a:t>Per cent</a:t>
                </a:r>
              </a:p>
            </c:rich>
          </c:tx>
          <c:layout>
            <c:manualLayout>
              <c:xMode val="edge"/>
              <c:yMode val="edge"/>
              <c:x val="5.4555373704309872E-2"/>
              <c:y val="0"/>
            </c:manualLayout>
          </c:layout>
          <c:overlay val="0"/>
        </c:title>
        <c:numFmt formatCode="0.0"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4907392"/>
        <c:crosses val="autoZero"/>
        <c:crossBetween val="between"/>
      </c:valAx>
      <c:catAx>
        <c:axId val="134915200"/>
        <c:scaling>
          <c:orientation val="minMax"/>
        </c:scaling>
        <c:delete val="1"/>
        <c:axPos val="b"/>
        <c:majorTickMark val="out"/>
        <c:minorTickMark val="none"/>
        <c:tickLblPos val="nextTo"/>
        <c:crossAx val="134916736"/>
        <c:crosses val="autoZero"/>
        <c:auto val="1"/>
        <c:lblAlgn val="ctr"/>
        <c:lblOffset val="100"/>
        <c:noMultiLvlLbl val="0"/>
      </c:catAx>
      <c:valAx>
        <c:axId val="134916736"/>
        <c:scaling>
          <c:orientation val="minMax"/>
          <c:max val="2.5"/>
          <c:min val="-0.5"/>
        </c:scaling>
        <c:delete val="0"/>
        <c:axPos val="r"/>
        <c:title>
          <c:tx>
            <c:rich>
              <a:bodyPr rot="0" vert="horz"/>
              <a:lstStyle/>
              <a:p>
                <a:pPr algn="ctr">
                  <a:defRPr sz="800" b="0" i="0" u="none" strike="noStrike" baseline="0">
                    <a:solidFill>
                      <a:srgbClr val="000000"/>
                    </a:solidFill>
                    <a:latin typeface="Arial"/>
                    <a:ea typeface="Arial"/>
                    <a:cs typeface="Arial"/>
                  </a:defRPr>
                </a:pPr>
                <a:r>
                  <a:rPr lang="en-US"/>
                  <a:t>Per cent</a:t>
                </a:r>
              </a:p>
            </c:rich>
          </c:tx>
          <c:layout>
            <c:manualLayout>
              <c:xMode val="edge"/>
              <c:yMode val="edge"/>
              <c:x val="0.86490611750454272"/>
              <c:y val="0"/>
            </c:manualLayout>
          </c:layout>
          <c:overlay val="0"/>
        </c:title>
        <c:numFmt formatCode="#,##0.0"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4915200"/>
        <c:crosses val="max"/>
        <c:crossBetween val="between"/>
        <c:majorUnit val="0.5"/>
        <c:minorUnit val="0.2"/>
      </c:valAx>
      <c:spPr>
        <a:solidFill>
          <a:srgbClr val="FFFFFF"/>
        </a:solidFill>
        <a:ln w="25400">
          <a:noFill/>
        </a:ln>
      </c:spPr>
    </c:plotArea>
    <c:legend>
      <c:legendPos val="b"/>
      <c:legendEntry>
        <c:idx val="2"/>
        <c:delete val="1"/>
      </c:legendEntry>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1423835125448029E-2"/>
          <c:y val="3.9687500000000001E-2"/>
          <c:w val="0.98857616487455202"/>
          <c:h val="0.88015624999999997"/>
        </c:manualLayout>
      </c:layout>
      <c:lineChart>
        <c:grouping val="standard"/>
        <c:varyColors val="0"/>
        <c:ser>
          <c:idx val="0"/>
          <c:order val="0"/>
          <c:tx>
            <c:strRef>
              <c:f>'Linear Volume - Charts (no apx)'!$BW$3</c:f>
              <c:strCache>
                <c:ptCount val="1"/>
                <c:pt idx="0">
                  <c:v>Agriculture, forestry and fishing</c:v>
                </c:pt>
              </c:strCache>
            </c:strRef>
          </c:tx>
          <c:marker>
            <c:symbol val="none"/>
          </c:marker>
          <c:cat>
            <c:strRef>
              <c:f>'Linear Volume - Charts (no apx)'!$BH$5:$BH$32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apx)'!$BW$5:$BW$32</c:f>
              <c:numCache>
                <c:formatCode>0.00</c:formatCode>
                <c:ptCount val="28"/>
                <c:pt idx="0" formatCode="General">
                  <c:v>100</c:v>
                </c:pt>
                <c:pt idx="1">
                  <c:v>109.61927500392194</c:v>
                </c:pt>
                <c:pt idx="2">
                  <c:v>115.19473616692908</c:v>
                </c:pt>
                <c:pt idx="3">
                  <c:v>120.42878916074929</c:v>
                </c:pt>
                <c:pt idx="4">
                  <c:v>128.10964787087536</c:v>
                </c:pt>
                <c:pt idx="5">
                  <c:v>132.34126725163787</c:v>
                </c:pt>
                <c:pt idx="6">
                  <c:v>114.85238914041207</c:v>
                </c:pt>
                <c:pt idx="7">
                  <c:v>136.27505163902794</c:v>
                </c:pt>
                <c:pt idx="8">
                  <c:v>143.79079034153341</c:v>
                </c:pt>
                <c:pt idx="9">
                  <c:v>138.85686379824102</c:v>
                </c:pt>
                <c:pt idx="10">
                  <c:v>157.90741772068958</c:v>
                </c:pt>
                <c:pt idx="11">
                  <c:v>159.87349951468352</c:v>
                </c:pt>
                <c:pt idx="12">
                  <c:v>171.40885295637486</c:v>
                </c:pt>
                <c:pt idx="13">
                  <c:v>170.99628532101997</c:v>
                </c:pt>
                <c:pt idx="14">
                  <c:v>159.32724333912739</c:v>
                </c:pt>
                <c:pt idx="15">
                  <c:v>206.22394002688321</c:v>
                </c:pt>
                <c:pt idx="16">
                  <c:v>221.98430454938935</c:v>
                </c:pt>
                <c:pt idx="17">
                  <c:v>240.44765449265881</c:v>
                </c:pt>
                <c:pt idx="18">
                  <c:v>195.71001307366561</c:v>
                </c:pt>
                <c:pt idx="19">
                  <c:v>210.36480391258854</c:v>
                </c:pt>
                <c:pt idx="20">
                  <c:v>242.30114420226872</c:v>
                </c:pt>
                <c:pt idx="21">
                  <c:v>241.84792250555412</c:v>
                </c:pt>
                <c:pt idx="22">
                  <c:v>261.98418044782414</c:v>
                </c:pt>
                <c:pt idx="23">
                  <c:v>278.08367803198166</c:v>
                </c:pt>
                <c:pt idx="24">
                  <c:v>295.74145640462802</c:v>
                </c:pt>
                <c:pt idx="25">
                  <c:v>283.90105303567248</c:v>
                </c:pt>
                <c:pt idx="26">
                  <c:v>290.80610368011963</c:v>
                </c:pt>
                <c:pt idx="27">
                  <c:v>265.22126573197068</c:v>
                </c:pt>
              </c:numCache>
            </c:numRef>
          </c:val>
          <c:smooth val="0"/>
        </c:ser>
        <c:dLbls>
          <c:showLegendKey val="0"/>
          <c:showVal val="0"/>
          <c:showCatName val="0"/>
          <c:showSerName val="0"/>
          <c:showPercent val="0"/>
          <c:showBubbleSize val="0"/>
        </c:dLbls>
        <c:marker val="1"/>
        <c:smooth val="0"/>
        <c:axId val="138408320"/>
        <c:axId val="138409856"/>
      </c:lineChart>
      <c:lineChart>
        <c:grouping val="standard"/>
        <c:varyColors val="0"/>
        <c:ser>
          <c:idx val="1"/>
          <c:order val="1"/>
          <c:tx>
            <c:strRef>
              <c:f>'Linear Volume - Charts (no apx)'!$BX$3</c:f>
              <c:strCache>
                <c:ptCount val="1"/>
                <c:pt idx="0">
                  <c:v>Mining </c:v>
                </c:pt>
              </c:strCache>
            </c:strRef>
          </c:tx>
          <c:marker>
            <c:symbol val="none"/>
          </c:marker>
          <c:cat>
            <c:strRef>
              <c:f>'Linear Volume - Charts (no apx)'!$BH$4:$BH$32</c:f>
              <c:strCache>
                <c:ptCount val="29"/>
                <c:pt idx="1">
                  <c:v>1988-89</c:v>
                </c:pt>
                <c:pt idx="2">
                  <c:v>1989-90</c:v>
                </c:pt>
                <c:pt idx="3">
                  <c:v>1990-91</c:v>
                </c:pt>
                <c:pt idx="4">
                  <c:v>1991-92</c:v>
                </c:pt>
                <c:pt idx="5">
                  <c:v>1992-93</c:v>
                </c:pt>
                <c:pt idx="6">
                  <c:v>1993-94</c:v>
                </c:pt>
                <c:pt idx="7">
                  <c:v>1994-95</c:v>
                </c:pt>
                <c:pt idx="8">
                  <c:v>1995-96</c:v>
                </c:pt>
                <c:pt idx="9">
                  <c:v>1996-97</c:v>
                </c:pt>
                <c:pt idx="10">
                  <c:v>1997-98</c:v>
                </c:pt>
                <c:pt idx="11">
                  <c:v>1998-99</c:v>
                </c:pt>
                <c:pt idx="12">
                  <c:v>1999-00</c:v>
                </c:pt>
                <c:pt idx="13">
                  <c:v>2000-01</c:v>
                </c:pt>
                <c:pt idx="14">
                  <c:v>2001-02</c:v>
                </c:pt>
                <c:pt idx="15">
                  <c:v>2002-03</c:v>
                </c:pt>
                <c:pt idx="16">
                  <c:v>2003-04</c:v>
                </c:pt>
                <c:pt idx="17">
                  <c:v>2004-05</c:v>
                </c:pt>
                <c:pt idx="18">
                  <c:v>2005-06</c:v>
                </c:pt>
                <c:pt idx="19">
                  <c:v>2006-07</c:v>
                </c:pt>
                <c:pt idx="20">
                  <c:v>2007-08</c:v>
                </c:pt>
                <c:pt idx="21">
                  <c:v>2008-09</c:v>
                </c:pt>
                <c:pt idx="22">
                  <c:v>2009-10</c:v>
                </c:pt>
                <c:pt idx="23">
                  <c:v>2010-11</c:v>
                </c:pt>
                <c:pt idx="24">
                  <c:v>2011-12</c:v>
                </c:pt>
                <c:pt idx="25">
                  <c:v>2012-13</c:v>
                </c:pt>
                <c:pt idx="26">
                  <c:v>2013-14</c:v>
                </c:pt>
                <c:pt idx="27">
                  <c:v>2014-15</c:v>
                </c:pt>
                <c:pt idx="28">
                  <c:v>2015-16</c:v>
                </c:pt>
              </c:strCache>
            </c:strRef>
          </c:cat>
          <c:val>
            <c:numRef>
              <c:f>'Linear Volume - Charts (no apx)'!$BX$5:$BX$32</c:f>
              <c:numCache>
                <c:formatCode>0.00</c:formatCode>
                <c:ptCount val="28"/>
                <c:pt idx="0" formatCode="General">
                  <c:v>100</c:v>
                </c:pt>
                <c:pt idx="1">
                  <c:v>101.91028057690087</c:v>
                </c:pt>
                <c:pt idx="2">
                  <c:v>115.82089378402493</c:v>
                </c:pt>
                <c:pt idx="3">
                  <c:v>133.20207532976428</c:v>
                </c:pt>
                <c:pt idx="4">
                  <c:v>138.35246918114385</c:v>
                </c:pt>
                <c:pt idx="5">
                  <c:v>130.41982375418362</c:v>
                </c:pt>
                <c:pt idx="6">
                  <c:v>144.46058234644028</c:v>
                </c:pt>
                <c:pt idx="7">
                  <c:v>158.1585807552058</c:v>
                </c:pt>
                <c:pt idx="8">
                  <c:v>160.95793048171481</c:v>
                </c:pt>
                <c:pt idx="9">
                  <c:v>170.22892834561105</c:v>
                </c:pt>
                <c:pt idx="10">
                  <c:v>163.19342595927836</c:v>
                </c:pt>
                <c:pt idx="11">
                  <c:v>174.57643338160528</c:v>
                </c:pt>
                <c:pt idx="12">
                  <c:v>189.98934900315808</c:v>
                </c:pt>
                <c:pt idx="13">
                  <c:v>189.24386275373314</c:v>
                </c:pt>
                <c:pt idx="14">
                  <c:v>173.93330724499265</c:v>
                </c:pt>
                <c:pt idx="15">
                  <c:v>157.18181074107821</c:v>
                </c:pt>
                <c:pt idx="16">
                  <c:v>151.87380548034432</c:v>
                </c:pt>
                <c:pt idx="17">
                  <c:v>128.18902991640303</c:v>
                </c:pt>
                <c:pt idx="18">
                  <c:v>130.43689700729456</c:v>
                </c:pt>
                <c:pt idx="19">
                  <c:v>126.92867368146248</c:v>
                </c:pt>
                <c:pt idx="20">
                  <c:v>112.24913322204839</c:v>
                </c:pt>
                <c:pt idx="21">
                  <c:v>117.56136590706829</c:v>
                </c:pt>
                <c:pt idx="22">
                  <c:v>101.51371776907025</c:v>
                </c:pt>
                <c:pt idx="23">
                  <c:v>89.436627735405665</c:v>
                </c:pt>
                <c:pt idx="24">
                  <c:v>91.23226740585612</c:v>
                </c:pt>
                <c:pt idx="25">
                  <c:v>100.16871406755298</c:v>
                </c:pt>
                <c:pt idx="26">
                  <c:v>130.05759077393424</c:v>
                </c:pt>
                <c:pt idx="27">
                  <c:v>134.63753245893773</c:v>
                </c:pt>
              </c:numCache>
            </c:numRef>
          </c:val>
          <c:smooth val="0"/>
        </c:ser>
        <c:ser>
          <c:idx val="2"/>
          <c:order val="2"/>
          <c:tx>
            <c:strRef>
              <c:f>'Linear Volume - Charts (no apx)'!$BY$3</c:f>
              <c:strCache>
                <c:ptCount val="1"/>
                <c:pt idx="0">
                  <c:v>Manufacturing</c:v>
                </c:pt>
              </c:strCache>
            </c:strRef>
          </c:tx>
          <c:marker>
            <c:symbol val="none"/>
          </c:marker>
          <c:cat>
            <c:strRef>
              <c:f>'Linear Volume - Charts (no apx)'!$BH$4:$BH$32</c:f>
              <c:strCache>
                <c:ptCount val="29"/>
                <c:pt idx="1">
                  <c:v>1988-89</c:v>
                </c:pt>
                <c:pt idx="2">
                  <c:v>1989-90</c:v>
                </c:pt>
                <c:pt idx="3">
                  <c:v>1990-91</c:v>
                </c:pt>
                <c:pt idx="4">
                  <c:v>1991-92</c:v>
                </c:pt>
                <c:pt idx="5">
                  <c:v>1992-93</c:v>
                </c:pt>
                <c:pt idx="6">
                  <c:v>1993-94</c:v>
                </c:pt>
                <c:pt idx="7">
                  <c:v>1994-95</c:v>
                </c:pt>
                <c:pt idx="8">
                  <c:v>1995-96</c:v>
                </c:pt>
                <c:pt idx="9">
                  <c:v>1996-97</c:v>
                </c:pt>
                <c:pt idx="10">
                  <c:v>1997-98</c:v>
                </c:pt>
                <c:pt idx="11">
                  <c:v>1998-99</c:v>
                </c:pt>
                <c:pt idx="12">
                  <c:v>1999-00</c:v>
                </c:pt>
                <c:pt idx="13">
                  <c:v>2000-01</c:v>
                </c:pt>
                <c:pt idx="14">
                  <c:v>2001-02</c:v>
                </c:pt>
                <c:pt idx="15">
                  <c:v>2002-03</c:v>
                </c:pt>
                <c:pt idx="16">
                  <c:v>2003-04</c:v>
                </c:pt>
                <c:pt idx="17">
                  <c:v>2004-05</c:v>
                </c:pt>
                <c:pt idx="18">
                  <c:v>2005-06</c:v>
                </c:pt>
                <c:pt idx="19">
                  <c:v>2006-07</c:v>
                </c:pt>
                <c:pt idx="20">
                  <c:v>2007-08</c:v>
                </c:pt>
                <c:pt idx="21">
                  <c:v>2008-09</c:v>
                </c:pt>
                <c:pt idx="22">
                  <c:v>2009-10</c:v>
                </c:pt>
                <c:pt idx="23">
                  <c:v>2010-11</c:v>
                </c:pt>
                <c:pt idx="24">
                  <c:v>2011-12</c:v>
                </c:pt>
                <c:pt idx="25">
                  <c:v>2012-13</c:v>
                </c:pt>
                <c:pt idx="26">
                  <c:v>2013-14</c:v>
                </c:pt>
                <c:pt idx="27">
                  <c:v>2014-15</c:v>
                </c:pt>
                <c:pt idx="28">
                  <c:v>2015-16</c:v>
                </c:pt>
              </c:strCache>
            </c:strRef>
          </c:cat>
          <c:val>
            <c:numRef>
              <c:f>'Linear Volume - Charts (no apx)'!$BY$5:$BY$32</c:f>
              <c:numCache>
                <c:formatCode>0.00</c:formatCode>
                <c:ptCount val="28"/>
                <c:pt idx="0" formatCode="General">
                  <c:v>100</c:v>
                </c:pt>
                <c:pt idx="1">
                  <c:v>96.651093547528774</c:v>
                </c:pt>
                <c:pt idx="2">
                  <c:v>100.94961818624859</c:v>
                </c:pt>
                <c:pt idx="3">
                  <c:v>102.95809768819362</c:v>
                </c:pt>
                <c:pt idx="4">
                  <c:v>104.84616435992449</c:v>
                </c:pt>
                <c:pt idx="5">
                  <c:v>107.17726438249476</c:v>
                </c:pt>
                <c:pt idx="6">
                  <c:v>105.71695890902619</c:v>
                </c:pt>
                <c:pt idx="7">
                  <c:v>109.65643538592988</c:v>
                </c:pt>
                <c:pt idx="8">
                  <c:v>110.56069195544742</c:v>
                </c:pt>
                <c:pt idx="9">
                  <c:v>115.27038538501309</c:v>
                </c:pt>
                <c:pt idx="10">
                  <c:v>121.24125162172905</c:v>
                </c:pt>
                <c:pt idx="11">
                  <c:v>122.1669082542476</c:v>
                </c:pt>
                <c:pt idx="12">
                  <c:v>122.4914179089228</c:v>
                </c:pt>
                <c:pt idx="13">
                  <c:v>129.27254168835947</c:v>
                </c:pt>
                <c:pt idx="14">
                  <c:v>130.09353869270669</c:v>
                </c:pt>
                <c:pt idx="15">
                  <c:v>138.01956658354592</c:v>
                </c:pt>
                <c:pt idx="16">
                  <c:v>134.3356769690364</c:v>
                </c:pt>
                <c:pt idx="17">
                  <c:v>138.23667028679418</c:v>
                </c:pt>
                <c:pt idx="18">
                  <c:v>141.51275329755467</c:v>
                </c:pt>
                <c:pt idx="19">
                  <c:v>142.0959509910036</c:v>
                </c:pt>
                <c:pt idx="20">
                  <c:v>141.49608905630353</c:v>
                </c:pt>
                <c:pt idx="21">
                  <c:v>146.32769128050435</c:v>
                </c:pt>
                <c:pt idx="22">
                  <c:v>147.54561927004443</c:v>
                </c:pt>
                <c:pt idx="23">
                  <c:v>152.91427151277148</c:v>
                </c:pt>
                <c:pt idx="24">
                  <c:v>149.85625682247004</c:v>
                </c:pt>
                <c:pt idx="25">
                  <c:v>151.28724142778708</c:v>
                </c:pt>
                <c:pt idx="26">
                  <c:v>149.89711572044945</c:v>
                </c:pt>
                <c:pt idx="27">
                  <c:v>154.08333269598813</c:v>
                </c:pt>
              </c:numCache>
            </c:numRef>
          </c:val>
          <c:smooth val="0"/>
        </c:ser>
        <c:ser>
          <c:idx val="3"/>
          <c:order val="3"/>
          <c:tx>
            <c:strRef>
              <c:f>'Linear Volume - Charts (no apx)'!$BZ$3</c:f>
              <c:strCache>
                <c:ptCount val="1"/>
                <c:pt idx="0">
                  <c:v>Utilities </c:v>
                </c:pt>
              </c:strCache>
            </c:strRef>
          </c:tx>
          <c:marker>
            <c:symbol val="none"/>
          </c:marker>
          <c:cat>
            <c:strRef>
              <c:f>'Linear Volume - Charts (no apx)'!$BH$4:$BH$32</c:f>
              <c:strCache>
                <c:ptCount val="29"/>
                <c:pt idx="1">
                  <c:v>1988-89</c:v>
                </c:pt>
                <c:pt idx="2">
                  <c:v>1989-90</c:v>
                </c:pt>
                <c:pt idx="3">
                  <c:v>1990-91</c:v>
                </c:pt>
                <c:pt idx="4">
                  <c:v>1991-92</c:v>
                </c:pt>
                <c:pt idx="5">
                  <c:v>1992-93</c:v>
                </c:pt>
                <c:pt idx="6">
                  <c:v>1993-94</c:v>
                </c:pt>
                <c:pt idx="7">
                  <c:v>1994-95</c:v>
                </c:pt>
                <c:pt idx="8">
                  <c:v>1995-96</c:v>
                </c:pt>
                <c:pt idx="9">
                  <c:v>1996-97</c:v>
                </c:pt>
                <c:pt idx="10">
                  <c:v>1997-98</c:v>
                </c:pt>
                <c:pt idx="11">
                  <c:v>1998-99</c:v>
                </c:pt>
                <c:pt idx="12">
                  <c:v>1999-00</c:v>
                </c:pt>
                <c:pt idx="13">
                  <c:v>2000-01</c:v>
                </c:pt>
                <c:pt idx="14">
                  <c:v>2001-02</c:v>
                </c:pt>
                <c:pt idx="15">
                  <c:v>2002-03</c:v>
                </c:pt>
                <c:pt idx="16">
                  <c:v>2003-04</c:v>
                </c:pt>
                <c:pt idx="17">
                  <c:v>2004-05</c:v>
                </c:pt>
                <c:pt idx="18">
                  <c:v>2005-06</c:v>
                </c:pt>
                <c:pt idx="19">
                  <c:v>2006-07</c:v>
                </c:pt>
                <c:pt idx="20">
                  <c:v>2007-08</c:v>
                </c:pt>
                <c:pt idx="21">
                  <c:v>2008-09</c:v>
                </c:pt>
                <c:pt idx="22">
                  <c:v>2009-10</c:v>
                </c:pt>
                <c:pt idx="23">
                  <c:v>2010-11</c:v>
                </c:pt>
                <c:pt idx="24">
                  <c:v>2011-12</c:v>
                </c:pt>
                <c:pt idx="25">
                  <c:v>2012-13</c:v>
                </c:pt>
                <c:pt idx="26">
                  <c:v>2013-14</c:v>
                </c:pt>
                <c:pt idx="27">
                  <c:v>2014-15</c:v>
                </c:pt>
                <c:pt idx="28">
                  <c:v>2015-16</c:v>
                </c:pt>
              </c:strCache>
            </c:strRef>
          </c:cat>
          <c:val>
            <c:numRef>
              <c:f>'Linear Volume - Charts (no apx)'!$BZ$5:$BZ$32</c:f>
              <c:numCache>
                <c:formatCode>0.00</c:formatCode>
                <c:ptCount val="28"/>
                <c:pt idx="0" formatCode="General">
                  <c:v>100</c:v>
                </c:pt>
                <c:pt idx="1">
                  <c:v>107.13559825743735</c:v>
                </c:pt>
                <c:pt idx="2">
                  <c:v>114.96737762669973</c:v>
                </c:pt>
                <c:pt idx="3">
                  <c:v>113.45092861447172</c:v>
                </c:pt>
                <c:pt idx="4">
                  <c:v>124.60805699546167</c:v>
                </c:pt>
                <c:pt idx="5">
                  <c:v>131.48789407234875</c:v>
                </c:pt>
                <c:pt idx="6">
                  <c:v>139.78768856845721</c:v>
                </c:pt>
                <c:pt idx="7">
                  <c:v>151.23583516353307</c:v>
                </c:pt>
                <c:pt idx="8">
                  <c:v>176.76312282161496</c:v>
                </c:pt>
                <c:pt idx="9">
                  <c:v>183.65458325906181</c:v>
                </c:pt>
                <c:pt idx="10">
                  <c:v>176.97108502389437</c:v>
                </c:pt>
                <c:pt idx="11">
                  <c:v>186.87640878003359</c:v>
                </c:pt>
                <c:pt idx="12">
                  <c:v>187.6637724562037</c:v>
                </c:pt>
                <c:pt idx="13">
                  <c:v>179.87283606244338</c:v>
                </c:pt>
                <c:pt idx="14">
                  <c:v>172.85664432832712</c:v>
                </c:pt>
                <c:pt idx="15">
                  <c:v>169.34645749920631</c:v>
                </c:pt>
                <c:pt idx="16">
                  <c:v>162.68604997172528</c:v>
                </c:pt>
                <c:pt idx="17">
                  <c:v>151.96978222318359</c:v>
                </c:pt>
                <c:pt idx="18">
                  <c:v>149.89010379551553</c:v>
                </c:pt>
                <c:pt idx="19">
                  <c:v>138.85365717543118</c:v>
                </c:pt>
                <c:pt idx="20">
                  <c:v>128.40901888964066</c:v>
                </c:pt>
                <c:pt idx="21">
                  <c:v>125.57933603722809</c:v>
                </c:pt>
                <c:pt idx="22">
                  <c:v>115.93983449877234</c:v>
                </c:pt>
                <c:pt idx="23">
                  <c:v>113.73042857849778</c:v>
                </c:pt>
                <c:pt idx="24">
                  <c:v>122.85567065609291</c:v>
                </c:pt>
                <c:pt idx="25">
                  <c:v>112.95649941137344</c:v>
                </c:pt>
                <c:pt idx="26">
                  <c:v>122.81821544275444</c:v>
                </c:pt>
                <c:pt idx="27">
                  <c:v>122.05512065059479</c:v>
                </c:pt>
              </c:numCache>
            </c:numRef>
          </c:val>
          <c:smooth val="0"/>
        </c:ser>
        <c:ser>
          <c:idx val="4"/>
          <c:order val="4"/>
          <c:tx>
            <c:strRef>
              <c:f>'Linear Volume - Charts (no apx)'!$CA$3</c:f>
              <c:strCache>
                <c:ptCount val="1"/>
                <c:pt idx="0">
                  <c:v>Construction</c:v>
                </c:pt>
              </c:strCache>
            </c:strRef>
          </c:tx>
          <c:marker>
            <c:symbol val="none"/>
          </c:marker>
          <c:cat>
            <c:strRef>
              <c:f>'Linear Volume - Charts (no apx)'!$BH$4:$BH$32</c:f>
              <c:strCache>
                <c:ptCount val="29"/>
                <c:pt idx="1">
                  <c:v>1988-89</c:v>
                </c:pt>
                <c:pt idx="2">
                  <c:v>1989-90</c:v>
                </c:pt>
                <c:pt idx="3">
                  <c:v>1990-91</c:v>
                </c:pt>
                <c:pt idx="4">
                  <c:v>1991-92</c:v>
                </c:pt>
                <c:pt idx="5">
                  <c:v>1992-93</c:v>
                </c:pt>
                <c:pt idx="6">
                  <c:v>1993-94</c:v>
                </c:pt>
                <c:pt idx="7">
                  <c:v>1994-95</c:v>
                </c:pt>
                <c:pt idx="8">
                  <c:v>1995-96</c:v>
                </c:pt>
                <c:pt idx="9">
                  <c:v>1996-97</c:v>
                </c:pt>
                <c:pt idx="10">
                  <c:v>1997-98</c:v>
                </c:pt>
                <c:pt idx="11">
                  <c:v>1998-99</c:v>
                </c:pt>
                <c:pt idx="12">
                  <c:v>1999-00</c:v>
                </c:pt>
                <c:pt idx="13">
                  <c:v>2000-01</c:v>
                </c:pt>
                <c:pt idx="14">
                  <c:v>2001-02</c:v>
                </c:pt>
                <c:pt idx="15">
                  <c:v>2002-03</c:v>
                </c:pt>
                <c:pt idx="16">
                  <c:v>2003-04</c:v>
                </c:pt>
                <c:pt idx="17">
                  <c:v>2004-05</c:v>
                </c:pt>
                <c:pt idx="18">
                  <c:v>2005-06</c:v>
                </c:pt>
                <c:pt idx="19">
                  <c:v>2006-07</c:v>
                </c:pt>
                <c:pt idx="20">
                  <c:v>2007-08</c:v>
                </c:pt>
                <c:pt idx="21">
                  <c:v>2008-09</c:v>
                </c:pt>
                <c:pt idx="22">
                  <c:v>2009-10</c:v>
                </c:pt>
                <c:pt idx="23">
                  <c:v>2010-11</c:v>
                </c:pt>
                <c:pt idx="24">
                  <c:v>2011-12</c:v>
                </c:pt>
                <c:pt idx="25">
                  <c:v>2012-13</c:v>
                </c:pt>
                <c:pt idx="26">
                  <c:v>2013-14</c:v>
                </c:pt>
                <c:pt idx="27">
                  <c:v>2014-15</c:v>
                </c:pt>
                <c:pt idx="28">
                  <c:v>2015-16</c:v>
                </c:pt>
              </c:strCache>
            </c:strRef>
          </c:cat>
          <c:val>
            <c:numRef>
              <c:f>'Linear Volume - Charts (no apx)'!$CA$5:$CA$32</c:f>
              <c:numCache>
                <c:formatCode>0.00</c:formatCode>
                <c:ptCount val="28"/>
                <c:pt idx="0" formatCode="General">
                  <c:v>100</c:v>
                </c:pt>
                <c:pt idx="1">
                  <c:v>95.364665298061169</c:v>
                </c:pt>
                <c:pt idx="2">
                  <c:v>97.054858154669461</c:v>
                </c:pt>
                <c:pt idx="3">
                  <c:v>100.09280032190573</c:v>
                </c:pt>
                <c:pt idx="4">
                  <c:v>100.0511329770444</c:v>
                </c:pt>
                <c:pt idx="5">
                  <c:v>100.54833223303245</c:v>
                </c:pt>
                <c:pt idx="6">
                  <c:v>98.909136539163313</c:v>
                </c:pt>
                <c:pt idx="7">
                  <c:v>100.41078066660548</c:v>
                </c:pt>
                <c:pt idx="8">
                  <c:v>104.59820273813465</c:v>
                </c:pt>
                <c:pt idx="9">
                  <c:v>111.48064650530011</c:v>
                </c:pt>
                <c:pt idx="10">
                  <c:v>116.71080301622732</c:v>
                </c:pt>
                <c:pt idx="11">
                  <c:v>112.68919152538497</c:v>
                </c:pt>
                <c:pt idx="12">
                  <c:v>100.43217473309423</c:v>
                </c:pt>
                <c:pt idx="13">
                  <c:v>110.72769767560966</c:v>
                </c:pt>
                <c:pt idx="14">
                  <c:v>123.71842379863418</c:v>
                </c:pt>
                <c:pt idx="15">
                  <c:v>121.22102384802382</c:v>
                </c:pt>
                <c:pt idx="16">
                  <c:v>120.00432610009581</c:v>
                </c:pt>
                <c:pt idx="17">
                  <c:v>123.61717130418953</c:v>
                </c:pt>
                <c:pt idx="18">
                  <c:v>120.30412162827979</c:v>
                </c:pt>
                <c:pt idx="19">
                  <c:v>125.06447981449385</c:v>
                </c:pt>
                <c:pt idx="20">
                  <c:v>127.94491931735159</c:v>
                </c:pt>
                <c:pt idx="21">
                  <c:v>128.38131485011021</c:v>
                </c:pt>
                <c:pt idx="22">
                  <c:v>130.0091486399082</c:v>
                </c:pt>
                <c:pt idx="23">
                  <c:v>144.13438322086856</c:v>
                </c:pt>
                <c:pt idx="24">
                  <c:v>148.28822243255769</c:v>
                </c:pt>
                <c:pt idx="25">
                  <c:v>148.60822698767348</c:v>
                </c:pt>
                <c:pt idx="26">
                  <c:v>146.62588916944893</c:v>
                </c:pt>
                <c:pt idx="27">
                  <c:v>148.84226849937343</c:v>
                </c:pt>
              </c:numCache>
            </c:numRef>
          </c:val>
          <c:smooth val="0"/>
        </c:ser>
        <c:ser>
          <c:idx val="5"/>
          <c:order val="5"/>
          <c:tx>
            <c:strRef>
              <c:f>'Linear Volume - Charts (no apx)'!$CB$3</c:f>
              <c:strCache>
                <c:ptCount val="1"/>
                <c:pt idx="0">
                  <c:v>Services </c:v>
                </c:pt>
              </c:strCache>
            </c:strRef>
          </c:tx>
          <c:marker>
            <c:symbol val="none"/>
          </c:marker>
          <c:cat>
            <c:strRef>
              <c:f>'Linear Volume - Charts (no apx)'!$BH$4:$BH$32</c:f>
              <c:strCache>
                <c:ptCount val="29"/>
                <c:pt idx="1">
                  <c:v>1988-89</c:v>
                </c:pt>
                <c:pt idx="2">
                  <c:v>1989-90</c:v>
                </c:pt>
                <c:pt idx="3">
                  <c:v>1990-91</c:v>
                </c:pt>
                <c:pt idx="4">
                  <c:v>1991-92</c:v>
                </c:pt>
                <c:pt idx="5">
                  <c:v>1992-93</c:v>
                </c:pt>
                <c:pt idx="6">
                  <c:v>1993-94</c:v>
                </c:pt>
                <c:pt idx="7">
                  <c:v>1994-95</c:v>
                </c:pt>
                <c:pt idx="8">
                  <c:v>1995-96</c:v>
                </c:pt>
                <c:pt idx="9">
                  <c:v>1996-97</c:v>
                </c:pt>
                <c:pt idx="10">
                  <c:v>1997-98</c:v>
                </c:pt>
                <c:pt idx="11">
                  <c:v>1998-99</c:v>
                </c:pt>
                <c:pt idx="12">
                  <c:v>1999-00</c:v>
                </c:pt>
                <c:pt idx="13">
                  <c:v>2000-01</c:v>
                </c:pt>
                <c:pt idx="14">
                  <c:v>2001-02</c:v>
                </c:pt>
                <c:pt idx="15">
                  <c:v>2002-03</c:v>
                </c:pt>
                <c:pt idx="16">
                  <c:v>2003-04</c:v>
                </c:pt>
                <c:pt idx="17">
                  <c:v>2004-05</c:v>
                </c:pt>
                <c:pt idx="18">
                  <c:v>2005-06</c:v>
                </c:pt>
                <c:pt idx="19">
                  <c:v>2006-07</c:v>
                </c:pt>
                <c:pt idx="20">
                  <c:v>2007-08</c:v>
                </c:pt>
                <c:pt idx="21">
                  <c:v>2008-09</c:v>
                </c:pt>
                <c:pt idx="22">
                  <c:v>2009-10</c:v>
                </c:pt>
                <c:pt idx="23">
                  <c:v>2010-11</c:v>
                </c:pt>
                <c:pt idx="24">
                  <c:v>2011-12</c:v>
                </c:pt>
                <c:pt idx="25">
                  <c:v>2012-13</c:v>
                </c:pt>
                <c:pt idx="26">
                  <c:v>2013-14</c:v>
                </c:pt>
                <c:pt idx="27">
                  <c:v>2014-15</c:v>
                </c:pt>
                <c:pt idx="28">
                  <c:v>2015-16</c:v>
                </c:pt>
              </c:strCache>
            </c:strRef>
          </c:cat>
          <c:val>
            <c:numRef>
              <c:f>'Linear Volume - Charts (no apx)'!$CB$5:$CB$32</c:f>
              <c:numCache>
                <c:formatCode>0.00</c:formatCode>
                <c:ptCount val="28"/>
                <c:pt idx="0" formatCode="General">
                  <c:v>100</c:v>
                </c:pt>
                <c:pt idx="1">
                  <c:v>98.921570957672031</c:v>
                </c:pt>
                <c:pt idx="2">
                  <c:v>98.775034024080426</c:v>
                </c:pt>
                <c:pt idx="3">
                  <c:v>99.814880264422996</c:v>
                </c:pt>
                <c:pt idx="4">
                  <c:v>104.72347972033738</c:v>
                </c:pt>
                <c:pt idx="5">
                  <c:v>105.55101250198717</c:v>
                </c:pt>
                <c:pt idx="6">
                  <c:v>105.85712547320713</c:v>
                </c:pt>
                <c:pt idx="7">
                  <c:v>105.95407485293231</c:v>
                </c:pt>
                <c:pt idx="8">
                  <c:v>110.9117638500297</c:v>
                </c:pt>
                <c:pt idx="9">
                  <c:v>114.69364919000088</c:v>
                </c:pt>
                <c:pt idx="10">
                  <c:v>119.00962427198503</c:v>
                </c:pt>
                <c:pt idx="11">
                  <c:v>120.94952357463298</c:v>
                </c:pt>
                <c:pt idx="12">
                  <c:v>122.08034641247345</c:v>
                </c:pt>
                <c:pt idx="13">
                  <c:v>127.14915235003291</c:v>
                </c:pt>
                <c:pt idx="14">
                  <c:v>127.3612710236699</c:v>
                </c:pt>
                <c:pt idx="15">
                  <c:v>130.90713761920824</c:v>
                </c:pt>
                <c:pt idx="16">
                  <c:v>132.07601089320912</c:v>
                </c:pt>
                <c:pt idx="17">
                  <c:v>132.2707047782728</c:v>
                </c:pt>
                <c:pt idx="18">
                  <c:v>135.35373845344088</c:v>
                </c:pt>
                <c:pt idx="19">
                  <c:v>136.49655031164778</c:v>
                </c:pt>
                <c:pt idx="20">
                  <c:v>138.25543453473261</c:v>
                </c:pt>
                <c:pt idx="21">
                  <c:v>140.35919788061966</c:v>
                </c:pt>
                <c:pt idx="22">
                  <c:v>140.75382657754292</c:v>
                </c:pt>
                <c:pt idx="23">
                  <c:v>142.58652780736995</c:v>
                </c:pt>
                <c:pt idx="24">
                  <c:v>145.35545298975097</c:v>
                </c:pt>
                <c:pt idx="25">
                  <c:v>149.01552914878636</c:v>
                </c:pt>
                <c:pt idx="26">
                  <c:v>150.38098623968378</c:v>
                </c:pt>
                <c:pt idx="27">
                  <c:v>151.78196630937924</c:v>
                </c:pt>
              </c:numCache>
            </c:numRef>
          </c:val>
          <c:smooth val="0"/>
        </c:ser>
        <c:dLbls>
          <c:showLegendKey val="0"/>
          <c:showVal val="0"/>
          <c:showCatName val="0"/>
          <c:showSerName val="0"/>
          <c:showPercent val="0"/>
          <c:showBubbleSize val="0"/>
        </c:dLbls>
        <c:marker val="1"/>
        <c:smooth val="0"/>
        <c:axId val="142935936"/>
        <c:axId val="142934016"/>
      </c:lineChart>
      <c:catAx>
        <c:axId val="13840832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8409856"/>
        <c:crosses val="autoZero"/>
        <c:auto val="1"/>
        <c:lblAlgn val="ctr"/>
        <c:lblOffset val="100"/>
        <c:tickLblSkip val="3"/>
        <c:noMultiLvlLbl val="0"/>
      </c:catAx>
      <c:valAx>
        <c:axId val="138409856"/>
        <c:scaling>
          <c:orientation val="minMax"/>
          <c:max val="300"/>
          <c:min val="75"/>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5.6899641577060935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8408320"/>
        <c:crosses val="autoZero"/>
        <c:crossBetween val="midCat"/>
        <c:majorUnit val="25"/>
      </c:valAx>
      <c:valAx>
        <c:axId val="142934016"/>
        <c:scaling>
          <c:orientation val="minMax"/>
          <c:max val="300"/>
          <c:min val="75"/>
        </c:scaling>
        <c:delete val="0"/>
        <c:axPos val="r"/>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Arial"/>
                    <a:ea typeface="Arial"/>
                    <a:cs typeface="Arial"/>
                  </a:defRPr>
                </a:pPr>
                <a:r>
                  <a:rPr lang="en-US"/>
                  <a:t>Index</a:t>
                </a:r>
              </a:p>
            </c:rich>
          </c:tx>
          <c:layout>
            <c:manualLayout>
              <c:xMode val="edge"/>
              <c:yMode val="edge"/>
              <c:x val="0.8436430107526882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2935936"/>
        <c:crosses val="max"/>
        <c:crossBetween val="midCat"/>
        <c:majorUnit val="25"/>
        <c:minorUnit val="10"/>
      </c:valAx>
      <c:catAx>
        <c:axId val="142935936"/>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429340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3.7301971326164876E-2"/>
          <c:y val="0.92046284722222227"/>
          <c:w val="0.95953584229390676"/>
          <c:h val="7.9537152777777786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8863492063492063E-2"/>
          <c:w val="0.98862007168458776"/>
          <c:h val="0.97113650793650796"/>
        </c:manualLayout>
      </c:layout>
      <c:lineChart>
        <c:grouping val="standard"/>
        <c:varyColors val="0"/>
        <c:ser>
          <c:idx val="6"/>
          <c:order val="6"/>
          <c:tx>
            <c:strRef>
              <c:f>'Linear Volume - Charts (no apx)'!$W$3</c:f>
              <c:strCache>
                <c:ptCount val="1"/>
                <c:pt idx="0">
                  <c:v>Agriculture, forestry and fishing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apx)'!$W$5:$W$32</c:f>
              <c:numCache>
                <c:formatCode>General</c:formatCode>
                <c:ptCount val="28"/>
                <c:pt idx="0">
                  <c:v>3.2542117804439616</c:v>
                </c:pt>
                <c:pt idx="1">
                  <c:v>3.3822671920403633</c:v>
                </c:pt>
                <c:pt idx="2">
                  <c:v>3.5737258862351329</c:v>
                </c:pt>
                <c:pt idx="3">
                  <c:v>3.4038120624733117</c:v>
                </c:pt>
                <c:pt idx="4">
                  <c:v>3.4606401012412995</c:v>
                </c:pt>
                <c:pt idx="5">
                  <c:v>3.4569163053691829</c:v>
                </c:pt>
                <c:pt idx="6">
                  <c:v>2.840624625768482</c:v>
                </c:pt>
                <c:pt idx="7">
                  <c:v>3.2986711285036709</c:v>
                </c:pt>
                <c:pt idx="8">
                  <c:v>3.4328971460560314</c:v>
                </c:pt>
                <c:pt idx="9">
                  <c:v>3.2949220965067991</c:v>
                </c:pt>
                <c:pt idx="10">
                  <c:v>3.4311093049245995</c:v>
                </c:pt>
                <c:pt idx="11">
                  <c:v>3.5142960129297816</c:v>
                </c:pt>
                <c:pt idx="12">
                  <c:v>3.5750478806138739</c:v>
                </c:pt>
                <c:pt idx="13">
                  <c:v>3.5320455445674561</c:v>
                </c:pt>
                <c:pt idx="14">
                  <c:v>2.7070385340763878</c:v>
                </c:pt>
                <c:pt idx="15">
                  <c:v>3.2618447973325972</c:v>
                </c:pt>
                <c:pt idx="16">
                  <c:v>3.2952142017534074</c:v>
                </c:pt>
                <c:pt idx="17">
                  <c:v>3.2819301462846902</c:v>
                </c:pt>
                <c:pt idx="18">
                  <c:v>2.6780534047578985</c:v>
                </c:pt>
                <c:pt idx="19">
                  <c:v>2.7484106402060537</c:v>
                </c:pt>
                <c:pt idx="20">
                  <c:v>3.1772924507780957</c:v>
                </c:pt>
                <c:pt idx="21">
                  <c:v>3.0813791444180976</c:v>
                </c:pt>
                <c:pt idx="22">
                  <c:v>3.1155535417810443</c:v>
                </c:pt>
                <c:pt idx="23">
                  <c:v>3.0375692451975427</c:v>
                </c:pt>
                <c:pt idx="24">
                  <c:v>2.9401115326768461</c:v>
                </c:pt>
                <c:pt idx="25">
                  <c:v>2.8792470888498962</c:v>
                </c:pt>
                <c:pt idx="26">
                  <c:v>2.8305693862966339</c:v>
                </c:pt>
                <c:pt idx="27">
                  <c:v>2.6173561061168291</c:v>
                </c:pt>
              </c:numCache>
            </c:numRef>
          </c:val>
          <c:smooth val="0"/>
        </c:ser>
        <c:ser>
          <c:idx val="7"/>
          <c:order val="7"/>
          <c:tx>
            <c:strRef>
              <c:f>'Linear Volume - Charts (no apx)'!$X$3</c:f>
              <c:strCache>
                <c:ptCount val="1"/>
                <c:pt idx="0">
                  <c:v>Mining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apx)'!$X$5:$X$32</c:f>
              <c:numCache>
                <c:formatCode>General</c:formatCode>
                <c:ptCount val="28"/>
                <c:pt idx="0">
                  <c:v>5.5843819238326162</c:v>
                </c:pt>
                <c:pt idx="1">
                  <c:v>5.9025831230392862</c:v>
                </c:pt>
                <c:pt idx="2">
                  <c:v>6.2451354358971063</c:v>
                </c:pt>
                <c:pt idx="3">
                  <c:v>6.5687232308070556</c:v>
                </c:pt>
                <c:pt idx="4">
                  <c:v>6.4080430587996338</c:v>
                </c:pt>
                <c:pt idx="5">
                  <c:v>6.2539807664352267</c:v>
                </c:pt>
                <c:pt idx="6">
                  <c:v>6.4525809891110359</c:v>
                </c:pt>
                <c:pt idx="7">
                  <c:v>6.7411535323644509</c:v>
                </c:pt>
                <c:pt idx="8">
                  <c:v>6.567541656306056</c:v>
                </c:pt>
                <c:pt idx="9">
                  <c:v>6.5137693006589341</c:v>
                </c:pt>
                <c:pt idx="10">
                  <c:v>6.1573220704703013</c:v>
                </c:pt>
                <c:pt idx="11">
                  <c:v>6.2142018301687152</c:v>
                </c:pt>
                <c:pt idx="12">
                  <c:v>6.5905586944590571</c:v>
                </c:pt>
                <c:pt idx="13">
                  <c:v>6.351882772852707</c:v>
                </c:pt>
                <c:pt idx="14">
                  <c:v>6.1999400396758739</c:v>
                </c:pt>
                <c:pt idx="15">
                  <c:v>5.7818844335995783</c:v>
                </c:pt>
                <c:pt idx="16">
                  <c:v>5.9155549546153035</c:v>
                </c:pt>
                <c:pt idx="17">
                  <c:v>5.8411465411959282</c:v>
                </c:pt>
                <c:pt idx="18">
                  <c:v>6.1276355508233413</c:v>
                </c:pt>
                <c:pt idx="19">
                  <c:v>6.0448245850434503</c:v>
                </c:pt>
                <c:pt idx="20">
                  <c:v>6.1229371171160247</c:v>
                </c:pt>
                <c:pt idx="21">
                  <c:v>6.4574856427369074</c:v>
                </c:pt>
                <c:pt idx="22">
                  <c:v>6.4390531879005968</c:v>
                </c:pt>
                <c:pt idx="23">
                  <c:v>6.6555662409295753</c:v>
                </c:pt>
                <c:pt idx="24">
                  <c:v>7.0827427630642399</c:v>
                </c:pt>
                <c:pt idx="25">
                  <c:v>7.5562742094222246</c:v>
                </c:pt>
                <c:pt idx="26">
                  <c:v>7.9373045536522691</c:v>
                </c:pt>
                <c:pt idx="27">
                  <c:v>8.2052864166002504</c:v>
                </c:pt>
              </c:numCache>
            </c:numRef>
          </c:val>
          <c:smooth val="0"/>
        </c:ser>
        <c:ser>
          <c:idx val="8"/>
          <c:order val="8"/>
          <c:tx>
            <c:strRef>
              <c:f>'Linear Volume - Charts (no apx)'!$Y$3</c:f>
              <c:strCache>
                <c:ptCount val="1"/>
                <c:pt idx="0">
                  <c:v>Manufacturing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apx)'!$Y$5:$Y$32</c:f>
              <c:numCache>
                <c:formatCode>General</c:formatCode>
                <c:ptCount val="28"/>
                <c:pt idx="0">
                  <c:v>14.536683249028052</c:v>
                </c:pt>
                <c:pt idx="1">
                  <c:v>13.799733672159745</c:v>
                </c:pt>
                <c:pt idx="2">
                  <c:v>13.510944867201422</c:v>
                </c:pt>
                <c:pt idx="3">
                  <c:v>13.186294173212044</c:v>
                </c:pt>
                <c:pt idx="4">
                  <c:v>13.009194522345735</c:v>
                </c:pt>
                <c:pt idx="5">
                  <c:v>13.035183606061103</c:v>
                </c:pt>
                <c:pt idx="6">
                  <c:v>12.816139965112605</c:v>
                </c:pt>
                <c:pt idx="7">
                  <c:v>12.56385082345783</c:v>
                </c:pt>
                <c:pt idx="8">
                  <c:v>12.286333168006786</c:v>
                </c:pt>
                <c:pt idx="9">
                  <c:v>12.121903324995253</c:v>
                </c:pt>
                <c:pt idx="10">
                  <c:v>11.75476663909007</c:v>
                </c:pt>
                <c:pt idx="11">
                  <c:v>11.432159343278721</c:v>
                </c:pt>
                <c:pt idx="12">
                  <c:v>11.447053491925768</c:v>
                </c:pt>
                <c:pt idx="13">
                  <c:v>11.261513615007035</c:v>
                </c:pt>
                <c:pt idx="14">
                  <c:v>11.37173062080198</c:v>
                </c:pt>
                <c:pt idx="15">
                  <c:v>11.04499408816727</c:v>
                </c:pt>
                <c:pt idx="16">
                  <c:v>10.613317647476823</c:v>
                </c:pt>
                <c:pt idx="17">
                  <c:v>10.256294912386151</c:v>
                </c:pt>
                <c:pt idx="18">
                  <c:v>10.052768483450889</c:v>
                </c:pt>
                <c:pt idx="19">
                  <c:v>10.037596808468338</c:v>
                </c:pt>
                <c:pt idx="20">
                  <c:v>9.3383608904357107</c:v>
                </c:pt>
                <c:pt idx="21">
                  <c:v>9.1746702213547291</c:v>
                </c:pt>
                <c:pt idx="22">
                  <c:v>8.9407729807317047</c:v>
                </c:pt>
                <c:pt idx="23">
                  <c:v>8.6509406219947387</c:v>
                </c:pt>
                <c:pt idx="24">
                  <c:v>8.1429066579190046</c:v>
                </c:pt>
                <c:pt idx="25">
                  <c:v>7.8043502469473935</c:v>
                </c:pt>
                <c:pt idx="26">
                  <c:v>7.4950877023066891</c:v>
                </c:pt>
                <c:pt idx="27">
                  <c:v>7.1014262983943075</c:v>
                </c:pt>
              </c:numCache>
            </c:numRef>
          </c:val>
          <c:smooth val="0"/>
        </c:ser>
        <c:ser>
          <c:idx val="9"/>
          <c:order val="9"/>
          <c:tx>
            <c:strRef>
              <c:f>'Linear Volume - Charts (no apx)'!$Z$3</c:f>
              <c:strCache>
                <c:ptCount val="1"/>
                <c:pt idx="0">
                  <c:v>Utilities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apx)'!$Z$5:$Z$32</c:f>
              <c:numCache>
                <c:formatCode>General</c:formatCode>
                <c:ptCount val="28"/>
                <c:pt idx="0">
                  <c:v>4.744784917018519</c:v>
                </c:pt>
                <c:pt idx="1">
                  <c:v>4.7784804534962362</c:v>
                </c:pt>
                <c:pt idx="2">
                  <c:v>4.8602221779095718</c:v>
                </c:pt>
                <c:pt idx="3">
                  <c:v>4.9305456709928706</c:v>
                </c:pt>
                <c:pt idx="4">
                  <c:v>4.8458335611783365</c:v>
                </c:pt>
                <c:pt idx="5">
                  <c:v>4.7953530124941741</c:v>
                </c:pt>
                <c:pt idx="6">
                  <c:v>4.734037718208536</c:v>
                </c:pt>
                <c:pt idx="7">
                  <c:v>4.5826016012832396</c:v>
                </c:pt>
                <c:pt idx="8">
                  <c:v>4.3894862954044092</c:v>
                </c:pt>
                <c:pt idx="9">
                  <c:v>4.3592060176896421</c:v>
                </c:pt>
                <c:pt idx="10">
                  <c:v>4.2282906863670009</c:v>
                </c:pt>
                <c:pt idx="11">
                  <c:v>4.1468320872527702</c:v>
                </c:pt>
                <c:pt idx="12">
                  <c:v>4.1411891699858581</c:v>
                </c:pt>
                <c:pt idx="13">
                  <c:v>3.9984987712245519</c:v>
                </c:pt>
                <c:pt idx="14">
                  <c:v>3.9218729734154634</c:v>
                </c:pt>
                <c:pt idx="15">
                  <c:v>3.7714539442261099</c:v>
                </c:pt>
                <c:pt idx="16">
                  <c:v>3.6872290217295829</c:v>
                </c:pt>
                <c:pt idx="17">
                  <c:v>3.6349123095829681</c:v>
                </c:pt>
                <c:pt idx="18">
                  <c:v>3.5293922935395154</c:v>
                </c:pt>
                <c:pt idx="19">
                  <c:v>3.3974967859367613</c:v>
                </c:pt>
                <c:pt idx="20">
                  <c:v>3.4767966569229585</c:v>
                </c:pt>
                <c:pt idx="21">
                  <c:v>3.4355772089938017</c:v>
                </c:pt>
                <c:pt idx="22">
                  <c:v>3.446448297074368</c:v>
                </c:pt>
                <c:pt idx="23">
                  <c:v>3.3326710167619082</c:v>
                </c:pt>
                <c:pt idx="24">
                  <c:v>3.2679940829501075</c:v>
                </c:pt>
                <c:pt idx="25">
                  <c:v>3.0988812876779117</c:v>
                </c:pt>
                <c:pt idx="26">
                  <c:v>3.0781286457026384</c:v>
                </c:pt>
                <c:pt idx="27">
                  <c:v>3.0588430214787454</c:v>
                </c:pt>
              </c:numCache>
            </c:numRef>
          </c:val>
          <c:smooth val="0"/>
        </c:ser>
        <c:ser>
          <c:idx val="10"/>
          <c:order val="10"/>
          <c:tx>
            <c:strRef>
              <c:f>'Linear Volume - Charts (no apx)'!$AA$3</c:f>
              <c:strCache>
                <c:ptCount val="1"/>
                <c:pt idx="0">
                  <c:v>Construction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apx)'!$AA$5:$AA$32</c:f>
              <c:numCache>
                <c:formatCode>General</c:formatCode>
                <c:ptCount val="28"/>
                <c:pt idx="0">
                  <c:v>8.1025040759165581</c:v>
                </c:pt>
                <c:pt idx="1">
                  <c:v>7.9620458732838477</c:v>
                </c:pt>
                <c:pt idx="2">
                  <c:v>7.4517081454512706</c:v>
                </c:pt>
                <c:pt idx="3">
                  <c:v>6.8741023019888461</c:v>
                </c:pt>
                <c:pt idx="4">
                  <c:v>7.0262711798204842</c:v>
                </c:pt>
                <c:pt idx="5">
                  <c:v>7.1515171497037944</c:v>
                </c:pt>
                <c:pt idx="6">
                  <c:v>7.2660430797288083</c:v>
                </c:pt>
                <c:pt idx="7">
                  <c:v>7.0896193149605216</c:v>
                </c:pt>
                <c:pt idx="8">
                  <c:v>7.0090034266475367</c:v>
                </c:pt>
                <c:pt idx="9">
                  <c:v>7.3951931372036803</c:v>
                </c:pt>
                <c:pt idx="10">
                  <c:v>7.6775424897313451</c:v>
                </c:pt>
                <c:pt idx="11">
                  <c:v>7.8810041510179882</c:v>
                </c:pt>
                <c:pt idx="12">
                  <c:v>6.6111684236176114</c:v>
                </c:pt>
                <c:pt idx="13">
                  <c:v>7.1321497114620787</c:v>
                </c:pt>
                <c:pt idx="14">
                  <c:v>8.0617931538917862</c:v>
                </c:pt>
                <c:pt idx="15">
                  <c:v>8.2759547788078365</c:v>
                </c:pt>
                <c:pt idx="16">
                  <c:v>8.4062110464881012</c:v>
                </c:pt>
                <c:pt idx="17">
                  <c:v>8.815844381572953</c:v>
                </c:pt>
                <c:pt idx="18">
                  <c:v>8.9470117628020347</c:v>
                </c:pt>
                <c:pt idx="19">
                  <c:v>9.2033982920180772</c:v>
                </c:pt>
                <c:pt idx="20">
                  <c:v>9.3998909790823699</c:v>
                </c:pt>
                <c:pt idx="21">
                  <c:v>9.2426125432369854</c:v>
                </c:pt>
                <c:pt idx="22">
                  <c:v>9.2808454766141253</c:v>
                </c:pt>
                <c:pt idx="23">
                  <c:v>9.8327783120464787</c:v>
                </c:pt>
                <c:pt idx="24">
                  <c:v>9.8376370174602492</c:v>
                </c:pt>
                <c:pt idx="25">
                  <c:v>10.001670393701263</c:v>
                </c:pt>
                <c:pt idx="26">
                  <c:v>9.5813651124875818</c:v>
                </c:pt>
                <c:pt idx="27">
                  <c:v>9.5825941891123705</c:v>
                </c:pt>
              </c:numCache>
            </c:numRef>
          </c:val>
          <c:smooth val="0"/>
        </c:ser>
        <c:ser>
          <c:idx val="11"/>
          <c:order val="11"/>
          <c:tx>
            <c:strRef>
              <c:f>'Linear Volume - Charts (no apx)'!$AB$3</c:f>
              <c:strCache>
                <c:ptCount val="1"/>
                <c:pt idx="0">
                  <c:v>Services (RHS)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apx)'!$AB$5:$AB$32</c:f>
              <c:numCache>
                <c:formatCode>General</c:formatCode>
                <c:ptCount val="28"/>
                <c:pt idx="0">
                  <c:v>63.777434053760295</c:v>
                </c:pt>
                <c:pt idx="1">
                  <c:v>64.174889685980517</c:v>
                </c:pt>
                <c:pt idx="2">
                  <c:v>64.358263487305507</c:v>
                </c:pt>
                <c:pt idx="3">
                  <c:v>65.036522560525881</c:v>
                </c:pt>
                <c:pt idx="4">
                  <c:v>65.250017576614511</c:v>
                </c:pt>
                <c:pt idx="5">
                  <c:v>65.307049159936511</c:v>
                </c:pt>
                <c:pt idx="6">
                  <c:v>65.890573622070534</c:v>
                </c:pt>
                <c:pt idx="7">
                  <c:v>65.724103599430279</c:v>
                </c:pt>
                <c:pt idx="8">
                  <c:v>66.314738307579177</c:v>
                </c:pt>
                <c:pt idx="9">
                  <c:v>66.315006122945704</c:v>
                </c:pt>
                <c:pt idx="10">
                  <c:v>66.750968809416676</c:v>
                </c:pt>
                <c:pt idx="11">
                  <c:v>66.811506575352013</c:v>
                </c:pt>
                <c:pt idx="12">
                  <c:v>67.634982339397837</c:v>
                </c:pt>
                <c:pt idx="13">
                  <c:v>67.723909584886172</c:v>
                </c:pt>
                <c:pt idx="14">
                  <c:v>67.737624678138502</c:v>
                </c:pt>
                <c:pt idx="15">
                  <c:v>67.863867957866603</c:v>
                </c:pt>
                <c:pt idx="16">
                  <c:v>68.08247312793678</c:v>
                </c:pt>
                <c:pt idx="17">
                  <c:v>68.169871708977311</c:v>
                </c:pt>
                <c:pt idx="18">
                  <c:v>68.665138504626327</c:v>
                </c:pt>
                <c:pt idx="19">
                  <c:v>68.568272888327314</c:v>
                </c:pt>
                <c:pt idx="20">
                  <c:v>68.484721905664841</c:v>
                </c:pt>
                <c:pt idx="21">
                  <c:v>68.60827523925947</c:v>
                </c:pt>
                <c:pt idx="22">
                  <c:v>68.777326515898167</c:v>
                </c:pt>
                <c:pt idx="23">
                  <c:v>68.490474563069753</c:v>
                </c:pt>
                <c:pt idx="24">
                  <c:v>68.728607945929554</c:v>
                </c:pt>
                <c:pt idx="25">
                  <c:v>68.659576773401312</c:v>
                </c:pt>
                <c:pt idx="26">
                  <c:v>69.077544599554187</c:v>
                </c:pt>
                <c:pt idx="27">
                  <c:v>69.434493968297488</c:v>
                </c:pt>
              </c:numCache>
            </c:numRef>
          </c:val>
          <c:smooth val="0"/>
        </c:ser>
        <c:ser>
          <c:idx val="0"/>
          <c:order val="0"/>
          <c:tx>
            <c:strRef>
              <c:f>'Linear Volume - Charts (no apx)'!$W$3</c:f>
              <c:strCache>
                <c:ptCount val="1"/>
                <c:pt idx="0">
                  <c:v>Agriculture, forestry and fishing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apx)'!$W$5:$W$32</c:f>
              <c:numCache>
                <c:formatCode>General</c:formatCode>
                <c:ptCount val="28"/>
                <c:pt idx="0">
                  <c:v>3.2542117804439616</c:v>
                </c:pt>
                <c:pt idx="1">
                  <c:v>3.3822671920403633</c:v>
                </c:pt>
                <c:pt idx="2">
                  <c:v>3.5737258862351329</c:v>
                </c:pt>
                <c:pt idx="3">
                  <c:v>3.4038120624733117</c:v>
                </c:pt>
                <c:pt idx="4">
                  <c:v>3.4606401012412995</c:v>
                </c:pt>
                <c:pt idx="5">
                  <c:v>3.4569163053691829</c:v>
                </c:pt>
                <c:pt idx="6">
                  <c:v>2.840624625768482</c:v>
                </c:pt>
                <c:pt idx="7">
                  <c:v>3.2986711285036709</c:v>
                </c:pt>
                <c:pt idx="8">
                  <c:v>3.4328971460560314</c:v>
                </c:pt>
                <c:pt idx="9">
                  <c:v>3.2949220965067991</c:v>
                </c:pt>
                <c:pt idx="10">
                  <c:v>3.4311093049245995</c:v>
                </c:pt>
                <c:pt idx="11">
                  <c:v>3.5142960129297816</c:v>
                </c:pt>
                <c:pt idx="12">
                  <c:v>3.5750478806138739</c:v>
                </c:pt>
                <c:pt idx="13">
                  <c:v>3.5320455445674561</c:v>
                </c:pt>
                <c:pt idx="14">
                  <c:v>2.7070385340763878</c:v>
                </c:pt>
                <c:pt idx="15">
                  <c:v>3.2618447973325972</c:v>
                </c:pt>
                <c:pt idx="16">
                  <c:v>3.2952142017534074</c:v>
                </c:pt>
                <c:pt idx="17">
                  <c:v>3.2819301462846902</c:v>
                </c:pt>
                <c:pt idx="18">
                  <c:v>2.6780534047578985</c:v>
                </c:pt>
                <c:pt idx="19">
                  <c:v>2.7484106402060537</c:v>
                </c:pt>
                <c:pt idx="20">
                  <c:v>3.1772924507780957</c:v>
                </c:pt>
                <c:pt idx="21">
                  <c:v>3.0813791444180976</c:v>
                </c:pt>
                <c:pt idx="22">
                  <c:v>3.1155535417810443</c:v>
                </c:pt>
                <c:pt idx="23">
                  <c:v>3.0375692451975427</c:v>
                </c:pt>
                <c:pt idx="24">
                  <c:v>2.9401115326768461</c:v>
                </c:pt>
                <c:pt idx="25">
                  <c:v>2.8792470888498962</c:v>
                </c:pt>
                <c:pt idx="26">
                  <c:v>2.8305693862966339</c:v>
                </c:pt>
                <c:pt idx="27">
                  <c:v>2.6173561061168291</c:v>
                </c:pt>
              </c:numCache>
            </c:numRef>
          </c:val>
          <c:smooth val="0"/>
        </c:ser>
        <c:ser>
          <c:idx val="1"/>
          <c:order val="1"/>
          <c:tx>
            <c:strRef>
              <c:f>'Linear Volume - Charts (no apx)'!$X$3</c:f>
              <c:strCache>
                <c:ptCount val="1"/>
                <c:pt idx="0">
                  <c:v>Mining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apx)'!$X$5:$X$32</c:f>
              <c:numCache>
                <c:formatCode>General</c:formatCode>
                <c:ptCount val="28"/>
                <c:pt idx="0">
                  <c:v>5.5843819238326162</c:v>
                </c:pt>
                <c:pt idx="1">
                  <c:v>5.9025831230392862</c:v>
                </c:pt>
                <c:pt idx="2">
                  <c:v>6.2451354358971063</c:v>
                </c:pt>
                <c:pt idx="3">
                  <c:v>6.5687232308070556</c:v>
                </c:pt>
                <c:pt idx="4">
                  <c:v>6.4080430587996338</c:v>
                </c:pt>
                <c:pt idx="5">
                  <c:v>6.2539807664352267</c:v>
                </c:pt>
                <c:pt idx="6">
                  <c:v>6.4525809891110359</c:v>
                </c:pt>
                <c:pt idx="7">
                  <c:v>6.7411535323644509</c:v>
                </c:pt>
                <c:pt idx="8">
                  <c:v>6.567541656306056</c:v>
                </c:pt>
                <c:pt idx="9">
                  <c:v>6.5137693006589341</c:v>
                </c:pt>
                <c:pt idx="10">
                  <c:v>6.1573220704703013</c:v>
                </c:pt>
                <c:pt idx="11">
                  <c:v>6.2142018301687152</c:v>
                </c:pt>
                <c:pt idx="12">
                  <c:v>6.5905586944590571</c:v>
                </c:pt>
                <c:pt idx="13">
                  <c:v>6.351882772852707</c:v>
                </c:pt>
                <c:pt idx="14">
                  <c:v>6.1999400396758739</c:v>
                </c:pt>
                <c:pt idx="15">
                  <c:v>5.7818844335995783</c:v>
                </c:pt>
                <c:pt idx="16">
                  <c:v>5.9155549546153035</c:v>
                </c:pt>
                <c:pt idx="17">
                  <c:v>5.8411465411959282</c:v>
                </c:pt>
                <c:pt idx="18">
                  <c:v>6.1276355508233413</c:v>
                </c:pt>
                <c:pt idx="19">
                  <c:v>6.0448245850434503</c:v>
                </c:pt>
                <c:pt idx="20">
                  <c:v>6.1229371171160247</c:v>
                </c:pt>
                <c:pt idx="21">
                  <c:v>6.4574856427369074</c:v>
                </c:pt>
                <c:pt idx="22">
                  <c:v>6.4390531879005968</c:v>
                </c:pt>
                <c:pt idx="23">
                  <c:v>6.6555662409295753</c:v>
                </c:pt>
                <c:pt idx="24">
                  <c:v>7.0827427630642399</c:v>
                </c:pt>
                <c:pt idx="25">
                  <c:v>7.5562742094222246</c:v>
                </c:pt>
                <c:pt idx="26">
                  <c:v>7.9373045536522691</c:v>
                </c:pt>
                <c:pt idx="27">
                  <c:v>8.2052864166002504</c:v>
                </c:pt>
              </c:numCache>
            </c:numRef>
          </c:val>
          <c:smooth val="0"/>
        </c:ser>
        <c:ser>
          <c:idx val="2"/>
          <c:order val="2"/>
          <c:tx>
            <c:strRef>
              <c:f>'Linear Volume - Charts (no apx)'!$Y$3</c:f>
              <c:strCache>
                <c:ptCount val="1"/>
                <c:pt idx="0">
                  <c:v>Manufacturing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apx)'!$Y$5:$Y$32</c:f>
              <c:numCache>
                <c:formatCode>General</c:formatCode>
                <c:ptCount val="28"/>
                <c:pt idx="0">
                  <c:v>14.536683249028052</c:v>
                </c:pt>
                <c:pt idx="1">
                  <c:v>13.799733672159745</c:v>
                </c:pt>
                <c:pt idx="2">
                  <c:v>13.510944867201422</c:v>
                </c:pt>
                <c:pt idx="3">
                  <c:v>13.186294173212044</c:v>
                </c:pt>
                <c:pt idx="4">
                  <c:v>13.009194522345735</c:v>
                </c:pt>
                <c:pt idx="5">
                  <c:v>13.035183606061103</c:v>
                </c:pt>
                <c:pt idx="6">
                  <c:v>12.816139965112605</c:v>
                </c:pt>
                <c:pt idx="7">
                  <c:v>12.56385082345783</c:v>
                </c:pt>
                <c:pt idx="8">
                  <c:v>12.286333168006786</c:v>
                </c:pt>
                <c:pt idx="9">
                  <c:v>12.121903324995253</c:v>
                </c:pt>
                <c:pt idx="10">
                  <c:v>11.75476663909007</c:v>
                </c:pt>
                <c:pt idx="11">
                  <c:v>11.432159343278721</c:v>
                </c:pt>
                <c:pt idx="12">
                  <c:v>11.447053491925768</c:v>
                </c:pt>
                <c:pt idx="13">
                  <c:v>11.261513615007035</c:v>
                </c:pt>
                <c:pt idx="14">
                  <c:v>11.37173062080198</c:v>
                </c:pt>
                <c:pt idx="15">
                  <c:v>11.04499408816727</c:v>
                </c:pt>
                <c:pt idx="16">
                  <c:v>10.613317647476823</c:v>
                </c:pt>
                <c:pt idx="17">
                  <c:v>10.256294912386151</c:v>
                </c:pt>
                <c:pt idx="18">
                  <c:v>10.052768483450889</c:v>
                </c:pt>
                <c:pt idx="19">
                  <c:v>10.037596808468338</c:v>
                </c:pt>
                <c:pt idx="20">
                  <c:v>9.3383608904357107</c:v>
                </c:pt>
                <c:pt idx="21">
                  <c:v>9.1746702213547291</c:v>
                </c:pt>
                <c:pt idx="22">
                  <c:v>8.9407729807317047</c:v>
                </c:pt>
                <c:pt idx="23">
                  <c:v>8.6509406219947387</c:v>
                </c:pt>
                <c:pt idx="24">
                  <c:v>8.1429066579190046</c:v>
                </c:pt>
                <c:pt idx="25">
                  <c:v>7.8043502469473935</c:v>
                </c:pt>
                <c:pt idx="26">
                  <c:v>7.4950877023066891</c:v>
                </c:pt>
                <c:pt idx="27">
                  <c:v>7.1014262983943075</c:v>
                </c:pt>
              </c:numCache>
            </c:numRef>
          </c:val>
          <c:smooth val="0"/>
        </c:ser>
        <c:ser>
          <c:idx val="3"/>
          <c:order val="3"/>
          <c:tx>
            <c:strRef>
              <c:f>'Linear Volume - Charts (no apx)'!$Z$3</c:f>
              <c:strCache>
                <c:ptCount val="1"/>
                <c:pt idx="0">
                  <c:v>Utilities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apx)'!$Z$5:$Z$32</c:f>
              <c:numCache>
                <c:formatCode>General</c:formatCode>
                <c:ptCount val="28"/>
                <c:pt idx="0">
                  <c:v>4.744784917018519</c:v>
                </c:pt>
                <c:pt idx="1">
                  <c:v>4.7784804534962362</c:v>
                </c:pt>
                <c:pt idx="2">
                  <c:v>4.8602221779095718</c:v>
                </c:pt>
                <c:pt idx="3">
                  <c:v>4.9305456709928706</c:v>
                </c:pt>
                <c:pt idx="4">
                  <c:v>4.8458335611783365</c:v>
                </c:pt>
                <c:pt idx="5">
                  <c:v>4.7953530124941741</c:v>
                </c:pt>
                <c:pt idx="6">
                  <c:v>4.734037718208536</c:v>
                </c:pt>
                <c:pt idx="7">
                  <c:v>4.5826016012832396</c:v>
                </c:pt>
                <c:pt idx="8">
                  <c:v>4.3894862954044092</c:v>
                </c:pt>
                <c:pt idx="9">
                  <c:v>4.3592060176896421</c:v>
                </c:pt>
                <c:pt idx="10">
                  <c:v>4.2282906863670009</c:v>
                </c:pt>
                <c:pt idx="11">
                  <c:v>4.1468320872527702</c:v>
                </c:pt>
                <c:pt idx="12">
                  <c:v>4.1411891699858581</c:v>
                </c:pt>
                <c:pt idx="13">
                  <c:v>3.9984987712245519</c:v>
                </c:pt>
                <c:pt idx="14">
                  <c:v>3.9218729734154634</c:v>
                </c:pt>
                <c:pt idx="15">
                  <c:v>3.7714539442261099</c:v>
                </c:pt>
                <c:pt idx="16">
                  <c:v>3.6872290217295829</c:v>
                </c:pt>
                <c:pt idx="17">
                  <c:v>3.6349123095829681</c:v>
                </c:pt>
                <c:pt idx="18">
                  <c:v>3.5293922935395154</c:v>
                </c:pt>
                <c:pt idx="19">
                  <c:v>3.3974967859367613</c:v>
                </c:pt>
                <c:pt idx="20">
                  <c:v>3.4767966569229585</c:v>
                </c:pt>
                <c:pt idx="21">
                  <c:v>3.4355772089938017</c:v>
                </c:pt>
                <c:pt idx="22">
                  <c:v>3.446448297074368</c:v>
                </c:pt>
                <c:pt idx="23">
                  <c:v>3.3326710167619082</c:v>
                </c:pt>
                <c:pt idx="24">
                  <c:v>3.2679940829501075</c:v>
                </c:pt>
                <c:pt idx="25">
                  <c:v>3.0988812876779117</c:v>
                </c:pt>
                <c:pt idx="26">
                  <c:v>3.0781286457026384</c:v>
                </c:pt>
                <c:pt idx="27">
                  <c:v>3.0588430214787454</c:v>
                </c:pt>
              </c:numCache>
            </c:numRef>
          </c:val>
          <c:smooth val="0"/>
        </c:ser>
        <c:ser>
          <c:idx val="4"/>
          <c:order val="4"/>
          <c:tx>
            <c:strRef>
              <c:f>'Linear Volume - Charts (no apx)'!$AA$3</c:f>
              <c:strCache>
                <c:ptCount val="1"/>
                <c:pt idx="0">
                  <c:v>Construction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apx)'!$AA$5:$AA$32</c:f>
              <c:numCache>
                <c:formatCode>General</c:formatCode>
                <c:ptCount val="28"/>
                <c:pt idx="0">
                  <c:v>8.1025040759165581</c:v>
                </c:pt>
                <c:pt idx="1">
                  <c:v>7.9620458732838477</c:v>
                </c:pt>
                <c:pt idx="2">
                  <c:v>7.4517081454512706</c:v>
                </c:pt>
                <c:pt idx="3">
                  <c:v>6.8741023019888461</c:v>
                </c:pt>
                <c:pt idx="4">
                  <c:v>7.0262711798204842</c:v>
                </c:pt>
                <c:pt idx="5">
                  <c:v>7.1515171497037944</c:v>
                </c:pt>
                <c:pt idx="6">
                  <c:v>7.2660430797288083</c:v>
                </c:pt>
                <c:pt idx="7">
                  <c:v>7.0896193149605216</c:v>
                </c:pt>
                <c:pt idx="8">
                  <c:v>7.0090034266475367</c:v>
                </c:pt>
                <c:pt idx="9">
                  <c:v>7.3951931372036803</c:v>
                </c:pt>
                <c:pt idx="10">
                  <c:v>7.6775424897313451</c:v>
                </c:pt>
                <c:pt idx="11">
                  <c:v>7.8810041510179882</c:v>
                </c:pt>
                <c:pt idx="12">
                  <c:v>6.6111684236176114</c:v>
                </c:pt>
                <c:pt idx="13">
                  <c:v>7.1321497114620787</c:v>
                </c:pt>
                <c:pt idx="14">
                  <c:v>8.0617931538917862</c:v>
                </c:pt>
                <c:pt idx="15">
                  <c:v>8.2759547788078365</c:v>
                </c:pt>
                <c:pt idx="16">
                  <c:v>8.4062110464881012</c:v>
                </c:pt>
                <c:pt idx="17">
                  <c:v>8.815844381572953</c:v>
                </c:pt>
                <c:pt idx="18">
                  <c:v>8.9470117628020347</c:v>
                </c:pt>
                <c:pt idx="19">
                  <c:v>9.2033982920180772</c:v>
                </c:pt>
                <c:pt idx="20">
                  <c:v>9.3998909790823699</c:v>
                </c:pt>
                <c:pt idx="21">
                  <c:v>9.2426125432369854</c:v>
                </c:pt>
                <c:pt idx="22">
                  <c:v>9.2808454766141253</c:v>
                </c:pt>
                <c:pt idx="23">
                  <c:v>9.8327783120464787</c:v>
                </c:pt>
                <c:pt idx="24">
                  <c:v>9.8376370174602492</c:v>
                </c:pt>
                <c:pt idx="25">
                  <c:v>10.001670393701263</c:v>
                </c:pt>
                <c:pt idx="26">
                  <c:v>9.5813651124875818</c:v>
                </c:pt>
                <c:pt idx="27">
                  <c:v>9.5825941891123705</c:v>
                </c:pt>
              </c:numCache>
            </c:numRef>
          </c:val>
          <c:smooth val="0"/>
        </c:ser>
        <c:dLbls>
          <c:showLegendKey val="0"/>
          <c:showVal val="0"/>
          <c:showCatName val="0"/>
          <c:showSerName val="0"/>
          <c:showPercent val="0"/>
          <c:showBubbleSize val="0"/>
        </c:dLbls>
        <c:marker val="1"/>
        <c:smooth val="0"/>
        <c:axId val="143037952"/>
        <c:axId val="143039488"/>
      </c:lineChart>
      <c:lineChart>
        <c:grouping val="standard"/>
        <c:varyColors val="0"/>
        <c:ser>
          <c:idx val="5"/>
          <c:order val="5"/>
          <c:tx>
            <c:strRef>
              <c:f>'Linear Volume - Charts (no apx)'!$AB$3</c:f>
              <c:strCache>
                <c:ptCount val="1"/>
                <c:pt idx="0">
                  <c:v>Services (RHS)</c:v>
                </c:pt>
              </c:strCache>
            </c:strRef>
          </c:tx>
          <c:marker>
            <c:symbol val="none"/>
          </c:marker>
          <c:cat>
            <c:strRef>
              <c:f>'Linear Volume - Charts (no apx)'!$A$4:$A$31</c:f>
              <c:strCache>
                <c:ptCount val="28"/>
                <c:pt idx="1">
                  <c:v>1988-89</c:v>
                </c:pt>
                <c:pt idx="2">
                  <c:v>1989-90</c:v>
                </c:pt>
                <c:pt idx="3">
                  <c:v>1990-91</c:v>
                </c:pt>
                <c:pt idx="4">
                  <c:v>1991-92</c:v>
                </c:pt>
                <c:pt idx="5">
                  <c:v>1992-93</c:v>
                </c:pt>
                <c:pt idx="6">
                  <c:v>1993-94</c:v>
                </c:pt>
                <c:pt idx="7">
                  <c:v>1994-95</c:v>
                </c:pt>
                <c:pt idx="8">
                  <c:v>1995-96</c:v>
                </c:pt>
                <c:pt idx="9">
                  <c:v>1996-97</c:v>
                </c:pt>
                <c:pt idx="10">
                  <c:v>1997-98</c:v>
                </c:pt>
                <c:pt idx="11">
                  <c:v>1998-99</c:v>
                </c:pt>
                <c:pt idx="12">
                  <c:v>1999-00</c:v>
                </c:pt>
                <c:pt idx="13">
                  <c:v>2000-01</c:v>
                </c:pt>
                <c:pt idx="14">
                  <c:v>2001-02</c:v>
                </c:pt>
                <c:pt idx="15">
                  <c:v>2002-03</c:v>
                </c:pt>
                <c:pt idx="16">
                  <c:v>2003-04</c:v>
                </c:pt>
                <c:pt idx="17">
                  <c:v>2004-05</c:v>
                </c:pt>
                <c:pt idx="18">
                  <c:v>2005-06</c:v>
                </c:pt>
                <c:pt idx="19">
                  <c:v>2006-07</c:v>
                </c:pt>
                <c:pt idx="20">
                  <c:v>2007-08</c:v>
                </c:pt>
                <c:pt idx="21">
                  <c:v>2008-09</c:v>
                </c:pt>
                <c:pt idx="22">
                  <c:v>2009-10</c:v>
                </c:pt>
                <c:pt idx="23">
                  <c:v>2010-11</c:v>
                </c:pt>
                <c:pt idx="24">
                  <c:v>2011-12</c:v>
                </c:pt>
                <c:pt idx="25">
                  <c:v>2012-13</c:v>
                </c:pt>
                <c:pt idx="26">
                  <c:v>2013-14</c:v>
                </c:pt>
                <c:pt idx="27">
                  <c:v>2014-15</c:v>
                </c:pt>
              </c:strCache>
            </c:strRef>
          </c:cat>
          <c:val>
            <c:numRef>
              <c:f>'Linear Volume - Charts (no apx)'!$AB$5:$AB$32</c:f>
              <c:numCache>
                <c:formatCode>General</c:formatCode>
                <c:ptCount val="28"/>
                <c:pt idx="0">
                  <c:v>63.777434053760295</c:v>
                </c:pt>
                <c:pt idx="1">
                  <c:v>64.174889685980517</c:v>
                </c:pt>
                <c:pt idx="2">
                  <c:v>64.358263487305507</c:v>
                </c:pt>
                <c:pt idx="3">
                  <c:v>65.036522560525881</c:v>
                </c:pt>
                <c:pt idx="4">
                  <c:v>65.250017576614511</c:v>
                </c:pt>
                <c:pt idx="5">
                  <c:v>65.307049159936511</c:v>
                </c:pt>
                <c:pt idx="6">
                  <c:v>65.890573622070534</c:v>
                </c:pt>
                <c:pt idx="7">
                  <c:v>65.724103599430279</c:v>
                </c:pt>
                <c:pt idx="8">
                  <c:v>66.314738307579177</c:v>
                </c:pt>
                <c:pt idx="9">
                  <c:v>66.315006122945704</c:v>
                </c:pt>
                <c:pt idx="10">
                  <c:v>66.750968809416676</c:v>
                </c:pt>
                <c:pt idx="11">
                  <c:v>66.811506575352013</c:v>
                </c:pt>
                <c:pt idx="12">
                  <c:v>67.634982339397837</c:v>
                </c:pt>
                <c:pt idx="13">
                  <c:v>67.723909584886172</c:v>
                </c:pt>
                <c:pt idx="14">
                  <c:v>67.737624678138502</c:v>
                </c:pt>
                <c:pt idx="15">
                  <c:v>67.863867957866603</c:v>
                </c:pt>
                <c:pt idx="16">
                  <c:v>68.08247312793678</c:v>
                </c:pt>
                <c:pt idx="17">
                  <c:v>68.169871708977311</c:v>
                </c:pt>
                <c:pt idx="18">
                  <c:v>68.665138504626327</c:v>
                </c:pt>
                <c:pt idx="19">
                  <c:v>68.568272888327314</c:v>
                </c:pt>
                <c:pt idx="20">
                  <c:v>68.484721905664841</c:v>
                </c:pt>
                <c:pt idx="21">
                  <c:v>68.60827523925947</c:v>
                </c:pt>
                <c:pt idx="22">
                  <c:v>68.777326515898167</c:v>
                </c:pt>
                <c:pt idx="23">
                  <c:v>68.490474563069753</c:v>
                </c:pt>
                <c:pt idx="24">
                  <c:v>68.728607945929554</c:v>
                </c:pt>
                <c:pt idx="25">
                  <c:v>68.659576773401312</c:v>
                </c:pt>
                <c:pt idx="26">
                  <c:v>69.077544599554187</c:v>
                </c:pt>
                <c:pt idx="27">
                  <c:v>69.434493968297488</c:v>
                </c:pt>
              </c:numCache>
            </c:numRef>
          </c:val>
          <c:smooth val="0"/>
        </c:ser>
        <c:dLbls>
          <c:showLegendKey val="0"/>
          <c:showVal val="0"/>
          <c:showCatName val="0"/>
          <c:showSerName val="0"/>
          <c:showPercent val="0"/>
          <c:showBubbleSize val="0"/>
        </c:dLbls>
        <c:marker val="1"/>
        <c:smooth val="0"/>
        <c:axId val="143059968"/>
        <c:axId val="143058048"/>
      </c:lineChart>
      <c:catAx>
        <c:axId val="14303795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039488"/>
        <c:crosses val="autoZero"/>
        <c:auto val="1"/>
        <c:lblAlgn val="ctr"/>
        <c:lblOffset val="100"/>
        <c:tickLblSkip val="3"/>
        <c:noMultiLvlLbl val="0"/>
      </c:catAx>
      <c:valAx>
        <c:axId val="143039488"/>
        <c:scaling>
          <c:orientation val="minMax"/>
          <c:max val="16"/>
          <c:min val="2"/>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4.32437275985663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037952"/>
        <c:crosses val="autoZero"/>
        <c:crossBetween val="midCat"/>
      </c:valAx>
      <c:valAx>
        <c:axId val="143058048"/>
        <c:scaling>
          <c:orientation val="minMax"/>
          <c:max val="80"/>
          <c:min val="1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742759856630824"/>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3059968"/>
        <c:crosses val="max"/>
        <c:crossBetween val="midCat"/>
        <c:minorUnit val="0.2"/>
      </c:valAx>
      <c:catAx>
        <c:axId val="143059968"/>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4305804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1418992615373613E-2"/>
          <c:y val="3.9687500000000001E-2"/>
          <c:w val="0.9885810073846264"/>
          <c:h val="0.88015624999999997"/>
        </c:manualLayout>
      </c:layout>
      <c:lineChart>
        <c:grouping val="standard"/>
        <c:varyColors val="0"/>
        <c:ser>
          <c:idx val="6"/>
          <c:order val="5"/>
          <c:tx>
            <c:strRef>
              <c:f>'Linear Volume - Charts (no apx)'!$AD$3</c:f>
              <c:strCache>
                <c:ptCount val="1"/>
                <c:pt idx="0">
                  <c:v>Agriculture, forestry and fishing</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apx)'!$AD$5:$AD$32</c:f>
              <c:numCache>
                <c:formatCode>General</c:formatCode>
                <c:ptCount val="28"/>
                <c:pt idx="0">
                  <c:v>0.4649379301915984</c:v>
                </c:pt>
                <c:pt idx="1">
                  <c:v>0.51313255700606619</c:v>
                </c:pt>
                <c:pt idx="2">
                  <c:v>0.53114158510072862</c:v>
                </c:pt>
                <c:pt idx="3">
                  <c:v>0.54346314778648419</c:v>
                </c:pt>
                <c:pt idx="4">
                  <c:v>0.55586972404285273</c:v>
                </c:pt>
                <c:pt idx="5">
                  <c:v>0.56891057398595501</c:v>
                </c:pt>
                <c:pt idx="6">
                  <c:v>0.49424321169776808</c:v>
                </c:pt>
                <c:pt idx="7">
                  <c:v>0.5767359510153891</c:v>
                </c:pt>
                <c:pt idx="8">
                  <c:v>0.58610421947760938</c:v>
                </c:pt>
                <c:pt idx="9">
                  <c:v>0.54729110985262186</c:v>
                </c:pt>
                <c:pt idx="10">
                  <c:v>0.59897205914988738</c:v>
                </c:pt>
                <c:pt idx="11">
                  <c:v>0.59973059941390749</c:v>
                </c:pt>
                <c:pt idx="12">
                  <c:v>0.63885029837274077</c:v>
                </c:pt>
                <c:pt idx="13">
                  <c:v>0.61254598370115054</c:v>
                </c:pt>
                <c:pt idx="14">
                  <c:v>0.56562321340831845</c:v>
                </c:pt>
                <c:pt idx="15">
                  <c:v>0.71163338777174123</c:v>
                </c:pt>
                <c:pt idx="16">
                  <c:v>0.76210697800497096</c:v>
                </c:pt>
                <c:pt idx="17">
                  <c:v>0.82036572664923124</c:v>
                </c:pt>
                <c:pt idx="18">
                  <c:v>0.6599887941342909</c:v>
                </c:pt>
                <c:pt idx="19">
                  <c:v>0.70239819452371388</c:v>
                </c:pt>
                <c:pt idx="20">
                  <c:v>0.79814956387235836</c:v>
                </c:pt>
                <c:pt idx="21">
                  <c:v>0.78264356758342768</c:v>
                </c:pt>
                <c:pt idx="22">
                  <c:v>0.84551212025233935</c:v>
                </c:pt>
                <c:pt idx="23">
                  <c:v>0.87744165273838404</c:v>
                </c:pt>
                <c:pt idx="24">
                  <c:v>0.91351377669729772</c:v>
                </c:pt>
                <c:pt idx="25">
                  <c:v>0.85791148460613265</c:v>
                </c:pt>
                <c:pt idx="26">
                  <c:v>0.86444195157132131</c:v>
                </c:pt>
                <c:pt idx="27">
                  <c:v>0.77979821884830924</c:v>
                </c:pt>
              </c:numCache>
            </c:numRef>
          </c:val>
          <c:smooth val="0"/>
        </c:ser>
        <c:ser>
          <c:idx val="7"/>
          <c:order val="6"/>
          <c:tx>
            <c:strRef>
              <c:f>'Linear Volume - Charts (no apx)'!$AE$3</c:f>
              <c:strCache>
                <c:ptCount val="1"/>
                <c:pt idx="0">
                  <c:v>Mining</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apx)'!$AE$5:$AE$32</c:f>
              <c:numCache>
                <c:formatCode>General</c:formatCode>
                <c:ptCount val="28"/>
                <c:pt idx="0">
                  <c:v>3.8228137698628037</c:v>
                </c:pt>
                <c:pt idx="1">
                  <c:v>3.9223722354922987</c:v>
                </c:pt>
                <c:pt idx="2">
                  <c:v>4.3908919146862972</c:v>
                </c:pt>
                <c:pt idx="3">
                  <c:v>4.942411884292623</c:v>
                </c:pt>
                <c:pt idx="4">
                  <c:v>4.9358989628202501</c:v>
                </c:pt>
                <c:pt idx="5">
                  <c:v>4.6097830808441449</c:v>
                </c:pt>
                <c:pt idx="6">
                  <c:v>5.1113804129173603</c:v>
                </c:pt>
                <c:pt idx="7">
                  <c:v>5.5035332141621502</c:v>
                </c:pt>
                <c:pt idx="8">
                  <c:v>5.3944145791644766</c:v>
                </c:pt>
                <c:pt idx="9">
                  <c:v>5.5166136583336804</c:v>
                </c:pt>
                <c:pt idx="10">
                  <c:v>5.0897313058674651</c:v>
                </c:pt>
                <c:pt idx="11">
                  <c:v>5.3846007435548779</c:v>
                </c:pt>
                <c:pt idx="12">
                  <c:v>5.8221484105415895</c:v>
                </c:pt>
                <c:pt idx="13">
                  <c:v>5.5739361372611969</c:v>
                </c:pt>
                <c:pt idx="14">
                  <c:v>5.0770109651210644</c:v>
                </c:pt>
                <c:pt idx="15">
                  <c:v>4.4597209682764039</c:v>
                </c:pt>
                <c:pt idx="16">
                  <c:v>4.2871108044731949</c:v>
                </c:pt>
                <c:pt idx="17">
                  <c:v>3.5960522045099874</c:v>
                </c:pt>
                <c:pt idx="18">
                  <c:v>3.6166971034137219</c:v>
                </c:pt>
                <c:pt idx="19">
                  <c:v>3.4846423665105033</c:v>
                </c:pt>
                <c:pt idx="20">
                  <c:v>3.0401847456952367</c:v>
                </c:pt>
                <c:pt idx="21">
                  <c:v>3.1280554728945633</c:v>
                </c:pt>
                <c:pt idx="22">
                  <c:v>2.6937523527605212</c:v>
                </c:pt>
                <c:pt idx="23">
                  <c:v>2.3203116851808838</c:v>
                </c:pt>
                <c:pt idx="24">
                  <c:v>2.3170719855172575</c:v>
                </c:pt>
                <c:pt idx="25">
                  <c:v>2.4888329080795066</c:v>
                </c:pt>
                <c:pt idx="26">
                  <c:v>3.1787486303161034</c:v>
                </c:pt>
                <c:pt idx="27">
                  <c:v>3.2548291955250575</c:v>
                </c:pt>
              </c:numCache>
            </c:numRef>
          </c:val>
          <c:smooth val="0"/>
        </c:ser>
        <c:ser>
          <c:idx val="8"/>
          <c:order val="7"/>
          <c:tx>
            <c:strRef>
              <c:f>'Linear Volume - Charts (no apx)'!$AF$3</c:f>
              <c:strCache>
                <c:ptCount val="1"/>
                <c:pt idx="0">
                  <c:v>Manufacturing</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apx)'!$AF$5:$AF$32</c:f>
              <c:numCache>
                <c:formatCode>General</c:formatCode>
                <c:ptCount val="28"/>
                <c:pt idx="0">
                  <c:v>0.90273757814269961</c:v>
                </c:pt>
                <c:pt idx="1">
                  <c:v>0.87844780190660499</c:v>
                </c:pt>
                <c:pt idx="2">
                  <c:v>0.90375121643269618</c:v>
                </c:pt>
                <c:pt idx="3">
                  <c:v>0.90212523843791881</c:v>
                </c:pt>
                <c:pt idx="4">
                  <c:v>0.88330415495539372</c:v>
                </c:pt>
                <c:pt idx="5">
                  <c:v>0.89457741165878535</c:v>
                </c:pt>
                <c:pt idx="6">
                  <c:v>0.8833074313161644</c:v>
                </c:pt>
                <c:pt idx="7">
                  <c:v>0.90107582108041695</c:v>
                </c:pt>
                <c:pt idx="8">
                  <c:v>0.8750060755727328</c:v>
                </c:pt>
                <c:pt idx="9">
                  <c:v>0.88213556094157719</c:v>
                </c:pt>
                <c:pt idx="10">
                  <c:v>0.89293734512157541</c:v>
                </c:pt>
                <c:pt idx="11">
                  <c:v>0.88981526692166268</c:v>
                </c:pt>
                <c:pt idx="12">
                  <c:v>0.88641696308946516</c:v>
                </c:pt>
                <c:pt idx="13">
                  <c:v>0.89913489279535164</c:v>
                </c:pt>
                <c:pt idx="14">
                  <c:v>0.89672536213162024</c:v>
                </c:pt>
                <c:pt idx="15">
                  <c:v>0.92475020917585415</c:v>
                </c:pt>
                <c:pt idx="16">
                  <c:v>0.89547111400065615</c:v>
                </c:pt>
                <c:pt idx="17">
                  <c:v>0.91574966976315486</c:v>
                </c:pt>
                <c:pt idx="18">
                  <c:v>0.92658579899046056</c:v>
                </c:pt>
                <c:pt idx="19">
                  <c:v>0.92120980741137237</c:v>
                </c:pt>
                <c:pt idx="20">
                  <c:v>0.90498169553717878</c:v>
                </c:pt>
                <c:pt idx="21">
                  <c:v>0.91942164317192032</c:v>
                </c:pt>
                <c:pt idx="22">
                  <c:v>0.92456539074209543</c:v>
                </c:pt>
                <c:pt idx="23">
                  <c:v>0.93682249658250161</c:v>
                </c:pt>
                <c:pt idx="24">
                  <c:v>0.89876120475653254</c:v>
                </c:pt>
                <c:pt idx="25">
                  <c:v>0.88765524896699144</c:v>
                </c:pt>
                <c:pt idx="26">
                  <c:v>0.86515144430257729</c:v>
                </c:pt>
                <c:pt idx="27">
                  <c:v>0.87962203902039049</c:v>
                </c:pt>
              </c:numCache>
            </c:numRef>
          </c:val>
          <c:smooth val="0"/>
        </c:ser>
        <c:ser>
          <c:idx val="9"/>
          <c:order val="8"/>
          <c:tx>
            <c:strRef>
              <c:f>'Linear Volume - Charts (no apx)'!$AG$3</c:f>
              <c:strCache>
                <c:ptCount val="1"/>
                <c:pt idx="0">
                  <c:v>Utilities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apx)'!$AG$5:$AG$32</c:f>
              <c:numCache>
                <c:formatCode>General</c:formatCode>
                <c:ptCount val="28"/>
                <c:pt idx="0">
                  <c:v>2.8838595633839108</c:v>
                </c:pt>
                <c:pt idx="1">
                  <c:v>3.1106816964131085</c:v>
                </c:pt>
                <c:pt idx="2">
                  <c:v>3.2879971004366459</c:v>
                </c:pt>
                <c:pt idx="3">
                  <c:v>3.1756085660979259</c:v>
                </c:pt>
                <c:pt idx="4">
                  <c:v>3.3536399673772008</c:v>
                </c:pt>
                <c:pt idx="5">
                  <c:v>3.5060137595769523</c:v>
                </c:pt>
                <c:pt idx="6">
                  <c:v>3.7312017526921548</c:v>
                </c:pt>
                <c:pt idx="7">
                  <c:v>3.9700365715892287</c:v>
                </c:pt>
                <c:pt idx="8">
                  <c:v>4.4690434008390536</c:v>
                </c:pt>
                <c:pt idx="9">
                  <c:v>4.4898511377625328</c:v>
                </c:pt>
                <c:pt idx="10">
                  <c:v>4.1637579565326508</c:v>
                </c:pt>
                <c:pt idx="11">
                  <c:v>4.3482382870822516</c:v>
                </c:pt>
                <c:pt idx="12">
                  <c:v>4.3383583822053984</c:v>
                </c:pt>
                <c:pt idx="13">
                  <c:v>3.9966556618768907</c:v>
                </c:pt>
                <c:pt idx="14">
                  <c:v>3.8062945235001071</c:v>
                </c:pt>
                <c:pt idx="15">
                  <c:v>3.6247034530352491</c:v>
                </c:pt>
                <c:pt idx="16">
                  <c:v>3.4643607831464656</c:v>
                </c:pt>
                <c:pt idx="17">
                  <c:v>3.2160540114222429</c:v>
                </c:pt>
                <c:pt idx="18">
                  <c:v>3.1352747566853725</c:v>
                </c:pt>
                <c:pt idx="19">
                  <c:v>2.8757210683148413</c:v>
                </c:pt>
                <c:pt idx="20">
                  <c:v>2.6236353455950656</c:v>
                </c:pt>
                <c:pt idx="21">
                  <c:v>2.5206872882077582</c:v>
                </c:pt>
                <c:pt idx="22">
                  <c:v>2.3209007848509389</c:v>
                </c:pt>
                <c:pt idx="23">
                  <c:v>2.2258636297726251</c:v>
                </c:pt>
                <c:pt idx="24">
                  <c:v>2.353841582471786</c:v>
                </c:pt>
                <c:pt idx="25">
                  <c:v>2.117219243933397</c:v>
                </c:pt>
                <c:pt idx="26">
                  <c:v>2.2645099325592972</c:v>
                </c:pt>
                <c:pt idx="27">
                  <c:v>2.2259173238937024</c:v>
                </c:pt>
              </c:numCache>
            </c:numRef>
          </c:val>
          <c:smooth val="0"/>
        </c:ser>
        <c:ser>
          <c:idx val="10"/>
          <c:order val="9"/>
          <c:tx>
            <c:strRef>
              <c:f>'Linear Volume - Charts (no apx)'!$AH$3</c:f>
              <c:strCache>
                <c:ptCount val="1"/>
                <c:pt idx="0">
                  <c:v>Construction</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apx)'!$AH$5:$AH$32</c:f>
              <c:numCache>
                <c:formatCode>General</c:formatCode>
                <c:ptCount val="28"/>
                <c:pt idx="0">
                  <c:v>1.0140264207729177</c:v>
                </c:pt>
                <c:pt idx="1">
                  <c:v>0.97360865697585619</c:v>
                </c:pt>
                <c:pt idx="2">
                  <c:v>0.9759987086378249</c:v>
                </c:pt>
                <c:pt idx="3">
                  <c:v>0.98513763998910087</c:v>
                </c:pt>
                <c:pt idx="4">
                  <c:v>0.94682013895197215</c:v>
                </c:pt>
                <c:pt idx="5">
                  <c:v>0.94270949478818178</c:v>
                </c:pt>
                <c:pt idx="6">
                  <c:v>0.92830648173390962</c:v>
                </c:pt>
                <c:pt idx="7">
                  <c:v>0.92681980469287439</c:v>
                </c:pt>
                <c:pt idx="8">
                  <c:v>0.92987011974653988</c:v>
                </c:pt>
                <c:pt idx="9">
                  <c:v>0.95830733655795319</c:v>
                </c:pt>
                <c:pt idx="10">
                  <c:v>0.96553802625729068</c:v>
                </c:pt>
                <c:pt idx="11">
                  <c:v>0.92196892318455226</c:v>
                </c:pt>
                <c:pt idx="12">
                  <c:v>0.8163812339840042</c:v>
                </c:pt>
                <c:pt idx="13">
                  <c:v>0.86509257287688457</c:v>
                </c:pt>
                <c:pt idx="14">
                  <c:v>0.95791252972221375</c:v>
                </c:pt>
                <c:pt idx="15">
                  <c:v>0.91232479122839094</c:v>
                </c:pt>
                <c:pt idx="16">
                  <c:v>0.8985554131877449</c:v>
                </c:pt>
                <c:pt idx="17">
                  <c:v>0.91985644910014697</c:v>
                </c:pt>
                <c:pt idx="18">
                  <c:v>0.88482689587853114</c:v>
                </c:pt>
                <c:pt idx="19">
                  <c:v>0.91074874344385859</c:v>
                </c:pt>
                <c:pt idx="20">
                  <c:v>0.91919182535355959</c:v>
                </c:pt>
                <c:pt idx="21">
                  <c:v>0.90610342357983675</c:v>
                </c:pt>
                <c:pt idx="22">
                  <c:v>0.91510931674713314</c:v>
                </c:pt>
                <c:pt idx="23">
                  <c:v>0.99189256479586385</c:v>
                </c:pt>
                <c:pt idx="24">
                  <c:v>0.99899622291667722</c:v>
                </c:pt>
                <c:pt idx="25">
                  <c:v>0.9794282444373954</c:v>
                </c:pt>
                <c:pt idx="26">
                  <c:v>0.95059881644130906</c:v>
                </c:pt>
                <c:pt idx="27">
                  <c:v>0.95445282765876327</c:v>
                </c:pt>
              </c:numCache>
            </c:numRef>
          </c:val>
          <c:smooth val="0"/>
        </c:ser>
        <c:ser>
          <c:idx val="11"/>
          <c:order val="10"/>
          <c:tx>
            <c:strRef>
              <c:f>'Linear Volume - Charts (no apx)'!$AI$3</c:f>
              <c:strCache>
                <c:ptCount val="1"/>
                <c:pt idx="0">
                  <c:v>Services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apx)'!$AI$5:$AI$32</c:f>
              <c:numCache>
                <c:formatCode>General</c:formatCode>
                <c:ptCount val="28"/>
                <c:pt idx="0">
                  <c:v>0.96924202073994026</c:v>
                </c:pt>
                <c:pt idx="1">
                  <c:v>0.96531911534688697</c:v>
                </c:pt>
                <c:pt idx="2">
                  <c:v>0.94942817444979866</c:v>
                </c:pt>
                <c:pt idx="3">
                  <c:v>0.93901456091507429</c:v>
                </c:pt>
                <c:pt idx="4">
                  <c:v>0.94726720898831196</c:v>
                </c:pt>
                <c:pt idx="5">
                  <c:v>0.94590686403438373</c:v>
                </c:pt>
                <c:pt idx="6">
                  <c:v>0.94963788584056164</c:v>
                </c:pt>
                <c:pt idx="7">
                  <c:v>0.93479329596158844</c:v>
                </c:pt>
                <c:pt idx="8">
                  <c:v>0.94245070936259712</c:v>
                </c:pt>
                <c:pt idx="9">
                  <c:v>0.94238348964915242</c:v>
                </c:pt>
                <c:pt idx="10">
                  <c:v>0.94107312898072548</c:v>
                </c:pt>
                <c:pt idx="11">
                  <c:v>0.94584755377007212</c:v>
                </c:pt>
                <c:pt idx="12">
                  <c:v>0.94852517640259304</c:v>
                </c:pt>
                <c:pt idx="13">
                  <c:v>0.94951700378268467</c:v>
                </c:pt>
                <c:pt idx="14">
                  <c:v>0.9425661166670164</c:v>
                </c:pt>
                <c:pt idx="15">
                  <c:v>0.94171138071371541</c:v>
                </c:pt>
                <c:pt idx="16">
                  <c:v>0.94526781136745519</c:v>
                </c:pt>
                <c:pt idx="17">
                  <c:v>0.94077959052311122</c:v>
                </c:pt>
                <c:pt idx="18">
                  <c:v>0.95154871637912408</c:v>
                </c:pt>
                <c:pt idx="19">
                  <c:v>0.95009982645025237</c:v>
                </c:pt>
                <c:pt idx="20">
                  <c:v>0.94939793705050102</c:v>
                </c:pt>
                <c:pt idx="21">
                  <c:v>0.94689057383480113</c:v>
                </c:pt>
                <c:pt idx="22">
                  <c:v>0.94698311768541155</c:v>
                </c:pt>
                <c:pt idx="23">
                  <c:v>0.93790423697205283</c:v>
                </c:pt>
                <c:pt idx="24">
                  <c:v>0.93599058329529938</c:v>
                </c:pt>
                <c:pt idx="25">
                  <c:v>0.93873770951907021</c:v>
                </c:pt>
                <c:pt idx="26">
                  <c:v>0.93188538948873212</c:v>
                </c:pt>
                <c:pt idx="27">
                  <c:v>0.9303177919855703</c:v>
                </c:pt>
              </c:numCache>
            </c:numRef>
          </c:val>
          <c:smooth val="0"/>
        </c:ser>
        <c:ser>
          <c:idx val="0"/>
          <c:order val="0"/>
          <c:tx>
            <c:strRef>
              <c:f>'Linear Volume - Charts (no apx)'!$AD$3</c:f>
              <c:strCache>
                <c:ptCount val="1"/>
                <c:pt idx="0">
                  <c:v>Agriculture, forestry and fishing</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apx)'!$AD$5:$AD$32</c:f>
              <c:numCache>
                <c:formatCode>General</c:formatCode>
                <c:ptCount val="28"/>
                <c:pt idx="0">
                  <c:v>0.4649379301915984</c:v>
                </c:pt>
                <c:pt idx="1">
                  <c:v>0.51313255700606619</c:v>
                </c:pt>
                <c:pt idx="2">
                  <c:v>0.53114158510072862</c:v>
                </c:pt>
                <c:pt idx="3">
                  <c:v>0.54346314778648419</c:v>
                </c:pt>
                <c:pt idx="4">
                  <c:v>0.55586972404285273</c:v>
                </c:pt>
                <c:pt idx="5">
                  <c:v>0.56891057398595501</c:v>
                </c:pt>
                <c:pt idx="6">
                  <c:v>0.49424321169776808</c:v>
                </c:pt>
                <c:pt idx="7">
                  <c:v>0.5767359510153891</c:v>
                </c:pt>
                <c:pt idx="8">
                  <c:v>0.58610421947760938</c:v>
                </c:pt>
                <c:pt idx="9">
                  <c:v>0.54729110985262186</c:v>
                </c:pt>
                <c:pt idx="10">
                  <c:v>0.59897205914988738</c:v>
                </c:pt>
                <c:pt idx="11">
                  <c:v>0.59973059941390749</c:v>
                </c:pt>
                <c:pt idx="12">
                  <c:v>0.63885029837274077</c:v>
                </c:pt>
                <c:pt idx="13">
                  <c:v>0.61254598370115054</c:v>
                </c:pt>
                <c:pt idx="14">
                  <c:v>0.56562321340831845</c:v>
                </c:pt>
                <c:pt idx="15">
                  <c:v>0.71163338777174123</c:v>
                </c:pt>
                <c:pt idx="16">
                  <c:v>0.76210697800497096</c:v>
                </c:pt>
                <c:pt idx="17">
                  <c:v>0.82036572664923124</c:v>
                </c:pt>
                <c:pt idx="18">
                  <c:v>0.6599887941342909</c:v>
                </c:pt>
                <c:pt idx="19">
                  <c:v>0.70239819452371388</c:v>
                </c:pt>
                <c:pt idx="20">
                  <c:v>0.79814956387235836</c:v>
                </c:pt>
                <c:pt idx="21">
                  <c:v>0.78264356758342768</c:v>
                </c:pt>
                <c:pt idx="22">
                  <c:v>0.84551212025233935</c:v>
                </c:pt>
                <c:pt idx="23">
                  <c:v>0.87744165273838404</c:v>
                </c:pt>
                <c:pt idx="24">
                  <c:v>0.91351377669729772</c:v>
                </c:pt>
                <c:pt idx="25">
                  <c:v>0.85791148460613265</c:v>
                </c:pt>
                <c:pt idx="26">
                  <c:v>0.86444195157132131</c:v>
                </c:pt>
                <c:pt idx="27">
                  <c:v>0.77979821884830924</c:v>
                </c:pt>
              </c:numCache>
            </c:numRef>
          </c:val>
          <c:smooth val="0"/>
        </c:ser>
        <c:ser>
          <c:idx val="2"/>
          <c:order val="2"/>
          <c:tx>
            <c:strRef>
              <c:f>'Linear Volume - Charts (no apx)'!$AF$3</c:f>
              <c:strCache>
                <c:ptCount val="1"/>
                <c:pt idx="0">
                  <c:v>Manufacturing</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apx)'!$AF$5:$AF$32</c:f>
              <c:numCache>
                <c:formatCode>General</c:formatCode>
                <c:ptCount val="28"/>
                <c:pt idx="0">
                  <c:v>0.90273757814269961</c:v>
                </c:pt>
                <c:pt idx="1">
                  <c:v>0.87844780190660499</c:v>
                </c:pt>
                <c:pt idx="2">
                  <c:v>0.90375121643269618</c:v>
                </c:pt>
                <c:pt idx="3">
                  <c:v>0.90212523843791881</c:v>
                </c:pt>
                <c:pt idx="4">
                  <c:v>0.88330415495539372</c:v>
                </c:pt>
                <c:pt idx="5">
                  <c:v>0.89457741165878535</c:v>
                </c:pt>
                <c:pt idx="6">
                  <c:v>0.8833074313161644</c:v>
                </c:pt>
                <c:pt idx="7">
                  <c:v>0.90107582108041695</c:v>
                </c:pt>
                <c:pt idx="8">
                  <c:v>0.8750060755727328</c:v>
                </c:pt>
                <c:pt idx="9">
                  <c:v>0.88213556094157719</c:v>
                </c:pt>
                <c:pt idx="10">
                  <c:v>0.89293734512157541</c:v>
                </c:pt>
                <c:pt idx="11">
                  <c:v>0.88981526692166268</c:v>
                </c:pt>
                <c:pt idx="12">
                  <c:v>0.88641696308946516</c:v>
                </c:pt>
                <c:pt idx="13">
                  <c:v>0.89913489279535164</c:v>
                </c:pt>
                <c:pt idx="14">
                  <c:v>0.89672536213162024</c:v>
                </c:pt>
                <c:pt idx="15">
                  <c:v>0.92475020917585415</c:v>
                </c:pt>
                <c:pt idx="16">
                  <c:v>0.89547111400065615</c:v>
                </c:pt>
                <c:pt idx="17">
                  <c:v>0.91574966976315486</c:v>
                </c:pt>
                <c:pt idx="18">
                  <c:v>0.92658579899046056</c:v>
                </c:pt>
                <c:pt idx="19">
                  <c:v>0.92120980741137237</c:v>
                </c:pt>
                <c:pt idx="20">
                  <c:v>0.90498169553717878</c:v>
                </c:pt>
                <c:pt idx="21">
                  <c:v>0.91942164317192032</c:v>
                </c:pt>
                <c:pt idx="22">
                  <c:v>0.92456539074209543</c:v>
                </c:pt>
                <c:pt idx="23">
                  <c:v>0.93682249658250161</c:v>
                </c:pt>
                <c:pt idx="24">
                  <c:v>0.89876120475653254</c:v>
                </c:pt>
                <c:pt idx="25">
                  <c:v>0.88765524896699144</c:v>
                </c:pt>
                <c:pt idx="26">
                  <c:v>0.86515144430257729</c:v>
                </c:pt>
                <c:pt idx="27">
                  <c:v>0.87962203902039049</c:v>
                </c:pt>
              </c:numCache>
            </c:numRef>
          </c:val>
          <c:smooth val="0"/>
        </c:ser>
        <c:ser>
          <c:idx val="4"/>
          <c:order val="4"/>
          <c:tx>
            <c:strRef>
              <c:f>'Linear Volume - Charts (no apx)'!$AH$3</c:f>
              <c:strCache>
                <c:ptCount val="1"/>
                <c:pt idx="0">
                  <c:v>Construction</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apx)'!$AH$5:$AH$32</c:f>
              <c:numCache>
                <c:formatCode>General</c:formatCode>
                <c:ptCount val="28"/>
                <c:pt idx="0">
                  <c:v>1.0140264207729177</c:v>
                </c:pt>
                <c:pt idx="1">
                  <c:v>0.97360865697585619</c:v>
                </c:pt>
                <c:pt idx="2">
                  <c:v>0.9759987086378249</c:v>
                </c:pt>
                <c:pt idx="3">
                  <c:v>0.98513763998910087</c:v>
                </c:pt>
                <c:pt idx="4">
                  <c:v>0.94682013895197215</c:v>
                </c:pt>
                <c:pt idx="5">
                  <c:v>0.94270949478818178</c:v>
                </c:pt>
                <c:pt idx="6">
                  <c:v>0.92830648173390962</c:v>
                </c:pt>
                <c:pt idx="7">
                  <c:v>0.92681980469287439</c:v>
                </c:pt>
                <c:pt idx="8">
                  <c:v>0.92987011974653988</c:v>
                </c:pt>
                <c:pt idx="9">
                  <c:v>0.95830733655795319</c:v>
                </c:pt>
                <c:pt idx="10">
                  <c:v>0.96553802625729068</c:v>
                </c:pt>
                <c:pt idx="11">
                  <c:v>0.92196892318455226</c:v>
                </c:pt>
                <c:pt idx="12">
                  <c:v>0.8163812339840042</c:v>
                </c:pt>
                <c:pt idx="13">
                  <c:v>0.86509257287688457</c:v>
                </c:pt>
                <c:pt idx="14">
                  <c:v>0.95791252972221375</c:v>
                </c:pt>
                <c:pt idx="15">
                  <c:v>0.91232479122839094</c:v>
                </c:pt>
                <c:pt idx="16">
                  <c:v>0.8985554131877449</c:v>
                </c:pt>
                <c:pt idx="17">
                  <c:v>0.91985644910014697</c:v>
                </c:pt>
                <c:pt idx="18">
                  <c:v>0.88482689587853114</c:v>
                </c:pt>
                <c:pt idx="19">
                  <c:v>0.91074874344385859</c:v>
                </c:pt>
                <c:pt idx="20">
                  <c:v>0.91919182535355959</c:v>
                </c:pt>
                <c:pt idx="21">
                  <c:v>0.90610342357983675</c:v>
                </c:pt>
                <c:pt idx="22">
                  <c:v>0.91510931674713314</c:v>
                </c:pt>
                <c:pt idx="23">
                  <c:v>0.99189256479586385</c:v>
                </c:pt>
                <c:pt idx="24">
                  <c:v>0.99899622291667722</c:v>
                </c:pt>
                <c:pt idx="25">
                  <c:v>0.9794282444373954</c:v>
                </c:pt>
                <c:pt idx="26">
                  <c:v>0.95059881644130906</c:v>
                </c:pt>
                <c:pt idx="27">
                  <c:v>0.95445282765876327</c:v>
                </c:pt>
              </c:numCache>
            </c:numRef>
          </c:val>
          <c:smooth val="0"/>
        </c:ser>
        <c:dLbls>
          <c:showLegendKey val="0"/>
          <c:showVal val="0"/>
          <c:showCatName val="0"/>
          <c:showSerName val="0"/>
          <c:showPercent val="0"/>
          <c:showBubbleSize val="0"/>
        </c:dLbls>
        <c:marker val="1"/>
        <c:smooth val="0"/>
        <c:axId val="144275328"/>
        <c:axId val="144276864"/>
      </c:lineChart>
      <c:lineChart>
        <c:grouping val="standard"/>
        <c:varyColors val="0"/>
        <c:ser>
          <c:idx val="1"/>
          <c:order val="1"/>
          <c:tx>
            <c:strRef>
              <c:f>'Linear Volume - Charts (no apx)'!$AE$3</c:f>
              <c:strCache>
                <c:ptCount val="1"/>
                <c:pt idx="0">
                  <c:v>Mining</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apx)'!$AE$5:$AE$32</c:f>
              <c:numCache>
                <c:formatCode>General</c:formatCode>
                <c:ptCount val="28"/>
                <c:pt idx="0">
                  <c:v>3.8228137698628037</c:v>
                </c:pt>
                <c:pt idx="1">
                  <c:v>3.9223722354922987</c:v>
                </c:pt>
                <c:pt idx="2">
                  <c:v>4.3908919146862972</c:v>
                </c:pt>
                <c:pt idx="3">
                  <c:v>4.942411884292623</c:v>
                </c:pt>
                <c:pt idx="4">
                  <c:v>4.9358989628202501</c:v>
                </c:pt>
                <c:pt idx="5">
                  <c:v>4.6097830808441449</c:v>
                </c:pt>
                <c:pt idx="6">
                  <c:v>5.1113804129173603</c:v>
                </c:pt>
                <c:pt idx="7">
                  <c:v>5.5035332141621502</c:v>
                </c:pt>
                <c:pt idx="8">
                  <c:v>5.3944145791644766</c:v>
                </c:pt>
                <c:pt idx="9">
                  <c:v>5.5166136583336804</c:v>
                </c:pt>
                <c:pt idx="10">
                  <c:v>5.0897313058674651</c:v>
                </c:pt>
                <c:pt idx="11">
                  <c:v>5.3846007435548779</c:v>
                </c:pt>
                <c:pt idx="12">
                  <c:v>5.8221484105415895</c:v>
                </c:pt>
                <c:pt idx="13">
                  <c:v>5.5739361372611969</c:v>
                </c:pt>
                <c:pt idx="14">
                  <c:v>5.0770109651210644</c:v>
                </c:pt>
                <c:pt idx="15">
                  <c:v>4.4597209682764039</c:v>
                </c:pt>
                <c:pt idx="16">
                  <c:v>4.2871108044731949</c:v>
                </c:pt>
                <c:pt idx="17">
                  <c:v>3.5960522045099874</c:v>
                </c:pt>
                <c:pt idx="18">
                  <c:v>3.6166971034137219</c:v>
                </c:pt>
                <c:pt idx="19">
                  <c:v>3.4846423665105033</c:v>
                </c:pt>
                <c:pt idx="20">
                  <c:v>3.0401847456952367</c:v>
                </c:pt>
                <c:pt idx="21">
                  <c:v>3.1280554728945633</c:v>
                </c:pt>
                <c:pt idx="22">
                  <c:v>2.6937523527605212</c:v>
                </c:pt>
                <c:pt idx="23">
                  <c:v>2.3203116851808838</c:v>
                </c:pt>
                <c:pt idx="24">
                  <c:v>2.3170719855172575</c:v>
                </c:pt>
                <c:pt idx="25">
                  <c:v>2.4888329080795066</c:v>
                </c:pt>
                <c:pt idx="26">
                  <c:v>3.1787486303161034</c:v>
                </c:pt>
                <c:pt idx="27">
                  <c:v>3.2548291955250575</c:v>
                </c:pt>
              </c:numCache>
            </c:numRef>
          </c:val>
          <c:smooth val="0"/>
        </c:ser>
        <c:ser>
          <c:idx val="3"/>
          <c:order val="3"/>
          <c:tx>
            <c:strRef>
              <c:f>'Linear Volume - Charts (no apx)'!$AG$3</c:f>
              <c:strCache>
                <c:ptCount val="1"/>
                <c:pt idx="0">
                  <c:v>Utilities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apx)'!$AG$5:$AG$32</c:f>
              <c:numCache>
                <c:formatCode>General</c:formatCode>
                <c:ptCount val="28"/>
                <c:pt idx="0">
                  <c:v>2.8838595633839108</c:v>
                </c:pt>
                <c:pt idx="1">
                  <c:v>3.1106816964131085</c:v>
                </c:pt>
                <c:pt idx="2">
                  <c:v>3.2879971004366459</c:v>
                </c:pt>
                <c:pt idx="3">
                  <c:v>3.1756085660979259</c:v>
                </c:pt>
                <c:pt idx="4">
                  <c:v>3.3536399673772008</c:v>
                </c:pt>
                <c:pt idx="5">
                  <c:v>3.5060137595769523</c:v>
                </c:pt>
                <c:pt idx="6">
                  <c:v>3.7312017526921548</c:v>
                </c:pt>
                <c:pt idx="7">
                  <c:v>3.9700365715892287</c:v>
                </c:pt>
                <c:pt idx="8">
                  <c:v>4.4690434008390536</c:v>
                </c:pt>
                <c:pt idx="9">
                  <c:v>4.4898511377625328</c:v>
                </c:pt>
                <c:pt idx="10">
                  <c:v>4.1637579565326508</c:v>
                </c:pt>
                <c:pt idx="11">
                  <c:v>4.3482382870822516</c:v>
                </c:pt>
                <c:pt idx="12">
                  <c:v>4.3383583822053984</c:v>
                </c:pt>
                <c:pt idx="13">
                  <c:v>3.9966556618768907</c:v>
                </c:pt>
                <c:pt idx="14">
                  <c:v>3.8062945235001071</c:v>
                </c:pt>
                <c:pt idx="15">
                  <c:v>3.6247034530352491</c:v>
                </c:pt>
                <c:pt idx="16">
                  <c:v>3.4643607831464656</c:v>
                </c:pt>
                <c:pt idx="17">
                  <c:v>3.2160540114222429</c:v>
                </c:pt>
                <c:pt idx="18">
                  <c:v>3.1352747566853725</c:v>
                </c:pt>
                <c:pt idx="19">
                  <c:v>2.8757210683148413</c:v>
                </c:pt>
                <c:pt idx="20">
                  <c:v>2.6236353455950656</c:v>
                </c:pt>
                <c:pt idx="21">
                  <c:v>2.5206872882077582</c:v>
                </c:pt>
                <c:pt idx="22">
                  <c:v>2.3209007848509389</c:v>
                </c:pt>
                <c:pt idx="23">
                  <c:v>2.2258636297726251</c:v>
                </c:pt>
                <c:pt idx="24">
                  <c:v>2.353841582471786</c:v>
                </c:pt>
                <c:pt idx="25">
                  <c:v>2.117219243933397</c:v>
                </c:pt>
                <c:pt idx="26">
                  <c:v>2.2645099325592972</c:v>
                </c:pt>
                <c:pt idx="27">
                  <c:v>2.2259173238937024</c:v>
                </c:pt>
              </c:numCache>
            </c:numRef>
          </c:val>
          <c:smooth val="0"/>
        </c:ser>
        <c:dLbls>
          <c:showLegendKey val="0"/>
          <c:showVal val="0"/>
          <c:showCatName val="0"/>
          <c:showSerName val="0"/>
          <c:showPercent val="0"/>
          <c:showBubbleSize val="0"/>
        </c:dLbls>
        <c:marker val="1"/>
        <c:smooth val="0"/>
        <c:axId val="144285056"/>
        <c:axId val="144283136"/>
      </c:lineChart>
      <c:catAx>
        <c:axId val="144275328"/>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4276864"/>
        <c:crosses val="autoZero"/>
        <c:auto val="1"/>
        <c:lblAlgn val="ctr"/>
        <c:lblOffset val="100"/>
        <c:tickLblSkip val="3"/>
        <c:noMultiLvlLbl val="0"/>
      </c:catAx>
      <c:valAx>
        <c:axId val="144276864"/>
        <c:scaling>
          <c:orientation val="minMax"/>
          <c:max val="6"/>
          <c:min val="0"/>
        </c:scaling>
        <c:delete val="0"/>
        <c:axPos val="l"/>
        <c:title>
          <c:tx>
            <c:rich>
              <a:bodyPr rot="0" vert="horz"/>
              <a:lstStyle/>
              <a:p>
                <a:pPr>
                  <a:defRPr sz="800" b="0" i="0">
                    <a:solidFill>
                      <a:srgbClr val="000000"/>
                    </a:solidFill>
                    <a:latin typeface="Arial"/>
                    <a:ea typeface="Arial"/>
                    <a:cs typeface="Arial"/>
                  </a:defRPr>
                </a:pPr>
                <a:r>
                  <a:rPr lang="en-US"/>
                  <a:t>Ratio</a:t>
                </a:r>
              </a:p>
              <a:p>
                <a:pPr>
                  <a:defRPr sz="800" b="0" i="0">
                    <a:solidFill>
                      <a:srgbClr val="000000"/>
                    </a:solidFill>
                    <a:latin typeface="Arial"/>
                    <a:ea typeface="Arial"/>
                    <a:cs typeface="Arial"/>
                  </a:defRPr>
                </a:pPr>
                <a:r>
                  <a:rPr lang="en-US"/>
                  <a:t>
</a:t>
                </a:r>
              </a:p>
            </c:rich>
          </c:tx>
          <c:layout>
            <c:manualLayout>
              <c:xMode val="edge"/>
              <c:yMode val="edge"/>
              <c:x val="5.2228798254867953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4275328"/>
        <c:crosses val="autoZero"/>
        <c:crossBetween val="midCat"/>
        <c:majorUnit val="0.5"/>
      </c:valAx>
      <c:valAx>
        <c:axId val="144283136"/>
        <c:scaling>
          <c:orientation val="minMax"/>
          <c:max val="6"/>
          <c:min val="0"/>
        </c:scaling>
        <c:delete val="0"/>
        <c:axPos val="r"/>
        <c:title>
          <c:tx>
            <c:rich>
              <a:bodyPr rot="0" vert="horz"/>
              <a:lstStyle/>
              <a:p>
                <a:pPr>
                  <a:defRPr sz="800" b="0" i="0">
                    <a:solidFill>
                      <a:srgbClr val="000000"/>
                    </a:solidFill>
                    <a:latin typeface="Arial"/>
                    <a:ea typeface="Arial"/>
                    <a:cs typeface="Arial"/>
                  </a:defRPr>
                </a:pPr>
                <a:r>
                  <a:rPr lang="en-US"/>
                  <a:t>Ratio</a:t>
                </a:r>
              </a:p>
              <a:p>
                <a:pPr>
                  <a:defRPr sz="800" b="0" i="0">
                    <a:solidFill>
                      <a:srgbClr val="000000"/>
                    </a:solidFill>
                    <a:latin typeface="Arial"/>
                    <a:ea typeface="Arial"/>
                    <a:cs typeface="Arial"/>
                  </a:defRPr>
                </a:pPr>
                <a:r>
                  <a:rPr lang="en-US"/>
                  <a:t>
</a:t>
                </a:r>
              </a:p>
            </c:rich>
          </c:tx>
          <c:layout>
            <c:manualLayout>
              <c:xMode val="edge"/>
              <c:yMode val="edge"/>
              <c:x val="0.85711355874622275"/>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4285056"/>
        <c:crosses val="max"/>
        <c:crossBetween val="midCat"/>
        <c:majorUnit val="0.5"/>
        <c:minorUnit val="0.2"/>
      </c:valAx>
      <c:catAx>
        <c:axId val="144285056"/>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4428313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4.2894308652350388E-2"/>
          <c:y val="0.92250555555555558"/>
          <c:w val="0.95508609437302194"/>
          <c:h val="7.7494444444444435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8863492063492063E-2"/>
          <c:w val="0.98862007168458776"/>
          <c:h val="0.97113650793650796"/>
        </c:manualLayout>
      </c:layout>
      <c:lineChart>
        <c:grouping val="standard"/>
        <c:varyColors val="0"/>
        <c:ser>
          <c:idx val="0"/>
          <c:order val="0"/>
          <c:tx>
            <c:strRef>
              <c:f>'Linear Volume - Charts (no apx)'!$G$3</c:f>
              <c:strCache>
                <c:ptCount val="1"/>
                <c:pt idx="0">
                  <c:v>Agriculture, forestry and fishing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apx)'!$G$5:$G$32</c:f>
              <c:numCache>
                <c:formatCode>General</c:formatCode>
                <c:ptCount val="28"/>
                <c:pt idx="0">
                  <c:v>6.9992391868370847</c:v>
                </c:pt>
                <c:pt idx="1">
                  <c:v>6.5914102425591734</c:v>
                </c:pt>
                <c:pt idx="2">
                  <c:v>6.7283865290973059</c:v>
                </c:pt>
                <c:pt idx="3">
                  <c:v>6.2631883621492603</c:v>
                </c:pt>
                <c:pt idx="4">
                  <c:v>6.2256315671808631</c:v>
                </c:pt>
                <c:pt idx="5">
                  <c:v>6.0763790715806332</c:v>
                </c:pt>
                <c:pt idx="6">
                  <c:v>5.7474226424085657</c:v>
                </c:pt>
                <c:pt idx="7">
                  <c:v>5.7195517683544814</c:v>
                </c:pt>
                <c:pt idx="8">
                  <c:v>5.8571445691275672</c:v>
                </c:pt>
                <c:pt idx="9">
                  <c:v>6.0204195485544751</c:v>
                </c:pt>
                <c:pt idx="10">
                  <c:v>5.7283294813356154</c:v>
                </c:pt>
                <c:pt idx="11">
                  <c:v>5.8597910734655878</c:v>
                </c:pt>
                <c:pt idx="12">
                  <c:v>5.5960651340699412</c:v>
                </c:pt>
                <c:pt idx="13">
                  <c:v>5.7661720728719574</c:v>
                </c:pt>
                <c:pt idx="14">
                  <c:v>4.7859395970762613</c:v>
                </c:pt>
                <c:pt idx="15">
                  <c:v>4.5836028120406915</c:v>
                </c:pt>
                <c:pt idx="16">
                  <c:v>4.3238210603707579</c:v>
                </c:pt>
                <c:pt idx="17">
                  <c:v>4.0005695504731449</c:v>
                </c:pt>
                <c:pt idx="18">
                  <c:v>4.0577255683116693</c:v>
                </c:pt>
                <c:pt idx="19">
                  <c:v>3.9128953656689154</c:v>
                </c:pt>
                <c:pt idx="20">
                  <c:v>3.9808233877406645</c:v>
                </c:pt>
                <c:pt idx="21">
                  <c:v>3.9371423621770596</c:v>
                </c:pt>
                <c:pt idx="22">
                  <c:v>3.6848123961265284</c:v>
                </c:pt>
                <c:pt idx="23">
                  <c:v>3.4618475607097912</c:v>
                </c:pt>
                <c:pt idx="24">
                  <c:v>3.2184643600083143</c:v>
                </c:pt>
                <c:pt idx="25">
                  <c:v>3.3561120704331855</c:v>
                </c:pt>
                <c:pt idx="26">
                  <c:v>3.2744470362080711</c:v>
                </c:pt>
                <c:pt idx="27">
                  <c:v>3.3564530449715884</c:v>
                </c:pt>
              </c:numCache>
            </c:numRef>
          </c:val>
          <c:smooth val="0"/>
        </c:ser>
        <c:ser>
          <c:idx val="1"/>
          <c:order val="1"/>
          <c:tx>
            <c:strRef>
              <c:f>'Linear Volume - Charts (no apx)'!$H$3</c:f>
              <c:strCache>
                <c:ptCount val="1"/>
                <c:pt idx="0">
                  <c:v>Mining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apx)'!$H$5:$H$32</c:f>
              <c:numCache>
                <c:formatCode>General</c:formatCode>
                <c:ptCount val="28"/>
                <c:pt idx="0">
                  <c:v>1.460804072606716</c:v>
                </c:pt>
                <c:pt idx="1">
                  <c:v>1.5048503223709084</c:v>
                </c:pt>
                <c:pt idx="2">
                  <c:v>1.4222931370751546</c:v>
                </c:pt>
                <c:pt idx="3">
                  <c:v>1.3290521681697511</c:v>
                </c:pt>
                <c:pt idx="4">
                  <c:v>1.2982524778299425</c:v>
                </c:pt>
                <c:pt idx="5">
                  <c:v>1.3566757170035852</c:v>
                </c:pt>
                <c:pt idx="6">
                  <c:v>1.2623949829295082</c:v>
                </c:pt>
                <c:pt idx="7">
                  <c:v>1.2248774142068504</c:v>
                </c:pt>
                <c:pt idx="8">
                  <c:v>1.2174706930521606</c:v>
                </c:pt>
                <c:pt idx="9">
                  <c:v>1.180755025470906</c:v>
                </c:pt>
                <c:pt idx="10">
                  <c:v>1.2097538554485407</c:v>
                </c:pt>
                <c:pt idx="11">
                  <c:v>1.1540691921507515</c:v>
                </c:pt>
                <c:pt idx="12">
                  <c:v>1.131980538752015</c:v>
                </c:pt>
                <c:pt idx="13">
                  <c:v>1.1395686309340747</c:v>
                </c:pt>
                <c:pt idx="14">
                  <c:v>1.2211791706319535</c:v>
                </c:pt>
                <c:pt idx="15">
                  <c:v>1.2964677554331756</c:v>
                </c:pt>
                <c:pt idx="16">
                  <c:v>1.3798465270463691</c:v>
                </c:pt>
                <c:pt idx="17">
                  <c:v>1.6243219533549194</c:v>
                </c:pt>
                <c:pt idx="18">
                  <c:v>1.6942628524350571</c:v>
                </c:pt>
                <c:pt idx="19">
                  <c:v>1.7347044400130784</c:v>
                </c:pt>
                <c:pt idx="20">
                  <c:v>2.014001657559076</c:v>
                </c:pt>
                <c:pt idx="21">
                  <c:v>2.0643769583668656</c:v>
                </c:pt>
                <c:pt idx="22">
                  <c:v>2.390365684990285</c:v>
                </c:pt>
                <c:pt idx="23">
                  <c:v>2.8683931919304748</c:v>
                </c:pt>
                <c:pt idx="24">
                  <c:v>3.0567642297410562</c:v>
                </c:pt>
                <c:pt idx="25">
                  <c:v>3.036071318766425</c:v>
                </c:pt>
                <c:pt idx="26">
                  <c:v>2.4969903181249546</c:v>
                </c:pt>
                <c:pt idx="27">
                  <c:v>2.5209576059725016</c:v>
                </c:pt>
              </c:numCache>
            </c:numRef>
          </c:val>
          <c:smooth val="0"/>
        </c:ser>
        <c:ser>
          <c:idx val="2"/>
          <c:order val="2"/>
          <c:tx>
            <c:strRef>
              <c:f>'Linear Volume - Charts (no apx)'!$I$3</c:f>
              <c:strCache>
                <c:ptCount val="1"/>
                <c:pt idx="0">
                  <c:v>Manufacturing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apx)'!$I$5:$I$32</c:f>
              <c:numCache>
                <c:formatCode>General</c:formatCode>
                <c:ptCount val="28"/>
                <c:pt idx="0">
                  <c:v>16.102889257070647</c:v>
                </c:pt>
                <c:pt idx="1">
                  <c:v>15.70922443224112</c:v>
                </c:pt>
                <c:pt idx="2">
                  <c:v>14.949849716974187</c:v>
                </c:pt>
                <c:pt idx="3">
                  <c:v>14.616921921001639</c:v>
                </c:pt>
                <c:pt idx="4">
                  <c:v>14.727876518369476</c:v>
                </c:pt>
                <c:pt idx="5">
                  <c:v>14.57133103985981</c:v>
                </c:pt>
                <c:pt idx="6">
                  <c:v>14.509263152033069</c:v>
                </c:pt>
                <c:pt idx="7">
                  <c:v>13.943167189186584</c:v>
                </c:pt>
                <c:pt idx="8">
                  <c:v>14.041426123772686</c:v>
                </c:pt>
                <c:pt idx="9">
                  <c:v>13.741542526702508</c:v>
                </c:pt>
                <c:pt idx="10">
                  <c:v>13.164156145232825</c:v>
                </c:pt>
                <c:pt idx="11">
                  <c:v>12.847789612363645</c:v>
                </c:pt>
                <c:pt idx="12">
                  <c:v>12.913847510350982</c:v>
                </c:pt>
                <c:pt idx="13">
                  <c:v>12.524832152821613</c:v>
                </c:pt>
                <c:pt idx="14">
                  <c:v>12.681397338612188</c:v>
                </c:pt>
                <c:pt idx="15">
                  <c:v>11.943759491561154</c:v>
                </c:pt>
                <c:pt idx="16">
                  <c:v>11.852216650585387</c:v>
                </c:pt>
                <c:pt idx="17">
                  <c:v>11.199889283103744</c:v>
                </c:pt>
                <c:pt idx="18">
                  <c:v>10.849258098282579</c:v>
                </c:pt>
                <c:pt idx="19">
                  <c:v>10.896102850526843</c:v>
                </c:pt>
                <c:pt idx="20">
                  <c:v>10.318839526243291</c:v>
                </c:pt>
                <c:pt idx="21">
                  <c:v>9.9787407545714917</c:v>
                </c:pt>
                <c:pt idx="22">
                  <c:v>9.6702440630569804</c:v>
                </c:pt>
                <c:pt idx="23">
                  <c:v>9.2343433826077952</c:v>
                </c:pt>
                <c:pt idx="24">
                  <c:v>9.0601448024504556</c:v>
                </c:pt>
                <c:pt idx="25">
                  <c:v>8.7920960936463821</c:v>
                </c:pt>
                <c:pt idx="26">
                  <c:v>8.6633244984624511</c:v>
                </c:pt>
                <c:pt idx="27">
                  <c:v>8.0732700903026036</c:v>
                </c:pt>
              </c:numCache>
            </c:numRef>
          </c:val>
          <c:smooth val="0"/>
        </c:ser>
        <c:ser>
          <c:idx val="3"/>
          <c:order val="3"/>
          <c:tx>
            <c:strRef>
              <c:f>'Linear Volume - Charts (no apx)'!$J$3</c:f>
              <c:strCache>
                <c:ptCount val="1"/>
                <c:pt idx="0">
                  <c:v>Utilities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apx)'!$J$5:$J$32</c:f>
              <c:numCache>
                <c:formatCode>General</c:formatCode>
                <c:ptCount val="28"/>
                <c:pt idx="0">
                  <c:v>1.6452898668376921</c:v>
                </c:pt>
                <c:pt idx="1">
                  <c:v>1.5361521749416684</c:v>
                </c:pt>
                <c:pt idx="2">
                  <c:v>1.4781710656813336</c:v>
                </c:pt>
                <c:pt idx="3">
                  <c:v>1.5526301709947044</c:v>
                </c:pt>
                <c:pt idx="4">
                  <c:v>1.4449474625530963</c:v>
                </c:pt>
                <c:pt idx="5">
                  <c:v>1.3677507680611036</c:v>
                </c:pt>
                <c:pt idx="6">
                  <c:v>1.2687702332881921</c:v>
                </c:pt>
                <c:pt idx="7">
                  <c:v>1.1542970747619077</c:v>
                </c:pt>
                <c:pt idx="8">
                  <c:v>0.98219818016989779</c:v>
                </c:pt>
                <c:pt idx="9">
                  <c:v>0.97090212658186359</c:v>
                </c:pt>
                <c:pt idx="10">
                  <c:v>1.0154986746367192</c:v>
                </c:pt>
                <c:pt idx="11">
                  <c:v>0.95368096536295655</c:v>
                </c:pt>
                <c:pt idx="12">
                  <c:v>0.95455211514376792</c:v>
                </c:pt>
                <c:pt idx="13">
                  <c:v>1.0004611629080888</c:v>
                </c:pt>
                <c:pt idx="14">
                  <c:v>1.0303650832067179</c:v>
                </c:pt>
                <c:pt idx="15">
                  <c:v>1.0404862061385947</c:v>
                </c:pt>
                <c:pt idx="16">
                  <c:v>1.0643317057701764</c:v>
                </c:pt>
                <c:pt idx="17">
                  <c:v>1.1302398208093192</c:v>
                </c:pt>
                <c:pt idx="18">
                  <c:v>1.1257043058232019</c:v>
                </c:pt>
                <c:pt idx="19">
                  <c:v>1.1814416993953027</c:v>
                </c:pt>
                <c:pt idx="20">
                  <c:v>1.3251828851750691</c:v>
                </c:pt>
                <c:pt idx="21">
                  <c:v>1.3629525665742304</c:v>
                </c:pt>
                <c:pt idx="22">
                  <c:v>1.484961494075981</c:v>
                </c:pt>
                <c:pt idx="23">
                  <c:v>1.4972485161197158</c:v>
                </c:pt>
                <c:pt idx="24">
                  <c:v>1.3883661956206768</c:v>
                </c:pt>
                <c:pt idx="25">
                  <c:v>1.463656301328893</c:v>
                </c:pt>
                <c:pt idx="26">
                  <c:v>1.3592912980619203</c:v>
                </c:pt>
                <c:pt idx="27">
                  <c:v>1.3741943551290761</c:v>
                </c:pt>
              </c:numCache>
            </c:numRef>
          </c:val>
          <c:smooth val="0"/>
        </c:ser>
        <c:ser>
          <c:idx val="4"/>
          <c:order val="4"/>
          <c:tx>
            <c:strRef>
              <c:f>'Linear Volume - Charts (no apx)'!$K$3</c:f>
              <c:strCache>
                <c:ptCount val="1"/>
                <c:pt idx="0">
                  <c:v>Construction (LHS)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apx)'!$K$5:$K$32</c:f>
              <c:numCache>
                <c:formatCode>General</c:formatCode>
                <c:ptCount val="28"/>
                <c:pt idx="0">
                  <c:v>7.9904269848714753</c:v>
                </c:pt>
                <c:pt idx="1">
                  <c:v>8.1778708685837973</c:v>
                </c:pt>
                <c:pt idx="2">
                  <c:v>7.6349569722806487</c:v>
                </c:pt>
                <c:pt idx="3">
                  <c:v>6.9778090116066398</c:v>
                </c:pt>
                <c:pt idx="4">
                  <c:v>7.4209143751397271</c:v>
                </c:pt>
                <c:pt idx="5">
                  <c:v>7.5861303924924126</c:v>
                </c:pt>
                <c:pt idx="6">
                  <c:v>7.8272027856114343</c:v>
                </c:pt>
                <c:pt idx="7">
                  <c:v>7.6494042089549978</c:v>
                </c:pt>
                <c:pt idx="8">
                  <c:v>7.5376154989882052</c:v>
                </c:pt>
                <c:pt idx="9">
                  <c:v>7.7169326113746814</c:v>
                </c:pt>
                <c:pt idx="10">
                  <c:v>7.9515692608107393</c:v>
                </c:pt>
                <c:pt idx="11">
                  <c:v>8.5480149632336708</c:v>
                </c:pt>
                <c:pt idx="12">
                  <c:v>8.0981386494574252</c:v>
                </c:pt>
                <c:pt idx="13">
                  <c:v>8.2443774632626372</c:v>
                </c:pt>
                <c:pt idx="14">
                  <c:v>8.4160013610320306</c:v>
                </c:pt>
                <c:pt idx="15">
                  <c:v>9.0712812568260421</c:v>
                </c:pt>
                <c:pt idx="16">
                  <c:v>9.3552505756611595</c:v>
                </c:pt>
                <c:pt idx="17">
                  <c:v>9.5839349609355722</c:v>
                </c:pt>
                <c:pt idx="18">
                  <c:v>10.111595617715356</c:v>
                </c:pt>
                <c:pt idx="19">
                  <c:v>10.105309898333562</c:v>
                </c:pt>
                <c:pt idx="20">
                  <c:v>10.226256065176361</c:v>
                </c:pt>
                <c:pt idx="21">
                  <c:v>10.200394682012389</c:v>
                </c:pt>
                <c:pt idx="22">
                  <c:v>10.141788862563452</c:v>
                </c:pt>
                <c:pt idx="23">
                  <c:v>9.9131485213523209</c:v>
                </c:pt>
                <c:pt idx="24">
                  <c:v>9.8475217341044647</c:v>
                </c:pt>
                <c:pt idx="25">
                  <c:v>10.211743892934633</c:v>
                </c:pt>
                <c:pt idx="26">
                  <c:v>10.079294174125607</c:v>
                </c:pt>
                <c:pt idx="27">
                  <c:v>10.039882445126294</c:v>
                </c:pt>
              </c:numCache>
            </c:numRef>
          </c:val>
          <c:smooth val="0"/>
        </c:ser>
        <c:dLbls>
          <c:showLegendKey val="0"/>
          <c:showVal val="0"/>
          <c:showCatName val="0"/>
          <c:showSerName val="0"/>
          <c:showPercent val="0"/>
          <c:showBubbleSize val="0"/>
        </c:dLbls>
        <c:marker val="1"/>
        <c:smooth val="0"/>
        <c:axId val="146684928"/>
        <c:axId val="146694912"/>
      </c:lineChart>
      <c:lineChart>
        <c:grouping val="standard"/>
        <c:varyColors val="0"/>
        <c:ser>
          <c:idx val="5"/>
          <c:order val="5"/>
          <c:tx>
            <c:strRef>
              <c:f>'Linear Volume - Charts (no apx)'!$L$3</c:f>
              <c:strCache>
                <c:ptCount val="1"/>
                <c:pt idx="0">
                  <c:v>Services (RHS)</c:v>
                </c:pt>
              </c:strCache>
            </c:strRef>
          </c:tx>
          <c:marker>
            <c:symbol val="none"/>
          </c:marker>
          <c:cat>
            <c:strRef>
              <c:f>'Linear Volume - Charts (no apx)'!$A$5:$A$32</c:f>
              <c:strCache>
                <c:ptCount val="28"/>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strCache>
            </c:strRef>
          </c:cat>
          <c:val>
            <c:numRef>
              <c:f>'Linear Volume - Charts (no apx)'!$L$5:$L$32</c:f>
              <c:numCache>
                <c:formatCode>General</c:formatCode>
                <c:ptCount val="28"/>
                <c:pt idx="0">
                  <c:v>65.801350631776387</c:v>
                </c:pt>
                <c:pt idx="1">
                  <c:v>66.480491959303336</c:v>
                </c:pt>
                <c:pt idx="2">
                  <c:v>67.786342578891364</c:v>
                </c:pt>
                <c:pt idx="3">
                  <c:v>69.260398366078007</c:v>
                </c:pt>
                <c:pt idx="4">
                  <c:v>68.882377598926908</c:v>
                </c:pt>
                <c:pt idx="5">
                  <c:v>69.041733011002449</c:v>
                </c:pt>
                <c:pt idx="6">
                  <c:v>69.384946203729243</c:v>
                </c:pt>
                <c:pt idx="7">
                  <c:v>70.308702344535178</c:v>
                </c:pt>
                <c:pt idx="8">
                  <c:v>70.364144934889481</c:v>
                </c:pt>
                <c:pt idx="9">
                  <c:v>70.369448161315574</c:v>
                </c:pt>
                <c:pt idx="10">
                  <c:v>70.930692582535556</c:v>
                </c:pt>
                <c:pt idx="11">
                  <c:v>70.636654193423382</c:v>
                </c:pt>
                <c:pt idx="12">
                  <c:v>71.30541605222588</c:v>
                </c:pt>
                <c:pt idx="13">
                  <c:v>71.324588517201633</c:v>
                </c:pt>
                <c:pt idx="14">
                  <c:v>71.865117449440845</c:v>
                </c:pt>
                <c:pt idx="15">
                  <c:v>72.064402478000346</c:v>
                </c:pt>
                <c:pt idx="16">
                  <c:v>72.024533480566149</c:v>
                </c:pt>
                <c:pt idx="17">
                  <c:v>72.461044431323302</c:v>
                </c:pt>
                <c:pt idx="18">
                  <c:v>72.161453557432125</c:v>
                </c:pt>
                <c:pt idx="19">
                  <c:v>72.169545746062298</c:v>
                </c:pt>
                <c:pt idx="20">
                  <c:v>72.134896478105532</c:v>
                </c:pt>
                <c:pt idx="21">
                  <c:v>72.45639267629798</c:v>
                </c:pt>
                <c:pt idx="22">
                  <c:v>72.627827499186765</c:v>
                </c:pt>
                <c:pt idx="23">
                  <c:v>73.025018827279894</c:v>
                </c:pt>
                <c:pt idx="24">
                  <c:v>73.428738678075035</c:v>
                </c:pt>
                <c:pt idx="25">
                  <c:v>73.140320322890489</c:v>
                </c:pt>
                <c:pt idx="26">
                  <c:v>74.126652675017013</c:v>
                </c:pt>
                <c:pt idx="27">
                  <c:v>74.635242458497942</c:v>
                </c:pt>
              </c:numCache>
            </c:numRef>
          </c:val>
          <c:smooth val="0"/>
        </c:ser>
        <c:dLbls>
          <c:showLegendKey val="0"/>
          <c:showVal val="0"/>
          <c:showCatName val="0"/>
          <c:showSerName val="0"/>
          <c:showPercent val="0"/>
          <c:showBubbleSize val="0"/>
        </c:dLbls>
        <c:marker val="1"/>
        <c:smooth val="0"/>
        <c:axId val="146715392"/>
        <c:axId val="146696832"/>
      </c:lineChart>
      <c:catAx>
        <c:axId val="146684928"/>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6694912"/>
        <c:crosses val="autoZero"/>
        <c:auto val="1"/>
        <c:lblAlgn val="ctr"/>
        <c:lblOffset val="100"/>
        <c:tickLblSkip val="3"/>
        <c:tickMarkSkip val="1"/>
        <c:noMultiLvlLbl val="0"/>
      </c:catAx>
      <c:valAx>
        <c:axId val="146694912"/>
        <c:scaling>
          <c:orientation val="minMax"/>
          <c:max val="18"/>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4.32437275985663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6684928"/>
        <c:crosses val="autoZero"/>
        <c:crossBetween val="midCat"/>
      </c:valAx>
      <c:valAx>
        <c:axId val="146696832"/>
        <c:scaling>
          <c:orientation val="minMax"/>
          <c:max val="9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85159498207885"/>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6715392"/>
        <c:crosses val="max"/>
        <c:crossBetween val="midCat"/>
        <c:minorUnit val="0.2"/>
      </c:valAx>
      <c:catAx>
        <c:axId val="146715392"/>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4669683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1328332908431396E-2"/>
          <c:y val="3.9687500000000001E-2"/>
          <c:w val="0.988639463997388"/>
          <c:h val="0.88015624999999997"/>
        </c:manualLayout>
      </c:layout>
      <c:barChart>
        <c:barDir val="col"/>
        <c:grouping val="stacked"/>
        <c:varyColors val="0"/>
        <c:ser>
          <c:idx val="0"/>
          <c:order val="0"/>
          <c:tx>
            <c:strRef>
              <c:f>'Linear Volume - Charts (no apx)'!$B$3</c:f>
              <c:strCache>
                <c:ptCount val="1"/>
                <c:pt idx="0">
                  <c:v>Productivity growth within industries</c:v>
                </c:pt>
              </c:strCache>
            </c:strRef>
          </c:tx>
          <c:invertIfNegative val="0"/>
          <c:cat>
            <c:strRef>
              <c:f>'Linear Volume - Charts (no apx)'!$A$6:$A$32</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val>
            <c:numRef>
              <c:f>'Linear Volume - Charts (no apx)'!$B$6:$B$32</c:f>
              <c:numCache>
                <c:formatCode>General</c:formatCode>
                <c:ptCount val="27"/>
                <c:pt idx="0">
                  <c:v>-0.83340432312204737</c:v>
                </c:pt>
                <c:pt idx="1">
                  <c:v>1.8921121870488877</c:v>
                </c:pt>
                <c:pt idx="2">
                  <c:v>2.1278357963066767</c:v>
                </c:pt>
                <c:pt idx="3">
                  <c:v>4.3365997575112623</c:v>
                </c:pt>
                <c:pt idx="4">
                  <c:v>0.81953667615856496</c:v>
                </c:pt>
                <c:pt idx="5">
                  <c:v>0.36838913670004392</c:v>
                </c:pt>
                <c:pt idx="6">
                  <c:v>2.1015657607939877</c:v>
                </c:pt>
                <c:pt idx="7">
                  <c:v>4.4364637625177865</c:v>
                </c:pt>
                <c:pt idx="8">
                  <c:v>3.6606968545782976</c:v>
                </c:pt>
                <c:pt idx="9">
                  <c:v>3.4627497363051951</c:v>
                </c:pt>
                <c:pt idx="10">
                  <c:v>1.5624184326997612</c:v>
                </c:pt>
                <c:pt idx="11">
                  <c:v>0.64678279742422073</c:v>
                </c:pt>
                <c:pt idx="12">
                  <c:v>3.8984673622801518</c:v>
                </c:pt>
                <c:pt idx="13">
                  <c:v>0.12904448979016908</c:v>
                </c:pt>
                <c:pt idx="14">
                  <c:v>2.4169920768384152</c:v>
                </c:pt>
                <c:pt idx="15">
                  <c:v>0.1030255189466579</c:v>
                </c:pt>
                <c:pt idx="16">
                  <c:v>-0.43884714755403637</c:v>
                </c:pt>
                <c:pt idx="17">
                  <c:v>1.0064787526773245</c:v>
                </c:pt>
                <c:pt idx="18">
                  <c:v>0.72712650553944447</c:v>
                </c:pt>
                <c:pt idx="19">
                  <c:v>0.38370137611916066</c:v>
                </c:pt>
                <c:pt idx="20">
                  <c:v>1.599425468475062</c:v>
                </c:pt>
                <c:pt idx="21">
                  <c:v>-0.68400498719554281</c:v>
                </c:pt>
                <c:pt idx="22">
                  <c:v>1.3910927521019611</c:v>
                </c:pt>
                <c:pt idx="23">
                  <c:v>2.0188183238456023</c:v>
                </c:pt>
                <c:pt idx="24">
                  <c:v>2.1100035879198749</c:v>
                </c:pt>
                <c:pt idx="25">
                  <c:v>2.6092043075344495</c:v>
                </c:pt>
                <c:pt idx="26">
                  <c:v>0.99487180702669109</c:v>
                </c:pt>
              </c:numCache>
            </c:numRef>
          </c:val>
        </c:ser>
        <c:ser>
          <c:idx val="1"/>
          <c:order val="1"/>
          <c:tx>
            <c:strRef>
              <c:f>'Linear Volume - Charts (no apx)'!$C$3</c:f>
              <c:strCache>
                <c:ptCount val="1"/>
                <c:pt idx="0">
                  <c:v>Movements of hours worked between industries</c:v>
                </c:pt>
              </c:strCache>
            </c:strRef>
          </c:tx>
          <c:invertIfNegative val="0"/>
          <c:cat>
            <c:strRef>
              <c:f>'Linear Volume - Charts (no apx)'!$A$6:$A$32</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val>
            <c:numRef>
              <c:f>'Linear Volume - Charts (no apx)'!$C$6:$C$32</c:f>
              <c:numCache>
                <c:formatCode>General</c:formatCode>
                <c:ptCount val="27"/>
                <c:pt idx="0">
                  <c:v>0.15697702097480581</c:v>
                </c:pt>
                <c:pt idx="1">
                  <c:v>-0.36898794860482687</c:v>
                </c:pt>
                <c:pt idx="2">
                  <c:v>4.5574847577996014E-2</c:v>
                </c:pt>
                <c:pt idx="3">
                  <c:v>-0.33294591090953246</c:v>
                </c:pt>
                <c:pt idx="4">
                  <c:v>0.11562107943590091</c:v>
                </c:pt>
                <c:pt idx="5">
                  <c:v>-0.47240322225214981</c:v>
                </c:pt>
                <c:pt idx="6">
                  <c:v>-0.42051851933049034</c:v>
                </c:pt>
                <c:pt idx="7">
                  <c:v>-0.60788920494017873</c:v>
                </c:pt>
                <c:pt idx="8">
                  <c:v>-0.24350624697638956</c:v>
                </c:pt>
                <c:pt idx="9">
                  <c:v>0.4447773457871273</c:v>
                </c:pt>
                <c:pt idx="10">
                  <c:v>-0.44538824489017365</c:v>
                </c:pt>
                <c:pt idx="11">
                  <c:v>3.2389853554274373E-3</c:v>
                </c:pt>
                <c:pt idx="12">
                  <c:v>0.14476414681068739</c:v>
                </c:pt>
                <c:pt idx="13">
                  <c:v>0.77645533566254654</c:v>
                </c:pt>
                <c:pt idx="14">
                  <c:v>0.46040013544551817</c:v>
                </c:pt>
                <c:pt idx="15">
                  <c:v>0.41028245246348388</c:v>
                </c:pt>
                <c:pt idx="16">
                  <c:v>1.0640355281527483</c:v>
                </c:pt>
                <c:pt idx="17">
                  <c:v>0.16624618796690549</c:v>
                </c:pt>
                <c:pt idx="18">
                  <c:v>0.27097472524604349</c:v>
                </c:pt>
                <c:pt idx="19">
                  <c:v>0.97977366371666907</c:v>
                </c:pt>
                <c:pt idx="20">
                  <c:v>0.19105319298242876</c:v>
                </c:pt>
                <c:pt idx="21">
                  <c:v>0.95536129733053166</c:v>
                </c:pt>
                <c:pt idx="22">
                  <c:v>0.89156910269869094</c:v>
                </c:pt>
                <c:pt idx="23">
                  <c:v>0.13153045270899277</c:v>
                </c:pt>
                <c:pt idx="24">
                  <c:v>0.10800501306399152</c:v>
                </c:pt>
                <c:pt idx="25">
                  <c:v>-0.95082990347181218</c:v>
                </c:pt>
                <c:pt idx="26">
                  <c:v>0.10681976051983</c:v>
                </c:pt>
              </c:numCache>
            </c:numRef>
          </c:val>
        </c:ser>
        <c:dLbls>
          <c:showLegendKey val="0"/>
          <c:showVal val="0"/>
          <c:showCatName val="0"/>
          <c:showSerName val="0"/>
          <c:showPercent val="0"/>
          <c:showBubbleSize val="0"/>
        </c:dLbls>
        <c:gapWidth val="150"/>
        <c:overlap val="100"/>
        <c:axId val="147808640"/>
        <c:axId val="147810176"/>
      </c:barChart>
      <c:lineChart>
        <c:grouping val="standard"/>
        <c:varyColors val="0"/>
        <c:ser>
          <c:idx val="2"/>
          <c:order val="2"/>
          <c:tx>
            <c:strRef>
              <c:f>'Linear Volume - Charts (no apx)'!$D$3</c:f>
              <c:strCache>
                <c:ptCount val="1"/>
                <c:pt idx="0">
                  <c:v>Productivity growth*</c:v>
                </c:pt>
              </c:strCache>
            </c:strRef>
          </c:tx>
          <c:spPr>
            <a:ln>
              <a:solidFill>
                <a:sysClr val="windowText" lastClr="000000"/>
              </a:solidFill>
            </a:ln>
          </c:spPr>
          <c:marker>
            <c:symbol val="none"/>
          </c:marker>
          <c:cat>
            <c:strRef>
              <c:f>'Linear Volume - Charts (no apx)'!$A$6:$A$32</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val>
            <c:numRef>
              <c:f>'Linear Volume - Charts (no apx)'!$D$6:$D$32</c:f>
              <c:numCache>
                <c:formatCode>General</c:formatCode>
                <c:ptCount val="27"/>
                <c:pt idx="0">
                  <c:v>-0.67642730214724156</c:v>
                </c:pt>
                <c:pt idx="1">
                  <c:v>1.5231242384440609</c:v>
                </c:pt>
                <c:pt idx="2">
                  <c:v>2.1734106438846728</c:v>
                </c:pt>
                <c:pt idx="3">
                  <c:v>4.00365384660173</c:v>
                </c:pt>
                <c:pt idx="4">
                  <c:v>0.9351577555944659</c:v>
                </c:pt>
                <c:pt idx="5">
                  <c:v>-0.10401408555210589</c:v>
                </c:pt>
                <c:pt idx="6">
                  <c:v>1.6810472414634974</c:v>
                </c:pt>
                <c:pt idx="7">
                  <c:v>3.8285745575776078</c:v>
                </c:pt>
                <c:pt idx="8">
                  <c:v>3.4171906076019081</c:v>
                </c:pt>
                <c:pt idx="9">
                  <c:v>3.9075270820923222</c:v>
                </c:pt>
                <c:pt idx="10">
                  <c:v>1.1170301878095876</c:v>
                </c:pt>
                <c:pt idx="11">
                  <c:v>0.65002178277964817</c:v>
                </c:pt>
                <c:pt idx="12">
                  <c:v>4.0432315090908393</c:v>
                </c:pt>
                <c:pt idx="13">
                  <c:v>0.90549982545271557</c:v>
                </c:pt>
                <c:pt idx="14">
                  <c:v>2.8773922122839335</c:v>
                </c:pt>
                <c:pt idx="15">
                  <c:v>0.51330797141014184</c:v>
                </c:pt>
                <c:pt idx="16">
                  <c:v>0.62518838059871196</c:v>
                </c:pt>
                <c:pt idx="17">
                  <c:v>1.1727249406442299</c:v>
                </c:pt>
                <c:pt idx="18">
                  <c:v>0.99810123078548796</c:v>
                </c:pt>
                <c:pt idx="19">
                  <c:v>1.3634750398358297</c:v>
                </c:pt>
                <c:pt idx="20">
                  <c:v>1.7904786614574908</c:v>
                </c:pt>
                <c:pt idx="21">
                  <c:v>0.27135631013498884</c:v>
                </c:pt>
                <c:pt idx="22">
                  <c:v>2.2826618548006521</c:v>
                </c:pt>
                <c:pt idx="23">
                  <c:v>2.150348776554595</c:v>
                </c:pt>
                <c:pt idx="24">
                  <c:v>2.2180086009838664</c:v>
                </c:pt>
                <c:pt idx="25">
                  <c:v>1.6583744040626374</c:v>
                </c:pt>
                <c:pt idx="26">
                  <c:v>1.1016915675465211</c:v>
                </c:pt>
              </c:numCache>
            </c:numRef>
          </c:val>
          <c:smooth val="0"/>
        </c:ser>
        <c:dLbls>
          <c:showLegendKey val="0"/>
          <c:showVal val="0"/>
          <c:showCatName val="0"/>
          <c:showSerName val="0"/>
          <c:showPercent val="0"/>
          <c:showBubbleSize val="0"/>
        </c:dLbls>
        <c:marker val="1"/>
        <c:smooth val="0"/>
        <c:axId val="147834752"/>
        <c:axId val="147832832"/>
      </c:lineChart>
      <c:catAx>
        <c:axId val="147808640"/>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7810176"/>
        <c:crosses val="autoZero"/>
        <c:auto val="1"/>
        <c:lblAlgn val="ctr"/>
        <c:lblOffset val="100"/>
        <c:tickLblSkip val="2"/>
        <c:noMultiLvlLbl val="0"/>
      </c:catAx>
      <c:valAx>
        <c:axId val="147810176"/>
        <c:scaling>
          <c:orientation val="minMax"/>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4.7714251210970518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7808640"/>
        <c:crosses val="autoZero"/>
        <c:crossBetween val="between"/>
      </c:valAx>
      <c:valAx>
        <c:axId val="147832832"/>
        <c:scaling>
          <c:orientation val="minMax"/>
          <c:max val="5"/>
          <c:min val="-2"/>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758282680549778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7834752"/>
        <c:crosses val="max"/>
        <c:crossBetween val="between"/>
        <c:majorUnit val="1"/>
        <c:minorUnit val="0.2"/>
      </c:valAx>
      <c:catAx>
        <c:axId val="147834752"/>
        <c:scaling>
          <c:orientation val="minMax"/>
        </c:scaling>
        <c:delete val="1"/>
        <c:axPos val="b"/>
        <c:majorTickMark val="out"/>
        <c:minorTickMark val="none"/>
        <c:tickLblPos val="nextTo"/>
        <c:crossAx val="14783283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3.0921768844400906E-2"/>
          <c:y val="0.90655277777777776"/>
          <c:w val="0.90861888979832817"/>
          <c:h val="9.3447222222222223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316507434814597E-2"/>
          <c:y val="5.938784722222222E-2"/>
          <c:w val="0.88393943440658718"/>
          <c:h val="0.67850347222222218"/>
        </c:manualLayout>
      </c:layout>
      <c:barChart>
        <c:barDir val="col"/>
        <c:grouping val="stacked"/>
        <c:varyColors val="0"/>
        <c:ser>
          <c:idx val="1"/>
          <c:order val="0"/>
          <c:tx>
            <c:strRef>
              <c:f>'Linear Volume - Charts (no apx)'!$C$3</c:f>
              <c:strCache>
                <c:ptCount val="1"/>
                <c:pt idx="0">
                  <c:v>Movements of hours worked between industries</c:v>
                </c:pt>
              </c:strCache>
            </c:strRef>
          </c:tx>
          <c:spPr>
            <a:solidFill>
              <a:schemeClr val="accent2"/>
            </a:solidFill>
          </c:spPr>
          <c:invertIfNegative val="0"/>
          <c:cat>
            <c:strRef>
              <c:f>'Linear Volume - Charts (no apx)'!$A$52:$A$55</c:f>
              <c:strCache>
                <c:ptCount val="4"/>
                <c:pt idx="0">
                  <c:v>Years where labour movements detract from productivity growth</c:v>
                </c:pt>
                <c:pt idx="1">
                  <c:v>Years where labour movements add to productivity growth</c:v>
                </c:pt>
                <c:pt idx="2">
                  <c:v>2013-14 to 2014-15</c:v>
                </c:pt>
                <c:pt idx="3">
                  <c:v>2014-15 to 2015-16</c:v>
                </c:pt>
              </c:strCache>
            </c:strRef>
          </c:cat>
          <c:val>
            <c:numRef>
              <c:f>'Linear Volume - Charts (no apx)'!$C$52:$C$55</c:f>
              <c:numCache>
                <c:formatCode>General</c:formatCode>
                <c:ptCount val="4"/>
                <c:pt idx="0">
                  <c:v>-0.48030865017194424</c:v>
                </c:pt>
                <c:pt idx="1">
                  <c:v>0.39070843546843809</c:v>
                </c:pt>
                <c:pt idx="2">
                  <c:v>-0.95082990347181218</c:v>
                </c:pt>
                <c:pt idx="3">
                  <c:v>0.10681976051983</c:v>
                </c:pt>
              </c:numCache>
            </c:numRef>
          </c:val>
        </c:ser>
        <c:ser>
          <c:idx val="0"/>
          <c:order val="3"/>
          <c:tx>
            <c:strRef>
              <c:f>'Linear Volume - Charts (no apx)'!$B$113</c:f>
              <c:strCache>
                <c:ptCount val="1"/>
                <c:pt idx="0">
                  <c:v>Productivity growth within Mining</c:v>
                </c:pt>
              </c:strCache>
            </c:strRef>
          </c:tx>
          <c:spPr>
            <a:solidFill>
              <a:schemeClr val="accent1">
                <a:lumMod val="50000"/>
              </a:schemeClr>
            </a:solidFill>
          </c:spPr>
          <c:invertIfNegative val="0"/>
          <c:cat>
            <c:strRef>
              <c:f>'Linear Volume - Charts (no apx)'!$A$52:$A$55</c:f>
              <c:strCache>
                <c:ptCount val="4"/>
                <c:pt idx="0">
                  <c:v>Years where labour movements detract from productivity growth</c:v>
                </c:pt>
                <c:pt idx="1">
                  <c:v>Years where labour movements add to productivity growth</c:v>
                </c:pt>
                <c:pt idx="2">
                  <c:v>2013-14 to 2014-15</c:v>
                </c:pt>
                <c:pt idx="3">
                  <c:v>2014-15 to 2015-16</c:v>
                </c:pt>
              </c:strCache>
            </c:strRef>
          </c:cat>
          <c:val>
            <c:numRef>
              <c:f>'Linear Volume - Charts (no apx)'!$B$117:$B$120</c:f>
              <c:numCache>
                <c:formatCode>0.00</c:formatCode>
                <c:ptCount val="4"/>
                <c:pt idx="0">
                  <c:v>0.62241053963834736</c:v>
                </c:pt>
                <c:pt idx="1">
                  <c:v>-0.16016946889956882</c:v>
                </c:pt>
                <c:pt idx="2">
                  <c:v>1.8543431058372344</c:v>
                </c:pt>
                <c:pt idx="3">
                  <c:v>0.28219282807492696</c:v>
                </c:pt>
              </c:numCache>
            </c:numRef>
          </c:val>
        </c:ser>
        <c:ser>
          <c:idx val="8"/>
          <c:order val="4"/>
          <c:tx>
            <c:strRef>
              <c:f>'Linear Volume - Charts (no apx)'!$C$113</c:f>
              <c:strCache>
                <c:ptCount val="1"/>
                <c:pt idx="0">
                  <c:v>Productivity growth within Services</c:v>
                </c:pt>
              </c:strCache>
            </c:strRef>
          </c:tx>
          <c:spPr>
            <a:solidFill>
              <a:schemeClr val="accent1">
                <a:lumMod val="60000"/>
                <a:lumOff val="40000"/>
              </a:schemeClr>
            </a:solidFill>
          </c:spPr>
          <c:invertIfNegative val="0"/>
          <c:cat>
            <c:strRef>
              <c:f>'Linear Volume - Charts (no apx)'!$A$52:$A$55</c:f>
              <c:strCache>
                <c:ptCount val="4"/>
                <c:pt idx="0">
                  <c:v>Years where labour movements detract from productivity growth</c:v>
                </c:pt>
                <c:pt idx="1">
                  <c:v>Years where labour movements add to productivity growth</c:v>
                </c:pt>
                <c:pt idx="2">
                  <c:v>2013-14 to 2014-15</c:v>
                </c:pt>
                <c:pt idx="3">
                  <c:v>2014-15 to 2015-16</c:v>
                </c:pt>
              </c:strCache>
            </c:strRef>
          </c:cat>
          <c:val>
            <c:numRef>
              <c:f>'Linear Volume - Charts (no apx)'!$C$117:$C$120</c:f>
              <c:numCache>
                <c:formatCode>0.00</c:formatCode>
                <c:ptCount val="4"/>
                <c:pt idx="0">
                  <c:v>1.2994600511245189</c:v>
                </c:pt>
                <c:pt idx="1">
                  <c:v>0.95134806492203705</c:v>
                </c:pt>
                <c:pt idx="2">
                  <c:v>0.6376247716870177</c:v>
                </c:pt>
                <c:pt idx="3">
                  <c:v>0.64795594529152467</c:v>
                </c:pt>
              </c:numCache>
            </c:numRef>
          </c:val>
        </c:ser>
        <c:ser>
          <c:idx val="5"/>
          <c:order val="5"/>
          <c:tx>
            <c:strRef>
              <c:f>'Linear Volume - Charts (no apx)'!$D$113</c:f>
              <c:strCache>
                <c:ptCount val="1"/>
                <c:pt idx="0">
                  <c:v>Productivity growth within other sectors</c:v>
                </c:pt>
              </c:strCache>
            </c:strRef>
          </c:tx>
          <c:spPr>
            <a:solidFill>
              <a:schemeClr val="accent1">
                <a:lumMod val="20000"/>
                <a:lumOff val="80000"/>
              </a:schemeClr>
            </a:solidFill>
          </c:spPr>
          <c:invertIfNegative val="0"/>
          <c:cat>
            <c:strRef>
              <c:f>'Linear Volume - Charts (no apx)'!$A$52:$A$55</c:f>
              <c:strCache>
                <c:ptCount val="4"/>
                <c:pt idx="0">
                  <c:v>Years where labour movements detract from productivity growth</c:v>
                </c:pt>
                <c:pt idx="1">
                  <c:v>Years where labour movements add to productivity growth</c:v>
                </c:pt>
                <c:pt idx="2">
                  <c:v>2013-14 to 2014-15</c:v>
                </c:pt>
                <c:pt idx="3">
                  <c:v>2014-15 to 2015-16</c:v>
                </c:pt>
              </c:strCache>
            </c:strRef>
          </c:cat>
          <c:val>
            <c:numRef>
              <c:f>'Linear Volume - Charts (no apx)'!$D$117:$D$120</c:f>
              <c:numCache>
                <c:formatCode>0.00</c:formatCode>
                <c:ptCount val="4"/>
                <c:pt idx="0">
                  <c:v>0.69906068416019285</c:v>
                </c:pt>
                <c:pt idx="1">
                  <c:v>0.36038438133982353</c:v>
                </c:pt>
                <c:pt idx="2">
                  <c:v>0.11723643001019746</c:v>
                </c:pt>
                <c:pt idx="3">
                  <c:v>6.472303366023946E-2</c:v>
                </c:pt>
              </c:numCache>
            </c:numRef>
          </c:val>
        </c:ser>
        <c:dLbls>
          <c:showLegendKey val="0"/>
          <c:showVal val="0"/>
          <c:showCatName val="0"/>
          <c:showSerName val="0"/>
          <c:showPercent val="0"/>
          <c:showBubbleSize val="0"/>
        </c:dLbls>
        <c:gapWidth val="150"/>
        <c:overlap val="100"/>
        <c:axId val="148994304"/>
        <c:axId val="149004672"/>
      </c:barChart>
      <c:barChart>
        <c:barDir val="col"/>
        <c:grouping val="stacked"/>
        <c:varyColors val="0"/>
        <c:ser>
          <c:idx val="3"/>
          <c:order val="2"/>
          <c:tx>
            <c:v>DUMMY</c:v>
          </c:tx>
          <c:spPr>
            <a:noFill/>
            <a:ln w="25400">
              <a:noFill/>
            </a:ln>
            <a:effectLst/>
          </c:spPr>
          <c:invertIfNegative val="0"/>
        </c:ser>
        <c:dLbls>
          <c:showLegendKey val="0"/>
          <c:showVal val="0"/>
          <c:showCatName val="0"/>
          <c:showSerName val="0"/>
          <c:showPercent val="0"/>
          <c:showBubbleSize val="0"/>
        </c:dLbls>
        <c:gapWidth val="150"/>
        <c:overlap val="100"/>
        <c:axId val="149008768"/>
        <c:axId val="149006592"/>
      </c:barChart>
      <c:lineChart>
        <c:grouping val="standard"/>
        <c:varyColors val="0"/>
        <c:ser>
          <c:idx val="2"/>
          <c:order val="1"/>
          <c:tx>
            <c:strRef>
              <c:f>'Linear Volume - Charts (no apx)'!$D$3</c:f>
              <c:strCache>
                <c:ptCount val="1"/>
                <c:pt idx="0">
                  <c:v>Productivity growth*</c:v>
                </c:pt>
              </c:strCache>
            </c:strRef>
          </c:tx>
          <c:spPr>
            <a:ln>
              <a:noFill/>
            </a:ln>
          </c:spPr>
          <c:marker>
            <c:symbol val="diamond"/>
            <c:size val="8"/>
            <c:spPr>
              <a:solidFill>
                <a:schemeClr val="tx1"/>
              </a:solidFill>
              <a:ln>
                <a:solidFill>
                  <a:schemeClr val="bg1"/>
                </a:solidFill>
              </a:ln>
            </c:spPr>
          </c:marker>
          <c:cat>
            <c:strRef>
              <c:f>'Linear Volume - Charts (no apx)'!$A$52:$A$55</c:f>
              <c:strCache>
                <c:ptCount val="4"/>
                <c:pt idx="0">
                  <c:v>Years where labour movements detract from productivity growth</c:v>
                </c:pt>
                <c:pt idx="1">
                  <c:v>Years where labour movements add to productivity growth</c:v>
                </c:pt>
                <c:pt idx="2">
                  <c:v>2013-14 to 2014-15</c:v>
                </c:pt>
                <c:pt idx="3">
                  <c:v>2014-15 to 2015-16</c:v>
                </c:pt>
              </c:strCache>
            </c:strRef>
          </c:cat>
          <c:val>
            <c:numRef>
              <c:f>'Linear Volume - Charts (no apx)'!$D$52:$D$55</c:f>
              <c:numCache>
                <c:formatCode>General</c:formatCode>
                <c:ptCount val="4"/>
                <c:pt idx="0">
                  <c:v>2.1406226247511153</c:v>
                </c:pt>
                <c:pt idx="1">
                  <c:v>1.54227141283073</c:v>
                </c:pt>
                <c:pt idx="2">
                  <c:v>1.6583744040626374</c:v>
                </c:pt>
                <c:pt idx="3">
                  <c:v>1.1016915675465211</c:v>
                </c:pt>
              </c:numCache>
            </c:numRef>
          </c:val>
          <c:smooth val="0"/>
        </c:ser>
        <c:dLbls>
          <c:showLegendKey val="0"/>
          <c:showVal val="0"/>
          <c:showCatName val="0"/>
          <c:showSerName val="0"/>
          <c:showPercent val="0"/>
          <c:showBubbleSize val="0"/>
        </c:dLbls>
        <c:marker val="1"/>
        <c:smooth val="0"/>
        <c:axId val="148994304"/>
        <c:axId val="149004672"/>
      </c:lineChart>
      <c:catAx>
        <c:axId val="148994304"/>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9004672"/>
        <c:crosses val="autoZero"/>
        <c:auto val="1"/>
        <c:lblAlgn val="ctr"/>
        <c:lblOffset val="100"/>
        <c:noMultiLvlLbl val="0"/>
      </c:catAx>
      <c:valAx>
        <c:axId val="149004672"/>
        <c:scaling>
          <c:orientation val="minMax"/>
          <c:max val="3"/>
          <c:min val="-1"/>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9508072607057309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8994304"/>
        <c:crosses val="autoZero"/>
        <c:crossBetween val="between"/>
      </c:valAx>
      <c:valAx>
        <c:axId val="149006592"/>
        <c:scaling>
          <c:orientation val="minMax"/>
          <c:max val="3"/>
          <c:min val="-1"/>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548181444474660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lgn="ctr">
              <a:defRPr lang="en-AU" sz="800" b="0" i="0" u="none" strike="noStrike" kern="1200" baseline="0">
                <a:solidFill>
                  <a:srgbClr val="000000"/>
                </a:solidFill>
                <a:latin typeface="Arial"/>
                <a:ea typeface="Arial"/>
                <a:cs typeface="Arial"/>
              </a:defRPr>
            </a:pPr>
            <a:endParaRPr lang="en-US"/>
          </a:p>
        </c:txPr>
        <c:crossAx val="149008768"/>
        <c:crosses val="max"/>
        <c:crossBetween val="between"/>
        <c:majorUnit val="0.5"/>
        <c:minorUnit val="0.1"/>
      </c:valAx>
      <c:catAx>
        <c:axId val="149008768"/>
        <c:scaling>
          <c:orientation val="minMax"/>
        </c:scaling>
        <c:delete val="1"/>
        <c:axPos val="b"/>
        <c:majorTickMark val="out"/>
        <c:minorTickMark val="none"/>
        <c:tickLblPos val="nextTo"/>
        <c:crossAx val="14900659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layout>
        <c:manualLayout>
          <c:xMode val="edge"/>
          <c:yMode val="edge"/>
          <c:x val="6.8823554960354685E-3"/>
          <c:y val="0.89400451388888891"/>
          <c:w val="0.9679249326028726"/>
          <c:h val="0.10599548611111111"/>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0.78596</cdr:x>
      <cdr:y>0.18134</cdr:y>
    </cdr:from>
    <cdr:to>
      <cdr:x>0.97041</cdr:x>
      <cdr:y>0.24118</cdr:y>
    </cdr:to>
    <cdr:sp macro="" textlink="">
      <cdr:nvSpPr>
        <cdr:cNvPr id="2" name="TextBox 1"/>
        <cdr:cNvSpPr txBox="1"/>
      </cdr:nvSpPr>
      <cdr:spPr>
        <a:xfrm xmlns:a="http://schemas.openxmlformats.org/drawingml/2006/main">
          <a:off x="4385662" y="456974"/>
          <a:ext cx="1029231" cy="150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solidFill>
              <a:latin typeface="Arial" panose="020B0604020202020204" pitchFamily="34" charset="0"/>
              <a:cs typeface="Arial" panose="020B0604020202020204" pitchFamily="34" charset="0"/>
            </a:rPr>
            <a:t>Services (RHS)</a:t>
          </a:r>
        </a:p>
      </cdr:txBody>
    </cdr:sp>
  </cdr:relSizeAnchor>
  <cdr:relSizeAnchor xmlns:cdr="http://schemas.openxmlformats.org/drawingml/2006/chartDrawing">
    <cdr:from>
      <cdr:x>0.3373</cdr:x>
      <cdr:y>0.33271</cdr:y>
    </cdr:from>
    <cdr:to>
      <cdr:x>0.60689</cdr:x>
      <cdr:y>0.40161</cdr:y>
    </cdr:to>
    <cdr:sp macro="" textlink="">
      <cdr:nvSpPr>
        <cdr:cNvPr id="3" name="TextBox 1"/>
        <cdr:cNvSpPr txBox="1"/>
      </cdr:nvSpPr>
      <cdr:spPr>
        <a:xfrm xmlns:a="http://schemas.openxmlformats.org/drawingml/2006/main">
          <a:off x="1882118" y="838423"/>
          <a:ext cx="1504312"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50000"/>
                </a:schemeClr>
              </a:solidFill>
              <a:latin typeface="Arial" panose="020B0604020202020204" pitchFamily="34" charset="0"/>
              <a:cs typeface="Arial" panose="020B0604020202020204" pitchFamily="34" charset="0"/>
            </a:rPr>
            <a:t>Manufacturing (LHS)</a:t>
          </a:r>
        </a:p>
      </cdr:txBody>
    </cdr:sp>
  </cdr:relSizeAnchor>
  <cdr:relSizeAnchor xmlns:cdr="http://schemas.openxmlformats.org/drawingml/2006/chartDrawing">
    <cdr:from>
      <cdr:x>0.57206</cdr:x>
      <cdr:y>0.58976</cdr:y>
    </cdr:from>
    <cdr:to>
      <cdr:x>0.7341</cdr:x>
      <cdr:y>0.65866</cdr:y>
    </cdr:to>
    <cdr:sp macro="" textlink="">
      <cdr:nvSpPr>
        <cdr:cNvPr id="4" name="TextBox 1"/>
        <cdr:cNvSpPr txBox="1"/>
      </cdr:nvSpPr>
      <cdr:spPr>
        <a:xfrm xmlns:a="http://schemas.openxmlformats.org/drawingml/2006/main">
          <a:off x="3192085" y="1486186"/>
          <a:ext cx="904183"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2"/>
              </a:solidFill>
              <a:latin typeface="Arial" panose="020B0604020202020204" pitchFamily="34" charset="0"/>
              <a:cs typeface="Arial" panose="020B0604020202020204" pitchFamily="34" charset="0"/>
            </a:rPr>
            <a:t>Mining (LHS)</a:t>
          </a:r>
        </a:p>
      </cdr:txBody>
    </cdr:sp>
  </cdr:relSizeAnchor>
  <cdr:relSizeAnchor xmlns:cdr="http://schemas.openxmlformats.org/drawingml/2006/chartDrawing">
    <cdr:from>
      <cdr:x>0.70311</cdr:x>
      <cdr:y>0.35255</cdr:y>
    </cdr:from>
    <cdr:to>
      <cdr:x>0.97269</cdr:x>
      <cdr:y>0.42145</cdr:y>
    </cdr:to>
    <cdr:sp macro="" textlink="">
      <cdr:nvSpPr>
        <cdr:cNvPr id="5" name="TextBox 1"/>
        <cdr:cNvSpPr txBox="1"/>
      </cdr:nvSpPr>
      <cdr:spPr>
        <a:xfrm xmlns:a="http://schemas.openxmlformats.org/drawingml/2006/main">
          <a:off x="3923344" y="888421"/>
          <a:ext cx="1504256"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Construction (LHS)</a:t>
          </a:r>
        </a:p>
      </cdr:txBody>
    </cdr:sp>
  </cdr:relSizeAnchor>
  <cdr:relSizeAnchor xmlns:cdr="http://schemas.openxmlformats.org/drawingml/2006/chartDrawing">
    <cdr:from>
      <cdr:x>0.41406</cdr:x>
      <cdr:y>0.7102</cdr:y>
    </cdr:from>
    <cdr:to>
      <cdr:x>0.57609</cdr:x>
      <cdr:y>0.7791</cdr:y>
    </cdr:to>
    <cdr:sp macro="" textlink="">
      <cdr:nvSpPr>
        <cdr:cNvPr id="6" name="TextBox 1"/>
        <cdr:cNvSpPr txBox="1"/>
      </cdr:nvSpPr>
      <cdr:spPr>
        <a:xfrm xmlns:a="http://schemas.openxmlformats.org/drawingml/2006/main">
          <a:off x="2310454" y="1789714"/>
          <a:ext cx="904127"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Utilities (LHS)</a:t>
          </a:r>
        </a:p>
      </cdr:txBody>
    </cdr:sp>
  </cdr:relSizeAnchor>
  <cdr:relSizeAnchor xmlns:cdr="http://schemas.openxmlformats.org/drawingml/2006/chartDrawing">
    <cdr:from>
      <cdr:x>0.04741</cdr:x>
      <cdr:y>0.84676</cdr:y>
    </cdr:from>
    <cdr:to>
      <cdr:x>0.41659</cdr:x>
      <cdr:y>0.91567</cdr:y>
    </cdr:to>
    <cdr:sp macro="" textlink="">
      <cdr:nvSpPr>
        <cdr:cNvPr id="7" name="TextBox 1"/>
        <cdr:cNvSpPr txBox="1"/>
      </cdr:nvSpPr>
      <cdr:spPr>
        <a:xfrm xmlns:a="http://schemas.openxmlformats.org/drawingml/2006/main">
          <a:off x="264525" y="2133836"/>
          <a:ext cx="2060024" cy="1736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Agriculture, forestry and fishing (LHS)</a:t>
          </a:r>
        </a:p>
      </cdr:txBody>
    </cdr:sp>
  </cdr:relSizeAnchor>
</c:userShapes>
</file>

<file path=word/drawings/drawing2.xml><?xml version="1.0" encoding="utf-8"?>
<c:userShapes xmlns:c="http://schemas.openxmlformats.org/drawingml/2006/chart">
  <cdr:relSizeAnchor xmlns:cdr="http://schemas.openxmlformats.org/drawingml/2006/chartDrawing">
    <cdr:from>
      <cdr:x>0.44154</cdr:x>
      <cdr:y>0.05939</cdr:y>
    </cdr:from>
    <cdr:to>
      <cdr:x>0.4424</cdr:x>
      <cdr:y>0.85254</cdr:y>
    </cdr:to>
    <cdr:cxnSp macro="">
      <cdr:nvCxnSpPr>
        <cdr:cNvPr id="2" name="Straight Connector 1"/>
        <cdr:cNvCxnSpPr/>
      </cdr:nvCxnSpPr>
      <cdr:spPr>
        <a:xfrm xmlns:a="http://schemas.openxmlformats.org/drawingml/2006/main" flipV="1">
          <a:off x="2463800" y="171036"/>
          <a:ext cx="4780" cy="2284290"/>
        </a:xfrm>
        <a:prstGeom xmlns:a="http://schemas.openxmlformats.org/drawingml/2006/main" prst="line">
          <a:avLst/>
        </a:prstGeom>
        <a:ln xmlns:a="http://schemas.openxmlformats.org/drawingml/2006/main" w="6350">
          <a:solidFill>
            <a:srgbClr val="0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0.89984</cdr:x>
      <cdr:y>0.05939</cdr:y>
    </cdr:from>
    <cdr:to>
      <cdr:x>0.9007</cdr:x>
      <cdr:y>0.85254</cdr:y>
    </cdr:to>
    <cdr:cxnSp macro="">
      <cdr:nvCxnSpPr>
        <cdr:cNvPr id="5" name="Straight Connector 4"/>
        <cdr:cNvCxnSpPr/>
      </cdr:nvCxnSpPr>
      <cdr:spPr>
        <a:xfrm xmlns:a="http://schemas.openxmlformats.org/drawingml/2006/main" flipV="1">
          <a:off x="5032562" y="171043"/>
          <a:ext cx="4809" cy="2284272"/>
        </a:xfrm>
        <a:prstGeom xmlns:a="http://schemas.openxmlformats.org/drawingml/2006/main" prst="line">
          <a:avLst/>
        </a:prstGeom>
        <a:ln xmlns:a="http://schemas.openxmlformats.org/drawingml/2006/main" w="6350">
          <a:solidFill>
            <a:srgbClr val="0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0.65435</cdr:x>
      <cdr:y>0.13424</cdr:y>
    </cdr:from>
    <cdr:to>
      <cdr:x>0.83597</cdr:x>
      <cdr:y>0.20039</cdr:y>
    </cdr:to>
    <cdr:sp macro="" textlink="">
      <cdr:nvSpPr>
        <cdr:cNvPr id="2" name="TextBox 1"/>
        <cdr:cNvSpPr txBox="1"/>
      </cdr:nvSpPr>
      <cdr:spPr>
        <a:xfrm xmlns:a="http://schemas.openxmlformats.org/drawingml/2006/main">
          <a:off x="3651262" y="338284"/>
          <a:ext cx="1013440" cy="1666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solidFill>
              <a:latin typeface="Arial" panose="020B0604020202020204" pitchFamily="34" charset="0"/>
              <a:cs typeface="Arial" panose="020B0604020202020204" pitchFamily="34" charset="0"/>
            </a:rPr>
            <a:t>Services (RHS)</a:t>
          </a:r>
        </a:p>
      </cdr:txBody>
    </cdr:sp>
  </cdr:relSizeAnchor>
  <cdr:relSizeAnchor xmlns:cdr="http://schemas.openxmlformats.org/drawingml/2006/chartDrawing">
    <cdr:from>
      <cdr:x>0.12155</cdr:x>
      <cdr:y>0.12989</cdr:y>
    </cdr:from>
    <cdr:to>
      <cdr:x>0.39114</cdr:x>
      <cdr:y>0.19879</cdr:y>
    </cdr:to>
    <cdr:sp macro="" textlink="">
      <cdr:nvSpPr>
        <cdr:cNvPr id="3" name="TextBox 2"/>
        <cdr:cNvSpPr txBox="1"/>
      </cdr:nvSpPr>
      <cdr:spPr>
        <a:xfrm xmlns:a="http://schemas.openxmlformats.org/drawingml/2006/main">
          <a:off x="678255" y="327322"/>
          <a:ext cx="1504312" cy="173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3">
                  <a:lumMod val="50000"/>
                </a:schemeClr>
              </a:solidFill>
              <a:latin typeface="Arial" panose="020B0604020202020204" pitchFamily="34" charset="0"/>
              <a:cs typeface="Arial" panose="020B0604020202020204" pitchFamily="34" charset="0"/>
            </a:rPr>
            <a:t>Manufacturing (LHS)</a:t>
          </a:r>
        </a:p>
      </cdr:txBody>
    </cdr:sp>
  </cdr:relSizeAnchor>
  <cdr:relSizeAnchor xmlns:cdr="http://schemas.openxmlformats.org/drawingml/2006/chartDrawing">
    <cdr:from>
      <cdr:x>0.09551</cdr:x>
      <cdr:y>0.46568</cdr:y>
    </cdr:from>
    <cdr:to>
      <cdr:x>0.3651</cdr:x>
      <cdr:y>0.53458</cdr:y>
    </cdr:to>
    <cdr:sp macro="" textlink="">
      <cdr:nvSpPr>
        <cdr:cNvPr id="4" name="TextBox 1"/>
        <cdr:cNvSpPr txBox="1"/>
      </cdr:nvSpPr>
      <cdr:spPr>
        <a:xfrm xmlns:a="http://schemas.openxmlformats.org/drawingml/2006/main">
          <a:off x="532933" y="1173504"/>
          <a:ext cx="1504312"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Construction (LHS)</a:t>
          </a:r>
        </a:p>
      </cdr:txBody>
    </cdr:sp>
  </cdr:relSizeAnchor>
  <cdr:relSizeAnchor xmlns:cdr="http://schemas.openxmlformats.org/drawingml/2006/chartDrawing">
    <cdr:from>
      <cdr:x>0.13092</cdr:x>
      <cdr:y>0.64015</cdr:y>
    </cdr:from>
    <cdr:to>
      <cdr:x>0.50011</cdr:x>
      <cdr:y>0.70905</cdr:y>
    </cdr:to>
    <cdr:sp macro="" textlink="">
      <cdr:nvSpPr>
        <cdr:cNvPr id="5" name="TextBox 1"/>
        <cdr:cNvSpPr txBox="1"/>
      </cdr:nvSpPr>
      <cdr:spPr>
        <a:xfrm xmlns:a="http://schemas.openxmlformats.org/drawingml/2006/main">
          <a:off x="730551" y="1613167"/>
          <a:ext cx="2060080"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Agriculture, forestry and fishing (LHS)</a:t>
          </a:r>
        </a:p>
      </cdr:txBody>
    </cdr:sp>
  </cdr:relSizeAnchor>
  <cdr:relSizeAnchor xmlns:cdr="http://schemas.openxmlformats.org/drawingml/2006/chartDrawing">
    <cdr:from>
      <cdr:x>0.58587</cdr:x>
      <cdr:y>0.76344</cdr:y>
    </cdr:from>
    <cdr:to>
      <cdr:x>0.74791</cdr:x>
      <cdr:y>0.83234</cdr:y>
    </cdr:to>
    <cdr:sp macro="" textlink="">
      <cdr:nvSpPr>
        <cdr:cNvPr id="6" name="TextBox 1"/>
        <cdr:cNvSpPr txBox="1"/>
      </cdr:nvSpPr>
      <cdr:spPr>
        <a:xfrm xmlns:a="http://schemas.openxmlformats.org/drawingml/2006/main">
          <a:off x="3269168" y="1923878"/>
          <a:ext cx="904184"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2"/>
              </a:solidFill>
              <a:latin typeface="Arial" panose="020B0604020202020204" pitchFamily="34" charset="0"/>
              <a:cs typeface="Arial" panose="020B0604020202020204" pitchFamily="34" charset="0"/>
            </a:rPr>
            <a:t>Mining (LHS)</a:t>
          </a:r>
        </a:p>
      </cdr:txBody>
    </cdr:sp>
  </cdr:relSizeAnchor>
  <cdr:relSizeAnchor xmlns:cdr="http://schemas.openxmlformats.org/drawingml/2006/chartDrawing">
    <cdr:from>
      <cdr:x>0.75833</cdr:x>
      <cdr:y>0.84493</cdr:y>
    </cdr:from>
    <cdr:to>
      <cdr:x>0.92037</cdr:x>
      <cdr:y>0.91383</cdr:y>
    </cdr:to>
    <cdr:sp macro="" textlink="">
      <cdr:nvSpPr>
        <cdr:cNvPr id="7" name="TextBox 1"/>
        <cdr:cNvSpPr txBox="1"/>
      </cdr:nvSpPr>
      <cdr:spPr>
        <a:xfrm xmlns:a="http://schemas.openxmlformats.org/drawingml/2006/main">
          <a:off x="4231497" y="2129236"/>
          <a:ext cx="904183" cy="173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Utilities (LHS)</a:t>
          </a:r>
        </a:p>
      </cdr:txBody>
    </cdr:sp>
  </cdr:relSizeAnchor>
</c:userShapes>
</file>

<file path=word/drawings/drawing4.xml><?xml version="1.0" encoding="utf-8"?>
<c:userShapes xmlns:c="http://schemas.openxmlformats.org/drawingml/2006/chart">
  <cdr:relSizeAnchor xmlns:cdr="http://schemas.openxmlformats.org/drawingml/2006/chartDrawing">
    <cdr:from>
      <cdr:x>0.42464</cdr:x>
      <cdr:y>0.05685</cdr:y>
    </cdr:from>
    <cdr:to>
      <cdr:x>0.42464</cdr:x>
      <cdr:y>0.76998</cdr:y>
    </cdr:to>
    <cdr:cxnSp macro="">
      <cdr:nvCxnSpPr>
        <cdr:cNvPr id="3" name="Straight Connector 2"/>
        <cdr:cNvCxnSpPr/>
      </cdr:nvCxnSpPr>
      <cdr:spPr>
        <a:xfrm xmlns:a="http://schemas.openxmlformats.org/drawingml/2006/main" flipV="1">
          <a:off x="2373421" y="163712"/>
          <a:ext cx="0" cy="2053618"/>
        </a:xfrm>
        <a:prstGeom xmlns:a="http://schemas.openxmlformats.org/drawingml/2006/main" prst="line">
          <a:avLst/>
        </a:prstGeom>
        <a:ln xmlns:a="http://schemas.openxmlformats.org/drawingml/2006/main" w="6350">
          <a:solidFill>
            <a:srgbClr val="0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0.89674</cdr:x>
      <cdr:y>0.05939</cdr:y>
    </cdr:from>
    <cdr:to>
      <cdr:x>0.89674</cdr:x>
      <cdr:y>0.77252</cdr:y>
    </cdr:to>
    <cdr:cxnSp macro="">
      <cdr:nvCxnSpPr>
        <cdr:cNvPr id="5" name="Straight Connector 4"/>
        <cdr:cNvCxnSpPr/>
      </cdr:nvCxnSpPr>
      <cdr:spPr>
        <a:xfrm xmlns:a="http://schemas.openxmlformats.org/drawingml/2006/main" flipV="1">
          <a:off x="5003800" y="171037"/>
          <a:ext cx="0" cy="2053821"/>
        </a:xfrm>
        <a:prstGeom xmlns:a="http://schemas.openxmlformats.org/drawingml/2006/main" prst="line">
          <a:avLst/>
        </a:prstGeom>
        <a:ln xmlns:a="http://schemas.openxmlformats.org/drawingml/2006/main" w="6350">
          <a:solidFill>
            <a:srgbClr val="0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0.50775</cdr:x>
      <cdr:y>0.07604</cdr:y>
    </cdr:from>
    <cdr:to>
      <cdr:x>0.50775</cdr:x>
      <cdr:y>0.7405</cdr:y>
    </cdr:to>
    <cdr:cxnSp macro="">
      <cdr:nvCxnSpPr>
        <cdr:cNvPr id="3" name="Straight Connector 2"/>
        <cdr:cNvCxnSpPr/>
      </cdr:nvCxnSpPr>
      <cdr:spPr>
        <a:xfrm xmlns:a="http://schemas.openxmlformats.org/drawingml/2006/main" flipV="1">
          <a:off x="2826541" y="218995"/>
          <a:ext cx="0" cy="1913659"/>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6EB3B15072AC1D409928D75C61018CC2" ma:contentTypeVersion="4935" ma:contentTypeDescription="" ma:contentTypeScope="" ma:versionID="8e4b814de60865821eb35e5fcc63151d">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edd0d4ed0cc81dc1c21159fec568cca6"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b47d8b7-fefc-4923-b53c-9685ba6b7210">2017CSSG-1551-1075</_dlc_DocId>
    <_dlc_DocIdUrl xmlns="eb47d8b7-fefc-4923-b53c-9685ba6b7210">
      <Url>http://tweb/sites/cssg/ped/pu/pt/_layouts/15/DocIdRedir.aspx?ID=2017CSSG-1551-1075</Url>
      <Description>2017CSSG-1551-1075</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IconOverlay xmlns="http://schemas.microsoft.com/sharepoint/v4" xsi:nil="true"/>
    <TaxCatchAll xmlns="eb47d8b7-fefc-4923-b53c-9685ba6b7210">
      <Value>75</Value>
    </TaxCatchAl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06CD0-DD39-41D3-9910-9ECB5D9DBC2F}">
  <ds:schemaRefs>
    <ds:schemaRef ds:uri="office.server.policy"/>
  </ds:schemaRefs>
</ds:datastoreItem>
</file>

<file path=customXml/itemProps2.xml><?xml version="1.0" encoding="utf-8"?>
<ds:datastoreItem xmlns:ds="http://schemas.openxmlformats.org/officeDocument/2006/customXml" ds:itemID="{08FCB3B3-210C-4324-8DC7-902ED9AAF618}">
  <ds:schemaRefs>
    <ds:schemaRef ds:uri="http://schemas.microsoft.com/sharepoint/v3/contenttype/forms"/>
  </ds:schemaRefs>
</ds:datastoreItem>
</file>

<file path=customXml/itemProps3.xml><?xml version="1.0" encoding="utf-8"?>
<ds:datastoreItem xmlns:ds="http://schemas.openxmlformats.org/officeDocument/2006/customXml" ds:itemID="{E8E7E1DC-28BC-45CD-B845-32EBBFC94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91CBFB-B16D-4FBB-8D40-A20679AC5117}">
  <ds:schemaRefs>
    <ds:schemaRef ds:uri="http://schemas.microsoft.com/office/2006/documentManagement/types"/>
    <ds:schemaRef ds:uri="http://www.w3.org/XML/1998/namespace"/>
    <ds:schemaRef ds:uri="http://schemas.microsoft.com/sharepoint/v4"/>
    <ds:schemaRef ds:uri="eb47d8b7-fefc-4923-b53c-9685ba6b7210"/>
    <ds:schemaRef ds:uri="http://purl.org/dc/elements/1.1/"/>
    <ds:schemaRef ds:uri="http://schemas.microsoft.com/office/infopath/2007/PartnerControls"/>
    <ds:schemaRef ds:uri="http://purl.org/dc/terms/"/>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20312BE7-4F61-4952-99CE-B875B81422FB}">
  <ds:schemaRefs>
    <ds:schemaRef ds:uri="http://schemas.microsoft.com/sharepoint/events"/>
  </ds:schemaRefs>
</ds:datastoreItem>
</file>

<file path=customXml/itemProps6.xml><?xml version="1.0" encoding="utf-8"?>
<ds:datastoreItem xmlns:ds="http://schemas.openxmlformats.org/officeDocument/2006/customXml" ds:itemID="{6C90A8A4-AF2E-42F1-9C27-1D94AF7B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Economic Roundup.dotm</Template>
  <TotalTime>29</TotalTime>
  <Pages>17</Pages>
  <Words>4588</Words>
  <Characters>26912</Characters>
  <Application>Microsoft Office Word</Application>
  <DocSecurity>0</DocSecurity>
  <Lines>444</Lines>
  <Paragraphs>151</Paragraphs>
  <ScaleCrop>false</ScaleCrop>
  <HeadingPairs>
    <vt:vector size="2" baseType="variant">
      <vt:variant>
        <vt:lpstr>Title</vt:lpstr>
      </vt:variant>
      <vt:variant>
        <vt:i4>1</vt:i4>
      </vt:variant>
    </vt:vector>
  </HeadingPairs>
  <TitlesOfParts>
    <vt:vector size="1" baseType="lpstr">
      <vt:lpstr>Roundup - Productivity trends and structural change</vt:lpstr>
    </vt:vector>
  </TitlesOfParts>
  <Company>The Treasury</Company>
  <LinksUpToDate>false</LinksUpToDate>
  <CharactersWithSpaces>31413</CharactersWithSpaces>
  <SharedDoc>false</SharedDoc>
  <HLinks>
    <vt:vector size="12" baseType="variant">
      <vt:variant>
        <vt:i4>7274556</vt:i4>
      </vt:variant>
      <vt:variant>
        <vt:i4>3</vt:i4>
      </vt:variant>
      <vt:variant>
        <vt:i4>0</vt:i4>
      </vt:variant>
      <vt:variant>
        <vt:i4>5</vt:i4>
      </vt:variant>
      <vt:variant>
        <vt:lpwstr>http://intranet/documents/2067/Official titles of Treasury publications.doc</vt:lpwstr>
      </vt:variant>
      <vt:variant>
        <vt:lpwstr/>
      </vt:variant>
      <vt:variant>
        <vt:i4>4980788</vt:i4>
      </vt:variant>
      <vt:variant>
        <vt:i4>0</vt:i4>
      </vt:variant>
      <vt:variant>
        <vt:i4>0</vt:i4>
      </vt:variant>
      <vt:variant>
        <vt:i4>5</vt:i4>
      </vt:variant>
      <vt:variant>
        <vt:lpwstr>http://intranet/ucontent/10/writing_tools.asp?NavID=10q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productivity trends and the effect of structural change</dc:title>
  <dc:creator>Simon Campbell and Harry Withers</dc:creator>
  <cp:lastModifiedBy>Hill, Christine</cp:lastModifiedBy>
  <cp:revision>9</cp:revision>
  <cp:lastPrinted>2017-04-09T22:59:00Z</cp:lastPrinted>
  <dcterms:created xsi:type="dcterms:W3CDTF">2017-08-15T05:43:00Z</dcterms:created>
  <dcterms:modified xsi:type="dcterms:W3CDTF">2017-08-25T01:35:00Z</dcterms:modified>
</cp:coreProperties>
</file>