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harts/chart2.xml" ContentType="application/vnd.openxmlformats-officedocument.drawingml.chart+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9C74A1" w:rsidRDefault="009C74A1" w:rsidP="009C74A1">
      <w:pPr>
        <w:jc w:val="center"/>
      </w:pPr>
      <w:r>
        <w:rPr>
          <w:noProof/>
          <w:lang w:val="en-AU" w:eastAsia="en-AU"/>
        </w:rPr>
        <w:drawing>
          <wp:inline distT="0" distB="0" distL="0" distR="0">
            <wp:extent cx="1371600" cy="571500"/>
            <wp:effectExtent l="19050" t="0" r="0" b="0"/>
            <wp:docPr id="2052" name="Picture 1" descr="ANU_CMY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U_CMYK 3"/>
                    <pic:cNvPicPr>
                      <a:picLocks noChangeAspect="1" noChangeArrowheads="1"/>
                    </pic:cNvPicPr>
                  </pic:nvPicPr>
                  <pic:blipFill>
                    <a:blip r:embed="rId8" cstate="print"/>
                    <a:srcRect/>
                    <a:stretch>
                      <a:fillRect/>
                    </a:stretch>
                  </pic:blipFill>
                  <pic:spPr bwMode="auto">
                    <a:xfrm>
                      <a:off x="0" y="0"/>
                      <a:ext cx="1371600" cy="571500"/>
                    </a:xfrm>
                    <a:prstGeom prst="rect">
                      <a:avLst/>
                    </a:prstGeom>
                    <a:noFill/>
                    <a:ln w="9525">
                      <a:noFill/>
                      <a:miter lim="800000"/>
                      <a:headEnd/>
                      <a:tailEnd/>
                    </a:ln>
                  </pic:spPr>
                </pic:pic>
              </a:graphicData>
            </a:graphic>
          </wp:inline>
        </w:drawing>
      </w:r>
    </w:p>
    <w:p w:rsidR="009C74A1" w:rsidRDefault="009C74A1" w:rsidP="009C74A1">
      <w:pPr>
        <w:jc w:val="center"/>
        <w:rPr>
          <w:b/>
          <w:sz w:val="20"/>
          <w:szCs w:val="20"/>
        </w:rPr>
      </w:pPr>
      <w:r>
        <w:rPr>
          <w:b/>
          <w:sz w:val="20"/>
          <w:szCs w:val="20"/>
        </w:rPr>
        <w:t>Australian Demographic and Social Research Institute</w:t>
      </w:r>
    </w:p>
    <w:p w:rsidR="009C74A1" w:rsidRDefault="009C74A1" w:rsidP="009C74A1">
      <w:pPr>
        <w:jc w:val="center"/>
        <w:rPr>
          <w:b/>
        </w:rPr>
      </w:pPr>
    </w:p>
    <w:p w:rsidR="009C74A1" w:rsidRDefault="009C74A1" w:rsidP="009C74A1">
      <w:pPr>
        <w:jc w:val="center"/>
        <w:rPr>
          <w:b/>
        </w:rPr>
      </w:pPr>
    </w:p>
    <w:p w:rsidR="009C74A1" w:rsidRDefault="009C74A1" w:rsidP="009C74A1">
      <w:pPr>
        <w:jc w:val="center"/>
        <w:rPr>
          <w:b/>
        </w:rPr>
      </w:pPr>
    </w:p>
    <w:p w:rsidR="009C74A1" w:rsidRDefault="009C74A1" w:rsidP="009C74A1">
      <w:pPr>
        <w:jc w:val="center"/>
        <w:rPr>
          <w:b/>
        </w:rPr>
      </w:pPr>
    </w:p>
    <w:p w:rsidR="009C74A1" w:rsidRDefault="009C74A1" w:rsidP="009C74A1">
      <w:pPr>
        <w:jc w:val="center"/>
        <w:rPr>
          <w:b/>
        </w:rPr>
      </w:pPr>
    </w:p>
    <w:p w:rsidR="009C74A1" w:rsidRDefault="009C74A1" w:rsidP="009C74A1">
      <w:pPr>
        <w:jc w:val="center"/>
        <w:rPr>
          <w:b/>
        </w:rPr>
      </w:pPr>
      <w:r>
        <w:rPr>
          <w:b/>
        </w:rPr>
        <w:t>Projections of Housing Demand in Australia, 2011 - 2041</w:t>
      </w:r>
    </w:p>
    <w:p w:rsidR="009C74A1" w:rsidRDefault="009C74A1" w:rsidP="009C74A1">
      <w:pPr>
        <w:jc w:val="center"/>
        <w:rPr>
          <w:b/>
        </w:rPr>
      </w:pPr>
    </w:p>
    <w:p w:rsidR="009C74A1" w:rsidRDefault="009C74A1" w:rsidP="009C74A1">
      <w:pPr>
        <w:jc w:val="center"/>
        <w:rPr>
          <w:b/>
        </w:rPr>
      </w:pPr>
    </w:p>
    <w:p w:rsidR="009C74A1" w:rsidRDefault="009C74A1" w:rsidP="009C74A1">
      <w:pPr>
        <w:jc w:val="center"/>
        <w:rPr>
          <w:b/>
        </w:rPr>
      </w:pPr>
    </w:p>
    <w:p w:rsidR="009C74A1" w:rsidRDefault="009C74A1" w:rsidP="009C74A1">
      <w:pPr>
        <w:jc w:val="center"/>
        <w:rPr>
          <w:b/>
        </w:rPr>
      </w:pPr>
    </w:p>
    <w:p w:rsidR="009C74A1" w:rsidRDefault="009C74A1" w:rsidP="009C74A1">
      <w:pPr>
        <w:jc w:val="center"/>
        <w:rPr>
          <w:b/>
        </w:rPr>
      </w:pPr>
    </w:p>
    <w:p w:rsidR="009C74A1" w:rsidRDefault="009C74A1" w:rsidP="009C74A1">
      <w:pPr>
        <w:jc w:val="center"/>
        <w:rPr>
          <w:b/>
        </w:rPr>
      </w:pPr>
    </w:p>
    <w:p w:rsidR="009C74A1" w:rsidRDefault="009C74A1" w:rsidP="009C74A1">
      <w:pPr>
        <w:jc w:val="center"/>
        <w:rPr>
          <w:b/>
        </w:rPr>
      </w:pPr>
      <w:r>
        <w:rPr>
          <w:b/>
        </w:rPr>
        <w:t xml:space="preserve">Peter McDonald and </w:t>
      </w:r>
      <w:proofErr w:type="spellStart"/>
      <w:smartTag w:uri="urn:schemas-microsoft-com:office:smarttags" w:element="place">
        <w:smartTag w:uri="urn:schemas-microsoft-com:office:smarttags" w:element="PlaceName">
          <w:r>
            <w:rPr>
              <w:b/>
            </w:rPr>
            <w:t>Jeromey</w:t>
          </w:r>
        </w:smartTag>
        <w:proofErr w:type="spellEnd"/>
        <w:r>
          <w:rPr>
            <w:b/>
          </w:rPr>
          <w:t xml:space="preserve"> </w:t>
        </w:r>
        <w:smartTag w:uri="urn:schemas-microsoft-com:office:smarttags" w:element="PlaceType">
          <w:r>
            <w:rPr>
              <w:b/>
            </w:rPr>
            <w:t>Temple</w:t>
          </w:r>
        </w:smartTag>
      </w:smartTag>
    </w:p>
    <w:p w:rsidR="009C74A1" w:rsidRDefault="009C74A1" w:rsidP="009C74A1">
      <w:pPr>
        <w:jc w:val="center"/>
        <w:rPr>
          <w:b/>
        </w:rPr>
      </w:pPr>
    </w:p>
    <w:p w:rsidR="009C74A1" w:rsidRDefault="009C74A1" w:rsidP="009C74A1">
      <w:pPr>
        <w:jc w:val="center"/>
        <w:rPr>
          <w:b/>
        </w:rPr>
      </w:pPr>
      <w:r>
        <w:rPr>
          <w:b/>
        </w:rPr>
        <w:t>Canberra: June 2013</w:t>
      </w:r>
    </w:p>
    <w:p w:rsidR="009C74A1" w:rsidRDefault="009C74A1" w:rsidP="009C74A1">
      <w:pPr>
        <w:jc w:val="center"/>
        <w:rPr>
          <w:b/>
        </w:rPr>
      </w:pPr>
    </w:p>
    <w:p w:rsidR="009C74A1" w:rsidRDefault="009C74A1" w:rsidP="009C74A1">
      <w:pPr>
        <w:jc w:val="center"/>
        <w:rPr>
          <w:b/>
        </w:rPr>
      </w:pPr>
    </w:p>
    <w:p w:rsidR="009C74A1" w:rsidRDefault="009C74A1" w:rsidP="009C74A1">
      <w:pPr>
        <w:jc w:val="center"/>
        <w:rPr>
          <w:b/>
        </w:rPr>
      </w:pPr>
    </w:p>
    <w:p w:rsidR="009C74A1" w:rsidRDefault="009C74A1" w:rsidP="009C74A1">
      <w:pPr>
        <w:jc w:val="center"/>
        <w:rPr>
          <w:b/>
        </w:rPr>
      </w:pPr>
    </w:p>
    <w:p w:rsidR="009C74A1" w:rsidRDefault="009C74A1" w:rsidP="009C74A1">
      <w:pPr>
        <w:jc w:val="center"/>
        <w:rPr>
          <w:b/>
        </w:rPr>
      </w:pPr>
      <w:r>
        <w:rPr>
          <w:b/>
        </w:rPr>
        <w:t>SUMMARY REPORT</w:t>
      </w:r>
    </w:p>
    <w:p w:rsidR="00B06E4B" w:rsidRDefault="00B06E4B"/>
    <w:p w:rsidR="00B06E4B" w:rsidRDefault="00B06E4B"/>
    <w:p w:rsidR="001625BF" w:rsidRDefault="001625BF" w:rsidP="001625BF">
      <w:pPr>
        <w:jc w:val="center"/>
        <w:rPr>
          <w:b/>
        </w:rPr>
      </w:pPr>
      <w:r>
        <w:rPr>
          <w:b/>
        </w:rPr>
        <w:br w:type="page"/>
      </w:r>
    </w:p>
    <w:p w:rsidR="00924DFF" w:rsidRPr="00895CFF" w:rsidRDefault="00924DFF" w:rsidP="00924DFF">
      <w:pPr>
        <w:jc w:val="center"/>
        <w:rPr>
          <w:b/>
        </w:rPr>
      </w:pPr>
      <w:r>
        <w:rPr>
          <w:b/>
        </w:rPr>
        <w:lastRenderedPageBreak/>
        <w:t>Report Disclaimer</w:t>
      </w:r>
    </w:p>
    <w:p w:rsidR="00924DFF" w:rsidRDefault="00924DFF" w:rsidP="00924DFF"/>
    <w:p w:rsidR="00370518" w:rsidRDefault="00924DFF" w:rsidP="00906C2C">
      <w:pPr>
        <w:jc w:val="both"/>
      </w:pPr>
      <w:r>
        <w:t xml:space="preserve">This report presents results of a series of household projections calculated for the National Housing Supply Council only as a guide to assist the NHSC in planning for future population change. The authors do not guarantee, and accept no legal liability whatsoever arising from or connected to, the accuracy, reliability, currency or completeness of any material and accept no responsibility for any decisions that users may make as a result of using the data herein. </w:t>
      </w:r>
      <w:proofErr w:type="gramStart"/>
      <w:r>
        <w:t>The authors recommend that users exercise their own skill and care with respect to their use of these data and that users carefully evaluate the accuracy, currency, completeness and relevance of the resource for their purposes.</w:t>
      </w:r>
      <w:proofErr w:type="gramEnd"/>
    </w:p>
    <w:p w:rsidR="00370518" w:rsidRDefault="00370518"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9C74A1" w:rsidRDefault="009C74A1" w:rsidP="00924DFF"/>
    <w:p w:rsidR="00370518" w:rsidRPr="00370518" w:rsidRDefault="00370518" w:rsidP="00853509">
      <w:pPr>
        <w:jc w:val="center"/>
        <w:rPr>
          <w:b/>
        </w:rPr>
      </w:pPr>
      <w:r w:rsidRPr="00370518">
        <w:rPr>
          <w:b/>
        </w:rPr>
        <w:lastRenderedPageBreak/>
        <w:t>Limitations</w:t>
      </w:r>
    </w:p>
    <w:p w:rsidR="00370518" w:rsidRDefault="00370518" w:rsidP="00924DFF"/>
    <w:p w:rsidR="00370518" w:rsidRDefault="00370518" w:rsidP="00906C2C">
      <w:pPr>
        <w:jc w:val="both"/>
        <w:rPr>
          <w:rFonts w:cs="Arial"/>
          <w:lang w:val="en-AU" w:eastAsia="en-AU"/>
        </w:rPr>
      </w:pPr>
      <w:r w:rsidRPr="008609B8">
        <w:rPr>
          <w:rFonts w:cs="Arial"/>
          <w:lang w:val="en-AU" w:eastAsia="en-AU"/>
        </w:rPr>
        <w:t>• The 2011 preliminary Estimated Re</w:t>
      </w:r>
      <w:r>
        <w:rPr>
          <w:rFonts w:cs="Arial"/>
          <w:lang w:val="en-AU" w:eastAsia="en-AU"/>
        </w:rPr>
        <w:t>sident Population (ERP) data were</w:t>
      </w:r>
      <w:r w:rsidRPr="008609B8">
        <w:rPr>
          <w:rFonts w:cs="Arial"/>
          <w:lang w:val="en-AU" w:eastAsia="en-AU"/>
        </w:rPr>
        <w:t xml:space="preserve"> used for these projections. The 2006 Estimated Resident Population data were used for calculations of transition probabilities. Following the 2011 Census, the A</w:t>
      </w:r>
      <w:r>
        <w:rPr>
          <w:rFonts w:cs="Arial"/>
          <w:lang w:val="en-AU" w:eastAsia="en-AU"/>
        </w:rPr>
        <w:t>ustralian Bureau of Statistics (A</w:t>
      </w:r>
      <w:r w:rsidRPr="008609B8">
        <w:rPr>
          <w:rFonts w:cs="Arial"/>
          <w:lang w:val="en-AU" w:eastAsia="en-AU"/>
        </w:rPr>
        <w:t>BS</w:t>
      </w:r>
      <w:r>
        <w:rPr>
          <w:rFonts w:cs="Arial"/>
          <w:lang w:val="en-AU" w:eastAsia="en-AU"/>
        </w:rPr>
        <w:t>)</w:t>
      </w:r>
      <w:r w:rsidRPr="008609B8">
        <w:rPr>
          <w:rFonts w:cs="Arial"/>
          <w:lang w:val="en-AU" w:eastAsia="en-AU"/>
        </w:rPr>
        <w:t xml:space="preserve"> has made major changes to the measure</w:t>
      </w:r>
      <w:r>
        <w:rPr>
          <w:rFonts w:cs="Arial"/>
          <w:lang w:val="en-AU" w:eastAsia="en-AU"/>
        </w:rPr>
        <w:t>ment of ERP including a new approach to measuring census coverage. As a result of these</w:t>
      </w:r>
      <w:r w:rsidRPr="008609B8">
        <w:rPr>
          <w:rFonts w:cs="Arial"/>
          <w:lang w:val="en-AU" w:eastAsia="en-AU"/>
        </w:rPr>
        <w:t xml:space="preserve"> change</w:t>
      </w:r>
      <w:r>
        <w:rPr>
          <w:rFonts w:cs="Arial"/>
          <w:lang w:val="en-AU" w:eastAsia="en-AU"/>
        </w:rPr>
        <w:t>s</w:t>
      </w:r>
      <w:r w:rsidR="002C24E0">
        <w:rPr>
          <w:rFonts w:cs="Arial"/>
          <w:lang w:val="en-AU" w:eastAsia="en-AU"/>
        </w:rPr>
        <w:t xml:space="preserve">, the 2011 ERP estimated prior to the release of the corrected 2011 census population was found to be </w:t>
      </w:r>
      <w:r w:rsidR="002C24E0" w:rsidRPr="008609B8">
        <w:rPr>
          <w:rFonts w:cs="Arial"/>
          <w:lang w:val="en-AU" w:eastAsia="en-AU"/>
        </w:rPr>
        <w:t xml:space="preserve">294,000 persons </w:t>
      </w:r>
      <w:r w:rsidR="002C24E0">
        <w:rPr>
          <w:rFonts w:cs="Arial"/>
          <w:lang w:val="en-AU" w:eastAsia="en-AU"/>
        </w:rPr>
        <w:t>higher than the 2011 ERP incorporating the census results.</w:t>
      </w:r>
      <w:r w:rsidRPr="008609B8">
        <w:rPr>
          <w:rFonts w:cs="Arial"/>
          <w:lang w:val="en-AU" w:eastAsia="en-AU"/>
        </w:rPr>
        <w:t xml:space="preserve"> As this error, historically, is very large, the ABS is in the process of recalculating and reissuing </w:t>
      </w:r>
      <w:r w:rsidR="002C24E0">
        <w:rPr>
          <w:rFonts w:cs="Arial"/>
          <w:lang w:val="en-AU" w:eastAsia="en-AU"/>
        </w:rPr>
        <w:t>ERP for 20 years prior to 2011</w:t>
      </w:r>
      <w:r w:rsidRPr="008609B8">
        <w:rPr>
          <w:rFonts w:cs="Arial"/>
          <w:lang w:val="en-AU" w:eastAsia="en-AU"/>
        </w:rPr>
        <w:t>. These data we</w:t>
      </w:r>
      <w:r w:rsidR="00684F80">
        <w:rPr>
          <w:rFonts w:cs="Arial"/>
          <w:lang w:val="en-AU" w:eastAsia="en-AU"/>
        </w:rPr>
        <w:t>re not available when the projections were modelled</w:t>
      </w:r>
      <w:r w:rsidRPr="008609B8">
        <w:rPr>
          <w:rFonts w:cs="Arial"/>
          <w:lang w:val="en-AU" w:eastAsia="en-AU"/>
        </w:rPr>
        <w:t xml:space="preserve"> and will be released later in 2013 (see ABS, 2013 for further information). When these adjusted ERP data are issued, they may alter the survival ratios, base populations and transition probabilities used in these projections.</w:t>
      </w:r>
    </w:p>
    <w:p w:rsidR="00370518" w:rsidRDefault="00370518" w:rsidP="00906C2C">
      <w:pPr>
        <w:jc w:val="both"/>
        <w:rPr>
          <w:rFonts w:cs="Arial"/>
          <w:lang w:val="en-AU" w:eastAsia="en-AU"/>
        </w:rPr>
      </w:pPr>
      <w:r w:rsidRPr="008609B8">
        <w:rPr>
          <w:rFonts w:cs="Arial"/>
          <w:lang w:val="en-AU" w:eastAsia="en-AU"/>
        </w:rPr>
        <w:t xml:space="preserve"> • All geographic boundaries were </w:t>
      </w:r>
      <w:proofErr w:type="spellStart"/>
      <w:r w:rsidRPr="008609B8">
        <w:rPr>
          <w:rFonts w:cs="Arial"/>
          <w:lang w:val="en-AU" w:eastAsia="en-AU"/>
        </w:rPr>
        <w:t>concorded</w:t>
      </w:r>
      <w:proofErr w:type="spellEnd"/>
      <w:r w:rsidRPr="008609B8">
        <w:rPr>
          <w:rFonts w:cs="Arial"/>
          <w:lang w:val="en-AU" w:eastAsia="en-AU"/>
        </w:rPr>
        <w:t xml:space="preserve"> to 2011 boundaries by the Australian Bureau of Statistics. There is likely to be </w:t>
      </w:r>
      <w:r w:rsidR="002C24E0">
        <w:rPr>
          <w:rFonts w:cs="Arial"/>
          <w:lang w:val="en-AU" w:eastAsia="en-AU"/>
        </w:rPr>
        <w:t xml:space="preserve">some </w:t>
      </w:r>
      <w:r w:rsidRPr="008609B8">
        <w:rPr>
          <w:rFonts w:cs="Arial"/>
          <w:lang w:val="en-AU" w:eastAsia="en-AU"/>
        </w:rPr>
        <w:t>error in the concordance process, particularly when the concordance is applied across time as is the case with the ERP, Census and deaths data.</w:t>
      </w:r>
    </w:p>
    <w:p w:rsidR="00370518" w:rsidRPr="008609B8" w:rsidRDefault="00370518" w:rsidP="00906C2C">
      <w:pPr>
        <w:jc w:val="both"/>
        <w:rPr>
          <w:rFonts w:cs="Arial"/>
          <w:lang w:val="en-AU" w:eastAsia="en-AU"/>
        </w:rPr>
      </w:pPr>
      <w:r w:rsidRPr="008609B8">
        <w:rPr>
          <w:rFonts w:cs="Arial"/>
          <w:lang w:val="en-AU" w:eastAsia="en-AU"/>
        </w:rPr>
        <w:t xml:space="preserve"> • Randomisation of small cell data may also influence the quality of the input tables used in these projections. Moreover, reclassification of missing cells in census tables may also distort propensities applied. </w:t>
      </w:r>
    </w:p>
    <w:p w:rsidR="00853509" w:rsidRDefault="00924DFF" w:rsidP="00906C2C">
      <w:pPr>
        <w:jc w:val="both"/>
      </w:pPr>
      <w:r>
        <w:t xml:space="preserve"> </w:t>
      </w:r>
      <w:r w:rsidR="00853509" w:rsidRPr="008609B8">
        <w:rPr>
          <w:rFonts w:cs="Arial"/>
          <w:lang w:val="en-AU" w:eastAsia="en-AU"/>
        </w:rPr>
        <w:t xml:space="preserve">• </w:t>
      </w:r>
      <w:r w:rsidR="00853509" w:rsidRPr="008609B8">
        <w:t>The usual caveat with demographic projections applies: results present a possible future based upon a restricted set of assumptions. There are exogenous policy shocks that may affect the utility of belonging to different living arrangements in the later life course. For example, American studies have shown that increases in income and social security payments as well as reforms to nursing home subsidies have given rise to a higher demand for independent living (</w:t>
      </w:r>
      <w:proofErr w:type="spellStart"/>
      <w:r w:rsidR="00853509" w:rsidRPr="008609B8">
        <w:t>McGarry</w:t>
      </w:r>
      <w:proofErr w:type="spellEnd"/>
      <w:r w:rsidR="00853509" w:rsidRPr="008609B8">
        <w:t xml:space="preserve"> and </w:t>
      </w:r>
      <w:proofErr w:type="spellStart"/>
      <w:r w:rsidR="00853509" w:rsidRPr="008609B8">
        <w:t>Schoeni</w:t>
      </w:r>
      <w:proofErr w:type="spellEnd"/>
      <w:r w:rsidR="00853509" w:rsidRPr="008609B8">
        <w:t xml:space="preserve">, 2000; </w:t>
      </w:r>
      <w:proofErr w:type="spellStart"/>
      <w:r w:rsidR="00853509" w:rsidRPr="008609B8">
        <w:t>Hoerger</w:t>
      </w:r>
      <w:proofErr w:type="spellEnd"/>
      <w:r w:rsidR="00853509" w:rsidRPr="008609B8">
        <w:t xml:space="preserve">, </w:t>
      </w:r>
      <w:proofErr w:type="spellStart"/>
      <w:r w:rsidR="00853509" w:rsidRPr="008609B8">
        <w:t>Picone</w:t>
      </w:r>
      <w:proofErr w:type="spellEnd"/>
      <w:r w:rsidR="00853509" w:rsidRPr="008609B8">
        <w:t xml:space="preserve"> and Sloan, 1996).</w:t>
      </w:r>
    </w:p>
    <w:p w:rsidR="00853509" w:rsidRDefault="00853509" w:rsidP="00906C2C">
      <w:pPr>
        <w:jc w:val="both"/>
      </w:pPr>
      <w:r w:rsidRPr="008609B8">
        <w:t xml:space="preserve"> </w:t>
      </w:r>
      <w:r w:rsidRPr="008609B8">
        <w:rPr>
          <w:rFonts w:cs="Arial"/>
          <w:lang w:val="en-AU" w:eastAsia="en-AU"/>
        </w:rPr>
        <w:t xml:space="preserve">• </w:t>
      </w:r>
      <w:r w:rsidRPr="008609B8">
        <w:t>Transition probabilities</w:t>
      </w:r>
      <w:r>
        <w:t xml:space="preserve"> for independent living may be a</w:t>
      </w:r>
      <w:r w:rsidRPr="008609B8">
        <w:t xml:space="preserve">ffected by the availability and public support for </w:t>
      </w:r>
      <w:proofErr w:type="spellStart"/>
      <w:r w:rsidRPr="008609B8">
        <w:t>c</w:t>
      </w:r>
      <w:r>
        <w:t>arers</w:t>
      </w:r>
      <w:proofErr w:type="spellEnd"/>
      <w:r>
        <w:t>. Another factor that may a</w:t>
      </w:r>
      <w:r w:rsidRPr="008609B8">
        <w:t>ffect the transition probabilities, particularly in the earlier life cycle, is housing prices (McDonald and Temple, 2004). However, in old age there is little evidence to suggest that living arrangement decisions are made on the basis of house prices, with the major determinants being demographic (</w:t>
      </w:r>
      <w:proofErr w:type="spellStart"/>
      <w:r w:rsidRPr="008609B8">
        <w:t>Börsch-Supan</w:t>
      </w:r>
      <w:proofErr w:type="spellEnd"/>
      <w:r w:rsidRPr="008609B8">
        <w:t>, 1989).</w:t>
      </w:r>
    </w:p>
    <w:p w:rsidR="00853509" w:rsidRPr="008609B8" w:rsidRDefault="00853509" w:rsidP="00906C2C">
      <w:pPr>
        <w:jc w:val="both"/>
      </w:pPr>
      <w:r w:rsidRPr="008609B8">
        <w:t xml:space="preserve"> </w:t>
      </w:r>
      <w:r w:rsidRPr="008609B8">
        <w:rPr>
          <w:rFonts w:cs="Arial"/>
          <w:lang w:val="en-AU" w:eastAsia="en-AU"/>
        </w:rPr>
        <w:t>•</w:t>
      </w:r>
      <w:r>
        <w:rPr>
          <w:rFonts w:cs="Arial"/>
          <w:lang w:eastAsia="en-AU"/>
        </w:rPr>
        <w:t xml:space="preserve"> Earlier household projections published in 2004 by the ABS use a standard propensity model to project households – where households are calculated from a set of propensities for each person to belong to alternative living arrangement types. With the release of updated household projections in 2010, the ABS shifted its methodology to include ‘reconciled’ propensities.  Of particular importance, counts of total households and lone person households are replaced within the model to meet an externally benchmarked estimate. A recent report by the council notes that the ABS may publish a household number in 2014 (NHSC, 2013). The methodology the ABS will use to generate the household numbers is unknown and may differ to those presented here. </w:t>
      </w:r>
    </w:p>
    <w:p w:rsidR="00853509" w:rsidRPr="008609B8" w:rsidRDefault="00853509" w:rsidP="00853509"/>
    <w:p w:rsidR="00924DFF" w:rsidRDefault="00924DFF">
      <w:pPr>
        <w:rPr>
          <w:b/>
        </w:rPr>
      </w:pPr>
      <w:r>
        <w:rPr>
          <w:b/>
        </w:rPr>
        <w:br w:type="page"/>
      </w:r>
    </w:p>
    <w:p w:rsidR="00B06E4B" w:rsidRPr="00B06E4B" w:rsidRDefault="001625BF" w:rsidP="001625BF">
      <w:pPr>
        <w:jc w:val="center"/>
        <w:rPr>
          <w:b/>
        </w:rPr>
      </w:pPr>
      <w:r w:rsidRPr="00B06E4B">
        <w:rPr>
          <w:b/>
        </w:rPr>
        <w:lastRenderedPageBreak/>
        <w:t>BACKGROUND</w:t>
      </w:r>
    </w:p>
    <w:p w:rsidR="00B06E4B" w:rsidRDefault="00B06E4B"/>
    <w:p w:rsidR="009C74A1" w:rsidRDefault="009C74A1" w:rsidP="009C74A1">
      <w:pPr>
        <w:jc w:val="both"/>
      </w:pPr>
      <w:r>
        <w:t xml:space="preserve">This report provides a narrative description of results of the projection of future housing demand in the capital cities and balances of state for the eight States and Territories of Australia for the period, 2011-41. The baseline housing data for the projections is obtained from the 2011 Census of Population and Housing. The Estimated Resident Population data for 30 June 2011 </w:t>
      </w:r>
      <w:proofErr w:type="spellStart"/>
      <w:r>
        <w:t>form</w:t>
      </w:r>
      <w:proofErr w:type="spellEnd"/>
      <w:r>
        <w:t xml:space="preserve"> the baseline population data. Appendix 1 to this report provides an assessment of the 2006 projections against the results of the 2011 Census.</w:t>
      </w:r>
    </w:p>
    <w:p w:rsidR="009C74A1" w:rsidRDefault="009C74A1" w:rsidP="009C74A1">
      <w:pPr>
        <w:jc w:val="both"/>
      </w:pPr>
    </w:p>
    <w:p w:rsidR="009C74A1" w:rsidRDefault="009C74A1" w:rsidP="009C74A1">
      <w:pPr>
        <w:jc w:val="both"/>
      </w:pPr>
      <w:r>
        <w:t>These updated projections are based on the new Greater Capital City Statistical Areas (GCCSA) geography, rather than the Capital City / Balance of State geography used before the implementation of the new Australian Statistical Geography Standard (ASGC). As noted by the ABS, the purpose of the new geography is to:</w:t>
      </w:r>
    </w:p>
    <w:p w:rsidR="009C74A1" w:rsidRDefault="009C74A1" w:rsidP="009C74A1">
      <w:pPr>
        <w:ind w:left="720"/>
        <w:jc w:val="both"/>
      </w:pPr>
    </w:p>
    <w:p w:rsidR="009C74A1" w:rsidRDefault="009C74A1" w:rsidP="009C74A1">
      <w:pPr>
        <w:ind w:left="720"/>
        <w:jc w:val="both"/>
      </w:pPr>
      <w:r>
        <w:t>“</w:t>
      </w:r>
      <w:proofErr w:type="gramStart"/>
      <w:r>
        <w:t>represent</w:t>
      </w:r>
      <w:proofErr w:type="gramEnd"/>
      <w:r>
        <w:t xml:space="preserve"> a socio-economic definition of each of the eight State and Territory capital cities, this means the greater capital city boundary includes people who regularly </w:t>
      </w:r>
      <w:proofErr w:type="spellStart"/>
      <w:r>
        <w:t>socialise</w:t>
      </w:r>
      <w:proofErr w:type="spellEnd"/>
      <w:r>
        <w:t xml:space="preserve">, shop or work within the city, but live in the small towns and rural areas surrounding the city. It does not define the built up edge of the city”. </w:t>
      </w:r>
      <w:proofErr w:type="gramStart"/>
      <w:r>
        <w:t>ABS, 2010.</w:t>
      </w:r>
      <w:proofErr w:type="gramEnd"/>
    </w:p>
    <w:p w:rsidR="00BA2A0B" w:rsidRDefault="00BA2A0B"/>
    <w:p w:rsidR="001625BF" w:rsidRDefault="001625BF"/>
    <w:p w:rsidR="00BA2A0B" w:rsidRDefault="001625BF" w:rsidP="001625BF">
      <w:pPr>
        <w:pStyle w:val="Heading1"/>
        <w:jc w:val="center"/>
      </w:pPr>
      <w:r>
        <w:t>PROJECTION METHODOLOGY</w:t>
      </w:r>
    </w:p>
    <w:p w:rsidR="00BA2A0B" w:rsidRDefault="00BA2A0B" w:rsidP="00BA2A0B"/>
    <w:p w:rsidR="001F29BB" w:rsidRDefault="00BA2A0B" w:rsidP="00BA2A0B">
      <w:r>
        <w:t xml:space="preserve">The projections employ an innovative approach to projection of housing demand at the sub-national level. The methodology is detailed in McDonald, Kippen and </w:t>
      </w:r>
      <w:smartTag w:uri="urn:schemas-microsoft-com:office:smarttags" w:element="place">
        <w:smartTag w:uri="urn:schemas-microsoft-com:office:smarttags" w:element="City">
          <w:r>
            <w:t>Temple</w:t>
          </w:r>
        </w:smartTag>
      </w:smartTag>
      <w:r w:rsidR="00BA23A8">
        <w:t xml:space="preserve"> (2006). A</w:t>
      </w:r>
      <w:r>
        <w:t xml:space="preserve"> </w:t>
      </w:r>
      <w:r w:rsidR="009572E2">
        <w:t>short overview of the approach</w:t>
      </w:r>
      <w:r w:rsidR="00BA23A8">
        <w:t xml:space="preserve"> was provided in a previous report (McDonald and Temple 2008)</w:t>
      </w:r>
      <w:r w:rsidR="009572E2">
        <w:t>.</w:t>
      </w:r>
      <w:r w:rsidR="003C16DB">
        <w:t xml:space="preserve"> That</w:t>
      </w:r>
      <w:r w:rsidR="00270D3C">
        <w:t xml:space="preserve"> previous report a</w:t>
      </w:r>
      <w:r w:rsidR="00F027E2">
        <w:t>lso contains an analysis of</w:t>
      </w:r>
      <w:r w:rsidR="00270D3C">
        <w:t xml:space="preserve"> changes in the household situation of Australians between the 1991, 1996, 2001 and 2006 Censuses of Australia. </w:t>
      </w:r>
      <w:r w:rsidR="00FC410D">
        <w:t>These trends are updated in this report using the results of the 2011 Census.</w:t>
      </w:r>
    </w:p>
    <w:p w:rsidR="00FC410D" w:rsidRDefault="00FC410D" w:rsidP="00BA2A0B"/>
    <w:p w:rsidR="009C74A1" w:rsidRDefault="00FC410D" w:rsidP="009C74A1">
      <w:pPr>
        <w:jc w:val="both"/>
      </w:pPr>
      <w:r>
        <w:t>Migration is dealt with differently in this report than in previous reports. In previous reports, the migration input has been net migration for each geographic unit</w:t>
      </w:r>
      <w:r w:rsidR="00466C9A">
        <w:t xml:space="preserve"> where international and internal movements were combined. In this report, the migration </w:t>
      </w:r>
      <w:r>
        <w:t>input</w:t>
      </w:r>
      <w:r w:rsidR="00466C9A">
        <w:t>s to the model have</w:t>
      </w:r>
      <w:r>
        <w:t xml:space="preserve"> been based upon NOM Arrivals and NOM Departures data for international migration and also upon arrivals and departures data for internal migration.</w:t>
      </w:r>
      <w:r w:rsidR="00495B4C">
        <w:t xml:space="preserve"> The new approach is preferable because, while the age distributions of arrivals and of departures tend to be relatively stable across time in both international and internal movements, the age distribution</w:t>
      </w:r>
      <w:r w:rsidR="009C117D">
        <w:t>s</w:t>
      </w:r>
      <w:r w:rsidR="00495B4C">
        <w:t xml:space="preserve"> of net migration can be unstable if the balance between arrivals and departures changes. </w:t>
      </w:r>
      <w:r w:rsidR="009C74A1">
        <w:t>See Appendix 3 for further detail.</w:t>
      </w:r>
    </w:p>
    <w:p w:rsidR="00FC410D" w:rsidRDefault="00FC410D" w:rsidP="00BA2A0B"/>
    <w:p w:rsidR="009C74A1" w:rsidRDefault="009C74A1" w:rsidP="00BA2A0B"/>
    <w:p w:rsidR="009C74A1" w:rsidRDefault="009C74A1" w:rsidP="00BA2A0B"/>
    <w:p w:rsidR="009C74A1" w:rsidRDefault="009C74A1" w:rsidP="00BA2A0B"/>
    <w:p w:rsidR="00BA2A0B" w:rsidRDefault="00BA2A0B" w:rsidP="00BA2A0B"/>
    <w:p w:rsidR="00BA2A0B" w:rsidRDefault="001625BF" w:rsidP="001625BF">
      <w:pPr>
        <w:pStyle w:val="Heading1"/>
        <w:jc w:val="center"/>
      </w:pPr>
      <w:r>
        <w:lastRenderedPageBreak/>
        <w:t>HOUSING SUPPLY AND DEMAND</w:t>
      </w:r>
    </w:p>
    <w:p w:rsidR="00BA2A0B" w:rsidRDefault="00BA2A0B" w:rsidP="00BA2A0B">
      <w:pPr>
        <w:pStyle w:val="BodyText"/>
        <w:widowControl w:val="0"/>
        <w:spacing w:line="240" w:lineRule="auto"/>
        <w:jc w:val="left"/>
        <w:rPr>
          <w:color w:val="000000"/>
          <w:lang w:val="en-US"/>
        </w:rPr>
      </w:pPr>
    </w:p>
    <w:p w:rsidR="00BA2A0B" w:rsidRDefault="00BE1110" w:rsidP="00DC7242">
      <w:pPr>
        <w:pStyle w:val="BodyText"/>
        <w:widowControl w:val="0"/>
        <w:spacing w:line="240" w:lineRule="auto"/>
        <w:rPr>
          <w:color w:val="000000"/>
          <w:lang w:val="en-US"/>
        </w:rPr>
      </w:pPr>
      <w:r>
        <w:rPr>
          <w:color w:val="000000"/>
          <w:lang w:val="en-US"/>
        </w:rPr>
        <w:t>The</w:t>
      </w:r>
      <w:r w:rsidR="00BA2A0B">
        <w:rPr>
          <w:color w:val="000000"/>
          <w:lang w:val="en-US"/>
        </w:rPr>
        <w:t xml:space="preserve"> projections provide the housing demand for occupied dwellings (by structure and tenure type) that would result from changing demographic and social trends (population size, births, deaths, international migration, internal migration, age structure changes and family and household formation and dissolution). These are all demand-side factors. The pr</w:t>
      </w:r>
      <w:r w:rsidR="00644817">
        <w:rPr>
          <w:color w:val="000000"/>
          <w:lang w:val="en-US"/>
        </w:rPr>
        <w:t>ojections are not constrained by any supply-side factors</w:t>
      </w:r>
      <w:r w:rsidR="00BA2A0B">
        <w:rPr>
          <w:color w:val="000000"/>
          <w:lang w:val="en-US"/>
        </w:rPr>
        <w:t xml:space="preserve"> such as availability of land, the number of vacant dwellings, construction of new dwellings and affordability. </w:t>
      </w:r>
      <w:r w:rsidR="00BA2A0B">
        <w:rPr>
          <w:color w:val="000000"/>
          <w:szCs w:val="23"/>
          <w:lang w:val="en-US"/>
        </w:rPr>
        <w:t xml:space="preserve">Our approach is to project housing demand on the basis of current and recent trends </w:t>
      </w:r>
      <w:r>
        <w:rPr>
          <w:color w:val="000000"/>
          <w:szCs w:val="23"/>
          <w:lang w:val="en-US"/>
        </w:rPr>
        <w:t>in demand inpu</w:t>
      </w:r>
      <w:r w:rsidR="00644817">
        <w:rPr>
          <w:color w:val="000000"/>
          <w:szCs w:val="23"/>
          <w:lang w:val="en-US"/>
        </w:rPr>
        <w:t>ts. These demand projections should</w:t>
      </w:r>
      <w:r>
        <w:rPr>
          <w:color w:val="000000"/>
          <w:szCs w:val="23"/>
          <w:lang w:val="en-US"/>
        </w:rPr>
        <w:t xml:space="preserve"> then be assessed in supply terms</w:t>
      </w:r>
      <w:r w:rsidR="00C51A86">
        <w:rPr>
          <w:color w:val="000000"/>
          <w:szCs w:val="23"/>
          <w:lang w:val="en-US"/>
        </w:rPr>
        <w:t>, that is, t</w:t>
      </w:r>
      <w:r w:rsidR="00BA2A0B">
        <w:rPr>
          <w:color w:val="000000"/>
          <w:lang w:val="en-US"/>
        </w:rPr>
        <w:t>he results from the p</w:t>
      </w:r>
      <w:r w:rsidR="00C51A86">
        <w:rPr>
          <w:color w:val="000000"/>
          <w:lang w:val="en-US"/>
        </w:rPr>
        <w:t xml:space="preserve">rojections of demand </w:t>
      </w:r>
      <w:r w:rsidR="00D64702">
        <w:rPr>
          <w:color w:val="000000"/>
          <w:lang w:val="en-US"/>
        </w:rPr>
        <w:t xml:space="preserve">for housing </w:t>
      </w:r>
      <w:r w:rsidR="00644817">
        <w:rPr>
          <w:color w:val="000000"/>
          <w:lang w:val="en-US"/>
        </w:rPr>
        <w:t xml:space="preserve">can </w:t>
      </w:r>
      <w:r w:rsidR="00BA2A0B">
        <w:rPr>
          <w:color w:val="000000"/>
          <w:lang w:val="en-US"/>
        </w:rPr>
        <w:t xml:space="preserve">be compared </w:t>
      </w:r>
      <w:r w:rsidR="00C51A86">
        <w:rPr>
          <w:color w:val="000000"/>
          <w:lang w:val="en-US"/>
        </w:rPr>
        <w:t xml:space="preserve">with existing and planned supply </w:t>
      </w:r>
      <w:r w:rsidR="00D64702">
        <w:rPr>
          <w:color w:val="000000"/>
          <w:lang w:val="en-US"/>
        </w:rPr>
        <w:t xml:space="preserve">of housing </w:t>
      </w:r>
      <w:r w:rsidR="00BA2A0B">
        <w:rPr>
          <w:color w:val="000000"/>
          <w:lang w:val="en-US"/>
        </w:rPr>
        <w:t>and assessments made of what corrections for demand-supp</w:t>
      </w:r>
      <w:r w:rsidR="00644817">
        <w:rPr>
          <w:color w:val="000000"/>
          <w:lang w:val="en-US"/>
        </w:rPr>
        <w:t xml:space="preserve">ly discrepancies need to be made. </w:t>
      </w:r>
      <w:r w:rsidR="00237D6C">
        <w:rPr>
          <w:color w:val="000000"/>
          <w:lang w:val="en-US"/>
        </w:rPr>
        <w:t xml:space="preserve">Where meeting demand would create supply difficulties, </w:t>
      </w:r>
      <w:r w:rsidR="00644817">
        <w:rPr>
          <w:color w:val="000000"/>
          <w:lang w:val="en-US"/>
        </w:rPr>
        <w:t>consideration would need to be given to how this</w:t>
      </w:r>
      <w:r w:rsidR="00237D6C">
        <w:rPr>
          <w:color w:val="000000"/>
          <w:lang w:val="en-US"/>
        </w:rPr>
        <w:t xml:space="preserve"> demand is re-directed. Do the</w:t>
      </w:r>
      <w:r w:rsidR="00644817">
        <w:rPr>
          <w:color w:val="000000"/>
          <w:lang w:val="en-US"/>
        </w:rPr>
        <w:t xml:space="preserve"> projected households maintain their dwelling pref</w:t>
      </w:r>
      <w:r w:rsidR="00237D6C">
        <w:rPr>
          <w:color w:val="000000"/>
          <w:lang w:val="en-US"/>
        </w:rPr>
        <w:t>erence but change their location</w:t>
      </w:r>
      <w:r w:rsidR="00644817">
        <w:rPr>
          <w:color w:val="000000"/>
          <w:lang w:val="en-US"/>
        </w:rPr>
        <w:t xml:space="preserve"> or do they change their dwellin</w:t>
      </w:r>
      <w:r w:rsidR="00237D6C">
        <w:rPr>
          <w:color w:val="000000"/>
          <w:lang w:val="en-US"/>
        </w:rPr>
        <w:t>g preference within the location. T</w:t>
      </w:r>
      <w:r w:rsidR="00644817">
        <w:rPr>
          <w:color w:val="000000"/>
          <w:lang w:val="en-US"/>
        </w:rPr>
        <w:t>he fac</w:t>
      </w:r>
      <w:r w:rsidR="00BD1D45">
        <w:rPr>
          <w:color w:val="000000"/>
          <w:lang w:val="en-US"/>
        </w:rPr>
        <w:t>t that supply cannot meet housing preference</w:t>
      </w:r>
      <w:r w:rsidR="00237D6C">
        <w:rPr>
          <w:color w:val="000000"/>
          <w:lang w:val="en-US"/>
        </w:rPr>
        <w:t>s could also conceivably</w:t>
      </w:r>
      <w:r w:rsidR="00644817">
        <w:rPr>
          <w:color w:val="000000"/>
          <w:lang w:val="en-US"/>
        </w:rPr>
        <w:t xml:space="preserve"> lead to the household not being formed at all.</w:t>
      </w:r>
    </w:p>
    <w:p w:rsidR="006D28AC" w:rsidRDefault="006D28AC" w:rsidP="00BA57A3"/>
    <w:p w:rsidR="006D28AC" w:rsidRPr="00BA57A3" w:rsidRDefault="006D28AC" w:rsidP="009C117D">
      <w:pPr>
        <w:jc w:val="center"/>
        <w:rPr>
          <w:b/>
        </w:rPr>
      </w:pPr>
      <w:r w:rsidRPr="00BA57A3">
        <w:rPr>
          <w:b/>
        </w:rPr>
        <w:t>THE 20</w:t>
      </w:r>
      <w:r w:rsidR="003C16DB">
        <w:rPr>
          <w:b/>
        </w:rPr>
        <w:t>09-2039</w:t>
      </w:r>
      <w:r>
        <w:rPr>
          <w:b/>
        </w:rPr>
        <w:t xml:space="preserve"> PROJECTIONS: ASSUMPTIONS</w:t>
      </w:r>
    </w:p>
    <w:p w:rsidR="006D28AC" w:rsidRDefault="006D28AC" w:rsidP="006D28AC"/>
    <w:p w:rsidR="006D28AC" w:rsidRDefault="00270D3C" w:rsidP="00DC7242">
      <w:pPr>
        <w:jc w:val="both"/>
      </w:pPr>
      <w:r>
        <w:t>The projections cover three</w:t>
      </w:r>
      <w:r w:rsidR="006D28AC">
        <w:t xml:space="preserve"> possible future scenarios that re</w:t>
      </w:r>
      <w:r>
        <w:t xml:space="preserve">flect different </w:t>
      </w:r>
      <w:r w:rsidR="006D28AC">
        <w:t xml:space="preserve">assumptions about future </w:t>
      </w:r>
      <w:r>
        <w:t xml:space="preserve">international migration. </w:t>
      </w:r>
      <w:r w:rsidR="00A179AF">
        <w:t>The three assumed levels of annual net overseas m</w:t>
      </w:r>
      <w:r w:rsidR="00466C9A">
        <w:t xml:space="preserve">igration are labeled as Low (132,000), </w:t>
      </w:r>
      <w:proofErr w:type="gramStart"/>
      <w:r w:rsidR="00466C9A">
        <w:t>Medium</w:t>
      </w:r>
      <w:proofErr w:type="gramEnd"/>
      <w:r w:rsidR="00466C9A">
        <w:t xml:space="preserve"> (232,000) and High (282,000). </w:t>
      </w:r>
      <w:r w:rsidR="000A4098">
        <w:t xml:space="preserve">The three target scenarios for net overseas migration apply from </w:t>
      </w:r>
      <w:r w:rsidR="00997583">
        <w:t>2021 onwards. Prior to 2021, the projections take into account information on migration to and from Australia that is already known as described in the next section. Aside from migration, all o</w:t>
      </w:r>
      <w:r w:rsidR="00466C9A">
        <w:t xml:space="preserve">ther assumptions are invariant across these </w:t>
      </w:r>
      <w:r w:rsidR="00D91642">
        <w:t>future scenarios.</w:t>
      </w:r>
    </w:p>
    <w:p w:rsidR="00D91642" w:rsidRDefault="00D91642" w:rsidP="006D28AC"/>
    <w:p w:rsidR="00D91642" w:rsidRPr="00D91642" w:rsidRDefault="000A4098" w:rsidP="006D28AC">
      <w:pPr>
        <w:rPr>
          <w:b/>
        </w:rPr>
      </w:pPr>
      <w:r>
        <w:rPr>
          <w:b/>
        </w:rPr>
        <w:t xml:space="preserve">International </w:t>
      </w:r>
      <w:r w:rsidR="00D91642" w:rsidRPr="00D91642">
        <w:rPr>
          <w:b/>
        </w:rPr>
        <w:t>Migration Assumptions</w:t>
      </w:r>
    </w:p>
    <w:p w:rsidR="001625BF" w:rsidRDefault="001625BF"/>
    <w:p w:rsidR="00724C5A" w:rsidRDefault="00D91642" w:rsidP="00DC7242">
      <w:pPr>
        <w:jc w:val="both"/>
      </w:pPr>
      <w:r>
        <w:t>For the year, 2011-12, the published data for NOM Arrivals and Departures are used (ABS. 2013). From 2012-13 to 2015-16, international migratio</w:t>
      </w:r>
      <w:r w:rsidR="00B012BC">
        <w:t>n is assumed to follow the proje</w:t>
      </w:r>
      <w:r>
        <w:t xml:space="preserve">ctions made by the Department of Immigration and Citizenship (DIAC 2013) for both NOM Arrivals and NOM Departures. From 2016-17 to 2019-20, NOM Departures </w:t>
      </w:r>
      <w:r w:rsidR="00B012BC">
        <w:t xml:space="preserve">and </w:t>
      </w:r>
      <w:r>
        <w:t>NOM Arrivals change linearly to reach the three target scenario levels by 2020-21. The assumptions are displayed in Figures 1 and 2.</w:t>
      </w:r>
    </w:p>
    <w:p w:rsidR="00B012BC" w:rsidRDefault="00B012BC"/>
    <w:p w:rsidR="00D91642" w:rsidRDefault="00D91642"/>
    <w:p w:rsidR="009C74A1" w:rsidRDefault="009C74A1"/>
    <w:p w:rsidR="009C74A1" w:rsidRDefault="009C74A1"/>
    <w:p w:rsidR="009C74A1" w:rsidRDefault="009C74A1"/>
    <w:p w:rsidR="009C74A1" w:rsidRDefault="009C74A1"/>
    <w:p w:rsidR="009C74A1" w:rsidRDefault="009C74A1"/>
    <w:p w:rsidR="009C74A1" w:rsidRDefault="009C74A1"/>
    <w:p w:rsidR="009C74A1" w:rsidRDefault="009C74A1"/>
    <w:p w:rsidR="009C74A1" w:rsidRDefault="009C74A1"/>
    <w:p w:rsidR="009C74A1" w:rsidRDefault="009C74A1"/>
    <w:tbl>
      <w:tblPr>
        <w:tblW w:w="6956" w:type="dxa"/>
        <w:tblInd w:w="108" w:type="dxa"/>
        <w:tblLook w:val="04A0"/>
      </w:tblPr>
      <w:tblGrid>
        <w:gridCol w:w="6751"/>
        <w:gridCol w:w="222"/>
        <w:gridCol w:w="222"/>
        <w:gridCol w:w="222"/>
        <w:gridCol w:w="222"/>
        <w:gridCol w:w="222"/>
        <w:gridCol w:w="222"/>
      </w:tblGrid>
      <w:tr w:rsidR="00D91642" w:rsidRPr="00D91642" w:rsidTr="00D91642">
        <w:trPr>
          <w:trHeight w:val="255"/>
        </w:trPr>
        <w:tc>
          <w:tcPr>
            <w:tcW w:w="6956" w:type="dxa"/>
            <w:gridSpan w:val="7"/>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b/>
                <w:bCs/>
                <w:sz w:val="20"/>
                <w:szCs w:val="20"/>
                <w:lang w:val="en-AU" w:eastAsia="en-AU"/>
              </w:rPr>
            </w:pPr>
            <w:r w:rsidRPr="00D91642">
              <w:rPr>
                <w:rFonts w:ascii="Arial" w:hAnsi="Arial" w:cs="Arial"/>
                <w:b/>
                <w:bCs/>
                <w:sz w:val="20"/>
                <w:szCs w:val="20"/>
                <w:lang w:val="en-AU" w:eastAsia="en-AU"/>
              </w:rPr>
              <w:t>Figure</w:t>
            </w:r>
            <w:r>
              <w:rPr>
                <w:rFonts w:ascii="Arial" w:hAnsi="Arial" w:cs="Arial"/>
                <w:b/>
                <w:bCs/>
                <w:sz w:val="20"/>
                <w:szCs w:val="20"/>
                <w:lang w:val="en-AU" w:eastAsia="en-AU"/>
              </w:rPr>
              <w:t xml:space="preserve"> 1</w:t>
            </w:r>
            <w:r w:rsidRPr="00D91642">
              <w:rPr>
                <w:rFonts w:ascii="Arial" w:hAnsi="Arial" w:cs="Arial"/>
                <w:b/>
                <w:bCs/>
                <w:sz w:val="20"/>
                <w:szCs w:val="20"/>
                <w:lang w:val="en-AU" w:eastAsia="en-AU"/>
              </w:rPr>
              <w:t>: Low (132), Medium (232) and High (282) NOM Assumptions</w:t>
            </w: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457F18" w:rsidP="00D91642">
            <w:pPr>
              <w:rPr>
                <w:rFonts w:ascii="Arial" w:hAnsi="Arial" w:cs="Arial"/>
                <w:sz w:val="20"/>
                <w:szCs w:val="20"/>
                <w:lang w:val="en-AU" w:eastAsia="en-AU"/>
              </w:rPr>
            </w:pPr>
            <w:r>
              <w:rPr>
                <w:rFonts w:ascii="Arial" w:hAnsi="Arial" w:cs="Arial"/>
                <w:noProof/>
                <w:sz w:val="20"/>
                <w:szCs w:val="20"/>
                <w:lang w:val="en-AU" w:eastAsia="en-AU"/>
              </w:rPr>
              <w:drawing>
                <wp:anchor distT="0" distB="0" distL="114300" distR="114300" simplePos="0" relativeHeight="251658240" behindDoc="0" locked="0" layoutInCell="1" allowOverlap="1">
                  <wp:simplePos x="0" y="0"/>
                  <wp:positionH relativeFrom="column">
                    <wp:posOffset>-9525</wp:posOffset>
                  </wp:positionH>
                  <wp:positionV relativeFrom="paragraph">
                    <wp:posOffset>47625</wp:posOffset>
                  </wp:positionV>
                  <wp:extent cx="4429125" cy="3228975"/>
                  <wp:effectExtent l="19050" t="0" r="9525" b="0"/>
                  <wp:wrapNone/>
                  <wp:docPr id="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9" cstate="print"/>
                          <a:srcRect/>
                          <a:stretch>
                            <a:fillRect/>
                          </a:stretch>
                        </pic:blipFill>
                        <pic:spPr bwMode="auto">
                          <a:xfrm>
                            <a:off x="0" y="0"/>
                            <a:ext cx="4429125" cy="3228975"/>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180"/>
            </w:tblGrid>
            <w:tr w:rsidR="00D91642" w:rsidRPr="00D91642">
              <w:trPr>
                <w:trHeight w:val="255"/>
                <w:tblCellSpacing w:w="0" w:type="dxa"/>
              </w:trPr>
              <w:tc>
                <w:tcPr>
                  <w:tcW w:w="1180"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bl>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r w:rsidR="00D91642" w:rsidRPr="00D91642" w:rsidTr="00D91642">
        <w:trPr>
          <w:trHeight w:val="255"/>
        </w:trPr>
        <w:tc>
          <w:tcPr>
            <w:tcW w:w="6751"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D91642" w:rsidRPr="00D91642" w:rsidRDefault="00D91642" w:rsidP="00D91642">
            <w:pPr>
              <w:rPr>
                <w:rFonts w:ascii="Arial" w:hAnsi="Arial" w:cs="Arial"/>
                <w:sz w:val="20"/>
                <w:szCs w:val="20"/>
                <w:lang w:val="en-AU" w:eastAsia="en-AU"/>
              </w:rPr>
            </w:pPr>
          </w:p>
        </w:tc>
      </w:tr>
    </w:tbl>
    <w:p w:rsidR="00CA2AA5" w:rsidRPr="00CA2AA5" w:rsidRDefault="00CA2AA5">
      <w:pPr>
        <w:rPr>
          <w:sz w:val="20"/>
          <w:szCs w:val="20"/>
        </w:rPr>
      </w:pPr>
      <w:r w:rsidRPr="00CA2AA5">
        <w:rPr>
          <w:sz w:val="20"/>
          <w:szCs w:val="20"/>
        </w:rPr>
        <w:t>Source: ABS (2013); DIAC (2013); Author calculations.</w:t>
      </w:r>
    </w:p>
    <w:tbl>
      <w:tblPr>
        <w:tblW w:w="8748" w:type="dxa"/>
        <w:tblInd w:w="108" w:type="dxa"/>
        <w:tblLook w:val="04A0"/>
      </w:tblPr>
      <w:tblGrid>
        <w:gridCol w:w="1728"/>
        <w:gridCol w:w="1759"/>
        <w:gridCol w:w="1492"/>
        <w:gridCol w:w="1492"/>
        <w:gridCol w:w="1492"/>
        <w:gridCol w:w="785"/>
      </w:tblGrid>
      <w:tr w:rsidR="00D91642" w:rsidRPr="00466C9A" w:rsidTr="00174C7B">
        <w:trPr>
          <w:trHeight w:val="255"/>
        </w:trPr>
        <w:tc>
          <w:tcPr>
            <w:tcW w:w="7927" w:type="dxa"/>
            <w:gridSpan w:val="5"/>
            <w:tcBorders>
              <w:top w:val="nil"/>
              <w:left w:val="nil"/>
              <w:bottom w:val="nil"/>
              <w:right w:val="nil"/>
            </w:tcBorders>
            <w:shd w:val="clear" w:color="auto" w:fill="auto"/>
            <w:noWrap/>
            <w:vAlign w:val="bottom"/>
            <w:hideMark/>
          </w:tcPr>
          <w:p w:rsidR="00B012BC" w:rsidRDefault="00B012BC" w:rsidP="00D91642">
            <w:pPr>
              <w:rPr>
                <w:rFonts w:ascii="Arial" w:hAnsi="Arial" w:cs="Arial"/>
                <w:b/>
                <w:bCs/>
                <w:sz w:val="20"/>
                <w:szCs w:val="20"/>
                <w:lang w:val="en-AU" w:eastAsia="en-AU"/>
              </w:rPr>
            </w:pPr>
          </w:p>
          <w:p w:rsidR="00B012BC" w:rsidRDefault="00B012BC" w:rsidP="00D91642">
            <w:pPr>
              <w:rPr>
                <w:rFonts w:ascii="Arial" w:hAnsi="Arial" w:cs="Arial"/>
                <w:b/>
                <w:bCs/>
                <w:sz w:val="20"/>
                <w:szCs w:val="20"/>
                <w:lang w:val="en-AU" w:eastAsia="en-AU"/>
              </w:rPr>
            </w:pPr>
          </w:p>
          <w:tbl>
            <w:tblPr>
              <w:tblW w:w="6956" w:type="dxa"/>
              <w:tblLook w:val="04A0"/>
            </w:tblPr>
            <w:tblGrid>
              <w:gridCol w:w="6416"/>
              <w:gridCol w:w="221"/>
              <w:gridCol w:w="222"/>
              <w:gridCol w:w="222"/>
              <w:gridCol w:w="222"/>
              <w:gridCol w:w="222"/>
              <w:gridCol w:w="222"/>
            </w:tblGrid>
            <w:tr w:rsidR="00B012BC" w:rsidRPr="00B012BC" w:rsidTr="00B012BC">
              <w:trPr>
                <w:trHeight w:val="255"/>
              </w:trPr>
              <w:tc>
                <w:tcPr>
                  <w:tcW w:w="6956" w:type="dxa"/>
                  <w:gridSpan w:val="7"/>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b/>
                      <w:bCs/>
                      <w:sz w:val="20"/>
                      <w:szCs w:val="20"/>
                      <w:lang w:val="en-AU" w:eastAsia="en-AU"/>
                    </w:rPr>
                  </w:pPr>
                  <w:r w:rsidRPr="00B012BC">
                    <w:rPr>
                      <w:rFonts w:ascii="Arial" w:hAnsi="Arial" w:cs="Arial"/>
                      <w:b/>
                      <w:bCs/>
                      <w:sz w:val="20"/>
                      <w:szCs w:val="20"/>
                      <w:lang w:val="en-AU" w:eastAsia="en-AU"/>
                    </w:rPr>
                    <w:t>Figure</w:t>
                  </w:r>
                  <w:r>
                    <w:rPr>
                      <w:rFonts w:ascii="Arial" w:hAnsi="Arial" w:cs="Arial"/>
                      <w:b/>
                      <w:bCs/>
                      <w:sz w:val="20"/>
                      <w:szCs w:val="20"/>
                      <w:lang w:val="en-AU" w:eastAsia="en-AU"/>
                    </w:rPr>
                    <w:t xml:space="preserve"> 2</w:t>
                  </w:r>
                  <w:r w:rsidRPr="00B012BC">
                    <w:rPr>
                      <w:rFonts w:ascii="Arial" w:hAnsi="Arial" w:cs="Arial"/>
                      <w:b/>
                      <w:bCs/>
                      <w:sz w:val="20"/>
                      <w:szCs w:val="20"/>
                      <w:lang w:val="en-AU" w:eastAsia="en-AU"/>
                    </w:rPr>
                    <w:t>: Medium (NOM = 232) Scenario, Arrivals Departures and NOM</w:t>
                  </w: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457F18" w:rsidP="00B012BC">
                  <w:pPr>
                    <w:rPr>
                      <w:rFonts w:ascii="Arial" w:hAnsi="Arial" w:cs="Arial"/>
                      <w:sz w:val="20"/>
                      <w:szCs w:val="20"/>
                      <w:lang w:val="en-AU" w:eastAsia="en-AU"/>
                    </w:rPr>
                  </w:pPr>
                  <w:r>
                    <w:rPr>
                      <w:rFonts w:ascii="Arial" w:hAnsi="Arial" w:cs="Arial"/>
                      <w:noProof/>
                      <w:sz w:val="20"/>
                      <w:szCs w:val="20"/>
                      <w:lang w:val="en-AU" w:eastAsia="en-AU"/>
                    </w:rPr>
                    <w:drawing>
                      <wp:anchor distT="0" distB="0" distL="114300" distR="114300" simplePos="0" relativeHeight="251660288" behindDoc="0" locked="0" layoutInCell="1" allowOverlap="1">
                        <wp:simplePos x="0" y="0"/>
                        <wp:positionH relativeFrom="column">
                          <wp:posOffset>-28575</wp:posOffset>
                        </wp:positionH>
                        <wp:positionV relativeFrom="paragraph">
                          <wp:posOffset>114300</wp:posOffset>
                        </wp:positionV>
                        <wp:extent cx="4429125" cy="3228975"/>
                        <wp:effectExtent l="19050" t="0" r="9525" b="0"/>
                        <wp:wrapNone/>
                        <wp:docPr id="6"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0" cstate="print"/>
                                <a:srcRect/>
                                <a:stretch>
                                  <a:fillRect/>
                                </a:stretch>
                              </pic:blipFill>
                              <pic:spPr bwMode="auto">
                                <a:xfrm>
                                  <a:off x="0" y="0"/>
                                  <a:ext cx="4429125" cy="3228975"/>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180"/>
                  </w:tblGrid>
                  <w:tr w:rsidR="00B012BC" w:rsidRPr="00B012BC">
                    <w:trPr>
                      <w:trHeight w:val="255"/>
                      <w:tblCellSpacing w:w="0" w:type="dxa"/>
                    </w:trPr>
                    <w:tc>
                      <w:tcPr>
                        <w:tcW w:w="1180"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bl>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r w:rsidR="00B012BC" w:rsidRPr="00B012BC" w:rsidTr="00B012BC">
              <w:trPr>
                <w:trHeight w:val="255"/>
              </w:trPr>
              <w:tc>
                <w:tcPr>
                  <w:tcW w:w="6751" w:type="dxa"/>
                  <w:tcBorders>
                    <w:top w:val="nil"/>
                    <w:left w:val="nil"/>
                    <w:bottom w:val="nil"/>
                    <w:right w:val="nil"/>
                  </w:tcBorders>
                  <w:shd w:val="clear" w:color="auto" w:fill="auto"/>
                  <w:noWrap/>
                  <w:vAlign w:val="bottom"/>
                  <w:hideMark/>
                </w:tcPr>
                <w:p w:rsidR="00CA2AA5" w:rsidRPr="00CA2AA5" w:rsidRDefault="00CA2AA5" w:rsidP="00CA2AA5">
                  <w:pPr>
                    <w:rPr>
                      <w:sz w:val="20"/>
                      <w:szCs w:val="20"/>
                    </w:rPr>
                  </w:pPr>
                  <w:r w:rsidRPr="00CA2AA5">
                    <w:rPr>
                      <w:sz w:val="20"/>
                      <w:szCs w:val="20"/>
                    </w:rPr>
                    <w:t>Source: ABS (2013); DIAC (2013); Author calculations.</w:t>
                  </w:r>
                </w:p>
                <w:p w:rsidR="00B012BC" w:rsidRPr="00B012BC" w:rsidRDefault="00B012BC" w:rsidP="00B012BC">
                  <w:pPr>
                    <w:rPr>
                      <w:rFonts w:ascii="Arial" w:hAnsi="Arial" w:cs="Arial"/>
                      <w:sz w:val="20"/>
                      <w:szCs w:val="20"/>
                      <w:lang w:val="en-AU" w:eastAsia="en-AU"/>
                    </w:rPr>
                  </w:pPr>
                </w:p>
              </w:tc>
              <w:tc>
                <w:tcPr>
                  <w:tcW w:w="35"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c>
                <w:tcPr>
                  <w:tcW w:w="34" w:type="dxa"/>
                  <w:tcBorders>
                    <w:top w:val="nil"/>
                    <w:left w:val="nil"/>
                    <w:bottom w:val="nil"/>
                    <w:right w:val="nil"/>
                  </w:tcBorders>
                  <w:shd w:val="clear" w:color="auto" w:fill="auto"/>
                  <w:noWrap/>
                  <w:vAlign w:val="bottom"/>
                  <w:hideMark/>
                </w:tcPr>
                <w:p w:rsidR="00B012BC" w:rsidRPr="00B012BC" w:rsidRDefault="00B012BC" w:rsidP="00B012BC">
                  <w:pPr>
                    <w:rPr>
                      <w:rFonts w:ascii="Arial" w:hAnsi="Arial" w:cs="Arial"/>
                      <w:sz w:val="20"/>
                      <w:szCs w:val="20"/>
                      <w:lang w:val="en-AU" w:eastAsia="en-AU"/>
                    </w:rPr>
                  </w:pPr>
                </w:p>
              </w:tc>
            </w:tr>
          </w:tbl>
          <w:p w:rsidR="00B012BC" w:rsidRDefault="00B012BC" w:rsidP="00D91642">
            <w:pPr>
              <w:rPr>
                <w:rFonts w:ascii="Arial" w:hAnsi="Arial" w:cs="Arial"/>
                <w:b/>
                <w:bCs/>
                <w:sz w:val="20"/>
                <w:szCs w:val="20"/>
                <w:lang w:val="en-AU" w:eastAsia="en-AU"/>
              </w:rPr>
            </w:pPr>
          </w:p>
          <w:p w:rsidR="00D91642" w:rsidRPr="00466C9A" w:rsidRDefault="00D91642" w:rsidP="00D91642">
            <w:pPr>
              <w:rPr>
                <w:rFonts w:ascii="Arial" w:hAnsi="Arial" w:cs="Arial"/>
                <w:b/>
                <w:bCs/>
                <w:sz w:val="20"/>
                <w:szCs w:val="20"/>
                <w:lang w:val="en-AU" w:eastAsia="en-AU"/>
              </w:rPr>
            </w:pPr>
            <w:r w:rsidRPr="00466C9A">
              <w:rPr>
                <w:rFonts w:ascii="Arial" w:hAnsi="Arial" w:cs="Arial"/>
                <w:b/>
                <w:bCs/>
                <w:sz w:val="20"/>
                <w:szCs w:val="20"/>
                <w:lang w:val="en-AU" w:eastAsia="en-AU"/>
              </w:rPr>
              <w:t>Table</w:t>
            </w:r>
            <w:r w:rsidR="00B012BC">
              <w:rPr>
                <w:rFonts w:ascii="Arial" w:hAnsi="Arial" w:cs="Arial"/>
                <w:b/>
                <w:bCs/>
                <w:sz w:val="20"/>
                <w:szCs w:val="20"/>
                <w:lang w:val="en-AU" w:eastAsia="en-AU"/>
              </w:rPr>
              <w:t xml:space="preserve"> 1</w:t>
            </w:r>
            <w:r w:rsidRPr="00466C9A">
              <w:rPr>
                <w:rFonts w:ascii="Arial" w:hAnsi="Arial" w:cs="Arial"/>
                <w:b/>
                <w:bCs/>
                <w:sz w:val="20"/>
                <w:szCs w:val="20"/>
                <w:lang w:val="en-AU" w:eastAsia="en-AU"/>
              </w:rPr>
              <w:t>: Assumed State Splits, NOM Arrivals</w:t>
            </w:r>
          </w:p>
        </w:tc>
        <w:tc>
          <w:tcPr>
            <w:tcW w:w="821" w:type="dxa"/>
            <w:tcBorders>
              <w:top w:val="nil"/>
              <w:left w:val="nil"/>
              <w:bottom w:val="nil"/>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p>
        </w:tc>
      </w:tr>
      <w:tr w:rsidR="00D91642" w:rsidRPr="00466C9A" w:rsidTr="00174C7B">
        <w:trPr>
          <w:trHeight w:val="255"/>
        </w:trPr>
        <w:tc>
          <w:tcPr>
            <w:tcW w:w="1649" w:type="dxa"/>
            <w:tcBorders>
              <w:top w:val="nil"/>
              <w:left w:val="nil"/>
              <w:bottom w:val="nil"/>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p>
        </w:tc>
        <w:tc>
          <w:tcPr>
            <w:tcW w:w="1772" w:type="dxa"/>
            <w:tcBorders>
              <w:top w:val="nil"/>
              <w:left w:val="nil"/>
              <w:bottom w:val="nil"/>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p>
        </w:tc>
        <w:tc>
          <w:tcPr>
            <w:tcW w:w="1502" w:type="dxa"/>
            <w:tcBorders>
              <w:top w:val="nil"/>
              <w:left w:val="nil"/>
              <w:bottom w:val="nil"/>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p>
        </w:tc>
        <w:tc>
          <w:tcPr>
            <w:tcW w:w="1502" w:type="dxa"/>
            <w:tcBorders>
              <w:top w:val="nil"/>
              <w:left w:val="nil"/>
              <w:bottom w:val="nil"/>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p>
        </w:tc>
        <w:tc>
          <w:tcPr>
            <w:tcW w:w="1502" w:type="dxa"/>
            <w:tcBorders>
              <w:top w:val="nil"/>
              <w:left w:val="nil"/>
              <w:bottom w:val="nil"/>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p>
        </w:tc>
        <w:tc>
          <w:tcPr>
            <w:tcW w:w="821" w:type="dxa"/>
            <w:tcBorders>
              <w:top w:val="nil"/>
              <w:left w:val="nil"/>
              <w:bottom w:val="nil"/>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p>
        </w:tc>
      </w:tr>
      <w:tr w:rsidR="00D91642" w:rsidRPr="00466C9A" w:rsidTr="00174C7B">
        <w:trPr>
          <w:trHeight w:val="255"/>
        </w:trPr>
        <w:tc>
          <w:tcPr>
            <w:tcW w:w="1649" w:type="dxa"/>
            <w:tcBorders>
              <w:top w:val="single" w:sz="4" w:space="0" w:color="auto"/>
              <w:left w:val="nil"/>
              <w:bottom w:val="single" w:sz="4" w:space="0" w:color="auto"/>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r w:rsidRPr="00466C9A">
              <w:rPr>
                <w:rFonts w:ascii="Arial" w:hAnsi="Arial" w:cs="Arial"/>
                <w:sz w:val="20"/>
                <w:szCs w:val="20"/>
                <w:lang w:val="en-AU" w:eastAsia="en-AU"/>
              </w:rPr>
              <w:t> </w:t>
            </w:r>
          </w:p>
        </w:tc>
        <w:tc>
          <w:tcPr>
            <w:tcW w:w="1772" w:type="dxa"/>
            <w:tcBorders>
              <w:top w:val="single" w:sz="4" w:space="0" w:color="auto"/>
              <w:left w:val="nil"/>
              <w:bottom w:val="single" w:sz="4" w:space="0" w:color="auto"/>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r w:rsidRPr="00466C9A">
              <w:rPr>
                <w:rFonts w:ascii="Arial" w:hAnsi="Arial" w:cs="Arial"/>
                <w:sz w:val="20"/>
                <w:szCs w:val="20"/>
                <w:lang w:val="en-AU" w:eastAsia="en-AU"/>
              </w:rPr>
              <w:t>2011-12</w:t>
            </w:r>
          </w:p>
        </w:tc>
        <w:tc>
          <w:tcPr>
            <w:tcW w:w="1502" w:type="dxa"/>
            <w:tcBorders>
              <w:top w:val="single" w:sz="4" w:space="0" w:color="auto"/>
              <w:left w:val="nil"/>
              <w:bottom w:val="single" w:sz="4" w:space="0" w:color="auto"/>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r w:rsidRPr="00466C9A">
              <w:rPr>
                <w:rFonts w:ascii="Arial" w:hAnsi="Arial" w:cs="Arial"/>
                <w:sz w:val="20"/>
                <w:szCs w:val="20"/>
                <w:lang w:val="en-AU" w:eastAsia="en-AU"/>
              </w:rPr>
              <w:t>2012-13</w:t>
            </w:r>
          </w:p>
        </w:tc>
        <w:tc>
          <w:tcPr>
            <w:tcW w:w="1502" w:type="dxa"/>
            <w:tcBorders>
              <w:top w:val="single" w:sz="4" w:space="0" w:color="auto"/>
              <w:left w:val="nil"/>
              <w:bottom w:val="single" w:sz="4" w:space="0" w:color="auto"/>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r w:rsidRPr="00466C9A">
              <w:rPr>
                <w:rFonts w:ascii="Arial" w:hAnsi="Arial" w:cs="Arial"/>
                <w:sz w:val="20"/>
                <w:szCs w:val="20"/>
                <w:lang w:val="en-AU" w:eastAsia="en-AU"/>
              </w:rPr>
              <w:t>2013-14</w:t>
            </w:r>
          </w:p>
        </w:tc>
        <w:tc>
          <w:tcPr>
            <w:tcW w:w="1502" w:type="dxa"/>
            <w:tcBorders>
              <w:top w:val="single" w:sz="4" w:space="0" w:color="auto"/>
              <w:left w:val="nil"/>
              <w:bottom w:val="single" w:sz="4" w:space="0" w:color="auto"/>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r w:rsidRPr="00466C9A">
              <w:rPr>
                <w:rFonts w:ascii="Arial" w:hAnsi="Arial" w:cs="Arial"/>
                <w:sz w:val="20"/>
                <w:szCs w:val="20"/>
                <w:lang w:val="en-AU" w:eastAsia="en-AU"/>
              </w:rPr>
              <w:t>2015-16</w:t>
            </w:r>
          </w:p>
        </w:tc>
        <w:tc>
          <w:tcPr>
            <w:tcW w:w="821" w:type="dxa"/>
            <w:tcBorders>
              <w:top w:val="single" w:sz="4" w:space="0" w:color="auto"/>
              <w:left w:val="nil"/>
              <w:bottom w:val="single" w:sz="4" w:space="0" w:color="auto"/>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r w:rsidRPr="00466C9A">
              <w:rPr>
                <w:rFonts w:ascii="Arial" w:hAnsi="Arial" w:cs="Arial"/>
                <w:sz w:val="20"/>
                <w:szCs w:val="20"/>
                <w:lang w:val="en-AU" w:eastAsia="en-AU"/>
              </w:rPr>
              <w:t>2016-17+</w:t>
            </w:r>
          </w:p>
        </w:tc>
      </w:tr>
      <w:tr w:rsidR="00D91642" w:rsidRPr="00466C9A" w:rsidTr="00174C7B">
        <w:trPr>
          <w:trHeight w:val="255"/>
        </w:trPr>
        <w:tc>
          <w:tcPr>
            <w:tcW w:w="1649" w:type="dxa"/>
            <w:tcBorders>
              <w:top w:val="nil"/>
              <w:left w:val="nil"/>
              <w:bottom w:val="nil"/>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r w:rsidRPr="00466C9A">
              <w:rPr>
                <w:rFonts w:ascii="Arial" w:hAnsi="Arial" w:cs="Arial"/>
                <w:sz w:val="20"/>
                <w:szCs w:val="20"/>
                <w:lang w:val="en-AU" w:eastAsia="en-AU"/>
              </w:rPr>
              <w:t>NSW</w:t>
            </w:r>
          </w:p>
        </w:tc>
        <w:tc>
          <w:tcPr>
            <w:tcW w:w="177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31.3</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30.9</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30.6</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30.3</w:t>
            </w:r>
          </w:p>
        </w:tc>
        <w:tc>
          <w:tcPr>
            <w:tcW w:w="821"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30.0</w:t>
            </w:r>
          </w:p>
        </w:tc>
      </w:tr>
      <w:tr w:rsidR="00D91642" w:rsidRPr="00466C9A" w:rsidTr="00174C7B">
        <w:trPr>
          <w:trHeight w:val="255"/>
        </w:trPr>
        <w:tc>
          <w:tcPr>
            <w:tcW w:w="1649" w:type="dxa"/>
            <w:tcBorders>
              <w:top w:val="nil"/>
              <w:left w:val="nil"/>
              <w:bottom w:val="nil"/>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r w:rsidRPr="00466C9A">
              <w:rPr>
                <w:rFonts w:ascii="Arial" w:hAnsi="Arial" w:cs="Arial"/>
                <w:sz w:val="20"/>
                <w:szCs w:val="20"/>
                <w:lang w:val="en-AU" w:eastAsia="en-AU"/>
              </w:rPr>
              <w:t>Vic</w:t>
            </w:r>
          </w:p>
        </w:tc>
        <w:tc>
          <w:tcPr>
            <w:tcW w:w="177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23.9</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23.7</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23.5</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23.3</w:t>
            </w:r>
          </w:p>
        </w:tc>
        <w:tc>
          <w:tcPr>
            <w:tcW w:w="821"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23.2</w:t>
            </w:r>
          </w:p>
        </w:tc>
      </w:tr>
      <w:tr w:rsidR="00D91642" w:rsidRPr="00466C9A" w:rsidTr="00174C7B">
        <w:trPr>
          <w:trHeight w:val="255"/>
        </w:trPr>
        <w:tc>
          <w:tcPr>
            <w:tcW w:w="1649" w:type="dxa"/>
            <w:tcBorders>
              <w:top w:val="nil"/>
              <w:left w:val="nil"/>
              <w:bottom w:val="nil"/>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r w:rsidRPr="00466C9A">
              <w:rPr>
                <w:rFonts w:ascii="Arial" w:hAnsi="Arial" w:cs="Arial"/>
                <w:sz w:val="20"/>
                <w:szCs w:val="20"/>
                <w:lang w:val="en-AU" w:eastAsia="en-AU"/>
              </w:rPr>
              <w:t>Qld</w:t>
            </w:r>
          </w:p>
        </w:tc>
        <w:tc>
          <w:tcPr>
            <w:tcW w:w="177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19.6</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19.6</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19.6</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19.6</w:t>
            </w:r>
          </w:p>
        </w:tc>
        <w:tc>
          <w:tcPr>
            <w:tcW w:w="821"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19.6</w:t>
            </w:r>
          </w:p>
        </w:tc>
      </w:tr>
      <w:tr w:rsidR="00D91642" w:rsidRPr="00466C9A" w:rsidTr="00174C7B">
        <w:trPr>
          <w:trHeight w:val="255"/>
        </w:trPr>
        <w:tc>
          <w:tcPr>
            <w:tcW w:w="1649" w:type="dxa"/>
            <w:tcBorders>
              <w:top w:val="nil"/>
              <w:left w:val="nil"/>
              <w:bottom w:val="nil"/>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r w:rsidRPr="00466C9A">
              <w:rPr>
                <w:rFonts w:ascii="Arial" w:hAnsi="Arial" w:cs="Arial"/>
                <w:sz w:val="20"/>
                <w:szCs w:val="20"/>
                <w:lang w:val="en-AU" w:eastAsia="en-AU"/>
              </w:rPr>
              <w:t>SA</w:t>
            </w:r>
          </w:p>
        </w:tc>
        <w:tc>
          <w:tcPr>
            <w:tcW w:w="177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4.8</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4.7</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4.7</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4.6</w:t>
            </w:r>
          </w:p>
        </w:tc>
        <w:tc>
          <w:tcPr>
            <w:tcW w:w="821"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4.6</w:t>
            </w:r>
          </w:p>
        </w:tc>
      </w:tr>
      <w:tr w:rsidR="00D91642" w:rsidRPr="00466C9A" w:rsidTr="00174C7B">
        <w:trPr>
          <w:trHeight w:val="255"/>
        </w:trPr>
        <w:tc>
          <w:tcPr>
            <w:tcW w:w="1649" w:type="dxa"/>
            <w:tcBorders>
              <w:top w:val="nil"/>
              <w:left w:val="nil"/>
              <w:bottom w:val="nil"/>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r w:rsidRPr="00466C9A">
              <w:rPr>
                <w:rFonts w:ascii="Arial" w:hAnsi="Arial" w:cs="Arial"/>
                <w:sz w:val="20"/>
                <w:szCs w:val="20"/>
                <w:lang w:val="en-AU" w:eastAsia="en-AU"/>
              </w:rPr>
              <w:t>WA</w:t>
            </w:r>
          </w:p>
        </w:tc>
        <w:tc>
          <w:tcPr>
            <w:tcW w:w="177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16.7</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17.4</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18.0</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18.6</w:t>
            </w:r>
          </w:p>
        </w:tc>
        <w:tc>
          <w:tcPr>
            <w:tcW w:w="821"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19.0</w:t>
            </w:r>
          </w:p>
        </w:tc>
      </w:tr>
      <w:tr w:rsidR="00D91642" w:rsidRPr="00466C9A" w:rsidTr="00174C7B">
        <w:trPr>
          <w:trHeight w:val="255"/>
        </w:trPr>
        <w:tc>
          <w:tcPr>
            <w:tcW w:w="1649" w:type="dxa"/>
            <w:tcBorders>
              <w:top w:val="nil"/>
              <w:left w:val="nil"/>
              <w:bottom w:val="nil"/>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r w:rsidRPr="00466C9A">
              <w:rPr>
                <w:rFonts w:ascii="Arial" w:hAnsi="Arial" w:cs="Arial"/>
                <w:sz w:val="20"/>
                <w:szCs w:val="20"/>
                <w:lang w:val="en-AU" w:eastAsia="en-AU"/>
              </w:rPr>
              <w:t>Tas</w:t>
            </w:r>
          </w:p>
        </w:tc>
        <w:tc>
          <w:tcPr>
            <w:tcW w:w="177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0.8</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0.8</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0.8</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0.8</w:t>
            </w:r>
          </w:p>
        </w:tc>
        <w:tc>
          <w:tcPr>
            <w:tcW w:w="821"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0.8</w:t>
            </w:r>
          </w:p>
        </w:tc>
      </w:tr>
      <w:tr w:rsidR="00D91642" w:rsidRPr="00466C9A" w:rsidTr="00174C7B">
        <w:trPr>
          <w:trHeight w:val="255"/>
        </w:trPr>
        <w:tc>
          <w:tcPr>
            <w:tcW w:w="1649" w:type="dxa"/>
            <w:tcBorders>
              <w:top w:val="nil"/>
              <w:left w:val="nil"/>
              <w:bottom w:val="nil"/>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r w:rsidRPr="00466C9A">
              <w:rPr>
                <w:rFonts w:ascii="Arial" w:hAnsi="Arial" w:cs="Arial"/>
                <w:sz w:val="20"/>
                <w:szCs w:val="20"/>
                <w:lang w:val="en-AU" w:eastAsia="en-AU"/>
              </w:rPr>
              <w:t>NT</w:t>
            </w:r>
          </w:p>
        </w:tc>
        <w:tc>
          <w:tcPr>
            <w:tcW w:w="177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1.2</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1.2</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1.2</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1.2</w:t>
            </w:r>
          </w:p>
        </w:tc>
        <w:tc>
          <w:tcPr>
            <w:tcW w:w="821"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1.2</w:t>
            </w:r>
          </w:p>
        </w:tc>
      </w:tr>
      <w:tr w:rsidR="00D91642" w:rsidRPr="00466C9A" w:rsidTr="00174C7B">
        <w:trPr>
          <w:trHeight w:val="255"/>
        </w:trPr>
        <w:tc>
          <w:tcPr>
            <w:tcW w:w="1649" w:type="dxa"/>
            <w:tcBorders>
              <w:top w:val="nil"/>
              <w:left w:val="nil"/>
              <w:bottom w:val="nil"/>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r w:rsidRPr="00466C9A">
              <w:rPr>
                <w:rFonts w:ascii="Arial" w:hAnsi="Arial" w:cs="Arial"/>
                <w:sz w:val="20"/>
                <w:szCs w:val="20"/>
                <w:lang w:val="en-AU" w:eastAsia="en-AU"/>
              </w:rPr>
              <w:t>ACT</w:t>
            </w:r>
          </w:p>
        </w:tc>
        <w:tc>
          <w:tcPr>
            <w:tcW w:w="177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1.8</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1.7</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1.6</w:t>
            </w:r>
          </w:p>
        </w:tc>
        <w:tc>
          <w:tcPr>
            <w:tcW w:w="1502"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1.6</w:t>
            </w:r>
          </w:p>
        </w:tc>
        <w:tc>
          <w:tcPr>
            <w:tcW w:w="821" w:type="dxa"/>
            <w:tcBorders>
              <w:top w:val="nil"/>
              <w:left w:val="nil"/>
              <w:bottom w:val="nil"/>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1.6</w:t>
            </w:r>
          </w:p>
        </w:tc>
      </w:tr>
      <w:tr w:rsidR="00D91642" w:rsidRPr="00466C9A" w:rsidTr="00174C7B">
        <w:trPr>
          <w:trHeight w:val="255"/>
        </w:trPr>
        <w:tc>
          <w:tcPr>
            <w:tcW w:w="1649" w:type="dxa"/>
            <w:tcBorders>
              <w:top w:val="nil"/>
              <w:left w:val="nil"/>
              <w:bottom w:val="single" w:sz="4" w:space="0" w:color="auto"/>
              <w:right w:val="nil"/>
            </w:tcBorders>
            <w:shd w:val="clear" w:color="auto" w:fill="auto"/>
            <w:noWrap/>
            <w:vAlign w:val="bottom"/>
            <w:hideMark/>
          </w:tcPr>
          <w:p w:rsidR="00D91642" w:rsidRPr="00466C9A" w:rsidRDefault="00D91642" w:rsidP="00D91642">
            <w:pPr>
              <w:rPr>
                <w:rFonts w:ascii="Arial" w:hAnsi="Arial" w:cs="Arial"/>
                <w:sz w:val="20"/>
                <w:szCs w:val="20"/>
                <w:lang w:val="en-AU" w:eastAsia="en-AU"/>
              </w:rPr>
            </w:pPr>
            <w:r w:rsidRPr="00466C9A">
              <w:rPr>
                <w:rFonts w:ascii="Arial" w:hAnsi="Arial" w:cs="Arial"/>
                <w:sz w:val="20"/>
                <w:szCs w:val="20"/>
                <w:lang w:val="en-AU" w:eastAsia="en-AU"/>
              </w:rPr>
              <w:t>Australia</w:t>
            </w:r>
          </w:p>
        </w:tc>
        <w:tc>
          <w:tcPr>
            <w:tcW w:w="1772" w:type="dxa"/>
            <w:tcBorders>
              <w:top w:val="nil"/>
              <w:left w:val="nil"/>
              <w:bottom w:val="single" w:sz="4" w:space="0" w:color="auto"/>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100</w:t>
            </w:r>
          </w:p>
        </w:tc>
        <w:tc>
          <w:tcPr>
            <w:tcW w:w="1502" w:type="dxa"/>
            <w:tcBorders>
              <w:top w:val="nil"/>
              <w:left w:val="nil"/>
              <w:bottom w:val="single" w:sz="4" w:space="0" w:color="auto"/>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100</w:t>
            </w:r>
          </w:p>
        </w:tc>
        <w:tc>
          <w:tcPr>
            <w:tcW w:w="1502" w:type="dxa"/>
            <w:tcBorders>
              <w:top w:val="nil"/>
              <w:left w:val="nil"/>
              <w:bottom w:val="single" w:sz="4" w:space="0" w:color="auto"/>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100</w:t>
            </w:r>
          </w:p>
        </w:tc>
        <w:tc>
          <w:tcPr>
            <w:tcW w:w="1502" w:type="dxa"/>
            <w:tcBorders>
              <w:top w:val="nil"/>
              <w:left w:val="nil"/>
              <w:bottom w:val="single" w:sz="4" w:space="0" w:color="auto"/>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100</w:t>
            </w:r>
          </w:p>
        </w:tc>
        <w:tc>
          <w:tcPr>
            <w:tcW w:w="821" w:type="dxa"/>
            <w:tcBorders>
              <w:top w:val="nil"/>
              <w:left w:val="nil"/>
              <w:bottom w:val="single" w:sz="4" w:space="0" w:color="auto"/>
              <w:right w:val="nil"/>
            </w:tcBorders>
            <w:shd w:val="clear" w:color="auto" w:fill="auto"/>
            <w:noWrap/>
            <w:vAlign w:val="bottom"/>
            <w:hideMark/>
          </w:tcPr>
          <w:p w:rsidR="00D91642" w:rsidRPr="00466C9A" w:rsidRDefault="00D91642" w:rsidP="00D91642">
            <w:pPr>
              <w:jc w:val="right"/>
              <w:rPr>
                <w:rFonts w:ascii="Arial" w:hAnsi="Arial" w:cs="Arial"/>
                <w:sz w:val="20"/>
                <w:szCs w:val="20"/>
                <w:lang w:val="en-AU" w:eastAsia="en-AU"/>
              </w:rPr>
            </w:pPr>
            <w:r w:rsidRPr="00466C9A">
              <w:rPr>
                <w:rFonts w:ascii="Arial" w:hAnsi="Arial" w:cs="Arial"/>
                <w:sz w:val="20"/>
                <w:szCs w:val="20"/>
                <w:lang w:val="en-AU" w:eastAsia="en-AU"/>
              </w:rPr>
              <w:t>100</w:t>
            </w:r>
          </w:p>
        </w:tc>
      </w:tr>
      <w:tr w:rsidR="00174C7B" w:rsidRPr="00466C9A" w:rsidTr="00522BE9">
        <w:trPr>
          <w:trHeight w:val="255"/>
        </w:trPr>
        <w:tc>
          <w:tcPr>
            <w:tcW w:w="8748" w:type="dxa"/>
            <w:gridSpan w:val="6"/>
            <w:tcBorders>
              <w:top w:val="nil"/>
              <w:left w:val="nil"/>
              <w:bottom w:val="nil"/>
              <w:right w:val="nil"/>
            </w:tcBorders>
            <w:shd w:val="clear" w:color="auto" w:fill="auto"/>
            <w:noWrap/>
            <w:vAlign w:val="bottom"/>
            <w:hideMark/>
          </w:tcPr>
          <w:p w:rsidR="00174C7B" w:rsidRPr="00CA2AA5" w:rsidRDefault="00174C7B" w:rsidP="00174C7B">
            <w:pPr>
              <w:rPr>
                <w:sz w:val="20"/>
                <w:szCs w:val="20"/>
              </w:rPr>
            </w:pPr>
            <w:bookmarkStart w:id="0" w:name="OLE_LINK3"/>
            <w:bookmarkStart w:id="1" w:name="OLE_LINK4"/>
            <w:r w:rsidRPr="00CA2AA5">
              <w:rPr>
                <w:sz w:val="20"/>
                <w:szCs w:val="20"/>
              </w:rPr>
              <w:t xml:space="preserve">Source: </w:t>
            </w:r>
            <w:bookmarkEnd w:id="0"/>
            <w:bookmarkEnd w:id="1"/>
            <w:r w:rsidRPr="00CA2AA5">
              <w:rPr>
                <w:sz w:val="20"/>
                <w:szCs w:val="20"/>
              </w:rPr>
              <w:t>ABS (201</w:t>
            </w:r>
            <w:r>
              <w:rPr>
                <w:sz w:val="20"/>
                <w:szCs w:val="20"/>
              </w:rPr>
              <w:t>2a</w:t>
            </w:r>
            <w:r w:rsidRPr="00CA2AA5">
              <w:rPr>
                <w:sz w:val="20"/>
                <w:szCs w:val="20"/>
              </w:rPr>
              <w:t>)</w:t>
            </w:r>
            <w:r>
              <w:rPr>
                <w:sz w:val="20"/>
                <w:szCs w:val="20"/>
              </w:rPr>
              <w:t xml:space="preserve"> </w:t>
            </w:r>
            <w:proofErr w:type="gramStart"/>
            <w:r>
              <w:rPr>
                <w:sz w:val="20"/>
                <w:szCs w:val="20"/>
              </w:rPr>
              <w:t xml:space="preserve">&amp; </w:t>
            </w:r>
            <w:r w:rsidRPr="00CA2AA5">
              <w:rPr>
                <w:sz w:val="20"/>
                <w:szCs w:val="20"/>
              </w:rPr>
              <w:t xml:space="preserve"> Author</w:t>
            </w:r>
            <w:proofErr w:type="gramEnd"/>
            <w:r w:rsidRPr="00CA2AA5">
              <w:rPr>
                <w:sz w:val="20"/>
                <w:szCs w:val="20"/>
              </w:rPr>
              <w:t xml:space="preserve"> calculations.</w:t>
            </w:r>
          </w:p>
          <w:p w:rsidR="00174C7B" w:rsidRPr="00466C9A" w:rsidRDefault="00174C7B" w:rsidP="00D91642">
            <w:pPr>
              <w:rPr>
                <w:rFonts w:ascii="Arial" w:hAnsi="Arial" w:cs="Arial"/>
                <w:sz w:val="20"/>
                <w:szCs w:val="20"/>
                <w:lang w:val="en-AU" w:eastAsia="en-AU"/>
              </w:rPr>
            </w:pPr>
          </w:p>
        </w:tc>
      </w:tr>
    </w:tbl>
    <w:p w:rsidR="00D91642" w:rsidRDefault="00D91642"/>
    <w:p w:rsidR="00B012BC" w:rsidRPr="00B012BC" w:rsidRDefault="00B012BC" w:rsidP="00DC7242">
      <w:pPr>
        <w:jc w:val="both"/>
        <w:rPr>
          <w:bCs/>
          <w:lang w:val="en-AU" w:eastAsia="en-AU"/>
        </w:rPr>
      </w:pPr>
      <w:r w:rsidRPr="00B012BC">
        <w:rPr>
          <w:bCs/>
          <w:lang w:val="en-AU" w:eastAsia="en-AU"/>
        </w:rPr>
        <w:t xml:space="preserve">Having established </w:t>
      </w:r>
      <w:r>
        <w:rPr>
          <w:bCs/>
          <w:lang w:val="en-AU" w:eastAsia="en-AU"/>
        </w:rPr>
        <w:t xml:space="preserve">total </w:t>
      </w:r>
      <w:r w:rsidRPr="00B012BC">
        <w:rPr>
          <w:bCs/>
          <w:lang w:val="en-AU" w:eastAsia="en-AU"/>
        </w:rPr>
        <w:t>NOM Arrivals and NOM Departures for Australia, it is then necessary to split these across States and Territories. The 2011-12 splits are based on ABS preliminary estimates for that year</w:t>
      </w:r>
      <w:r w:rsidR="00AC63F1">
        <w:rPr>
          <w:bCs/>
          <w:lang w:val="en-AU" w:eastAsia="en-AU"/>
        </w:rPr>
        <w:t xml:space="preserve">. In the five years to 2011-12, </w:t>
      </w:r>
      <w:r w:rsidRPr="00B012BC">
        <w:rPr>
          <w:bCs/>
          <w:lang w:val="en-AU" w:eastAsia="en-AU"/>
        </w:rPr>
        <w:t>Western Australia</w:t>
      </w:r>
      <w:r w:rsidR="00AC63F1">
        <w:rPr>
          <w:bCs/>
          <w:lang w:val="en-AU" w:eastAsia="en-AU"/>
        </w:rPr>
        <w:t xml:space="preserve">’s share of NOM Arrivals rose from 12.3 per cent to 16.7 per cent. </w:t>
      </w:r>
      <w:r w:rsidR="008A3780">
        <w:rPr>
          <w:bCs/>
          <w:lang w:val="en-AU" w:eastAsia="en-AU"/>
        </w:rPr>
        <w:t xml:space="preserve">By historical standards, this is a very substantial shift in shares. </w:t>
      </w:r>
      <w:r w:rsidR="00AC63F1">
        <w:rPr>
          <w:bCs/>
          <w:lang w:val="en-AU" w:eastAsia="en-AU"/>
        </w:rPr>
        <w:t xml:space="preserve">We assume that labour demand will remain strong in Western Australia through to 2016-17 because of the continuation of the construction phase in the mining industry but also because of the increase in wealth in the state and the ensuing increased demand for services. Migration also tends to create its own networks (chain migration) so that friends and relatives follow those that have already moved. </w:t>
      </w:r>
      <w:r w:rsidR="008A3780">
        <w:rPr>
          <w:bCs/>
          <w:lang w:val="en-AU" w:eastAsia="en-AU"/>
        </w:rPr>
        <w:t xml:space="preserve">Thus, once a movement is established, it tends to continue. Accordingly, </w:t>
      </w:r>
      <w:r w:rsidRPr="00B012BC">
        <w:rPr>
          <w:bCs/>
          <w:lang w:val="en-AU" w:eastAsia="en-AU"/>
        </w:rPr>
        <w:t>we assume that Western Australia’s share of NOM Arrivals will increase between 2011-12 and 2016-17 as shown in Table 1</w:t>
      </w:r>
      <w:r w:rsidR="000A4098">
        <w:rPr>
          <w:bCs/>
          <w:lang w:val="en-AU" w:eastAsia="en-AU"/>
        </w:rPr>
        <w:t xml:space="preserve"> after which the shares remain constant</w:t>
      </w:r>
      <w:r w:rsidRPr="00B012BC">
        <w:rPr>
          <w:bCs/>
          <w:lang w:val="en-AU" w:eastAsia="en-AU"/>
        </w:rPr>
        <w:t>. Levels</w:t>
      </w:r>
      <w:r w:rsidR="000A4098">
        <w:rPr>
          <w:bCs/>
          <w:lang w:val="en-AU" w:eastAsia="en-AU"/>
        </w:rPr>
        <w:t xml:space="preserve"> for other States and T</w:t>
      </w:r>
      <w:r w:rsidRPr="00B012BC">
        <w:rPr>
          <w:bCs/>
          <w:lang w:val="en-AU" w:eastAsia="en-AU"/>
        </w:rPr>
        <w:t xml:space="preserve">erritories are scaled downwards to reflect this increase for Western Australia. </w:t>
      </w:r>
      <w:r w:rsidR="000A4098">
        <w:rPr>
          <w:bCs/>
          <w:lang w:val="en-AU" w:eastAsia="en-AU"/>
        </w:rPr>
        <w:t>The State and Territory splits for NOM Departures are kept constant across the years of the projections at the 2011-12 published level as shown in Table 2.</w:t>
      </w:r>
    </w:p>
    <w:p w:rsidR="00B012BC" w:rsidRPr="00B012BC" w:rsidRDefault="00B012BC" w:rsidP="00B012BC">
      <w:pPr>
        <w:rPr>
          <w:b/>
          <w:bCs/>
          <w:lang w:val="en-AU" w:eastAsia="en-AU"/>
        </w:rPr>
      </w:pPr>
    </w:p>
    <w:p w:rsidR="00D91642" w:rsidRDefault="00D91642"/>
    <w:tbl>
      <w:tblPr>
        <w:tblW w:w="2156" w:type="dxa"/>
        <w:tblInd w:w="108" w:type="dxa"/>
        <w:tblLook w:val="04A0"/>
      </w:tblPr>
      <w:tblGrid>
        <w:gridCol w:w="1030"/>
        <w:gridCol w:w="1126"/>
      </w:tblGrid>
      <w:tr w:rsidR="000A4098" w:rsidRPr="000A4098" w:rsidTr="000A4098">
        <w:trPr>
          <w:trHeight w:val="255"/>
        </w:trPr>
        <w:tc>
          <w:tcPr>
            <w:tcW w:w="2156" w:type="dxa"/>
            <w:gridSpan w:val="2"/>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b/>
                <w:bCs/>
                <w:sz w:val="20"/>
                <w:szCs w:val="20"/>
                <w:lang w:val="en-AU" w:eastAsia="en-AU"/>
              </w:rPr>
            </w:pPr>
            <w:r w:rsidRPr="000A4098">
              <w:rPr>
                <w:rFonts w:ascii="Arial" w:hAnsi="Arial" w:cs="Arial"/>
                <w:b/>
                <w:bCs/>
                <w:sz w:val="20"/>
                <w:szCs w:val="20"/>
                <w:lang w:val="en-AU" w:eastAsia="en-AU"/>
              </w:rPr>
              <w:t>Table</w:t>
            </w:r>
            <w:r>
              <w:rPr>
                <w:rFonts w:ascii="Arial" w:hAnsi="Arial" w:cs="Arial"/>
                <w:b/>
                <w:bCs/>
                <w:sz w:val="20"/>
                <w:szCs w:val="20"/>
                <w:lang w:val="en-AU" w:eastAsia="en-AU"/>
              </w:rPr>
              <w:t xml:space="preserve"> 2</w:t>
            </w:r>
            <w:r w:rsidRPr="000A4098">
              <w:rPr>
                <w:rFonts w:ascii="Arial" w:hAnsi="Arial" w:cs="Arial"/>
                <w:b/>
                <w:bCs/>
                <w:sz w:val="20"/>
                <w:szCs w:val="20"/>
                <w:lang w:val="en-AU" w:eastAsia="en-AU"/>
              </w:rPr>
              <w:t>: Assumed State Splits, NOM Departures</w:t>
            </w:r>
          </w:p>
        </w:tc>
      </w:tr>
      <w:tr w:rsidR="000A4098" w:rsidRPr="000A4098" w:rsidTr="000A4098">
        <w:trPr>
          <w:trHeight w:val="255"/>
        </w:trPr>
        <w:tc>
          <w:tcPr>
            <w:tcW w:w="103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p>
        </w:tc>
        <w:tc>
          <w:tcPr>
            <w:tcW w:w="1126"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p>
        </w:tc>
      </w:tr>
      <w:tr w:rsidR="000A4098" w:rsidRPr="000A4098" w:rsidTr="000A4098">
        <w:trPr>
          <w:trHeight w:val="255"/>
        </w:trPr>
        <w:tc>
          <w:tcPr>
            <w:tcW w:w="1030" w:type="dxa"/>
            <w:tcBorders>
              <w:top w:val="single" w:sz="4" w:space="0" w:color="auto"/>
              <w:left w:val="nil"/>
              <w:bottom w:val="single" w:sz="4" w:space="0" w:color="auto"/>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 </w:t>
            </w:r>
          </w:p>
        </w:tc>
        <w:tc>
          <w:tcPr>
            <w:tcW w:w="1126" w:type="dxa"/>
            <w:tcBorders>
              <w:top w:val="single" w:sz="4" w:space="0" w:color="auto"/>
              <w:left w:val="nil"/>
              <w:bottom w:val="single" w:sz="4" w:space="0" w:color="auto"/>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2011-12+</w:t>
            </w:r>
          </w:p>
        </w:tc>
      </w:tr>
      <w:tr w:rsidR="000A4098" w:rsidRPr="000A4098" w:rsidTr="000A4098">
        <w:trPr>
          <w:trHeight w:val="255"/>
        </w:trPr>
        <w:tc>
          <w:tcPr>
            <w:tcW w:w="103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NSW</w:t>
            </w:r>
          </w:p>
        </w:tc>
        <w:tc>
          <w:tcPr>
            <w:tcW w:w="1126" w:type="dxa"/>
            <w:tcBorders>
              <w:top w:val="nil"/>
              <w:left w:val="nil"/>
              <w:bottom w:val="nil"/>
              <w:right w:val="nil"/>
            </w:tcBorders>
            <w:shd w:val="clear" w:color="auto" w:fill="auto"/>
            <w:noWrap/>
            <w:vAlign w:val="bottom"/>
            <w:hideMark/>
          </w:tcPr>
          <w:p w:rsidR="000A4098" w:rsidRPr="000A4098" w:rsidRDefault="000A4098" w:rsidP="000A4098">
            <w:pPr>
              <w:jc w:val="right"/>
              <w:rPr>
                <w:rFonts w:ascii="Arial" w:hAnsi="Arial" w:cs="Arial"/>
                <w:sz w:val="20"/>
                <w:szCs w:val="20"/>
                <w:lang w:val="en-AU" w:eastAsia="en-AU"/>
              </w:rPr>
            </w:pPr>
            <w:r w:rsidRPr="000A4098">
              <w:rPr>
                <w:rFonts w:ascii="Arial" w:hAnsi="Arial" w:cs="Arial"/>
                <w:sz w:val="20"/>
                <w:szCs w:val="20"/>
                <w:lang w:val="en-AU" w:eastAsia="en-AU"/>
              </w:rPr>
              <w:t>35.6</w:t>
            </w:r>
          </w:p>
        </w:tc>
      </w:tr>
      <w:tr w:rsidR="000A4098" w:rsidRPr="000A4098" w:rsidTr="000A4098">
        <w:trPr>
          <w:trHeight w:val="255"/>
        </w:trPr>
        <w:tc>
          <w:tcPr>
            <w:tcW w:w="103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Vic</w:t>
            </w:r>
          </w:p>
        </w:tc>
        <w:tc>
          <w:tcPr>
            <w:tcW w:w="1126" w:type="dxa"/>
            <w:tcBorders>
              <w:top w:val="nil"/>
              <w:left w:val="nil"/>
              <w:bottom w:val="nil"/>
              <w:right w:val="nil"/>
            </w:tcBorders>
            <w:shd w:val="clear" w:color="auto" w:fill="auto"/>
            <w:noWrap/>
            <w:vAlign w:val="bottom"/>
            <w:hideMark/>
          </w:tcPr>
          <w:p w:rsidR="000A4098" w:rsidRPr="000A4098" w:rsidRDefault="000A4098" w:rsidP="000A4098">
            <w:pPr>
              <w:jc w:val="right"/>
              <w:rPr>
                <w:rFonts w:ascii="Arial" w:hAnsi="Arial" w:cs="Arial"/>
                <w:sz w:val="20"/>
                <w:szCs w:val="20"/>
                <w:lang w:val="en-AU" w:eastAsia="en-AU"/>
              </w:rPr>
            </w:pPr>
            <w:r w:rsidRPr="000A4098">
              <w:rPr>
                <w:rFonts w:ascii="Arial" w:hAnsi="Arial" w:cs="Arial"/>
                <w:sz w:val="20"/>
                <w:szCs w:val="20"/>
                <w:lang w:val="en-AU" w:eastAsia="en-AU"/>
              </w:rPr>
              <w:t>23.9</w:t>
            </w:r>
          </w:p>
        </w:tc>
      </w:tr>
      <w:tr w:rsidR="000A4098" w:rsidRPr="000A4098" w:rsidTr="000A4098">
        <w:trPr>
          <w:trHeight w:val="255"/>
        </w:trPr>
        <w:tc>
          <w:tcPr>
            <w:tcW w:w="103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Qld</w:t>
            </w:r>
          </w:p>
        </w:tc>
        <w:tc>
          <w:tcPr>
            <w:tcW w:w="1126" w:type="dxa"/>
            <w:tcBorders>
              <w:top w:val="nil"/>
              <w:left w:val="nil"/>
              <w:bottom w:val="nil"/>
              <w:right w:val="nil"/>
            </w:tcBorders>
            <w:shd w:val="clear" w:color="auto" w:fill="auto"/>
            <w:noWrap/>
            <w:vAlign w:val="bottom"/>
            <w:hideMark/>
          </w:tcPr>
          <w:p w:rsidR="000A4098" w:rsidRPr="000A4098" w:rsidRDefault="000A4098" w:rsidP="000A4098">
            <w:pPr>
              <w:jc w:val="right"/>
              <w:rPr>
                <w:rFonts w:ascii="Arial" w:hAnsi="Arial" w:cs="Arial"/>
                <w:sz w:val="20"/>
                <w:szCs w:val="20"/>
                <w:lang w:val="en-AU" w:eastAsia="en-AU"/>
              </w:rPr>
            </w:pPr>
            <w:r w:rsidRPr="000A4098">
              <w:rPr>
                <w:rFonts w:ascii="Arial" w:hAnsi="Arial" w:cs="Arial"/>
                <w:sz w:val="20"/>
                <w:szCs w:val="20"/>
                <w:lang w:val="en-AU" w:eastAsia="en-AU"/>
              </w:rPr>
              <w:t>19.7</w:t>
            </w:r>
          </w:p>
        </w:tc>
      </w:tr>
      <w:tr w:rsidR="000A4098" w:rsidRPr="000A4098" w:rsidTr="000A4098">
        <w:trPr>
          <w:trHeight w:val="255"/>
        </w:trPr>
        <w:tc>
          <w:tcPr>
            <w:tcW w:w="103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SA</w:t>
            </w:r>
          </w:p>
        </w:tc>
        <w:tc>
          <w:tcPr>
            <w:tcW w:w="1126" w:type="dxa"/>
            <w:tcBorders>
              <w:top w:val="nil"/>
              <w:left w:val="nil"/>
              <w:bottom w:val="nil"/>
              <w:right w:val="nil"/>
            </w:tcBorders>
            <w:shd w:val="clear" w:color="auto" w:fill="auto"/>
            <w:noWrap/>
            <w:vAlign w:val="bottom"/>
            <w:hideMark/>
          </w:tcPr>
          <w:p w:rsidR="000A4098" w:rsidRPr="000A4098" w:rsidRDefault="000A4098" w:rsidP="000A4098">
            <w:pPr>
              <w:jc w:val="right"/>
              <w:rPr>
                <w:rFonts w:ascii="Arial" w:hAnsi="Arial" w:cs="Arial"/>
                <w:sz w:val="20"/>
                <w:szCs w:val="20"/>
                <w:lang w:val="en-AU" w:eastAsia="en-AU"/>
              </w:rPr>
            </w:pPr>
            <w:r w:rsidRPr="000A4098">
              <w:rPr>
                <w:rFonts w:ascii="Arial" w:hAnsi="Arial" w:cs="Arial"/>
                <w:sz w:val="20"/>
                <w:szCs w:val="20"/>
                <w:lang w:val="en-AU" w:eastAsia="en-AU"/>
              </w:rPr>
              <w:t>4.3</w:t>
            </w:r>
          </w:p>
        </w:tc>
      </w:tr>
      <w:tr w:rsidR="000A4098" w:rsidRPr="000A4098" w:rsidTr="000A4098">
        <w:trPr>
          <w:trHeight w:val="255"/>
        </w:trPr>
        <w:tc>
          <w:tcPr>
            <w:tcW w:w="103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WA</w:t>
            </w:r>
          </w:p>
        </w:tc>
        <w:tc>
          <w:tcPr>
            <w:tcW w:w="1126" w:type="dxa"/>
            <w:tcBorders>
              <w:top w:val="nil"/>
              <w:left w:val="nil"/>
              <w:bottom w:val="nil"/>
              <w:right w:val="nil"/>
            </w:tcBorders>
            <w:shd w:val="clear" w:color="auto" w:fill="auto"/>
            <w:noWrap/>
            <w:vAlign w:val="bottom"/>
            <w:hideMark/>
          </w:tcPr>
          <w:p w:rsidR="000A4098" w:rsidRPr="000A4098" w:rsidRDefault="000A4098" w:rsidP="000A4098">
            <w:pPr>
              <w:jc w:val="right"/>
              <w:rPr>
                <w:rFonts w:ascii="Arial" w:hAnsi="Arial" w:cs="Arial"/>
                <w:sz w:val="20"/>
                <w:szCs w:val="20"/>
                <w:lang w:val="en-AU" w:eastAsia="en-AU"/>
              </w:rPr>
            </w:pPr>
            <w:r w:rsidRPr="000A4098">
              <w:rPr>
                <w:rFonts w:ascii="Arial" w:hAnsi="Arial" w:cs="Arial"/>
                <w:sz w:val="20"/>
                <w:szCs w:val="20"/>
                <w:lang w:val="en-AU" w:eastAsia="en-AU"/>
              </w:rPr>
              <w:t>12.0</w:t>
            </w:r>
          </w:p>
        </w:tc>
      </w:tr>
      <w:tr w:rsidR="000A4098" w:rsidRPr="000A4098" w:rsidTr="000A4098">
        <w:trPr>
          <w:trHeight w:val="255"/>
        </w:trPr>
        <w:tc>
          <w:tcPr>
            <w:tcW w:w="103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Tas</w:t>
            </w:r>
          </w:p>
        </w:tc>
        <w:tc>
          <w:tcPr>
            <w:tcW w:w="1126" w:type="dxa"/>
            <w:tcBorders>
              <w:top w:val="nil"/>
              <w:left w:val="nil"/>
              <w:bottom w:val="nil"/>
              <w:right w:val="nil"/>
            </w:tcBorders>
            <w:shd w:val="clear" w:color="auto" w:fill="auto"/>
            <w:noWrap/>
            <w:vAlign w:val="bottom"/>
            <w:hideMark/>
          </w:tcPr>
          <w:p w:rsidR="000A4098" w:rsidRPr="000A4098" w:rsidRDefault="000A4098" w:rsidP="000A4098">
            <w:pPr>
              <w:jc w:val="right"/>
              <w:rPr>
                <w:rFonts w:ascii="Arial" w:hAnsi="Arial" w:cs="Arial"/>
                <w:sz w:val="20"/>
                <w:szCs w:val="20"/>
                <w:lang w:val="en-AU" w:eastAsia="en-AU"/>
              </w:rPr>
            </w:pPr>
            <w:r w:rsidRPr="000A4098">
              <w:rPr>
                <w:rFonts w:ascii="Arial" w:hAnsi="Arial" w:cs="Arial"/>
                <w:sz w:val="20"/>
                <w:szCs w:val="20"/>
                <w:lang w:val="en-AU" w:eastAsia="en-AU"/>
              </w:rPr>
              <w:t>0.9</w:t>
            </w:r>
          </w:p>
        </w:tc>
      </w:tr>
      <w:tr w:rsidR="000A4098" w:rsidRPr="000A4098" w:rsidTr="000A4098">
        <w:trPr>
          <w:trHeight w:val="255"/>
        </w:trPr>
        <w:tc>
          <w:tcPr>
            <w:tcW w:w="103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NT</w:t>
            </w:r>
          </w:p>
        </w:tc>
        <w:tc>
          <w:tcPr>
            <w:tcW w:w="1126" w:type="dxa"/>
            <w:tcBorders>
              <w:top w:val="nil"/>
              <w:left w:val="nil"/>
              <w:bottom w:val="nil"/>
              <w:right w:val="nil"/>
            </w:tcBorders>
            <w:shd w:val="clear" w:color="auto" w:fill="auto"/>
            <w:noWrap/>
            <w:vAlign w:val="bottom"/>
            <w:hideMark/>
          </w:tcPr>
          <w:p w:rsidR="000A4098" w:rsidRPr="000A4098" w:rsidRDefault="000A4098" w:rsidP="000A4098">
            <w:pPr>
              <w:jc w:val="right"/>
              <w:rPr>
                <w:rFonts w:ascii="Arial" w:hAnsi="Arial" w:cs="Arial"/>
                <w:sz w:val="20"/>
                <w:szCs w:val="20"/>
                <w:lang w:val="en-AU" w:eastAsia="en-AU"/>
              </w:rPr>
            </w:pPr>
            <w:r w:rsidRPr="000A4098">
              <w:rPr>
                <w:rFonts w:ascii="Arial" w:hAnsi="Arial" w:cs="Arial"/>
                <w:sz w:val="20"/>
                <w:szCs w:val="20"/>
                <w:lang w:val="en-AU" w:eastAsia="en-AU"/>
              </w:rPr>
              <w:t>1.4</w:t>
            </w:r>
          </w:p>
        </w:tc>
      </w:tr>
      <w:tr w:rsidR="000A4098" w:rsidRPr="000A4098" w:rsidTr="000A4098">
        <w:trPr>
          <w:trHeight w:val="255"/>
        </w:trPr>
        <w:tc>
          <w:tcPr>
            <w:tcW w:w="103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ACT</w:t>
            </w:r>
          </w:p>
        </w:tc>
        <w:tc>
          <w:tcPr>
            <w:tcW w:w="1126" w:type="dxa"/>
            <w:tcBorders>
              <w:top w:val="nil"/>
              <w:left w:val="nil"/>
              <w:bottom w:val="nil"/>
              <w:right w:val="nil"/>
            </w:tcBorders>
            <w:shd w:val="clear" w:color="auto" w:fill="auto"/>
            <w:noWrap/>
            <w:vAlign w:val="bottom"/>
            <w:hideMark/>
          </w:tcPr>
          <w:p w:rsidR="000A4098" w:rsidRPr="000A4098" w:rsidRDefault="000A4098" w:rsidP="000A4098">
            <w:pPr>
              <w:jc w:val="right"/>
              <w:rPr>
                <w:rFonts w:ascii="Arial" w:hAnsi="Arial" w:cs="Arial"/>
                <w:sz w:val="20"/>
                <w:szCs w:val="20"/>
                <w:lang w:val="en-AU" w:eastAsia="en-AU"/>
              </w:rPr>
            </w:pPr>
            <w:r w:rsidRPr="000A4098">
              <w:rPr>
                <w:rFonts w:ascii="Arial" w:hAnsi="Arial" w:cs="Arial"/>
                <w:sz w:val="20"/>
                <w:szCs w:val="20"/>
                <w:lang w:val="en-AU" w:eastAsia="en-AU"/>
              </w:rPr>
              <w:t>2.1</w:t>
            </w:r>
          </w:p>
        </w:tc>
      </w:tr>
      <w:tr w:rsidR="000A4098" w:rsidRPr="000A4098" w:rsidTr="000A4098">
        <w:trPr>
          <w:trHeight w:val="255"/>
        </w:trPr>
        <w:tc>
          <w:tcPr>
            <w:tcW w:w="1030" w:type="dxa"/>
            <w:tcBorders>
              <w:top w:val="nil"/>
              <w:left w:val="nil"/>
              <w:bottom w:val="single" w:sz="4" w:space="0" w:color="auto"/>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Australia</w:t>
            </w:r>
          </w:p>
        </w:tc>
        <w:tc>
          <w:tcPr>
            <w:tcW w:w="1126" w:type="dxa"/>
            <w:tcBorders>
              <w:top w:val="nil"/>
              <w:left w:val="nil"/>
              <w:bottom w:val="single" w:sz="4" w:space="0" w:color="auto"/>
              <w:right w:val="nil"/>
            </w:tcBorders>
            <w:shd w:val="clear" w:color="auto" w:fill="auto"/>
            <w:noWrap/>
            <w:vAlign w:val="bottom"/>
            <w:hideMark/>
          </w:tcPr>
          <w:p w:rsidR="000A4098" w:rsidRPr="000A4098" w:rsidRDefault="000A4098" w:rsidP="000A4098">
            <w:pPr>
              <w:jc w:val="right"/>
              <w:rPr>
                <w:rFonts w:ascii="Arial" w:hAnsi="Arial" w:cs="Arial"/>
                <w:sz w:val="20"/>
                <w:szCs w:val="20"/>
                <w:lang w:val="en-AU" w:eastAsia="en-AU"/>
              </w:rPr>
            </w:pPr>
            <w:r w:rsidRPr="000A4098">
              <w:rPr>
                <w:rFonts w:ascii="Arial" w:hAnsi="Arial" w:cs="Arial"/>
                <w:sz w:val="20"/>
                <w:szCs w:val="20"/>
                <w:lang w:val="en-AU" w:eastAsia="en-AU"/>
              </w:rPr>
              <w:t>100</w:t>
            </w:r>
          </w:p>
        </w:tc>
      </w:tr>
    </w:tbl>
    <w:p w:rsidR="00174C7B" w:rsidRPr="00CA2AA5" w:rsidRDefault="00174C7B" w:rsidP="00174C7B">
      <w:pPr>
        <w:rPr>
          <w:sz w:val="20"/>
          <w:szCs w:val="20"/>
        </w:rPr>
      </w:pPr>
      <w:r w:rsidRPr="00CA2AA5">
        <w:rPr>
          <w:sz w:val="20"/>
          <w:szCs w:val="20"/>
        </w:rPr>
        <w:t>Source: ABS (201</w:t>
      </w:r>
      <w:r>
        <w:rPr>
          <w:sz w:val="20"/>
          <w:szCs w:val="20"/>
        </w:rPr>
        <w:t>2a</w:t>
      </w:r>
      <w:r w:rsidRPr="00CA2AA5">
        <w:rPr>
          <w:sz w:val="20"/>
          <w:szCs w:val="20"/>
        </w:rPr>
        <w:t>)</w:t>
      </w:r>
      <w:r>
        <w:rPr>
          <w:sz w:val="20"/>
          <w:szCs w:val="20"/>
        </w:rPr>
        <w:t xml:space="preserve"> &amp; </w:t>
      </w:r>
      <w:r w:rsidRPr="00CA2AA5">
        <w:rPr>
          <w:sz w:val="20"/>
          <w:szCs w:val="20"/>
        </w:rPr>
        <w:t>Author calculations.</w:t>
      </w:r>
    </w:p>
    <w:p w:rsidR="000A4098" w:rsidRDefault="000A4098"/>
    <w:p w:rsidR="00D91642" w:rsidRDefault="000A4098">
      <w:r>
        <w:lastRenderedPageBreak/>
        <w:t>Finally, it is necessary to split State and Territory NOM Arrivals and Departures across the two sub-state levels, capital city and rest of state. The assumptions used are based on ABS splits and are held constant across time (Table 3).</w:t>
      </w:r>
    </w:p>
    <w:p w:rsidR="000A4098" w:rsidRDefault="000A4098"/>
    <w:p w:rsidR="000A4098" w:rsidRDefault="000A4098"/>
    <w:tbl>
      <w:tblPr>
        <w:tblW w:w="5248" w:type="dxa"/>
        <w:tblInd w:w="108" w:type="dxa"/>
        <w:tblLook w:val="04A0"/>
      </w:tblPr>
      <w:tblGrid>
        <w:gridCol w:w="687"/>
        <w:gridCol w:w="1390"/>
        <w:gridCol w:w="1454"/>
        <w:gridCol w:w="980"/>
        <w:gridCol w:w="737"/>
      </w:tblGrid>
      <w:tr w:rsidR="000A4098" w:rsidRPr="000A4098" w:rsidTr="000A4098">
        <w:trPr>
          <w:trHeight w:val="255"/>
        </w:trPr>
        <w:tc>
          <w:tcPr>
            <w:tcW w:w="5248" w:type="dxa"/>
            <w:gridSpan w:val="5"/>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b/>
                <w:bCs/>
                <w:sz w:val="20"/>
                <w:szCs w:val="20"/>
                <w:lang w:val="en-AU" w:eastAsia="en-AU"/>
              </w:rPr>
            </w:pPr>
            <w:r w:rsidRPr="000A4098">
              <w:rPr>
                <w:rFonts w:ascii="Arial" w:hAnsi="Arial" w:cs="Arial"/>
                <w:b/>
                <w:bCs/>
                <w:sz w:val="20"/>
                <w:szCs w:val="20"/>
                <w:lang w:val="en-AU" w:eastAsia="en-AU"/>
              </w:rPr>
              <w:t>Table</w:t>
            </w:r>
            <w:r>
              <w:rPr>
                <w:rFonts w:ascii="Arial" w:hAnsi="Arial" w:cs="Arial"/>
                <w:b/>
                <w:bCs/>
                <w:sz w:val="20"/>
                <w:szCs w:val="20"/>
                <w:lang w:val="en-AU" w:eastAsia="en-AU"/>
              </w:rPr>
              <w:t xml:space="preserve"> 3</w:t>
            </w:r>
            <w:r w:rsidRPr="000A4098">
              <w:rPr>
                <w:rFonts w:ascii="Arial" w:hAnsi="Arial" w:cs="Arial"/>
                <w:b/>
                <w:bCs/>
                <w:sz w:val="20"/>
                <w:szCs w:val="20"/>
                <w:lang w:val="en-AU" w:eastAsia="en-AU"/>
              </w:rPr>
              <w:t>: Assumed Sub-State Proportion Splits, NOM Departures, NOM Arrivals and NOM</w:t>
            </w:r>
          </w:p>
        </w:tc>
      </w:tr>
      <w:tr w:rsidR="000A4098" w:rsidRPr="000A4098" w:rsidTr="000A4098">
        <w:trPr>
          <w:trHeight w:val="255"/>
        </w:trPr>
        <w:tc>
          <w:tcPr>
            <w:tcW w:w="687"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p>
        </w:tc>
        <w:tc>
          <w:tcPr>
            <w:tcW w:w="139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p>
        </w:tc>
        <w:tc>
          <w:tcPr>
            <w:tcW w:w="1454"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p>
        </w:tc>
        <w:tc>
          <w:tcPr>
            <w:tcW w:w="98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p>
        </w:tc>
        <w:tc>
          <w:tcPr>
            <w:tcW w:w="737"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p>
        </w:tc>
      </w:tr>
      <w:tr w:rsidR="000A4098" w:rsidRPr="000A4098" w:rsidTr="000A4098">
        <w:trPr>
          <w:trHeight w:val="255"/>
        </w:trPr>
        <w:tc>
          <w:tcPr>
            <w:tcW w:w="687" w:type="dxa"/>
            <w:tcBorders>
              <w:top w:val="single" w:sz="4" w:space="0" w:color="auto"/>
              <w:left w:val="nil"/>
              <w:bottom w:val="single" w:sz="4" w:space="0" w:color="auto"/>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 </w:t>
            </w:r>
          </w:p>
        </w:tc>
        <w:tc>
          <w:tcPr>
            <w:tcW w:w="1390" w:type="dxa"/>
            <w:tcBorders>
              <w:top w:val="single" w:sz="4" w:space="0" w:color="auto"/>
              <w:left w:val="nil"/>
              <w:bottom w:val="single" w:sz="4" w:space="0" w:color="auto"/>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 </w:t>
            </w:r>
          </w:p>
        </w:tc>
        <w:tc>
          <w:tcPr>
            <w:tcW w:w="1454" w:type="dxa"/>
            <w:tcBorders>
              <w:top w:val="single" w:sz="4" w:space="0" w:color="auto"/>
              <w:left w:val="nil"/>
              <w:bottom w:val="single" w:sz="4" w:space="0" w:color="auto"/>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Departures</w:t>
            </w:r>
          </w:p>
        </w:tc>
        <w:tc>
          <w:tcPr>
            <w:tcW w:w="980" w:type="dxa"/>
            <w:tcBorders>
              <w:top w:val="single" w:sz="4" w:space="0" w:color="auto"/>
              <w:left w:val="nil"/>
              <w:bottom w:val="single" w:sz="4" w:space="0" w:color="auto"/>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Arrivals</w:t>
            </w:r>
          </w:p>
        </w:tc>
        <w:tc>
          <w:tcPr>
            <w:tcW w:w="737" w:type="dxa"/>
            <w:tcBorders>
              <w:top w:val="single" w:sz="4" w:space="0" w:color="auto"/>
              <w:left w:val="nil"/>
              <w:bottom w:val="single" w:sz="4" w:space="0" w:color="auto"/>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NOM</w:t>
            </w:r>
          </w:p>
        </w:tc>
      </w:tr>
      <w:tr w:rsidR="000A4098" w:rsidRPr="000A4098" w:rsidTr="000A4098">
        <w:trPr>
          <w:trHeight w:val="255"/>
        </w:trPr>
        <w:tc>
          <w:tcPr>
            <w:tcW w:w="687"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NSW</w:t>
            </w:r>
          </w:p>
        </w:tc>
        <w:tc>
          <w:tcPr>
            <w:tcW w:w="139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Sydney</w:t>
            </w:r>
          </w:p>
        </w:tc>
        <w:tc>
          <w:tcPr>
            <w:tcW w:w="1454"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0.804</w:t>
            </w:r>
          </w:p>
        </w:tc>
        <w:tc>
          <w:tcPr>
            <w:tcW w:w="980"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0.869</w:t>
            </w:r>
          </w:p>
        </w:tc>
        <w:tc>
          <w:tcPr>
            <w:tcW w:w="737"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0.959</w:t>
            </w:r>
          </w:p>
        </w:tc>
      </w:tr>
      <w:tr w:rsidR="000A4098" w:rsidRPr="000A4098" w:rsidTr="000A4098">
        <w:trPr>
          <w:trHeight w:val="255"/>
        </w:trPr>
        <w:tc>
          <w:tcPr>
            <w:tcW w:w="687"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p>
        </w:tc>
        <w:tc>
          <w:tcPr>
            <w:tcW w:w="139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Rest</w:t>
            </w:r>
          </w:p>
        </w:tc>
        <w:tc>
          <w:tcPr>
            <w:tcW w:w="1454"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0.196</w:t>
            </w:r>
          </w:p>
        </w:tc>
        <w:tc>
          <w:tcPr>
            <w:tcW w:w="980"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0.131</w:t>
            </w:r>
          </w:p>
        </w:tc>
        <w:tc>
          <w:tcPr>
            <w:tcW w:w="737"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0.041</w:t>
            </w:r>
          </w:p>
        </w:tc>
      </w:tr>
      <w:tr w:rsidR="000A4098" w:rsidRPr="000A4098" w:rsidTr="000A4098">
        <w:trPr>
          <w:trHeight w:val="255"/>
        </w:trPr>
        <w:tc>
          <w:tcPr>
            <w:tcW w:w="687"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VIC</w:t>
            </w:r>
          </w:p>
        </w:tc>
        <w:tc>
          <w:tcPr>
            <w:tcW w:w="139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Melbourne</w:t>
            </w:r>
          </w:p>
        </w:tc>
        <w:tc>
          <w:tcPr>
            <w:tcW w:w="1454"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0.865</w:t>
            </w:r>
          </w:p>
        </w:tc>
        <w:tc>
          <w:tcPr>
            <w:tcW w:w="980"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0.906</w:t>
            </w:r>
          </w:p>
        </w:tc>
        <w:tc>
          <w:tcPr>
            <w:tcW w:w="737"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0.946</w:t>
            </w:r>
          </w:p>
        </w:tc>
      </w:tr>
      <w:tr w:rsidR="000A4098" w:rsidRPr="000A4098" w:rsidTr="000A4098">
        <w:trPr>
          <w:trHeight w:val="255"/>
        </w:trPr>
        <w:tc>
          <w:tcPr>
            <w:tcW w:w="687"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p>
        </w:tc>
        <w:tc>
          <w:tcPr>
            <w:tcW w:w="139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Rest</w:t>
            </w:r>
          </w:p>
        </w:tc>
        <w:tc>
          <w:tcPr>
            <w:tcW w:w="1454"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0.135</w:t>
            </w:r>
          </w:p>
        </w:tc>
        <w:tc>
          <w:tcPr>
            <w:tcW w:w="980"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0.094</w:t>
            </w:r>
          </w:p>
        </w:tc>
        <w:tc>
          <w:tcPr>
            <w:tcW w:w="737"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0.054</w:t>
            </w:r>
          </w:p>
        </w:tc>
      </w:tr>
      <w:tr w:rsidR="000A4098" w:rsidRPr="000A4098" w:rsidTr="000A4098">
        <w:trPr>
          <w:trHeight w:val="255"/>
        </w:trPr>
        <w:tc>
          <w:tcPr>
            <w:tcW w:w="687"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QLD</w:t>
            </w:r>
          </w:p>
        </w:tc>
        <w:tc>
          <w:tcPr>
            <w:tcW w:w="139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Brisbane</w:t>
            </w:r>
          </w:p>
        </w:tc>
        <w:tc>
          <w:tcPr>
            <w:tcW w:w="1454"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0.546</w:t>
            </w:r>
          </w:p>
        </w:tc>
        <w:tc>
          <w:tcPr>
            <w:tcW w:w="980"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0.568</w:t>
            </w:r>
          </w:p>
        </w:tc>
        <w:tc>
          <w:tcPr>
            <w:tcW w:w="737"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0.595</w:t>
            </w:r>
          </w:p>
        </w:tc>
      </w:tr>
      <w:tr w:rsidR="000A4098" w:rsidRPr="000A4098" w:rsidTr="000A4098">
        <w:trPr>
          <w:trHeight w:val="255"/>
        </w:trPr>
        <w:tc>
          <w:tcPr>
            <w:tcW w:w="687"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p>
        </w:tc>
        <w:tc>
          <w:tcPr>
            <w:tcW w:w="139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Rest</w:t>
            </w:r>
          </w:p>
        </w:tc>
        <w:tc>
          <w:tcPr>
            <w:tcW w:w="1454"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0.454</w:t>
            </w:r>
          </w:p>
        </w:tc>
        <w:tc>
          <w:tcPr>
            <w:tcW w:w="980"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0.432</w:t>
            </w:r>
          </w:p>
        </w:tc>
        <w:tc>
          <w:tcPr>
            <w:tcW w:w="737"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0.405</w:t>
            </w:r>
          </w:p>
        </w:tc>
      </w:tr>
      <w:tr w:rsidR="000A4098" w:rsidRPr="000A4098" w:rsidTr="000A4098">
        <w:trPr>
          <w:trHeight w:val="255"/>
        </w:trPr>
        <w:tc>
          <w:tcPr>
            <w:tcW w:w="687"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SA</w:t>
            </w:r>
          </w:p>
        </w:tc>
        <w:tc>
          <w:tcPr>
            <w:tcW w:w="139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Adelaide</w:t>
            </w:r>
          </w:p>
        </w:tc>
        <w:tc>
          <w:tcPr>
            <w:tcW w:w="1454"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0.864</w:t>
            </w:r>
          </w:p>
        </w:tc>
        <w:tc>
          <w:tcPr>
            <w:tcW w:w="980"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0.891</w:t>
            </w:r>
          </w:p>
        </w:tc>
        <w:tc>
          <w:tcPr>
            <w:tcW w:w="737"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0.914</w:t>
            </w:r>
          </w:p>
        </w:tc>
      </w:tr>
      <w:tr w:rsidR="000A4098" w:rsidRPr="000A4098" w:rsidTr="000A4098">
        <w:trPr>
          <w:trHeight w:val="255"/>
        </w:trPr>
        <w:tc>
          <w:tcPr>
            <w:tcW w:w="687"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p>
        </w:tc>
        <w:tc>
          <w:tcPr>
            <w:tcW w:w="139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Rest</w:t>
            </w:r>
          </w:p>
        </w:tc>
        <w:tc>
          <w:tcPr>
            <w:tcW w:w="1454"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0.136</w:t>
            </w:r>
          </w:p>
        </w:tc>
        <w:tc>
          <w:tcPr>
            <w:tcW w:w="980"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0.109</w:t>
            </w:r>
          </w:p>
        </w:tc>
        <w:tc>
          <w:tcPr>
            <w:tcW w:w="737"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0.086</w:t>
            </w:r>
          </w:p>
        </w:tc>
      </w:tr>
      <w:tr w:rsidR="000A4098" w:rsidRPr="000A4098" w:rsidTr="000A4098">
        <w:trPr>
          <w:trHeight w:val="255"/>
        </w:trPr>
        <w:tc>
          <w:tcPr>
            <w:tcW w:w="687"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WA</w:t>
            </w:r>
          </w:p>
        </w:tc>
        <w:tc>
          <w:tcPr>
            <w:tcW w:w="139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Perth</w:t>
            </w:r>
          </w:p>
        </w:tc>
        <w:tc>
          <w:tcPr>
            <w:tcW w:w="1454"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0.845</w:t>
            </w:r>
          </w:p>
        </w:tc>
        <w:tc>
          <w:tcPr>
            <w:tcW w:w="980"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0.874</w:t>
            </w:r>
          </w:p>
        </w:tc>
        <w:tc>
          <w:tcPr>
            <w:tcW w:w="737"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0.899</w:t>
            </w:r>
          </w:p>
        </w:tc>
      </w:tr>
      <w:tr w:rsidR="000A4098" w:rsidRPr="000A4098" w:rsidTr="000A4098">
        <w:trPr>
          <w:trHeight w:val="255"/>
        </w:trPr>
        <w:tc>
          <w:tcPr>
            <w:tcW w:w="687"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p>
        </w:tc>
        <w:tc>
          <w:tcPr>
            <w:tcW w:w="139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Rest</w:t>
            </w:r>
          </w:p>
        </w:tc>
        <w:tc>
          <w:tcPr>
            <w:tcW w:w="1454"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0.155</w:t>
            </w:r>
          </w:p>
        </w:tc>
        <w:tc>
          <w:tcPr>
            <w:tcW w:w="980"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0.126</w:t>
            </w:r>
          </w:p>
        </w:tc>
        <w:tc>
          <w:tcPr>
            <w:tcW w:w="737"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0.101</w:t>
            </w:r>
          </w:p>
        </w:tc>
      </w:tr>
      <w:tr w:rsidR="000A4098" w:rsidRPr="000A4098" w:rsidTr="000A4098">
        <w:trPr>
          <w:trHeight w:val="255"/>
        </w:trPr>
        <w:tc>
          <w:tcPr>
            <w:tcW w:w="687"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TAS</w:t>
            </w:r>
          </w:p>
        </w:tc>
        <w:tc>
          <w:tcPr>
            <w:tcW w:w="1390" w:type="dxa"/>
            <w:tcBorders>
              <w:top w:val="nil"/>
              <w:left w:val="nil"/>
              <w:bottom w:val="nil"/>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Hobart</w:t>
            </w:r>
          </w:p>
        </w:tc>
        <w:tc>
          <w:tcPr>
            <w:tcW w:w="1454"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0.559</w:t>
            </w:r>
          </w:p>
        </w:tc>
        <w:tc>
          <w:tcPr>
            <w:tcW w:w="980"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0.569</w:t>
            </w:r>
          </w:p>
        </w:tc>
        <w:tc>
          <w:tcPr>
            <w:tcW w:w="737" w:type="dxa"/>
            <w:tcBorders>
              <w:top w:val="nil"/>
              <w:left w:val="nil"/>
              <w:bottom w:val="nil"/>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0.583</w:t>
            </w:r>
          </w:p>
        </w:tc>
      </w:tr>
      <w:tr w:rsidR="000A4098" w:rsidRPr="000A4098" w:rsidTr="000A4098">
        <w:trPr>
          <w:trHeight w:val="255"/>
        </w:trPr>
        <w:tc>
          <w:tcPr>
            <w:tcW w:w="687" w:type="dxa"/>
            <w:tcBorders>
              <w:top w:val="nil"/>
              <w:left w:val="nil"/>
              <w:bottom w:val="single" w:sz="4" w:space="0" w:color="auto"/>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 </w:t>
            </w:r>
          </w:p>
        </w:tc>
        <w:tc>
          <w:tcPr>
            <w:tcW w:w="1390" w:type="dxa"/>
            <w:tcBorders>
              <w:top w:val="nil"/>
              <w:left w:val="nil"/>
              <w:bottom w:val="single" w:sz="4" w:space="0" w:color="auto"/>
              <w:right w:val="nil"/>
            </w:tcBorders>
            <w:shd w:val="clear" w:color="auto" w:fill="auto"/>
            <w:noWrap/>
            <w:vAlign w:val="bottom"/>
            <w:hideMark/>
          </w:tcPr>
          <w:p w:rsidR="000A4098" w:rsidRPr="000A4098" w:rsidRDefault="000A4098" w:rsidP="000A4098">
            <w:pPr>
              <w:rPr>
                <w:rFonts w:ascii="Arial" w:hAnsi="Arial" w:cs="Arial"/>
                <w:sz w:val="20"/>
                <w:szCs w:val="20"/>
                <w:lang w:val="en-AU" w:eastAsia="en-AU"/>
              </w:rPr>
            </w:pPr>
            <w:r w:rsidRPr="000A4098">
              <w:rPr>
                <w:rFonts w:ascii="Arial" w:hAnsi="Arial" w:cs="Arial"/>
                <w:sz w:val="20"/>
                <w:szCs w:val="20"/>
                <w:lang w:val="en-AU" w:eastAsia="en-AU"/>
              </w:rPr>
              <w:t>Rest</w:t>
            </w:r>
          </w:p>
        </w:tc>
        <w:tc>
          <w:tcPr>
            <w:tcW w:w="1454" w:type="dxa"/>
            <w:tcBorders>
              <w:top w:val="nil"/>
              <w:left w:val="nil"/>
              <w:bottom w:val="single" w:sz="4" w:space="0" w:color="auto"/>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0.441</w:t>
            </w:r>
          </w:p>
        </w:tc>
        <w:tc>
          <w:tcPr>
            <w:tcW w:w="980" w:type="dxa"/>
            <w:tcBorders>
              <w:top w:val="nil"/>
              <w:left w:val="nil"/>
              <w:bottom w:val="single" w:sz="4" w:space="0" w:color="auto"/>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0.431</w:t>
            </w:r>
          </w:p>
        </w:tc>
        <w:tc>
          <w:tcPr>
            <w:tcW w:w="737" w:type="dxa"/>
            <w:tcBorders>
              <w:top w:val="nil"/>
              <w:left w:val="nil"/>
              <w:bottom w:val="single" w:sz="4" w:space="0" w:color="auto"/>
              <w:right w:val="nil"/>
            </w:tcBorders>
            <w:shd w:val="clear" w:color="auto" w:fill="auto"/>
            <w:noWrap/>
            <w:vAlign w:val="bottom"/>
            <w:hideMark/>
          </w:tcPr>
          <w:p w:rsidR="000A4098" w:rsidRPr="000A4098" w:rsidRDefault="000A4098" w:rsidP="000A4098">
            <w:pPr>
              <w:jc w:val="center"/>
              <w:rPr>
                <w:rFonts w:ascii="Arial" w:hAnsi="Arial" w:cs="Arial"/>
                <w:sz w:val="20"/>
                <w:szCs w:val="20"/>
                <w:lang w:val="en-AU" w:eastAsia="en-AU"/>
              </w:rPr>
            </w:pPr>
            <w:r w:rsidRPr="000A4098">
              <w:rPr>
                <w:rFonts w:ascii="Arial" w:hAnsi="Arial" w:cs="Arial"/>
                <w:sz w:val="20"/>
                <w:szCs w:val="20"/>
                <w:lang w:val="en-AU" w:eastAsia="en-AU"/>
              </w:rPr>
              <w:t>0.417</w:t>
            </w:r>
          </w:p>
        </w:tc>
      </w:tr>
      <w:tr w:rsidR="000A4098" w:rsidRPr="000A4098" w:rsidTr="000A4098">
        <w:trPr>
          <w:trHeight w:val="255"/>
        </w:trPr>
        <w:tc>
          <w:tcPr>
            <w:tcW w:w="5248" w:type="dxa"/>
            <w:gridSpan w:val="5"/>
            <w:tcBorders>
              <w:top w:val="nil"/>
              <w:left w:val="nil"/>
              <w:bottom w:val="nil"/>
              <w:right w:val="nil"/>
            </w:tcBorders>
            <w:shd w:val="clear" w:color="auto" w:fill="auto"/>
            <w:noWrap/>
            <w:vAlign w:val="bottom"/>
            <w:hideMark/>
          </w:tcPr>
          <w:p w:rsidR="00EB2C33" w:rsidRPr="00EB2C33" w:rsidRDefault="00EB2C33" w:rsidP="000A4098">
            <w:pPr>
              <w:rPr>
                <w:sz w:val="20"/>
                <w:szCs w:val="20"/>
              </w:rPr>
            </w:pPr>
            <w:r w:rsidRPr="00EB2C33">
              <w:rPr>
                <w:sz w:val="20"/>
                <w:szCs w:val="20"/>
              </w:rPr>
              <w:t xml:space="preserve">Source: </w:t>
            </w:r>
            <w:r>
              <w:rPr>
                <w:sz w:val="20"/>
                <w:szCs w:val="20"/>
              </w:rPr>
              <w:t>Derived from ABS Population Projections.</w:t>
            </w:r>
          </w:p>
          <w:p w:rsidR="000A4098" w:rsidRPr="000A4098" w:rsidRDefault="000A4098" w:rsidP="00EB2C33">
            <w:pPr>
              <w:rPr>
                <w:rFonts w:ascii="Arial" w:hAnsi="Arial" w:cs="Arial"/>
                <w:sz w:val="20"/>
                <w:szCs w:val="20"/>
                <w:lang w:val="en-AU" w:eastAsia="en-AU"/>
              </w:rPr>
            </w:pPr>
            <w:r w:rsidRPr="00EB2C33">
              <w:rPr>
                <w:sz w:val="20"/>
                <w:szCs w:val="20"/>
                <w:lang w:val="en-AU" w:eastAsia="en-AU"/>
              </w:rPr>
              <w:t xml:space="preserve">Notes: </w:t>
            </w:r>
            <w:r w:rsidR="00EB2C33">
              <w:rPr>
                <w:sz w:val="20"/>
                <w:szCs w:val="20"/>
                <w:lang w:val="en-AU" w:eastAsia="en-AU"/>
              </w:rPr>
              <w:t>S</w:t>
            </w:r>
            <w:r w:rsidRPr="00EB2C33">
              <w:rPr>
                <w:sz w:val="20"/>
                <w:szCs w:val="20"/>
                <w:lang w:val="en-AU" w:eastAsia="en-AU"/>
              </w:rPr>
              <w:t>ub state projections for NT and ACT not included.</w:t>
            </w:r>
          </w:p>
        </w:tc>
      </w:tr>
    </w:tbl>
    <w:p w:rsidR="000A4098" w:rsidRDefault="000A4098"/>
    <w:p w:rsidR="009C117D" w:rsidRDefault="004F30B7">
      <w:r>
        <w:t>A technical note on this changed migration metho</w:t>
      </w:r>
      <w:r w:rsidR="00394DDB">
        <w:t>dology is included as Appendix 3</w:t>
      </w:r>
      <w:r>
        <w:t xml:space="preserve"> of this report.</w:t>
      </w:r>
      <w:r w:rsidR="00225CBB">
        <w:t xml:space="preserve"> Appendix 3 </w:t>
      </w:r>
      <w:r w:rsidR="00DC7242">
        <w:t xml:space="preserve">(Table A3.1) </w:t>
      </w:r>
      <w:r w:rsidR="00225CBB">
        <w:t>also shows the age distributions of NOM Arrivals and NOM Departures for Australia.</w:t>
      </w:r>
    </w:p>
    <w:p w:rsidR="004F30B7" w:rsidRDefault="004F30B7"/>
    <w:p w:rsidR="008722EF" w:rsidRDefault="008722EF">
      <w:pPr>
        <w:rPr>
          <w:b/>
        </w:rPr>
      </w:pPr>
    </w:p>
    <w:p w:rsidR="000A4098" w:rsidRPr="000A4098" w:rsidRDefault="000A4098">
      <w:pPr>
        <w:rPr>
          <w:b/>
        </w:rPr>
      </w:pPr>
      <w:r w:rsidRPr="000A4098">
        <w:rPr>
          <w:b/>
        </w:rPr>
        <w:t>Interstate Migration Assumptions</w:t>
      </w:r>
    </w:p>
    <w:p w:rsidR="000A4098" w:rsidRDefault="000A4098" w:rsidP="00DC7242">
      <w:pPr>
        <w:jc w:val="both"/>
      </w:pPr>
    </w:p>
    <w:p w:rsidR="000A4098" w:rsidRDefault="00997583" w:rsidP="00DC7242">
      <w:pPr>
        <w:jc w:val="both"/>
      </w:pPr>
      <w:r>
        <w:t xml:space="preserve">Interstate arrivals and departures data are based on the most recently published ABS data (ABS 2013) </w:t>
      </w:r>
      <w:r w:rsidR="00171703">
        <w:t xml:space="preserve">for states and territories </w:t>
      </w:r>
      <w:r>
        <w:t>and upon the ABS Experimental Net Internal Regional Migration Estimates</w:t>
      </w:r>
      <w:r w:rsidR="00171703">
        <w:t xml:space="preserve"> for divisions of state</w:t>
      </w:r>
      <w:r>
        <w:t xml:space="preserve">. The experimental estimates are realigned to agree with the most recent </w:t>
      </w:r>
      <w:r w:rsidR="00171703">
        <w:t xml:space="preserve">state and territory level </w:t>
      </w:r>
      <w:r>
        <w:t>data.</w:t>
      </w:r>
      <w:r w:rsidR="00171703">
        <w:t xml:space="preserve"> The table shows large gains for Perth and the balances of Victoria and Queensland. A large net loss is experienced by Sydney and smaller losses by Melbourne and Adelaide. The age distributions of net interstate migration are shown in Appendix 4 for each geographic unit.</w:t>
      </w:r>
    </w:p>
    <w:p w:rsidR="008722EF" w:rsidRDefault="008722EF"/>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8722EF" w:rsidRDefault="008722EF"/>
    <w:p w:rsidR="008722EF" w:rsidRPr="008722EF" w:rsidRDefault="008722EF" w:rsidP="008722EF">
      <w:pPr>
        <w:rPr>
          <w:rFonts w:ascii="Arial" w:hAnsi="Arial" w:cs="Arial"/>
          <w:b/>
          <w:sz w:val="20"/>
          <w:szCs w:val="20"/>
        </w:rPr>
      </w:pPr>
      <w:proofErr w:type="gramStart"/>
      <w:r w:rsidRPr="008722EF">
        <w:rPr>
          <w:rFonts w:ascii="Arial" w:hAnsi="Arial" w:cs="Arial"/>
          <w:b/>
          <w:sz w:val="20"/>
          <w:szCs w:val="20"/>
        </w:rPr>
        <w:lastRenderedPageBreak/>
        <w:t>Table 4.</w:t>
      </w:r>
      <w:proofErr w:type="gramEnd"/>
      <w:r w:rsidRPr="008722EF">
        <w:rPr>
          <w:rFonts w:ascii="Arial" w:hAnsi="Arial" w:cs="Arial"/>
          <w:b/>
          <w:sz w:val="20"/>
          <w:szCs w:val="20"/>
        </w:rPr>
        <w:t xml:space="preserve"> Net Internal Migration – Adjus</w:t>
      </w:r>
      <w:r w:rsidR="00171703">
        <w:rPr>
          <w:rFonts w:ascii="Arial" w:hAnsi="Arial" w:cs="Arial"/>
          <w:b/>
          <w:sz w:val="20"/>
          <w:szCs w:val="20"/>
        </w:rPr>
        <w:t>ted for Projections and Experimental</w:t>
      </w:r>
      <w:r w:rsidRPr="008722EF">
        <w:rPr>
          <w:rFonts w:ascii="Arial" w:hAnsi="Arial" w:cs="Arial"/>
          <w:b/>
          <w:sz w:val="20"/>
          <w:szCs w:val="20"/>
        </w:rPr>
        <w:t xml:space="preserve"> 2010-11 ABS</w:t>
      </w:r>
    </w:p>
    <w:p w:rsidR="008722EF" w:rsidRPr="008722EF" w:rsidRDefault="008722EF" w:rsidP="008722EF">
      <w:pPr>
        <w:rPr>
          <w:rFonts w:ascii="Arial" w:hAnsi="Arial" w:cs="Arial"/>
          <w:sz w:val="20"/>
          <w:szCs w:val="20"/>
        </w:rPr>
      </w:pPr>
    </w:p>
    <w:tbl>
      <w:tblPr>
        <w:tblW w:w="3948" w:type="dxa"/>
        <w:tblInd w:w="108" w:type="dxa"/>
        <w:tblLook w:val="04A0"/>
      </w:tblPr>
      <w:tblGrid>
        <w:gridCol w:w="1162"/>
        <w:gridCol w:w="1376"/>
        <w:gridCol w:w="1596"/>
      </w:tblGrid>
      <w:tr w:rsidR="008722EF" w:rsidRPr="008722EF" w:rsidTr="008722EF">
        <w:trPr>
          <w:trHeight w:val="255"/>
        </w:trPr>
        <w:tc>
          <w:tcPr>
            <w:tcW w:w="976" w:type="dxa"/>
            <w:tcBorders>
              <w:top w:val="single" w:sz="4" w:space="0" w:color="auto"/>
              <w:left w:val="nil"/>
              <w:bottom w:val="single" w:sz="4" w:space="0" w:color="auto"/>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r w:rsidRPr="008722EF">
              <w:rPr>
                <w:rFonts w:ascii="Arial" w:hAnsi="Arial" w:cs="Arial"/>
                <w:sz w:val="20"/>
                <w:szCs w:val="20"/>
                <w:lang w:val="en-AU" w:eastAsia="en-AU"/>
              </w:rPr>
              <w:t> </w:t>
            </w:r>
          </w:p>
        </w:tc>
        <w:tc>
          <w:tcPr>
            <w:tcW w:w="1376" w:type="dxa"/>
            <w:tcBorders>
              <w:top w:val="single" w:sz="4" w:space="0" w:color="auto"/>
              <w:left w:val="nil"/>
              <w:bottom w:val="single" w:sz="4" w:space="0" w:color="auto"/>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Adjusted 2011-12</w:t>
            </w:r>
          </w:p>
        </w:tc>
        <w:tc>
          <w:tcPr>
            <w:tcW w:w="1596" w:type="dxa"/>
            <w:tcBorders>
              <w:top w:val="single" w:sz="4" w:space="0" w:color="auto"/>
              <w:left w:val="nil"/>
              <w:bottom w:val="single" w:sz="4" w:space="0" w:color="auto"/>
              <w:right w:val="nil"/>
            </w:tcBorders>
            <w:shd w:val="clear" w:color="auto" w:fill="auto"/>
            <w:noWrap/>
            <w:vAlign w:val="bottom"/>
            <w:hideMark/>
          </w:tcPr>
          <w:p w:rsidR="008722EF" w:rsidRPr="008722EF" w:rsidRDefault="00171703" w:rsidP="008722EF">
            <w:pPr>
              <w:jc w:val="center"/>
              <w:rPr>
                <w:rFonts w:ascii="Arial" w:hAnsi="Arial" w:cs="Arial"/>
                <w:sz w:val="20"/>
                <w:szCs w:val="20"/>
                <w:lang w:val="en-AU" w:eastAsia="en-AU"/>
              </w:rPr>
            </w:pPr>
            <w:r>
              <w:rPr>
                <w:rFonts w:ascii="Arial" w:hAnsi="Arial" w:cs="Arial"/>
                <w:sz w:val="20"/>
                <w:szCs w:val="20"/>
                <w:lang w:val="en-AU" w:eastAsia="en-AU"/>
              </w:rPr>
              <w:t>Experimental</w:t>
            </w:r>
          </w:p>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2010-11</w:t>
            </w:r>
          </w:p>
        </w:tc>
      </w:tr>
      <w:tr w:rsidR="008722EF" w:rsidRPr="008722EF" w:rsidTr="008722EF">
        <w:trPr>
          <w:trHeight w:val="255"/>
        </w:trPr>
        <w:tc>
          <w:tcPr>
            <w:tcW w:w="976" w:type="dxa"/>
            <w:tcBorders>
              <w:top w:val="nil"/>
              <w:left w:val="nil"/>
              <w:bottom w:val="nil"/>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r w:rsidRPr="008722EF">
              <w:rPr>
                <w:rFonts w:ascii="Arial" w:hAnsi="Arial" w:cs="Arial"/>
                <w:sz w:val="20"/>
                <w:szCs w:val="20"/>
                <w:lang w:val="en-AU" w:eastAsia="en-AU"/>
              </w:rPr>
              <w:t>Sydney</w:t>
            </w:r>
          </w:p>
        </w:tc>
        <w:tc>
          <w:tcPr>
            <w:tcW w:w="137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-22606</w:t>
            </w:r>
          </w:p>
        </w:tc>
        <w:tc>
          <w:tcPr>
            <w:tcW w:w="159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-20249</w:t>
            </w:r>
          </w:p>
        </w:tc>
      </w:tr>
      <w:tr w:rsidR="008722EF" w:rsidRPr="008722EF" w:rsidTr="008722EF">
        <w:trPr>
          <w:trHeight w:val="255"/>
        </w:trPr>
        <w:tc>
          <w:tcPr>
            <w:tcW w:w="976" w:type="dxa"/>
            <w:tcBorders>
              <w:top w:val="nil"/>
              <w:left w:val="nil"/>
              <w:bottom w:val="nil"/>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r w:rsidRPr="008722EF">
              <w:rPr>
                <w:rFonts w:ascii="Arial" w:hAnsi="Arial" w:cs="Arial"/>
                <w:sz w:val="20"/>
                <w:szCs w:val="20"/>
                <w:lang w:val="en-AU" w:eastAsia="en-AU"/>
              </w:rPr>
              <w:t>Bal</w:t>
            </w:r>
          </w:p>
        </w:tc>
        <w:tc>
          <w:tcPr>
            <w:tcW w:w="137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4228</w:t>
            </w:r>
          </w:p>
        </w:tc>
        <w:tc>
          <w:tcPr>
            <w:tcW w:w="159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7031</w:t>
            </w:r>
          </w:p>
        </w:tc>
      </w:tr>
      <w:tr w:rsidR="008722EF" w:rsidRPr="008722EF" w:rsidTr="008722EF">
        <w:trPr>
          <w:trHeight w:val="255"/>
        </w:trPr>
        <w:tc>
          <w:tcPr>
            <w:tcW w:w="976" w:type="dxa"/>
            <w:tcBorders>
              <w:top w:val="nil"/>
              <w:left w:val="nil"/>
              <w:bottom w:val="nil"/>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r w:rsidRPr="008722EF">
              <w:rPr>
                <w:rFonts w:ascii="Arial" w:hAnsi="Arial" w:cs="Arial"/>
                <w:sz w:val="20"/>
                <w:szCs w:val="20"/>
                <w:lang w:val="en-AU" w:eastAsia="en-AU"/>
              </w:rPr>
              <w:t>Melbourne</w:t>
            </w:r>
          </w:p>
        </w:tc>
        <w:tc>
          <w:tcPr>
            <w:tcW w:w="137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-7198</w:t>
            </w:r>
          </w:p>
        </w:tc>
        <w:tc>
          <w:tcPr>
            <w:tcW w:w="159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-5540</w:t>
            </w:r>
          </w:p>
        </w:tc>
      </w:tr>
      <w:tr w:rsidR="008722EF" w:rsidRPr="008722EF" w:rsidTr="008722EF">
        <w:trPr>
          <w:trHeight w:val="255"/>
        </w:trPr>
        <w:tc>
          <w:tcPr>
            <w:tcW w:w="976" w:type="dxa"/>
            <w:tcBorders>
              <w:top w:val="nil"/>
              <w:left w:val="nil"/>
              <w:bottom w:val="nil"/>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r w:rsidRPr="008722EF">
              <w:rPr>
                <w:rFonts w:ascii="Arial" w:hAnsi="Arial" w:cs="Arial"/>
                <w:sz w:val="20"/>
                <w:szCs w:val="20"/>
                <w:lang w:val="en-AU" w:eastAsia="en-AU"/>
              </w:rPr>
              <w:t>Bal</w:t>
            </w:r>
          </w:p>
        </w:tc>
        <w:tc>
          <w:tcPr>
            <w:tcW w:w="137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8401</w:t>
            </w:r>
          </w:p>
        </w:tc>
        <w:tc>
          <w:tcPr>
            <w:tcW w:w="159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9299</w:t>
            </w:r>
          </w:p>
        </w:tc>
      </w:tr>
      <w:tr w:rsidR="008722EF" w:rsidRPr="008722EF" w:rsidTr="008722EF">
        <w:trPr>
          <w:trHeight w:val="255"/>
        </w:trPr>
        <w:tc>
          <w:tcPr>
            <w:tcW w:w="976" w:type="dxa"/>
            <w:tcBorders>
              <w:top w:val="nil"/>
              <w:left w:val="nil"/>
              <w:bottom w:val="nil"/>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r w:rsidRPr="008722EF">
              <w:rPr>
                <w:rFonts w:ascii="Arial" w:hAnsi="Arial" w:cs="Arial"/>
                <w:sz w:val="20"/>
                <w:szCs w:val="20"/>
                <w:lang w:val="en-AU" w:eastAsia="en-AU"/>
              </w:rPr>
              <w:t>Brisbane</w:t>
            </w:r>
          </w:p>
        </w:tc>
        <w:tc>
          <w:tcPr>
            <w:tcW w:w="137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1037</w:t>
            </w:r>
          </w:p>
        </w:tc>
        <w:tc>
          <w:tcPr>
            <w:tcW w:w="159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-825</w:t>
            </w:r>
          </w:p>
        </w:tc>
      </w:tr>
      <w:tr w:rsidR="008722EF" w:rsidRPr="008722EF" w:rsidTr="008722EF">
        <w:trPr>
          <w:trHeight w:val="255"/>
        </w:trPr>
        <w:tc>
          <w:tcPr>
            <w:tcW w:w="976" w:type="dxa"/>
            <w:tcBorders>
              <w:top w:val="nil"/>
              <w:left w:val="nil"/>
              <w:bottom w:val="nil"/>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r w:rsidRPr="008722EF">
              <w:rPr>
                <w:rFonts w:ascii="Arial" w:hAnsi="Arial" w:cs="Arial"/>
                <w:sz w:val="20"/>
                <w:szCs w:val="20"/>
                <w:lang w:val="en-AU" w:eastAsia="en-AU"/>
              </w:rPr>
              <w:t>Bal</w:t>
            </w:r>
          </w:p>
        </w:tc>
        <w:tc>
          <w:tcPr>
            <w:tcW w:w="137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10759</w:t>
            </w:r>
          </w:p>
        </w:tc>
        <w:tc>
          <w:tcPr>
            <w:tcW w:w="159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7975</w:t>
            </w:r>
          </w:p>
        </w:tc>
      </w:tr>
      <w:tr w:rsidR="008722EF" w:rsidRPr="008722EF" w:rsidTr="008722EF">
        <w:trPr>
          <w:trHeight w:val="255"/>
        </w:trPr>
        <w:tc>
          <w:tcPr>
            <w:tcW w:w="976" w:type="dxa"/>
            <w:tcBorders>
              <w:top w:val="nil"/>
              <w:left w:val="nil"/>
              <w:bottom w:val="nil"/>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r w:rsidRPr="008722EF">
              <w:rPr>
                <w:rFonts w:ascii="Arial" w:hAnsi="Arial" w:cs="Arial"/>
                <w:sz w:val="20"/>
                <w:szCs w:val="20"/>
                <w:lang w:val="en-AU" w:eastAsia="en-AU"/>
              </w:rPr>
              <w:t>Adelaide</w:t>
            </w:r>
          </w:p>
        </w:tc>
        <w:tc>
          <w:tcPr>
            <w:tcW w:w="137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-2722</w:t>
            </w:r>
          </w:p>
        </w:tc>
        <w:tc>
          <w:tcPr>
            <w:tcW w:w="159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-2909</w:t>
            </w:r>
          </w:p>
        </w:tc>
      </w:tr>
      <w:tr w:rsidR="008722EF" w:rsidRPr="008722EF" w:rsidTr="008722EF">
        <w:trPr>
          <w:trHeight w:val="255"/>
        </w:trPr>
        <w:tc>
          <w:tcPr>
            <w:tcW w:w="976" w:type="dxa"/>
            <w:tcBorders>
              <w:top w:val="nil"/>
              <w:left w:val="nil"/>
              <w:bottom w:val="nil"/>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r w:rsidRPr="008722EF">
              <w:rPr>
                <w:rFonts w:ascii="Arial" w:hAnsi="Arial" w:cs="Arial"/>
                <w:sz w:val="20"/>
                <w:szCs w:val="20"/>
                <w:lang w:val="en-AU" w:eastAsia="en-AU"/>
              </w:rPr>
              <w:t>Bal</w:t>
            </w:r>
          </w:p>
        </w:tc>
        <w:tc>
          <w:tcPr>
            <w:tcW w:w="137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365</w:t>
            </w:r>
          </w:p>
        </w:tc>
        <w:tc>
          <w:tcPr>
            <w:tcW w:w="159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296</w:t>
            </w:r>
          </w:p>
        </w:tc>
      </w:tr>
      <w:tr w:rsidR="008722EF" w:rsidRPr="008722EF" w:rsidTr="008722EF">
        <w:trPr>
          <w:trHeight w:val="255"/>
        </w:trPr>
        <w:tc>
          <w:tcPr>
            <w:tcW w:w="976" w:type="dxa"/>
            <w:tcBorders>
              <w:top w:val="nil"/>
              <w:left w:val="nil"/>
              <w:bottom w:val="nil"/>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r w:rsidRPr="008722EF">
              <w:rPr>
                <w:rFonts w:ascii="Arial" w:hAnsi="Arial" w:cs="Arial"/>
                <w:sz w:val="20"/>
                <w:szCs w:val="20"/>
                <w:lang w:val="en-AU" w:eastAsia="en-AU"/>
              </w:rPr>
              <w:t>Perth</w:t>
            </w:r>
          </w:p>
        </w:tc>
        <w:tc>
          <w:tcPr>
            <w:tcW w:w="137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8375</w:t>
            </w:r>
          </w:p>
        </w:tc>
        <w:tc>
          <w:tcPr>
            <w:tcW w:w="159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4977</w:t>
            </w:r>
          </w:p>
        </w:tc>
      </w:tr>
      <w:tr w:rsidR="008722EF" w:rsidRPr="008722EF" w:rsidTr="008722EF">
        <w:trPr>
          <w:trHeight w:val="255"/>
        </w:trPr>
        <w:tc>
          <w:tcPr>
            <w:tcW w:w="976" w:type="dxa"/>
            <w:tcBorders>
              <w:top w:val="nil"/>
              <w:left w:val="nil"/>
              <w:bottom w:val="nil"/>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r w:rsidRPr="008722EF">
              <w:rPr>
                <w:rFonts w:ascii="Arial" w:hAnsi="Arial" w:cs="Arial"/>
                <w:sz w:val="20"/>
                <w:szCs w:val="20"/>
                <w:lang w:val="en-AU" w:eastAsia="en-AU"/>
              </w:rPr>
              <w:t>Bal</w:t>
            </w:r>
          </w:p>
        </w:tc>
        <w:tc>
          <w:tcPr>
            <w:tcW w:w="137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2710</w:t>
            </w:r>
          </w:p>
        </w:tc>
        <w:tc>
          <w:tcPr>
            <w:tcW w:w="159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1186</w:t>
            </w:r>
          </w:p>
        </w:tc>
      </w:tr>
      <w:tr w:rsidR="008722EF" w:rsidRPr="008722EF" w:rsidTr="008722EF">
        <w:trPr>
          <w:trHeight w:val="255"/>
        </w:trPr>
        <w:tc>
          <w:tcPr>
            <w:tcW w:w="976" w:type="dxa"/>
            <w:tcBorders>
              <w:top w:val="nil"/>
              <w:left w:val="nil"/>
              <w:bottom w:val="nil"/>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r w:rsidRPr="008722EF">
              <w:rPr>
                <w:rFonts w:ascii="Arial" w:hAnsi="Arial" w:cs="Arial"/>
                <w:sz w:val="20"/>
                <w:szCs w:val="20"/>
                <w:lang w:val="en-AU" w:eastAsia="en-AU"/>
              </w:rPr>
              <w:t>Hobart</w:t>
            </w:r>
          </w:p>
        </w:tc>
        <w:tc>
          <w:tcPr>
            <w:tcW w:w="137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-937</w:t>
            </w:r>
          </w:p>
        </w:tc>
        <w:tc>
          <w:tcPr>
            <w:tcW w:w="159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82</w:t>
            </w:r>
          </w:p>
        </w:tc>
      </w:tr>
      <w:tr w:rsidR="008722EF" w:rsidRPr="008722EF" w:rsidTr="008722EF">
        <w:trPr>
          <w:trHeight w:val="255"/>
        </w:trPr>
        <w:tc>
          <w:tcPr>
            <w:tcW w:w="976" w:type="dxa"/>
            <w:tcBorders>
              <w:top w:val="nil"/>
              <w:left w:val="nil"/>
              <w:bottom w:val="nil"/>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r w:rsidRPr="008722EF">
              <w:rPr>
                <w:rFonts w:ascii="Arial" w:hAnsi="Arial" w:cs="Arial"/>
                <w:sz w:val="20"/>
                <w:szCs w:val="20"/>
                <w:lang w:val="en-AU" w:eastAsia="en-AU"/>
              </w:rPr>
              <w:t>Bal</w:t>
            </w:r>
          </w:p>
        </w:tc>
        <w:tc>
          <w:tcPr>
            <w:tcW w:w="137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-1615</w:t>
            </w:r>
          </w:p>
        </w:tc>
        <w:tc>
          <w:tcPr>
            <w:tcW w:w="159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-129</w:t>
            </w:r>
          </w:p>
        </w:tc>
      </w:tr>
      <w:tr w:rsidR="008722EF" w:rsidRPr="008722EF" w:rsidTr="008722EF">
        <w:trPr>
          <w:trHeight w:val="255"/>
        </w:trPr>
        <w:tc>
          <w:tcPr>
            <w:tcW w:w="976" w:type="dxa"/>
            <w:tcBorders>
              <w:top w:val="nil"/>
              <w:left w:val="nil"/>
              <w:bottom w:val="nil"/>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r w:rsidRPr="008722EF">
              <w:rPr>
                <w:rFonts w:ascii="Arial" w:hAnsi="Arial" w:cs="Arial"/>
                <w:sz w:val="20"/>
                <w:szCs w:val="20"/>
                <w:lang w:val="en-AU" w:eastAsia="en-AU"/>
              </w:rPr>
              <w:t>NT</w:t>
            </w:r>
          </w:p>
        </w:tc>
        <w:tc>
          <w:tcPr>
            <w:tcW w:w="137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-1492</w:t>
            </w:r>
          </w:p>
        </w:tc>
        <w:tc>
          <w:tcPr>
            <w:tcW w:w="159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-2549</w:t>
            </w:r>
          </w:p>
        </w:tc>
      </w:tr>
      <w:tr w:rsidR="008722EF" w:rsidRPr="008722EF" w:rsidTr="008722EF">
        <w:trPr>
          <w:trHeight w:val="255"/>
        </w:trPr>
        <w:tc>
          <w:tcPr>
            <w:tcW w:w="976" w:type="dxa"/>
            <w:tcBorders>
              <w:top w:val="nil"/>
              <w:left w:val="nil"/>
              <w:bottom w:val="nil"/>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r w:rsidRPr="008722EF">
              <w:rPr>
                <w:rFonts w:ascii="Arial" w:hAnsi="Arial" w:cs="Arial"/>
                <w:sz w:val="20"/>
                <w:szCs w:val="20"/>
                <w:lang w:val="en-AU" w:eastAsia="en-AU"/>
              </w:rPr>
              <w:t>ACT</w:t>
            </w:r>
          </w:p>
        </w:tc>
        <w:tc>
          <w:tcPr>
            <w:tcW w:w="137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695</w:t>
            </w:r>
          </w:p>
        </w:tc>
        <w:tc>
          <w:tcPr>
            <w:tcW w:w="159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1355</w:t>
            </w:r>
          </w:p>
        </w:tc>
      </w:tr>
      <w:tr w:rsidR="008722EF" w:rsidRPr="008722EF" w:rsidTr="008722EF">
        <w:trPr>
          <w:trHeight w:val="255"/>
        </w:trPr>
        <w:tc>
          <w:tcPr>
            <w:tcW w:w="976" w:type="dxa"/>
            <w:tcBorders>
              <w:top w:val="nil"/>
              <w:left w:val="nil"/>
              <w:bottom w:val="nil"/>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p>
        </w:tc>
        <w:tc>
          <w:tcPr>
            <w:tcW w:w="137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p>
        </w:tc>
        <w:tc>
          <w:tcPr>
            <w:tcW w:w="1596" w:type="dxa"/>
            <w:tcBorders>
              <w:top w:val="nil"/>
              <w:left w:val="nil"/>
              <w:bottom w:val="nil"/>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p>
        </w:tc>
      </w:tr>
      <w:tr w:rsidR="008722EF" w:rsidRPr="008722EF" w:rsidTr="008722EF">
        <w:trPr>
          <w:trHeight w:val="270"/>
        </w:trPr>
        <w:tc>
          <w:tcPr>
            <w:tcW w:w="976" w:type="dxa"/>
            <w:tcBorders>
              <w:top w:val="nil"/>
              <w:left w:val="nil"/>
              <w:bottom w:val="single" w:sz="8" w:space="0" w:color="auto"/>
              <w:right w:val="nil"/>
            </w:tcBorders>
            <w:shd w:val="clear" w:color="auto" w:fill="auto"/>
            <w:noWrap/>
            <w:vAlign w:val="bottom"/>
            <w:hideMark/>
          </w:tcPr>
          <w:p w:rsidR="008722EF" w:rsidRPr="008722EF" w:rsidRDefault="008722EF" w:rsidP="008722EF">
            <w:pPr>
              <w:rPr>
                <w:rFonts w:ascii="Arial" w:hAnsi="Arial" w:cs="Arial"/>
                <w:sz w:val="20"/>
                <w:szCs w:val="20"/>
                <w:lang w:val="en-AU" w:eastAsia="en-AU"/>
              </w:rPr>
            </w:pPr>
            <w:r w:rsidRPr="008722EF">
              <w:rPr>
                <w:rFonts w:ascii="Arial" w:hAnsi="Arial" w:cs="Arial"/>
                <w:sz w:val="20"/>
                <w:szCs w:val="20"/>
                <w:lang w:val="en-AU" w:eastAsia="en-AU"/>
              </w:rPr>
              <w:t>Total</w:t>
            </w:r>
          </w:p>
        </w:tc>
        <w:tc>
          <w:tcPr>
            <w:tcW w:w="1376" w:type="dxa"/>
            <w:tcBorders>
              <w:top w:val="nil"/>
              <w:left w:val="nil"/>
              <w:bottom w:val="single" w:sz="8" w:space="0" w:color="auto"/>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0</w:t>
            </w:r>
          </w:p>
        </w:tc>
        <w:tc>
          <w:tcPr>
            <w:tcW w:w="1596" w:type="dxa"/>
            <w:tcBorders>
              <w:top w:val="nil"/>
              <w:left w:val="nil"/>
              <w:bottom w:val="single" w:sz="8" w:space="0" w:color="auto"/>
              <w:right w:val="nil"/>
            </w:tcBorders>
            <w:shd w:val="clear" w:color="auto" w:fill="auto"/>
            <w:noWrap/>
            <w:vAlign w:val="bottom"/>
            <w:hideMark/>
          </w:tcPr>
          <w:p w:rsidR="008722EF" w:rsidRPr="008722EF" w:rsidRDefault="008722EF" w:rsidP="008722EF">
            <w:pPr>
              <w:jc w:val="center"/>
              <w:rPr>
                <w:rFonts w:ascii="Arial" w:hAnsi="Arial" w:cs="Arial"/>
                <w:sz w:val="20"/>
                <w:szCs w:val="20"/>
                <w:lang w:val="en-AU" w:eastAsia="en-AU"/>
              </w:rPr>
            </w:pPr>
            <w:r w:rsidRPr="008722EF">
              <w:rPr>
                <w:rFonts w:ascii="Arial" w:hAnsi="Arial" w:cs="Arial"/>
                <w:sz w:val="20"/>
                <w:szCs w:val="20"/>
                <w:lang w:val="en-AU" w:eastAsia="en-AU"/>
              </w:rPr>
              <w:t>0</w:t>
            </w:r>
          </w:p>
        </w:tc>
      </w:tr>
    </w:tbl>
    <w:p w:rsidR="000A4098" w:rsidRPr="00CA2AA5" w:rsidRDefault="00CA2AA5">
      <w:pPr>
        <w:rPr>
          <w:sz w:val="20"/>
          <w:szCs w:val="20"/>
        </w:rPr>
      </w:pPr>
      <w:r w:rsidRPr="00CA2AA5">
        <w:rPr>
          <w:sz w:val="20"/>
          <w:szCs w:val="20"/>
        </w:rPr>
        <w:t>Source:</w:t>
      </w:r>
      <w:r w:rsidR="007E3DCA">
        <w:rPr>
          <w:sz w:val="20"/>
          <w:szCs w:val="20"/>
        </w:rPr>
        <w:t xml:space="preserve"> Author calculations and ABS, 2012.</w:t>
      </w:r>
    </w:p>
    <w:p w:rsidR="0030603A" w:rsidRDefault="0030603A">
      <w:pPr>
        <w:rPr>
          <w:b/>
        </w:rPr>
      </w:pPr>
    </w:p>
    <w:p w:rsidR="000A4098" w:rsidRPr="00EB52A8" w:rsidRDefault="00997583">
      <w:pPr>
        <w:rPr>
          <w:b/>
        </w:rPr>
      </w:pPr>
      <w:r w:rsidRPr="00EB52A8">
        <w:rPr>
          <w:b/>
        </w:rPr>
        <w:t>Fertility Assumptions</w:t>
      </w:r>
    </w:p>
    <w:p w:rsidR="000A4098" w:rsidRDefault="000A4098"/>
    <w:p w:rsidR="000A4098" w:rsidRDefault="00997583" w:rsidP="00DC7242">
      <w:pPr>
        <w:jc w:val="both"/>
      </w:pPr>
      <w:r>
        <w:t xml:space="preserve">For Australia as a whole, the Total Fertility Rate is assumed to fall linearly from 1.90 </w:t>
      </w:r>
      <w:r w:rsidR="009C117D">
        <w:t xml:space="preserve">births per woman </w:t>
      </w:r>
      <w:r>
        <w:t xml:space="preserve">in 2011 to 1.80 in 2021. </w:t>
      </w:r>
      <w:r w:rsidR="00EB52A8">
        <w:t xml:space="preserve">From 2021 onwards, fertility is held constant. </w:t>
      </w:r>
      <w:r>
        <w:t>The change in fertility is scaled across the regions used in the projection according to the relative leve</w:t>
      </w:r>
      <w:r w:rsidR="00552C32">
        <w:t>ls of fertility in 2011 (Table 5</w:t>
      </w:r>
      <w:r>
        <w:t>).</w:t>
      </w:r>
      <w:r w:rsidR="00EB52A8">
        <w:t xml:space="preserve"> Age patterns of fertility </w:t>
      </w:r>
      <w:r w:rsidR="009C117D">
        <w:t xml:space="preserve">for each geographic unit </w:t>
      </w:r>
      <w:proofErr w:type="gramStart"/>
      <w:r w:rsidR="00EB52A8">
        <w:t>were</w:t>
      </w:r>
      <w:proofErr w:type="gramEnd"/>
      <w:r w:rsidR="00EB52A8">
        <w:t xml:space="preserve"> calculated from registered births provided by the ABS and were held constant across the projection period.</w:t>
      </w:r>
    </w:p>
    <w:p w:rsidR="000A4098" w:rsidRDefault="000A4098"/>
    <w:p w:rsidR="00552C32" w:rsidRDefault="00552C32">
      <w:pPr>
        <w:rPr>
          <w:rFonts w:ascii="Arial" w:hAnsi="Arial" w:cs="Arial"/>
          <w:b/>
          <w:sz w:val="20"/>
          <w:szCs w:val="20"/>
        </w:rPr>
      </w:pPr>
      <w:r>
        <w:rPr>
          <w:rFonts w:ascii="Arial" w:hAnsi="Arial" w:cs="Arial"/>
          <w:b/>
          <w:sz w:val="20"/>
          <w:szCs w:val="20"/>
        </w:rPr>
        <w:br w:type="page"/>
      </w:r>
    </w:p>
    <w:p w:rsidR="000A4098" w:rsidRPr="00EB52A8" w:rsidRDefault="00552C32">
      <w:pPr>
        <w:rPr>
          <w:rFonts w:ascii="Arial" w:hAnsi="Arial" w:cs="Arial"/>
          <w:b/>
          <w:sz w:val="20"/>
          <w:szCs w:val="20"/>
        </w:rPr>
      </w:pPr>
      <w:proofErr w:type="gramStart"/>
      <w:r>
        <w:rPr>
          <w:rFonts w:ascii="Arial" w:hAnsi="Arial" w:cs="Arial"/>
          <w:b/>
          <w:sz w:val="20"/>
          <w:szCs w:val="20"/>
        </w:rPr>
        <w:lastRenderedPageBreak/>
        <w:t>Table 5</w:t>
      </w:r>
      <w:r w:rsidR="00EB52A8" w:rsidRPr="00EB52A8">
        <w:rPr>
          <w:rFonts w:ascii="Arial" w:hAnsi="Arial" w:cs="Arial"/>
          <w:b/>
          <w:sz w:val="20"/>
          <w:szCs w:val="20"/>
        </w:rPr>
        <w:t>.</w:t>
      </w:r>
      <w:proofErr w:type="gramEnd"/>
      <w:r w:rsidR="00EB52A8" w:rsidRPr="00EB52A8">
        <w:rPr>
          <w:rFonts w:ascii="Arial" w:hAnsi="Arial" w:cs="Arial"/>
          <w:b/>
          <w:sz w:val="20"/>
          <w:szCs w:val="20"/>
        </w:rPr>
        <w:t xml:space="preserve"> </w:t>
      </w:r>
      <w:proofErr w:type="gramStart"/>
      <w:r w:rsidR="00EB52A8" w:rsidRPr="00EB52A8">
        <w:rPr>
          <w:rFonts w:ascii="Arial" w:hAnsi="Arial" w:cs="Arial"/>
          <w:b/>
          <w:sz w:val="20"/>
          <w:szCs w:val="20"/>
        </w:rPr>
        <w:t>Assumed Levels of the Total Fertility Rate.</w:t>
      </w:r>
      <w:proofErr w:type="gramEnd"/>
    </w:p>
    <w:p w:rsidR="00EB52A8" w:rsidRPr="00EB52A8" w:rsidRDefault="00EB52A8">
      <w:pPr>
        <w:rPr>
          <w:rFonts w:ascii="Arial" w:hAnsi="Arial" w:cs="Arial"/>
          <w:sz w:val="20"/>
          <w:szCs w:val="20"/>
        </w:rPr>
      </w:pPr>
    </w:p>
    <w:tbl>
      <w:tblPr>
        <w:tblW w:w="3853" w:type="dxa"/>
        <w:tblInd w:w="108" w:type="dxa"/>
        <w:tblLook w:val="04A0"/>
      </w:tblPr>
      <w:tblGrid>
        <w:gridCol w:w="1901"/>
        <w:gridCol w:w="976"/>
        <w:gridCol w:w="976"/>
      </w:tblGrid>
      <w:tr w:rsidR="00997583" w:rsidRPr="00EB52A8" w:rsidTr="00997583">
        <w:trPr>
          <w:trHeight w:val="255"/>
        </w:trPr>
        <w:tc>
          <w:tcPr>
            <w:tcW w:w="1901" w:type="dxa"/>
            <w:tcBorders>
              <w:top w:val="single" w:sz="4" w:space="0" w:color="auto"/>
              <w:left w:val="nil"/>
              <w:bottom w:val="single" w:sz="4" w:space="0" w:color="auto"/>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 </w:t>
            </w:r>
          </w:p>
        </w:tc>
        <w:tc>
          <w:tcPr>
            <w:tcW w:w="976" w:type="dxa"/>
            <w:tcBorders>
              <w:top w:val="single" w:sz="4" w:space="0" w:color="auto"/>
              <w:left w:val="nil"/>
              <w:bottom w:val="single" w:sz="4" w:space="0" w:color="auto"/>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2011</w:t>
            </w:r>
          </w:p>
        </w:tc>
        <w:tc>
          <w:tcPr>
            <w:tcW w:w="976" w:type="dxa"/>
            <w:tcBorders>
              <w:top w:val="single" w:sz="4" w:space="0" w:color="auto"/>
              <w:left w:val="nil"/>
              <w:bottom w:val="single" w:sz="4" w:space="0" w:color="auto"/>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2021_</w:t>
            </w:r>
          </w:p>
        </w:tc>
      </w:tr>
      <w:tr w:rsidR="00997583" w:rsidRPr="00EB52A8" w:rsidTr="00997583">
        <w:trPr>
          <w:trHeight w:val="255"/>
        </w:trPr>
        <w:tc>
          <w:tcPr>
            <w:tcW w:w="1901" w:type="dxa"/>
            <w:tcBorders>
              <w:top w:val="nil"/>
              <w:left w:val="nil"/>
              <w:bottom w:val="nil"/>
              <w:right w:val="nil"/>
            </w:tcBorders>
            <w:shd w:val="clear" w:color="auto" w:fill="auto"/>
            <w:noWrap/>
            <w:vAlign w:val="bottom"/>
            <w:hideMark/>
          </w:tcPr>
          <w:p w:rsidR="00997583" w:rsidRPr="00EB52A8" w:rsidRDefault="00997583" w:rsidP="00997583">
            <w:pPr>
              <w:rPr>
                <w:rFonts w:ascii="Arial" w:hAnsi="Arial" w:cs="Arial"/>
                <w:sz w:val="20"/>
                <w:szCs w:val="20"/>
                <w:lang w:val="en-AU" w:eastAsia="en-AU"/>
              </w:rPr>
            </w:pPr>
            <w:r w:rsidRPr="00EB52A8">
              <w:rPr>
                <w:rFonts w:ascii="Arial" w:hAnsi="Arial" w:cs="Arial"/>
                <w:sz w:val="20"/>
                <w:szCs w:val="20"/>
                <w:lang w:val="en-AU" w:eastAsia="en-AU"/>
              </w:rPr>
              <w:t>1. Greater Sydney</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1.85</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1.75</w:t>
            </w:r>
          </w:p>
        </w:tc>
      </w:tr>
      <w:tr w:rsidR="00997583" w:rsidRPr="00EB52A8" w:rsidTr="00997583">
        <w:trPr>
          <w:trHeight w:val="255"/>
        </w:trPr>
        <w:tc>
          <w:tcPr>
            <w:tcW w:w="1901" w:type="dxa"/>
            <w:tcBorders>
              <w:top w:val="nil"/>
              <w:left w:val="nil"/>
              <w:bottom w:val="nil"/>
              <w:right w:val="nil"/>
            </w:tcBorders>
            <w:shd w:val="clear" w:color="auto" w:fill="auto"/>
            <w:noWrap/>
            <w:vAlign w:val="bottom"/>
            <w:hideMark/>
          </w:tcPr>
          <w:p w:rsidR="00997583" w:rsidRPr="00EB52A8" w:rsidRDefault="00997583" w:rsidP="00997583">
            <w:pPr>
              <w:rPr>
                <w:rFonts w:ascii="Arial" w:hAnsi="Arial" w:cs="Arial"/>
                <w:sz w:val="20"/>
                <w:szCs w:val="20"/>
                <w:lang w:val="en-AU" w:eastAsia="en-AU"/>
              </w:rPr>
            </w:pPr>
            <w:r w:rsidRPr="00EB52A8">
              <w:rPr>
                <w:rFonts w:ascii="Arial" w:hAnsi="Arial" w:cs="Arial"/>
                <w:sz w:val="20"/>
                <w:szCs w:val="20"/>
                <w:lang w:val="en-AU" w:eastAsia="en-AU"/>
              </w:rPr>
              <w:t>2. Rest of NSW</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2.18</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2.06</w:t>
            </w:r>
          </w:p>
        </w:tc>
      </w:tr>
      <w:tr w:rsidR="00997583" w:rsidRPr="00EB52A8" w:rsidTr="00997583">
        <w:trPr>
          <w:trHeight w:val="255"/>
        </w:trPr>
        <w:tc>
          <w:tcPr>
            <w:tcW w:w="1901" w:type="dxa"/>
            <w:tcBorders>
              <w:top w:val="nil"/>
              <w:left w:val="nil"/>
              <w:bottom w:val="nil"/>
              <w:right w:val="nil"/>
            </w:tcBorders>
            <w:shd w:val="clear" w:color="auto" w:fill="auto"/>
            <w:noWrap/>
            <w:vAlign w:val="bottom"/>
            <w:hideMark/>
          </w:tcPr>
          <w:p w:rsidR="00997583" w:rsidRPr="00EB52A8" w:rsidRDefault="00EB52A8" w:rsidP="00997583">
            <w:pPr>
              <w:rPr>
                <w:rFonts w:ascii="Arial" w:hAnsi="Arial" w:cs="Arial"/>
                <w:sz w:val="20"/>
                <w:szCs w:val="20"/>
                <w:lang w:val="en-AU" w:eastAsia="en-AU"/>
              </w:rPr>
            </w:pPr>
            <w:r w:rsidRPr="00EB52A8">
              <w:rPr>
                <w:rFonts w:ascii="Arial" w:hAnsi="Arial" w:cs="Arial"/>
                <w:sz w:val="20"/>
                <w:szCs w:val="20"/>
                <w:lang w:val="en-AU" w:eastAsia="en-AU"/>
              </w:rPr>
              <w:t>3. Greater</w:t>
            </w:r>
            <w:r>
              <w:rPr>
                <w:rFonts w:ascii="Arial" w:hAnsi="Arial" w:cs="Arial"/>
                <w:sz w:val="20"/>
                <w:szCs w:val="20"/>
                <w:lang w:val="en-AU" w:eastAsia="en-AU"/>
              </w:rPr>
              <w:t xml:space="preserve"> </w:t>
            </w:r>
            <w:r w:rsidR="00997583" w:rsidRPr="00EB52A8">
              <w:rPr>
                <w:rFonts w:ascii="Arial" w:hAnsi="Arial" w:cs="Arial"/>
                <w:sz w:val="20"/>
                <w:szCs w:val="20"/>
                <w:lang w:val="en-AU" w:eastAsia="en-AU"/>
              </w:rPr>
              <w:t>Melbourne</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1.70</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1.61</w:t>
            </w:r>
          </w:p>
        </w:tc>
      </w:tr>
      <w:tr w:rsidR="00997583" w:rsidRPr="00EB52A8" w:rsidTr="00997583">
        <w:trPr>
          <w:trHeight w:val="255"/>
        </w:trPr>
        <w:tc>
          <w:tcPr>
            <w:tcW w:w="1901" w:type="dxa"/>
            <w:tcBorders>
              <w:top w:val="nil"/>
              <w:left w:val="nil"/>
              <w:bottom w:val="nil"/>
              <w:right w:val="nil"/>
            </w:tcBorders>
            <w:shd w:val="clear" w:color="auto" w:fill="auto"/>
            <w:noWrap/>
            <w:vAlign w:val="bottom"/>
            <w:hideMark/>
          </w:tcPr>
          <w:p w:rsidR="00997583" w:rsidRPr="00EB52A8" w:rsidRDefault="00997583" w:rsidP="00997583">
            <w:pPr>
              <w:rPr>
                <w:rFonts w:ascii="Arial" w:hAnsi="Arial" w:cs="Arial"/>
                <w:sz w:val="20"/>
                <w:szCs w:val="20"/>
                <w:lang w:val="en-AU" w:eastAsia="en-AU"/>
              </w:rPr>
            </w:pPr>
            <w:r w:rsidRPr="00EB52A8">
              <w:rPr>
                <w:rFonts w:ascii="Arial" w:hAnsi="Arial" w:cs="Arial"/>
                <w:sz w:val="20"/>
                <w:szCs w:val="20"/>
                <w:lang w:val="en-AU" w:eastAsia="en-AU"/>
              </w:rPr>
              <w:t>4. Rest of Vic.</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2.07</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1.96</w:t>
            </w:r>
          </w:p>
        </w:tc>
      </w:tr>
      <w:tr w:rsidR="00997583" w:rsidRPr="00EB52A8" w:rsidTr="00997583">
        <w:trPr>
          <w:trHeight w:val="255"/>
        </w:trPr>
        <w:tc>
          <w:tcPr>
            <w:tcW w:w="1901" w:type="dxa"/>
            <w:tcBorders>
              <w:top w:val="nil"/>
              <w:left w:val="nil"/>
              <w:bottom w:val="nil"/>
              <w:right w:val="nil"/>
            </w:tcBorders>
            <w:shd w:val="clear" w:color="auto" w:fill="auto"/>
            <w:noWrap/>
            <w:vAlign w:val="bottom"/>
            <w:hideMark/>
          </w:tcPr>
          <w:p w:rsidR="00997583" w:rsidRPr="00EB52A8" w:rsidRDefault="00997583" w:rsidP="00997583">
            <w:pPr>
              <w:rPr>
                <w:rFonts w:ascii="Arial" w:hAnsi="Arial" w:cs="Arial"/>
                <w:sz w:val="20"/>
                <w:szCs w:val="20"/>
                <w:lang w:val="en-AU" w:eastAsia="en-AU"/>
              </w:rPr>
            </w:pPr>
            <w:r w:rsidRPr="00EB52A8">
              <w:rPr>
                <w:rFonts w:ascii="Arial" w:hAnsi="Arial" w:cs="Arial"/>
                <w:sz w:val="20"/>
                <w:szCs w:val="20"/>
                <w:lang w:val="en-AU" w:eastAsia="en-AU"/>
              </w:rPr>
              <w:t>5. Greater Brisbane</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1.90</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1.80</w:t>
            </w:r>
          </w:p>
        </w:tc>
      </w:tr>
      <w:tr w:rsidR="00997583" w:rsidRPr="00EB52A8" w:rsidTr="00997583">
        <w:trPr>
          <w:trHeight w:val="255"/>
        </w:trPr>
        <w:tc>
          <w:tcPr>
            <w:tcW w:w="1901" w:type="dxa"/>
            <w:tcBorders>
              <w:top w:val="nil"/>
              <w:left w:val="nil"/>
              <w:bottom w:val="nil"/>
              <w:right w:val="nil"/>
            </w:tcBorders>
            <w:shd w:val="clear" w:color="auto" w:fill="auto"/>
            <w:noWrap/>
            <w:vAlign w:val="bottom"/>
            <w:hideMark/>
          </w:tcPr>
          <w:p w:rsidR="00997583" w:rsidRPr="00EB52A8" w:rsidRDefault="00997583" w:rsidP="00997583">
            <w:pPr>
              <w:rPr>
                <w:rFonts w:ascii="Arial" w:hAnsi="Arial" w:cs="Arial"/>
                <w:sz w:val="20"/>
                <w:szCs w:val="20"/>
                <w:lang w:val="en-AU" w:eastAsia="en-AU"/>
              </w:rPr>
            </w:pPr>
            <w:r w:rsidRPr="00EB52A8">
              <w:rPr>
                <w:rFonts w:ascii="Arial" w:hAnsi="Arial" w:cs="Arial"/>
                <w:sz w:val="20"/>
                <w:szCs w:val="20"/>
                <w:lang w:val="en-AU" w:eastAsia="en-AU"/>
              </w:rPr>
              <w:t>6. Rest of Qld</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2.11</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2.00</w:t>
            </w:r>
          </w:p>
        </w:tc>
      </w:tr>
      <w:tr w:rsidR="00997583" w:rsidRPr="00EB52A8" w:rsidTr="00997583">
        <w:trPr>
          <w:trHeight w:val="255"/>
        </w:trPr>
        <w:tc>
          <w:tcPr>
            <w:tcW w:w="1901" w:type="dxa"/>
            <w:tcBorders>
              <w:top w:val="nil"/>
              <w:left w:val="nil"/>
              <w:bottom w:val="nil"/>
              <w:right w:val="nil"/>
            </w:tcBorders>
            <w:shd w:val="clear" w:color="auto" w:fill="auto"/>
            <w:noWrap/>
            <w:vAlign w:val="bottom"/>
            <w:hideMark/>
          </w:tcPr>
          <w:p w:rsidR="00997583" w:rsidRPr="00EB52A8" w:rsidRDefault="00EB52A8" w:rsidP="00997583">
            <w:pPr>
              <w:rPr>
                <w:rFonts w:ascii="Arial" w:hAnsi="Arial" w:cs="Arial"/>
                <w:sz w:val="20"/>
                <w:szCs w:val="20"/>
                <w:lang w:val="en-AU" w:eastAsia="en-AU"/>
              </w:rPr>
            </w:pPr>
            <w:r>
              <w:rPr>
                <w:rFonts w:ascii="Arial" w:hAnsi="Arial" w:cs="Arial"/>
                <w:sz w:val="20"/>
                <w:szCs w:val="20"/>
                <w:lang w:val="en-AU" w:eastAsia="en-AU"/>
              </w:rPr>
              <w:t xml:space="preserve">7. Greater </w:t>
            </w:r>
            <w:r w:rsidR="00997583" w:rsidRPr="00EB52A8">
              <w:rPr>
                <w:rFonts w:ascii="Arial" w:hAnsi="Arial" w:cs="Arial"/>
                <w:sz w:val="20"/>
                <w:szCs w:val="20"/>
                <w:lang w:val="en-AU" w:eastAsia="en-AU"/>
              </w:rPr>
              <w:t>Adelaide</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1.77</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1.68</w:t>
            </w:r>
          </w:p>
        </w:tc>
      </w:tr>
      <w:tr w:rsidR="00997583" w:rsidRPr="00EB52A8" w:rsidTr="00997583">
        <w:trPr>
          <w:trHeight w:val="255"/>
        </w:trPr>
        <w:tc>
          <w:tcPr>
            <w:tcW w:w="1901" w:type="dxa"/>
            <w:tcBorders>
              <w:top w:val="nil"/>
              <w:left w:val="nil"/>
              <w:bottom w:val="nil"/>
              <w:right w:val="nil"/>
            </w:tcBorders>
            <w:shd w:val="clear" w:color="auto" w:fill="auto"/>
            <w:noWrap/>
            <w:vAlign w:val="bottom"/>
            <w:hideMark/>
          </w:tcPr>
          <w:p w:rsidR="00997583" w:rsidRPr="00EB52A8" w:rsidRDefault="00997583" w:rsidP="00997583">
            <w:pPr>
              <w:rPr>
                <w:rFonts w:ascii="Arial" w:hAnsi="Arial" w:cs="Arial"/>
                <w:sz w:val="20"/>
                <w:szCs w:val="20"/>
                <w:lang w:val="en-AU" w:eastAsia="en-AU"/>
              </w:rPr>
            </w:pPr>
            <w:r w:rsidRPr="00EB52A8">
              <w:rPr>
                <w:rFonts w:ascii="Arial" w:hAnsi="Arial" w:cs="Arial"/>
                <w:sz w:val="20"/>
                <w:szCs w:val="20"/>
                <w:lang w:val="en-AU" w:eastAsia="en-AU"/>
              </w:rPr>
              <w:t>8. Rest of SA</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2.22</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2.10</w:t>
            </w:r>
          </w:p>
        </w:tc>
      </w:tr>
      <w:tr w:rsidR="00997583" w:rsidRPr="00EB52A8" w:rsidTr="00997583">
        <w:trPr>
          <w:trHeight w:val="255"/>
        </w:trPr>
        <w:tc>
          <w:tcPr>
            <w:tcW w:w="1901" w:type="dxa"/>
            <w:tcBorders>
              <w:top w:val="nil"/>
              <w:left w:val="nil"/>
              <w:bottom w:val="nil"/>
              <w:right w:val="nil"/>
            </w:tcBorders>
            <w:shd w:val="clear" w:color="auto" w:fill="auto"/>
            <w:noWrap/>
            <w:vAlign w:val="bottom"/>
            <w:hideMark/>
          </w:tcPr>
          <w:p w:rsidR="00997583" w:rsidRPr="00EB52A8" w:rsidRDefault="00997583" w:rsidP="00997583">
            <w:pPr>
              <w:rPr>
                <w:rFonts w:ascii="Arial" w:hAnsi="Arial" w:cs="Arial"/>
                <w:sz w:val="20"/>
                <w:szCs w:val="20"/>
                <w:lang w:val="en-AU" w:eastAsia="en-AU"/>
              </w:rPr>
            </w:pPr>
            <w:r w:rsidRPr="00EB52A8">
              <w:rPr>
                <w:rFonts w:ascii="Arial" w:hAnsi="Arial" w:cs="Arial"/>
                <w:sz w:val="20"/>
                <w:szCs w:val="20"/>
                <w:lang w:val="en-AU" w:eastAsia="en-AU"/>
              </w:rPr>
              <w:t>9. Greater Perth</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1.83</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1.73</w:t>
            </w:r>
          </w:p>
        </w:tc>
      </w:tr>
      <w:tr w:rsidR="00997583" w:rsidRPr="00EB52A8" w:rsidTr="00997583">
        <w:trPr>
          <w:trHeight w:val="255"/>
        </w:trPr>
        <w:tc>
          <w:tcPr>
            <w:tcW w:w="1901" w:type="dxa"/>
            <w:tcBorders>
              <w:top w:val="nil"/>
              <w:left w:val="nil"/>
              <w:bottom w:val="nil"/>
              <w:right w:val="nil"/>
            </w:tcBorders>
            <w:shd w:val="clear" w:color="auto" w:fill="auto"/>
            <w:noWrap/>
            <w:vAlign w:val="bottom"/>
            <w:hideMark/>
          </w:tcPr>
          <w:p w:rsidR="00997583" w:rsidRPr="00EB52A8" w:rsidRDefault="00997583" w:rsidP="00997583">
            <w:pPr>
              <w:rPr>
                <w:rFonts w:ascii="Arial" w:hAnsi="Arial" w:cs="Arial"/>
                <w:sz w:val="20"/>
                <w:szCs w:val="20"/>
                <w:lang w:val="en-AU" w:eastAsia="en-AU"/>
              </w:rPr>
            </w:pPr>
            <w:r w:rsidRPr="00EB52A8">
              <w:rPr>
                <w:rFonts w:ascii="Arial" w:hAnsi="Arial" w:cs="Arial"/>
                <w:sz w:val="20"/>
                <w:szCs w:val="20"/>
                <w:lang w:val="en-AU" w:eastAsia="en-AU"/>
              </w:rPr>
              <w:t>10. Rest of WA</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2.24</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2.13</w:t>
            </w:r>
          </w:p>
        </w:tc>
      </w:tr>
      <w:tr w:rsidR="00997583" w:rsidRPr="00EB52A8" w:rsidTr="00997583">
        <w:trPr>
          <w:trHeight w:val="255"/>
        </w:trPr>
        <w:tc>
          <w:tcPr>
            <w:tcW w:w="1901" w:type="dxa"/>
            <w:tcBorders>
              <w:top w:val="nil"/>
              <w:left w:val="nil"/>
              <w:bottom w:val="nil"/>
              <w:right w:val="nil"/>
            </w:tcBorders>
            <w:shd w:val="clear" w:color="auto" w:fill="auto"/>
            <w:noWrap/>
            <w:vAlign w:val="bottom"/>
            <w:hideMark/>
          </w:tcPr>
          <w:p w:rsidR="00997583" w:rsidRPr="00EB52A8" w:rsidRDefault="00997583" w:rsidP="00997583">
            <w:pPr>
              <w:rPr>
                <w:rFonts w:ascii="Arial" w:hAnsi="Arial" w:cs="Arial"/>
                <w:sz w:val="20"/>
                <w:szCs w:val="20"/>
                <w:lang w:val="en-AU" w:eastAsia="en-AU"/>
              </w:rPr>
            </w:pPr>
            <w:r w:rsidRPr="00EB52A8">
              <w:rPr>
                <w:rFonts w:ascii="Arial" w:hAnsi="Arial" w:cs="Arial"/>
                <w:sz w:val="20"/>
                <w:szCs w:val="20"/>
                <w:lang w:val="en-AU" w:eastAsia="en-AU"/>
              </w:rPr>
              <w:t>11. Greater Hobart</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2.12</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2.01</w:t>
            </w:r>
          </w:p>
        </w:tc>
      </w:tr>
      <w:tr w:rsidR="00997583" w:rsidRPr="00EB52A8" w:rsidTr="00997583">
        <w:trPr>
          <w:trHeight w:val="255"/>
        </w:trPr>
        <w:tc>
          <w:tcPr>
            <w:tcW w:w="1901" w:type="dxa"/>
            <w:tcBorders>
              <w:top w:val="nil"/>
              <w:left w:val="nil"/>
              <w:bottom w:val="nil"/>
              <w:right w:val="nil"/>
            </w:tcBorders>
            <w:shd w:val="clear" w:color="auto" w:fill="auto"/>
            <w:noWrap/>
            <w:vAlign w:val="bottom"/>
            <w:hideMark/>
          </w:tcPr>
          <w:p w:rsidR="00997583" w:rsidRPr="00EB52A8" w:rsidRDefault="00997583" w:rsidP="00997583">
            <w:pPr>
              <w:rPr>
                <w:rFonts w:ascii="Arial" w:hAnsi="Arial" w:cs="Arial"/>
                <w:sz w:val="20"/>
                <w:szCs w:val="20"/>
                <w:lang w:val="en-AU" w:eastAsia="en-AU"/>
              </w:rPr>
            </w:pPr>
            <w:r w:rsidRPr="00EB52A8">
              <w:rPr>
                <w:rFonts w:ascii="Arial" w:hAnsi="Arial" w:cs="Arial"/>
                <w:sz w:val="20"/>
                <w:szCs w:val="20"/>
                <w:lang w:val="en-AU" w:eastAsia="en-AU"/>
              </w:rPr>
              <w:t>12. Rest of Tas.</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2.16</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2.04</w:t>
            </w:r>
          </w:p>
        </w:tc>
      </w:tr>
      <w:tr w:rsidR="00997583" w:rsidRPr="00EB52A8" w:rsidTr="00997583">
        <w:trPr>
          <w:trHeight w:val="255"/>
        </w:trPr>
        <w:tc>
          <w:tcPr>
            <w:tcW w:w="1901" w:type="dxa"/>
            <w:tcBorders>
              <w:top w:val="nil"/>
              <w:left w:val="nil"/>
              <w:bottom w:val="nil"/>
              <w:right w:val="nil"/>
            </w:tcBorders>
            <w:shd w:val="clear" w:color="auto" w:fill="auto"/>
            <w:noWrap/>
            <w:vAlign w:val="bottom"/>
            <w:hideMark/>
          </w:tcPr>
          <w:p w:rsidR="00997583" w:rsidRPr="00EB52A8" w:rsidRDefault="00997583" w:rsidP="00997583">
            <w:pPr>
              <w:rPr>
                <w:rFonts w:ascii="Arial" w:hAnsi="Arial" w:cs="Arial"/>
                <w:sz w:val="20"/>
                <w:szCs w:val="20"/>
                <w:lang w:val="en-AU" w:eastAsia="en-AU"/>
              </w:rPr>
            </w:pPr>
            <w:r w:rsidRPr="00EB52A8">
              <w:rPr>
                <w:rFonts w:ascii="Arial" w:hAnsi="Arial" w:cs="Arial"/>
                <w:sz w:val="20"/>
                <w:szCs w:val="20"/>
                <w:lang w:val="en-AU" w:eastAsia="en-AU"/>
              </w:rPr>
              <w:t>13. NT</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2.13</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2.02</w:t>
            </w:r>
          </w:p>
        </w:tc>
      </w:tr>
      <w:tr w:rsidR="00997583" w:rsidRPr="00EB52A8" w:rsidTr="00997583">
        <w:trPr>
          <w:trHeight w:val="255"/>
        </w:trPr>
        <w:tc>
          <w:tcPr>
            <w:tcW w:w="1901" w:type="dxa"/>
            <w:tcBorders>
              <w:top w:val="nil"/>
              <w:left w:val="nil"/>
              <w:bottom w:val="nil"/>
              <w:right w:val="nil"/>
            </w:tcBorders>
            <w:shd w:val="clear" w:color="auto" w:fill="auto"/>
            <w:noWrap/>
            <w:vAlign w:val="bottom"/>
            <w:hideMark/>
          </w:tcPr>
          <w:p w:rsidR="00997583" w:rsidRPr="00EB52A8" w:rsidRDefault="00997583" w:rsidP="00997583">
            <w:pPr>
              <w:rPr>
                <w:rFonts w:ascii="Arial" w:hAnsi="Arial" w:cs="Arial"/>
                <w:sz w:val="20"/>
                <w:szCs w:val="20"/>
                <w:lang w:val="en-AU" w:eastAsia="en-AU"/>
              </w:rPr>
            </w:pPr>
            <w:r w:rsidRPr="00EB52A8">
              <w:rPr>
                <w:rFonts w:ascii="Arial" w:hAnsi="Arial" w:cs="Arial"/>
                <w:sz w:val="20"/>
                <w:szCs w:val="20"/>
                <w:lang w:val="en-AU" w:eastAsia="en-AU"/>
              </w:rPr>
              <w:t>14. SEQ</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1.89</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1.79</w:t>
            </w:r>
          </w:p>
        </w:tc>
      </w:tr>
      <w:tr w:rsidR="00997583" w:rsidRPr="00EB52A8" w:rsidTr="00997583">
        <w:trPr>
          <w:trHeight w:val="255"/>
        </w:trPr>
        <w:tc>
          <w:tcPr>
            <w:tcW w:w="1901" w:type="dxa"/>
            <w:tcBorders>
              <w:top w:val="nil"/>
              <w:left w:val="nil"/>
              <w:bottom w:val="nil"/>
              <w:right w:val="nil"/>
            </w:tcBorders>
            <w:shd w:val="clear" w:color="auto" w:fill="auto"/>
            <w:noWrap/>
            <w:vAlign w:val="bottom"/>
            <w:hideMark/>
          </w:tcPr>
          <w:p w:rsidR="00997583" w:rsidRPr="00EB52A8" w:rsidRDefault="00997583" w:rsidP="00997583">
            <w:pPr>
              <w:rPr>
                <w:rFonts w:ascii="Arial" w:hAnsi="Arial" w:cs="Arial"/>
                <w:sz w:val="20"/>
                <w:szCs w:val="20"/>
                <w:lang w:val="en-AU" w:eastAsia="en-AU"/>
              </w:rPr>
            </w:pPr>
            <w:r w:rsidRPr="00EB52A8">
              <w:rPr>
                <w:rFonts w:ascii="Arial" w:hAnsi="Arial" w:cs="Arial"/>
                <w:sz w:val="20"/>
                <w:szCs w:val="20"/>
                <w:lang w:val="en-AU" w:eastAsia="en-AU"/>
              </w:rPr>
              <w:t>15. ACT</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1.72</w:t>
            </w:r>
          </w:p>
        </w:tc>
        <w:tc>
          <w:tcPr>
            <w:tcW w:w="976" w:type="dxa"/>
            <w:tcBorders>
              <w:top w:val="nil"/>
              <w:left w:val="nil"/>
              <w:bottom w:val="nil"/>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1.63</w:t>
            </w:r>
          </w:p>
        </w:tc>
      </w:tr>
      <w:tr w:rsidR="00997583" w:rsidRPr="00EB52A8" w:rsidTr="00997583">
        <w:trPr>
          <w:trHeight w:val="255"/>
        </w:trPr>
        <w:tc>
          <w:tcPr>
            <w:tcW w:w="1901" w:type="dxa"/>
            <w:tcBorders>
              <w:top w:val="nil"/>
              <w:left w:val="nil"/>
              <w:bottom w:val="single" w:sz="4" w:space="0" w:color="auto"/>
              <w:right w:val="nil"/>
            </w:tcBorders>
            <w:shd w:val="clear" w:color="auto" w:fill="auto"/>
            <w:noWrap/>
            <w:vAlign w:val="bottom"/>
            <w:hideMark/>
          </w:tcPr>
          <w:p w:rsidR="00997583" w:rsidRPr="00EB52A8" w:rsidRDefault="00997583" w:rsidP="00997583">
            <w:pPr>
              <w:rPr>
                <w:rFonts w:ascii="Arial" w:hAnsi="Arial" w:cs="Arial"/>
                <w:sz w:val="20"/>
                <w:szCs w:val="20"/>
                <w:lang w:val="en-AU" w:eastAsia="en-AU"/>
              </w:rPr>
            </w:pPr>
            <w:r w:rsidRPr="00EB52A8">
              <w:rPr>
                <w:rFonts w:ascii="Arial" w:hAnsi="Arial" w:cs="Arial"/>
                <w:sz w:val="20"/>
                <w:szCs w:val="20"/>
                <w:lang w:val="en-AU" w:eastAsia="en-AU"/>
              </w:rPr>
              <w:t xml:space="preserve">16. Australia  </w:t>
            </w:r>
          </w:p>
        </w:tc>
        <w:tc>
          <w:tcPr>
            <w:tcW w:w="976" w:type="dxa"/>
            <w:tcBorders>
              <w:top w:val="nil"/>
              <w:left w:val="nil"/>
              <w:bottom w:val="single" w:sz="4" w:space="0" w:color="auto"/>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1.90</w:t>
            </w:r>
          </w:p>
        </w:tc>
        <w:tc>
          <w:tcPr>
            <w:tcW w:w="976" w:type="dxa"/>
            <w:tcBorders>
              <w:top w:val="nil"/>
              <w:left w:val="nil"/>
              <w:bottom w:val="single" w:sz="4" w:space="0" w:color="auto"/>
              <w:right w:val="nil"/>
            </w:tcBorders>
            <w:shd w:val="clear" w:color="auto" w:fill="auto"/>
            <w:noWrap/>
            <w:vAlign w:val="bottom"/>
            <w:hideMark/>
          </w:tcPr>
          <w:p w:rsidR="00997583" w:rsidRPr="00EB52A8" w:rsidRDefault="00997583" w:rsidP="00997583">
            <w:pPr>
              <w:jc w:val="center"/>
              <w:rPr>
                <w:rFonts w:ascii="Arial" w:hAnsi="Arial" w:cs="Arial"/>
                <w:sz w:val="20"/>
                <w:szCs w:val="20"/>
                <w:lang w:val="en-AU" w:eastAsia="en-AU"/>
              </w:rPr>
            </w:pPr>
            <w:r w:rsidRPr="00EB52A8">
              <w:rPr>
                <w:rFonts w:ascii="Arial" w:hAnsi="Arial" w:cs="Arial"/>
                <w:sz w:val="20"/>
                <w:szCs w:val="20"/>
                <w:lang w:val="en-AU" w:eastAsia="en-AU"/>
              </w:rPr>
              <w:t>1.80</w:t>
            </w:r>
          </w:p>
        </w:tc>
      </w:tr>
    </w:tbl>
    <w:p w:rsidR="00CA2AA5" w:rsidRPr="00CA2AA5" w:rsidRDefault="00CA2AA5" w:rsidP="00CA2AA5">
      <w:pPr>
        <w:rPr>
          <w:sz w:val="20"/>
          <w:szCs w:val="20"/>
        </w:rPr>
      </w:pPr>
      <w:r w:rsidRPr="00CA2AA5">
        <w:rPr>
          <w:sz w:val="20"/>
          <w:szCs w:val="20"/>
        </w:rPr>
        <w:t>Source:</w:t>
      </w:r>
      <w:r>
        <w:rPr>
          <w:sz w:val="20"/>
          <w:szCs w:val="20"/>
        </w:rPr>
        <w:t xml:space="preserve"> Authors calculations based on ABS supplied data.</w:t>
      </w:r>
    </w:p>
    <w:p w:rsidR="00997583" w:rsidRPr="00EB52A8" w:rsidRDefault="00997583">
      <w:pPr>
        <w:rPr>
          <w:rFonts w:ascii="Arial" w:hAnsi="Arial" w:cs="Arial"/>
          <w:sz w:val="20"/>
          <w:szCs w:val="20"/>
        </w:rPr>
      </w:pPr>
    </w:p>
    <w:p w:rsidR="00997583" w:rsidRDefault="00997583"/>
    <w:p w:rsidR="00552C32" w:rsidRDefault="00552C32"/>
    <w:p w:rsidR="00997583" w:rsidRPr="00EB52A8" w:rsidRDefault="00EB52A8">
      <w:pPr>
        <w:rPr>
          <w:b/>
        </w:rPr>
      </w:pPr>
      <w:r w:rsidRPr="00EB52A8">
        <w:rPr>
          <w:b/>
        </w:rPr>
        <w:t>Mortality Assumptions</w:t>
      </w:r>
    </w:p>
    <w:p w:rsidR="00997583" w:rsidRDefault="00997583" w:rsidP="00DC7242">
      <w:pPr>
        <w:jc w:val="both"/>
      </w:pPr>
    </w:p>
    <w:p w:rsidR="00EB52A8" w:rsidRPr="00DD01FD" w:rsidRDefault="00EB52A8" w:rsidP="00DC7242">
      <w:pPr>
        <w:jc w:val="both"/>
      </w:pPr>
      <w:r w:rsidRPr="00DD01FD">
        <w:rPr>
          <w:lang w:val="en-AU" w:eastAsia="en-AU"/>
        </w:rPr>
        <w:t>Thirty years of Australian Life Tables were used to calculate sex-age specific survival ratios for Australia. From these annualised</w:t>
      </w:r>
      <w:r w:rsidR="00DD01FD" w:rsidRPr="00DD01FD">
        <w:rPr>
          <w:lang w:val="en-AU" w:eastAsia="en-AU"/>
        </w:rPr>
        <w:t>,</w:t>
      </w:r>
      <w:r w:rsidRPr="00DD01FD">
        <w:rPr>
          <w:lang w:val="en-AU" w:eastAsia="en-AU"/>
        </w:rPr>
        <w:t xml:space="preserve"> sex-age specific rates of change were calculated. These rates of change were then projected to increase at 95% of the previous year’s rate of change.</w:t>
      </w:r>
      <w:r w:rsidR="00DD01FD" w:rsidRPr="00DD01FD">
        <w:rPr>
          <w:lang w:val="en-AU" w:eastAsia="en-AU"/>
        </w:rPr>
        <w:t xml:space="preserve"> These projection intensities were then applied to all regions in the projections. At the regional level, for the baseline input, age-sex specific abridged life tables were calculated using death registration data obtained from the ABS. For males under age 45 and females under age 50, survival ratio projections are assumed to follow the national level because regional level mortality tends to fluctuate at these ages where mortality rates are low. At higher ages, regional survival ratios are projected from their baseline in alignment with the projected changes in the Australian rates. Northern Territory survival ratios were calculated separately using published NT life tables.</w:t>
      </w:r>
      <w:r w:rsidR="00DD01FD">
        <w:rPr>
          <w:lang w:val="en-AU" w:eastAsia="en-AU"/>
        </w:rPr>
        <w:t xml:space="preserve"> The results expressed in terms of expectat</w:t>
      </w:r>
      <w:r w:rsidR="00552C32">
        <w:rPr>
          <w:lang w:val="en-AU" w:eastAsia="en-AU"/>
        </w:rPr>
        <w:t>ion of life are shown in Table 6</w:t>
      </w:r>
      <w:r w:rsidR="00DD01FD">
        <w:rPr>
          <w:lang w:val="en-AU" w:eastAsia="en-AU"/>
        </w:rPr>
        <w:t>.</w:t>
      </w:r>
    </w:p>
    <w:p w:rsidR="00EB52A8" w:rsidRDefault="00EB52A8"/>
    <w:p w:rsidR="00552C32" w:rsidRDefault="00552C32">
      <w:r>
        <w:br w:type="page"/>
      </w:r>
    </w:p>
    <w:tbl>
      <w:tblPr>
        <w:tblW w:w="9528" w:type="dxa"/>
        <w:tblInd w:w="93" w:type="dxa"/>
        <w:tblLook w:val="04A0"/>
      </w:tblPr>
      <w:tblGrid>
        <w:gridCol w:w="2970"/>
        <w:gridCol w:w="1056"/>
        <w:gridCol w:w="1056"/>
        <w:gridCol w:w="1056"/>
        <w:gridCol w:w="1056"/>
        <w:gridCol w:w="1056"/>
        <w:gridCol w:w="1056"/>
        <w:gridCol w:w="222"/>
      </w:tblGrid>
      <w:tr w:rsidR="00EB52A8" w:rsidRPr="00EB52A8" w:rsidTr="00DD01FD">
        <w:trPr>
          <w:trHeight w:val="255"/>
        </w:trPr>
        <w:tc>
          <w:tcPr>
            <w:tcW w:w="9528" w:type="dxa"/>
            <w:gridSpan w:val="8"/>
            <w:tcBorders>
              <w:top w:val="nil"/>
              <w:left w:val="nil"/>
              <w:bottom w:val="nil"/>
              <w:right w:val="nil"/>
            </w:tcBorders>
            <w:shd w:val="clear" w:color="auto" w:fill="auto"/>
            <w:noWrap/>
            <w:vAlign w:val="bottom"/>
            <w:hideMark/>
          </w:tcPr>
          <w:p w:rsidR="0030603A" w:rsidRDefault="0030603A" w:rsidP="00EB52A8">
            <w:pPr>
              <w:rPr>
                <w:rFonts w:ascii="Arial" w:hAnsi="Arial" w:cs="Arial"/>
                <w:b/>
                <w:bCs/>
                <w:sz w:val="20"/>
                <w:szCs w:val="20"/>
                <w:lang w:val="en-AU" w:eastAsia="en-AU"/>
              </w:rPr>
            </w:pPr>
          </w:p>
          <w:p w:rsidR="00EB52A8" w:rsidRPr="00EB52A8" w:rsidRDefault="00EB52A8" w:rsidP="00EB52A8">
            <w:pPr>
              <w:rPr>
                <w:rFonts w:ascii="Arial" w:hAnsi="Arial" w:cs="Arial"/>
                <w:b/>
                <w:bCs/>
                <w:sz w:val="20"/>
                <w:szCs w:val="20"/>
                <w:lang w:val="en-AU" w:eastAsia="en-AU"/>
              </w:rPr>
            </w:pPr>
            <w:r w:rsidRPr="00EB52A8">
              <w:rPr>
                <w:rFonts w:ascii="Arial" w:hAnsi="Arial" w:cs="Arial"/>
                <w:b/>
                <w:bCs/>
                <w:sz w:val="20"/>
                <w:szCs w:val="20"/>
                <w:lang w:val="en-AU" w:eastAsia="en-AU"/>
              </w:rPr>
              <w:t>Table</w:t>
            </w:r>
            <w:r w:rsidR="00552C32">
              <w:rPr>
                <w:rFonts w:ascii="Arial" w:hAnsi="Arial" w:cs="Arial"/>
                <w:b/>
                <w:bCs/>
                <w:sz w:val="20"/>
                <w:szCs w:val="20"/>
                <w:lang w:val="en-AU" w:eastAsia="en-AU"/>
              </w:rPr>
              <w:t xml:space="preserve"> 6</w:t>
            </w:r>
            <w:r w:rsidRPr="00EB52A8">
              <w:rPr>
                <w:rFonts w:ascii="Arial" w:hAnsi="Arial" w:cs="Arial"/>
                <w:b/>
                <w:bCs/>
                <w:sz w:val="20"/>
                <w:szCs w:val="20"/>
                <w:lang w:val="en-AU" w:eastAsia="en-AU"/>
              </w:rPr>
              <w:t xml:space="preserve">: Estimated and Projected Life Expectancy at Birth, Males </w:t>
            </w:r>
            <w:r w:rsidR="00DD01FD">
              <w:rPr>
                <w:rFonts w:ascii="Arial" w:hAnsi="Arial" w:cs="Arial"/>
                <w:b/>
                <w:bCs/>
                <w:sz w:val="20"/>
                <w:szCs w:val="20"/>
                <w:lang w:val="en-AU" w:eastAsia="en-AU"/>
              </w:rPr>
              <w:t>and Females, 2011, 2026 and 2040</w:t>
            </w: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c>
          <w:tcPr>
            <w:tcW w:w="1056"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c>
          <w:tcPr>
            <w:tcW w:w="1056"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c>
          <w:tcPr>
            <w:tcW w:w="1056"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c>
          <w:tcPr>
            <w:tcW w:w="1056"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c>
          <w:tcPr>
            <w:tcW w:w="1056"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c>
          <w:tcPr>
            <w:tcW w:w="1056"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single" w:sz="4" w:space="0" w:color="auto"/>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 </w:t>
            </w:r>
          </w:p>
        </w:tc>
        <w:tc>
          <w:tcPr>
            <w:tcW w:w="3168" w:type="dxa"/>
            <w:gridSpan w:val="3"/>
            <w:tcBorders>
              <w:top w:val="single" w:sz="4" w:space="0" w:color="auto"/>
              <w:left w:val="nil"/>
              <w:bottom w:val="nil"/>
              <w:right w:val="nil"/>
            </w:tcBorders>
            <w:shd w:val="clear" w:color="auto" w:fill="auto"/>
            <w:noWrap/>
            <w:vAlign w:val="bottom"/>
            <w:hideMark/>
          </w:tcPr>
          <w:p w:rsidR="00EB52A8" w:rsidRPr="00EB52A8" w:rsidRDefault="00EB52A8" w:rsidP="00EB52A8">
            <w:pPr>
              <w:jc w:val="center"/>
              <w:rPr>
                <w:rFonts w:ascii="Arial" w:hAnsi="Arial" w:cs="Arial"/>
                <w:sz w:val="20"/>
                <w:szCs w:val="20"/>
                <w:lang w:val="en-AU" w:eastAsia="en-AU"/>
              </w:rPr>
            </w:pPr>
            <w:r w:rsidRPr="00EB52A8">
              <w:rPr>
                <w:rFonts w:ascii="Arial" w:hAnsi="Arial" w:cs="Arial"/>
                <w:sz w:val="20"/>
                <w:szCs w:val="20"/>
                <w:lang w:val="en-AU" w:eastAsia="en-AU"/>
              </w:rPr>
              <w:t>Males</w:t>
            </w:r>
          </w:p>
        </w:tc>
        <w:tc>
          <w:tcPr>
            <w:tcW w:w="3168" w:type="dxa"/>
            <w:gridSpan w:val="3"/>
            <w:tcBorders>
              <w:top w:val="single" w:sz="4" w:space="0" w:color="auto"/>
              <w:left w:val="nil"/>
              <w:bottom w:val="nil"/>
              <w:right w:val="nil"/>
            </w:tcBorders>
            <w:shd w:val="clear" w:color="auto" w:fill="auto"/>
            <w:noWrap/>
            <w:vAlign w:val="bottom"/>
            <w:hideMark/>
          </w:tcPr>
          <w:p w:rsidR="00EB52A8" w:rsidRPr="00EB52A8" w:rsidRDefault="00EB52A8" w:rsidP="00EB52A8">
            <w:pPr>
              <w:jc w:val="center"/>
              <w:rPr>
                <w:rFonts w:ascii="Arial" w:hAnsi="Arial" w:cs="Arial"/>
                <w:sz w:val="20"/>
                <w:szCs w:val="20"/>
                <w:lang w:val="en-AU" w:eastAsia="en-AU"/>
              </w:rPr>
            </w:pPr>
            <w:r w:rsidRPr="00EB52A8">
              <w:rPr>
                <w:rFonts w:ascii="Arial" w:hAnsi="Arial" w:cs="Arial"/>
                <w:sz w:val="20"/>
                <w:szCs w:val="20"/>
                <w:lang w:val="en-AU" w:eastAsia="en-AU"/>
              </w:rPr>
              <w:t>Females</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single" w:sz="4" w:space="0" w:color="auto"/>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 </w:t>
            </w:r>
          </w:p>
        </w:tc>
        <w:tc>
          <w:tcPr>
            <w:tcW w:w="1056" w:type="dxa"/>
            <w:tcBorders>
              <w:top w:val="nil"/>
              <w:left w:val="nil"/>
              <w:bottom w:val="single" w:sz="4" w:space="0" w:color="auto"/>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2011</w:t>
            </w:r>
          </w:p>
        </w:tc>
        <w:tc>
          <w:tcPr>
            <w:tcW w:w="1056" w:type="dxa"/>
            <w:tcBorders>
              <w:top w:val="nil"/>
              <w:left w:val="nil"/>
              <w:bottom w:val="single" w:sz="4" w:space="0" w:color="auto"/>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2026</w:t>
            </w:r>
          </w:p>
        </w:tc>
        <w:tc>
          <w:tcPr>
            <w:tcW w:w="1056" w:type="dxa"/>
            <w:tcBorders>
              <w:top w:val="nil"/>
              <w:left w:val="nil"/>
              <w:bottom w:val="single" w:sz="4" w:space="0" w:color="auto"/>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2040</w:t>
            </w:r>
          </w:p>
        </w:tc>
        <w:tc>
          <w:tcPr>
            <w:tcW w:w="1056" w:type="dxa"/>
            <w:tcBorders>
              <w:top w:val="nil"/>
              <w:left w:val="nil"/>
              <w:bottom w:val="single" w:sz="4" w:space="0" w:color="auto"/>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2011</w:t>
            </w:r>
          </w:p>
        </w:tc>
        <w:tc>
          <w:tcPr>
            <w:tcW w:w="1056" w:type="dxa"/>
            <w:tcBorders>
              <w:top w:val="nil"/>
              <w:left w:val="nil"/>
              <w:bottom w:val="single" w:sz="4" w:space="0" w:color="auto"/>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2026</w:t>
            </w:r>
          </w:p>
        </w:tc>
        <w:tc>
          <w:tcPr>
            <w:tcW w:w="1056" w:type="dxa"/>
            <w:tcBorders>
              <w:top w:val="nil"/>
              <w:left w:val="nil"/>
              <w:bottom w:val="single" w:sz="4" w:space="0" w:color="auto"/>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2040</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1. Greater Sydney</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80.2</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83.9</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85.8</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84.4</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86.7</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87.8</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2. Rest of NSW</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78.9</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82.4</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84.1</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83.4</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85.6</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86.7</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3. Greater Melbourne</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80.5</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84.3</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86.2</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84.5</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86.9</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88.0</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4. Rest of Vic.</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79.1</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82.6</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84.4</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83.6</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85.8</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86.8</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5. Greater Brisbane</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79.7</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83.3</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85.1</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84.2</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86.5</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87.6</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6. Rest of Qld</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79.5</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83.0</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84.9</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84.2</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86.5</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87.6</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7. Greater Adelaide</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79.9</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83.6</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85.5</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84.2</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86.5</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87.6</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8. Rest of SA</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79.4</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83.0</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84.8</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83.8</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86.0</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87.1</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9. Greater Perth</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80.4</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84.2</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86.1</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84.8</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87.2</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88.3</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10. Rest of WA</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79.3</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82.8</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84.6</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84.2</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86.6</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87.7</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11. Greater Hobart</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79.4</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82.9</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84.7</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83.4</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85.6</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86.6</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12. Rest of Tas.</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78.9</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82.3</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84.0</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82.9</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85.0</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86.0</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13. NT</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74.9</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77.8</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79.3</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80.4</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82.4</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83.4</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14. SEQ</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79.9</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83.6</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85.4</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84.5</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86.8</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87.9</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15. ACT</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81.0</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84.9</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86.9</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84.4</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86.8</w:t>
            </w:r>
          </w:p>
        </w:tc>
        <w:tc>
          <w:tcPr>
            <w:tcW w:w="1056" w:type="dxa"/>
            <w:tcBorders>
              <w:top w:val="nil"/>
              <w:left w:val="nil"/>
              <w:bottom w:val="nil"/>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87.9</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single" w:sz="4" w:space="0" w:color="auto"/>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r w:rsidRPr="00EB52A8">
              <w:rPr>
                <w:rFonts w:ascii="Arial" w:hAnsi="Arial" w:cs="Arial"/>
                <w:sz w:val="20"/>
                <w:szCs w:val="20"/>
                <w:lang w:val="en-AU" w:eastAsia="en-AU"/>
              </w:rPr>
              <w:t>Australia</w:t>
            </w:r>
          </w:p>
        </w:tc>
        <w:tc>
          <w:tcPr>
            <w:tcW w:w="1056" w:type="dxa"/>
            <w:tcBorders>
              <w:top w:val="nil"/>
              <w:left w:val="nil"/>
              <w:bottom w:val="single" w:sz="4" w:space="0" w:color="auto"/>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79.8</w:t>
            </w:r>
          </w:p>
        </w:tc>
        <w:tc>
          <w:tcPr>
            <w:tcW w:w="1056" w:type="dxa"/>
            <w:tcBorders>
              <w:top w:val="nil"/>
              <w:left w:val="nil"/>
              <w:bottom w:val="single" w:sz="4" w:space="0" w:color="auto"/>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83.4</w:t>
            </w:r>
          </w:p>
        </w:tc>
        <w:tc>
          <w:tcPr>
            <w:tcW w:w="1056" w:type="dxa"/>
            <w:tcBorders>
              <w:top w:val="nil"/>
              <w:left w:val="nil"/>
              <w:bottom w:val="single" w:sz="4" w:space="0" w:color="auto"/>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85.3</w:t>
            </w:r>
          </w:p>
        </w:tc>
        <w:tc>
          <w:tcPr>
            <w:tcW w:w="1056" w:type="dxa"/>
            <w:tcBorders>
              <w:top w:val="nil"/>
              <w:left w:val="nil"/>
              <w:bottom w:val="single" w:sz="4" w:space="0" w:color="auto"/>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84.1</w:t>
            </w:r>
          </w:p>
        </w:tc>
        <w:tc>
          <w:tcPr>
            <w:tcW w:w="1056" w:type="dxa"/>
            <w:tcBorders>
              <w:top w:val="nil"/>
              <w:left w:val="nil"/>
              <w:bottom w:val="single" w:sz="4" w:space="0" w:color="auto"/>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86.4</w:t>
            </w:r>
          </w:p>
        </w:tc>
        <w:tc>
          <w:tcPr>
            <w:tcW w:w="1056" w:type="dxa"/>
            <w:tcBorders>
              <w:top w:val="nil"/>
              <w:left w:val="nil"/>
              <w:bottom w:val="single" w:sz="4" w:space="0" w:color="auto"/>
              <w:right w:val="nil"/>
            </w:tcBorders>
            <w:shd w:val="clear" w:color="auto" w:fill="auto"/>
            <w:noWrap/>
            <w:vAlign w:val="bottom"/>
            <w:hideMark/>
          </w:tcPr>
          <w:p w:rsidR="00EB52A8" w:rsidRPr="00EB52A8" w:rsidRDefault="00EB52A8" w:rsidP="00EB52A8">
            <w:pPr>
              <w:jc w:val="right"/>
              <w:rPr>
                <w:rFonts w:ascii="Arial" w:hAnsi="Arial" w:cs="Arial"/>
                <w:sz w:val="20"/>
                <w:szCs w:val="20"/>
                <w:lang w:val="en-AU" w:eastAsia="en-AU"/>
              </w:rPr>
            </w:pPr>
            <w:r w:rsidRPr="00EB52A8">
              <w:rPr>
                <w:rFonts w:ascii="Arial" w:hAnsi="Arial" w:cs="Arial"/>
                <w:sz w:val="20"/>
                <w:szCs w:val="20"/>
                <w:lang w:val="en-AU" w:eastAsia="en-AU"/>
              </w:rPr>
              <w:t>87.5</w:t>
            </w: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r w:rsidR="0043341C" w:rsidRPr="00EB52A8" w:rsidTr="00B755DE">
        <w:trPr>
          <w:trHeight w:val="255"/>
        </w:trPr>
        <w:tc>
          <w:tcPr>
            <w:tcW w:w="9306" w:type="dxa"/>
            <w:gridSpan w:val="7"/>
            <w:tcBorders>
              <w:top w:val="nil"/>
              <w:left w:val="nil"/>
              <w:bottom w:val="nil"/>
              <w:right w:val="nil"/>
            </w:tcBorders>
            <w:shd w:val="clear" w:color="auto" w:fill="auto"/>
            <w:noWrap/>
            <w:vAlign w:val="bottom"/>
            <w:hideMark/>
          </w:tcPr>
          <w:p w:rsidR="0043341C" w:rsidRPr="00CA2AA5" w:rsidRDefault="0043341C" w:rsidP="0043341C">
            <w:pPr>
              <w:rPr>
                <w:sz w:val="20"/>
                <w:szCs w:val="20"/>
              </w:rPr>
            </w:pPr>
            <w:r w:rsidRPr="00CA2AA5">
              <w:rPr>
                <w:sz w:val="20"/>
                <w:szCs w:val="20"/>
              </w:rPr>
              <w:t>Source:</w:t>
            </w:r>
            <w:r>
              <w:rPr>
                <w:sz w:val="20"/>
                <w:szCs w:val="20"/>
              </w:rPr>
              <w:t xml:space="preserve"> Authors calculations based on ABS supplied data.</w:t>
            </w:r>
          </w:p>
          <w:p w:rsidR="0043341C" w:rsidRPr="00EB52A8" w:rsidRDefault="0043341C" w:rsidP="00EB52A8">
            <w:pPr>
              <w:rPr>
                <w:rFonts w:ascii="Arial" w:hAnsi="Arial" w:cs="Arial"/>
                <w:sz w:val="20"/>
                <w:szCs w:val="20"/>
                <w:lang w:val="en-AU" w:eastAsia="en-AU"/>
              </w:rPr>
            </w:pPr>
          </w:p>
        </w:tc>
        <w:tc>
          <w:tcPr>
            <w:tcW w:w="222" w:type="dxa"/>
            <w:tcBorders>
              <w:top w:val="nil"/>
              <w:left w:val="nil"/>
              <w:bottom w:val="nil"/>
              <w:right w:val="nil"/>
            </w:tcBorders>
            <w:shd w:val="clear" w:color="auto" w:fill="auto"/>
            <w:noWrap/>
            <w:vAlign w:val="bottom"/>
            <w:hideMark/>
          </w:tcPr>
          <w:p w:rsidR="0043341C" w:rsidRPr="00EB52A8" w:rsidRDefault="0043341C" w:rsidP="00EB52A8">
            <w:pPr>
              <w:rPr>
                <w:rFonts w:ascii="Arial" w:hAnsi="Arial" w:cs="Arial"/>
                <w:sz w:val="20"/>
                <w:szCs w:val="20"/>
                <w:lang w:val="en-AU" w:eastAsia="en-AU"/>
              </w:rPr>
            </w:pPr>
          </w:p>
        </w:tc>
      </w:tr>
      <w:tr w:rsidR="00EB52A8" w:rsidRPr="00EB52A8" w:rsidTr="00DD01FD">
        <w:trPr>
          <w:trHeight w:val="255"/>
        </w:trPr>
        <w:tc>
          <w:tcPr>
            <w:tcW w:w="2970"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c>
          <w:tcPr>
            <w:tcW w:w="1056"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c>
          <w:tcPr>
            <w:tcW w:w="1056"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c>
          <w:tcPr>
            <w:tcW w:w="1056"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c>
          <w:tcPr>
            <w:tcW w:w="1056"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c>
          <w:tcPr>
            <w:tcW w:w="1056"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c>
          <w:tcPr>
            <w:tcW w:w="1056"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c>
          <w:tcPr>
            <w:tcW w:w="222" w:type="dxa"/>
            <w:tcBorders>
              <w:top w:val="nil"/>
              <w:left w:val="nil"/>
              <w:bottom w:val="nil"/>
              <w:right w:val="nil"/>
            </w:tcBorders>
            <w:shd w:val="clear" w:color="auto" w:fill="auto"/>
            <w:noWrap/>
            <w:vAlign w:val="bottom"/>
            <w:hideMark/>
          </w:tcPr>
          <w:p w:rsidR="00EB52A8" w:rsidRPr="00EB52A8" w:rsidRDefault="00EB52A8" w:rsidP="00EB52A8">
            <w:pPr>
              <w:rPr>
                <w:rFonts w:ascii="Arial" w:hAnsi="Arial" w:cs="Arial"/>
                <w:sz w:val="20"/>
                <w:szCs w:val="20"/>
                <w:lang w:val="en-AU" w:eastAsia="en-AU"/>
              </w:rPr>
            </w:pPr>
          </w:p>
        </w:tc>
      </w:tr>
    </w:tbl>
    <w:p w:rsidR="00457F18" w:rsidRDefault="00457F18" w:rsidP="00457F18">
      <w:pPr>
        <w:rPr>
          <w:rFonts w:ascii="Arial" w:hAnsi="Arial" w:cs="Arial"/>
          <w:sz w:val="20"/>
          <w:szCs w:val="20"/>
        </w:rPr>
      </w:pPr>
    </w:p>
    <w:p w:rsidR="00457F18" w:rsidRPr="00457F18" w:rsidRDefault="00457F18" w:rsidP="00457F18">
      <w:pPr>
        <w:rPr>
          <w:b/>
        </w:rPr>
      </w:pPr>
      <w:r w:rsidRPr="00457F18">
        <w:rPr>
          <w:b/>
        </w:rPr>
        <w:t>Households, Dwelling Types and Tenure Types: Assumptions</w:t>
      </w:r>
    </w:p>
    <w:p w:rsidR="00457F18" w:rsidRPr="00457F18" w:rsidRDefault="00457F18" w:rsidP="00457F18"/>
    <w:p w:rsidR="00457F18" w:rsidRPr="00457F18" w:rsidRDefault="00457F18" w:rsidP="00DC7242">
      <w:pPr>
        <w:jc w:val="both"/>
      </w:pPr>
      <w:r w:rsidRPr="00457F18">
        <w:t xml:space="preserve">The </w:t>
      </w:r>
      <w:r w:rsidR="002834FA">
        <w:t>2006-</w:t>
      </w:r>
      <w:r w:rsidRPr="00457F18">
        <w:t>2</w:t>
      </w:r>
      <w:r w:rsidR="002834FA">
        <w:t>011 HCT net transition probabilities by region, age and sex are</w:t>
      </w:r>
      <w:r w:rsidRPr="00457F18">
        <w:t xml:space="preserve"> assumed to remain constant throughout the projection period.</w:t>
      </w:r>
      <w:r w:rsidR="005A54AC">
        <w:rPr>
          <w:rStyle w:val="FootnoteReference"/>
        </w:rPr>
        <w:footnoteReference w:id="1"/>
      </w:r>
    </w:p>
    <w:p w:rsidR="00724C5A" w:rsidRPr="00457F18" w:rsidRDefault="00724C5A" w:rsidP="00DC7242">
      <w:pPr>
        <w:jc w:val="both"/>
        <w:rPr>
          <w:lang w:val="en-AU"/>
        </w:rPr>
      </w:pPr>
    </w:p>
    <w:p w:rsidR="006D28AC" w:rsidRPr="00457F18" w:rsidRDefault="00457F18" w:rsidP="00DC7242">
      <w:pPr>
        <w:jc w:val="both"/>
      </w:pPr>
      <w:r w:rsidRPr="00457F18">
        <w:t>The 2011 Census distributions of dwelling type by region, type of household and age o</w:t>
      </w:r>
      <w:r w:rsidR="002834FA">
        <w:t>f the reference person are</w:t>
      </w:r>
      <w:r w:rsidRPr="00457F18">
        <w:t xml:space="preserve"> assumed to remain constant throughout the projection period.</w:t>
      </w:r>
    </w:p>
    <w:p w:rsidR="00457F18" w:rsidRPr="00457F18" w:rsidRDefault="00457F18" w:rsidP="00DC7242">
      <w:pPr>
        <w:jc w:val="both"/>
      </w:pPr>
    </w:p>
    <w:p w:rsidR="00606AB5" w:rsidRDefault="00457F18" w:rsidP="00DC7242">
      <w:pPr>
        <w:jc w:val="both"/>
      </w:pPr>
      <w:r w:rsidRPr="00457F18">
        <w:t xml:space="preserve">The 2011 Census distributions of tenure type by region, dwelling type, type of household and </w:t>
      </w:r>
      <w:r w:rsidR="002834FA">
        <w:t>age of the reference person are</w:t>
      </w:r>
      <w:r w:rsidRPr="00457F18">
        <w:t xml:space="preserve"> assumed to remain constant across the projection period.</w:t>
      </w:r>
    </w:p>
    <w:p w:rsidR="009C117D" w:rsidRDefault="009C117D" w:rsidP="00DC7242">
      <w:pPr>
        <w:jc w:val="both"/>
      </w:pPr>
    </w:p>
    <w:p w:rsidR="009C117D" w:rsidRDefault="009C117D" w:rsidP="00DC7242">
      <w:pPr>
        <w:jc w:val="both"/>
      </w:pPr>
      <w:r>
        <w:t xml:space="preserve">The </w:t>
      </w:r>
      <w:r w:rsidR="002834FA">
        <w:t xml:space="preserve">probabilities and </w:t>
      </w:r>
      <w:r>
        <w:t xml:space="preserve">distributions referred to above do not change very much from census to census. The small changes that occur between censuses are both upwards and downwards </w:t>
      </w:r>
      <w:r w:rsidR="002834FA">
        <w:t xml:space="preserve">in unpredictable ways </w:t>
      </w:r>
      <w:r>
        <w:t xml:space="preserve">as we observe these distributions from 1991 through to 2011. </w:t>
      </w:r>
      <w:r w:rsidR="002834FA">
        <w:t xml:space="preserve">In this circumstance, in our assessment, it is better to assume that the distributions remain as they were at the most recent census. This also aids interpretation of the results as the projections are then the housing needs that would be required if patterns of behavior remain the same as they were at the time of the most recent census. Movements </w:t>
      </w:r>
      <w:r w:rsidR="002834FA">
        <w:lastRenderedPageBreak/>
        <w:t xml:space="preserve">across </w:t>
      </w:r>
      <w:proofErr w:type="spellStart"/>
      <w:r w:rsidR="002834FA">
        <w:t>intercensal</w:t>
      </w:r>
      <w:proofErr w:type="spellEnd"/>
      <w:r w:rsidR="002834FA">
        <w:t xml:space="preserve"> periods of the main HCT net transition probabilities are discussed in Appendix 2 to this report.</w:t>
      </w:r>
      <w:r>
        <w:t xml:space="preserve"> </w:t>
      </w:r>
    </w:p>
    <w:p w:rsidR="001F2F04" w:rsidRPr="009765D3" w:rsidRDefault="001F2F04" w:rsidP="001F2F04">
      <w:pPr>
        <w:jc w:val="center"/>
        <w:rPr>
          <w:b/>
        </w:rPr>
      </w:pPr>
      <w:r w:rsidRPr="009765D3">
        <w:rPr>
          <w:b/>
        </w:rPr>
        <w:t>PROJECTION RESULTS</w:t>
      </w:r>
    </w:p>
    <w:p w:rsidR="002C62AE" w:rsidRDefault="002C62AE" w:rsidP="001F2F04">
      <w:pPr>
        <w:rPr>
          <w:b/>
        </w:rPr>
      </w:pPr>
    </w:p>
    <w:p w:rsidR="001B0E27" w:rsidRDefault="001B0E27" w:rsidP="001F2F04">
      <w:pPr>
        <w:rPr>
          <w:b/>
        </w:rPr>
      </w:pPr>
    </w:p>
    <w:p w:rsidR="001B0E27" w:rsidRDefault="001B0E27" w:rsidP="001F2F04">
      <w:pPr>
        <w:rPr>
          <w:b/>
        </w:rPr>
      </w:pPr>
      <w:r>
        <w:rPr>
          <w:b/>
        </w:rPr>
        <w:t>Population</w:t>
      </w:r>
      <w:r w:rsidR="00EE3DC8">
        <w:rPr>
          <w:b/>
        </w:rPr>
        <w:t xml:space="preserve"> and Households: Australia</w:t>
      </w:r>
    </w:p>
    <w:p w:rsidR="001B0E27" w:rsidRDefault="001B0E27" w:rsidP="00DC7242">
      <w:pPr>
        <w:jc w:val="both"/>
      </w:pPr>
    </w:p>
    <w:p w:rsidR="003A3F28" w:rsidRDefault="00611B2B" w:rsidP="00DC7242">
      <w:pPr>
        <w:jc w:val="both"/>
      </w:pPr>
      <w:r>
        <w:t>In this projection, the results for Australia have been obtained by summing the 14 separate projections for the geographic units</w:t>
      </w:r>
      <w:r w:rsidR="003A3F28">
        <w:t xml:space="preserve"> of Australia. The results from this summation were checked against direct Australia-level projections and the differences for both total population and total households differed by less than 0.2 per cent by 2041. This confirms the reliability of using the summation approach.</w:t>
      </w:r>
    </w:p>
    <w:p w:rsidR="003A3F28" w:rsidRDefault="003A3F28" w:rsidP="00DC7242">
      <w:pPr>
        <w:jc w:val="both"/>
      </w:pPr>
    </w:p>
    <w:p w:rsidR="00611B2B" w:rsidRDefault="003A3F28" w:rsidP="00DC7242">
      <w:pPr>
        <w:jc w:val="both"/>
      </w:pPr>
      <w:r>
        <w:t>The projected population of Australia is shown for the three scenarios in Figure 3. As the assumptions are the same in the three scenarios to 2017, the projected populations are also the same. The end point populations in 2041 are 31.2 million for the Low scenario, 33.9 million for the M</w:t>
      </w:r>
      <w:r w:rsidR="00EE3DC8">
        <w:t>edium scenario and 35.</w:t>
      </w:r>
      <w:r>
        <w:t>3 million for the High scenario.</w:t>
      </w:r>
      <w:r w:rsidR="00EE3DC8">
        <w:t xml:space="preserve"> </w:t>
      </w:r>
      <w:r w:rsidR="00611B2B">
        <w:t xml:space="preserve"> </w:t>
      </w:r>
    </w:p>
    <w:p w:rsidR="00611B2B" w:rsidRDefault="00611B2B" w:rsidP="001F2F04"/>
    <w:tbl>
      <w:tblPr>
        <w:tblW w:w="6752" w:type="dxa"/>
        <w:tblInd w:w="108" w:type="dxa"/>
        <w:tblLook w:val="04A0"/>
      </w:tblPr>
      <w:tblGrid>
        <w:gridCol w:w="5601"/>
        <w:gridCol w:w="222"/>
        <w:gridCol w:w="222"/>
        <w:gridCol w:w="222"/>
        <w:gridCol w:w="222"/>
        <w:gridCol w:w="222"/>
        <w:gridCol w:w="976"/>
      </w:tblGrid>
      <w:tr w:rsidR="00611B2B" w:rsidTr="00611B2B">
        <w:trPr>
          <w:trHeight w:val="255"/>
        </w:trPr>
        <w:tc>
          <w:tcPr>
            <w:tcW w:w="5776" w:type="dxa"/>
            <w:gridSpan w:val="6"/>
            <w:tcBorders>
              <w:top w:val="nil"/>
              <w:left w:val="nil"/>
              <w:bottom w:val="nil"/>
              <w:right w:val="nil"/>
            </w:tcBorders>
            <w:shd w:val="clear" w:color="auto" w:fill="auto"/>
            <w:noWrap/>
            <w:vAlign w:val="bottom"/>
            <w:hideMark/>
          </w:tcPr>
          <w:p w:rsidR="00611B2B" w:rsidRDefault="00611B2B">
            <w:pPr>
              <w:rPr>
                <w:rFonts w:ascii="Arial" w:hAnsi="Arial" w:cs="Arial"/>
                <w:b/>
                <w:bCs/>
                <w:sz w:val="20"/>
                <w:szCs w:val="20"/>
              </w:rPr>
            </w:pPr>
            <w:r>
              <w:rPr>
                <w:rFonts w:ascii="Arial" w:hAnsi="Arial" w:cs="Arial"/>
                <w:b/>
                <w:bCs/>
                <w:sz w:val="20"/>
                <w:szCs w:val="20"/>
              </w:rPr>
              <w:t>Figure 3: Projected Population,</w:t>
            </w:r>
            <w:r w:rsidR="00BF6DEC">
              <w:rPr>
                <w:rFonts w:ascii="Arial" w:hAnsi="Arial" w:cs="Arial"/>
                <w:b/>
                <w:bCs/>
                <w:sz w:val="20"/>
                <w:szCs w:val="20"/>
              </w:rPr>
              <w:t xml:space="preserve"> Australia,</w:t>
            </w:r>
            <w:r>
              <w:rPr>
                <w:rFonts w:ascii="Arial" w:hAnsi="Arial" w:cs="Arial"/>
                <w:b/>
                <w:bCs/>
                <w:sz w:val="20"/>
                <w:szCs w:val="20"/>
              </w:rPr>
              <w:t xml:space="preserve"> Low, Medium and High</w:t>
            </w: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r>
              <w:rPr>
                <w:rFonts w:ascii="Arial" w:hAnsi="Arial" w:cs="Arial"/>
                <w:noProof/>
                <w:sz w:val="20"/>
                <w:szCs w:val="20"/>
                <w:lang w:val="en-AU" w:eastAsia="en-AU"/>
              </w:rPr>
              <w:drawing>
                <wp:anchor distT="0" distB="0" distL="114300" distR="114300" simplePos="0" relativeHeight="251662336" behindDoc="0" locked="0" layoutInCell="1" allowOverlap="1">
                  <wp:simplePos x="0" y="0"/>
                  <wp:positionH relativeFrom="column">
                    <wp:posOffset>9525</wp:posOffset>
                  </wp:positionH>
                  <wp:positionV relativeFrom="paragraph">
                    <wp:posOffset>76200</wp:posOffset>
                  </wp:positionV>
                  <wp:extent cx="4219575" cy="3248025"/>
                  <wp:effectExtent l="0" t="0" r="0" b="0"/>
                  <wp:wrapNone/>
                  <wp:docPr id="2053" name="Chart 20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bl>
            <w:tblPr>
              <w:tblW w:w="0" w:type="auto"/>
              <w:tblCellSpacing w:w="0" w:type="dxa"/>
              <w:tblCellMar>
                <w:left w:w="0" w:type="dxa"/>
                <w:right w:w="0" w:type="dxa"/>
              </w:tblCellMar>
              <w:tblLook w:val="04A0"/>
            </w:tblPr>
            <w:tblGrid>
              <w:gridCol w:w="960"/>
            </w:tblGrid>
            <w:tr w:rsidR="00611B2B">
              <w:trPr>
                <w:trHeight w:val="255"/>
                <w:tblCellSpacing w:w="0" w:type="dxa"/>
              </w:trPr>
              <w:tc>
                <w:tcPr>
                  <w:tcW w:w="960"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bl>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r w:rsidR="00611B2B" w:rsidTr="00611B2B">
        <w:trPr>
          <w:trHeight w:val="255"/>
        </w:trPr>
        <w:tc>
          <w:tcPr>
            <w:tcW w:w="5601" w:type="dxa"/>
            <w:tcBorders>
              <w:top w:val="nil"/>
              <w:left w:val="nil"/>
              <w:bottom w:val="nil"/>
              <w:right w:val="nil"/>
            </w:tcBorders>
            <w:shd w:val="clear" w:color="auto" w:fill="auto"/>
            <w:noWrap/>
            <w:vAlign w:val="bottom"/>
            <w:hideMark/>
          </w:tcPr>
          <w:p w:rsidR="00611B2B" w:rsidRDefault="0043341C">
            <w:pPr>
              <w:rPr>
                <w:rFonts w:ascii="Arial" w:hAnsi="Arial" w:cs="Arial"/>
                <w:sz w:val="20"/>
                <w:szCs w:val="20"/>
              </w:rPr>
            </w:pPr>
            <w:r w:rsidRPr="00CA2AA5">
              <w:rPr>
                <w:sz w:val="20"/>
                <w:szCs w:val="20"/>
              </w:rPr>
              <w:t>Source:</w:t>
            </w:r>
            <w:r>
              <w:rPr>
                <w:sz w:val="20"/>
                <w:szCs w:val="20"/>
              </w:rPr>
              <w:t xml:space="preserve"> Authors calculations</w:t>
            </w: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11B2B" w:rsidRDefault="00611B2B">
            <w:pPr>
              <w:rPr>
                <w:rFonts w:ascii="Arial" w:hAnsi="Arial" w:cs="Arial"/>
                <w:sz w:val="20"/>
                <w:szCs w:val="20"/>
              </w:rPr>
            </w:pPr>
          </w:p>
        </w:tc>
      </w:tr>
    </w:tbl>
    <w:p w:rsidR="00611B2B" w:rsidRPr="001B0E27" w:rsidRDefault="00611B2B" w:rsidP="001F2F04"/>
    <w:p w:rsidR="001B0E27" w:rsidRPr="001B0E27" w:rsidRDefault="00EE3DC8" w:rsidP="00DC7242">
      <w:pPr>
        <w:jc w:val="both"/>
      </w:pPr>
      <w:r>
        <w:t>The projection results for Australian households are shown in Figure 4. Total households increase from 8.7 million in 2001 to 13.1 million according to the Low scenario, to 14.1 million for the Medium scenario and to 14.6 million for the High scenario.</w:t>
      </w:r>
      <w:r w:rsidR="00BF6DEC">
        <w:t xml:space="preserve"> Average household size changes from 2.57 persons per household in 2011 to 2.38 in the Low scenario, 2.41 in the Medium scenario and 2.42 in the High scenario. Thus, migration has </w:t>
      </w:r>
      <w:r w:rsidR="00BF6DEC">
        <w:lastRenderedPageBreak/>
        <w:t xml:space="preserve">a small positive impact on average household size because of the younger age distribution of migrants. </w:t>
      </w:r>
    </w:p>
    <w:p w:rsidR="001B0E27" w:rsidRPr="001B0E27" w:rsidRDefault="001B0E27" w:rsidP="001F2F04"/>
    <w:p w:rsidR="00BF6DEC" w:rsidRDefault="00BF6DEC" w:rsidP="001F2F04">
      <w:pPr>
        <w:rPr>
          <w:b/>
        </w:rPr>
      </w:pPr>
      <w:proofErr w:type="gramStart"/>
      <w:r>
        <w:rPr>
          <w:b/>
        </w:rPr>
        <w:t>Figure 4.</w:t>
      </w:r>
      <w:proofErr w:type="gramEnd"/>
      <w:r>
        <w:rPr>
          <w:b/>
        </w:rPr>
        <w:t xml:space="preserve"> Projected Households, Australia, Low Medium and High</w:t>
      </w:r>
    </w:p>
    <w:p w:rsidR="00BF6DEC" w:rsidRDefault="00BF6DEC" w:rsidP="001F2F04">
      <w:pPr>
        <w:rPr>
          <w:b/>
        </w:rPr>
      </w:pPr>
    </w:p>
    <w:p w:rsidR="00BF6DEC" w:rsidRDefault="00BF6DEC" w:rsidP="001F2F04">
      <w:pPr>
        <w:rPr>
          <w:b/>
        </w:rPr>
      </w:pPr>
      <w:r>
        <w:rPr>
          <w:noProof/>
          <w:lang w:val="en-AU" w:eastAsia="en-AU"/>
        </w:rPr>
        <w:drawing>
          <wp:inline distT="0" distB="0" distL="0" distR="0">
            <wp:extent cx="4267200" cy="2762250"/>
            <wp:effectExtent l="0" t="0" r="19050" b="190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F6DEC" w:rsidRDefault="0043341C" w:rsidP="001F2F04">
      <w:pPr>
        <w:rPr>
          <w:b/>
        </w:rPr>
      </w:pPr>
      <w:r w:rsidRPr="00CA2AA5">
        <w:rPr>
          <w:sz w:val="20"/>
          <w:szCs w:val="20"/>
        </w:rPr>
        <w:t>Source:</w:t>
      </w:r>
      <w:r>
        <w:rPr>
          <w:sz w:val="20"/>
          <w:szCs w:val="20"/>
        </w:rPr>
        <w:t xml:space="preserve"> Authors calculations</w:t>
      </w:r>
    </w:p>
    <w:p w:rsidR="00BF6DEC" w:rsidRDefault="00BF6DEC" w:rsidP="001F2F04">
      <w:pPr>
        <w:rPr>
          <w:b/>
        </w:rPr>
      </w:pPr>
    </w:p>
    <w:p w:rsidR="00BF6DEC" w:rsidRDefault="00BF6DEC" w:rsidP="001F2F04">
      <w:pPr>
        <w:rPr>
          <w:b/>
        </w:rPr>
      </w:pPr>
    </w:p>
    <w:p w:rsidR="001F2F04" w:rsidRPr="006D28AC" w:rsidRDefault="002B5C15" w:rsidP="001F2F04">
      <w:pPr>
        <w:rPr>
          <w:b/>
        </w:rPr>
      </w:pPr>
      <w:r>
        <w:rPr>
          <w:b/>
        </w:rPr>
        <w:t>Projected households by type</w:t>
      </w:r>
    </w:p>
    <w:p w:rsidR="001F2F04" w:rsidRDefault="001F2F04" w:rsidP="001F2F04"/>
    <w:p w:rsidR="002C62AE" w:rsidRDefault="002C62AE" w:rsidP="00DC7242">
      <w:pPr>
        <w:jc w:val="both"/>
      </w:pPr>
      <w:r w:rsidRPr="002C62AE">
        <w:t>In the results section of th</w:t>
      </w:r>
      <w:r>
        <w:t>e</w:t>
      </w:r>
      <w:r w:rsidRPr="002C62AE">
        <w:t xml:space="preserve"> text, results will be shown for the three scenarios at the Australian level and then regional results will be shown only for the medium level projection.</w:t>
      </w:r>
    </w:p>
    <w:p w:rsidR="00394DDB" w:rsidRDefault="00394DDB" w:rsidP="00DC7242">
      <w:pPr>
        <w:jc w:val="both"/>
      </w:pPr>
    </w:p>
    <w:p w:rsidR="002C62AE" w:rsidRDefault="00552C32" w:rsidP="00DC7242">
      <w:pPr>
        <w:jc w:val="both"/>
      </w:pPr>
      <w:r>
        <w:t>Table 7</w:t>
      </w:r>
      <w:r w:rsidR="002C62AE">
        <w:t xml:space="preserve"> shows the growth in households by type across the three scenarios and two projection periods. For total households, the </w:t>
      </w:r>
      <w:r w:rsidR="00F8697B">
        <w:t xml:space="preserve">projected growth varies across the three scenarios from 28 to 32 per cent between 2011 and 2026 and between 18 to 27 per cent between 2026 and 2041. </w:t>
      </w:r>
      <w:r w:rsidR="00544D11">
        <w:t xml:space="preserve">The difference in the growth rates between the Medium and High scenarios is relatively small in both projection periods. </w:t>
      </w:r>
      <w:r w:rsidR="00F8697B">
        <w:t xml:space="preserve">The lack of variation </w:t>
      </w:r>
      <w:r w:rsidR="00544D11">
        <w:t xml:space="preserve">across the scenarios </w:t>
      </w:r>
      <w:r w:rsidR="00F8697B">
        <w:t>in the first period reflects the fact that the migration assumptio</w:t>
      </w:r>
      <w:r w:rsidR="00544D11">
        <w:t>ns do not vary in the first half</w:t>
      </w:r>
      <w:r w:rsidR="00F8697B">
        <w:t xml:space="preserve"> of this period. However, the growth of households is larger in the first period than in the second even for the High projection which has a higher level of migration in the second period than in the first. This probably </w:t>
      </w:r>
      <w:r w:rsidR="0030603A">
        <w:t>reflects</w:t>
      </w:r>
      <w:r w:rsidR="00135853">
        <w:t xml:space="preserve"> the impact of the increasing n</w:t>
      </w:r>
      <w:r w:rsidR="0030603A">
        <w:t>umbers of deaths</w:t>
      </w:r>
      <w:r w:rsidR="00F8697B">
        <w:t xml:space="preserve"> </w:t>
      </w:r>
      <w:r w:rsidR="00135853">
        <w:t xml:space="preserve">of older persons </w:t>
      </w:r>
      <w:r w:rsidR="00F8697B">
        <w:t xml:space="preserve">in the latter period as suggested by the lower </w:t>
      </w:r>
      <w:r w:rsidR="00135853">
        <w:t xml:space="preserve">rate of </w:t>
      </w:r>
      <w:r w:rsidR="00F8697B">
        <w:t>growth of lone person household</w:t>
      </w:r>
      <w:r w:rsidR="00135853">
        <w:t xml:space="preserve">s in the 2026-41 </w:t>
      </w:r>
      <w:proofErr w:type="gramStart"/>
      <w:r w:rsidR="00135853">
        <w:t>period</w:t>
      </w:r>
      <w:proofErr w:type="gramEnd"/>
      <w:r w:rsidR="00F8697B">
        <w:t>.</w:t>
      </w:r>
      <w:r w:rsidR="001E0847">
        <w:t xml:space="preserve"> </w:t>
      </w:r>
    </w:p>
    <w:p w:rsidR="00F8697B" w:rsidRDefault="00F8697B" w:rsidP="00DC7242">
      <w:pPr>
        <w:jc w:val="both"/>
      </w:pPr>
    </w:p>
    <w:p w:rsidR="00F8697B" w:rsidRDefault="00F8697B" w:rsidP="00DC7242">
      <w:pPr>
        <w:jc w:val="both"/>
      </w:pPr>
      <w:r>
        <w:t xml:space="preserve">Growth is considerably greater for lone person households than for other household types in both periods but it is also high for persons in non-private dwellings. These trends </w:t>
      </w:r>
      <w:r w:rsidR="0030603A">
        <w:t xml:space="preserve">primarily </w:t>
      </w:r>
      <w:r>
        <w:t>reflect the ageing of the population.</w:t>
      </w:r>
    </w:p>
    <w:p w:rsidR="0030603A" w:rsidRPr="002C62AE" w:rsidRDefault="0030603A" w:rsidP="0028766B"/>
    <w:p w:rsidR="00893356" w:rsidRDefault="00893356" w:rsidP="0028766B">
      <w:pPr>
        <w:rPr>
          <w:rFonts w:ascii="Arial" w:hAnsi="Arial" w:cs="Arial"/>
          <w:b/>
          <w:sz w:val="20"/>
          <w:szCs w:val="20"/>
        </w:rPr>
      </w:pPr>
    </w:p>
    <w:p w:rsidR="00893356" w:rsidRDefault="00552C32" w:rsidP="0028766B">
      <w:pPr>
        <w:rPr>
          <w:rFonts w:ascii="Arial" w:hAnsi="Arial" w:cs="Arial"/>
          <w:b/>
          <w:sz w:val="20"/>
          <w:szCs w:val="20"/>
        </w:rPr>
      </w:pPr>
      <w:proofErr w:type="gramStart"/>
      <w:r>
        <w:rPr>
          <w:rFonts w:ascii="Arial" w:hAnsi="Arial" w:cs="Arial"/>
          <w:b/>
          <w:sz w:val="20"/>
          <w:szCs w:val="20"/>
        </w:rPr>
        <w:lastRenderedPageBreak/>
        <w:t>Table 7</w:t>
      </w:r>
      <w:r w:rsidR="002C62AE">
        <w:rPr>
          <w:rFonts w:ascii="Arial" w:hAnsi="Arial" w:cs="Arial"/>
          <w:b/>
          <w:sz w:val="20"/>
          <w:szCs w:val="20"/>
        </w:rPr>
        <w:t>.</w:t>
      </w:r>
      <w:proofErr w:type="gramEnd"/>
      <w:r w:rsidR="002C62AE">
        <w:rPr>
          <w:rFonts w:ascii="Arial" w:hAnsi="Arial" w:cs="Arial"/>
          <w:b/>
          <w:sz w:val="20"/>
          <w:szCs w:val="20"/>
        </w:rPr>
        <w:t xml:space="preserve"> Ratio of households by type, 2026 to 2011 and 2041 to 2026, Australia, three scenarios</w:t>
      </w:r>
    </w:p>
    <w:p w:rsidR="003B6544" w:rsidRDefault="003B6544">
      <w:pPr>
        <w:rPr>
          <w:rFonts w:ascii="Arial" w:hAnsi="Arial" w:cs="Arial"/>
          <w:b/>
          <w:sz w:val="20"/>
          <w:szCs w:val="20"/>
        </w:rPr>
      </w:pPr>
    </w:p>
    <w:tbl>
      <w:tblPr>
        <w:tblW w:w="8986" w:type="dxa"/>
        <w:tblInd w:w="93" w:type="dxa"/>
        <w:tblLook w:val="04A0"/>
      </w:tblPr>
      <w:tblGrid>
        <w:gridCol w:w="1960"/>
        <w:gridCol w:w="812"/>
        <w:gridCol w:w="812"/>
        <w:gridCol w:w="1110"/>
        <w:gridCol w:w="803"/>
        <w:gridCol w:w="1110"/>
        <w:gridCol w:w="1110"/>
        <w:gridCol w:w="997"/>
        <w:gridCol w:w="272"/>
      </w:tblGrid>
      <w:tr w:rsidR="003B6544" w:rsidRPr="003B6544" w:rsidTr="002C62AE">
        <w:trPr>
          <w:trHeight w:val="255"/>
        </w:trPr>
        <w:tc>
          <w:tcPr>
            <w:tcW w:w="1960" w:type="dxa"/>
            <w:tcBorders>
              <w:top w:val="single" w:sz="4" w:space="0" w:color="auto"/>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r w:rsidRPr="003B6544">
              <w:rPr>
                <w:rFonts w:ascii="Arial" w:hAnsi="Arial" w:cs="Arial"/>
                <w:sz w:val="20"/>
                <w:szCs w:val="20"/>
                <w:lang w:val="en-AU" w:eastAsia="en-AU"/>
              </w:rPr>
              <w:t> </w:t>
            </w:r>
          </w:p>
        </w:tc>
        <w:tc>
          <w:tcPr>
            <w:tcW w:w="6754" w:type="dxa"/>
            <w:gridSpan w:val="7"/>
            <w:tcBorders>
              <w:top w:val="single" w:sz="4" w:space="0" w:color="auto"/>
              <w:left w:val="nil"/>
              <w:bottom w:val="nil"/>
              <w:right w:val="nil"/>
            </w:tcBorders>
            <w:shd w:val="clear" w:color="auto" w:fill="auto"/>
            <w:noWrap/>
            <w:vAlign w:val="bottom"/>
            <w:hideMark/>
          </w:tcPr>
          <w:p w:rsidR="003B6544" w:rsidRPr="003B6544" w:rsidRDefault="003B6544" w:rsidP="003B6544">
            <w:pPr>
              <w:jc w:val="center"/>
              <w:rPr>
                <w:rFonts w:ascii="Arial" w:hAnsi="Arial" w:cs="Arial"/>
                <w:b/>
                <w:bCs/>
                <w:sz w:val="16"/>
                <w:szCs w:val="16"/>
                <w:lang w:val="en-AU" w:eastAsia="en-AU"/>
              </w:rPr>
            </w:pPr>
            <w:r w:rsidRPr="003B6544">
              <w:rPr>
                <w:rFonts w:ascii="Arial" w:hAnsi="Arial" w:cs="Arial"/>
                <w:b/>
                <w:bCs/>
                <w:sz w:val="16"/>
                <w:szCs w:val="16"/>
                <w:lang w:val="en-AU" w:eastAsia="en-AU"/>
              </w:rPr>
              <w:t>Rat</w:t>
            </w:r>
            <w:r w:rsidR="002C62AE">
              <w:rPr>
                <w:rFonts w:ascii="Arial" w:hAnsi="Arial" w:cs="Arial"/>
                <w:b/>
                <w:bCs/>
                <w:sz w:val="16"/>
                <w:szCs w:val="16"/>
                <w:lang w:val="en-AU" w:eastAsia="en-AU"/>
              </w:rPr>
              <w:t>io of Households by Type, Australia</w:t>
            </w:r>
          </w:p>
        </w:tc>
        <w:tc>
          <w:tcPr>
            <w:tcW w:w="272"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r>
      <w:tr w:rsidR="003B6544" w:rsidRPr="003B6544" w:rsidTr="002C62AE">
        <w:trPr>
          <w:trHeight w:val="255"/>
        </w:trPr>
        <w:tc>
          <w:tcPr>
            <w:tcW w:w="196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812" w:type="dxa"/>
            <w:tcBorders>
              <w:top w:val="nil"/>
              <w:left w:val="nil"/>
              <w:bottom w:val="nil"/>
              <w:right w:val="nil"/>
            </w:tcBorders>
            <w:shd w:val="clear" w:color="auto" w:fill="auto"/>
            <w:noWrap/>
            <w:vAlign w:val="bottom"/>
            <w:hideMark/>
          </w:tcPr>
          <w:p w:rsidR="003B6544" w:rsidRPr="003B6544" w:rsidRDefault="002C62AE" w:rsidP="003B6544">
            <w:pPr>
              <w:rPr>
                <w:rFonts w:ascii="Arial" w:hAnsi="Arial" w:cs="Arial"/>
                <w:sz w:val="16"/>
                <w:szCs w:val="16"/>
                <w:lang w:val="en-AU" w:eastAsia="en-AU"/>
              </w:rPr>
            </w:pPr>
            <w:r>
              <w:rPr>
                <w:rFonts w:ascii="Arial" w:hAnsi="Arial" w:cs="Arial"/>
                <w:sz w:val="16"/>
                <w:szCs w:val="16"/>
                <w:lang w:val="en-AU" w:eastAsia="en-AU"/>
              </w:rPr>
              <w:t xml:space="preserve">Two </w:t>
            </w:r>
            <w:r w:rsidR="003B6544" w:rsidRPr="003B6544">
              <w:rPr>
                <w:rFonts w:ascii="Arial" w:hAnsi="Arial" w:cs="Arial"/>
                <w:sz w:val="16"/>
                <w:szCs w:val="16"/>
                <w:lang w:val="en-AU" w:eastAsia="en-AU"/>
              </w:rPr>
              <w:t>Parent</w:t>
            </w:r>
          </w:p>
        </w:tc>
        <w:tc>
          <w:tcPr>
            <w:tcW w:w="812" w:type="dxa"/>
            <w:tcBorders>
              <w:top w:val="nil"/>
              <w:left w:val="nil"/>
              <w:bottom w:val="nil"/>
              <w:right w:val="nil"/>
            </w:tcBorders>
            <w:shd w:val="clear" w:color="auto" w:fill="auto"/>
            <w:noWrap/>
            <w:vAlign w:val="bottom"/>
            <w:hideMark/>
          </w:tcPr>
          <w:p w:rsidR="003B6544" w:rsidRPr="003B6544" w:rsidRDefault="002C62AE" w:rsidP="003B6544">
            <w:pPr>
              <w:rPr>
                <w:rFonts w:ascii="Arial" w:hAnsi="Arial" w:cs="Arial"/>
                <w:sz w:val="16"/>
                <w:szCs w:val="16"/>
                <w:lang w:val="en-AU" w:eastAsia="en-AU"/>
              </w:rPr>
            </w:pPr>
            <w:r>
              <w:rPr>
                <w:rFonts w:ascii="Arial" w:hAnsi="Arial" w:cs="Arial"/>
                <w:sz w:val="16"/>
                <w:szCs w:val="16"/>
                <w:lang w:val="en-AU" w:eastAsia="en-AU"/>
              </w:rPr>
              <w:t xml:space="preserve">One </w:t>
            </w:r>
            <w:r w:rsidR="003B6544" w:rsidRPr="003B6544">
              <w:rPr>
                <w:rFonts w:ascii="Arial" w:hAnsi="Arial" w:cs="Arial"/>
                <w:sz w:val="16"/>
                <w:szCs w:val="16"/>
                <w:lang w:val="en-AU" w:eastAsia="en-AU"/>
              </w:rPr>
              <w:t>Parent</w:t>
            </w:r>
          </w:p>
        </w:tc>
        <w:tc>
          <w:tcPr>
            <w:tcW w:w="111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16"/>
                <w:szCs w:val="16"/>
                <w:lang w:val="en-AU" w:eastAsia="en-AU"/>
              </w:rPr>
            </w:pPr>
            <w:r w:rsidRPr="003B6544">
              <w:rPr>
                <w:rFonts w:ascii="Arial" w:hAnsi="Arial" w:cs="Arial"/>
                <w:sz w:val="16"/>
                <w:szCs w:val="16"/>
                <w:lang w:val="en-AU" w:eastAsia="en-AU"/>
              </w:rPr>
              <w:t xml:space="preserve">Couples </w:t>
            </w:r>
          </w:p>
        </w:tc>
        <w:tc>
          <w:tcPr>
            <w:tcW w:w="803"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16"/>
                <w:szCs w:val="16"/>
                <w:lang w:val="en-AU" w:eastAsia="en-AU"/>
              </w:rPr>
            </w:pPr>
            <w:r w:rsidRPr="003B6544">
              <w:rPr>
                <w:rFonts w:ascii="Arial" w:hAnsi="Arial" w:cs="Arial"/>
                <w:sz w:val="16"/>
                <w:szCs w:val="16"/>
                <w:lang w:val="en-AU" w:eastAsia="en-AU"/>
              </w:rPr>
              <w:t xml:space="preserve">Lone </w:t>
            </w:r>
          </w:p>
        </w:tc>
        <w:tc>
          <w:tcPr>
            <w:tcW w:w="111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16"/>
                <w:szCs w:val="16"/>
                <w:lang w:val="en-AU" w:eastAsia="en-AU"/>
              </w:rPr>
            </w:pPr>
            <w:r w:rsidRPr="003B6544">
              <w:rPr>
                <w:rFonts w:ascii="Arial" w:hAnsi="Arial" w:cs="Arial"/>
                <w:sz w:val="16"/>
                <w:szCs w:val="16"/>
                <w:lang w:val="en-AU" w:eastAsia="en-AU"/>
              </w:rPr>
              <w:t xml:space="preserve">Group </w:t>
            </w:r>
          </w:p>
        </w:tc>
        <w:tc>
          <w:tcPr>
            <w:tcW w:w="111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16"/>
                <w:szCs w:val="16"/>
                <w:lang w:val="en-AU" w:eastAsia="en-AU"/>
              </w:rPr>
            </w:pPr>
            <w:r w:rsidRPr="003B6544">
              <w:rPr>
                <w:rFonts w:ascii="Arial" w:hAnsi="Arial" w:cs="Arial"/>
                <w:sz w:val="16"/>
                <w:szCs w:val="16"/>
                <w:lang w:val="en-AU" w:eastAsia="en-AU"/>
              </w:rPr>
              <w:t>Total</w:t>
            </w:r>
          </w:p>
        </w:tc>
        <w:tc>
          <w:tcPr>
            <w:tcW w:w="997"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16"/>
                <w:szCs w:val="16"/>
                <w:lang w:val="en-AU" w:eastAsia="en-AU"/>
              </w:rPr>
            </w:pPr>
            <w:r w:rsidRPr="003B6544">
              <w:rPr>
                <w:rFonts w:ascii="Arial" w:hAnsi="Arial" w:cs="Arial"/>
                <w:sz w:val="16"/>
                <w:szCs w:val="16"/>
                <w:lang w:val="en-AU" w:eastAsia="en-AU"/>
              </w:rPr>
              <w:t>Persons in</w:t>
            </w:r>
          </w:p>
        </w:tc>
        <w:tc>
          <w:tcPr>
            <w:tcW w:w="272"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r>
      <w:tr w:rsidR="003B6544" w:rsidRPr="003B6544" w:rsidTr="002C62AE">
        <w:trPr>
          <w:trHeight w:val="255"/>
        </w:trPr>
        <w:tc>
          <w:tcPr>
            <w:tcW w:w="1960" w:type="dxa"/>
            <w:tcBorders>
              <w:top w:val="nil"/>
              <w:left w:val="nil"/>
              <w:bottom w:val="single" w:sz="4" w:space="0" w:color="auto"/>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r w:rsidRPr="003B6544">
              <w:rPr>
                <w:rFonts w:ascii="Arial" w:hAnsi="Arial" w:cs="Arial"/>
                <w:sz w:val="20"/>
                <w:szCs w:val="20"/>
                <w:lang w:val="en-AU" w:eastAsia="en-AU"/>
              </w:rPr>
              <w:t> </w:t>
            </w:r>
          </w:p>
        </w:tc>
        <w:tc>
          <w:tcPr>
            <w:tcW w:w="812" w:type="dxa"/>
            <w:tcBorders>
              <w:top w:val="nil"/>
              <w:left w:val="nil"/>
              <w:bottom w:val="single" w:sz="4" w:space="0" w:color="auto"/>
              <w:right w:val="nil"/>
            </w:tcBorders>
            <w:shd w:val="clear" w:color="auto" w:fill="auto"/>
            <w:noWrap/>
            <w:vAlign w:val="bottom"/>
            <w:hideMark/>
          </w:tcPr>
          <w:p w:rsidR="003B6544" w:rsidRPr="003B6544" w:rsidRDefault="003B6544" w:rsidP="003B6544">
            <w:pPr>
              <w:rPr>
                <w:rFonts w:ascii="Arial" w:hAnsi="Arial" w:cs="Arial"/>
                <w:sz w:val="16"/>
                <w:szCs w:val="16"/>
                <w:lang w:val="en-AU" w:eastAsia="en-AU"/>
              </w:rPr>
            </w:pPr>
            <w:r w:rsidRPr="003B6544">
              <w:rPr>
                <w:rFonts w:ascii="Arial" w:hAnsi="Arial" w:cs="Arial"/>
                <w:sz w:val="16"/>
                <w:szCs w:val="16"/>
                <w:lang w:val="en-AU" w:eastAsia="en-AU"/>
              </w:rPr>
              <w:t>Families</w:t>
            </w:r>
          </w:p>
        </w:tc>
        <w:tc>
          <w:tcPr>
            <w:tcW w:w="812" w:type="dxa"/>
            <w:tcBorders>
              <w:top w:val="nil"/>
              <w:left w:val="nil"/>
              <w:bottom w:val="single" w:sz="4" w:space="0" w:color="auto"/>
              <w:right w:val="nil"/>
            </w:tcBorders>
            <w:shd w:val="clear" w:color="auto" w:fill="auto"/>
            <w:noWrap/>
            <w:vAlign w:val="bottom"/>
            <w:hideMark/>
          </w:tcPr>
          <w:p w:rsidR="003B6544" w:rsidRPr="003B6544" w:rsidRDefault="003B6544" w:rsidP="003B6544">
            <w:pPr>
              <w:rPr>
                <w:rFonts w:ascii="Arial" w:hAnsi="Arial" w:cs="Arial"/>
                <w:sz w:val="16"/>
                <w:szCs w:val="16"/>
                <w:lang w:val="en-AU" w:eastAsia="en-AU"/>
              </w:rPr>
            </w:pPr>
            <w:r w:rsidRPr="003B6544">
              <w:rPr>
                <w:rFonts w:ascii="Arial" w:hAnsi="Arial" w:cs="Arial"/>
                <w:sz w:val="16"/>
                <w:szCs w:val="16"/>
                <w:lang w:val="en-AU" w:eastAsia="en-AU"/>
              </w:rPr>
              <w:t>Families</w:t>
            </w:r>
          </w:p>
        </w:tc>
        <w:tc>
          <w:tcPr>
            <w:tcW w:w="1110" w:type="dxa"/>
            <w:tcBorders>
              <w:top w:val="nil"/>
              <w:left w:val="nil"/>
              <w:bottom w:val="single" w:sz="4" w:space="0" w:color="auto"/>
              <w:right w:val="nil"/>
            </w:tcBorders>
            <w:shd w:val="clear" w:color="auto" w:fill="auto"/>
            <w:noWrap/>
            <w:vAlign w:val="bottom"/>
            <w:hideMark/>
          </w:tcPr>
          <w:p w:rsidR="003B6544" w:rsidRPr="003B6544" w:rsidRDefault="003B6544" w:rsidP="003B6544">
            <w:pPr>
              <w:rPr>
                <w:rFonts w:ascii="Arial" w:hAnsi="Arial" w:cs="Arial"/>
                <w:sz w:val="16"/>
                <w:szCs w:val="16"/>
                <w:lang w:val="en-AU" w:eastAsia="en-AU"/>
              </w:rPr>
            </w:pPr>
            <w:r w:rsidRPr="003B6544">
              <w:rPr>
                <w:rFonts w:ascii="Arial" w:hAnsi="Arial" w:cs="Arial"/>
                <w:sz w:val="16"/>
                <w:szCs w:val="16"/>
                <w:lang w:val="en-AU" w:eastAsia="en-AU"/>
              </w:rPr>
              <w:t>No Children</w:t>
            </w:r>
          </w:p>
        </w:tc>
        <w:tc>
          <w:tcPr>
            <w:tcW w:w="803" w:type="dxa"/>
            <w:tcBorders>
              <w:top w:val="nil"/>
              <w:left w:val="nil"/>
              <w:bottom w:val="single" w:sz="4" w:space="0" w:color="auto"/>
              <w:right w:val="nil"/>
            </w:tcBorders>
            <w:shd w:val="clear" w:color="auto" w:fill="auto"/>
            <w:noWrap/>
            <w:vAlign w:val="bottom"/>
            <w:hideMark/>
          </w:tcPr>
          <w:p w:rsidR="003B6544" w:rsidRPr="003B6544" w:rsidRDefault="003B6544" w:rsidP="003B6544">
            <w:pPr>
              <w:rPr>
                <w:rFonts w:ascii="Arial" w:hAnsi="Arial" w:cs="Arial"/>
                <w:sz w:val="16"/>
                <w:szCs w:val="16"/>
                <w:lang w:val="en-AU" w:eastAsia="en-AU"/>
              </w:rPr>
            </w:pPr>
            <w:r w:rsidRPr="003B6544">
              <w:rPr>
                <w:rFonts w:ascii="Arial" w:hAnsi="Arial" w:cs="Arial"/>
                <w:sz w:val="16"/>
                <w:szCs w:val="16"/>
                <w:lang w:val="en-AU" w:eastAsia="en-AU"/>
              </w:rPr>
              <w:t>Persons</w:t>
            </w:r>
          </w:p>
        </w:tc>
        <w:tc>
          <w:tcPr>
            <w:tcW w:w="1110" w:type="dxa"/>
            <w:tcBorders>
              <w:top w:val="nil"/>
              <w:left w:val="nil"/>
              <w:bottom w:val="single" w:sz="4" w:space="0" w:color="auto"/>
              <w:right w:val="nil"/>
            </w:tcBorders>
            <w:shd w:val="clear" w:color="auto" w:fill="auto"/>
            <w:noWrap/>
            <w:vAlign w:val="bottom"/>
            <w:hideMark/>
          </w:tcPr>
          <w:p w:rsidR="003B6544" w:rsidRPr="003B6544" w:rsidRDefault="003B6544" w:rsidP="003B6544">
            <w:pPr>
              <w:rPr>
                <w:rFonts w:ascii="Arial" w:hAnsi="Arial" w:cs="Arial"/>
                <w:sz w:val="16"/>
                <w:szCs w:val="16"/>
                <w:lang w:val="en-AU" w:eastAsia="en-AU"/>
              </w:rPr>
            </w:pPr>
            <w:r w:rsidRPr="003B6544">
              <w:rPr>
                <w:rFonts w:ascii="Arial" w:hAnsi="Arial" w:cs="Arial"/>
                <w:sz w:val="16"/>
                <w:szCs w:val="16"/>
                <w:lang w:val="en-AU" w:eastAsia="en-AU"/>
              </w:rPr>
              <w:t>Households</w:t>
            </w:r>
          </w:p>
        </w:tc>
        <w:tc>
          <w:tcPr>
            <w:tcW w:w="1110" w:type="dxa"/>
            <w:tcBorders>
              <w:top w:val="nil"/>
              <w:left w:val="nil"/>
              <w:bottom w:val="single" w:sz="4" w:space="0" w:color="auto"/>
              <w:right w:val="nil"/>
            </w:tcBorders>
            <w:shd w:val="clear" w:color="auto" w:fill="auto"/>
            <w:noWrap/>
            <w:vAlign w:val="bottom"/>
            <w:hideMark/>
          </w:tcPr>
          <w:p w:rsidR="003B6544" w:rsidRPr="003B6544" w:rsidRDefault="003B6544" w:rsidP="003B6544">
            <w:pPr>
              <w:rPr>
                <w:rFonts w:ascii="Arial" w:hAnsi="Arial" w:cs="Arial"/>
                <w:sz w:val="16"/>
                <w:szCs w:val="16"/>
                <w:lang w:val="en-AU" w:eastAsia="en-AU"/>
              </w:rPr>
            </w:pPr>
            <w:r w:rsidRPr="003B6544">
              <w:rPr>
                <w:rFonts w:ascii="Arial" w:hAnsi="Arial" w:cs="Arial"/>
                <w:sz w:val="16"/>
                <w:szCs w:val="16"/>
                <w:lang w:val="en-AU" w:eastAsia="en-AU"/>
              </w:rPr>
              <w:t>Households</w:t>
            </w:r>
          </w:p>
        </w:tc>
        <w:tc>
          <w:tcPr>
            <w:tcW w:w="997" w:type="dxa"/>
            <w:tcBorders>
              <w:top w:val="nil"/>
              <w:left w:val="nil"/>
              <w:bottom w:val="single" w:sz="4" w:space="0" w:color="auto"/>
              <w:right w:val="nil"/>
            </w:tcBorders>
            <w:shd w:val="clear" w:color="auto" w:fill="auto"/>
            <w:noWrap/>
            <w:vAlign w:val="bottom"/>
            <w:hideMark/>
          </w:tcPr>
          <w:p w:rsidR="003B6544" w:rsidRPr="003B6544" w:rsidRDefault="003B6544" w:rsidP="003B6544">
            <w:pPr>
              <w:rPr>
                <w:rFonts w:ascii="Arial" w:hAnsi="Arial" w:cs="Arial"/>
                <w:sz w:val="16"/>
                <w:szCs w:val="16"/>
                <w:lang w:val="en-AU" w:eastAsia="en-AU"/>
              </w:rPr>
            </w:pPr>
            <w:r w:rsidRPr="003B6544">
              <w:rPr>
                <w:rFonts w:ascii="Arial" w:hAnsi="Arial" w:cs="Arial"/>
                <w:sz w:val="16"/>
                <w:szCs w:val="16"/>
                <w:lang w:val="en-AU" w:eastAsia="en-AU"/>
              </w:rPr>
              <w:t>NPDs</w:t>
            </w:r>
          </w:p>
        </w:tc>
        <w:tc>
          <w:tcPr>
            <w:tcW w:w="272"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r>
      <w:tr w:rsidR="003B6544" w:rsidRPr="003B6544" w:rsidTr="002C62AE">
        <w:trPr>
          <w:trHeight w:val="255"/>
        </w:trPr>
        <w:tc>
          <w:tcPr>
            <w:tcW w:w="196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b/>
                <w:bCs/>
                <w:sz w:val="20"/>
                <w:szCs w:val="20"/>
                <w:lang w:val="en-AU" w:eastAsia="en-AU"/>
              </w:rPr>
            </w:pPr>
            <w:r w:rsidRPr="003B6544">
              <w:rPr>
                <w:rFonts w:ascii="Arial" w:hAnsi="Arial" w:cs="Arial"/>
                <w:b/>
                <w:bCs/>
                <w:sz w:val="20"/>
                <w:szCs w:val="20"/>
                <w:lang w:val="en-AU" w:eastAsia="en-AU"/>
              </w:rPr>
              <w:t>Scenario: Low</w:t>
            </w:r>
          </w:p>
        </w:tc>
        <w:tc>
          <w:tcPr>
            <w:tcW w:w="812"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812"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803"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997"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272"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r>
      <w:tr w:rsidR="003B6544" w:rsidRPr="003B6544" w:rsidTr="002C62AE">
        <w:trPr>
          <w:trHeight w:val="255"/>
        </w:trPr>
        <w:tc>
          <w:tcPr>
            <w:tcW w:w="196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r>
              <w:rPr>
                <w:rFonts w:ascii="Arial" w:hAnsi="Arial" w:cs="Arial"/>
                <w:sz w:val="20"/>
                <w:szCs w:val="20"/>
                <w:lang w:val="en-AU" w:eastAsia="en-AU"/>
              </w:rPr>
              <w:t>2011-26</w:t>
            </w:r>
            <w:r w:rsidR="0043341C">
              <w:rPr>
                <w:rFonts w:ascii="Arial" w:hAnsi="Arial" w:cs="Arial"/>
                <w:sz w:val="20"/>
                <w:szCs w:val="20"/>
                <w:lang w:val="en-AU" w:eastAsia="en-AU"/>
              </w:rPr>
              <w:t>*</w:t>
            </w:r>
          </w:p>
        </w:tc>
        <w:tc>
          <w:tcPr>
            <w:tcW w:w="812"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1.16</w:t>
            </w:r>
          </w:p>
        </w:tc>
        <w:tc>
          <w:tcPr>
            <w:tcW w:w="812"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1.21</w:t>
            </w:r>
          </w:p>
        </w:tc>
        <w:tc>
          <w:tcPr>
            <w:tcW w:w="1110"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1.26</w:t>
            </w:r>
          </w:p>
        </w:tc>
        <w:tc>
          <w:tcPr>
            <w:tcW w:w="803"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1.49</w:t>
            </w:r>
          </w:p>
        </w:tc>
        <w:tc>
          <w:tcPr>
            <w:tcW w:w="1110"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1.20</w:t>
            </w:r>
          </w:p>
        </w:tc>
        <w:tc>
          <w:tcPr>
            <w:tcW w:w="1110"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1.28</w:t>
            </w:r>
          </w:p>
        </w:tc>
        <w:tc>
          <w:tcPr>
            <w:tcW w:w="997"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r>
              <w:rPr>
                <w:rFonts w:ascii="Arial" w:hAnsi="Arial" w:cs="Arial"/>
                <w:sz w:val="20"/>
                <w:szCs w:val="20"/>
                <w:lang w:val="en-AU" w:eastAsia="en-AU"/>
              </w:rPr>
              <w:t xml:space="preserve">       1.37</w:t>
            </w:r>
          </w:p>
        </w:tc>
        <w:tc>
          <w:tcPr>
            <w:tcW w:w="272"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r>
      <w:tr w:rsidR="002C62AE" w:rsidRPr="003B6544" w:rsidTr="002C62AE">
        <w:trPr>
          <w:trHeight w:val="255"/>
        </w:trPr>
        <w:tc>
          <w:tcPr>
            <w:tcW w:w="1960" w:type="dxa"/>
            <w:tcBorders>
              <w:top w:val="nil"/>
              <w:left w:val="nil"/>
              <w:bottom w:val="nil"/>
              <w:right w:val="nil"/>
            </w:tcBorders>
            <w:shd w:val="clear" w:color="auto" w:fill="auto"/>
            <w:noWrap/>
            <w:vAlign w:val="bottom"/>
            <w:hideMark/>
          </w:tcPr>
          <w:p w:rsidR="002C62AE" w:rsidRPr="003B6544" w:rsidRDefault="002C62AE" w:rsidP="003B6544">
            <w:pPr>
              <w:rPr>
                <w:rFonts w:ascii="Arial" w:hAnsi="Arial" w:cs="Arial"/>
                <w:sz w:val="20"/>
                <w:szCs w:val="20"/>
                <w:lang w:val="en-AU" w:eastAsia="en-AU"/>
              </w:rPr>
            </w:pPr>
            <w:r>
              <w:rPr>
                <w:rFonts w:ascii="Arial" w:hAnsi="Arial" w:cs="Arial"/>
                <w:sz w:val="20"/>
                <w:szCs w:val="20"/>
                <w:lang w:val="en-AU" w:eastAsia="en-AU"/>
              </w:rPr>
              <w:t>2026-41</w:t>
            </w:r>
            <w:r w:rsidR="0043341C">
              <w:rPr>
                <w:rFonts w:ascii="Arial" w:hAnsi="Arial" w:cs="Arial"/>
                <w:sz w:val="20"/>
                <w:szCs w:val="20"/>
                <w:lang w:val="en-AU" w:eastAsia="en-AU"/>
              </w:rPr>
              <w:t>**</w:t>
            </w:r>
          </w:p>
        </w:tc>
        <w:tc>
          <w:tcPr>
            <w:tcW w:w="812"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1.08</w:t>
            </w:r>
          </w:p>
        </w:tc>
        <w:tc>
          <w:tcPr>
            <w:tcW w:w="812"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1.16</w:t>
            </w:r>
          </w:p>
        </w:tc>
        <w:tc>
          <w:tcPr>
            <w:tcW w:w="1110"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1.14</w:t>
            </w:r>
          </w:p>
        </w:tc>
        <w:tc>
          <w:tcPr>
            <w:tcW w:w="803"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1.34</w:t>
            </w:r>
          </w:p>
        </w:tc>
        <w:tc>
          <w:tcPr>
            <w:tcW w:w="1110"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1.15</w:t>
            </w:r>
          </w:p>
        </w:tc>
        <w:tc>
          <w:tcPr>
            <w:tcW w:w="1110"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1.18</w:t>
            </w:r>
          </w:p>
        </w:tc>
        <w:tc>
          <w:tcPr>
            <w:tcW w:w="997"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1.35</w:t>
            </w:r>
          </w:p>
        </w:tc>
        <w:tc>
          <w:tcPr>
            <w:tcW w:w="272" w:type="dxa"/>
            <w:tcBorders>
              <w:top w:val="nil"/>
              <w:left w:val="nil"/>
              <w:bottom w:val="nil"/>
              <w:right w:val="nil"/>
            </w:tcBorders>
            <w:shd w:val="clear" w:color="auto" w:fill="auto"/>
            <w:noWrap/>
            <w:vAlign w:val="bottom"/>
            <w:hideMark/>
          </w:tcPr>
          <w:p w:rsidR="002C62AE" w:rsidRPr="003B6544" w:rsidRDefault="002C62AE" w:rsidP="003B6544">
            <w:pPr>
              <w:rPr>
                <w:rFonts w:ascii="Arial" w:hAnsi="Arial" w:cs="Arial"/>
                <w:sz w:val="20"/>
                <w:szCs w:val="20"/>
                <w:lang w:val="en-AU" w:eastAsia="en-AU"/>
              </w:rPr>
            </w:pPr>
          </w:p>
        </w:tc>
      </w:tr>
      <w:tr w:rsidR="003B6544" w:rsidRPr="003B6544" w:rsidTr="002C62AE">
        <w:trPr>
          <w:trHeight w:val="255"/>
        </w:trPr>
        <w:tc>
          <w:tcPr>
            <w:tcW w:w="1960" w:type="dxa"/>
            <w:tcBorders>
              <w:top w:val="nil"/>
              <w:left w:val="nil"/>
              <w:bottom w:val="nil"/>
              <w:right w:val="nil"/>
            </w:tcBorders>
            <w:shd w:val="clear" w:color="auto" w:fill="auto"/>
            <w:noWrap/>
            <w:vAlign w:val="bottom"/>
            <w:hideMark/>
          </w:tcPr>
          <w:p w:rsidR="003B6544" w:rsidRDefault="003B6544" w:rsidP="003B6544">
            <w:pPr>
              <w:rPr>
                <w:rFonts w:ascii="Arial" w:hAnsi="Arial" w:cs="Arial"/>
                <w:b/>
                <w:bCs/>
                <w:sz w:val="20"/>
                <w:szCs w:val="20"/>
                <w:lang w:val="en-AU" w:eastAsia="en-AU"/>
              </w:rPr>
            </w:pPr>
          </w:p>
          <w:p w:rsidR="003B6544" w:rsidRPr="003B6544" w:rsidRDefault="003B6544" w:rsidP="003B6544">
            <w:pPr>
              <w:rPr>
                <w:rFonts w:ascii="Arial" w:hAnsi="Arial" w:cs="Arial"/>
                <w:b/>
                <w:bCs/>
                <w:sz w:val="20"/>
                <w:szCs w:val="20"/>
                <w:lang w:val="en-AU" w:eastAsia="en-AU"/>
              </w:rPr>
            </w:pPr>
            <w:r w:rsidRPr="003B6544">
              <w:rPr>
                <w:rFonts w:ascii="Arial" w:hAnsi="Arial" w:cs="Arial"/>
                <w:b/>
                <w:bCs/>
                <w:sz w:val="20"/>
                <w:szCs w:val="20"/>
                <w:lang w:val="en-AU" w:eastAsia="en-AU"/>
              </w:rPr>
              <w:t>Scenario: Mid</w:t>
            </w:r>
          </w:p>
        </w:tc>
        <w:tc>
          <w:tcPr>
            <w:tcW w:w="812"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812"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803"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997"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272"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r>
      <w:tr w:rsidR="003B6544" w:rsidRPr="003B6544" w:rsidTr="002C62AE">
        <w:trPr>
          <w:trHeight w:val="255"/>
        </w:trPr>
        <w:tc>
          <w:tcPr>
            <w:tcW w:w="196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r>
              <w:rPr>
                <w:rFonts w:ascii="Arial" w:hAnsi="Arial" w:cs="Arial"/>
                <w:sz w:val="20"/>
                <w:szCs w:val="20"/>
                <w:lang w:val="en-AU" w:eastAsia="en-AU"/>
              </w:rPr>
              <w:t>2011-26</w:t>
            </w:r>
            <w:r w:rsidR="0043341C">
              <w:rPr>
                <w:rFonts w:ascii="Arial" w:hAnsi="Arial" w:cs="Arial"/>
                <w:sz w:val="20"/>
                <w:szCs w:val="20"/>
                <w:lang w:val="en-AU" w:eastAsia="en-AU"/>
              </w:rPr>
              <w:t>*</w:t>
            </w:r>
          </w:p>
        </w:tc>
        <w:tc>
          <w:tcPr>
            <w:tcW w:w="812"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1.20</w:t>
            </w:r>
          </w:p>
        </w:tc>
        <w:tc>
          <w:tcPr>
            <w:tcW w:w="812"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1.25</w:t>
            </w:r>
          </w:p>
        </w:tc>
        <w:tc>
          <w:tcPr>
            <w:tcW w:w="1110"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1.28</w:t>
            </w:r>
          </w:p>
        </w:tc>
        <w:tc>
          <w:tcPr>
            <w:tcW w:w="803"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1.51</w:t>
            </w:r>
          </w:p>
        </w:tc>
        <w:tc>
          <w:tcPr>
            <w:tcW w:w="1110"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1.26</w:t>
            </w:r>
          </w:p>
        </w:tc>
        <w:tc>
          <w:tcPr>
            <w:tcW w:w="1110"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1.31</w:t>
            </w:r>
          </w:p>
        </w:tc>
        <w:tc>
          <w:tcPr>
            <w:tcW w:w="997"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1.39</w:t>
            </w:r>
          </w:p>
        </w:tc>
        <w:tc>
          <w:tcPr>
            <w:tcW w:w="272"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r>
      <w:tr w:rsidR="002C62AE" w:rsidRPr="003B6544" w:rsidTr="002C62AE">
        <w:trPr>
          <w:trHeight w:val="255"/>
        </w:trPr>
        <w:tc>
          <w:tcPr>
            <w:tcW w:w="1960" w:type="dxa"/>
            <w:tcBorders>
              <w:top w:val="nil"/>
              <w:left w:val="nil"/>
              <w:bottom w:val="nil"/>
              <w:right w:val="nil"/>
            </w:tcBorders>
            <w:shd w:val="clear" w:color="auto" w:fill="auto"/>
            <w:noWrap/>
            <w:vAlign w:val="bottom"/>
            <w:hideMark/>
          </w:tcPr>
          <w:p w:rsidR="002C62AE" w:rsidRPr="003B6544" w:rsidRDefault="002C62AE" w:rsidP="003B6544">
            <w:pPr>
              <w:rPr>
                <w:rFonts w:ascii="Arial" w:hAnsi="Arial" w:cs="Arial"/>
                <w:sz w:val="20"/>
                <w:szCs w:val="20"/>
                <w:lang w:val="en-AU" w:eastAsia="en-AU"/>
              </w:rPr>
            </w:pPr>
            <w:r>
              <w:rPr>
                <w:rFonts w:ascii="Arial" w:hAnsi="Arial" w:cs="Arial"/>
                <w:sz w:val="20"/>
                <w:szCs w:val="20"/>
                <w:lang w:val="en-AU" w:eastAsia="en-AU"/>
              </w:rPr>
              <w:t>2026-41</w:t>
            </w:r>
            <w:r w:rsidR="0043341C">
              <w:rPr>
                <w:rFonts w:ascii="Arial" w:hAnsi="Arial" w:cs="Arial"/>
                <w:sz w:val="20"/>
                <w:szCs w:val="20"/>
                <w:lang w:val="en-AU" w:eastAsia="en-AU"/>
              </w:rPr>
              <w:t>**</w:t>
            </w:r>
          </w:p>
        </w:tc>
        <w:tc>
          <w:tcPr>
            <w:tcW w:w="812"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1.16</w:t>
            </w:r>
          </w:p>
        </w:tc>
        <w:tc>
          <w:tcPr>
            <w:tcW w:w="812"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1.23</w:t>
            </w:r>
          </w:p>
        </w:tc>
        <w:tc>
          <w:tcPr>
            <w:tcW w:w="1110"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1.19</w:t>
            </w:r>
          </w:p>
        </w:tc>
        <w:tc>
          <w:tcPr>
            <w:tcW w:w="803"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1.39</w:t>
            </w:r>
          </w:p>
        </w:tc>
        <w:tc>
          <w:tcPr>
            <w:tcW w:w="1110"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1.21</w:t>
            </w:r>
          </w:p>
        </w:tc>
        <w:tc>
          <w:tcPr>
            <w:tcW w:w="1110"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1.24</w:t>
            </w:r>
          </w:p>
        </w:tc>
        <w:tc>
          <w:tcPr>
            <w:tcW w:w="997"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1.38</w:t>
            </w:r>
          </w:p>
        </w:tc>
        <w:tc>
          <w:tcPr>
            <w:tcW w:w="272" w:type="dxa"/>
            <w:tcBorders>
              <w:top w:val="nil"/>
              <w:left w:val="nil"/>
              <w:bottom w:val="nil"/>
              <w:right w:val="nil"/>
            </w:tcBorders>
            <w:shd w:val="clear" w:color="auto" w:fill="auto"/>
            <w:noWrap/>
            <w:vAlign w:val="bottom"/>
            <w:hideMark/>
          </w:tcPr>
          <w:p w:rsidR="002C62AE" w:rsidRPr="003B6544" w:rsidRDefault="002C62AE" w:rsidP="003B6544">
            <w:pPr>
              <w:rPr>
                <w:rFonts w:ascii="Arial" w:hAnsi="Arial" w:cs="Arial"/>
                <w:sz w:val="20"/>
                <w:szCs w:val="20"/>
                <w:lang w:val="en-AU" w:eastAsia="en-AU"/>
              </w:rPr>
            </w:pPr>
          </w:p>
        </w:tc>
      </w:tr>
      <w:tr w:rsidR="003B6544" w:rsidRPr="003B6544" w:rsidTr="002C62AE">
        <w:trPr>
          <w:trHeight w:val="255"/>
        </w:trPr>
        <w:tc>
          <w:tcPr>
            <w:tcW w:w="1960" w:type="dxa"/>
            <w:tcBorders>
              <w:top w:val="nil"/>
              <w:left w:val="nil"/>
              <w:bottom w:val="nil"/>
              <w:right w:val="nil"/>
            </w:tcBorders>
            <w:shd w:val="clear" w:color="auto" w:fill="auto"/>
            <w:noWrap/>
            <w:vAlign w:val="bottom"/>
            <w:hideMark/>
          </w:tcPr>
          <w:p w:rsidR="003B6544" w:rsidRDefault="003B6544" w:rsidP="003B6544">
            <w:pPr>
              <w:rPr>
                <w:rFonts w:ascii="Arial" w:hAnsi="Arial" w:cs="Arial"/>
                <w:b/>
                <w:bCs/>
                <w:sz w:val="20"/>
                <w:szCs w:val="20"/>
                <w:lang w:val="en-AU" w:eastAsia="en-AU"/>
              </w:rPr>
            </w:pPr>
          </w:p>
          <w:p w:rsidR="003B6544" w:rsidRPr="003B6544" w:rsidRDefault="003B6544" w:rsidP="003B6544">
            <w:pPr>
              <w:rPr>
                <w:rFonts w:ascii="Arial" w:hAnsi="Arial" w:cs="Arial"/>
                <w:b/>
                <w:bCs/>
                <w:sz w:val="20"/>
                <w:szCs w:val="20"/>
                <w:lang w:val="en-AU" w:eastAsia="en-AU"/>
              </w:rPr>
            </w:pPr>
            <w:r w:rsidRPr="003B6544">
              <w:rPr>
                <w:rFonts w:ascii="Arial" w:hAnsi="Arial" w:cs="Arial"/>
                <w:b/>
                <w:bCs/>
                <w:sz w:val="20"/>
                <w:szCs w:val="20"/>
                <w:lang w:val="en-AU" w:eastAsia="en-AU"/>
              </w:rPr>
              <w:t>Scenario: High</w:t>
            </w:r>
          </w:p>
        </w:tc>
        <w:tc>
          <w:tcPr>
            <w:tcW w:w="812"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812"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803"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997"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c>
          <w:tcPr>
            <w:tcW w:w="272"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r>
      <w:tr w:rsidR="003B6544" w:rsidRPr="003B6544" w:rsidTr="002C62AE">
        <w:trPr>
          <w:trHeight w:val="255"/>
        </w:trPr>
        <w:tc>
          <w:tcPr>
            <w:tcW w:w="1960"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r>
              <w:rPr>
                <w:rFonts w:ascii="Arial" w:hAnsi="Arial" w:cs="Arial"/>
                <w:sz w:val="20"/>
                <w:szCs w:val="20"/>
                <w:lang w:val="en-AU" w:eastAsia="en-AU"/>
              </w:rPr>
              <w:t>2011-26</w:t>
            </w:r>
            <w:r w:rsidR="0043341C">
              <w:rPr>
                <w:rFonts w:ascii="Arial" w:hAnsi="Arial" w:cs="Arial"/>
                <w:sz w:val="20"/>
                <w:szCs w:val="20"/>
                <w:lang w:val="en-AU" w:eastAsia="en-AU"/>
              </w:rPr>
              <w:t>*</w:t>
            </w:r>
          </w:p>
        </w:tc>
        <w:tc>
          <w:tcPr>
            <w:tcW w:w="812"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1.22</w:t>
            </w:r>
          </w:p>
        </w:tc>
        <w:tc>
          <w:tcPr>
            <w:tcW w:w="812"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1.27</w:t>
            </w:r>
          </w:p>
        </w:tc>
        <w:tc>
          <w:tcPr>
            <w:tcW w:w="1110"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1.30</w:t>
            </w:r>
          </w:p>
        </w:tc>
        <w:tc>
          <w:tcPr>
            <w:tcW w:w="803"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1.52</w:t>
            </w:r>
          </w:p>
        </w:tc>
        <w:tc>
          <w:tcPr>
            <w:tcW w:w="1110"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1.28</w:t>
            </w:r>
          </w:p>
        </w:tc>
        <w:tc>
          <w:tcPr>
            <w:tcW w:w="1110"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1.32</w:t>
            </w:r>
          </w:p>
        </w:tc>
        <w:tc>
          <w:tcPr>
            <w:tcW w:w="997" w:type="dxa"/>
            <w:tcBorders>
              <w:top w:val="nil"/>
              <w:left w:val="nil"/>
              <w:bottom w:val="nil"/>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r w:rsidRPr="003B6544">
              <w:rPr>
                <w:rFonts w:ascii="Arial" w:hAnsi="Arial" w:cs="Arial"/>
                <w:sz w:val="20"/>
                <w:szCs w:val="20"/>
                <w:lang w:val="en-AU" w:eastAsia="en-AU"/>
              </w:rPr>
              <w:t>1.40</w:t>
            </w:r>
          </w:p>
        </w:tc>
        <w:tc>
          <w:tcPr>
            <w:tcW w:w="272" w:type="dxa"/>
            <w:tcBorders>
              <w:top w:val="nil"/>
              <w:left w:val="nil"/>
              <w:bottom w:val="nil"/>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r w:rsidRPr="003B6544">
              <w:rPr>
                <w:rFonts w:ascii="Arial" w:hAnsi="Arial" w:cs="Arial"/>
                <w:sz w:val="20"/>
                <w:szCs w:val="20"/>
                <w:lang w:val="en-AU" w:eastAsia="en-AU"/>
              </w:rPr>
              <w:t> </w:t>
            </w:r>
          </w:p>
        </w:tc>
      </w:tr>
      <w:tr w:rsidR="002C62AE" w:rsidRPr="003B6544" w:rsidTr="002C62AE">
        <w:trPr>
          <w:trHeight w:val="255"/>
        </w:trPr>
        <w:tc>
          <w:tcPr>
            <w:tcW w:w="1960" w:type="dxa"/>
            <w:tcBorders>
              <w:top w:val="nil"/>
              <w:left w:val="nil"/>
              <w:bottom w:val="nil"/>
              <w:right w:val="nil"/>
            </w:tcBorders>
            <w:shd w:val="clear" w:color="auto" w:fill="auto"/>
            <w:noWrap/>
            <w:vAlign w:val="bottom"/>
            <w:hideMark/>
          </w:tcPr>
          <w:p w:rsidR="002C62AE" w:rsidRPr="003B6544" w:rsidRDefault="002C62AE" w:rsidP="003B6544">
            <w:pPr>
              <w:rPr>
                <w:rFonts w:ascii="Arial" w:hAnsi="Arial" w:cs="Arial"/>
                <w:sz w:val="20"/>
                <w:szCs w:val="20"/>
                <w:lang w:val="en-AU" w:eastAsia="en-AU"/>
              </w:rPr>
            </w:pPr>
            <w:r>
              <w:rPr>
                <w:rFonts w:ascii="Arial" w:hAnsi="Arial" w:cs="Arial"/>
                <w:sz w:val="20"/>
                <w:szCs w:val="20"/>
                <w:lang w:val="en-AU" w:eastAsia="en-AU"/>
              </w:rPr>
              <w:t>2026-41</w:t>
            </w:r>
            <w:r w:rsidR="0043341C">
              <w:rPr>
                <w:rFonts w:ascii="Arial" w:hAnsi="Arial" w:cs="Arial"/>
                <w:sz w:val="20"/>
                <w:szCs w:val="20"/>
                <w:lang w:val="en-AU" w:eastAsia="en-AU"/>
              </w:rPr>
              <w:t>**</w:t>
            </w:r>
          </w:p>
        </w:tc>
        <w:tc>
          <w:tcPr>
            <w:tcW w:w="812"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1.20</w:t>
            </w:r>
          </w:p>
        </w:tc>
        <w:tc>
          <w:tcPr>
            <w:tcW w:w="812"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1.27</w:t>
            </w:r>
          </w:p>
        </w:tc>
        <w:tc>
          <w:tcPr>
            <w:tcW w:w="1110"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1.21</w:t>
            </w:r>
          </w:p>
        </w:tc>
        <w:tc>
          <w:tcPr>
            <w:tcW w:w="803"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1.41</w:t>
            </w:r>
          </w:p>
        </w:tc>
        <w:tc>
          <w:tcPr>
            <w:tcW w:w="1110"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1.24</w:t>
            </w:r>
          </w:p>
        </w:tc>
        <w:tc>
          <w:tcPr>
            <w:tcW w:w="1110"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1.27</w:t>
            </w:r>
          </w:p>
        </w:tc>
        <w:tc>
          <w:tcPr>
            <w:tcW w:w="997" w:type="dxa"/>
            <w:tcBorders>
              <w:top w:val="nil"/>
              <w:left w:val="nil"/>
              <w:bottom w:val="nil"/>
              <w:right w:val="nil"/>
            </w:tcBorders>
            <w:shd w:val="clear" w:color="auto" w:fill="auto"/>
            <w:noWrap/>
            <w:vAlign w:val="bottom"/>
            <w:hideMark/>
          </w:tcPr>
          <w:p w:rsidR="002C62AE" w:rsidRDefault="002C62AE">
            <w:pPr>
              <w:jc w:val="right"/>
              <w:rPr>
                <w:rFonts w:ascii="Arial" w:hAnsi="Arial" w:cs="Arial"/>
                <w:sz w:val="20"/>
                <w:szCs w:val="20"/>
              </w:rPr>
            </w:pPr>
            <w:r>
              <w:rPr>
                <w:rFonts w:ascii="Arial" w:hAnsi="Arial" w:cs="Arial"/>
                <w:sz w:val="20"/>
                <w:szCs w:val="20"/>
              </w:rPr>
              <w:t>1.40</w:t>
            </w:r>
          </w:p>
        </w:tc>
        <w:tc>
          <w:tcPr>
            <w:tcW w:w="272" w:type="dxa"/>
            <w:tcBorders>
              <w:top w:val="nil"/>
              <w:left w:val="nil"/>
              <w:bottom w:val="nil"/>
              <w:right w:val="nil"/>
            </w:tcBorders>
            <w:shd w:val="clear" w:color="auto" w:fill="auto"/>
            <w:noWrap/>
            <w:vAlign w:val="bottom"/>
            <w:hideMark/>
          </w:tcPr>
          <w:p w:rsidR="002C62AE" w:rsidRDefault="002C62AE" w:rsidP="002C62AE">
            <w:pPr>
              <w:jc w:val="center"/>
              <w:rPr>
                <w:rFonts w:ascii="Arial" w:hAnsi="Arial" w:cs="Arial"/>
                <w:sz w:val="20"/>
                <w:szCs w:val="20"/>
              </w:rPr>
            </w:pPr>
          </w:p>
        </w:tc>
      </w:tr>
      <w:tr w:rsidR="003B6544" w:rsidRPr="003B6544" w:rsidTr="002C62AE">
        <w:trPr>
          <w:trHeight w:val="255"/>
        </w:trPr>
        <w:tc>
          <w:tcPr>
            <w:tcW w:w="1960" w:type="dxa"/>
            <w:tcBorders>
              <w:top w:val="nil"/>
              <w:left w:val="nil"/>
              <w:bottom w:val="single" w:sz="4" w:space="0" w:color="auto"/>
              <w:right w:val="nil"/>
            </w:tcBorders>
            <w:shd w:val="clear" w:color="auto" w:fill="auto"/>
            <w:noWrap/>
            <w:vAlign w:val="bottom"/>
            <w:hideMark/>
          </w:tcPr>
          <w:p w:rsidR="003B6544" w:rsidRDefault="003B6544" w:rsidP="003B6544">
            <w:pPr>
              <w:rPr>
                <w:rFonts w:ascii="Arial" w:hAnsi="Arial" w:cs="Arial"/>
                <w:sz w:val="20"/>
                <w:szCs w:val="20"/>
                <w:lang w:val="en-AU" w:eastAsia="en-AU"/>
              </w:rPr>
            </w:pPr>
          </w:p>
        </w:tc>
        <w:tc>
          <w:tcPr>
            <w:tcW w:w="812" w:type="dxa"/>
            <w:tcBorders>
              <w:top w:val="nil"/>
              <w:left w:val="nil"/>
              <w:bottom w:val="single" w:sz="4" w:space="0" w:color="auto"/>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p>
        </w:tc>
        <w:tc>
          <w:tcPr>
            <w:tcW w:w="812" w:type="dxa"/>
            <w:tcBorders>
              <w:top w:val="nil"/>
              <w:left w:val="nil"/>
              <w:bottom w:val="single" w:sz="4" w:space="0" w:color="auto"/>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p>
        </w:tc>
        <w:tc>
          <w:tcPr>
            <w:tcW w:w="1110" w:type="dxa"/>
            <w:tcBorders>
              <w:top w:val="nil"/>
              <w:left w:val="nil"/>
              <w:bottom w:val="single" w:sz="4" w:space="0" w:color="auto"/>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p>
        </w:tc>
        <w:tc>
          <w:tcPr>
            <w:tcW w:w="803" w:type="dxa"/>
            <w:tcBorders>
              <w:top w:val="nil"/>
              <w:left w:val="nil"/>
              <w:bottom w:val="single" w:sz="4" w:space="0" w:color="auto"/>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p>
        </w:tc>
        <w:tc>
          <w:tcPr>
            <w:tcW w:w="1110" w:type="dxa"/>
            <w:tcBorders>
              <w:top w:val="nil"/>
              <w:left w:val="nil"/>
              <w:bottom w:val="single" w:sz="4" w:space="0" w:color="auto"/>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p>
        </w:tc>
        <w:tc>
          <w:tcPr>
            <w:tcW w:w="1110" w:type="dxa"/>
            <w:tcBorders>
              <w:top w:val="nil"/>
              <w:left w:val="nil"/>
              <w:bottom w:val="single" w:sz="4" w:space="0" w:color="auto"/>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p>
        </w:tc>
        <w:tc>
          <w:tcPr>
            <w:tcW w:w="997" w:type="dxa"/>
            <w:tcBorders>
              <w:top w:val="nil"/>
              <w:left w:val="nil"/>
              <w:bottom w:val="single" w:sz="4" w:space="0" w:color="auto"/>
              <w:right w:val="nil"/>
            </w:tcBorders>
            <w:shd w:val="clear" w:color="auto" w:fill="auto"/>
            <w:noWrap/>
            <w:vAlign w:val="bottom"/>
            <w:hideMark/>
          </w:tcPr>
          <w:p w:rsidR="003B6544" w:rsidRPr="003B6544" w:rsidRDefault="003B6544" w:rsidP="003B6544">
            <w:pPr>
              <w:jc w:val="right"/>
              <w:rPr>
                <w:rFonts w:ascii="Arial" w:hAnsi="Arial" w:cs="Arial"/>
                <w:sz w:val="20"/>
                <w:szCs w:val="20"/>
                <w:lang w:val="en-AU" w:eastAsia="en-AU"/>
              </w:rPr>
            </w:pPr>
          </w:p>
        </w:tc>
        <w:tc>
          <w:tcPr>
            <w:tcW w:w="272" w:type="dxa"/>
            <w:tcBorders>
              <w:top w:val="nil"/>
              <w:left w:val="nil"/>
              <w:bottom w:val="single" w:sz="4" w:space="0" w:color="auto"/>
              <w:right w:val="nil"/>
            </w:tcBorders>
            <w:shd w:val="clear" w:color="auto" w:fill="auto"/>
            <w:noWrap/>
            <w:vAlign w:val="bottom"/>
            <w:hideMark/>
          </w:tcPr>
          <w:p w:rsidR="003B6544" w:rsidRPr="003B6544" w:rsidRDefault="003B6544" w:rsidP="003B6544">
            <w:pPr>
              <w:rPr>
                <w:rFonts w:ascii="Arial" w:hAnsi="Arial" w:cs="Arial"/>
                <w:sz w:val="20"/>
                <w:szCs w:val="20"/>
                <w:lang w:val="en-AU" w:eastAsia="en-AU"/>
              </w:rPr>
            </w:pPr>
          </w:p>
        </w:tc>
      </w:tr>
    </w:tbl>
    <w:p w:rsidR="003B6544" w:rsidRPr="0043341C" w:rsidRDefault="0043341C">
      <w:pPr>
        <w:rPr>
          <w:b/>
          <w:sz w:val="20"/>
          <w:szCs w:val="20"/>
        </w:rPr>
      </w:pPr>
      <w:bookmarkStart w:id="2" w:name="OLE_LINK1"/>
      <w:bookmarkStart w:id="3" w:name="OLE_LINK2"/>
      <w:r w:rsidRPr="0043341C">
        <w:rPr>
          <w:sz w:val="20"/>
          <w:szCs w:val="20"/>
        </w:rPr>
        <w:t>Source: Authors calculations</w:t>
      </w:r>
    </w:p>
    <w:p w:rsidR="00544D11" w:rsidRPr="0043341C" w:rsidRDefault="0043341C">
      <w:pPr>
        <w:rPr>
          <w:sz w:val="20"/>
          <w:szCs w:val="20"/>
        </w:rPr>
      </w:pPr>
      <w:r w:rsidRPr="0043341C">
        <w:rPr>
          <w:sz w:val="20"/>
          <w:szCs w:val="20"/>
        </w:rPr>
        <w:t xml:space="preserve">Notes: * Ratio </w:t>
      </w:r>
      <w:r>
        <w:rPr>
          <w:sz w:val="20"/>
          <w:szCs w:val="20"/>
        </w:rPr>
        <w:t>o</w:t>
      </w:r>
      <w:r w:rsidRPr="0043341C">
        <w:rPr>
          <w:sz w:val="20"/>
          <w:szCs w:val="20"/>
        </w:rPr>
        <w:t>f 2026 household count to 2011 household count; ** Ratio of 2041 household count to 2026 household count.</w:t>
      </w:r>
    </w:p>
    <w:bookmarkEnd w:id="2"/>
    <w:bookmarkEnd w:id="3"/>
    <w:p w:rsidR="00D3115E" w:rsidRDefault="00D3115E">
      <w:pPr>
        <w:rPr>
          <w:rFonts w:ascii="Arial" w:hAnsi="Arial" w:cs="Arial"/>
          <w:b/>
          <w:sz w:val="20"/>
          <w:szCs w:val="20"/>
        </w:rPr>
      </w:pPr>
    </w:p>
    <w:p w:rsidR="00077BC9" w:rsidRDefault="00077BC9" w:rsidP="00077BC9"/>
    <w:p w:rsidR="00552C32" w:rsidRDefault="00552C32" w:rsidP="00DC7242">
      <w:pPr>
        <w:jc w:val="both"/>
      </w:pPr>
      <w:r>
        <w:t>Across States and Territories and metropolitan and non-metropolitan areas, the overarching conclusion, not unexpectedly, is that household growth rates are strongly associated with population growth rates for each geographic unit (Table 8).</w:t>
      </w:r>
    </w:p>
    <w:p w:rsidR="00552C32" w:rsidRDefault="00552C32" w:rsidP="00DC7242">
      <w:pPr>
        <w:jc w:val="both"/>
      </w:pPr>
    </w:p>
    <w:p w:rsidR="00552C32" w:rsidRDefault="00552C32" w:rsidP="00DC7242">
      <w:pPr>
        <w:jc w:val="both"/>
      </w:pPr>
      <w:r w:rsidRPr="00544D11">
        <w:t>In genera</w:t>
      </w:r>
      <w:r>
        <w:t>l, the projected growth rates for</w:t>
      </w:r>
      <w:r w:rsidRPr="00544D11">
        <w:t xml:space="preserve"> households consisting of families with children were low or even negative </w:t>
      </w:r>
      <w:r>
        <w:t>in the non-metropolitan regions with the exception of nonmetropolitan Queensland. Growth rates for families with children remain very strong in Brisbane (and SEQ) and in Perth</w:t>
      </w:r>
      <w:r w:rsidRPr="00C0039D">
        <w:t xml:space="preserve"> </w:t>
      </w:r>
      <w:r>
        <w:t>and moderately strong in Sydney and Melbourne. The growth rates for this household type are more muted in Darwin and Canberra and low in Hobart and Adelaide.</w:t>
      </w:r>
    </w:p>
    <w:p w:rsidR="00552C32" w:rsidRDefault="00552C32" w:rsidP="00DC7242">
      <w:pPr>
        <w:jc w:val="both"/>
      </w:pPr>
    </w:p>
    <w:p w:rsidR="00552C32" w:rsidRDefault="00552C32" w:rsidP="00DC7242">
      <w:pPr>
        <w:jc w:val="both"/>
      </w:pPr>
      <w:r>
        <w:t>The national pattern of high but falling growth of lone person households is evident across all geographic units. However, in several geographic areas, the number of persons in non-private dwellings grows faster between 2026 and 2041 than in the earlier period, but the projected growth is strong in all regions.</w:t>
      </w:r>
    </w:p>
    <w:p w:rsidR="00FC690B" w:rsidRDefault="00FC690B">
      <w:pPr>
        <w:rPr>
          <w:rFonts w:ascii="Arial" w:hAnsi="Arial" w:cs="Arial"/>
          <w:b/>
          <w:sz w:val="20"/>
          <w:szCs w:val="20"/>
        </w:rPr>
      </w:pPr>
      <w:r>
        <w:rPr>
          <w:rFonts w:ascii="Arial" w:hAnsi="Arial" w:cs="Arial"/>
          <w:b/>
          <w:sz w:val="20"/>
          <w:szCs w:val="20"/>
        </w:rPr>
        <w:br w:type="page"/>
      </w:r>
    </w:p>
    <w:p w:rsidR="00893356" w:rsidRPr="00BB00C9" w:rsidRDefault="00A9585F" w:rsidP="0028766B">
      <w:pPr>
        <w:rPr>
          <w:rFonts w:ascii="Arial" w:hAnsi="Arial" w:cs="Arial"/>
          <w:b/>
          <w:sz w:val="20"/>
          <w:szCs w:val="20"/>
        </w:rPr>
      </w:pPr>
      <w:proofErr w:type="gramStart"/>
      <w:r>
        <w:rPr>
          <w:rFonts w:ascii="Arial" w:hAnsi="Arial" w:cs="Arial"/>
          <w:b/>
          <w:sz w:val="20"/>
          <w:szCs w:val="20"/>
        </w:rPr>
        <w:lastRenderedPageBreak/>
        <w:t xml:space="preserve">Table </w:t>
      </w:r>
      <w:r w:rsidR="00552C32">
        <w:rPr>
          <w:rFonts w:ascii="Arial" w:hAnsi="Arial" w:cs="Arial"/>
          <w:b/>
          <w:sz w:val="20"/>
          <w:szCs w:val="20"/>
        </w:rPr>
        <w:t>8</w:t>
      </w:r>
      <w:r>
        <w:rPr>
          <w:rFonts w:ascii="Arial" w:hAnsi="Arial" w:cs="Arial"/>
          <w:b/>
          <w:sz w:val="20"/>
          <w:szCs w:val="20"/>
        </w:rPr>
        <w:t>.</w:t>
      </w:r>
      <w:proofErr w:type="gramEnd"/>
      <w:r>
        <w:rPr>
          <w:rFonts w:ascii="Arial" w:hAnsi="Arial" w:cs="Arial"/>
          <w:b/>
          <w:sz w:val="20"/>
          <w:szCs w:val="20"/>
        </w:rPr>
        <w:t xml:space="preserve"> Relative increase in numbers of households by type, Medium scenario</w:t>
      </w:r>
    </w:p>
    <w:tbl>
      <w:tblPr>
        <w:tblW w:w="9737" w:type="dxa"/>
        <w:tblInd w:w="93" w:type="dxa"/>
        <w:tblLook w:val="0000"/>
      </w:tblPr>
      <w:tblGrid>
        <w:gridCol w:w="1217"/>
        <w:gridCol w:w="1006"/>
        <w:gridCol w:w="960"/>
        <w:gridCol w:w="960"/>
        <w:gridCol w:w="962"/>
        <w:gridCol w:w="850"/>
        <w:gridCol w:w="1227"/>
        <w:gridCol w:w="1628"/>
        <w:gridCol w:w="921"/>
        <w:gridCol w:w="6"/>
      </w:tblGrid>
      <w:tr w:rsidR="00A9585F" w:rsidTr="00B02AB0">
        <w:trPr>
          <w:gridAfter w:val="1"/>
          <w:wAfter w:w="6" w:type="dxa"/>
          <w:trHeight w:val="255"/>
        </w:trPr>
        <w:tc>
          <w:tcPr>
            <w:tcW w:w="1217" w:type="dxa"/>
            <w:vMerge w:val="restart"/>
            <w:tcBorders>
              <w:top w:val="single" w:sz="4" w:space="0" w:color="auto"/>
              <w:left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Region</w:t>
            </w:r>
          </w:p>
          <w:p w:rsidR="00A9585F" w:rsidRPr="00511632" w:rsidRDefault="00A9585F" w:rsidP="00A9585F">
            <w:pPr>
              <w:rPr>
                <w:rFonts w:ascii="Arial" w:hAnsi="Arial" w:cs="Arial"/>
                <w:b/>
                <w:sz w:val="18"/>
                <w:szCs w:val="18"/>
              </w:rPr>
            </w:pPr>
            <w:r w:rsidRPr="00511632">
              <w:rPr>
                <w:rFonts w:ascii="Arial" w:hAnsi="Arial" w:cs="Arial"/>
                <w:b/>
                <w:sz w:val="18"/>
                <w:szCs w:val="18"/>
              </w:rPr>
              <w:t> </w:t>
            </w:r>
          </w:p>
        </w:tc>
        <w:tc>
          <w:tcPr>
            <w:tcW w:w="1006" w:type="dxa"/>
            <w:vMerge w:val="restart"/>
            <w:tcBorders>
              <w:top w:val="single" w:sz="4" w:space="0" w:color="auto"/>
              <w:left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Period</w:t>
            </w:r>
          </w:p>
          <w:p w:rsidR="00A9585F" w:rsidRPr="00511632" w:rsidRDefault="00A9585F" w:rsidP="00A9585F">
            <w:pPr>
              <w:rPr>
                <w:rFonts w:ascii="Arial" w:hAnsi="Arial" w:cs="Arial"/>
                <w:b/>
                <w:sz w:val="18"/>
                <w:szCs w:val="18"/>
              </w:rPr>
            </w:pPr>
            <w:r w:rsidRPr="00511632">
              <w:rPr>
                <w:rFonts w:ascii="Arial" w:hAnsi="Arial" w:cs="Arial"/>
                <w:b/>
                <w:sz w:val="18"/>
                <w:szCs w:val="18"/>
              </w:rPr>
              <w:t> </w:t>
            </w:r>
          </w:p>
        </w:tc>
        <w:tc>
          <w:tcPr>
            <w:tcW w:w="7508" w:type="dxa"/>
            <w:gridSpan w:val="7"/>
            <w:tcBorders>
              <w:top w:val="single" w:sz="4" w:space="0" w:color="auto"/>
              <w:left w:val="nil"/>
              <w:bottom w:val="single" w:sz="4" w:space="0" w:color="auto"/>
              <w:right w:val="nil"/>
            </w:tcBorders>
            <w:shd w:val="clear" w:color="auto" w:fill="auto"/>
            <w:noWrap/>
            <w:vAlign w:val="bottom"/>
          </w:tcPr>
          <w:p w:rsidR="00A9585F" w:rsidRPr="00511632" w:rsidRDefault="00A9585F" w:rsidP="00A9585F">
            <w:pPr>
              <w:jc w:val="center"/>
              <w:rPr>
                <w:rFonts w:ascii="Arial" w:hAnsi="Arial" w:cs="Arial"/>
                <w:b/>
                <w:sz w:val="18"/>
                <w:szCs w:val="18"/>
              </w:rPr>
            </w:pPr>
            <w:r>
              <w:rPr>
                <w:rFonts w:ascii="Arial" w:hAnsi="Arial" w:cs="Arial"/>
                <w:b/>
                <w:sz w:val="18"/>
                <w:szCs w:val="18"/>
              </w:rPr>
              <w:t>Relative</w:t>
            </w:r>
            <w:r w:rsidRPr="00511632">
              <w:rPr>
                <w:rFonts w:ascii="Arial" w:hAnsi="Arial" w:cs="Arial"/>
                <w:b/>
                <w:sz w:val="18"/>
                <w:szCs w:val="18"/>
              </w:rPr>
              <w:t xml:space="preserve"> increase over the period</w:t>
            </w:r>
          </w:p>
        </w:tc>
      </w:tr>
      <w:tr w:rsidR="00275CDC" w:rsidTr="00B02AB0">
        <w:trPr>
          <w:trHeight w:val="255"/>
        </w:trPr>
        <w:tc>
          <w:tcPr>
            <w:tcW w:w="1217" w:type="dxa"/>
            <w:vMerge/>
            <w:tcBorders>
              <w:left w:val="nil"/>
              <w:right w:val="nil"/>
            </w:tcBorders>
            <w:shd w:val="clear" w:color="auto" w:fill="auto"/>
            <w:noWrap/>
            <w:vAlign w:val="bottom"/>
          </w:tcPr>
          <w:p w:rsidR="00A9585F" w:rsidRPr="00511632" w:rsidRDefault="00A9585F" w:rsidP="00A9585F">
            <w:pPr>
              <w:rPr>
                <w:rFonts w:ascii="Arial" w:hAnsi="Arial" w:cs="Arial"/>
                <w:b/>
                <w:sz w:val="18"/>
                <w:szCs w:val="18"/>
              </w:rPr>
            </w:pPr>
          </w:p>
        </w:tc>
        <w:tc>
          <w:tcPr>
            <w:tcW w:w="1006" w:type="dxa"/>
            <w:vMerge/>
            <w:tcBorders>
              <w:left w:val="nil"/>
              <w:right w:val="nil"/>
            </w:tcBorders>
            <w:shd w:val="clear" w:color="auto" w:fill="auto"/>
            <w:noWrap/>
            <w:vAlign w:val="bottom"/>
          </w:tcPr>
          <w:p w:rsidR="00A9585F" w:rsidRPr="00511632" w:rsidRDefault="00A9585F" w:rsidP="00A9585F">
            <w:pPr>
              <w:rPr>
                <w:rFonts w:ascii="Arial" w:hAnsi="Arial" w:cs="Arial"/>
                <w:b/>
                <w:sz w:val="18"/>
                <w:szCs w:val="18"/>
              </w:rPr>
            </w:pPr>
          </w:p>
        </w:tc>
        <w:tc>
          <w:tcPr>
            <w:tcW w:w="960" w:type="dxa"/>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2 parent</w:t>
            </w:r>
          </w:p>
        </w:tc>
        <w:tc>
          <w:tcPr>
            <w:tcW w:w="960" w:type="dxa"/>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1 parent</w:t>
            </w:r>
          </w:p>
        </w:tc>
        <w:tc>
          <w:tcPr>
            <w:tcW w:w="962" w:type="dxa"/>
            <w:tcBorders>
              <w:top w:val="nil"/>
              <w:left w:val="nil"/>
              <w:bottom w:val="nil"/>
              <w:right w:val="nil"/>
            </w:tcBorders>
            <w:shd w:val="clear" w:color="auto" w:fill="auto"/>
            <w:noWrap/>
            <w:vAlign w:val="bottom"/>
          </w:tcPr>
          <w:p w:rsidR="00A9585F" w:rsidRPr="00511632" w:rsidRDefault="00CC432C" w:rsidP="00A9585F">
            <w:pPr>
              <w:rPr>
                <w:rFonts w:ascii="Arial" w:hAnsi="Arial" w:cs="Arial"/>
                <w:b/>
                <w:sz w:val="18"/>
                <w:szCs w:val="18"/>
              </w:rPr>
            </w:pPr>
            <w:r>
              <w:rPr>
                <w:rFonts w:ascii="Arial" w:hAnsi="Arial" w:cs="Arial"/>
                <w:b/>
                <w:sz w:val="18"/>
                <w:szCs w:val="18"/>
              </w:rPr>
              <w:t>Couples</w:t>
            </w:r>
          </w:p>
        </w:tc>
        <w:tc>
          <w:tcPr>
            <w:tcW w:w="850" w:type="dxa"/>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Lone</w:t>
            </w:r>
          </w:p>
        </w:tc>
        <w:tc>
          <w:tcPr>
            <w:tcW w:w="1227" w:type="dxa"/>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Group</w:t>
            </w:r>
          </w:p>
        </w:tc>
        <w:tc>
          <w:tcPr>
            <w:tcW w:w="1628" w:type="dxa"/>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 xml:space="preserve">Total </w:t>
            </w:r>
          </w:p>
        </w:tc>
        <w:tc>
          <w:tcPr>
            <w:tcW w:w="927" w:type="dxa"/>
            <w:gridSpan w:val="2"/>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Persons in</w:t>
            </w:r>
          </w:p>
        </w:tc>
      </w:tr>
      <w:tr w:rsidR="00275CDC" w:rsidTr="00B02AB0">
        <w:trPr>
          <w:trHeight w:val="255"/>
        </w:trPr>
        <w:tc>
          <w:tcPr>
            <w:tcW w:w="1217" w:type="dxa"/>
            <w:vMerge/>
            <w:tcBorders>
              <w:left w:val="nil"/>
              <w:right w:val="nil"/>
            </w:tcBorders>
            <w:shd w:val="clear" w:color="auto" w:fill="auto"/>
            <w:noWrap/>
            <w:vAlign w:val="bottom"/>
          </w:tcPr>
          <w:p w:rsidR="00A9585F" w:rsidRPr="00511632" w:rsidRDefault="00A9585F" w:rsidP="00A9585F">
            <w:pPr>
              <w:rPr>
                <w:rFonts w:ascii="Arial" w:hAnsi="Arial" w:cs="Arial"/>
                <w:b/>
                <w:sz w:val="18"/>
                <w:szCs w:val="18"/>
              </w:rPr>
            </w:pPr>
          </w:p>
        </w:tc>
        <w:tc>
          <w:tcPr>
            <w:tcW w:w="1006" w:type="dxa"/>
            <w:vMerge/>
            <w:tcBorders>
              <w:left w:val="nil"/>
              <w:right w:val="nil"/>
            </w:tcBorders>
            <w:shd w:val="clear" w:color="auto" w:fill="auto"/>
            <w:noWrap/>
            <w:vAlign w:val="bottom"/>
          </w:tcPr>
          <w:p w:rsidR="00A9585F" w:rsidRPr="00511632" w:rsidRDefault="00A9585F" w:rsidP="00A9585F">
            <w:pPr>
              <w:rPr>
                <w:rFonts w:ascii="Arial" w:hAnsi="Arial" w:cs="Arial"/>
                <w:b/>
                <w:sz w:val="18"/>
                <w:szCs w:val="18"/>
              </w:rPr>
            </w:pPr>
          </w:p>
        </w:tc>
        <w:tc>
          <w:tcPr>
            <w:tcW w:w="960" w:type="dxa"/>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families</w:t>
            </w:r>
          </w:p>
        </w:tc>
        <w:tc>
          <w:tcPr>
            <w:tcW w:w="960" w:type="dxa"/>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families</w:t>
            </w:r>
          </w:p>
        </w:tc>
        <w:tc>
          <w:tcPr>
            <w:tcW w:w="962" w:type="dxa"/>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 xml:space="preserve">without </w:t>
            </w:r>
          </w:p>
        </w:tc>
        <w:tc>
          <w:tcPr>
            <w:tcW w:w="850" w:type="dxa"/>
            <w:tcBorders>
              <w:top w:val="nil"/>
              <w:left w:val="nil"/>
              <w:bottom w:val="nil"/>
              <w:right w:val="nil"/>
            </w:tcBorders>
            <w:shd w:val="clear" w:color="auto" w:fill="auto"/>
            <w:noWrap/>
            <w:vAlign w:val="bottom"/>
          </w:tcPr>
          <w:p w:rsidR="00A9585F" w:rsidRPr="00511632" w:rsidRDefault="00CC432C" w:rsidP="00A9585F">
            <w:pPr>
              <w:rPr>
                <w:rFonts w:ascii="Arial" w:hAnsi="Arial" w:cs="Arial"/>
                <w:b/>
                <w:sz w:val="18"/>
                <w:szCs w:val="18"/>
              </w:rPr>
            </w:pPr>
            <w:r>
              <w:rPr>
                <w:rFonts w:ascii="Arial" w:hAnsi="Arial" w:cs="Arial"/>
                <w:b/>
                <w:sz w:val="18"/>
                <w:szCs w:val="18"/>
              </w:rPr>
              <w:t>p</w:t>
            </w:r>
            <w:r w:rsidR="00A9585F" w:rsidRPr="00511632">
              <w:rPr>
                <w:rFonts w:ascii="Arial" w:hAnsi="Arial" w:cs="Arial"/>
                <w:b/>
                <w:sz w:val="18"/>
                <w:szCs w:val="18"/>
              </w:rPr>
              <w:t>erson</w:t>
            </w:r>
          </w:p>
        </w:tc>
        <w:tc>
          <w:tcPr>
            <w:tcW w:w="1227" w:type="dxa"/>
            <w:tcBorders>
              <w:top w:val="nil"/>
              <w:left w:val="nil"/>
              <w:bottom w:val="nil"/>
              <w:right w:val="nil"/>
            </w:tcBorders>
            <w:shd w:val="clear" w:color="auto" w:fill="auto"/>
            <w:noWrap/>
            <w:vAlign w:val="bottom"/>
          </w:tcPr>
          <w:p w:rsidR="00A9585F" w:rsidRPr="00511632" w:rsidRDefault="00CC432C" w:rsidP="00A9585F">
            <w:pPr>
              <w:rPr>
                <w:rFonts w:ascii="Arial" w:hAnsi="Arial" w:cs="Arial"/>
                <w:b/>
                <w:sz w:val="18"/>
                <w:szCs w:val="18"/>
              </w:rPr>
            </w:pPr>
            <w:r>
              <w:rPr>
                <w:rFonts w:ascii="Arial" w:hAnsi="Arial" w:cs="Arial"/>
                <w:b/>
                <w:sz w:val="18"/>
                <w:szCs w:val="18"/>
              </w:rPr>
              <w:t>h</w:t>
            </w:r>
            <w:r w:rsidR="00A9585F" w:rsidRPr="00511632">
              <w:rPr>
                <w:rFonts w:ascii="Arial" w:hAnsi="Arial" w:cs="Arial"/>
                <w:b/>
                <w:sz w:val="18"/>
                <w:szCs w:val="18"/>
              </w:rPr>
              <w:t>ouseholds</w:t>
            </w:r>
          </w:p>
        </w:tc>
        <w:tc>
          <w:tcPr>
            <w:tcW w:w="1628" w:type="dxa"/>
            <w:tcBorders>
              <w:top w:val="nil"/>
              <w:left w:val="nil"/>
              <w:bottom w:val="nil"/>
              <w:right w:val="nil"/>
            </w:tcBorders>
            <w:shd w:val="clear" w:color="auto" w:fill="auto"/>
            <w:noWrap/>
            <w:vAlign w:val="bottom"/>
          </w:tcPr>
          <w:p w:rsidR="00A9585F" w:rsidRPr="00511632" w:rsidRDefault="00CC432C" w:rsidP="00A9585F">
            <w:pPr>
              <w:rPr>
                <w:rFonts w:ascii="Arial" w:hAnsi="Arial" w:cs="Arial"/>
                <w:b/>
                <w:sz w:val="18"/>
                <w:szCs w:val="18"/>
              </w:rPr>
            </w:pPr>
            <w:r>
              <w:rPr>
                <w:rFonts w:ascii="Arial" w:hAnsi="Arial" w:cs="Arial"/>
                <w:b/>
                <w:sz w:val="18"/>
                <w:szCs w:val="18"/>
              </w:rPr>
              <w:t>h</w:t>
            </w:r>
            <w:r w:rsidR="00A9585F" w:rsidRPr="00511632">
              <w:rPr>
                <w:rFonts w:ascii="Arial" w:hAnsi="Arial" w:cs="Arial"/>
                <w:b/>
                <w:sz w:val="18"/>
                <w:szCs w:val="18"/>
              </w:rPr>
              <w:t>ouseholds</w:t>
            </w:r>
          </w:p>
        </w:tc>
        <w:tc>
          <w:tcPr>
            <w:tcW w:w="927" w:type="dxa"/>
            <w:gridSpan w:val="2"/>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NPDS</w:t>
            </w:r>
          </w:p>
        </w:tc>
      </w:tr>
      <w:tr w:rsidR="00275CDC" w:rsidTr="00B02AB0">
        <w:trPr>
          <w:trHeight w:val="255"/>
        </w:trPr>
        <w:tc>
          <w:tcPr>
            <w:tcW w:w="1217" w:type="dxa"/>
            <w:vMerge/>
            <w:tcBorders>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p>
        </w:tc>
        <w:tc>
          <w:tcPr>
            <w:tcW w:w="1006" w:type="dxa"/>
            <w:vMerge/>
            <w:tcBorders>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p>
        </w:tc>
        <w:tc>
          <w:tcPr>
            <w:tcW w:w="960" w:type="dxa"/>
            <w:tcBorders>
              <w:top w:val="nil"/>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 </w:t>
            </w:r>
          </w:p>
        </w:tc>
        <w:tc>
          <w:tcPr>
            <w:tcW w:w="960" w:type="dxa"/>
            <w:tcBorders>
              <w:top w:val="nil"/>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 </w:t>
            </w:r>
          </w:p>
        </w:tc>
        <w:tc>
          <w:tcPr>
            <w:tcW w:w="962" w:type="dxa"/>
            <w:tcBorders>
              <w:top w:val="nil"/>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children</w:t>
            </w:r>
          </w:p>
        </w:tc>
        <w:tc>
          <w:tcPr>
            <w:tcW w:w="850" w:type="dxa"/>
            <w:tcBorders>
              <w:top w:val="nil"/>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 </w:t>
            </w:r>
          </w:p>
        </w:tc>
        <w:tc>
          <w:tcPr>
            <w:tcW w:w="1227" w:type="dxa"/>
            <w:tcBorders>
              <w:top w:val="nil"/>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 </w:t>
            </w:r>
          </w:p>
        </w:tc>
        <w:tc>
          <w:tcPr>
            <w:tcW w:w="1628" w:type="dxa"/>
            <w:tcBorders>
              <w:top w:val="nil"/>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 </w:t>
            </w:r>
          </w:p>
        </w:tc>
        <w:tc>
          <w:tcPr>
            <w:tcW w:w="927" w:type="dxa"/>
            <w:gridSpan w:val="2"/>
            <w:tcBorders>
              <w:top w:val="nil"/>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 </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r w:rsidRPr="006F2E40">
              <w:rPr>
                <w:rFonts w:ascii="Arial" w:hAnsi="Arial" w:cs="Arial"/>
                <w:sz w:val="18"/>
                <w:szCs w:val="18"/>
              </w:rPr>
              <w:t>NSW</w:t>
            </w:r>
            <w:r>
              <w:rPr>
                <w:rFonts w:ascii="Arial" w:hAnsi="Arial" w:cs="Arial"/>
                <w:sz w:val="18"/>
                <w:szCs w:val="18"/>
              </w:rPr>
              <w:t xml:space="preserve"> capital city</w:t>
            </w:r>
          </w:p>
        </w:tc>
        <w:tc>
          <w:tcPr>
            <w:tcW w:w="1006" w:type="dxa"/>
            <w:tcBorders>
              <w:top w:val="nil"/>
              <w:left w:val="nil"/>
              <w:bottom w:val="nil"/>
              <w:right w:val="nil"/>
            </w:tcBorders>
            <w:shd w:val="clear" w:color="auto" w:fill="auto"/>
            <w:noWrap/>
            <w:vAlign w:val="bottom"/>
          </w:tcPr>
          <w:p w:rsidR="00100D84" w:rsidRPr="00EB2C33" w:rsidRDefault="00100D84" w:rsidP="00A9585F">
            <w:pPr>
              <w:rPr>
                <w:rFonts w:ascii="Arial" w:hAnsi="Arial" w:cs="Arial"/>
                <w:sz w:val="16"/>
                <w:szCs w:val="16"/>
              </w:rPr>
            </w:pPr>
            <w:r w:rsidRPr="00EB2C33">
              <w:rPr>
                <w:rFonts w:ascii="Arial" w:hAnsi="Arial" w:cs="Arial"/>
                <w:sz w:val="16"/>
                <w:szCs w:val="16"/>
              </w:rPr>
              <w:t>2011-26</w:t>
            </w:r>
            <w:r w:rsidR="00EB2C33" w:rsidRP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1.17</w:t>
            </w:r>
          </w:p>
        </w:tc>
        <w:tc>
          <w:tcPr>
            <w:tcW w:w="960"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1.22</w:t>
            </w:r>
          </w:p>
        </w:tc>
        <w:tc>
          <w:tcPr>
            <w:tcW w:w="962"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1.26</w:t>
            </w:r>
          </w:p>
        </w:tc>
        <w:tc>
          <w:tcPr>
            <w:tcW w:w="850"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1.43</w:t>
            </w:r>
          </w:p>
        </w:tc>
        <w:tc>
          <w:tcPr>
            <w:tcW w:w="1227"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1.22</w:t>
            </w:r>
          </w:p>
        </w:tc>
        <w:tc>
          <w:tcPr>
            <w:tcW w:w="1628"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1.26</w:t>
            </w:r>
          </w:p>
        </w:tc>
        <w:tc>
          <w:tcPr>
            <w:tcW w:w="927" w:type="dxa"/>
            <w:gridSpan w:val="2"/>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1.29</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00D84" w:rsidRPr="00EB2C33" w:rsidRDefault="00100D84" w:rsidP="00A9585F">
            <w:pPr>
              <w:rPr>
                <w:rFonts w:ascii="Arial" w:hAnsi="Arial" w:cs="Arial"/>
                <w:sz w:val="16"/>
                <w:szCs w:val="16"/>
              </w:rPr>
            </w:pPr>
            <w:r w:rsidRPr="00EB2C33">
              <w:rPr>
                <w:rFonts w:ascii="Arial" w:hAnsi="Arial" w:cs="Arial"/>
                <w:sz w:val="16"/>
                <w:szCs w:val="16"/>
              </w:rPr>
              <w:t>2026-41</w:t>
            </w:r>
            <w:r w:rsidR="00EB2C33" w:rsidRP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1.13</w:t>
            </w:r>
          </w:p>
        </w:tc>
        <w:tc>
          <w:tcPr>
            <w:tcW w:w="960"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1.20</w:t>
            </w:r>
          </w:p>
        </w:tc>
        <w:tc>
          <w:tcPr>
            <w:tcW w:w="962"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1.18</w:t>
            </w:r>
          </w:p>
        </w:tc>
        <w:tc>
          <w:tcPr>
            <w:tcW w:w="850"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1.36</w:t>
            </w:r>
          </w:p>
        </w:tc>
        <w:tc>
          <w:tcPr>
            <w:tcW w:w="1227"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1.19</w:t>
            </w:r>
          </w:p>
        </w:tc>
        <w:tc>
          <w:tcPr>
            <w:tcW w:w="1628"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1.21</w:t>
            </w:r>
          </w:p>
        </w:tc>
        <w:tc>
          <w:tcPr>
            <w:tcW w:w="927" w:type="dxa"/>
            <w:gridSpan w:val="2"/>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1.38</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r w:rsidRPr="006F2E40">
              <w:rPr>
                <w:rFonts w:ascii="Arial" w:hAnsi="Arial" w:cs="Arial"/>
                <w:sz w:val="18"/>
                <w:szCs w:val="18"/>
              </w:rPr>
              <w:t>NSW</w:t>
            </w:r>
            <w:r>
              <w:rPr>
                <w:rFonts w:ascii="Arial" w:hAnsi="Arial" w:cs="Arial"/>
                <w:sz w:val="18"/>
                <w:szCs w:val="18"/>
              </w:rPr>
              <w:t xml:space="preserve"> balance of state</w:t>
            </w: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2011-26</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0.95</w:t>
            </w:r>
          </w:p>
        </w:tc>
        <w:tc>
          <w:tcPr>
            <w:tcW w:w="960"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1.06</w:t>
            </w:r>
          </w:p>
        </w:tc>
        <w:tc>
          <w:tcPr>
            <w:tcW w:w="962"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1.11</w:t>
            </w:r>
          </w:p>
        </w:tc>
        <w:tc>
          <w:tcPr>
            <w:tcW w:w="850"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1.36</w:t>
            </w:r>
          </w:p>
        </w:tc>
        <w:tc>
          <w:tcPr>
            <w:tcW w:w="1227"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1.10</w:t>
            </w:r>
          </w:p>
        </w:tc>
        <w:tc>
          <w:tcPr>
            <w:tcW w:w="1628"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1.13</w:t>
            </w:r>
          </w:p>
        </w:tc>
        <w:tc>
          <w:tcPr>
            <w:tcW w:w="927" w:type="dxa"/>
            <w:gridSpan w:val="2"/>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1.28</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2026-41</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1.01</w:t>
            </w:r>
          </w:p>
        </w:tc>
        <w:tc>
          <w:tcPr>
            <w:tcW w:w="960"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1.07</w:t>
            </w:r>
          </w:p>
        </w:tc>
        <w:tc>
          <w:tcPr>
            <w:tcW w:w="962"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0.98</w:t>
            </w:r>
          </w:p>
        </w:tc>
        <w:tc>
          <w:tcPr>
            <w:tcW w:w="850"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1.24</w:t>
            </w:r>
          </w:p>
        </w:tc>
        <w:tc>
          <w:tcPr>
            <w:tcW w:w="1227"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1.05</w:t>
            </w:r>
          </w:p>
        </w:tc>
        <w:tc>
          <w:tcPr>
            <w:tcW w:w="1628" w:type="dxa"/>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1.08</w:t>
            </w:r>
          </w:p>
        </w:tc>
        <w:tc>
          <w:tcPr>
            <w:tcW w:w="927" w:type="dxa"/>
            <w:gridSpan w:val="2"/>
            <w:tcBorders>
              <w:top w:val="nil"/>
              <w:left w:val="nil"/>
              <w:bottom w:val="nil"/>
              <w:right w:val="nil"/>
            </w:tcBorders>
            <w:shd w:val="clear" w:color="auto" w:fill="auto"/>
            <w:noWrap/>
            <w:vAlign w:val="bottom"/>
          </w:tcPr>
          <w:p w:rsidR="00100D84" w:rsidRDefault="00100D84">
            <w:pPr>
              <w:jc w:val="right"/>
              <w:rPr>
                <w:rFonts w:ascii="Arial" w:hAnsi="Arial" w:cs="Arial"/>
                <w:sz w:val="20"/>
                <w:szCs w:val="20"/>
              </w:rPr>
            </w:pPr>
            <w:r>
              <w:rPr>
                <w:rFonts w:ascii="Arial" w:hAnsi="Arial" w:cs="Arial"/>
                <w:sz w:val="20"/>
                <w:szCs w:val="20"/>
              </w:rPr>
              <w:t>1.23</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r w:rsidRPr="006F2E40">
              <w:rPr>
                <w:rFonts w:ascii="Arial" w:hAnsi="Arial" w:cs="Arial"/>
                <w:sz w:val="18"/>
                <w:szCs w:val="18"/>
              </w:rPr>
              <w:t>VIC</w:t>
            </w:r>
            <w:r>
              <w:rPr>
                <w:rFonts w:ascii="Arial" w:hAnsi="Arial" w:cs="Arial"/>
                <w:sz w:val="18"/>
                <w:szCs w:val="18"/>
              </w:rPr>
              <w:t xml:space="preserve"> capital city</w:t>
            </w: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2011-26</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1.16</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1.27</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1.26</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1.53</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1.25</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1.30</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1.41</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2026-41</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1.12</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1.26</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1.17</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1.40</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1.2</w:t>
            </w:r>
            <w:r>
              <w:rPr>
                <w:rFonts w:ascii="Arial" w:hAnsi="Arial" w:cs="Arial"/>
                <w:sz w:val="18"/>
                <w:szCs w:val="18"/>
              </w:rPr>
              <w:t>5</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1.2</w:t>
            </w:r>
            <w:r>
              <w:rPr>
                <w:rFonts w:ascii="Arial" w:hAnsi="Arial" w:cs="Arial"/>
                <w:sz w:val="18"/>
                <w:szCs w:val="18"/>
              </w:rPr>
              <w:t>3</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1.44</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r w:rsidRPr="006F2E40">
              <w:rPr>
                <w:rFonts w:ascii="Arial" w:hAnsi="Arial" w:cs="Arial"/>
                <w:sz w:val="18"/>
                <w:szCs w:val="18"/>
              </w:rPr>
              <w:t>VIC</w:t>
            </w:r>
            <w:r>
              <w:rPr>
                <w:rFonts w:ascii="Arial" w:hAnsi="Arial" w:cs="Arial"/>
                <w:sz w:val="18"/>
                <w:szCs w:val="18"/>
              </w:rPr>
              <w:t xml:space="preserve"> balance of state</w:t>
            </w: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2011-26</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1.01</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1.07</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1.22</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1.49</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1.12</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1.22</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1.34</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2026-41</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1.00</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1.10</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1.02</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1.32</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1.06</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1.13</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1.41</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r w:rsidRPr="006F2E40">
              <w:rPr>
                <w:rFonts w:ascii="Arial" w:hAnsi="Arial" w:cs="Arial"/>
                <w:sz w:val="18"/>
                <w:szCs w:val="18"/>
              </w:rPr>
              <w:t>QLD</w:t>
            </w:r>
            <w:r>
              <w:rPr>
                <w:rFonts w:ascii="Arial" w:hAnsi="Arial" w:cs="Arial"/>
                <w:sz w:val="18"/>
                <w:szCs w:val="18"/>
              </w:rPr>
              <w:t xml:space="preserve"> capital city</w:t>
            </w: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2011-26</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1.29</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1.31</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1.38</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1.52</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1.25</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1.37</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1.40</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2026-41</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1.21</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1.30</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1.26</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1.40</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1.29</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1.29</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w:t>
            </w:r>
            <w:r>
              <w:rPr>
                <w:rFonts w:ascii="Arial" w:hAnsi="Arial" w:cs="Arial"/>
                <w:sz w:val="18"/>
                <w:szCs w:val="18"/>
              </w:rPr>
              <w:t>37</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r w:rsidRPr="006F2E40">
              <w:rPr>
                <w:rFonts w:ascii="Arial" w:hAnsi="Arial" w:cs="Arial"/>
                <w:sz w:val="18"/>
                <w:szCs w:val="18"/>
              </w:rPr>
              <w:t>QLD</w:t>
            </w:r>
            <w:r>
              <w:rPr>
                <w:rFonts w:ascii="Arial" w:hAnsi="Arial" w:cs="Arial"/>
                <w:sz w:val="18"/>
                <w:szCs w:val="18"/>
              </w:rPr>
              <w:t xml:space="preserve"> balance of state</w:t>
            </w: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2011-26</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1.28</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1.24</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1.47</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1.65</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1.25</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1.42</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1.43</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2026-41</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1.19</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1.21</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1.25</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1.46</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1.20</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1.29</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1.49</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r w:rsidRPr="006F2E40">
              <w:rPr>
                <w:rFonts w:ascii="Arial" w:hAnsi="Arial" w:cs="Arial"/>
                <w:sz w:val="18"/>
                <w:szCs w:val="18"/>
              </w:rPr>
              <w:t>SA</w:t>
            </w:r>
            <w:r>
              <w:rPr>
                <w:rFonts w:ascii="Arial" w:hAnsi="Arial" w:cs="Arial"/>
                <w:sz w:val="18"/>
                <w:szCs w:val="18"/>
              </w:rPr>
              <w:t xml:space="preserve"> capital city</w:t>
            </w: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2011-26</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1.06</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1.05</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1.18</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1.29</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1.07</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1.16</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1.22</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2026-41</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1.04</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1.10</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1.06</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1.22</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1.08</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1.12</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1.37</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r w:rsidRPr="006F2E40">
              <w:rPr>
                <w:rFonts w:ascii="Arial" w:hAnsi="Arial" w:cs="Arial"/>
                <w:sz w:val="18"/>
                <w:szCs w:val="18"/>
              </w:rPr>
              <w:t>SA</w:t>
            </w:r>
            <w:r>
              <w:rPr>
                <w:rFonts w:ascii="Arial" w:hAnsi="Arial" w:cs="Arial"/>
                <w:sz w:val="18"/>
                <w:szCs w:val="18"/>
              </w:rPr>
              <w:t xml:space="preserve"> balance of state</w:t>
            </w: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2011-26</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0.98</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1.05</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1.20</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1.48</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1.19</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1.20</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1.52</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2026-41</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1.00</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1.08</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1.01</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1.30</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1.09</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1.12</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1.46</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r w:rsidRPr="006F2E40">
              <w:rPr>
                <w:rFonts w:ascii="Arial" w:hAnsi="Arial" w:cs="Arial"/>
                <w:sz w:val="18"/>
                <w:szCs w:val="18"/>
              </w:rPr>
              <w:t>WA</w:t>
            </w:r>
            <w:r>
              <w:rPr>
                <w:rFonts w:ascii="Arial" w:hAnsi="Arial" w:cs="Arial"/>
                <w:sz w:val="18"/>
                <w:szCs w:val="18"/>
              </w:rPr>
              <w:t xml:space="preserve"> capital city</w:t>
            </w: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2011-26</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1.28</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1.32</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1.41</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1.60</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1.24</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1.40</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1.55</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2026-41</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1.17</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1.29</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1.26</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1.45</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1.30</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1.29</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1.5</w:t>
            </w:r>
            <w:r>
              <w:rPr>
                <w:rFonts w:ascii="Arial" w:hAnsi="Arial" w:cs="Arial"/>
                <w:sz w:val="18"/>
                <w:szCs w:val="18"/>
              </w:rPr>
              <w:t>6</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r w:rsidRPr="006F2E40">
              <w:rPr>
                <w:rFonts w:ascii="Arial" w:hAnsi="Arial" w:cs="Arial"/>
                <w:sz w:val="18"/>
                <w:szCs w:val="18"/>
              </w:rPr>
              <w:t>WA</w:t>
            </w:r>
            <w:r>
              <w:rPr>
                <w:rFonts w:ascii="Arial" w:hAnsi="Arial" w:cs="Arial"/>
                <w:sz w:val="18"/>
                <w:szCs w:val="18"/>
              </w:rPr>
              <w:t xml:space="preserve"> balance of state</w:t>
            </w: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2011-26</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1.11</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1.15</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1.41</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1.69</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1.19</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1.36</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1.38</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2026-41</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1.04</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1.12</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1.14</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1.4</w:t>
            </w:r>
            <w:r>
              <w:rPr>
                <w:rFonts w:ascii="Arial" w:hAnsi="Arial" w:cs="Arial"/>
                <w:sz w:val="18"/>
                <w:szCs w:val="18"/>
              </w:rPr>
              <w:t>4</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1.14</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1.21</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1.42</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r w:rsidRPr="006F2E40">
              <w:rPr>
                <w:rFonts w:ascii="Arial" w:hAnsi="Arial" w:cs="Arial"/>
                <w:sz w:val="18"/>
                <w:szCs w:val="18"/>
              </w:rPr>
              <w:t>TAS</w:t>
            </w:r>
            <w:r>
              <w:rPr>
                <w:rFonts w:ascii="Arial" w:hAnsi="Arial" w:cs="Arial"/>
                <w:sz w:val="18"/>
                <w:szCs w:val="18"/>
              </w:rPr>
              <w:t xml:space="preserve"> capital city</w:t>
            </w: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2011-26</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1.03</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1.05</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1.23</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1.39</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1.05</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1.19</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1.08</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2026-41</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1.03</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1.09</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1.08</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1.27</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1.06</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1.13</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1.30</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r w:rsidRPr="006F2E40">
              <w:rPr>
                <w:rFonts w:ascii="Arial" w:hAnsi="Arial" w:cs="Arial"/>
                <w:sz w:val="18"/>
                <w:szCs w:val="18"/>
              </w:rPr>
              <w:t>TAS</w:t>
            </w:r>
            <w:r>
              <w:rPr>
                <w:rFonts w:ascii="Arial" w:hAnsi="Arial" w:cs="Arial"/>
                <w:sz w:val="18"/>
                <w:szCs w:val="18"/>
              </w:rPr>
              <w:t xml:space="preserve"> balance of state</w:t>
            </w: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2011-26</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0.92</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0.98</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1.17</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1.42</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1.10</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1.15</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1.46</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2026-41</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0.93</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1.01</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0.95</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1.24</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1.00</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1.0</w:t>
            </w:r>
            <w:r>
              <w:rPr>
                <w:rFonts w:ascii="Arial" w:hAnsi="Arial" w:cs="Arial"/>
                <w:sz w:val="18"/>
                <w:szCs w:val="18"/>
              </w:rPr>
              <w:t>5</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1.4</w:t>
            </w:r>
            <w:r>
              <w:rPr>
                <w:rFonts w:ascii="Arial" w:hAnsi="Arial" w:cs="Arial"/>
                <w:sz w:val="18"/>
                <w:szCs w:val="18"/>
              </w:rPr>
              <w:t>7</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Default="00100D84" w:rsidP="00A9585F">
            <w:pPr>
              <w:rPr>
                <w:rFonts w:ascii="Arial" w:hAnsi="Arial" w:cs="Arial"/>
                <w:sz w:val="18"/>
                <w:szCs w:val="18"/>
              </w:rPr>
            </w:pPr>
          </w:p>
          <w:p w:rsidR="00100D84" w:rsidRPr="006F2E40" w:rsidRDefault="00100D84" w:rsidP="00A9585F">
            <w:pPr>
              <w:rPr>
                <w:rFonts w:ascii="Arial" w:hAnsi="Arial" w:cs="Arial"/>
                <w:sz w:val="18"/>
                <w:szCs w:val="18"/>
              </w:rPr>
            </w:pPr>
            <w:r w:rsidRPr="006F2E40">
              <w:rPr>
                <w:rFonts w:ascii="Arial" w:hAnsi="Arial" w:cs="Arial"/>
                <w:sz w:val="18"/>
                <w:szCs w:val="18"/>
              </w:rPr>
              <w:t>NT</w:t>
            </w: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2011-26</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1.14</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1.19</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1.32</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1.64</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1.28</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1.31</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1.23</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2026-41</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1.11</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1.28</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1.16</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1.35</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1.15</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1.22</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1.23</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Default="00100D84" w:rsidP="00A9585F">
            <w:pPr>
              <w:rPr>
                <w:rFonts w:ascii="Arial" w:hAnsi="Arial" w:cs="Arial"/>
                <w:sz w:val="18"/>
                <w:szCs w:val="18"/>
              </w:rPr>
            </w:pPr>
          </w:p>
          <w:p w:rsidR="00100D84" w:rsidRPr="006F2E40" w:rsidRDefault="00100D84" w:rsidP="00A9585F">
            <w:pPr>
              <w:rPr>
                <w:rFonts w:ascii="Arial" w:hAnsi="Arial" w:cs="Arial"/>
                <w:sz w:val="18"/>
                <w:szCs w:val="18"/>
              </w:rPr>
            </w:pPr>
            <w:r w:rsidRPr="006F2E40">
              <w:rPr>
                <w:rFonts w:ascii="Arial" w:hAnsi="Arial" w:cs="Arial"/>
                <w:sz w:val="18"/>
                <w:szCs w:val="18"/>
              </w:rPr>
              <w:t>ACT</w:t>
            </w: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2011-26</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1.14</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1.14</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1.25</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1.45</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1.10</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1.25</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1.18</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2026-41</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1.05</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1.17</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1.14</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1.31</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1.1</w:t>
            </w:r>
            <w:r>
              <w:rPr>
                <w:rFonts w:ascii="Arial" w:hAnsi="Arial" w:cs="Arial"/>
                <w:sz w:val="18"/>
                <w:szCs w:val="18"/>
              </w:rPr>
              <w:t>4</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1.1</w:t>
            </w:r>
            <w:r>
              <w:rPr>
                <w:rFonts w:ascii="Arial" w:hAnsi="Arial" w:cs="Arial"/>
                <w:sz w:val="18"/>
                <w:szCs w:val="18"/>
              </w:rPr>
              <w:t>7</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1.3</w:t>
            </w:r>
            <w:r>
              <w:rPr>
                <w:rFonts w:ascii="Arial" w:hAnsi="Arial" w:cs="Arial"/>
                <w:sz w:val="18"/>
                <w:szCs w:val="18"/>
              </w:rPr>
              <w:t>7</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Default="00100D84" w:rsidP="00A9585F">
            <w:pPr>
              <w:rPr>
                <w:rFonts w:ascii="Arial" w:hAnsi="Arial" w:cs="Arial"/>
                <w:sz w:val="18"/>
                <w:szCs w:val="18"/>
              </w:rPr>
            </w:pPr>
          </w:p>
          <w:p w:rsidR="00100D84" w:rsidRPr="006F2E40" w:rsidRDefault="00100D84" w:rsidP="00A9585F">
            <w:pPr>
              <w:rPr>
                <w:rFonts w:ascii="Arial" w:hAnsi="Arial" w:cs="Arial"/>
                <w:sz w:val="18"/>
                <w:szCs w:val="18"/>
              </w:rPr>
            </w:pPr>
            <w:r>
              <w:rPr>
                <w:rFonts w:ascii="Arial" w:hAnsi="Arial" w:cs="Arial"/>
                <w:sz w:val="18"/>
                <w:szCs w:val="18"/>
              </w:rPr>
              <w:t>SE QLD</w:t>
            </w: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2011-26</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1.35</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1.34</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1.45</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1.58</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1.27</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1.43</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1.46</w:t>
            </w:r>
          </w:p>
        </w:tc>
      </w:tr>
      <w:tr w:rsidR="00100D84" w:rsidTr="00B02AB0">
        <w:trPr>
          <w:trHeight w:val="255"/>
        </w:trPr>
        <w:tc>
          <w:tcPr>
            <w:tcW w:w="1217" w:type="dxa"/>
            <w:tcBorders>
              <w:top w:val="nil"/>
              <w:left w:val="nil"/>
              <w:bottom w:val="nil"/>
              <w:right w:val="nil"/>
            </w:tcBorders>
            <w:shd w:val="clear" w:color="auto" w:fill="auto"/>
            <w:noWrap/>
            <w:vAlign w:val="bottom"/>
          </w:tcPr>
          <w:p w:rsidR="00100D84" w:rsidRPr="006F2E40" w:rsidRDefault="00100D84" w:rsidP="00A9585F">
            <w:pPr>
              <w:rPr>
                <w:rFonts w:ascii="Arial" w:hAnsi="Arial" w:cs="Arial"/>
                <w:sz w:val="18"/>
                <w:szCs w:val="18"/>
              </w:rPr>
            </w:pPr>
            <w:r w:rsidRPr="006F2E40">
              <w:rPr>
                <w:rFonts w:ascii="Arial" w:hAnsi="Arial" w:cs="Arial"/>
                <w:sz w:val="18"/>
                <w:szCs w:val="18"/>
              </w:rPr>
              <w:t> </w:t>
            </w:r>
          </w:p>
        </w:tc>
        <w:tc>
          <w:tcPr>
            <w:tcW w:w="1006" w:type="dxa"/>
            <w:tcBorders>
              <w:top w:val="nil"/>
              <w:left w:val="nil"/>
              <w:bottom w:val="nil"/>
              <w:right w:val="nil"/>
            </w:tcBorders>
            <w:shd w:val="clear" w:color="auto" w:fill="auto"/>
            <w:noWrap/>
            <w:vAlign w:val="bottom"/>
          </w:tcPr>
          <w:p w:rsidR="00100D84" w:rsidRPr="00EB2C33" w:rsidRDefault="00100D84" w:rsidP="0073391A">
            <w:pPr>
              <w:rPr>
                <w:rFonts w:ascii="Arial" w:hAnsi="Arial" w:cs="Arial"/>
                <w:sz w:val="16"/>
                <w:szCs w:val="16"/>
              </w:rPr>
            </w:pPr>
            <w:r w:rsidRPr="00EB2C33">
              <w:rPr>
                <w:rFonts w:ascii="Arial" w:hAnsi="Arial" w:cs="Arial"/>
                <w:sz w:val="16"/>
                <w:szCs w:val="16"/>
              </w:rPr>
              <w:t>2026-41</w:t>
            </w:r>
            <w:r w:rsidR="00EB2C33">
              <w:rPr>
                <w:rFonts w:ascii="Arial" w:hAnsi="Arial" w:cs="Arial"/>
                <w:sz w:val="16"/>
                <w:szCs w:val="16"/>
              </w:rPr>
              <w:t>**</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1.24</w:t>
            </w:r>
          </w:p>
        </w:tc>
        <w:tc>
          <w:tcPr>
            <w:tcW w:w="96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1.31</w:t>
            </w:r>
          </w:p>
        </w:tc>
        <w:tc>
          <w:tcPr>
            <w:tcW w:w="962"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1.30</w:t>
            </w:r>
          </w:p>
        </w:tc>
        <w:tc>
          <w:tcPr>
            <w:tcW w:w="850"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1.44</w:t>
            </w:r>
          </w:p>
        </w:tc>
        <w:tc>
          <w:tcPr>
            <w:tcW w:w="1227"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Pr>
                <w:rFonts w:ascii="Arial" w:hAnsi="Arial" w:cs="Arial"/>
                <w:sz w:val="18"/>
                <w:szCs w:val="18"/>
              </w:rPr>
              <w:t>1.29</w:t>
            </w:r>
          </w:p>
        </w:tc>
        <w:tc>
          <w:tcPr>
            <w:tcW w:w="1628" w:type="dxa"/>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1.32</w:t>
            </w:r>
          </w:p>
        </w:tc>
        <w:tc>
          <w:tcPr>
            <w:tcW w:w="927" w:type="dxa"/>
            <w:gridSpan w:val="2"/>
            <w:tcBorders>
              <w:top w:val="nil"/>
              <w:left w:val="nil"/>
              <w:bottom w:val="nil"/>
              <w:right w:val="nil"/>
            </w:tcBorders>
            <w:shd w:val="clear" w:color="auto" w:fill="auto"/>
            <w:noWrap/>
            <w:vAlign w:val="bottom"/>
          </w:tcPr>
          <w:p w:rsidR="00100D84" w:rsidRPr="006F2E40" w:rsidRDefault="00100D84" w:rsidP="00A9585F">
            <w:pPr>
              <w:jc w:val="right"/>
              <w:rPr>
                <w:rFonts w:ascii="Arial" w:hAnsi="Arial" w:cs="Arial"/>
                <w:sz w:val="18"/>
                <w:szCs w:val="18"/>
              </w:rPr>
            </w:pPr>
            <w:r w:rsidRPr="006F2E40">
              <w:rPr>
                <w:rFonts w:ascii="Arial" w:hAnsi="Arial" w:cs="Arial"/>
                <w:sz w:val="18"/>
                <w:szCs w:val="18"/>
              </w:rPr>
              <w:t>1.53</w:t>
            </w:r>
          </w:p>
        </w:tc>
      </w:tr>
    </w:tbl>
    <w:p w:rsidR="00A9585F" w:rsidRDefault="00A9585F" w:rsidP="00A9585F"/>
    <w:p w:rsidR="00EB2C33" w:rsidRPr="0043341C" w:rsidRDefault="0043341C" w:rsidP="00EB2C33">
      <w:pPr>
        <w:rPr>
          <w:sz w:val="20"/>
          <w:szCs w:val="20"/>
        </w:rPr>
      </w:pPr>
      <w:r w:rsidRPr="0043341C">
        <w:rPr>
          <w:sz w:val="20"/>
          <w:szCs w:val="20"/>
        </w:rPr>
        <w:t>Source: Authors calculations</w:t>
      </w:r>
      <w:r w:rsidR="00EB2C33">
        <w:rPr>
          <w:sz w:val="20"/>
          <w:szCs w:val="20"/>
        </w:rPr>
        <w:t xml:space="preserve"> </w:t>
      </w:r>
      <w:r w:rsidR="00EB2C33" w:rsidRPr="0043341C">
        <w:rPr>
          <w:sz w:val="20"/>
          <w:szCs w:val="20"/>
        </w:rPr>
        <w:t xml:space="preserve">Notes: * Ratio </w:t>
      </w:r>
      <w:r w:rsidR="00EB2C33">
        <w:rPr>
          <w:sz w:val="20"/>
          <w:szCs w:val="20"/>
        </w:rPr>
        <w:t>o</w:t>
      </w:r>
      <w:r w:rsidR="00EB2C33" w:rsidRPr="0043341C">
        <w:rPr>
          <w:sz w:val="20"/>
          <w:szCs w:val="20"/>
        </w:rPr>
        <w:t>f 2026 household count to 2011 household count; ** Ratio of 2041 household count to 2026 household count.</w:t>
      </w:r>
    </w:p>
    <w:p w:rsidR="00047361" w:rsidRPr="00D75FDF" w:rsidRDefault="004F6238">
      <w:r>
        <w:rPr>
          <w:b/>
        </w:rPr>
        <w:lastRenderedPageBreak/>
        <w:t>D</w:t>
      </w:r>
      <w:r w:rsidR="005E1EF6" w:rsidRPr="006D28AC">
        <w:rPr>
          <w:b/>
        </w:rPr>
        <w:t>emand for additional dwellings</w:t>
      </w:r>
      <w:r>
        <w:rPr>
          <w:b/>
        </w:rPr>
        <w:t xml:space="preserve"> by type</w:t>
      </w:r>
    </w:p>
    <w:p w:rsidR="005E1EF6" w:rsidRDefault="005E1EF6"/>
    <w:p w:rsidR="004B19AA" w:rsidRDefault="002C6B60" w:rsidP="00DC7242">
      <w:pPr>
        <w:jc w:val="both"/>
      </w:pPr>
      <w:r>
        <w:t xml:space="preserve">Table </w:t>
      </w:r>
      <w:r w:rsidR="00552C32">
        <w:t>9</w:t>
      </w:r>
      <w:r>
        <w:t xml:space="preserve"> shows that the demand for additio</w:t>
      </w:r>
      <w:r w:rsidR="00D75FDF">
        <w:t xml:space="preserve">nal dwellings is </w:t>
      </w:r>
      <w:r>
        <w:t>contingent upon the assumed level of net international migration.</w:t>
      </w:r>
      <w:r w:rsidR="00DF5367">
        <w:t xml:space="preserve"> </w:t>
      </w:r>
      <w:r w:rsidR="00AD4263">
        <w:t>For the 2011-26</w:t>
      </w:r>
      <w:r w:rsidR="000D26A5">
        <w:t xml:space="preserve"> period, the additional immigrants increase the demand for dwellings in Australia as a whole f</w:t>
      </w:r>
      <w:r w:rsidR="00AD4263">
        <w:t>rom 2.40</w:t>
      </w:r>
      <w:r w:rsidR="000D26A5">
        <w:t xml:space="preserve"> mil</w:t>
      </w:r>
      <w:r w:rsidR="00615259">
        <w:t>lion i</w:t>
      </w:r>
      <w:r w:rsidR="00AD4263">
        <w:t>n the Low scenario to 2.66</w:t>
      </w:r>
      <w:r w:rsidR="000D26A5">
        <w:t xml:space="preserve"> million in the </w:t>
      </w:r>
      <w:r w:rsidR="00AD4263">
        <w:t>Medium scenario and then to 2.80</w:t>
      </w:r>
      <w:r w:rsidR="000D26A5">
        <w:t xml:space="preserve"> million in the High scenario. </w:t>
      </w:r>
      <w:r w:rsidR="00AD4263">
        <w:t>The increment to total dwellings is lower in the second period because of the lower level of migration assumed in this scenario in the second period. The reverse is true for the high migration scenario, because of higher migration in the second period than in the first.</w:t>
      </w:r>
    </w:p>
    <w:p w:rsidR="00AD4263" w:rsidRDefault="00AD4263" w:rsidP="00DC7242">
      <w:pPr>
        <w:jc w:val="both"/>
      </w:pPr>
    </w:p>
    <w:p w:rsidR="00AD4263" w:rsidRDefault="00AD4263" w:rsidP="00DC7242">
      <w:pPr>
        <w:jc w:val="both"/>
      </w:pPr>
      <w:r>
        <w:t xml:space="preserve">The growth </w:t>
      </w:r>
      <w:r w:rsidR="000E12D8">
        <w:t xml:space="preserve">rate </w:t>
      </w:r>
      <w:r>
        <w:t>of each dwelling type does not vary wit</w:t>
      </w:r>
      <w:r w:rsidR="00552C32">
        <w:t>hin any one projection scenario because the</w:t>
      </w:r>
      <w:r w:rsidR="00067858">
        <w:t xml:space="preserve"> distribution of dwelling types</w:t>
      </w:r>
      <w:r w:rsidR="00552C32">
        <w:t xml:space="preserve"> for each </w:t>
      </w:r>
      <w:r w:rsidR="00067858">
        <w:t xml:space="preserve">cell defined by </w:t>
      </w:r>
      <w:r w:rsidR="00552C32">
        <w:t>age-sex of the household refe</w:t>
      </w:r>
      <w:r w:rsidR="00067858">
        <w:t>rence person and household type</w:t>
      </w:r>
      <w:r w:rsidR="00552C32">
        <w:t xml:space="preserve"> </w:t>
      </w:r>
      <w:r w:rsidR="00067858">
        <w:t xml:space="preserve">(preferences) </w:t>
      </w:r>
      <w:r w:rsidR="00552C32">
        <w:t>remains constant</w:t>
      </w:r>
      <w:r w:rsidR="00067858">
        <w:t xml:space="preserve">. Thus, the dwelling type distribution will only change because of changes in the composition of the population by age or household type. These changes are relatively small. </w:t>
      </w:r>
      <w:r w:rsidR="00552C32">
        <w:t xml:space="preserve">  </w:t>
      </w:r>
    </w:p>
    <w:p w:rsidR="004B19AA" w:rsidRDefault="004B19AA" w:rsidP="004B19AA">
      <w:pPr>
        <w:rPr>
          <w:rFonts w:ascii="Arial" w:hAnsi="Arial" w:cs="Arial"/>
          <w:b/>
          <w:sz w:val="20"/>
          <w:szCs w:val="20"/>
        </w:rPr>
      </w:pPr>
    </w:p>
    <w:p w:rsidR="00AD4263" w:rsidRDefault="00552C32" w:rsidP="0073391A">
      <w:pPr>
        <w:rPr>
          <w:rFonts w:ascii="Arial" w:hAnsi="Arial" w:cs="Arial"/>
          <w:b/>
          <w:sz w:val="20"/>
          <w:szCs w:val="20"/>
        </w:rPr>
      </w:pPr>
      <w:proofErr w:type="gramStart"/>
      <w:r>
        <w:rPr>
          <w:rFonts w:ascii="Arial" w:hAnsi="Arial" w:cs="Arial"/>
          <w:b/>
          <w:sz w:val="20"/>
          <w:szCs w:val="20"/>
        </w:rPr>
        <w:t>Table 9</w:t>
      </w:r>
      <w:r w:rsidR="0073391A">
        <w:rPr>
          <w:rFonts w:ascii="Arial" w:hAnsi="Arial" w:cs="Arial"/>
          <w:b/>
          <w:sz w:val="20"/>
          <w:szCs w:val="20"/>
        </w:rPr>
        <w:t>.</w:t>
      </w:r>
      <w:proofErr w:type="gramEnd"/>
      <w:r w:rsidR="0073391A">
        <w:rPr>
          <w:rFonts w:ascii="Arial" w:hAnsi="Arial" w:cs="Arial"/>
          <w:b/>
          <w:sz w:val="20"/>
          <w:szCs w:val="20"/>
        </w:rPr>
        <w:t xml:space="preserve"> Total increment to dwellings </w:t>
      </w:r>
      <w:r w:rsidR="00AD4263">
        <w:rPr>
          <w:rFonts w:ascii="Arial" w:hAnsi="Arial" w:cs="Arial"/>
          <w:b/>
          <w:sz w:val="20"/>
          <w:szCs w:val="20"/>
        </w:rPr>
        <w:t>and ratio of dwellings by type,</w:t>
      </w:r>
    </w:p>
    <w:p w:rsidR="0073391A" w:rsidRDefault="0073391A" w:rsidP="0073391A">
      <w:pPr>
        <w:rPr>
          <w:rFonts w:ascii="Arial" w:hAnsi="Arial" w:cs="Arial"/>
          <w:b/>
          <w:sz w:val="20"/>
          <w:szCs w:val="20"/>
        </w:rPr>
      </w:pPr>
      <w:r>
        <w:rPr>
          <w:rFonts w:ascii="Arial" w:hAnsi="Arial" w:cs="Arial"/>
          <w:b/>
          <w:sz w:val="20"/>
          <w:szCs w:val="20"/>
        </w:rPr>
        <w:t>2026 to 2011 and 2041 to 2026, Australia, three scenarios</w:t>
      </w:r>
    </w:p>
    <w:p w:rsidR="0073391A" w:rsidRDefault="0073391A" w:rsidP="0073391A">
      <w:pPr>
        <w:rPr>
          <w:rFonts w:ascii="Arial" w:hAnsi="Arial" w:cs="Arial"/>
          <w:b/>
          <w:sz w:val="20"/>
          <w:szCs w:val="20"/>
        </w:rPr>
      </w:pPr>
      <w:r>
        <w:rPr>
          <w:rFonts w:ascii="Arial" w:hAnsi="Arial" w:cs="Arial"/>
          <w:b/>
          <w:sz w:val="20"/>
          <w:szCs w:val="20"/>
        </w:rPr>
        <w:t>______________________________________________________________</w:t>
      </w:r>
    </w:p>
    <w:tbl>
      <w:tblPr>
        <w:tblW w:w="6999" w:type="dxa"/>
        <w:tblInd w:w="93" w:type="dxa"/>
        <w:tblLook w:val="04A0"/>
      </w:tblPr>
      <w:tblGrid>
        <w:gridCol w:w="1960"/>
        <w:gridCol w:w="1106"/>
        <w:gridCol w:w="812"/>
        <w:gridCol w:w="1110"/>
        <w:gridCol w:w="901"/>
        <w:gridCol w:w="1110"/>
      </w:tblGrid>
      <w:tr w:rsidR="0073391A" w:rsidRPr="003B6544" w:rsidTr="000E12D8">
        <w:trPr>
          <w:trHeight w:val="255"/>
        </w:trPr>
        <w:tc>
          <w:tcPr>
            <w:tcW w:w="1960" w:type="dxa"/>
            <w:tcBorders>
              <w:top w:val="nil"/>
              <w:left w:val="nil"/>
              <w:bottom w:val="nil"/>
              <w:right w:val="nil"/>
            </w:tcBorders>
            <w:shd w:val="clear" w:color="auto" w:fill="auto"/>
            <w:noWrap/>
            <w:vAlign w:val="bottom"/>
            <w:hideMark/>
          </w:tcPr>
          <w:p w:rsidR="0073391A" w:rsidRPr="003B6544" w:rsidRDefault="0073391A" w:rsidP="0073391A">
            <w:pPr>
              <w:rPr>
                <w:rFonts w:ascii="Arial" w:hAnsi="Arial" w:cs="Arial"/>
                <w:sz w:val="20"/>
                <w:szCs w:val="20"/>
                <w:lang w:val="en-AU" w:eastAsia="en-AU"/>
              </w:rPr>
            </w:pPr>
          </w:p>
        </w:tc>
        <w:tc>
          <w:tcPr>
            <w:tcW w:w="1106" w:type="dxa"/>
            <w:tcBorders>
              <w:top w:val="nil"/>
              <w:left w:val="nil"/>
              <w:bottom w:val="nil"/>
              <w:right w:val="nil"/>
            </w:tcBorders>
            <w:shd w:val="clear" w:color="auto" w:fill="auto"/>
            <w:noWrap/>
            <w:vAlign w:val="bottom"/>
            <w:hideMark/>
          </w:tcPr>
          <w:p w:rsidR="0073391A" w:rsidRDefault="0073391A" w:rsidP="0073391A">
            <w:pPr>
              <w:rPr>
                <w:rFonts w:ascii="Arial" w:hAnsi="Arial" w:cs="Arial"/>
                <w:sz w:val="16"/>
                <w:szCs w:val="16"/>
                <w:lang w:val="en-AU" w:eastAsia="en-AU"/>
              </w:rPr>
            </w:pPr>
            <w:r>
              <w:rPr>
                <w:rFonts w:ascii="Arial" w:hAnsi="Arial" w:cs="Arial"/>
                <w:sz w:val="16"/>
                <w:szCs w:val="16"/>
                <w:lang w:val="en-AU" w:eastAsia="en-AU"/>
              </w:rPr>
              <w:t>Increment</w:t>
            </w:r>
          </w:p>
          <w:p w:rsidR="0073391A" w:rsidRPr="003B6544" w:rsidRDefault="0073391A" w:rsidP="0073391A">
            <w:pPr>
              <w:rPr>
                <w:rFonts w:ascii="Arial" w:hAnsi="Arial" w:cs="Arial"/>
                <w:sz w:val="16"/>
                <w:szCs w:val="16"/>
                <w:lang w:val="en-AU" w:eastAsia="en-AU"/>
              </w:rPr>
            </w:pPr>
            <w:r>
              <w:rPr>
                <w:rFonts w:ascii="Arial" w:hAnsi="Arial" w:cs="Arial"/>
                <w:sz w:val="16"/>
                <w:szCs w:val="16"/>
                <w:lang w:val="en-AU" w:eastAsia="en-AU"/>
              </w:rPr>
              <w:t>To Dwellings</w:t>
            </w:r>
          </w:p>
        </w:tc>
        <w:tc>
          <w:tcPr>
            <w:tcW w:w="812" w:type="dxa"/>
            <w:tcBorders>
              <w:top w:val="nil"/>
              <w:left w:val="nil"/>
              <w:bottom w:val="nil"/>
              <w:right w:val="nil"/>
            </w:tcBorders>
            <w:shd w:val="clear" w:color="auto" w:fill="auto"/>
            <w:noWrap/>
            <w:vAlign w:val="bottom"/>
            <w:hideMark/>
          </w:tcPr>
          <w:p w:rsidR="0073391A" w:rsidRDefault="0073391A">
            <w:pPr>
              <w:rPr>
                <w:rFonts w:ascii="Arial" w:hAnsi="Arial" w:cs="Arial"/>
                <w:sz w:val="16"/>
                <w:szCs w:val="16"/>
              </w:rPr>
            </w:pPr>
            <w:r>
              <w:rPr>
                <w:rFonts w:ascii="Arial" w:hAnsi="Arial" w:cs="Arial"/>
                <w:sz w:val="16"/>
                <w:szCs w:val="16"/>
              </w:rPr>
              <w:t xml:space="preserve">  Total</w:t>
            </w:r>
            <w:r w:rsidR="00EB2C33">
              <w:rPr>
                <w:rFonts w:ascii="Arial" w:hAnsi="Arial" w:cs="Arial"/>
                <w:sz w:val="16"/>
                <w:szCs w:val="16"/>
              </w:rPr>
              <w:t>*</w:t>
            </w:r>
          </w:p>
        </w:tc>
        <w:tc>
          <w:tcPr>
            <w:tcW w:w="1110" w:type="dxa"/>
            <w:tcBorders>
              <w:top w:val="nil"/>
              <w:left w:val="nil"/>
              <w:bottom w:val="nil"/>
              <w:right w:val="nil"/>
            </w:tcBorders>
            <w:shd w:val="clear" w:color="auto" w:fill="auto"/>
            <w:noWrap/>
            <w:vAlign w:val="bottom"/>
            <w:hideMark/>
          </w:tcPr>
          <w:p w:rsidR="0073391A" w:rsidRDefault="00AD4263">
            <w:pPr>
              <w:rPr>
                <w:rFonts w:ascii="Arial" w:hAnsi="Arial" w:cs="Arial"/>
                <w:sz w:val="16"/>
                <w:szCs w:val="16"/>
              </w:rPr>
            </w:pPr>
            <w:r>
              <w:rPr>
                <w:rFonts w:ascii="Arial" w:hAnsi="Arial" w:cs="Arial"/>
                <w:sz w:val="16"/>
                <w:szCs w:val="16"/>
              </w:rPr>
              <w:t xml:space="preserve">    </w:t>
            </w:r>
            <w:r w:rsidR="0073391A">
              <w:rPr>
                <w:rFonts w:ascii="Arial" w:hAnsi="Arial" w:cs="Arial"/>
                <w:sz w:val="16"/>
                <w:szCs w:val="16"/>
              </w:rPr>
              <w:t>Separate</w:t>
            </w:r>
            <w:r w:rsidR="00EB2C33">
              <w:rPr>
                <w:rFonts w:ascii="Arial" w:hAnsi="Arial" w:cs="Arial"/>
                <w:sz w:val="16"/>
                <w:szCs w:val="16"/>
              </w:rPr>
              <w:t>*</w:t>
            </w:r>
          </w:p>
        </w:tc>
        <w:tc>
          <w:tcPr>
            <w:tcW w:w="901" w:type="dxa"/>
            <w:tcBorders>
              <w:top w:val="nil"/>
              <w:left w:val="nil"/>
              <w:bottom w:val="nil"/>
              <w:right w:val="nil"/>
            </w:tcBorders>
            <w:shd w:val="clear" w:color="auto" w:fill="auto"/>
            <w:noWrap/>
            <w:vAlign w:val="bottom"/>
            <w:hideMark/>
          </w:tcPr>
          <w:p w:rsidR="0073391A" w:rsidRDefault="0073391A">
            <w:pPr>
              <w:rPr>
                <w:rFonts w:ascii="Arial" w:hAnsi="Arial" w:cs="Arial"/>
                <w:sz w:val="16"/>
                <w:szCs w:val="16"/>
              </w:rPr>
            </w:pPr>
            <w:r>
              <w:rPr>
                <w:rFonts w:ascii="Arial" w:hAnsi="Arial" w:cs="Arial"/>
                <w:sz w:val="16"/>
                <w:szCs w:val="16"/>
              </w:rPr>
              <w:t xml:space="preserve">    Semi</w:t>
            </w:r>
            <w:r w:rsidR="00EB2C33">
              <w:rPr>
                <w:rFonts w:ascii="Arial" w:hAnsi="Arial" w:cs="Arial"/>
                <w:sz w:val="16"/>
                <w:szCs w:val="16"/>
              </w:rPr>
              <w:t>*</w:t>
            </w:r>
          </w:p>
        </w:tc>
        <w:tc>
          <w:tcPr>
            <w:tcW w:w="1110" w:type="dxa"/>
            <w:tcBorders>
              <w:top w:val="nil"/>
              <w:left w:val="nil"/>
              <w:bottom w:val="nil"/>
              <w:right w:val="nil"/>
            </w:tcBorders>
            <w:shd w:val="clear" w:color="auto" w:fill="auto"/>
            <w:noWrap/>
            <w:vAlign w:val="bottom"/>
            <w:hideMark/>
          </w:tcPr>
          <w:p w:rsidR="0073391A" w:rsidRDefault="0073391A">
            <w:pPr>
              <w:rPr>
                <w:rFonts w:ascii="Arial" w:hAnsi="Arial" w:cs="Arial"/>
                <w:sz w:val="16"/>
                <w:szCs w:val="16"/>
              </w:rPr>
            </w:pPr>
            <w:r>
              <w:rPr>
                <w:rFonts w:ascii="Arial" w:hAnsi="Arial" w:cs="Arial"/>
                <w:sz w:val="16"/>
                <w:szCs w:val="16"/>
              </w:rPr>
              <w:t xml:space="preserve">          Flats</w:t>
            </w:r>
            <w:r w:rsidR="00EB2C33">
              <w:rPr>
                <w:rFonts w:ascii="Arial" w:hAnsi="Arial" w:cs="Arial"/>
                <w:sz w:val="16"/>
                <w:szCs w:val="16"/>
              </w:rPr>
              <w:t>*</w:t>
            </w:r>
          </w:p>
        </w:tc>
      </w:tr>
      <w:tr w:rsidR="0073391A" w:rsidRPr="003B6544" w:rsidTr="000E12D8">
        <w:trPr>
          <w:trHeight w:val="255"/>
        </w:trPr>
        <w:tc>
          <w:tcPr>
            <w:tcW w:w="1960" w:type="dxa"/>
            <w:tcBorders>
              <w:top w:val="nil"/>
              <w:left w:val="nil"/>
              <w:bottom w:val="single" w:sz="4" w:space="0" w:color="auto"/>
              <w:right w:val="nil"/>
            </w:tcBorders>
            <w:shd w:val="clear" w:color="auto" w:fill="auto"/>
            <w:noWrap/>
            <w:vAlign w:val="bottom"/>
            <w:hideMark/>
          </w:tcPr>
          <w:p w:rsidR="0073391A" w:rsidRPr="003B6544" w:rsidRDefault="0073391A" w:rsidP="0073391A">
            <w:pPr>
              <w:rPr>
                <w:rFonts w:ascii="Arial" w:hAnsi="Arial" w:cs="Arial"/>
                <w:sz w:val="20"/>
                <w:szCs w:val="20"/>
                <w:lang w:val="en-AU" w:eastAsia="en-AU"/>
              </w:rPr>
            </w:pPr>
            <w:r>
              <w:rPr>
                <w:rFonts w:ascii="Arial" w:hAnsi="Arial" w:cs="Arial"/>
                <w:sz w:val="20"/>
                <w:szCs w:val="20"/>
                <w:lang w:val="en-AU" w:eastAsia="en-AU"/>
              </w:rPr>
              <w:t xml:space="preserve"> </w:t>
            </w:r>
          </w:p>
        </w:tc>
        <w:tc>
          <w:tcPr>
            <w:tcW w:w="1106" w:type="dxa"/>
            <w:tcBorders>
              <w:top w:val="nil"/>
              <w:left w:val="nil"/>
              <w:bottom w:val="single" w:sz="4" w:space="0" w:color="auto"/>
              <w:right w:val="nil"/>
            </w:tcBorders>
            <w:shd w:val="clear" w:color="auto" w:fill="auto"/>
            <w:noWrap/>
            <w:vAlign w:val="bottom"/>
            <w:hideMark/>
          </w:tcPr>
          <w:p w:rsidR="0073391A" w:rsidRPr="003B6544" w:rsidRDefault="0073391A" w:rsidP="0073391A">
            <w:pPr>
              <w:rPr>
                <w:rFonts w:ascii="Arial" w:hAnsi="Arial" w:cs="Arial"/>
                <w:sz w:val="16"/>
                <w:szCs w:val="16"/>
                <w:lang w:val="en-AU" w:eastAsia="en-AU"/>
              </w:rPr>
            </w:pPr>
          </w:p>
        </w:tc>
        <w:tc>
          <w:tcPr>
            <w:tcW w:w="812" w:type="dxa"/>
            <w:tcBorders>
              <w:top w:val="nil"/>
              <w:left w:val="nil"/>
              <w:bottom w:val="single" w:sz="4" w:space="0" w:color="auto"/>
              <w:right w:val="nil"/>
            </w:tcBorders>
            <w:shd w:val="clear" w:color="auto" w:fill="auto"/>
            <w:noWrap/>
            <w:vAlign w:val="bottom"/>
            <w:hideMark/>
          </w:tcPr>
          <w:p w:rsidR="0073391A" w:rsidRDefault="0073391A">
            <w:pPr>
              <w:rPr>
                <w:rFonts w:ascii="Arial" w:hAnsi="Arial" w:cs="Arial"/>
                <w:sz w:val="16"/>
                <w:szCs w:val="16"/>
              </w:rPr>
            </w:pPr>
            <w:r>
              <w:rPr>
                <w:rFonts w:ascii="Arial" w:hAnsi="Arial" w:cs="Arial"/>
                <w:sz w:val="16"/>
                <w:szCs w:val="16"/>
              </w:rPr>
              <w:t> </w:t>
            </w:r>
          </w:p>
        </w:tc>
        <w:tc>
          <w:tcPr>
            <w:tcW w:w="1110" w:type="dxa"/>
            <w:tcBorders>
              <w:top w:val="nil"/>
              <w:left w:val="nil"/>
              <w:bottom w:val="single" w:sz="4" w:space="0" w:color="auto"/>
              <w:right w:val="nil"/>
            </w:tcBorders>
            <w:shd w:val="clear" w:color="auto" w:fill="auto"/>
            <w:noWrap/>
            <w:vAlign w:val="bottom"/>
            <w:hideMark/>
          </w:tcPr>
          <w:p w:rsidR="0073391A" w:rsidRDefault="00AD4263">
            <w:pPr>
              <w:rPr>
                <w:rFonts w:ascii="Arial" w:hAnsi="Arial" w:cs="Arial"/>
                <w:sz w:val="16"/>
                <w:szCs w:val="16"/>
              </w:rPr>
            </w:pPr>
            <w:r>
              <w:rPr>
                <w:rFonts w:ascii="Arial" w:hAnsi="Arial" w:cs="Arial"/>
                <w:sz w:val="16"/>
                <w:szCs w:val="16"/>
              </w:rPr>
              <w:t xml:space="preserve">     </w:t>
            </w:r>
            <w:r w:rsidR="0073391A">
              <w:rPr>
                <w:rFonts w:ascii="Arial" w:hAnsi="Arial" w:cs="Arial"/>
                <w:sz w:val="16"/>
                <w:szCs w:val="16"/>
              </w:rPr>
              <w:t>Houses</w:t>
            </w:r>
          </w:p>
        </w:tc>
        <w:tc>
          <w:tcPr>
            <w:tcW w:w="901" w:type="dxa"/>
            <w:tcBorders>
              <w:top w:val="nil"/>
              <w:left w:val="nil"/>
              <w:bottom w:val="single" w:sz="4" w:space="0" w:color="auto"/>
              <w:right w:val="nil"/>
            </w:tcBorders>
            <w:shd w:val="clear" w:color="auto" w:fill="auto"/>
            <w:noWrap/>
            <w:vAlign w:val="bottom"/>
            <w:hideMark/>
          </w:tcPr>
          <w:p w:rsidR="0073391A" w:rsidRDefault="0073391A">
            <w:pPr>
              <w:rPr>
                <w:rFonts w:ascii="Arial" w:hAnsi="Arial" w:cs="Arial"/>
                <w:sz w:val="16"/>
                <w:szCs w:val="16"/>
              </w:rPr>
            </w:pPr>
            <w:r>
              <w:rPr>
                <w:rFonts w:ascii="Arial" w:hAnsi="Arial" w:cs="Arial"/>
                <w:sz w:val="16"/>
                <w:szCs w:val="16"/>
              </w:rPr>
              <w:t>Detached</w:t>
            </w:r>
          </w:p>
        </w:tc>
        <w:tc>
          <w:tcPr>
            <w:tcW w:w="1110" w:type="dxa"/>
            <w:tcBorders>
              <w:top w:val="nil"/>
              <w:left w:val="nil"/>
              <w:bottom w:val="single" w:sz="4" w:space="0" w:color="auto"/>
              <w:right w:val="nil"/>
            </w:tcBorders>
            <w:shd w:val="clear" w:color="auto" w:fill="auto"/>
            <w:noWrap/>
            <w:vAlign w:val="bottom"/>
            <w:hideMark/>
          </w:tcPr>
          <w:p w:rsidR="0073391A" w:rsidRDefault="0073391A">
            <w:pPr>
              <w:rPr>
                <w:rFonts w:ascii="Arial" w:hAnsi="Arial" w:cs="Arial"/>
                <w:sz w:val="16"/>
                <w:szCs w:val="16"/>
              </w:rPr>
            </w:pPr>
            <w:r>
              <w:rPr>
                <w:rFonts w:ascii="Arial" w:hAnsi="Arial" w:cs="Arial"/>
                <w:sz w:val="16"/>
                <w:szCs w:val="16"/>
              </w:rPr>
              <w:t> </w:t>
            </w:r>
          </w:p>
        </w:tc>
      </w:tr>
      <w:tr w:rsidR="0073391A" w:rsidRPr="003B6544" w:rsidTr="000E12D8">
        <w:trPr>
          <w:trHeight w:val="255"/>
        </w:trPr>
        <w:tc>
          <w:tcPr>
            <w:tcW w:w="1960" w:type="dxa"/>
            <w:tcBorders>
              <w:top w:val="nil"/>
              <w:left w:val="nil"/>
              <w:bottom w:val="nil"/>
              <w:right w:val="nil"/>
            </w:tcBorders>
            <w:shd w:val="clear" w:color="auto" w:fill="auto"/>
            <w:noWrap/>
            <w:vAlign w:val="bottom"/>
            <w:hideMark/>
          </w:tcPr>
          <w:p w:rsidR="0073391A" w:rsidRPr="003B6544" w:rsidRDefault="0073391A" w:rsidP="0073391A">
            <w:pPr>
              <w:rPr>
                <w:rFonts w:ascii="Arial" w:hAnsi="Arial" w:cs="Arial"/>
                <w:b/>
                <w:bCs/>
                <w:sz w:val="20"/>
                <w:szCs w:val="20"/>
                <w:lang w:val="en-AU" w:eastAsia="en-AU"/>
              </w:rPr>
            </w:pPr>
            <w:r w:rsidRPr="003B6544">
              <w:rPr>
                <w:rFonts w:ascii="Arial" w:hAnsi="Arial" w:cs="Arial"/>
                <w:b/>
                <w:bCs/>
                <w:sz w:val="20"/>
                <w:szCs w:val="20"/>
                <w:lang w:val="en-AU" w:eastAsia="en-AU"/>
              </w:rPr>
              <w:t>Scenario: Low</w:t>
            </w:r>
          </w:p>
        </w:tc>
        <w:tc>
          <w:tcPr>
            <w:tcW w:w="1106" w:type="dxa"/>
            <w:tcBorders>
              <w:top w:val="nil"/>
              <w:left w:val="nil"/>
              <w:bottom w:val="nil"/>
              <w:right w:val="nil"/>
            </w:tcBorders>
            <w:shd w:val="clear" w:color="auto" w:fill="auto"/>
            <w:noWrap/>
            <w:vAlign w:val="bottom"/>
            <w:hideMark/>
          </w:tcPr>
          <w:p w:rsidR="0073391A" w:rsidRPr="003B6544" w:rsidRDefault="0073391A" w:rsidP="0073391A">
            <w:pPr>
              <w:rPr>
                <w:rFonts w:ascii="Arial" w:hAnsi="Arial" w:cs="Arial"/>
                <w:sz w:val="20"/>
                <w:szCs w:val="20"/>
                <w:lang w:val="en-AU" w:eastAsia="en-AU"/>
              </w:rPr>
            </w:pPr>
          </w:p>
        </w:tc>
        <w:tc>
          <w:tcPr>
            <w:tcW w:w="812" w:type="dxa"/>
            <w:tcBorders>
              <w:top w:val="nil"/>
              <w:left w:val="nil"/>
              <w:bottom w:val="nil"/>
              <w:right w:val="nil"/>
            </w:tcBorders>
            <w:shd w:val="clear" w:color="auto" w:fill="auto"/>
            <w:noWrap/>
            <w:vAlign w:val="bottom"/>
            <w:hideMark/>
          </w:tcPr>
          <w:p w:rsidR="0073391A" w:rsidRPr="003B6544" w:rsidRDefault="0073391A" w:rsidP="0073391A">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73391A" w:rsidRPr="003B6544" w:rsidRDefault="0073391A" w:rsidP="0073391A">
            <w:pPr>
              <w:rPr>
                <w:rFonts w:ascii="Arial" w:hAnsi="Arial" w:cs="Arial"/>
                <w:sz w:val="20"/>
                <w:szCs w:val="20"/>
                <w:lang w:val="en-AU" w:eastAsia="en-AU"/>
              </w:rPr>
            </w:pPr>
          </w:p>
        </w:tc>
        <w:tc>
          <w:tcPr>
            <w:tcW w:w="901" w:type="dxa"/>
            <w:tcBorders>
              <w:top w:val="nil"/>
              <w:left w:val="nil"/>
              <w:bottom w:val="nil"/>
              <w:right w:val="nil"/>
            </w:tcBorders>
            <w:shd w:val="clear" w:color="auto" w:fill="auto"/>
            <w:noWrap/>
            <w:vAlign w:val="bottom"/>
            <w:hideMark/>
          </w:tcPr>
          <w:p w:rsidR="0073391A" w:rsidRPr="003B6544" w:rsidRDefault="0073391A" w:rsidP="0073391A">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73391A" w:rsidRPr="003B6544" w:rsidRDefault="0073391A" w:rsidP="0073391A">
            <w:pPr>
              <w:rPr>
                <w:rFonts w:ascii="Arial" w:hAnsi="Arial" w:cs="Arial"/>
                <w:sz w:val="20"/>
                <w:szCs w:val="20"/>
                <w:lang w:val="en-AU" w:eastAsia="en-AU"/>
              </w:rPr>
            </w:pPr>
          </w:p>
        </w:tc>
      </w:tr>
      <w:tr w:rsidR="0073391A" w:rsidRPr="003B6544" w:rsidTr="000E12D8">
        <w:trPr>
          <w:trHeight w:val="255"/>
        </w:trPr>
        <w:tc>
          <w:tcPr>
            <w:tcW w:w="1960" w:type="dxa"/>
            <w:tcBorders>
              <w:top w:val="nil"/>
              <w:left w:val="nil"/>
              <w:bottom w:val="nil"/>
              <w:right w:val="nil"/>
            </w:tcBorders>
            <w:shd w:val="clear" w:color="auto" w:fill="auto"/>
            <w:noWrap/>
            <w:vAlign w:val="bottom"/>
            <w:hideMark/>
          </w:tcPr>
          <w:p w:rsidR="0073391A" w:rsidRPr="003B6544" w:rsidRDefault="0073391A" w:rsidP="0073391A">
            <w:pPr>
              <w:rPr>
                <w:rFonts w:ascii="Arial" w:hAnsi="Arial" w:cs="Arial"/>
                <w:sz w:val="20"/>
                <w:szCs w:val="20"/>
                <w:lang w:val="en-AU" w:eastAsia="en-AU"/>
              </w:rPr>
            </w:pPr>
            <w:r>
              <w:rPr>
                <w:rFonts w:ascii="Arial" w:hAnsi="Arial" w:cs="Arial"/>
                <w:sz w:val="20"/>
                <w:szCs w:val="20"/>
                <w:lang w:val="en-AU" w:eastAsia="en-AU"/>
              </w:rPr>
              <w:t>2011-26</w:t>
            </w:r>
          </w:p>
        </w:tc>
        <w:tc>
          <w:tcPr>
            <w:tcW w:w="1106" w:type="dxa"/>
            <w:tcBorders>
              <w:top w:val="nil"/>
              <w:left w:val="nil"/>
              <w:bottom w:val="nil"/>
              <w:right w:val="nil"/>
            </w:tcBorders>
            <w:shd w:val="clear" w:color="auto" w:fill="auto"/>
            <w:noWrap/>
            <w:vAlign w:val="bottom"/>
            <w:hideMark/>
          </w:tcPr>
          <w:p w:rsidR="0073391A" w:rsidRDefault="0073391A">
            <w:pPr>
              <w:jc w:val="right"/>
              <w:rPr>
                <w:rFonts w:ascii="Arial" w:hAnsi="Arial" w:cs="Arial"/>
                <w:sz w:val="20"/>
                <w:szCs w:val="20"/>
              </w:rPr>
            </w:pPr>
            <w:r>
              <w:rPr>
                <w:rFonts w:ascii="Arial" w:hAnsi="Arial" w:cs="Arial"/>
                <w:sz w:val="20"/>
                <w:szCs w:val="20"/>
              </w:rPr>
              <w:t>2</w:t>
            </w:r>
            <w:r w:rsidR="00D75FDF">
              <w:rPr>
                <w:rFonts w:ascii="Arial" w:hAnsi="Arial" w:cs="Arial"/>
                <w:sz w:val="20"/>
                <w:szCs w:val="20"/>
              </w:rPr>
              <w:t>,</w:t>
            </w:r>
            <w:r>
              <w:rPr>
                <w:rFonts w:ascii="Arial" w:hAnsi="Arial" w:cs="Arial"/>
                <w:sz w:val="20"/>
                <w:szCs w:val="20"/>
              </w:rPr>
              <w:t>399</w:t>
            </w:r>
            <w:r w:rsidR="00D75FDF">
              <w:rPr>
                <w:rFonts w:ascii="Arial" w:hAnsi="Arial" w:cs="Arial"/>
                <w:sz w:val="20"/>
                <w:szCs w:val="20"/>
              </w:rPr>
              <w:t>,</w:t>
            </w:r>
            <w:r>
              <w:rPr>
                <w:rFonts w:ascii="Arial" w:hAnsi="Arial" w:cs="Arial"/>
                <w:sz w:val="20"/>
                <w:szCs w:val="20"/>
              </w:rPr>
              <w:t>463</w:t>
            </w:r>
          </w:p>
        </w:tc>
        <w:tc>
          <w:tcPr>
            <w:tcW w:w="812" w:type="dxa"/>
            <w:tcBorders>
              <w:top w:val="nil"/>
              <w:left w:val="nil"/>
              <w:bottom w:val="nil"/>
              <w:right w:val="nil"/>
            </w:tcBorders>
            <w:shd w:val="clear" w:color="auto" w:fill="auto"/>
            <w:noWrap/>
            <w:vAlign w:val="bottom"/>
            <w:hideMark/>
          </w:tcPr>
          <w:p w:rsidR="0073391A" w:rsidRDefault="0073391A">
            <w:pPr>
              <w:jc w:val="right"/>
              <w:rPr>
                <w:rFonts w:ascii="Arial" w:hAnsi="Arial" w:cs="Arial"/>
                <w:sz w:val="20"/>
                <w:szCs w:val="20"/>
              </w:rPr>
            </w:pPr>
            <w:r>
              <w:rPr>
                <w:rFonts w:ascii="Arial" w:hAnsi="Arial" w:cs="Arial"/>
                <w:sz w:val="20"/>
                <w:szCs w:val="20"/>
              </w:rPr>
              <w:t>1.28</w:t>
            </w:r>
          </w:p>
        </w:tc>
        <w:tc>
          <w:tcPr>
            <w:tcW w:w="1110" w:type="dxa"/>
            <w:tcBorders>
              <w:top w:val="nil"/>
              <w:left w:val="nil"/>
              <w:bottom w:val="nil"/>
              <w:right w:val="nil"/>
            </w:tcBorders>
            <w:shd w:val="clear" w:color="auto" w:fill="auto"/>
            <w:noWrap/>
            <w:vAlign w:val="bottom"/>
            <w:hideMark/>
          </w:tcPr>
          <w:p w:rsidR="0073391A" w:rsidRDefault="0073391A">
            <w:pPr>
              <w:jc w:val="right"/>
              <w:rPr>
                <w:rFonts w:ascii="Arial" w:hAnsi="Arial" w:cs="Arial"/>
                <w:sz w:val="20"/>
                <w:szCs w:val="20"/>
              </w:rPr>
            </w:pPr>
            <w:r>
              <w:rPr>
                <w:rFonts w:ascii="Arial" w:hAnsi="Arial" w:cs="Arial"/>
                <w:sz w:val="20"/>
                <w:szCs w:val="20"/>
              </w:rPr>
              <w:t>1.28</w:t>
            </w:r>
          </w:p>
        </w:tc>
        <w:tc>
          <w:tcPr>
            <w:tcW w:w="901" w:type="dxa"/>
            <w:tcBorders>
              <w:top w:val="nil"/>
              <w:left w:val="nil"/>
              <w:bottom w:val="nil"/>
              <w:right w:val="nil"/>
            </w:tcBorders>
            <w:shd w:val="clear" w:color="auto" w:fill="auto"/>
            <w:noWrap/>
            <w:vAlign w:val="bottom"/>
            <w:hideMark/>
          </w:tcPr>
          <w:p w:rsidR="0073391A" w:rsidRDefault="0073391A">
            <w:pPr>
              <w:jc w:val="right"/>
              <w:rPr>
                <w:rFonts w:ascii="Arial" w:hAnsi="Arial" w:cs="Arial"/>
                <w:sz w:val="20"/>
                <w:szCs w:val="20"/>
              </w:rPr>
            </w:pPr>
            <w:r>
              <w:rPr>
                <w:rFonts w:ascii="Arial" w:hAnsi="Arial" w:cs="Arial"/>
                <w:sz w:val="20"/>
                <w:szCs w:val="20"/>
              </w:rPr>
              <w:t>1.28</w:t>
            </w:r>
          </w:p>
        </w:tc>
        <w:tc>
          <w:tcPr>
            <w:tcW w:w="1110" w:type="dxa"/>
            <w:tcBorders>
              <w:top w:val="nil"/>
              <w:left w:val="nil"/>
              <w:bottom w:val="nil"/>
              <w:right w:val="nil"/>
            </w:tcBorders>
            <w:shd w:val="clear" w:color="auto" w:fill="auto"/>
            <w:noWrap/>
            <w:vAlign w:val="bottom"/>
            <w:hideMark/>
          </w:tcPr>
          <w:p w:rsidR="0073391A" w:rsidRDefault="0073391A">
            <w:pPr>
              <w:jc w:val="right"/>
              <w:rPr>
                <w:rFonts w:ascii="Arial" w:hAnsi="Arial" w:cs="Arial"/>
                <w:sz w:val="20"/>
                <w:szCs w:val="20"/>
              </w:rPr>
            </w:pPr>
            <w:r>
              <w:rPr>
                <w:rFonts w:ascii="Arial" w:hAnsi="Arial" w:cs="Arial"/>
                <w:sz w:val="20"/>
                <w:szCs w:val="20"/>
              </w:rPr>
              <w:t>1.27</w:t>
            </w:r>
          </w:p>
        </w:tc>
      </w:tr>
      <w:tr w:rsidR="0073391A" w:rsidRPr="003B6544" w:rsidTr="000E12D8">
        <w:trPr>
          <w:trHeight w:val="255"/>
        </w:trPr>
        <w:tc>
          <w:tcPr>
            <w:tcW w:w="1960" w:type="dxa"/>
            <w:tcBorders>
              <w:top w:val="nil"/>
              <w:left w:val="nil"/>
              <w:bottom w:val="nil"/>
              <w:right w:val="nil"/>
            </w:tcBorders>
            <w:shd w:val="clear" w:color="auto" w:fill="auto"/>
            <w:noWrap/>
            <w:vAlign w:val="bottom"/>
            <w:hideMark/>
          </w:tcPr>
          <w:p w:rsidR="0073391A" w:rsidRPr="003B6544" w:rsidRDefault="0073391A" w:rsidP="0073391A">
            <w:pPr>
              <w:rPr>
                <w:rFonts w:ascii="Arial" w:hAnsi="Arial" w:cs="Arial"/>
                <w:sz w:val="20"/>
                <w:szCs w:val="20"/>
                <w:lang w:val="en-AU" w:eastAsia="en-AU"/>
              </w:rPr>
            </w:pPr>
            <w:r>
              <w:rPr>
                <w:rFonts w:ascii="Arial" w:hAnsi="Arial" w:cs="Arial"/>
                <w:sz w:val="20"/>
                <w:szCs w:val="20"/>
                <w:lang w:val="en-AU" w:eastAsia="en-AU"/>
              </w:rPr>
              <w:t>2026-41</w:t>
            </w:r>
          </w:p>
        </w:tc>
        <w:tc>
          <w:tcPr>
            <w:tcW w:w="1106" w:type="dxa"/>
            <w:tcBorders>
              <w:top w:val="nil"/>
              <w:left w:val="nil"/>
              <w:bottom w:val="nil"/>
              <w:right w:val="nil"/>
            </w:tcBorders>
            <w:shd w:val="clear" w:color="auto" w:fill="auto"/>
            <w:noWrap/>
            <w:vAlign w:val="bottom"/>
            <w:hideMark/>
          </w:tcPr>
          <w:p w:rsidR="0073391A" w:rsidRDefault="0073391A">
            <w:pPr>
              <w:jc w:val="right"/>
              <w:rPr>
                <w:rFonts w:ascii="Arial" w:hAnsi="Arial" w:cs="Arial"/>
                <w:sz w:val="20"/>
                <w:szCs w:val="20"/>
              </w:rPr>
            </w:pPr>
            <w:r>
              <w:rPr>
                <w:rFonts w:ascii="Arial" w:hAnsi="Arial" w:cs="Arial"/>
                <w:sz w:val="20"/>
                <w:szCs w:val="20"/>
              </w:rPr>
              <w:t>2</w:t>
            </w:r>
            <w:r w:rsidR="00D75FDF">
              <w:rPr>
                <w:rFonts w:ascii="Arial" w:hAnsi="Arial" w:cs="Arial"/>
                <w:sz w:val="20"/>
                <w:szCs w:val="20"/>
              </w:rPr>
              <w:t>,</w:t>
            </w:r>
            <w:r>
              <w:rPr>
                <w:rFonts w:ascii="Arial" w:hAnsi="Arial" w:cs="Arial"/>
                <w:sz w:val="20"/>
                <w:szCs w:val="20"/>
              </w:rPr>
              <w:t>047</w:t>
            </w:r>
            <w:r w:rsidR="00D75FDF">
              <w:rPr>
                <w:rFonts w:ascii="Arial" w:hAnsi="Arial" w:cs="Arial"/>
                <w:sz w:val="20"/>
                <w:szCs w:val="20"/>
              </w:rPr>
              <w:t>,</w:t>
            </w:r>
            <w:r>
              <w:rPr>
                <w:rFonts w:ascii="Arial" w:hAnsi="Arial" w:cs="Arial"/>
                <w:sz w:val="20"/>
                <w:szCs w:val="20"/>
              </w:rPr>
              <w:t>401</w:t>
            </w:r>
          </w:p>
        </w:tc>
        <w:tc>
          <w:tcPr>
            <w:tcW w:w="812" w:type="dxa"/>
            <w:tcBorders>
              <w:top w:val="nil"/>
              <w:left w:val="nil"/>
              <w:bottom w:val="nil"/>
              <w:right w:val="nil"/>
            </w:tcBorders>
            <w:shd w:val="clear" w:color="auto" w:fill="auto"/>
            <w:noWrap/>
            <w:vAlign w:val="bottom"/>
            <w:hideMark/>
          </w:tcPr>
          <w:p w:rsidR="0073391A" w:rsidRDefault="0073391A">
            <w:pPr>
              <w:jc w:val="right"/>
              <w:rPr>
                <w:rFonts w:ascii="Arial" w:hAnsi="Arial" w:cs="Arial"/>
                <w:sz w:val="20"/>
                <w:szCs w:val="20"/>
              </w:rPr>
            </w:pPr>
            <w:r>
              <w:rPr>
                <w:rFonts w:ascii="Arial" w:hAnsi="Arial" w:cs="Arial"/>
                <w:sz w:val="20"/>
                <w:szCs w:val="20"/>
              </w:rPr>
              <w:t>1.18</w:t>
            </w:r>
          </w:p>
        </w:tc>
        <w:tc>
          <w:tcPr>
            <w:tcW w:w="1110" w:type="dxa"/>
            <w:tcBorders>
              <w:top w:val="nil"/>
              <w:left w:val="nil"/>
              <w:bottom w:val="nil"/>
              <w:right w:val="nil"/>
            </w:tcBorders>
            <w:shd w:val="clear" w:color="auto" w:fill="auto"/>
            <w:noWrap/>
            <w:vAlign w:val="bottom"/>
            <w:hideMark/>
          </w:tcPr>
          <w:p w:rsidR="0073391A" w:rsidRDefault="0073391A">
            <w:pPr>
              <w:jc w:val="right"/>
              <w:rPr>
                <w:rFonts w:ascii="Arial" w:hAnsi="Arial" w:cs="Arial"/>
                <w:sz w:val="20"/>
                <w:szCs w:val="20"/>
              </w:rPr>
            </w:pPr>
            <w:r>
              <w:rPr>
                <w:rFonts w:ascii="Arial" w:hAnsi="Arial" w:cs="Arial"/>
                <w:sz w:val="20"/>
                <w:szCs w:val="20"/>
              </w:rPr>
              <w:t>1.18</w:t>
            </w:r>
          </w:p>
        </w:tc>
        <w:tc>
          <w:tcPr>
            <w:tcW w:w="901" w:type="dxa"/>
            <w:tcBorders>
              <w:top w:val="nil"/>
              <w:left w:val="nil"/>
              <w:bottom w:val="nil"/>
              <w:right w:val="nil"/>
            </w:tcBorders>
            <w:shd w:val="clear" w:color="auto" w:fill="auto"/>
            <w:noWrap/>
            <w:vAlign w:val="bottom"/>
            <w:hideMark/>
          </w:tcPr>
          <w:p w:rsidR="0073391A" w:rsidRDefault="0073391A">
            <w:pPr>
              <w:jc w:val="right"/>
              <w:rPr>
                <w:rFonts w:ascii="Arial" w:hAnsi="Arial" w:cs="Arial"/>
                <w:sz w:val="20"/>
                <w:szCs w:val="20"/>
              </w:rPr>
            </w:pPr>
            <w:r>
              <w:rPr>
                <w:rFonts w:ascii="Arial" w:hAnsi="Arial" w:cs="Arial"/>
                <w:sz w:val="20"/>
                <w:szCs w:val="20"/>
              </w:rPr>
              <w:t>1.20</w:t>
            </w:r>
          </w:p>
        </w:tc>
        <w:tc>
          <w:tcPr>
            <w:tcW w:w="1110" w:type="dxa"/>
            <w:tcBorders>
              <w:top w:val="nil"/>
              <w:left w:val="nil"/>
              <w:bottom w:val="nil"/>
              <w:right w:val="nil"/>
            </w:tcBorders>
            <w:shd w:val="clear" w:color="auto" w:fill="auto"/>
            <w:noWrap/>
            <w:vAlign w:val="bottom"/>
            <w:hideMark/>
          </w:tcPr>
          <w:p w:rsidR="0073391A" w:rsidRDefault="0073391A">
            <w:pPr>
              <w:jc w:val="right"/>
              <w:rPr>
                <w:rFonts w:ascii="Arial" w:hAnsi="Arial" w:cs="Arial"/>
                <w:sz w:val="20"/>
                <w:szCs w:val="20"/>
              </w:rPr>
            </w:pPr>
            <w:r>
              <w:rPr>
                <w:rFonts w:ascii="Arial" w:hAnsi="Arial" w:cs="Arial"/>
                <w:sz w:val="20"/>
                <w:szCs w:val="20"/>
              </w:rPr>
              <w:t>1.20</w:t>
            </w:r>
          </w:p>
        </w:tc>
      </w:tr>
      <w:tr w:rsidR="0073391A" w:rsidRPr="003B6544" w:rsidTr="000E12D8">
        <w:trPr>
          <w:trHeight w:val="255"/>
        </w:trPr>
        <w:tc>
          <w:tcPr>
            <w:tcW w:w="1960" w:type="dxa"/>
            <w:tcBorders>
              <w:top w:val="nil"/>
              <w:left w:val="nil"/>
              <w:bottom w:val="nil"/>
              <w:right w:val="nil"/>
            </w:tcBorders>
            <w:shd w:val="clear" w:color="auto" w:fill="auto"/>
            <w:noWrap/>
            <w:vAlign w:val="bottom"/>
            <w:hideMark/>
          </w:tcPr>
          <w:p w:rsidR="0073391A" w:rsidRDefault="0073391A" w:rsidP="0073391A">
            <w:pPr>
              <w:rPr>
                <w:rFonts w:ascii="Arial" w:hAnsi="Arial" w:cs="Arial"/>
                <w:b/>
                <w:bCs/>
                <w:sz w:val="20"/>
                <w:szCs w:val="20"/>
                <w:lang w:val="en-AU" w:eastAsia="en-AU"/>
              </w:rPr>
            </w:pPr>
          </w:p>
          <w:p w:rsidR="0073391A" w:rsidRPr="003B6544" w:rsidRDefault="0073391A" w:rsidP="0073391A">
            <w:pPr>
              <w:rPr>
                <w:rFonts w:ascii="Arial" w:hAnsi="Arial" w:cs="Arial"/>
                <w:b/>
                <w:bCs/>
                <w:sz w:val="20"/>
                <w:szCs w:val="20"/>
                <w:lang w:val="en-AU" w:eastAsia="en-AU"/>
              </w:rPr>
            </w:pPr>
            <w:r w:rsidRPr="003B6544">
              <w:rPr>
                <w:rFonts w:ascii="Arial" w:hAnsi="Arial" w:cs="Arial"/>
                <w:b/>
                <w:bCs/>
                <w:sz w:val="20"/>
                <w:szCs w:val="20"/>
                <w:lang w:val="en-AU" w:eastAsia="en-AU"/>
              </w:rPr>
              <w:t>Scenario: Mid</w:t>
            </w:r>
          </w:p>
        </w:tc>
        <w:tc>
          <w:tcPr>
            <w:tcW w:w="1106" w:type="dxa"/>
            <w:tcBorders>
              <w:top w:val="nil"/>
              <w:left w:val="nil"/>
              <w:bottom w:val="nil"/>
              <w:right w:val="nil"/>
            </w:tcBorders>
            <w:shd w:val="clear" w:color="auto" w:fill="auto"/>
            <w:noWrap/>
            <w:vAlign w:val="bottom"/>
            <w:hideMark/>
          </w:tcPr>
          <w:p w:rsidR="0073391A" w:rsidRPr="003B6544" w:rsidRDefault="0073391A" w:rsidP="0073391A">
            <w:pPr>
              <w:rPr>
                <w:rFonts w:ascii="Arial" w:hAnsi="Arial" w:cs="Arial"/>
                <w:sz w:val="20"/>
                <w:szCs w:val="20"/>
                <w:lang w:val="en-AU" w:eastAsia="en-AU"/>
              </w:rPr>
            </w:pPr>
          </w:p>
        </w:tc>
        <w:tc>
          <w:tcPr>
            <w:tcW w:w="812" w:type="dxa"/>
            <w:tcBorders>
              <w:top w:val="nil"/>
              <w:left w:val="nil"/>
              <w:bottom w:val="nil"/>
              <w:right w:val="nil"/>
            </w:tcBorders>
            <w:shd w:val="clear" w:color="auto" w:fill="auto"/>
            <w:noWrap/>
            <w:vAlign w:val="bottom"/>
            <w:hideMark/>
          </w:tcPr>
          <w:p w:rsidR="0073391A" w:rsidRPr="003B6544" w:rsidRDefault="0073391A" w:rsidP="0073391A">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73391A" w:rsidRPr="003B6544" w:rsidRDefault="0073391A" w:rsidP="0073391A">
            <w:pPr>
              <w:rPr>
                <w:rFonts w:ascii="Arial" w:hAnsi="Arial" w:cs="Arial"/>
                <w:sz w:val="20"/>
                <w:szCs w:val="20"/>
                <w:lang w:val="en-AU" w:eastAsia="en-AU"/>
              </w:rPr>
            </w:pPr>
          </w:p>
        </w:tc>
        <w:tc>
          <w:tcPr>
            <w:tcW w:w="901" w:type="dxa"/>
            <w:tcBorders>
              <w:top w:val="nil"/>
              <w:left w:val="nil"/>
              <w:bottom w:val="nil"/>
              <w:right w:val="nil"/>
            </w:tcBorders>
            <w:shd w:val="clear" w:color="auto" w:fill="auto"/>
            <w:noWrap/>
            <w:vAlign w:val="bottom"/>
            <w:hideMark/>
          </w:tcPr>
          <w:p w:rsidR="0073391A" w:rsidRPr="003B6544" w:rsidRDefault="0073391A" w:rsidP="0073391A">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73391A" w:rsidRPr="003B6544" w:rsidRDefault="0073391A" w:rsidP="0073391A">
            <w:pPr>
              <w:rPr>
                <w:rFonts w:ascii="Arial" w:hAnsi="Arial" w:cs="Arial"/>
                <w:sz w:val="20"/>
                <w:szCs w:val="20"/>
                <w:lang w:val="en-AU" w:eastAsia="en-AU"/>
              </w:rPr>
            </w:pPr>
          </w:p>
        </w:tc>
      </w:tr>
    </w:tbl>
    <w:p w:rsidR="000E12D8" w:rsidRDefault="000E12D8"/>
    <w:tbl>
      <w:tblPr>
        <w:tblW w:w="6999" w:type="dxa"/>
        <w:tblInd w:w="93" w:type="dxa"/>
        <w:tblLook w:val="04A0"/>
      </w:tblPr>
      <w:tblGrid>
        <w:gridCol w:w="1960"/>
        <w:gridCol w:w="1106"/>
        <w:gridCol w:w="812"/>
        <w:gridCol w:w="1110"/>
        <w:gridCol w:w="901"/>
        <w:gridCol w:w="1110"/>
      </w:tblGrid>
      <w:tr w:rsidR="00AD4263" w:rsidRPr="003B6544" w:rsidTr="000E12D8">
        <w:trPr>
          <w:trHeight w:val="255"/>
        </w:trPr>
        <w:tc>
          <w:tcPr>
            <w:tcW w:w="1960" w:type="dxa"/>
            <w:tcBorders>
              <w:top w:val="nil"/>
              <w:left w:val="nil"/>
              <w:bottom w:val="nil"/>
              <w:right w:val="nil"/>
            </w:tcBorders>
            <w:shd w:val="clear" w:color="auto" w:fill="auto"/>
            <w:noWrap/>
            <w:vAlign w:val="bottom"/>
            <w:hideMark/>
          </w:tcPr>
          <w:p w:rsidR="00AD4263" w:rsidRPr="003B6544" w:rsidRDefault="00AD4263" w:rsidP="0073391A">
            <w:pPr>
              <w:rPr>
                <w:rFonts w:ascii="Arial" w:hAnsi="Arial" w:cs="Arial"/>
                <w:sz w:val="20"/>
                <w:szCs w:val="20"/>
                <w:lang w:val="en-AU" w:eastAsia="en-AU"/>
              </w:rPr>
            </w:pPr>
            <w:r>
              <w:rPr>
                <w:rFonts w:ascii="Arial" w:hAnsi="Arial" w:cs="Arial"/>
                <w:sz w:val="20"/>
                <w:szCs w:val="20"/>
                <w:lang w:val="en-AU" w:eastAsia="en-AU"/>
              </w:rPr>
              <w:t>2011-26</w:t>
            </w:r>
          </w:p>
        </w:tc>
        <w:tc>
          <w:tcPr>
            <w:tcW w:w="1106"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2</w:t>
            </w:r>
            <w:r w:rsidR="00D75FDF">
              <w:rPr>
                <w:rFonts w:ascii="Arial" w:hAnsi="Arial" w:cs="Arial"/>
                <w:sz w:val="20"/>
                <w:szCs w:val="20"/>
              </w:rPr>
              <w:t>,</w:t>
            </w:r>
            <w:r>
              <w:rPr>
                <w:rFonts w:ascii="Arial" w:hAnsi="Arial" w:cs="Arial"/>
                <w:sz w:val="20"/>
                <w:szCs w:val="20"/>
              </w:rPr>
              <w:t>663</w:t>
            </w:r>
            <w:r w:rsidR="00D75FDF">
              <w:rPr>
                <w:rFonts w:ascii="Arial" w:hAnsi="Arial" w:cs="Arial"/>
                <w:sz w:val="20"/>
                <w:szCs w:val="20"/>
              </w:rPr>
              <w:t>,</w:t>
            </w:r>
            <w:r>
              <w:rPr>
                <w:rFonts w:ascii="Arial" w:hAnsi="Arial" w:cs="Arial"/>
                <w:sz w:val="20"/>
                <w:szCs w:val="20"/>
              </w:rPr>
              <w:t>192</w:t>
            </w:r>
          </w:p>
        </w:tc>
        <w:tc>
          <w:tcPr>
            <w:tcW w:w="812"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1.31</w:t>
            </w:r>
          </w:p>
        </w:tc>
        <w:tc>
          <w:tcPr>
            <w:tcW w:w="1110"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1.30</w:t>
            </w:r>
          </w:p>
        </w:tc>
        <w:tc>
          <w:tcPr>
            <w:tcW w:w="901"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1.31</w:t>
            </w:r>
          </w:p>
        </w:tc>
        <w:tc>
          <w:tcPr>
            <w:tcW w:w="1110"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1.31</w:t>
            </w:r>
          </w:p>
        </w:tc>
      </w:tr>
      <w:tr w:rsidR="00AD4263" w:rsidRPr="003B6544" w:rsidTr="000E12D8">
        <w:trPr>
          <w:trHeight w:val="255"/>
        </w:trPr>
        <w:tc>
          <w:tcPr>
            <w:tcW w:w="1960" w:type="dxa"/>
            <w:tcBorders>
              <w:top w:val="nil"/>
              <w:left w:val="nil"/>
              <w:bottom w:val="nil"/>
              <w:right w:val="nil"/>
            </w:tcBorders>
            <w:shd w:val="clear" w:color="auto" w:fill="auto"/>
            <w:noWrap/>
            <w:vAlign w:val="bottom"/>
            <w:hideMark/>
          </w:tcPr>
          <w:p w:rsidR="00AD4263" w:rsidRPr="003B6544" w:rsidRDefault="00AD4263" w:rsidP="0073391A">
            <w:pPr>
              <w:rPr>
                <w:rFonts w:ascii="Arial" w:hAnsi="Arial" w:cs="Arial"/>
                <w:sz w:val="20"/>
                <w:szCs w:val="20"/>
                <w:lang w:val="en-AU" w:eastAsia="en-AU"/>
              </w:rPr>
            </w:pPr>
            <w:r>
              <w:rPr>
                <w:rFonts w:ascii="Arial" w:hAnsi="Arial" w:cs="Arial"/>
                <w:sz w:val="20"/>
                <w:szCs w:val="20"/>
                <w:lang w:val="en-AU" w:eastAsia="en-AU"/>
              </w:rPr>
              <w:t>2026-41</w:t>
            </w:r>
          </w:p>
        </w:tc>
        <w:tc>
          <w:tcPr>
            <w:tcW w:w="1106"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2</w:t>
            </w:r>
            <w:r w:rsidR="00D75FDF">
              <w:rPr>
                <w:rFonts w:ascii="Arial" w:hAnsi="Arial" w:cs="Arial"/>
                <w:sz w:val="20"/>
                <w:szCs w:val="20"/>
              </w:rPr>
              <w:t>,</w:t>
            </w:r>
            <w:r>
              <w:rPr>
                <w:rFonts w:ascii="Arial" w:hAnsi="Arial" w:cs="Arial"/>
                <w:sz w:val="20"/>
                <w:szCs w:val="20"/>
              </w:rPr>
              <w:t>768</w:t>
            </w:r>
            <w:r w:rsidR="00D75FDF">
              <w:rPr>
                <w:rFonts w:ascii="Arial" w:hAnsi="Arial" w:cs="Arial"/>
                <w:sz w:val="20"/>
                <w:szCs w:val="20"/>
              </w:rPr>
              <w:t>,</w:t>
            </w:r>
            <w:r>
              <w:rPr>
                <w:rFonts w:ascii="Arial" w:hAnsi="Arial" w:cs="Arial"/>
                <w:sz w:val="20"/>
                <w:szCs w:val="20"/>
              </w:rPr>
              <w:t>396</w:t>
            </w:r>
          </w:p>
        </w:tc>
        <w:tc>
          <w:tcPr>
            <w:tcW w:w="812"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1.24</w:t>
            </w:r>
          </w:p>
        </w:tc>
        <w:tc>
          <w:tcPr>
            <w:tcW w:w="1110"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1.24</w:t>
            </w:r>
          </w:p>
        </w:tc>
        <w:tc>
          <w:tcPr>
            <w:tcW w:w="901"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1.25</w:t>
            </w:r>
          </w:p>
        </w:tc>
        <w:tc>
          <w:tcPr>
            <w:tcW w:w="1110"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1.26</w:t>
            </w:r>
          </w:p>
        </w:tc>
      </w:tr>
      <w:tr w:rsidR="00AD4263" w:rsidRPr="003B6544" w:rsidTr="000E12D8">
        <w:trPr>
          <w:trHeight w:val="255"/>
        </w:trPr>
        <w:tc>
          <w:tcPr>
            <w:tcW w:w="1960" w:type="dxa"/>
            <w:tcBorders>
              <w:top w:val="nil"/>
              <w:left w:val="nil"/>
              <w:bottom w:val="nil"/>
              <w:right w:val="nil"/>
            </w:tcBorders>
            <w:shd w:val="clear" w:color="auto" w:fill="auto"/>
            <w:noWrap/>
            <w:vAlign w:val="bottom"/>
            <w:hideMark/>
          </w:tcPr>
          <w:p w:rsidR="00AD4263" w:rsidRDefault="00AD4263" w:rsidP="0073391A">
            <w:pPr>
              <w:rPr>
                <w:rFonts w:ascii="Arial" w:hAnsi="Arial" w:cs="Arial"/>
                <w:b/>
                <w:bCs/>
                <w:sz w:val="20"/>
                <w:szCs w:val="20"/>
                <w:lang w:val="en-AU" w:eastAsia="en-AU"/>
              </w:rPr>
            </w:pPr>
          </w:p>
          <w:p w:rsidR="00AD4263" w:rsidRPr="003B6544" w:rsidRDefault="00AD4263" w:rsidP="0073391A">
            <w:pPr>
              <w:rPr>
                <w:rFonts w:ascii="Arial" w:hAnsi="Arial" w:cs="Arial"/>
                <w:b/>
                <w:bCs/>
                <w:sz w:val="20"/>
                <w:szCs w:val="20"/>
                <w:lang w:val="en-AU" w:eastAsia="en-AU"/>
              </w:rPr>
            </w:pPr>
            <w:r w:rsidRPr="003B6544">
              <w:rPr>
                <w:rFonts w:ascii="Arial" w:hAnsi="Arial" w:cs="Arial"/>
                <w:b/>
                <w:bCs/>
                <w:sz w:val="20"/>
                <w:szCs w:val="20"/>
                <w:lang w:val="en-AU" w:eastAsia="en-AU"/>
              </w:rPr>
              <w:t>Scenario: High</w:t>
            </w:r>
          </w:p>
        </w:tc>
        <w:tc>
          <w:tcPr>
            <w:tcW w:w="1106" w:type="dxa"/>
            <w:tcBorders>
              <w:top w:val="nil"/>
              <w:left w:val="nil"/>
              <w:bottom w:val="nil"/>
              <w:right w:val="nil"/>
            </w:tcBorders>
            <w:shd w:val="clear" w:color="auto" w:fill="auto"/>
            <w:noWrap/>
            <w:vAlign w:val="bottom"/>
            <w:hideMark/>
          </w:tcPr>
          <w:p w:rsidR="00AD4263" w:rsidRPr="003B6544" w:rsidRDefault="00AD4263" w:rsidP="0073391A">
            <w:pPr>
              <w:rPr>
                <w:rFonts w:ascii="Arial" w:hAnsi="Arial" w:cs="Arial"/>
                <w:sz w:val="20"/>
                <w:szCs w:val="20"/>
                <w:lang w:val="en-AU" w:eastAsia="en-AU"/>
              </w:rPr>
            </w:pPr>
          </w:p>
        </w:tc>
        <w:tc>
          <w:tcPr>
            <w:tcW w:w="812" w:type="dxa"/>
            <w:tcBorders>
              <w:top w:val="nil"/>
              <w:left w:val="nil"/>
              <w:bottom w:val="nil"/>
              <w:right w:val="nil"/>
            </w:tcBorders>
            <w:shd w:val="clear" w:color="auto" w:fill="auto"/>
            <w:noWrap/>
            <w:vAlign w:val="bottom"/>
            <w:hideMark/>
          </w:tcPr>
          <w:p w:rsidR="00AD4263" w:rsidRPr="003B6544" w:rsidRDefault="00AD4263" w:rsidP="0073391A">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AD4263" w:rsidRPr="003B6544" w:rsidRDefault="00AD4263" w:rsidP="0073391A">
            <w:pPr>
              <w:rPr>
                <w:rFonts w:ascii="Arial" w:hAnsi="Arial" w:cs="Arial"/>
                <w:sz w:val="20"/>
                <w:szCs w:val="20"/>
                <w:lang w:val="en-AU" w:eastAsia="en-AU"/>
              </w:rPr>
            </w:pPr>
          </w:p>
        </w:tc>
        <w:tc>
          <w:tcPr>
            <w:tcW w:w="901" w:type="dxa"/>
            <w:tcBorders>
              <w:top w:val="nil"/>
              <w:left w:val="nil"/>
              <w:bottom w:val="nil"/>
              <w:right w:val="nil"/>
            </w:tcBorders>
            <w:shd w:val="clear" w:color="auto" w:fill="auto"/>
            <w:noWrap/>
            <w:vAlign w:val="bottom"/>
            <w:hideMark/>
          </w:tcPr>
          <w:p w:rsidR="00AD4263" w:rsidRPr="003B6544" w:rsidRDefault="00AD4263" w:rsidP="0073391A">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AD4263" w:rsidRPr="003B6544" w:rsidRDefault="00AD4263" w:rsidP="0073391A">
            <w:pPr>
              <w:rPr>
                <w:rFonts w:ascii="Arial" w:hAnsi="Arial" w:cs="Arial"/>
                <w:sz w:val="20"/>
                <w:szCs w:val="20"/>
                <w:lang w:val="en-AU" w:eastAsia="en-AU"/>
              </w:rPr>
            </w:pPr>
          </w:p>
        </w:tc>
      </w:tr>
      <w:tr w:rsidR="00AD4263" w:rsidRPr="003B6544" w:rsidTr="000E12D8">
        <w:trPr>
          <w:trHeight w:val="255"/>
        </w:trPr>
        <w:tc>
          <w:tcPr>
            <w:tcW w:w="1960" w:type="dxa"/>
            <w:tcBorders>
              <w:top w:val="nil"/>
              <w:left w:val="nil"/>
              <w:bottom w:val="nil"/>
              <w:right w:val="nil"/>
            </w:tcBorders>
            <w:shd w:val="clear" w:color="auto" w:fill="auto"/>
            <w:noWrap/>
            <w:vAlign w:val="bottom"/>
            <w:hideMark/>
          </w:tcPr>
          <w:p w:rsidR="00AD4263" w:rsidRPr="003B6544" w:rsidRDefault="00AD4263" w:rsidP="0073391A">
            <w:pPr>
              <w:rPr>
                <w:rFonts w:ascii="Arial" w:hAnsi="Arial" w:cs="Arial"/>
                <w:sz w:val="20"/>
                <w:szCs w:val="20"/>
                <w:lang w:val="en-AU" w:eastAsia="en-AU"/>
              </w:rPr>
            </w:pPr>
            <w:r>
              <w:rPr>
                <w:rFonts w:ascii="Arial" w:hAnsi="Arial" w:cs="Arial"/>
                <w:sz w:val="20"/>
                <w:szCs w:val="20"/>
                <w:lang w:val="en-AU" w:eastAsia="en-AU"/>
              </w:rPr>
              <w:t>2011-26</w:t>
            </w:r>
          </w:p>
        </w:tc>
        <w:tc>
          <w:tcPr>
            <w:tcW w:w="1106"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2</w:t>
            </w:r>
            <w:r w:rsidR="00D75FDF">
              <w:rPr>
                <w:rFonts w:ascii="Arial" w:hAnsi="Arial" w:cs="Arial"/>
                <w:sz w:val="20"/>
                <w:szCs w:val="20"/>
              </w:rPr>
              <w:t>,</w:t>
            </w:r>
            <w:r>
              <w:rPr>
                <w:rFonts w:ascii="Arial" w:hAnsi="Arial" w:cs="Arial"/>
                <w:sz w:val="20"/>
                <w:szCs w:val="20"/>
              </w:rPr>
              <w:t>799</w:t>
            </w:r>
            <w:r w:rsidR="00D75FDF">
              <w:rPr>
                <w:rFonts w:ascii="Arial" w:hAnsi="Arial" w:cs="Arial"/>
                <w:sz w:val="20"/>
                <w:szCs w:val="20"/>
              </w:rPr>
              <w:t>,</w:t>
            </w:r>
            <w:r>
              <w:rPr>
                <w:rFonts w:ascii="Arial" w:hAnsi="Arial" w:cs="Arial"/>
                <w:sz w:val="20"/>
                <w:szCs w:val="20"/>
              </w:rPr>
              <w:t>272</w:t>
            </w:r>
          </w:p>
        </w:tc>
        <w:tc>
          <w:tcPr>
            <w:tcW w:w="812"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1.32</w:t>
            </w:r>
          </w:p>
        </w:tc>
        <w:tc>
          <w:tcPr>
            <w:tcW w:w="1110"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1.32</w:t>
            </w:r>
          </w:p>
        </w:tc>
        <w:tc>
          <w:tcPr>
            <w:tcW w:w="901"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1.33</w:t>
            </w:r>
          </w:p>
        </w:tc>
        <w:tc>
          <w:tcPr>
            <w:tcW w:w="1110"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1.33</w:t>
            </w:r>
          </w:p>
        </w:tc>
      </w:tr>
      <w:tr w:rsidR="00AD4263" w:rsidRPr="003B6544" w:rsidTr="000E12D8">
        <w:trPr>
          <w:trHeight w:val="255"/>
        </w:trPr>
        <w:tc>
          <w:tcPr>
            <w:tcW w:w="1960" w:type="dxa"/>
            <w:tcBorders>
              <w:top w:val="nil"/>
              <w:left w:val="nil"/>
              <w:bottom w:val="nil"/>
              <w:right w:val="nil"/>
            </w:tcBorders>
            <w:shd w:val="clear" w:color="auto" w:fill="auto"/>
            <w:noWrap/>
            <w:vAlign w:val="bottom"/>
            <w:hideMark/>
          </w:tcPr>
          <w:p w:rsidR="00AD4263" w:rsidRPr="003B6544" w:rsidRDefault="00AD4263" w:rsidP="0073391A">
            <w:pPr>
              <w:rPr>
                <w:rFonts w:ascii="Arial" w:hAnsi="Arial" w:cs="Arial"/>
                <w:sz w:val="20"/>
                <w:szCs w:val="20"/>
                <w:lang w:val="en-AU" w:eastAsia="en-AU"/>
              </w:rPr>
            </w:pPr>
            <w:r>
              <w:rPr>
                <w:rFonts w:ascii="Arial" w:hAnsi="Arial" w:cs="Arial"/>
                <w:sz w:val="20"/>
                <w:szCs w:val="20"/>
                <w:lang w:val="en-AU" w:eastAsia="en-AU"/>
              </w:rPr>
              <w:t>2026-41</w:t>
            </w:r>
          </w:p>
        </w:tc>
        <w:tc>
          <w:tcPr>
            <w:tcW w:w="1106"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3</w:t>
            </w:r>
            <w:r w:rsidR="00D75FDF">
              <w:rPr>
                <w:rFonts w:ascii="Arial" w:hAnsi="Arial" w:cs="Arial"/>
                <w:sz w:val="20"/>
                <w:szCs w:val="20"/>
              </w:rPr>
              <w:t>,</w:t>
            </w:r>
            <w:r>
              <w:rPr>
                <w:rFonts w:ascii="Arial" w:hAnsi="Arial" w:cs="Arial"/>
                <w:sz w:val="20"/>
                <w:szCs w:val="20"/>
              </w:rPr>
              <w:t>130</w:t>
            </w:r>
            <w:r w:rsidR="00D75FDF">
              <w:rPr>
                <w:rFonts w:ascii="Arial" w:hAnsi="Arial" w:cs="Arial"/>
                <w:sz w:val="20"/>
                <w:szCs w:val="20"/>
              </w:rPr>
              <w:t>,</w:t>
            </w:r>
            <w:r>
              <w:rPr>
                <w:rFonts w:ascii="Arial" w:hAnsi="Arial" w:cs="Arial"/>
                <w:sz w:val="20"/>
                <w:szCs w:val="20"/>
              </w:rPr>
              <w:t>107</w:t>
            </w:r>
          </w:p>
        </w:tc>
        <w:tc>
          <w:tcPr>
            <w:tcW w:w="812"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1.27</w:t>
            </w:r>
          </w:p>
        </w:tc>
        <w:tc>
          <w:tcPr>
            <w:tcW w:w="1110"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1.27</w:t>
            </w:r>
          </w:p>
        </w:tc>
        <w:tc>
          <w:tcPr>
            <w:tcW w:w="901"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1.28</w:t>
            </w:r>
          </w:p>
        </w:tc>
        <w:tc>
          <w:tcPr>
            <w:tcW w:w="1110" w:type="dxa"/>
            <w:tcBorders>
              <w:top w:val="nil"/>
              <w:left w:val="nil"/>
              <w:bottom w:val="nil"/>
              <w:right w:val="nil"/>
            </w:tcBorders>
            <w:shd w:val="clear" w:color="auto" w:fill="auto"/>
            <w:noWrap/>
            <w:vAlign w:val="bottom"/>
            <w:hideMark/>
          </w:tcPr>
          <w:p w:rsidR="00AD4263" w:rsidRDefault="00AD4263">
            <w:pPr>
              <w:jc w:val="right"/>
              <w:rPr>
                <w:rFonts w:ascii="Arial" w:hAnsi="Arial" w:cs="Arial"/>
                <w:sz w:val="20"/>
                <w:szCs w:val="20"/>
              </w:rPr>
            </w:pPr>
            <w:r>
              <w:rPr>
                <w:rFonts w:ascii="Arial" w:hAnsi="Arial" w:cs="Arial"/>
                <w:sz w:val="20"/>
                <w:szCs w:val="20"/>
              </w:rPr>
              <w:t>1.28</w:t>
            </w:r>
          </w:p>
        </w:tc>
      </w:tr>
      <w:tr w:rsidR="00AD4263" w:rsidRPr="003B6544" w:rsidTr="000E12D8">
        <w:trPr>
          <w:trHeight w:val="255"/>
        </w:trPr>
        <w:tc>
          <w:tcPr>
            <w:tcW w:w="1960" w:type="dxa"/>
            <w:tcBorders>
              <w:top w:val="nil"/>
              <w:left w:val="nil"/>
              <w:bottom w:val="single" w:sz="4" w:space="0" w:color="auto"/>
              <w:right w:val="nil"/>
            </w:tcBorders>
            <w:shd w:val="clear" w:color="auto" w:fill="auto"/>
            <w:noWrap/>
            <w:vAlign w:val="bottom"/>
            <w:hideMark/>
          </w:tcPr>
          <w:p w:rsidR="00AD4263" w:rsidRDefault="00AD4263" w:rsidP="0073391A">
            <w:pPr>
              <w:rPr>
                <w:rFonts w:ascii="Arial" w:hAnsi="Arial" w:cs="Arial"/>
                <w:sz w:val="20"/>
                <w:szCs w:val="20"/>
                <w:lang w:val="en-AU" w:eastAsia="en-AU"/>
              </w:rPr>
            </w:pPr>
          </w:p>
        </w:tc>
        <w:tc>
          <w:tcPr>
            <w:tcW w:w="1106" w:type="dxa"/>
            <w:tcBorders>
              <w:top w:val="nil"/>
              <w:left w:val="nil"/>
              <w:bottom w:val="single" w:sz="4" w:space="0" w:color="auto"/>
              <w:right w:val="nil"/>
            </w:tcBorders>
            <w:shd w:val="clear" w:color="auto" w:fill="auto"/>
            <w:noWrap/>
            <w:vAlign w:val="bottom"/>
            <w:hideMark/>
          </w:tcPr>
          <w:p w:rsidR="00AD4263" w:rsidRPr="003B6544" w:rsidRDefault="00AD4263" w:rsidP="0073391A">
            <w:pPr>
              <w:jc w:val="right"/>
              <w:rPr>
                <w:rFonts w:ascii="Arial" w:hAnsi="Arial" w:cs="Arial"/>
                <w:sz w:val="20"/>
                <w:szCs w:val="20"/>
                <w:lang w:val="en-AU" w:eastAsia="en-AU"/>
              </w:rPr>
            </w:pPr>
          </w:p>
        </w:tc>
        <w:tc>
          <w:tcPr>
            <w:tcW w:w="812" w:type="dxa"/>
            <w:tcBorders>
              <w:top w:val="nil"/>
              <w:left w:val="nil"/>
              <w:bottom w:val="single" w:sz="4" w:space="0" w:color="auto"/>
              <w:right w:val="nil"/>
            </w:tcBorders>
            <w:shd w:val="clear" w:color="auto" w:fill="auto"/>
            <w:noWrap/>
            <w:vAlign w:val="bottom"/>
            <w:hideMark/>
          </w:tcPr>
          <w:p w:rsidR="00AD4263" w:rsidRPr="003B6544" w:rsidRDefault="00AD4263" w:rsidP="0073391A">
            <w:pPr>
              <w:jc w:val="right"/>
              <w:rPr>
                <w:rFonts w:ascii="Arial" w:hAnsi="Arial" w:cs="Arial"/>
                <w:sz w:val="20"/>
                <w:szCs w:val="20"/>
                <w:lang w:val="en-AU" w:eastAsia="en-AU"/>
              </w:rPr>
            </w:pPr>
          </w:p>
        </w:tc>
        <w:tc>
          <w:tcPr>
            <w:tcW w:w="1110" w:type="dxa"/>
            <w:tcBorders>
              <w:top w:val="nil"/>
              <w:left w:val="nil"/>
              <w:bottom w:val="single" w:sz="4" w:space="0" w:color="auto"/>
              <w:right w:val="nil"/>
            </w:tcBorders>
            <w:shd w:val="clear" w:color="auto" w:fill="auto"/>
            <w:noWrap/>
            <w:vAlign w:val="bottom"/>
            <w:hideMark/>
          </w:tcPr>
          <w:p w:rsidR="00AD4263" w:rsidRPr="003B6544" w:rsidRDefault="00AD4263" w:rsidP="0073391A">
            <w:pPr>
              <w:jc w:val="right"/>
              <w:rPr>
                <w:rFonts w:ascii="Arial" w:hAnsi="Arial" w:cs="Arial"/>
                <w:sz w:val="20"/>
                <w:szCs w:val="20"/>
                <w:lang w:val="en-AU" w:eastAsia="en-AU"/>
              </w:rPr>
            </w:pPr>
          </w:p>
        </w:tc>
        <w:tc>
          <w:tcPr>
            <w:tcW w:w="901" w:type="dxa"/>
            <w:tcBorders>
              <w:top w:val="nil"/>
              <w:left w:val="nil"/>
              <w:bottom w:val="single" w:sz="4" w:space="0" w:color="auto"/>
              <w:right w:val="nil"/>
            </w:tcBorders>
            <w:shd w:val="clear" w:color="auto" w:fill="auto"/>
            <w:noWrap/>
            <w:vAlign w:val="bottom"/>
            <w:hideMark/>
          </w:tcPr>
          <w:p w:rsidR="00AD4263" w:rsidRPr="003B6544" w:rsidRDefault="00AD4263" w:rsidP="0073391A">
            <w:pPr>
              <w:jc w:val="right"/>
              <w:rPr>
                <w:rFonts w:ascii="Arial" w:hAnsi="Arial" w:cs="Arial"/>
                <w:sz w:val="20"/>
                <w:szCs w:val="20"/>
                <w:lang w:val="en-AU" w:eastAsia="en-AU"/>
              </w:rPr>
            </w:pPr>
          </w:p>
        </w:tc>
        <w:tc>
          <w:tcPr>
            <w:tcW w:w="1110" w:type="dxa"/>
            <w:tcBorders>
              <w:top w:val="nil"/>
              <w:left w:val="nil"/>
              <w:bottom w:val="single" w:sz="4" w:space="0" w:color="auto"/>
              <w:right w:val="nil"/>
            </w:tcBorders>
            <w:shd w:val="clear" w:color="auto" w:fill="auto"/>
            <w:noWrap/>
            <w:vAlign w:val="bottom"/>
            <w:hideMark/>
          </w:tcPr>
          <w:p w:rsidR="00AD4263" w:rsidRPr="003B6544" w:rsidRDefault="00AD4263" w:rsidP="0073391A">
            <w:pPr>
              <w:jc w:val="right"/>
              <w:rPr>
                <w:rFonts w:ascii="Arial" w:hAnsi="Arial" w:cs="Arial"/>
                <w:sz w:val="20"/>
                <w:szCs w:val="20"/>
                <w:lang w:val="en-AU" w:eastAsia="en-AU"/>
              </w:rPr>
            </w:pPr>
          </w:p>
        </w:tc>
      </w:tr>
    </w:tbl>
    <w:p w:rsidR="00EB2C33" w:rsidRPr="0043341C" w:rsidRDefault="00EB2C33" w:rsidP="00EB2C33">
      <w:pPr>
        <w:rPr>
          <w:sz w:val="20"/>
          <w:szCs w:val="20"/>
        </w:rPr>
      </w:pPr>
      <w:r w:rsidRPr="0043341C">
        <w:rPr>
          <w:sz w:val="20"/>
          <w:szCs w:val="20"/>
        </w:rPr>
        <w:t xml:space="preserve">Source: Authors </w:t>
      </w:r>
      <w:proofErr w:type="gramStart"/>
      <w:r w:rsidRPr="0043341C">
        <w:rPr>
          <w:sz w:val="20"/>
          <w:szCs w:val="20"/>
        </w:rPr>
        <w:t>calculations</w:t>
      </w:r>
      <w:r>
        <w:rPr>
          <w:sz w:val="20"/>
          <w:szCs w:val="20"/>
        </w:rPr>
        <w:t xml:space="preserve">  </w:t>
      </w:r>
      <w:r w:rsidRPr="0043341C">
        <w:rPr>
          <w:sz w:val="20"/>
          <w:szCs w:val="20"/>
        </w:rPr>
        <w:t>Notes</w:t>
      </w:r>
      <w:proofErr w:type="gramEnd"/>
      <w:r w:rsidRPr="0043341C">
        <w:rPr>
          <w:sz w:val="20"/>
          <w:szCs w:val="20"/>
        </w:rPr>
        <w:t xml:space="preserve">: * Ratio </w:t>
      </w:r>
      <w:r>
        <w:rPr>
          <w:sz w:val="20"/>
          <w:szCs w:val="20"/>
        </w:rPr>
        <w:t>o</w:t>
      </w:r>
      <w:r w:rsidRPr="0043341C">
        <w:rPr>
          <w:sz w:val="20"/>
          <w:szCs w:val="20"/>
        </w:rPr>
        <w:t xml:space="preserve">f </w:t>
      </w:r>
      <w:r>
        <w:rPr>
          <w:sz w:val="20"/>
          <w:szCs w:val="20"/>
        </w:rPr>
        <w:t>relevant (2026 or 2041) years dwelling count to base year (2011 or 2026) dwelling count.</w:t>
      </w: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067858" w:rsidRDefault="00552C32" w:rsidP="00DC7242">
      <w:pPr>
        <w:jc w:val="both"/>
      </w:pPr>
      <w:r w:rsidRPr="001E6159">
        <w:lastRenderedPageBreak/>
        <w:t xml:space="preserve">In both periods, the required increment </w:t>
      </w:r>
      <w:r>
        <w:t xml:space="preserve">for </w:t>
      </w:r>
      <w:r w:rsidRPr="001E6159">
        <w:t>dwellings is larger in Perth than in the other cities</w:t>
      </w:r>
      <w:r>
        <w:t xml:space="preserve"> reflecting the high population growth projected for Perth (Table 10). According to the Medium scenario, Perth would require an annual increment to dwellings of 34,000 between 2011 and 2026 rising to over 40,00 per annum in the second period. In contrast, the projected growth in dwellings is relatively modest in non-metropolitan Western Australia. While this result is likely to be sustained in the first period of projection, all the results of projections in the second period, 2026-2041, must be considered to be highly speculative</w:t>
      </w:r>
      <w:r w:rsidRPr="001E6159">
        <w:t>.</w:t>
      </w:r>
      <w:r>
        <w:t xml:space="preserve"> The required increment to dwellings is higher in Melbourne than in Sydney which in turn is higher than in SEQ. In contrast, the projected increment to dwellings is very low in Hobart and is negative between 2026 and 2041 in non-metropolitan Tasmania.</w:t>
      </w:r>
      <w:r w:rsidR="00067858" w:rsidRPr="00067858">
        <w:t xml:space="preserve"> </w:t>
      </w:r>
      <w:r w:rsidR="00067858">
        <w:t xml:space="preserve">The required growth is very similar for each dwelling type although, in some regions, the required growth is higher for flats than for other dwelling types. </w:t>
      </w: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EB2C33" w:rsidRDefault="00EB2C33" w:rsidP="00DC7242">
      <w:pPr>
        <w:jc w:val="both"/>
      </w:pPr>
    </w:p>
    <w:p w:rsidR="00DB56E6" w:rsidRPr="00BB00C9" w:rsidRDefault="00552C32" w:rsidP="00DB56E6">
      <w:pPr>
        <w:rPr>
          <w:rFonts w:ascii="Arial" w:hAnsi="Arial" w:cs="Arial"/>
          <w:b/>
          <w:sz w:val="20"/>
          <w:szCs w:val="20"/>
        </w:rPr>
      </w:pPr>
      <w:proofErr w:type="gramStart"/>
      <w:r>
        <w:rPr>
          <w:rFonts w:ascii="Arial" w:hAnsi="Arial" w:cs="Arial"/>
          <w:b/>
          <w:sz w:val="20"/>
          <w:szCs w:val="20"/>
        </w:rPr>
        <w:lastRenderedPageBreak/>
        <w:t>Table 10</w:t>
      </w:r>
      <w:r w:rsidR="00080FE5">
        <w:rPr>
          <w:rFonts w:ascii="Arial" w:hAnsi="Arial" w:cs="Arial"/>
          <w:b/>
          <w:sz w:val="20"/>
          <w:szCs w:val="20"/>
        </w:rPr>
        <w:t>.</w:t>
      </w:r>
      <w:proofErr w:type="gramEnd"/>
      <w:r w:rsidR="00080FE5">
        <w:rPr>
          <w:rFonts w:ascii="Arial" w:hAnsi="Arial" w:cs="Arial"/>
          <w:b/>
          <w:sz w:val="20"/>
          <w:szCs w:val="20"/>
        </w:rPr>
        <w:t xml:space="preserve"> </w:t>
      </w:r>
      <w:r w:rsidR="00DB56E6">
        <w:rPr>
          <w:rFonts w:ascii="Arial" w:hAnsi="Arial" w:cs="Arial"/>
          <w:b/>
          <w:sz w:val="20"/>
          <w:szCs w:val="20"/>
        </w:rPr>
        <w:t xml:space="preserve">Increments to numbers of dwellings and </w:t>
      </w:r>
      <w:r w:rsidR="00E30615">
        <w:rPr>
          <w:rFonts w:ascii="Arial" w:hAnsi="Arial" w:cs="Arial"/>
          <w:b/>
          <w:sz w:val="20"/>
          <w:szCs w:val="20"/>
        </w:rPr>
        <w:t>r</w:t>
      </w:r>
      <w:r w:rsidR="00DB56E6">
        <w:rPr>
          <w:rFonts w:ascii="Arial" w:hAnsi="Arial" w:cs="Arial"/>
          <w:b/>
          <w:sz w:val="20"/>
          <w:szCs w:val="20"/>
        </w:rPr>
        <w:t>elative increase in numbers of dwellings by type, Medium scenario</w:t>
      </w:r>
    </w:p>
    <w:tbl>
      <w:tblPr>
        <w:tblW w:w="7780" w:type="dxa"/>
        <w:tblInd w:w="93" w:type="dxa"/>
        <w:tblLook w:val="04A0"/>
      </w:tblPr>
      <w:tblGrid>
        <w:gridCol w:w="2020"/>
        <w:gridCol w:w="960"/>
        <w:gridCol w:w="960"/>
        <w:gridCol w:w="960"/>
        <w:gridCol w:w="960"/>
        <w:gridCol w:w="960"/>
        <w:gridCol w:w="960"/>
      </w:tblGrid>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16"/>
                <w:szCs w:val="16"/>
              </w:rPr>
            </w:pPr>
            <w:r>
              <w:rPr>
                <w:rFonts w:ascii="Arial" w:hAnsi="Arial" w:cs="Arial"/>
                <w:sz w:val="16"/>
                <w:szCs w:val="16"/>
              </w:rPr>
              <w:t>Increment to</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16"/>
                <w:szCs w:val="16"/>
              </w:rPr>
            </w:pPr>
            <w:r>
              <w:rPr>
                <w:rFonts w:ascii="Arial" w:hAnsi="Arial" w:cs="Arial"/>
                <w:sz w:val="16"/>
                <w:szCs w:val="16"/>
              </w:rPr>
              <w:t>Total</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16"/>
                <w:szCs w:val="16"/>
              </w:rPr>
            </w:pPr>
            <w:r>
              <w:rPr>
                <w:rFonts w:ascii="Arial" w:hAnsi="Arial" w:cs="Arial"/>
                <w:sz w:val="16"/>
                <w:szCs w:val="16"/>
              </w:rPr>
              <w:t>Separate</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16"/>
                <w:szCs w:val="16"/>
              </w:rPr>
            </w:pPr>
            <w:r>
              <w:rPr>
                <w:rFonts w:ascii="Arial" w:hAnsi="Arial" w:cs="Arial"/>
                <w:sz w:val="16"/>
                <w:szCs w:val="16"/>
              </w:rPr>
              <w:t>Semi</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16"/>
                <w:szCs w:val="16"/>
              </w:rPr>
            </w:pPr>
            <w:r>
              <w:rPr>
                <w:rFonts w:ascii="Arial" w:hAnsi="Arial" w:cs="Arial"/>
                <w:sz w:val="16"/>
                <w:szCs w:val="16"/>
              </w:rPr>
              <w:t>Flats</w:t>
            </w:r>
          </w:p>
        </w:tc>
      </w:tr>
      <w:tr w:rsidR="00080FE5" w:rsidTr="00080FE5">
        <w:trPr>
          <w:trHeight w:val="255"/>
        </w:trPr>
        <w:tc>
          <w:tcPr>
            <w:tcW w:w="2020" w:type="dxa"/>
            <w:tcBorders>
              <w:top w:val="nil"/>
              <w:left w:val="nil"/>
              <w:bottom w:val="single" w:sz="4" w:space="0" w:color="auto"/>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 </w:t>
            </w:r>
          </w:p>
        </w:tc>
        <w:tc>
          <w:tcPr>
            <w:tcW w:w="1920" w:type="dxa"/>
            <w:gridSpan w:val="2"/>
            <w:tcBorders>
              <w:top w:val="nil"/>
              <w:left w:val="nil"/>
              <w:bottom w:val="single" w:sz="4" w:space="0" w:color="auto"/>
              <w:right w:val="nil"/>
            </w:tcBorders>
            <w:shd w:val="clear" w:color="auto" w:fill="auto"/>
            <w:noWrap/>
            <w:vAlign w:val="bottom"/>
            <w:hideMark/>
          </w:tcPr>
          <w:p w:rsidR="00080FE5" w:rsidRDefault="00080FE5">
            <w:pPr>
              <w:jc w:val="right"/>
              <w:rPr>
                <w:rFonts w:ascii="Arial" w:hAnsi="Arial" w:cs="Arial"/>
                <w:sz w:val="16"/>
                <w:szCs w:val="16"/>
              </w:rPr>
            </w:pPr>
            <w:r>
              <w:rPr>
                <w:rFonts w:ascii="Arial" w:hAnsi="Arial" w:cs="Arial"/>
                <w:sz w:val="16"/>
                <w:szCs w:val="16"/>
              </w:rPr>
              <w:t xml:space="preserve">Dwellings </w:t>
            </w:r>
          </w:p>
        </w:tc>
        <w:tc>
          <w:tcPr>
            <w:tcW w:w="960" w:type="dxa"/>
            <w:tcBorders>
              <w:top w:val="nil"/>
              <w:left w:val="nil"/>
              <w:bottom w:val="single" w:sz="4" w:space="0" w:color="auto"/>
              <w:right w:val="nil"/>
            </w:tcBorders>
            <w:shd w:val="clear" w:color="auto" w:fill="auto"/>
            <w:noWrap/>
            <w:vAlign w:val="bottom"/>
            <w:hideMark/>
          </w:tcPr>
          <w:p w:rsidR="00080FE5" w:rsidRDefault="00080FE5">
            <w:pPr>
              <w:rPr>
                <w:rFonts w:ascii="Arial" w:hAnsi="Arial" w:cs="Arial"/>
                <w:sz w:val="16"/>
                <w:szCs w:val="16"/>
              </w:rPr>
            </w:pPr>
            <w:r>
              <w:rPr>
                <w:rFonts w:ascii="Arial" w:hAnsi="Arial" w:cs="Arial"/>
                <w:sz w:val="16"/>
                <w:szCs w:val="16"/>
              </w:rPr>
              <w:t> </w:t>
            </w:r>
          </w:p>
        </w:tc>
        <w:tc>
          <w:tcPr>
            <w:tcW w:w="960" w:type="dxa"/>
            <w:tcBorders>
              <w:top w:val="nil"/>
              <w:left w:val="nil"/>
              <w:bottom w:val="single" w:sz="4" w:space="0" w:color="auto"/>
              <w:right w:val="nil"/>
            </w:tcBorders>
            <w:shd w:val="clear" w:color="auto" w:fill="auto"/>
            <w:noWrap/>
            <w:vAlign w:val="bottom"/>
            <w:hideMark/>
          </w:tcPr>
          <w:p w:rsidR="00080FE5" w:rsidRDefault="00080FE5">
            <w:pPr>
              <w:rPr>
                <w:rFonts w:ascii="Arial" w:hAnsi="Arial" w:cs="Arial"/>
                <w:sz w:val="16"/>
                <w:szCs w:val="16"/>
              </w:rPr>
            </w:pPr>
            <w:r>
              <w:rPr>
                <w:rFonts w:ascii="Arial" w:hAnsi="Arial" w:cs="Arial"/>
                <w:sz w:val="16"/>
                <w:szCs w:val="16"/>
              </w:rPr>
              <w:t>Houses</w:t>
            </w:r>
          </w:p>
        </w:tc>
        <w:tc>
          <w:tcPr>
            <w:tcW w:w="960" w:type="dxa"/>
            <w:tcBorders>
              <w:top w:val="nil"/>
              <w:left w:val="nil"/>
              <w:bottom w:val="single" w:sz="4" w:space="0" w:color="auto"/>
              <w:right w:val="nil"/>
            </w:tcBorders>
            <w:shd w:val="clear" w:color="auto" w:fill="auto"/>
            <w:noWrap/>
            <w:vAlign w:val="bottom"/>
            <w:hideMark/>
          </w:tcPr>
          <w:p w:rsidR="00080FE5" w:rsidRDefault="00080FE5">
            <w:pPr>
              <w:rPr>
                <w:rFonts w:ascii="Arial" w:hAnsi="Arial" w:cs="Arial"/>
                <w:sz w:val="16"/>
                <w:szCs w:val="16"/>
              </w:rPr>
            </w:pPr>
            <w:r>
              <w:rPr>
                <w:rFonts w:ascii="Arial" w:hAnsi="Arial" w:cs="Arial"/>
                <w:sz w:val="16"/>
                <w:szCs w:val="16"/>
              </w:rPr>
              <w:t>Detached</w:t>
            </w:r>
          </w:p>
        </w:tc>
        <w:tc>
          <w:tcPr>
            <w:tcW w:w="960" w:type="dxa"/>
            <w:tcBorders>
              <w:top w:val="nil"/>
              <w:left w:val="nil"/>
              <w:bottom w:val="single" w:sz="4" w:space="0" w:color="auto"/>
              <w:right w:val="nil"/>
            </w:tcBorders>
            <w:shd w:val="clear" w:color="auto" w:fill="auto"/>
            <w:noWrap/>
            <w:vAlign w:val="bottom"/>
            <w:hideMark/>
          </w:tcPr>
          <w:p w:rsidR="00080FE5" w:rsidRDefault="00080FE5">
            <w:pPr>
              <w:rPr>
                <w:rFonts w:ascii="Arial" w:hAnsi="Arial" w:cs="Arial"/>
                <w:sz w:val="16"/>
                <w:szCs w:val="16"/>
              </w:rPr>
            </w:pPr>
            <w:r>
              <w:rPr>
                <w:rFonts w:ascii="Arial" w:hAnsi="Arial" w:cs="Arial"/>
                <w:sz w:val="16"/>
                <w:szCs w:val="16"/>
              </w:rPr>
              <w:t> </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Greater Sydney</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2011-26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451</w:t>
            </w:r>
            <w:r w:rsidR="00DB56E6">
              <w:rPr>
                <w:rFonts w:ascii="Arial" w:hAnsi="Arial" w:cs="Arial"/>
                <w:sz w:val="20"/>
                <w:szCs w:val="20"/>
              </w:rPr>
              <w:t>,</w:t>
            </w:r>
            <w:r>
              <w:rPr>
                <w:rFonts w:ascii="Arial" w:hAnsi="Arial" w:cs="Arial"/>
                <w:sz w:val="20"/>
                <w:szCs w:val="20"/>
              </w:rPr>
              <w:t>723</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1.27</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1.24</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2026-41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462</w:t>
            </w:r>
            <w:r w:rsidR="00DB56E6">
              <w:rPr>
                <w:rFonts w:ascii="Arial" w:hAnsi="Arial" w:cs="Arial"/>
                <w:sz w:val="20"/>
                <w:szCs w:val="20"/>
              </w:rPr>
              <w:t>,</w:t>
            </w:r>
            <w:r>
              <w:rPr>
                <w:rFonts w:ascii="Arial" w:hAnsi="Arial" w:cs="Arial"/>
                <w:sz w:val="20"/>
                <w:szCs w:val="20"/>
              </w:rPr>
              <w:t>152</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1.22</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1.22</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Rest of NSW</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2011-26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137</w:t>
            </w:r>
            <w:r w:rsidR="00DB56E6">
              <w:rPr>
                <w:rFonts w:ascii="Arial" w:hAnsi="Arial" w:cs="Arial"/>
                <w:sz w:val="20"/>
                <w:szCs w:val="20"/>
              </w:rPr>
              <w:t>,</w:t>
            </w:r>
            <w:r>
              <w:rPr>
                <w:rFonts w:ascii="Arial" w:hAnsi="Arial" w:cs="Arial"/>
                <w:sz w:val="20"/>
                <w:szCs w:val="20"/>
              </w:rPr>
              <w:t>368</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1.13</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1.12</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1.16</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2026-41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99</w:t>
            </w:r>
            <w:r w:rsidR="00DB56E6">
              <w:rPr>
                <w:rFonts w:ascii="Arial" w:hAnsi="Arial" w:cs="Arial"/>
                <w:sz w:val="20"/>
                <w:szCs w:val="20"/>
              </w:rPr>
              <w:t>,</w:t>
            </w:r>
            <w:r>
              <w:rPr>
                <w:rFonts w:ascii="Arial" w:hAnsi="Arial" w:cs="Arial"/>
                <w:sz w:val="20"/>
                <w:szCs w:val="20"/>
              </w:rPr>
              <w:t>488</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1.08</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1.08</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1.10</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1.11</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Greater Melbourne</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2011-26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505</w:t>
            </w:r>
            <w:r w:rsidR="00DB56E6">
              <w:rPr>
                <w:rFonts w:ascii="Arial" w:hAnsi="Arial" w:cs="Arial"/>
                <w:sz w:val="20"/>
                <w:szCs w:val="20"/>
              </w:rPr>
              <w:t>,</w:t>
            </w:r>
            <w:r>
              <w:rPr>
                <w:rFonts w:ascii="Arial" w:hAnsi="Arial" w:cs="Arial"/>
                <w:sz w:val="20"/>
                <w:szCs w:val="20"/>
              </w:rPr>
              <w:t>895</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1.32</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1.32</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1.31</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2026-41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523</w:t>
            </w:r>
            <w:r w:rsidR="00DB56E6">
              <w:rPr>
                <w:rFonts w:ascii="Arial" w:hAnsi="Arial" w:cs="Arial"/>
                <w:sz w:val="20"/>
                <w:szCs w:val="20"/>
              </w:rPr>
              <w:t>,</w:t>
            </w:r>
            <w:r>
              <w:rPr>
                <w:rFonts w:ascii="Arial" w:hAnsi="Arial" w:cs="Arial"/>
                <w:sz w:val="20"/>
                <w:szCs w:val="20"/>
              </w:rPr>
              <w:t>583</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1.25</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1.25</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1.26</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Rest of VIC</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2011-26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121</w:t>
            </w:r>
            <w:r w:rsidR="00DB56E6">
              <w:rPr>
                <w:rFonts w:ascii="Arial" w:hAnsi="Arial" w:cs="Arial"/>
                <w:sz w:val="20"/>
                <w:szCs w:val="20"/>
              </w:rPr>
              <w:t>,</w:t>
            </w:r>
            <w:r>
              <w:rPr>
                <w:rFonts w:ascii="Arial" w:hAnsi="Arial" w:cs="Arial"/>
                <w:sz w:val="20"/>
                <w:szCs w:val="20"/>
              </w:rPr>
              <w:t>795</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1.22</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1.27</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1.29</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2026-41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119</w:t>
            </w:r>
            <w:r w:rsidR="00DB56E6">
              <w:rPr>
                <w:rFonts w:ascii="Arial" w:hAnsi="Arial" w:cs="Arial"/>
                <w:sz w:val="20"/>
                <w:szCs w:val="20"/>
              </w:rPr>
              <w:t>,</w:t>
            </w:r>
            <w:r>
              <w:rPr>
                <w:rFonts w:ascii="Arial" w:hAnsi="Arial" w:cs="Arial"/>
                <w:sz w:val="20"/>
                <w:szCs w:val="20"/>
              </w:rPr>
              <w:t>616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1.17</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1.17</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1.23</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Greater Brisbane</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2011-26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312</w:t>
            </w:r>
            <w:r w:rsidR="00DB56E6">
              <w:rPr>
                <w:rFonts w:ascii="Arial" w:hAnsi="Arial" w:cs="Arial"/>
                <w:sz w:val="20"/>
                <w:szCs w:val="20"/>
              </w:rPr>
              <w:t>,</w:t>
            </w:r>
            <w:r>
              <w:rPr>
                <w:rFonts w:ascii="Arial" w:hAnsi="Arial" w:cs="Arial"/>
                <w:sz w:val="20"/>
                <w:szCs w:val="20"/>
              </w:rPr>
              <w:t>958</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1.39</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1.39</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1.38</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1.37</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2026-41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330</w:t>
            </w:r>
            <w:r w:rsidR="00DB56E6">
              <w:rPr>
                <w:rFonts w:ascii="Arial" w:hAnsi="Arial" w:cs="Arial"/>
                <w:sz w:val="20"/>
                <w:szCs w:val="20"/>
              </w:rPr>
              <w:t>,</w:t>
            </w:r>
            <w:r>
              <w:rPr>
                <w:rFonts w:ascii="Arial" w:hAnsi="Arial" w:cs="Arial"/>
                <w:sz w:val="20"/>
                <w:szCs w:val="20"/>
              </w:rPr>
              <w:t>235</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1.29</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1.29</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1.32</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Rest of QLD</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2011-26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309</w:t>
            </w:r>
            <w:r w:rsidR="00DB56E6">
              <w:rPr>
                <w:rFonts w:ascii="Arial" w:hAnsi="Arial" w:cs="Arial"/>
                <w:sz w:val="20"/>
                <w:szCs w:val="20"/>
              </w:rPr>
              <w:t>,</w:t>
            </w:r>
            <w:r>
              <w:rPr>
                <w:rFonts w:ascii="Arial" w:hAnsi="Arial" w:cs="Arial"/>
                <w:sz w:val="20"/>
                <w:szCs w:val="20"/>
              </w:rPr>
              <w:t>092</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1.34</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1.33</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1.36</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2026-41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324</w:t>
            </w:r>
            <w:r w:rsidR="00DB56E6">
              <w:rPr>
                <w:rFonts w:ascii="Arial" w:hAnsi="Arial" w:cs="Arial"/>
                <w:sz w:val="20"/>
                <w:szCs w:val="20"/>
              </w:rPr>
              <w:t>,</w:t>
            </w:r>
            <w:r>
              <w:rPr>
                <w:rFonts w:ascii="Arial" w:hAnsi="Arial" w:cs="Arial"/>
                <w:sz w:val="20"/>
                <w:szCs w:val="20"/>
              </w:rPr>
              <w:t>320</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1.28</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1.29</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Greater Adelaide</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2011-26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107</w:t>
            </w:r>
            <w:r w:rsidR="00DB56E6">
              <w:rPr>
                <w:rFonts w:ascii="Arial" w:hAnsi="Arial" w:cs="Arial"/>
                <w:sz w:val="20"/>
                <w:szCs w:val="20"/>
              </w:rPr>
              <w:t>,</w:t>
            </w:r>
            <w:r>
              <w:rPr>
                <w:rFonts w:ascii="Arial" w:hAnsi="Arial" w:cs="Arial"/>
                <w:sz w:val="20"/>
                <w:szCs w:val="20"/>
              </w:rPr>
              <w:t>676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1.20</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1.23</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1.24</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2026-41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102</w:t>
            </w:r>
            <w:r w:rsidR="00DB56E6">
              <w:rPr>
                <w:rFonts w:ascii="Arial" w:hAnsi="Arial" w:cs="Arial"/>
                <w:sz w:val="20"/>
                <w:szCs w:val="20"/>
              </w:rPr>
              <w:t>,</w:t>
            </w:r>
            <w:r>
              <w:rPr>
                <w:rFonts w:ascii="Arial" w:hAnsi="Arial" w:cs="Arial"/>
                <w:sz w:val="20"/>
                <w:szCs w:val="20"/>
              </w:rPr>
              <w:t>263</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1.19</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1.20</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Rest of SA</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2011-26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25</w:t>
            </w:r>
            <w:r w:rsidR="00DB56E6">
              <w:rPr>
                <w:rFonts w:ascii="Arial" w:hAnsi="Arial" w:cs="Arial"/>
                <w:sz w:val="20"/>
                <w:szCs w:val="20"/>
              </w:rPr>
              <w:t>,</w:t>
            </w:r>
            <w:r>
              <w:rPr>
                <w:rFonts w:ascii="Arial" w:hAnsi="Arial" w:cs="Arial"/>
                <w:sz w:val="20"/>
                <w:szCs w:val="20"/>
              </w:rPr>
              <w:t>035</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1.15</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1.30</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2026-41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17</w:t>
            </w:r>
            <w:r w:rsidR="00DB56E6">
              <w:rPr>
                <w:rFonts w:ascii="Arial" w:hAnsi="Arial" w:cs="Arial"/>
                <w:sz w:val="20"/>
                <w:szCs w:val="20"/>
              </w:rPr>
              <w:t>,</w:t>
            </w:r>
            <w:r>
              <w:rPr>
                <w:rFonts w:ascii="Arial" w:hAnsi="Arial" w:cs="Arial"/>
                <w:sz w:val="20"/>
                <w:szCs w:val="20"/>
              </w:rPr>
              <w:t>710</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1.10</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1.09</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1.12</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1.17</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Greater Perth</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2011-26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511</w:t>
            </w:r>
            <w:r w:rsidR="00DB56E6">
              <w:rPr>
                <w:rFonts w:ascii="Arial" w:hAnsi="Arial" w:cs="Arial"/>
                <w:sz w:val="20"/>
                <w:szCs w:val="20"/>
              </w:rPr>
              <w:t>,</w:t>
            </w:r>
            <w:r>
              <w:rPr>
                <w:rFonts w:ascii="Arial" w:hAnsi="Arial" w:cs="Arial"/>
                <w:sz w:val="20"/>
                <w:szCs w:val="20"/>
              </w:rPr>
              <w:t>040</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1.72</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1.72</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1.71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1.71</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2026-41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610</w:t>
            </w:r>
            <w:r w:rsidR="00DB56E6">
              <w:rPr>
                <w:rFonts w:ascii="Arial" w:hAnsi="Arial" w:cs="Arial"/>
                <w:sz w:val="20"/>
                <w:szCs w:val="20"/>
              </w:rPr>
              <w:t>,</w:t>
            </w:r>
            <w:r>
              <w:rPr>
                <w:rFonts w:ascii="Arial" w:hAnsi="Arial" w:cs="Arial"/>
                <w:sz w:val="20"/>
                <w:szCs w:val="20"/>
              </w:rPr>
              <w:t>991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1.50</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1.50</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1.50</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1.50</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Rest of WA</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2011-26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86</w:t>
            </w:r>
            <w:r w:rsidR="00DB56E6">
              <w:rPr>
                <w:rFonts w:ascii="Arial" w:hAnsi="Arial" w:cs="Arial"/>
                <w:sz w:val="20"/>
                <w:szCs w:val="20"/>
              </w:rPr>
              <w:t>,</w:t>
            </w:r>
            <w:r>
              <w:rPr>
                <w:rFonts w:ascii="Arial" w:hAnsi="Arial" w:cs="Arial"/>
                <w:sz w:val="20"/>
                <w:szCs w:val="20"/>
              </w:rPr>
              <w:t>722</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1.45</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1.44</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1.51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1.51</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2026-41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96</w:t>
            </w:r>
            <w:r w:rsidR="00DB56E6">
              <w:rPr>
                <w:rFonts w:ascii="Arial" w:hAnsi="Arial" w:cs="Arial"/>
                <w:sz w:val="20"/>
                <w:szCs w:val="20"/>
              </w:rPr>
              <w:t>,</w:t>
            </w:r>
            <w:r>
              <w:rPr>
                <w:rFonts w:ascii="Arial" w:hAnsi="Arial" w:cs="Arial"/>
                <w:sz w:val="20"/>
                <w:szCs w:val="20"/>
              </w:rPr>
              <w:t>103</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1.34</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1.33</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1.40</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1.42</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Greater Hobart</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2011-26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10</w:t>
            </w:r>
            <w:r w:rsidR="00DB56E6">
              <w:rPr>
                <w:rFonts w:ascii="Arial" w:hAnsi="Arial" w:cs="Arial"/>
                <w:sz w:val="20"/>
                <w:szCs w:val="20"/>
              </w:rPr>
              <w:t>,</w:t>
            </w:r>
            <w:r>
              <w:rPr>
                <w:rFonts w:ascii="Arial" w:hAnsi="Arial" w:cs="Arial"/>
                <w:sz w:val="20"/>
                <w:szCs w:val="20"/>
              </w:rPr>
              <w:t>151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1.10</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1.12</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2026-41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8</w:t>
            </w:r>
            <w:r w:rsidR="00DB56E6">
              <w:rPr>
                <w:rFonts w:ascii="Arial" w:hAnsi="Arial" w:cs="Arial"/>
                <w:sz w:val="20"/>
                <w:szCs w:val="20"/>
              </w:rPr>
              <w:t>,</w:t>
            </w:r>
            <w:r>
              <w:rPr>
                <w:rFonts w:ascii="Arial" w:hAnsi="Arial" w:cs="Arial"/>
                <w:sz w:val="20"/>
                <w:szCs w:val="20"/>
              </w:rPr>
              <w:t>291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1.08</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1.08</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1.13</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Rest of TAS</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2011-26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6</w:t>
            </w:r>
            <w:r w:rsidR="00DB56E6">
              <w:rPr>
                <w:rFonts w:ascii="Arial" w:hAnsi="Arial" w:cs="Arial"/>
                <w:sz w:val="20"/>
                <w:szCs w:val="20"/>
              </w:rPr>
              <w:t>,</w:t>
            </w:r>
            <w:r>
              <w:rPr>
                <w:rFonts w:ascii="Arial" w:hAnsi="Arial" w:cs="Arial"/>
                <w:sz w:val="20"/>
                <w:szCs w:val="20"/>
              </w:rPr>
              <w:t>182</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1.05</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1.04</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1.14</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1.13</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2026-41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-2</w:t>
            </w:r>
            <w:r w:rsidR="00DB56E6">
              <w:rPr>
                <w:rFonts w:ascii="Arial" w:hAnsi="Arial" w:cs="Arial"/>
                <w:sz w:val="20"/>
                <w:szCs w:val="20"/>
              </w:rPr>
              <w:t>,</w:t>
            </w:r>
            <w:r>
              <w:rPr>
                <w:rFonts w:ascii="Arial" w:hAnsi="Arial" w:cs="Arial"/>
                <w:sz w:val="20"/>
                <w:szCs w:val="20"/>
              </w:rPr>
              <w:t>867</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0.98</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0.97</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1.04</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1.04</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NT</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2011-26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24</w:t>
            </w:r>
            <w:r w:rsidR="00DB56E6">
              <w:rPr>
                <w:rFonts w:ascii="Arial" w:hAnsi="Arial" w:cs="Arial"/>
                <w:sz w:val="20"/>
                <w:szCs w:val="20"/>
              </w:rPr>
              <w:t>,</w:t>
            </w:r>
            <w:r>
              <w:rPr>
                <w:rFonts w:ascii="Arial" w:hAnsi="Arial" w:cs="Arial"/>
                <w:sz w:val="20"/>
                <w:szCs w:val="20"/>
              </w:rPr>
              <w:t>788</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1.32</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1.28</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1.24</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2026-41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18</w:t>
            </w:r>
            <w:r w:rsidR="00DB56E6">
              <w:rPr>
                <w:rFonts w:ascii="Arial" w:hAnsi="Arial" w:cs="Arial"/>
                <w:sz w:val="20"/>
                <w:szCs w:val="20"/>
              </w:rPr>
              <w:t>,</w:t>
            </w:r>
            <w:r>
              <w:rPr>
                <w:rFonts w:ascii="Arial" w:hAnsi="Arial" w:cs="Arial"/>
                <w:sz w:val="20"/>
                <w:szCs w:val="20"/>
              </w:rPr>
              <w:t>305</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1.17</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1.18</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1.15</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ACT</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2011-26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45</w:t>
            </w:r>
            <w:r w:rsidR="00DB56E6">
              <w:rPr>
                <w:rFonts w:ascii="Arial" w:hAnsi="Arial" w:cs="Arial"/>
                <w:sz w:val="20"/>
                <w:szCs w:val="20"/>
              </w:rPr>
              <w:t>,</w:t>
            </w:r>
            <w:r>
              <w:rPr>
                <w:rFonts w:ascii="Arial" w:hAnsi="Arial" w:cs="Arial"/>
                <w:sz w:val="20"/>
                <w:szCs w:val="20"/>
              </w:rPr>
              <w:t>165</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1.32</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1.33</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1.30</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1.26</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2026-41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45</w:t>
            </w:r>
            <w:r w:rsidR="00DB56E6">
              <w:rPr>
                <w:rFonts w:ascii="Arial" w:hAnsi="Arial" w:cs="Arial"/>
                <w:sz w:val="20"/>
                <w:szCs w:val="20"/>
              </w:rPr>
              <w:t>,</w:t>
            </w:r>
            <w:r>
              <w:rPr>
                <w:rFonts w:ascii="Arial" w:hAnsi="Arial" w:cs="Arial"/>
                <w:sz w:val="20"/>
                <w:szCs w:val="20"/>
              </w:rPr>
              <w:t>996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1.25</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1.24</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1.27</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1.27</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SEQ</w:t>
            </w: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2011-26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426</w:t>
            </w:r>
            <w:r w:rsidR="00DB56E6">
              <w:rPr>
                <w:rFonts w:ascii="Arial" w:hAnsi="Arial" w:cs="Arial"/>
                <w:sz w:val="20"/>
                <w:szCs w:val="20"/>
              </w:rPr>
              <w:t>,</w:t>
            </w:r>
            <w:r>
              <w:rPr>
                <w:rFonts w:ascii="Arial" w:hAnsi="Arial" w:cs="Arial"/>
                <w:sz w:val="20"/>
                <w:szCs w:val="20"/>
              </w:rPr>
              <w:t>659</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1.36</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1.35</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1.37</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1.39</w:t>
            </w:r>
          </w:p>
        </w:tc>
      </w:tr>
      <w:tr w:rsidR="00080FE5" w:rsidTr="00080FE5">
        <w:trPr>
          <w:trHeight w:val="255"/>
        </w:trPr>
        <w:tc>
          <w:tcPr>
            <w:tcW w:w="202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80FE5" w:rsidRDefault="00080FE5">
            <w:pPr>
              <w:rPr>
                <w:rFonts w:ascii="Arial" w:hAnsi="Arial" w:cs="Arial"/>
                <w:sz w:val="20"/>
                <w:szCs w:val="20"/>
              </w:rPr>
            </w:pPr>
            <w:r>
              <w:rPr>
                <w:rFonts w:ascii="Arial" w:hAnsi="Arial" w:cs="Arial"/>
                <w:sz w:val="20"/>
                <w:szCs w:val="20"/>
              </w:rPr>
              <w:t>2026-41</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456</w:t>
            </w:r>
            <w:r w:rsidR="00DB56E6">
              <w:rPr>
                <w:rFonts w:ascii="Arial" w:hAnsi="Arial" w:cs="Arial"/>
                <w:sz w:val="20"/>
                <w:szCs w:val="20"/>
              </w:rPr>
              <w:t>,</w:t>
            </w:r>
            <w:r>
              <w:rPr>
                <w:rFonts w:ascii="Arial" w:hAnsi="Arial" w:cs="Arial"/>
                <w:sz w:val="20"/>
                <w:szCs w:val="20"/>
              </w:rPr>
              <w:t>447</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1.28</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1.27</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1.30</w:t>
            </w:r>
          </w:p>
        </w:tc>
        <w:tc>
          <w:tcPr>
            <w:tcW w:w="960" w:type="dxa"/>
            <w:tcBorders>
              <w:top w:val="nil"/>
              <w:left w:val="nil"/>
              <w:bottom w:val="nil"/>
              <w:right w:val="nil"/>
            </w:tcBorders>
            <w:shd w:val="clear" w:color="auto" w:fill="auto"/>
            <w:noWrap/>
            <w:vAlign w:val="bottom"/>
            <w:hideMark/>
          </w:tcPr>
          <w:p w:rsidR="00080FE5" w:rsidRDefault="00080FE5">
            <w:pPr>
              <w:jc w:val="right"/>
              <w:rPr>
                <w:rFonts w:ascii="Arial" w:hAnsi="Arial" w:cs="Arial"/>
                <w:sz w:val="20"/>
                <w:szCs w:val="20"/>
              </w:rPr>
            </w:pPr>
            <w:r>
              <w:rPr>
                <w:rFonts w:ascii="Arial" w:hAnsi="Arial" w:cs="Arial"/>
                <w:sz w:val="20"/>
                <w:szCs w:val="20"/>
              </w:rPr>
              <w:t>1.31</w:t>
            </w:r>
          </w:p>
        </w:tc>
      </w:tr>
    </w:tbl>
    <w:p w:rsidR="00EB2C33" w:rsidRPr="0043341C" w:rsidRDefault="00EB2C33" w:rsidP="00EB2C33">
      <w:pPr>
        <w:rPr>
          <w:sz w:val="20"/>
          <w:szCs w:val="20"/>
        </w:rPr>
      </w:pPr>
      <w:r w:rsidRPr="0043341C">
        <w:rPr>
          <w:sz w:val="20"/>
          <w:szCs w:val="20"/>
        </w:rPr>
        <w:t xml:space="preserve">Source: Authors </w:t>
      </w:r>
      <w:proofErr w:type="gramStart"/>
      <w:r w:rsidRPr="0043341C">
        <w:rPr>
          <w:sz w:val="20"/>
          <w:szCs w:val="20"/>
        </w:rPr>
        <w:t>calculations</w:t>
      </w:r>
      <w:r>
        <w:rPr>
          <w:sz w:val="20"/>
          <w:szCs w:val="20"/>
        </w:rPr>
        <w:t xml:space="preserve">  </w:t>
      </w:r>
      <w:r w:rsidRPr="0043341C">
        <w:rPr>
          <w:sz w:val="20"/>
          <w:szCs w:val="20"/>
        </w:rPr>
        <w:t>Notes</w:t>
      </w:r>
      <w:proofErr w:type="gramEnd"/>
      <w:r w:rsidRPr="0043341C">
        <w:rPr>
          <w:sz w:val="20"/>
          <w:szCs w:val="20"/>
        </w:rPr>
        <w:t xml:space="preserve">: * Ratio </w:t>
      </w:r>
      <w:r>
        <w:rPr>
          <w:sz w:val="20"/>
          <w:szCs w:val="20"/>
        </w:rPr>
        <w:t>o</w:t>
      </w:r>
      <w:r w:rsidRPr="0043341C">
        <w:rPr>
          <w:sz w:val="20"/>
          <w:szCs w:val="20"/>
        </w:rPr>
        <w:t xml:space="preserve">f </w:t>
      </w:r>
      <w:r>
        <w:rPr>
          <w:sz w:val="20"/>
          <w:szCs w:val="20"/>
        </w:rPr>
        <w:t>relevant (2026 or 2041) years dwelling count to base year (2011 or 2026) dwelling count.</w:t>
      </w:r>
    </w:p>
    <w:p w:rsidR="00DC7242" w:rsidRDefault="00DC7242">
      <w:pPr>
        <w:rPr>
          <w:b/>
        </w:rPr>
      </w:pPr>
    </w:p>
    <w:p w:rsidR="00D2038B" w:rsidRPr="00D2038B" w:rsidRDefault="00D2038B">
      <w:pPr>
        <w:rPr>
          <w:b/>
        </w:rPr>
      </w:pPr>
      <w:r>
        <w:rPr>
          <w:b/>
        </w:rPr>
        <w:t>Demand by tenure category</w:t>
      </w:r>
    </w:p>
    <w:p w:rsidR="00D2038B" w:rsidRDefault="00D2038B"/>
    <w:p w:rsidR="00A500E6" w:rsidRDefault="00A500E6" w:rsidP="00DC7242">
      <w:pPr>
        <w:jc w:val="both"/>
      </w:pPr>
      <w:r>
        <w:t xml:space="preserve">Table </w:t>
      </w:r>
      <w:r w:rsidR="00552C32">
        <w:t>11</w:t>
      </w:r>
      <w:r>
        <w:t xml:space="preserve"> shows the rat</w:t>
      </w:r>
      <w:r w:rsidR="00784914">
        <w:t xml:space="preserve">io of dwellings required in 2026 </w:t>
      </w:r>
      <w:r>
        <w:t>to</w:t>
      </w:r>
      <w:r w:rsidR="00B254DA">
        <w:t xml:space="preserve"> the number of dwellings in 2011</w:t>
      </w:r>
      <w:r>
        <w:t xml:space="preserve"> according to tenure type. It also shows the same ratio for the second period. The purpose of this table is to show whether the demand for any type of tenure increases more than for other t</w:t>
      </w:r>
      <w:r w:rsidR="00784914">
        <w:t>ypes. Owner/purchasers grow at the same rate as all tenures in each scenario in each period. However, in all scenarios, the growth for public rental tenure is higher than for all dwellings while the growth for private rental tenure is lower than for all dwellings, and this is especially the case in the first projection period.</w:t>
      </w:r>
      <w:r w:rsidR="00915782">
        <w:t xml:space="preserve"> These conclusions apply also to </w:t>
      </w:r>
      <w:r w:rsidR="00552C32">
        <w:t>all geographic regions (Table 12</w:t>
      </w:r>
      <w:r w:rsidR="00915782">
        <w:t>).</w:t>
      </w:r>
    </w:p>
    <w:p w:rsidR="00784914" w:rsidRDefault="00784914" w:rsidP="00A500E6"/>
    <w:p w:rsidR="00A500E6" w:rsidRDefault="00A500E6" w:rsidP="00A500E6"/>
    <w:p w:rsidR="00784914" w:rsidRDefault="00552C32" w:rsidP="00B254DA">
      <w:pPr>
        <w:rPr>
          <w:rFonts w:ascii="Arial" w:hAnsi="Arial" w:cs="Arial"/>
          <w:b/>
          <w:sz w:val="20"/>
          <w:szCs w:val="20"/>
        </w:rPr>
      </w:pPr>
      <w:proofErr w:type="gramStart"/>
      <w:r>
        <w:rPr>
          <w:rFonts w:ascii="Arial" w:hAnsi="Arial" w:cs="Arial"/>
          <w:b/>
          <w:sz w:val="20"/>
          <w:szCs w:val="20"/>
        </w:rPr>
        <w:t>Table 11</w:t>
      </w:r>
      <w:r w:rsidR="00F30503">
        <w:rPr>
          <w:rFonts w:ascii="Arial" w:hAnsi="Arial" w:cs="Arial"/>
          <w:b/>
          <w:sz w:val="20"/>
          <w:szCs w:val="20"/>
        </w:rPr>
        <w:t>.</w:t>
      </w:r>
      <w:proofErr w:type="gramEnd"/>
      <w:r w:rsidR="00F30503">
        <w:rPr>
          <w:rFonts w:ascii="Arial" w:hAnsi="Arial" w:cs="Arial"/>
          <w:b/>
          <w:sz w:val="20"/>
          <w:szCs w:val="20"/>
        </w:rPr>
        <w:t xml:space="preserve"> Ratio of dwellings by tenure</w:t>
      </w:r>
      <w:r w:rsidR="00B254DA">
        <w:rPr>
          <w:rFonts w:ascii="Arial" w:hAnsi="Arial" w:cs="Arial"/>
          <w:b/>
          <w:sz w:val="20"/>
          <w:szCs w:val="20"/>
        </w:rPr>
        <w:t>,</w:t>
      </w:r>
      <w:r w:rsidR="00F30503">
        <w:rPr>
          <w:rFonts w:ascii="Arial" w:hAnsi="Arial" w:cs="Arial"/>
          <w:b/>
          <w:sz w:val="20"/>
          <w:szCs w:val="20"/>
        </w:rPr>
        <w:t xml:space="preserve"> </w:t>
      </w:r>
      <w:r w:rsidR="00B254DA">
        <w:rPr>
          <w:rFonts w:ascii="Arial" w:hAnsi="Arial" w:cs="Arial"/>
          <w:b/>
          <w:sz w:val="20"/>
          <w:szCs w:val="20"/>
        </w:rPr>
        <w:t>2026 to 2011 and 2</w:t>
      </w:r>
      <w:r w:rsidR="00784914">
        <w:rPr>
          <w:rFonts w:ascii="Arial" w:hAnsi="Arial" w:cs="Arial"/>
          <w:b/>
          <w:sz w:val="20"/>
          <w:szCs w:val="20"/>
        </w:rPr>
        <w:t>041 to 2026</w:t>
      </w:r>
    </w:p>
    <w:p w:rsidR="00B254DA" w:rsidRDefault="00B254DA" w:rsidP="00B254DA">
      <w:pPr>
        <w:rPr>
          <w:rFonts w:ascii="Arial" w:hAnsi="Arial" w:cs="Arial"/>
          <w:b/>
          <w:sz w:val="20"/>
          <w:szCs w:val="20"/>
        </w:rPr>
      </w:pPr>
      <w:r>
        <w:rPr>
          <w:rFonts w:ascii="Arial" w:hAnsi="Arial" w:cs="Arial"/>
          <w:b/>
          <w:sz w:val="20"/>
          <w:szCs w:val="20"/>
        </w:rPr>
        <w:t>Australia, three scenarios</w:t>
      </w:r>
    </w:p>
    <w:p w:rsidR="00B254DA" w:rsidRDefault="00B254DA" w:rsidP="00B254DA">
      <w:pPr>
        <w:rPr>
          <w:rFonts w:ascii="Arial" w:hAnsi="Arial" w:cs="Arial"/>
          <w:b/>
          <w:sz w:val="20"/>
          <w:szCs w:val="20"/>
        </w:rPr>
      </w:pPr>
      <w:r>
        <w:rPr>
          <w:rFonts w:ascii="Arial" w:hAnsi="Arial" w:cs="Arial"/>
          <w:b/>
          <w:sz w:val="20"/>
          <w:szCs w:val="20"/>
        </w:rPr>
        <w:t>______________________________________________________________</w:t>
      </w:r>
    </w:p>
    <w:tbl>
      <w:tblPr>
        <w:tblW w:w="5893" w:type="dxa"/>
        <w:tblInd w:w="93" w:type="dxa"/>
        <w:tblLook w:val="04A0"/>
      </w:tblPr>
      <w:tblGrid>
        <w:gridCol w:w="1960"/>
        <w:gridCol w:w="812"/>
        <w:gridCol w:w="1110"/>
        <w:gridCol w:w="901"/>
        <w:gridCol w:w="1110"/>
      </w:tblGrid>
      <w:tr w:rsidR="00B254DA" w:rsidRPr="003B6544" w:rsidTr="00B254DA">
        <w:trPr>
          <w:trHeight w:val="255"/>
        </w:trPr>
        <w:tc>
          <w:tcPr>
            <w:tcW w:w="1960"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p>
        </w:tc>
        <w:tc>
          <w:tcPr>
            <w:tcW w:w="812" w:type="dxa"/>
            <w:tcBorders>
              <w:top w:val="nil"/>
              <w:left w:val="nil"/>
              <w:bottom w:val="nil"/>
              <w:right w:val="nil"/>
            </w:tcBorders>
            <w:shd w:val="clear" w:color="auto" w:fill="auto"/>
            <w:noWrap/>
            <w:vAlign w:val="bottom"/>
            <w:hideMark/>
          </w:tcPr>
          <w:p w:rsidR="00B254DA" w:rsidRDefault="00B254DA" w:rsidP="008E2E81">
            <w:pPr>
              <w:rPr>
                <w:rFonts w:ascii="Arial" w:hAnsi="Arial" w:cs="Arial"/>
                <w:sz w:val="16"/>
                <w:szCs w:val="16"/>
              </w:rPr>
            </w:pPr>
            <w:r>
              <w:rPr>
                <w:rFonts w:ascii="Arial" w:hAnsi="Arial" w:cs="Arial"/>
                <w:sz w:val="16"/>
                <w:szCs w:val="16"/>
              </w:rPr>
              <w:t xml:space="preserve">  Total</w:t>
            </w:r>
          </w:p>
        </w:tc>
        <w:tc>
          <w:tcPr>
            <w:tcW w:w="1110" w:type="dxa"/>
            <w:tcBorders>
              <w:top w:val="nil"/>
              <w:left w:val="nil"/>
              <w:bottom w:val="nil"/>
              <w:right w:val="nil"/>
            </w:tcBorders>
            <w:shd w:val="clear" w:color="auto" w:fill="auto"/>
            <w:noWrap/>
            <w:vAlign w:val="bottom"/>
            <w:hideMark/>
          </w:tcPr>
          <w:p w:rsidR="00B254DA" w:rsidRDefault="00B254DA" w:rsidP="008E2E81">
            <w:pPr>
              <w:rPr>
                <w:rFonts w:ascii="Arial" w:hAnsi="Arial" w:cs="Arial"/>
                <w:sz w:val="16"/>
                <w:szCs w:val="16"/>
              </w:rPr>
            </w:pPr>
            <w:r>
              <w:rPr>
                <w:rFonts w:ascii="Arial" w:hAnsi="Arial" w:cs="Arial"/>
                <w:sz w:val="16"/>
                <w:szCs w:val="16"/>
              </w:rPr>
              <w:t xml:space="preserve">    Owner/</w:t>
            </w:r>
          </w:p>
        </w:tc>
        <w:tc>
          <w:tcPr>
            <w:tcW w:w="901" w:type="dxa"/>
            <w:tcBorders>
              <w:top w:val="nil"/>
              <w:left w:val="nil"/>
              <w:bottom w:val="nil"/>
              <w:right w:val="nil"/>
            </w:tcBorders>
            <w:shd w:val="clear" w:color="auto" w:fill="auto"/>
            <w:noWrap/>
            <w:vAlign w:val="bottom"/>
            <w:hideMark/>
          </w:tcPr>
          <w:p w:rsidR="00B254DA" w:rsidRDefault="00F30503" w:rsidP="008E2E81">
            <w:pPr>
              <w:rPr>
                <w:rFonts w:ascii="Arial" w:hAnsi="Arial" w:cs="Arial"/>
                <w:sz w:val="16"/>
                <w:szCs w:val="16"/>
              </w:rPr>
            </w:pPr>
            <w:r>
              <w:rPr>
                <w:rFonts w:ascii="Arial" w:hAnsi="Arial" w:cs="Arial"/>
                <w:sz w:val="16"/>
                <w:szCs w:val="16"/>
              </w:rPr>
              <w:t xml:space="preserve">    Public</w:t>
            </w:r>
          </w:p>
        </w:tc>
        <w:tc>
          <w:tcPr>
            <w:tcW w:w="1110" w:type="dxa"/>
            <w:tcBorders>
              <w:top w:val="nil"/>
              <w:left w:val="nil"/>
              <w:bottom w:val="nil"/>
              <w:right w:val="nil"/>
            </w:tcBorders>
            <w:shd w:val="clear" w:color="auto" w:fill="auto"/>
            <w:noWrap/>
            <w:vAlign w:val="bottom"/>
            <w:hideMark/>
          </w:tcPr>
          <w:p w:rsidR="00B254DA" w:rsidRDefault="00F30503" w:rsidP="008E2E81">
            <w:pPr>
              <w:rPr>
                <w:rFonts w:ascii="Arial" w:hAnsi="Arial" w:cs="Arial"/>
                <w:sz w:val="16"/>
                <w:szCs w:val="16"/>
              </w:rPr>
            </w:pPr>
            <w:r>
              <w:rPr>
                <w:rFonts w:ascii="Arial" w:hAnsi="Arial" w:cs="Arial"/>
                <w:sz w:val="16"/>
                <w:szCs w:val="16"/>
              </w:rPr>
              <w:t xml:space="preserve">          Private</w:t>
            </w:r>
          </w:p>
        </w:tc>
      </w:tr>
      <w:tr w:rsidR="00B254DA" w:rsidRPr="003B6544" w:rsidTr="00B254DA">
        <w:trPr>
          <w:trHeight w:val="255"/>
        </w:trPr>
        <w:tc>
          <w:tcPr>
            <w:tcW w:w="1960" w:type="dxa"/>
            <w:tcBorders>
              <w:top w:val="nil"/>
              <w:left w:val="nil"/>
              <w:bottom w:val="single" w:sz="4" w:space="0" w:color="auto"/>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r>
              <w:rPr>
                <w:rFonts w:ascii="Arial" w:hAnsi="Arial" w:cs="Arial"/>
                <w:sz w:val="20"/>
                <w:szCs w:val="20"/>
                <w:lang w:val="en-AU" w:eastAsia="en-AU"/>
              </w:rPr>
              <w:t xml:space="preserve"> </w:t>
            </w:r>
          </w:p>
        </w:tc>
        <w:tc>
          <w:tcPr>
            <w:tcW w:w="812" w:type="dxa"/>
            <w:tcBorders>
              <w:top w:val="nil"/>
              <w:left w:val="nil"/>
              <w:bottom w:val="single" w:sz="4" w:space="0" w:color="auto"/>
              <w:right w:val="nil"/>
            </w:tcBorders>
            <w:shd w:val="clear" w:color="auto" w:fill="auto"/>
            <w:noWrap/>
            <w:vAlign w:val="bottom"/>
            <w:hideMark/>
          </w:tcPr>
          <w:p w:rsidR="00B254DA" w:rsidRDefault="00B254DA" w:rsidP="008E2E81">
            <w:pPr>
              <w:rPr>
                <w:rFonts w:ascii="Arial" w:hAnsi="Arial" w:cs="Arial"/>
                <w:sz w:val="16"/>
                <w:szCs w:val="16"/>
              </w:rPr>
            </w:pPr>
            <w:r>
              <w:rPr>
                <w:rFonts w:ascii="Arial" w:hAnsi="Arial" w:cs="Arial"/>
                <w:sz w:val="16"/>
                <w:szCs w:val="16"/>
              </w:rPr>
              <w:t> </w:t>
            </w:r>
          </w:p>
        </w:tc>
        <w:tc>
          <w:tcPr>
            <w:tcW w:w="1110" w:type="dxa"/>
            <w:tcBorders>
              <w:top w:val="nil"/>
              <w:left w:val="nil"/>
              <w:bottom w:val="single" w:sz="4" w:space="0" w:color="auto"/>
              <w:right w:val="nil"/>
            </w:tcBorders>
            <w:shd w:val="clear" w:color="auto" w:fill="auto"/>
            <w:noWrap/>
            <w:vAlign w:val="bottom"/>
            <w:hideMark/>
          </w:tcPr>
          <w:p w:rsidR="00B254DA" w:rsidRDefault="00F30503" w:rsidP="008E2E81">
            <w:pPr>
              <w:rPr>
                <w:rFonts w:ascii="Arial" w:hAnsi="Arial" w:cs="Arial"/>
                <w:sz w:val="16"/>
                <w:szCs w:val="16"/>
              </w:rPr>
            </w:pPr>
            <w:r>
              <w:rPr>
                <w:rFonts w:ascii="Arial" w:hAnsi="Arial" w:cs="Arial"/>
                <w:sz w:val="16"/>
                <w:szCs w:val="16"/>
              </w:rPr>
              <w:t xml:space="preserve"> </w:t>
            </w:r>
            <w:r w:rsidR="00B254DA">
              <w:rPr>
                <w:rFonts w:ascii="Arial" w:hAnsi="Arial" w:cs="Arial"/>
                <w:sz w:val="16"/>
                <w:szCs w:val="16"/>
              </w:rPr>
              <w:t>Purchasers</w:t>
            </w:r>
          </w:p>
        </w:tc>
        <w:tc>
          <w:tcPr>
            <w:tcW w:w="901" w:type="dxa"/>
            <w:tcBorders>
              <w:top w:val="nil"/>
              <w:left w:val="nil"/>
              <w:bottom w:val="single" w:sz="4" w:space="0" w:color="auto"/>
              <w:right w:val="nil"/>
            </w:tcBorders>
            <w:shd w:val="clear" w:color="auto" w:fill="auto"/>
            <w:noWrap/>
            <w:vAlign w:val="bottom"/>
            <w:hideMark/>
          </w:tcPr>
          <w:p w:rsidR="00B254DA" w:rsidRDefault="00F30503" w:rsidP="008E2E81">
            <w:pPr>
              <w:rPr>
                <w:rFonts w:ascii="Arial" w:hAnsi="Arial" w:cs="Arial"/>
                <w:sz w:val="16"/>
                <w:szCs w:val="16"/>
              </w:rPr>
            </w:pPr>
            <w:r>
              <w:rPr>
                <w:rFonts w:ascii="Arial" w:hAnsi="Arial" w:cs="Arial"/>
                <w:sz w:val="16"/>
                <w:szCs w:val="16"/>
              </w:rPr>
              <w:t xml:space="preserve">  Renters</w:t>
            </w:r>
          </w:p>
        </w:tc>
        <w:tc>
          <w:tcPr>
            <w:tcW w:w="1110" w:type="dxa"/>
            <w:tcBorders>
              <w:top w:val="nil"/>
              <w:left w:val="nil"/>
              <w:bottom w:val="single" w:sz="4" w:space="0" w:color="auto"/>
              <w:right w:val="nil"/>
            </w:tcBorders>
            <w:shd w:val="clear" w:color="auto" w:fill="auto"/>
            <w:noWrap/>
            <w:vAlign w:val="bottom"/>
            <w:hideMark/>
          </w:tcPr>
          <w:p w:rsidR="00B254DA" w:rsidRDefault="00F30503" w:rsidP="008E2E81">
            <w:pPr>
              <w:rPr>
                <w:rFonts w:ascii="Arial" w:hAnsi="Arial" w:cs="Arial"/>
                <w:sz w:val="16"/>
                <w:szCs w:val="16"/>
              </w:rPr>
            </w:pPr>
            <w:r>
              <w:rPr>
                <w:rFonts w:ascii="Arial" w:hAnsi="Arial" w:cs="Arial"/>
                <w:sz w:val="16"/>
                <w:szCs w:val="16"/>
              </w:rPr>
              <w:t>Renters</w:t>
            </w:r>
          </w:p>
        </w:tc>
      </w:tr>
      <w:tr w:rsidR="00B254DA" w:rsidRPr="003B6544" w:rsidTr="00B254DA">
        <w:trPr>
          <w:trHeight w:val="255"/>
        </w:trPr>
        <w:tc>
          <w:tcPr>
            <w:tcW w:w="1960"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b/>
                <w:bCs/>
                <w:sz w:val="20"/>
                <w:szCs w:val="20"/>
                <w:lang w:val="en-AU" w:eastAsia="en-AU"/>
              </w:rPr>
            </w:pPr>
            <w:r w:rsidRPr="003B6544">
              <w:rPr>
                <w:rFonts w:ascii="Arial" w:hAnsi="Arial" w:cs="Arial"/>
                <w:b/>
                <w:bCs/>
                <w:sz w:val="20"/>
                <w:szCs w:val="20"/>
                <w:lang w:val="en-AU" w:eastAsia="en-AU"/>
              </w:rPr>
              <w:t>Scenario: Low</w:t>
            </w:r>
          </w:p>
        </w:tc>
        <w:tc>
          <w:tcPr>
            <w:tcW w:w="812"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p>
        </w:tc>
        <w:tc>
          <w:tcPr>
            <w:tcW w:w="901"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p>
        </w:tc>
      </w:tr>
      <w:tr w:rsidR="00B254DA" w:rsidRPr="003B6544" w:rsidTr="00B254DA">
        <w:trPr>
          <w:trHeight w:val="255"/>
        </w:trPr>
        <w:tc>
          <w:tcPr>
            <w:tcW w:w="1960"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r>
              <w:rPr>
                <w:rFonts w:ascii="Arial" w:hAnsi="Arial" w:cs="Arial"/>
                <w:sz w:val="20"/>
                <w:szCs w:val="20"/>
                <w:lang w:val="en-AU" w:eastAsia="en-AU"/>
              </w:rPr>
              <w:t>2011-26</w:t>
            </w:r>
          </w:p>
        </w:tc>
        <w:tc>
          <w:tcPr>
            <w:tcW w:w="812"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w:t>
            </w:r>
            <w:r w:rsidR="00F30503">
              <w:rPr>
                <w:rFonts w:ascii="Arial" w:hAnsi="Arial" w:cs="Arial"/>
                <w:sz w:val="20"/>
                <w:szCs w:val="20"/>
              </w:rPr>
              <w:t>28</w:t>
            </w:r>
          </w:p>
        </w:tc>
        <w:tc>
          <w:tcPr>
            <w:tcW w:w="1110"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1.2</w:t>
            </w:r>
            <w:r w:rsidR="00F30503">
              <w:rPr>
                <w:rFonts w:ascii="Arial" w:hAnsi="Arial" w:cs="Arial"/>
                <w:sz w:val="20"/>
                <w:szCs w:val="20"/>
              </w:rPr>
              <w:t>9</w:t>
            </w:r>
          </w:p>
        </w:tc>
        <w:tc>
          <w:tcPr>
            <w:tcW w:w="901"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w:t>
            </w:r>
            <w:r w:rsidR="00F30503">
              <w:rPr>
                <w:rFonts w:ascii="Arial" w:hAnsi="Arial" w:cs="Arial"/>
                <w:sz w:val="20"/>
                <w:szCs w:val="20"/>
              </w:rPr>
              <w:t>35</w:t>
            </w:r>
          </w:p>
        </w:tc>
        <w:tc>
          <w:tcPr>
            <w:tcW w:w="1110" w:type="dxa"/>
            <w:tcBorders>
              <w:top w:val="nil"/>
              <w:left w:val="nil"/>
              <w:bottom w:val="nil"/>
              <w:right w:val="nil"/>
            </w:tcBorders>
            <w:shd w:val="clear" w:color="auto" w:fill="auto"/>
            <w:noWrap/>
            <w:vAlign w:val="bottom"/>
            <w:hideMark/>
          </w:tcPr>
          <w:p w:rsidR="00B254DA" w:rsidRDefault="00B254DA" w:rsidP="00F30503">
            <w:pPr>
              <w:rPr>
                <w:rFonts w:ascii="Arial" w:hAnsi="Arial" w:cs="Arial"/>
                <w:sz w:val="20"/>
                <w:szCs w:val="20"/>
              </w:rPr>
            </w:pPr>
            <w:r>
              <w:rPr>
                <w:rFonts w:ascii="Arial" w:hAnsi="Arial" w:cs="Arial"/>
                <w:sz w:val="20"/>
                <w:szCs w:val="20"/>
              </w:rPr>
              <w:t>1.2</w:t>
            </w:r>
            <w:r w:rsidR="00F30503">
              <w:rPr>
                <w:rFonts w:ascii="Arial" w:hAnsi="Arial" w:cs="Arial"/>
                <w:sz w:val="20"/>
                <w:szCs w:val="20"/>
              </w:rPr>
              <w:t>2</w:t>
            </w:r>
          </w:p>
        </w:tc>
      </w:tr>
      <w:tr w:rsidR="00B254DA" w:rsidRPr="003B6544" w:rsidTr="00B254DA">
        <w:trPr>
          <w:trHeight w:val="255"/>
        </w:trPr>
        <w:tc>
          <w:tcPr>
            <w:tcW w:w="1960"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r>
              <w:rPr>
                <w:rFonts w:ascii="Arial" w:hAnsi="Arial" w:cs="Arial"/>
                <w:sz w:val="20"/>
                <w:szCs w:val="20"/>
                <w:lang w:val="en-AU" w:eastAsia="en-AU"/>
              </w:rPr>
              <w:t>2026-41</w:t>
            </w:r>
          </w:p>
        </w:tc>
        <w:tc>
          <w:tcPr>
            <w:tcW w:w="812"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1.18</w:t>
            </w:r>
          </w:p>
        </w:tc>
        <w:tc>
          <w:tcPr>
            <w:tcW w:w="1110"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1.1</w:t>
            </w:r>
            <w:r w:rsidR="00F30503">
              <w:rPr>
                <w:rFonts w:ascii="Arial" w:hAnsi="Arial" w:cs="Arial"/>
                <w:sz w:val="20"/>
                <w:szCs w:val="20"/>
              </w:rPr>
              <w:t>9</w:t>
            </w:r>
          </w:p>
        </w:tc>
        <w:tc>
          <w:tcPr>
            <w:tcW w:w="901"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1.2</w:t>
            </w:r>
            <w:r w:rsidR="00F30503">
              <w:rPr>
                <w:rFonts w:ascii="Arial" w:hAnsi="Arial" w:cs="Arial"/>
                <w:sz w:val="20"/>
                <w:szCs w:val="20"/>
              </w:rPr>
              <w:t>5</w:t>
            </w:r>
          </w:p>
        </w:tc>
        <w:tc>
          <w:tcPr>
            <w:tcW w:w="1110" w:type="dxa"/>
            <w:tcBorders>
              <w:top w:val="nil"/>
              <w:left w:val="nil"/>
              <w:bottom w:val="nil"/>
              <w:right w:val="nil"/>
            </w:tcBorders>
            <w:shd w:val="clear" w:color="auto" w:fill="auto"/>
            <w:noWrap/>
            <w:vAlign w:val="bottom"/>
            <w:hideMark/>
          </w:tcPr>
          <w:p w:rsidR="00B254DA" w:rsidRDefault="00B254DA" w:rsidP="00F30503">
            <w:pPr>
              <w:rPr>
                <w:rFonts w:ascii="Arial" w:hAnsi="Arial" w:cs="Arial"/>
                <w:sz w:val="20"/>
                <w:szCs w:val="20"/>
              </w:rPr>
            </w:pPr>
            <w:r>
              <w:rPr>
                <w:rFonts w:ascii="Arial" w:hAnsi="Arial" w:cs="Arial"/>
                <w:sz w:val="20"/>
                <w:szCs w:val="20"/>
              </w:rPr>
              <w:t>1.</w:t>
            </w:r>
            <w:r w:rsidR="00F30503">
              <w:rPr>
                <w:rFonts w:ascii="Arial" w:hAnsi="Arial" w:cs="Arial"/>
                <w:sz w:val="20"/>
                <w:szCs w:val="20"/>
              </w:rPr>
              <w:t>17</w:t>
            </w:r>
          </w:p>
        </w:tc>
      </w:tr>
      <w:tr w:rsidR="00B254DA" w:rsidRPr="003B6544" w:rsidTr="00B254DA">
        <w:trPr>
          <w:trHeight w:val="255"/>
        </w:trPr>
        <w:tc>
          <w:tcPr>
            <w:tcW w:w="1960" w:type="dxa"/>
            <w:tcBorders>
              <w:top w:val="nil"/>
              <w:left w:val="nil"/>
              <w:bottom w:val="nil"/>
              <w:right w:val="nil"/>
            </w:tcBorders>
            <w:shd w:val="clear" w:color="auto" w:fill="auto"/>
            <w:noWrap/>
            <w:vAlign w:val="bottom"/>
            <w:hideMark/>
          </w:tcPr>
          <w:p w:rsidR="00B254DA" w:rsidRDefault="00B254DA" w:rsidP="008E2E81">
            <w:pPr>
              <w:rPr>
                <w:rFonts w:ascii="Arial" w:hAnsi="Arial" w:cs="Arial"/>
                <w:b/>
                <w:bCs/>
                <w:sz w:val="20"/>
                <w:szCs w:val="20"/>
                <w:lang w:val="en-AU" w:eastAsia="en-AU"/>
              </w:rPr>
            </w:pPr>
          </w:p>
          <w:p w:rsidR="00B254DA" w:rsidRPr="003B6544" w:rsidRDefault="00B254DA" w:rsidP="008E2E81">
            <w:pPr>
              <w:rPr>
                <w:rFonts w:ascii="Arial" w:hAnsi="Arial" w:cs="Arial"/>
                <w:b/>
                <w:bCs/>
                <w:sz w:val="20"/>
                <w:szCs w:val="20"/>
                <w:lang w:val="en-AU" w:eastAsia="en-AU"/>
              </w:rPr>
            </w:pPr>
            <w:r w:rsidRPr="003B6544">
              <w:rPr>
                <w:rFonts w:ascii="Arial" w:hAnsi="Arial" w:cs="Arial"/>
                <w:b/>
                <w:bCs/>
                <w:sz w:val="20"/>
                <w:szCs w:val="20"/>
                <w:lang w:val="en-AU" w:eastAsia="en-AU"/>
              </w:rPr>
              <w:t>Scenario: Mid</w:t>
            </w:r>
          </w:p>
        </w:tc>
        <w:tc>
          <w:tcPr>
            <w:tcW w:w="812"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p>
        </w:tc>
        <w:tc>
          <w:tcPr>
            <w:tcW w:w="901"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p>
        </w:tc>
      </w:tr>
    </w:tbl>
    <w:p w:rsidR="00B254DA" w:rsidRDefault="00B254DA" w:rsidP="00B254DA"/>
    <w:tbl>
      <w:tblPr>
        <w:tblW w:w="5893" w:type="dxa"/>
        <w:tblInd w:w="93" w:type="dxa"/>
        <w:tblLook w:val="04A0"/>
      </w:tblPr>
      <w:tblGrid>
        <w:gridCol w:w="1960"/>
        <w:gridCol w:w="812"/>
        <w:gridCol w:w="1110"/>
        <w:gridCol w:w="901"/>
        <w:gridCol w:w="1110"/>
      </w:tblGrid>
      <w:tr w:rsidR="00B254DA" w:rsidRPr="003B6544" w:rsidTr="00B254DA">
        <w:trPr>
          <w:trHeight w:val="255"/>
        </w:trPr>
        <w:tc>
          <w:tcPr>
            <w:tcW w:w="1960"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r>
              <w:rPr>
                <w:rFonts w:ascii="Arial" w:hAnsi="Arial" w:cs="Arial"/>
                <w:sz w:val="20"/>
                <w:szCs w:val="20"/>
                <w:lang w:val="en-AU" w:eastAsia="en-AU"/>
              </w:rPr>
              <w:t>2011-26</w:t>
            </w:r>
          </w:p>
        </w:tc>
        <w:tc>
          <w:tcPr>
            <w:tcW w:w="812"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1.31</w:t>
            </w:r>
          </w:p>
        </w:tc>
        <w:tc>
          <w:tcPr>
            <w:tcW w:w="1110"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1.3</w:t>
            </w:r>
            <w:r w:rsidR="00F30503">
              <w:rPr>
                <w:rFonts w:ascii="Arial" w:hAnsi="Arial" w:cs="Arial"/>
                <w:sz w:val="20"/>
                <w:szCs w:val="20"/>
              </w:rPr>
              <w:t>2</w:t>
            </w:r>
          </w:p>
        </w:tc>
        <w:tc>
          <w:tcPr>
            <w:tcW w:w="901"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1.3</w:t>
            </w:r>
            <w:r w:rsidR="00F30503">
              <w:rPr>
                <w:rFonts w:ascii="Arial" w:hAnsi="Arial" w:cs="Arial"/>
                <w:sz w:val="20"/>
                <w:szCs w:val="20"/>
              </w:rPr>
              <w:t>8</w:t>
            </w:r>
          </w:p>
        </w:tc>
        <w:tc>
          <w:tcPr>
            <w:tcW w:w="1110" w:type="dxa"/>
            <w:tcBorders>
              <w:top w:val="nil"/>
              <w:left w:val="nil"/>
              <w:bottom w:val="nil"/>
              <w:right w:val="nil"/>
            </w:tcBorders>
            <w:shd w:val="clear" w:color="auto" w:fill="auto"/>
            <w:noWrap/>
            <w:vAlign w:val="bottom"/>
            <w:hideMark/>
          </w:tcPr>
          <w:p w:rsidR="00B254DA" w:rsidRDefault="00B254DA" w:rsidP="00F30503">
            <w:pPr>
              <w:rPr>
                <w:rFonts w:ascii="Arial" w:hAnsi="Arial" w:cs="Arial"/>
                <w:sz w:val="20"/>
                <w:szCs w:val="20"/>
              </w:rPr>
            </w:pPr>
            <w:r>
              <w:rPr>
                <w:rFonts w:ascii="Arial" w:hAnsi="Arial" w:cs="Arial"/>
                <w:sz w:val="20"/>
                <w:szCs w:val="20"/>
              </w:rPr>
              <w:t>1.</w:t>
            </w:r>
            <w:r w:rsidR="00F30503">
              <w:rPr>
                <w:rFonts w:ascii="Arial" w:hAnsi="Arial" w:cs="Arial"/>
                <w:sz w:val="20"/>
                <w:szCs w:val="20"/>
              </w:rPr>
              <w:t>26</w:t>
            </w:r>
          </w:p>
        </w:tc>
      </w:tr>
      <w:tr w:rsidR="00B254DA" w:rsidRPr="003B6544" w:rsidTr="00B254DA">
        <w:trPr>
          <w:trHeight w:val="255"/>
        </w:trPr>
        <w:tc>
          <w:tcPr>
            <w:tcW w:w="1960"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r>
              <w:rPr>
                <w:rFonts w:ascii="Arial" w:hAnsi="Arial" w:cs="Arial"/>
                <w:sz w:val="20"/>
                <w:szCs w:val="20"/>
                <w:lang w:val="en-AU" w:eastAsia="en-AU"/>
              </w:rPr>
              <w:t>2026-41</w:t>
            </w:r>
          </w:p>
        </w:tc>
        <w:tc>
          <w:tcPr>
            <w:tcW w:w="812"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1.24</w:t>
            </w:r>
          </w:p>
        </w:tc>
        <w:tc>
          <w:tcPr>
            <w:tcW w:w="1110"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1.24</w:t>
            </w:r>
          </w:p>
        </w:tc>
        <w:tc>
          <w:tcPr>
            <w:tcW w:w="901"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w:t>
            </w:r>
            <w:r w:rsidR="00F30503">
              <w:rPr>
                <w:rFonts w:ascii="Arial" w:hAnsi="Arial" w:cs="Arial"/>
                <w:sz w:val="20"/>
                <w:szCs w:val="20"/>
              </w:rPr>
              <w:t>31</w:t>
            </w:r>
          </w:p>
        </w:tc>
        <w:tc>
          <w:tcPr>
            <w:tcW w:w="1110" w:type="dxa"/>
            <w:tcBorders>
              <w:top w:val="nil"/>
              <w:left w:val="nil"/>
              <w:bottom w:val="nil"/>
              <w:right w:val="nil"/>
            </w:tcBorders>
            <w:shd w:val="clear" w:color="auto" w:fill="auto"/>
            <w:noWrap/>
            <w:vAlign w:val="bottom"/>
            <w:hideMark/>
          </w:tcPr>
          <w:p w:rsidR="00B254DA" w:rsidRDefault="00B254DA" w:rsidP="00F30503">
            <w:pPr>
              <w:rPr>
                <w:rFonts w:ascii="Arial" w:hAnsi="Arial" w:cs="Arial"/>
                <w:sz w:val="20"/>
                <w:szCs w:val="20"/>
              </w:rPr>
            </w:pPr>
            <w:r>
              <w:rPr>
                <w:rFonts w:ascii="Arial" w:hAnsi="Arial" w:cs="Arial"/>
                <w:sz w:val="20"/>
                <w:szCs w:val="20"/>
              </w:rPr>
              <w:t>1.2</w:t>
            </w:r>
            <w:r w:rsidR="00F30503">
              <w:rPr>
                <w:rFonts w:ascii="Arial" w:hAnsi="Arial" w:cs="Arial"/>
                <w:sz w:val="20"/>
                <w:szCs w:val="20"/>
              </w:rPr>
              <w:t>3</w:t>
            </w:r>
          </w:p>
        </w:tc>
      </w:tr>
      <w:tr w:rsidR="00B254DA" w:rsidRPr="003B6544" w:rsidTr="00B254DA">
        <w:trPr>
          <w:trHeight w:val="255"/>
        </w:trPr>
        <w:tc>
          <w:tcPr>
            <w:tcW w:w="1960" w:type="dxa"/>
            <w:tcBorders>
              <w:top w:val="nil"/>
              <w:left w:val="nil"/>
              <w:bottom w:val="nil"/>
              <w:right w:val="nil"/>
            </w:tcBorders>
            <w:shd w:val="clear" w:color="auto" w:fill="auto"/>
            <w:noWrap/>
            <w:vAlign w:val="bottom"/>
            <w:hideMark/>
          </w:tcPr>
          <w:p w:rsidR="00B254DA" w:rsidRDefault="00B254DA" w:rsidP="008E2E81">
            <w:pPr>
              <w:rPr>
                <w:rFonts w:ascii="Arial" w:hAnsi="Arial" w:cs="Arial"/>
                <w:b/>
                <w:bCs/>
                <w:sz w:val="20"/>
                <w:szCs w:val="20"/>
                <w:lang w:val="en-AU" w:eastAsia="en-AU"/>
              </w:rPr>
            </w:pPr>
          </w:p>
          <w:p w:rsidR="00B254DA" w:rsidRPr="003B6544" w:rsidRDefault="00B254DA" w:rsidP="008E2E81">
            <w:pPr>
              <w:rPr>
                <w:rFonts w:ascii="Arial" w:hAnsi="Arial" w:cs="Arial"/>
                <w:b/>
                <w:bCs/>
                <w:sz w:val="20"/>
                <w:szCs w:val="20"/>
                <w:lang w:val="en-AU" w:eastAsia="en-AU"/>
              </w:rPr>
            </w:pPr>
            <w:r w:rsidRPr="003B6544">
              <w:rPr>
                <w:rFonts w:ascii="Arial" w:hAnsi="Arial" w:cs="Arial"/>
                <w:b/>
                <w:bCs/>
                <w:sz w:val="20"/>
                <w:szCs w:val="20"/>
                <w:lang w:val="en-AU" w:eastAsia="en-AU"/>
              </w:rPr>
              <w:t>Scenario: High</w:t>
            </w:r>
          </w:p>
        </w:tc>
        <w:tc>
          <w:tcPr>
            <w:tcW w:w="812"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p>
        </w:tc>
        <w:tc>
          <w:tcPr>
            <w:tcW w:w="901"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p>
        </w:tc>
        <w:tc>
          <w:tcPr>
            <w:tcW w:w="1110"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p>
        </w:tc>
      </w:tr>
      <w:tr w:rsidR="00B254DA" w:rsidRPr="003B6544" w:rsidTr="00B254DA">
        <w:trPr>
          <w:trHeight w:val="255"/>
        </w:trPr>
        <w:tc>
          <w:tcPr>
            <w:tcW w:w="1960"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r>
              <w:rPr>
                <w:rFonts w:ascii="Arial" w:hAnsi="Arial" w:cs="Arial"/>
                <w:sz w:val="20"/>
                <w:szCs w:val="20"/>
                <w:lang w:val="en-AU" w:eastAsia="en-AU"/>
              </w:rPr>
              <w:t>2011-26</w:t>
            </w:r>
          </w:p>
        </w:tc>
        <w:tc>
          <w:tcPr>
            <w:tcW w:w="812"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1.32</w:t>
            </w:r>
          </w:p>
        </w:tc>
        <w:tc>
          <w:tcPr>
            <w:tcW w:w="1110"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1.3</w:t>
            </w:r>
            <w:r w:rsidR="00F30503">
              <w:rPr>
                <w:rFonts w:ascii="Arial" w:hAnsi="Arial" w:cs="Arial"/>
                <w:sz w:val="20"/>
                <w:szCs w:val="20"/>
              </w:rPr>
              <w:t>3</w:t>
            </w:r>
          </w:p>
        </w:tc>
        <w:tc>
          <w:tcPr>
            <w:tcW w:w="901"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1.3</w:t>
            </w:r>
            <w:r w:rsidR="00F30503">
              <w:rPr>
                <w:rFonts w:ascii="Arial" w:hAnsi="Arial" w:cs="Arial"/>
                <w:sz w:val="20"/>
                <w:szCs w:val="20"/>
              </w:rPr>
              <w:t>9</w:t>
            </w:r>
          </w:p>
        </w:tc>
        <w:tc>
          <w:tcPr>
            <w:tcW w:w="1110" w:type="dxa"/>
            <w:tcBorders>
              <w:top w:val="nil"/>
              <w:left w:val="nil"/>
              <w:bottom w:val="nil"/>
              <w:right w:val="nil"/>
            </w:tcBorders>
            <w:shd w:val="clear" w:color="auto" w:fill="auto"/>
            <w:noWrap/>
            <w:vAlign w:val="bottom"/>
            <w:hideMark/>
          </w:tcPr>
          <w:p w:rsidR="00B254DA" w:rsidRDefault="00B254DA" w:rsidP="00F30503">
            <w:pPr>
              <w:rPr>
                <w:rFonts w:ascii="Arial" w:hAnsi="Arial" w:cs="Arial"/>
                <w:sz w:val="20"/>
                <w:szCs w:val="20"/>
              </w:rPr>
            </w:pPr>
            <w:r>
              <w:rPr>
                <w:rFonts w:ascii="Arial" w:hAnsi="Arial" w:cs="Arial"/>
                <w:sz w:val="20"/>
                <w:szCs w:val="20"/>
              </w:rPr>
              <w:t>1.</w:t>
            </w:r>
            <w:r w:rsidR="00F30503">
              <w:rPr>
                <w:rFonts w:ascii="Arial" w:hAnsi="Arial" w:cs="Arial"/>
                <w:sz w:val="20"/>
                <w:szCs w:val="20"/>
              </w:rPr>
              <w:t>29</w:t>
            </w:r>
          </w:p>
        </w:tc>
      </w:tr>
      <w:tr w:rsidR="00B254DA" w:rsidRPr="003B6544" w:rsidTr="00B254DA">
        <w:trPr>
          <w:trHeight w:val="255"/>
        </w:trPr>
        <w:tc>
          <w:tcPr>
            <w:tcW w:w="1960" w:type="dxa"/>
            <w:tcBorders>
              <w:top w:val="nil"/>
              <w:left w:val="nil"/>
              <w:bottom w:val="nil"/>
              <w:right w:val="nil"/>
            </w:tcBorders>
            <w:shd w:val="clear" w:color="auto" w:fill="auto"/>
            <w:noWrap/>
            <w:vAlign w:val="bottom"/>
            <w:hideMark/>
          </w:tcPr>
          <w:p w:rsidR="00B254DA" w:rsidRPr="003B6544" w:rsidRDefault="00B254DA" w:rsidP="008E2E81">
            <w:pPr>
              <w:rPr>
                <w:rFonts w:ascii="Arial" w:hAnsi="Arial" w:cs="Arial"/>
                <w:sz w:val="20"/>
                <w:szCs w:val="20"/>
                <w:lang w:val="en-AU" w:eastAsia="en-AU"/>
              </w:rPr>
            </w:pPr>
            <w:r>
              <w:rPr>
                <w:rFonts w:ascii="Arial" w:hAnsi="Arial" w:cs="Arial"/>
                <w:sz w:val="20"/>
                <w:szCs w:val="20"/>
                <w:lang w:val="en-AU" w:eastAsia="en-AU"/>
              </w:rPr>
              <w:t>2026-41</w:t>
            </w:r>
          </w:p>
        </w:tc>
        <w:tc>
          <w:tcPr>
            <w:tcW w:w="812"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1.27</w:t>
            </w:r>
          </w:p>
        </w:tc>
        <w:tc>
          <w:tcPr>
            <w:tcW w:w="1110"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1.27</w:t>
            </w:r>
          </w:p>
        </w:tc>
        <w:tc>
          <w:tcPr>
            <w:tcW w:w="901" w:type="dxa"/>
            <w:tcBorders>
              <w:top w:val="nil"/>
              <w:left w:val="nil"/>
              <w:bottom w:val="nil"/>
              <w:right w:val="nil"/>
            </w:tcBorders>
            <w:shd w:val="clear" w:color="auto" w:fill="auto"/>
            <w:noWrap/>
            <w:vAlign w:val="bottom"/>
            <w:hideMark/>
          </w:tcPr>
          <w:p w:rsidR="00B254DA" w:rsidRDefault="00B254DA" w:rsidP="00F30503">
            <w:pPr>
              <w:jc w:val="center"/>
              <w:rPr>
                <w:rFonts w:ascii="Arial" w:hAnsi="Arial" w:cs="Arial"/>
                <w:sz w:val="20"/>
                <w:szCs w:val="20"/>
              </w:rPr>
            </w:pPr>
            <w:r>
              <w:rPr>
                <w:rFonts w:ascii="Arial" w:hAnsi="Arial" w:cs="Arial"/>
                <w:sz w:val="20"/>
                <w:szCs w:val="20"/>
              </w:rPr>
              <w:t>1.</w:t>
            </w:r>
            <w:r w:rsidR="00784914">
              <w:rPr>
                <w:rFonts w:ascii="Arial" w:hAnsi="Arial" w:cs="Arial"/>
                <w:sz w:val="20"/>
                <w:szCs w:val="20"/>
              </w:rPr>
              <w:t>33</w:t>
            </w:r>
          </w:p>
        </w:tc>
        <w:tc>
          <w:tcPr>
            <w:tcW w:w="1110" w:type="dxa"/>
            <w:tcBorders>
              <w:top w:val="nil"/>
              <w:left w:val="nil"/>
              <w:bottom w:val="nil"/>
              <w:right w:val="nil"/>
            </w:tcBorders>
            <w:shd w:val="clear" w:color="auto" w:fill="auto"/>
            <w:noWrap/>
            <w:vAlign w:val="bottom"/>
            <w:hideMark/>
          </w:tcPr>
          <w:p w:rsidR="00B254DA" w:rsidRDefault="00B254DA" w:rsidP="00F30503">
            <w:pPr>
              <w:rPr>
                <w:rFonts w:ascii="Arial" w:hAnsi="Arial" w:cs="Arial"/>
                <w:sz w:val="20"/>
                <w:szCs w:val="20"/>
              </w:rPr>
            </w:pPr>
            <w:r>
              <w:rPr>
                <w:rFonts w:ascii="Arial" w:hAnsi="Arial" w:cs="Arial"/>
                <w:sz w:val="20"/>
                <w:szCs w:val="20"/>
              </w:rPr>
              <w:t>1.2</w:t>
            </w:r>
            <w:r w:rsidR="00784914">
              <w:rPr>
                <w:rFonts w:ascii="Arial" w:hAnsi="Arial" w:cs="Arial"/>
                <w:sz w:val="20"/>
                <w:szCs w:val="20"/>
              </w:rPr>
              <w:t>6</w:t>
            </w:r>
          </w:p>
        </w:tc>
      </w:tr>
      <w:tr w:rsidR="00B254DA" w:rsidRPr="003B6544" w:rsidTr="00B254DA">
        <w:trPr>
          <w:trHeight w:val="255"/>
        </w:trPr>
        <w:tc>
          <w:tcPr>
            <w:tcW w:w="1960" w:type="dxa"/>
            <w:tcBorders>
              <w:top w:val="nil"/>
              <w:left w:val="nil"/>
              <w:bottom w:val="single" w:sz="4" w:space="0" w:color="auto"/>
              <w:right w:val="nil"/>
            </w:tcBorders>
            <w:shd w:val="clear" w:color="auto" w:fill="auto"/>
            <w:noWrap/>
            <w:vAlign w:val="bottom"/>
            <w:hideMark/>
          </w:tcPr>
          <w:p w:rsidR="00B254DA" w:rsidRDefault="00B254DA" w:rsidP="008E2E81">
            <w:pPr>
              <w:rPr>
                <w:rFonts w:ascii="Arial" w:hAnsi="Arial" w:cs="Arial"/>
                <w:sz w:val="20"/>
                <w:szCs w:val="20"/>
                <w:lang w:val="en-AU" w:eastAsia="en-AU"/>
              </w:rPr>
            </w:pPr>
          </w:p>
        </w:tc>
        <w:tc>
          <w:tcPr>
            <w:tcW w:w="812" w:type="dxa"/>
            <w:tcBorders>
              <w:top w:val="nil"/>
              <w:left w:val="nil"/>
              <w:bottom w:val="single" w:sz="4" w:space="0" w:color="auto"/>
              <w:right w:val="nil"/>
            </w:tcBorders>
            <w:shd w:val="clear" w:color="auto" w:fill="auto"/>
            <w:noWrap/>
            <w:vAlign w:val="bottom"/>
            <w:hideMark/>
          </w:tcPr>
          <w:p w:rsidR="00B254DA" w:rsidRPr="003B6544" w:rsidRDefault="00B254DA" w:rsidP="008E2E81">
            <w:pPr>
              <w:jc w:val="right"/>
              <w:rPr>
                <w:rFonts w:ascii="Arial" w:hAnsi="Arial" w:cs="Arial"/>
                <w:sz w:val="20"/>
                <w:szCs w:val="20"/>
                <w:lang w:val="en-AU" w:eastAsia="en-AU"/>
              </w:rPr>
            </w:pPr>
          </w:p>
        </w:tc>
        <w:tc>
          <w:tcPr>
            <w:tcW w:w="1110" w:type="dxa"/>
            <w:tcBorders>
              <w:top w:val="nil"/>
              <w:left w:val="nil"/>
              <w:bottom w:val="single" w:sz="4" w:space="0" w:color="auto"/>
              <w:right w:val="nil"/>
            </w:tcBorders>
            <w:shd w:val="clear" w:color="auto" w:fill="auto"/>
            <w:noWrap/>
            <w:vAlign w:val="bottom"/>
            <w:hideMark/>
          </w:tcPr>
          <w:p w:rsidR="00B254DA" w:rsidRPr="003B6544" w:rsidRDefault="00B254DA" w:rsidP="008E2E81">
            <w:pPr>
              <w:jc w:val="right"/>
              <w:rPr>
                <w:rFonts w:ascii="Arial" w:hAnsi="Arial" w:cs="Arial"/>
                <w:sz w:val="20"/>
                <w:szCs w:val="20"/>
                <w:lang w:val="en-AU" w:eastAsia="en-AU"/>
              </w:rPr>
            </w:pPr>
          </w:p>
        </w:tc>
        <w:tc>
          <w:tcPr>
            <w:tcW w:w="901" w:type="dxa"/>
            <w:tcBorders>
              <w:top w:val="nil"/>
              <w:left w:val="nil"/>
              <w:bottom w:val="single" w:sz="4" w:space="0" w:color="auto"/>
              <w:right w:val="nil"/>
            </w:tcBorders>
            <w:shd w:val="clear" w:color="auto" w:fill="auto"/>
            <w:noWrap/>
            <w:vAlign w:val="bottom"/>
            <w:hideMark/>
          </w:tcPr>
          <w:p w:rsidR="00B254DA" w:rsidRPr="003B6544" w:rsidRDefault="00B254DA" w:rsidP="008E2E81">
            <w:pPr>
              <w:jc w:val="right"/>
              <w:rPr>
                <w:rFonts w:ascii="Arial" w:hAnsi="Arial" w:cs="Arial"/>
                <w:sz w:val="20"/>
                <w:szCs w:val="20"/>
                <w:lang w:val="en-AU" w:eastAsia="en-AU"/>
              </w:rPr>
            </w:pPr>
          </w:p>
        </w:tc>
        <w:tc>
          <w:tcPr>
            <w:tcW w:w="1110" w:type="dxa"/>
            <w:tcBorders>
              <w:top w:val="nil"/>
              <w:left w:val="nil"/>
              <w:bottom w:val="single" w:sz="4" w:space="0" w:color="auto"/>
              <w:right w:val="nil"/>
            </w:tcBorders>
            <w:shd w:val="clear" w:color="auto" w:fill="auto"/>
            <w:noWrap/>
            <w:vAlign w:val="bottom"/>
            <w:hideMark/>
          </w:tcPr>
          <w:p w:rsidR="00B254DA" w:rsidRPr="003B6544" w:rsidRDefault="00B254DA" w:rsidP="008E2E81">
            <w:pPr>
              <w:jc w:val="right"/>
              <w:rPr>
                <w:rFonts w:ascii="Arial" w:hAnsi="Arial" w:cs="Arial"/>
                <w:sz w:val="20"/>
                <w:szCs w:val="20"/>
                <w:lang w:val="en-AU" w:eastAsia="en-AU"/>
              </w:rPr>
            </w:pPr>
          </w:p>
        </w:tc>
      </w:tr>
    </w:tbl>
    <w:p w:rsidR="0043341C" w:rsidRPr="0043341C" w:rsidRDefault="0043341C" w:rsidP="0043341C">
      <w:pPr>
        <w:rPr>
          <w:b/>
          <w:sz w:val="20"/>
          <w:szCs w:val="20"/>
        </w:rPr>
      </w:pPr>
      <w:r w:rsidRPr="0043341C">
        <w:rPr>
          <w:sz w:val="20"/>
          <w:szCs w:val="20"/>
        </w:rPr>
        <w:t>Source: Authors calculations</w:t>
      </w:r>
    </w:p>
    <w:p w:rsidR="0043341C" w:rsidRPr="0043341C" w:rsidRDefault="0043341C" w:rsidP="0043341C">
      <w:pPr>
        <w:rPr>
          <w:sz w:val="20"/>
          <w:szCs w:val="20"/>
        </w:rPr>
      </w:pPr>
      <w:r w:rsidRPr="0043341C">
        <w:rPr>
          <w:sz w:val="20"/>
          <w:szCs w:val="20"/>
        </w:rPr>
        <w:t xml:space="preserve">Notes: * Ratio </w:t>
      </w:r>
      <w:r>
        <w:rPr>
          <w:sz w:val="20"/>
          <w:szCs w:val="20"/>
        </w:rPr>
        <w:t>o</w:t>
      </w:r>
      <w:r w:rsidRPr="0043341C">
        <w:rPr>
          <w:sz w:val="20"/>
          <w:szCs w:val="20"/>
        </w:rPr>
        <w:t xml:space="preserve">f 2026 </w:t>
      </w:r>
      <w:r>
        <w:rPr>
          <w:sz w:val="20"/>
          <w:szCs w:val="20"/>
        </w:rPr>
        <w:t xml:space="preserve">dwellings </w:t>
      </w:r>
      <w:r w:rsidRPr="0043341C">
        <w:rPr>
          <w:sz w:val="20"/>
          <w:szCs w:val="20"/>
        </w:rPr>
        <w:t xml:space="preserve">count to 2011 </w:t>
      </w:r>
      <w:r>
        <w:rPr>
          <w:sz w:val="20"/>
          <w:szCs w:val="20"/>
        </w:rPr>
        <w:t>dwellings</w:t>
      </w:r>
      <w:r w:rsidRPr="0043341C">
        <w:rPr>
          <w:sz w:val="20"/>
          <w:szCs w:val="20"/>
        </w:rPr>
        <w:t xml:space="preserve"> count; ** Ratio of 2041 </w:t>
      </w:r>
      <w:r>
        <w:rPr>
          <w:sz w:val="20"/>
          <w:szCs w:val="20"/>
        </w:rPr>
        <w:t>dwellings</w:t>
      </w:r>
      <w:r w:rsidRPr="0043341C">
        <w:rPr>
          <w:sz w:val="20"/>
          <w:szCs w:val="20"/>
        </w:rPr>
        <w:t xml:space="preserve"> count to 2026 </w:t>
      </w:r>
      <w:r>
        <w:rPr>
          <w:sz w:val="20"/>
          <w:szCs w:val="20"/>
        </w:rPr>
        <w:t>dwellings</w:t>
      </w:r>
      <w:r w:rsidRPr="0043341C">
        <w:rPr>
          <w:sz w:val="20"/>
          <w:szCs w:val="20"/>
        </w:rPr>
        <w:t xml:space="preserve"> count.</w:t>
      </w:r>
    </w:p>
    <w:p w:rsidR="00B254DA" w:rsidRDefault="00B254DA" w:rsidP="00B8584C"/>
    <w:p w:rsidR="00B254DA" w:rsidRDefault="00B254DA" w:rsidP="00B8584C"/>
    <w:p w:rsidR="00B8584C" w:rsidRDefault="00B8584C" w:rsidP="002D1255">
      <w:pPr>
        <w:rPr>
          <w:rFonts w:ascii="Arial" w:hAnsi="Arial" w:cs="Arial"/>
          <w:b/>
          <w:sz w:val="20"/>
          <w:szCs w:val="20"/>
        </w:rPr>
      </w:pPr>
    </w:p>
    <w:p w:rsidR="00552C32" w:rsidRDefault="00552C32">
      <w:pPr>
        <w:rPr>
          <w:rFonts w:ascii="Arial" w:hAnsi="Arial" w:cs="Arial"/>
          <w:b/>
          <w:sz w:val="20"/>
          <w:szCs w:val="20"/>
        </w:rPr>
      </w:pPr>
      <w:r>
        <w:rPr>
          <w:rFonts w:ascii="Arial" w:hAnsi="Arial" w:cs="Arial"/>
          <w:b/>
          <w:sz w:val="20"/>
          <w:szCs w:val="20"/>
        </w:rPr>
        <w:br w:type="page"/>
      </w:r>
    </w:p>
    <w:p w:rsidR="004545E0" w:rsidRDefault="00552C32" w:rsidP="004545E0">
      <w:pPr>
        <w:rPr>
          <w:rFonts w:ascii="Arial" w:hAnsi="Arial" w:cs="Arial"/>
          <w:b/>
          <w:sz w:val="20"/>
          <w:szCs w:val="20"/>
        </w:rPr>
      </w:pPr>
      <w:proofErr w:type="gramStart"/>
      <w:r>
        <w:rPr>
          <w:rFonts w:ascii="Arial" w:hAnsi="Arial" w:cs="Arial"/>
          <w:b/>
          <w:sz w:val="20"/>
          <w:szCs w:val="20"/>
        </w:rPr>
        <w:lastRenderedPageBreak/>
        <w:t>Table 12</w:t>
      </w:r>
      <w:r w:rsidR="004545E0">
        <w:rPr>
          <w:rFonts w:ascii="Arial" w:hAnsi="Arial" w:cs="Arial"/>
          <w:b/>
          <w:sz w:val="20"/>
          <w:szCs w:val="20"/>
        </w:rPr>
        <w:t>.</w:t>
      </w:r>
      <w:proofErr w:type="gramEnd"/>
      <w:r w:rsidR="004545E0">
        <w:rPr>
          <w:rFonts w:ascii="Arial" w:hAnsi="Arial" w:cs="Arial"/>
          <w:b/>
          <w:sz w:val="20"/>
          <w:szCs w:val="20"/>
        </w:rPr>
        <w:t xml:space="preserve"> R</w:t>
      </w:r>
      <w:r w:rsidR="004545E0" w:rsidRPr="004545E0">
        <w:rPr>
          <w:rFonts w:ascii="Arial" w:hAnsi="Arial" w:cs="Arial"/>
          <w:b/>
          <w:sz w:val="20"/>
          <w:szCs w:val="20"/>
        </w:rPr>
        <w:t>elative increase in numbers of dwellings by tenure, Medium scenario</w:t>
      </w:r>
    </w:p>
    <w:p w:rsidR="004545E0" w:rsidRDefault="004545E0" w:rsidP="004545E0">
      <w:pPr>
        <w:rPr>
          <w:rFonts w:ascii="Arial" w:hAnsi="Arial" w:cs="Arial"/>
          <w:b/>
          <w:sz w:val="20"/>
          <w:szCs w:val="20"/>
        </w:rPr>
      </w:pPr>
    </w:p>
    <w:tbl>
      <w:tblPr>
        <w:tblW w:w="7000" w:type="dxa"/>
        <w:tblInd w:w="93" w:type="dxa"/>
        <w:tblLook w:val="04A0"/>
      </w:tblPr>
      <w:tblGrid>
        <w:gridCol w:w="2120"/>
        <w:gridCol w:w="1040"/>
        <w:gridCol w:w="606"/>
        <w:gridCol w:w="1081"/>
        <w:gridCol w:w="777"/>
        <w:gridCol w:w="1458"/>
      </w:tblGrid>
      <w:tr w:rsidR="004545E0" w:rsidTr="004545E0">
        <w:trPr>
          <w:trHeight w:val="255"/>
        </w:trPr>
        <w:tc>
          <w:tcPr>
            <w:tcW w:w="2120" w:type="dxa"/>
            <w:tcBorders>
              <w:top w:val="single" w:sz="4" w:space="0" w:color="auto"/>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 </w:t>
            </w:r>
          </w:p>
        </w:tc>
        <w:tc>
          <w:tcPr>
            <w:tcW w:w="1040" w:type="dxa"/>
            <w:tcBorders>
              <w:top w:val="single" w:sz="4" w:space="0" w:color="auto"/>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 </w:t>
            </w:r>
          </w:p>
        </w:tc>
        <w:tc>
          <w:tcPr>
            <w:tcW w:w="3840" w:type="dxa"/>
            <w:gridSpan w:val="4"/>
            <w:tcBorders>
              <w:top w:val="single" w:sz="4" w:space="0" w:color="auto"/>
              <w:left w:val="nil"/>
              <w:bottom w:val="nil"/>
              <w:right w:val="nil"/>
            </w:tcBorders>
            <w:shd w:val="clear" w:color="auto" w:fill="auto"/>
            <w:noWrap/>
            <w:vAlign w:val="bottom"/>
            <w:hideMark/>
          </w:tcPr>
          <w:p w:rsidR="004545E0" w:rsidRDefault="004545E0">
            <w:pPr>
              <w:jc w:val="center"/>
              <w:rPr>
                <w:rFonts w:ascii="Arial" w:hAnsi="Arial" w:cs="Arial"/>
                <w:b/>
                <w:bCs/>
                <w:sz w:val="16"/>
                <w:szCs w:val="16"/>
              </w:rPr>
            </w:pPr>
            <w:r>
              <w:rPr>
                <w:rFonts w:ascii="Arial" w:hAnsi="Arial" w:cs="Arial"/>
                <w:b/>
                <w:bCs/>
                <w:sz w:val="16"/>
                <w:szCs w:val="16"/>
              </w:rPr>
              <w:t>Ratio of Dwellings in 2026 to 2011</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540" w:type="dxa"/>
            <w:tcBorders>
              <w:top w:val="nil"/>
              <w:left w:val="nil"/>
              <w:bottom w:val="nil"/>
              <w:right w:val="nil"/>
            </w:tcBorders>
            <w:shd w:val="clear" w:color="auto" w:fill="auto"/>
            <w:noWrap/>
            <w:vAlign w:val="bottom"/>
            <w:hideMark/>
          </w:tcPr>
          <w:p w:rsidR="004545E0" w:rsidRDefault="004545E0">
            <w:pPr>
              <w:rPr>
                <w:rFonts w:ascii="Arial" w:hAnsi="Arial" w:cs="Arial"/>
                <w:sz w:val="16"/>
                <w:szCs w:val="16"/>
              </w:rPr>
            </w:pPr>
            <w:r>
              <w:rPr>
                <w:rFonts w:ascii="Arial" w:hAnsi="Arial" w:cs="Arial"/>
                <w:sz w:val="16"/>
                <w:szCs w:val="16"/>
              </w:rPr>
              <w:t>Total</w:t>
            </w:r>
          </w:p>
        </w:tc>
        <w:tc>
          <w:tcPr>
            <w:tcW w:w="1081" w:type="dxa"/>
            <w:tcBorders>
              <w:top w:val="nil"/>
              <w:left w:val="nil"/>
              <w:bottom w:val="nil"/>
              <w:right w:val="nil"/>
            </w:tcBorders>
            <w:shd w:val="clear" w:color="auto" w:fill="auto"/>
            <w:noWrap/>
            <w:vAlign w:val="bottom"/>
            <w:hideMark/>
          </w:tcPr>
          <w:p w:rsidR="004545E0" w:rsidRDefault="004545E0">
            <w:pPr>
              <w:rPr>
                <w:rFonts w:ascii="Arial" w:hAnsi="Arial" w:cs="Arial"/>
                <w:sz w:val="16"/>
                <w:szCs w:val="16"/>
              </w:rPr>
            </w:pPr>
            <w:r>
              <w:rPr>
                <w:rFonts w:ascii="Arial" w:hAnsi="Arial" w:cs="Arial"/>
                <w:sz w:val="16"/>
                <w:szCs w:val="16"/>
              </w:rPr>
              <w:t>Owner/</w:t>
            </w:r>
          </w:p>
        </w:tc>
        <w:tc>
          <w:tcPr>
            <w:tcW w:w="761" w:type="dxa"/>
            <w:tcBorders>
              <w:top w:val="nil"/>
              <w:left w:val="nil"/>
              <w:bottom w:val="nil"/>
              <w:right w:val="nil"/>
            </w:tcBorders>
            <w:shd w:val="clear" w:color="auto" w:fill="auto"/>
            <w:noWrap/>
            <w:vAlign w:val="bottom"/>
            <w:hideMark/>
          </w:tcPr>
          <w:p w:rsidR="004545E0" w:rsidRDefault="004545E0">
            <w:pPr>
              <w:rPr>
                <w:rFonts w:ascii="Arial" w:hAnsi="Arial" w:cs="Arial"/>
                <w:sz w:val="16"/>
                <w:szCs w:val="16"/>
              </w:rPr>
            </w:pPr>
            <w:r>
              <w:rPr>
                <w:rFonts w:ascii="Arial" w:hAnsi="Arial" w:cs="Arial"/>
                <w:sz w:val="16"/>
                <w:szCs w:val="16"/>
              </w:rPr>
              <w:t>Public</w:t>
            </w:r>
          </w:p>
        </w:tc>
        <w:tc>
          <w:tcPr>
            <w:tcW w:w="1458" w:type="dxa"/>
            <w:tcBorders>
              <w:top w:val="nil"/>
              <w:left w:val="nil"/>
              <w:bottom w:val="nil"/>
              <w:right w:val="nil"/>
            </w:tcBorders>
            <w:shd w:val="clear" w:color="auto" w:fill="auto"/>
            <w:noWrap/>
            <w:vAlign w:val="bottom"/>
            <w:hideMark/>
          </w:tcPr>
          <w:p w:rsidR="004545E0" w:rsidRDefault="004545E0">
            <w:pPr>
              <w:rPr>
                <w:rFonts w:ascii="Arial" w:hAnsi="Arial" w:cs="Arial"/>
                <w:sz w:val="16"/>
                <w:szCs w:val="16"/>
              </w:rPr>
            </w:pPr>
            <w:r>
              <w:rPr>
                <w:rFonts w:ascii="Arial" w:hAnsi="Arial" w:cs="Arial"/>
                <w:sz w:val="16"/>
                <w:szCs w:val="16"/>
              </w:rPr>
              <w:t>Private Renters</w:t>
            </w:r>
          </w:p>
        </w:tc>
      </w:tr>
      <w:tr w:rsidR="004545E0" w:rsidTr="004545E0">
        <w:trPr>
          <w:trHeight w:val="255"/>
        </w:trPr>
        <w:tc>
          <w:tcPr>
            <w:tcW w:w="2120" w:type="dxa"/>
            <w:tcBorders>
              <w:top w:val="nil"/>
              <w:left w:val="nil"/>
              <w:bottom w:val="single" w:sz="4" w:space="0" w:color="auto"/>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 </w:t>
            </w:r>
          </w:p>
        </w:tc>
        <w:tc>
          <w:tcPr>
            <w:tcW w:w="1040" w:type="dxa"/>
            <w:tcBorders>
              <w:top w:val="nil"/>
              <w:left w:val="nil"/>
              <w:bottom w:val="single" w:sz="4" w:space="0" w:color="auto"/>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nil"/>
            </w:tcBorders>
            <w:shd w:val="clear" w:color="auto" w:fill="auto"/>
            <w:noWrap/>
            <w:vAlign w:val="bottom"/>
            <w:hideMark/>
          </w:tcPr>
          <w:p w:rsidR="004545E0" w:rsidRDefault="004545E0">
            <w:pP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nil"/>
            </w:tcBorders>
            <w:shd w:val="clear" w:color="auto" w:fill="auto"/>
            <w:noWrap/>
            <w:vAlign w:val="bottom"/>
            <w:hideMark/>
          </w:tcPr>
          <w:p w:rsidR="004545E0" w:rsidRDefault="004545E0">
            <w:pPr>
              <w:rPr>
                <w:rFonts w:ascii="Arial" w:hAnsi="Arial" w:cs="Arial"/>
                <w:sz w:val="16"/>
                <w:szCs w:val="16"/>
              </w:rPr>
            </w:pPr>
            <w:r>
              <w:rPr>
                <w:rFonts w:ascii="Arial" w:hAnsi="Arial" w:cs="Arial"/>
                <w:sz w:val="16"/>
                <w:szCs w:val="16"/>
              </w:rPr>
              <w:t>Purchasers</w:t>
            </w:r>
          </w:p>
        </w:tc>
        <w:tc>
          <w:tcPr>
            <w:tcW w:w="761" w:type="dxa"/>
            <w:tcBorders>
              <w:top w:val="nil"/>
              <w:left w:val="nil"/>
              <w:bottom w:val="single" w:sz="4" w:space="0" w:color="auto"/>
              <w:right w:val="nil"/>
            </w:tcBorders>
            <w:shd w:val="clear" w:color="auto" w:fill="auto"/>
            <w:noWrap/>
            <w:vAlign w:val="bottom"/>
            <w:hideMark/>
          </w:tcPr>
          <w:p w:rsidR="004545E0" w:rsidRDefault="004545E0">
            <w:pPr>
              <w:rPr>
                <w:rFonts w:ascii="Arial" w:hAnsi="Arial" w:cs="Arial"/>
                <w:sz w:val="16"/>
                <w:szCs w:val="16"/>
              </w:rPr>
            </w:pPr>
            <w:r>
              <w:rPr>
                <w:rFonts w:ascii="Arial" w:hAnsi="Arial" w:cs="Arial"/>
                <w:sz w:val="16"/>
                <w:szCs w:val="16"/>
              </w:rPr>
              <w:t>Renters</w:t>
            </w:r>
          </w:p>
        </w:tc>
        <w:tc>
          <w:tcPr>
            <w:tcW w:w="1458" w:type="dxa"/>
            <w:tcBorders>
              <w:top w:val="nil"/>
              <w:left w:val="nil"/>
              <w:bottom w:val="single" w:sz="4" w:space="0" w:color="auto"/>
              <w:right w:val="nil"/>
            </w:tcBorders>
            <w:shd w:val="clear" w:color="auto" w:fill="auto"/>
            <w:noWrap/>
            <w:vAlign w:val="bottom"/>
            <w:hideMark/>
          </w:tcPr>
          <w:p w:rsidR="004545E0" w:rsidRDefault="004545E0">
            <w:pPr>
              <w:rPr>
                <w:rFonts w:ascii="Arial" w:hAnsi="Arial" w:cs="Arial"/>
                <w:sz w:val="16"/>
                <w:szCs w:val="16"/>
              </w:rPr>
            </w:pPr>
            <w:r>
              <w:rPr>
                <w:rFonts w:ascii="Arial" w:hAnsi="Arial" w:cs="Arial"/>
                <w:sz w:val="16"/>
                <w:szCs w:val="16"/>
              </w:rPr>
              <w:t> </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Greater Sydney</w:t>
            </w: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2011-26</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1.26</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1.28</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1.35</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1.21</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2026-41</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1.21</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1.21</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1.28</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1.20</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5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8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76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458"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Rest of NSW</w:t>
            </w: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2011-26</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1.13</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1.14</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1.18</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1.09</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2026-41</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1.08</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1.08</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1.13</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1.08</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5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8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76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458"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Greater Melbourne</w:t>
            </w: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2011-26</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1.32</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1.34</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1.40</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1.26</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2026-41</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1.25</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1.25</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1.33</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1.23</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5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8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76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458"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Rest of VIC</w:t>
            </w: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2011-26</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1.22</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1.22</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1.28</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1.19</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2026-41</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1.17</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1.17</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1.24</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1.18</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5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8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76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458"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Greater Brisbane</w:t>
            </w: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2011-26</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1.39</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1.41</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1.48</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1.32</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2026-41</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1.29</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1.30</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1.37</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1.28</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5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8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76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458"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Rest of QLD</w:t>
            </w: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2011-26</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1.34</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1.35</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1.41</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1.30</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2026-41</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1.26</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1.26</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1.33</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1.26</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5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8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76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458"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Greater Adelaide</w:t>
            </w: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2011-26</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1.21</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1.22</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1.29</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1.16</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2026-41</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1.16</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1.16</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1.23</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1.15</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5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8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76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458"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Rest of SA</w:t>
            </w: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2011-26</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1.16</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1.16</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1.25</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1.13</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2026-41</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1.10</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1.09</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1.17</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1.09</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5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8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76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458"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Greater Perth</w:t>
            </w: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2011-26</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1.72</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1.73</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1.76</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1.68</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2026-41</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1.50</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1.51</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1.56</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1.46</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5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8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76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458"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Rest of WA</w:t>
            </w: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2011-26</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1.45</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1.48</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1.54</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1.37</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2026-41</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1.34</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1.33</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1.45</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1.34</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5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8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76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458"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Greater Hobart</w:t>
            </w: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2011-26</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1.11</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1.13</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1.16</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1.04</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2026-41</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1.08</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1.08</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1.14</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1.09</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5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8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76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458"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Rest of TAS</w:t>
            </w: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2011-26</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1.05</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1.06</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1.09</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1.01</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2026-41</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0.98</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0.98</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1.03</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0.97</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5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8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76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458"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NT</w:t>
            </w: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2011-26</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1.31</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1.40</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1.34</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1.18</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2026-41</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1.17</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1.21</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1.20</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1.12</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5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8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76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458"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ACT</w:t>
            </w: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2011-26</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1.32</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1.35</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1.37</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1.21</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2026-41</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1.25</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1.25</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1.30</w:t>
            </w:r>
          </w:p>
        </w:tc>
        <w:tc>
          <w:tcPr>
            <w:tcW w:w="1458" w:type="dxa"/>
            <w:tcBorders>
              <w:top w:val="nil"/>
              <w:left w:val="nil"/>
              <w:bottom w:val="nil"/>
              <w:right w:val="nil"/>
            </w:tcBorders>
            <w:shd w:val="clear" w:color="auto" w:fill="auto"/>
            <w:noWrap/>
            <w:vAlign w:val="bottom"/>
            <w:hideMark/>
          </w:tcPr>
          <w:p w:rsidR="004545E0" w:rsidRDefault="004545E0" w:rsidP="004545E0">
            <w:pPr>
              <w:jc w:val="center"/>
              <w:rPr>
                <w:rFonts w:ascii="Arial" w:hAnsi="Arial" w:cs="Arial"/>
                <w:sz w:val="20"/>
                <w:szCs w:val="20"/>
              </w:rPr>
            </w:pPr>
            <w:r>
              <w:rPr>
                <w:rFonts w:ascii="Arial" w:hAnsi="Arial" w:cs="Arial"/>
                <w:sz w:val="20"/>
                <w:szCs w:val="20"/>
              </w:rPr>
              <w:t xml:space="preserve">  1.22</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5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8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761"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458"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SEQ</w:t>
            </w: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2011-26</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1.36</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1.38</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1.41</w:t>
            </w:r>
          </w:p>
        </w:tc>
        <w:tc>
          <w:tcPr>
            <w:tcW w:w="1458" w:type="dxa"/>
            <w:tcBorders>
              <w:top w:val="nil"/>
              <w:left w:val="nil"/>
              <w:bottom w:val="nil"/>
              <w:right w:val="nil"/>
            </w:tcBorders>
            <w:shd w:val="clear" w:color="auto" w:fill="auto"/>
            <w:noWrap/>
            <w:vAlign w:val="bottom"/>
            <w:hideMark/>
          </w:tcPr>
          <w:p w:rsidR="004545E0" w:rsidRDefault="005E0AFA" w:rsidP="005E0AFA">
            <w:pPr>
              <w:jc w:val="center"/>
              <w:rPr>
                <w:rFonts w:ascii="Arial" w:hAnsi="Arial" w:cs="Arial"/>
                <w:sz w:val="20"/>
                <w:szCs w:val="20"/>
              </w:rPr>
            </w:pPr>
            <w:r>
              <w:rPr>
                <w:rFonts w:ascii="Arial" w:hAnsi="Arial" w:cs="Arial"/>
                <w:sz w:val="20"/>
                <w:szCs w:val="20"/>
              </w:rPr>
              <w:t xml:space="preserve">  </w:t>
            </w:r>
            <w:r w:rsidR="004545E0">
              <w:rPr>
                <w:rFonts w:ascii="Arial" w:hAnsi="Arial" w:cs="Arial"/>
                <w:sz w:val="20"/>
                <w:szCs w:val="20"/>
              </w:rPr>
              <w:t>1.31</w:t>
            </w:r>
          </w:p>
        </w:tc>
      </w:tr>
      <w:tr w:rsidR="004545E0" w:rsidTr="004545E0">
        <w:trPr>
          <w:trHeight w:val="255"/>
        </w:trPr>
        <w:tc>
          <w:tcPr>
            <w:tcW w:w="212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4545E0" w:rsidRDefault="004545E0">
            <w:pPr>
              <w:rPr>
                <w:rFonts w:ascii="Arial" w:hAnsi="Arial" w:cs="Arial"/>
                <w:sz w:val="20"/>
                <w:szCs w:val="20"/>
              </w:rPr>
            </w:pPr>
            <w:r>
              <w:rPr>
                <w:rFonts w:ascii="Arial" w:hAnsi="Arial" w:cs="Arial"/>
                <w:sz w:val="20"/>
                <w:szCs w:val="20"/>
              </w:rPr>
              <w:t>2026-41</w:t>
            </w:r>
          </w:p>
        </w:tc>
        <w:tc>
          <w:tcPr>
            <w:tcW w:w="540"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1.28</w:t>
            </w:r>
          </w:p>
        </w:tc>
        <w:tc>
          <w:tcPr>
            <w:tcW w:w="108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1.29</w:t>
            </w:r>
          </w:p>
        </w:tc>
        <w:tc>
          <w:tcPr>
            <w:tcW w:w="761" w:type="dxa"/>
            <w:tcBorders>
              <w:top w:val="nil"/>
              <w:left w:val="nil"/>
              <w:bottom w:val="nil"/>
              <w:right w:val="nil"/>
            </w:tcBorders>
            <w:shd w:val="clear" w:color="auto" w:fill="auto"/>
            <w:noWrap/>
            <w:vAlign w:val="bottom"/>
            <w:hideMark/>
          </w:tcPr>
          <w:p w:rsidR="004545E0" w:rsidRDefault="004545E0">
            <w:pPr>
              <w:jc w:val="right"/>
              <w:rPr>
                <w:rFonts w:ascii="Arial" w:hAnsi="Arial" w:cs="Arial"/>
                <w:sz w:val="20"/>
                <w:szCs w:val="20"/>
              </w:rPr>
            </w:pPr>
            <w:r>
              <w:rPr>
                <w:rFonts w:ascii="Arial" w:hAnsi="Arial" w:cs="Arial"/>
                <w:sz w:val="20"/>
                <w:szCs w:val="20"/>
              </w:rPr>
              <w:t>1.35</w:t>
            </w:r>
          </w:p>
        </w:tc>
        <w:tc>
          <w:tcPr>
            <w:tcW w:w="1458" w:type="dxa"/>
            <w:tcBorders>
              <w:top w:val="nil"/>
              <w:left w:val="nil"/>
              <w:bottom w:val="nil"/>
              <w:right w:val="nil"/>
            </w:tcBorders>
            <w:shd w:val="clear" w:color="auto" w:fill="auto"/>
            <w:noWrap/>
            <w:vAlign w:val="bottom"/>
            <w:hideMark/>
          </w:tcPr>
          <w:p w:rsidR="004545E0" w:rsidRDefault="005E0AFA" w:rsidP="005E0AFA">
            <w:pPr>
              <w:jc w:val="center"/>
              <w:rPr>
                <w:rFonts w:ascii="Arial" w:hAnsi="Arial" w:cs="Arial"/>
                <w:sz w:val="20"/>
                <w:szCs w:val="20"/>
              </w:rPr>
            </w:pPr>
            <w:r>
              <w:rPr>
                <w:rFonts w:ascii="Arial" w:hAnsi="Arial" w:cs="Arial"/>
                <w:sz w:val="20"/>
                <w:szCs w:val="20"/>
              </w:rPr>
              <w:t xml:space="preserve">  </w:t>
            </w:r>
            <w:r w:rsidR="004545E0">
              <w:rPr>
                <w:rFonts w:ascii="Arial" w:hAnsi="Arial" w:cs="Arial"/>
                <w:sz w:val="20"/>
                <w:szCs w:val="20"/>
              </w:rPr>
              <w:t>1.26</w:t>
            </w:r>
          </w:p>
        </w:tc>
      </w:tr>
    </w:tbl>
    <w:p w:rsidR="004545E0" w:rsidRPr="004545E0" w:rsidRDefault="004545E0" w:rsidP="004545E0">
      <w:pPr>
        <w:rPr>
          <w:rFonts w:ascii="Arial" w:hAnsi="Arial" w:cs="Arial"/>
          <w:b/>
          <w:sz w:val="20"/>
          <w:szCs w:val="20"/>
        </w:rPr>
      </w:pPr>
    </w:p>
    <w:p w:rsidR="006928E6" w:rsidRDefault="006928E6" w:rsidP="00977215">
      <w:pPr>
        <w:jc w:val="center"/>
        <w:rPr>
          <w:b/>
        </w:rPr>
      </w:pPr>
    </w:p>
    <w:p w:rsidR="00DD5344" w:rsidRPr="00DD5344" w:rsidRDefault="00977215" w:rsidP="00977215">
      <w:pPr>
        <w:jc w:val="center"/>
        <w:rPr>
          <w:b/>
        </w:rPr>
      </w:pPr>
      <w:r w:rsidRPr="00DD5344">
        <w:rPr>
          <w:b/>
        </w:rPr>
        <w:t>REFERENCES</w:t>
      </w:r>
    </w:p>
    <w:p w:rsidR="00DD5344" w:rsidRDefault="00DD5344" w:rsidP="00DD5344"/>
    <w:p w:rsidR="00DD5344" w:rsidRDefault="00DD5344" w:rsidP="00DD5344">
      <w:pPr>
        <w:rPr>
          <w:lang w:val="es-ES_tradnl"/>
        </w:rPr>
      </w:pPr>
      <w:proofErr w:type="gramStart"/>
      <w:r w:rsidRPr="00DD5344">
        <w:t>ABS. 2008.</w:t>
      </w:r>
      <w:proofErr w:type="gramEnd"/>
      <w:r w:rsidRPr="00DD5344">
        <w:t xml:space="preserve"> </w:t>
      </w:r>
      <w:proofErr w:type="gramStart"/>
      <w:r w:rsidRPr="006A7A13">
        <w:rPr>
          <w:i/>
        </w:rPr>
        <w:t>Family Characteristics and Transitions</w:t>
      </w:r>
      <w:r w:rsidRPr="00DD5344">
        <w:t>.</w:t>
      </w:r>
      <w:proofErr w:type="gramEnd"/>
      <w:r w:rsidRPr="00DD5344">
        <w:t xml:space="preserve"> </w:t>
      </w:r>
      <w:r w:rsidRPr="00894976">
        <w:rPr>
          <w:lang w:val="es-ES_tradnl"/>
        </w:rPr>
        <w:t>ABS Catalogue No.4442.0. ABS, Canberra.</w:t>
      </w:r>
    </w:p>
    <w:p w:rsidR="001B674F" w:rsidRPr="000478B4" w:rsidRDefault="001B674F" w:rsidP="00DD5344">
      <w:pPr>
        <w:rPr>
          <w:lang w:val="es-ES_tradnl"/>
        </w:rPr>
      </w:pPr>
    </w:p>
    <w:p w:rsidR="000478B4" w:rsidRPr="000478B4" w:rsidRDefault="000478B4" w:rsidP="00DD5344">
      <w:pPr>
        <w:rPr>
          <w:lang w:val="en-AU" w:eastAsia="en-AU"/>
        </w:rPr>
      </w:pPr>
      <w:r w:rsidRPr="000478B4">
        <w:rPr>
          <w:lang w:val="en-AU" w:eastAsia="en-AU"/>
        </w:rPr>
        <w:t>ABS (2012) 'Experimental Regional Internal Mig</w:t>
      </w:r>
      <w:r>
        <w:rPr>
          <w:lang w:val="en-AU" w:eastAsia="en-AU"/>
        </w:rPr>
        <w:t>r</w:t>
      </w:r>
      <w:r w:rsidRPr="000478B4">
        <w:rPr>
          <w:lang w:val="en-AU" w:eastAsia="en-AU"/>
        </w:rPr>
        <w:t>ation Estimates' Cat No. 34120, Australian Bureau of Statistics: Canberra.</w:t>
      </w:r>
    </w:p>
    <w:p w:rsidR="000478B4" w:rsidRDefault="000478B4" w:rsidP="00DD5344">
      <w:pPr>
        <w:rPr>
          <w:lang w:val="es-ES_tradnl"/>
        </w:rPr>
      </w:pPr>
    </w:p>
    <w:p w:rsidR="00174C7B" w:rsidRDefault="00174C7B" w:rsidP="00174C7B">
      <w:pPr>
        <w:spacing w:before="240"/>
        <w:rPr>
          <w:lang w:val="es-ES_tradnl"/>
        </w:rPr>
      </w:pPr>
      <w:r>
        <w:rPr>
          <w:lang w:val="es-ES_tradnl"/>
        </w:rPr>
        <w:t>ABS (2012a) ‘</w:t>
      </w:r>
      <w:proofErr w:type="spellStart"/>
      <w:r>
        <w:rPr>
          <w:lang w:val="es-ES_tradnl"/>
        </w:rPr>
        <w:t>Migration</w:t>
      </w:r>
      <w:proofErr w:type="spellEnd"/>
      <w:r>
        <w:rPr>
          <w:lang w:val="es-ES_tradnl"/>
        </w:rPr>
        <w:t xml:space="preserve">, Australia, 2010-11’ </w:t>
      </w:r>
      <w:proofErr w:type="spellStart"/>
      <w:r>
        <w:rPr>
          <w:lang w:val="es-ES_tradnl"/>
        </w:rPr>
        <w:t>Cat</w:t>
      </w:r>
      <w:proofErr w:type="spellEnd"/>
      <w:r>
        <w:rPr>
          <w:lang w:val="es-ES_tradnl"/>
        </w:rPr>
        <w:t xml:space="preserve">. No. 34120, </w:t>
      </w:r>
      <w:proofErr w:type="spellStart"/>
      <w:r>
        <w:rPr>
          <w:lang w:val="es-ES_tradnl"/>
        </w:rPr>
        <w:t>Australian</w:t>
      </w:r>
      <w:proofErr w:type="spellEnd"/>
      <w:r>
        <w:rPr>
          <w:lang w:val="es-ES_tradnl"/>
        </w:rPr>
        <w:t xml:space="preserve"> Bureau of </w:t>
      </w:r>
      <w:proofErr w:type="spellStart"/>
      <w:r>
        <w:rPr>
          <w:lang w:val="es-ES_tradnl"/>
        </w:rPr>
        <w:t>Statistics</w:t>
      </w:r>
      <w:proofErr w:type="spellEnd"/>
      <w:r>
        <w:rPr>
          <w:lang w:val="es-ES_tradnl"/>
        </w:rPr>
        <w:t>: Canberra.</w:t>
      </w:r>
    </w:p>
    <w:p w:rsidR="00174C7B" w:rsidRDefault="00174C7B" w:rsidP="00DD5344">
      <w:pPr>
        <w:rPr>
          <w:lang w:val="es-ES_tradnl"/>
        </w:rPr>
      </w:pPr>
    </w:p>
    <w:p w:rsidR="001B674F" w:rsidRPr="001B674F" w:rsidRDefault="001B674F" w:rsidP="001B674F">
      <w:pPr>
        <w:rPr>
          <w:lang w:val="en-AU" w:eastAsia="en-AU"/>
        </w:rPr>
      </w:pPr>
      <w:r w:rsidRPr="001B674F">
        <w:rPr>
          <w:lang w:val="es-ES_tradnl"/>
        </w:rPr>
        <w:t>ABS. 2013.</w:t>
      </w:r>
      <w:r w:rsidRPr="001B674F">
        <w:rPr>
          <w:lang w:val="en-AU" w:eastAsia="en-AU"/>
        </w:rPr>
        <w:t xml:space="preserve"> ‘Upcoming Revisions to Population Estimates’ in Regional Population Growth, 2011-12. Cat No. 3218.0. Available from: http://www.abs.gov.au/ausstats/abs@.nsf/Products/3218.0~2011-12~Main+Features~Upcoming+revisions+to+population+estimates?OpenDocument</w:t>
      </w:r>
    </w:p>
    <w:p w:rsidR="00074EA8" w:rsidRDefault="00074EA8" w:rsidP="00DD5344">
      <w:pPr>
        <w:rPr>
          <w:lang w:val="es-ES_tradnl"/>
        </w:rPr>
      </w:pPr>
    </w:p>
    <w:p w:rsidR="00074EA8" w:rsidRDefault="00074EA8" w:rsidP="00074EA8">
      <w:proofErr w:type="spellStart"/>
      <w:proofErr w:type="gramStart"/>
      <w:r>
        <w:t>Börsch-Supan</w:t>
      </w:r>
      <w:proofErr w:type="spellEnd"/>
      <w:r>
        <w:t>,</w:t>
      </w:r>
      <w:r w:rsidR="000D7D44">
        <w:t xml:space="preserve"> A. 1990.</w:t>
      </w:r>
      <w:proofErr w:type="gramEnd"/>
      <w:r w:rsidR="000D7D44">
        <w:t xml:space="preserve"> ‘Household dissolution and the choice of alternative living arrangements among elderly Americans’ in Wise, D. </w:t>
      </w:r>
      <w:proofErr w:type="gramStart"/>
      <w:r w:rsidR="000D7D44" w:rsidRPr="000D7D44">
        <w:rPr>
          <w:i/>
        </w:rPr>
        <w:t>The Economics of Ageing</w:t>
      </w:r>
      <w:r w:rsidR="000D7D44">
        <w:t>.</w:t>
      </w:r>
      <w:proofErr w:type="gramEnd"/>
      <w:r w:rsidR="000D7D44">
        <w:t xml:space="preserve"> Chicago: Chicago University Press.</w:t>
      </w:r>
    </w:p>
    <w:p w:rsidR="00074EA8" w:rsidRDefault="00074EA8" w:rsidP="00074EA8"/>
    <w:p w:rsidR="00074EA8" w:rsidRDefault="00074EA8" w:rsidP="00074EA8">
      <w:proofErr w:type="spellStart"/>
      <w:proofErr w:type="gramStart"/>
      <w:r>
        <w:t>Hoe</w:t>
      </w:r>
      <w:r w:rsidR="006551C6">
        <w:t>rger</w:t>
      </w:r>
      <w:proofErr w:type="spellEnd"/>
      <w:r w:rsidR="006551C6">
        <w:t>, T.,</w:t>
      </w:r>
      <w:r>
        <w:t xml:space="preserve"> </w:t>
      </w:r>
      <w:proofErr w:type="spellStart"/>
      <w:r>
        <w:t>Picone</w:t>
      </w:r>
      <w:proofErr w:type="spellEnd"/>
      <w:r w:rsidR="006551C6">
        <w:t>, G.</w:t>
      </w:r>
      <w:r>
        <w:t xml:space="preserve"> and Sloan,</w:t>
      </w:r>
      <w:r w:rsidR="006551C6">
        <w:t xml:space="preserve"> F.</w:t>
      </w:r>
      <w:r>
        <w:t xml:space="preserve"> 1996</w:t>
      </w:r>
      <w:r w:rsidRPr="008609B8">
        <w:t>.</w:t>
      </w:r>
      <w:proofErr w:type="gramEnd"/>
      <w:r w:rsidR="006551C6">
        <w:t xml:space="preserve"> </w:t>
      </w:r>
      <w:proofErr w:type="gramStart"/>
      <w:r w:rsidR="006551C6">
        <w:t>‘Public subsidies, private provision of care and living arrangements of the elderly’.</w:t>
      </w:r>
      <w:proofErr w:type="gramEnd"/>
      <w:r w:rsidR="006551C6">
        <w:t xml:space="preserve"> </w:t>
      </w:r>
      <w:proofErr w:type="gramStart"/>
      <w:r w:rsidR="006551C6" w:rsidRPr="006551C6">
        <w:rPr>
          <w:i/>
        </w:rPr>
        <w:t>Review of Economics and Statistics</w:t>
      </w:r>
      <w:r w:rsidR="006551C6">
        <w:t>.</w:t>
      </w:r>
      <w:proofErr w:type="gramEnd"/>
      <w:r w:rsidR="006551C6">
        <w:t xml:space="preserve"> 78(3): 428-440.</w:t>
      </w:r>
    </w:p>
    <w:p w:rsidR="00CF260B" w:rsidRDefault="00CF260B" w:rsidP="00074EA8"/>
    <w:p w:rsidR="00CF260B" w:rsidRDefault="00CF260B" w:rsidP="00074EA8">
      <w:proofErr w:type="gramStart"/>
      <w:r>
        <w:t>Khoo, S-E., McDonald, P., Temple, J. and Edgar, B. 2012.</w:t>
      </w:r>
      <w:proofErr w:type="gramEnd"/>
      <w:r>
        <w:t xml:space="preserve"> </w:t>
      </w:r>
      <w:proofErr w:type="gramStart"/>
      <w:r>
        <w:t>Scoping Study of Migration and Housing Needs.</w:t>
      </w:r>
      <w:proofErr w:type="gramEnd"/>
      <w:r>
        <w:t xml:space="preserve"> Report for the National Housing Supply Council.</w:t>
      </w:r>
    </w:p>
    <w:p w:rsidR="00074EA8" w:rsidRPr="00894976" w:rsidRDefault="00074EA8" w:rsidP="00DD5344">
      <w:pPr>
        <w:rPr>
          <w:lang w:val="es-ES_tradnl"/>
        </w:rPr>
      </w:pPr>
    </w:p>
    <w:p w:rsidR="00074EA8" w:rsidRDefault="00074EA8" w:rsidP="00074EA8">
      <w:proofErr w:type="gramStart"/>
      <w:r w:rsidRPr="008609B8">
        <w:t>McDonald and Temple</w:t>
      </w:r>
      <w:r w:rsidR="00C11BF2">
        <w:t>, 2003.</w:t>
      </w:r>
      <w:proofErr w:type="gramEnd"/>
      <w:r w:rsidR="00C11BF2">
        <w:t xml:space="preserve"> “International migration and the growth of households in Sydney’. </w:t>
      </w:r>
      <w:proofErr w:type="gramStart"/>
      <w:r w:rsidR="00C11BF2" w:rsidRPr="00C11BF2">
        <w:rPr>
          <w:i/>
        </w:rPr>
        <w:t>People and Place</w:t>
      </w:r>
      <w:r w:rsidR="00C11BF2">
        <w:t>.</w:t>
      </w:r>
      <w:proofErr w:type="gramEnd"/>
      <w:r w:rsidR="00C11BF2">
        <w:t xml:space="preserve"> 12(2): 13-23</w:t>
      </w:r>
      <w:proofErr w:type="gramStart"/>
      <w:r w:rsidR="00C11BF2">
        <w:t>.</w:t>
      </w:r>
      <w:r w:rsidRPr="008609B8">
        <w:t>.</w:t>
      </w:r>
      <w:proofErr w:type="gramEnd"/>
      <w:r w:rsidRPr="008609B8">
        <w:t xml:space="preserve"> </w:t>
      </w:r>
    </w:p>
    <w:p w:rsidR="00DD5344" w:rsidRPr="00894976" w:rsidRDefault="00DD5344" w:rsidP="00DD5344">
      <w:pPr>
        <w:rPr>
          <w:lang w:val="es-ES_tradnl"/>
        </w:rPr>
      </w:pPr>
    </w:p>
    <w:p w:rsidR="00DD5344" w:rsidRDefault="00DD5344" w:rsidP="00DD5344">
      <w:pPr>
        <w:pStyle w:val="BodyText"/>
        <w:spacing w:line="240" w:lineRule="auto"/>
      </w:pPr>
      <w:r>
        <w:t xml:space="preserve">McDonald, P., Kippen, R. and </w:t>
      </w:r>
      <w:smartTag w:uri="urn:schemas-microsoft-com:office:smarttags" w:element="place">
        <w:smartTag w:uri="urn:schemas-microsoft-com:office:smarttags" w:element="City">
          <w:r>
            <w:t>Temple</w:t>
          </w:r>
        </w:smartTag>
      </w:smartTag>
      <w:r>
        <w:t>, J.</w:t>
      </w:r>
      <w:r w:rsidR="00BA23A8">
        <w:t xml:space="preserve"> 2006.</w:t>
      </w:r>
      <w:r>
        <w:t xml:space="preserve"> ‘Net transition probabilities: an approach to subnational level projections of households and housing demand based on census data’</w:t>
      </w:r>
      <w:r>
        <w:rPr>
          <w:rFonts w:eastAsia="Arial Unicode MS"/>
          <w:szCs w:val="24"/>
        </w:rPr>
        <w:t xml:space="preserve">. </w:t>
      </w:r>
      <w:proofErr w:type="gramStart"/>
      <w:r>
        <w:rPr>
          <w:i/>
          <w:iCs/>
        </w:rPr>
        <w:t>Population, Space and Place</w:t>
      </w:r>
      <w:r>
        <w:t>.</w:t>
      </w:r>
      <w:proofErr w:type="gramEnd"/>
      <w:r>
        <w:t xml:space="preserve"> 12(6):</w:t>
      </w:r>
      <w:r w:rsidR="00BA23A8">
        <w:t xml:space="preserve"> 479-495.</w:t>
      </w:r>
    </w:p>
    <w:p w:rsidR="00BA23A8" w:rsidRDefault="00BA23A8" w:rsidP="00DD5344">
      <w:pPr>
        <w:pStyle w:val="BodyText"/>
        <w:spacing w:line="240" w:lineRule="auto"/>
      </w:pPr>
    </w:p>
    <w:p w:rsidR="00BA23A8" w:rsidRDefault="00BA23A8" w:rsidP="00DD5344">
      <w:pPr>
        <w:pStyle w:val="BodyText"/>
        <w:spacing w:line="240" w:lineRule="auto"/>
      </w:pPr>
      <w:r>
        <w:t xml:space="preserve">McDonald, P. and </w:t>
      </w:r>
      <w:smartTag w:uri="urn:schemas-microsoft-com:office:smarttags" w:element="place">
        <w:smartTag w:uri="urn:schemas-microsoft-com:office:smarttags" w:element="City">
          <w:r>
            <w:t>Temple</w:t>
          </w:r>
        </w:smartTag>
      </w:smartTag>
      <w:r>
        <w:t>, J</w:t>
      </w:r>
      <w:r w:rsidR="00F027E2">
        <w:t xml:space="preserve">. 2008. </w:t>
      </w:r>
      <w:r w:rsidR="00F027E2" w:rsidRPr="006A7A13">
        <w:rPr>
          <w:i/>
        </w:rPr>
        <w:t>Projections of Housing D</w:t>
      </w:r>
      <w:r w:rsidRPr="006A7A13">
        <w:rPr>
          <w:i/>
        </w:rPr>
        <w:t>emand in Australia: 2006-2021</w:t>
      </w:r>
      <w:r>
        <w:t xml:space="preserve">. </w:t>
      </w:r>
      <w:proofErr w:type="gramStart"/>
      <w:r>
        <w:t>Prepared for the National Housing Supply Council.</w:t>
      </w:r>
      <w:proofErr w:type="gramEnd"/>
    </w:p>
    <w:p w:rsidR="006A7A13" w:rsidRDefault="006A7A13" w:rsidP="00DD5344">
      <w:pPr>
        <w:pStyle w:val="BodyText"/>
        <w:spacing w:line="240" w:lineRule="auto"/>
      </w:pPr>
    </w:p>
    <w:p w:rsidR="00074EA8" w:rsidRDefault="00074EA8" w:rsidP="00074EA8">
      <w:proofErr w:type="spellStart"/>
      <w:r>
        <w:t>McGarry</w:t>
      </w:r>
      <w:proofErr w:type="spellEnd"/>
      <w:r w:rsidR="004A5BC9">
        <w:t>, K.</w:t>
      </w:r>
      <w:r>
        <w:t xml:space="preserve"> and </w:t>
      </w:r>
      <w:proofErr w:type="spellStart"/>
      <w:r>
        <w:t>Schoeni</w:t>
      </w:r>
      <w:proofErr w:type="spellEnd"/>
      <w:r>
        <w:t>,</w:t>
      </w:r>
      <w:r w:rsidR="004A5BC9">
        <w:t xml:space="preserve"> R.</w:t>
      </w:r>
      <w:r>
        <w:t xml:space="preserve"> 2000</w:t>
      </w:r>
      <w:r w:rsidR="004A5BC9">
        <w:t xml:space="preserve">. </w:t>
      </w:r>
      <w:proofErr w:type="gramStart"/>
      <w:r w:rsidR="004A5BC9">
        <w:t xml:space="preserve">‘Social security, economic growth and the rise in </w:t>
      </w:r>
      <w:proofErr w:type="spellStart"/>
      <w:r w:rsidR="004A5BC9">
        <w:t>eleder</w:t>
      </w:r>
      <w:proofErr w:type="spellEnd"/>
      <w:r w:rsidR="004A5BC9">
        <w:t xml:space="preserve"> widow’s independence in the twentieth century’.</w:t>
      </w:r>
      <w:proofErr w:type="gramEnd"/>
      <w:r w:rsidR="004A5BC9">
        <w:t xml:space="preserve"> </w:t>
      </w:r>
      <w:r w:rsidR="004A5BC9" w:rsidRPr="004A5BC9">
        <w:rPr>
          <w:i/>
        </w:rPr>
        <w:t>Demography</w:t>
      </w:r>
      <w:r w:rsidR="004A5BC9">
        <w:t>: 37(2).</w:t>
      </w:r>
    </w:p>
    <w:p w:rsidR="00074EA8" w:rsidRDefault="00074EA8" w:rsidP="00DD5344">
      <w:pPr>
        <w:pStyle w:val="BodyText"/>
        <w:spacing w:line="240" w:lineRule="auto"/>
      </w:pPr>
    </w:p>
    <w:p w:rsidR="006A7A13" w:rsidRDefault="006A7A13" w:rsidP="00DD5344">
      <w:pPr>
        <w:pStyle w:val="BodyText"/>
        <w:spacing w:line="240" w:lineRule="auto"/>
      </w:pPr>
      <w:proofErr w:type="gramStart"/>
      <w:r>
        <w:t>NHSC (National Housing Supply Council).</w:t>
      </w:r>
      <w:proofErr w:type="gramEnd"/>
      <w:r>
        <w:t xml:space="preserve"> 2013. </w:t>
      </w:r>
      <w:r w:rsidRPr="006A7A13">
        <w:rPr>
          <w:i/>
        </w:rPr>
        <w:t>Housing Supply and Affordability Issues 2012-13</w:t>
      </w:r>
      <w:r>
        <w:t>. Canberra: Commonwealth of Australia.</w:t>
      </w:r>
    </w:p>
    <w:p w:rsidR="00074EA8" w:rsidRDefault="00074EA8" w:rsidP="00DD5344">
      <w:pPr>
        <w:pStyle w:val="BodyText"/>
        <w:spacing w:line="240" w:lineRule="auto"/>
      </w:pPr>
    </w:p>
    <w:p w:rsidR="00074EA8" w:rsidRDefault="00074EA8" w:rsidP="00074EA8"/>
    <w:p w:rsidR="00074EA8" w:rsidRDefault="00074EA8" w:rsidP="00074EA8"/>
    <w:p w:rsidR="007F3980" w:rsidRDefault="001B0E27" w:rsidP="007F3980">
      <w:pPr>
        <w:jc w:val="center"/>
        <w:rPr>
          <w:b/>
        </w:rPr>
      </w:pPr>
      <w:proofErr w:type="gramStart"/>
      <w:r w:rsidRPr="00D54E05">
        <w:rPr>
          <w:b/>
        </w:rPr>
        <w:lastRenderedPageBreak/>
        <w:t>Appendix 1</w:t>
      </w:r>
      <w:r w:rsidR="00D54E05">
        <w:rPr>
          <w:b/>
        </w:rPr>
        <w:t>.</w:t>
      </w:r>
      <w:proofErr w:type="gramEnd"/>
    </w:p>
    <w:p w:rsidR="007F3980" w:rsidRDefault="007F3980" w:rsidP="007F3980">
      <w:pPr>
        <w:jc w:val="center"/>
        <w:rPr>
          <w:b/>
        </w:rPr>
      </w:pPr>
    </w:p>
    <w:p w:rsidR="0025167F" w:rsidRPr="00D54E05" w:rsidRDefault="00D54E05" w:rsidP="007F3980">
      <w:pPr>
        <w:jc w:val="center"/>
        <w:rPr>
          <w:b/>
        </w:rPr>
      </w:pPr>
      <w:r>
        <w:rPr>
          <w:b/>
        </w:rPr>
        <w:t>Comparisons of NHSC Projections Based on 2006 ERP and 2011 Outcomes</w:t>
      </w:r>
    </w:p>
    <w:p w:rsidR="00D54E05" w:rsidRDefault="00D54E05">
      <w:pPr>
        <w:rPr>
          <w:b/>
        </w:rPr>
      </w:pPr>
    </w:p>
    <w:p w:rsidR="00D54E05" w:rsidRDefault="00D54E05">
      <w:pPr>
        <w:rPr>
          <w:b/>
        </w:rPr>
      </w:pPr>
    </w:p>
    <w:p w:rsidR="004B76B3" w:rsidRDefault="00D54E05" w:rsidP="00DC7242">
      <w:pPr>
        <w:jc w:val="both"/>
      </w:pPr>
      <w:r w:rsidRPr="00D54E05">
        <w:t>This appendix provides an assessment of the projections made for the National Hous</w:t>
      </w:r>
      <w:r w:rsidR="00287502">
        <w:t>ing Supply Council based on the</w:t>
      </w:r>
      <w:r w:rsidR="00591F3A">
        <w:t xml:space="preserve"> </w:t>
      </w:r>
      <w:r w:rsidRPr="00D54E05">
        <w:t>2006 Estimated Resident Populatio</w:t>
      </w:r>
      <w:r w:rsidR="00591F3A">
        <w:t>n</w:t>
      </w:r>
      <w:r w:rsidRPr="00D54E05">
        <w:t>.</w:t>
      </w:r>
      <w:r>
        <w:t xml:space="preserve"> </w:t>
      </w:r>
      <w:r w:rsidR="004B76B3">
        <w:t>This comparison is made at the state and national level due to significant changes in the geography used since the last set of projections. These new projections are based on the new Greater Capital City Statistical Areas (GCCSA) geography, rather than the Capital City / Balance of State geography used before the implementation of the new Australian Statistical Geography Standard (ASGC). As noted by the ABS, the purpose of the new geography is to:</w:t>
      </w:r>
    </w:p>
    <w:p w:rsidR="004B76B3" w:rsidRDefault="004B76B3" w:rsidP="00DC7242">
      <w:pPr>
        <w:ind w:left="720"/>
        <w:jc w:val="both"/>
      </w:pPr>
      <w:r>
        <w:t>“</w:t>
      </w:r>
      <w:proofErr w:type="gramStart"/>
      <w:r>
        <w:t>represent</w:t>
      </w:r>
      <w:proofErr w:type="gramEnd"/>
      <w:r>
        <w:t xml:space="preserve"> a socio-economic definition of each of the eight State and Territory capital cities, this means the greater capital city boundary includes people who regularly </w:t>
      </w:r>
      <w:proofErr w:type="spellStart"/>
      <w:r>
        <w:t>socialise</w:t>
      </w:r>
      <w:proofErr w:type="spellEnd"/>
      <w:r>
        <w:t xml:space="preserve">, shop or work within the city, but live in the small towns and rural areas surrounding the city. It does not define the built up edge of the city”. </w:t>
      </w:r>
      <w:proofErr w:type="gramStart"/>
      <w:r>
        <w:t>ABS, 2010.</w:t>
      </w:r>
      <w:proofErr w:type="gramEnd"/>
    </w:p>
    <w:p w:rsidR="004B76B3" w:rsidRDefault="004B76B3" w:rsidP="00DC7242">
      <w:pPr>
        <w:jc w:val="both"/>
      </w:pPr>
    </w:p>
    <w:p w:rsidR="00BA633C" w:rsidRDefault="00D54E05" w:rsidP="00DC7242">
      <w:pPr>
        <w:jc w:val="both"/>
      </w:pPr>
      <w:r>
        <w:t xml:space="preserve">The assessment compares the </w:t>
      </w:r>
      <w:r w:rsidR="00591F3A">
        <w:t>projections with 2011 outcomes, using both the unrevised ERP estimates for 2011 and the revised estimates.</w:t>
      </w:r>
      <w:r w:rsidR="00287502">
        <w:t xml:space="preserve"> The most important issue here is that, following the 2011 Census of Population and its Post Enumeration Survey, the ABS revised the ERP for 30 June 2011 downwards by 294,000. This is a very substantial correction compared with corrections made at previous censuses.</w:t>
      </w:r>
    </w:p>
    <w:p w:rsidR="00BA633C" w:rsidRDefault="00BA633C" w:rsidP="00DC7242">
      <w:pPr>
        <w:jc w:val="both"/>
      </w:pPr>
    </w:p>
    <w:p w:rsidR="00BA633C" w:rsidRDefault="00287502" w:rsidP="00DC7242">
      <w:pPr>
        <w:jc w:val="both"/>
      </w:pPr>
      <w:r>
        <w:t xml:space="preserve">The ABS has not identified the source of this large error. In our view, </w:t>
      </w:r>
      <w:r w:rsidR="00FD6BEB">
        <w:t xml:space="preserve">for the country as a whole, </w:t>
      </w:r>
      <w:r w:rsidR="00BA633C">
        <w:t>little of the error can</w:t>
      </w:r>
      <w:r>
        <w:t xml:space="preserve"> be attributed to errors in the </w:t>
      </w:r>
      <w:r w:rsidR="00FD6BEB">
        <w:t xml:space="preserve">recorded </w:t>
      </w:r>
      <w:proofErr w:type="spellStart"/>
      <w:r w:rsidR="00FD6BEB">
        <w:t>intercensal</w:t>
      </w:r>
      <w:proofErr w:type="spellEnd"/>
      <w:r w:rsidR="00FD6BEB">
        <w:t xml:space="preserve"> births and</w:t>
      </w:r>
      <w:r>
        <w:t xml:space="preserve"> dea</w:t>
      </w:r>
      <w:r w:rsidR="00FD6BEB">
        <w:t xml:space="preserve">ths </w:t>
      </w:r>
      <w:r>
        <w:t xml:space="preserve">because of the relatively high degree of accuracy associated </w:t>
      </w:r>
      <w:r w:rsidR="00FD6BEB">
        <w:t xml:space="preserve">with these statistics. There is a possibility </w:t>
      </w:r>
      <w:r>
        <w:t xml:space="preserve">that some </w:t>
      </w:r>
      <w:r w:rsidR="00FD6BEB">
        <w:t xml:space="preserve">people who arrived in Australia or departed from Australia in the </w:t>
      </w:r>
      <w:proofErr w:type="spellStart"/>
      <w:r w:rsidR="00FD6BEB">
        <w:t>intercensal</w:t>
      </w:r>
      <w:proofErr w:type="spellEnd"/>
      <w:r w:rsidR="00FD6BEB">
        <w:t xml:space="preserve"> period, in relation to their usual residence status in Australia, were reported or counted differently in the migration statistics than in the census. However, in relation to arrivals in Aus</w:t>
      </w:r>
      <w:r w:rsidR="00677DB5">
        <w:t>tralia, this explanation implies</w:t>
      </w:r>
      <w:r w:rsidR="00FD6BEB">
        <w:t xml:space="preserve"> that </w:t>
      </w:r>
      <w:r w:rsidR="00BA633C">
        <w:t xml:space="preserve">a large number of </w:t>
      </w:r>
      <w:r w:rsidR="00FD6BEB">
        <w:t>people in Australia at the time of the census</w:t>
      </w:r>
      <w:r w:rsidR="00BA633C">
        <w:t xml:space="preserve"> were recorded by the census as vis</w:t>
      </w:r>
      <w:r w:rsidR="00677DB5">
        <w:t>itors but they had been recorded</w:t>
      </w:r>
      <w:r w:rsidR="00BA633C">
        <w:t xml:space="preserve"> by the migration statistics as usual residents. This argument is not supported by the relatively small number of persons classified as visitors in the 2011 Census.</w:t>
      </w:r>
    </w:p>
    <w:p w:rsidR="00BA633C" w:rsidRDefault="00BA633C" w:rsidP="00DC7242">
      <w:pPr>
        <w:jc w:val="both"/>
      </w:pPr>
    </w:p>
    <w:p w:rsidR="00677DB5" w:rsidRDefault="00BA633C" w:rsidP="00DC7242">
      <w:pPr>
        <w:jc w:val="both"/>
      </w:pPr>
      <w:r>
        <w:t>The most likely explanation of the large error</w:t>
      </w:r>
      <w:r w:rsidR="00677DB5">
        <w:t>, therefore,</w:t>
      </w:r>
      <w:r>
        <w:t xml:space="preserve"> is that most of the error is due to the 2006 ERP being too high, probably because international migration was not measured well by the ABS in the 2001-06 </w:t>
      </w:r>
      <w:proofErr w:type="spellStart"/>
      <w:r>
        <w:t>intercensal</w:t>
      </w:r>
      <w:proofErr w:type="spellEnd"/>
      <w:r>
        <w:t xml:space="preserve"> </w:t>
      </w:r>
      <w:proofErr w:type="gramStart"/>
      <w:r>
        <w:t>period</w:t>
      </w:r>
      <w:proofErr w:type="gramEnd"/>
      <w:r>
        <w:t>.</w:t>
      </w:r>
      <w:r w:rsidR="00B809A5">
        <w:t xml:space="preserve"> However, in publishing revised estimates of ERP to this point, the ABS has maintained the 2006 ERP population estimate as originally estimated. This means that, effectively, the recorded level of net </w:t>
      </w:r>
      <w:proofErr w:type="spellStart"/>
      <w:r w:rsidR="00B809A5">
        <w:t>intercensal</w:t>
      </w:r>
      <w:proofErr w:type="spellEnd"/>
      <w:r w:rsidR="00B809A5">
        <w:t xml:space="preserve"> population change based on births, deaths and migration has been reduced by</w:t>
      </w:r>
      <w:r w:rsidR="00677DB5">
        <w:t xml:space="preserve"> </w:t>
      </w:r>
      <w:r w:rsidR="002A77CB">
        <w:t>the ABS by</w:t>
      </w:r>
      <w:r w:rsidR="00B809A5">
        <w:t xml:space="preserve"> 294,000, the estimated </w:t>
      </w:r>
      <w:proofErr w:type="spellStart"/>
      <w:r w:rsidR="00B809A5">
        <w:t>overcount</w:t>
      </w:r>
      <w:proofErr w:type="spellEnd"/>
      <w:r w:rsidR="00B809A5">
        <w:t xml:space="preserve"> of population at 30 June 2011. If </w:t>
      </w:r>
      <w:proofErr w:type="spellStart"/>
      <w:r w:rsidR="00B809A5">
        <w:t>intercensal</w:t>
      </w:r>
      <w:proofErr w:type="spellEnd"/>
      <w:r w:rsidR="00B809A5">
        <w:t xml:space="preserve"> births and deaths are considered to be accurate, this implies a reduction of the </w:t>
      </w:r>
      <w:r w:rsidR="00B809A5">
        <w:lastRenderedPageBreak/>
        <w:t xml:space="preserve">recorded </w:t>
      </w:r>
      <w:proofErr w:type="spellStart"/>
      <w:r w:rsidR="00B809A5">
        <w:t>intercensal</w:t>
      </w:r>
      <w:proofErr w:type="spellEnd"/>
      <w:r w:rsidR="00B809A5">
        <w:t xml:space="preserve"> net migration by 294,000, a result that has to be considered very unlikely indeed.</w:t>
      </w:r>
    </w:p>
    <w:p w:rsidR="00677DB5" w:rsidRDefault="00677DB5" w:rsidP="00677DB5"/>
    <w:p w:rsidR="00002001" w:rsidRDefault="00677DB5" w:rsidP="00DC7242">
      <w:pPr>
        <w:jc w:val="both"/>
      </w:pPr>
      <w:r>
        <w:t xml:space="preserve">The 2006 Census-based projections made for the NHSC take off from the 2009 ERP. This means that they incorporate both the high 2006 ERP and the actual net migration, births and deaths between 1 July 2006 and 30 June 2009. For the two years to 30 June 2011, </w:t>
      </w:r>
      <w:r w:rsidR="00204149">
        <w:t xml:space="preserve">the NHSC Medium projection assumptions had a slightly lower level of net population increase than actually occurred. Thus, the NHSC </w:t>
      </w:r>
      <w:proofErr w:type="gramStart"/>
      <w:r w:rsidR="00204149">
        <w:t>Medium  projected</w:t>
      </w:r>
      <w:proofErr w:type="gramEnd"/>
      <w:r w:rsidR="00204149">
        <w:t xml:space="preserve"> population </w:t>
      </w:r>
      <w:r w:rsidR="00002001">
        <w:t xml:space="preserve">of Australia </w:t>
      </w:r>
      <w:r w:rsidR="00204149">
        <w:t>at 2011 of 22,586,600 was a little below the ABS unrevised ERP for 2011 of 22,618,200.</w:t>
      </w:r>
      <w:r w:rsidR="00E67E7B">
        <w:t xml:space="preserve"> Thus, the NHSC population projections are aligned to the unrevised ERP.</w:t>
      </w:r>
    </w:p>
    <w:p w:rsidR="00002001" w:rsidRDefault="00002001" w:rsidP="00DC7242">
      <w:pPr>
        <w:jc w:val="both"/>
      </w:pPr>
    </w:p>
    <w:p w:rsidR="000B6BE3" w:rsidRDefault="00677DB5" w:rsidP="00DC7242">
      <w:pPr>
        <w:jc w:val="both"/>
      </w:pPr>
      <w:r>
        <w:t xml:space="preserve"> </w:t>
      </w:r>
      <w:r w:rsidR="00002001">
        <w:t>The revisions to ERP after the 2011 Census differed substantially across States and Territories (National Housing Supply Council 2013: 118). It is these revisions that are the major explanation of the differences at the State and Territory level between the NHSC projections and the ‘actual’ 2011 populations as shown in Appendix Table A1.1.</w:t>
      </w:r>
      <w:r w:rsidR="000B6BE3">
        <w:t xml:space="preserve"> For Australia, the Medium NHSC projection of population was 1.2 per cent higher than the revised ERP. For Western Australia, Tasmania and ACT, however, the revised 2011 ERP was higher than the NHSC projected populations. This again reflects the effects of the ABS post-census revision of ERP. </w:t>
      </w:r>
    </w:p>
    <w:p w:rsidR="000B6BE3" w:rsidRDefault="000B6BE3"/>
    <w:p w:rsidR="00976A23" w:rsidRPr="00A56D38" w:rsidRDefault="00D54E05">
      <w:pPr>
        <w:rPr>
          <w:sz w:val="20"/>
          <w:szCs w:val="20"/>
        </w:rPr>
      </w:pPr>
      <w:r w:rsidRPr="00A56D38">
        <w:rPr>
          <w:b/>
          <w:sz w:val="20"/>
          <w:szCs w:val="20"/>
        </w:rPr>
        <w:t>Table A1.1.</w:t>
      </w:r>
      <w:r w:rsidR="000B6BE3" w:rsidRPr="00A56D38">
        <w:rPr>
          <w:b/>
          <w:sz w:val="20"/>
          <w:szCs w:val="20"/>
        </w:rPr>
        <w:t xml:space="preserve"> Comparison of NHSC projections with the Revised ERP, 2011</w:t>
      </w:r>
      <w:r w:rsidRPr="00A56D38">
        <w:rPr>
          <w:b/>
          <w:sz w:val="20"/>
          <w:szCs w:val="20"/>
        </w:rPr>
        <w:t xml:space="preserve"> </w:t>
      </w:r>
    </w:p>
    <w:tbl>
      <w:tblPr>
        <w:tblStyle w:val="TableGrid"/>
        <w:tblW w:w="0" w:type="auto"/>
        <w:tblLook w:val="04A0"/>
      </w:tblPr>
      <w:tblGrid>
        <w:gridCol w:w="2376"/>
        <w:gridCol w:w="1276"/>
        <w:gridCol w:w="1276"/>
        <w:gridCol w:w="1276"/>
        <w:gridCol w:w="1275"/>
        <w:gridCol w:w="1276"/>
      </w:tblGrid>
      <w:tr w:rsidR="003F767B" w:rsidRPr="00A56D38" w:rsidTr="000802EC">
        <w:tc>
          <w:tcPr>
            <w:tcW w:w="2376" w:type="dxa"/>
            <w:vMerge w:val="restart"/>
          </w:tcPr>
          <w:p w:rsidR="003F767B" w:rsidRPr="00A56D38" w:rsidRDefault="003F767B">
            <w:pPr>
              <w:rPr>
                <w:b/>
                <w:sz w:val="20"/>
                <w:szCs w:val="20"/>
              </w:rPr>
            </w:pPr>
            <w:r w:rsidRPr="00A56D38">
              <w:rPr>
                <w:b/>
                <w:sz w:val="20"/>
                <w:szCs w:val="20"/>
              </w:rPr>
              <w:t>Variant</w:t>
            </w:r>
          </w:p>
        </w:tc>
        <w:tc>
          <w:tcPr>
            <w:tcW w:w="6379" w:type="dxa"/>
            <w:gridSpan w:val="5"/>
          </w:tcPr>
          <w:p w:rsidR="003F767B" w:rsidRPr="00A56D38" w:rsidRDefault="003F767B" w:rsidP="003F767B">
            <w:pPr>
              <w:jc w:val="center"/>
              <w:rPr>
                <w:b/>
                <w:sz w:val="20"/>
                <w:szCs w:val="20"/>
              </w:rPr>
            </w:pPr>
            <w:r w:rsidRPr="00A56D38">
              <w:rPr>
                <w:b/>
                <w:sz w:val="20"/>
                <w:szCs w:val="20"/>
              </w:rPr>
              <w:t>Population 2011</w:t>
            </w:r>
          </w:p>
        </w:tc>
      </w:tr>
      <w:tr w:rsidR="003F767B" w:rsidRPr="00A56D38" w:rsidTr="00336106">
        <w:tc>
          <w:tcPr>
            <w:tcW w:w="2376" w:type="dxa"/>
            <w:vMerge/>
          </w:tcPr>
          <w:p w:rsidR="003F767B" w:rsidRPr="00A56D38" w:rsidRDefault="003F767B">
            <w:pPr>
              <w:rPr>
                <w:b/>
                <w:sz w:val="20"/>
                <w:szCs w:val="20"/>
              </w:rPr>
            </w:pPr>
          </w:p>
        </w:tc>
        <w:tc>
          <w:tcPr>
            <w:tcW w:w="1276" w:type="dxa"/>
          </w:tcPr>
          <w:p w:rsidR="003F767B" w:rsidRPr="00A56D38" w:rsidRDefault="003F767B" w:rsidP="003F767B">
            <w:pPr>
              <w:jc w:val="center"/>
              <w:rPr>
                <w:b/>
                <w:sz w:val="20"/>
                <w:szCs w:val="20"/>
              </w:rPr>
            </w:pPr>
            <w:r w:rsidRPr="00A56D38">
              <w:rPr>
                <w:b/>
                <w:sz w:val="20"/>
                <w:szCs w:val="20"/>
              </w:rPr>
              <w:t>NSW</w:t>
            </w:r>
          </w:p>
        </w:tc>
        <w:tc>
          <w:tcPr>
            <w:tcW w:w="1276" w:type="dxa"/>
          </w:tcPr>
          <w:p w:rsidR="003F767B" w:rsidRPr="00A56D38" w:rsidRDefault="003F767B" w:rsidP="003F767B">
            <w:pPr>
              <w:jc w:val="center"/>
              <w:rPr>
                <w:b/>
                <w:sz w:val="20"/>
                <w:szCs w:val="20"/>
              </w:rPr>
            </w:pPr>
            <w:r w:rsidRPr="00A56D38">
              <w:rPr>
                <w:b/>
                <w:sz w:val="20"/>
                <w:szCs w:val="20"/>
              </w:rPr>
              <w:t>Vic</w:t>
            </w:r>
          </w:p>
        </w:tc>
        <w:tc>
          <w:tcPr>
            <w:tcW w:w="1276" w:type="dxa"/>
          </w:tcPr>
          <w:p w:rsidR="003F767B" w:rsidRPr="00A56D38" w:rsidRDefault="003F767B" w:rsidP="003F767B">
            <w:pPr>
              <w:jc w:val="center"/>
              <w:rPr>
                <w:b/>
                <w:sz w:val="20"/>
                <w:szCs w:val="20"/>
              </w:rPr>
            </w:pPr>
            <w:proofErr w:type="spellStart"/>
            <w:r w:rsidRPr="00A56D38">
              <w:rPr>
                <w:b/>
                <w:sz w:val="20"/>
                <w:szCs w:val="20"/>
              </w:rPr>
              <w:t>Qld</w:t>
            </w:r>
            <w:proofErr w:type="spellEnd"/>
          </w:p>
        </w:tc>
        <w:tc>
          <w:tcPr>
            <w:tcW w:w="1275" w:type="dxa"/>
          </w:tcPr>
          <w:p w:rsidR="003F767B" w:rsidRPr="00A56D38" w:rsidRDefault="003F767B" w:rsidP="003F767B">
            <w:pPr>
              <w:jc w:val="center"/>
              <w:rPr>
                <w:b/>
                <w:sz w:val="20"/>
                <w:szCs w:val="20"/>
              </w:rPr>
            </w:pPr>
            <w:r w:rsidRPr="00A56D38">
              <w:rPr>
                <w:b/>
                <w:sz w:val="20"/>
                <w:szCs w:val="20"/>
              </w:rPr>
              <w:t>SA</w:t>
            </w:r>
          </w:p>
        </w:tc>
        <w:tc>
          <w:tcPr>
            <w:tcW w:w="1276" w:type="dxa"/>
          </w:tcPr>
          <w:p w:rsidR="003F767B" w:rsidRPr="00A56D38" w:rsidRDefault="003F767B" w:rsidP="003F767B">
            <w:pPr>
              <w:jc w:val="center"/>
              <w:rPr>
                <w:b/>
                <w:sz w:val="20"/>
                <w:szCs w:val="20"/>
              </w:rPr>
            </w:pPr>
            <w:r w:rsidRPr="00A56D38">
              <w:rPr>
                <w:b/>
                <w:sz w:val="20"/>
                <w:szCs w:val="20"/>
              </w:rPr>
              <w:t>WA</w:t>
            </w:r>
          </w:p>
        </w:tc>
      </w:tr>
      <w:tr w:rsidR="00336106" w:rsidRPr="00A56D38" w:rsidTr="00336106">
        <w:tc>
          <w:tcPr>
            <w:tcW w:w="2376" w:type="dxa"/>
          </w:tcPr>
          <w:p w:rsidR="00336106" w:rsidRPr="00A56D38" w:rsidRDefault="00336106">
            <w:pPr>
              <w:rPr>
                <w:b/>
                <w:sz w:val="20"/>
                <w:szCs w:val="20"/>
              </w:rPr>
            </w:pPr>
            <w:r w:rsidRPr="00A56D38">
              <w:rPr>
                <w:b/>
                <w:sz w:val="20"/>
                <w:szCs w:val="20"/>
              </w:rPr>
              <w:t>Actual ERP (post-census revision)</w:t>
            </w:r>
          </w:p>
        </w:tc>
        <w:tc>
          <w:tcPr>
            <w:tcW w:w="1276" w:type="dxa"/>
          </w:tcPr>
          <w:p w:rsidR="00336106" w:rsidRPr="00A56D38" w:rsidRDefault="00590801" w:rsidP="003F767B">
            <w:pPr>
              <w:jc w:val="center"/>
              <w:rPr>
                <w:sz w:val="20"/>
                <w:szCs w:val="20"/>
              </w:rPr>
            </w:pPr>
            <w:r w:rsidRPr="00A56D38">
              <w:rPr>
                <w:sz w:val="20"/>
                <w:szCs w:val="20"/>
              </w:rPr>
              <w:t>7211468</w:t>
            </w:r>
          </w:p>
        </w:tc>
        <w:tc>
          <w:tcPr>
            <w:tcW w:w="1276" w:type="dxa"/>
          </w:tcPr>
          <w:p w:rsidR="00336106" w:rsidRPr="00A56D38" w:rsidRDefault="00590801" w:rsidP="003F767B">
            <w:pPr>
              <w:jc w:val="center"/>
              <w:rPr>
                <w:sz w:val="20"/>
                <w:szCs w:val="20"/>
              </w:rPr>
            </w:pPr>
            <w:r w:rsidRPr="00A56D38">
              <w:rPr>
                <w:sz w:val="20"/>
                <w:szCs w:val="20"/>
              </w:rPr>
              <w:t>5534526</w:t>
            </w:r>
          </w:p>
        </w:tc>
        <w:tc>
          <w:tcPr>
            <w:tcW w:w="1276" w:type="dxa"/>
          </w:tcPr>
          <w:p w:rsidR="00336106" w:rsidRPr="00A56D38" w:rsidRDefault="00590801" w:rsidP="003F767B">
            <w:pPr>
              <w:jc w:val="center"/>
              <w:rPr>
                <w:sz w:val="20"/>
                <w:szCs w:val="20"/>
              </w:rPr>
            </w:pPr>
            <w:r w:rsidRPr="00A56D38">
              <w:rPr>
                <w:sz w:val="20"/>
                <w:szCs w:val="20"/>
              </w:rPr>
              <w:t>4474098</w:t>
            </w:r>
          </w:p>
        </w:tc>
        <w:tc>
          <w:tcPr>
            <w:tcW w:w="1275" w:type="dxa"/>
          </w:tcPr>
          <w:p w:rsidR="00336106" w:rsidRPr="00A56D38" w:rsidRDefault="00590801" w:rsidP="003F767B">
            <w:pPr>
              <w:jc w:val="center"/>
              <w:rPr>
                <w:sz w:val="20"/>
                <w:szCs w:val="20"/>
              </w:rPr>
            </w:pPr>
            <w:r w:rsidRPr="00A56D38">
              <w:rPr>
                <w:sz w:val="20"/>
                <w:szCs w:val="20"/>
              </w:rPr>
              <w:t>1638232</w:t>
            </w:r>
          </w:p>
        </w:tc>
        <w:tc>
          <w:tcPr>
            <w:tcW w:w="1276" w:type="dxa"/>
          </w:tcPr>
          <w:p w:rsidR="00336106" w:rsidRPr="00A56D38" w:rsidRDefault="00590801" w:rsidP="003F767B">
            <w:pPr>
              <w:jc w:val="center"/>
              <w:rPr>
                <w:sz w:val="20"/>
                <w:szCs w:val="20"/>
              </w:rPr>
            </w:pPr>
            <w:r w:rsidRPr="00A56D38">
              <w:rPr>
                <w:sz w:val="20"/>
                <w:szCs w:val="20"/>
              </w:rPr>
              <w:t>2352215</w:t>
            </w:r>
          </w:p>
        </w:tc>
      </w:tr>
      <w:tr w:rsidR="00336106" w:rsidRPr="00A56D38" w:rsidTr="00336106">
        <w:tc>
          <w:tcPr>
            <w:tcW w:w="2376" w:type="dxa"/>
          </w:tcPr>
          <w:p w:rsidR="00336106" w:rsidRPr="00A56D38" w:rsidRDefault="00336106">
            <w:pPr>
              <w:rPr>
                <w:b/>
                <w:sz w:val="20"/>
                <w:szCs w:val="20"/>
              </w:rPr>
            </w:pPr>
            <w:r w:rsidRPr="00A56D38">
              <w:rPr>
                <w:b/>
                <w:sz w:val="20"/>
                <w:szCs w:val="20"/>
              </w:rPr>
              <w:t>NHSC Projections</w:t>
            </w:r>
          </w:p>
        </w:tc>
        <w:tc>
          <w:tcPr>
            <w:tcW w:w="1276" w:type="dxa"/>
          </w:tcPr>
          <w:p w:rsidR="00336106" w:rsidRPr="00A56D38" w:rsidRDefault="00336106" w:rsidP="003F767B">
            <w:pPr>
              <w:jc w:val="center"/>
              <w:rPr>
                <w:sz w:val="20"/>
                <w:szCs w:val="20"/>
              </w:rPr>
            </w:pPr>
          </w:p>
        </w:tc>
        <w:tc>
          <w:tcPr>
            <w:tcW w:w="1276" w:type="dxa"/>
          </w:tcPr>
          <w:p w:rsidR="00336106" w:rsidRPr="00A56D38" w:rsidRDefault="00336106" w:rsidP="003F767B">
            <w:pPr>
              <w:jc w:val="center"/>
              <w:rPr>
                <w:sz w:val="20"/>
                <w:szCs w:val="20"/>
              </w:rPr>
            </w:pPr>
          </w:p>
        </w:tc>
        <w:tc>
          <w:tcPr>
            <w:tcW w:w="1276" w:type="dxa"/>
          </w:tcPr>
          <w:p w:rsidR="00336106" w:rsidRPr="00A56D38" w:rsidRDefault="00336106" w:rsidP="003F767B">
            <w:pPr>
              <w:jc w:val="center"/>
              <w:rPr>
                <w:sz w:val="20"/>
                <w:szCs w:val="20"/>
              </w:rPr>
            </w:pPr>
          </w:p>
        </w:tc>
        <w:tc>
          <w:tcPr>
            <w:tcW w:w="1275" w:type="dxa"/>
          </w:tcPr>
          <w:p w:rsidR="00336106" w:rsidRPr="00A56D38" w:rsidRDefault="00336106" w:rsidP="003F767B">
            <w:pPr>
              <w:jc w:val="center"/>
              <w:rPr>
                <w:sz w:val="20"/>
                <w:szCs w:val="20"/>
              </w:rPr>
            </w:pPr>
          </w:p>
        </w:tc>
        <w:tc>
          <w:tcPr>
            <w:tcW w:w="1276" w:type="dxa"/>
          </w:tcPr>
          <w:p w:rsidR="00336106" w:rsidRPr="00A56D38" w:rsidRDefault="00336106" w:rsidP="003F767B">
            <w:pPr>
              <w:jc w:val="center"/>
              <w:rPr>
                <w:sz w:val="20"/>
                <w:szCs w:val="20"/>
              </w:rPr>
            </w:pPr>
          </w:p>
        </w:tc>
      </w:tr>
      <w:tr w:rsidR="00336106" w:rsidRPr="00A56D38" w:rsidTr="00336106">
        <w:tc>
          <w:tcPr>
            <w:tcW w:w="2376" w:type="dxa"/>
          </w:tcPr>
          <w:p w:rsidR="00336106" w:rsidRPr="00A56D38" w:rsidRDefault="00336106" w:rsidP="00336106">
            <w:pPr>
              <w:jc w:val="right"/>
              <w:rPr>
                <w:b/>
                <w:sz w:val="20"/>
                <w:szCs w:val="20"/>
              </w:rPr>
            </w:pPr>
            <w:r w:rsidRPr="00A56D38">
              <w:rPr>
                <w:b/>
                <w:sz w:val="20"/>
                <w:szCs w:val="20"/>
              </w:rPr>
              <w:t>Low</w:t>
            </w:r>
          </w:p>
        </w:tc>
        <w:tc>
          <w:tcPr>
            <w:tcW w:w="1276" w:type="dxa"/>
          </w:tcPr>
          <w:p w:rsidR="00336106" w:rsidRPr="00A56D38" w:rsidRDefault="00590801" w:rsidP="003F767B">
            <w:pPr>
              <w:jc w:val="center"/>
              <w:rPr>
                <w:sz w:val="20"/>
                <w:szCs w:val="20"/>
              </w:rPr>
            </w:pPr>
            <w:r w:rsidRPr="00A56D38">
              <w:rPr>
                <w:sz w:val="20"/>
                <w:szCs w:val="20"/>
              </w:rPr>
              <w:t>7238518</w:t>
            </w:r>
          </w:p>
        </w:tc>
        <w:tc>
          <w:tcPr>
            <w:tcW w:w="1276" w:type="dxa"/>
          </w:tcPr>
          <w:p w:rsidR="00336106" w:rsidRPr="00A56D38" w:rsidRDefault="00013384" w:rsidP="003F767B">
            <w:pPr>
              <w:jc w:val="center"/>
              <w:rPr>
                <w:sz w:val="20"/>
                <w:szCs w:val="20"/>
              </w:rPr>
            </w:pPr>
            <w:r w:rsidRPr="00A56D38">
              <w:rPr>
                <w:sz w:val="20"/>
                <w:szCs w:val="20"/>
              </w:rPr>
              <w:t>5549422</w:t>
            </w:r>
          </w:p>
        </w:tc>
        <w:tc>
          <w:tcPr>
            <w:tcW w:w="1276" w:type="dxa"/>
          </w:tcPr>
          <w:p w:rsidR="00336106" w:rsidRPr="00A56D38" w:rsidRDefault="00013384" w:rsidP="003F767B">
            <w:pPr>
              <w:jc w:val="center"/>
              <w:rPr>
                <w:sz w:val="20"/>
                <w:szCs w:val="20"/>
              </w:rPr>
            </w:pPr>
            <w:r w:rsidRPr="00A56D38">
              <w:rPr>
                <w:sz w:val="20"/>
                <w:szCs w:val="20"/>
              </w:rPr>
              <w:t>4580935</w:t>
            </w:r>
          </w:p>
        </w:tc>
        <w:tc>
          <w:tcPr>
            <w:tcW w:w="1275" w:type="dxa"/>
          </w:tcPr>
          <w:p w:rsidR="00336106" w:rsidRPr="00A56D38" w:rsidRDefault="00013384" w:rsidP="003F767B">
            <w:pPr>
              <w:jc w:val="center"/>
              <w:rPr>
                <w:sz w:val="20"/>
                <w:szCs w:val="20"/>
              </w:rPr>
            </w:pPr>
            <w:r w:rsidRPr="00A56D38">
              <w:rPr>
                <w:sz w:val="20"/>
                <w:szCs w:val="20"/>
              </w:rPr>
              <w:t>1639865</w:t>
            </w:r>
          </w:p>
        </w:tc>
        <w:tc>
          <w:tcPr>
            <w:tcW w:w="1276" w:type="dxa"/>
          </w:tcPr>
          <w:p w:rsidR="00336106" w:rsidRPr="00A56D38" w:rsidRDefault="00013384" w:rsidP="003F767B">
            <w:pPr>
              <w:jc w:val="center"/>
              <w:rPr>
                <w:sz w:val="20"/>
                <w:szCs w:val="20"/>
              </w:rPr>
            </w:pPr>
            <w:r w:rsidRPr="00A56D38">
              <w:rPr>
                <w:sz w:val="20"/>
                <w:szCs w:val="20"/>
              </w:rPr>
              <w:t>2315171</w:t>
            </w:r>
          </w:p>
        </w:tc>
      </w:tr>
      <w:tr w:rsidR="00336106" w:rsidRPr="00A56D38" w:rsidTr="00336106">
        <w:tc>
          <w:tcPr>
            <w:tcW w:w="2376" w:type="dxa"/>
          </w:tcPr>
          <w:p w:rsidR="00336106" w:rsidRPr="00A56D38" w:rsidRDefault="00336106" w:rsidP="00336106">
            <w:pPr>
              <w:jc w:val="right"/>
              <w:rPr>
                <w:b/>
                <w:sz w:val="20"/>
                <w:szCs w:val="20"/>
              </w:rPr>
            </w:pPr>
            <w:r w:rsidRPr="00A56D38">
              <w:rPr>
                <w:b/>
                <w:sz w:val="20"/>
                <w:szCs w:val="20"/>
              </w:rPr>
              <w:t>Medium</w:t>
            </w:r>
          </w:p>
        </w:tc>
        <w:tc>
          <w:tcPr>
            <w:tcW w:w="1276" w:type="dxa"/>
          </w:tcPr>
          <w:p w:rsidR="00336106" w:rsidRPr="00A56D38" w:rsidRDefault="00590801" w:rsidP="003F767B">
            <w:pPr>
              <w:jc w:val="center"/>
              <w:rPr>
                <w:sz w:val="20"/>
                <w:szCs w:val="20"/>
              </w:rPr>
            </w:pPr>
            <w:r w:rsidRPr="00A56D38">
              <w:rPr>
                <w:sz w:val="20"/>
                <w:szCs w:val="20"/>
              </w:rPr>
              <w:t>7288113</w:t>
            </w:r>
          </w:p>
        </w:tc>
        <w:tc>
          <w:tcPr>
            <w:tcW w:w="1276" w:type="dxa"/>
          </w:tcPr>
          <w:p w:rsidR="00336106" w:rsidRPr="00A56D38" w:rsidRDefault="00013384" w:rsidP="003F767B">
            <w:pPr>
              <w:jc w:val="center"/>
              <w:rPr>
                <w:sz w:val="20"/>
                <w:szCs w:val="20"/>
              </w:rPr>
            </w:pPr>
            <w:r w:rsidRPr="00A56D38">
              <w:rPr>
                <w:sz w:val="20"/>
                <w:szCs w:val="20"/>
              </w:rPr>
              <w:t>5592030</w:t>
            </w:r>
          </w:p>
        </w:tc>
        <w:tc>
          <w:tcPr>
            <w:tcW w:w="1276" w:type="dxa"/>
          </w:tcPr>
          <w:p w:rsidR="00336106" w:rsidRPr="00A56D38" w:rsidRDefault="00013384" w:rsidP="003F767B">
            <w:pPr>
              <w:jc w:val="center"/>
              <w:rPr>
                <w:sz w:val="20"/>
                <w:szCs w:val="20"/>
              </w:rPr>
            </w:pPr>
            <w:r w:rsidRPr="00A56D38">
              <w:rPr>
                <w:sz w:val="20"/>
                <w:szCs w:val="20"/>
              </w:rPr>
              <w:t>4613335</w:t>
            </w:r>
          </w:p>
        </w:tc>
        <w:tc>
          <w:tcPr>
            <w:tcW w:w="1275" w:type="dxa"/>
          </w:tcPr>
          <w:p w:rsidR="00336106" w:rsidRPr="00A56D38" w:rsidRDefault="00013384" w:rsidP="003F767B">
            <w:pPr>
              <w:jc w:val="center"/>
              <w:rPr>
                <w:sz w:val="20"/>
                <w:szCs w:val="20"/>
              </w:rPr>
            </w:pPr>
            <w:r w:rsidRPr="00A56D38">
              <w:rPr>
                <w:sz w:val="20"/>
                <w:szCs w:val="20"/>
              </w:rPr>
              <w:t>1648762</w:t>
            </w:r>
          </w:p>
        </w:tc>
        <w:tc>
          <w:tcPr>
            <w:tcW w:w="1276" w:type="dxa"/>
          </w:tcPr>
          <w:p w:rsidR="00336106" w:rsidRPr="00A56D38" w:rsidRDefault="00013384" w:rsidP="003F767B">
            <w:pPr>
              <w:jc w:val="center"/>
              <w:rPr>
                <w:sz w:val="20"/>
                <w:szCs w:val="20"/>
              </w:rPr>
            </w:pPr>
            <w:r w:rsidRPr="00A56D38">
              <w:rPr>
                <w:sz w:val="20"/>
                <w:szCs w:val="20"/>
              </w:rPr>
              <w:t>2339760</w:t>
            </w:r>
          </w:p>
        </w:tc>
      </w:tr>
      <w:tr w:rsidR="00336106" w:rsidRPr="00A56D38" w:rsidTr="00336106">
        <w:tc>
          <w:tcPr>
            <w:tcW w:w="2376" w:type="dxa"/>
          </w:tcPr>
          <w:p w:rsidR="00336106" w:rsidRPr="00A56D38" w:rsidRDefault="00336106" w:rsidP="00336106">
            <w:pPr>
              <w:jc w:val="right"/>
              <w:rPr>
                <w:b/>
                <w:sz w:val="20"/>
                <w:szCs w:val="20"/>
              </w:rPr>
            </w:pPr>
            <w:r w:rsidRPr="00A56D38">
              <w:rPr>
                <w:b/>
                <w:sz w:val="20"/>
                <w:szCs w:val="20"/>
              </w:rPr>
              <w:t>High</w:t>
            </w:r>
          </w:p>
        </w:tc>
        <w:tc>
          <w:tcPr>
            <w:tcW w:w="1276" w:type="dxa"/>
          </w:tcPr>
          <w:p w:rsidR="00336106" w:rsidRPr="00A56D38" w:rsidRDefault="00590801" w:rsidP="003F767B">
            <w:pPr>
              <w:jc w:val="center"/>
              <w:rPr>
                <w:sz w:val="20"/>
                <w:szCs w:val="20"/>
              </w:rPr>
            </w:pPr>
            <w:r w:rsidRPr="00A56D38">
              <w:rPr>
                <w:sz w:val="20"/>
                <w:szCs w:val="20"/>
              </w:rPr>
              <w:t>7331508</w:t>
            </w:r>
          </w:p>
        </w:tc>
        <w:tc>
          <w:tcPr>
            <w:tcW w:w="1276" w:type="dxa"/>
          </w:tcPr>
          <w:p w:rsidR="00336106" w:rsidRPr="00A56D38" w:rsidRDefault="00013384" w:rsidP="003F767B">
            <w:pPr>
              <w:jc w:val="center"/>
              <w:rPr>
                <w:sz w:val="20"/>
                <w:szCs w:val="20"/>
              </w:rPr>
            </w:pPr>
            <w:r w:rsidRPr="00A56D38">
              <w:rPr>
                <w:sz w:val="20"/>
                <w:szCs w:val="20"/>
              </w:rPr>
              <w:t>5629311</w:t>
            </w:r>
          </w:p>
        </w:tc>
        <w:tc>
          <w:tcPr>
            <w:tcW w:w="1276" w:type="dxa"/>
          </w:tcPr>
          <w:p w:rsidR="00336106" w:rsidRPr="00A56D38" w:rsidRDefault="00013384" w:rsidP="003F767B">
            <w:pPr>
              <w:jc w:val="center"/>
              <w:rPr>
                <w:sz w:val="20"/>
                <w:szCs w:val="20"/>
              </w:rPr>
            </w:pPr>
            <w:r w:rsidRPr="00A56D38">
              <w:rPr>
                <w:sz w:val="20"/>
                <w:szCs w:val="20"/>
              </w:rPr>
              <w:t>4641684</w:t>
            </w:r>
          </w:p>
        </w:tc>
        <w:tc>
          <w:tcPr>
            <w:tcW w:w="1275" w:type="dxa"/>
          </w:tcPr>
          <w:p w:rsidR="00336106" w:rsidRPr="00A56D38" w:rsidRDefault="00013384" w:rsidP="003F767B">
            <w:pPr>
              <w:jc w:val="center"/>
              <w:rPr>
                <w:sz w:val="20"/>
                <w:szCs w:val="20"/>
              </w:rPr>
            </w:pPr>
            <w:r w:rsidRPr="00A56D38">
              <w:rPr>
                <w:sz w:val="20"/>
                <w:szCs w:val="20"/>
              </w:rPr>
              <w:t>1656548</w:t>
            </w:r>
          </w:p>
        </w:tc>
        <w:tc>
          <w:tcPr>
            <w:tcW w:w="1276" w:type="dxa"/>
          </w:tcPr>
          <w:p w:rsidR="00336106" w:rsidRPr="00A56D38" w:rsidRDefault="00013384" w:rsidP="003F767B">
            <w:pPr>
              <w:jc w:val="center"/>
              <w:rPr>
                <w:sz w:val="20"/>
                <w:szCs w:val="20"/>
              </w:rPr>
            </w:pPr>
            <w:r w:rsidRPr="00A56D38">
              <w:rPr>
                <w:sz w:val="20"/>
                <w:szCs w:val="20"/>
              </w:rPr>
              <w:t>2361276</w:t>
            </w:r>
          </w:p>
        </w:tc>
      </w:tr>
      <w:tr w:rsidR="003F767B" w:rsidRPr="00A56D38" w:rsidTr="00336106">
        <w:tc>
          <w:tcPr>
            <w:tcW w:w="2376" w:type="dxa"/>
          </w:tcPr>
          <w:p w:rsidR="003F767B" w:rsidRPr="00A56D38" w:rsidRDefault="003F767B" w:rsidP="000802EC">
            <w:pPr>
              <w:rPr>
                <w:b/>
                <w:sz w:val="20"/>
                <w:szCs w:val="20"/>
              </w:rPr>
            </w:pPr>
            <w:r w:rsidRPr="00A56D38">
              <w:rPr>
                <w:b/>
                <w:sz w:val="20"/>
                <w:szCs w:val="20"/>
              </w:rPr>
              <w:t>Differences (NHSC and revised ERP)</w:t>
            </w:r>
            <w:r w:rsidR="00013384" w:rsidRPr="00A56D38">
              <w:rPr>
                <w:b/>
                <w:sz w:val="20"/>
                <w:szCs w:val="20"/>
              </w:rPr>
              <w:t>, %</w:t>
            </w:r>
          </w:p>
        </w:tc>
        <w:tc>
          <w:tcPr>
            <w:tcW w:w="1276" w:type="dxa"/>
          </w:tcPr>
          <w:p w:rsidR="003F767B" w:rsidRPr="00A56D38" w:rsidRDefault="003F767B" w:rsidP="003F767B">
            <w:pPr>
              <w:jc w:val="center"/>
              <w:rPr>
                <w:sz w:val="20"/>
                <w:szCs w:val="20"/>
              </w:rPr>
            </w:pPr>
          </w:p>
        </w:tc>
        <w:tc>
          <w:tcPr>
            <w:tcW w:w="1276" w:type="dxa"/>
          </w:tcPr>
          <w:p w:rsidR="003F767B" w:rsidRPr="00A56D38" w:rsidRDefault="003F767B" w:rsidP="003F767B">
            <w:pPr>
              <w:jc w:val="center"/>
              <w:rPr>
                <w:sz w:val="20"/>
                <w:szCs w:val="20"/>
              </w:rPr>
            </w:pPr>
          </w:p>
        </w:tc>
        <w:tc>
          <w:tcPr>
            <w:tcW w:w="1276" w:type="dxa"/>
          </w:tcPr>
          <w:p w:rsidR="003F767B" w:rsidRPr="00A56D38" w:rsidRDefault="003F767B" w:rsidP="003F767B">
            <w:pPr>
              <w:jc w:val="center"/>
              <w:rPr>
                <w:sz w:val="20"/>
                <w:szCs w:val="20"/>
              </w:rPr>
            </w:pPr>
          </w:p>
        </w:tc>
        <w:tc>
          <w:tcPr>
            <w:tcW w:w="1275" w:type="dxa"/>
          </w:tcPr>
          <w:p w:rsidR="003F767B" w:rsidRPr="00A56D38" w:rsidRDefault="003F767B" w:rsidP="003F767B">
            <w:pPr>
              <w:jc w:val="center"/>
              <w:rPr>
                <w:sz w:val="20"/>
                <w:szCs w:val="20"/>
              </w:rPr>
            </w:pPr>
          </w:p>
        </w:tc>
        <w:tc>
          <w:tcPr>
            <w:tcW w:w="1276" w:type="dxa"/>
          </w:tcPr>
          <w:p w:rsidR="003F767B" w:rsidRPr="00A56D38" w:rsidRDefault="003F767B" w:rsidP="003F767B">
            <w:pPr>
              <w:jc w:val="center"/>
              <w:rPr>
                <w:sz w:val="20"/>
                <w:szCs w:val="20"/>
              </w:rPr>
            </w:pPr>
          </w:p>
        </w:tc>
      </w:tr>
      <w:tr w:rsidR="003F767B" w:rsidRPr="00A56D38" w:rsidTr="00336106">
        <w:tc>
          <w:tcPr>
            <w:tcW w:w="2376" w:type="dxa"/>
          </w:tcPr>
          <w:p w:rsidR="003F767B" w:rsidRPr="00A56D38" w:rsidRDefault="003F767B" w:rsidP="000802EC">
            <w:pPr>
              <w:jc w:val="right"/>
              <w:rPr>
                <w:b/>
                <w:sz w:val="20"/>
                <w:szCs w:val="20"/>
              </w:rPr>
            </w:pPr>
            <w:r w:rsidRPr="00A56D38">
              <w:rPr>
                <w:b/>
                <w:sz w:val="20"/>
                <w:szCs w:val="20"/>
              </w:rPr>
              <w:t>Low</w:t>
            </w:r>
          </w:p>
        </w:tc>
        <w:tc>
          <w:tcPr>
            <w:tcW w:w="1276" w:type="dxa"/>
          </w:tcPr>
          <w:p w:rsidR="003F767B" w:rsidRPr="00A56D38" w:rsidRDefault="00013384" w:rsidP="003F767B">
            <w:pPr>
              <w:jc w:val="center"/>
              <w:rPr>
                <w:sz w:val="20"/>
                <w:szCs w:val="20"/>
              </w:rPr>
            </w:pPr>
            <w:r w:rsidRPr="00A56D38">
              <w:rPr>
                <w:sz w:val="20"/>
                <w:szCs w:val="20"/>
              </w:rPr>
              <w:t>0.4</w:t>
            </w:r>
          </w:p>
        </w:tc>
        <w:tc>
          <w:tcPr>
            <w:tcW w:w="1276" w:type="dxa"/>
          </w:tcPr>
          <w:p w:rsidR="003F767B" w:rsidRPr="00A56D38" w:rsidRDefault="00013384" w:rsidP="003F767B">
            <w:pPr>
              <w:jc w:val="center"/>
              <w:rPr>
                <w:sz w:val="20"/>
                <w:szCs w:val="20"/>
              </w:rPr>
            </w:pPr>
            <w:r w:rsidRPr="00A56D38">
              <w:rPr>
                <w:sz w:val="20"/>
                <w:szCs w:val="20"/>
              </w:rPr>
              <w:t>0.3</w:t>
            </w:r>
          </w:p>
        </w:tc>
        <w:tc>
          <w:tcPr>
            <w:tcW w:w="1276" w:type="dxa"/>
          </w:tcPr>
          <w:p w:rsidR="003F767B" w:rsidRPr="00A56D38" w:rsidRDefault="00013384" w:rsidP="003F767B">
            <w:pPr>
              <w:jc w:val="center"/>
              <w:rPr>
                <w:sz w:val="20"/>
                <w:szCs w:val="20"/>
              </w:rPr>
            </w:pPr>
            <w:r w:rsidRPr="00A56D38">
              <w:rPr>
                <w:sz w:val="20"/>
                <w:szCs w:val="20"/>
              </w:rPr>
              <w:t>2.4</w:t>
            </w:r>
          </w:p>
        </w:tc>
        <w:tc>
          <w:tcPr>
            <w:tcW w:w="1275" w:type="dxa"/>
          </w:tcPr>
          <w:p w:rsidR="003F767B" w:rsidRPr="00A56D38" w:rsidRDefault="00013384" w:rsidP="003F767B">
            <w:pPr>
              <w:jc w:val="center"/>
              <w:rPr>
                <w:sz w:val="20"/>
                <w:szCs w:val="20"/>
              </w:rPr>
            </w:pPr>
            <w:r w:rsidRPr="00A56D38">
              <w:rPr>
                <w:sz w:val="20"/>
                <w:szCs w:val="20"/>
              </w:rPr>
              <w:t>0.1</w:t>
            </w:r>
          </w:p>
        </w:tc>
        <w:tc>
          <w:tcPr>
            <w:tcW w:w="1276" w:type="dxa"/>
          </w:tcPr>
          <w:p w:rsidR="003F767B" w:rsidRPr="00A56D38" w:rsidRDefault="00013384" w:rsidP="003F767B">
            <w:pPr>
              <w:jc w:val="center"/>
              <w:rPr>
                <w:sz w:val="20"/>
                <w:szCs w:val="20"/>
              </w:rPr>
            </w:pPr>
            <w:r w:rsidRPr="00A56D38">
              <w:rPr>
                <w:sz w:val="20"/>
                <w:szCs w:val="20"/>
              </w:rPr>
              <w:t>-1.6</w:t>
            </w:r>
          </w:p>
        </w:tc>
      </w:tr>
      <w:tr w:rsidR="003F767B" w:rsidRPr="00A56D38" w:rsidTr="00336106">
        <w:tc>
          <w:tcPr>
            <w:tcW w:w="2376" w:type="dxa"/>
          </w:tcPr>
          <w:p w:rsidR="003F767B" w:rsidRPr="00A56D38" w:rsidRDefault="003F767B" w:rsidP="000802EC">
            <w:pPr>
              <w:jc w:val="right"/>
              <w:rPr>
                <w:b/>
                <w:sz w:val="20"/>
                <w:szCs w:val="20"/>
              </w:rPr>
            </w:pPr>
            <w:r w:rsidRPr="00A56D38">
              <w:rPr>
                <w:b/>
                <w:sz w:val="20"/>
                <w:szCs w:val="20"/>
              </w:rPr>
              <w:t>Medium</w:t>
            </w:r>
          </w:p>
        </w:tc>
        <w:tc>
          <w:tcPr>
            <w:tcW w:w="1276" w:type="dxa"/>
          </w:tcPr>
          <w:p w:rsidR="003F767B" w:rsidRPr="00A56D38" w:rsidRDefault="00013384" w:rsidP="003F767B">
            <w:pPr>
              <w:jc w:val="center"/>
              <w:rPr>
                <w:sz w:val="20"/>
                <w:szCs w:val="20"/>
              </w:rPr>
            </w:pPr>
            <w:r w:rsidRPr="00A56D38">
              <w:rPr>
                <w:sz w:val="20"/>
                <w:szCs w:val="20"/>
              </w:rPr>
              <w:t>1.1</w:t>
            </w:r>
          </w:p>
        </w:tc>
        <w:tc>
          <w:tcPr>
            <w:tcW w:w="1276" w:type="dxa"/>
          </w:tcPr>
          <w:p w:rsidR="003F767B" w:rsidRPr="00A56D38" w:rsidRDefault="00013384" w:rsidP="003F767B">
            <w:pPr>
              <w:jc w:val="center"/>
              <w:rPr>
                <w:sz w:val="20"/>
                <w:szCs w:val="20"/>
              </w:rPr>
            </w:pPr>
            <w:r w:rsidRPr="00A56D38">
              <w:rPr>
                <w:sz w:val="20"/>
                <w:szCs w:val="20"/>
              </w:rPr>
              <w:t>1.0</w:t>
            </w:r>
          </w:p>
        </w:tc>
        <w:tc>
          <w:tcPr>
            <w:tcW w:w="1276" w:type="dxa"/>
          </w:tcPr>
          <w:p w:rsidR="003F767B" w:rsidRPr="00A56D38" w:rsidRDefault="00013384" w:rsidP="003F767B">
            <w:pPr>
              <w:jc w:val="center"/>
              <w:rPr>
                <w:sz w:val="20"/>
                <w:szCs w:val="20"/>
              </w:rPr>
            </w:pPr>
            <w:r w:rsidRPr="00A56D38">
              <w:rPr>
                <w:sz w:val="20"/>
                <w:szCs w:val="20"/>
              </w:rPr>
              <w:t>3.1</w:t>
            </w:r>
          </w:p>
        </w:tc>
        <w:tc>
          <w:tcPr>
            <w:tcW w:w="1275" w:type="dxa"/>
          </w:tcPr>
          <w:p w:rsidR="003F767B" w:rsidRPr="00A56D38" w:rsidRDefault="00013384" w:rsidP="003F767B">
            <w:pPr>
              <w:jc w:val="center"/>
              <w:rPr>
                <w:sz w:val="20"/>
                <w:szCs w:val="20"/>
              </w:rPr>
            </w:pPr>
            <w:r w:rsidRPr="00A56D38">
              <w:rPr>
                <w:sz w:val="20"/>
                <w:szCs w:val="20"/>
              </w:rPr>
              <w:t>0.6</w:t>
            </w:r>
          </w:p>
        </w:tc>
        <w:tc>
          <w:tcPr>
            <w:tcW w:w="1276" w:type="dxa"/>
          </w:tcPr>
          <w:p w:rsidR="003F767B" w:rsidRPr="00A56D38" w:rsidRDefault="00013384" w:rsidP="003F767B">
            <w:pPr>
              <w:jc w:val="center"/>
              <w:rPr>
                <w:sz w:val="20"/>
                <w:szCs w:val="20"/>
              </w:rPr>
            </w:pPr>
            <w:r w:rsidRPr="00A56D38">
              <w:rPr>
                <w:sz w:val="20"/>
                <w:szCs w:val="20"/>
              </w:rPr>
              <w:t>-0.5</w:t>
            </w:r>
          </w:p>
        </w:tc>
      </w:tr>
      <w:tr w:rsidR="003F767B" w:rsidRPr="00A56D38" w:rsidTr="00336106">
        <w:tc>
          <w:tcPr>
            <w:tcW w:w="2376" w:type="dxa"/>
          </w:tcPr>
          <w:p w:rsidR="003F767B" w:rsidRPr="00A56D38" w:rsidRDefault="003F767B" w:rsidP="000802EC">
            <w:pPr>
              <w:jc w:val="right"/>
              <w:rPr>
                <w:b/>
                <w:sz w:val="20"/>
                <w:szCs w:val="20"/>
              </w:rPr>
            </w:pPr>
            <w:r w:rsidRPr="00A56D38">
              <w:rPr>
                <w:b/>
                <w:sz w:val="20"/>
                <w:szCs w:val="20"/>
              </w:rPr>
              <w:t>High</w:t>
            </w:r>
          </w:p>
        </w:tc>
        <w:tc>
          <w:tcPr>
            <w:tcW w:w="1276" w:type="dxa"/>
          </w:tcPr>
          <w:p w:rsidR="003F767B" w:rsidRPr="00A56D38" w:rsidRDefault="00013384" w:rsidP="003F767B">
            <w:pPr>
              <w:jc w:val="center"/>
              <w:rPr>
                <w:sz w:val="20"/>
                <w:szCs w:val="20"/>
              </w:rPr>
            </w:pPr>
            <w:r w:rsidRPr="00A56D38">
              <w:rPr>
                <w:sz w:val="20"/>
                <w:szCs w:val="20"/>
              </w:rPr>
              <w:t>1.7</w:t>
            </w:r>
          </w:p>
        </w:tc>
        <w:tc>
          <w:tcPr>
            <w:tcW w:w="1276" w:type="dxa"/>
          </w:tcPr>
          <w:p w:rsidR="003F767B" w:rsidRPr="00A56D38" w:rsidRDefault="00013384" w:rsidP="003F767B">
            <w:pPr>
              <w:jc w:val="center"/>
              <w:rPr>
                <w:sz w:val="20"/>
                <w:szCs w:val="20"/>
              </w:rPr>
            </w:pPr>
            <w:r w:rsidRPr="00A56D38">
              <w:rPr>
                <w:sz w:val="20"/>
                <w:szCs w:val="20"/>
              </w:rPr>
              <w:t>1.7</w:t>
            </w:r>
          </w:p>
        </w:tc>
        <w:tc>
          <w:tcPr>
            <w:tcW w:w="1276" w:type="dxa"/>
          </w:tcPr>
          <w:p w:rsidR="003F767B" w:rsidRPr="00A56D38" w:rsidRDefault="00013384" w:rsidP="003F767B">
            <w:pPr>
              <w:jc w:val="center"/>
              <w:rPr>
                <w:sz w:val="20"/>
                <w:szCs w:val="20"/>
              </w:rPr>
            </w:pPr>
            <w:r w:rsidRPr="00A56D38">
              <w:rPr>
                <w:sz w:val="20"/>
                <w:szCs w:val="20"/>
              </w:rPr>
              <w:t>3.7</w:t>
            </w:r>
          </w:p>
        </w:tc>
        <w:tc>
          <w:tcPr>
            <w:tcW w:w="1275" w:type="dxa"/>
          </w:tcPr>
          <w:p w:rsidR="003F767B" w:rsidRPr="00A56D38" w:rsidRDefault="00013384" w:rsidP="003F767B">
            <w:pPr>
              <w:jc w:val="center"/>
              <w:rPr>
                <w:sz w:val="20"/>
                <w:szCs w:val="20"/>
              </w:rPr>
            </w:pPr>
            <w:r w:rsidRPr="00A56D38">
              <w:rPr>
                <w:sz w:val="20"/>
                <w:szCs w:val="20"/>
              </w:rPr>
              <w:t>1.1</w:t>
            </w:r>
          </w:p>
        </w:tc>
        <w:tc>
          <w:tcPr>
            <w:tcW w:w="1276" w:type="dxa"/>
          </w:tcPr>
          <w:p w:rsidR="003F767B" w:rsidRPr="00A56D38" w:rsidRDefault="00013384" w:rsidP="003F767B">
            <w:pPr>
              <w:jc w:val="center"/>
              <w:rPr>
                <w:sz w:val="20"/>
                <w:szCs w:val="20"/>
              </w:rPr>
            </w:pPr>
            <w:r w:rsidRPr="00A56D38">
              <w:rPr>
                <w:sz w:val="20"/>
                <w:szCs w:val="20"/>
              </w:rPr>
              <w:t>0.4</w:t>
            </w:r>
          </w:p>
        </w:tc>
      </w:tr>
      <w:tr w:rsidR="00DE2D99" w:rsidRPr="00A56D38" w:rsidTr="000802EC">
        <w:tc>
          <w:tcPr>
            <w:tcW w:w="8755" w:type="dxa"/>
            <w:gridSpan w:val="6"/>
          </w:tcPr>
          <w:p w:rsidR="00DE2D99" w:rsidRPr="00A56D38" w:rsidRDefault="00DE2D99" w:rsidP="003F767B">
            <w:pPr>
              <w:jc w:val="center"/>
              <w:rPr>
                <w:b/>
                <w:sz w:val="20"/>
                <w:szCs w:val="20"/>
              </w:rPr>
            </w:pPr>
          </w:p>
        </w:tc>
      </w:tr>
      <w:tr w:rsidR="00DE2D99" w:rsidRPr="00A56D38" w:rsidTr="000802EC">
        <w:tc>
          <w:tcPr>
            <w:tcW w:w="2376" w:type="dxa"/>
            <w:vMerge w:val="restart"/>
          </w:tcPr>
          <w:p w:rsidR="00DE2D99" w:rsidRPr="00A56D38" w:rsidRDefault="00DE2D99" w:rsidP="000802EC">
            <w:pPr>
              <w:rPr>
                <w:b/>
                <w:sz w:val="20"/>
                <w:szCs w:val="20"/>
              </w:rPr>
            </w:pPr>
            <w:r w:rsidRPr="00A56D38">
              <w:rPr>
                <w:b/>
                <w:sz w:val="20"/>
                <w:szCs w:val="20"/>
              </w:rPr>
              <w:t>Variant</w:t>
            </w:r>
          </w:p>
        </w:tc>
        <w:tc>
          <w:tcPr>
            <w:tcW w:w="6379" w:type="dxa"/>
            <w:gridSpan w:val="5"/>
          </w:tcPr>
          <w:p w:rsidR="00DE2D99" w:rsidRPr="00A56D38" w:rsidRDefault="00DE2D99" w:rsidP="003F767B">
            <w:pPr>
              <w:jc w:val="center"/>
              <w:rPr>
                <w:b/>
                <w:sz w:val="20"/>
                <w:szCs w:val="20"/>
              </w:rPr>
            </w:pPr>
            <w:r w:rsidRPr="00A56D38">
              <w:rPr>
                <w:b/>
                <w:sz w:val="20"/>
                <w:szCs w:val="20"/>
              </w:rPr>
              <w:t>Population 2011</w:t>
            </w:r>
          </w:p>
        </w:tc>
      </w:tr>
      <w:tr w:rsidR="00DE2D99" w:rsidRPr="00A56D38" w:rsidTr="00336106">
        <w:tc>
          <w:tcPr>
            <w:tcW w:w="2376" w:type="dxa"/>
            <w:vMerge/>
          </w:tcPr>
          <w:p w:rsidR="00DE2D99" w:rsidRPr="00A56D38" w:rsidRDefault="00DE2D99" w:rsidP="000802EC">
            <w:pPr>
              <w:rPr>
                <w:b/>
                <w:sz w:val="20"/>
                <w:szCs w:val="20"/>
              </w:rPr>
            </w:pPr>
          </w:p>
        </w:tc>
        <w:tc>
          <w:tcPr>
            <w:tcW w:w="1276" w:type="dxa"/>
          </w:tcPr>
          <w:p w:rsidR="00DE2D99" w:rsidRPr="00A56D38" w:rsidRDefault="00DE2D99" w:rsidP="003F767B">
            <w:pPr>
              <w:jc w:val="center"/>
              <w:rPr>
                <w:b/>
                <w:sz w:val="20"/>
                <w:szCs w:val="20"/>
              </w:rPr>
            </w:pPr>
            <w:proofErr w:type="spellStart"/>
            <w:r w:rsidRPr="00A56D38">
              <w:rPr>
                <w:b/>
                <w:sz w:val="20"/>
                <w:szCs w:val="20"/>
              </w:rPr>
              <w:t>Tas</w:t>
            </w:r>
            <w:proofErr w:type="spellEnd"/>
          </w:p>
        </w:tc>
        <w:tc>
          <w:tcPr>
            <w:tcW w:w="1276" w:type="dxa"/>
          </w:tcPr>
          <w:p w:rsidR="00DE2D99" w:rsidRPr="00A56D38" w:rsidRDefault="00DE2D99" w:rsidP="003F767B">
            <w:pPr>
              <w:jc w:val="center"/>
              <w:rPr>
                <w:b/>
                <w:sz w:val="20"/>
                <w:szCs w:val="20"/>
              </w:rPr>
            </w:pPr>
            <w:r w:rsidRPr="00A56D38">
              <w:rPr>
                <w:b/>
                <w:sz w:val="20"/>
                <w:szCs w:val="20"/>
              </w:rPr>
              <w:t>NT</w:t>
            </w:r>
          </w:p>
        </w:tc>
        <w:tc>
          <w:tcPr>
            <w:tcW w:w="1276" w:type="dxa"/>
          </w:tcPr>
          <w:p w:rsidR="00DE2D99" w:rsidRPr="00A56D38" w:rsidRDefault="00DE2D99" w:rsidP="003F767B">
            <w:pPr>
              <w:jc w:val="center"/>
              <w:rPr>
                <w:b/>
                <w:sz w:val="20"/>
                <w:szCs w:val="20"/>
              </w:rPr>
            </w:pPr>
            <w:r w:rsidRPr="00A56D38">
              <w:rPr>
                <w:b/>
                <w:sz w:val="20"/>
                <w:szCs w:val="20"/>
              </w:rPr>
              <w:t>ACT</w:t>
            </w:r>
          </w:p>
        </w:tc>
        <w:tc>
          <w:tcPr>
            <w:tcW w:w="1275" w:type="dxa"/>
          </w:tcPr>
          <w:p w:rsidR="00DE2D99" w:rsidRPr="00A56D38" w:rsidRDefault="00DE2D99" w:rsidP="003F767B">
            <w:pPr>
              <w:jc w:val="center"/>
              <w:rPr>
                <w:b/>
                <w:sz w:val="20"/>
                <w:szCs w:val="20"/>
              </w:rPr>
            </w:pPr>
            <w:r w:rsidRPr="00A56D38">
              <w:rPr>
                <w:b/>
                <w:sz w:val="20"/>
                <w:szCs w:val="20"/>
              </w:rPr>
              <w:t>Australia</w:t>
            </w:r>
          </w:p>
        </w:tc>
        <w:tc>
          <w:tcPr>
            <w:tcW w:w="1276" w:type="dxa"/>
          </w:tcPr>
          <w:p w:rsidR="00DE2D99" w:rsidRPr="00A56D38" w:rsidRDefault="00DE2D99" w:rsidP="000802EC">
            <w:pPr>
              <w:rPr>
                <w:b/>
                <w:sz w:val="20"/>
                <w:szCs w:val="20"/>
              </w:rPr>
            </w:pPr>
          </w:p>
        </w:tc>
      </w:tr>
      <w:tr w:rsidR="00013384" w:rsidRPr="00A56D38" w:rsidTr="00336106">
        <w:tc>
          <w:tcPr>
            <w:tcW w:w="2376" w:type="dxa"/>
          </w:tcPr>
          <w:p w:rsidR="00013384" w:rsidRPr="00A56D38" w:rsidRDefault="00013384" w:rsidP="000802EC">
            <w:pPr>
              <w:rPr>
                <w:b/>
                <w:sz w:val="20"/>
                <w:szCs w:val="20"/>
              </w:rPr>
            </w:pPr>
            <w:r w:rsidRPr="00A56D38">
              <w:rPr>
                <w:b/>
                <w:sz w:val="20"/>
                <w:szCs w:val="20"/>
              </w:rPr>
              <w:t>Actual ERP (post-census revision)</w:t>
            </w:r>
          </w:p>
        </w:tc>
        <w:tc>
          <w:tcPr>
            <w:tcW w:w="1276" w:type="dxa"/>
          </w:tcPr>
          <w:p w:rsidR="00013384" w:rsidRPr="00A56D38" w:rsidRDefault="00013384" w:rsidP="00013384">
            <w:pPr>
              <w:jc w:val="center"/>
              <w:rPr>
                <w:sz w:val="20"/>
                <w:szCs w:val="20"/>
              </w:rPr>
            </w:pPr>
            <w:r w:rsidRPr="00A56D38">
              <w:rPr>
                <w:sz w:val="20"/>
                <w:szCs w:val="20"/>
              </w:rPr>
              <w:t>511195</w:t>
            </w:r>
          </w:p>
        </w:tc>
        <w:tc>
          <w:tcPr>
            <w:tcW w:w="1276" w:type="dxa"/>
          </w:tcPr>
          <w:p w:rsidR="00013384" w:rsidRPr="00A56D38" w:rsidRDefault="00013384" w:rsidP="00013384">
            <w:pPr>
              <w:jc w:val="center"/>
              <w:rPr>
                <w:sz w:val="20"/>
                <w:szCs w:val="20"/>
              </w:rPr>
            </w:pPr>
            <w:r w:rsidRPr="00A56D38">
              <w:rPr>
                <w:sz w:val="20"/>
                <w:szCs w:val="20"/>
              </w:rPr>
              <w:t>231333</w:t>
            </w:r>
          </w:p>
        </w:tc>
        <w:tc>
          <w:tcPr>
            <w:tcW w:w="1276" w:type="dxa"/>
          </w:tcPr>
          <w:p w:rsidR="00013384" w:rsidRPr="00A56D38" w:rsidRDefault="00013384" w:rsidP="00013384">
            <w:pPr>
              <w:jc w:val="center"/>
              <w:rPr>
                <w:sz w:val="20"/>
                <w:szCs w:val="20"/>
              </w:rPr>
            </w:pPr>
            <w:r w:rsidRPr="00A56D38">
              <w:rPr>
                <w:sz w:val="20"/>
                <w:szCs w:val="20"/>
              </w:rPr>
              <w:t>367752</w:t>
            </w:r>
          </w:p>
        </w:tc>
        <w:tc>
          <w:tcPr>
            <w:tcW w:w="1275" w:type="dxa"/>
          </w:tcPr>
          <w:p w:rsidR="00013384" w:rsidRPr="00A56D38" w:rsidRDefault="00013384" w:rsidP="00013384">
            <w:pPr>
              <w:jc w:val="center"/>
              <w:rPr>
                <w:sz w:val="20"/>
                <w:szCs w:val="20"/>
              </w:rPr>
            </w:pPr>
            <w:r w:rsidRPr="00A56D38">
              <w:rPr>
                <w:sz w:val="20"/>
                <w:szCs w:val="20"/>
              </w:rPr>
              <w:t>22320819</w:t>
            </w:r>
          </w:p>
        </w:tc>
        <w:tc>
          <w:tcPr>
            <w:tcW w:w="1276" w:type="dxa"/>
          </w:tcPr>
          <w:p w:rsidR="00013384" w:rsidRPr="00A56D38" w:rsidRDefault="00013384" w:rsidP="000802EC">
            <w:pPr>
              <w:rPr>
                <w:b/>
                <w:sz w:val="20"/>
                <w:szCs w:val="20"/>
              </w:rPr>
            </w:pPr>
          </w:p>
        </w:tc>
      </w:tr>
      <w:tr w:rsidR="00013384" w:rsidRPr="00A56D38" w:rsidTr="00336106">
        <w:tc>
          <w:tcPr>
            <w:tcW w:w="2376" w:type="dxa"/>
          </w:tcPr>
          <w:p w:rsidR="00013384" w:rsidRPr="00A56D38" w:rsidRDefault="00013384" w:rsidP="000802EC">
            <w:pPr>
              <w:rPr>
                <w:b/>
                <w:sz w:val="20"/>
                <w:szCs w:val="20"/>
              </w:rPr>
            </w:pPr>
            <w:r w:rsidRPr="00A56D38">
              <w:rPr>
                <w:b/>
                <w:sz w:val="20"/>
                <w:szCs w:val="20"/>
              </w:rPr>
              <w:t>NHSC Projections</w:t>
            </w:r>
          </w:p>
        </w:tc>
        <w:tc>
          <w:tcPr>
            <w:tcW w:w="1276" w:type="dxa"/>
          </w:tcPr>
          <w:p w:rsidR="00013384" w:rsidRPr="00A56D38" w:rsidRDefault="00013384" w:rsidP="00013384">
            <w:pPr>
              <w:jc w:val="center"/>
              <w:rPr>
                <w:sz w:val="20"/>
                <w:szCs w:val="20"/>
              </w:rPr>
            </w:pPr>
          </w:p>
        </w:tc>
        <w:tc>
          <w:tcPr>
            <w:tcW w:w="1276" w:type="dxa"/>
          </w:tcPr>
          <w:p w:rsidR="00013384" w:rsidRPr="00A56D38" w:rsidRDefault="00013384" w:rsidP="00013384">
            <w:pPr>
              <w:jc w:val="center"/>
              <w:rPr>
                <w:sz w:val="20"/>
                <w:szCs w:val="20"/>
              </w:rPr>
            </w:pPr>
          </w:p>
        </w:tc>
        <w:tc>
          <w:tcPr>
            <w:tcW w:w="1276" w:type="dxa"/>
          </w:tcPr>
          <w:p w:rsidR="00013384" w:rsidRPr="00A56D38" w:rsidRDefault="00013384" w:rsidP="00013384">
            <w:pPr>
              <w:jc w:val="center"/>
              <w:rPr>
                <w:sz w:val="20"/>
                <w:szCs w:val="20"/>
              </w:rPr>
            </w:pPr>
          </w:p>
        </w:tc>
        <w:tc>
          <w:tcPr>
            <w:tcW w:w="1275" w:type="dxa"/>
          </w:tcPr>
          <w:p w:rsidR="00013384" w:rsidRPr="00A56D38" w:rsidRDefault="00013384" w:rsidP="00013384">
            <w:pPr>
              <w:jc w:val="center"/>
              <w:rPr>
                <w:sz w:val="20"/>
                <w:szCs w:val="20"/>
              </w:rPr>
            </w:pPr>
          </w:p>
        </w:tc>
        <w:tc>
          <w:tcPr>
            <w:tcW w:w="1276" w:type="dxa"/>
          </w:tcPr>
          <w:p w:rsidR="00013384" w:rsidRPr="00A56D38" w:rsidRDefault="00013384" w:rsidP="000802EC">
            <w:pPr>
              <w:rPr>
                <w:b/>
                <w:sz w:val="20"/>
                <w:szCs w:val="20"/>
              </w:rPr>
            </w:pPr>
          </w:p>
        </w:tc>
      </w:tr>
      <w:tr w:rsidR="00013384" w:rsidRPr="00A56D38" w:rsidTr="00336106">
        <w:tc>
          <w:tcPr>
            <w:tcW w:w="2376" w:type="dxa"/>
          </w:tcPr>
          <w:p w:rsidR="00013384" w:rsidRPr="00A56D38" w:rsidRDefault="00013384" w:rsidP="000802EC">
            <w:pPr>
              <w:jc w:val="right"/>
              <w:rPr>
                <w:b/>
                <w:sz w:val="20"/>
                <w:szCs w:val="20"/>
              </w:rPr>
            </w:pPr>
            <w:r w:rsidRPr="00A56D38">
              <w:rPr>
                <w:b/>
                <w:sz w:val="20"/>
                <w:szCs w:val="20"/>
              </w:rPr>
              <w:t>Low</w:t>
            </w:r>
          </w:p>
        </w:tc>
        <w:tc>
          <w:tcPr>
            <w:tcW w:w="1276" w:type="dxa"/>
          </w:tcPr>
          <w:p w:rsidR="00013384" w:rsidRPr="00A56D38" w:rsidRDefault="00013384" w:rsidP="00013384">
            <w:pPr>
              <w:jc w:val="center"/>
              <w:rPr>
                <w:sz w:val="20"/>
                <w:szCs w:val="20"/>
              </w:rPr>
            </w:pPr>
            <w:r w:rsidRPr="00A56D38">
              <w:rPr>
                <w:sz w:val="20"/>
                <w:szCs w:val="20"/>
              </w:rPr>
              <w:t>508813</w:t>
            </w:r>
          </w:p>
        </w:tc>
        <w:tc>
          <w:tcPr>
            <w:tcW w:w="1276" w:type="dxa"/>
          </w:tcPr>
          <w:p w:rsidR="00013384" w:rsidRPr="00A56D38" w:rsidRDefault="00013384" w:rsidP="00013384">
            <w:pPr>
              <w:jc w:val="center"/>
              <w:rPr>
                <w:sz w:val="20"/>
                <w:szCs w:val="20"/>
              </w:rPr>
            </w:pPr>
            <w:r w:rsidRPr="00A56D38">
              <w:rPr>
                <w:sz w:val="20"/>
                <w:szCs w:val="20"/>
              </w:rPr>
              <w:t>232753</w:t>
            </w:r>
          </w:p>
        </w:tc>
        <w:tc>
          <w:tcPr>
            <w:tcW w:w="1276" w:type="dxa"/>
          </w:tcPr>
          <w:p w:rsidR="00013384" w:rsidRPr="00A56D38" w:rsidRDefault="00013384" w:rsidP="00013384">
            <w:pPr>
              <w:jc w:val="center"/>
              <w:rPr>
                <w:sz w:val="20"/>
                <w:szCs w:val="20"/>
              </w:rPr>
            </w:pPr>
            <w:r w:rsidRPr="00A56D38">
              <w:rPr>
                <w:sz w:val="20"/>
                <w:szCs w:val="20"/>
              </w:rPr>
              <w:t>359576</w:t>
            </w:r>
          </w:p>
        </w:tc>
        <w:tc>
          <w:tcPr>
            <w:tcW w:w="1275" w:type="dxa"/>
          </w:tcPr>
          <w:p w:rsidR="00013384" w:rsidRPr="00A56D38" w:rsidRDefault="00013384" w:rsidP="00013384">
            <w:pPr>
              <w:jc w:val="center"/>
              <w:rPr>
                <w:sz w:val="20"/>
                <w:szCs w:val="20"/>
              </w:rPr>
            </w:pPr>
            <w:r w:rsidRPr="00A56D38">
              <w:rPr>
                <w:sz w:val="20"/>
                <w:szCs w:val="20"/>
              </w:rPr>
              <w:t>22425054</w:t>
            </w:r>
          </w:p>
        </w:tc>
        <w:tc>
          <w:tcPr>
            <w:tcW w:w="1276" w:type="dxa"/>
          </w:tcPr>
          <w:p w:rsidR="00013384" w:rsidRPr="00A56D38" w:rsidRDefault="00013384" w:rsidP="000802EC">
            <w:pPr>
              <w:rPr>
                <w:b/>
                <w:sz w:val="20"/>
                <w:szCs w:val="20"/>
              </w:rPr>
            </w:pPr>
          </w:p>
        </w:tc>
      </w:tr>
      <w:tr w:rsidR="00013384" w:rsidRPr="00A56D38" w:rsidTr="00336106">
        <w:tc>
          <w:tcPr>
            <w:tcW w:w="2376" w:type="dxa"/>
          </w:tcPr>
          <w:p w:rsidR="00013384" w:rsidRPr="00A56D38" w:rsidRDefault="00013384" w:rsidP="000802EC">
            <w:pPr>
              <w:jc w:val="right"/>
              <w:rPr>
                <w:b/>
                <w:sz w:val="20"/>
                <w:szCs w:val="20"/>
              </w:rPr>
            </w:pPr>
            <w:r w:rsidRPr="00A56D38">
              <w:rPr>
                <w:b/>
                <w:sz w:val="20"/>
                <w:szCs w:val="20"/>
              </w:rPr>
              <w:t>Medium</w:t>
            </w:r>
          </w:p>
        </w:tc>
        <w:tc>
          <w:tcPr>
            <w:tcW w:w="1276" w:type="dxa"/>
          </w:tcPr>
          <w:p w:rsidR="00013384" w:rsidRPr="00A56D38" w:rsidRDefault="00013384" w:rsidP="00013384">
            <w:pPr>
              <w:jc w:val="center"/>
              <w:rPr>
                <w:sz w:val="20"/>
                <w:szCs w:val="20"/>
              </w:rPr>
            </w:pPr>
            <w:r w:rsidRPr="00A56D38">
              <w:rPr>
                <w:sz w:val="20"/>
                <w:szCs w:val="20"/>
              </w:rPr>
              <w:t>509910</w:t>
            </w:r>
          </w:p>
        </w:tc>
        <w:tc>
          <w:tcPr>
            <w:tcW w:w="1276" w:type="dxa"/>
          </w:tcPr>
          <w:p w:rsidR="00013384" w:rsidRPr="00A56D38" w:rsidRDefault="00013384" w:rsidP="00013384">
            <w:pPr>
              <w:jc w:val="center"/>
              <w:rPr>
                <w:sz w:val="20"/>
                <w:szCs w:val="20"/>
              </w:rPr>
            </w:pPr>
            <w:r w:rsidRPr="00A56D38">
              <w:rPr>
                <w:sz w:val="20"/>
                <w:szCs w:val="20"/>
              </w:rPr>
              <w:t>233637</w:t>
            </w:r>
          </w:p>
        </w:tc>
        <w:tc>
          <w:tcPr>
            <w:tcW w:w="1276" w:type="dxa"/>
          </w:tcPr>
          <w:p w:rsidR="00013384" w:rsidRPr="00A56D38" w:rsidRDefault="00013384" w:rsidP="00013384">
            <w:pPr>
              <w:jc w:val="center"/>
              <w:rPr>
                <w:sz w:val="20"/>
                <w:szCs w:val="20"/>
              </w:rPr>
            </w:pPr>
            <w:r w:rsidRPr="00A56D38">
              <w:rPr>
                <w:sz w:val="20"/>
                <w:szCs w:val="20"/>
              </w:rPr>
              <w:t>361018</w:t>
            </w:r>
          </w:p>
        </w:tc>
        <w:tc>
          <w:tcPr>
            <w:tcW w:w="1275" w:type="dxa"/>
          </w:tcPr>
          <w:p w:rsidR="00013384" w:rsidRPr="00A56D38" w:rsidRDefault="00013384" w:rsidP="00013384">
            <w:pPr>
              <w:jc w:val="center"/>
              <w:rPr>
                <w:sz w:val="20"/>
                <w:szCs w:val="20"/>
              </w:rPr>
            </w:pPr>
            <w:r w:rsidRPr="00A56D38">
              <w:rPr>
                <w:sz w:val="20"/>
                <w:szCs w:val="20"/>
              </w:rPr>
              <w:t>22586565</w:t>
            </w:r>
          </w:p>
        </w:tc>
        <w:tc>
          <w:tcPr>
            <w:tcW w:w="1276" w:type="dxa"/>
          </w:tcPr>
          <w:p w:rsidR="00013384" w:rsidRPr="00A56D38" w:rsidRDefault="00013384" w:rsidP="000802EC">
            <w:pPr>
              <w:rPr>
                <w:b/>
                <w:sz w:val="20"/>
                <w:szCs w:val="20"/>
              </w:rPr>
            </w:pPr>
          </w:p>
        </w:tc>
      </w:tr>
      <w:tr w:rsidR="00013384" w:rsidRPr="00A56D38" w:rsidTr="00336106">
        <w:tc>
          <w:tcPr>
            <w:tcW w:w="2376" w:type="dxa"/>
          </w:tcPr>
          <w:p w:rsidR="00013384" w:rsidRPr="00A56D38" w:rsidRDefault="00013384" w:rsidP="000802EC">
            <w:pPr>
              <w:jc w:val="right"/>
              <w:rPr>
                <w:b/>
                <w:sz w:val="20"/>
                <w:szCs w:val="20"/>
              </w:rPr>
            </w:pPr>
            <w:r w:rsidRPr="00A56D38">
              <w:rPr>
                <w:b/>
                <w:sz w:val="20"/>
                <w:szCs w:val="20"/>
              </w:rPr>
              <w:t>High</w:t>
            </w:r>
          </w:p>
        </w:tc>
        <w:tc>
          <w:tcPr>
            <w:tcW w:w="1276" w:type="dxa"/>
          </w:tcPr>
          <w:p w:rsidR="00013384" w:rsidRPr="00A56D38" w:rsidRDefault="00013384" w:rsidP="00013384">
            <w:pPr>
              <w:jc w:val="center"/>
              <w:rPr>
                <w:sz w:val="20"/>
                <w:szCs w:val="20"/>
              </w:rPr>
            </w:pPr>
            <w:r w:rsidRPr="00A56D38">
              <w:rPr>
                <w:sz w:val="20"/>
                <w:szCs w:val="20"/>
              </w:rPr>
              <w:t>510869</w:t>
            </w:r>
          </w:p>
        </w:tc>
        <w:tc>
          <w:tcPr>
            <w:tcW w:w="1276" w:type="dxa"/>
          </w:tcPr>
          <w:p w:rsidR="00013384" w:rsidRPr="00A56D38" w:rsidRDefault="00013384" w:rsidP="00013384">
            <w:pPr>
              <w:jc w:val="center"/>
              <w:rPr>
                <w:sz w:val="20"/>
                <w:szCs w:val="20"/>
              </w:rPr>
            </w:pPr>
            <w:r w:rsidRPr="00A56D38">
              <w:rPr>
                <w:sz w:val="20"/>
                <w:szCs w:val="20"/>
              </w:rPr>
              <w:t>234412</w:t>
            </w:r>
          </w:p>
        </w:tc>
        <w:tc>
          <w:tcPr>
            <w:tcW w:w="1276" w:type="dxa"/>
          </w:tcPr>
          <w:p w:rsidR="00013384" w:rsidRPr="00A56D38" w:rsidRDefault="00013384" w:rsidP="00013384">
            <w:pPr>
              <w:jc w:val="center"/>
              <w:rPr>
                <w:sz w:val="20"/>
                <w:szCs w:val="20"/>
              </w:rPr>
            </w:pPr>
            <w:r w:rsidRPr="00A56D38">
              <w:rPr>
                <w:sz w:val="20"/>
                <w:szCs w:val="20"/>
              </w:rPr>
              <w:t>362280</w:t>
            </w:r>
          </w:p>
        </w:tc>
        <w:tc>
          <w:tcPr>
            <w:tcW w:w="1275" w:type="dxa"/>
          </w:tcPr>
          <w:p w:rsidR="00013384" w:rsidRPr="00A56D38" w:rsidRDefault="00013384" w:rsidP="00013384">
            <w:pPr>
              <w:jc w:val="center"/>
              <w:rPr>
                <w:sz w:val="20"/>
                <w:szCs w:val="20"/>
              </w:rPr>
            </w:pPr>
            <w:r w:rsidRPr="00A56D38">
              <w:rPr>
                <w:sz w:val="20"/>
                <w:szCs w:val="20"/>
              </w:rPr>
              <w:t>22727888</w:t>
            </w:r>
          </w:p>
        </w:tc>
        <w:tc>
          <w:tcPr>
            <w:tcW w:w="1276" w:type="dxa"/>
          </w:tcPr>
          <w:p w:rsidR="00013384" w:rsidRPr="00A56D38" w:rsidRDefault="00013384" w:rsidP="000802EC">
            <w:pPr>
              <w:rPr>
                <w:b/>
                <w:sz w:val="20"/>
                <w:szCs w:val="20"/>
              </w:rPr>
            </w:pPr>
          </w:p>
        </w:tc>
      </w:tr>
      <w:tr w:rsidR="00013384" w:rsidRPr="00A56D38" w:rsidTr="00336106">
        <w:tc>
          <w:tcPr>
            <w:tcW w:w="2376" w:type="dxa"/>
          </w:tcPr>
          <w:p w:rsidR="00013384" w:rsidRPr="00A56D38" w:rsidRDefault="00013384" w:rsidP="000802EC">
            <w:pPr>
              <w:rPr>
                <w:b/>
                <w:sz w:val="20"/>
                <w:szCs w:val="20"/>
              </w:rPr>
            </w:pPr>
            <w:r w:rsidRPr="00A56D38">
              <w:rPr>
                <w:b/>
                <w:sz w:val="20"/>
                <w:szCs w:val="20"/>
              </w:rPr>
              <w:t>Differences (NHSC and revised ERP)</w:t>
            </w:r>
            <w:r w:rsidR="00D54E05" w:rsidRPr="00A56D38">
              <w:rPr>
                <w:b/>
                <w:sz w:val="20"/>
                <w:szCs w:val="20"/>
              </w:rPr>
              <w:t>, %</w:t>
            </w:r>
          </w:p>
        </w:tc>
        <w:tc>
          <w:tcPr>
            <w:tcW w:w="1276" w:type="dxa"/>
          </w:tcPr>
          <w:p w:rsidR="00013384" w:rsidRPr="00A56D38" w:rsidRDefault="00013384" w:rsidP="00013384">
            <w:pPr>
              <w:jc w:val="center"/>
              <w:rPr>
                <w:sz w:val="20"/>
                <w:szCs w:val="20"/>
              </w:rPr>
            </w:pPr>
          </w:p>
        </w:tc>
        <w:tc>
          <w:tcPr>
            <w:tcW w:w="1276" w:type="dxa"/>
          </w:tcPr>
          <w:p w:rsidR="00013384" w:rsidRPr="00A56D38" w:rsidRDefault="00013384" w:rsidP="00013384">
            <w:pPr>
              <w:jc w:val="center"/>
              <w:rPr>
                <w:sz w:val="20"/>
                <w:szCs w:val="20"/>
              </w:rPr>
            </w:pPr>
          </w:p>
        </w:tc>
        <w:tc>
          <w:tcPr>
            <w:tcW w:w="1276" w:type="dxa"/>
          </w:tcPr>
          <w:p w:rsidR="00013384" w:rsidRPr="00A56D38" w:rsidRDefault="00013384" w:rsidP="00013384">
            <w:pPr>
              <w:jc w:val="center"/>
              <w:rPr>
                <w:sz w:val="20"/>
                <w:szCs w:val="20"/>
              </w:rPr>
            </w:pPr>
          </w:p>
        </w:tc>
        <w:tc>
          <w:tcPr>
            <w:tcW w:w="1275" w:type="dxa"/>
          </w:tcPr>
          <w:p w:rsidR="00013384" w:rsidRPr="00A56D38" w:rsidRDefault="00013384" w:rsidP="00013384">
            <w:pPr>
              <w:jc w:val="center"/>
              <w:rPr>
                <w:sz w:val="20"/>
                <w:szCs w:val="20"/>
              </w:rPr>
            </w:pPr>
          </w:p>
        </w:tc>
        <w:tc>
          <w:tcPr>
            <w:tcW w:w="1276" w:type="dxa"/>
          </w:tcPr>
          <w:p w:rsidR="00013384" w:rsidRPr="00A56D38" w:rsidRDefault="00013384" w:rsidP="000802EC">
            <w:pPr>
              <w:rPr>
                <w:b/>
                <w:sz w:val="20"/>
                <w:szCs w:val="20"/>
              </w:rPr>
            </w:pPr>
          </w:p>
        </w:tc>
      </w:tr>
      <w:tr w:rsidR="00013384" w:rsidRPr="00A56D38" w:rsidTr="00336106">
        <w:tc>
          <w:tcPr>
            <w:tcW w:w="2376" w:type="dxa"/>
          </w:tcPr>
          <w:p w:rsidR="00013384" w:rsidRPr="00A56D38" w:rsidRDefault="00013384" w:rsidP="000802EC">
            <w:pPr>
              <w:jc w:val="right"/>
              <w:rPr>
                <w:b/>
                <w:sz w:val="20"/>
                <w:szCs w:val="20"/>
              </w:rPr>
            </w:pPr>
            <w:r w:rsidRPr="00A56D38">
              <w:rPr>
                <w:b/>
                <w:sz w:val="20"/>
                <w:szCs w:val="20"/>
              </w:rPr>
              <w:t>Low</w:t>
            </w:r>
          </w:p>
        </w:tc>
        <w:tc>
          <w:tcPr>
            <w:tcW w:w="1276" w:type="dxa"/>
          </w:tcPr>
          <w:p w:rsidR="00013384" w:rsidRPr="00A56D38" w:rsidRDefault="00AB261B" w:rsidP="00013384">
            <w:pPr>
              <w:jc w:val="center"/>
              <w:rPr>
                <w:sz w:val="20"/>
                <w:szCs w:val="20"/>
              </w:rPr>
            </w:pPr>
            <w:r w:rsidRPr="00A56D38">
              <w:rPr>
                <w:sz w:val="20"/>
                <w:szCs w:val="20"/>
              </w:rPr>
              <w:t>-0.5</w:t>
            </w:r>
          </w:p>
        </w:tc>
        <w:tc>
          <w:tcPr>
            <w:tcW w:w="1276" w:type="dxa"/>
          </w:tcPr>
          <w:p w:rsidR="00013384" w:rsidRPr="00A56D38" w:rsidRDefault="00AB261B" w:rsidP="00013384">
            <w:pPr>
              <w:jc w:val="center"/>
              <w:rPr>
                <w:sz w:val="20"/>
                <w:szCs w:val="20"/>
              </w:rPr>
            </w:pPr>
            <w:r w:rsidRPr="00A56D38">
              <w:rPr>
                <w:sz w:val="20"/>
                <w:szCs w:val="20"/>
              </w:rPr>
              <w:t>0.6</w:t>
            </w:r>
          </w:p>
        </w:tc>
        <w:tc>
          <w:tcPr>
            <w:tcW w:w="1276" w:type="dxa"/>
          </w:tcPr>
          <w:p w:rsidR="00013384" w:rsidRPr="00A56D38" w:rsidRDefault="00AB261B" w:rsidP="00013384">
            <w:pPr>
              <w:jc w:val="center"/>
              <w:rPr>
                <w:sz w:val="20"/>
                <w:szCs w:val="20"/>
              </w:rPr>
            </w:pPr>
            <w:r w:rsidRPr="00A56D38">
              <w:rPr>
                <w:sz w:val="20"/>
                <w:szCs w:val="20"/>
              </w:rPr>
              <w:t>-2.2</w:t>
            </w:r>
          </w:p>
        </w:tc>
        <w:tc>
          <w:tcPr>
            <w:tcW w:w="1275" w:type="dxa"/>
          </w:tcPr>
          <w:p w:rsidR="00013384" w:rsidRPr="00A56D38" w:rsidRDefault="00AB261B" w:rsidP="00013384">
            <w:pPr>
              <w:jc w:val="center"/>
              <w:rPr>
                <w:sz w:val="20"/>
                <w:szCs w:val="20"/>
              </w:rPr>
            </w:pPr>
            <w:r w:rsidRPr="00A56D38">
              <w:rPr>
                <w:sz w:val="20"/>
                <w:szCs w:val="20"/>
              </w:rPr>
              <w:t>0.5</w:t>
            </w:r>
          </w:p>
        </w:tc>
        <w:tc>
          <w:tcPr>
            <w:tcW w:w="1276" w:type="dxa"/>
          </w:tcPr>
          <w:p w:rsidR="00013384" w:rsidRPr="00A56D38" w:rsidRDefault="00013384" w:rsidP="000802EC">
            <w:pPr>
              <w:rPr>
                <w:b/>
                <w:sz w:val="20"/>
                <w:szCs w:val="20"/>
              </w:rPr>
            </w:pPr>
          </w:p>
        </w:tc>
      </w:tr>
      <w:tr w:rsidR="00013384" w:rsidRPr="00A56D38" w:rsidTr="00336106">
        <w:tc>
          <w:tcPr>
            <w:tcW w:w="2376" w:type="dxa"/>
          </w:tcPr>
          <w:p w:rsidR="00013384" w:rsidRPr="00A56D38" w:rsidRDefault="00013384" w:rsidP="000802EC">
            <w:pPr>
              <w:jc w:val="right"/>
              <w:rPr>
                <w:b/>
                <w:sz w:val="20"/>
                <w:szCs w:val="20"/>
              </w:rPr>
            </w:pPr>
            <w:r w:rsidRPr="00A56D38">
              <w:rPr>
                <w:b/>
                <w:sz w:val="20"/>
                <w:szCs w:val="20"/>
              </w:rPr>
              <w:t>Medium</w:t>
            </w:r>
          </w:p>
        </w:tc>
        <w:tc>
          <w:tcPr>
            <w:tcW w:w="1276" w:type="dxa"/>
          </w:tcPr>
          <w:p w:rsidR="00013384" w:rsidRPr="00A56D38" w:rsidRDefault="00AB261B" w:rsidP="00013384">
            <w:pPr>
              <w:jc w:val="center"/>
              <w:rPr>
                <w:sz w:val="20"/>
                <w:szCs w:val="20"/>
              </w:rPr>
            </w:pPr>
            <w:r w:rsidRPr="00A56D38">
              <w:rPr>
                <w:sz w:val="20"/>
                <w:szCs w:val="20"/>
              </w:rPr>
              <w:t>-0.3</w:t>
            </w:r>
          </w:p>
        </w:tc>
        <w:tc>
          <w:tcPr>
            <w:tcW w:w="1276" w:type="dxa"/>
          </w:tcPr>
          <w:p w:rsidR="00013384" w:rsidRPr="00A56D38" w:rsidRDefault="00AB261B" w:rsidP="00013384">
            <w:pPr>
              <w:jc w:val="center"/>
              <w:rPr>
                <w:sz w:val="20"/>
                <w:szCs w:val="20"/>
              </w:rPr>
            </w:pPr>
            <w:r w:rsidRPr="00A56D38">
              <w:rPr>
                <w:sz w:val="20"/>
                <w:szCs w:val="20"/>
              </w:rPr>
              <w:t>1.0</w:t>
            </w:r>
          </w:p>
        </w:tc>
        <w:tc>
          <w:tcPr>
            <w:tcW w:w="1276" w:type="dxa"/>
          </w:tcPr>
          <w:p w:rsidR="00013384" w:rsidRPr="00A56D38" w:rsidRDefault="00AB261B" w:rsidP="00013384">
            <w:pPr>
              <w:jc w:val="center"/>
              <w:rPr>
                <w:sz w:val="20"/>
                <w:szCs w:val="20"/>
              </w:rPr>
            </w:pPr>
            <w:r w:rsidRPr="00A56D38">
              <w:rPr>
                <w:sz w:val="20"/>
                <w:szCs w:val="20"/>
              </w:rPr>
              <w:t>-1.8</w:t>
            </w:r>
          </w:p>
        </w:tc>
        <w:tc>
          <w:tcPr>
            <w:tcW w:w="1275" w:type="dxa"/>
          </w:tcPr>
          <w:p w:rsidR="00013384" w:rsidRPr="00A56D38" w:rsidRDefault="00AB261B" w:rsidP="00013384">
            <w:pPr>
              <w:jc w:val="center"/>
              <w:rPr>
                <w:sz w:val="20"/>
                <w:szCs w:val="20"/>
              </w:rPr>
            </w:pPr>
            <w:r w:rsidRPr="00A56D38">
              <w:rPr>
                <w:sz w:val="20"/>
                <w:szCs w:val="20"/>
              </w:rPr>
              <w:t>1.2</w:t>
            </w:r>
          </w:p>
        </w:tc>
        <w:tc>
          <w:tcPr>
            <w:tcW w:w="1276" w:type="dxa"/>
          </w:tcPr>
          <w:p w:rsidR="00013384" w:rsidRPr="00A56D38" w:rsidRDefault="00013384" w:rsidP="000802EC">
            <w:pPr>
              <w:rPr>
                <w:b/>
                <w:sz w:val="20"/>
                <w:szCs w:val="20"/>
              </w:rPr>
            </w:pPr>
          </w:p>
        </w:tc>
      </w:tr>
      <w:tr w:rsidR="00013384" w:rsidRPr="00A56D38" w:rsidTr="00336106">
        <w:tc>
          <w:tcPr>
            <w:tcW w:w="2376" w:type="dxa"/>
          </w:tcPr>
          <w:p w:rsidR="00013384" w:rsidRPr="00A56D38" w:rsidRDefault="00013384" w:rsidP="000802EC">
            <w:pPr>
              <w:jc w:val="right"/>
              <w:rPr>
                <w:b/>
                <w:sz w:val="20"/>
                <w:szCs w:val="20"/>
              </w:rPr>
            </w:pPr>
            <w:r w:rsidRPr="00A56D38">
              <w:rPr>
                <w:b/>
                <w:sz w:val="20"/>
                <w:szCs w:val="20"/>
              </w:rPr>
              <w:t>High</w:t>
            </w:r>
          </w:p>
        </w:tc>
        <w:tc>
          <w:tcPr>
            <w:tcW w:w="1276" w:type="dxa"/>
          </w:tcPr>
          <w:p w:rsidR="00013384" w:rsidRPr="00A56D38" w:rsidRDefault="00AB261B" w:rsidP="00013384">
            <w:pPr>
              <w:jc w:val="center"/>
              <w:rPr>
                <w:sz w:val="20"/>
                <w:szCs w:val="20"/>
              </w:rPr>
            </w:pPr>
            <w:r w:rsidRPr="00A56D38">
              <w:rPr>
                <w:sz w:val="20"/>
                <w:szCs w:val="20"/>
              </w:rPr>
              <w:t>-0.1</w:t>
            </w:r>
          </w:p>
        </w:tc>
        <w:tc>
          <w:tcPr>
            <w:tcW w:w="1276" w:type="dxa"/>
          </w:tcPr>
          <w:p w:rsidR="00013384" w:rsidRPr="00A56D38" w:rsidRDefault="00AB261B" w:rsidP="00013384">
            <w:pPr>
              <w:jc w:val="center"/>
              <w:rPr>
                <w:sz w:val="20"/>
                <w:szCs w:val="20"/>
              </w:rPr>
            </w:pPr>
            <w:r w:rsidRPr="00A56D38">
              <w:rPr>
                <w:sz w:val="20"/>
                <w:szCs w:val="20"/>
              </w:rPr>
              <w:t>1.3</w:t>
            </w:r>
          </w:p>
        </w:tc>
        <w:tc>
          <w:tcPr>
            <w:tcW w:w="1276" w:type="dxa"/>
          </w:tcPr>
          <w:p w:rsidR="00013384" w:rsidRPr="00A56D38" w:rsidRDefault="00AB261B" w:rsidP="00013384">
            <w:pPr>
              <w:jc w:val="center"/>
              <w:rPr>
                <w:sz w:val="20"/>
                <w:szCs w:val="20"/>
              </w:rPr>
            </w:pPr>
            <w:r w:rsidRPr="00A56D38">
              <w:rPr>
                <w:sz w:val="20"/>
                <w:szCs w:val="20"/>
              </w:rPr>
              <w:t>-1.5</w:t>
            </w:r>
          </w:p>
        </w:tc>
        <w:tc>
          <w:tcPr>
            <w:tcW w:w="1275" w:type="dxa"/>
          </w:tcPr>
          <w:p w:rsidR="00013384" w:rsidRPr="00A56D38" w:rsidRDefault="00AB261B" w:rsidP="00013384">
            <w:pPr>
              <w:jc w:val="center"/>
              <w:rPr>
                <w:sz w:val="20"/>
                <w:szCs w:val="20"/>
              </w:rPr>
            </w:pPr>
            <w:r w:rsidRPr="00A56D38">
              <w:rPr>
                <w:sz w:val="20"/>
                <w:szCs w:val="20"/>
              </w:rPr>
              <w:t>1.8</w:t>
            </w:r>
          </w:p>
        </w:tc>
        <w:tc>
          <w:tcPr>
            <w:tcW w:w="1276" w:type="dxa"/>
          </w:tcPr>
          <w:p w:rsidR="00013384" w:rsidRPr="00A56D38" w:rsidRDefault="00013384" w:rsidP="000802EC">
            <w:pPr>
              <w:rPr>
                <w:b/>
                <w:sz w:val="20"/>
                <w:szCs w:val="20"/>
              </w:rPr>
            </w:pPr>
          </w:p>
        </w:tc>
      </w:tr>
    </w:tbl>
    <w:p w:rsidR="00AF4723" w:rsidRPr="0043341C" w:rsidRDefault="00AF4723" w:rsidP="00AF4723">
      <w:pPr>
        <w:rPr>
          <w:b/>
          <w:sz w:val="20"/>
          <w:szCs w:val="20"/>
        </w:rPr>
      </w:pPr>
      <w:r w:rsidRPr="0043341C">
        <w:rPr>
          <w:sz w:val="20"/>
          <w:szCs w:val="20"/>
        </w:rPr>
        <w:t>Source: Authors calculations</w:t>
      </w:r>
    </w:p>
    <w:p w:rsidR="00976A23" w:rsidRDefault="00976A23">
      <w:pPr>
        <w:rPr>
          <w:b/>
        </w:rPr>
      </w:pPr>
    </w:p>
    <w:p w:rsidR="00092845" w:rsidRDefault="00092845"/>
    <w:p w:rsidR="00092845" w:rsidRDefault="00092845" w:rsidP="00DC7242">
      <w:pPr>
        <w:jc w:val="both"/>
      </w:pPr>
      <w:r w:rsidRPr="00092845">
        <w:t xml:space="preserve">For households, the </w:t>
      </w:r>
      <w:r>
        <w:t xml:space="preserve">relative </w:t>
      </w:r>
      <w:r w:rsidRPr="00092845">
        <w:t>differences</w:t>
      </w:r>
      <w:r>
        <w:t xml:space="preserve"> between the NHSC projections and the numbers of households estimated for the current NHSC projections based on the revis</w:t>
      </w:r>
      <w:r w:rsidR="006C5C05">
        <w:t>ed 2011 ERP are somewhat larger than the population comparisons.</w:t>
      </w:r>
      <w:r>
        <w:t xml:space="preserve"> This is due to the fact that average household size was a</w:t>
      </w:r>
      <w:r w:rsidR="006C5C05">
        <w:t xml:space="preserve"> little higher in the 2011 ERP-b</w:t>
      </w:r>
      <w:r>
        <w:t>ased estimat</w:t>
      </w:r>
      <w:r w:rsidR="006C5C05">
        <w:t>es than in the NHSC projections in all States and Territories except Tasmania. However, small changes in average household size can have a relatively large impact on the numbers of households. The largest increases in household size were in Western Australia and in the two Territories. This and the downward result for Tasmania suggest that the driving force may have been housing affordability; where housing was less affordable, average household size increased.</w:t>
      </w:r>
      <w:r w:rsidR="00B52218">
        <w:t xml:space="preserve"> This indicates the sensitivity of housing projections to supply-side factors.</w:t>
      </w:r>
    </w:p>
    <w:p w:rsidR="00092845" w:rsidRDefault="00092845"/>
    <w:p w:rsidR="00092845" w:rsidRPr="00092845" w:rsidRDefault="00092845"/>
    <w:p w:rsidR="00092845" w:rsidRDefault="00092845">
      <w:pPr>
        <w:rPr>
          <w:b/>
        </w:rPr>
      </w:pPr>
    </w:p>
    <w:p w:rsidR="00DE2D99" w:rsidRPr="006C5C05" w:rsidRDefault="006C5C05">
      <w:pPr>
        <w:rPr>
          <w:sz w:val="20"/>
          <w:szCs w:val="20"/>
        </w:rPr>
      </w:pPr>
      <w:r>
        <w:rPr>
          <w:b/>
          <w:sz w:val="20"/>
          <w:szCs w:val="20"/>
        </w:rPr>
        <w:t>Table A1.2</w:t>
      </w:r>
      <w:r w:rsidR="00092845" w:rsidRPr="006C5C05">
        <w:rPr>
          <w:b/>
          <w:sz w:val="20"/>
          <w:szCs w:val="20"/>
        </w:rPr>
        <w:t>. Comparison of NH</w:t>
      </w:r>
      <w:r w:rsidRPr="006C5C05">
        <w:rPr>
          <w:b/>
          <w:sz w:val="20"/>
          <w:szCs w:val="20"/>
        </w:rPr>
        <w:t>SC P</w:t>
      </w:r>
      <w:r w:rsidR="00A56D38" w:rsidRPr="006C5C05">
        <w:rPr>
          <w:b/>
          <w:sz w:val="20"/>
          <w:szCs w:val="20"/>
        </w:rPr>
        <w:t xml:space="preserve">rojections with the NHSC Estimates Based on the Revised </w:t>
      </w:r>
      <w:r w:rsidR="00092845" w:rsidRPr="006C5C05">
        <w:rPr>
          <w:b/>
          <w:sz w:val="20"/>
          <w:szCs w:val="20"/>
        </w:rPr>
        <w:t>ERP, 2011</w:t>
      </w:r>
      <w:r w:rsidRPr="006C5C05">
        <w:rPr>
          <w:b/>
          <w:sz w:val="20"/>
          <w:szCs w:val="20"/>
        </w:rPr>
        <w:t>, Households</w:t>
      </w:r>
    </w:p>
    <w:tbl>
      <w:tblPr>
        <w:tblStyle w:val="TableGrid"/>
        <w:tblW w:w="0" w:type="auto"/>
        <w:tblLook w:val="04A0"/>
      </w:tblPr>
      <w:tblGrid>
        <w:gridCol w:w="2376"/>
        <w:gridCol w:w="1276"/>
        <w:gridCol w:w="1276"/>
        <w:gridCol w:w="1276"/>
        <w:gridCol w:w="1275"/>
        <w:gridCol w:w="1276"/>
      </w:tblGrid>
      <w:tr w:rsidR="00DE2D99" w:rsidRPr="006C5C05" w:rsidTr="000802EC">
        <w:tc>
          <w:tcPr>
            <w:tcW w:w="2376" w:type="dxa"/>
            <w:vMerge w:val="restart"/>
          </w:tcPr>
          <w:p w:rsidR="00DE2D99" w:rsidRPr="006C5C05" w:rsidRDefault="00DE2D99" w:rsidP="000802EC">
            <w:pPr>
              <w:rPr>
                <w:b/>
                <w:sz w:val="20"/>
                <w:szCs w:val="20"/>
              </w:rPr>
            </w:pPr>
            <w:r w:rsidRPr="006C5C05">
              <w:rPr>
                <w:b/>
                <w:sz w:val="20"/>
                <w:szCs w:val="20"/>
              </w:rPr>
              <w:t>Variant</w:t>
            </w:r>
          </w:p>
        </w:tc>
        <w:tc>
          <w:tcPr>
            <w:tcW w:w="6379" w:type="dxa"/>
            <w:gridSpan w:val="5"/>
          </w:tcPr>
          <w:p w:rsidR="00DE2D99" w:rsidRPr="006C5C05" w:rsidRDefault="00DE2D99" w:rsidP="000802EC">
            <w:pPr>
              <w:jc w:val="center"/>
              <w:rPr>
                <w:b/>
                <w:sz w:val="20"/>
                <w:szCs w:val="20"/>
              </w:rPr>
            </w:pPr>
            <w:r w:rsidRPr="006C5C05">
              <w:rPr>
                <w:b/>
                <w:sz w:val="20"/>
                <w:szCs w:val="20"/>
              </w:rPr>
              <w:t>Households 2011</w:t>
            </w:r>
          </w:p>
        </w:tc>
      </w:tr>
      <w:tr w:rsidR="00DE2D99" w:rsidRPr="006C5C05" w:rsidTr="000802EC">
        <w:tc>
          <w:tcPr>
            <w:tcW w:w="2376" w:type="dxa"/>
            <w:vMerge/>
          </w:tcPr>
          <w:p w:rsidR="00DE2D99" w:rsidRPr="006C5C05" w:rsidRDefault="00DE2D99" w:rsidP="000802EC">
            <w:pPr>
              <w:rPr>
                <w:b/>
                <w:sz w:val="20"/>
                <w:szCs w:val="20"/>
              </w:rPr>
            </w:pPr>
          </w:p>
        </w:tc>
        <w:tc>
          <w:tcPr>
            <w:tcW w:w="1276" w:type="dxa"/>
          </w:tcPr>
          <w:p w:rsidR="00DE2D99" w:rsidRPr="006C5C05" w:rsidRDefault="00DE2D99" w:rsidP="000802EC">
            <w:pPr>
              <w:jc w:val="center"/>
              <w:rPr>
                <w:b/>
                <w:sz w:val="20"/>
                <w:szCs w:val="20"/>
              </w:rPr>
            </w:pPr>
            <w:r w:rsidRPr="006C5C05">
              <w:rPr>
                <w:b/>
                <w:sz w:val="20"/>
                <w:szCs w:val="20"/>
              </w:rPr>
              <w:t>NSW</w:t>
            </w:r>
          </w:p>
        </w:tc>
        <w:tc>
          <w:tcPr>
            <w:tcW w:w="1276" w:type="dxa"/>
          </w:tcPr>
          <w:p w:rsidR="00DE2D99" w:rsidRPr="006C5C05" w:rsidRDefault="00DE2D99" w:rsidP="000802EC">
            <w:pPr>
              <w:jc w:val="center"/>
              <w:rPr>
                <w:b/>
                <w:sz w:val="20"/>
                <w:szCs w:val="20"/>
              </w:rPr>
            </w:pPr>
            <w:r w:rsidRPr="006C5C05">
              <w:rPr>
                <w:b/>
                <w:sz w:val="20"/>
                <w:szCs w:val="20"/>
              </w:rPr>
              <w:t>Vic</w:t>
            </w:r>
          </w:p>
        </w:tc>
        <w:tc>
          <w:tcPr>
            <w:tcW w:w="1276" w:type="dxa"/>
          </w:tcPr>
          <w:p w:rsidR="00DE2D99" w:rsidRPr="006C5C05" w:rsidRDefault="00DE2D99" w:rsidP="000802EC">
            <w:pPr>
              <w:jc w:val="center"/>
              <w:rPr>
                <w:b/>
                <w:sz w:val="20"/>
                <w:szCs w:val="20"/>
              </w:rPr>
            </w:pPr>
            <w:proofErr w:type="spellStart"/>
            <w:r w:rsidRPr="006C5C05">
              <w:rPr>
                <w:b/>
                <w:sz w:val="20"/>
                <w:szCs w:val="20"/>
              </w:rPr>
              <w:t>Qld</w:t>
            </w:r>
            <w:proofErr w:type="spellEnd"/>
          </w:p>
        </w:tc>
        <w:tc>
          <w:tcPr>
            <w:tcW w:w="1275" w:type="dxa"/>
          </w:tcPr>
          <w:p w:rsidR="00DE2D99" w:rsidRPr="006C5C05" w:rsidRDefault="00DE2D99" w:rsidP="000802EC">
            <w:pPr>
              <w:jc w:val="center"/>
              <w:rPr>
                <w:b/>
                <w:sz w:val="20"/>
                <w:szCs w:val="20"/>
              </w:rPr>
            </w:pPr>
            <w:r w:rsidRPr="006C5C05">
              <w:rPr>
                <w:b/>
                <w:sz w:val="20"/>
                <w:szCs w:val="20"/>
              </w:rPr>
              <w:t>SA</w:t>
            </w:r>
          </w:p>
        </w:tc>
        <w:tc>
          <w:tcPr>
            <w:tcW w:w="1276" w:type="dxa"/>
          </w:tcPr>
          <w:p w:rsidR="00DE2D99" w:rsidRPr="006C5C05" w:rsidRDefault="00DE2D99" w:rsidP="000802EC">
            <w:pPr>
              <w:jc w:val="center"/>
              <w:rPr>
                <w:b/>
                <w:sz w:val="20"/>
                <w:szCs w:val="20"/>
              </w:rPr>
            </w:pPr>
            <w:r w:rsidRPr="006C5C05">
              <w:rPr>
                <w:b/>
                <w:sz w:val="20"/>
                <w:szCs w:val="20"/>
              </w:rPr>
              <w:t>WA</w:t>
            </w:r>
          </w:p>
        </w:tc>
      </w:tr>
      <w:tr w:rsidR="00DE2D99" w:rsidRPr="00A56D38" w:rsidTr="000802EC">
        <w:tc>
          <w:tcPr>
            <w:tcW w:w="2376" w:type="dxa"/>
          </w:tcPr>
          <w:p w:rsidR="00DE2D99" w:rsidRPr="006C5C05" w:rsidRDefault="00DE2D99" w:rsidP="000802EC">
            <w:pPr>
              <w:rPr>
                <w:b/>
                <w:sz w:val="20"/>
                <w:szCs w:val="20"/>
              </w:rPr>
            </w:pPr>
            <w:r w:rsidRPr="006C5C05">
              <w:rPr>
                <w:b/>
                <w:sz w:val="20"/>
                <w:szCs w:val="20"/>
              </w:rPr>
              <w:t>Actual ERP (post-census revision)</w:t>
            </w:r>
          </w:p>
        </w:tc>
        <w:tc>
          <w:tcPr>
            <w:tcW w:w="1276" w:type="dxa"/>
          </w:tcPr>
          <w:p w:rsidR="00DE2D99" w:rsidRPr="006C5C05" w:rsidRDefault="00092845" w:rsidP="000802EC">
            <w:pPr>
              <w:jc w:val="center"/>
              <w:rPr>
                <w:sz w:val="20"/>
                <w:szCs w:val="20"/>
              </w:rPr>
            </w:pPr>
            <w:r w:rsidRPr="006C5C05">
              <w:rPr>
                <w:sz w:val="20"/>
                <w:szCs w:val="20"/>
              </w:rPr>
              <w:t>2778765</w:t>
            </w:r>
          </w:p>
        </w:tc>
        <w:tc>
          <w:tcPr>
            <w:tcW w:w="1276" w:type="dxa"/>
          </w:tcPr>
          <w:p w:rsidR="00DE2D99" w:rsidRPr="006C5C05" w:rsidRDefault="00092845" w:rsidP="000802EC">
            <w:pPr>
              <w:jc w:val="center"/>
              <w:rPr>
                <w:sz w:val="20"/>
                <w:szCs w:val="20"/>
              </w:rPr>
            </w:pPr>
            <w:r w:rsidRPr="006C5C05">
              <w:rPr>
                <w:sz w:val="20"/>
                <w:szCs w:val="20"/>
              </w:rPr>
              <w:t>2152064</w:t>
            </w:r>
          </w:p>
        </w:tc>
        <w:tc>
          <w:tcPr>
            <w:tcW w:w="1276" w:type="dxa"/>
          </w:tcPr>
          <w:p w:rsidR="00DE2D99" w:rsidRPr="006C5C05" w:rsidRDefault="005E763F" w:rsidP="000802EC">
            <w:pPr>
              <w:jc w:val="center"/>
              <w:rPr>
                <w:sz w:val="20"/>
                <w:szCs w:val="20"/>
              </w:rPr>
            </w:pPr>
            <w:r w:rsidRPr="006C5C05">
              <w:rPr>
                <w:sz w:val="20"/>
                <w:szCs w:val="20"/>
              </w:rPr>
              <w:t>1729929</w:t>
            </w:r>
          </w:p>
        </w:tc>
        <w:tc>
          <w:tcPr>
            <w:tcW w:w="1275" w:type="dxa"/>
          </w:tcPr>
          <w:p w:rsidR="00DE2D99" w:rsidRPr="006C5C05" w:rsidRDefault="005E763F" w:rsidP="000802EC">
            <w:pPr>
              <w:jc w:val="center"/>
              <w:rPr>
                <w:sz w:val="20"/>
                <w:szCs w:val="20"/>
              </w:rPr>
            </w:pPr>
            <w:r w:rsidRPr="006C5C05">
              <w:rPr>
                <w:sz w:val="20"/>
                <w:szCs w:val="20"/>
              </w:rPr>
              <w:t>675235</w:t>
            </w:r>
          </w:p>
        </w:tc>
        <w:tc>
          <w:tcPr>
            <w:tcW w:w="1276" w:type="dxa"/>
          </w:tcPr>
          <w:p w:rsidR="00DE2D99" w:rsidRPr="006C5C05" w:rsidRDefault="005E763F" w:rsidP="000802EC">
            <w:pPr>
              <w:jc w:val="center"/>
              <w:rPr>
                <w:sz w:val="20"/>
                <w:szCs w:val="20"/>
              </w:rPr>
            </w:pPr>
            <w:r w:rsidRPr="006C5C05">
              <w:rPr>
                <w:sz w:val="20"/>
                <w:szCs w:val="20"/>
              </w:rPr>
              <w:t>905935</w:t>
            </w:r>
          </w:p>
        </w:tc>
      </w:tr>
      <w:tr w:rsidR="00DE2D99" w:rsidRPr="006C5C05" w:rsidTr="000802EC">
        <w:tc>
          <w:tcPr>
            <w:tcW w:w="2376" w:type="dxa"/>
          </w:tcPr>
          <w:p w:rsidR="00DE2D99" w:rsidRPr="006C5C05" w:rsidRDefault="00DE2D99" w:rsidP="000802EC">
            <w:pPr>
              <w:rPr>
                <w:b/>
                <w:sz w:val="20"/>
                <w:szCs w:val="20"/>
              </w:rPr>
            </w:pPr>
            <w:r w:rsidRPr="006C5C05">
              <w:rPr>
                <w:b/>
                <w:sz w:val="20"/>
                <w:szCs w:val="20"/>
              </w:rPr>
              <w:t>NHSC Projections</w:t>
            </w:r>
          </w:p>
        </w:tc>
        <w:tc>
          <w:tcPr>
            <w:tcW w:w="1276" w:type="dxa"/>
          </w:tcPr>
          <w:p w:rsidR="00DE2D99" w:rsidRPr="006C5C05" w:rsidRDefault="00DE2D99" w:rsidP="000802EC">
            <w:pPr>
              <w:jc w:val="center"/>
              <w:rPr>
                <w:sz w:val="20"/>
                <w:szCs w:val="20"/>
              </w:rPr>
            </w:pPr>
          </w:p>
        </w:tc>
        <w:tc>
          <w:tcPr>
            <w:tcW w:w="1276" w:type="dxa"/>
          </w:tcPr>
          <w:p w:rsidR="00DE2D99" w:rsidRPr="006C5C05" w:rsidRDefault="00DE2D99" w:rsidP="000802EC">
            <w:pPr>
              <w:jc w:val="center"/>
              <w:rPr>
                <w:sz w:val="20"/>
                <w:szCs w:val="20"/>
              </w:rPr>
            </w:pPr>
          </w:p>
        </w:tc>
        <w:tc>
          <w:tcPr>
            <w:tcW w:w="1276" w:type="dxa"/>
          </w:tcPr>
          <w:p w:rsidR="00DE2D99" w:rsidRPr="006C5C05" w:rsidRDefault="00DE2D99" w:rsidP="000802EC">
            <w:pPr>
              <w:jc w:val="center"/>
              <w:rPr>
                <w:sz w:val="20"/>
                <w:szCs w:val="20"/>
              </w:rPr>
            </w:pPr>
          </w:p>
        </w:tc>
        <w:tc>
          <w:tcPr>
            <w:tcW w:w="1275" w:type="dxa"/>
          </w:tcPr>
          <w:p w:rsidR="00DE2D99" w:rsidRPr="006C5C05" w:rsidRDefault="00DE2D99" w:rsidP="000802EC">
            <w:pPr>
              <w:jc w:val="center"/>
              <w:rPr>
                <w:sz w:val="20"/>
                <w:szCs w:val="20"/>
              </w:rPr>
            </w:pPr>
          </w:p>
        </w:tc>
        <w:tc>
          <w:tcPr>
            <w:tcW w:w="1276" w:type="dxa"/>
          </w:tcPr>
          <w:p w:rsidR="00DE2D99" w:rsidRPr="006C5C05" w:rsidRDefault="00DE2D99" w:rsidP="000802EC">
            <w:pPr>
              <w:jc w:val="center"/>
              <w:rPr>
                <w:sz w:val="20"/>
                <w:szCs w:val="20"/>
              </w:rPr>
            </w:pPr>
          </w:p>
        </w:tc>
      </w:tr>
      <w:tr w:rsidR="00DE2D99" w:rsidRPr="006C5C05" w:rsidTr="000802EC">
        <w:tc>
          <w:tcPr>
            <w:tcW w:w="2376" w:type="dxa"/>
          </w:tcPr>
          <w:p w:rsidR="00DE2D99" w:rsidRPr="006C5C05" w:rsidRDefault="00DE2D99" w:rsidP="000802EC">
            <w:pPr>
              <w:jc w:val="right"/>
              <w:rPr>
                <w:b/>
                <w:sz w:val="20"/>
                <w:szCs w:val="20"/>
              </w:rPr>
            </w:pPr>
            <w:r w:rsidRPr="006C5C05">
              <w:rPr>
                <w:b/>
                <w:sz w:val="20"/>
                <w:szCs w:val="20"/>
              </w:rPr>
              <w:t>Low</w:t>
            </w:r>
          </w:p>
        </w:tc>
        <w:tc>
          <w:tcPr>
            <w:tcW w:w="1276" w:type="dxa"/>
          </w:tcPr>
          <w:p w:rsidR="00DE2D99" w:rsidRPr="006C5C05" w:rsidRDefault="00092845" w:rsidP="000802EC">
            <w:pPr>
              <w:jc w:val="center"/>
              <w:rPr>
                <w:sz w:val="20"/>
                <w:szCs w:val="20"/>
              </w:rPr>
            </w:pPr>
            <w:r w:rsidRPr="006C5C05">
              <w:rPr>
                <w:sz w:val="20"/>
                <w:szCs w:val="20"/>
              </w:rPr>
              <w:t>2826207</w:t>
            </w:r>
          </w:p>
        </w:tc>
        <w:tc>
          <w:tcPr>
            <w:tcW w:w="1276" w:type="dxa"/>
          </w:tcPr>
          <w:p w:rsidR="00DE2D99" w:rsidRPr="006C5C05" w:rsidRDefault="00092845" w:rsidP="000802EC">
            <w:pPr>
              <w:jc w:val="center"/>
              <w:rPr>
                <w:sz w:val="20"/>
                <w:szCs w:val="20"/>
              </w:rPr>
            </w:pPr>
            <w:r w:rsidRPr="006C5C05">
              <w:rPr>
                <w:sz w:val="20"/>
                <w:szCs w:val="20"/>
              </w:rPr>
              <w:t>2182420</w:t>
            </w:r>
          </w:p>
        </w:tc>
        <w:tc>
          <w:tcPr>
            <w:tcW w:w="1276" w:type="dxa"/>
          </w:tcPr>
          <w:p w:rsidR="00DE2D99" w:rsidRPr="006C5C05" w:rsidRDefault="005E763F" w:rsidP="000802EC">
            <w:pPr>
              <w:jc w:val="center"/>
              <w:rPr>
                <w:sz w:val="20"/>
                <w:szCs w:val="20"/>
              </w:rPr>
            </w:pPr>
            <w:r w:rsidRPr="006C5C05">
              <w:rPr>
                <w:sz w:val="20"/>
                <w:szCs w:val="20"/>
              </w:rPr>
              <w:t>1790133</w:t>
            </w:r>
          </w:p>
        </w:tc>
        <w:tc>
          <w:tcPr>
            <w:tcW w:w="1275" w:type="dxa"/>
          </w:tcPr>
          <w:p w:rsidR="00DE2D99" w:rsidRPr="006C5C05" w:rsidRDefault="005E763F" w:rsidP="000802EC">
            <w:pPr>
              <w:jc w:val="center"/>
              <w:rPr>
                <w:sz w:val="20"/>
                <w:szCs w:val="20"/>
              </w:rPr>
            </w:pPr>
            <w:r w:rsidRPr="006C5C05">
              <w:rPr>
                <w:sz w:val="20"/>
                <w:szCs w:val="20"/>
              </w:rPr>
              <w:t>684868</w:t>
            </w:r>
          </w:p>
        </w:tc>
        <w:tc>
          <w:tcPr>
            <w:tcW w:w="1276" w:type="dxa"/>
          </w:tcPr>
          <w:p w:rsidR="00DE2D99" w:rsidRPr="006C5C05" w:rsidRDefault="005E763F" w:rsidP="000802EC">
            <w:pPr>
              <w:jc w:val="center"/>
              <w:rPr>
                <w:sz w:val="20"/>
                <w:szCs w:val="20"/>
              </w:rPr>
            </w:pPr>
            <w:r w:rsidRPr="006C5C05">
              <w:rPr>
                <w:sz w:val="20"/>
                <w:szCs w:val="20"/>
              </w:rPr>
              <w:t>924592</w:t>
            </w:r>
          </w:p>
        </w:tc>
      </w:tr>
      <w:tr w:rsidR="00DE2D99" w:rsidRPr="006C5C05" w:rsidTr="000802EC">
        <w:tc>
          <w:tcPr>
            <w:tcW w:w="2376" w:type="dxa"/>
          </w:tcPr>
          <w:p w:rsidR="00DE2D99" w:rsidRPr="006C5C05" w:rsidRDefault="00DE2D99" w:rsidP="000802EC">
            <w:pPr>
              <w:jc w:val="right"/>
              <w:rPr>
                <w:b/>
                <w:sz w:val="20"/>
                <w:szCs w:val="20"/>
              </w:rPr>
            </w:pPr>
            <w:r w:rsidRPr="006C5C05">
              <w:rPr>
                <w:b/>
                <w:sz w:val="20"/>
                <w:szCs w:val="20"/>
              </w:rPr>
              <w:t>Medium</w:t>
            </w:r>
          </w:p>
        </w:tc>
        <w:tc>
          <w:tcPr>
            <w:tcW w:w="1276" w:type="dxa"/>
          </w:tcPr>
          <w:p w:rsidR="00DE2D99" w:rsidRPr="006C5C05" w:rsidRDefault="00092845" w:rsidP="000802EC">
            <w:pPr>
              <w:jc w:val="center"/>
              <w:rPr>
                <w:sz w:val="20"/>
                <w:szCs w:val="20"/>
              </w:rPr>
            </w:pPr>
            <w:r w:rsidRPr="006C5C05">
              <w:rPr>
                <w:sz w:val="20"/>
                <w:szCs w:val="20"/>
              </w:rPr>
              <w:t>2844912</w:t>
            </w:r>
          </w:p>
        </w:tc>
        <w:tc>
          <w:tcPr>
            <w:tcW w:w="1276" w:type="dxa"/>
          </w:tcPr>
          <w:p w:rsidR="00DE2D99" w:rsidRPr="006C5C05" w:rsidRDefault="00092845" w:rsidP="000802EC">
            <w:pPr>
              <w:jc w:val="center"/>
              <w:rPr>
                <w:sz w:val="20"/>
                <w:szCs w:val="20"/>
              </w:rPr>
            </w:pPr>
            <w:r w:rsidRPr="006C5C05">
              <w:rPr>
                <w:sz w:val="20"/>
                <w:szCs w:val="20"/>
              </w:rPr>
              <w:t>2198854</w:t>
            </w:r>
          </w:p>
        </w:tc>
        <w:tc>
          <w:tcPr>
            <w:tcW w:w="1276" w:type="dxa"/>
          </w:tcPr>
          <w:p w:rsidR="00DE2D99" w:rsidRPr="006C5C05" w:rsidRDefault="005E763F" w:rsidP="000802EC">
            <w:pPr>
              <w:jc w:val="center"/>
              <w:rPr>
                <w:sz w:val="20"/>
                <w:szCs w:val="20"/>
              </w:rPr>
            </w:pPr>
            <w:r w:rsidRPr="006C5C05">
              <w:rPr>
                <w:sz w:val="20"/>
                <w:szCs w:val="20"/>
              </w:rPr>
              <w:t>1802647</w:t>
            </w:r>
          </w:p>
        </w:tc>
        <w:tc>
          <w:tcPr>
            <w:tcW w:w="1275" w:type="dxa"/>
          </w:tcPr>
          <w:p w:rsidR="00DE2D99" w:rsidRPr="006C5C05" w:rsidRDefault="005E763F" w:rsidP="000802EC">
            <w:pPr>
              <w:jc w:val="center"/>
              <w:rPr>
                <w:sz w:val="20"/>
                <w:szCs w:val="20"/>
              </w:rPr>
            </w:pPr>
            <w:r w:rsidRPr="006C5C05">
              <w:rPr>
                <w:sz w:val="20"/>
                <w:szCs w:val="20"/>
              </w:rPr>
              <w:t>688561</w:t>
            </w:r>
          </w:p>
        </w:tc>
        <w:tc>
          <w:tcPr>
            <w:tcW w:w="1276" w:type="dxa"/>
          </w:tcPr>
          <w:p w:rsidR="00DE2D99" w:rsidRPr="006C5C05" w:rsidRDefault="005E763F" w:rsidP="000802EC">
            <w:pPr>
              <w:jc w:val="center"/>
              <w:rPr>
                <w:sz w:val="20"/>
                <w:szCs w:val="20"/>
              </w:rPr>
            </w:pPr>
            <w:r w:rsidRPr="006C5C05">
              <w:rPr>
                <w:sz w:val="20"/>
                <w:szCs w:val="20"/>
              </w:rPr>
              <w:t>934343</w:t>
            </w:r>
          </w:p>
        </w:tc>
      </w:tr>
      <w:tr w:rsidR="00DE2D99" w:rsidRPr="006C5C05" w:rsidTr="000802EC">
        <w:tc>
          <w:tcPr>
            <w:tcW w:w="2376" w:type="dxa"/>
          </w:tcPr>
          <w:p w:rsidR="00DE2D99" w:rsidRPr="006C5C05" w:rsidRDefault="00DE2D99" w:rsidP="000802EC">
            <w:pPr>
              <w:jc w:val="right"/>
              <w:rPr>
                <w:b/>
                <w:sz w:val="20"/>
                <w:szCs w:val="20"/>
              </w:rPr>
            </w:pPr>
            <w:r w:rsidRPr="006C5C05">
              <w:rPr>
                <w:b/>
                <w:sz w:val="20"/>
                <w:szCs w:val="20"/>
              </w:rPr>
              <w:t>High</w:t>
            </w:r>
          </w:p>
        </w:tc>
        <w:tc>
          <w:tcPr>
            <w:tcW w:w="1276" w:type="dxa"/>
          </w:tcPr>
          <w:p w:rsidR="00DE2D99" w:rsidRPr="006C5C05" w:rsidRDefault="00092845" w:rsidP="000802EC">
            <w:pPr>
              <w:jc w:val="center"/>
              <w:rPr>
                <w:sz w:val="20"/>
                <w:szCs w:val="20"/>
              </w:rPr>
            </w:pPr>
            <w:r w:rsidRPr="006C5C05">
              <w:rPr>
                <w:sz w:val="20"/>
                <w:szCs w:val="20"/>
              </w:rPr>
              <w:t>2861278</w:t>
            </w:r>
          </w:p>
        </w:tc>
        <w:tc>
          <w:tcPr>
            <w:tcW w:w="1276" w:type="dxa"/>
          </w:tcPr>
          <w:p w:rsidR="00DE2D99" w:rsidRPr="006C5C05" w:rsidRDefault="00092845" w:rsidP="000802EC">
            <w:pPr>
              <w:jc w:val="center"/>
              <w:rPr>
                <w:sz w:val="20"/>
                <w:szCs w:val="20"/>
              </w:rPr>
            </w:pPr>
            <w:r w:rsidRPr="006C5C05">
              <w:rPr>
                <w:sz w:val="20"/>
                <w:szCs w:val="20"/>
              </w:rPr>
              <w:t>2213233</w:t>
            </w:r>
          </w:p>
        </w:tc>
        <w:tc>
          <w:tcPr>
            <w:tcW w:w="1276" w:type="dxa"/>
          </w:tcPr>
          <w:p w:rsidR="00DE2D99" w:rsidRPr="006C5C05" w:rsidRDefault="005E763F" w:rsidP="000802EC">
            <w:pPr>
              <w:jc w:val="center"/>
              <w:rPr>
                <w:sz w:val="20"/>
                <w:szCs w:val="20"/>
              </w:rPr>
            </w:pPr>
            <w:r w:rsidRPr="006C5C05">
              <w:rPr>
                <w:sz w:val="20"/>
                <w:szCs w:val="20"/>
              </w:rPr>
              <w:t>1813596</w:t>
            </w:r>
          </w:p>
        </w:tc>
        <w:tc>
          <w:tcPr>
            <w:tcW w:w="1275" w:type="dxa"/>
          </w:tcPr>
          <w:p w:rsidR="00DE2D99" w:rsidRPr="006C5C05" w:rsidRDefault="005E763F" w:rsidP="000802EC">
            <w:pPr>
              <w:jc w:val="center"/>
              <w:rPr>
                <w:sz w:val="20"/>
                <w:szCs w:val="20"/>
              </w:rPr>
            </w:pPr>
            <w:r w:rsidRPr="006C5C05">
              <w:rPr>
                <w:sz w:val="20"/>
                <w:szCs w:val="20"/>
              </w:rPr>
              <w:t>691792</w:t>
            </w:r>
          </w:p>
        </w:tc>
        <w:tc>
          <w:tcPr>
            <w:tcW w:w="1276" w:type="dxa"/>
          </w:tcPr>
          <w:p w:rsidR="00DE2D99" w:rsidRPr="006C5C05" w:rsidRDefault="005E763F" w:rsidP="000802EC">
            <w:pPr>
              <w:jc w:val="center"/>
              <w:rPr>
                <w:sz w:val="20"/>
                <w:szCs w:val="20"/>
              </w:rPr>
            </w:pPr>
            <w:r w:rsidRPr="006C5C05">
              <w:rPr>
                <w:sz w:val="20"/>
                <w:szCs w:val="20"/>
              </w:rPr>
              <w:t>942875</w:t>
            </w:r>
          </w:p>
        </w:tc>
      </w:tr>
      <w:tr w:rsidR="00DE2D99" w:rsidRPr="006C5C05" w:rsidTr="000802EC">
        <w:tc>
          <w:tcPr>
            <w:tcW w:w="2376" w:type="dxa"/>
          </w:tcPr>
          <w:p w:rsidR="00DE2D99" w:rsidRPr="006C5C05" w:rsidRDefault="00DE2D99" w:rsidP="000802EC">
            <w:pPr>
              <w:rPr>
                <w:b/>
                <w:sz w:val="20"/>
                <w:szCs w:val="20"/>
              </w:rPr>
            </w:pPr>
            <w:r w:rsidRPr="006C5C05">
              <w:rPr>
                <w:b/>
                <w:sz w:val="20"/>
                <w:szCs w:val="20"/>
              </w:rPr>
              <w:t>Differences (NHSC and revised ERP)</w:t>
            </w:r>
            <w:r w:rsidR="00092845" w:rsidRPr="006C5C05">
              <w:rPr>
                <w:b/>
                <w:sz w:val="20"/>
                <w:szCs w:val="20"/>
              </w:rPr>
              <w:t>, %</w:t>
            </w:r>
          </w:p>
        </w:tc>
        <w:tc>
          <w:tcPr>
            <w:tcW w:w="1276" w:type="dxa"/>
          </w:tcPr>
          <w:p w:rsidR="00DE2D99" w:rsidRPr="006C5C05" w:rsidRDefault="00DE2D99" w:rsidP="000802EC">
            <w:pPr>
              <w:jc w:val="center"/>
              <w:rPr>
                <w:sz w:val="20"/>
                <w:szCs w:val="20"/>
              </w:rPr>
            </w:pPr>
          </w:p>
        </w:tc>
        <w:tc>
          <w:tcPr>
            <w:tcW w:w="1276" w:type="dxa"/>
          </w:tcPr>
          <w:p w:rsidR="00DE2D99" w:rsidRPr="006C5C05" w:rsidRDefault="00DE2D99" w:rsidP="000802EC">
            <w:pPr>
              <w:jc w:val="center"/>
              <w:rPr>
                <w:sz w:val="20"/>
                <w:szCs w:val="20"/>
              </w:rPr>
            </w:pPr>
          </w:p>
        </w:tc>
        <w:tc>
          <w:tcPr>
            <w:tcW w:w="1276" w:type="dxa"/>
          </w:tcPr>
          <w:p w:rsidR="00DE2D99" w:rsidRPr="006C5C05" w:rsidRDefault="00DE2D99" w:rsidP="000802EC">
            <w:pPr>
              <w:jc w:val="center"/>
              <w:rPr>
                <w:sz w:val="20"/>
                <w:szCs w:val="20"/>
              </w:rPr>
            </w:pPr>
          </w:p>
        </w:tc>
        <w:tc>
          <w:tcPr>
            <w:tcW w:w="1275" w:type="dxa"/>
          </w:tcPr>
          <w:p w:rsidR="00DE2D99" w:rsidRPr="006C5C05" w:rsidRDefault="00DE2D99" w:rsidP="000802EC">
            <w:pPr>
              <w:jc w:val="center"/>
              <w:rPr>
                <w:sz w:val="20"/>
                <w:szCs w:val="20"/>
              </w:rPr>
            </w:pPr>
          </w:p>
        </w:tc>
        <w:tc>
          <w:tcPr>
            <w:tcW w:w="1276" w:type="dxa"/>
          </w:tcPr>
          <w:p w:rsidR="00DE2D99" w:rsidRPr="006C5C05" w:rsidRDefault="00DE2D99" w:rsidP="000802EC">
            <w:pPr>
              <w:jc w:val="center"/>
              <w:rPr>
                <w:sz w:val="20"/>
                <w:szCs w:val="20"/>
              </w:rPr>
            </w:pPr>
          </w:p>
        </w:tc>
      </w:tr>
      <w:tr w:rsidR="00DE2D99" w:rsidRPr="006C5C05" w:rsidTr="000802EC">
        <w:tc>
          <w:tcPr>
            <w:tcW w:w="2376" w:type="dxa"/>
          </w:tcPr>
          <w:p w:rsidR="00DE2D99" w:rsidRPr="006C5C05" w:rsidRDefault="00DE2D99" w:rsidP="000802EC">
            <w:pPr>
              <w:jc w:val="right"/>
              <w:rPr>
                <w:b/>
                <w:sz w:val="20"/>
                <w:szCs w:val="20"/>
              </w:rPr>
            </w:pPr>
            <w:r w:rsidRPr="006C5C05">
              <w:rPr>
                <w:b/>
                <w:sz w:val="20"/>
                <w:szCs w:val="20"/>
              </w:rPr>
              <w:t>Low</w:t>
            </w:r>
          </w:p>
        </w:tc>
        <w:tc>
          <w:tcPr>
            <w:tcW w:w="1276" w:type="dxa"/>
          </w:tcPr>
          <w:p w:rsidR="00DE2D99" w:rsidRPr="006C5C05" w:rsidRDefault="00092845" w:rsidP="000802EC">
            <w:pPr>
              <w:jc w:val="center"/>
              <w:rPr>
                <w:sz w:val="20"/>
                <w:szCs w:val="20"/>
              </w:rPr>
            </w:pPr>
            <w:r w:rsidRPr="006C5C05">
              <w:rPr>
                <w:sz w:val="20"/>
                <w:szCs w:val="20"/>
              </w:rPr>
              <w:t>1.7</w:t>
            </w:r>
          </w:p>
        </w:tc>
        <w:tc>
          <w:tcPr>
            <w:tcW w:w="1276" w:type="dxa"/>
          </w:tcPr>
          <w:p w:rsidR="00DE2D99" w:rsidRPr="006C5C05" w:rsidRDefault="005E763F" w:rsidP="000802EC">
            <w:pPr>
              <w:jc w:val="center"/>
              <w:rPr>
                <w:sz w:val="20"/>
                <w:szCs w:val="20"/>
              </w:rPr>
            </w:pPr>
            <w:r w:rsidRPr="006C5C05">
              <w:rPr>
                <w:sz w:val="20"/>
                <w:szCs w:val="20"/>
              </w:rPr>
              <w:t>1.4</w:t>
            </w:r>
          </w:p>
        </w:tc>
        <w:tc>
          <w:tcPr>
            <w:tcW w:w="1276" w:type="dxa"/>
          </w:tcPr>
          <w:p w:rsidR="00DE2D99" w:rsidRPr="006C5C05" w:rsidRDefault="005E763F" w:rsidP="000802EC">
            <w:pPr>
              <w:jc w:val="center"/>
              <w:rPr>
                <w:sz w:val="20"/>
                <w:szCs w:val="20"/>
              </w:rPr>
            </w:pPr>
            <w:r w:rsidRPr="006C5C05">
              <w:rPr>
                <w:sz w:val="20"/>
                <w:szCs w:val="20"/>
              </w:rPr>
              <w:t>3.5</w:t>
            </w:r>
          </w:p>
        </w:tc>
        <w:tc>
          <w:tcPr>
            <w:tcW w:w="1275" w:type="dxa"/>
          </w:tcPr>
          <w:p w:rsidR="00DE2D99" w:rsidRPr="006C5C05" w:rsidRDefault="005E763F" w:rsidP="000802EC">
            <w:pPr>
              <w:jc w:val="center"/>
              <w:rPr>
                <w:sz w:val="20"/>
                <w:szCs w:val="20"/>
              </w:rPr>
            </w:pPr>
            <w:r w:rsidRPr="006C5C05">
              <w:rPr>
                <w:sz w:val="20"/>
                <w:szCs w:val="20"/>
              </w:rPr>
              <w:t>1.4</w:t>
            </w:r>
          </w:p>
        </w:tc>
        <w:tc>
          <w:tcPr>
            <w:tcW w:w="1276" w:type="dxa"/>
          </w:tcPr>
          <w:p w:rsidR="00DE2D99" w:rsidRPr="006C5C05" w:rsidRDefault="005E763F" w:rsidP="000802EC">
            <w:pPr>
              <w:jc w:val="center"/>
              <w:rPr>
                <w:sz w:val="20"/>
                <w:szCs w:val="20"/>
              </w:rPr>
            </w:pPr>
            <w:r w:rsidRPr="006C5C05">
              <w:rPr>
                <w:sz w:val="20"/>
                <w:szCs w:val="20"/>
              </w:rPr>
              <w:t>2.1</w:t>
            </w:r>
          </w:p>
        </w:tc>
      </w:tr>
      <w:tr w:rsidR="00DE2D99" w:rsidRPr="006C5C05" w:rsidTr="000802EC">
        <w:tc>
          <w:tcPr>
            <w:tcW w:w="2376" w:type="dxa"/>
          </w:tcPr>
          <w:p w:rsidR="00DE2D99" w:rsidRPr="006C5C05" w:rsidRDefault="00DE2D99" w:rsidP="000802EC">
            <w:pPr>
              <w:jc w:val="right"/>
              <w:rPr>
                <w:b/>
                <w:sz w:val="20"/>
                <w:szCs w:val="20"/>
              </w:rPr>
            </w:pPr>
            <w:r w:rsidRPr="006C5C05">
              <w:rPr>
                <w:b/>
                <w:sz w:val="20"/>
                <w:szCs w:val="20"/>
              </w:rPr>
              <w:t>Medium</w:t>
            </w:r>
          </w:p>
        </w:tc>
        <w:tc>
          <w:tcPr>
            <w:tcW w:w="1276" w:type="dxa"/>
          </w:tcPr>
          <w:p w:rsidR="00DE2D99" w:rsidRPr="006C5C05" w:rsidRDefault="00092845" w:rsidP="000802EC">
            <w:pPr>
              <w:jc w:val="center"/>
              <w:rPr>
                <w:sz w:val="20"/>
                <w:szCs w:val="20"/>
              </w:rPr>
            </w:pPr>
            <w:r w:rsidRPr="006C5C05">
              <w:rPr>
                <w:sz w:val="20"/>
                <w:szCs w:val="20"/>
              </w:rPr>
              <w:t>2.4</w:t>
            </w:r>
          </w:p>
        </w:tc>
        <w:tc>
          <w:tcPr>
            <w:tcW w:w="1276" w:type="dxa"/>
          </w:tcPr>
          <w:p w:rsidR="00DE2D99" w:rsidRPr="006C5C05" w:rsidRDefault="005E763F" w:rsidP="000802EC">
            <w:pPr>
              <w:jc w:val="center"/>
              <w:rPr>
                <w:sz w:val="20"/>
                <w:szCs w:val="20"/>
              </w:rPr>
            </w:pPr>
            <w:r w:rsidRPr="006C5C05">
              <w:rPr>
                <w:sz w:val="20"/>
                <w:szCs w:val="20"/>
              </w:rPr>
              <w:t>2.2</w:t>
            </w:r>
          </w:p>
        </w:tc>
        <w:tc>
          <w:tcPr>
            <w:tcW w:w="1276" w:type="dxa"/>
          </w:tcPr>
          <w:p w:rsidR="00DE2D99" w:rsidRPr="006C5C05" w:rsidRDefault="005E763F" w:rsidP="000802EC">
            <w:pPr>
              <w:jc w:val="center"/>
              <w:rPr>
                <w:sz w:val="20"/>
                <w:szCs w:val="20"/>
              </w:rPr>
            </w:pPr>
            <w:r w:rsidRPr="006C5C05">
              <w:rPr>
                <w:sz w:val="20"/>
                <w:szCs w:val="20"/>
              </w:rPr>
              <w:t>4.2</w:t>
            </w:r>
          </w:p>
        </w:tc>
        <w:tc>
          <w:tcPr>
            <w:tcW w:w="1275" w:type="dxa"/>
          </w:tcPr>
          <w:p w:rsidR="00DE2D99" w:rsidRPr="006C5C05" w:rsidRDefault="005E763F" w:rsidP="000802EC">
            <w:pPr>
              <w:jc w:val="center"/>
              <w:rPr>
                <w:sz w:val="20"/>
                <w:szCs w:val="20"/>
              </w:rPr>
            </w:pPr>
            <w:r w:rsidRPr="006C5C05">
              <w:rPr>
                <w:sz w:val="20"/>
                <w:szCs w:val="20"/>
              </w:rPr>
              <w:t>2.0</w:t>
            </w:r>
          </w:p>
        </w:tc>
        <w:tc>
          <w:tcPr>
            <w:tcW w:w="1276" w:type="dxa"/>
          </w:tcPr>
          <w:p w:rsidR="00DE2D99" w:rsidRPr="006C5C05" w:rsidRDefault="005E763F" w:rsidP="000802EC">
            <w:pPr>
              <w:jc w:val="center"/>
              <w:rPr>
                <w:sz w:val="20"/>
                <w:szCs w:val="20"/>
              </w:rPr>
            </w:pPr>
            <w:r w:rsidRPr="006C5C05">
              <w:rPr>
                <w:sz w:val="20"/>
                <w:szCs w:val="20"/>
              </w:rPr>
              <w:t>3.1</w:t>
            </w:r>
          </w:p>
        </w:tc>
      </w:tr>
      <w:tr w:rsidR="00DE2D99" w:rsidRPr="006C5C05" w:rsidTr="000802EC">
        <w:tc>
          <w:tcPr>
            <w:tcW w:w="2376" w:type="dxa"/>
          </w:tcPr>
          <w:p w:rsidR="00DE2D99" w:rsidRPr="006C5C05" w:rsidRDefault="00DE2D99" w:rsidP="000802EC">
            <w:pPr>
              <w:jc w:val="right"/>
              <w:rPr>
                <w:b/>
                <w:sz w:val="20"/>
                <w:szCs w:val="20"/>
              </w:rPr>
            </w:pPr>
            <w:r w:rsidRPr="006C5C05">
              <w:rPr>
                <w:b/>
                <w:sz w:val="20"/>
                <w:szCs w:val="20"/>
              </w:rPr>
              <w:t>High</w:t>
            </w:r>
          </w:p>
        </w:tc>
        <w:tc>
          <w:tcPr>
            <w:tcW w:w="1276" w:type="dxa"/>
          </w:tcPr>
          <w:p w:rsidR="00DE2D99" w:rsidRPr="006C5C05" w:rsidRDefault="00092845" w:rsidP="000802EC">
            <w:pPr>
              <w:jc w:val="center"/>
              <w:rPr>
                <w:sz w:val="20"/>
                <w:szCs w:val="20"/>
              </w:rPr>
            </w:pPr>
            <w:r w:rsidRPr="006C5C05">
              <w:rPr>
                <w:sz w:val="20"/>
                <w:szCs w:val="20"/>
              </w:rPr>
              <w:t>3.0</w:t>
            </w:r>
          </w:p>
        </w:tc>
        <w:tc>
          <w:tcPr>
            <w:tcW w:w="1276" w:type="dxa"/>
          </w:tcPr>
          <w:p w:rsidR="00DE2D99" w:rsidRPr="006C5C05" w:rsidRDefault="005E763F" w:rsidP="000802EC">
            <w:pPr>
              <w:jc w:val="center"/>
              <w:rPr>
                <w:sz w:val="20"/>
                <w:szCs w:val="20"/>
              </w:rPr>
            </w:pPr>
            <w:r w:rsidRPr="006C5C05">
              <w:rPr>
                <w:sz w:val="20"/>
                <w:szCs w:val="20"/>
              </w:rPr>
              <w:t>2.8</w:t>
            </w:r>
          </w:p>
        </w:tc>
        <w:tc>
          <w:tcPr>
            <w:tcW w:w="1276" w:type="dxa"/>
          </w:tcPr>
          <w:p w:rsidR="00DE2D99" w:rsidRPr="006C5C05" w:rsidRDefault="005E763F" w:rsidP="000802EC">
            <w:pPr>
              <w:jc w:val="center"/>
              <w:rPr>
                <w:sz w:val="20"/>
                <w:szCs w:val="20"/>
              </w:rPr>
            </w:pPr>
            <w:r w:rsidRPr="006C5C05">
              <w:rPr>
                <w:sz w:val="20"/>
                <w:szCs w:val="20"/>
              </w:rPr>
              <w:t>4.8</w:t>
            </w:r>
          </w:p>
        </w:tc>
        <w:tc>
          <w:tcPr>
            <w:tcW w:w="1275" w:type="dxa"/>
          </w:tcPr>
          <w:p w:rsidR="00DE2D99" w:rsidRPr="006C5C05" w:rsidRDefault="005E763F" w:rsidP="000802EC">
            <w:pPr>
              <w:jc w:val="center"/>
              <w:rPr>
                <w:sz w:val="20"/>
                <w:szCs w:val="20"/>
              </w:rPr>
            </w:pPr>
            <w:r w:rsidRPr="006C5C05">
              <w:rPr>
                <w:sz w:val="20"/>
                <w:szCs w:val="20"/>
              </w:rPr>
              <w:t>2.5</w:t>
            </w:r>
          </w:p>
        </w:tc>
        <w:tc>
          <w:tcPr>
            <w:tcW w:w="1276" w:type="dxa"/>
          </w:tcPr>
          <w:p w:rsidR="00DE2D99" w:rsidRPr="006C5C05" w:rsidRDefault="005E763F" w:rsidP="000802EC">
            <w:pPr>
              <w:jc w:val="center"/>
              <w:rPr>
                <w:sz w:val="20"/>
                <w:szCs w:val="20"/>
              </w:rPr>
            </w:pPr>
            <w:r w:rsidRPr="006C5C05">
              <w:rPr>
                <w:sz w:val="20"/>
                <w:szCs w:val="20"/>
              </w:rPr>
              <w:t>4.1</w:t>
            </w:r>
          </w:p>
        </w:tc>
      </w:tr>
      <w:tr w:rsidR="00DE2D99" w:rsidRPr="006C5C05" w:rsidTr="000802EC">
        <w:tc>
          <w:tcPr>
            <w:tcW w:w="8755" w:type="dxa"/>
            <w:gridSpan w:val="6"/>
          </w:tcPr>
          <w:p w:rsidR="00DE2D99" w:rsidRPr="006C5C05" w:rsidRDefault="00DE2D99" w:rsidP="000802EC">
            <w:pPr>
              <w:jc w:val="center"/>
              <w:rPr>
                <w:b/>
                <w:sz w:val="20"/>
                <w:szCs w:val="20"/>
              </w:rPr>
            </w:pPr>
          </w:p>
        </w:tc>
      </w:tr>
      <w:tr w:rsidR="00DE2D99" w:rsidRPr="006C5C05" w:rsidTr="000802EC">
        <w:tc>
          <w:tcPr>
            <w:tcW w:w="2376" w:type="dxa"/>
            <w:vMerge w:val="restart"/>
          </w:tcPr>
          <w:p w:rsidR="00DE2D99" w:rsidRPr="006C5C05" w:rsidRDefault="00DE2D99" w:rsidP="000802EC">
            <w:pPr>
              <w:rPr>
                <w:b/>
                <w:sz w:val="20"/>
                <w:szCs w:val="20"/>
              </w:rPr>
            </w:pPr>
            <w:r w:rsidRPr="006C5C05">
              <w:rPr>
                <w:b/>
                <w:sz w:val="20"/>
                <w:szCs w:val="20"/>
              </w:rPr>
              <w:t>Variant</w:t>
            </w:r>
          </w:p>
        </w:tc>
        <w:tc>
          <w:tcPr>
            <w:tcW w:w="6379" w:type="dxa"/>
            <w:gridSpan w:val="5"/>
          </w:tcPr>
          <w:p w:rsidR="00DE2D99" w:rsidRPr="006C5C05" w:rsidRDefault="00DE2D99" w:rsidP="000802EC">
            <w:pPr>
              <w:jc w:val="center"/>
              <w:rPr>
                <w:b/>
                <w:sz w:val="20"/>
                <w:szCs w:val="20"/>
              </w:rPr>
            </w:pPr>
            <w:r w:rsidRPr="006C5C05">
              <w:rPr>
                <w:b/>
                <w:sz w:val="20"/>
                <w:szCs w:val="20"/>
              </w:rPr>
              <w:t>Households 2011</w:t>
            </w:r>
          </w:p>
        </w:tc>
      </w:tr>
      <w:tr w:rsidR="00DE2D99" w:rsidRPr="006C5C05" w:rsidTr="000802EC">
        <w:tc>
          <w:tcPr>
            <w:tcW w:w="2376" w:type="dxa"/>
            <w:vMerge/>
          </w:tcPr>
          <w:p w:rsidR="00DE2D99" w:rsidRPr="006C5C05" w:rsidRDefault="00DE2D99" w:rsidP="000802EC">
            <w:pPr>
              <w:rPr>
                <w:b/>
                <w:sz w:val="20"/>
                <w:szCs w:val="20"/>
              </w:rPr>
            </w:pPr>
          </w:p>
        </w:tc>
        <w:tc>
          <w:tcPr>
            <w:tcW w:w="1276" w:type="dxa"/>
          </w:tcPr>
          <w:p w:rsidR="00DE2D99" w:rsidRPr="006C5C05" w:rsidRDefault="00DE2D99" w:rsidP="000802EC">
            <w:pPr>
              <w:jc w:val="center"/>
              <w:rPr>
                <w:b/>
                <w:sz w:val="20"/>
                <w:szCs w:val="20"/>
              </w:rPr>
            </w:pPr>
            <w:proofErr w:type="spellStart"/>
            <w:r w:rsidRPr="006C5C05">
              <w:rPr>
                <w:b/>
                <w:sz w:val="20"/>
                <w:szCs w:val="20"/>
              </w:rPr>
              <w:t>Tas</w:t>
            </w:r>
            <w:proofErr w:type="spellEnd"/>
          </w:p>
        </w:tc>
        <w:tc>
          <w:tcPr>
            <w:tcW w:w="1276" w:type="dxa"/>
          </w:tcPr>
          <w:p w:rsidR="00DE2D99" w:rsidRPr="006C5C05" w:rsidRDefault="00DE2D99" w:rsidP="000802EC">
            <w:pPr>
              <w:jc w:val="center"/>
              <w:rPr>
                <w:b/>
                <w:sz w:val="20"/>
                <w:szCs w:val="20"/>
              </w:rPr>
            </w:pPr>
            <w:r w:rsidRPr="006C5C05">
              <w:rPr>
                <w:b/>
                <w:sz w:val="20"/>
                <w:szCs w:val="20"/>
              </w:rPr>
              <w:t>NT</w:t>
            </w:r>
          </w:p>
        </w:tc>
        <w:tc>
          <w:tcPr>
            <w:tcW w:w="1276" w:type="dxa"/>
          </w:tcPr>
          <w:p w:rsidR="00DE2D99" w:rsidRPr="006C5C05" w:rsidRDefault="00DE2D99" w:rsidP="000802EC">
            <w:pPr>
              <w:jc w:val="center"/>
              <w:rPr>
                <w:b/>
                <w:sz w:val="20"/>
                <w:szCs w:val="20"/>
              </w:rPr>
            </w:pPr>
            <w:r w:rsidRPr="006C5C05">
              <w:rPr>
                <w:b/>
                <w:sz w:val="20"/>
                <w:szCs w:val="20"/>
              </w:rPr>
              <w:t>ACT</w:t>
            </w:r>
          </w:p>
        </w:tc>
        <w:tc>
          <w:tcPr>
            <w:tcW w:w="1275" w:type="dxa"/>
          </w:tcPr>
          <w:p w:rsidR="00DE2D99" w:rsidRPr="006C5C05" w:rsidRDefault="00DE2D99" w:rsidP="000802EC">
            <w:pPr>
              <w:jc w:val="center"/>
              <w:rPr>
                <w:b/>
                <w:sz w:val="20"/>
                <w:szCs w:val="20"/>
              </w:rPr>
            </w:pPr>
            <w:r w:rsidRPr="006C5C05">
              <w:rPr>
                <w:b/>
                <w:sz w:val="20"/>
                <w:szCs w:val="20"/>
              </w:rPr>
              <w:t>Australia</w:t>
            </w:r>
          </w:p>
        </w:tc>
        <w:tc>
          <w:tcPr>
            <w:tcW w:w="1276" w:type="dxa"/>
          </w:tcPr>
          <w:p w:rsidR="00DE2D99" w:rsidRPr="006C5C05" w:rsidRDefault="00DE2D99" w:rsidP="000802EC">
            <w:pPr>
              <w:rPr>
                <w:b/>
                <w:sz w:val="20"/>
                <w:szCs w:val="20"/>
              </w:rPr>
            </w:pPr>
          </w:p>
        </w:tc>
      </w:tr>
      <w:tr w:rsidR="00DE2D99" w:rsidRPr="006C5C05" w:rsidTr="000802EC">
        <w:tc>
          <w:tcPr>
            <w:tcW w:w="2376" w:type="dxa"/>
          </w:tcPr>
          <w:p w:rsidR="00DE2D99" w:rsidRPr="006C5C05" w:rsidRDefault="00DE2D99" w:rsidP="000802EC">
            <w:pPr>
              <w:rPr>
                <w:b/>
                <w:sz w:val="20"/>
                <w:szCs w:val="20"/>
              </w:rPr>
            </w:pPr>
            <w:r w:rsidRPr="006C5C05">
              <w:rPr>
                <w:b/>
                <w:sz w:val="20"/>
                <w:szCs w:val="20"/>
              </w:rPr>
              <w:t>Actual ERP (post-census revision)</w:t>
            </w:r>
            <w:r w:rsidR="00092845" w:rsidRPr="006C5C05">
              <w:rPr>
                <w:b/>
                <w:sz w:val="20"/>
                <w:szCs w:val="20"/>
              </w:rPr>
              <w:t>, %</w:t>
            </w:r>
          </w:p>
        </w:tc>
        <w:tc>
          <w:tcPr>
            <w:tcW w:w="1276" w:type="dxa"/>
          </w:tcPr>
          <w:p w:rsidR="00DE2D99" w:rsidRPr="006C5C05" w:rsidRDefault="005E763F" w:rsidP="005E763F">
            <w:pPr>
              <w:jc w:val="center"/>
              <w:rPr>
                <w:sz w:val="20"/>
                <w:szCs w:val="20"/>
              </w:rPr>
            </w:pPr>
            <w:r w:rsidRPr="006C5C05">
              <w:rPr>
                <w:sz w:val="20"/>
                <w:szCs w:val="20"/>
              </w:rPr>
              <w:t>215092</w:t>
            </w:r>
          </w:p>
        </w:tc>
        <w:tc>
          <w:tcPr>
            <w:tcW w:w="1276" w:type="dxa"/>
          </w:tcPr>
          <w:p w:rsidR="00DE2D99" w:rsidRPr="006C5C05" w:rsidRDefault="005E763F" w:rsidP="005E763F">
            <w:pPr>
              <w:jc w:val="center"/>
              <w:rPr>
                <w:sz w:val="20"/>
                <w:szCs w:val="20"/>
              </w:rPr>
            </w:pPr>
            <w:r w:rsidRPr="006C5C05">
              <w:rPr>
                <w:sz w:val="20"/>
                <w:szCs w:val="20"/>
              </w:rPr>
              <w:t>79937</w:t>
            </w:r>
          </w:p>
        </w:tc>
        <w:tc>
          <w:tcPr>
            <w:tcW w:w="1276" w:type="dxa"/>
          </w:tcPr>
          <w:p w:rsidR="00DE2D99" w:rsidRPr="006C5C05" w:rsidRDefault="005E763F" w:rsidP="005E763F">
            <w:pPr>
              <w:jc w:val="center"/>
              <w:rPr>
                <w:sz w:val="20"/>
                <w:szCs w:val="20"/>
              </w:rPr>
            </w:pPr>
            <w:r w:rsidRPr="006C5C05">
              <w:rPr>
                <w:sz w:val="20"/>
                <w:szCs w:val="20"/>
              </w:rPr>
              <w:t>142015</w:t>
            </w:r>
          </w:p>
        </w:tc>
        <w:tc>
          <w:tcPr>
            <w:tcW w:w="1275" w:type="dxa"/>
          </w:tcPr>
          <w:p w:rsidR="00DE2D99" w:rsidRPr="006C5C05" w:rsidRDefault="005E763F" w:rsidP="005E763F">
            <w:pPr>
              <w:jc w:val="center"/>
              <w:rPr>
                <w:sz w:val="20"/>
                <w:szCs w:val="20"/>
              </w:rPr>
            </w:pPr>
            <w:r w:rsidRPr="006C5C05">
              <w:rPr>
                <w:sz w:val="20"/>
                <w:szCs w:val="20"/>
              </w:rPr>
              <w:t>8678973</w:t>
            </w:r>
          </w:p>
        </w:tc>
        <w:tc>
          <w:tcPr>
            <w:tcW w:w="1276" w:type="dxa"/>
          </w:tcPr>
          <w:p w:rsidR="00DE2D99" w:rsidRPr="006C5C05" w:rsidRDefault="00DE2D99" w:rsidP="005E763F">
            <w:pPr>
              <w:jc w:val="center"/>
              <w:rPr>
                <w:sz w:val="20"/>
                <w:szCs w:val="20"/>
              </w:rPr>
            </w:pPr>
          </w:p>
        </w:tc>
      </w:tr>
      <w:tr w:rsidR="00DE2D99" w:rsidRPr="006C5C05" w:rsidTr="000802EC">
        <w:tc>
          <w:tcPr>
            <w:tcW w:w="2376" w:type="dxa"/>
          </w:tcPr>
          <w:p w:rsidR="00DE2D99" w:rsidRPr="006C5C05" w:rsidRDefault="00DE2D99" w:rsidP="000802EC">
            <w:pPr>
              <w:rPr>
                <w:b/>
                <w:sz w:val="20"/>
                <w:szCs w:val="20"/>
              </w:rPr>
            </w:pPr>
            <w:r w:rsidRPr="006C5C05">
              <w:rPr>
                <w:b/>
                <w:sz w:val="20"/>
                <w:szCs w:val="20"/>
              </w:rPr>
              <w:t>NHSC Projections</w:t>
            </w:r>
          </w:p>
        </w:tc>
        <w:tc>
          <w:tcPr>
            <w:tcW w:w="1276" w:type="dxa"/>
          </w:tcPr>
          <w:p w:rsidR="00DE2D99" w:rsidRPr="006C5C05" w:rsidRDefault="00DE2D99" w:rsidP="005E763F">
            <w:pPr>
              <w:jc w:val="center"/>
              <w:rPr>
                <w:sz w:val="20"/>
                <w:szCs w:val="20"/>
              </w:rPr>
            </w:pPr>
          </w:p>
        </w:tc>
        <w:tc>
          <w:tcPr>
            <w:tcW w:w="1276" w:type="dxa"/>
          </w:tcPr>
          <w:p w:rsidR="00DE2D99" w:rsidRPr="006C5C05" w:rsidRDefault="00DE2D99" w:rsidP="005E763F">
            <w:pPr>
              <w:jc w:val="center"/>
              <w:rPr>
                <w:sz w:val="20"/>
                <w:szCs w:val="20"/>
              </w:rPr>
            </w:pPr>
          </w:p>
        </w:tc>
        <w:tc>
          <w:tcPr>
            <w:tcW w:w="1276" w:type="dxa"/>
          </w:tcPr>
          <w:p w:rsidR="00DE2D99" w:rsidRPr="006C5C05" w:rsidRDefault="00DE2D99" w:rsidP="005E763F">
            <w:pPr>
              <w:jc w:val="center"/>
              <w:rPr>
                <w:sz w:val="20"/>
                <w:szCs w:val="20"/>
              </w:rPr>
            </w:pPr>
          </w:p>
        </w:tc>
        <w:tc>
          <w:tcPr>
            <w:tcW w:w="1275" w:type="dxa"/>
          </w:tcPr>
          <w:p w:rsidR="00DE2D99" w:rsidRPr="006C5C05" w:rsidRDefault="00DE2D99" w:rsidP="005E763F">
            <w:pPr>
              <w:jc w:val="center"/>
              <w:rPr>
                <w:sz w:val="20"/>
                <w:szCs w:val="20"/>
              </w:rPr>
            </w:pPr>
          </w:p>
        </w:tc>
        <w:tc>
          <w:tcPr>
            <w:tcW w:w="1276" w:type="dxa"/>
          </w:tcPr>
          <w:p w:rsidR="00DE2D99" w:rsidRPr="006C5C05" w:rsidRDefault="00DE2D99" w:rsidP="005E763F">
            <w:pPr>
              <w:jc w:val="center"/>
              <w:rPr>
                <w:sz w:val="20"/>
                <w:szCs w:val="20"/>
              </w:rPr>
            </w:pPr>
          </w:p>
        </w:tc>
      </w:tr>
      <w:tr w:rsidR="00DE2D99" w:rsidRPr="006C5C05" w:rsidTr="000802EC">
        <w:tc>
          <w:tcPr>
            <w:tcW w:w="2376" w:type="dxa"/>
          </w:tcPr>
          <w:p w:rsidR="00DE2D99" w:rsidRPr="006C5C05" w:rsidRDefault="00DE2D99" w:rsidP="000802EC">
            <w:pPr>
              <w:jc w:val="right"/>
              <w:rPr>
                <w:b/>
                <w:sz w:val="20"/>
                <w:szCs w:val="20"/>
              </w:rPr>
            </w:pPr>
            <w:r w:rsidRPr="006C5C05">
              <w:rPr>
                <w:b/>
                <w:sz w:val="20"/>
                <w:szCs w:val="20"/>
              </w:rPr>
              <w:t>Low</w:t>
            </w:r>
          </w:p>
        </w:tc>
        <w:tc>
          <w:tcPr>
            <w:tcW w:w="1276" w:type="dxa"/>
          </w:tcPr>
          <w:p w:rsidR="00DE2D99" w:rsidRPr="006C5C05" w:rsidRDefault="005E763F" w:rsidP="005E763F">
            <w:pPr>
              <w:jc w:val="center"/>
              <w:rPr>
                <w:sz w:val="20"/>
                <w:szCs w:val="20"/>
              </w:rPr>
            </w:pPr>
            <w:r w:rsidRPr="006C5C05">
              <w:rPr>
                <w:sz w:val="20"/>
                <w:szCs w:val="20"/>
              </w:rPr>
              <w:t>212831</w:t>
            </w:r>
          </w:p>
        </w:tc>
        <w:tc>
          <w:tcPr>
            <w:tcW w:w="1276" w:type="dxa"/>
          </w:tcPr>
          <w:p w:rsidR="00DE2D99" w:rsidRPr="006C5C05" w:rsidRDefault="005E763F" w:rsidP="005E763F">
            <w:pPr>
              <w:jc w:val="center"/>
              <w:rPr>
                <w:sz w:val="20"/>
                <w:szCs w:val="20"/>
              </w:rPr>
            </w:pPr>
            <w:r w:rsidRPr="006C5C05">
              <w:rPr>
                <w:sz w:val="20"/>
                <w:szCs w:val="20"/>
              </w:rPr>
              <w:t>83071</w:t>
            </w:r>
          </w:p>
        </w:tc>
        <w:tc>
          <w:tcPr>
            <w:tcW w:w="1276" w:type="dxa"/>
          </w:tcPr>
          <w:p w:rsidR="00DE2D99" w:rsidRPr="006C5C05" w:rsidRDefault="005E763F" w:rsidP="005E763F">
            <w:pPr>
              <w:jc w:val="center"/>
              <w:rPr>
                <w:sz w:val="20"/>
                <w:szCs w:val="20"/>
              </w:rPr>
            </w:pPr>
            <w:r w:rsidRPr="006C5C05">
              <w:rPr>
                <w:sz w:val="20"/>
                <w:szCs w:val="20"/>
              </w:rPr>
              <w:t>142657</w:t>
            </w:r>
          </w:p>
        </w:tc>
        <w:tc>
          <w:tcPr>
            <w:tcW w:w="1275" w:type="dxa"/>
          </w:tcPr>
          <w:p w:rsidR="00DE2D99" w:rsidRPr="006C5C05" w:rsidRDefault="005E763F" w:rsidP="005E763F">
            <w:pPr>
              <w:jc w:val="center"/>
              <w:rPr>
                <w:sz w:val="20"/>
                <w:szCs w:val="20"/>
              </w:rPr>
            </w:pPr>
            <w:r w:rsidRPr="006C5C05">
              <w:rPr>
                <w:sz w:val="20"/>
                <w:szCs w:val="20"/>
              </w:rPr>
              <w:t>8846779</w:t>
            </w:r>
          </w:p>
        </w:tc>
        <w:tc>
          <w:tcPr>
            <w:tcW w:w="1276" w:type="dxa"/>
          </w:tcPr>
          <w:p w:rsidR="00DE2D99" w:rsidRPr="006C5C05" w:rsidRDefault="00DE2D99" w:rsidP="005E763F">
            <w:pPr>
              <w:jc w:val="center"/>
              <w:rPr>
                <w:sz w:val="20"/>
                <w:szCs w:val="20"/>
              </w:rPr>
            </w:pPr>
          </w:p>
        </w:tc>
      </w:tr>
      <w:tr w:rsidR="00DE2D99" w:rsidRPr="006C5C05" w:rsidTr="000802EC">
        <w:tc>
          <w:tcPr>
            <w:tcW w:w="2376" w:type="dxa"/>
          </w:tcPr>
          <w:p w:rsidR="00DE2D99" w:rsidRPr="006C5C05" w:rsidRDefault="00DE2D99" w:rsidP="000802EC">
            <w:pPr>
              <w:jc w:val="right"/>
              <w:rPr>
                <w:b/>
                <w:sz w:val="20"/>
                <w:szCs w:val="20"/>
              </w:rPr>
            </w:pPr>
            <w:r w:rsidRPr="006C5C05">
              <w:rPr>
                <w:b/>
                <w:sz w:val="20"/>
                <w:szCs w:val="20"/>
              </w:rPr>
              <w:t>Medium</w:t>
            </w:r>
          </w:p>
        </w:tc>
        <w:tc>
          <w:tcPr>
            <w:tcW w:w="1276" w:type="dxa"/>
          </w:tcPr>
          <w:p w:rsidR="00DE2D99" w:rsidRPr="006C5C05" w:rsidRDefault="005E763F" w:rsidP="005E763F">
            <w:pPr>
              <w:jc w:val="center"/>
              <w:rPr>
                <w:sz w:val="20"/>
                <w:szCs w:val="20"/>
              </w:rPr>
            </w:pPr>
            <w:r w:rsidRPr="006C5C05">
              <w:rPr>
                <w:sz w:val="20"/>
                <w:szCs w:val="20"/>
              </w:rPr>
              <w:t>213286</w:t>
            </w:r>
          </w:p>
        </w:tc>
        <w:tc>
          <w:tcPr>
            <w:tcW w:w="1276" w:type="dxa"/>
          </w:tcPr>
          <w:p w:rsidR="00DE2D99" w:rsidRPr="006C5C05" w:rsidRDefault="005E763F" w:rsidP="005E763F">
            <w:pPr>
              <w:jc w:val="center"/>
              <w:rPr>
                <w:sz w:val="20"/>
                <w:szCs w:val="20"/>
              </w:rPr>
            </w:pPr>
            <w:r w:rsidRPr="006C5C05">
              <w:rPr>
                <w:sz w:val="20"/>
                <w:szCs w:val="20"/>
              </w:rPr>
              <w:t>83385</w:t>
            </w:r>
          </w:p>
        </w:tc>
        <w:tc>
          <w:tcPr>
            <w:tcW w:w="1276" w:type="dxa"/>
          </w:tcPr>
          <w:p w:rsidR="00DE2D99" w:rsidRPr="006C5C05" w:rsidRDefault="005E763F" w:rsidP="005E763F">
            <w:pPr>
              <w:jc w:val="center"/>
              <w:rPr>
                <w:sz w:val="20"/>
                <w:szCs w:val="20"/>
              </w:rPr>
            </w:pPr>
            <w:r w:rsidRPr="006C5C05">
              <w:rPr>
                <w:sz w:val="20"/>
                <w:szCs w:val="20"/>
              </w:rPr>
              <w:t>143226</w:t>
            </w:r>
          </w:p>
        </w:tc>
        <w:tc>
          <w:tcPr>
            <w:tcW w:w="1275" w:type="dxa"/>
          </w:tcPr>
          <w:p w:rsidR="00DE2D99" w:rsidRPr="006C5C05" w:rsidRDefault="005E763F" w:rsidP="005E763F">
            <w:pPr>
              <w:jc w:val="center"/>
              <w:rPr>
                <w:sz w:val="20"/>
                <w:szCs w:val="20"/>
              </w:rPr>
            </w:pPr>
            <w:r w:rsidRPr="006C5C05">
              <w:rPr>
                <w:sz w:val="20"/>
                <w:szCs w:val="20"/>
              </w:rPr>
              <w:t>8909214</w:t>
            </w:r>
          </w:p>
        </w:tc>
        <w:tc>
          <w:tcPr>
            <w:tcW w:w="1276" w:type="dxa"/>
          </w:tcPr>
          <w:p w:rsidR="00DE2D99" w:rsidRPr="006C5C05" w:rsidRDefault="00DE2D99" w:rsidP="005E763F">
            <w:pPr>
              <w:jc w:val="center"/>
              <w:rPr>
                <w:sz w:val="20"/>
                <w:szCs w:val="20"/>
              </w:rPr>
            </w:pPr>
          </w:p>
        </w:tc>
      </w:tr>
      <w:tr w:rsidR="00DE2D99" w:rsidRPr="006C5C05" w:rsidTr="000802EC">
        <w:tc>
          <w:tcPr>
            <w:tcW w:w="2376" w:type="dxa"/>
          </w:tcPr>
          <w:p w:rsidR="00DE2D99" w:rsidRPr="006C5C05" w:rsidRDefault="00DE2D99" w:rsidP="000802EC">
            <w:pPr>
              <w:jc w:val="right"/>
              <w:rPr>
                <w:b/>
                <w:sz w:val="20"/>
                <w:szCs w:val="20"/>
              </w:rPr>
            </w:pPr>
            <w:r w:rsidRPr="006C5C05">
              <w:rPr>
                <w:b/>
                <w:sz w:val="20"/>
                <w:szCs w:val="20"/>
              </w:rPr>
              <w:t>High</w:t>
            </w:r>
          </w:p>
        </w:tc>
        <w:tc>
          <w:tcPr>
            <w:tcW w:w="1276" w:type="dxa"/>
          </w:tcPr>
          <w:p w:rsidR="00DE2D99" w:rsidRPr="006C5C05" w:rsidRDefault="005E763F" w:rsidP="005E763F">
            <w:pPr>
              <w:jc w:val="center"/>
              <w:rPr>
                <w:sz w:val="20"/>
                <w:szCs w:val="20"/>
              </w:rPr>
            </w:pPr>
            <w:r w:rsidRPr="006C5C05">
              <w:rPr>
                <w:sz w:val="20"/>
                <w:szCs w:val="20"/>
              </w:rPr>
              <w:t>213684</w:t>
            </w:r>
          </w:p>
        </w:tc>
        <w:tc>
          <w:tcPr>
            <w:tcW w:w="1276" w:type="dxa"/>
          </w:tcPr>
          <w:p w:rsidR="00DE2D99" w:rsidRPr="006C5C05" w:rsidRDefault="005E763F" w:rsidP="005E763F">
            <w:pPr>
              <w:jc w:val="center"/>
              <w:rPr>
                <w:sz w:val="20"/>
                <w:szCs w:val="20"/>
              </w:rPr>
            </w:pPr>
            <w:r w:rsidRPr="006C5C05">
              <w:rPr>
                <w:sz w:val="20"/>
                <w:szCs w:val="20"/>
              </w:rPr>
              <w:t>83659</w:t>
            </w:r>
          </w:p>
        </w:tc>
        <w:tc>
          <w:tcPr>
            <w:tcW w:w="1276" w:type="dxa"/>
          </w:tcPr>
          <w:p w:rsidR="00DE2D99" w:rsidRPr="006C5C05" w:rsidRDefault="005E763F" w:rsidP="005E763F">
            <w:pPr>
              <w:jc w:val="center"/>
              <w:rPr>
                <w:sz w:val="20"/>
                <w:szCs w:val="20"/>
              </w:rPr>
            </w:pPr>
            <w:r w:rsidRPr="006C5C05">
              <w:rPr>
                <w:sz w:val="20"/>
                <w:szCs w:val="20"/>
              </w:rPr>
              <w:t>143724</w:t>
            </w:r>
          </w:p>
        </w:tc>
        <w:tc>
          <w:tcPr>
            <w:tcW w:w="1275" w:type="dxa"/>
          </w:tcPr>
          <w:p w:rsidR="00DE2D99" w:rsidRPr="006C5C05" w:rsidRDefault="005E763F" w:rsidP="005E763F">
            <w:pPr>
              <w:jc w:val="center"/>
              <w:rPr>
                <w:sz w:val="20"/>
                <w:szCs w:val="20"/>
              </w:rPr>
            </w:pPr>
            <w:r w:rsidRPr="006C5C05">
              <w:rPr>
                <w:sz w:val="20"/>
                <w:szCs w:val="20"/>
              </w:rPr>
              <w:t>8963840</w:t>
            </w:r>
          </w:p>
        </w:tc>
        <w:tc>
          <w:tcPr>
            <w:tcW w:w="1276" w:type="dxa"/>
          </w:tcPr>
          <w:p w:rsidR="00DE2D99" w:rsidRPr="006C5C05" w:rsidRDefault="00DE2D99" w:rsidP="005E763F">
            <w:pPr>
              <w:jc w:val="center"/>
              <w:rPr>
                <w:sz w:val="20"/>
                <w:szCs w:val="20"/>
              </w:rPr>
            </w:pPr>
          </w:p>
        </w:tc>
      </w:tr>
      <w:tr w:rsidR="00DE2D99" w:rsidRPr="006C5C05" w:rsidTr="000802EC">
        <w:tc>
          <w:tcPr>
            <w:tcW w:w="2376" w:type="dxa"/>
          </w:tcPr>
          <w:p w:rsidR="00DE2D99" w:rsidRPr="006C5C05" w:rsidRDefault="00DE2D99" w:rsidP="000802EC">
            <w:pPr>
              <w:rPr>
                <w:b/>
                <w:sz w:val="20"/>
                <w:szCs w:val="20"/>
              </w:rPr>
            </w:pPr>
            <w:r w:rsidRPr="006C5C05">
              <w:rPr>
                <w:b/>
                <w:sz w:val="20"/>
                <w:szCs w:val="20"/>
              </w:rPr>
              <w:t>Differences (NHSC and revised ERP)</w:t>
            </w:r>
          </w:p>
        </w:tc>
        <w:tc>
          <w:tcPr>
            <w:tcW w:w="1276" w:type="dxa"/>
          </w:tcPr>
          <w:p w:rsidR="00DE2D99" w:rsidRPr="006C5C05" w:rsidRDefault="00DE2D99" w:rsidP="005E763F">
            <w:pPr>
              <w:jc w:val="center"/>
              <w:rPr>
                <w:sz w:val="20"/>
                <w:szCs w:val="20"/>
              </w:rPr>
            </w:pPr>
          </w:p>
        </w:tc>
        <w:tc>
          <w:tcPr>
            <w:tcW w:w="1276" w:type="dxa"/>
          </w:tcPr>
          <w:p w:rsidR="00DE2D99" w:rsidRPr="006C5C05" w:rsidRDefault="00DE2D99" w:rsidP="005E763F">
            <w:pPr>
              <w:jc w:val="center"/>
              <w:rPr>
                <w:sz w:val="20"/>
                <w:szCs w:val="20"/>
              </w:rPr>
            </w:pPr>
          </w:p>
        </w:tc>
        <w:tc>
          <w:tcPr>
            <w:tcW w:w="1276" w:type="dxa"/>
          </w:tcPr>
          <w:p w:rsidR="00DE2D99" w:rsidRPr="006C5C05" w:rsidRDefault="00DE2D99" w:rsidP="005E763F">
            <w:pPr>
              <w:jc w:val="center"/>
              <w:rPr>
                <w:sz w:val="20"/>
                <w:szCs w:val="20"/>
              </w:rPr>
            </w:pPr>
          </w:p>
        </w:tc>
        <w:tc>
          <w:tcPr>
            <w:tcW w:w="1275" w:type="dxa"/>
          </w:tcPr>
          <w:p w:rsidR="00DE2D99" w:rsidRPr="006C5C05" w:rsidRDefault="00DE2D99" w:rsidP="005E763F">
            <w:pPr>
              <w:jc w:val="center"/>
              <w:rPr>
                <w:sz w:val="20"/>
                <w:szCs w:val="20"/>
              </w:rPr>
            </w:pPr>
          </w:p>
        </w:tc>
        <w:tc>
          <w:tcPr>
            <w:tcW w:w="1276" w:type="dxa"/>
          </w:tcPr>
          <w:p w:rsidR="00DE2D99" w:rsidRPr="006C5C05" w:rsidRDefault="00DE2D99" w:rsidP="005E763F">
            <w:pPr>
              <w:jc w:val="center"/>
              <w:rPr>
                <w:sz w:val="20"/>
                <w:szCs w:val="20"/>
              </w:rPr>
            </w:pPr>
          </w:p>
        </w:tc>
      </w:tr>
      <w:tr w:rsidR="00DE2D99" w:rsidRPr="006C5C05" w:rsidTr="000802EC">
        <w:tc>
          <w:tcPr>
            <w:tcW w:w="2376" w:type="dxa"/>
          </w:tcPr>
          <w:p w:rsidR="00DE2D99" w:rsidRPr="006C5C05" w:rsidRDefault="00DE2D99" w:rsidP="000802EC">
            <w:pPr>
              <w:jc w:val="right"/>
              <w:rPr>
                <w:b/>
                <w:sz w:val="20"/>
                <w:szCs w:val="20"/>
              </w:rPr>
            </w:pPr>
            <w:r w:rsidRPr="006C5C05">
              <w:rPr>
                <w:b/>
                <w:sz w:val="20"/>
                <w:szCs w:val="20"/>
              </w:rPr>
              <w:t>Low</w:t>
            </w:r>
          </w:p>
        </w:tc>
        <w:tc>
          <w:tcPr>
            <w:tcW w:w="1276" w:type="dxa"/>
          </w:tcPr>
          <w:p w:rsidR="00DE2D99" w:rsidRPr="006C5C05" w:rsidRDefault="005E763F" w:rsidP="005E763F">
            <w:pPr>
              <w:jc w:val="center"/>
              <w:rPr>
                <w:sz w:val="20"/>
                <w:szCs w:val="20"/>
              </w:rPr>
            </w:pPr>
            <w:r w:rsidRPr="006C5C05">
              <w:rPr>
                <w:sz w:val="20"/>
                <w:szCs w:val="20"/>
              </w:rPr>
              <w:t>-1.1</w:t>
            </w:r>
          </w:p>
        </w:tc>
        <w:tc>
          <w:tcPr>
            <w:tcW w:w="1276" w:type="dxa"/>
          </w:tcPr>
          <w:p w:rsidR="00DE2D99" w:rsidRPr="006C5C05" w:rsidRDefault="005E763F" w:rsidP="005E763F">
            <w:pPr>
              <w:jc w:val="center"/>
              <w:rPr>
                <w:sz w:val="20"/>
                <w:szCs w:val="20"/>
              </w:rPr>
            </w:pPr>
            <w:r w:rsidRPr="006C5C05">
              <w:rPr>
                <w:sz w:val="20"/>
                <w:szCs w:val="20"/>
              </w:rPr>
              <w:t>3.9</w:t>
            </w:r>
          </w:p>
        </w:tc>
        <w:tc>
          <w:tcPr>
            <w:tcW w:w="1276" w:type="dxa"/>
          </w:tcPr>
          <w:p w:rsidR="00DE2D99" w:rsidRPr="006C5C05" w:rsidRDefault="005E763F" w:rsidP="005E763F">
            <w:pPr>
              <w:jc w:val="center"/>
              <w:rPr>
                <w:sz w:val="20"/>
                <w:szCs w:val="20"/>
              </w:rPr>
            </w:pPr>
            <w:r w:rsidRPr="006C5C05">
              <w:rPr>
                <w:sz w:val="20"/>
                <w:szCs w:val="20"/>
              </w:rPr>
              <w:t>0.5</w:t>
            </w:r>
          </w:p>
        </w:tc>
        <w:tc>
          <w:tcPr>
            <w:tcW w:w="1275" w:type="dxa"/>
          </w:tcPr>
          <w:p w:rsidR="00DE2D99" w:rsidRPr="006C5C05" w:rsidRDefault="005E763F" w:rsidP="005E763F">
            <w:pPr>
              <w:jc w:val="center"/>
              <w:rPr>
                <w:sz w:val="20"/>
                <w:szCs w:val="20"/>
              </w:rPr>
            </w:pPr>
            <w:r w:rsidRPr="006C5C05">
              <w:rPr>
                <w:sz w:val="20"/>
                <w:szCs w:val="20"/>
              </w:rPr>
              <w:t>1.9</w:t>
            </w:r>
          </w:p>
        </w:tc>
        <w:tc>
          <w:tcPr>
            <w:tcW w:w="1276" w:type="dxa"/>
          </w:tcPr>
          <w:p w:rsidR="00DE2D99" w:rsidRPr="006C5C05" w:rsidRDefault="00DE2D99" w:rsidP="005E763F">
            <w:pPr>
              <w:jc w:val="center"/>
              <w:rPr>
                <w:sz w:val="20"/>
                <w:szCs w:val="20"/>
              </w:rPr>
            </w:pPr>
          </w:p>
        </w:tc>
      </w:tr>
      <w:tr w:rsidR="00DE2D99" w:rsidRPr="006C5C05" w:rsidTr="000802EC">
        <w:tc>
          <w:tcPr>
            <w:tcW w:w="2376" w:type="dxa"/>
          </w:tcPr>
          <w:p w:rsidR="00DE2D99" w:rsidRPr="006C5C05" w:rsidRDefault="00DE2D99" w:rsidP="000802EC">
            <w:pPr>
              <w:jc w:val="right"/>
              <w:rPr>
                <w:b/>
                <w:sz w:val="20"/>
                <w:szCs w:val="20"/>
              </w:rPr>
            </w:pPr>
            <w:r w:rsidRPr="006C5C05">
              <w:rPr>
                <w:b/>
                <w:sz w:val="20"/>
                <w:szCs w:val="20"/>
              </w:rPr>
              <w:t>Medium</w:t>
            </w:r>
          </w:p>
        </w:tc>
        <w:tc>
          <w:tcPr>
            <w:tcW w:w="1276" w:type="dxa"/>
          </w:tcPr>
          <w:p w:rsidR="00DE2D99" w:rsidRPr="006C5C05" w:rsidRDefault="005E763F" w:rsidP="005E763F">
            <w:pPr>
              <w:jc w:val="center"/>
              <w:rPr>
                <w:sz w:val="20"/>
                <w:szCs w:val="20"/>
              </w:rPr>
            </w:pPr>
            <w:r w:rsidRPr="006C5C05">
              <w:rPr>
                <w:sz w:val="20"/>
                <w:szCs w:val="20"/>
              </w:rPr>
              <w:t>-0.8</w:t>
            </w:r>
          </w:p>
        </w:tc>
        <w:tc>
          <w:tcPr>
            <w:tcW w:w="1276" w:type="dxa"/>
          </w:tcPr>
          <w:p w:rsidR="00DE2D99" w:rsidRPr="006C5C05" w:rsidRDefault="005E763F" w:rsidP="005E763F">
            <w:pPr>
              <w:jc w:val="center"/>
              <w:rPr>
                <w:sz w:val="20"/>
                <w:szCs w:val="20"/>
              </w:rPr>
            </w:pPr>
            <w:r w:rsidRPr="006C5C05">
              <w:rPr>
                <w:sz w:val="20"/>
                <w:szCs w:val="20"/>
              </w:rPr>
              <w:t>4.3</w:t>
            </w:r>
          </w:p>
        </w:tc>
        <w:tc>
          <w:tcPr>
            <w:tcW w:w="1276" w:type="dxa"/>
          </w:tcPr>
          <w:p w:rsidR="00DE2D99" w:rsidRPr="006C5C05" w:rsidRDefault="005E763F" w:rsidP="005E763F">
            <w:pPr>
              <w:jc w:val="center"/>
              <w:rPr>
                <w:sz w:val="20"/>
                <w:szCs w:val="20"/>
              </w:rPr>
            </w:pPr>
            <w:r w:rsidRPr="006C5C05">
              <w:rPr>
                <w:sz w:val="20"/>
                <w:szCs w:val="20"/>
              </w:rPr>
              <w:t>0.9</w:t>
            </w:r>
          </w:p>
        </w:tc>
        <w:tc>
          <w:tcPr>
            <w:tcW w:w="1275" w:type="dxa"/>
          </w:tcPr>
          <w:p w:rsidR="00DE2D99" w:rsidRPr="006C5C05" w:rsidRDefault="005E763F" w:rsidP="005E763F">
            <w:pPr>
              <w:jc w:val="center"/>
              <w:rPr>
                <w:sz w:val="20"/>
                <w:szCs w:val="20"/>
              </w:rPr>
            </w:pPr>
            <w:r w:rsidRPr="006C5C05">
              <w:rPr>
                <w:sz w:val="20"/>
                <w:szCs w:val="20"/>
              </w:rPr>
              <w:t>2.7</w:t>
            </w:r>
          </w:p>
        </w:tc>
        <w:tc>
          <w:tcPr>
            <w:tcW w:w="1276" w:type="dxa"/>
          </w:tcPr>
          <w:p w:rsidR="00DE2D99" w:rsidRPr="006C5C05" w:rsidRDefault="00DE2D99" w:rsidP="005E763F">
            <w:pPr>
              <w:jc w:val="center"/>
              <w:rPr>
                <w:sz w:val="20"/>
                <w:szCs w:val="20"/>
              </w:rPr>
            </w:pPr>
          </w:p>
        </w:tc>
      </w:tr>
      <w:tr w:rsidR="00DE2D99" w:rsidRPr="006C5C05" w:rsidTr="000802EC">
        <w:tc>
          <w:tcPr>
            <w:tcW w:w="2376" w:type="dxa"/>
          </w:tcPr>
          <w:p w:rsidR="00DE2D99" w:rsidRPr="006C5C05" w:rsidRDefault="00DE2D99" w:rsidP="000802EC">
            <w:pPr>
              <w:jc w:val="right"/>
              <w:rPr>
                <w:b/>
                <w:sz w:val="20"/>
                <w:szCs w:val="20"/>
              </w:rPr>
            </w:pPr>
            <w:r w:rsidRPr="006C5C05">
              <w:rPr>
                <w:b/>
                <w:sz w:val="20"/>
                <w:szCs w:val="20"/>
              </w:rPr>
              <w:t>High</w:t>
            </w:r>
          </w:p>
        </w:tc>
        <w:tc>
          <w:tcPr>
            <w:tcW w:w="1276" w:type="dxa"/>
          </w:tcPr>
          <w:p w:rsidR="00DE2D99" w:rsidRPr="006C5C05" w:rsidRDefault="005E763F" w:rsidP="005E763F">
            <w:pPr>
              <w:jc w:val="center"/>
              <w:rPr>
                <w:sz w:val="20"/>
                <w:szCs w:val="20"/>
              </w:rPr>
            </w:pPr>
            <w:r w:rsidRPr="006C5C05">
              <w:rPr>
                <w:sz w:val="20"/>
                <w:szCs w:val="20"/>
              </w:rPr>
              <w:t>-0.7</w:t>
            </w:r>
          </w:p>
        </w:tc>
        <w:tc>
          <w:tcPr>
            <w:tcW w:w="1276" w:type="dxa"/>
          </w:tcPr>
          <w:p w:rsidR="00DE2D99" w:rsidRPr="006C5C05" w:rsidRDefault="005E763F" w:rsidP="005E763F">
            <w:pPr>
              <w:jc w:val="center"/>
              <w:rPr>
                <w:sz w:val="20"/>
                <w:szCs w:val="20"/>
              </w:rPr>
            </w:pPr>
            <w:r w:rsidRPr="006C5C05">
              <w:rPr>
                <w:sz w:val="20"/>
                <w:szCs w:val="20"/>
              </w:rPr>
              <w:t>4.7</w:t>
            </w:r>
          </w:p>
        </w:tc>
        <w:tc>
          <w:tcPr>
            <w:tcW w:w="1276" w:type="dxa"/>
          </w:tcPr>
          <w:p w:rsidR="00DE2D99" w:rsidRPr="006C5C05" w:rsidRDefault="005E763F" w:rsidP="005E763F">
            <w:pPr>
              <w:jc w:val="center"/>
              <w:rPr>
                <w:sz w:val="20"/>
                <w:szCs w:val="20"/>
              </w:rPr>
            </w:pPr>
            <w:r w:rsidRPr="006C5C05">
              <w:rPr>
                <w:sz w:val="20"/>
                <w:szCs w:val="20"/>
              </w:rPr>
              <w:t>1.2</w:t>
            </w:r>
          </w:p>
        </w:tc>
        <w:tc>
          <w:tcPr>
            <w:tcW w:w="1275" w:type="dxa"/>
          </w:tcPr>
          <w:p w:rsidR="005E763F" w:rsidRPr="006C5C05" w:rsidRDefault="005E763F" w:rsidP="005E763F">
            <w:pPr>
              <w:jc w:val="center"/>
              <w:rPr>
                <w:sz w:val="20"/>
                <w:szCs w:val="20"/>
              </w:rPr>
            </w:pPr>
            <w:r w:rsidRPr="006C5C05">
              <w:rPr>
                <w:sz w:val="20"/>
                <w:szCs w:val="20"/>
              </w:rPr>
              <w:t>3.3</w:t>
            </w:r>
          </w:p>
          <w:p w:rsidR="00DE2D99" w:rsidRPr="006C5C05" w:rsidRDefault="00DE2D99" w:rsidP="005E763F">
            <w:pPr>
              <w:jc w:val="center"/>
              <w:rPr>
                <w:sz w:val="20"/>
                <w:szCs w:val="20"/>
              </w:rPr>
            </w:pPr>
          </w:p>
        </w:tc>
        <w:tc>
          <w:tcPr>
            <w:tcW w:w="1276" w:type="dxa"/>
          </w:tcPr>
          <w:p w:rsidR="00DE2D99" w:rsidRPr="006C5C05" w:rsidRDefault="00DE2D99" w:rsidP="005E763F">
            <w:pPr>
              <w:jc w:val="center"/>
              <w:rPr>
                <w:sz w:val="20"/>
                <w:szCs w:val="20"/>
              </w:rPr>
            </w:pPr>
          </w:p>
        </w:tc>
      </w:tr>
    </w:tbl>
    <w:p w:rsidR="00AF4723" w:rsidRPr="0043341C" w:rsidRDefault="00AF4723" w:rsidP="00AF4723">
      <w:pPr>
        <w:rPr>
          <w:b/>
          <w:sz w:val="20"/>
          <w:szCs w:val="20"/>
        </w:rPr>
      </w:pPr>
      <w:r w:rsidRPr="0043341C">
        <w:rPr>
          <w:sz w:val="20"/>
          <w:szCs w:val="20"/>
        </w:rPr>
        <w:t>Source: Authors calculations</w:t>
      </w:r>
    </w:p>
    <w:p w:rsidR="00DE2D99" w:rsidRPr="006C5C05" w:rsidRDefault="00DE2D99">
      <w:pPr>
        <w:rPr>
          <w:b/>
          <w:sz w:val="20"/>
          <w:szCs w:val="20"/>
        </w:rPr>
      </w:pPr>
    </w:p>
    <w:p w:rsidR="00B52218" w:rsidRDefault="00B52218">
      <w:pPr>
        <w:rPr>
          <w:b/>
          <w:sz w:val="20"/>
          <w:szCs w:val="20"/>
        </w:rPr>
      </w:pPr>
    </w:p>
    <w:p w:rsidR="004B76B3" w:rsidRDefault="004B76B3">
      <w:pPr>
        <w:rPr>
          <w:b/>
          <w:sz w:val="20"/>
          <w:szCs w:val="20"/>
        </w:rPr>
      </w:pPr>
    </w:p>
    <w:p w:rsidR="004B76B3" w:rsidRDefault="004B76B3">
      <w:pPr>
        <w:rPr>
          <w:b/>
          <w:sz w:val="20"/>
          <w:szCs w:val="20"/>
        </w:rPr>
      </w:pPr>
    </w:p>
    <w:p w:rsidR="004B76B3" w:rsidRDefault="004B76B3">
      <w:pPr>
        <w:rPr>
          <w:b/>
          <w:sz w:val="20"/>
          <w:szCs w:val="20"/>
        </w:rPr>
      </w:pPr>
    </w:p>
    <w:p w:rsidR="00B52218" w:rsidRDefault="00B52218">
      <w:pPr>
        <w:rPr>
          <w:b/>
          <w:sz w:val="20"/>
          <w:szCs w:val="20"/>
        </w:rPr>
      </w:pPr>
    </w:p>
    <w:p w:rsidR="005E763F" w:rsidRPr="006C5C05" w:rsidRDefault="00A56D38">
      <w:pPr>
        <w:rPr>
          <w:b/>
          <w:sz w:val="20"/>
          <w:szCs w:val="20"/>
        </w:rPr>
      </w:pPr>
      <w:r w:rsidRPr="006C5C05">
        <w:rPr>
          <w:b/>
          <w:sz w:val="20"/>
          <w:szCs w:val="20"/>
        </w:rPr>
        <w:t>Table A1.3. Average Household Size in 2011</w:t>
      </w:r>
      <w:proofErr w:type="gramStart"/>
      <w:r w:rsidRPr="006C5C05">
        <w:rPr>
          <w:b/>
          <w:sz w:val="20"/>
          <w:szCs w:val="20"/>
        </w:rPr>
        <w:t>,  2006</w:t>
      </w:r>
      <w:proofErr w:type="gramEnd"/>
      <w:r w:rsidRPr="006C5C05">
        <w:rPr>
          <w:b/>
          <w:sz w:val="20"/>
          <w:szCs w:val="20"/>
        </w:rPr>
        <w:t xml:space="preserve"> Census-based NHSC Projections and 2011 Census-based NHSC Estimates</w:t>
      </w:r>
    </w:p>
    <w:tbl>
      <w:tblPr>
        <w:tblStyle w:val="TableGrid"/>
        <w:tblW w:w="0" w:type="auto"/>
        <w:tblLook w:val="04A0"/>
      </w:tblPr>
      <w:tblGrid>
        <w:gridCol w:w="2952"/>
        <w:gridCol w:w="2952"/>
        <w:gridCol w:w="2952"/>
      </w:tblGrid>
      <w:tr w:rsidR="003F6451" w:rsidRPr="006C5C05" w:rsidTr="000802EC">
        <w:tc>
          <w:tcPr>
            <w:tcW w:w="2952" w:type="dxa"/>
            <w:vMerge w:val="restart"/>
          </w:tcPr>
          <w:p w:rsidR="003F6451" w:rsidRPr="006C5C05" w:rsidRDefault="003F6451">
            <w:pPr>
              <w:rPr>
                <w:b/>
                <w:sz w:val="20"/>
                <w:szCs w:val="20"/>
              </w:rPr>
            </w:pPr>
            <w:r w:rsidRPr="006C5C05">
              <w:rPr>
                <w:b/>
                <w:sz w:val="20"/>
                <w:szCs w:val="20"/>
              </w:rPr>
              <w:t>State and Territory</w:t>
            </w:r>
          </w:p>
        </w:tc>
        <w:tc>
          <w:tcPr>
            <w:tcW w:w="5904" w:type="dxa"/>
            <w:gridSpan w:val="2"/>
          </w:tcPr>
          <w:p w:rsidR="003F6451" w:rsidRPr="006C5C05" w:rsidRDefault="003F6451" w:rsidP="004E7BF3">
            <w:pPr>
              <w:jc w:val="center"/>
              <w:rPr>
                <w:b/>
                <w:sz w:val="20"/>
                <w:szCs w:val="20"/>
              </w:rPr>
            </w:pPr>
            <w:r w:rsidRPr="006C5C05">
              <w:rPr>
                <w:b/>
                <w:sz w:val="20"/>
                <w:szCs w:val="20"/>
              </w:rPr>
              <w:t>Average Household Size, 2011</w:t>
            </w:r>
          </w:p>
        </w:tc>
      </w:tr>
      <w:tr w:rsidR="003F6451" w:rsidRPr="006C5C05" w:rsidTr="005E763F">
        <w:tc>
          <w:tcPr>
            <w:tcW w:w="2952" w:type="dxa"/>
            <w:vMerge/>
          </w:tcPr>
          <w:p w:rsidR="003F6451" w:rsidRPr="006C5C05" w:rsidRDefault="003F6451">
            <w:pPr>
              <w:rPr>
                <w:b/>
                <w:sz w:val="20"/>
                <w:szCs w:val="20"/>
              </w:rPr>
            </w:pPr>
          </w:p>
        </w:tc>
        <w:tc>
          <w:tcPr>
            <w:tcW w:w="2952" w:type="dxa"/>
          </w:tcPr>
          <w:p w:rsidR="003F6451" w:rsidRPr="006C5C05" w:rsidRDefault="003F6451" w:rsidP="004E7BF3">
            <w:pPr>
              <w:jc w:val="center"/>
              <w:rPr>
                <w:b/>
                <w:sz w:val="20"/>
                <w:szCs w:val="20"/>
              </w:rPr>
            </w:pPr>
            <w:r w:rsidRPr="006C5C05">
              <w:rPr>
                <w:b/>
                <w:sz w:val="20"/>
                <w:szCs w:val="20"/>
              </w:rPr>
              <w:t>2006 Census-based NHSC Projections</w:t>
            </w:r>
          </w:p>
        </w:tc>
        <w:tc>
          <w:tcPr>
            <w:tcW w:w="2952" w:type="dxa"/>
          </w:tcPr>
          <w:p w:rsidR="003F6451" w:rsidRPr="006C5C05" w:rsidRDefault="003F6451" w:rsidP="004E7BF3">
            <w:pPr>
              <w:jc w:val="center"/>
              <w:rPr>
                <w:b/>
                <w:sz w:val="20"/>
                <w:szCs w:val="20"/>
              </w:rPr>
            </w:pPr>
            <w:r w:rsidRPr="006C5C05">
              <w:rPr>
                <w:b/>
                <w:sz w:val="20"/>
                <w:szCs w:val="20"/>
              </w:rPr>
              <w:t>2011 Census-based NHSC Estimates</w:t>
            </w:r>
          </w:p>
        </w:tc>
      </w:tr>
      <w:tr w:rsidR="003F6451" w:rsidRPr="006C5C05" w:rsidTr="005E763F">
        <w:tc>
          <w:tcPr>
            <w:tcW w:w="2952" w:type="dxa"/>
          </w:tcPr>
          <w:p w:rsidR="003F6451" w:rsidRPr="006C5C05" w:rsidRDefault="003F6451">
            <w:pPr>
              <w:rPr>
                <w:b/>
                <w:sz w:val="20"/>
                <w:szCs w:val="20"/>
              </w:rPr>
            </w:pPr>
            <w:r w:rsidRPr="006C5C05">
              <w:rPr>
                <w:b/>
                <w:sz w:val="20"/>
                <w:szCs w:val="20"/>
              </w:rPr>
              <w:t>New South Wales</w:t>
            </w:r>
          </w:p>
        </w:tc>
        <w:tc>
          <w:tcPr>
            <w:tcW w:w="2952" w:type="dxa"/>
          </w:tcPr>
          <w:p w:rsidR="003F6451" w:rsidRPr="006C5C05" w:rsidRDefault="003F6451" w:rsidP="004E7BF3">
            <w:pPr>
              <w:jc w:val="center"/>
              <w:rPr>
                <w:sz w:val="20"/>
                <w:szCs w:val="20"/>
              </w:rPr>
            </w:pPr>
            <w:r w:rsidRPr="006C5C05">
              <w:rPr>
                <w:sz w:val="20"/>
                <w:szCs w:val="20"/>
              </w:rPr>
              <w:t>2.562</w:t>
            </w:r>
          </w:p>
        </w:tc>
        <w:tc>
          <w:tcPr>
            <w:tcW w:w="2952" w:type="dxa"/>
          </w:tcPr>
          <w:p w:rsidR="003F6451" w:rsidRPr="006C5C05" w:rsidRDefault="003F6451" w:rsidP="00D12DCD">
            <w:pPr>
              <w:jc w:val="center"/>
              <w:rPr>
                <w:sz w:val="20"/>
                <w:szCs w:val="20"/>
              </w:rPr>
            </w:pPr>
            <w:r w:rsidRPr="006C5C05">
              <w:rPr>
                <w:sz w:val="20"/>
                <w:szCs w:val="20"/>
              </w:rPr>
              <w:t>2.595</w:t>
            </w:r>
          </w:p>
        </w:tc>
      </w:tr>
      <w:tr w:rsidR="003F6451" w:rsidRPr="006C5C05" w:rsidTr="005E763F">
        <w:tc>
          <w:tcPr>
            <w:tcW w:w="2952" w:type="dxa"/>
          </w:tcPr>
          <w:p w:rsidR="003F6451" w:rsidRPr="006C5C05" w:rsidRDefault="003F6451">
            <w:pPr>
              <w:rPr>
                <w:b/>
                <w:sz w:val="20"/>
                <w:szCs w:val="20"/>
              </w:rPr>
            </w:pPr>
            <w:r w:rsidRPr="006C5C05">
              <w:rPr>
                <w:b/>
                <w:sz w:val="20"/>
                <w:szCs w:val="20"/>
              </w:rPr>
              <w:t>Victoria</w:t>
            </w:r>
          </w:p>
        </w:tc>
        <w:tc>
          <w:tcPr>
            <w:tcW w:w="2952" w:type="dxa"/>
          </w:tcPr>
          <w:p w:rsidR="003F6451" w:rsidRPr="006C5C05" w:rsidRDefault="003F6451" w:rsidP="004E7BF3">
            <w:pPr>
              <w:jc w:val="center"/>
              <w:rPr>
                <w:sz w:val="20"/>
                <w:szCs w:val="20"/>
              </w:rPr>
            </w:pPr>
            <w:r w:rsidRPr="006C5C05">
              <w:rPr>
                <w:sz w:val="20"/>
                <w:szCs w:val="20"/>
              </w:rPr>
              <w:t>2.543</w:t>
            </w:r>
          </w:p>
        </w:tc>
        <w:tc>
          <w:tcPr>
            <w:tcW w:w="2952" w:type="dxa"/>
          </w:tcPr>
          <w:p w:rsidR="003F6451" w:rsidRPr="006C5C05" w:rsidRDefault="003F6451" w:rsidP="00D12DCD">
            <w:pPr>
              <w:jc w:val="center"/>
              <w:rPr>
                <w:sz w:val="20"/>
                <w:szCs w:val="20"/>
              </w:rPr>
            </w:pPr>
            <w:r w:rsidRPr="006C5C05">
              <w:rPr>
                <w:sz w:val="20"/>
                <w:szCs w:val="20"/>
              </w:rPr>
              <w:t>2.572</w:t>
            </w:r>
          </w:p>
        </w:tc>
      </w:tr>
      <w:tr w:rsidR="003F6451" w:rsidRPr="006C5C05" w:rsidTr="005E763F">
        <w:tc>
          <w:tcPr>
            <w:tcW w:w="2952" w:type="dxa"/>
          </w:tcPr>
          <w:p w:rsidR="003F6451" w:rsidRPr="006C5C05" w:rsidRDefault="003F6451">
            <w:pPr>
              <w:rPr>
                <w:b/>
                <w:sz w:val="20"/>
                <w:szCs w:val="20"/>
              </w:rPr>
            </w:pPr>
            <w:r w:rsidRPr="006C5C05">
              <w:rPr>
                <w:b/>
                <w:sz w:val="20"/>
                <w:szCs w:val="20"/>
              </w:rPr>
              <w:t>Queensland</w:t>
            </w:r>
          </w:p>
        </w:tc>
        <w:tc>
          <w:tcPr>
            <w:tcW w:w="2952" w:type="dxa"/>
          </w:tcPr>
          <w:p w:rsidR="003F6451" w:rsidRPr="006C5C05" w:rsidRDefault="003F6451" w:rsidP="004E7BF3">
            <w:pPr>
              <w:jc w:val="center"/>
              <w:rPr>
                <w:sz w:val="20"/>
                <w:szCs w:val="20"/>
              </w:rPr>
            </w:pPr>
            <w:r w:rsidRPr="006C5C05">
              <w:rPr>
                <w:sz w:val="20"/>
                <w:szCs w:val="20"/>
              </w:rPr>
              <w:t>2.559</w:t>
            </w:r>
          </w:p>
        </w:tc>
        <w:tc>
          <w:tcPr>
            <w:tcW w:w="2952" w:type="dxa"/>
          </w:tcPr>
          <w:p w:rsidR="003F6451" w:rsidRPr="006C5C05" w:rsidRDefault="003F6451" w:rsidP="00D12DCD">
            <w:pPr>
              <w:jc w:val="center"/>
              <w:rPr>
                <w:sz w:val="20"/>
                <w:szCs w:val="20"/>
              </w:rPr>
            </w:pPr>
            <w:r w:rsidRPr="006C5C05">
              <w:rPr>
                <w:sz w:val="20"/>
                <w:szCs w:val="20"/>
              </w:rPr>
              <w:t>2.586</w:t>
            </w:r>
          </w:p>
        </w:tc>
      </w:tr>
      <w:tr w:rsidR="003F6451" w:rsidRPr="006C5C05" w:rsidTr="005E763F">
        <w:tc>
          <w:tcPr>
            <w:tcW w:w="2952" w:type="dxa"/>
          </w:tcPr>
          <w:p w:rsidR="003F6451" w:rsidRPr="006C5C05" w:rsidRDefault="003F6451">
            <w:pPr>
              <w:rPr>
                <w:b/>
                <w:sz w:val="20"/>
                <w:szCs w:val="20"/>
              </w:rPr>
            </w:pPr>
            <w:r w:rsidRPr="006C5C05">
              <w:rPr>
                <w:b/>
                <w:sz w:val="20"/>
                <w:szCs w:val="20"/>
              </w:rPr>
              <w:t>South Australia</w:t>
            </w:r>
          </w:p>
        </w:tc>
        <w:tc>
          <w:tcPr>
            <w:tcW w:w="2952" w:type="dxa"/>
          </w:tcPr>
          <w:p w:rsidR="003F6451" w:rsidRPr="006C5C05" w:rsidRDefault="003F6451" w:rsidP="004E7BF3">
            <w:pPr>
              <w:jc w:val="center"/>
              <w:rPr>
                <w:sz w:val="20"/>
                <w:szCs w:val="20"/>
              </w:rPr>
            </w:pPr>
            <w:r w:rsidRPr="006C5C05">
              <w:rPr>
                <w:sz w:val="20"/>
                <w:szCs w:val="20"/>
              </w:rPr>
              <w:t>2.395</w:t>
            </w:r>
          </w:p>
        </w:tc>
        <w:tc>
          <w:tcPr>
            <w:tcW w:w="2952" w:type="dxa"/>
          </w:tcPr>
          <w:p w:rsidR="003F6451" w:rsidRPr="006C5C05" w:rsidRDefault="003F6451" w:rsidP="00D12DCD">
            <w:pPr>
              <w:jc w:val="center"/>
              <w:rPr>
                <w:sz w:val="20"/>
                <w:szCs w:val="20"/>
              </w:rPr>
            </w:pPr>
            <w:r w:rsidRPr="006C5C05">
              <w:rPr>
                <w:sz w:val="20"/>
                <w:szCs w:val="20"/>
              </w:rPr>
              <w:t>2.426</w:t>
            </w:r>
          </w:p>
        </w:tc>
      </w:tr>
      <w:tr w:rsidR="003F6451" w:rsidRPr="006C5C05" w:rsidTr="005E763F">
        <w:tc>
          <w:tcPr>
            <w:tcW w:w="2952" w:type="dxa"/>
          </w:tcPr>
          <w:p w:rsidR="003F6451" w:rsidRPr="006C5C05" w:rsidRDefault="003F6451">
            <w:pPr>
              <w:rPr>
                <w:b/>
                <w:sz w:val="20"/>
                <w:szCs w:val="20"/>
              </w:rPr>
            </w:pPr>
            <w:r w:rsidRPr="006C5C05">
              <w:rPr>
                <w:b/>
                <w:sz w:val="20"/>
                <w:szCs w:val="20"/>
              </w:rPr>
              <w:t>Western Australia</w:t>
            </w:r>
          </w:p>
        </w:tc>
        <w:tc>
          <w:tcPr>
            <w:tcW w:w="2952" w:type="dxa"/>
          </w:tcPr>
          <w:p w:rsidR="003F6451" w:rsidRPr="006C5C05" w:rsidRDefault="003F6451" w:rsidP="004E7BF3">
            <w:pPr>
              <w:jc w:val="center"/>
              <w:rPr>
                <w:sz w:val="20"/>
                <w:szCs w:val="20"/>
              </w:rPr>
            </w:pPr>
            <w:r w:rsidRPr="006C5C05">
              <w:rPr>
                <w:sz w:val="20"/>
                <w:szCs w:val="20"/>
              </w:rPr>
              <w:t>2.504</w:t>
            </w:r>
          </w:p>
        </w:tc>
        <w:tc>
          <w:tcPr>
            <w:tcW w:w="2952" w:type="dxa"/>
          </w:tcPr>
          <w:p w:rsidR="003F6451" w:rsidRPr="006C5C05" w:rsidRDefault="003F6451" w:rsidP="00D12DCD">
            <w:pPr>
              <w:jc w:val="center"/>
              <w:rPr>
                <w:sz w:val="20"/>
                <w:szCs w:val="20"/>
              </w:rPr>
            </w:pPr>
            <w:r w:rsidRPr="006C5C05">
              <w:rPr>
                <w:sz w:val="20"/>
                <w:szCs w:val="20"/>
              </w:rPr>
              <w:t>2.596</w:t>
            </w:r>
          </w:p>
        </w:tc>
      </w:tr>
      <w:tr w:rsidR="003F6451" w:rsidRPr="006C5C05" w:rsidTr="005E763F">
        <w:tc>
          <w:tcPr>
            <w:tcW w:w="2952" w:type="dxa"/>
          </w:tcPr>
          <w:p w:rsidR="003F6451" w:rsidRPr="006C5C05" w:rsidRDefault="003F6451">
            <w:pPr>
              <w:rPr>
                <w:b/>
                <w:sz w:val="20"/>
                <w:szCs w:val="20"/>
              </w:rPr>
            </w:pPr>
            <w:r w:rsidRPr="006C5C05">
              <w:rPr>
                <w:b/>
                <w:sz w:val="20"/>
                <w:szCs w:val="20"/>
              </w:rPr>
              <w:t>Tasmania</w:t>
            </w:r>
          </w:p>
        </w:tc>
        <w:tc>
          <w:tcPr>
            <w:tcW w:w="2952" w:type="dxa"/>
          </w:tcPr>
          <w:p w:rsidR="003F6451" w:rsidRPr="006C5C05" w:rsidRDefault="00206B4A" w:rsidP="004E7BF3">
            <w:pPr>
              <w:jc w:val="center"/>
              <w:rPr>
                <w:sz w:val="20"/>
                <w:szCs w:val="20"/>
              </w:rPr>
            </w:pPr>
            <w:r w:rsidRPr="006C5C05">
              <w:rPr>
                <w:sz w:val="20"/>
                <w:szCs w:val="20"/>
              </w:rPr>
              <w:t>2.391</w:t>
            </w:r>
          </w:p>
        </w:tc>
        <w:tc>
          <w:tcPr>
            <w:tcW w:w="2952" w:type="dxa"/>
          </w:tcPr>
          <w:p w:rsidR="003F6451" w:rsidRPr="006C5C05" w:rsidRDefault="003F6451" w:rsidP="00D12DCD">
            <w:pPr>
              <w:jc w:val="center"/>
              <w:rPr>
                <w:sz w:val="20"/>
                <w:szCs w:val="20"/>
              </w:rPr>
            </w:pPr>
            <w:r w:rsidRPr="006C5C05">
              <w:rPr>
                <w:sz w:val="20"/>
                <w:szCs w:val="20"/>
              </w:rPr>
              <w:t>2.377</w:t>
            </w:r>
          </w:p>
        </w:tc>
      </w:tr>
      <w:tr w:rsidR="003F6451" w:rsidRPr="006C5C05" w:rsidTr="005E763F">
        <w:tc>
          <w:tcPr>
            <w:tcW w:w="2952" w:type="dxa"/>
          </w:tcPr>
          <w:p w:rsidR="003F6451" w:rsidRPr="006C5C05" w:rsidRDefault="003F6451">
            <w:pPr>
              <w:rPr>
                <w:b/>
                <w:sz w:val="20"/>
                <w:szCs w:val="20"/>
              </w:rPr>
            </w:pPr>
            <w:r w:rsidRPr="006C5C05">
              <w:rPr>
                <w:b/>
                <w:sz w:val="20"/>
                <w:szCs w:val="20"/>
              </w:rPr>
              <w:t>Northern Territory</w:t>
            </w:r>
          </w:p>
        </w:tc>
        <w:tc>
          <w:tcPr>
            <w:tcW w:w="2952" w:type="dxa"/>
          </w:tcPr>
          <w:p w:rsidR="003F6451" w:rsidRPr="006C5C05" w:rsidRDefault="00206B4A" w:rsidP="004E7BF3">
            <w:pPr>
              <w:jc w:val="center"/>
              <w:rPr>
                <w:sz w:val="20"/>
                <w:szCs w:val="20"/>
              </w:rPr>
            </w:pPr>
            <w:r w:rsidRPr="006C5C05">
              <w:rPr>
                <w:sz w:val="20"/>
                <w:szCs w:val="20"/>
              </w:rPr>
              <w:t>2.802</w:t>
            </w:r>
          </w:p>
        </w:tc>
        <w:tc>
          <w:tcPr>
            <w:tcW w:w="2952" w:type="dxa"/>
          </w:tcPr>
          <w:p w:rsidR="003F6451" w:rsidRPr="006C5C05" w:rsidRDefault="003F6451" w:rsidP="00D12DCD">
            <w:pPr>
              <w:jc w:val="center"/>
              <w:rPr>
                <w:sz w:val="20"/>
                <w:szCs w:val="20"/>
              </w:rPr>
            </w:pPr>
            <w:r w:rsidRPr="006C5C05">
              <w:rPr>
                <w:sz w:val="20"/>
                <w:szCs w:val="20"/>
              </w:rPr>
              <w:t>2.894</w:t>
            </w:r>
          </w:p>
        </w:tc>
      </w:tr>
      <w:tr w:rsidR="003F6451" w:rsidRPr="006C5C05" w:rsidTr="005E763F">
        <w:tc>
          <w:tcPr>
            <w:tcW w:w="2952" w:type="dxa"/>
          </w:tcPr>
          <w:p w:rsidR="003F6451" w:rsidRPr="006C5C05" w:rsidRDefault="003F6451">
            <w:pPr>
              <w:rPr>
                <w:b/>
                <w:sz w:val="20"/>
                <w:szCs w:val="20"/>
              </w:rPr>
            </w:pPr>
            <w:r w:rsidRPr="006C5C05">
              <w:rPr>
                <w:b/>
                <w:sz w:val="20"/>
                <w:szCs w:val="20"/>
              </w:rPr>
              <w:t>Australian Capital Terr</w:t>
            </w:r>
            <w:r w:rsidR="006C5C05">
              <w:rPr>
                <w:b/>
                <w:sz w:val="20"/>
                <w:szCs w:val="20"/>
              </w:rPr>
              <w:t>itory</w:t>
            </w:r>
          </w:p>
        </w:tc>
        <w:tc>
          <w:tcPr>
            <w:tcW w:w="2952" w:type="dxa"/>
          </w:tcPr>
          <w:p w:rsidR="003F6451" w:rsidRPr="006C5C05" w:rsidRDefault="00206B4A" w:rsidP="004E7BF3">
            <w:pPr>
              <w:jc w:val="center"/>
              <w:rPr>
                <w:sz w:val="20"/>
                <w:szCs w:val="20"/>
              </w:rPr>
            </w:pPr>
            <w:r w:rsidRPr="006C5C05">
              <w:rPr>
                <w:sz w:val="20"/>
                <w:szCs w:val="20"/>
              </w:rPr>
              <w:t>2.521</w:t>
            </w:r>
          </w:p>
        </w:tc>
        <w:tc>
          <w:tcPr>
            <w:tcW w:w="2952" w:type="dxa"/>
          </w:tcPr>
          <w:p w:rsidR="003F6451" w:rsidRPr="006C5C05" w:rsidRDefault="003F6451" w:rsidP="00D12DCD">
            <w:pPr>
              <w:jc w:val="center"/>
              <w:rPr>
                <w:sz w:val="20"/>
                <w:szCs w:val="20"/>
              </w:rPr>
            </w:pPr>
            <w:r w:rsidRPr="006C5C05">
              <w:rPr>
                <w:sz w:val="20"/>
                <w:szCs w:val="20"/>
              </w:rPr>
              <w:t>2.590</w:t>
            </w:r>
          </w:p>
        </w:tc>
      </w:tr>
      <w:tr w:rsidR="003F6451" w:rsidRPr="006C5C05" w:rsidTr="005E763F">
        <w:tc>
          <w:tcPr>
            <w:tcW w:w="2952" w:type="dxa"/>
          </w:tcPr>
          <w:p w:rsidR="003F6451" w:rsidRPr="006C5C05" w:rsidRDefault="003F6451">
            <w:pPr>
              <w:rPr>
                <w:b/>
                <w:sz w:val="20"/>
                <w:szCs w:val="20"/>
              </w:rPr>
            </w:pPr>
            <w:r w:rsidRPr="006C5C05">
              <w:rPr>
                <w:b/>
                <w:sz w:val="20"/>
                <w:szCs w:val="20"/>
              </w:rPr>
              <w:t>AUSTRALIA</w:t>
            </w:r>
          </w:p>
        </w:tc>
        <w:tc>
          <w:tcPr>
            <w:tcW w:w="2952" w:type="dxa"/>
          </w:tcPr>
          <w:p w:rsidR="003F6451" w:rsidRPr="006C5C05" w:rsidRDefault="00206B4A" w:rsidP="004E7BF3">
            <w:pPr>
              <w:jc w:val="center"/>
              <w:rPr>
                <w:sz w:val="20"/>
                <w:szCs w:val="20"/>
              </w:rPr>
            </w:pPr>
            <w:r w:rsidRPr="006C5C05">
              <w:rPr>
                <w:sz w:val="20"/>
                <w:szCs w:val="20"/>
              </w:rPr>
              <w:t>2.535</w:t>
            </w:r>
          </w:p>
        </w:tc>
        <w:tc>
          <w:tcPr>
            <w:tcW w:w="2952" w:type="dxa"/>
          </w:tcPr>
          <w:p w:rsidR="003F6451" w:rsidRPr="006C5C05" w:rsidRDefault="003F6451" w:rsidP="00D12DCD">
            <w:pPr>
              <w:jc w:val="center"/>
              <w:rPr>
                <w:sz w:val="20"/>
                <w:szCs w:val="20"/>
              </w:rPr>
            </w:pPr>
            <w:r w:rsidRPr="006C5C05">
              <w:rPr>
                <w:sz w:val="20"/>
                <w:szCs w:val="20"/>
              </w:rPr>
              <w:t>2.572</w:t>
            </w:r>
          </w:p>
        </w:tc>
      </w:tr>
    </w:tbl>
    <w:p w:rsidR="00AF4723" w:rsidRPr="0043341C" w:rsidRDefault="00AF4723" w:rsidP="00AF4723">
      <w:pPr>
        <w:rPr>
          <w:b/>
          <w:sz w:val="20"/>
          <w:szCs w:val="20"/>
        </w:rPr>
      </w:pPr>
      <w:r w:rsidRPr="0043341C">
        <w:rPr>
          <w:sz w:val="20"/>
          <w:szCs w:val="20"/>
        </w:rPr>
        <w:t>Source: Authors calculations</w:t>
      </w:r>
    </w:p>
    <w:p w:rsidR="005E763F" w:rsidRPr="00A56D38" w:rsidRDefault="005E763F">
      <w:pPr>
        <w:rPr>
          <w:b/>
        </w:rPr>
      </w:pPr>
    </w:p>
    <w:p w:rsidR="00E06E75" w:rsidRDefault="00E06E75" w:rsidP="00DC7242">
      <w:pPr>
        <w:jc w:val="both"/>
      </w:pPr>
    </w:p>
    <w:p w:rsidR="00E06E75" w:rsidRDefault="00F81ABB" w:rsidP="00DC7242">
      <w:pPr>
        <w:jc w:val="both"/>
      </w:pPr>
      <w:r w:rsidRPr="00F81ABB">
        <w:t xml:space="preserve">Examining the </w:t>
      </w:r>
      <w:r>
        <w:t>(</w:t>
      </w:r>
      <w:r w:rsidRPr="00F81ABB">
        <w:t>Projected- Actual</w:t>
      </w:r>
      <w:r>
        <w:t>)</w:t>
      </w:r>
      <w:r w:rsidRPr="00F81ABB">
        <w:t xml:space="preserve"> differences</w:t>
      </w:r>
      <w:r>
        <w:t xml:space="preserve"> by household type (Table A1.4), it is evident that familie</w:t>
      </w:r>
      <w:r w:rsidR="00CF260B">
        <w:t>s with children were more prevalent</w:t>
      </w:r>
      <w:r>
        <w:t xml:space="preserve"> than projected while lon</w:t>
      </w:r>
      <w:r w:rsidR="00CF260B">
        <w:t>e person households were less prevalent</w:t>
      </w:r>
      <w:r>
        <w:t>.</w:t>
      </w:r>
      <w:r w:rsidR="00E06E75">
        <w:t xml:space="preserve"> Again, this would be more likely to occur is there was an affordability problem, especially for young people who might otherwise have left</w:t>
      </w:r>
      <w:r w:rsidR="00CF260B">
        <w:t xml:space="preserve"> their parents’</w:t>
      </w:r>
      <w:r w:rsidR="00E06E75">
        <w:t xml:space="preserve"> home.</w:t>
      </w:r>
    </w:p>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4B76B3" w:rsidRDefault="004B76B3"/>
    <w:p w:rsidR="00E06E75" w:rsidRDefault="00E06E75"/>
    <w:tbl>
      <w:tblPr>
        <w:tblW w:w="6883" w:type="dxa"/>
        <w:tblInd w:w="93" w:type="dxa"/>
        <w:tblLook w:val="04A0"/>
      </w:tblPr>
      <w:tblGrid>
        <w:gridCol w:w="222"/>
        <w:gridCol w:w="801"/>
        <w:gridCol w:w="1023"/>
        <w:gridCol w:w="1023"/>
        <w:gridCol w:w="1410"/>
        <w:gridCol w:w="994"/>
        <w:gridCol w:w="1410"/>
      </w:tblGrid>
      <w:tr w:rsidR="00E06E75" w:rsidRPr="00B61991" w:rsidTr="00AF4723">
        <w:trPr>
          <w:trHeight w:val="255"/>
        </w:trPr>
        <w:tc>
          <w:tcPr>
            <w:tcW w:w="6883" w:type="dxa"/>
            <w:gridSpan w:val="7"/>
            <w:tcBorders>
              <w:top w:val="nil"/>
              <w:left w:val="nil"/>
              <w:bottom w:val="nil"/>
              <w:right w:val="nil"/>
            </w:tcBorders>
            <w:shd w:val="clear" w:color="auto" w:fill="auto"/>
            <w:noWrap/>
            <w:vAlign w:val="bottom"/>
            <w:hideMark/>
          </w:tcPr>
          <w:p w:rsidR="00E06E75" w:rsidRPr="00B61991" w:rsidRDefault="00E06E75" w:rsidP="00684F80">
            <w:pPr>
              <w:rPr>
                <w:b/>
                <w:sz w:val="20"/>
                <w:szCs w:val="20"/>
              </w:rPr>
            </w:pPr>
            <w:r w:rsidRPr="00B61991">
              <w:rPr>
                <w:b/>
                <w:sz w:val="20"/>
                <w:szCs w:val="20"/>
              </w:rPr>
              <w:t>Table A1.4: Distribution of Households by Type, Actual (NHSC 2011 Estimates Based on Revised 2011 ERP) and Difference, 2011</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 </w:t>
            </w:r>
          </w:p>
        </w:tc>
        <w:tc>
          <w:tcPr>
            <w:tcW w:w="1023"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 </w:t>
            </w:r>
          </w:p>
        </w:tc>
        <w:tc>
          <w:tcPr>
            <w:tcW w:w="1023"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 </w:t>
            </w:r>
          </w:p>
        </w:tc>
        <w:tc>
          <w:tcPr>
            <w:tcW w:w="1410"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 </w:t>
            </w:r>
          </w:p>
        </w:tc>
        <w:tc>
          <w:tcPr>
            <w:tcW w:w="994"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 </w:t>
            </w:r>
          </w:p>
        </w:tc>
        <w:tc>
          <w:tcPr>
            <w:tcW w:w="1410"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 </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5860" w:type="dxa"/>
            <w:gridSpan w:val="5"/>
            <w:tcBorders>
              <w:top w:val="nil"/>
              <w:left w:val="nil"/>
              <w:bottom w:val="single" w:sz="4" w:space="0" w:color="auto"/>
              <w:right w:val="nil"/>
            </w:tcBorders>
            <w:shd w:val="clear" w:color="auto" w:fill="auto"/>
            <w:noWrap/>
            <w:vAlign w:val="bottom"/>
            <w:hideMark/>
          </w:tcPr>
          <w:p w:rsidR="00E06E75" w:rsidRPr="00D12DCD" w:rsidRDefault="00E06E75" w:rsidP="00684F80">
            <w:pPr>
              <w:jc w:val="center"/>
              <w:rPr>
                <w:b/>
                <w:bCs/>
                <w:sz w:val="20"/>
                <w:szCs w:val="20"/>
              </w:rPr>
            </w:pPr>
            <w:r w:rsidRPr="00D12DCD">
              <w:rPr>
                <w:b/>
                <w:bCs/>
                <w:sz w:val="20"/>
                <w:szCs w:val="20"/>
              </w:rPr>
              <w:t>Projected (Medium Scenario)</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1023"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2 Parent</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1 Parent</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 xml:space="preserve">Couples </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 xml:space="preserve">Lone </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 xml:space="preserve">Group </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 </w:t>
            </w:r>
          </w:p>
        </w:tc>
        <w:tc>
          <w:tcPr>
            <w:tcW w:w="1023"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Families</w:t>
            </w:r>
          </w:p>
        </w:tc>
        <w:tc>
          <w:tcPr>
            <w:tcW w:w="1023"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Families</w:t>
            </w:r>
          </w:p>
        </w:tc>
        <w:tc>
          <w:tcPr>
            <w:tcW w:w="1410"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No Children</w:t>
            </w:r>
          </w:p>
        </w:tc>
        <w:tc>
          <w:tcPr>
            <w:tcW w:w="994"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Persons</w:t>
            </w:r>
          </w:p>
        </w:tc>
        <w:tc>
          <w:tcPr>
            <w:tcW w:w="1410"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Households</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NSW</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0.322</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0.116</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0.267</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0.257</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0.038</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VIC</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0.319</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0.110</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0.263</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0.266</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0.043</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QLD</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0.305</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0.116</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0.292</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0.243</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0.045</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SA</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0.276</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0.111</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0.281</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0.300</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0.032</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WA</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0.305</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0.106</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0.279</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0.274</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0.035</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TAS</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0.270</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0.114</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0.294</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0.291</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0.031</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NT</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0.326</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0.142</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0.241</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0.246</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0.046</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ACT</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0.318</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0.107</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0.265</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0.254</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0.056</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AUS</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0.311</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0.113</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0.274</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0.262</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0.040</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5860" w:type="dxa"/>
            <w:gridSpan w:val="5"/>
            <w:tcBorders>
              <w:top w:val="nil"/>
              <w:left w:val="nil"/>
              <w:bottom w:val="single" w:sz="4" w:space="0" w:color="auto"/>
              <w:right w:val="nil"/>
            </w:tcBorders>
            <w:shd w:val="clear" w:color="auto" w:fill="auto"/>
            <w:noWrap/>
            <w:vAlign w:val="bottom"/>
            <w:hideMark/>
          </w:tcPr>
          <w:p w:rsidR="00E06E75" w:rsidRPr="00D12DCD" w:rsidRDefault="00E06E75" w:rsidP="00684F80">
            <w:pPr>
              <w:jc w:val="center"/>
              <w:rPr>
                <w:b/>
                <w:bCs/>
                <w:sz w:val="20"/>
                <w:szCs w:val="20"/>
              </w:rPr>
            </w:pPr>
            <w:r w:rsidRPr="00D12DCD">
              <w:rPr>
                <w:b/>
                <w:bCs/>
                <w:sz w:val="20"/>
                <w:szCs w:val="20"/>
              </w:rPr>
              <w:t>Actual</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1023"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2 Parent</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1 Parent</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 xml:space="preserve">Couples </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 xml:space="preserve">Lone </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 xml:space="preserve">Group </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 </w:t>
            </w:r>
          </w:p>
        </w:tc>
        <w:tc>
          <w:tcPr>
            <w:tcW w:w="1023"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Families</w:t>
            </w:r>
          </w:p>
        </w:tc>
        <w:tc>
          <w:tcPr>
            <w:tcW w:w="1023"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Families</w:t>
            </w:r>
          </w:p>
        </w:tc>
        <w:tc>
          <w:tcPr>
            <w:tcW w:w="1410"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No Children</w:t>
            </w:r>
          </w:p>
        </w:tc>
        <w:tc>
          <w:tcPr>
            <w:tcW w:w="994"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Persons</w:t>
            </w:r>
          </w:p>
        </w:tc>
        <w:tc>
          <w:tcPr>
            <w:tcW w:w="1410"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Households</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NSW</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0.326</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0.121</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0.265</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0.247</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0.041</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VIC</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0.325</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0.112</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0.265</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0.251</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0.047</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QLD</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0.310</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0.120</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0.288</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0.232</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0.050</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SA</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0.283</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0.114</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0.282</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0.284</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0.037</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WA</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0.325</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0.108</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0.286</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0.240</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0.042</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TAS</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0.266</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0.119</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0.286</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0.294</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0.034</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NT</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0.340</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0.136</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0.247</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0.220</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0.057</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ACT</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0.325</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0.105</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0.270</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0.238</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0.062</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AUS</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0.318</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0.116</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0.274</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0.248</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0.044</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5860" w:type="dxa"/>
            <w:gridSpan w:val="5"/>
            <w:tcBorders>
              <w:top w:val="nil"/>
              <w:left w:val="nil"/>
              <w:bottom w:val="single" w:sz="4" w:space="0" w:color="auto"/>
              <w:right w:val="nil"/>
            </w:tcBorders>
            <w:shd w:val="clear" w:color="auto" w:fill="auto"/>
            <w:noWrap/>
            <w:vAlign w:val="bottom"/>
            <w:hideMark/>
          </w:tcPr>
          <w:p w:rsidR="00E06E75" w:rsidRPr="00D12DCD" w:rsidRDefault="00E06E75" w:rsidP="00684F80">
            <w:pPr>
              <w:jc w:val="center"/>
              <w:rPr>
                <w:b/>
                <w:bCs/>
                <w:sz w:val="20"/>
                <w:szCs w:val="20"/>
              </w:rPr>
            </w:pPr>
            <w:r w:rsidRPr="00D12DCD">
              <w:rPr>
                <w:b/>
                <w:bCs/>
                <w:sz w:val="20"/>
                <w:szCs w:val="20"/>
              </w:rPr>
              <w:t>Difference</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1023"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2 Parent</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1 Parent</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 xml:space="preserve">Couples </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 xml:space="preserve">Lone </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 xml:space="preserve">Group </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 </w:t>
            </w:r>
          </w:p>
        </w:tc>
        <w:tc>
          <w:tcPr>
            <w:tcW w:w="1023"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Families</w:t>
            </w:r>
          </w:p>
        </w:tc>
        <w:tc>
          <w:tcPr>
            <w:tcW w:w="1023"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Families</w:t>
            </w:r>
          </w:p>
        </w:tc>
        <w:tc>
          <w:tcPr>
            <w:tcW w:w="1410"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No Children</w:t>
            </w:r>
          </w:p>
        </w:tc>
        <w:tc>
          <w:tcPr>
            <w:tcW w:w="994"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Persons</w:t>
            </w:r>
          </w:p>
        </w:tc>
        <w:tc>
          <w:tcPr>
            <w:tcW w:w="1410"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Households</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NSW</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-0.004</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-0.005</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0.002</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0.010</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-0.003</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VIC</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-0.007</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-0.003</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-0.002</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0.015</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-0.004</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QLD</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-0.005</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-0.004</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0.003</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0.011</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-0.005</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SA</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-0.007</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-0.003</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-0.001</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0.016</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-0.005</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WA</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-0.019</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-0.002</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-0.006</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0.034</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-0.007</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TAS</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0.004</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-0.005</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0.008</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-0.003</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-0.003</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NT</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-0.014</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0.005</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-0.006</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0.026</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-0.011</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r w:rsidRPr="00D12DCD">
              <w:rPr>
                <w:sz w:val="20"/>
                <w:szCs w:val="20"/>
              </w:rPr>
              <w:t>ACT</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-0.008</w:t>
            </w:r>
          </w:p>
        </w:tc>
        <w:tc>
          <w:tcPr>
            <w:tcW w:w="1023"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0.002</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-0.005</w:t>
            </w:r>
          </w:p>
        </w:tc>
        <w:tc>
          <w:tcPr>
            <w:tcW w:w="994"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0.016</w:t>
            </w:r>
          </w:p>
        </w:tc>
        <w:tc>
          <w:tcPr>
            <w:tcW w:w="1410" w:type="dxa"/>
            <w:tcBorders>
              <w:top w:val="nil"/>
              <w:left w:val="nil"/>
              <w:bottom w:val="nil"/>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-0.005</w:t>
            </w:r>
          </w:p>
        </w:tc>
      </w:tr>
      <w:tr w:rsidR="00E06E75" w:rsidRPr="00D12DCD" w:rsidTr="00AF4723">
        <w:trPr>
          <w:trHeight w:val="255"/>
        </w:trPr>
        <w:tc>
          <w:tcPr>
            <w:tcW w:w="222" w:type="dxa"/>
            <w:tcBorders>
              <w:top w:val="nil"/>
              <w:left w:val="nil"/>
              <w:bottom w:val="nil"/>
              <w:right w:val="nil"/>
            </w:tcBorders>
            <w:shd w:val="clear" w:color="auto" w:fill="auto"/>
            <w:noWrap/>
            <w:vAlign w:val="bottom"/>
            <w:hideMark/>
          </w:tcPr>
          <w:p w:rsidR="00E06E75" w:rsidRPr="00D12DCD" w:rsidRDefault="00E06E75" w:rsidP="00684F80">
            <w:pPr>
              <w:rPr>
                <w:sz w:val="20"/>
                <w:szCs w:val="20"/>
              </w:rPr>
            </w:pPr>
          </w:p>
        </w:tc>
        <w:tc>
          <w:tcPr>
            <w:tcW w:w="801" w:type="dxa"/>
            <w:tcBorders>
              <w:top w:val="nil"/>
              <w:left w:val="nil"/>
              <w:bottom w:val="single" w:sz="4" w:space="0" w:color="auto"/>
              <w:right w:val="nil"/>
            </w:tcBorders>
            <w:shd w:val="clear" w:color="auto" w:fill="auto"/>
            <w:noWrap/>
            <w:vAlign w:val="bottom"/>
            <w:hideMark/>
          </w:tcPr>
          <w:p w:rsidR="00E06E75" w:rsidRPr="00D12DCD" w:rsidRDefault="00E06E75" w:rsidP="00684F80">
            <w:pPr>
              <w:rPr>
                <w:sz w:val="20"/>
                <w:szCs w:val="20"/>
              </w:rPr>
            </w:pPr>
            <w:r w:rsidRPr="00D12DCD">
              <w:rPr>
                <w:sz w:val="20"/>
                <w:szCs w:val="20"/>
              </w:rPr>
              <w:t>AUS</w:t>
            </w:r>
          </w:p>
        </w:tc>
        <w:tc>
          <w:tcPr>
            <w:tcW w:w="1023" w:type="dxa"/>
            <w:tcBorders>
              <w:top w:val="nil"/>
              <w:left w:val="nil"/>
              <w:bottom w:val="single" w:sz="4" w:space="0" w:color="auto"/>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-0.007</w:t>
            </w:r>
          </w:p>
        </w:tc>
        <w:tc>
          <w:tcPr>
            <w:tcW w:w="1023" w:type="dxa"/>
            <w:tcBorders>
              <w:top w:val="nil"/>
              <w:left w:val="nil"/>
              <w:bottom w:val="single" w:sz="4" w:space="0" w:color="auto"/>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-0.003</w:t>
            </w:r>
          </w:p>
        </w:tc>
        <w:tc>
          <w:tcPr>
            <w:tcW w:w="1410" w:type="dxa"/>
            <w:tcBorders>
              <w:top w:val="nil"/>
              <w:left w:val="nil"/>
              <w:bottom w:val="single" w:sz="4" w:space="0" w:color="auto"/>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0.000</w:t>
            </w:r>
          </w:p>
        </w:tc>
        <w:tc>
          <w:tcPr>
            <w:tcW w:w="994" w:type="dxa"/>
            <w:tcBorders>
              <w:top w:val="nil"/>
              <w:left w:val="nil"/>
              <w:bottom w:val="single" w:sz="4" w:space="0" w:color="auto"/>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0.014</w:t>
            </w:r>
          </w:p>
        </w:tc>
        <w:tc>
          <w:tcPr>
            <w:tcW w:w="1410" w:type="dxa"/>
            <w:tcBorders>
              <w:top w:val="nil"/>
              <w:left w:val="nil"/>
              <w:bottom w:val="single" w:sz="4" w:space="0" w:color="auto"/>
              <w:right w:val="nil"/>
            </w:tcBorders>
            <w:shd w:val="clear" w:color="auto" w:fill="auto"/>
            <w:noWrap/>
            <w:vAlign w:val="bottom"/>
            <w:hideMark/>
          </w:tcPr>
          <w:p w:rsidR="00E06E75" w:rsidRPr="00D12DCD" w:rsidRDefault="00E06E75" w:rsidP="00684F80">
            <w:pPr>
              <w:jc w:val="center"/>
              <w:rPr>
                <w:sz w:val="20"/>
                <w:szCs w:val="20"/>
              </w:rPr>
            </w:pPr>
            <w:r w:rsidRPr="00D12DCD">
              <w:rPr>
                <w:sz w:val="20"/>
                <w:szCs w:val="20"/>
              </w:rPr>
              <w:t>-0.004</w:t>
            </w:r>
          </w:p>
        </w:tc>
      </w:tr>
    </w:tbl>
    <w:p w:rsidR="00AF4723" w:rsidRPr="0043341C" w:rsidRDefault="00AF4723" w:rsidP="00AF4723">
      <w:pPr>
        <w:rPr>
          <w:b/>
          <w:sz w:val="20"/>
          <w:szCs w:val="20"/>
        </w:rPr>
      </w:pPr>
      <w:r w:rsidRPr="0043341C">
        <w:rPr>
          <w:sz w:val="20"/>
          <w:szCs w:val="20"/>
        </w:rPr>
        <w:t>Source: Authors calculations</w:t>
      </w:r>
    </w:p>
    <w:p w:rsidR="00D12DCD" w:rsidRPr="00E06E75" w:rsidRDefault="00D12DCD">
      <w:r>
        <w:rPr>
          <w:b/>
        </w:rPr>
        <w:br w:type="page"/>
      </w:r>
    </w:p>
    <w:p w:rsidR="00D12DCD" w:rsidRDefault="00E06E75" w:rsidP="00DC7242">
      <w:pPr>
        <w:jc w:val="both"/>
      </w:pPr>
      <w:r w:rsidRPr="00E06E75">
        <w:lastRenderedPageBreak/>
        <w:t>In relation to tenure, private rental was more common in reality th</w:t>
      </w:r>
      <w:r w:rsidR="00CF260B">
        <w:t>an had been projected and the owner/purchasers were less prevalent than projected</w:t>
      </w:r>
      <w:r w:rsidRPr="00E06E75">
        <w:t>.</w:t>
      </w:r>
      <w:r>
        <w:t xml:space="preserve"> This again is not an unexpected trend given the affordability of owner/p</w:t>
      </w:r>
      <w:r w:rsidR="00CF260B">
        <w:t>urchasing in the 2006-11 period NHSC 2013).</w:t>
      </w:r>
      <w:r>
        <w:t xml:space="preserve"> However, another factor may have been the very large increase in temporary ov</w:t>
      </w:r>
      <w:r w:rsidR="00CF260B">
        <w:t>erseas migration in this period (Khoo, S-E. et al. 2012).</w:t>
      </w:r>
    </w:p>
    <w:p w:rsidR="00E06E75" w:rsidRPr="00E06E75" w:rsidRDefault="00E06E75"/>
    <w:p w:rsidR="00E06E75" w:rsidRDefault="00E06E75">
      <w:pPr>
        <w:rPr>
          <w:b/>
        </w:rPr>
      </w:pPr>
    </w:p>
    <w:tbl>
      <w:tblPr>
        <w:tblW w:w="6876" w:type="dxa"/>
        <w:tblInd w:w="93" w:type="dxa"/>
        <w:tblLook w:val="04A0"/>
      </w:tblPr>
      <w:tblGrid>
        <w:gridCol w:w="222"/>
        <w:gridCol w:w="923"/>
        <w:gridCol w:w="1412"/>
        <w:gridCol w:w="1111"/>
        <w:gridCol w:w="1111"/>
        <w:gridCol w:w="1111"/>
        <w:gridCol w:w="986"/>
      </w:tblGrid>
      <w:tr w:rsidR="00D12DCD" w:rsidRPr="00D12DCD" w:rsidTr="00AF4723">
        <w:trPr>
          <w:trHeight w:val="255"/>
        </w:trPr>
        <w:tc>
          <w:tcPr>
            <w:tcW w:w="6876" w:type="dxa"/>
            <w:gridSpan w:val="7"/>
            <w:tcBorders>
              <w:top w:val="nil"/>
              <w:left w:val="nil"/>
              <w:bottom w:val="nil"/>
              <w:right w:val="nil"/>
            </w:tcBorders>
            <w:shd w:val="clear" w:color="auto" w:fill="auto"/>
            <w:noWrap/>
            <w:vAlign w:val="bottom"/>
            <w:hideMark/>
          </w:tcPr>
          <w:p w:rsidR="00D12DCD" w:rsidRPr="00D12DCD" w:rsidRDefault="00D12DCD">
            <w:pPr>
              <w:rPr>
                <w:b/>
                <w:sz w:val="20"/>
                <w:szCs w:val="20"/>
              </w:rPr>
            </w:pPr>
            <w:r w:rsidRPr="00D12DCD">
              <w:rPr>
                <w:b/>
                <w:sz w:val="20"/>
                <w:szCs w:val="20"/>
              </w:rPr>
              <w:t>Table A1.5: Distribution of Households by Tenure, Actual</w:t>
            </w:r>
            <w:r w:rsidR="00B61991">
              <w:rPr>
                <w:b/>
                <w:sz w:val="20"/>
                <w:szCs w:val="20"/>
              </w:rPr>
              <w:t xml:space="preserve"> </w:t>
            </w:r>
            <w:r w:rsidR="00B61991" w:rsidRPr="00B61991">
              <w:rPr>
                <w:b/>
                <w:sz w:val="20"/>
                <w:szCs w:val="20"/>
              </w:rPr>
              <w:t>(NHSC 2011 Estimates Based on Revised 2011 ERP)</w:t>
            </w:r>
            <w:r w:rsidRPr="00D12DCD">
              <w:rPr>
                <w:b/>
                <w:sz w:val="20"/>
                <w:szCs w:val="20"/>
              </w:rPr>
              <w:t xml:space="preserve"> and Difference, 2011</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 </w:t>
            </w:r>
          </w:p>
        </w:tc>
        <w:tc>
          <w:tcPr>
            <w:tcW w:w="1412"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 </w:t>
            </w:r>
          </w:p>
        </w:tc>
        <w:tc>
          <w:tcPr>
            <w:tcW w:w="1111"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 </w:t>
            </w:r>
          </w:p>
        </w:tc>
        <w:tc>
          <w:tcPr>
            <w:tcW w:w="1111"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 </w:t>
            </w:r>
          </w:p>
        </w:tc>
        <w:tc>
          <w:tcPr>
            <w:tcW w:w="1111"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 </w:t>
            </w:r>
          </w:p>
        </w:tc>
        <w:tc>
          <w:tcPr>
            <w:tcW w:w="986"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 </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5731" w:type="dxa"/>
            <w:gridSpan w:val="5"/>
            <w:tcBorders>
              <w:top w:val="nil"/>
              <w:left w:val="nil"/>
              <w:bottom w:val="single" w:sz="4" w:space="0" w:color="auto"/>
              <w:right w:val="nil"/>
            </w:tcBorders>
            <w:shd w:val="clear" w:color="auto" w:fill="auto"/>
            <w:noWrap/>
            <w:vAlign w:val="bottom"/>
            <w:hideMark/>
          </w:tcPr>
          <w:p w:rsidR="00D12DCD" w:rsidRPr="00D12DCD" w:rsidRDefault="00D12DCD">
            <w:pPr>
              <w:jc w:val="center"/>
              <w:rPr>
                <w:b/>
                <w:bCs/>
                <w:sz w:val="20"/>
                <w:szCs w:val="20"/>
              </w:rPr>
            </w:pPr>
            <w:r w:rsidRPr="00D12DCD">
              <w:rPr>
                <w:b/>
                <w:bCs/>
                <w:sz w:val="20"/>
                <w:szCs w:val="20"/>
              </w:rPr>
              <w:t>Projected (Medium Scenario)</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1412"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Owner</w:t>
            </w:r>
          </w:p>
        </w:tc>
        <w:tc>
          <w:tcPr>
            <w:tcW w:w="1111"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Public</w:t>
            </w:r>
          </w:p>
        </w:tc>
        <w:tc>
          <w:tcPr>
            <w:tcW w:w="1111"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Other</w:t>
            </w:r>
          </w:p>
        </w:tc>
        <w:tc>
          <w:tcPr>
            <w:tcW w:w="1111"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Other</w:t>
            </w:r>
          </w:p>
        </w:tc>
        <w:tc>
          <w:tcPr>
            <w:tcW w:w="986"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Total</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 </w:t>
            </w:r>
          </w:p>
        </w:tc>
        <w:tc>
          <w:tcPr>
            <w:tcW w:w="1412"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Purchaser</w:t>
            </w:r>
          </w:p>
        </w:tc>
        <w:tc>
          <w:tcPr>
            <w:tcW w:w="1111"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Renter</w:t>
            </w:r>
          </w:p>
        </w:tc>
        <w:tc>
          <w:tcPr>
            <w:tcW w:w="1111"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Renter</w:t>
            </w:r>
          </w:p>
        </w:tc>
        <w:tc>
          <w:tcPr>
            <w:tcW w:w="1111"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 </w:t>
            </w:r>
          </w:p>
        </w:tc>
        <w:tc>
          <w:tcPr>
            <w:tcW w:w="986"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 </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NSW</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0.711</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0.045</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0.221</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0.023</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VIC</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0.738</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0.029</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0.219</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0.014</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QLD</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0.670</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0.034</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0.279</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0.017</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SA</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0.728</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0.066</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0.191</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0.015</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WA</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0.709</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0.038</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0.235</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0.018</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TAS</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0.747</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0.055</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0.183</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0.015</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NT</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0.494</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0.085</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0.378</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0.042</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ACT</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0.693</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0.077</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0.222</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0.008</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AUS</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0.709</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0.041</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0.232</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0.018</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5731" w:type="dxa"/>
            <w:gridSpan w:val="5"/>
            <w:tcBorders>
              <w:top w:val="nil"/>
              <w:left w:val="nil"/>
              <w:bottom w:val="single" w:sz="4" w:space="0" w:color="auto"/>
              <w:right w:val="nil"/>
            </w:tcBorders>
            <w:shd w:val="clear" w:color="auto" w:fill="auto"/>
            <w:noWrap/>
            <w:vAlign w:val="bottom"/>
            <w:hideMark/>
          </w:tcPr>
          <w:p w:rsidR="00D12DCD" w:rsidRPr="00D12DCD" w:rsidRDefault="00D12DCD">
            <w:pPr>
              <w:jc w:val="center"/>
              <w:rPr>
                <w:b/>
                <w:bCs/>
                <w:sz w:val="20"/>
                <w:szCs w:val="20"/>
              </w:rPr>
            </w:pPr>
            <w:r w:rsidRPr="00D12DCD">
              <w:rPr>
                <w:b/>
                <w:bCs/>
                <w:sz w:val="20"/>
                <w:szCs w:val="20"/>
              </w:rPr>
              <w:t>Actual</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1412"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Owner</w:t>
            </w:r>
          </w:p>
        </w:tc>
        <w:tc>
          <w:tcPr>
            <w:tcW w:w="1111"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Public</w:t>
            </w:r>
          </w:p>
        </w:tc>
        <w:tc>
          <w:tcPr>
            <w:tcW w:w="1111"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Other</w:t>
            </w:r>
          </w:p>
        </w:tc>
        <w:tc>
          <w:tcPr>
            <w:tcW w:w="1111"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Other</w:t>
            </w:r>
          </w:p>
        </w:tc>
        <w:tc>
          <w:tcPr>
            <w:tcW w:w="986"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Total</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 </w:t>
            </w:r>
          </w:p>
        </w:tc>
        <w:tc>
          <w:tcPr>
            <w:tcW w:w="1412"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Purchaser</w:t>
            </w:r>
          </w:p>
        </w:tc>
        <w:tc>
          <w:tcPr>
            <w:tcW w:w="1111"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Renter</w:t>
            </w:r>
          </w:p>
        </w:tc>
        <w:tc>
          <w:tcPr>
            <w:tcW w:w="1111"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Renter</w:t>
            </w:r>
          </w:p>
        </w:tc>
        <w:tc>
          <w:tcPr>
            <w:tcW w:w="1111"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 </w:t>
            </w:r>
          </w:p>
        </w:tc>
        <w:tc>
          <w:tcPr>
            <w:tcW w:w="986"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 </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NSW</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0.681</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0.041</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0.263</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0.014</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VIC</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0.718</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0.027</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0.242</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0.014</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QLD</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0.646</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0.034</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0.305</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0.015</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SA</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0.708</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0.057</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0.221</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0.014</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WA</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0.692</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0.037</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0.253</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0.018</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TAS</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0.726</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0.053</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0.206</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0.015</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NT</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0.475</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0.128</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0.348</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0.050</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ACT</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0.677</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0.073</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0.241</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0.008</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AUS</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0.686</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0.039</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0.261</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0.015</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1.000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5731" w:type="dxa"/>
            <w:gridSpan w:val="5"/>
            <w:tcBorders>
              <w:top w:val="nil"/>
              <w:left w:val="nil"/>
              <w:bottom w:val="single" w:sz="4" w:space="0" w:color="auto"/>
              <w:right w:val="nil"/>
            </w:tcBorders>
            <w:shd w:val="clear" w:color="auto" w:fill="auto"/>
            <w:noWrap/>
            <w:vAlign w:val="bottom"/>
            <w:hideMark/>
          </w:tcPr>
          <w:p w:rsidR="00D12DCD" w:rsidRPr="00D12DCD" w:rsidRDefault="00D12DCD">
            <w:pPr>
              <w:jc w:val="center"/>
              <w:rPr>
                <w:b/>
                <w:bCs/>
                <w:sz w:val="20"/>
                <w:szCs w:val="20"/>
              </w:rPr>
            </w:pPr>
            <w:r w:rsidRPr="00D12DCD">
              <w:rPr>
                <w:b/>
                <w:bCs/>
                <w:sz w:val="20"/>
                <w:szCs w:val="20"/>
              </w:rPr>
              <w:t>Difference</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1412"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Owner</w:t>
            </w:r>
          </w:p>
        </w:tc>
        <w:tc>
          <w:tcPr>
            <w:tcW w:w="1111"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Public</w:t>
            </w:r>
          </w:p>
        </w:tc>
        <w:tc>
          <w:tcPr>
            <w:tcW w:w="1111"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Other</w:t>
            </w:r>
          </w:p>
        </w:tc>
        <w:tc>
          <w:tcPr>
            <w:tcW w:w="1111"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Other</w:t>
            </w:r>
          </w:p>
        </w:tc>
        <w:tc>
          <w:tcPr>
            <w:tcW w:w="986"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Total</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 </w:t>
            </w:r>
          </w:p>
        </w:tc>
        <w:tc>
          <w:tcPr>
            <w:tcW w:w="1412"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Purchaser</w:t>
            </w:r>
          </w:p>
        </w:tc>
        <w:tc>
          <w:tcPr>
            <w:tcW w:w="1111"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Renter</w:t>
            </w:r>
          </w:p>
        </w:tc>
        <w:tc>
          <w:tcPr>
            <w:tcW w:w="1111"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Renter</w:t>
            </w:r>
          </w:p>
        </w:tc>
        <w:tc>
          <w:tcPr>
            <w:tcW w:w="1111"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 </w:t>
            </w:r>
          </w:p>
        </w:tc>
        <w:tc>
          <w:tcPr>
            <w:tcW w:w="986"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 </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NSW</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0.030</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0.004</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-0.042</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0.009</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0.000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VIC</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0.020</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0.003</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-0.023</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0.000</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0.000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QLD</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0.024</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0.000</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-0.025</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0.001</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0.000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SA</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0.020</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0.009</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-0.030</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0.001</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0.000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WA</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0.017</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0.001</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-0.019</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0.000</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0.000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TAS</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0.022</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0.002</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-0.023</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0.000</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0.000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NT</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0.020</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-0.043</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0.030</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-0.007</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0.000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nil"/>
              <w:right w:val="nil"/>
            </w:tcBorders>
            <w:shd w:val="clear" w:color="auto" w:fill="auto"/>
            <w:noWrap/>
            <w:vAlign w:val="bottom"/>
            <w:hideMark/>
          </w:tcPr>
          <w:p w:rsidR="00D12DCD" w:rsidRPr="00D12DCD" w:rsidRDefault="00D12DCD">
            <w:pPr>
              <w:rPr>
                <w:sz w:val="20"/>
                <w:szCs w:val="20"/>
              </w:rPr>
            </w:pPr>
            <w:r w:rsidRPr="00D12DCD">
              <w:rPr>
                <w:sz w:val="20"/>
                <w:szCs w:val="20"/>
              </w:rPr>
              <w:t>ACT</w:t>
            </w:r>
          </w:p>
        </w:tc>
        <w:tc>
          <w:tcPr>
            <w:tcW w:w="1412"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0.016</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0.005</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-0.020</w:t>
            </w:r>
          </w:p>
        </w:tc>
        <w:tc>
          <w:tcPr>
            <w:tcW w:w="1111" w:type="dxa"/>
            <w:tcBorders>
              <w:top w:val="nil"/>
              <w:left w:val="nil"/>
              <w:bottom w:val="nil"/>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0.000</w:t>
            </w:r>
          </w:p>
        </w:tc>
        <w:tc>
          <w:tcPr>
            <w:tcW w:w="986" w:type="dxa"/>
            <w:tcBorders>
              <w:top w:val="nil"/>
              <w:left w:val="nil"/>
              <w:bottom w:val="nil"/>
              <w:right w:val="nil"/>
            </w:tcBorders>
            <w:shd w:val="clear" w:color="auto" w:fill="auto"/>
            <w:noWrap/>
            <w:vAlign w:val="bottom"/>
            <w:hideMark/>
          </w:tcPr>
          <w:p w:rsidR="00D12DCD" w:rsidRPr="00D12DCD" w:rsidRDefault="00D12DCD">
            <w:pPr>
              <w:jc w:val="right"/>
              <w:rPr>
                <w:sz w:val="20"/>
                <w:szCs w:val="20"/>
              </w:rPr>
            </w:pPr>
            <w:r w:rsidRPr="00D12DCD">
              <w:rPr>
                <w:sz w:val="20"/>
                <w:szCs w:val="20"/>
              </w:rPr>
              <w:t>0.000</w:t>
            </w:r>
          </w:p>
        </w:tc>
      </w:tr>
      <w:tr w:rsidR="00D12DCD" w:rsidRPr="00D12DCD" w:rsidTr="00AF4723">
        <w:trPr>
          <w:trHeight w:val="255"/>
        </w:trPr>
        <w:tc>
          <w:tcPr>
            <w:tcW w:w="222" w:type="dxa"/>
            <w:tcBorders>
              <w:top w:val="nil"/>
              <w:left w:val="nil"/>
              <w:bottom w:val="nil"/>
              <w:right w:val="nil"/>
            </w:tcBorders>
            <w:shd w:val="clear" w:color="auto" w:fill="auto"/>
            <w:noWrap/>
            <w:vAlign w:val="bottom"/>
            <w:hideMark/>
          </w:tcPr>
          <w:p w:rsidR="00D12DCD" w:rsidRPr="00D12DCD" w:rsidRDefault="00D12DCD">
            <w:pPr>
              <w:rPr>
                <w:sz w:val="20"/>
                <w:szCs w:val="20"/>
              </w:rPr>
            </w:pPr>
          </w:p>
        </w:tc>
        <w:tc>
          <w:tcPr>
            <w:tcW w:w="923" w:type="dxa"/>
            <w:tcBorders>
              <w:top w:val="nil"/>
              <w:left w:val="nil"/>
              <w:bottom w:val="single" w:sz="4" w:space="0" w:color="auto"/>
              <w:right w:val="nil"/>
            </w:tcBorders>
            <w:shd w:val="clear" w:color="auto" w:fill="auto"/>
            <w:noWrap/>
            <w:vAlign w:val="bottom"/>
            <w:hideMark/>
          </w:tcPr>
          <w:p w:rsidR="00D12DCD" w:rsidRPr="00D12DCD" w:rsidRDefault="00D12DCD">
            <w:pPr>
              <w:rPr>
                <w:sz w:val="20"/>
                <w:szCs w:val="20"/>
              </w:rPr>
            </w:pPr>
            <w:r w:rsidRPr="00D12DCD">
              <w:rPr>
                <w:sz w:val="20"/>
                <w:szCs w:val="20"/>
              </w:rPr>
              <w:t>AUS</w:t>
            </w:r>
          </w:p>
        </w:tc>
        <w:tc>
          <w:tcPr>
            <w:tcW w:w="1412" w:type="dxa"/>
            <w:tcBorders>
              <w:top w:val="nil"/>
              <w:left w:val="nil"/>
              <w:bottom w:val="single" w:sz="4" w:space="0" w:color="auto"/>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0.023</w:t>
            </w:r>
          </w:p>
        </w:tc>
        <w:tc>
          <w:tcPr>
            <w:tcW w:w="1111" w:type="dxa"/>
            <w:tcBorders>
              <w:top w:val="nil"/>
              <w:left w:val="nil"/>
              <w:bottom w:val="single" w:sz="4" w:space="0" w:color="auto"/>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0.002</w:t>
            </w:r>
          </w:p>
        </w:tc>
        <w:tc>
          <w:tcPr>
            <w:tcW w:w="1111" w:type="dxa"/>
            <w:tcBorders>
              <w:top w:val="nil"/>
              <w:left w:val="nil"/>
              <w:bottom w:val="single" w:sz="4" w:space="0" w:color="auto"/>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-0.029</w:t>
            </w:r>
          </w:p>
        </w:tc>
        <w:tc>
          <w:tcPr>
            <w:tcW w:w="1111" w:type="dxa"/>
            <w:tcBorders>
              <w:top w:val="nil"/>
              <w:left w:val="nil"/>
              <w:bottom w:val="single" w:sz="4" w:space="0" w:color="auto"/>
              <w:right w:val="nil"/>
            </w:tcBorders>
            <w:shd w:val="clear" w:color="auto" w:fill="auto"/>
            <w:noWrap/>
            <w:vAlign w:val="bottom"/>
            <w:hideMark/>
          </w:tcPr>
          <w:p w:rsidR="00D12DCD" w:rsidRPr="00D12DCD" w:rsidRDefault="00D12DCD">
            <w:pPr>
              <w:jc w:val="center"/>
              <w:rPr>
                <w:sz w:val="20"/>
                <w:szCs w:val="20"/>
              </w:rPr>
            </w:pPr>
            <w:r w:rsidRPr="00D12DCD">
              <w:rPr>
                <w:sz w:val="20"/>
                <w:szCs w:val="20"/>
              </w:rPr>
              <w:t>0.003</w:t>
            </w:r>
          </w:p>
        </w:tc>
        <w:tc>
          <w:tcPr>
            <w:tcW w:w="986" w:type="dxa"/>
            <w:tcBorders>
              <w:top w:val="nil"/>
              <w:left w:val="nil"/>
              <w:bottom w:val="single" w:sz="4" w:space="0" w:color="auto"/>
              <w:right w:val="nil"/>
            </w:tcBorders>
            <w:shd w:val="clear" w:color="auto" w:fill="auto"/>
            <w:noWrap/>
            <w:vAlign w:val="bottom"/>
            <w:hideMark/>
          </w:tcPr>
          <w:p w:rsidR="00D12DCD" w:rsidRPr="00D12DCD" w:rsidRDefault="00D12DCD">
            <w:pPr>
              <w:jc w:val="right"/>
              <w:rPr>
                <w:sz w:val="20"/>
                <w:szCs w:val="20"/>
              </w:rPr>
            </w:pPr>
            <w:r w:rsidRPr="00D12DCD">
              <w:rPr>
                <w:sz w:val="20"/>
                <w:szCs w:val="20"/>
              </w:rPr>
              <w:t>0.000</w:t>
            </w:r>
          </w:p>
        </w:tc>
      </w:tr>
    </w:tbl>
    <w:p w:rsidR="00AF4723" w:rsidRPr="0043341C" w:rsidRDefault="00AF4723" w:rsidP="00AF4723">
      <w:pPr>
        <w:rPr>
          <w:b/>
          <w:sz w:val="20"/>
          <w:szCs w:val="20"/>
        </w:rPr>
      </w:pPr>
      <w:r w:rsidRPr="0043341C">
        <w:rPr>
          <w:sz w:val="20"/>
          <w:szCs w:val="20"/>
        </w:rPr>
        <w:t>Source: Authors calculations</w:t>
      </w:r>
    </w:p>
    <w:p w:rsidR="00D12DCD" w:rsidRPr="00D12DCD" w:rsidRDefault="00D12DCD">
      <w:pPr>
        <w:rPr>
          <w:b/>
          <w:sz w:val="20"/>
          <w:szCs w:val="20"/>
        </w:rPr>
      </w:pPr>
    </w:p>
    <w:p w:rsidR="00D12DCD" w:rsidRDefault="00D12DCD">
      <w:pPr>
        <w:rPr>
          <w:b/>
        </w:rPr>
      </w:pPr>
    </w:p>
    <w:p w:rsidR="00D12DCD" w:rsidRDefault="00D12DCD">
      <w:pPr>
        <w:rPr>
          <w:b/>
        </w:rPr>
      </w:pPr>
    </w:p>
    <w:p w:rsidR="007F3980" w:rsidRDefault="007F3980" w:rsidP="001B674F">
      <w:pPr>
        <w:jc w:val="center"/>
        <w:rPr>
          <w:b/>
        </w:rPr>
      </w:pPr>
      <w:r>
        <w:rPr>
          <w:b/>
        </w:rPr>
        <w:lastRenderedPageBreak/>
        <w:t>Appendix 2</w:t>
      </w:r>
    </w:p>
    <w:p w:rsidR="007F3980" w:rsidRDefault="007F3980" w:rsidP="001B674F">
      <w:pPr>
        <w:jc w:val="center"/>
        <w:rPr>
          <w:b/>
        </w:rPr>
      </w:pPr>
    </w:p>
    <w:p w:rsidR="008E2E81" w:rsidRDefault="008E2E81" w:rsidP="001B674F">
      <w:pPr>
        <w:jc w:val="center"/>
        <w:rPr>
          <w:b/>
        </w:rPr>
      </w:pPr>
      <w:r>
        <w:rPr>
          <w:b/>
        </w:rPr>
        <w:t xml:space="preserve">Movements in HCT net transition probabilities for three </w:t>
      </w:r>
      <w:proofErr w:type="spellStart"/>
      <w:r>
        <w:rPr>
          <w:b/>
        </w:rPr>
        <w:t>intercensal</w:t>
      </w:r>
      <w:proofErr w:type="spellEnd"/>
      <w:r>
        <w:rPr>
          <w:b/>
        </w:rPr>
        <w:t xml:space="preserve"> periods</w:t>
      </w:r>
      <w:r w:rsidR="007961BC">
        <w:rPr>
          <w:b/>
        </w:rPr>
        <w:t>, Australia</w:t>
      </w:r>
    </w:p>
    <w:p w:rsidR="00D25DCD" w:rsidRDefault="00D25DCD" w:rsidP="001B674F">
      <w:pPr>
        <w:jc w:val="center"/>
        <w:rPr>
          <w:b/>
        </w:rPr>
      </w:pPr>
      <w:r>
        <w:rPr>
          <w:b/>
        </w:rPr>
        <w:t>(Source: Author calculations based on Census and ERP Data)</w:t>
      </w:r>
    </w:p>
    <w:p w:rsidR="008E2E81" w:rsidRDefault="008E2E81" w:rsidP="0032616B">
      <w:pPr>
        <w:jc w:val="center"/>
        <w:rPr>
          <w:b/>
        </w:rPr>
      </w:pPr>
    </w:p>
    <w:p w:rsidR="008E2E81" w:rsidRPr="00636A58" w:rsidRDefault="008E2E81" w:rsidP="00DC7242">
      <w:pPr>
        <w:jc w:val="both"/>
      </w:pPr>
      <w:r w:rsidRPr="00636A58">
        <w:t xml:space="preserve">The net transition probability measures the </w:t>
      </w:r>
      <w:proofErr w:type="gramStart"/>
      <w:r w:rsidRPr="00636A58">
        <w:t>rate at which people of a given age move</w:t>
      </w:r>
      <w:proofErr w:type="gramEnd"/>
      <w:r w:rsidRPr="00636A58">
        <w:t xml:space="preserve"> between one HCT category and another as they move to the next age. </w:t>
      </w:r>
      <w:proofErr w:type="gramStart"/>
      <w:r w:rsidRPr="00636A58">
        <w:t xml:space="preserve">For </w:t>
      </w:r>
      <w:r w:rsidR="00636A58" w:rsidRPr="00636A58">
        <w:t xml:space="preserve">example, Figure A2.1 shows </w:t>
      </w:r>
      <w:r w:rsidRPr="00636A58">
        <w:t>for males, the net probability of moving from the HCT category, living with parents, to the HCT category, living as a couple.</w:t>
      </w:r>
      <w:proofErr w:type="gramEnd"/>
      <w:r w:rsidR="00636A58" w:rsidRPr="00636A58">
        <w:t xml:space="preserve"> This probability rises from zero at 15 to around 0.12 by age 24. The net probability of 0.12 means that as males living at home with parents age from 24 to 25, there is a 12 per cent chance that they will leave their parents’  home to live in a couple relationship having discounted those who move in the opposite direction (from being coupled to living with parents).</w:t>
      </w:r>
      <w:r w:rsidR="00636A58">
        <w:rPr>
          <w:rStyle w:val="FootnoteReference"/>
        </w:rPr>
        <w:footnoteReference w:id="2"/>
      </w:r>
    </w:p>
    <w:p w:rsidR="00056640" w:rsidRDefault="00056640" w:rsidP="00CE4280">
      <w:pPr>
        <w:rPr>
          <w:rFonts w:ascii="Arial" w:hAnsi="Arial" w:cs="Arial"/>
          <w:b/>
          <w:sz w:val="20"/>
          <w:szCs w:val="20"/>
          <w:lang w:val="en-AU" w:eastAsia="en-AU"/>
        </w:rPr>
      </w:pPr>
    </w:p>
    <w:p w:rsidR="00056640" w:rsidRPr="00A77FF9" w:rsidRDefault="001775C3" w:rsidP="00CE4280">
      <w:pPr>
        <w:rPr>
          <w:b/>
          <w:lang w:val="en-AU" w:eastAsia="en-AU"/>
        </w:rPr>
      </w:pPr>
      <w:r>
        <w:rPr>
          <w:b/>
          <w:lang w:val="en-AU" w:eastAsia="en-AU"/>
        </w:rPr>
        <w:t>Transitions at</w:t>
      </w:r>
      <w:r w:rsidR="00591A16">
        <w:rPr>
          <w:b/>
          <w:lang w:val="en-AU" w:eastAsia="en-AU"/>
        </w:rPr>
        <w:t xml:space="preserve"> Ages 15-24</w:t>
      </w:r>
    </w:p>
    <w:p w:rsidR="00056640" w:rsidRDefault="00056640" w:rsidP="00CE4280">
      <w:pPr>
        <w:rPr>
          <w:rFonts w:ascii="Arial" w:hAnsi="Arial" w:cs="Arial"/>
          <w:b/>
          <w:sz w:val="20"/>
          <w:szCs w:val="20"/>
          <w:lang w:val="en-AU" w:eastAsia="en-AU"/>
        </w:rPr>
      </w:pPr>
    </w:p>
    <w:p w:rsidR="00591A16" w:rsidRDefault="00A77FF9" w:rsidP="00DC7242">
      <w:pPr>
        <w:jc w:val="both"/>
        <w:rPr>
          <w:lang w:val="en-AU" w:eastAsia="en-AU"/>
        </w:rPr>
      </w:pPr>
      <w:r w:rsidRPr="00A77FF9">
        <w:rPr>
          <w:lang w:val="en-AU" w:eastAsia="en-AU"/>
        </w:rPr>
        <w:t xml:space="preserve">Figure A2.1 indicates that across the three </w:t>
      </w:r>
      <w:proofErr w:type="spellStart"/>
      <w:r w:rsidRPr="00A77FF9">
        <w:rPr>
          <w:lang w:val="en-AU" w:eastAsia="en-AU"/>
        </w:rPr>
        <w:t>intercensal</w:t>
      </w:r>
      <w:proofErr w:type="spellEnd"/>
      <w:r w:rsidRPr="00A77FF9">
        <w:rPr>
          <w:lang w:val="en-AU" w:eastAsia="en-AU"/>
        </w:rPr>
        <w:t xml:space="preserve"> periods, 1996-2001, 2001-06 and 2006-11, males aged 15-24 became increasingly less likely to leave their parents</w:t>
      </w:r>
      <w:r>
        <w:rPr>
          <w:lang w:val="en-AU" w:eastAsia="en-AU"/>
        </w:rPr>
        <w:t>’</w:t>
      </w:r>
      <w:r w:rsidRPr="00A77FF9">
        <w:rPr>
          <w:lang w:val="en-AU" w:eastAsia="en-AU"/>
        </w:rPr>
        <w:t xml:space="preserve"> home to live in a couple relationship.</w:t>
      </w:r>
      <w:r>
        <w:rPr>
          <w:lang w:val="en-AU" w:eastAsia="en-AU"/>
        </w:rPr>
        <w:t xml:space="preserve"> However, between 2006 and 2011, they were more likely to leave their parents’ home to live in some other situation: alone, in a group household or in a non-private dwelling (Figure A2.2).</w:t>
      </w:r>
      <w:r w:rsidR="007961BC">
        <w:rPr>
          <w:lang w:val="en-AU" w:eastAsia="en-AU"/>
        </w:rPr>
        <w:t xml:space="preserve"> In relation to living with parents, the two transitions tend to b</w:t>
      </w:r>
      <w:r w:rsidR="00591A16">
        <w:rPr>
          <w:lang w:val="en-AU" w:eastAsia="en-AU"/>
        </w:rPr>
        <w:t>alance each other in the 2006-11</w:t>
      </w:r>
      <w:r w:rsidR="007961BC">
        <w:rPr>
          <w:lang w:val="en-AU" w:eastAsia="en-AU"/>
        </w:rPr>
        <w:t xml:space="preserve"> </w:t>
      </w:r>
      <w:proofErr w:type="gramStart"/>
      <w:r w:rsidR="007961BC">
        <w:rPr>
          <w:lang w:val="en-AU" w:eastAsia="en-AU"/>
        </w:rPr>
        <w:t>period</w:t>
      </w:r>
      <w:proofErr w:type="gramEnd"/>
      <w:r w:rsidR="007961BC">
        <w:rPr>
          <w:lang w:val="en-AU" w:eastAsia="en-AU"/>
        </w:rPr>
        <w:t>.</w:t>
      </w:r>
    </w:p>
    <w:p w:rsidR="00591A16" w:rsidRDefault="00591A16" w:rsidP="00DC7242">
      <w:pPr>
        <w:jc w:val="both"/>
        <w:rPr>
          <w:lang w:val="en-AU" w:eastAsia="en-AU"/>
        </w:rPr>
      </w:pPr>
    </w:p>
    <w:p w:rsidR="001775C3" w:rsidRDefault="00591A16" w:rsidP="00DC7242">
      <w:pPr>
        <w:jc w:val="both"/>
        <w:rPr>
          <w:lang w:val="en-AU" w:eastAsia="en-AU"/>
        </w:rPr>
      </w:pPr>
      <w:r>
        <w:rPr>
          <w:lang w:val="en-AU" w:eastAsia="en-AU"/>
        </w:rPr>
        <w:t>For females, the broad pattern of behaviour between 2006 and 201</w:t>
      </w:r>
      <w:r w:rsidR="004B3806">
        <w:rPr>
          <w:lang w:val="en-AU" w:eastAsia="en-AU"/>
        </w:rPr>
        <w:t>1</w:t>
      </w:r>
      <w:r>
        <w:rPr>
          <w:lang w:val="en-AU" w:eastAsia="en-AU"/>
        </w:rPr>
        <w:t xml:space="preserve"> is much the same as for males but the drop in the probability of leaving the parents’ home to live as a couple is much larger than the rise in the probability of leaving the parents’ home to live in another arrangement (Figures A2.3 and A2.4).</w:t>
      </w:r>
      <w:r w:rsidR="004B3806">
        <w:rPr>
          <w:lang w:val="en-AU" w:eastAsia="en-AU"/>
        </w:rPr>
        <w:t xml:space="preserve"> This means that the overall probability of staying at home with parents rose.</w:t>
      </w:r>
    </w:p>
    <w:p w:rsidR="001775C3" w:rsidRDefault="001775C3" w:rsidP="00DC7242">
      <w:pPr>
        <w:jc w:val="both"/>
        <w:rPr>
          <w:lang w:val="en-AU" w:eastAsia="en-AU"/>
        </w:rPr>
      </w:pPr>
    </w:p>
    <w:p w:rsidR="00591A16" w:rsidRDefault="004B3806" w:rsidP="00DC7242">
      <w:pPr>
        <w:jc w:val="both"/>
        <w:rPr>
          <w:lang w:val="en-AU" w:eastAsia="en-AU"/>
        </w:rPr>
      </w:pPr>
      <w:r>
        <w:rPr>
          <w:lang w:val="en-AU" w:eastAsia="en-AU"/>
        </w:rPr>
        <w:t xml:space="preserve">Overall, young people of this age tended to live in larger households as might be expected given the fact that housing affordability was generally low in the 2006-11 </w:t>
      </w:r>
      <w:proofErr w:type="gramStart"/>
      <w:r>
        <w:rPr>
          <w:lang w:val="en-AU" w:eastAsia="en-AU"/>
        </w:rPr>
        <w:t>period</w:t>
      </w:r>
      <w:proofErr w:type="gramEnd"/>
      <w:r>
        <w:rPr>
          <w:lang w:val="en-AU" w:eastAsia="en-AU"/>
        </w:rPr>
        <w:t xml:space="preserve">. </w:t>
      </w:r>
    </w:p>
    <w:p w:rsidR="00056640" w:rsidRPr="00A77FF9" w:rsidRDefault="007961BC" w:rsidP="00CE4280">
      <w:pPr>
        <w:rPr>
          <w:lang w:val="en-AU" w:eastAsia="en-AU"/>
        </w:rPr>
      </w:pPr>
      <w:r>
        <w:rPr>
          <w:lang w:val="en-AU" w:eastAsia="en-AU"/>
        </w:rPr>
        <w:t xml:space="preserve"> </w:t>
      </w:r>
    </w:p>
    <w:p w:rsidR="00056640" w:rsidRPr="00A77FF9" w:rsidRDefault="00056640" w:rsidP="00CE4280">
      <w:pPr>
        <w:rPr>
          <w:lang w:val="en-AU" w:eastAsia="en-AU"/>
        </w:rPr>
      </w:pPr>
    </w:p>
    <w:p w:rsidR="00CE4280" w:rsidRPr="00056640" w:rsidRDefault="008E2E81" w:rsidP="00CE4280">
      <w:pPr>
        <w:rPr>
          <w:rFonts w:ascii="Arial" w:hAnsi="Arial" w:cs="Arial"/>
          <w:b/>
          <w:sz w:val="20"/>
          <w:szCs w:val="20"/>
          <w:lang w:val="en-AU" w:eastAsia="en-AU"/>
        </w:rPr>
      </w:pPr>
      <w:r w:rsidRPr="00056640">
        <w:rPr>
          <w:rFonts w:ascii="Arial" w:hAnsi="Arial" w:cs="Arial"/>
          <w:b/>
          <w:sz w:val="20"/>
          <w:szCs w:val="20"/>
          <w:lang w:val="en-AU" w:eastAsia="en-AU"/>
        </w:rPr>
        <w:lastRenderedPageBreak/>
        <w:t xml:space="preserve">Figure A2.1 Net transition probabilities: </w:t>
      </w:r>
      <w:r w:rsidR="00056640">
        <w:rPr>
          <w:rFonts w:ascii="Arial" w:hAnsi="Arial" w:cs="Arial"/>
          <w:b/>
          <w:sz w:val="20"/>
          <w:szCs w:val="20"/>
          <w:lang w:val="en-AU" w:eastAsia="en-AU"/>
        </w:rPr>
        <w:t>Living with Parents to</w:t>
      </w:r>
      <w:r w:rsidR="00CE4280" w:rsidRPr="00056640">
        <w:rPr>
          <w:rFonts w:ascii="Arial" w:hAnsi="Arial" w:cs="Arial"/>
          <w:b/>
          <w:sz w:val="20"/>
          <w:szCs w:val="20"/>
          <w:lang w:val="en-AU" w:eastAsia="en-AU"/>
        </w:rPr>
        <w:t xml:space="preserve"> Coupled</w:t>
      </w:r>
      <w:r w:rsidR="00056640">
        <w:rPr>
          <w:rFonts w:ascii="Arial" w:hAnsi="Arial" w:cs="Arial"/>
          <w:b/>
          <w:sz w:val="20"/>
          <w:szCs w:val="20"/>
          <w:lang w:val="en-AU" w:eastAsia="en-AU"/>
        </w:rPr>
        <w:t>, Males aged 15-24</w:t>
      </w:r>
    </w:p>
    <w:p w:rsidR="00CE4280" w:rsidRDefault="00CE4280" w:rsidP="00CE4280">
      <w:r w:rsidRPr="00262402">
        <w:rPr>
          <w:noProof/>
          <w:lang w:val="en-AU" w:eastAsia="en-AU"/>
        </w:rPr>
        <w:drawing>
          <wp:inline distT="0" distB="0" distL="0" distR="0">
            <wp:extent cx="5731510" cy="37376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731510" cy="3737621"/>
                    </a:xfrm>
                    <a:prstGeom prst="rect">
                      <a:avLst/>
                    </a:prstGeom>
                    <a:noFill/>
                    <a:ln w="9525">
                      <a:noFill/>
                      <a:miter lim="800000"/>
                      <a:headEnd/>
                      <a:tailEnd/>
                    </a:ln>
                  </pic:spPr>
                </pic:pic>
              </a:graphicData>
            </a:graphic>
          </wp:inline>
        </w:drawing>
      </w:r>
    </w:p>
    <w:p w:rsidR="00CE4280" w:rsidRDefault="00CE4280" w:rsidP="00CE4280">
      <w:pPr>
        <w:rPr>
          <w:rFonts w:ascii="Arial" w:hAnsi="Arial" w:cs="Arial"/>
          <w:sz w:val="20"/>
          <w:szCs w:val="20"/>
          <w:lang w:val="en-AU" w:eastAsia="en-AU"/>
        </w:rPr>
      </w:pPr>
    </w:p>
    <w:p w:rsidR="00056640" w:rsidRDefault="00056640" w:rsidP="00056640">
      <w:pPr>
        <w:rPr>
          <w:rFonts w:ascii="Arial" w:hAnsi="Arial" w:cs="Arial"/>
          <w:b/>
          <w:sz w:val="20"/>
          <w:szCs w:val="20"/>
          <w:lang w:val="en-AU" w:eastAsia="en-AU"/>
        </w:rPr>
      </w:pPr>
    </w:p>
    <w:p w:rsidR="00056640" w:rsidRDefault="001775C3" w:rsidP="00056640">
      <w:pPr>
        <w:rPr>
          <w:rFonts w:ascii="Arial" w:hAnsi="Arial" w:cs="Arial"/>
          <w:b/>
          <w:sz w:val="20"/>
          <w:szCs w:val="20"/>
          <w:lang w:val="en-AU" w:eastAsia="en-AU"/>
        </w:rPr>
      </w:pPr>
      <w:r>
        <w:rPr>
          <w:rFonts w:ascii="Arial" w:hAnsi="Arial" w:cs="Arial"/>
          <w:b/>
          <w:sz w:val="20"/>
          <w:szCs w:val="20"/>
          <w:lang w:val="en-AU" w:eastAsia="en-AU"/>
        </w:rPr>
        <w:t>Figure A2.2</w:t>
      </w:r>
      <w:r w:rsidR="00056640" w:rsidRPr="00056640">
        <w:rPr>
          <w:rFonts w:ascii="Arial" w:hAnsi="Arial" w:cs="Arial"/>
          <w:b/>
          <w:sz w:val="20"/>
          <w:szCs w:val="20"/>
          <w:lang w:val="en-AU" w:eastAsia="en-AU"/>
        </w:rPr>
        <w:t xml:space="preserve"> Net transition probabilities: </w:t>
      </w:r>
      <w:r w:rsidR="00056640">
        <w:rPr>
          <w:rFonts w:ascii="Arial" w:hAnsi="Arial" w:cs="Arial"/>
          <w:b/>
          <w:sz w:val="20"/>
          <w:szCs w:val="20"/>
          <w:lang w:val="en-AU" w:eastAsia="en-AU"/>
        </w:rPr>
        <w:t>Living with Parents to</w:t>
      </w:r>
      <w:r w:rsidR="00A77FF9">
        <w:rPr>
          <w:rFonts w:ascii="Arial" w:hAnsi="Arial" w:cs="Arial"/>
          <w:b/>
          <w:sz w:val="20"/>
          <w:szCs w:val="20"/>
          <w:lang w:val="en-AU" w:eastAsia="en-AU"/>
        </w:rPr>
        <w:t xml:space="preserve"> Other (not coupled)</w:t>
      </w:r>
      <w:r w:rsidR="00056640">
        <w:rPr>
          <w:rFonts w:ascii="Arial" w:hAnsi="Arial" w:cs="Arial"/>
          <w:b/>
          <w:sz w:val="20"/>
          <w:szCs w:val="20"/>
          <w:lang w:val="en-AU" w:eastAsia="en-AU"/>
        </w:rPr>
        <w:t>, Males aged</w:t>
      </w:r>
      <w:r w:rsidR="00A77FF9">
        <w:rPr>
          <w:rFonts w:ascii="Arial" w:hAnsi="Arial" w:cs="Arial"/>
          <w:b/>
          <w:sz w:val="20"/>
          <w:szCs w:val="20"/>
          <w:lang w:val="en-AU" w:eastAsia="en-AU"/>
        </w:rPr>
        <w:t xml:space="preserve"> 15-2</w:t>
      </w:r>
      <w:r w:rsidR="00056640">
        <w:rPr>
          <w:rFonts w:ascii="Arial" w:hAnsi="Arial" w:cs="Arial"/>
          <w:b/>
          <w:sz w:val="20"/>
          <w:szCs w:val="20"/>
          <w:lang w:val="en-AU" w:eastAsia="en-AU"/>
        </w:rPr>
        <w:t>4</w:t>
      </w:r>
    </w:p>
    <w:p w:rsidR="00A77FF9" w:rsidRDefault="00A77FF9" w:rsidP="00A77FF9">
      <w:r w:rsidRPr="00262402">
        <w:rPr>
          <w:noProof/>
          <w:lang w:val="en-AU" w:eastAsia="en-AU"/>
        </w:rPr>
        <w:drawing>
          <wp:inline distT="0" distB="0" distL="0" distR="0">
            <wp:extent cx="5731510" cy="373762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731510" cy="3737621"/>
                    </a:xfrm>
                    <a:prstGeom prst="rect">
                      <a:avLst/>
                    </a:prstGeom>
                    <a:noFill/>
                    <a:ln w="9525">
                      <a:noFill/>
                      <a:miter lim="800000"/>
                      <a:headEnd/>
                      <a:tailEnd/>
                    </a:ln>
                  </pic:spPr>
                </pic:pic>
              </a:graphicData>
            </a:graphic>
          </wp:inline>
        </w:drawing>
      </w:r>
    </w:p>
    <w:p w:rsidR="004B3806" w:rsidRPr="00056640" w:rsidRDefault="001775C3" w:rsidP="004B3806">
      <w:pPr>
        <w:rPr>
          <w:rFonts w:ascii="Arial" w:hAnsi="Arial" w:cs="Arial"/>
          <w:b/>
          <w:sz w:val="20"/>
          <w:szCs w:val="20"/>
          <w:lang w:val="en-AU" w:eastAsia="en-AU"/>
        </w:rPr>
      </w:pPr>
      <w:r>
        <w:rPr>
          <w:rFonts w:ascii="Arial" w:hAnsi="Arial" w:cs="Arial"/>
          <w:b/>
          <w:sz w:val="20"/>
          <w:szCs w:val="20"/>
          <w:lang w:val="en-AU" w:eastAsia="en-AU"/>
        </w:rPr>
        <w:lastRenderedPageBreak/>
        <w:t>Figure A2.3</w:t>
      </w:r>
      <w:r w:rsidR="004B3806" w:rsidRPr="00056640">
        <w:rPr>
          <w:rFonts w:ascii="Arial" w:hAnsi="Arial" w:cs="Arial"/>
          <w:b/>
          <w:sz w:val="20"/>
          <w:szCs w:val="20"/>
          <w:lang w:val="en-AU" w:eastAsia="en-AU"/>
        </w:rPr>
        <w:t xml:space="preserve"> Net transition probabilities: </w:t>
      </w:r>
      <w:r w:rsidR="004B3806">
        <w:rPr>
          <w:rFonts w:ascii="Arial" w:hAnsi="Arial" w:cs="Arial"/>
          <w:b/>
          <w:sz w:val="20"/>
          <w:szCs w:val="20"/>
          <w:lang w:val="en-AU" w:eastAsia="en-AU"/>
        </w:rPr>
        <w:t>Living with Parents to</w:t>
      </w:r>
      <w:r w:rsidR="004B3806" w:rsidRPr="00056640">
        <w:rPr>
          <w:rFonts w:ascii="Arial" w:hAnsi="Arial" w:cs="Arial"/>
          <w:b/>
          <w:sz w:val="20"/>
          <w:szCs w:val="20"/>
          <w:lang w:val="en-AU" w:eastAsia="en-AU"/>
        </w:rPr>
        <w:t xml:space="preserve"> Coupled</w:t>
      </w:r>
      <w:r w:rsidR="004B3806">
        <w:rPr>
          <w:rFonts w:ascii="Arial" w:hAnsi="Arial" w:cs="Arial"/>
          <w:b/>
          <w:sz w:val="20"/>
          <w:szCs w:val="20"/>
          <w:lang w:val="en-AU" w:eastAsia="en-AU"/>
        </w:rPr>
        <w:t>, Females aged 15-24</w:t>
      </w:r>
    </w:p>
    <w:p w:rsidR="00A77FF9" w:rsidRDefault="004B3806" w:rsidP="00056640">
      <w:pPr>
        <w:rPr>
          <w:rFonts w:ascii="Arial" w:hAnsi="Arial" w:cs="Arial"/>
          <w:b/>
          <w:sz w:val="20"/>
          <w:szCs w:val="20"/>
          <w:lang w:val="en-AU" w:eastAsia="en-AU"/>
        </w:rPr>
      </w:pPr>
      <w:r w:rsidRPr="00F8367A">
        <w:rPr>
          <w:noProof/>
          <w:lang w:val="en-AU" w:eastAsia="en-AU"/>
        </w:rPr>
        <w:drawing>
          <wp:inline distT="0" distB="0" distL="0" distR="0">
            <wp:extent cx="5486400" cy="35735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486400" cy="3573515"/>
                    </a:xfrm>
                    <a:prstGeom prst="rect">
                      <a:avLst/>
                    </a:prstGeom>
                    <a:noFill/>
                    <a:ln w="9525">
                      <a:noFill/>
                      <a:miter lim="800000"/>
                      <a:headEnd/>
                      <a:tailEnd/>
                    </a:ln>
                  </pic:spPr>
                </pic:pic>
              </a:graphicData>
            </a:graphic>
          </wp:inline>
        </w:drawing>
      </w:r>
    </w:p>
    <w:p w:rsidR="004B3806" w:rsidRDefault="004B3806" w:rsidP="00056640">
      <w:pPr>
        <w:rPr>
          <w:rFonts w:ascii="Arial" w:hAnsi="Arial" w:cs="Arial"/>
          <w:b/>
          <w:sz w:val="20"/>
          <w:szCs w:val="20"/>
          <w:lang w:val="en-AU" w:eastAsia="en-AU"/>
        </w:rPr>
      </w:pPr>
    </w:p>
    <w:p w:rsidR="004B3806" w:rsidRDefault="004B3806" w:rsidP="00056640">
      <w:pPr>
        <w:rPr>
          <w:rFonts w:ascii="Arial" w:hAnsi="Arial" w:cs="Arial"/>
          <w:b/>
          <w:sz w:val="20"/>
          <w:szCs w:val="20"/>
          <w:lang w:val="en-AU" w:eastAsia="en-AU"/>
        </w:rPr>
      </w:pPr>
    </w:p>
    <w:p w:rsidR="004B3806" w:rsidRDefault="001775C3" w:rsidP="004B3806">
      <w:pPr>
        <w:rPr>
          <w:rFonts w:ascii="Arial" w:hAnsi="Arial" w:cs="Arial"/>
          <w:b/>
          <w:sz w:val="20"/>
          <w:szCs w:val="20"/>
          <w:lang w:val="en-AU" w:eastAsia="en-AU"/>
        </w:rPr>
      </w:pPr>
      <w:r>
        <w:rPr>
          <w:rFonts w:ascii="Arial" w:hAnsi="Arial" w:cs="Arial"/>
          <w:b/>
          <w:sz w:val="20"/>
          <w:szCs w:val="20"/>
          <w:lang w:val="en-AU" w:eastAsia="en-AU"/>
        </w:rPr>
        <w:t>Figure A2.4</w:t>
      </w:r>
      <w:r w:rsidR="004B3806" w:rsidRPr="00056640">
        <w:rPr>
          <w:rFonts w:ascii="Arial" w:hAnsi="Arial" w:cs="Arial"/>
          <w:b/>
          <w:sz w:val="20"/>
          <w:szCs w:val="20"/>
          <w:lang w:val="en-AU" w:eastAsia="en-AU"/>
        </w:rPr>
        <w:t xml:space="preserve"> Net transition probabilities: </w:t>
      </w:r>
      <w:r w:rsidR="004B3806">
        <w:rPr>
          <w:rFonts w:ascii="Arial" w:hAnsi="Arial" w:cs="Arial"/>
          <w:b/>
          <w:sz w:val="20"/>
          <w:szCs w:val="20"/>
          <w:lang w:val="en-AU" w:eastAsia="en-AU"/>
        </w:rPr>
        <w:t>Living with Parents to Other (not coupled), Females aged 15-24</w:t>
      </w:r>
    </w:p>
    <w:p w:rsidR="004B3806" w:rsidRPr="00056640" w:rsidRDefault="004B3806" w:rsidP="00056640">
      <w:pPr>
        <w:rPr>
          <w:rFonts w:ascii="Arial" w:hAnsi="Arial" w:cs="Arial"/>
          <w:b/>
          <w:sz w:val="20"/>
          <w:szCs w:val="20"/>
          <w:lang w:val="en-AU" w:eastAsia="en-AU"/>
        </w:rPr>
      </w:pPr>
      <w:r w:rsidRPr="00F8367A">
        <w:rPr>
          <w:noProof/>
          <w:lang w:val="en-AU" w:eastAsia="en-AU"/>
        </w:rPr>
        <w:drawing>
          <wp:inline distT="0" distB="0" distL="0" distR="0">
            <wp:extent cx="5486400" cy="35735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5486400" cy="3573515"/>
                    </a:xfrm>
                    <a:prstGeom prst="rect">
                      <a:avLst/>
                    </a:prstGeom>
                    <a:noFill/>
                    <a:ln w="9525">
                      <a:noFill/>
                      <a:miter lim="800000"/>
                      <a:headEnd/>
                      <a:tailEnd/>
                    </a:ln>
                  </pic:spPr>
                </pic:pic>
              </a:graphicData>
            </a:graphic>
          </wp:inline>
        </w:drawing>
      </w:r>
    </w:p>
    <w:p w:rsidR="00056640" w:rsidRDefault="00056640" w:rsidP="00CE4280">
      <w:pPr>
        <w:rPr>
          <w:rFonts w:ascii="Arial" w:hAnsi="Arial" w:cs="Arial"/>
          <w:sz w:val="20"/>
          <w:szCs w:val="20"/>
          <w:lang w:val="en-AU" w:eastAsia="en-AU"/>
        </w:rPr>
      </w:pPr>
    </w:p>
    <w:p w:rsidR="00CC5B71" w:rsidRPr="00CC5B71" w:rsidRDefault="00CC5B71" w:rsidP="00CE4280">
      <w:pPr>
        <w:rPr>
          <w:b/>
          <w:lang w:val="en-AU" w:eastAsia="en-AU"/>
        </w:rPr>
      </w:pPr>
      <w:r w:rsidRPr="00CC5B71">
        <w:rPr>
          <w:b/>
          <w:lang w:val="en-AU" w:eastAsia="en-AU"/>
        </w:rPr>
        <w:lastRenderedPageBreak/>
        <w:t>Transitions at Ages 25-34</w:t>
      </w:r>
    </w:p>
    <w:p w:rsidR="00CC5B71" w:rsidRDefault="00CC5B71" w:rsidP="00CE4280">
      <w:pPr>
        <w:rPr>
          <w:rFonts w:ascii="Arial" w:hAnsi="Arial" w:cs="Arial"/>
          <w:sz w:val="20"/>
          <w:szCs w:val="20"/>
          <w:lang w:val="en-AU" w:eastAsia="en-AU"/>
        </w:rPr>
      </w:pPr>
    </w:p>
    <w:p w:rsidR="00A87BEB" w:rsidRDefault="00A87BEB" w:rsidP="00DC7242">
      <w:pPr>
        <w:jc w:val="both"/>
        <w:rPr>
          <w:lang w:val="en-AU" w:eastAsia="en-AU"/>
        </w:rPr>
      </w:pPr>
      <w:r w:rsidRPr="00A87BEB">
        <w:rPr>
          <w:lang w:val="en-AU" w:eastAsia="en-AU"/>
        </w:rPr>
        <w:t xml:space="preserve">The main transitions at these ages are from living with parents to living in a couple </w:t>
      </w:r>
      <w:proofErr w:type="gramStart"/>
      <w:r w:rsidRPr="00A87BEB">
        <w:rPr>
          <w:lang w:val="en-AU" w:eastAsia="en-AU"/>
        </w:rPr>
        <w:t>relationship</w:t>
      </w:r>
      <w:proofErr w:type="gramEnd"/>
      <w:r w:rsidRPr="00A87BEB">
        <w:rPr>
          <w:lang w:val="en-AU" w:eastAsia="en-AU"/>
        </w:rPr>
        <w:t xml:space="preserve"> and from other living arrangements (living alone, in a group household) to living as a couple</w:t>
      </w:r>
      <w:r w:rsidR="00552ABA">
        <w:rPr>
          <w:lang w:val="en-AU" w:eastAsia="en-AU"/>
        </w:rPr>
        <w:t xml:space="preserve"> (Figures A2.5 and A2.6)</w:t>
      </w:r>
      <w:r w:rsidRPr="00A87BEB">
        <w:rPr>
          <w:lang w:val="en-AU" w:eastAsia="en-AU"/>
        </w:rPr>
        <w:t xml:space="preserve">. For men at these ages, the probability of moving out of the parents’ house to living as a couple has been rising across the last three </w:t>
      </w:r>
      <w:proofErr w:type="spellStart"/>
      <w:r w:rsidRPr="00A87BEB">
        <w:rPr>
          <w:lang w:val="en-AU" w:eastAsia="en-AU"/>
        </w:rPr>
        <w:t>intercensal</w:t>
      </w:r>
      <w:proofErr w:type="spellEnd"/>
      <w:r w:rsidRPr="00A87BEB">
        <w:rPr>
          <w:lang w:val="en-AU" w:eastAsia="en-AU"/>
        </w:rPr>
        <w:t xml:space="preserve"> periods with the highest probabilities applying between 2006 and 2011. Moving from another household type to coupled, however, has fluctuated across the three periods, being highest in the 2001-06 period</w:t>
      </w:r>
      <w:r>
        <w:rPr>
          <w:lang w:val="en-AU" w:eastAsia="en-AU"/>
        </w:rPr>
        <w:t xml:space="preserve"> but the level of the probabilities of this movement are much lower than those for moving out of the parents’ home into a couple relationship. Thus, the overall movement tended to favour the formation of couple relationships in this age group of males between 2006 and 2011.</w:t>
      </w:r>
    </w:p>
    <w:p w:rsidR="00903D47" w:rsidRDefault="00903D47" w:rsidP="00DC7242">
      <w:pPr>
        <w:jc w:val="both"/>
        <w:rPr>
          <w:lang w:val="en-AU" w:eastAsia="en-AU"/>
        </w:rPr>
      </w:pPr>
    </w:p>
    <w:p w:rsidR="00903D47" w:rsidRDefault="00903D47" w:rsidP="00DC7242">
      <w:pPr>
        <w:jc w:val="both"/>
        <w:rPr>
          <w:lang w:val="en-AU" w:eastAsia="en-AU"/>
        </w:rPr>
      </w:pPr>
      <w:r>
        <w:rPr>
          <w:lang w:val="en-AU" w:eastAsia="en-AU"/>
        </w:rPr>
        <w:t xml:space="preserve">For females, there is very little change in the transition probabilities from living with parents to being coupled across the three </w:t>
      </w:r>
      <w:proofErr w:type="spellStart"/>
      <w:r>
        <w:rPr>
          <w:lang w:val="en-AU" w:eastAsia="en-AU"/>
        </w:rPr>
        <w:t>intercensal</w:t>
      </w:r>
      <w:proofErr w:type="spellEnd"/>
      <w:r>
        <w:rPr>
          <w:lang w:val="en-AU" w:eastAsia="en-AU"/>
        </w:rPr>
        <w:t xml:space="preserve"> periods and no change at all across the two most recent periods</w:t>
      </w:r>
      <w:r w:rsidR="00552ABA">
        <w:rPr>
          <w:lang w:val="en-AU" w:eastAsia="en-AU"/>
        </w:rPr>
        <w:t xml:space="preserve"> (Figures A2.7 and A2.8)</w:t>
      </w:r>
      <w:r>
        <w:rPr>
          <w:lang w:val="en-AU" w:eastAsia="en-AU"/>
        </w:rPr>
        <w:t xml:space="preserve">. However, in sharp contrast, the probabilities of women in these ages moving out of other living arrangements (living alone or in a group household) to being coupled have risen very substantially across the three periods and being highest in the 2006-11 period. Like males, the transitions together point a higher level of couple formation at these ages in the 2006-11 </w:t>
      </w:r>
      <w:proofErr w:type="gramStart"/>
      <w:r>
        <w:rPr>
          <w:lang w:val="en-AU" w:eastAsia="en-AU"/>
        </w:rPr>
        <w:t>period</w:t>
      </w:r>
      <w:proofErr w:type="gramEnd"/>
      <w:r>
        <w:rPr>
          <w:lang w:val="en-AU" w:eastAsia="en-AU"/>
        </w:rPr>
        <w:t xml:space="preserve">. </w:t>
      </w:r>
    </w:p>
    <w:p w:rsidR="00A87BEB" w:rsidRDefault="00A87BEB" w:rsidP="00CE4280">
      <w:pPr>
        <w:rPr>
          <w:lang w:val="en-AU" w:eastAsia="en-AU"/>
        </w:rPr>
      </w:pPr>
    </w:p>
    <w:p w:rsidR="004765FB" w:rsidRPr="00A912F1" w:rsidRDefault="00A87BEB" w:rsidP="00CE4280">
      <w:pPr>
        <w:rPr>
          <w:b/>
          <w:lang w:val="en-AU" w:eastAsia="en-AU"/>
        </w:rPr>
      </w:pPr>
      <w:r w:rsidRPr="00A912F1">
        <w:rPr>
          <w:b/>
          <w:lang w:val="en-AU" w:eastAsia="en-AU"/>
        </w:rPr>
        <w:t xml:space="preserve"> </w:t>
      </w:r>
      <w:r w:rsidR="00903D47" w:rsidRPr="00A912F1">
        <w:rPr>
          <w:b/>
          <w:lang w:val="en-AU" w:eastAsia="en-AU"/>
        </w:rPr>
        <w:t>Transitions at Ages 35-59</w:t>
      </w:r>
    </w:p>
    <w:p w:rsidR="00903D47" w:rsidRDefault="00903D47" w:rsidP="00DC7242">
      <w:pPr>
        <w:jc w:val="both"/>
        <w:rPr>
          <w:lang w:val="en-AU" w:eastAsia="en-AU"/>
        </w:rPr>
      </w:pPr>
    </w:p>
    <w:p w:rsidR="00903D47" w:rsidRDefault="00903D47" w:rsidP="00DC7242">
      <w:pPr>
        <w:jc w:val="both"/>
        <w:rPr>
          <w:lang w:val="en-AU" w:eastAsia="en-AU"/>
        </w:rPr>
      </w:pPr>
      <w:r>
        <w:rPr>
          <w:lang w:val="en-AU" w:eastAsia="en-AU"/>
        </w:rPr>
        <w:t>At these ages, there is only one major net transition, from being</w:t>
      </w:r>
      <w:r w:rsidR="00552ABA">
        <w:rPr>
          <w:lang w:val="en-AU" w:eastAsia="en-AU"/>
        </w:rPr>
        <w:t xml:space="preserve"> coupled</w:t>
      </w:r>
      <w:r>
        <w:rPr>
          <w:lang w:val="en-AU" w:eastAsia="en-AU"/>
        </w:rPr>
        <w:t xml:space="preserve"> to being not coupled, or vice versa</w:t>
      </w:r>
      <w:r w:rsidR="00552ABA">
        <w:rPr>
          <w:lang w:val="en-AU" w:eastAsia="en-AU"/>
        </w:rPr>
        <w:t xml:space="preserve"> (Figure A2.9)</w:t>
      </w:r>
      <w:r>
        <w:rPr>
          <w:lang w:val="en-AU" w:eastAsia="en-AU"/>
        </w:rPr>
        <w:t xml:space="preserve">. At the younger end of this age range (from 35 to the early 40s) for males, the transitions are negative meaning more people are coupling than uncoupling. Beyond this early age range, the reverse is true with more people uncoupling than coupling. </w:t>
      </w:r>
      <w:r w:rsidR="00815A00">
        <w:rPr>
          <w:lang w:val="en-AU" w:eastAsia="en-AU"/>
        </w:rPr>
        <w:t>It seems that the rates of uncoupling for men at these ages fell fairly considerably between the 1996-2001 period and the 2001-2006 period but there has been a rise in uncoupling in the 2006-2011 period. From age 46 onwards, the rates of uncoupling were slightly higher in the 2006-11 period than they had been in the 1996-2001 period.</w:t>
      </w:r>
      <w:r w:rsidR="00552ABA">
        <w:rPr>
          <w:lang w:val="en-AU" w:eastAsia="en-AU"/>
        </w:rPr>
        <w:t xml:space="preserve"> While falling rates of remarriage have an equivalent effect on this measure as rising rates of relationship breakdown, the latter is the more likely factor involved.</w:t>
      </w:r>
    </w:p>
    <w:p w:rsidR="00552ABA" w:rsidRDefault="00552ABA" w:rsidP="00DC7242">
      <w:pPr>
        <w:jc w:val="both"/>
        <w:rPr>
          <w:lang w:val="en-AU" w:eastAsia="en-AU"/>
        </w:rPr>
      </w:pPr>
    </w:p>
    <w:p w:rsidR="00552ABA" w:rsidRDefault="00552ABA" w:rsidP="00DC7242">
      <w:pPr>
        <w:jc w:val="both"/>
        <w:rPr>
          <w:lang w:val="en-AU" w:eastAsia="en-AU"/>
        </w:rPr>
      </w:pPr>
      <w:r>
        <w:rPr>
          <w:lang w:val="en-AU" w:eastAsia="en-AU"/>
        </w:rPr>
        <w:t>Similar conclusions apply to the transitions between being coupled and not being coupled for women in the</w:t>
      </w:r>
      <w:r w:rsidR="006871C5">
        <w:rPr>
          <w:lang w:val="en-AU" w:eastAsia="en-AU"/>
        </w:rPr>
        <w:t xml:space="preserve"> 35-59 age </w:t>
      </w:r>
      <w:proofErr w:type="gramStart"/>
      <w:r w:rsidR="006871C5">
        <w:rPr>
          <w:lang w:val="en-AU" w:eastAsia="en-AU"/>
        </w:rPr>
        <w:t>group</w:t>
      </w:r>
      <w:proofErr w:type="gramEnd"/>
      <w:r w:rsidR="006871C5">
        <w:rPr>
          <w:lang w:val="en-AU" w:eastAsia="en-AU"/>
        </w:rPr>
        <w:t xml:space="preserve"> (Figure A2.10) with</w:t>
      </w:r>
      <w:r>
        <w:rPr>
          <w:lang w:val="en-AU" w:eastAsia="en-AU"/>
        </w:rPr>
        <w:t xml:space="preserve"> rates of uncoupling falling sharply between 1996-2001 and 2001-2006 but then rising again in the 2006-11 period.</w:t>
      </w:r>
    </w:p>
    <w:p w:rsidR="006871C5" w:rsidRDefault="006871C5" w:rsidP="00DC7242">
      <w:pPr>
        <w:jc w:val="both"/>
        <w:rPr>
          <w:lang w:val="en-AU" w:eastAsia="en-AU"/>
        </w:rPr>
      </w:pPr>
    </w:p>
    <w:p w:rsidR="006871C5" w:rsidRDefault="006871C5" w:rsidP="00DC7242">
      <w:pPr>
        <w:jc w:val="both"/>
        <w:rPr>
          <w:lang w:val="en-AU" w:eastAsia="en-AU"/>
        </w:rPr>
      </w:pPr>
      <w:r>
        <w:rPr>
          <w:lang w:val="en-AU" w:eastAsia="en-AU"/>
        </w:rPr>
        <w:t>For both males and females, the transition probabilities in this age range are very small so the movements up and down as just described have very little impact upon the projections.</w:t>
      </w:r>
    </w:p>
    <w:p w:rsidR="00552ABA" w:rsidRDefault="00552ABA" w:rsidP="00CE4280">
      <w:pPr>
        <w:rPr>
          <w:lang w:val="en-AU" w:eastAsia="en-AU"/>
        </w:rPr>
      </w:pPr>
    </w:p>
    <w:p w:rsidR="00552ABA" w:rsidRPr="00A87BEB" w:rsidRDefault="00552ABA" w:rsidP="00CE4280">
      <w:pPr>
        <w:rPr>
          <w:lang w:val="en-AU" w:eastAsia="en-AU"/>
        </w:rPr>
      </w:pPr>
    </w:p>
    <w:p w:rsidR="004765FB" w:rsidRPr="00A87BEB" w:rsidRDefault="004765FB" w:rsidP="00CE4280">
      <w:pPr>
        <w:rPr>
          <w:lang w:val="en-AU" w:eastAsia="en-AU"/>
        </w:rPr>
      </w:pPr>
    </w:p>
    <w:p w:rsidR="004765FB" w:rsidRPr="00A87BEB" w:rsidRDefault="004765FB">
      <w:pPr>
        <w:rPr>
          <w:lang w:val="en-AU" w:eastAsia="en-AU"/>
        </w:rPr>
      </w:pPr>
      <w:r w:rsidRPr="00A87BEB">
        <w:rPr>
          <w:lang w:val="en-AU" w:eastAsia="en-AU"/>
        </w:rPr>
        <w:br w:type="page"/>
      </w:r>
    </w:p>
    <w:p w:rsidR="004765FB" w:rsidRPr="004765FB" w:rsidRDefault="004765FB" w:rsidP="00CE4280">
      <w:pPr>
        <w:rPr>
          <w:rFonts w:ascii="Arial" w:hAnsi="Arial" w:cs="Arial"/>
          <w:b/>
          <w:sz w:val="20"/>
          <w:szCs w:val="20"/>
          <w:lang w:val="en-AU" w:eastAsia="en-AU"/>
        </w:rPr>
      </w:pPr>
      <w:r w:rsidRPr="004765FB">
        <w:rPr>
          <w:rFonts w:ascii="Arial" w:hAnsi="Arial" w:cs="Arial"/>
          <w:b/>
          <w:sz w:val="20"/>
          <w:szCs w:val="20"/>
          <w:lang w:val="en-AU" w:eastAsia="en-AU"/>
        </w:rPr>
        <w:lastRenderedPageBreak/>
        <w:t>Figure A2.5. Net transition probabilities: Living with Parents to Coupled, Males, 25-34</w:t>
      </w:r>
    </w:p>
    <w:p w:rsidR="00CE4280" w:rsidRDefault="00CE4280" w:rsidP="00CE4280">
      <w:r w:rsidRPr="00262402">
        <w:rPr>
          <w:noProof/>
          <w:lang w:val="en-AU" w:eastAsia="en-AU"/>
        </w:rPr>
        <w:drawing>
          <wp:inline distT="0" distB="0" distL="0" distR="0">
            <wp:extent cx="5731510" cy="37376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5731510" cy="3737621"/>
                    </a:xfrm>
                    <a:prstGeom prst="rect">
                      <a:avLst/>
                    </a:prstGeom>
                    <a:noFill/>
                    <a:ln w="9525">
                      <a:noFill/>
                      <a:miter lim="800000"/>
                      <a:headEnd/>
                      <a:tailEnd/>
                    </a:ln>
                  </pic:spPr>
                </pic:pic>
              </a:graphicData>
            </a:graphic>
          </wp:inline>
        </w:drawing>
      </w:r>
    </w:p>
    <w:p w:rsidR="00CE4280" w:rsidRDefault="00CE4280" w:rsidP="00CE4280">
      <w:pPr>
        <w:rPr>
          <w:rFonts w:ascii="Arial" w:hAnsi="Arial" w:cs="Arial"/>
          <w:sz w:val="20"/>
          <w:szCs w:val="20"/>
          <w:lang w:val="en-AU" w:eastAsia="en-AU"/>
        </w:rPr>
      </w:pPr>
    </w:p>
    <w:p w:rsidR="00CE4280" w:rsidRDefault="00CE4280" w:rsidP="00CE4280">
      <w:pPr>
        <w:rPr>
          <w:rFonts w:ascii="Arial" w:hAnsi="Arial" w:cs="Arial"/>
          <w:sz w:val="20"/>
          <w:szCs w:val="20"/>
          <w:lang w:val="en-AU" w:eastAsia="en-AU"/>
        </w:rPr>
      </w:pPr>
    </w:p>
    <w:p w:rsidR="00CE4280" w:rsidRPr="004765FB" w:rsidRDefault="004765FB" w:rsidP="00CE4280">
      <w:pPr>
        <w:rPr>
          <w:rFonts w:ascii="Arial" w:hAnsi="Arial" w:cs="Arial"/>
          <w:b/>
          <w:sz w:val="20"/>
          <w:szCs w:val="20"/>
          <w:lang w:val="en-AU" w:eastAsia="en-AU"/>
        </w:rPr>
      </w:pPr>
      <w:r w:rsidRPr="004765FB">
        <w:rPr>
          <w:rFonts w:ascii="Arial" w:hAnsi="Arial" w:cs="Arial"/>
          <w:b/>
          <w:sz w:val="20"/>
          <w:szCs w:val="20"/>
          <w:lang w:val="en-AU" w:eastAsia="en-AU"/>
        </w:rPr>
        <w:t>Figure A2.6. Living in Other HCT (not coupled, not with parents) to Coupled, Males, 25-34</w:t>
      </w:r>
    </w:p>
    <w:p w:rsidR="00CE4280" w:rsidRDefault="004765FB" w:rsidP="00CE4280">
      <w:pPr>
        <w:rPr>
          <w:rFonts w:ascii="Arial" w:hAnsi="Arial" w:cs="Arial"/>
          <w:sz w:val="20"/>
          <w:szCs w:val="20"/>
          <w:lang w:val="en-AU" w:eastAsia="en-AU"/>
        </w:rPr>
      </w:pPr>
      <w:r w:rsidRPr="00262402">
        <w:rPr>
          <w:noProof/>
          <w:lang w:val="en-AU" w:eastAsia="en-AU"/>
        </w:rPr>
        <w:drawing>
          <wp:inline distT="0" distB="0" distL="0" distR="0">
            <wp:extent cx="5486400" cy="35777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5486400" cy="3577770"/>
                    </a:xfrm>
                    <a:prstGeom prst="rect">
                      <a:avLst/>
                    </a:prstGeom>
                    <a:noFill/>
                    <a:ln w="9525">
                      <a:noFill/>
                      <a:miter lim="800000"/>
                      <a:headEnd/>
                      <a:tailEnd/>
                    </a:ln>
                  </pic:spPr>
                </pic:pic>
              </a:graphicData>
            </a:graphic>
          </wp:inline>
        </w:drawing>
      </w:r>
    </w:p>
    <w:p w:rsidR="00CE4280" w:rsidRDefault="00CE4280" w:rsidP="00CE4280">
      <w:pPr>
        <w:rPr>
          <w:rFonts w:ascii="Arial" w:hAnsi="Arial" w:cs="Arial"/>
          <w:sz w:val="20"/>
          <w:szCs w:val="20"/>
          <w:lang w:val="en-AU" w:eastAsia="en-AU"/>
        </w:rPr>
      </w:pPr>
    </w:p>
    <w:p w:rsidR="004765FB" w:rsidRDefault="004765FB" w:rsidP="00CE4280">
      <w:pPr>
        <w:rPr>
          <w:rFonts w:ascii="Arial" w:hAnsi="Arial" w:cs="Arial"/>
          <w:sz w:val="20"/>
          <w:szCs w:val="20"/>
          <w:lang w:val="en-AU" w:eastAsia="en-AU"/>
        </w:rPr>
      </w:pPr>
    </w:p>
    <w:p w:rsidR="004765FB" w:rsidRPr="004765FB" w:rsidRDefault="00B57A92" w:rsidP="004765FB">
      <w:pPr>
        <w:rPr>
          <w:rFonts w:ascii="Arial" w:hAnsi="Arial" w:cs="Arial"/>
          <w:b/>
          <w:sz w:val="20"/>
          <w:szCs w:val="20"/>
          <w:lang w:val="en-AU" w:eastAsia="en-AU"/>
        </w:rPr>
      </w:pPr>
      <w:r>
        <w:rPr>
          <w:rFonts w:ascii="Arial" w:hAnsi="Arial" w:cs="Arial"/>
          <w:b/>
          <w:sz w:val="20"/>
          <w:szCs w:val="20"/>
          <w:lang w:val="en-AU" w:eastAsia="en-AU"/>
        </w:rPr>
        <w:lastRenderedPageBreak/>
        <w:t>Figure A2.7</w:t>
      </w:r>
      <w:r w:rsidR="004765FB" w:rsidRPr="004765FB">
        <w:rPr>
          <w:rFonts w:ascii="Arial" w:hAnsi="Arial" w:cs="Arial"/>
          <w:b/>
          <w:sz w:val="20"/>
          <w:szCs w:val="20"/>
          <w:lang w:val="en-AU" w:eastAsia="en-AU"/>
        </w:rPr>
        <w:t xml:space="preserve">. </w:t>
      </w:r>
      <w:r w:rsidR="004765FB">
        <w:rPr>
          <w:rFonts w:ascii="Arial" w:hAnsi="Arial" w:cs="Arial"/>
          <w:b/>
          <w:sz w:val="20"/>
          <w:szCs w:val="20"/>
          <w:lang w:val="en-AU" w:eastAsia="en-AU"/>
        </w:rPr>
        <w:t>Net Transition P</w:t>
      </w:r>
      <w:r w:rsidR="004765FB" w:rsidRPr="004765FB">
        <w:rPr>
          <w:rFonts w:ascii="Arial" w:hAnsi="Arial" w:cs="Arial"/>
          <w:b/>
          <w:sz w:val="20"/>
          <w:szCs w:val="20"/>
          <w:lang w:val="en-AU" w:eastAsia="en-AU"/>
        </w:rPr>
        <w:t>robabilities: Living with Parents to Coupled</w:t>
      </w:r>
      <w:r w:rsidR="004765FB">
        <w:rPr>
          <w:rFonts w:ascii="Arial" w:hAnsi="Arial" w:cs="Arial"/>
          <w:b/>
          <w:sz w:val="20"/>
          <w:szCs w:val="20"/>
          <w:lang w:val="en-AU" w:eastAsia="en-AU"/>
        </w:rPr>
        <w:t>, Fem</w:t>
      </w:r>
      <w:r w:rsidR="004765FB" w:rsidRPr="004765FB">
        <w:rPr>
          <w:rFonts w:ascii="Arial" w:hAnsi="Arial" w:cs="Arial"/>
          <w:b/>
          <w:sz w:val="20"/>
          <w:szCs w:val="20"/>
          <w:lang w:val="en-AU" w:eastAsia="en-AU"/>
        </w:rPr>
        <w:t>ales, 25-34</w:t>
      </w:r>
    </w:p>
    <w:p w:rsidR="004765FB" w:rsidRDefault="004765FB">
      <w:pPr>
        <w:rPr>
          <w:rFonts w:ascii="Arial" w:hAnsi="Arial" w:cs="Arial"/>
          <w:sz w:val="20"/>
          <w:szCs w:val="20"/>
          <w:lang w:val="en-AU" w:eastAsia="en-AU"/>
        </w:rPr>
      </w:pPr>
      <w:r w:rsidRPr="00F8367A">
        <w:rPr>
          <w:noProof/>
          <w:lang w:val="en-AU" w:eastAsia="en-AU"/>
        </w:rPr>
        <w:drawing>
          <wp:inline distT="0" distB="0" distL="0" distR="0">
            <wp:extent cx="5486400" cy="35735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5486400" cy="3573515"/>
                    </a:xfrm>
                    <a:prstGeom prst="rect">
                      <a:avLst/>
                    </a:prstGeom>
                    <a:noFill/>
                    <a:ln w="9525">
                      <a:noFill/>
                      <a:miter lim="800000"/>
                      <a:headEnd/>
                      <a:tailEnd/>
                    </a:ln>
                  </pic:spPr>
                </pic:pic>
              </a:graphicData>
            </a:graphic>
          </wp:inline>
        </w:drawing>
      </w:r>
    </w:p>
    <w:p w:rsidR="004765FB" w:rsidRDefault="004765FB">
      <w:pPr>
        <w:rPr>
          <w:rFonts w:ascii="Arial" w:hAnsi="Arial" w:cs="Arial"/>
          <w:sz w:val="20"/>
          <w:szCs w:val="20"/>
          <w:lang w:val="en-AU" w:eastAsia="en-AU"/>
        </w:rPr>
      </w:pPr>
    </w:p>
    <w:p w:rsidR="004765FB" w:rsidRDefault="004765FB">
      <w:pPr>
        <w:rPr>
          <w:rFonts w:ascii="Arial" w:hAnsi="Arial" w:cs="Arial"/>
          <w:sz w:val="20"/>
          <w:szCs w:val="20"/>
          <w:lang w:val="en-AU" w:eastAsia="en-AU"/>
        </w:rPr>
      </w:pPr>
    </w:p>
    <w:p w:rsidR="00B57A92" w:rsidRDefault="00B57A92">
      <w:pPr>
        <w:rPr>
          <w:rFonts w:ascii="Arial" w:hAnsi="Arial" w:cs="Arial"/>
          <w:b/>
          <w:sz w:val="20"/>
          <w:szCs w:val="20"/>
          <w:lang w:val="en-AU" w:eastAsia="en-AU"/>
        </w:rPr>
      </w:pPr>
      <w:r>
        <w:rPr>
          <w:rFonts w:ascii="Arial" w:hAnsi="Arial" w:cs="Arial"/>
          <w:b/>
          <w:sz w:val="20"/>
          <w:szCs w:val="20"/>
          <w:lang w:val="en-AU" w:eastAsia="en-AU"/>
        </w:rPr>
        <w:t>Figure A2.8</w:t>
      </w:r>
      <w:r w:rsidRPr="00B57A92">
        <w:rPr>
          <w:rFonts w:ascii="Arial" w:hAnsi="Arial" w:cs="Arial"/>
          <w:b/>
          <w:sz w:val="20"/>
          <w:szCs w:val="20"/>
          <w:lang w:val="en-AU" w:eastAsia="en-AU"/>
        </w:rPr>
        <w:t xml:space="preserve"> </w:t>
      </w:r>
      <w:r>
        <w:rPr>
          <w:rFonts w:ascii="Arial" w:hAnsi="Arial" w:cs="Arial"/>
          <w:b/>
          <w:sz w:val="20"/>
          <w:szCs w:val="20"/>
          <w:lang w:val="en-AU" w:eastAsia="en-AU"/>
        </w:rPr>
        <w:t>Net T</w:t>
      </w:r>
      <w:r w:rsidRPr="00B57A92">
        <w:rPr>
          <w:rFonts w:ascii="Arial" w:hAnsi="Arial" w:cs="Arial"/>
          <w:b/>
          <w:sz w:val="20"/>
          <w:szCs w:val="20"/>
          <w:lang w:val="en-AU" w:eastAsia="en-AU"/>
        </w:rPr>
        <w:t>ransition</w:t>
      </w:r>
      <w:r>
        <w:rPr>
          <w:rFonts w:ascii="Arial" w:hAnsi="Arial" w:cs="Arial"/>
          <w:b/>
          <w:sz w:val="20"/>
          <w:szCs w:val="20"/>
          <w:lang w:val="en-AU" w:eastAsia="en-AU"/>
        </w:rPr>
        <w:t xml:space="preserve"> P</w:t>
      </w:r>
      <w:r w:rsidRPr="00B57A92">
        <w:rPr>
          <w:rFonts w:ascii="Arial" w:hAnsi="Arial" w:cs="Arial"/>
          <w:b/>
          <w:sz w:val="20"/>
          <w:szCs w:val="20"/>
          <w:lang w:val="en-AU" w:eastAsia="en-AU"/>
        </w:rPr>
        <w:t>robabilities: Living with Parents to Other (not coupled), Females, 25-34</w:t>
      </w:r>
    </w:p>
    <w:p w:rsidR="00B57A92" w:rsidRDefault="00B57A92">
      <w:pPr>
        <w:rPr>
          <w:rFonts w:ascii="Arial" w:hAnsi="Arial" w:cs="Arial"/>
          <w:b/>
          <w:sz w:val="20"/>
          <w:szCs w:val="20"/>
          <w:lang w:val="en-AU" w:eastAsia="en-AU"/>
        </w:rPr>
      </w:pPr>
      <w:r w:rsidRPr="00F8367A">
        <w:rPr>
          <w:noProof/>
          <w:lang w:val="en-AU" w:eastAsia="en-AU"/>
        </w:rPr>
        <w:drawing>
          <wp:inline distT="0" distB="0" distL="0" distR="0">
            <wp:extent cx="5486400" cy="35735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5486400" cy="3573515"/>
                    </a:xfrm>
                    <a:prstGeom prst="rect">
                      <a:avLst/>
                    </a:prstGeom>
                    <a:noFill/>
                    <a:ln w="9525">
                      <a:noFill/>
                      <a:miter lim="800000"/>
                      <a:headEnd/>
                      <a:tailEnd/>
                    </a:ln>
                  </pic:spPr>
                </pic:pic>
              </a:graphicData>
            </a:graphic>
          </wp:inline>
        </w:drawing>
      </w:r>
    </w:p>
    <w:p w:rsidR="00B57A92" w:rsidRDefault="00B57A92">
      <w:pPr>
        <w:rPr>
          <w:rFonts w:ascii="Arial" w:hAnsi="Arial" w:cs="Arial"/>
          <w:b/>
          <w:sz w:val="20"/>
          <w:szCs w:val="20"/>
          <w:lang w:val="en-AU" w:eastAsia="en-AU"/>
        </w:rPr>
      </w:pPr>
    </w:p>
    <w:p w:rsidR="004765FB" w:rsidRPr="00B57A92" w:rsidRDefault="004765FB">
      <w:pPr>
        <w:rPr>
          <w:rFonts w:ascii="Arial" w:hAnsi="Arial" w:cs="Arial"/>
          <w:sz w:val="20"/>
          <w:szCs w:val="20"/>
          <w:lang w:val="en-AU" w:eastAsia="en-AU"/>
        </w:rPr>
      </w:pPr>
      <w:r w:rsidRPr="00B57A92">
        <w:rPr>
          <w:rFonts w:ascii="Arial" w:hAnsi="Arial" w:cs="Arial"/>
          <w:sz w:val="20"/>
          <w:szCs w:val="20"/>
          <w:lang w:val="en-AU" w:eastAsia="en-AU"/>
        </w:rPr>
        <w:br w:type="page"/>
      </w:r>
    </w:p>
    <w:p w:rsidR="00CE4280" w:rsidRPr="005330C1" w:rsidRDefault="005330C1" w:rsidP="00CE4280">
      <w:pPr>
        <w:rPr>
          <w:rFonts w:ascii="Arial" w:hAnsi="Arial" w:cs="Arial"/>
          <w:b/>
          <w:sz w:val="20"/>
          <w:szCs w:val="20"/>
          <w:lang w:val="en-AU" w:eastAsia="en-AU"/>
        </w:rPr>
      </w:pPr>
      <w:r>
        <w:rPr>
          <w:rFonts w:ascii="Arial" w:hAnsi="Arial" w:cs="Arial"/>
          <w:b/>
          <w:sz w:val="20"/>
          <w:szCs w:val="20"/>
          <w:lang w:val="en-AU" w:eastAsia="en-AU"/>
        </w:rPr>
        <w:lastRenderedPageBreak/>
        <w:t>Figure A2.9.</w:t>
      </w:r>
      <w:r w:rsidRPr="00B57A92">
        <w:rPr>
          <w:rFonts w:ascii="Arial" w:hAnsi="Arial" w:cs="Arial"/>
          <w:b/>
          <w:sz w:val="20"/>
          <w:szCs w:val="20"/>
          <w:lang w:val="en-AU" w:eastAsia="en-AU"/>
        </w:rPr>
        <w:t xml:space="preserve"> </w:t>
      </w:r>
      <w:r>
        <w:rPr>
          <w:rFonts w:ascii="Arial" w:hAnsi="Arial" w:cs="Arial"/>
          <w:b/>
          <w:sz w:val="20"/>
          <w:szCs w:val="20"/>
          <w:lang w:val="en-AU" w:eastAsia="en-AU"/>
        </w:rPr>
        <w:t>Net T</w:t>
      </w:r>
      <w:r w:rsidRPr="00B57A92">
        <w:rPr>
          <w:rFonts w:ascii="Arial" w:hAnsi="Arial" w:cs="Arial"/>
          <w:b/>
          <w:sz w:val="20"/>
          <w:szCs w:val="20"/>
          <w:lang w:val="en-AU" w:eastAsia="en-AU"/>
        </w:rPr>
        <w:t>ransition</w:t>
      </w:r>
      <w:r>
        <w:rPr>
          <w:rFonts w:ascii="Arial" w:hAnsi="Arial" w:cs="Arial"/>
          <w:b/>
          <w:sz w:val="20"/>
          <w:szCs w:val="20"/>
          <w:lang w:val="en-AU" w:eastAsia="en-AU"/>
        </w:rPr>
        <w:t xml:space="preserve"> P</w:t>
      </w:r>
      <w:r w:rsidRPr="00B57A92">
        <w:rPr>
          <w:rFonts w:ascii="Arial" w:hAnsi="Arial" w:cs="Arial"/>
          <w:b/>
          <w:sz w:val="20"/>
          <w:szCs w:val="20"/>
          <w:lang w:val="en-AU" w:eastAsia="en-AU"/>
        </w:rPr>
        <w:t>robabiliti</w:t>
      </w:r>
      <w:r>
        <w:rPr>
          <w:rFonts w:ascii="Arial" w:hAnsi="Arial" w:cs="Arial"/>
          <w:b/>
          <w:sz w:val="20"/>
          <w:szCs w:val="20"/>
          <w:lang w:val="en-AU" w:eastAsia="en-AU"/>
        </w:rPr>
        <w:t>es: Coupled to Not Coupled, Males, Ages 35-59</w:t>
      </w:r>
    </w:p>
    <w:p w:rsidR="00CE4280" w:rsidRDefault="00CE4280" w:rsidP="00CE4280">
      <w:r w:rsidRPr="00262402">
        <w:rPr>
          <w:noProof/>
          <w:lang w:val="en-AU" w:eastAsia="en-AU"/>
        </w:rPr>
        <w:drawing>
          <wp:inline distT="0" distB="0" distL="0" distR="0">
            <wp:extent cx="5731510" cy="37376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5731510" cy="3737621"/>
                    </a:xfrm>
                    <a:prstGeom prst="rect">
                      <a:avLst/>
                    </a:prstGeom>
                    <a:noFill/>
                    <a:ln w="9525">
                      <a:noFill/>
                      <a:miter lim="800000"/>
                      <a:headEnd/>
                      <a:tailEnd/>
                    </a:ln>
                  </pic:spPr>
                </pic:pic>
              </a:graphicData>
            </a:graphic>
          </wp:inline>
        </w:drawing>
      </w:r>
    </w:p>
    <w:p w:rsidR="005330C1" w:rsidRDefault="005330C1" w:rsidP="00CE4280">
      <w:pPr>
        <w:rPr>
          <w:rFonts w:ascii="Arial" w:hAnsi="Arial" w:cs="Arial"/>
          <w:sz w:val="20"/>
          <w:szCs w:val="20"/>
          <w:lang w:val="en-AU" w:eastAsia="en-AU"/>
        </w:rPr>
      </w:pPr>
    </w:p>
    <w:p w:rsidR="005330C1" w:rsidRDefault="005330C1" w:rsidP="00CE4280">
      <w:pPr>
        <w:rPr>
          <w:rFonts w:ascii="Arial" w:hAnsi="Arial" w:cs="Arial"/>
          <w:sz w:val="20"/>
          <w:szCs w:val="20"/>
          <w:lang w:val="en-AU" w:eastAsia="en-AU"/>
        </w:rPr>
      </w:pPr>
    </w:p>
    <w:p w:rsidR="005330C1" w:rsidRPr="005330C1" w:rsidRDefault="0014676B" w:rsidP="00CE4280">
      <w:pPr>
        <w:rPr>
          <w:rFonts w:ascii="Arial" w:hAnsi="Arial" w:cs="Arial"/>
          <w:b/>
          <w:sz w:val="20"/>
          <w:szCs w:val="20"/>
          <w:lang w:val="en-AU" w:eastAsia="en-AU"/>
        </w:rPr>
      </w:pPr>
      <w:r>
        <w:rPr>
          <w:rFonts w:ascii="Arial" w:hAnsi="Arial" w:cs="Arial"/>
          <w:b/>
          <w:sz w:val="20"/>
          <w:szCs w:val="20"/>
          <w:lang w:val="en-AU" w:eastAsia="en-AU"/>
        </w:rPr>
        <w:t>Figure A2.10</w:t>
      </w:r>
      <w:r w:rsidR="005330C1">
        <w:rPr>
          <w:rFonts w:ascii="Arial" w:hAnsi="Arial" w:cs="Arial"/>
          <w:b/>
          <w:sz w:val="20"/>
          <w:szCs w:val="20"/>
          <w:lang w:val="en-AU" w:eastAsia="en-AU"/>
        </w:rPr>
        <w:t>.</w:t>
      </w:r>
      <w:r w:rsidR="005330C1" w:rsidRPr="00B57A92">
        <w:rPr>
          <w:rFonts w:ascii="Arial" w:hAnsi="Arial" w:cs="Arial"/>
          <w:b/>
          <w:sz w:val="20"/>
          <w:szCs w:val="20"/>
          <w:lang w:val="en-AU" w:eastAsia="en-AU"/>
        </w:rPr>
        <w:t xml:space="preserve"> </w:t>
      </w:r>
      <w:r w:rsidR="005330C1">
        <w:rPr>
          <w:rFonts w:ascii="Arial" w:hAnsi="Arial" w:cs="Arial"/>
          <w:b/>
          <w:sz w:val="20"/>
          <w:szCs w:val="20"/>
          <w:lang w:val="en-AU" w:eastAsia="en-AU"/>
        </w:rPr>
        <w:t>Net T</w:t>
      </w:r>
      <w:r w:rsidR="005330C1" w:rsidRPr="00B57A92">
        <w:rPr>
          <w:rFonts w:ascii="Arial" w:hAnsi="Arial" w:cs="Arial"/>
          <w:b/>
          <w:sz w:val="20"/>
          <w:szCs w:val="20"/>
          <w:lang w:val="en-AU" w:eastAsia="en-AU"/>
        </w:rPr>
        <w:t>ransition</w:t>
      </w:r>
      <w:r w:rsidR="005330C1">
        <w:rPr>
          <w:rFonts w:ascii="Arial" w:hAnsi="Arial" w:cs="Arial"/>
          <w:b/>
          <w:sz w:val="20"/>
          <w:szCs w:val="20"/>
          <w:lang w:val="en-AU" w:eastAsia="en-AU"/>
        </w:rPr>
        <w:t xml:space="preserve"> P</w:t>
      </w:r>
      <w:r w:rsidR="005330C1" w:rsidRPr="00B57A92">
        <w:rPr>
          <w:rFonts w:ascii="Arial" w:hAnsi="Arial" w:cs="Arial"/>
          <w:b/>
          <w:sz w:val="20"/>
          <w:szCs w:val="20"/>
          <w:lang w:val="en-AU" w:eastAsia="en-AU"/>
        </w:rPr>
        <w:t>robabiliti</w:t>
      </w:r>
      <w:r w:rsidR="005330C1">
        <w:rPr>
          <w:rFonts w:ascii="Arial" w:hAnsi="Arial" w:cs="Arial"/>
          <w:b/>
          <w:sz w:val="20"/>
          <w:szCs w:val="20"/>
          <w:lang w:val="en-AU" w:eastAsia="en-AU"/>
        </w:rPr>
        <w:t>es: Coupled to Not Coupled, Females, Ages 35-59</w:t>
      </w:r>
    </w:p>
    <w:p w:rsidR="005330C1" w:rsidRDefault="005330C1" w:rsidP="00CE4280">
      <w:pPr>
        <w:rPr>
          <w:rFonts w:ascii="Arial" w:hAnsi="Arial" w:cs="Arial"/>
          <w:sz w:val="20"/>
          <w:szCs w:val="20"/>
          <w:lang w:val="en-AU" w:eastAsia="en-AU"/>
        </w:rPr>
      </w:pPr>
      <w:r w:rsidRPr="00F8367A">
        <w:rPr>
          <w:noProof/>
          <w:lang w:val="en-AU" w:eastAsia="en-AU"/>
        </w:rPr>
        <w:drawing>
          <wp:inline distT="0" distB="0" distL="0" distR="0">
            <wp:extent cx="5486400" cy="35735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5486400" cy="3573515"/>
                    </a:xfrm>
                    <a:prstGeom prst="rect">
                      <a:avLst/>
                    </a:prstGeom>
                    <a:noFill/>
                    <a:ln w="9525">
                      <a:noFill/>
                      <a:miter lim="800000"/>
                      <a:headEnd/>
                      <a:tailEnd/>
                    </a:ln>
                  </pic:spPr>
                </pic:pic>
              </a:graphicData>
            </a:graphic>
          </wp:inline>
        </w:drawing>
      </w:r>
    </w:p>
    <w:p w:rsidR="006871C5" w:rsidRDefault="006871C5" w:rsidP="00CE4280">
      <w:pPr>
        <w:rPr>
          <w:rFonts w:ascii="Arial" w:hAnsi="Arial" w:cs="Arial"/>
          <w:sz w:val="20"/>
          <w:szCs w:val="20"/>
          <w:lang w:val="en-AU" w:eastAsia="en-AU"/>
        </w:rPr>
      </w:pPr>
    </w:p>
    <w:p w:rsidR="006871C5" w:rsidRDefault="006871C5" w:rsidP="00CE4280">
      <w:pPr>
        <w:rPr>
          <w:rFonts w:ascii="Arial" w:hAnsi="Arial" w:cs="Arial"/>
          <w:sz w:val="20"/>
          <w:szCs w:val="20"/>
          <w:lang w:val="en-AU" w:eastAsia="en-AU"/>
        </w:rPr>
      </w:pPr>
    </w:p>
    <w:p w:rsidR="006871C5" w:rsidRPr="006871C5" w:rsidRDefault="006871C5" w:rsidP="00CE4280">
      <w:pPr>
        <w:rPr>
          <w:b/>
          <w:lang w:val="en-AU" w:eastAsia="en-AU"/>
        </w:rPr>
      </w:pPr>
      <w:r w:rsidRPr="006871C5">
        <w:rPr>
          <w:b/>
          <w:lang w:val="en-AU" w:eastAsia="en-AU"/>
        </w:rPr>
        <w:lastRenderedPageBreak/>
        <w:t>Transitions at Ages 60-84</w:t>
      </w:r>
      <w:r w:rsidR="000C76BC">
        <w:rPr>
          <w:b/>
          <w:lang w:val="en-AU" w:eastAsia="en-AU"/>
        </w:rPr>
        <w:t xml:space="preserve"> (males) and 60-79 (females)</w:t>
      </w:r>
    </w:p>
    <w:p w:rsidR="006871C5" w:rsidRDefault="006871C5" w:rsidP="00CE4280">
      <w:pPr>
        <w:rPr>
          <w:rFonts w:ascii="Arial" w:hAnsi="Arial" w:cs="Arial"/>
          <w:sz w:val="20"/>
          <w:szCs w:val="20"/>
          <w:lang w:val="en-AU" w:eastAsia="en-AU"/>
        </w:rPr>
      </w:pPr>
    </w:p>
    <w:p w:rsidR="004012F5" w:rsidRPr="001B674F" w:rsidRDefault="006871C5" w:rsidP="00DC7242">
      <w:pPr>
        <w:jc w:val="both"/>
        <w:rPr>
          <w:lang w:val="en-AU" w:eastAsia="en-AU"/>
        </w:rPr>
      </w:pPr>
      <w:r w:rsidRPr="001B674F">
        <w:rPr>
          <w:lang w:val="en-AU" w:eastAsia="en-AU"/>
        </w:rPr>
        <w:t xml:space="preserve">At these ages, there are two main (net) transitions from being coupled to living in other household types (primarily living alone but also some </w:t>
      </w:r>
      <w:r w:rsidR="002D267F" w:rsidRPr="001B674F">
        <w:rPr>
          <w:lang w:val="en-AU" w:eastAsia="en-AU"/>
        </w:rPr>
        <w:t xml:space="preserve">who are </w:t>
      </w:r>
      <w:r w:rsidRPr="001B674F">
        <w:rPr>
          <w:lang w:val="en-AU" w:eastAsia="en-AU"/>
        </w:rPr>
        <w:t xml:space="preserve">living with their children) and </w:t>
      </w:r>
      <w:r w:rsidR="004012F5" w:rsidRPr="001B674F">
        <w:rPr>
          <w:lang w:val="en-AU" w:eastAsia="en-AU"/>
        </w:rPr>
        <w:t>from being coupled to moving into a non-private dwelling (nursing home).</w:t>
      </w:r>
    </w:p>
    <w:p w:rsidR="004012F5" w:rsidRPr="001B674F" w:rsidRDefault="004012F5" w:rsidP="00DC7242">
      <w:pPr>
        <w:jc w:val="both"/>
        <w:rPr>
          <w:lang w:val="en-AU" w:eastAsia="en-AU"/>
        </w:rPr>
      </w:pPr>
    </w:p>
    <w:p w:rsidR="002D267F" w:rsidRPr="001B674F" w:rsidRDefault="004012F5" w:rsidP="00DC7242">
      <w:pPr>
        <w:jc w:val="both"/>
        <w:rPr>
          <w:lang w:val="en-AU" w:eastAsia="en-AU"/>
        </w:rPr>
      </w:pPr>
      <w:r w:rsidRPr="001B674F">
        <w:rPr>
          <w:lang w:val="en-AU" w:eastAsia="en-AU"/>
        </w:rPr>
        <w:t>For both transitions, the probabilities are very low for males</w:t>
      </w:r>
      <w:r w:rsidR="006871C5" w:rsidRPr="001B674F">
        <w:rPr>
          <w:lang w:val="en-AU" w:eastAsia="en-AU"/>
        </w:rPr>
        <w:t xml:space="preserve"> </w:t>
      </w:r>
      <w:r w:rsidRPr="001B674F">
        <w:rPr>
          <w:lang w:val="en-AU" w:eastAsia="en-AU"/>
        </w:rPr>
        <w:t>until they reach the mid-seventies (Tables A2.11 and A2.12</w:t>
      </w:r>
      <w:r w:rsidR="000C76BC" w:rsidRPr="001B674F">
        <w:rPr>
          <w:lang w:val="en-AU" w:eastAsia="en-AU"/>
        </w:rPr>
        <w:t>)</w:t>
      </w:r>
      <w:r w:rsidRPr="001B674F">
        <w:rPr>
          <w:lang w:val="en-AU" w:eastAsia="en-AU"/>
        </w:rPr>
        <w:t>. Both transitions then rise sharply. The transition from being coupled to living in another household type has fallen across the t</w:t>
      </w:r>
      <w:r w:rsidR="002D267F" w:rsidRPr="001B674F">
        <w:rPr>
          <w:lang w:val="en-AU" w:eastAsia="en-AU"/>
        </w:rPr>
        <w:t xml:space="preserve">hree time periods </w:t>
      </w:r>
      <w:r w:rsidRPr="001B674F">
        <w:rPr>
          <w:lang w:val="en-AU" w:eastAsia="en-AU"/>
        </w:rPr>
        <w:t xml:space="preserve">reflecting improvement </w:t>
      </w:r>
      <w:r w:rsidR="002D267F" w:rsidRPr="001B674F">
        <w:rPr>
          <w:lang w:val="en-AU" w:eastAsia="en-AU"/>
        </w:rPr>
        <w:t>in survival of the</w:t>
      </w:r>
      <w:r w:rsidRPr="001B674F">
        <w:rPr>
          <w:lang w:val="en-AU" w:eastAsia="en-AU"/>
        </w:rPr>
        <w:t xml:space="preserve"> wives</w:t>
      </w:r>
      <w:r w:rsidR="002D267F" w:rsidRPr="001B674F">
        <w:rPr>
          <w:lang w:val="en-AU" w:eastAsia="en-AU"/>
        </w:rPr>
        <w:t xml:space="preserve"> of older men</w:t>
      </w:r>
      <w:r w:rsidRPr="001B674F">
        <w:rPr>
          <w:lang w:val="en-AU" w:eastAsia="en-AU"/>
        </w:rPr>
        <w:t>.</w:t>
      </w:r>
      <w:r w:rsidR="002D267F" w:rsidRPr="001B674F">
        <w:rPr>
          <w:lang w:val="en-AU" w:eastAsia="en-AU"/>
        </w:rPr>
        <w:t xml:space="preserve"> </w:t>
      </w:r>
      <w:r w:rsidR="000C76BC" w:rsidRPr="001B674F">
        <w:rPr>
          <w:lang w:val="en-AU" w:eastAsia="en-AU"/>
        </w:rPr>
        <w:t>By the 2006-11 period, the probabilities of this transition had become very small being under 0.01 (a one in a hundred chance) up to the early eighties.</w:t>
      </w:r>
    </w:p>
    <w:p w:rsidR="000C76BC" w:rsidRPr="001B674F" w:rsidRDefault="000C76BC" w:rsidP="00DC7242">
      <w:pPr>
        <w:jc w:val="both"/>
        <w:rPr>
          <w:lang w:val="en-AU" w:eastAsia="en-AU"/>
        </w:rPr>
      </w:pPr>
    </w:p>
    <w:p w:rsidR="000C76BC" w:rsidRPr="001B674F" w:rsidRDefault="000C76BC" w:rsidP="00DC7242">
      <w:pPr>
        <w:jc w:val="both"/>
        <w:rPr>
          <w:lang w:val="en-AU" w:eastAsia="en-AU"/>
        </w:rPr>
      </w:pPr>
      <w:r w:rsidRPr="001B674F">
        <w:rPr>
          <w:lang w:val="en-AU" w:eastAsia="en-AU"/>
        </w:rPr>
        <w:t xml:space="preserve">The probabilities of men in this age range moving into a nursing home from a couple </w:t>
      </w:r>
      <w:proofErr w:type="gramStart"/>
      <w:r w:rsidRPr="001B674F">
        <w:rPr>
          <w:lang w:val="en-AU" w:eastAsia="en-AU"/>
        </w:rPr>
        <w:t>relationship</w:t>
      </w:r>
      <w:proofErr w:type="gramEnd"/>
      <w:r w:rsidRPr="001B674F">
        <w:rPr>
          <w:lang w:val="en-AU" w:eastAsia="en-AU"/>
        </w:rPr>
        <w:t xml:space="preserve"> are also relatively low across most of the age range (until the mid-seventies). The rates then rise to about 0.015 by age 84. The changes over time in this transition probability are negligible for males.</w:t>
      </w:r>
    </w:p>
    <w:p w:rsidR="000C76BC" w:rsidRPr="001B674F" w:rsidRDefault="000C76BC" w:rsidP="00DC7242">
      <w:pPr>
        <w:jc w:val="both"/>
        <w:rPr>
          <w:lang w:val="en-AU" w:eastAsia="en-AU"/>
        </w:rPr>
      </w:pPr>
    </w:p>
    <w:p w:rsidR="000C76BC" w:rsidRPr="001B674F" w:rsidRDefault="000C76BC" w:rsidP="00DC7242">
      <w:pPr>
        <w:jc w:val="both"/>
        <w:rPr>
          <w:b/>
          <w:lang w:val="en-AU" w:eastAsia="en-AU"/>
        </w:rPr>
      </w:pPr>
      <w:r w:rsidRPr="001B674F">
        <w:rPr>
          <w:lang w:val="en-AU" w:eastAsia="en-AU"/>
        </w:rPr>
        <w:t>For women, the transition probabilities from being coupled to living in another household type are much higher in these ages than for males because of higher male mortality</w:t>
      </w:r>
      <w:r w:rsidR="00D773E8" w:rsidRPr="001B674F">
        <w:rPr>
          <w:lang w:val="en-AU" w:eastAsia="en-AU"/>
        </w:rPr>
        <w:t xml:space="preserve"> (Figure A2.13)</w:t>
      </w:r>
      <w:r w:rsidRPr="001B674F">
        <w:rPr>
          <w:lang w:val="en-AU" w:eastAsia="en-AU"/>
        </w:rPr>
        <w:t>. However, as male mortality has been falling across time, these transition probabilities have also fallen across time e</w:t>
      </w:r>
      <w:r w:rsidR="00D773E8" w:rsidRPr="001B674F">
        <w:rPr>
          <w:lang w:val="en-AU" w:eastAsia="en-AU"/>
        </w:rPr>
        <w:t xml:space="preserve">specially between the 1996-2001 </w:t>
      </w:r>
      <w:proofErr w:type="gramStart"/>
      <w:r w:rsidRPr="001B674F">
        <w:rPr>
          <w:lang w:val="en-AU" w:eastAsia="en-AU"/>
        </w:rPr>
        <w:t>period</w:t>
      </w:r>
      <w:proofErr w:type="gramEnd"/>
      <w:r w:rsidRPr="001B674F">
        <w:rPr>
          <w:lang w:val="en-AU" w:eastAsia="en-AU"/>
        </w:rPr>
        <w:t xml:space="preserve"> and the 2001-06 period.  </w:t>
      </w:r>
    </w:p>
    <w:p w:rsidR="006871C5" w:rsidRPr="001B674F" w:rsidRDefault="006871C5" w:rsidP="00DC7242">
      <w:pPr>
        <w:jc w:val="both"/>
        <w:rPr>
          <w:lang w:val="en-AU" w:eastAsia="en-AU"/>
        </w:rPr>
      </w:pPr>
    </w:p>
    <w:p w:rsidR="006871C5" w:rsidRPr="001B674F" w:rsidRDefault="00D773E8" w:rsidP="00DC7242">
      <w:pPr>
        <w:jc w:val="both"/>
        <w:rPr>
          <w:lang w:val="en-AU" w:eastAsia="en-AU"/>
        </w:rPr>
      </w:pPr>
      <w:r w:rsidRPr="001B674F">
        <w:rPr>
          <w:lang w:val="en-AU" w:eastAsia="en-AU"/>
        </w:rPr>
        <w:t xml:space="preserve">The probability of women moving from a couple </w:t>
      </w:r>
      <w:proofErr w:type="gramStart"/>
      <w:r w:rsidRPr="001B674F">
        <w:rPr>
          <w:lang w:val="en-AU" w:eastAsia="en-AU"/>
        </w:rPr>
        <w:t>relationship</w:t>
      </w:r>
      <w:proofErr w:type="gramEnd"/>
      <w:r w:rsidRPr="001B674F">
        <w:rPr>
          <w:lang w:val="en-AU" w:eastAsia="en-AU"/>
        </w:rPr>
        <w:t xml:space="preserve"> into a nursing home is very low until they reach their mid-seventies (Figure A2.14). The probability then increases. In the late seventies, the probability of women moving into a nursing home from a couple </w:t>
      </w:r>
      <w:proofErr w:type="gramStart"/>
      <w:r w:rsidRPr="001B674F">
        <w:rPr>
          <w:lang w:val="en-AU" w:eastAsia="en-AU"/>
        </w:rPr>
        <w:t>relationship</w:t>
      </w:r>
      <w:proofErr w:type="gramEnd"/>
      <w:r w:rsidRPr="001B674F">
        <w:rPr>
          <w:lang w:val="en-AU" w:eastAsia="en-AU"/>
        </w:rPr>
        <w:t xml:space="preserve"> fell significantly between the 2001-06 period and the 2006-11 period.</w:t>
      </w:r>
    </w:p>
    <w:p w:rsidR="00D773E8" w:rsidRPr="001B674F" w:rsidRDefault="00D773E8" w:rsidP="00DC7242">
      <w:pPr>
        <w:jc w:val="both"/>
        <w:rPr>
          <w:lang w:val="en-AU" w:eastAsia="en-AU"/>
        </w:rPr>
      </w:pPr>
    </w:p>
    <w:p w:rsidR="00D773E8" w:rsidRPr="001B674F" w:rsidRDefault="00D773E8" w:rsidP="00DC7242">
      <w:pPr>
        <w:jc w:val="both"/>
        <w:rPr>
          <w:lang w:val="en-AU" w:eastAsia="en-AU"/>
        </w:rPr>
      </w:pPr>
      <w:r w:rsidRPr="001B674F">
        <w:rPr>
          <w:lang w:val="en-AU" w:eastAsia="en-AU"/>
        </w:rPr>
        <w:t>As the baby-boom generation moves into this age range, the two household types that are associated with this age range, couples with no co-resident children (empty-nesters) and people living alone will rise. The changing trend in this age range is for couples to survive together longer before one dies or moves into a nursing home. This is an important factor in the growth of households consisting of couple families without children.</w:t>
      </w:r>
    </w:p>
    <w:p w:rsidR="00D773E8" w:rsidRPr="001B674F" w:rsidRDefault="00D773E8" w:rsidP="00CE4280">
      <w:pPr>
        <w:rPr>
          <w:lang w:val="en-AU" w:eastAsia="en-AU"/>
        </w:rPr>
      </w:pPr>
    </w:p>
    <w:p w:rsidR="00D773E8" w:rsidRDefault="00D773E8" w:rsidP="00CE4280">
      <w:pPr>
        <w:rPr>
          <w:rFonts w:ascii="Arial" w:hAnsi="Arial" w:cs="Arial"/>
          <w:sz w:val="20"/>
          <w:szCs w:val="20"/>
          <w:lang w:val="en-AU" w:eastAsia="en-AU"/>
        </w:rPr>
      </w:pPr>
      <w:r>
        <w:rPr>
          <w:rFonts w:ascii="Arial" w:hAnsi="Arial" w:cs="Arial"/>
          <w:sz w:val="20"/>
          <w:szCs w:val="20"/>
          <w:lang w:val="en-AU" w:eastAsia="en-AU"/>
        </w:rPr>
        <w:t xml:space="preserve"> </w:t>
      </w:r>
    </w:p>
    <w:p w:rsidR="00EB3C34" w:rsidRDefault="00EB3C34" w:rsidP="00CE4280">
      <w:pPr>
        <w:rPr>
          <w:rFonts w:ascii="Arial" w:hAnsi="Arial" w:cs="Arial"/>
          <w:sz w:val="20"/>
          <w:szCs w:val="20"/>
          <w:lang w:val="en-AU" w:eastAsia="en-AU"/>
        </w:rPr>
      </w:pPr>
    </w:p>
    <w:p w:rsidR="00EB3C34" w:rsidRDefault="00EB3C34" w:rsidP="00CE4280">
      <w:pPr>
        <w:rPr>
          <w:rFonts w:ascii="Arial" w:hAnsi="Arial" w:cs="Arial"/>
          <w:sz w:val="20"/>
          <w:szCs w:val="20"/>
          <w:lang w:val="en-AU" w:eastAsia="en-AU"/>
        </w:rPr>
      </w:pPr>
    </w:p>
    <w:p w:rsidR="00EB3C34" w:rsidRDefault="00EB3C34" w:rsidP="00CE4280">
      <w:pPr>
        <w:rPr>
          <w:rFonts w:ascii="Arial" w:hAnsi="Arial" w:cs="Arial"/>
          <w:sz w:val="20"/>
          <w:szCs w:val="20"/>
          <w:lang w:val="en-AU" w:eastAsia="en-AU"/>
        </w:rPr>
      </w:pPr>
    </w:p>
    <w:p w:rsidR="00EB3C34" w:rsidRDefault="00EB3C34" w:rsidP="00CE4280">
      <w:pPr>
        <w:rPr>
          <w:rFonts w:ascii="Arial" w:hAnsi="Arial" w:cs="Arial"/>
          <w:sz w:val="20"/>
          <w:szCs w:val="20"/>
          <w:lang w:val="en-AU" w:eastAsia="en-AU"/>
        </w:rPr>
      </w:pPr>
    </w:p>
    <w:p w:rsidR="00EB3C34" w:rsidRDefault="00EB3C34" w:rsidP="00CE4280">
      <w:pPr>
        <w:rPr>
          <w:rFonts w:ascii="Arial" w:hAnsi="Arial" w:cs="Arial"/>
          <w:sz w:val="20"/>
          <w:szCs w:val="20"/>
          <w:lang w:val="en-AU" w:eastAsia="en-AU"/>
        </w:rPr>
      </w:pPr>
    </w:p>
    <w:p w:rsidR="00EB3C34" w:rsidRDefault="00EB3C34" w:rsidP="00CE4280">
      <w:pPr>
        <w:rPr>
          <w:rFonts w:ascii="Arial" w:hAnsi="Arial" w:cs="Arial"/>
          <w:sz w:val="20"/>
          <w:szCs w:val="20"/>
          <w:lang w:val="en-AU" w:eastAsia="en-AU"/>
        </w:rPr>
      </w:pPr>
    </w:p>
    <w:p w:rsidR="00EB3C34" w:rsidRDefault="00EB3C34" w:rsidP="00CE4280">
      <w:pPr>
        <w:rPr>
          <w:rFonts w:ascii="Arial" w:hAnsi="Arial" w:cs="Arial"/>
          <w:sz w:val="20"/>
          <w:szCs w:val="20"/>
          <w:lang w:val="en-AU" w:eastAsia="en-AU"/>
        </w:rPr>
      </w:pPr>
    </w:p>
    <w:p w:rsidR="00EB3C34" w:rsidRDefault="00EB3C34" w:rsidP="00CE4280">
      <w:pPr>
        <w:rPr>
          <w:rFonts w:ascii="Arial" w:hAnsi="Arial" w:cs="Arial"/>
          <w:sz w:val="20"/>
          <w:szCs w:val="20"/>
          <w:lang w:val="en-AU" w:eastAsia="en-AU"/>
        </w:rPr>
      </w:pPr>
    </w:p>
    <w:p w:rsidR="00EB3C34" w:rsidRDefault="00EB3C34" w:rsidP="00CE4280">
      <w:pPr>
        <w:rPr>
          <w:rFonts w:ascii="Arial" w:hAnsi="Arial" w:cs="Arial"/>
          <w:sz w:val="20"/>
          <w:szCs w:val="20"/>
          <w:lang w:val="en-AU" w:eastAsia="en-AU"/>
        </w:rPr>
      </w:pPr>
    </w:p>
    <w:p w:rsidR="00EB3C34" w:rsidRDefault="00EB3C34" w:rsidP="00CE4280">
      <w:pPr>
        <w:rPr>
          <w:rFonts w:ascii="Arial" w:hAnsi="Arial" w:cs="Arial"/>
          <w:sz w:val="20"/>
          <w:szCs w:val="20"/>
          <w:lang w:val="en-AU" w:eastAsia="en-AU"/>
        </w:rPr>
      </w:pPr>
    </w:p>
    <w:p w:rsidR="00EB3C34" w:rsidRDefault="00EB3C34" w:rsidP="00CE4280">
      <w:pPr>
        <w:rPr>
          <w:rFonts w:ascii="Arial" w:hAnsi="Arial" w:cs="Arial"/>
          <w:sz w:val="20"/>
          <w:szCs w:val="20"/>
          <w:lang w:val="en-AU" w:eastAsia="en-AU"/>
        </w:rPr>
      </w:pPr>
    </w:p>
    <w:p w:rsidR="00EB3C34" w:rsidRDefault="00EB3C34" w:rsidP="00CE4280">
      <w:pPr>
        <w:rPr>
          <w:rFonts w:ascii="Arial" w:hAnsi="Arial" w:cs="Arial"/>
          <w:sz w:val="20"/>
          <w:szCs w:val="20"/>
          <w:lang w:val="en-AU" w:eastAsia="en-AU"/>
        </w:rPr>
      </w:pPr>
    </w:p>
    <w:p w:rsidR="00E83E74" w:rsidRPr="00C50D1D" w:rsidRDefault="00E83E74" w:rsidP="00CE4280">
      <w:pPr>
        <w:rPr>
          <w:rFonts w:ascii="Arial" w:hAnsi="Arial" w:cs="Arial"/>
          <w:b/>
          <w:sz w:val="20"/>
          <w:szCs w:val="20"/>
          <w:lang w:val="en-AU" w:eastAsia="en-AU"/>
        </w:rPr>
      </w:pPr>
      <w:r w:rsidRPr="00C50D1D">
        <w:rPr>
          <w:rFonts w:ascii="Arial" w:hAnsi="Arial" w:cs="Arial"/>
          <w:b/>
          <w:sz w:val="20"/>
          <w:szCs w:val="20"/>
          <w:lang w:val="en-AU" w:eastAsia="en-AU"/>
        </w:rPr>
        <w:lastRenderedPageBreak/>
        <w:t>Figure A2.11.</w:t>
      </w:r>
      <w:r w:rsidR="00C50D1D" w:rsidRPr="00C50D1D">
        <w:rPr>
          <w:rFonts w:ascii="Arial" w:hAnsi="Arial" w:cs="Arial"/>
          <w:b/>
          <w:sz w:val="20"/>
          <w:szCs w:val="20"/>
          <w:lang w:val="en-AU" w:eastAsia="en-AU"/>
        </w:rPr>
        <w:t xml:space="preserve"> Net Transition Probabiliti</w:t>
      </w:r>
      <w:r w:rsidR="00C50D1D">
        <w:rPr>
          <w:rFonts w:ascii="Arial" w:hAnsi="Arial" w:cs="Arial"/>
          <w:b/>
          <w:sz w:val="20"/>
          <w:szCs w:val="20"/>
          <w:lang w:val="en-AU" w:eastAsia="en-AU"/>
        </w:rPr>
        <w:t>es: Coupled to Other Household Types, Males, Ages 60-84</w:t>
      </w:r>
    </w:p>
    <w:p w:rsidR="00E83E74" w:rsidRDefault="00E83E74" w:rsidP="00CE4280">
      <w:pPr>
        <w:rPr>
          <w:rFonts w:ascii="Arial" w:hAnsi="Arial" w:cs="Arial"/>
          <w:sz w:val="20"/>
          <w:szCs w:val="20"/>
          <w:lang w:val="en-AU" w:eastAsia="en-AU"/>
        </w:rPr>
      </w:pPr>
      <w:r w:rsidRPr="00262402">
        <w:rPr>
          <w:noProof/>
          <w:lang w:val="en-AU" w:eastAsia="en-AU"/>
        </w:rPr>
        <w:drawing>
          <wp:inline distT="0" distB="0" distL="0" distR="0">
            <wp:extent cx="5486400" cy="35777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5486400" cy="3577770"/>
                    </a:xfrm>
                    <a:prstGeom prst="rect">
                      <a:avLst/>
                    </a:prstGeom>
                    <a:noFill/>
                    <a:ln w="9525">
                      <a:noFill/>
                      <a:miter lim="800000"/>
                      <a:headEnd/>
                      <a:tailEnd/>
                    </a:ln>
                  </pic:spPr>
                </pic:pic>
              </a:graphicData>
            </a:graphic>
          </wp:inline>
        </w:drawing>
      </w:r>
    </w:p>
    <w:p w:rsidR="00E83E74" w:rsidRDefault="00E83E74" w:rsidP="00CE4280">
      <w:pPr>
        <w:rPr>
          <w:rFonts w:ascii="Arial" w:hAnsi="Arial" w:cs="Arial"/>
          <w:sz w:val="20"/>
          <w:szCs w:val="20"/>
          <w:lang w:val="en-AU" w:eastAsia="en-AU"/>
        </w:rPr>
      </w:pPr>
    </w:p>
    <w:p w:rsidR="00C50D1D" w:rsidRDefault="00C50D1D" w:rsidP="00CE4280">
      <w:pPr>
        <w:rPr>
          <w:rFonts w:ascii="Arial" w:hAnsi="Arial" w:cs="Arial"/>
          <w:sz w:val="20"/>
          <w:szCs w:val="20"/>
          <w:lang w:val="en-AU" w:eastAsia="en-AU"/>
        </w:rPr>
      </w:pPr>
    </w:p>
    <w:p w:rsidR="00CE4280" w:rsidRPr="00262402" w:rsidRDefault="00E83E74" w:rsidP="00CE4280">
      <w:pPr>
        <w:rPr>
          <w:rFonts w:ascii="Arial" w:hAnsi="Arial" w:cs="Arial"/>
          <w:sz w:val="20"/>
          <w:szCs w:val="20"/>
          <w:lang w:val="en-AU" w:eastAsia="en-AU"/>
        </w:rPr>
      </w:pPr>
      <w:r w:rsidRPr="006C494C">
        <w:rPr>
          <w:rFonts w:ascii="Arial" w:hAnsi="Arial" w:cs="Arial"/>
          <w:b/>
          <w:sz w:val="20"/>
          <w:szCs w:val="20"/>
          <w:lang w:val="en-AU" w:eastAsia="en-AU"/>
        </w:rPr>
        <w:t>Figure A2.12.</w:t>
      </w:r>
      <w:r w:rsidR="00C50D1D" w:rsidRPr="006C494C">
        <w:rPr>
          <w:rFonts w:ascii="Arial" w:hAnsi="Arial" w:cs="Arial"/>
          <w:b/>
          <w:sz w:val="20"/>
          <w:szCs w:val="20"/>
          <w:lang w:val="en-AU" w:eastAsia="en-AU"/>
        </w:rPr>
        <w:t xml:space="preserve"> Net Transition Probabilities: Coupled to Non-Private Dwelling, Males, Ages</w:t>
      </w:r>
      <w:r w:rsidR="00C50D1D">
        <w:rPr>
          <w:rFonts w:ascii="Arial" w:hAnsi="Arial" w:cs="Arial"/>
          <w:b/>
          <w:sz w:val="20"/>
          <w:szCs w:val="20"/>
          <w:lang w:val="en-AU" w:eastAsia="en-AU"/>
        </w:rPr>
        <w:t xml:space="preserve"> 60-84</w:t>
      </w:r>
    </w:p>
    <w:p w:rsidR="00CE4280" w:rsidRDefault="00CE4280" w:rsidP="00CE4280">
      <w:r w:rsidRPr="00262402">
        <w:rPr>
          <w:noProof/>
          <w:lang w:val="en-AU" w:eastAsia="en-AU"/>
        </w:rPr>
        <w:drawing>
          <wp:inline distT="0" distB="0" distL="0" distR="0">
            <wp:extent cx="5731510" cy="37376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731510" cy="3737621"/>
                    </a:xfrm>
                    <a:prstGeom prst="rect">
                      <a:avLst/>
                    </a:prstGeom>
                    <a:noFill/>
                    <a:ln w="9525">
                      <a:noFill/>
                      <a:miter lim="800000"/>
                      <a:headEnd/>
                      <a:tailEnd/>
                    </a:ln>
                  </pic:spPr>
                </pic:pic>
              </a:graphicData>
            </a:graphic>
          </wp:inline>
        </w:drawing>
      </w:r>
    </w:p>
    <w:p w:rsidR="00CE4280" w:rsidRPr="006C494C" w:rsidRDefault="006C494C" w:rsidP="00CE4280">
      <w:pPr>
        <w:rPr>
          <w:rFonts w:ascii="Arial" w:hAnsi="Arial" w:cs="Arial"/>
          <w:b/>
          <w:sz w:val="20"/>
          <w:szCs w:val="20"/>
          <w:lang w:val="en-AU" w:eastAsia="en-AU"/>
        </w:rPr>
      </w:pPr>
      <w:r w:rsidRPr="00C50D1D">
        <w:rPr>
          <w:rFonts w:ascii="Arial" w:hAnsi="Arial" w:cs="Arial"/>
          <w:b/>
          <w:sz w:val="20"/>
          <w:szCs w:val="20"/>
          <w:lang w:val="en-AU" w:eastAsia="en-AU"/>
        </w:rPr>
        <w:lastRenderedPageBreak/>
        <w:t>Figure</w:t>
      </w:r>
      <w:r>
        <w:rPr>
          <w:rFonts w:ascii="Arial" w:hAnsi="Arial" w:cs="Arial"/>
          <w:b/>
          <w:sz w:val="20"/>
          <w:szCs w:val="20"/>
          <w:lang w:val="en-AU" w:eastAsia="en-AU"/>
        </w:rPr>
        <w:t xml:space="preserve"> A2.13</w:t>
      </w:r>
      <w:r w:rsidRPr="00C50D1D">
        <w:rPr>
          <w:rFonts w:ascii="Arial" w:hAnsi="Arial" w:cs="Arial"/>
          <w:b/>
          <w:sz w:val="20"/>
          <w:szCs w:val="20"/>
          <w:lang w:val="en-AU" w:eastAsia="en-AU"/>
        </w:rPr>
        <w:t>. Net Transition Probabiliti</w:t>
      </w:r>
      <w:r>
        <w:rPr>
          <w:rFonts w:ascii="Arial" w:hAnsi="Arial" w:cs="Arial"/>
          <w:b/>
          <w:sz w:val="20"/>
          <w:szCs w:val="20"/>
          <w:lang w:val="en-AU" w:eastAsia="en-AU"/>
        </w:rPr>
        <w:t>es: Coupled to Other Household Types, Females, Ages 60-79</w:t>
      </w:r>
    </w:p>
    <w:p w:rsidR="006C494C" w:rsidRDefault="006C494C" w:rsidP="00CE4280">
      <w:pPr>
        <w:rPr>
          <w:rFonts w:ascii="Arial" w:hAnsi="Arial" w:cs="Arial"/>
          <w:sz w:val="20"/>
          <w:szCs w:val="20"/>
          <w:lang w:val="en-AU" w:eastAsia="en-AU"/>
        </w:rPr>
      </w:pPr>
      <w:r w:rsidRPr="00F8367A">
        <w:rPr>
          <w:noProof/>
          <w:lang w:val="en-AU" w:eastAsia="en-AU"/>
        </w:rPr>
        <w:drawing>
          <wp:inline distT="0" distB="0" distL="0" distR="0">
            <wp:extent cx="5486400" cy="35735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srcRect/>
                    <a:stretch>
                      <a:fillRect/>
                    </a:stretch>
                  </pic:blipFill>
                  <pic:spPr bwMode="auto">
                    <a:xfrm>
                      <a:off x="0" y="0"/>
                      <a:ext cx="5486400" cy="3573515"/>
                    </a:xfrm>
                    <a:prstGeom prst="rect">
                      <a:avLst/>
                    </a:prstGeom>
                    <a:noFill/>
                    <a:ln w="9525">
                      <a:noFill/>
                      <a:miter lim="800000"/>
                      <a:headEnd/>
                      <a:tailEnd/>
                    </a:ln>
                  </pic:spPr>
                </pic:pic>
              </a:graphicData>
            </a:graphic>
          </wp:inline>
        </w:drawing>
      </w:r>
    </w:p>
    <w:p w:rsidR="00CE4280" w:rsidRDefault="00CE4280" w:rsidP="00CE4280">
      <w:pPr>
        <w:rPr>
          <w:rFonts w:ascii="Arial" w:hAnsi="Arial" w:cs="Arial"/>
          <w:sz w:val="20"/>
          <w:szCs w:val="20"/>
          <w:lang w:val="en-AU" w:eastAsia="en-AU"/>
        </w:rPr>
      </w:pPr>
    </w:p>
    <w:p w:rsidR="00CE4280" w:rsidRDefault="00CE4280" w:rsidP="00CE4280">
      <w:pPr>
        <w:rPr>
          <w:rFonts w:ascii="Arial" w:hAnsi="Arial" w:cs="Arial"/>
          <w:sz w:val="20"/>
          <w:szCs w:val="20"/>
          <w:lang w:val="en-AU" w:eastAsia="en-AU"/>
        </w:rPr>
      </w:pPr>
    </w:p>
    <w:p w:rsidR="00CE4280" w:rsidRDefault="00FD2307" w:rsidP="00CE4280">
      <w:pPr>
        <w:rPr>
          <w:rFonts w:ascii="Arial" w:hAnsi="Arial" w:cs="Arial"/>
          <w:sz w:val="20"/>
          <w:szCs w:val="20"/>
          <w:lang w:val="en-AU" w:eastAsia="en-AU"/>
        </w:rPr>
      </w:pPr>
      <w:r>
        <w:rPr>
          <w:rFonts w:ascii="Arial" w:hAnsi="Arial" w:cs="Arial"/>
          <w:b/>
          <w:sz w:val="20"/>
          <w:szCs w:val="20"/>
          <w:lang w:val="en-AU" w:eastAsia="en-AU"/>
        </w:rPr>
        <w:t>Figure A2.14</w:t>
      </w:r>
      <w:r w:rsidRPr="006C494C">
        <w:rPr>
          <w:rFonts w:ascii="Arial" w:hAnsi="Arial" w:cs="Arial"/>
          <w:b/>
          <w:sz w:val="20"/>
          <w:szCs w:val="20"/>
          <w:lang w:val="en-AU" w:eastAsia="en-AU"/>
        </w:rPr>
        <w:t>. Net Transition Probabilities: Coupled to Non-Private D</w:t>
      </w:r>
      <w:r>
        <w:rPr>
          <w:rFonts w:ascii="Arial" w:hAnsi="Arial" w:cs="Arial"/>
          <w:b/>
          <w:sz w:val="20"/>
          <w:szCs w:val="20"/>
          <w:lang w:val="en-AU" w:eastAsia="en-AU"/>
        </w:rPr>
        <w:t>welling, Fem</w:t>
      </w:r>
      <w:r w:rsidRPr="006C494C">
        <w:rPr>
          <w:rFonts w:ascii="Arial" w:hAnsi="Arial" w:cs="Arial"/>
          <w:b/>
          <w:sz w:val="20"/>
          <w:szCs w:val="20"/>
          <w:lang w:val="en-AU" w:eastAsia="en-AU"/>
        </w:rPr>
        <w:t>ales, Ages</w:t>
      </w:r>
      <w:r>
        <w:rPr>
          <w:rFonts w:ascii="Arial" w:hAnsi="Arial" w:cs="Arial"/>
          <w:b/>
          <w:sz w:val="20"/>
          <w:szCs w:val="20"/>
          <w:lang w:val="en-AU" w:eastAsia="en-AU"/>
        </w:rPr>
        <w:t xml:space="preserve"> 60-79</w:t>
      </w:r>
    </w:p>
    <w:p w:rsidR="00CE4280" w:rsidRDefault="00FD2307" w:rsidP="00CE4280">
      <w:pPr>
        <w:rPr>
          <w:rFonts w:ascii="Arial" w:hAnsi="Arial" w:cs="Arial"/>
          <w:sz w:val="20"/>
          <w:szCs w:val="20"/>
          <w:lang w:val="en-AU" w:eastAsia="en-AU"/>
        </w:rPr>
      </w:pPr>
      <w:r w:rsidRPr="00F8367A">
        <w:rPr>
          <w:noProof/>
          <w:lang w:val="en-AU" w:eastAsia="en-AU"/>
        </w:rPr>
        <w:drawing>
          <wp:inline distT="0" distB="0" distL="0" distR="0">
            <wp:extent cx="5486400" cy="35735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5486400" cy="3573515"/>
                    </a:xfrm>
                    <a:prstGeom prst="rect">
                      <a:avLst/>
                    </a:prstGeom>
                    <a:noFill/>
                    <a:ln w="9525">
                      <a:noFill/>
                      <a:miter lim="800000"/>
                      <a:headEnd/>
                      <a:tailEnd/>
                    </a:ln>
                  </pic:spPr>
                </pic:pic>
              </a:graphicData>
            </a:graphic>
          </wp:inline>
        </w:drawing>
      </w:r>
    </w:p>
    <w:p w:rsidR="00CE4280" w:rsidRDefault="00CE4280" w:rsidP="00CE4280">
      <w:pPr>
        <w:rPr>
          <w:rFonts w:ascii="Arial" w:hAnsi="Arial" w:cs="Arial"/>
          <w:sz w:val="20"/>
          <w:szCs w:val="20"/>
          <w:lang w:val="en-AU" w:eastAsia="en-AU"/>
        </w:rPr>
      </w:pPr>
    </w:p>
    <w:p w:rsidR="00FD2307" w:rsidRPr="00B5231F" w:rsidRDefault="00FD2307" w:rsidP="00CE4280">
      <w:pPr>
        <w:rPr>
          <w:b/>
          <w:lang w:val="en-AU" w:eastAsia="en-AU"/>
        </w:rPr>
      </w:pPr>
      <w:r w:rsidRPr="00B5231F">
        <w:rPr>
          <w:b/>
          <w:lang w:val="en-AU" w:eastAsia="en-AU"/>
        </w:rPr>
        <w:lastRenderedPageBreak/>
        <w:t>Transitions at Old Ages, Males 85+ and Females 80+</w:t>
      </w:r>
    </w:p>
    <w:p w:rsidR="00FD2307" w:rsidRPr="00B5231F" w:rsidRDefault="00FD2307" w:rsidP="00CE4280">
      <w:pPr>
        <w:rPr>
          <w:lang w:val="en-AU" w:eastAsia="en-AU"/>
        </w:rPr>
      </w:pPr>
    </w:p>
    <w:p w:rsidR="004B76B3" w:rsidRDefault="004B76B3" w:rsidP="00DC7242">
      <w:pPr>
        <w:jc w:val="both"/>
        <w:rPr>
          <w:lang w:val="en-AU" w:eastAsia="en-AU"/>
        </w:rPr>
      </w:pPr>
      <w:r>
        <w:rPr>
          <w:lang w:val="en-AU" w:eastAsia="en-AU"/>
        </w:rPr>
        <w:t xml:space="preserve">For these age ranges, beyond the mid 90s, additional smoothing is undertaken to ensure that the projections do not generate negative numbers. For many </w:t>
      </w:r>
      <w:proofErr w:type="spellStart"/>
      <w:r>
        <w:rPr>
          <w:lang w:val="en-AU" w:eastAsia="en-AU"/>
        </w:rPr>
        <w:t>subnational</w:t>
      </w:r>
      <w:proofErr w:type="spellEnd"/>
      <w:r>
        <w:rPr>
          <w:lang w:val="en-AU" w:eastAsia="en-AU"/>
        </w:rPr>
        <w:t xml:space="preserve"> regions, the national level transitions are applied for several transitions due to high variability in the measures parameters.</w:t>
      </w:r>
    </w:p>
    <w:p w:rsidR="004B76B3" w:rsidRDefault="004B76B3" w:rsidP="00DC7242">
      <w:pPr>
        <w:jc w:val="both"/>
        <w:rPr>
          <w:lang w:val="en-AU" w:eastAsia="en-AU"/>
        </w:rPr>
      </w:pPr>
    </w:p>
    <w:p w:rsidR="004B76B3" w:rsidRDefault="004B76B3" w:rsidP="00DC7242">
      <w:pPr>
        <w:jc w:val="both"/>
        <w:rPr>
          <w:lang w:val="en-AU" w:eastAsia="en-AU"/>
        </w:rPr>
      </w:pPr>
      <w:r w:rsidRPr="00B5231F">
        <w:rPr>
          <w:lang w:val="en-AU" w:eastAsia="en-AU"/>
        </w:rPr>
        <w:t>From age 85 onwards, the probability of moving from a coupled relationship into a nursing home is high for males, rising from about four per cent at age 85 to close to 15 per cent by age 99</w:t>
      </w:r>
      <w:r>
        <w:rPr>
          <w:lang w:val="en-AU" w:eastAsia="en-AU"/>
        </w:rPr>
        <w:t xml:space="preserve"> (Figure A2.15)</w:t>
      </w:r>
      <w:r w:rsidRPr="00B5231F">
        <w:rPr>
          <w:lang w:val="en-AU" w:eastAsia="en-AU"/>
        </w:rPr>
        <w:t>. Ignoring the odd results obtained for the 1996-01 period, this probability tended to increase above age 90 between the 2001-06 period and the 2006-11 period.</w:t>
      </w:r>
      <w:r>
        <w:rPr>
          <w:lang w:val="en-AU" w:eastAsia="en-AU"/>
        </w:rPr>
        <w:t xml:space="preserve"> </w:t>
      </w:r>
    </w:p>
    <w:p w:rsidR="004B76B3" w:rsidRDefault="004B76B3" w:rsidP="00DC7242">
      <w:pPr>
        <w:jc w:val="both"/>
        <w:rPr>
          <w:lang w:val="en-AU" w:eastAsia="en-AU"/>
        </w:rPr>
      </w:pPr>
    </w:p>
    <w:p w:rsidR="0074071B" w:rsidRDefault="00B5231F" w:rsidP="00DC7242">
      <w:pPr>
        <w:jc w:val="both"/>
        <w:rPr>
          <w:lang w:val="en-AU" w:eastAsia="en-AU"/>
        </w:rPr>
      </w:pPr>
      <w:r>
        <w:rPr>
          <w:lang w:val="en-AU" w:eastAsia="en-AU"/>
        </w:rPr>
        <w:t>The transition probabilities for men aged 85 and over moving from an Other Household Type (mainly living alone or with children) were mainly negative</w:t>
      </w:r>
      <w:r w:rsidR="0074071B">
        <w:rPr>
          <w:lang w:val="en-AU" w:eastAsia="en-AU"/>
        </w:rPr>
        <w:t xml:space="preserve"> (Figure A2.16)</w:t>
      </w:r>
      <w:r>
        <w:rPr>
          <w:lang w:val="en-AU" w:eastAsia="en-AU"/>
        </w:rPr>
        <w:t>. This is not caused by men moving out of nursing homes into Other Household Types but by the much higher mortality of those living in a nursing home (see Footnote 1).</w:t>
      </w:r>
      <w:r w:rsidR="0074071B">
        <w:rPr>
          <w:lang w:val="en-AU" w:eastAsia="en-AU"/>
        </w:rPr>
        <w:t xml:space="preserve"> Across time, the age patterns of probabilities for this transition are quite unstable. This is the only example of instability of the age pattern among all of the transitions discussed here. The reasons for this instability are also unclear.</w:t>
      </w:r>
    </w:p>
    <w:p w:rsidR="0074071B" w:rsidRDefault="0074071B" w:rsidP="00DC7242">
      <w:pPr>
        <w:jc w:val="both"/>
        <w:rPr>
          <w:lang w:val="en-AU" w:eastAsia="en-AU"/>
        </w:rPr>
      </w:pPr>
    </w:p>
    <w:p w:rsidR="001F6FB7" w:rsidRDefault="0074071B" w:rsidP="00DC7242">
      <w:pPr>
        <w:jc w:val="both"/>
        <w:rPr>
          <w:lang w:val="en-AU" w:eastAsia="en-AU"/>
        </w:rPr>
      </w:pPr>
      <w:r>
        <w:rPr>
          <w:lang w:val="en-AU" w:eastAsia="en-AU"/>
        </w:rPr>
        <w:t>The transition probabilities of moving from a coupled relationship into a nursing home are also high for women aged 80 and over, rising from about seven per cent at age 80 to 17 per cent at age 94</w:t>
      </w:r>
      <w:r w:rsidR="00DB1E62">
        <w:rPr>
          <w:lang w:val="en-AU" w:eastAsia="en-AU"/>
        </w:rPr>
        <w:t xml:space="preserve"> (Figure A2.17)</w:t>
      </w:r>
      <w:r>
        <w:rPr>
          <w:lang w:val="en-AU" w:eastAsia="en-AU"/>
        </w:rPr>
        <w:t>. Beyond age 94, the probabilities for this transition fall, the explanation being the higher mortality of those in nursing homes (see Footnote 1). As was the case for men, the probabilities of this transition were higher above age 90 in the 2006-2011 period than was the case in the 2001-06 period.</w:t>
      </w:r>
      <w:r w:rsidR="001F6FB7">
        <w:rPr>
          <w:lang w:val="en-AU" w:eastAsia="en-AU"/>
        </w:rPr>
        <w:t xml:space="preserve"> Again, the explanation could be higher survival rates in nursing homes.</w:t>
      </w:r>
    </w:p>
    <w:p w:rsidR="001F6FB7" w:rsidRDefault="001F6FB7" w:rsidP="00DC7242">
      <w:pPr>
        <w:jc w:val="both"/>
        <w:rPr>
          <w:lang w:val="en-AU" w:eastAsia="en-AU"/>
        </w:rPr>
      </w:pPr>
    </w:p>
    <w:p w:rsidR="0074071B" w:rsidRDefault="001F6FB7" w:rsidP="00DC7242">
      <w:pPr>
        <w:jc w:val="both"/>
        <w:rPr>
          <w:lang w:val="en-AU" w:eastAsia="en-AU"/>
        </w:rPr>
      </w:pPr>
      <w:r>
        <w:rPr>
          <w:lang w:val="en-AU" w:eastAsia="en-AU"/>
        </w:rPr>
        <w:t>For women shifting from Other Household Types into nursing homes, the age pattern is quite different for the same transition for males</w:t>
      </w:r>
      <w:r w:rsidR="00DB1E62">
        <w:rPr>
          <w:lang w:val="en-AU" w:eastAsia="en-AU"/>
        </w:rPr>
        <w:t xml:space="preserve"> (Figure A2.18)</w:t>
      </w:r>
      <w:r>
        <w:rPr>
          <w:lang w:val="en-AU" w:eastAsia="en-AU"/>
        </w:rPr>
        <w:t>. The probabilities are generally not negative and rise continually with age. There is very little difference between the probabilities in the 2001-06 and 2006-11 periods.</w:t>
      </w:r>
      <w:r w:rsidR="0074071B">
        <w:rPr>
          <w:lang w:val="en-AU" w:eastAsia="en-AU"/>
        </w:rPr>
        <w:t xml:space="preserve">  </w:t>
      </w:r>
    </w:p>
    <w:p w:rsidR="0074071B" w:rsidRDefault="0074071B">
      <w:pPr>
        <w:rPr>
          <w:lang w:val="en-AU" w:eastAsia="en-AU"/>
        </w:rPr>
      </w:pPr>
    </w:p>
    <w:p w:rsidR="00A378DF" w:rsidRPr="00B5231F" w:rsidRDefault="00A378DF">
      <w:pPr>
        <w:rPr>
          <w:lang w:val="en-AU" w:eastAsia="en-AU"/>
        </w:rPr>
      </w:pPr>
      <w:r w:rsidRPr="00B5231F">
        <w:rPr>
          <w:lang w:val="en-AU" w:eastAsia="en-AU"/>
        </w:rPr>
        <w:br w:type="page"/>
      </w:r>
    </w:p>
    <w:p w:rsidR="00FD2307" w:rsidRPr="00A378DF" w:rsidRDefault="00A378DF" w:rsidP="00CE4280">
      <w:pPr>
        <w:rPr>
          <w:rFonts w:ascii="Arial" w:hAnsi="Arial" w:cs="Arial"/>
          <w:b/>
          <w:sz w:val="20"/>
          <w:szCs w:val="20"/>
          <w:lang w:val="en-AU" w:eastAsia="en-AU"/>
        </w:rPr>
      </w:pPr>
      <w:r w:rsidRPr="00A378DF">
        <w:rPr>
          <w:rFonts w:ascii="Arial" w:hAnsi="Arial" w:cs="Arial"/>
          <w:b/>
          <w:sz w:val="20"/>
          <w:szCs w:val="20"/>
          <w:lang w:val="en-AU" w:eastAsia="en-AU"/>
        </w:rPr>
        <w:lastRenderedPageBreak/>
        <w:t>Table A2.15. Net Transition Probabilities, Coupled to Non-Private Dwelling, Males Aged 85+</w:t>
      </w:r>
    </w:p>
    <w:p w:rsidR="00CE4280" w:rsidRDefault="00CE4280" w:rsidP="00CE4280">
      <w:r w:rsidRPr="00262402">
        <w:rPr>
          <w:noProof/>
          <w:lang w:val="en-AU" w:eastAsia="en-AU"/>
        </w:rPr>
        <w:drawing>
          <wp:inline distT="0" distB="0" distL="0" distR="0">
            <wp:extent cx="5731510" cy="37376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5731510" cy="3737621"/>
                    </a:xfrm>
                    <a:prstGeom prst="rect">
                      <a:avLst/>
                    </a:prstGeom>
                    <a:noFill/>
                    <a:ln w="9525">
                      <a:noFill/>
                      <a:miter lim="800000"/>
                      <a:headEnd/>
                      <a:tailEnd/>
                    </a:ln>
                  </pic:spPr>
                </pic:pic>
              </a:graphicData>
            </a:graphic>
          </wp:inline>
        </w:drawing>
      </w:r>
    </w:p>
    <w:p w:rsidR="00CE4280" w:rsidRDefault="00CE4280" w:rsidP="00CE4280">
      <w:pPr>
        <w:rPr>
          <w:rFonts w:ascii="Arial" w:hAnsi="Arial" w:cs="Arial"/>
          <w:sz w:val="20"/>
          <w:szCs w:val="20"/>
          <w:lang w:val="en-AU" w:eastAsia="en-AU"/>
        </w:rPr>
      </w:pPr>
    </w:p>
    <w:p w:rsidR="00CE4280" w:rsidRDefault="00CE4280" w:rsidP="00CE4280"/>
    <w:p w:rsidR="00CE4280" w:rsidRPr="00A378DF" w:rsidRDefault="00A378DF" w:rsidP="00CE4280">
      <w:pPr>
        <w:rPr>
          <w:rFonts w:ascii="Arial" w:hAnsi="Arial" w:cs="Arial"/>
          <w:b/>
          <w:sz w:val="20"/>
          <w:szCs w:val="20"/>
          <w:lang w:val="en-AU" w:eastAsia="en-AU"/>
        </w:rPr>
      </w:pPr>
      <w:r w:rsidRPr="00A378DF">
        <w:rPr>
          <w:rFonts w:ascii="Arial" w:hAnsi="Arial" w:cs="Arial"/>
          <w:b/>
          <w:sz w:val="20"/>
          <w:szCs w:val="20"/>
          <w:lang w:val="en-AU" w:eastAsia="en-AU"/>
        </w:rPr>
        <w:t>Figure A2.16. Net Transition Probabilities, Other Household Type (not coupled) to Non-Private Dwelling, Males Aged 85+</w:t>
      </w:r>
    </w:p>
    <w:p w:rsidR="00CE4280" w:rsidRDefault="00791761" w:rsidP="00CE4280">
      <w:r w:rsidRPr="00262402">
        <w:rPr>
          <w:noProof/>
          <w:lang w:val="en-AU" w:eastAsia="en-AU"/>
        </w:rPr>
        <w:drawing>
          <wp:inline distT="0" distB="0" distL="0" distR="0">
            <wp:extent cx="5486400" cy="35777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srcRect/>
                    <a:stretch>
                      <a:fillRect/>
                    </a:stretch>
                  </pic:blipFill>
                  <pic:spPr bwMode="auto">
                    <a:xfrm>
                      <a:off x="0" y="0"/>
                      <a:ext cx="5486400" cy="3577770"/>
                    </a:xfrm>
                    <a:prstGeom prst="rect">
                      <a:avLst/>
                    </a:prstGeom>
                    <a:noFill/>
                    <a:ln w="9525">
                      <a:noFill/>
                      <a:miter lim="800000"/>
                      <a:headEnd/>
                      <a:tailEnd/>
                    </a:ln>
                  </pic:spPr>
                </pic:pic>
              </a:graphicData>
            </a:graphic>
          </wp:inline>
        </w:drawing>
      </w:r>
    </w:p>
    <w:p w:rsidR="004B653C" w:rsidRPr="00A378DF" w:rsidRDefault="004B653C" w:rsidP="004B653C">
      <w:pPr>
        <w:rPr>
          <w:rFonts w:ascii="Arial" w:hAnsi="Arial" w:cs="Arial"/>
          <w:b/>
          <w:sz w:val="20"/>
          <w:szCs w:val="20"/>
          <w:lang w:val="en-AU" w:eastAsia="en-AU"/>
        </w:rPr>
      </w:pPr>
      <w:r>
        <w:rPr>
          <w:rFonts w:ascii="Arial" w:hAnsi="Arial" w:cs="Arial"/>
          <w:b/>
          <w:sz w:val="20"/>
          <w:szCs w:val="20"/>
          <w:lang w:val="en-AU" w:eastAsia="en-AU"/>
        </w:rPr>
        <w:lastRenderedPageBreak/>
        <w:t>Figure A2.17</w:t>
      </w:r>
      <w:r w:rsidRPr="00A378DF">
        <w:rPr>
          <w:rFonts w:ascii="Arial" w:hAnsi="Arial" w:cs="Arial"/>
          <w:b/>
          <w:sz w:val="20"/>
          <w:szCs w:val="20"/>
          <w:lang w:val="en-AU" w:eastAsia="en-AU"/>
        </w:rPr>
        <w:t xml:space="preserve">. Net Transition </w:t>
      </w:r>
      <w:r>
        <w:rPr>
          <w:rFonts w:ascii="Arial" w:hAnsi="Arial" w:cs="Arial"/>
          <w:b/>
          <w:sz w:val="20"/>
          <w:szCs w:val="20"/>
          <w:lang w:val="en-AU" w:eastAsia="en-AU"/>
        </w:rPr>
        <w:t>Probabilities, Coupled to Non-Private Dwelling, Females Aged 80</w:t>
      </w:r>
      <w:r w:rsidRPr="00A378DF">
        <w:rPr>
          <w:rFonts w:ascii="Arial" w:hAnsi="Arial" w:cs="Arial"/>
          <w:b/>
          <w:sz w:val="20"/>
          <w:szCs w:val="20"/>
          <w:lang w:val="en-AU" w:eastAsia="en-AU"/>
        </w:rPr>
        <w:t>+</w:t>
      </w:r>
    </w:p>
    <w:p w:rsidR="004B653C" w:rsidRDefault="00791761" w:rsidP="00CE4280">
      <w:pPr>
        <w:rPr>
          <w:rFonts w:ascii="Arial" w:hAnsi="Arial" w:cs="Arial"/>
          <w:b/>
          <w:sz w:val="20"/>
          <w:szCs w:val="20"/>
          <w:lang w:val="en-AU" w:eastAsia="en-AU"/>
        </w:rPr>
      </w:pPr>
      <w:r w:rsidRPr="00F8367A">
        <w:rPr>
          <w:noProof/>
          <w:lang w:val="en-AU" w:eastAsia="en-AU"/>
        </w:rPr>
        <w:drawing>
          <wp:inline distT="0" distB="0" distL="0" distR="0">
            <wp:extent cx="5486400" cy="35735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srcRect/>
                    <a:stretch>
                      <a:fillRect/>
                    </a:stretch>
                  </pic:blipFill>
                  <pic:spPr bwMode="auto">
                    <a:xfrm>
                      <a:off x="0" y="0"/>
                      <a:ext cx="5486400" cy="3573515"/>
                    </a:xfrm>
                    <a:prstGeom prst="rect">
                      <a:avLst/>
                    </a:prstGeom>
                    <a:noFill/>
                    <a:ln w="9525">
                      <a:noFill/>
                      <a:miter lim="800000"/>
                      <a:headEnd/>
                      <a:tailEnd/>
                    </a:ln>
                  </pic:spPr>
                </pic:pic>
              </a:graphicData>
            </a:graphic>
          </wp:inline>
        </w:drawing>
      </w:r>
    </w:p>
    <w:p w:rsidR="004B653C" w:rsidRDefault="004B653C" w:rsidP="00CE4280">
      <w:pPr>
        <w:rPr>
          <w:rFonts w:ascii="Arial" w:hAnsi="Arial" w:cs="Arial"/>
          <w:b/>
          <w:sz w:val="20"/>
          <w:szCs w:val="20"/>
          <w:lang w:val="en-AU" w:eastAsia="en-AU"/>
        </w:rPr>
      </w:pPr>
    </w:p>
    <w:p w:rsidR="00791761" w:rsidRDefault="00791761" w:rsidP="00CE4280">
      <w:pPr>
        <w:rPr>
          <w:rFonts w:ascii="Arial" w:hAnsi="Arial" w:cs="Arial"/>
          <w:b/>
          <w:sz w:val="20"/>
          <w:szCs w:val="20"/>
          <w:lang w:val="en-AU" w:eastAsia="en-AU"/>
        </w:rPr>
      </w:pPr>
    </w:p>
    <w:p w:rsidR="00CE4280" w:rsidRPr="004B653C" w:rsidRDefault="004B653C" w:rsidP="00CE4280">
      <w:pPr>
        <w:rPr>
          <w:rFonts w:ascii="Arial" w:hAnsi="Arial" w:cs="Arial"/>
          <w:b/>
          <w:sz w:val="20"/>
          <w:szCs w:val="20"/>
          <w:lang w:val="en-AU" w:eastAsia="en-AU"/>
        </w:rPr>
      </w:pPr>
      <w:r>
        <w:rPr>
          <w:rFonts w:ascii="Arial" w:hAnsi="Arial" w:cs="Arial"/>
          <w:b/>
          <w:sz w:val="20"/>
          <w:szCs w:val="20"/>
          <w:lang w:val="en-AU" w:eastAsia="en-AU"/>
        </w:rPr>
        <w:t>Figure A2.18</w:t>
      </w:r>
      <w:r w:rsidRPr="00A378DF">
        <w:rPr>
          <w:rFonts w:ascii="Arial" w:hAnsi="Arial" w:cs="Arial"/>
          <w:b/>
          <w:sz w:val="20"/>
          <w:szCs w:val="20"/>
          <w:lang w:val="en-AU" w:eastAsia="en-AU"/>
        </w:rPr>
        <w:t>. Net Transition Probabilities, Other Household Type (not cou</w:t>
      </w:r>
      <w:r>
        <w:rPr>
          <w:rFonts w:ascii="Arial" w:hAnsi="Arial" w:cs="Arial"/>
          <w:b/>
          <w:sz w:val="20"/>
          <w:szCs w:val="20"/>
          <w:lang w:val="en-AU" w:eastAsia="en-AU"/>
        </w:rPr>
        <w:t>pled) to Non-Private Dwelling, Females Aged 80</w:t>
      </w:r>
      <w:r w:rsidRPr="00A378DF">
        <w:rPr>
          <w:rFonts w:ascii="Arial" w:hAnsi="Arial" w:cs="Arial"/>
          <w:b/>
          <w:sz w:val="20"/>
          <w:szCs w:val="20"/>
          <w:lang w:val="en-AU" w:eastAsia="en-AU"/>
        </w:rPr>
        <w:t>+</w:t>
      </w:r>
    </w:p>
    <w:p w:rsidR="00CE4280" w:rsidRDefault="00CE4280" w:rsidP="00CE4280">
      <w:r w:rsidRPr="00F8367A">
        <w:rPr>
          <w:noProof/>
          <w:lang w:val="en-AU" w:eastAsia="en-AU"/>
        </w:rPr>
        <w:drawing>
          <wp:inline distT="0" distB="0" distL="0" distR="0">
            <wp:extent cx="5731510" cy="373320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srcRect/>
                    <a:stretch>
                      <a:fillRect/>
                    </a:stretch>
                  </pic:blipFill>
                  <pic:spPr bwMode="auto">
                    <a:xfrm>
                      <a:off x="0" y="0"/>
                      <a:ext cx="5731510" cy="3733207"/>
                    </a:xfrm>
                    <a:prstGeom prst="rect">
                      <a:avLst/>
                    </a:prstGeom>
                    <a:noFill/>
                    <a:ln w="9525">
                      <a:noFill/>
                      <a:miter lim="800000"/>
                      <a:headEnd/>
                      <a:tailEnd/>
                    </a:ln>
                  </pic:spPr>
                </pic:pic>
              </a:graphicData>
            </a:graphic>
          </wp:inline>
        </w:drawing>
      </w:r>
    </w:p>
    <w:p w:rsidR="007F3980" w:rsidRDefault="007F3980" w:rsidP="007F3980">
      <w:pPr>
        <w:jc w:val="center"/>
        <w:rPr>
          <w:b/>
        </w:rPr>
      </w:pPr>
      <w:proofErr w:type="gramStart"/>
      <w:r>
        <w:rPr>
          <w:b/>
        </w:rPr>
        <w:lastRenderedPageBreak/>
        <w:t>Appendix 3.</w:t>
      </w:r>
      <w:proofErr w:type="gramEnd"/>
    </w:p>
    <w:p w:rsidR="007F3980" w:rsidRDefault="007F3980" w:rsidP="007F3980">
      <w:pPr>
        <w:jc w:val="center"/>
        <w:rPr>
          <w:b/>
        </w:rPr>
      </w:pPr>
    </w:p>
    <w:p w:rsidR="004535B8" w:rsidRPr="00812248" w:rsidRDefault="004535B8" w:rsidP="007F3980">
      <w:pPr>
        <w:jc w:val="center"/>
        <w:rPr>
          <w:b/>
        </w:rPr>
      </w:pPr>
      <w:r w:rsidRPr="00812248">
        <w:rPr>
          <w:b/>
        </w:rPr>
        <w:t>Up</w:t>
      </w:r>
      <w:r w:rsidR="00812248" w:rsidRPr="00812248">
        <w:rPr>
          <w:b/>
        </w:rPr>
        <w:t>d</w:t>
      </w:r>
      <w:r w:rsidRPr="00812248">
        <w:rPr>
          <w:b/>
        </w:rPr>
        <w:t>ated Migration Estimates for the NHSC Projections</w:t>
      </w:r>
      <w:r w:rsidR="00CE1ACA">
        <w:rPr>
          <w:b/>
        </w:rPr>
        <w:t>: Technical Note</w:t>
      </w:r>
    </w:p>
    <w:p w:rsidR="00812248" w:rsidRDefault="00812248" w:rsidP="00812248"/>
    <w:p w:rsidR="00812248" w:rsidRDefault="00812248" w:rsidP="00DC7242">
      <w:pPr>
        <w:jc w:val="both"/>
      </w:pPr>
      <w:r w:rsidRPr="00220E3B">
        <w:t>Previous projections for the NHSC have used forward survival techniques to estimate net migration ratios which are scaled to produce alternative population and housing futures based on 21 NOM assumptions.</w:t>
      </w:r>
      <w:r>
        <w:t xml:space="preserve"> These standard methods require two estimated resident populations in addition to survival probabilities for the intervening period. Using these estimates, it is possible to measure the level of net migration over a historical period.</w:t>
      </w:r>
    </w:p>
    <w:p w:rsidR="00812248" w:rsidRDefault="00812248" w:rsidP="00DC7242">
      <w:pPr>
        <w:jc w:val="both"/>
      </w:pPr>
      <w:r>
        <w:t xml:space="preserve"> </w:t>
      </w:r>
    </w:p>
    <w:p w:rsidR="00812248" w:rsidRPr="00220E3B" w:rsidRDefault="00812248" w:rsidP="00DC7242">
      <w:pPr>
        <w:jc w:val="both"/>
      </w:pPr>
      <w:r w:rsidRPr="00220E3B">
        <w:t>Due to recent changed to the measurement of ERP, we have adjusted our methodology to incorporate projected migration ratios based only on the jump of year ERP combined with assumptions about future Net Internal Migration (NIM) arrivals and departures, as well as assumptions about future Net Overseas Migration (NOM) arrivals and departures.</w:t>
      </w:r>
    </w:p>
    <w:p w:rsidR="00812248" w:rsidRDefault="00812248" w:rsidP="00DC7242">
      <w:pPr>
        <w:jc w:val="both"/>
        <w:rPr>
          <w:rFonts w:cs="Arial"/>
          <w:lang w:val="en-AU" w:eastAsia="en-AU"/>
        </w:rPr>
      </w:pPr>
    </w:p>
    <w:p w:rsidR="00812248" w:rsidRPr="00220E3B" w:rsidRDefault="00812248" w:rsidP="00DC7242">
      <w:pPr>
        <w:jc w:val="both"/>
      </w:pPr>
      <w:r w:rsidRPr="00220E3B">
        <w:rPr>
          <w:rFonts w:cs="Arial"/>
          <w:lang w:val="en-AU" w:eastAsia="en-AU"/>
        </w:rPr>
        <w:t xml:space="preserve">This has been necessary as following the 2011 </w:t>
      </w:r>
      <w:proofErr w:type="gramStart"/>
      <w:r w:rsidRPr="00220E3B">
        <w:rPr>
          <w:rFonts w:cs="Arial"/>
          <w:lang w:val="en-AU" w:eastAsia="en-AU"/>
        </w:rPr>
        <w:t>Census,</w:t>
      </w:r>
      <w:proofErr w:type="gramEnd"/>
      <w:r w:rsidRPr="00220E3B">
        <w:rPr>
          <w:rFonts w:cs="Arial"/>
          <w:lang w:val="en-AU" w:eastAsia="en-AU"/>
        </w:rPr>
        <w:t xml:space="preserve"> the ABS has made major changes to the measurement of ERP. As a result of this change, an </w:t>
      </w:r>
      <w:proofErr w:type="spellStart"/>
      <w:r w:rsidRPr="00220E3B">
        <w:rPr>
          <w:rFonts w:cs="Arial"/>
          <w:lang w:val="en-AU" w:eastAsia="en-AU"/>
        </w:rPr>
        <w:t>intercensal</w:t>
      </w:r>
      <w:proofErr w:type="spellEnd"/>
      <w:r w:rsidRPr="00220E3B">
        <w:rPr>
          <w:rFonts w:cs="Arial"/>
          <w:lang w:val="en-AU" w:eastAsia="en-AU"/>
        </w:rPr>
        <w:t xml:space="preserve"> error for the period of 294,000 persons was identified. As this error, historically, is very large, the ABS is in the process of recalculating and </w:t>
      </w:r>
      <w:r w:rsidRPr="00220E3B">
        <w:rPr>
          <w:rFonts w:cs="Arial"/>
          <w:bCs/>
          <w:lang w:val="en-AU" w:eastAsia="en-AU"/>
        </w:rPr>
        <w:t>reissuing 20 prior years of ERP to be consistent with the new method of calculating ERP</w:t>
      </w:r>
      <w:r w:rsidRPr="00220E3B">
        <w:rPr>
          <w:rFonts w:cs="Arial"/>
          <w:lang w:val="en-AU" w:eastAsia="en-AU"/>
        </w:rPr>
        <w:t xml:space="preserve">. These data were not available at the time of </w:t>
      </w:r>
      <w:r w:rsidR="00906C2C">
        <w:rPr>
          <w:rFonts w:cs="Arial"/>
          <w:lang w:val="en-AU" w:eastAsia="en-AU"/>
        </w:rPr>
        <w:t xml:space="preserve">producing the projections </w:t>
      </w:r>
      <w:r w:rsidRPr="00220E3B">
        <w:rPr>
          <w:rFonts w:cs="Arial"/>
          <w:lang w:val="en-AU" w:eastAsia="en-AU"/>
        </w:rPr>
        <w:t xml:space="preserve">and will be released later in 2013 (see ABS, 2013 for further information). </w:t>
      </w:r>
      <w:r>
        <w:rPr>
          <w:rFonts w:cs="Arial"/>
          <w:lang w:val="en-AU" w:eastAsia="en-AU"/>
        </w:rPr>
        <w:t xml:space="preserve"> The adopted methodology only uses the 2011 ERP as a means to calculating an adjusted migration ratio to meet an externally defined ANM target – built from detailed assumptions regarding single year of age and sex NIM and NOM arrivals and departures across the different regions in the projection. </w:t>
      </w:r>
    </w:p>
    <w:p w:rsidR="00812248" w:rsidRDefault="00812248" w:rsidP="00812248"/>
    <w:p w:rsidR="00812248" w:rsidRDefault="00812248" w:rsidP="00812248">
      <w:r>
        <w:t>NIM Departures at each age:</w:t>
      </w:r>
    </w:p>
    <w:p w:rsidR="00812248" w:rsidRPr="00D65B74" w:rsidRDefault="00812248" w:rsidP="00812248">
      <w:pPr>
        <w:rPr>
          <w:rFonts w:eastAsiaTheme="minorEastAsia"/>
        </w:rPr>
      </w:pPr>
      <m:oMathPara>
        <m:oMath>
          <m:r>
            <w:rPr>
              <w:rFonts w:ascii="Cambria Math" w:hAnsi="Cambria Math"/>
            </w:rPr>
            <m:t xml:space="preserve">NIMi=NIMPi × </m:t>
          </m:r>
          <m:nary>
            <m:naryPr>
              <m:chr m:val="∑"/>
              <m:limLoc m:val="undOvr"/>
              <m:ctrlPr>
                <w:rPr>
                  <w:rFonts w:ascii="Cambria Math" w:hAnsi="Cambria Math"/>
                  <w:i/>
                </w:rPr>
              </m:ctrlPr>
            </m:naryPr>
            <m:sub>
              <m:r>
                <w:rPr>
                  <w:rFonts w:ascii="Cambria Math" w:hAnsi="Cambria Math"/>
                </w:rPr>
                <m:t>i=0</m:t>
              </m:r>
            </m:sub>
            <m:sup>
              <m:r>
                <w:rPr>
                  <w:rFonts w:ascii="Cambria Math" w:hAnsi="Cambria Math"/>
                </w:rPr>
                <m:t>100</m:t>
              </m:r>
            </m:sup>
            <m:e>
              <m:r>
                <w:rPr>
                  <w:rFonts w:ascii="Cambria Math" w:hAnsi="Cambria Math"/>
                </w:rPr>
                <m:t>NIM</m:t>
              </m:r>
            </m:e>
          </m:nary>
        </m:oMath>
      </m:oMathPara>
    </w:p>
    <w:p w:rsidR="00812248" w:rsidRDefault="00812248" w:rsidP="00812248">
      <w:pPr>
        <w:rPr>
          <w:rFonts w:eastAsiaTheme="minorEastAsia"/>
        </w:rPr>
      </w:pPr>
    </w:p>
    <w:p w:rsidR="00812248" w:rsidRDefault="00812248" w:rsidP="00812248">
      <w:pPr>
        <w:rPr>
          <w:rFonts w:eastAsiaTheme="minorEastAsia"/>
        </w:rPr>
      </w:pPr>
      <w:r>
        <w:rPr>
          <w:rFonts w:eastAsiaTheme="minorEastAsia"/>
        </w:rPr>
        <w:t>Where NIM (</w:t>
      </w:r>
      <w:proofErr w:type="spellStart"/>
      <w:r>
        <w:rPr>
          <w:rFonts w:eastAsiaTheme="minorEastAsia"/>
        </w:rPr>
        <w:t>NIMi</w:t>
      </w:r>
      <w:proofErr w:type="spellEnd"/>
      <w:r>
        <w:rPr>
          <w:rFonts w:eastAsiaTheme="minorEastAsia"/>
        </w:rPr>
        <w:t>) and age-sex profiles (</w:t>
      </w:r>
      <w:proofErr w:type="spellStart"/>
      <w:r>
        <w:rPr>
          <w:rFonts w:eastAsiaTheme="minorEastAsia"/>
        </w:rPr>
        <w:t>NIMi</w:t>
      </w:r>
      <w:proofErr w:type="spellEnd"/>
      <w:r>
        <w:rPr>
          <w:rFonts w:eastAsiaTheme="minorEastAsia"/>
        </w:rPr>
        <w:t xml:space="preserve">) are imputed weighted updated estimates from the ABS Experimental </w:t>
      </w:r>
      <w:r w:rsidR="000478B4">
        <w:rPr>
          <w:rFonts w:eastAsiaTheme="minorEastAsia"/>
        </w:rPr>
        <w:t>Interregional Migration Series (ABS, 2012)</w:t>
      </w:r>
    </w:p>
    <w:p w:rsidR="00812248" w:rsidRDefault="00812248" w:rsidP="00812248">
      <w:pPr>
        <w:rPr>
          <w:rFonts w:eastAsiaTheme="minorEastAsia"/>
        </w:rPr>
      </w:pPr>
    </w:p>
    <w:p w:rsidR="00812248" w:rsidRDefault="00812248" w:rsidP="00812248">
      <w:pPr>
        <w:rPr>
          <w:rFonts w:eastAsiaTheme="minorEastAsia"/>
        </w:rPr>
      </w:pPr>
      <w:r>
        <w:rPr>
          <w:rFonts w:eastAsiaTheme="minorEastAsia"/>
        </w:rPr>
        <w:t>NOM Departures at each age:</w:t>
      </w:r>
    </w:p>
    <w:p w:rsidR="00812248" w:rsidRPr="00D65B74" w:rsidRDefault="00812248" w:rsidP="00812248">
      <w:pPr>
        <w:rPr>
          <w:rFonts w:eastAsiaTheme="minorEastAsia"/>
        </w:rPr>
      </w:pPr>
      <m:oMathPara>
        <m:oMath>
          <m:r>
            <w:rPr>
              <w:rFonts w:ascii="Cambria Math" w:hAnsi="Cambria Math"/>
            </w:rPr>
            <m:t xml:space="preserve">NOMDi=NOMDPi × </m:t>
          </m:r>
          <m:nary>
            <m:naryPr>
              <m:chr m:val="∑"/>
              <m:limLoc m:val="undOvr"/>
              <m:ctrlPr>
                <w:rPr>
                  <w:rFonts w:ascii="Cambria Math" w:hAnsi="Cambria Math"/>
                  <w:i/>
                </w:rPr>
              </m:ctrlPr>
            </m:naryPr>
            <m:sub>
              <m:r>
                <w:rPr>
                  <w:rFonts w:ascii="Cambria Math" w:hAnsi="Cambria Math"/>
                </w:rPr>
                <m:t>i=0</m:t>
              </m:r>
            </m:sub>
            <m:sup>
              <m:r>
                <w:rPr>
                  <w:rFonts w:ascii="Cambria Math" w:hAnsi="Cambria Math"/>
                </w:rPr>
                <m:t>100</m:t>
              </m:r>
            </m:sup>
            <m:e>
              <m:r>
                <w:rPr>
                  <w:rFonts w:ascii="Cambria Math" w:hAnsi="Cambria Math"/>
                </w:rPr>
                <m:t>NOMD</m:t>
              </m:r>
            </m:e>
          </m:nary>
        </m:oMath>
      </m:oMathPara>
    </w:p>
    <w:p w:rsidR="00812248" w:rsidRDefault="00812248" w:rsidP="00812248">
      <w:pPr>
        <w:rPr>
          <w:rFonts w:eastAsiaTheme="minorEastAsia"/>
        </w:rPr>
      </w:pPr>
    </w:p>
    <w:p w:rsidR="00812248" w:rsidRDefault="00812248" w:rsidP="00812248">
      <w:pPr>
        <w:rPr>
          <w:rFonts w:eastAsiaTheme="minorEastAsia"/>
        </w:rPr>
      </w:pPr>
      <w:proofErr w:type="gramStart"/>
      <w:r>
        <w:rPr>
          <w:rFonts w:eastAsiaTheme="minorEastAsia"/>
        </w:rPr>
        <w:t>Where NOM Departures for each regions are based on a projected split of NOM departures and arrivals estimated from recent data.</w:t>
      </w:r>
      <w:proofErr w:type="gramEnd"/>
    </w:p>
    <w:p w:rsidR="00812248" w:rsidRDefault="00812248" w:rsidP="00812248">
      <w:pPr>
        <w:rPr>
          <w:rFonts w:eastAsiaTheme="minorEastAsia"/>
        </w:rPr>
      </w:pPr>
    </w:p>
    <w:p w:rsidR="00812248" w:rsidRDefault="00812248" w:rsidP="00812248">
      <w:pPr>
        <w:rPr>
          <w:rFonts w:eastAsiaTheme="minorEastAsia"/>
        </w:rPr>
      </w:pPr>
    </w:p>
    <w:p w:rsidR="00812248" w:rsidRDefault="00812248" w:rsidP="00812248">
      <w:pPr>
        <w:rPr>
          <w:rFonts w:eastAsiaTheme="minorEastAsia"/>
        </w:rPr>
      </w:pPr>
      <w:r>
        <w:rPr>
          <w:rFonts w:eastAsiaTheme="minorEastAsia"/>
        </w:rPr>
        <w:t>NOM Arrivals at each age:</w:t>
      </w:r>
    </w:p>
    <w:p w:rsidR="00812248" w:rsidRPr="00D65B74" w:rsidRDefault="00812248" w:rsidP="00812248">
      <w:pPr>
        <w:rPr>
          <w:rFonts w:eastAsiaTheme="minorEastAsia"/>
        </w:rPr>
      </w:pPr>
      <m:oMathPara>
        <m:oMath>
          <m:r>
            <w:rPr>
              <w:rFonts w:ascii="Cambria Math" w:hAnsi="Cambria Math"/>
            </w:rPr>
            <m:t xml:space="preserve">NOMAi=NOMDAi × </m:t>
          </m:r>
          <m:nary>
            <m:naryPr>
              <m:chr m:val="∑"/>
              <m:limLoc m:val="undOvr"/>
              <m:ctrlPr>
                <w:rPr>
                  <w:rFonts w:ascii="Cambria Math" w:hAnsi="Cambria Math"/>
                  <w:i/>
                </w:rPr>
              </m:ctrlPr>
            </m:naryPr>
            <m:sub>
              <m:r>
                <w:rPr>
                  <w:rFonts w:ascii="Cambria Math" w:hAnsi="Cambria Math"/>
                </w:rPr>
                <m:t>i=0</m:t>
              </m:r>
            </m:sub>
            <m:sup>
              <m:r>
                <w:rPr>
                  <w:rFonts w:ascii="Cambria Math" w:hAnsi="Cambria Math"/>
                </w:rPr>
                <m:t>100</m:t>
              </m:r>
            </m:sup>
            <m:e>
              <m:r>
                <w:rPr>
                  <w:rFonts w:ascii="Cambria Math" w:hAnsi="Cambria Math"/>
                </w:rPr>
                <m:t>NOMA</m:t>
              </m:r>
            </m:e>
          </m:nary>
        </m:oMath>
      </m:oMathPara>
    </w:p>
    <w:p w:rsidR="00812248" w:rsidRDefault="00812248" w:rsidP="00812248">
      <w:pPr>
        <w:rPr>
          <w:rFonts w:eastAsiaTheme="minorEastAsia"/>
        </w:rPr>
      </w:pPr>
    </w:p>
    <w:p w:rsidR="00812248" w:rsidRDefault="00812248" w:rsidP="00812248">
      <w:pPr>
        <w:rPr>
          <w:rFonts w:eastAsiaTheme="minorEastAsia"/>
        </w:rPr>
      </w:pPr>
      <w:r>
        <w:rPr>
          <w:rFonts w:eastAsiaTheme="minorEastAsia"/>
        </w:rPr>
        <w:t>ANM at each age:</w:t>
      </w:r>
    </w:p>
    <w:p w:rsidR="00812248" w:rsidRDefault="00812248" w:rsidP="00812248">
      <w:pPr>
        <w:rPr>
          <w:rFonts w:eastAsiaTheme="minorEastAsia"/>
        </w:rPr>
      </w:pPr>
      <m:oMathPara>
        <m:oMath>
          <m:r>
            <w:rPr>
              <w:rFonts w:ascii="Cambria Math" w:hAnsi="Cambria Math"/>
            </w:rPr>
            <m:t>ANMi=</m:t>
          </m:r>
          <m:d>
            <m:dPr>
              <m:ctrlPr>
                <w:rPr>
                  <w:rFonts w:ascii="Cambria Math" w:hAnsi="Cambria Math"/>
                  <w:i/>
                </w:rPr>
              </m:ctrlPr>
            </m:dPr>
            <m:e>
              <m:r>
                <w:rPr>
                  <w:rFonts w:ascii="Cambria Math" w:hAnsi="Cambria Math"/>
                </w:rPr>
                <m:t>NIMi</m:t>
              </m:r>
            </m:e>
          </m:d>
          <m:r>
            <w:rPr>
              <w:rFonts w:ascii="Cambria Math" w:hAnsi="Cambria Math"/>
            </w:rPr>
            <m:t>+ (NOMAi-NOMDi)</m:t>
          </m:r>
        </m:oMath>
      </m:oMathPara>
    </w:p>
    <w:p w:rsidR="00812248" w:rsidRDefault="00812248" w:rsidP="00812248">
      <w:pPr>
        <w:rPr>
          <w:rFonts w:eastAsiaTheme="minorEastAsia"/>
        </w:rPr>
      </w:pPr>
    </w:p>
    <w:p w:rsidR="00812248" w:rsidRDefault="00812248" w:rsidP="00812248">
      <w:pPr>
        <w:rPr>
          <w:rFonts w:eastAsiaTheme="minorEastAsia"/>
        </w:rPr>
      </w:pPr>
    </w:p>
    <w:p w:rsidR="00812248" w:rsidRDefault="00812248" w:rsidP="00812248">
      <w:pPr>
        <w:rPr>
          <w:rFonts w:eastAsiaTheme="minorEastAsia"/>
        </w:rPr>
      </w:pPr>
      <w:r>
        <w:rPr>
          <w:rFonts w:eastAsiaTheme="minorEastAsia"/>
        </w:rPr>
        <w:t xml:space="preserve">With projections of ANM by single year of age and sex for the full period, unadjusted migration ratios readily </w:t>
      </w:r>
      <w:proofErr w:type="gramStart"/>
      <w:r>
        <w:rPr>
          <w:rFonts w:eastAsiaTheme="minorEastAsia"/>
        </w:rPr>
        <w:t>be</w:t>
      </w:r>
      <w:proofErr w:type="gramEnd"/>
      <w:r>
        <w:rPr>
          <w:rFonts w:eastAsiaTheme="minorEastAsia"/>
        </w:rPr>
        <w:t xml:space="preserve"> calculated as follows:</w:t>
      </w:r>
    </w:p>
    <w:p w:rsidR="00812248" w:rsidRDefault="00812248" w:rsidP="00812248">
      <w:pPr>
        <w:rPr>
          <w:rFonts w:eastAsiaTheme="minorEastAsia"/>
        </w:rPr>
      </w:pPr>
      <w:r>
        <w:rPr>
          <w:rFonts w:eastAsiaTheme="minorEastAsia"/>
        </w:rPr>
        <w:t>Unadjusted Migration Ratio:</w:t>
      </w:r>
    </w:p>
    <w:p w:rsidR="00812248" w:rsidRDefault="00812248" w:rsidP="00812248">
      <w:pPr>
        <w:rPr>
          <w:rFonts w:eastAsiaTheme="minorEastAsia"/>
        </w:rPr>
      </w:pPr>
    </w:p>
    <w:p w:rsidR="00812248" w:rsidRDefault="00812248" w:rsidP="00812248">
      <w:pPr>
        <w:rPr>
          <w:rFonts w:eastAsiaTheme="minorEastAsia"/>
        </w:rPr>
      </w:pPr>
      <m:oMathPara>
        <m:oMath>
          <m:r>
            <w:rPr>
              <w:rFonts w:ascii="Cambria Math" w:eastAsiaTheme="minorEastAsia" w:hAnsi="Cambria Math"/>
            </w:rPr>
            <m:t>MR</m:t>
          </m:r>
          <m:sSubSup>
            <m:sSubSupPr>
              <m:ctrlPr>
                <w:rPr>
                  <w:rFonts w:ascii="Cambria Math" w:eastAsiaTheme="minorEastAsia" w:hAnsi="Cambria Math"/>
                  <w:i/>
                </w:rPr>
              </m:ctrlPr>
            </m:sSubSupPr>
            <m:e/>
            <m:sub>
              <m:r>
                <w:rPr>
                  <w:rFonts w:ascii="Cambria Math" w:eastAsiaTheme="minorEastAsia" w:hAnsi="Cambria Math"/>
                </w:rPr>
                <m:t>i,i+1</m:t>
              </m:r>
            </m:sub>
            <m:sup>
              <m:r>
                <w:rPr>
                  <w:rFonts w:ascii="Cambria Math" w:eastAsiaTheme="minorEastAsia" w:hAnsi="Cambria Math"/>
                </w:rPr>
                <m:t>u</m:t>
              </m:r>
            </m:sup>
          </m:sSubSup>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Pop</m:t>
                  </m:r>
                  <m:sSubSup>
                    <m:sSubSupPr>
                      <m:ctrlPr>
                        <w:rPr>
                          <w:rFonts w:ascii="Cambria Math" w:eastAsiaTheme="minorEastAsia" w:hAnsi="Cambria Math"/>
                          <w:i/>
                        </w:rPr>
                      </m:ctrlPr>
                    </m:sSubSupPr>
                    <m:e/>
                    <m:sub>
                      <m:r>
                        <w:rPr>
                          <w:rFonts w:ascii="Cambria Math" w:eastAsiaTheme="minorEastAsia" w:hAnsi="Cambria Math"/>
                        </w:rPr>
                        <m:t>i</m:t>
                      </m:r>
                    </m:sub>
                    <m:sup>
                      <m:r>
                        <w:rPr>
                          <w:rFonts w:ascii="Cambria Math" w:eastAsiaTheme="minorEastAsia" w:hAnsi="Cambria Math"/>
                        </w:rPr>
                        <m:t>t</m:t>
                      </m:r>
                    </m:sup>
                  </m:sSubSup>
                  <m:r>
                    <w:rPr>
                      <w:rFonts w:ascii="Cambria Math" w:eastAsiaTheme="minorEastAsia" w:hAnsi="Cambria Math"/>
                    </w:rPr>
                    <m:t>×SR</m:t>
                  </m:r>
                  <m:sSub>
                    <m:sSubPr>
                      <m:ctrlPr>
                        <w:rPr>
                          <w:rFonts w:ascii="Cambria Math" w:eastAsiaTheme="minorEastAsia" w:hAnsi="Cambria Math"/>
                          <w:i/>
                        </w:rPr>
                      </m:ctrlPr>
                    </m:sSubPr>
                    <m:e/>
                    <m:sub>
                      <m:r>
                        <w:rPr>
                          <w:rFonts w:ascii="Cambria Math" w:eastAsiaTheme="minorEastAsia" w:hAnsi="Cambria Math"/>
                        </w:rPr>
                        <m:t>i</m:t>
                      </m:r>
                    </m:sub>
                  </m:sSub>
                </m:e>
              </m:d>
              <m:r>
                <w:rPr>
                  <w:rFonts w:ascii="Cambria Math" w:eastAsiaTheme="minorEastAsia" w:hAnsi="Cambria Math"/>
                </w:rPr>
                <m:t>+ANMi</m:t>
              </m:r>
            </m:num>
            <m:den>
              <m:d>
                <m:dPr>
                  <m:ctrlPr>
                    <w:rPr>
                      <w:rFonts w:ascii="Cambria Math" w:eastAsiaTheme="minorEastAsia" w:hAnsi="Cambria Math"/>
                      <w:i/>
                    </w:rPr>
                  </m:ctrlPr>
                </m:dPr>
                <m:e>
                  <m:r>
                    <w:rPr>
                      <w:rFonts w:ascii="Cambria Math" w:eastAsiaTheme="minorEastAsia" w:hAnsi="Cambria Math"/>
                    </w:rPr>
                    <m:t>Pop</m:t>
                  </m:r>
                  <m:sSubSup>
                    <m:sSubSupPr>
                      <m:ctrlPr>
                        <w:rPr>
                          <w:rFonts w:ascii="Cambria Math" w:eastAsiaTheme="minorEastAsia" w:hAnsi="Cambria Math"/>
                          <w:i/>
                        </w:rPr>
                      </m:ctrlPr>
                    </m:sSubSupPr>
                    <m:e/>
                    <m:sub>
                      <m:r>
                        <w:rPr>
                          <w:rFonts w:ascii="Cambria Math" w:eastAsiaTheme="minorEastAsia" w:hAnsi="Cambria Math"/>
                        </w:rPr>
                        <m:t>i</m:t>
                      </m:r>
                    </m:sub>
                    <m:sup>
                      <m:r>
                        <w:rPr>
                          <w:rFonts w:ascii="Cambria Math" w:eastAsiaTheme="minorEastAsia" w:hAnsi="Cambria Math"/>
                        </w:rPr>
                        <m:t>t</m:t>
                      </m:r>
                    </m:sup>
                  </m:sSubSup>
                  <m:r>
                    <w:rPr>
                      <w:rFonts w:ascii="Cambria Math" w:eastAsiaTheme="minorEastAsia" w:hAnsi="Cambria Math"/>
                    </w:rPr>
                    <m:t>×SR</m:t>
                  </m:r>
                  <m:sSub>
                    <m:sSubPr>
                      <m:ctrlPr>
                        <w:rPr>
                          <w:rFonts w:ascii="Cambria Math" w:eastAsiaTheme="minorEastAsia" w:hAnsi="Cambria Math"/>
                          <w:i/>
                        </w:rPr>
                      </m:ctrlPr>
                    </m:sSubPr>
                    <m:e/>
                    <m:sub>
                      <m:r>
                        <w:rPr>
                          <w:rFonts w:ascii="Cambria Math" w:eastAsiaTheme="minorEastAsia" w:hAnsi="Cambria Math"/>
                        </w:rPr>
                        <m:t>i</m:t>
                      </m:r>
                    </m:sub>
                  </m:sSub>
                </m:e>
              </m:d>
            </m:den>
          </m:f>
          <m:r>
            <w:rPr>
              <w:rFonts w:ascii="Cambria Math" w:eastAsiaTheme="minorEastAsia" w:hAnsi="Cambria Math"/>
            </w:rPr>
            <m:t xml:space="preserve"> </m:t>
          </m:r>
        </m:oMath>
      </m:oMathPara>
    </w:p>
    <w:p w:rsidR="00812248" w:rsidRDefault="00812248" w:rsidP="00812248">
      <w:pPr>
        <w:rPr>
          <w:rFonts w:eastAsiaTheme="minorEastAsia"/>
        </w:rPr>
      </w:pPr>
    </w:p>
    <w:p w:rsidR="00812248" w:rsidRDefault="00812248" w:rsidP="00812248">
      <w:pPr>
        <w:rPr>
          <w:rFonts w:eastAsiaTheme="minorEastAsia"/>
        </w:rPr>
      </w:pPr>
      <w:r>
        <w:rPr>
          <w:rFonts w:eastAsiaTheme="minorEastAsia"/>
        </w:rPr>
        <w:t xml:space="preserve">To adjust for rounding, </w:t>
      </w:r>
      <w:proofErr w:type="spellStart"/>
      <w:r>
        <w:rPr>
          <w:rFonts w:eastAsiaTheme="minorEastAsia"/>
        </w:rPr>
        <w:t>randomisation</w:t>
      </w:r>
      <w:proofErr w:type="spellEnd"/>
      <w:r>
        <w:rPr>
          <w:rFonts w:eastAsiaTheme="minorEastAsia"/>
        </w:rPr>
        <w:t xml:space="preserve"> and </w:t>
      </w:r>
      <w:proofErr w:type="spellStart"/>
      <w:r>
        <w:rPr>
          <w:rFonts w:eastAsiaTheme="minorEastAsia"/>
        </w:rPr>
        <w:t>lifetable</w:t>
      </w:r>
      <w:proofErr w:type="spellEnd"/>
      <w:r>
        <w:rPr>
          <w:rFonts w:eastAsiaTheme="minorEastAsia"/>
        </w:rPr>
        <w:t xml:space="preserve"> errors, we calculate age-sex specific adjusted migration ratios as follows:</w:t>
      </w:r>
    </w:p>
    <w:p w:rsidR="00812248" w:rsidRDefault="00812248" w:rsidP="00812248">
      <w:pPr>
        <w:rPr>
          <w:rFonts w:eastAsiaTheme="minorEastAsia"/>
        </w:rPr>
      </w:pPr>
    </w:p>
    <w:p w:rsidR="00812248" w:rsidRDefault="00812248" w:rsidP="00812248">
      <w:pPr>
        <w:rPr>
          <w:rFonts w:eastAsiaTheme="minorEastAsia"/>
        </w:rPr>
      </w:pPr>
      <m:oMathPara>
        <m:oMath>
          <m:r>
            <w:rPr>
              <w:rFonts w:ascii="Cambria Math" w:eastAsiaTheme="minorEastAsia" w:hAnsi="Cambria Math"/>
            </w:rPr>
            <m:t>MR</m:t>
          </m:r>
          <m:sSubSup>
            <m:sSubSupPr>
              <m:ctrlPr>
                <w:rPr>
                  <w:rFonts w:ascii="Cambria Math" w:eastAsiaTheme="minorEastAsia" w:hAnsi="Cambria Math"/>
                  <w:i/>
                </w:rPr>
              </m:ctrlPr>
            </m:sSubSupPr>
            <m:e/>
            <m:sub>
              <m:r>
                <w:rPr>
                  <w:rFonts w:ascii="Cambria Math" w:eastAsiaTheme="minorEastAsia" w:hAnsi="Cambria Math"/>
                </w:rPr>
                <m:t>i,i+1</m:t>
              </m:r>
            </m:sub>
            <m:sup>
              <m:r>
                <w:rPr>
                  <w:rFonts w:ascii="Cambria Math" w:eastAsiaTheme="minorEastAsia" w:hAnsi="Cambria Math"/>
                </w:rPr>
                <m:t>A</m:t>
              </m:r>
            </m:sup>
          </m:sSubSup>
          <m:r>
            <w:rPr>
              <w:rFonts w:ascii="Cambria Math" w:eastAsiaTheme="minorEastAsia" w:hAnsi="Cambria Math"/>
            </w:rPr>
            <m:t>=MR</m:t>
          </m:r>
          <m:sSubSup>
            <m:sSubSupPr>
              <m:ctrlPr>
                <w:rPr>
                  <w:rFonts w:ascii="Cambria Math" w:eastAsiaTheme="minorEastAsia" w:hAnsi="Cambria Math"/>
                  <w:i/>
                </w:rPr>
              </m:ctrlPr>
            </m:sSubSupPr>
            <m:e/>
            <m:sub>
              <m:r>
                <w:rPr>
                  <w:rFonts w:ascii="Cambria Math" w:eastAsiaTheme="minorEastAsia" w:hAnsi="Cambria Math"/>
                </w:rPr>
                <m:t>i,i+1</m:t>
              </m:r>
            </m:sub>
            <m:sup>
              <m:r>
                <w:rPr>
                  <w:rFonts w:ascii="Cambria Math" w:eastAsiaTheme="minorEastAsia" w:hAnsi="Cambria Math"/>
                </w:rPr>
                <m:t>u</m:t>
              </m:r>
            </m:sup>
          </m:sSubSup>
          <m:r>
            <w:rPr>
              <w:rFonts w:ascii="Cambria Math" w:eastAsiaTheme="minorEastAsia" w:hAnsi="Cambria Math"/>
            </w:rPr>
            <m:t>×Wi</m:t>
          </m:r>
        </m:oMath>
      </m:oMathPara>
    </w:p>
    <w:p w:rsidR="00812248" w:rsidRDefault="00812248" w:rsidP="00812248">
      <w:pPr>
        <w:rPr>
          <w:rFonts w:eastAsiaTheme="minorEastAsia"/>
        </w:rPr>
      </w:pPr>
    </w:p>
    <w:p w:rsidR="00812248" w:rsidRDefault="00812248" w:rsidP="00812248">
      <w:pPr>
        <w:rPr>
          <w:rFonts w:eastAsiaTheme="minorEastAsia"/>
        </w:rPr>
      </w:pPr>
      <w:r>
        <w:rPr>
          <w:rFonts w:eastAsiaTheme="minorEastAsia"/>
        </w:rPr>
        <w:t xml:space="preserve">Where </w:t>
      </w:r>
      <w:proofErr w:type="gramStart"/>
      <w:r>
        <w:rPr>
          <w:rFonts w:eastAsiaTheme="minorEastAsia"/>
        </w:rPr>
        <w:t>Wi</w:t>
      </w:r>
      <w:proofErr w:type="gramEnd"/>
      <w:r>
        <w:rPr>
          <w:rFonts w:eastAsiaTheme="minorEastAsia"/>
        </w:rPr>
        <w:t xml:space="preserve"> is a weighting parameter estimated </w:t>
      </w:r>
      <w:proofErr w:type="spellStart"/>
      <w:r>
        <w:rPr>
          <w:rFonts w:eastAsiaTheme="minorEastAsia"/>
        </w:rPr>
        <w:t>estimated</w:t>
      </w:r>
      <w:proofErr w:type="spellEnd"/>
      <w:r>
        <w:rPr>
          <w:rFonts w:eastAsiaTheme="minorEastAsia"/>
        </w:rPr>
        <w:t xml:space="preserve"> within the model (by numerical linear search methods), to force the constraint:</w:t>
      </w:r>
    </w:p>
    <w:p w:rsidR="00812248" w:rsidRDefault="00812248" w:rsidP="00812248">
      <w:pPr>
        <w:rPr>
          <w:rFonts w:eastAsiaTheme="minorEastAsia"/>
        </w:rPr>
      </w:pPr>
    </w:p>
    <w:p w:rsidR="00812248" w:rsidRDefault="00775556" w:rsidP="00812248">
      <w:pPr>
        <w:rPr>
          <w:rFonts w:eastAsiaTheme="minorEastAsia"/>
        </w:rPr>
      </w:pPr>
      <m:oMathPara>
        <m:oMath>
          <m:d>
            <m:dPr>
              <m:ctrlPr>
                <w:rPr>
                  <w:rFonts w:ascii="Cambria Math" w:eastAsiaTheme="minorEastAsia" w:hAnsi="Cambria Math"/>
                  <w:i/>
                </w:rPr>
              </m:ctrlPr>
            </m:dPr>
            <m:e>
              <m:r>
                <w:rPr>
                  <w:rFonts w:ascii="Cambria Math" w:eastAsiaTheme="minorEastAsia" w:hAnsi="Cambria Math"/>
                </w:rPr>
                <m:t>MR</m:t>
              </m:r>
              <m:sSubSup>
                <m:sSubSupPr>
                  <m:ctrlPr>
                    <w:rPr>
                      <w:rFonts w:ascii="Cambria Math" w:eastAsiaTheme="minorEastAsia" w:hAnsi="Cambria Math"/>
                      <w:i/>
                    </w:rPr>
                  </m:ctrlPr>
                </m:sSubSupPr>
                <m:e/>
                <m:sub>
                  <m:r>
                    <w:rPr>
                      <w:rFonts w:ascii="Cambria Math" w:eastAsiaTheme="minorEastAsia" w:hAnsi="Cambria Math"/>
                    </w:rPr>
                    <m:t>i,i+1</m:t>
                  </m:r>
                </m:sub>
                <m:sup>
                  <m:r>
                    <w:rPr>
                      <w:rFonts w:ascii="Cambria Math" w:eastAsiaTheme="minorEastAsia" w:hAnsi="Cambria Math"/>
                    </w:rPr>
                    <m:t xml:space="preserve"> A</m:t>
                  </m:r>
                </m:sup>
              </m:sSubSup>
              <m:r>
                <w:rPr>
                  <w:rFonts w:ascii="Cambria Math" w:eastAsiaTheme="minorEastAsia" w:hAnsi="Cambria Math"/>
                </w:rPr>
                <m:t>-1</m:t>
              </m:r>
            </m:e>
          </m:d>
          <m:r>
            <w:rPr>
              <w:rFonts w:ascii="Cambria Math" w:eastAsiaTheme="minorEastAsia" w:hAnsi="Cambria Math"/>
            </w:rPr>
            <m:t>×Popi=ANMi</m:t>
          </m:r>
        </m:oMath>
      </m:oMathPara>
    </w:p>
    <w:p w:rsidR="00812248" w:rsidRDefault="00812248" w:rsidP="00812248">
      <w:pPr>
        <w:rPr>
          <w:rFonts w:eastAsiaTheme="minorEastAsia"/>
        </w:rPr>
      </w:pPr>
    </w:p>
    <w:p w:rsidR="00812248" w:rsidRDefault="00812248" w:rsidP="00812248">
      <w:pPr>
        <w:rPr>
          <w:rFonts w:eastAsiaTheme="minorEastAsia"/>
        </w:rPr>
      </w:pPr>
      <w:r>
        <w:rPr>
          <w:rFonts w:eastAsiaTheme="minorEastAsia"/>
        </w:rPr>
        <w:t>This ensures that when aggregated across the population, the projected ANM is consistent by sex and year. That is a specific weight is estimated for each sex, year and region cell in the projection.</w:t>
      </w:r>
    </w:p>
    <w:p w:rsidR="00812248" w:rsidRDefault="00812248" w:rsidP="00812248">
      <w:pPr>
        <w:rPr>
          <w:rFonts w:eastAsiaTheme="minorEastAsia"/>
        </w:rPr>
      </w:pPr>
    </w:p>
    <w:p w:rsidR="00812248" w:rsidRDefault="00812248" w:rsidP="00812248">
      <w:pPr>
        <w:rPr>
          <w:rFonts w:eastAsiaTheme="minorEastAsia"/>
          <w:b/>
        </w:rPr>
      </w:pPr>
      <w:r>
        <w:rPr>
          <w:rFonts w:eastAsiaTheme="minorEastAsia"/>
          <w:b/>
        </w:rPr>
        <w:t>Reference</w:t>
      </w:r>
    </w:p>
    <w:p w:rsidR="00812248" w:rsidRPr="000478B4" w:rsidRDefault="00812248" w:rsidP="00812248">
      <w:pPr>
        <w:rPr>
          <w:rFonts w:eastAsiaTheme="minorEastAsia"/>
          <w:b/>
        </w:rPr>
      </w:pPr>
    </w:p>
    <w:p w:rsidR="000478B4" w:rsidRPr="000478B4" w:rsidRDefault="000478B4" w:rsidP="000478B4">
      <w:pPr>
        <w:rPr>
          <w:lang w:val="en-AU" w:eastAsia="en-AU"/>
        </w:rPr>
      </w:pPr>
      <w:r w:rsidRPr="000478B4">
        <w:rPr>
          <w:lang w:val="en-AU" w:eastAsia="en-AU"/>
        </w:rPr>
        <w:t>ABS (2012) 'Experimental Regional Internal Migration Estimates' Cat No. 34120, Australian Bureau of Statistics: Canberra.</w:t>
      </w:r>
    </w:p>
    <w:p w:rsidR="000478B4" w:rsidRPr="000478B4" w:rsidRDefault="000478B4" w:rsidP="00812248">
      <w:pPr>
        <w:rPr>
          <w:lang w:val="en-AU" w:eastAsia="en-AU"/>
        </w:rPr>
      </w:pPr>
    </w:p>
    <w:p w:rsidR="00812248" w:rsidRPr="000478B4" w:rsidRDefault="00812248" w:rsidP="00812248">
      <w:pPr>
        <w:rPr>
          <w:lang w:val="en-AU" w:eastAsia="en-AU"/>
        </w:rPr>
      </w:pPr>
      <w:r w:rsidRPr="000478B4">
        <w:rPr>
          <w:lang w:val="en-AU" w:eastAsia="en-AU"/>
        </w:rPr>
        <w:t>ABS (2013) ‘Upcoming Revisions to Population Estimates’ in Regional Population Growth, 2011-12. Cat No. 3218.0. Available from: http://www.abs.gov.au/ausstats/abs@.nsf/Products/3218.0~2011-12~Main+Features~Upcoming+revisions+to+population+estimates?OpenDocument</w:t>
      </w:r>
    </w:p>
    <w:p w:rsidR="00812248" w:rsidRPr="00D65B74" w:rsidRDefault="00812248" w:rsidP="00812248">
      <w:pPr>
        <w:rPr>
          <w:rFonts w:eastAsiaTheme="minorEastAsia"/>
        </w:rPr>
      </w:pPr>
    </w:p>
    <w:p w:rsidR="00225CBB" w:rsidRDefault="00225CBB">
      <w:r>
        <w:br w:type="page"/>
      </w:r>
    </w:p>
    <w:p w:rsidR="00225CBB" w:rsidRDefault="00225CBB" w:rsidP="00225CBB"/>
    <w:p w:rsidR="00225CBB" w:rsidRPr="00520FF4" w:rsidRDefault="00225CBB" w:rsidP="00225CBB">
      <w:pPr>
        <w:rPr>
          <w:b/>
        </w:rPr>
      </w:pPr>
      <w:r w:rsidRPr="00520FF4">
        <w:rPr>
          <w:b/>
        </w:rPr>
        <w:t xml:space="preserve">Table </w:t>
      </w:r>
      <w:r>
        <w:rPr>
          <w:b/>
        </w:rPr>
        <w:t>A3.1</w:t>
      </w:r>
      <w:r w:rsidRPr="00520FF4">
        <w:rPr>
          <w:b/>
        </w:rPr>
        <w:t xml:space="preserve">. </w:t>
      </w:r>
      <w:r>
        <w:rPr>
          <w:b/>
        </w:rPr>
        <w:t xml:space="preserve">Percentage </w:t>
      </w:r>
      <w:r w:rsidRPr="00520FF4">
        <w:rPr>
          <w:b/>
        </w:rPr>
        <w:t>Age Distributions of NOM Arrivals, NOM Departures</w:t>
      </w:r>
      <w:r>
        <w:rPr>
          <w:b/>
        </w:rPr>
        <w:t xml:space="preserve"> and Net NOM, </w:t>
      </w:r>
      <w:r w:rsidRPr="00520FF4">
        <w:rPr>
          <w:b/>
        </w:rPr>
        <w:t>Australia, 2011-12.</w:t>
      </w:r>
    </w:p>
    <w:tbl>
      <w:tblPr>
        <w:tblStyle w:val="TableGrid"/>
        <w:tblW w:w="0" w:type="auto"/>
        <w:tblLook w:val="04A0"/>
      </w:tblPr>
      <w:tblGrid>
        <w:gridCol w:w="1057"/>
        <w:gridCol w:w="1096"/>
        <w:gridCol w:w="1376"/>
        <w:gridCol w:w="1096"/>
      </w:tblGrid>
      <w:tr w:rsidR="00225CBB" w:rsidRPr="00520FF4" w:rsidTr="001755C7">
        <w:tc>
          <w:tcPr>
            <w:tcW w:w="1003" w:type="dxa"/>
            <w:vMerge w:val="restart"/>
          </w:tcPr>
          <w:p w:rsidR="00225CBB" w:rsidRDefault="00225CBB" w:rsidP="001755C7">
            <w:pPr>
              <w:rPr>
                <w:b/>
              </w:rPr>
            </w:pPr>
            <w:r>
              <w:rPr>
                <w:b/>
              </w:rPr>
              <w:t>Age</w:t>
            </w:r>
          </w:p>
          <w:p w:rsidR="00225CBB" w:rsidRPr="001957E2" w:rsidRDefault="00225CBB" w:rsidP="001755C7">
            <w:pPr>
              <w:rPr>
                <w:b/>
              </w:rPr>
            </w:pPr>
            <w:r>
              <w:rPr>
                <w:b/>
              </w:rPr>
              <w:t>Group</w:t>
            </w:r>
          </w:p>
        </w:tc>
        <w:tc>
          <w:tcPr>
            <w:tcW w:w="3434" w:type="dxa"/>
            <w:gridSpan w:val="3"/>
          </w:tcPr>
          <w:p w:rsidR="00225CBB" w:rsidRDefault="00225CBB" w:rsidP="001755C7">
            <w:pPr>
              <w:jc w:val="center"/>
              <w:rPr>
                <w:b/>
              </w:rPr>
            </w:pPr>
            <w:r>
              <w:rPr>
                <w:b/>
              </w:rPr>
              <w:t>Males</w:t>
            </w:r>
          </w:p>
        </w:tc>
      </w:tr>
      <w:tr w:rsidR="00225CBB" w:rsidRPr="00520FF4" w:rsidTr="001755C7">
        <w:tc>
          <w:tcPr>
            <w:tcW w:w="1003" w:type="dxa"/>
            <w:vMerge/>
          </w:tcPr>
          <w:p w:rsidR="00225CBB" w:rsidRPr="001957E2" w:rsidRDefault="00225CBB" w:rsidP="001755C7">
            <w:pPr>
              <w:rPr>
                <w:b/>
              </w:rPr>
            </w:pPr>
          </w:p>
        </w:tc>
        <w:tc>
          <w:tcPr>
            <w:tcW w:w="1096" w:type="dxa"/>
          </w:tcPr>
          <w:p w:rsidR="00225CBB" w:rsidRPr="001957E2" w:rsidRDefault="00225CBB" w:rsidP="001755C7">
            <w:pPr>
              <w:jc w:val="center"/>
              <w:rPr>
                <w:b/>
              </w:rPr>
            </w:pPr>
            <w:r>
              <w:rPr>
                <w:b/>
              </w:rPr>
              <w:t>NOM Arrivals</w:t>
            </w:r>
          </w:p>
        </w:tc>
        <w:tc>
          <w:tcPr>
            <w:tcW w:w="1242" w:type="dxa"/>
          </w:tcPr>
          <w:p w:rsidR="00225CBB" w:rsidRPr="001957E2" w:rsidRDefault="00225CBB" w:rsidP="001755C7">
            <w:pPr>
              <w:jc w:val="center"/>
              <w:rPr>
                <w:b/>
              </w:rPr>
            </w:pPr>
            <w:r>
              <w:rPr>
                <w:b/>
              </w:rPr>
              <w:t>NOM Departures</w:t>
            </w:r>
          </w:p>
        </w:tc>
        <w:tc>
          <w:tcPr>
            <w:tcW w:w="1096" w:type="dxa"/>
          </w:tcPr>
          <w:p w:rsidR="00225CBB" w:rsidRPr="001957E2" w:rsidRDefault="00225CBB" w:rsidP="001755C7">
            <w:pPr>
              <w:jc w:val="center"/>
              <w:rPr>
                <w:b/>
              </w:rPr>
            </w:pPr>
            <w:r>
              <w:rPr>
                <w:b/>
              </w:rPr>
              <w:t>Net NOM</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0-4</w:t>
            </w:r>
          </w:p>
        </w:tc>
        <w:tc>
          <w:tcPr>
            <w:tcW w:w="1096" w:type="dxa"/>
            <w:vAlign w:val="bottom"/>
          </w:tcPr>
          <w:p w:rsidR="00225CBB" w:rsidRPr="00520FF4" w:rsidRDefault="00225CBB" w:rsidP="001755C7">
            <w:pPr>
              <w:jc w:val="center"/>
              <w:rPr>
                <w:color w:val="000000"/>
              </w:rPr>
            </w:pPr>
            <w:r w:rsidRPr="00520FF4">
              <w:rPr>
                <w:color w:val="000000"/>
              </w:rPr>
              <w:t>6.6</w:t>
            </w:r>
          </w:p>
        </w:tc>
        <w:tc>
          <w:tcPr>
            <w:tcW w:w="1242" w:type="dxa"/>
            <w:vAlign w:val="bottom"/>
          </w:tcPr>
          <w:p w:rsidR="00225CBB" w:rsidRPr="00520FF4" w:rsidRDefault="00225CBB" w:rsidP="001755C7">
            <w:pPr>
              <w:jc w:val="right"/>
              <w:rPr>
                <w:color w:val="000000"/>
              </w:rPr>
            </w:pPr>
            <w:r w:rsidRPr="00520FF4">
              <w:rPr>
                <w:color w:val="000000"/>
              </w:rPr>
              <w:t>6.2</w:t>
            </w:r>
          </w:p>
        </w:tc>
        <w:tc>
          <w:tcPr>
            <w:tcW w:w="1096" w:type="dxa"/>
            <w:vAlign w:val="bottom"/>
          </w:tcPr>
          <w:p w:rsidR="00225CBB" w:rsidRPr="00520FF4" w:rsidRDefault="00225CBB" w:rsidP="001755C7">
            <w:pPr>
              <w:jc w:val="right"/>
              <w:rPr>
                <w:color w:val="000000"/>
              </w:rPr>
            </w:pPr>
            <w:r w:rsidRPr="00520FF4">
              <w:rPr>
                <w:color w:val="000000"/>
              </w:rPr>
              <w:t>7.2</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5 to 9</w:t>
            </w:r>
          </w:p>
        </w:tc>
        <w:tc>
          <w:tcPr>
            <w:tcW w:w="1096" w:type="dxa"/>
            <w:vAlign w:val="bottom"/>
          </w:tcPr>
          <w:p w:rsidR="00225CBB" w:rsidRPr="00520FF4" w:rsidRDefault="00225CBB" w:rsidP="001755C7">
            <w:pPr>
              <w:jc w:val="center"/>
              <w:rPr>
                <w:color w:val="000000"/>
              </w:rPr>
            </w:pPr>
            <w:r w:rsidRPr="00520FF4">
              <w:rPr>
                <w:color w:val="000000"/>
              </w:rPr>
              <w:t>5.1</w:t>
            </w:r>
          </w:p>
        </w:tc>
        <w:tc>
          <w:tcPr>
            <w:tcW w:w="1242" w:type="dxa"/>
            <w:vAlign w:val="bottom"/>
          </w:tcPr>
          <w:p w:rsidR="00225CBB" w:rsidRPr="00520FF4" w:rsidRDefault="00225CBB" w:rsidP="001755C7">
            <w:pPr>
              <w:jc w:val="right"/>
              <w:rPr>
                <w:color w:val="000000"/>
              </w:rPr>
            </w:pPr>
            <w:r w:rsidRPr="00520FF4">
              <w:rPr>
                <w:color w:val="000000"/>
              </w:rPr>
              <w:t>3.3</w:t>
            </w:r>
          </w:p>
        </w:tc>
        <w:tc>
          <w:tcPr>
            <w:tcW w:w="1096" w:type="dxa"/>
            <w:vAlign w:val="bottom"/>
          </w:tcPr>
          <w:p w:rsidR="00225CBB" w:rsidRPr="00520FF4" w:rsidRDefault="00225CBB" w:rsidP="001755C7">
            <w:pPr>
              <w:jc w:val="right"/>
              <w:rPr>
                <w:color w:val="000000"/>
              </w:rPr>
            </w:pPr>
            <w:r w:rsidRPr="00520FF4">
              <w:rPr>
                <w:color w:val="000000"/>
              </w:rPr>
              <w:t>7.3</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10 to 14</w:t>
            </w:r>
          </w:p>
        </w:tc>
        <w:tc>
          <w:tcPr>
            <w:tcW w:w="1096" w:type="dxa"/>
            <w:vAlign w:val="bottom"/>
          </w:tcPr>
          <w:p w:rsidR="00225CBB" w:rsidRPr="00520FF4" w:rsidRDefault="00225CBB" w:rsidP="001755C7">
            <w:pPr>
              <w:jc w:val="center"/>
              <w:rPr>
                <w:color w:val="000000"/>
              </w:rPr>
            </w:pPr>
            <w:r w:rsidRPr="00520FF4">
              <w:rPr>
                <w:color w:val="000000"/>
              </w:rPr>
              <w:t>4.2</w:t>
            </w:r>
          </w:p>
        </w:tc>
        <w:tc>
          <w:tcPr>
            <w:tcW w:w="1242" w:type="dxa"/>
            <w:vAlign w:val="bottom"/>
          </w:tcPr>
          <w:p w:rsidR="00225CBB" w:rsidRPr="00520FF4" w:rsidRDefault="00225CBB" w:rsidP="001755C7">
            <w:pPr>
              <w:jc w:val="right"/>
              <w:rPr>
                <w:color w:val="000000"/>
              </w:rPr>
            </w:pPr>
            <w:r w:rsidRPr="00520FF4">
              <w:rPr>
                <w:color w:val="000000"/>
              </w:rPr>
              <w:t>2.8</w:t>
            </w:r>
          </w:p>
        </w:tc>
        <w:tc>
          <w:tcPr>
            <w:tcW w:w="1096" w:type="dxa"/>
            <w:vAlign w:val="bottom"/>
          </w:tcPr>
          <w:p w:rsidR="00225CBB" w:rsidRPr="00520FF4" w:rsidRDefault="00225CBB" w:rsidP="001755C7">
            <w:pPr>
              <w:jc w:val="right"/>
              <w:rPr>
                <w:color w:val="000000"/>
              </w:rPr>
            </w:pPr>
            <w:r w:rsidRPr="00520FF4">
              <w:rPr>
                <w:color w:val="000000"/>
              </w:rPr>
              <w:t>6</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15-19</w:t>
            </w:r>
          </w:p>
        </w:tc>
        <w:tc>
          <w:tcPr>
            <w:tcW w:w="1096" w:type="dxa"/>
            <w:vAlign w:val="bottom"/>
          </w:tcPr>
          <w:p w:rsidR="00225CBB" w:rsidRPr="00520FF4" w:rsidRDefault="00225CBB" w:rsidP="001755C7">
            <w:pPr>
              <w:jc w:val="center"/>
              <w:rPr>
                <w:color w:val="000000"/>
              </w:rPr>
            </w:pPr>
            <w:r w:rsidRPr="00520FF4">
              <w:rPr>
                <w:color w:val="000000"/>
              </w:rPr>
              <w:t>7.4</w:t>
            </w:r>
          </w:p>
        </w:tc>
        <w:tc>
          <w:tcPr>
            <w:tcW w:w="1242" w:type="dxa"/>
            <w:vAlign w:val="bottom"/>
          </w:tcPr>
          <w:p w:rsidR="00225CBB" w:rsidRPr="00520FF4" w:rsidRDefault="00225CBB" w:rsidP="001755C7">
            <w:pPr>
              <w:jc w:val="right"/>
              <w:rPr>
                <w:color w:val="000000"/>
              </w:rPr>
            </w:pPr>
            <w:r w:rsidRPr="00520FF4">
              <w:rPr>
                <w:color w:val="000000"/>
              </w:rPr>
              <w:t>3.7</w:t>
            </w:r>
          </w:p>
        </w:tc>
        <w:tc>
          <w:tcPr>
            <w:tcW w:w="1096" w:type="dxa"/>
            <w:vAlign w:val="bottom"/>
          </w:tcPr>
          <w:p w:rsidR="00225CBB" w:rsidRPr="00520FF4" w:rsidRDefault="00225CBB" w:rsidP="001755C7">
            <w:pPr>
              <w:jc w:val="right"/>
              <w:rPr>
                <w:color w:val="000000"/>
              </w:rPr>
            </w:pPr>
            <w:r w:rsidRPr="00520FF4">
              <w:rPr>
                <w:color w:val="000000"/>
              </w:rPr>
              <w:t>12.2</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20-24</w:t>
            </w:r>
          </w:p>
        </w:tc>
        <w:tc>
          <w:tcPr>
            <w:tcW w:w="1096" w:type="dxa"/>
            <w:vAlign w:val="bottom"/>
          </w:tcPr>
          <w:p w:rsidR="00225CBB" w:rsidRPr="00520FF4" w:rsidRDefault="00225CBB" w:rsidP="001755C7">
            <w:pPr>
              <w:jc w:val="center"/>
              <w:rPr>
                <w:color w:val="000000"/>
              </w:rPr>
            </w:pPr>
            <w:r w:rsidRPr="00520FF4">
              <w:rPr>
                <w:color w:val="000000"/>
              </w:rPr>
              <w:t>17.2</w:t>
            </w:r>
          </w:p>
        </w:tc>
        <w:tc>
          <w:tcPr>
            <w:tcW w:w="1242" w:type="dxa"/>
            <w:vAlign w:val="bottom"/>
          </w:tcPr>
          <w:p w:rsidR="00225CBB" w:rsidRPr="00520FF4" w:rsidRDefault="00225CBB" w:rsidP="001755C7">
            <w:pPr>
              <w:jc w:val="right"/>
              <w:rPr>
                <w:color w:val="000000"/>
              </w:rPr>
            </w:pPr>
            <w:r w:rsidRPr="00520FF4">
              <w:rPr>
                <w:color w:val="000000"/>
              </w:rPr>
              <w:t>17.3</w:t>
            </w:r>
          </w:p>
        </w:tc>
        <w:tc>
          <w:tcPr>
            <w:tcW w:w="1096" w:type="dxa"/>
            <w:vAlign w:val="bottom"/>
          </w:tcPr>
          <w:p w:rsidR="00225CBB" w:rsidRPr="00520FF4" w:rsidRDefault="00225CBB" w:rsidP="001755C7">
            <w:pPr>
              <w:jc w:val="right"/>
              <w:rPr>
                <w:color w:val="000000"/>
              </w:rPr>
            </w:pPr>
            <w:r w:rsidRPr="00520FF4">
              <w:rPr>
                <w:color w:val="000000"/>
              </w:rPr>
              <w:t>17.1</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25-29</w:t>
            </w:r>
          </w:p>
        </w:tc>
        <w:tc>
          <w:tcPr>
            <w:tcW w:w="1096" w:type="dxa"/>
            <w:vAlign w:val="bottom"/>
          </w:tcPr>
          <w:p w:rsidR="00225CBB" w:rsidRPr="00520FF4" w:rsidRDefault="00225CBB" w:rsidP="001755C7">
            <w:pPr>
              <w:jc w:val="center"/>
              <w:rPr>
                <w:color w:val="000000"/>
              </w:rPr>
            </w:pPr>
            <w:r w:rsidRPr="00520FF4">
              <w:rPr>
                <w:color w:val="000000"/>
              </w:rPr>
              <w:t>18.1</w:t>
            </w:r>
          </w:p>
        </w:tc>
        <w:tc>
          <w:tcPr>
            <w:tcW w:w="1242" w:type="dxa"/>
            <w:vAlign w:val="bottom"/>
          </w:tcPr>
          <w:p w:rsidR="00225CBB" w:rsidRPr="00520FF4" w:rsidRDefault="00225CBB" w:rsidP="001755C7">
            <w:pPr>
              <w:jc w:val="right"/>
              <w:rPr>
                <w:color w:val="000000"/>
              </w:rPr>
            </w:pPr>
            <w:r w:rsidRPr="00520FF4">
              <w:rPr>
                <w:color w:val="000000"/>
              </w:rPr>
              <w:t>22.6</w:t>
            </w:r>
          </w:p>
        </w:tc>
        <w:tc>
          <w:tcPr>
            <w:tcW w:w="1096" w:type="dxa"/>
            <w:vAlign w:val="bottom"/>
          </w:tcPr>
          <w:p w:rsidR="00225CBB" w:rsidRPr="00520FF4" w:rsidRDefault="00225CBB" w:rsidP="001755C7">
            <w:pPr>
              <w:jc w:val="right"/>
              <w:rPr>
                <w:color w:val="000000"/>
              </w:rPr>
            </w:pPr>
            <w:r w:rsidRPr="00520FF4">
              <w:rPr>
                <w:color w:val="000000"/>
              </w:rPr>
              <w:t>12.3</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30-34</w:t>
            </w:r>
          </w:p>
        </w:tc>
        <w:tc>
          <w:tcPr>
            <w:tcW w:w="1096" w:type="dxa"/>
            <w:vAlign w:val="bottom"/>
          </w:tcPr>
          <w:p w:rsidR="00225CBB" w:rsidRPr="00520FF4" w:rsidRDefault="00225CBB" w:rsidP="001755C7">
            <w:pPr>
              <w:jc w:val="center"/>
              <w:rPr>
                <w:color w:val="000000"/>
              </w:rPr>
            </w:pPr>
            <w:r w:rsidRPr="00520FF4">
              <w:rPr>
                <w:color w:val="000000"/>
              </w:rPr>
              <w:t>12.9</w:t>
            </w:r>
          </w:p>
        </w:tc>
        <w:tc>
          <w:tcPr>
            <w:tcW w:w="1242" w:type="dxa"/>
            <w:vAlign w:val="bottom"/>
          </w:tcPr>
          <w:p w:rsidR="00225CBB" w:rsidRPr="00520FF4" w:rsidRDefault="00225CBB" w:rsidP="001755C7">
            <w:pPr>
              <w:jc w:val="right"/>
              <w:rPr>
                <w:color w:val="000000"/>
              </w:rPr>
            </w:pPr>
            <w:r w:rsidRPr="00520FF4">
              <w:rPr>
                <w:color w:val="000000"/>
              </w:rPr>
              <w:t>14</w:t>
            </w:r>
          </w:p>
        </w:tc>
        <w:tc>
          <w:tcPr>
            <w:tcW w:w="1096" w:type="dxa"/>
            <w:vAlign w:val="bottom"/>
          </w:tcPr>
          <w:p w:rsidR="00225CBB" w:rsidRPr="00520FF4" w:rsidRDefault="00225CBB" w:rsidP="001755C7">
            <w:pPr>
              <w:jc w:val="right"/>
              <w:rPr>
                <w:color w:val="000000"/>
              </w:rPr>
            </w:pPr>
            <w:r w:rsidRPr="00520FF4">
              <w:rPr>
                <w:color w:val="000000"/>
              </w:rPr>
              <w:t>11.4</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35-39</w:t>
            </w:r>
          </w:p>
        </w:tc>
        <w:tc>
          <w:tcPr>
            <w:tcW w:w="1096" w:type="dxa"/>
            <w:vAlign w:val="bottom"/>
          </w:tcPr>
          <w:p w:rsidR="00225CBB" w:rsidRPr="00520FF4" w:rsidRDefault="00225CBB" w:rsidP="001755C7">
            <w:pPr>
              <w:jc w:val="center"/>
              <w:rPr>
                <w:color w:val="000000"/>
              </w:rPr>
            </w:pPr>
            <w:r w:rsidRPr="00520FF4">
              <w:rPr>
                <w:color w:val="000000"/>
              </w:rPr>
              <w:t>8</w:t>
            </w:r>
          </w:p>
        </w:tc>
        <w:tc>
          <w:tcPr>
            <w:tcW w:w="1242" w:type="dxa"/>
            <w:vAlign w:val="bottom"/>
          </w:tcPr>
          <w:p w:rsidR="00225CBB" w:rsidRPr="00520FF4" w:rsidRDefault="00225CBB" w:rsidP="001755C7">
            <w:pPr>
              <w:jc w:val="right"/>
              <w:rPr>
                <w:color w:val="000000"/>
              </w:rPr>
            </w:pPr>
            <w:r w:rsidRPr="00520FF4">
              <w:rPr>
                <w:color w:val="000000"/>
              </w:rPr>
              <w:t>7.4</w:t>
            </w:r>
          </w:p>
        </w:tc>
        <w:tc>
          <w:tcPr>
            <w:tcW w:w="1096" w:type="dxa"/>
            <w:vAlign w:val="bottom"/>
          </w:tcPr>
          <w:p w:rsidR="00225CBB" w:rsidRPr="00520FF4" w:rsidRDefault="00225CBB" w:rsidP="001755C7">
            <w:pPr>
              <w:jc w:val="right"/>
              <w:rPr>
                <w:color w:val="000000"/>
              </w:rPr>
            </w:pPr>
            <w:r w:rsidRPr="00520FF4">
              <w:rPr>
                <w:color w:val="000000"/>
              </w:rPr>
              <w:t>8.9</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40-44</w:t>
            </w:r>
          </w:p>
        </w:tc>
        <w:tc>
          <w:tcPr>
            <w:tcW w:w="1096" w:type="dxa"/>
            <w:vAlign w:val="bottom"/>
          </w:tcPr>
          <w:p w:rsidR="00225CBB" w:rsidRPr="00520FF4" w:rsidRDefault="00225CBB" w:rsidP="001755C7">
            <w:pPr>
              <w:jc w:val="center"/>
              <w:rPr>
                <w:color w:val="000000"/>
              </w:rPr>
            </w:pPr>
            <w:r w:rsidRPr="00520FF4">
              <w:rPr>
                <w:color w:val="000000"/>
              </w:rPr>
              <w:t>6.7</w:t>
            </w:r>
          </w:p>
        </w:tc>
        <w:tc>
          <w:tcPr>
            <w:tcW w:w="1242" w:type="dxa"/>
            <w:vAlign w:val="bottom"/>
          </w:tcPr>
          <w:p w:rsidR="00225CBB" w:rsidRPr="00520FF4" w:rsidRDefault="00225CBB" w:rsidP="001755C7">
            <w:pPr>
              <w:jc w:val="right"/>
              <w:rPr>
                <w:color w:val="000000"/>
              </w:rPr>
            </w:pPr>
            <w:r w:rsidRPr="00520FF4">
              <w:rPr>
                <w:color w:val="000000"/>
              </w:rPr>
              <w:t>5.8</w:t>
            </w:r>
          </w:p>
        </w:tc>
        <w:tc>
          <w:tcPr>
            <w:tcW w:w="1096" w:type="dxa"/>
            <w:vAlign w:val="bottom"/>
          </w:tcPr>
          <w:p w:rsidR="00225CBB" w:rsidRPr="00520FF4" w:rsidRDefault="00225CBB" w:rsidP="001755C7">
            <w:pPr>
              <w:jc w:val="right"/>
              <w:rPr>
                <w:color w:val="000000"/>
              </w:rPr>
            </w:pPr>
            <w:r w:rsidRPr="00520FF4">
              <w:rPr>
                <w:color w:val="000000"/>
              </w:rPr>
              <w:t>7.9</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45-49</w:t>
            </w:r>
          </w:p>
        </w:tc>
        <w:tc>
          <w:tcPr>
            <w:tcW w:w="1096" w:type="dxa"/>
            <w:vAlign w:val="bottom"/>
          </w:tcPr>
          <w:p w:rsidR="00225CBB" w:rsidRPr="00520FF4" w:rsidRDefault="00225CBB" w:rsidP="001755C7">
            <w:pPr>
              <w:jc w:val="center"/>
              <w:rPr>
                <w:color w:val="000000"/>
              </w:rPr>
            </w:pPr>
            <w:r w:rsidRPr="00520FF4">
              <w:rPr>
                <w:color w:val="000000"/>
              </w:rPr>
              <w:t>3.9</w:t>
            </w:r>
          </w:p>
        </w:tc>
        <w:tc>
          <w:tcPr>
            <w:tcW w:w="1242" w:type="dxa"/>
            <w:vAlign w:val="bottom"/>
          </w:tcPr>
          <w:p w:rsidR="00225CBB" w:rsidRPr="00520FF4" w:rsidRDefault="00225CBB" w:rsidP="001755C7">
            <w:pPr>
              <w:jc w:val="right"/>
              <w:rPr>
                <w:color w:val="000000"/>
              </w:rPr>
            </w:pPr>
            <w:r w:rsidRPr="00520FF4">
              <w:rPr>
                <w:color w:val="000000"/>
              </w:rPr>
              <w:t>4.3</w:t>
            </w:r>
          </w:p>
        </w:tc>
        <w:tc>
          <w:tcPr>
            <w:tcW w:w="1096" w:type="dxa"/>
            <w:vAlign w:val="bottom"/>
          </w:tcPr>
          <w:p w:rsidR="00225CBB" w:rsidRPr="00520FF4" w:rsidRDefault="00225CBB" w:rsidP="001755C7">
            <w:pPr>
              <w:jc w:val="right"/>
              <w:rPr>
                <w:color w:val="000000"/>
              </w:rPr>
            </w:pPr>
            <w:r w:rsidRPr="00520FF4">
              <w:rPr>
                <w:color w:val="000000"/>
              </w:rPr>
              <w:t>3.5</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50-54</w:t>
            </w:r>
          </w:p>
        </w:tc>
        <w:tc>
          <w:tcPr>
            <w:tcW w:w="1096" w:type="dxa"/>
            <w:vAlign w:val="bottom"/>
          </w:tcPr>
          <w:p w:rsidR="00225CBB" w:rsidRPr="00520FF4" w:rsidRDefault="00225CBB" w:rsidP="001755C7">
            <w:pPr>
              <w:jc w:val="center"/>
              <w:rPr>
                <w:color w:val="000000"/>
              </w:rPr>
            </w:pPr>
            <w:r w:rsidRPr="00520FF4">
              <w:rPr>
                <w:color w:val="000000"/>
              </w:rPr>
              <w:t>3.2</w:t>
            </w:r>
          </w:p>
        </w:tc>
        <w:tc>
          <w:tcPr>
            <w:tcW w:w="1242" w:type="dxa"/>
            <w:vAlign w:val="bottom"/>
          </w:tcPr>
          <w:p w:rsidR="00225CBB" w:rsidRPr="00520FF4" w:rsidRDefault="00225CBB" w:rsidP="001755C7">
            <w:pPr>
              <w:jc w:val="right"/>
              <w:rPr>
                <w:color w:val="000000"/>
              </w:rPr>
            </w:pPr>
            <w:r w:rsidRPr="00520FF4">
              <w:rPr>
                <w:color w:val="000000"/>
              </w:rPr>
              <w:t>3.5</w:t>
            </w:r>
          </w:p>
        </w:tc>
        <w:tc>
          <w:tcPr>
            <w:tcW w:w="1096" w:type="dxa"/>
            <w:vAlign w:val="bottom"/>
          </w:tcPr>
          <w:p w:rsidR="00225CBB" w:rsidRPr="00520FF4" w:rsidRDefault="00225CBB" w:rsidP="001755C7">
            <w:pPr>
              <w:jc w:val="right"/>
              <w:rPr>
                <w:color w:val="000000"/>
              </w:rPr>
            </w:pPr>
            <w:r w:rsidRPr="00520FF4">
              <w:rPr>
                <w:color w:val="000000"/>
              </w:rPr>
              <w:t>2.7</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55-59</w:t>
            </w:r>
          </w:p>
        </w:tc>
        <w:tc>
          <w:tcPr>
            <w:tcW w:w="1096" w:type="dxa"/>
            <w:vAlign w:val="bottom"/>
          </w:tcPr>
          <w:p w:rsidR="00225CBB" w:rsidRPr="00520FF4" w:rsidRDefault="00225CBB" w:rsidP="001755C7">
            <w:pPr>
              <w:jc w:val="center"/>
              <w:rPr>
                <w:color w:val="000000"/>
              </w:rPr>
            </w:pPr>
            <w:r w:rsidRPr="00520FF4">
              <w:rPr>
                <w:color w:val="000000"/>
              </w:rPr>
              <w:t>2.2</w:t>
            </w:r>
          </w:p>
        </w:tc>
        <w:tc>
          <w:tcPr>
            <w:tcW w:w="1242" w:type="dxa"/>
            <w:vAlign w:val="bottom"/>
          </w:tcPr>
          <w:p w:rsidR="00225CBB" w:rsidRPr="00520FF4" w:rsidRDefault="00225CBB" w:rsidP="001755C7">
            <w:pPr>
              <w:jc w:val="right"/>
              <w:rPr>
                <w:color w:val="000000"/>
              </w:rPr>
            </w:pPr>
            <w:r w:rsidRPr="00520FF4">
              <w:rPr>
                <w:color w:val="000000"/>
              </w:rPr>
              <w:t>2.8</w:t>
            </w:r>
          </w:p>
        </w:tc>
        <w:tc>
          <w:tcPr>
            <w:tcW w:w="1096" w:type="dxa"/>
            <w:vAlign w:val="bottom"/>
          </w:tcPr>
          <w:p w:rsidR="00225CBB" w:rsidRPr="00520FF4" w:rsidRDefault="00225CBB" w:rsidP="001755C7">
            <w:pPr>
              <w:jc w:val="right"/>
              <w:rPr>
                <w:color w:val="000000"/>
              </w:rPr>
            </w:pPr>
            <w:r w:rsidRPr="00520FF4">
              <w:rPr>
                <w:color w:val="000000"/>
              </w:rPr>
              <w:t>1.4</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60-64</w:t>
            </w:r>
          </w:p>
        </w:tc>
        <w:tc>
          <w:tcPr>
            <w:tcW w:w="1096" w:type="dxa"/>
            <w:vAlign w:val="bottom"/>
          </w:tcPr>
          <w:p w:rsidR="00225CBB" w:rsidRPr="00520FF4" w:rsidRDefault="00225CBB" w:rsidP="001755C7">
            <w:pPr>
              <w:jc w:val="center"/>
              <w:rPr>
                <w:color w:val="000000"/>
              </w:rPr>
            </w:pPr>
            <w:r w:rsidRPr="00520FF4">
              <w:rPr>
                <w:color w:val="000000"/>
              </w:rPr>
              <w:t>1.9</w:t>
            </w:r>
          </w:p>
        </w:tc>
        <w:tc>
          <w:tcPr>
            <w:tcW w:w="1242" w:type="dxa"/>
            <w:vAlign w:val="bottom"/>
          </w:tcPr>
          <w:p w:rsidR="00225CBB" w:rsidRPr="00520FF4" w:rsidRDefault="00225CBB" w:rsidP="001755C7">
            <w:pPr>
              <w:jc w:val="right"/>
              <w:rPr>
                <w:color w:val="000000"/>
              </w:rPr>
            </w:pPr>
            <w:r w:rsidRPr="00520FF4">
              <w:rPr>
                <w:color w:val="000000"/>
              </w:rPr>
              <w:t>2.4</w:t>
            </w:r>
          </w:p>
        </w:tc>
        <w:tc>
          <w:tcPr>
            <w:tcW w:w="1096" w:type="dxa"/>
            <w:vAlign w:val="bottom"/>
          </w:tcPr>
          <w:p w:rsidR="00225CBB" w:rsidRPr="00520FF4" w:rsidRDefault="00225CBB" w:rsidP="001755C7">
            <w:pPr>
              <w:jc w:val="right"/>
              <w:rPr>
                <w:color w:val="000000"/>
              </w:rPr>
            </w:pPr>
            <w:r w:rsidRPr="00520FF4">
              <w:rPr>
                <w:color w:val="000000"/>
              </w:rPr>
              <w:t>1.2</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65+</w:t>
            </w:r>
          </w:p>
        </w:tc>
        <w:tc>
          <w:tcPr>
            <w:tcW w:w="1096" w:type="dxa"/>
            <w:vAlign w:val="bottom"/>
          </w:tcPr>
          <w:p w:rsidR="00225CBB" w:rsidRPr="00520FF4" w:rsidRDefault="00225CBB" w:rsidP="001755C7">
            <w:pPr>
              <w:jc w:val="center"/>
              <w:rPr>
                <w:color w:val="000000"/>
              </w:rPr>
            </w:pPr>
            <w:r w:rsidRPr="00520FF4">
              <w:rPr>
                <w:color w:val="000000"/>
              </w:rPr>
              <w:t>2.6</w:t>
            </w:r>
          </w:p>
        </w:tc>
        <w:tc>
          <w:tcPr>
            <w:tcW w:w="1242" w:type="dxa"/>
            <w:vAlign w:val="bottom"/>
          </w:tcPr>
          <w:p w:rsidR="00225CBB" w:rsidRPr="00520FF4" w:rsidRDefault="00225CBB" w:rsidP="001755C7">
            <w:pPr>
              <w:jc w:val="right"/>
              <w:rPr>
                <w:color w:val="000000"/>
              </w:rPr>
            </w:pPr>
            <w:r w:rsidRPr="00520FF4">
              <w:rPr>
                <w:color w:val="000000"/>
              </w:rPr>
              <w:t>3.8</w:t>
            </w:r>
          </w:p>
        </w:tc>
        <w:tc>
          <w:tcPr>
            <w:tcW w:w="1096" w:type="dxa"/>
            <w:vAlign w:val="bottom"/>
          </w:tcPr>
          <w:p w:rsidR="00225CBB" w:rsidRPr="00520FF4" w:rsidRDefault="00225CBB" w:rsidP="001755C7">
            <w:pPr>
              <w:jc w:val="right"/>
              <w:rPr>
                <w:color w:val="000000"/>
              </w:rPr>
            </w:pPr>
            <w:r w:rsidRPr="00520FF4">
              <w:rPr>
                <w:color w:val="000000"/>
              </w:rPr>
              <w:t>0.9</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TOTAL</w:t>
            </w:r>
          </w:p>
        </w:tc>
        <w:tc>
          <w:tcPr>
            <w:tcW w:w="1096" w:type="dxa"/>
            <w:vAlign w:val="bottom"/>
          </w:tcPr>
          <w:p w:rsidR="00225CBB" w:rsidRPr="00520FF4" w:rsidRDefault="00225CBB" w:rsidP="001755C7">
            <w:pPr>
              <w:jc w:val="center"/>
              <w:rPr>
                <w:color w:val="000000"/>
              </w:rPr>
            </w:pPr>
            <w:r w:rsidRPr="00520FF4">
              <w:rPr>
                <w:color w:val="000000"/>
              </w:rPr>
              <w:t>100</w:t>
            </w:r>
          </w:p>
        </w:tc>
        <w:tc>
          <w:tcPr>
            <w:tcW w:w="1242" w:type="dxa"/>
            <w:vAlign w:val="bottom"/>
          </w:tcPr>
          <w:p w:rsidR="00225CBB" w:rsidRPr="00520FF4" w:rsidRDefault="00225CBB" w:rsidP="001755C7">
            <w:pPr>
              <w:jc w:val="right"/>
              <w:rPr>
                <w:color w:val="000000"/>
              </w:rPr>
            </w:pPr>
            <w:r w:rsidRPr="00520FF4">
              <w:rPr>
                <w:color w:val="000000"/>
              </w:rPr>
              <w:t>100</w:t>
            </w:r>
          </w:p>
        </w:tc>
        <w:tc>
          <w:tcPr>
            <w:tcW w:w="1096" w:type="dxa"/>
            <w:vAlign w:val="bottom"/>
          </w:tcPr>
          <w:p w:rsidR="00225CBB" w:rsidRPr="00520FF4" w:rsidRDefault="00225CBB" w:rsidP="001755C7">
            <w:pPr>
              <w:jc w:val="right"/>
              <w:rPr>
                <w:color w:val="000000"/>
              </w:rPr>
            </w:pPr>
            <w:r w:rsidRPr="00520FF4">
              <w:rPr>
                <w:color w:val="000000"/>
              </w:rPr>
              <w:t>100</w:t>
            </w:r>
          </w:p>
        </w:tc>
      </w:tr>
    </w:tbl>
    <w:p w:rsidR="00225CBB" w:rsidRDefault="00225CBB" w:rsidP="00225CBB"/>
    <w:tbl>
      <w:tblPr>
        <w:tblStyle w:val="TableGrid"/>
        <w:tblW w:w="0" w:type="auto"/>
        <w:tblLook w:val="04A0"/>
      </w:tblPr>
      <w:tblGrid>
        <w:gridCol w:w="1057"/>
        <w:gridCol w:w="1096"/>
        <w:gridCol w:w="1376"/>
        <w:gridCol w:w="1096"/>
      </w:tblGrid>
      <w:tr w:rsidR="00225CBB" w:rsidRPr="00520FF4" w:rsidTr="001755C7">
        <w:tc>
          <w:tcPr>
            <w:tcW w:w="1003" w:type="dxa"/>
            <w:vMerge w:val="restart"/>
          </w:tcPr>
          <w:p w:rsidR="00225CBB" w:rsidRDefault="00225CBB" w:rsidP="001755C7">
            <w:pPr>
              <w:rPr>
                <w:b/>
              </w:rPr>
            </w:pPr>
            <w:r>
              <w:rPr>
                <w:b/>
              </w:rPr>
              <w:t>Age</w:t>
            </w:r>
          </w:p>
          <w:p w:rsidR="00225CBB" w:rsidRPr="001957E2" w:rsidRDefault="00225CBB" w:rsidP="001755C7">
            <w:pPr>
              <w:rPr>
                <w:b/>
              </w:rPr>
            </w:pPr>
            <w:r>
              <w:rPr>
                <w:b/>
              </w:rPr>
              <w:t>Group</w:t>
            </w:r>
          </w:p>
        </w:tc>
        <w:tc>
          <w:tcPr>
            <w:tcW w:w="3434" w:type="dxa"/>
            <w:gridSpan w:val="3"/>
          </w:tcPr>
          <w:p w:rsidR="00225CBB" w:rsidRDefault="00225CBB" w:rsidP="001755C7">
            <w:pPr>
              <w:jc w:val="center"/>
              <w:rPr>
                <w:b/>
              </w:rPr>
            </w:pPr>
            <w:r>
              <w:rPr>
                <w:b/>
              </w:rPr>
              <w:t>Females</w:t>
            </w:r>
          </w:p>
        </w:tc>
      </w:tr>
      <w:tr w:rsidR="00225CBB" w:rsidRPr="00520FF4" w:rsidTr="001755C7">
        <w:tc>
          <w:tcPr>
            <w:tcW w:w="1003" w:type="dxa"/>
            <w:vMerge/>
          </w:tcPr>
          <w:p w:rsidR="00225CBB" w:rsidRPr="001957E2" w:rsidRDefault="00225CBB" w:rsidP="001755C7">
            <w:pPr>
              <w:rPr>
                <w:b/>
              </w:rPr>
            </w:pPr>
          </w:p>
        </w:tc>
        <w:tc>
          <w:tcPr>
            <w:tcW w:w="1096" w:type="dxa"/>
          </w:tcPr>
          <w:p w:rsidR="00225CBB" w:rsidRPr="001957E2" w:rsidRDefault="00225CBB" w:rsidP="001755C7">
            <w:pPr>
              <w:jc w:val="center"/>
              <w:rPr>
                <w:b/>
              </w:rPr>
            </w:pPr>
            <w:r>
              <w:rPr>
                <w:b/>
              </w:rPr>
              <w:t>NOM Arrivals</w:t>
            </w:r>
          </w:p>
        </w:tc>
        <w:tc>
          <w:tcPr>
            <w:tcW w:w="1242" w:type="dxa"/>
          </w:tcPr>
          <w:p w:rsidR="00225CBB" w:rsidRPr="001957E2" w:rsidRDefault="00225CBB" w:rsidP="001755C7">
            <w:pPr>
              <w:jc w:val="center"/>
              <w:rPr>
                <w:b/>
              </w:rPr>
            </w:pPr>
            <w:r>
              <w:rPr>
                <w:b/>
              </w:rPr>
              <w:t>NOM Departures</w:t>
            </w:r>
          </w:p>
        </w:tc>
        <w:tc>
          <w:tcPr>
            <w:tcW w:w="1096" w:type="dxa"/>
          </w:tcPr>
          <w:p w:rsidR="00225CBB" w:rsidRPr="001957E2" w:rsidRDefault="00225CBB" w:rsidP="001755C7">
            <w:pPr>
              <w:jc w:val="center"/>
              <w:rPr>
                <w:b/>
              </w:rPr>
            </w:pPr>
            <w:r>
              <w:rPr>
                <w:b/>
              </w:rPr>
              <w:t>Net NOM</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0-4</w:t>
            </w:r>
          </w:p>
        </w:tc>
        <w:tc>
          <w:tcPr>
            <w:tcW w:w="1096" w:type="dxa"/>
            <w:vAlign w:val="bottom"/>
          </w:tcPr>
          <w:p w:rsidR="00225CBB" w:rsidRPr="00520FF4" w:rsidRDefault="00225CBB" w:rsidP="001755C7">
            <w:pPr>
              <w:jc w:val="center"/>
              <w:rPr>
                <w:color w:val="000000"/>
              </w:rPr>
            </w:pPr>
            <w:r w:rsidRPr="00520FF4">
              <w:rPr>
                <w:color w:val="000000"/>
              </w:rPr>
              <w:t>6.5</w:t>
            </w:r>
          </w:p>
        </w:tc>
        <w:tc>
          <w:tcPr>
            <w:tcW w:w="1242" w:type="dxa"/>
            <w:vAlign w:val="bottom"/>
          </w:tcPr>
          <w:p w:rsidR="00225CBB" w:rsidRPr="00520FF4" w:rsidRDefault="00225CBB" w:rsidP="001755C7">
            <w:pPr>
              <w:jc w:val="center"/>
              <w:rPr>
                <w:color w:val="000000"/>
              </w:rPr>
            </w:pPr>
            <w:r w:rsidRPr="00520FF4">
              <w:rPr>
                <w:color w:val="000000"/>
              </w:rPr>
              <w:t>6.2</w:t>
            </w:r>
          </w:p>
        </w:tc>
        <w:tc>
          <w:tcPr>
            <w:tcW w:w="1096" w:type="dxa"/>
            <w:vAlign w:val="bottom"/>
          </w:tcPr>
          <w:p w:rsidR="00225CBB" w:rsidRPr="00520FF4" w:rsidRDefault="00225CBB" w:rsidP="001755C7">
            <w:pPr>
              <w:jc w:val="center"/>
              <w:rPr>
                <w:color w:val="000000"/>
              </w:rPr>
            </w:pPr>
            <w:r w:rsidRPr="00520FF4">
              <w:rPr>
                <w:color w:val="000000"/>
              </w:rPr>
              <w:t>6.9</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5 to 9</w:t>
            </w:r>
          </w:p>
        </w:tc>
        <w:tc>
          <w:tcPr>
            <w:tcW w:w="1096" w:type="dxa"/>
            <w:vAlign w:val="bottom"/>
          </w:tcPr>
          <w:p w:rsidR="00225CBB" w:rsidRPr="00520FF4" w:rsidRDefault="00225CBB" w:rsidP="001755C7">
            <w:pPr>
              <w:jc w:val="center"/>
              <w:rPr>
                <w:color w:val="000000"/>
              </w:rPr>
            </w:pPr>
            <w:r w:rsidRPr="00520FF4">
              <w:rPr>
                <w:color w:val="000000"/>
              </w:rPr>
              <w:t>4.9</w:t>
            </w:r>
          </w:p>
        </w:tc>
        <w:tc>
          <w:tcPr>
            <w:tcW w:w="1242" w:type="dxa"/>
            <w:vAlign w:val="bottom"/>
          </w:tcPr>
          <w:p w:rsidR="00225CBB" w:rsidRPr="00520FF4" w:rsidRDefault="00225CBB" w:rsidP="001755C7">
            <w:pPr>
              <w:jc w:val="center"/>
              <w:rPr>
                <w:color w:val="000000"/>
              </w:rPr>
            </w:pPr>
            <w:r w:rsidRPr="00520FF4">
              <w:rPr>
                <w:color w:val="000000"/>
              </w:rPr>
              <w:t>3.4</w:t>
            </w:r>
          </w:p>
        </w:tc>
        <w:tc>
          <w:tcPr>
            <w:tcW w:w="1096" w:type="dxa"/>
            <w:vAlign w:val="bottom"/>
          </w:tcPr>
          <w:p w:rsidR="00225CBB" w:rsidRPr="00520FF4" w:rsidRDefault="00225CBB" w:rsidP="001755C7">
            <w:pPr>
              <w:jc w:val="center"/>
              <w:rPr>
                <w:color w:val="000000"/>
              </w:rPr>
            </w:pPr>
            <w:r w:rsidRPr="00520FF4">
              <w:rPr>
                <w:color w:val="000000"/>
              </w:rPr>
              <w:t>6.7</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10 to 14</w:t>
            </w:r>
          </w:p>
        </w:tc>
        <w:tc>
          <w:tcPr>
            <w:tcW w:w="1096" w:type="dxa"/>
            <w:vAlign w:val="bottom"/>
          </w:tcPr>
          <w:p w:rsidR="00225CBB" w:rsidRPr="00520FF4" w:rsidRDefault="00225CBB" w:rsidP="001755C7">
            <w:pPr>
              <w:jc w:val="center"/>
              <w:rPr>
                <w:color w:val="000000"/>
              </w:rPr>
            </w:pPr>
            <w:r w:rsidRPr="00520FF4">
              <w:rPr>
                <w:color w:val="000000"/>
              </w:rPr>
              <w:t>4.2</w:t>
            </w:r>
          </w:p>
        </w:tc>
        <w:tc>
          <w:tcPr>
            <w:tcW w:w="1242" w:type="dxa"/>
            <w:vAlign w:val="bottom"/>
          </w:tcPr>
          <w:p w:rsidR="00225CBB" w:rsidRPr="00520FF4" w:rsidRDefault="00225CBB" w:rsidP="001755C7">
            <w:pPr>
              <w:jc w:val="center"/>
              <w:rPr>
                <w:color w:val="000000"/>
              </w:rPr>
            </w:pPr>
            <w:r w:rsidRPr="00520FF4">
              <w:rPr>
                <w:color w:val="000000"/>
              </w:rPr>
              <w:t>2.9</w:t>
            </w:r>
          </w:p>
        </w:tc>
        <w:tc>
          <w:tcPr>
            <w:tcW w:w="1096" w:type="dxa"/>
            <w:vAlign w:val="bottom"/>
          </w:tcPr>
          <w:p w:rsidR="00225CBB" w:rsidRPr="00520FF4" w:rsidRDefault="00225CBB" w:rsidP="001755C7">
            <w:pPr>
              <w:jc w:val="center"/>
              <w:rPr>
                <w:color w:val="000000"/>
              </w:rPr>
            </w:pPr>
            <w:r w:rsidRPr="00520FF4">
              <w:rPr>
                <w:color w:val="000000"/>
              </w:rPr>
              <w:t>5.7</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15-19</w:t>
            </w:r>
          </w:p>
        </w:tc>
        <w:tc>
          <w:tcPr>
            <w:tcW w:w="1096" w:type="dxa"/>
            <w:vAlign w:val="bottom"/>
          </w:tcPr>
          <w:p w:rsidR="00225CBB" w:rsidRPr="00520FF4" w:rsidRDefault="00225CBB" w:rsidP="001755C7">
            <w:pPr>
              <w:jc w:val="center"/>
              <w:rPr>
                <w:color w:val="000000"/>
              </w:rPr>
            </w:pPr>
            <w:r w:rsidRPr="00520FF4">
              <w:rPr>
                <w:color w:val="000000"/>
              </w:rPr>
              <w:t>7.9</w:t>
            </w:r>
          </w:p>
        </w:tc>
        <w:tc>
          <w:tcPr>
            <w:tcW w:w="1242" w:type="dxa"/>
            <w:vAlign w:val="bottom"/>
          </w:tcPr>
          <w:p w:rsidR="00225CBB" w:rsidRPr="00520FF4" w:rsidRDefault="00225CBB" w:rsidP="001755C7">
            <w:pPr>
              <w:jc w:val="center"/>
              <w:rPr>
                <w:color w:val="000000"/>
              </w:rPr>
            </w:pPr>
            <w:r w:rsidRPr="00520FF4">
              <w:rPr>
                <w:color w:val="000000"/>
              </w:rPr>
              <w:t>4.1</w:t>
            </w:r>
          </w:p>
        </w:tc>
        <w:tc>
          <w:tcPr>
            <w:tcW w:w="1096" w:type="dxa"/>
            <w:vAlign w:val="bottom"/>
          </w:tcPr>
          <w:p w:rsidR="00225CBB" w:rsidRPr="00520FF4" w:rsidRDefault="00225CBB" w:rsidP="001755C7">
            <w:pPr>
              <w:jc w:val="center"/>
              <w:rPr>
                <w:color w:val="000000"/>
              </w:rPr>
            </w:pPr>
            <w:r w:rsidRPr="00520FF4">
              <w:rPr>
                <w:color w:val="000000"/>
              </w:rPr>
              <w:t>12.4</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20-24</w:t>
            </w:r>
          </w:p>
        </w:tc>
        <w:tc>
          <w:tcPr>
            <w:tcW w:w="1096" w:type="dxa"/>
            <w:vAlign w:val="bottom"/>
          </w:tcPr>
          <w:p w:rsidR="00225CBB" w:rsidRPr="00520FF4" w:rsidRDefault="00225CBB" w:rsidP="001755C7">
            <w:pPr>
              <w:jc w:val="center"/>
              <w:rPr>
                <w:color w:val="000000"/>
              </w:rPr>
            </w:pPr>
            <w:r w:rsidRPr="00520FF4">
              <w:rPr>
                <w:color w:val="000000"/>
              </w:rPr>
              <w:t>19</w:t>
            </w:r>
          </w:p>
        </w:tc>
        <w:tc>
          <w:tcPr>
            <w:tcW w:w="1242" w:type="dxa"/>
            <w:vAlign w:val="bottom"/>
          </w:tcPr>
          <w:p w:rsidR="00225CBB" w:rsidRPr="00520FF4" w:rsidRDefault="00225CBB" w:rsidP="001755C7">
            <w:pPr>
              <w:jc w:val="center"/>
              <w:rPr>
                <w:color w:val="000000"/>
              </w:rPr>
            </w:pPr>
            <w:r w:rsidRPr="00520FF4">
              <w:rPr>
                <w:color w:val="000000"/>
              </w:rPr>
              <w:t>18.8</w:t>
            </w:r>
          </w:p>
        </w:tc>
        <w:tc>
          <w:tcPr>
            <w:tcW w:w="1096" w:type="dxa"/>
            <w:vAlign w:val="bottom"/>
          </w:tcPr>
          <w:p w:rsidR="00225CBB" w:rsidRPr="00520FF4" w:rsidRDefault="00225CBB" w:rsidP="001755C7">
            <w:pPr>
              <w:jc w:val="center"/>
              <w:rPr>
                <w:color w:val="000000"/>
              </w:rPr>
            </w:pPr>
            <w:r w:rsidRPr="00520FF4">
              <w:rPr>
                <w:color w:val="000000"/>
              </w:rPr>
              <w:t>19.4</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25-29</w:t>
            </w:r>
          </w:p>
        </w:tc>
        <w:tc>
          <w:tcPr>
            <w:tcW w:w="1096" w:type="dxa"/>
            <w:vAlign w:val="bottom"/>
          </w:tcPr>
          <w:p w:rsidR="00225CBB" w:rsidRPr="00520FF4" w:rsidRDefault="00225CBB" w:rsidP="001755C7">
            <w:pPr>
              <w:jc w:val="center"/>
              <w:rPr>
                <w:color w:val="000000"/>
              </w:rPr>
            </w:pPr>
            <w:r w:rsidRPr="00520FF4">
              <w:rPr>
                <w:color w:val="000000"/>
              </w:rPr>
              <w:t>19.9</w:t>
            </w:r>
          </w:p>
        </w:tc>
        <w:tc>
          <w:tcPr>
            <w:tcW w:w="1242" w:type="dxa"/>
            <w:vAlign w:val="bottom"/>
          </w:tcPr>
          <w:p w:rsidR="00225CBB" w:rsidRPr="00520FF4" w:rsidRDefault="00225CBB" w:rsidP="001755C7">
            <w:pPr>
              <w:jc w:val="center"/>
              <w:rPr>
                <w:color w:val="000000"/>
              </w:rPr>
            </w:pPr>
            <w:r w:rsidRPr="00520FF4">
              <w:rPr>
                <w:color w:val="000000"/>
              </w:rPr>
              <w:t>22.2</w:t>
            </w:r>
          </w:p>
        </w:tc>
        <w:tc>
          <w:tcPr>
            <w:tcW w:w="1096" w:type="dxa"/>
            <w:vAlign w:val="bottom"/>
          </w:tcPr>
          <w:p w:rsidR="00225CBB" w:rsidRPr="00520FF4" w:rsidRDefault="00225CBB" w:rsidP="001755C7">
            <w:pPr>
              <w:jc w:val="center"/>
              <w:rPr>
                <w:color w:val="000000"/>
              </w:rPr>
            </w:pPr>
            <w:r w:rsidRPr="00520FF4">
              <w:rPr>
                <w:color w:val="000000"/>
              </w:rPr>
              <w:t>17.1</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30-34</w:t>
            </w:r>
          </w:p>
        </w:tc>
        <w:tc>
          <w:tcPr>
            <w:tcW w:w="1096" w:type="dxa"/>
            <w:vAlign w:val="bottom"/>
          </w:tcPr>
          <w:p w:rsidR="00225CBB" w:rsidRPr="00520FF4" w:rsidRDefault="00225CBB" w:rsidP="001755C7">
            <w:pPr>
              <w:jc w:val="center"/>
              <w:rPr>
                <w:color w:val="000000"/>
              </w:rPr>
            </w:pPr>
            <w:r w:rsidRPr="00520FF4">
              <w:rPr>
                <w:color w:val="000000"/>
              </w:rPr>
              <w:t>12.5</w:t>
            </w:r>
          </w:p>
        </w:tc>
        <w:tc>
          <w:tcPr>
            <w:tcW w:w="1242" w:type="dxa"/>
            <w:vAlign w:val="bottom"/>
          </w:tcPr>
          <w:p w:rsidR="00225CBB" w:rsidRPr="00520FF4" w:rsidRDefault="00225CBB" w:rsidP="001755C7">
            <w:pPr>
              <w:jc w:val="center"/>
              <w:rPr>
                <w:color w:val="000000"/>
              </w:rPr>
            </w:pPr>
            <w:r w:rsidRPr="00520FF4">
              <w:rPr>
                <w:color w:val="000000"/>
              </w:rPr>
              <w:t>13.6</w:t>
            </w:r>
          </w:p>
        </w:tc>
        <w:tc>
          <w:tcPr>
            <w:tcW w:w="1096" w:type="dxa"/>
            <w:vAlign w:val="bottom"/>
          </w:tcPr>
          <w:p w:rsidR="00225CBB" w:rsidRPr="00520FF4" w:rsidRDefault="00225CBB" w:rsidP="001755C7">
            <w:pPr>
              <w:jc w:val="center"/>
              <w:rPr>
                <w:color w:val="000000"/>
              </w:rPr>
            </w:pPr>
            <w:r w:rsidRPr="00520FF4">
              <w:rPr>
                <w:color w:val="000000"/>
              </w:rPr>
              <w:t>11.1</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35-39</w:t>
            </w:r>
          </w:p>
        </w:tc>
        <w:tc>
          <w:tcPr>
            <w:tcW w:w="1096" w:type="dxa"/>
            <w:vAlign w:val="bottom"/>
          </w:tcPr>
          <w:p w:rsidR="00225CBB" w:rsidRPr="00520FF4" w:rsidRDefault="00225CBB" w:rsidP="001755C7">
            <w:pPr>
              <w:jc w:val="center"/>
              <w:rPr>
                <w:color w:val="000000"/>
              </w:rPr>
            </w:pPr>
            <w:r w:rsidRPr="00520FF4">
              <w:rPr>
                <w:color w:val="000000"/>
              </w:rPr>
              <w:t>7</w:t>
            </w:r>
          </w:p>
        </w:tc>
        <w:tc>
          <w:tcPr>
            <w:tcW w:w="1242" w:type="dxa"/>
            <w:vAlign w:val="bottom"/>
          </w:tcPr>
          <w:p w:rsidR="00225CBB" w:rsidRPr="00520FF4" w:rsidRDefault="00225CBB" w:rsidP="001755C7">
            <w:pPr>
              <w:jc w:val="center"/>
              <w:rPr>
                <w:color w:val="000000"/>
              </w:rPr>
            </w:pPr>
            <w:r w:rsidRPr="00520FF4">
              <w:rPr>
                <w:color w:val="000000"/>
              </w:rPr>
              <w:t>6.7</w:t>
            </w:r>
          </w:p>
        </w:tc>
        <w:tc>
          <w:tcPr>
            <w:tcW w:w="1096" w:type="dxa"/>
            <w:vAlign w:val="bottom"/>
          </w:tcPr>
          <w:p w:rsidR="00225CBB" w:rsidRPr="00520FF4" w:rsidRDefault="00225CBB" w:rsidP="001755C7">
            <w:pPr>
              <w:jc w:val="center"/>
              <w:rPr>
                <w:color w:val="000000"/>
              </w:rPr>
            </w:pPr>
            <w:r w:rsidRPr="00520FF4">
              <w:rPr>
                <w:color w:val="000000"/>
              </w:rPr>
              <w:t>7.4</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40-44</w:t>
            </w:r>
          </w:p>
        </w:tc>
        <w:tc>
          <w:tcPr>
            <w:tcW w:w="1096" w:type="dxa"/>
            <w:vAlign w:val="bottom"/>
          </w:tcPr>
          <w:p w:rsidR="00225CBB" w:rsidRPr="00520FF4" w:rsidRDefault="00225CBB" w:rsidP="001755C7">
            <w:pPr>
              <w:jc w:val="center"/>
              <w:rPr>
                <w:color w:val="000000"/>
              </w:rPr>
            </w:pPr>
            <w:r w:rsidRPr="00520FF4">
              <w:rPr>
                <w:color w:val="000000"/>
              </w:rPr>
              <w:t>5.5</w:t>
            </w:r>
          </w:p>
        </w:tc>
        <w:tc>
          <w:tcPr>
            <w:tcW w:w="1242" w:type="dxa"/>
            <w:vAlign w:val="bottom"/>
          </w:tcPr>
          <w:p w:rsidR="00225CBB" w:rsidRPr="00520FF4" w:rsidRDefault="00225CBB" w:rsidP="001755C7">
            <w:pPr>
              <w:jc w:val="center"/>
              <w:rPr>
                <w:color w:val="000000"/>
              </w:rPr>
            </w:pPr>
            <w:r w:rsidRPr="00520FF4">
              <w:rPr>
                <w:color w:val="000000"/>
              </w:rPr>
              <w:t>5.2</w:t>
            </w:r>
          </w:p>
        </w:tc>
        <w:tc>
          <w:tcPr>
            <w:tcW w:w="1096" w:type="dxa"/>
            <w:vAlign w:val="bottom"/>
          </w:tcPr>
          <w:p w:rsidR="00225CBB" w:rsidRPr="00520FF4" w:rsidRDefault="00225CBB" w:rsidP="001755C7">
            <w:pPr>
              <w:jc w:val="center"/>
              <w:rPr>
                <w:color w:val="000000"/>
              </w:rPr>
            </w:pPr>
            <w:r w:rsidRPr="00520FF4">
              <w:rPr>
                <w:color w:val="000000"/>
              </w:rPr>
              <w:t>5.7</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45-49</w:t>
            </w:r>
          </w:p>
        </w:tc>
        <w:tc>
          <w:tcPr>
            <w:tcW w:w="1096" w:type="dxa"/>
            <w:vAlign w:val="bottom"/>
          </w:tcPr>
          <w:p w:rsidR="00225CBB" w:rsidRPr="00520FF4" w:rsidRDefault="00225CBB" w:rsidP="001755C7">
            <w:pPr>
              <w:jc w:val="center"/>
              <w:rPr>
                <w:color w:val="000000"/>
              </w:rPr>
            </w:pPr>
            <w:r w:rsidRPr="00520FF4">
              <w:rPr>
                <w:color w:val="000000"/>
              </w:rPr>
              <w:t>3.2</w:t>
            </w:r>
          </w:p>
        </w:tc>
        <w:tc>
          <w:tcPr>
            <w:tcW w:w="1242" w:type="dxa"/>
            <w:vAlign w:val="bottom"/>
          </w:tcPr>
          <w:p w:rsidR="00225CBB" w:rsidRPr="00520FF4" w:rsidRDefault="00225CBB" w:rsidP="001755C7">
            <w:pPr>
              <w:jc w:val="center"/>
              <w:rPr>
                <w:color w:val="000000"/>
              </w:rPr>
            </w:pPr>
            <w:r w:rsidRPr="00520FF4">
              <w:rPr>
                <w:color w:val="000000"/>
              </w:rPr>
              <w:t>3.9</w:t>
            </w:r>
          </w:p>
        </w:tc>
        <w:tc>
          <w:tcPr>
            <w:tcW w:w="1096" w:type="dxa"/>
            <w:vAlign w:val="bottom"/>
          </w:tcPr>
          <w:p w:rsidR="00225CBB" w:rsidRPr="00520FF4" w:rsidRDefault="00225CBB" w:rsidP="001755C7">
            <w:pPr>
              <w:jc w:val="center"/>
              <w:rPr>
                <w:color w:val="000000"/>
              </w:rPr>
            </w:pPr>
            <w:r w:rsidRPr="00520FF4">
              <w:rPr>
                <w:color w:val="000000"/>
              </w:rPr>
              <w:t>2.4</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50-54</w:t>
            </w:r>
          </w:p>
        </w:tc>
        <w:tc>
          <w:tcPr>
            <w:tcW w:w="1096" w:type="dxa"/>
            <w:vAlign w:val="bottom"/>
          </w:tcPr>
          <w:p w:rsidR="00225CBB" w:rsidRPr="00520FF4" w:rsidRDefault="00225CBB" w:rsidP="001755C7">
            <w:pPr>
              <w:jc w:val="center"/>
              <w:rPr>
                <w:color w:val="000000"/>
              </w:rPr>
            </w:pPr>
            <w:r w:rsidRPr="00520FF4">
              <w:rPr>
                <w:color w:val="000000"/>
              </w:rPr>
              <w:t>3</w:t>
            </w:r>
          </w:p>
        </w:tc>
        <w:tc>
          <w:tcPr>
            <w:tcW w:w="1242" w:type="dxa"/>
            <w:vAlign w:val="bottom"/>
          </w:tcPr>
          <w:p w:rsidR="00225CBB" w:rsidRPr="00520FF4" w:rsidRDefault="00225CBB" w:rsidP="001755C7">
            <w:pPr>
              <w:jc w:val="center"/>
              <w:rPr>
                <w:color w:val="000000"/>
              </w:rPr>
            </w:pPr>
            <w:r w:rsidRPr="00520FF4">
              <w:rPr>
                <w:color w:val="000000"/>
              </w:rPr>
              <w:t>3.5</w:t>
            </w:r>
          </w:p>
        </w:tc>
        <w:tc>
          <w:tcPr>
            <w:tcW w:w="1096" w:type="dxa"/>
            <w:vAlign w:val="bottom"/>
          </w:tcPr>
          <w:p w:rsidR="00225CBB" w:rsidRPr="00520FF4" w:rsidRDefault="00225CBB" w:rsidP="001755C7">
            <w:pPr>
              <w:jc w:val="center"/>
              <w:rPr>
                <w:color w:val="000000"/>
              </w:rPr>
            </w:pPr>
            <w:r w:rsidRPr="00520FF4">
              <w:rPr>
                <w:color w:val="000000"/>
              </w:rPr>
              <w:t>2.4</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55-59</w:t>
            </w:r>
          </w:p>
        </w:tc>
        <w:tc>
          <w:tcPr>
            <w:tcW w:w="1096" w:type="dxa"/>
            <w:vAlign w:val="bottom"/>
          </w:tcPr>
          <w:p w:rsidR="00225CBB" w:rsidRPr="00520FF4" w:rsidRDefault="00225CBB" w:rsidP="001755C7">
            <w:pPr>
              <w:jc w:val="center"/>
              <w:rPr>
                <w:color w:val="000000"/>
              </w:rPr>
            </w:pPr>
            <w:r w:rsidRPr="00520FF4">
              <w:rPr>
                <w:color w:val="000000"/>
              </w:rPr>
              <w:t>2.2</w:t>
            </w:r>
          </w:p>
        </w:tc>
        <w:tc>
          <w:tcPr>
            <w:tcW w:w="1242" w:type="dxa"/>
            <w:vAlign w:val="bottom"/>
          </w:tcPr>
          <w:p w:rsidR="00225CBB" w:rsidRPr="00520FF4" w:rsidRDefault="00225CBB" w:rsidP="001755C7">
            <w:pPr>
              <w:jc w:val="center"/>
              <w:rPr>
                <w:color w:val="000000"/>
              </w:rPr>
            </w:pPr>
            <w:r w:rsidRPr="00520FF4">
              <w:rPr>
                <w:color w:val="000000"/>
              </w:rPr>
              <w:t>3</w:t>
            </w:r>
          </w:p>
        </w:tc>
        <w:tc>
          <w:tcPr>
            <w:tcW w:w="1096" w:type="dxa"/>
            <w:vAlign w:val="bottom"/>
          </w:tcPr>
          <w:p w:rsidR="00225CBB" w:rsidRPr="00520FF4" w:rsidRDefault="00225CBB" w:rsidP="001755C7">
            <w:pPr>
              <w:jc w:val="center"/>
              <w:rPr>
                <w:color w:val="000000"/>
              </w:rPr>
            </w:pPr>
            <w:r w:rsidRPr="00520FF4">
              <w:rPr>
                <w:color w:val="000000"/>
              </w:rPr>
              <w:t>1.4</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60-64</w:t>
            </w:r>
          </w:p>
        </w:tc>
        <w:tc>
          <w:tcPr>
            <w:tcW w:w="1096" w:type="dxa"/>
            <w:vAlign w:val="bottom"/>
          </w:tcPr>
          <w:p w:rsidR="00225CBB" w:rsidRPr="00520FF4" w:rsidRDefault="00225CBB" w:rsidP="001755C7">
            <w:pPr>
              <w:jc w:val="center"/>
              <w:rPr>
                <w:color w:val="000000"/>
              </w:rPr>
            </w:pPr>
            <w:r w:rsidRPr="00520FF4">
              <w:rPr>
                <w:color w:val="000000"/>
              </w:rPr>
              <w:t>1.8</w:t>
            </w:r>
          </w:p>
        </w:tc>
        <w:tc>
          <w:tcPr>
            <w:tcW w:w="1242" w:type="dxa"/>
            <w:vAlign w:val="bottom"/>
          </w:tcPr>
          <w:p w:rsidR="00225CBB" w:rsidRPr="00520FF4" w:rsidRDefault="00225CBB" w:rsidP="001755C7">
            <w:pPr>
              <w:jc w:val="center"/>
              <w:rPr>
                <w:color w:val="000000"/>
              </w:rPr>
            </w:pPr>
            <w:r w:rsidRPr="00520FF4">
              <w:rPr>
                <w:color w:val="000000"/>
              </w:rPr>
              <w:t>2.5</w:t>
            </w:r>
          </w:p>
        </w:tc>
        <w:tc>
          <w:tcPr>
            <w:tcW w:w="1096" w:type="dxa"/>
            <w:vAlign w:val="bottom"/>
          </w:tcPr>
          <w:p w:rsidR="00225CBB" w:rsidRPr="00520FF4" w:rsidRDefault="00225CBB" w:rsidP="001755C7">
            <w:pPr>
              <w:jc w:val="center"/>
              <w:rPr>
                <w:color w:val="000000"/>
              </w:rPr>
            </w:pPr>
            <w:r w:rsidRPr="00520FF4">
              <w:rPr>
                <w:color w:val="000000"/>
              </w:rPr>
              <w:t>0.9</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65+</w:t>
            </w:r>
          </w:p>
        </w:tc>
        <w:tc>
          <w:tcPr>
            <w:tcW w:w="1096" w:type="dxa"/>
            <w:vAlign w:val="bottom"/>
          </w:tcPr>
          <w:p w:rsidR="00225CBB" w:rsidRPr="00520FF4" w:rsidRDefault="00225CBB" w:rsidP="001755C7">
            <w:pPr>
              <w:jc w:val="center"/>
              <w:rPr>
                <w:color w:val="000000"/>
              </w:rPr>
            </w:pPr>
            <w:r w:rsidRPr="00520FF4">
              <w:rPr>
                <w:color w:val="000000"/>
              </w:rPr>
              <w:t>2.4</w:t>
            </w:r>
          </w:p>
        </w:tc>
        <w:tc>
          <w:tcPr>
            <w:tcW w:w="1242" w:type="dxa"/>
            <w:vAlign w:val="bottom"/>
          </w:tcPr>
          <w:p w:rsidR="00225CBB" w:rsidRPr="00520FF4" w:rsidRDefault="00225CBB" w:rsidP="001755C7">
            <w:pPr>
              <w:jc w:val="center"/>
              <w:rPr>
                <w:color w:val="000000"/>
              </w:rPr>
            </w:pPr>
            <w:r w:rsidRPr="00520FF4">
              <w:rPr>
                <w:color w:val="000000"/>
              </w:rPr>
              <w:t>3.9</w:t>
            </w:r>
          </w:p>
        </w:tc>
        <w:tc>
          <w:tcPr>
            <w:tcW w:w="1096" w:type="dxa"/>
            <w:vAlign w:val="bottom"/>
          </w:tcPr>
          <w:p w:rsidR="00225CBB" w:rsidRPr="00520FF4" w:rsidRDefault="00225CBB" w:rsidP="001755C7">
            <w:pPr>
              <w:jc w:val="center"/>
              <w:rPr>
                <w:color w:val="000000"/>
              </w:rPr>
            </w:pPr>
            <w:r w:rsidRPr="00520FF4">
              <w:rPr>
                <w:color w:val="000000"/>
              </w:rPr>
              <w:t>0.6</w:t>
            </w:r>
          </w:p>
        </w:tc>
      </w:tr>
      <w:tr w:rsidR="00225CBB" w:rsidRPr="00520FF4" w:rsidTr="001755C7">
        <w:tc>
          <w:tcPr>
            <w:tcW w:w="1003" w:type="dxa"/>
            <w:vAlign w:val="bottom"/>
          </w:tcPr>
          <w:p w:rsidR="00225CBB" w:rsidRPr="001957E2" w:rsidRDefault="00225CBB" w:rsidP="001755C7">
            <w:pPr>
              <w:rPr>
                <w:b/>
                <w:color w:val="000000"/>
              </w:rPr>
            </w:pPr>
            <w:r w:rsidRPr="001957E2">
              <w:rPr>
                <w:b/>
                <w:color w:val="000000"/>
              </w:rPr>
              <w:t>TOTAL</w:t>
            </w:r>
          </w:p>
        </w:tc>
        <w:tc>
          <w:tcPr>
            <w:tcW w:w="1096" w:type="dxa"/>
            <w:vAlign w:val="bottom"/>
          </w:tcPr>
          <w:p w:rsidR="00225CBB" w:rsidRPr="00520FF4" w:rsidRDefault="00225CBB" w:rsidP="001755C7">
            <w:pPr>
              <w:jc w:val="center"/>
              <w:rPr>
                <w:color w:val="000000"/>
              </w:rPr>
            </w:pPr>
            <w:r w:rsidRPr="00520FF4">
              <w:rPr>
                <w:color w:val="000000"/>
              </w:rPr>
              <w:t>100</w:t>
            </w:r>
          </w:p>
        </w:tc>
        <w:tc>
          <w:tcPr>
            <w:tcW w:w="1242" w:type="dxa"/>
            <w:vAlign w:val="bottom"/>
          </w:tcPr>
          <w:p w:rsidR="00225CBB" w:rsidRPr="00520FF4" w:rsidRDefault="00225CBB" w:rsidP="001755C7">
            <w:pPr>
              <w:jc w:val="center"/>
              <w:rPr>
                <w:color w:val="000000"/>
              </w:rPr>
            </w:pPr>
            <w:r w:rsidRPr="00520FF4">
              <w:rPr>
                <w:color w:val="000000"/>
              </w:rPr>
              <w:t>100</w:t>
            </w:r>
          </w:p>
        </w:tc>
        <w:tc>
          <w:tcPr>
            <w:tcW w:w="1096" w:type="dxa"/>
            <w:vAlign w:val="bottom"/>
          </w:tcPr>
          <w:p w:rsidR="00225CBB" w:rsidRPr="00520FF4" w:rsidRDefault="00225CBB" w:rsidP="001755C7">
            <w:pPr>
              <w:jc w:val="center"/>
              <w:rPr>
                <w:color w:val="000000"/>
              </w:rPr>
            </w:pPr>
            <w:r w:rsidRPr="00520FF4">
              <w:rPr>
                <w:color w:val="000000"/>
              </w:rPr>
              <w:t>100</w:t>
            </w:r>
          </w:p>
        </w:tc>
      </w:tr>
    </w:tbl>
    <w:p w:rsidR="00225CBB" w:rsidRPr="00D25DCD" w:rsidRDefault="00225CBB" w:rsidP="00225CBB">
      <w:pPr>
        <w:rPr>
          <w:sz w:val="20"/>
          <w:szCs w:val="20"/>
        </w:rPr>
      </w:pPr>
      <w:r w:rsidRPr="00D25DCD">
        <w:rPr>
          <w:sz w:val="20"/>
          <w:szCs w:val="20"/>
        </w:rPr>
        <w:t xml:space="preserve">Source: ABS Migration </w:t>
      </w:r>
      <w:proofErr w:type="spellStart"/>
      <w:r w:rsidRPr="00D25DCD">
        <w:rPr>
          <w:sz w:val="20"/>
          <w:szCs w:val="20"/>
        </w:rPr>
        <w:t>SuperStar</w:t>
      </w:r>
      <w:proofErr w:type="spellEnd"/>
      <w:r w:rsidRPr="00D25DCD">
        <w:rPr>
          <w:sz w:val="20"/>
          <w:szCs w:val="20"/>
        </w:rPr>
        <w:t xml:space="preserve"> Table: ageXsexXstateandterritoryNOM.scs</w:t>
      </w:r>
    </w:p>
    <w:p w:rsidR="00225CBB" w:rsidRPr="009453ED" w:rsidRDefault="00225CBB" w:rsidP="00225CBB"/>
    <w:p w:rsidR="00225CBB" w:rsidRDefault="00225CBB" w:rsidP="00225CBB"/>
    <w:p w:rsidR="00171703" w:rsidRDefault="00171703">
      <w:r>
        <w:br w:type="page"/>
      </w:r>
    </w:p>
    <w:p w:rsidR="00225CBB" w:rsidRDefault="00225CBB" w:rsidP="00225CBB">
      <w:pPr>
        <w:jc w:val="center"/>
        <w:rPr>
          <w:b/>
        </w:rPr>
      </w:pPr>
      <w:proofErr w:type="gramStart"/>
      <w:r>
        <w:rPr>
          <w:b/>
        </w:rPr>
        <w:lastRenderedPageBreak/>
        <w:t>Appendix 4.</w:t>
      </w:r>
      <w:proofErr w:type="gramEnd"/>
    </w:p>
    <w:p w:rsidR="00171703" w:rsidRDefault="00171703" w:rsidP="00225CBB">
      <w:pPr>
        <w:jc w:val="center"/>
        <w:rPr>
          <w:b/>
        </w:rPr>
      </w:pPr>
      <w:r w:rsidRPr="00171703">
        <w:rPr>
          <w:b/>
        </w:rPr>
        <w:t>Age distributions of net internal migration used in the projections</w:t>
      </w:r>
    </w:p>
    <w:p w:rsidR="000478B4" w:rsidRPr="00225CBB" w:rsidRDefault="000478B4" w:rsidP="00225CBB">
      <w:pPr>
        <w:jc w:val="center"/>
        <w:rPr>
          <w:b/>
        </w:rPr>
      </w:pPr>
      <w:r>
        <w:rPr>
          <w:b/>
        </w:rPr>
        <w:t>(Source: Author Calculation and ABS, 2012)</w:t>
      </w:r>
    </w:p>
    <w:p w:rsidR="00171703" w:rsidRPr="00171703" w:rsidRDefault="00171703" w:rsidP="00171703">
      <w:pPr>
        <w:rPr>
          <w:b/>
        </w:rPr>
      </w:pPr>
      <w:r w:rsidRPr="00171703">
        <w:rPr>
          <w:b/>
        </w:rPr>
        <w:t>Sydney</w:t>
      </w:r>
    </w:p>
    <w:p w:rsidR="00171703" w:rsidRDefault="00171703" w:rsidP="00171703">
      <w:r w:rsidRPr="003D41BC">
        <w:rPr>
          <w:noProof/>
          <w:lang w:val="en-AU" w:eastAsia="en-AU"/>
        </w:rPr>
        <w:drawing>
          <wp:inline distT="0" distB="0" distL="0" distR="0">
            <wp:extent cx="5731510" cy="3649331"/>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5731510" cy="3649331"/>
                    </a:xfrm>
                    <a:prstGeom prst="rect">
                      <a:avLst/>
                    </a:prstGeom>
                    <a:noFill/>
                    <a:ln w="9525">
                      <a:noFill/>
                      <a:miter lim="800000"/>
                      <a:headEnd/>
                      <a:tailEnd/>
                    </a:ln>
                  </pic:spPr>
                </pic:pic>
              </a:graphicData>
            </a:graphic>
          </wp:inline>
        </w:drawing>
      </w:r>
    </w:p>
    <w:p w:rsidR="00171703" w:rsidRPr="00171703" w:rsidRDefault="00171703" w:rsidP="00171703">
      <w:pPr>
        <w:rPr>
          <w:b/>
        </w:rPr>
      </w:pPr>
      <w:r w:rsidRPr="00171703">
        <w:rPr>
          <w:b/>
        </w:rPr>
        <w:t>Rest of NSW</w:t>
      </w:r>
    </w:p>
    <w:p w:rsidR="00171703" w:rsidRDefault="00171703" w:rsidP="00171703">
      <w:r w:rsidRPr="003D41BC">
        <w:rPr>
          <w:noProof/>
          <w:lang w:val="en-AU" w:eastAsia="en-AU"/>
        </w:rPr>
        <w:drawing>
          <wp:inline distT="0" distB="0" distL="0" distR="0">
            <wp:extent cx="5731510" cy="3649331"/>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srcRect/>
                    <a:stretch>
                      <a:fillRect/>
                    </a:stretch>
                  </pic:blipFill>
                  <pic:spPr bwMode="auto">
                    <a:xfrm>
                      <a:off x="0" y="0"/>
                      <a:ext cx="5731510" cy="3649331"/>
                    </a:xfrm>
                    <a:prstGeom prst="rect">
                      <a:avLst/>
                    </a:prstGeom>
                    <a:noFill/>
                    <a:ln w="9525">
                      <a:noFill/>
                      <a:miter lim="800000"/>
                      <a:headEnd/>
                      <a:tailEnd/>
                    </a:ln>
                  </pic:spPr>
                </pic:pic>
              </a:graphicData>
            </a:graphic>
          </wp:inline>
        </w:drawing>
      </w:r>
    </w:p>
    <w:p w:rsidR="00171703" w:rsidRDefault="00171703" w:rsidP="00171703"/>
    <w:p w:rsidR="00171703" w:rsidRDefault="00171703" w:rsidP="00171703"/>
    <w:p w:rsidR="00171703" w:rsidRPr="00171703" w:rsidRDefault="00171703" w:rsidP="00171703">
      <w:pPr>
        <w:rPr>
          <w:b/>
        </w:rPr>
      </w:pPr>
      <w:r w:rsidRPr="00171703">
        <w:rPr>
          <w:b/>
        </w:rPr>
        <w:t>Melbourne</w:t>
      </w:r>
    </w:p>
    <w:p w:rsidR="00171703" w:rsidRDefault="00171703" w:rsidP="00171703">
      <w:r w:rsidRPr="003D41BC">
        <w:rPr>
          <w:noProof/>
          <w:lang w:val="en-AU" w:eastAsia="en-AU"/>
        </w:rPr>
        <w:drawing>
          <wp:inline distT="0" distB="0" distL="0" distR="0">
            <wp:extent cx="5731510" cy="3649331"/>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srcRect/>
                    <a:stretch>
                      <a:fillRect/>
                    </a:stretch>
                  </pic:blipFill>
                  <pic:spPr bwMode="auto">
                    <a:xfrm>
                      <a:off x="0" y="0"/>
                      <a:ext cx="5731510" cy="3649331"/>
                    </a:xfrm>
                    <a:prstGeom prst="rect">
                      <a:avLst/>
                    </a:prstGeom>
                    <a:noFill/>
                    <a:ln w="9525">
                      <a:noFill/>
                      <a:miter lim="800000"/>
                      <a:headEnd/>
                      <a:tailEnd/>
                    </a:ln>
                  </pic:spPr>
                </pic:pic>
              </a:graphicData>
            </a:graphic>
          </wp:inline>
        </w:drawing>
      </w:r>
    </w:p>
    <w:p w:rsidR="00171703" w:rsidRPr="00171703" w:rsidRDefault="00171703" w:rsidP="00171703">
      <w:pPr>
        <w:rPr>
          <w:b/>
        </w:rPr>
      </w:pPr>
      <w:r w:rsidRPr="00171703">
        <w:rPr>
          <w:b/>
        </w:rPr>
        <w:t>Rest of VIC</w:t>
      </w:r>
    </w:p>
    <w:p w:rsidR="00171703" w:rsidRDefault="00171703" w:rsidP="00171703">
      <w:r w:rsidRPr="003D41BC">
        <w:rPr>
          <w:noProof/>
          <w:lang w:val="en-AU" w:eastAsia="en-AU"/>
        </w:rPr>
        <w:drawing>
          <wp:inline distT="0" distB="0" distL="0" distR="0">
            <wp:extent cx="5731510" cy="3649331"/>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srcRect/>
                    <a:stretch>
                      <a:fillRect/>
                    </a:stretch>
                  </pic:blipFill>
                  <pic:spPr bwMode="auto">
                    <a:xfrm>
                      <a:off x="0" y="0"/>
                      <a:ext cx="5731510" cy="3649331"/>
                    </a:xfrm>
                    <a:prstGeom prst="rect">
                      <a:avLst/>
                    </a:prstGeom>
                    <a:noFill/>
                    <a:ln w="9525">
                      <a:noFill/>
                      <a:miter lim="800000"/>
                      <a:headEnd/>
                      <a:tailEnd/>
                    </a:ln>
                  </pic:spPr>
                </pic:pic>
              </a:graphicData>
            </a:graphic>
          </wp:inline>
        </w:drawing>
      </w:r>
    </w:p>
    <w:p w:rsidR="00171703" w:rsidRDefault="00171703" w:rsidP="00171703"/>
    <w:p w:rsidR="00171703" w:rsidRDefault="00171703" w:rsidP="00171703"/>
    <w:p w:rsidR="00171703" w:rsidRDefault="00171703" w:rsidP="00171703"/>
    <w:p w:rsidR="00171703" w:rsidRPr="00171703" w:rsidRDefault="00171703" w:rsidP="00171703">
      <w:pPr>
        <w:rPr>
          <w:b/>
        </w:rPr>
      </w:pPr>
      <w:r w:rsidRPr="00171703">
        <w:rPr>
          <w:b/>
        </w:rPr>
        <w:t>Brisbane</w:t>
      </w:r>
    </w:p>
    <w:p w:rsidR="00171703" w:rsidRDefault="00171703" w:rsidP="00171703">
      <w:r w:rsidRPr="003D41BC">
        <w:rPr>
          <w:noProof/>
          <w:lang w:val="en-AU" w:eastAsia="en-AU"/>
        </w:rPr>
        <w:drawing>
          <wp:inline distT="0" distB="0" distL="0" distR="0">
            <wp:extent cx="5731510" cy="3649331"/>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srcRect/>
                    <a:stretch>
                      <a:fillRect/>
                    </a:stretch>
                  </pic:blipFill>
                  <pic:spPr bwMode="auto">
                    <a:xfrm>
                      <a:off x="0" y="0"/>
                      <a:ext cx="5731510" cy="3649331"/>
                    </a:xfrm>
                    <a:prstGeom prst="rect">
                      <a:avLst/>
                    </a:prstGeom>
                    <a:noFill/>
                    <a:ln w="9525">
                      <a:noFill/>
                      <a:miter lim="800000"/>
                      <a:headEnd/>
                      <a:tailEnd/>
                    </a:ln>
                  </pic:spPr>
                </pic:pic>
              </a:graphicData>
            </a:graphic>
          </wp:inline>
        </w:drawing>
      </w:r>
    </w:p>
    <w:p w:rsidR="00171703" w:rsidRPr="00171703" w:rsidRDefault="00171703" w:rsidP="00171703">
      <w:pPr>
        <w:rPr>
          <w:b/>
        </w:rPr>
      </w:pPr>
      <w:r w:rsidRPr="00171703">
        <w:rPr>
          <w:b/>
        </w:rPr>
        <w:t>Rest of QLD</w:t>
      </w:r>
    </w:p>
    <w:p w:rsidR="00171703" w:rsidRDefault="00171703" w:rsidP="00171703">
      <w:r w:rsidRPr="003D41BC">
        <w:rPr>
          <w:noProof/>
          <w:lang w:val="en-AU" w:eastAsia="en-AU"/>
        </w:rPr>
        <w:drawing>
          <wp:inline distT="0" distB="0" distL="0" distR="0">
            <wp:extent cx="5731510" cy="3649331"/>
            <wp:effectExtent l="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srcRect/>
                    <a:stretch>
                      <a:fillRect/>
                    </a:stretch>
                  </pic:blipFill>
                  <pic:spPr bwMode="auto">
                    <a:xfrm>
                      <a:off x="0" y="0"/>
                      <a:ext cx="5731510" cy="3649331"/>
                    </a:xfrm>
                    <a:prstGeom prst="rect">
                      <a:avLst/>
                    </a:prstGeom>
                    <a:noFill/>
                    <a:ln w="9525">
                      <a:noFill/>
                      <a:miter lim="800000"/>
                      <a:headEnd/>
                      <a:tailEnd/>
                    </a:ln>
                  </pic:spPr>
                </pic:pic>
              </a:graphicData>
            </a:graphic>
          </wp:inline>
        </w:drawing>
      </w:r>
    </w:p>
    <w:p w:rsidR="00171703" w:rsidRDefault="00171703" w:rsidP="00171703"/>
    <w:p w:rsidR="00171703" w:rsidRDefault="00171703" w:rsidP="00171703"/>
    <w:p w:rsidR="00171703" w:rsidRDefault="00171703" w:rsidP="00171703"/>
    <w:p w:rsidR="00171703" w:rsidRPr="00171703" w:rsidRDefault="00171703" w:rsidP="00171703">
      <w:pPr>
        <w:rPr>
          <w:b/>
        </w:rPr>
      </w:pPr>
      <w:r w:rsidRPr="00171703">
        <w:rPr>
          <w:b/>
        </w:rPr>
        <w:t>Adelaide</w:t>
      </w:r>
    </w:p>
    <w:p w:rsidR="00171703" w:rsidRDefault="00171703" w:rsidP="00171703">
      <w:r w:rsidRPr="003D41BC">
        <w:rPr>
          <w:noProof/>
          <w:lang w:val="en-AU" w:eastAsia="en-AU"/>
        </w:rPr>
        <w:drawing>
          <wp:inline distT="0" distB="0" distL="0" distR="0">
            <wp:extent cx="5731510" cy="3649331"/>
            <wp:effectExtent l="0" t="0" r="0" b="0"/>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srcRect/>
                    <a:stretch>
                      <a:fillRect/>
                    </a:stretch>
                  </pic:blipFill>
                  <pic:spPr bwMode="auto">
                    <a:xfrm>
                      <a:off x="0" y="0"/>
                      <a:ext cx="5731510" cy="3649331"/>
                    </a:xfrm>
                    <a:prstGeom prst="rect">
                      <a:avLst/>
                    </a:prstGeom>
                    <a:noFill/>
                    <a:ln w="9525">
                      <a:noFill/>
                      <a:miter lim="800000"/>
                      <a:headEnd/>
                      <a:tailEnd/>
                    </a:ln>
                  </pic:spPr>
                </pic:pic>
              </a:graphicData>
            </a:graphic>
          </wp:inline>
        </w:drawing>
      </w:r>
    </w:p>
    <w:p w:rsidR="00171703" w:rsidRPr="00F30936" w:rsidRDefault="00171703" w:rsidP="00171703">
      <w:pPr>
        <w:rPr>
          <w:b/>
        </w:rPr>
      </w:pPr>
      <w:r w:rsidRPr="00F30936">
        <w:rPr>
          <w:b/>
        </w:rPr>
        <w:t>Rest of SA</w:t>
      </w:r>
    </w:p>
    <w:p w:rsidR="00171703" w:rsidRDefault="00171703" w:rsidP="00171703">
      <w:r w:rsidRPr="003D41BC">
        <w:rPr>
          <w:noProof/>
          <w:lang w:val="en-AU" w:eastAsia="en-AU"/>
        </w:rPr>
        <w:drawing>
          <wp:inline distT="0" distB="0" distL="0" distR="0">
            <wp:extent cx="5731510" cy="3649331"/>
            <wp:effectExtent l="0" t="0" r="0" b="0"/>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srcRect/>
                    <a:stretch>
                      <a:fillRect/>
                    </a:stretch>
                  </pic:blipFill>
                  <pic:spPr bwMode="auto">
                    <a:xfrm>
                      <a:off x="0" y="0"/>
                      <a:ext cx="5731510" cy="3649331"/>
                    </a:xfrm>
                    <a:prstGeom prst="rect">
                      <a:avLst/>
                    </a:prstGeom>
                    <a:noFill/>
                    <a:ln w="9525">
                      <a:noFill/>
                      <a:miter lim="800000"/>
                      <a:headEnd/>
                      <a:tailEnd/>
                    </a:ln>
                  </pic:spPr>
                </pic:pic>
              </a:graphicData>
            </a:graphic>
          </wp:inline>
        </w:drawing>
      </w:r>
    </w:p>
    <w:p w:rsidR="00171703" w:rsidRDefault="00171703" w:rsidP="00171703"/>
    <w:p w:rsidR="00171703" w:rsidRDefault="00171703" w:rsidP="00171703"/>
    <w:p w:rsidR="00171703" w:rsidRDefault="00171703" w:rsidP="00171703"/>
    <w:p w:rsidR="00171703" w:rsidRPr="00F30936" w:rsidRDefault="00171703" w:rsidP="00171703">
      <w:pPr>
        <w:rPr>
          <w:b/>
        </w:rPr>
      </w:pPr>
      <w:r w:rsidRPr="00F30936">
        <w:rPr>
          <w:b/>
        </w:rPr>
        <w:t>Perth</w:t>
      </w:r>
    </w:p>
    <w:p w:rsidR="00171703" w:rsidRDefault="00171703" w:rsidP="00171703">
      <w:r w:rsidRPr="003D41BC">
        <w:rPr>
          <w:noProof/>
          <w:lang w:val="en-AU" w:eastAsia="en-AU"/>
        </w:rPr>
        <w:drawing>
          <wp:inline distT="0" distB="0" distL="0" distR="0">
            <wp:extent cx="5731510" cy="3649331"/>
            <wp:effectExtent l="0" t="0" r="0" b="0"/>
            <wp:docPr id="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srcRect/>
                    <a:stretch>
                      <a:fillRect/>
                    </a:stretch>
                  </pic:blipFill>
                  <pic:spPr bwMode="auto">
                    <a:xfrm>
                      <a:off x="0" y="0"/>
                      <a:ext cx="5731510" cy="3649331"/>
                    </a:xfrm>
                    <a:prstGeom prst="rect">
                      <a:avLst/>
                    </a:prstGeom>
                    <a:noFill/>
                    <a:ln w="9525">
                      <a:noFill/>
                      <a:miter lim="800000"/>
                      <a:headEnd/>
                      <a:tailEnd/>
                    </a:ln>
                  </pic:spPr>
                </pic:pic>
              </a:graphicData>
            </a:graphic>
          </wp:inline>
        </w:drawing>
      </w:r>
    </w:p>
    <w:p w:rsidR="00171703" w:rsidRPr="00F30936" w:rsidRDefault="00171703" w:rsidP="00171703">
      <w:pPr>
        <w:rPr>
          <w:b/>
        </w:rPr>
      </w:pPr>
      <w:r w:rsidRPr="00F30936">
        <w:rPr>
          <w:b/>
        </w:rPr>
        <w:t>Rest of WA</w:t>
      </w:r>
    </w:p>
    <w:p w:rsidR="00171703" w:rsidRDefault="00171703" w:rsidP="00171703">
      <w:r w:rsidRPr="003D41BC">
        <w:rPr>
          <w:noProof/>
          <w:lang w:val="en-AU" w:eastAsia="en-AU"/>
        </w:rPr>
        <w:drawing>
          <wp:inline distT="0" distB="0" distL="0" distR="0">
            <wp:extent cx="5731510" cy="3649331"/>
            <wp:effectExtent l="0" t="0" r="0" b="0"/>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srcRect/>
                    <a:stretch>
                      <a:fillRect/>
                    </a:stretch>
                  </pic:blipFill>
                  <pic:spPr bwMode="auto">
                    <a:xfrm>
                      <a:off x="0" y="0"/>
                      <a:ext cx="5731510" cy="3649331"/>
                    </a:xfrm>
                    <a:prstGeom prst="rect">
                      <a:avLst/>
                    </a:prstGeom>
                    <a:noFill/>
                    <a:ln w="9525">
                      <a:noFill/>
                      <a:miter lim="800000"/>
                      <a:headEnd/>
                      <a:tailEnd/>
                    </a:ln>
                  </pic:spPr>
                </pic:pic>
              </a:graphicData>
            </a:graphic>
          </wp:inline>
        </w:drawing>
      </w:r>
    </w:p>
    <w:p w:rsidR="00171703" w:rsidRDefault="00171703" w:rsidP="00171703"/>
    <w:p w:rsidR="00171703" w:rsidRDefault="00171703" w:rsidP="00171703"/>
    <w:p w:rsidR="00171703" w:rsidRDefault="00171703" w:rsidP="00171703"/>
    <w:p w:rsidR="00171703" w:rsidRPr="00F30936" w:rsidRDefault="00171703" w:rsidP="00171703">
      <w:pPr>
        <w:rPr>
          <w:b/>
        </w:rPr>
      </w:pPr>
      <w:r w:rsidRPr="00F30936">
        <w:rPr>
          <w:b/>
        </w:rPr>
        <w:t>Hobart</w:t>
      </w:r>
    </w:p>
    <w:p w:rsidR="00171703" w:rsidRDefault="00171703" w:rsidP="00171703">
      <w:r w:rsidRPr="003D41BC">
        <w:rPr>
          <w:noProof/>
          <w:lang w:val="en-AU" w:eastAsia="en-AU"/>
        </w:rPr>
        <w:drawing>
          <wp:inline distT="0" distB="0" distL="0" distR="0">
            <wp:extent cx="5731510" cy="3649331"/>
            <wp:effectExtent l="0" t="0" r="0" b="0"/>
            <wp:docPr id="20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srcRect/>
                    <a:stretch>
                      <a:fillRect/>
                    </a:stretch>
                  </pic:blipFill>
                  <pic:spPr bwMode="auto">
                    <a:xfrm>
                      <a:off x="0" y="0"/>
                      <a:ext cx="5731510" cy="3649331"/>
                    </a:xfrm>
                    <a:prstGeom prst="rect">
                      <a:avLst/>
                    </a:prstGeom>
                    <a:noFill/>
                    <a:ln w="9525">
                      <a:noFill/>
                      <a:miter lim="800000"/>
                      <a:headEnd/>
                      <a:tailEnd/>
                    </a:ln>
                  </pic:spPr>
                </pic:pic>
              </a:graphicData>
            </a:graphic>
          </wp:inline>
        </w:drawing>
      </w:r>
    </w:p>
    <w:p w:rsidR="00171703" w:rsidRPr="00F30936" w:rsidRDefault="00171703" w:rsidP="00171703">
      <w:pPr>
        <w:rPr>
          <w:b/>
        </w:rPr>
      </w:pPr>
      <w:r w:rsidRPr="00F30936">
        <w:rPr>
          <w:b/>
        </w:rPr>
        <w:t>Rest of TAS</w:t>
      </w:r>
    </w:p>
    <w:p w:rsidR="00171703" w:rsidRDefault="00171703" w:rsidP="00171703">
      <w:r w:rsidRPr="003D41BC">
        <w:rPr>
          <w:noProof/>
          <w:lang w:val="en-AU" w:eastAsia="en-AU"/>
        </w:rPr>
        <w:drawing>
          <wp:inline distT="0" distB="0" distL="0" distR="0">
            <wp:extent cx="5731510" cy="3649331"/>
            <wp:effectExtent l="0" t="0" r="0" b="0"/>
            <wp:docPr id="20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srcRect/>
                    <a:stretch>
                      <a:fillRect/>
                    </a:stretch>
                  </pic:blipFill>
                  <pic:spPr bwMode="auto">
                    <a:xfrm>
                      <a:off x="0" y="0"/>
                      <a:ext cx="5731510" cy="3649331"/>
                    </a:xfrm>
                    <a:prstGeom prst="rect">
                      <a:avLst/>
                    </a:prstGeom>
                    <a:noFill/>
                    <a:ln w="9525">
                      <a:noFill/>
                      <a:miter lim="800000"/>
                      <a:headEnd/>
                      <a:tailEnd/>
                    </a:ln>
                  </pic:spPr>
                </pic:pic>
              </a:graphicData>
            </a:graphic>
          </wp:inline>
        </w:drawing>
      </w:r>
    </w:p>
    <w:p w:rsidR="00171703" w:rsidRDefault="00171703" w:rsidP="00171703"/>
    <w:p w:rsidR="00171703" w:rsidRDefault="00171703" w:rsidP="00171703"/>
    <w:p w:rsidR="00171703" w:rsidRDefault="00171703" w:rsidP="00171703"/>
    <w:p w:rsidR="00171703" w:rsidRPr="00F30936" w:rsidRDefault="00171703" w:rsidP="00171703">
      <w:pPr>
        <w:rPr>
          <w:b/>
        </w:rPr>
      </w:pPr>
      <w:r w:rsidRPr="00F30936">
        <w:rPr>
          <w:b/>
        </w:rPr>
        <w:t>NT</w:t>
      </w:r>
    </w:p>
    <w:p w:rsidR="00171703" w:rsidRDefault="00171703" w:rsidP="00171703">
      <w:r w:rsidRPr="003D41BC">
        <w:rPr>
          <w:noProof/>
          <w:lang w:val="en-AU" w:eastAsia="en-AU"/>
        </w:rPr>
        <w:drawing>
          <wp:inline distT="0" distB="0" distL="0" distR="0">
            <wp:extent cx="5731510" cy="3649331"/>
            <wp:effectExtent l="0" t="0" r="0" b="0"/>
            <wp:docPr id="20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srcRect/>
                    <a:stretch>
                      <a:fillRect/>
                    </a:stretch>
                  </pic:blipFill>
                  <pic:spPr bwMode="auto">
                    <a:xfrm>
                      <a:off x="0" y="0"/>
                      <a:ext cx="5731510" cy="3649331"/>
                    </a:xfrm>
                    <a:prstGeom prst="rect">
                      <a:avLst/>
                    </a:prstGeom>
                    <a:noFill/>
                    <a:ln w="9525">
                      <a:noFill/>
                      <a:miter lim="800000"/>
                      <a:headEnd/>
                      <a:tailEnd/>
                    </a:ln>
                  </pic:spPr>
                </pic:pic>
              </a:graphicData>
            </a:graphic>
          </wp:inline>
        </w:drawing>
      </w:r>
    </w:p>
    <w:p w:rsidR="00171703" w:rsidRPr="00F30936" w:rsidRDefault="00171703" w:rsidP="00171703">
      <w:pPr>
        <w:rPr>
          <w:b/>
        </w:rPr>
      </w:pPr>
      <w:r w:rsidRPr="00F30936">
        <w:rPr>
          <w:b/>
        </w:rPr>
        <w:t>ACT</w:t>
      </w:r>
    </w:p>
    <w:p w:rsidR="00171703" w:rsidRDefault="00171703" w:rsidP="00171703">
      <w:r w:rsidRPr="003D41BC">
        <w:rPr>
          <w:noProof/>
          <w:lang w:val="en-AU" w:eastAsia="en-AU"/>
        </w:rPr>
        <w:drawing>
          <wp:inline distT="0" distB="0" distL="0" distR="0">
            <wp:extent cx="5731510" cy="3649331"/>
            <wp:effectExtent l="0" t="0" r="0" b="0"/>
            <wp:docPr id="205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srcRect/>
                    <a:stretch>
                      <a:fillRect/>
                    </a:stretch>
                  </pic:blipFill>
                  <pic:spPr bwMode="auto">
                    <a:xfrm>
                      <a:off x="0" y="0"/>
                      <a:ext cx="5731510" cy="3649331"/>
                    </a:xfrm>
                    <a:prstGeom prst="rect">
                      <a:avLst/>
                    </a:prstGeom>
                    <a:noFill/>
                    <a:ln w="9525">
                      <a:noFill/>
                      <a:miter lim="800000"/>
                      <a:headEnd/>
                      <a:tailEnd/>
                    </a:ln>
                  </pic:spPr>
                </pic:pic>
              </a:graphicData>
            </a:graphic>
          </wp:inline>
        </w:drawing>
      </w:r>
    </w:p>
    <w:p w:rsidR="004535B8" w:rsidRPr="00B5231F" w:rsidRDefault="004535B8" w:rsidP="00CE4280"/>
    <w:sectPr w:rsidR="004535B8" w:rsidRPr="00B5231F" w:rsidSect="00AB6723">
      <w:footerReference w:type="default" r:id="rId4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954" w:rsidRDefault="001C2954" w:rsidP="00373033">
      <w:r>
        <w:separator/>
      </w:r>
    </w:p>
  </w:endnote>
  <w:endnote w:type="continuationSeparator" w:id="0">
    <w:p w:rsidR="001C2954" w:rsidRDefault="001C2954" w:rsidP="00373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18"/>
      <w:gridCol w:w="7938"/>
    </w:tblGrid>
    <w:tr w:rsidR="009C74A1">
      <w:tc>
        <w:tcPr>
          <w:tcW w:w="918" w:type="dxa"/>
        </w:tcPr>
        <w:p w:rsidR="009C74A1" w:rsidRDefault="00775556">
          <w:pPr>
            <w:pStyle w:val="Footer"/>
            <w:jc w:val="right"/>
            <w:rPr>
              <w:b/>
              <w:color w:val="4F81BD" w:themeColor="accent1"/>
              <w:sz w:val="32"/>
              <w:szCs w:val="32"/>
            </w:rPr>
          </w:pPr>
          <w:fldSimple w:instr=" PAGE   \* MERGEFORMAT ">
            <w:r w:rsidR="00BC1F69" w:rsidRPr="00BC1F69">
              <w:rPr>
                <w:b/>
                <w:noProof/>
                <w:color w:val="4F81BD" w:themeColor="accent1"/>
                <w:sz w:val="32"/>
                <w:szCs w:val="32"/>
              </w:rPr>
              <w:t>2</w:t>
            </w:r>
          </w:fldSimple>
        </w:p>
      </w:tc>
      <w:tc>
        <w:tcPr>
          <w:tcW w:w="7938" w:type="dxa"/>
        </w:tcPr>
        <w:p w:rsidR="009C74A1" w:rsidRDefault="009C74A1">
          <w:pPr>
            <w:pStyle w:val="Footer"/>
          </w:pPr>
        </w:p>
      </w:tc>
    </w:tr>
  </w:tbl>
  <w:p w:rsidR="009C74A1" w:rsidRDefault="009C74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954" w:rsidRDefault="001C2954" w:rsidP="00373033">
      <w:r>
        <w:separator/>
      </w:r>
    </w:p>
  </w:footnote>
  <w:footnote w:type="continuationSeparator" w:id="0">
    <w:p w:rsidR="001C2954" w:rsidRDefault="001C2954" w:rsidP="00373033">
      <w:r>
        <w:continuationSeparator/>
      </w:r>
    </w:p>
  </w:footnote>
  <w:footnote w:id="1">
    <w:p w:rsidR="005A54AC" w:rsidRDefault="005A54AC">
      <w:pPr>
        <w:pStyle w:val="FootnoteText"/>
      </w:pPr>
      <w:r>
        <w:rPr>
          <w:rStyle w:val="FootnoteReference"/>
        </w:rPr>
        <w:footnoteRef/>
      </w:r>
      <w:r>
        <w:t xml:space="preserve"> In applying HCT propensities, we do not make adjustments for multiple family households, which account for about 1% of households.</w:t>
      </w:r>
    </w:p>
  </w:footnote>
  <w:footnote w:id="2">
    <w:p w:rsidR="009C74A1" w:rsidRPr="00636A58" w:rsidRDefault="009C74A1">
      <w:pPr>
        <w:pStyle w:val="FootnoteText"/>
        <w:rPr>
          <w:lang w:val="en-AU"/>
        </w:rPr>
      </w:pPr>
      <w:r>
        <w:rPr>
          <w:rStyle w:val="FootnoteReference"/>
        </w:rPr>
        <w:footnoteRef/>
      </w:r>
      <w:r>
        <w:t xml:space="preserve"> </w:t>
      </w:r>
      <w:r>
        <w:rPr>
          <w:lang w:val="en-AU"/>
        </w:rPr>
        <w:t>Note that the net transition probability also includes the differential effects on the HCT category of migration and mortality. For example, in the example given in the text, if there was a net migration into a region of men who were predominantly in a couple relationship, this would tend to reduce the net transition probability of moving from living with parents to being coupled. In almost all instances because  the level of migration is very low at any one age and because the HCT distribution for migrants usually does not differ greatly from the distribution existing in the population at that age, the differential effects of migration are likely to be negligible. This is more likely to be the case at high levels of geographic aggregation such as those used in this report. Also, as the differential effects of migration and mortality are not taken into account directly, it is a desirable feature of the method that these effects are ‘rolled into’ the net transition probabilities that we use. A major exception to the above is that in relation to transitions into non-private dwellings at old ages (nursing homes), the differential effect of mortality is non-negligible because the mortality rates of persons in nursing homes are considerably higher than the mortality rates of persons of the same age who are not in a nursing home.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A7CCF"/>
    <w:multiLevelType w:val="hybridMultilevel"/>
    <w:tmpl w:val="7BF252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4A35C69"/>
    <w:multiLevelType w:val="hybridMultilevel"/>
    <w:tmpl w:val="C562CB7E"/>
    <w:lvl w:ilvl="0" w:tplc="372AD054">
      <w:start w:val="1"/>
      <w:numFmt w:val="bullet"/>
      <w:lvlText w:val="•"/>
      <w:lvlJc w:val="left"/>
      <w:pPr>
        <w:tabs>
          <w:tab w:val="num" w:pos="720"/>
        </w:tabs>
        <w:ind w:left="720" w:hanging="360"/>
      </w:pPr>
      <w:rPr>
        <w:rFonts w:ascii="Arial Narrow" w:hAnsi="Arial Narrow" w:hint="default"/>
      </w:rPr>
    </w:lvl>
    <w:lvl w:ilvl="1" w:tplc="9C6A025E" w:tentative="1">
      <w:start w:val="1"/>
      <w:numFmt w:val="bullet"/>
      <w:lvlText w:val="•"/>
      <w:lvlJc w:val="left"/>
      <w:pPr>
        <w:tabs>
          <w:tab w:val="num" w:pos="1440"/>
        </w:tabs>
        <w:ind w:left="1440" w:hanging="360"/>
      </w:pPr>
      <w:rPr>
        <w:rFonts w:ascii="Arial Narrow" w:hAnsi="Arial Narrow" w:hint="default"/>
      </w:rPr>
    </w:lvl>
    <w:lvl w:ilvl="2" w:tplc="2C4853A8" w:tentative="1">
      <w:start w:val="1"/>
      <w:numFmt w:val="bullet"/>
      <w:lvlText w:val="•"/>
      <w:lvlJc w:val="left"/>
      <w:pPr>
        <w:tabs>
          <w:tab w:val="num" w:pos="2160"/>
        </w:tabs>
        <w:ind w:left="2160" w:hanging="360"/>
      </w:pPr>
      <w:rPr>
        <w:rFonts w:ascii="Arial Narrow" w:hAnsi="Arial Narrow" w:hint="default"/>
      </w:rPr>
    </w:lvl>
    <w:lvl w:ilvl="3" w:tplc="D6F638A4" w:tentative="1">
      <w:start w:val="1"/>
      <w:numFmt w:val="bullet"/>
      <w:lvlText w:val="•"/>
      <w:lvlJc w:val="left"/>
      <w:pPr>
        <w:tabs>
          <w:tab w:val="num" w:pos="2880"/>
        </w:tabs>
        <w:ind w:left="2880" w:hanging="360"/>
      </w:pPr>
      <w:rPr>
        <w:rFonts w:ascii="Arial Narrow" w:hAnsi="Arial Narrow" w:hint="default"/>
      </w:rPr>
    </w:lvl>
    <w:lvl w:ilvl="4" w:tplc="41A233D8" w:tentative="1">
      <w:start w:val="1"/>
      <w:numFmt w:val="bullet"/>
      <w:lvlText w:val="•"/>
      <w:lvlJc w:val="left"/>
      <w:pPr>
        <w:tabs>
          <w:tab w:val="num" w:pos="3600"/>
        </w:tabs>
        <w:ind w:left="3600" w:hanging="360"/>
      </w:pPr>
      <w:rPr>
        <w:rFonts w:ascii="Arial Narrow" w:hAnsi="Arial Narrow" w:hint="default"/>
      </w:rPr>
    </w:lvl>
    <w:lvl w:ilvl="5" w:tplc="652E0F96" w:tentative="1">
      <w:start w:val="1"/>
      <w:numFmt w:val="bullet"/>
      <w:lvlText w:val="•"/>
      <w:lvlJc w:val="left"/>
      <w:pPr>
        <w:tabs>
          <w:tab w:val="num" w:pos="4320"/>
        </w:tabs>
        <w:ind w:left="4320" w:hanging="360"/>
      </w:pPr>
      <w:rPr>
        <w:rFonts w:ascii="Arial Narrow" w:hAnsi="Arial Narrow" w:hint="default"/>
      </w:rPr>
    </w:lvl>
    <w:lvl w:ilvl="6" w:tplc="5DECA320" w:tentative="1">
      <w:start w:val="1"/>
      <w:numFmt w:val="bullet"/>
      <w:lvlText w:val="•"/>
      <w:lvlJc w:val="left"/>
      <w:pPr>
        <w:tabs>
          <w:tab w:val="num" w:pos="5040"/>
        </w:tabs>
        <w:ind w:left="5040" w:hanging="360"/>
      </w:pPr>
      <w:rPr>
        <w:rFonts w:ascii="Arial Narrow" w:hAnsi="Arial Narrow" w:hint="default"/>
      </w:rPr>
    </w:lvl>
    <w:lvl w:ilvl="7" w:tplc="ABD6E300" w:tentative="1">
      <w:start w:val="1"/>
      <w:numFmt w:val="bullet"/>
      <w:lvlText w:val="•"/>
      <w:lvlJc w:val="left"/>
      <w:pPr>
        <w:tabs>
          <w:tab w:val="num" w:pos="5760"/>
        </w:tabs>
        <w:ind w:left="5760" w:hanging="360"/>
      </w:pPr>
      <w:rPr>
        <w:rFonts w:ascii="Arial Narrow" w:hAnsi="Arial Narrow" w:hint="default"/>
      </w:rPr>
    </w:lvl>
    <w:lvl w:ilvl="8" w:tplc="208C00C6" w:tentative="1">
      <w:start w:val="1"/>
      <w:numFmt w:val="bullet"/>
      <w:lvlText w:val="•"/>
      <w:lvlJc w:val="left"/>
      <w:pPr>
        <w:tabs>
          <w:tab w:val="num" w:pos="6480"/>
        </w:tabs>
        <w:ind w:left="6480" w:hanging="360"/>
      </w:pPr>
      <w:rPr>
        <w:rFonts w:ascii="Arial Narrow" w:hAnsi="Arial Narrow" w:hint="default"/>
      </w:rPr>
    </w:lvl>
  </w:abstractNum>
  <w:abstractNum w:abstractNumId="2">
    <w:nsid w:val="530663BB"/>
    <w:multiLevelType w:val="hybridMultilevel"/>
    <w:tmpl w:val="9B44F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B06E4B"/>
    <w:rsid w:val="00002001"/>
    <w:rsid w:val="000062F6"/>
    <w:rsid w:val="00013384"/>
    <w:rsid w:val="00033878"/>
    <w:rsid w:val="00036BE5"/>
    <w:rsid w:val="00043274"/>
    <w:rsid w:val="00047361"/>
    <w:rsid w:val="000478B4"/>
    <w:rsid w:val="00053EBF"/>
    <w:rsid w:val="000564DF"/>
    <w:rsid w:val="00056640"/>
    <w:rsid w:val="00066116"/>
    <w:rsid w:val="00067858"/>
    <w:rsid w:val="00074EA8"/>
    <w:rsid w:val="00075D36"/>
    <w:rsid w:val="00077BC9"/>
    <w:rsid w:val="00077D68"/>
    <w:rsid w:val="000802EC"/>
    <w:rsid w:val="00080FE5"/>
    <w:rsid w:val="00090BA4"/>
    <w:rsid w:val="00092845"/>
    <w:rsid w:val="000A4098"/>
    <w:rsid w:val="000A4948"/>
    <w:rsid w:val="000B24AE"/>
    <w:rsid w:val="000B6BE3"/>
    <w:rsid w:val="000C375E"/>
    <w:rsid w:val="000C76BC"/>
    <w:rsid w:val="000D26A5"/>
    <w:rsid w:val="000D36BD"/>
    <w:rsid w:val="000D7D44"/>
    <w:rsid w:val="000E12D8"/>
    <w:rsid w:val="00100D84"/>
    <w:rsid w:val="00111DCF"/>
    <w:rsid w:val="00125242"/>
    <w:rsid w:val="00135853"/>
    <w:rsid w:val="00144F20"/>
    <w:rsid w:val="0014676B"/>
    <w:rsid w:val="0015166C"/>
    <w:rsid w:val="001625BF"/>
    <w:rsid w:val="00162927"/>
    <w:rsid w:val="001631E5"/>
    <w:rsid w:val="00165C1B"/>
    <w:rsid w:val="00171703"/>
    <w:rsid w:val="00174C7B"/>
    <w:rsid w:val="001755C7"/>
    <w:rsid w:val="001775C3"/>
    <w:rsid w:val="00185097"/>
    <w:rsid w:val="00187F29"/>
    <w:rsid w:val="00197499"/>
    <w:rsid w:val="001B0E27"/>
    <w:rsid w:val="001B46AB"/>
    <w:rsid w:val="001B48E1"/>
    <w:rsid w:val="001B4B06"/>
    <w:rsid w:val="001B674F"/>
    <w:rsid w:val="001B6FB5"/>
    <w:rsid w:val="001C2423"/>
    <w:rsid w:val="001C2954"/>
    <w:rsid w:val="001C2A63"/>
    <w:rsid w:val="001D10B6"/>
    <w:rsid w:val="001D1300"/>
    <w:rsid w:val="001D22F3"/>
    <w:rsid w:val="001E0847"/>
    <w:rsid w:val="001E5B43"/>
    <w:rsid w:val="001E6159"/>
    <w:rsid w:val="001F1017"/>
    <w:rsid w:val="001F29BB"/>
    <w:rsid w:val="001F2F04"/>
    <w:rsid w:val="001F6FB7"/>
    <w:rsid w:val="00202F1B"/>
    <w:rsid w:val="00204149"/>
    <w:rsid w:val="00206B4A"/>
    <w:rsid w:val="002158DF"/>
    <w:rsid w:val="00225CBB"/>
    <w:rsid w:val="0022756F"/>
    <w:rsid w:val="0023104E"/>
    <w:rsid w:val="002332EC"/>
    <w:rsid w:val="00234241"/>
    <w:rsid w:val="00237D6C"/>
    <w:rsid w:val="00242D1C"/>
    <w:rsid w:val="00243D08"/>
    <w:rsid w:val="0025167F"/>
    <w:rsid w:val="002526D3"/>
    <w:rsid w:val="0026179E"/>
    <w:rsid w:val="00262D46"/>
    <w:rsid w:val="00270D3C"/>
    <w:rsid w:val="00271A81"/>
    <w:rsid w:val="00275CDC"/>
    <w:rsid w:val="002834FA"/>
    <w:rsid w:val="00287502"/>
    <w:rsid w:val="0028766B"/>
    <w:rsid w:val="00292310"/>
    <w:rsid w:val="002A3D8B"/>
    <w:rsid w:val="002A77CB"/>
    <w:rsid w:val="002B5C15"/>
    <w:rsid w:val="002C24E0"/>
    <w:rsid w:val="002C62AE"/>
    <w:rsid w:val="002C6B60"/>
    <w:rsid w:val="002D1255"/>
    <w:rsid w:val="002D267F"/>
    <w:rsid w:val="002D2CED"/>
    <w:rsid w:val="002D70CD"/>
    <w:rsid w:val="002F60C9"/>
    <w:rsid w:val="0030603A"/>
    <w:rsid w:val="0032616B"/>
    <w:rsid w:val="00336106"/>
    <w:rsid w:val="00340B34"/>
    <w:rsid w:val="00370518"/>
    <w:rsid w:val="00370CEF"/>
    <w:rsid w:val="00373033"/>
    <w:rsid w:val="00376196"/>
    <w:rsid w:val="0037624C"/>
    <w:rsid w:val="00386912"/>
    <w:rsid w:val="00394DDB"/>
    <w:rsid w:val="003A3449"/>
    <w:rsid w:val="003A3F28"/>
    <w:rsid w:val="003B4A49"/>
    <w:rsid w:val="003B6544"/>
    <w:rsid w:val="003C16DB"/>
    <w:rsid w:val="003C5CC2"/>
    <w:rsid w:val="003C62DB"/>
    <w:rsid w:val="003E7FB5"/>
    <w:rsid w:val="003F2EC8"/>
    <w:rsid w:val="003F3FAC"/>
    <w:rsid w:val="003F6451"/>
    <w:rsid w:val="003F767B"/>
    <w:rsid w:val="00400793"/>
    <w:rsid w:val="004012F5"/>
    <w:rsid w:val="004015D8"/>
    <w:rsid w:val="00423754"/>
    <w:rsid w:val="004314EF"/>
    <w:rsid w:val="004315DE"/>
    <w:rsid w:val="0043341C"/>
    <w:rsid w:val="004535B8"/>
    <w:rsid w:val="00453654"/>
    <w:rsid w:val="004545E0"/>
    <w:rsid w:val="00457215"/>
    <w:rsid w:val="00457F18"/>
    <w:rsid w:val="00466C9A"/>
    <w:rsid w:val="004708D3"/>
    <w:rsid w:val="00470CED"/>
    <w:rsid w:val="00470F89"/>
    <w:rsid w:val="00474210"/>
    <w:rsid w:val="004765FB"/>
    <w:rsid w:val="004815FD"/>
    <w:rsid w:val="00494AE5"/>
    <w:rsid w:val="00495B4C"/>
    <w:rsid w:val="00497598"/>
    <w:rsid w:val="004A5BC9"/>
    <w:rsid w:val="004B19AA"/>
    <w:rsid w:val="004B1EC2"/>
    <w:rsid w:val="004B3806"/>
    <w:rsid w:val="004B653C"/>
    <w:rsid w:val="004B76B3"/>
    <w:rsid w:val="004C2E2B"/>
    <w:rsid w:val="004E0966"/>
    <w:rsid w:val="004E7BF3"/>
    <w:rsid w:val="004F30B7"/>
    <w:rsid w:val="004F6238"/>
    <w:rsid w:val="005044C4"/>
    <w:rsid w:val="005140A3"/>
    <w:rsid w:val="005330C1"/>
    <w:rsid w:val="00536774"/>
    <w:rsid w:val="00544D11"/>
    <w:rsid w:val="0054659B"/>
    <w:rsid w:val="00552ABA"/>
    <w:rsid w:val="00552C32"/>
    <w:rsid w:val="0055538E"/>
    <w:rsid w:val="00567BB4"/>
    <w:rsid w:val="00580E05"/>
    <w:rsid w:val="005847CD"/>
    <w:rsid w:val="00584ABA"/>
    <w:rsid w:val="00584FE5"/>
    <w:rsid w:val="00590801"/>
    <w:rsid w:val="00591A16"/>
    <w:rsid w:val="00591F3A"/>
    <w:rsid w:val="00595C86"/>
    <w:rsid w:val="005A147A"/>
    <w:rsid w:val="005A54AC"/>
    <w:rsid w:val="005B096A"/>
    <w:rsid w:val="005E0714"/>
    <w:rsid w:val="005E0AFA"/>
    <w:rsid w:val="005E1EF6"/>
    <w:rsid w:val="005E5F15"/>
    <w:rsid w:val="005E763F"/>
    <w:rsid w:val="005F11CD"/>
    <w:rsid w:val="006000CA"/>
    <w:rsid w:val="00606AB5"/>
    <w:rsid w:val="00611B2B"/>
    <w:rsid w:val="00612300"/>
    <w:rsid w:val="00615259"/>
    <w:rsid w:val="006222CE"/>
    <w:rsid w:val="006233A5"/>
    <w:rsid w:val="006359FD"/>
    <w:rsid w:val="00636A58"/>
    <w:rsid w:val="00641DF2"/>
    <w:rsid w:val="00644817"/>
    <w:rsid w:val="006551C6"/>
    <w:rsid w:val="00661D57"/>
    <w:rsid w:val="006706EB"/>
    <w:rsid w:val="00670ED6"/>
    <w:rsid w:val="00671527"/>
    <w:rsid w:val="0067623A"/>
    <w:rsid w:val="0067715C"/>
    <w:rsid w:val="00677B94"/>
    <w:rsid w:val="00677DB5"/>
    <w:rsid w:val="00684F80"/>
    <w:rsid w:val="006871C5"/>
    <w:rsid w:val="006878B8"/>
    <w:rsid w:val="006928E6"/>
    <w:rsid w:val="00696E99"/>
    <w:rsid w:val="006A54E5"/>
    <w:rsid w:val="006A7A13"/>
    <w:rsid w:val="006C494C"/>
    <w:rsid w:val="006C5C05"/>
    <w:rsid w:val="006D28AC"/>
    <w:rsid w:val="006D59C1"/>
    <w:rsid w:val="006E0C0B"/>
    <w:rsid w:val="006E4B73"/>
    <w:rsid w:val="006F2F58"/>
    <w:rsid w:val="00705008"/>
    <w:rsid w:val="00721869"/>
    <w:rsid w:val="00724C5A"/>
    <w:rsid w:val="0073391A"/>
    <w:rsid w:val="0074071B"/>
    <w:rsid w:val="00753A86"/>
    <w:rsid w:val="00773CC8"/>
    <w:rsid w:val="007747F1"/>
    <w:rsid w:val="00775556"/>
    <w:rsid w:val="00784914"/>
    <w:rsid w:val="00787956"/>
    <w:rsid w:val="0079119B"/>
    <w:rsid w:val="00791761"/>
    <w:rsid w:val="007961BC"/>
    <w:rsid w:val="007A113F"/>
    <w:rsid w:val="007A328B"/>
    <w:rsid w:val="007A5479"/>
    <w:rsid w:val="007B2187"/>
    <w:rsid w:val="007B309E"/>
    <w:rsid w:val="007C448F"/>
    <w:rsid w:val="007D6ABE"/>
    <w:rsid w:val="007E1514"/>
    <w:rsid w:val="007E3DCA"/>
    <w:rsid w:val="007E44CF"/>
    <w:rsid w:val="007F3980"/>
    <w:rsid w:val="00803C36"/>
    <w:rsid w:val="00807494"/>
    <w:rsid w:val="00810E36"/>
    <w:rsid w:val="00812248"/>
    <w:rsid w:val="00815A00"/>
    <w:rsid w:val="00815F33"/>
    <w:rsid w:val="00817A03"/>
    <w:rsid w:val="00821EB6"/>
    <w:rsid w:val="0082208C"/>
    <w:rsid w:val="0082608B"/>
    <w:rsid w:val="008374DF"/>
    <w:rsid w:val="008431B4"/>
    <w:rsid w:val="00853509"/>
    <w:rsid w:val="008536B1"/>
    <w:rsid w:val="00864A25"/>
    <w:rsid w:val="008722EF"/>
    <w:rsid w:val="008743C1"/>
    <w:rsid w:val="00875A21"/>
    <w:rsid w:val="00881924"/>
    <w:rsid w:val="00883E8F"/>
    <w:rsid w:val="0088721B"/>
    <w:rsid w:val="008877DC"/>
    <w:rsid w:val="00893356"/>
    <w:rsid w:val="00894976"/>
    <w:rsid w:val="008A3780"/>
    <w:rsid w:val="008A3B7B"/>
    <w:rsid w:val="008A5055"/>
    <w:rsid w:val="008A70EE"/>
    <w:rsid w:val="008B02D6"/>
    <w:rsid w:val="008E2E81"/>
    <w:rsid w:val="008E3E0C"/>
    <w:rsid w:val="00903D47"/>
    <w:rsid w:val="00906C2C"/>
    <w:rsid w:val="0091183E"/>
    <w:rsid w:val="009118AD"/>
    <w:rsid w:val="00915782"/>
    <w:rsid w:val="009173E2"/>
    <w:rsid w:val="00924DFF"/>
    <w:rsid w:val="00930DED"/>
    <w:rsid w:val="00940EF7"/>
    <w:rsid w:val="00942BA5"/>
    <w:rsid w:val="009572E2"/>
    <w:rsid w:val="00973B84"/>
    <w:rsid w:val="009765D3"/>
    <w:rsid w:val="00976A23"/>
    <w:rsid w:val="00977215"/>
    <w:rsid w:val="00977A8F"/>
    <w:rsid w:val="009820EB"/>
    <w:rsid w:val="009938FE"/>
    <w:rsid w:val="00996B02"/>
    <w:rsid w:val="00997583"/>
    <w:rsid w:val="009B2F6C"/>
    <w:rsid w:val="009B4771"/>
    <w:rsid w:val="009C117D"/>
    <w:rsid w:val="009C74A1"/>
    <w:rsid w:val="009D1FC1"/>
    <w:rsid w:val="009D4949"/>
    <w:rsid w:val="009E412E"/>
    <w:rsid w:val="009E67CF"/>
    <w:rsid w:val="009F128A"/>
    <w:rsid w:val="00A144D7"/>
    <w:rsid w:val="00A157D3"/>
    <w:rsid w:val="00A1777C"/>
    <w:rsid w:val="00A179AF"/>
    <w:rsid w:val="00A27BC4"/>
    <w:rsid w:val="00A31542"/>
    <w:rsid w:val="00A378DF"/>
    <w:rsid w:val="00A42AF7"/>
    <w:rsid w:val="00A437D5"/>
    <w:rsid w:val="00A46299"/>
    <w:rsid w:val="00A500E6"/>
    <w:rsid w:val="00A56D38"/>
    <w:rsid w:val="00A71A8B"/>
    <w:rsid w:val="00A737EC"/>
    <w:rsid w:val="00A757BE"/>
    <w:rsid w:val="00A77FF9"/>
    <w:rsid w:val="00A8256B"/>
    <w:rsid w:val="00A87BEB"/>
    <w:rsid w:val="00A912F1"/>
    <w:rsid w:val="00A9585F"/>
    <w:rsid w:val="00A96FD0"/>
    <w:rsid w:val="00AA52F6"/>
    <w:rsid w:val="00AB261B"/>
    <w:rsid w:val="00AB3EEF"/>
    <w:rsid w:val="00AB608F"/>
    <w:rsid w:val="00AB6723"/>
    <w:rsid w:val="00AC09B1"/>
    <w:rsid w:val="00AC63F1"/>
    <w:rsid w:val="00AC6F25"/>
    <w:rsid w:val="00AD103A"/>
    <w:rsid w:val="00AD4263"/>
    <w:rsid w:val="00AD4492"/>
    <w:rsid w:val="00AF4723"/>
    <w:rsid w:val="00B012BC"/>
    <w:rsid w:val="00B02AB0"/>
    <w:rsid w:val="00B03A8D"/>
    <w:rsid w:val="00B05C1B"/>
    <w:rsid w:val="00B06E4B"/>
    <w:rsid w:val="00B16741"/>
    <w:rsid w:val="00B254DA"/>
    <w:rsid w:val="00B52218"/>
    <w:rsid w:val="00B5231F"/>
    <w:rsid w:val="00B55C56"/>
    <w:rsid w:val="00B57A92"/>
    <w:rsid w:val="00B61991"/>
    <w:rsid w:val="00B6317F"/>
    <w:rsid w:val="00B809A5"/>
    <w:rsid w:val="00B83808"/>
    <w:rsid w:val="00B8584C"/>
    <w:rsid w:val="00BA23A8"/>
    <w:rsid w:val="00BA2A0B"/>
    <w:rsid w:val="00BA57A3"/>
    <w:rsid w:val="00BA633C"/>
    <w:rsid w:val="00BB00C9"/>
    <w:rsid w:val="00BB2499"/>
    <w:rsid w:val="00BC02C7"/>
    <w:rsid w:val="00BC1403"/>
    <w:rsid w:val="00BC1F69"/>
    <w:rsid w:val="00BD1D45"/>
    <w:rsid w:val="00BD78FC"/>
    <w:rsid w:val="00BE1110"/>
    <w:rsid w:val="00BF6DEC"/>
    <w:rsid w:val="00C0039D"/>
    <w:rsid w:val="00C023FF"/>
    <w:rsid w:val="00C11BF2"/>
    <w:rsid w:val="00C15E33"/>
    <w:rsid w:val="00C30F84"/>
    <w:rsid w:val="00C37BBD"/>
    <w:rsid w:val="00C4202A"/>
    <w:rsid w:val="00C42B5C"/>
    <w:rsid w:val="00C5051E"/>
    <w:rsid w:val="00C50D1D"/>
    <w:rsid w:val="00C51A86"/>
    <w:rsid w:val="00C539F6"/>
    <w:rsid w:val="00C55A14"/>
    <w:rsid w:val="00C62945"/>
    <w:rsid w:val="00C62B3F"/>
    <w:rsid w:val="00C81BD3"/>
    <w:rsid w:val="00C8231F"/>
    <w:rsid w:val="00C82E54"/>
    <w:rsid w:val="00C8323A"/>
    <w:rsid w:val="00CA2AA5"/>
    <w:rsid w:val="00CB2366"/>
    <w:rsid w:val="00CB44A2"/>
    <w:rsid w:val="00CC432C"/>
    <w:rsid w:val="00CC5B71"/>
    <w:rsid w:val="00CC7641"/>
    <w:rsid w:val="00CE1ACA"/>
    <w:rsid w:val="00CE2BC5"/>
    <w:rsid w:val="00CE4280"/>
    <w:rsid w:val="00CF260B"/>
    <w:rsid w:val="00CF4B02"/>
    <w:rsid w:val="00D12DCD"/>
    <w:rsid w:val="00D2038B"/>
    <w:rsid w:val="00D25DCD"/>
    <w:rsid w:val="00D3115E"/>
    <w:rsid w:val="00D45668"/>
    <w:rsid w:val="00D531DA"/>
    <w:rsid w:val="00D54E05"/>
    <w:rsid w:val="00D64702"/>
    <w:rsid w:val="00D75FDF"/>
    <w:rsid w:val="00D773E8"/>
    <w:rsid w:val="00D821BA"/>
    <w:rsid w:val="00D877DA"/>
    <w:rsid w:val="00D91642"/>
    <w:rsid w:val="00DB1E62"/>
    <w:rsid w:val="00DB287B"/>
    <w:rsid w:val="00DB4866"/>
    <w:rsid w:val="00DB56E6"/>
    <w:rsid w:val="00DC6389"/>
    <w:rsid w:val="00DC7242"/>
    <w:rsid w:val="00DD01FD"/>
    <w:rsid w:val="00DD3F6D"/>
    <w:rsid w:val="00DD5344"/>
    <w:rsid w:val="00DE0B4E"/>
    <w:rsid w:val="00DE2D99"/>
    <w:rsid w:val="00DE7300"/>
    <w:rsid w:val="00DF00F1"/>
    <w:rsid w:val="00DF5367"/>
    <w:rsid w:val="00E01204"/>
    <w:rsid w:val="00E02395"/>
    <w:rsid w:val="00E06E75"/>
    <w:rsid w:val="00E109FD"/>
    <w:rsid w:val="00E13DC5"/>
    <w:rsid w:val="00E24544"/>
    <w:rsid w:val="00E30615"/>
    <w:rsid w:val="00E34E80"/>
    <w:rsid w:val="00E50A38"/>
    <w:rsid w:val="00E5449A"/>
    <w:rsid w:val="00E54C59"/>
    <w:rsid w:val="00E55FB2"/>
    <w:rsid w:val="00E62845"/>
    <w:rsid w:val="00E63BA8"/>
    <w:rsid w:val="00E67292"/>
    <w:rsid w:val="00E67E7B"/>
    <w:rsid w:val="00E83869"/>
    <w:rsid w:val="00E83E74"/>
    <w:rsid w:val="00E85202"/>
    <w:rsid w:val="00E93BF7"/>
    <w:rsid w:val="00E95559"/>
    <w:rsid w:val="00E95FFD"/>
    <w:rsid w:val="00E97D96"/>
    <w:rsid w:val="00EB2C33"/>
    <w:rsid w:val="00EB3189"/>
    <w:rsid w:val="00EB3C34"/>
    <w:rsid w:val="00EB3C45"/>
    <w:rsid w:val="00EB52A8"/>
    <w:rsid w:val="00EB7641"/>
    <w:rsid w:val="00EC0572"/>
    <w:rsid w:val="00EC6098"/>
    <w:rsid w:val="00ED4252"/>
    <w:rsid w:val="00ED7464"/>
    <w:rsid w:val="00ED7EE0"/>
    <w:rsid w:val="00EE3DC8"/>
    <w:rsid w:val="00F027E2"/>
    <w:rsid w:val="00F040A1"/>
    <w:rsid w:val="00F26190"/>
    <w:rsid w:val="00F30503"/>
    <w:rsid w:val="00F30880"/>
    <w:rsid w:val="00F30936"/>
    <w:rsid w:val="00F81ABB"/>
    <w:rsid w:val="00F84BD0"/>
    <w:rsid w:val="00F8697B"/>
    <w:rsid w:val="00F86FB7"/>
    <w:rsid w:val="00F904F4"/>
    <w:rsid w:val="00FA1BA1"/>
    <w:rsid w:val="00FB20BA"/>
    <w:rsid w:val="00FC410D"/>
    <w:rsid w:val="00FC414D"/>
    <w:rsid w:val="00FC5228"/>
    <w:rsid w:val="00FC690B"/>
    <w:rsid w:val="00FD2307"/>
    <w:rsid w:val="00FD6BEB"/>
    <w:rsid w:val="00FE1DDF"/>
    <w:rsid w:val="00FF1B2C"/>
    <w:rsid w:val="00FF567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D96"/>
    <w:rPr>
      <w:sz w:val="24"/>
      <w:szCs w:val="24"/>
      <w:lang w:val="en-US" w:eastAsia="en-US"/>
    </w:rPr>
  </w:style>
  <w:style w:type="paragraph" w:styleId="Heading1">
    <w:name w:val="heading 1"/>
    <w:basedOn w:val="Normal"/>
    <w:next w:val="Normal"/>
    <w:qFormat/>
    <w:rsid w:val="00BA2A0B"/>
    <w:pPr>
      <w:keepNext/>
      <w:outlineLvl w:val="0"/>
    </w:pPr>
    <w:rPr>
      <w:b/>
      <w:bCs/>
      <w:lang w:val="en-AU"/>
    </w:rPr>
  </w:style>
  <w:style w:type="paragraph" w:styleId="Heading2">
    <w:name w:val="heading 2"/>
    <w:basedOn w:val="Normal"/>
    <w:next w:val="Normal"/>
    <w:qFormat/>
    <w:rsid w:val="00BA2A0B"/>
    <w:pPr>
      <w:keepNext/>
      <w:outlineLvl w:val="1"/>
    </w:pPr>
    <w:rPr>
      <w:i/>
      <w:iCs/>
      <w:color w:val="000000"/>
    </w:rPr>
  </w:style>
  <w:style w:type="paragraph" w:styleId="Heading3">
    <w:name w:val="heading 3"/>
    <w:basedOn w:val="Normal"/>
    <w:next w:val="Normal"/>
    <w:qFormat/>
    <w:rsid w:val="00BA2A0B"/>
    <w:pPr>
      <w:keepNext/>
      <w:outlineLvl w:val="2"/>
    </w:pPr>
    <w:rPr>
      <w:i/>
      <w:i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A2A0B"/>
    <w:pPr>
      <w:widowControl w:val="0"/>
      <w:autoSpaceDE w:val="0"/>
      <w:autoSpaceDN w:val="0"/>
      <w:adjustRightInd w:val="0"/>
      <w:spacing w:line="480" w:lineRule="auto"/>
      <w:ind w:firstLine="720"/>
      <w:jc w:val="both"/>
    </w:pPr>
    <w:rPr>
      <w:color w:val="000000"/>
      <w:szCs w:val="20"/>
    </w:rPr>
  </w:style>
  <w:style w:type="paragraph" w:styleId="BodyText">
    <w:name w:val="Body Text"/>
    <w:basedOn w:val="Normal"/>
    <w:rsid w:val="00BA2A0B"/>
    <w:pPr>
      <w:spacing w:line="480" w:lineRule="auto"/>
      <w:jc w:val="both"/>
    </w:pPr>
    <w:rPr>
      <w:szCs w:val="20"/>
      <w:lang w:val="en-AU"/>
    </w:rPr>
  </w:style>
  <w:style w:type="paragraph" w:styleId="BodyTextIndent2">
    <w:name w:val="Body Text Indent 2"/>
    <w:basedOn w:val="Normal"/>
    <w:rsid w:val="00BA2A0B"/>
    <w:pPr>
      <w:ind w:firstLine="720"/>
      <w:jc w:val="both"/>
    </w:pPr>
    <w:rPr>
      <w:lang w:val="en-AU"/>
    </w:rPr>
  </w:style>
  <w:style w:type="table" w:styleId="TableGrid">
    <w:name w:val="Table Grid"/>
    <w:basedOn w:val="TableNormal"/>
    <w:uiPriority w:val="59"/>
    <w:rsid w:val="00BC1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373033"/>
    <w:rPr>
      <w:sz w:val="16"/>
      <w:szCs w:val="16"/>
    </w:rPr>
  </w:style>
  <w:style w:type="paragraph" w:styleId="CommentText">
    <w:name w:val="annotation text"/>
    <w:basedOn w:val="Normal"/>
    <w:link w:val="CommentTextChar"/>
    <w:rsid w:val="00373033"/>
    <w:rPr>
      <w:sz w:val="20"/>
      <w:szCs w:val="20"/>
    </w:rPr>
  </w:style>
  <w:style w:type="character" w:customStyle="1" w:styleId="CommentTextChar">
    <w:name w:val="Comment Text Char"/>
    <w:basedOn w:val="DefaultParagraphFont"/>
    <w:link w:val="CommentText"/>
    <w:rsid w:val="00373033"/>
    <w:rPr>
      <w:lang w:val="en-US" w:eastAsia="en-US"/>
    </w:rPr>
  </w:style>
  <w:style w:type="paragraph" w:styleId="CommentSubject">
    <w:name w:val="annotation subject"/>
    <w:basedOn w:val="CommentText"/>
    <w:next w:val="CommentText"/>
    <w:link w:val="CommentSubjectChar"/>
    <w:rsid w:val="00373033"/>
    <w:rPr>
      <w:b/>
      <w:bCs/>
    </w:rPr>
  </w:style>
  <w:style w:type="character" w:customStyle="1" w:styleId="CommentSubjectChar">
    <w:name w:val="Comment Subject Char"/>
    <w:basedOn w:val="CommentTextChar"/>
    <w:link w:val="CommentSubject"/>
    <w:rsid w:val="00373033"/>
    <w:rPr>
      <w:b/>
      <w:bCs/>
      <w:lang w:val="en-US" w:eastAsia="en-US"/>
    </w:rPr>
  </w:style>
  <w:style w:type="paragraph" w:styleId="BalloonText">
    <w:name w:val="Balloon Text"/>
    <w:basedOn w:val="Normal"/>
    <w:link w:val="BalloonTextChar"/>
    <w:rsid w:val="00373033"/>
    <w:rPr>
      <w:rFonts w:ascii="Tahoma" w:hAnsi="Tahoma" w:cs="Tahoma"/>
      <w:sz w:val="16"/>
      <w:szCs w:val="16"/>
    </w:rPr>
  </w:style>
  <w:style w:type="character" w:customStyle="1" w:styleId="BalloonTextChar">
    <w:name w:val="Balloon Text Char"/>
    <w:basedOn w:val="DefaultParagraphFont"/>
    <w:link w:val="BalloonText"/>
    <w:rsid w:val="00373033"/>
    <w:rPr>
      <w:rFonts w:ascii="Tahoma" w:hAnsi="Tahoma" w:cs="Tahoma"/>
      <w:sz w:val="16"/>
      <w:szCs w:val="16"/>
      <w:lang w:val="en-US" w:eastAsia="en-US"/>
    </w:rPr>
  </w:style>
  <w:style w:type="paragraph" w:styleId="FootnoteText">
    <w:name w:val="footnote text"/>
    <w:basedOn w:val="Normal"/>
    <w:link w:val="FootnoteTextChar"/>
    <w:rsid w:val="00373033"/>
    <w:rPr>
      <w:sz w:val="20"/>
      <w:szCs w:val="20"/>
    </w:rPr>
  </w:style>
  <w:style w:type="character" w:customStyle="1" w:styleId="FootnoteTextChar">
    <w:name w:val="Footnote Text Char"/>
    <w:basedOn w:val="DefaultParagraphFont"/>
    <w:link w:val="FootnoteText"/>
    <w:rsid w:val="00373033"/>
    <w:rPr>
      <w:lang w:val="en-US" w:eastAsia="en-US"/>
    </w:rPr>
  </w:style>
  <w:style w:type="character" w:styleId="FootnoteReference">
    <w:name w:val="footnote reference"/>
    <w:basedOn w:val="DefaultParagraphFont"/>
    <w:rsid w:val="00373033"/>
    <w:rPr>
      <w:vertAlign w:val="superscript"/>
    </w:rPr>
  </w:style>
  <w:style w:type="paragraph" w:styleId="Header">
    <w:name w:val="header"/>
    <w:basedOn w:val="Normal"/>
    <w:link w:val="HeaderChar"/>
    <w:rsid w:val="009C74A1"/>
    <w:pPr>
      <w:tabs>
        <w:tab w:val="center" w:pos="4513"/>
        <w:tab w:val="right" w:pos="9026"/>
      </w:tabs>
    </w:pPr>
  </w:style>
  <w:style w:type="character" w:customStyle="1" w:styleId="HeaderChar">
    <w:name w:val="Header Char"/>
    <w:basedOn w:val="DefaultParagraphFont"/>
    <w:link w:val="Header"/>
    <w:rsid w:val="009C74A1"/>
    <w:rPr>
      <w:sz w:val="24"/>
      <w:szCs w:val="24"/>
      <w:lang w:val="en-US" w:eastAsia="en-US"/>
    </w:rPr>
  </w:style>
  <w:style w:type="paragraph" w:styleId="Footer">
    <w:name w:val="footer"/>
    <w:basedOn w:val="Normal"/>
    <w:link w:val="FooterChar"/>
    <w:uiPriority w:val="99"/>
    <w:rsid w:val="009C74A1"/>
    <w:pPr>
      <w:tabs>
        <w:tab w:val="center" w:pos="4513"/>
        <w:tab w:val="right" w:pos="9026"/>
      </w:tabs>
    </w:pPr>
  </w:style>
  <w:style w:type="character" w:customStyle="1" w:styleId="FooterChar">
    <w:name w:val="Footer Char"/>
    <w:basedOn w:val="DefaultParagraphFont"/>
    <w:link w:val="Footer"/>
    <w:uiPriority w:val="99"/>
    <w:rsid w:val="009C74A1"/>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D96"/>
    <w:rPr>
      <w:sz w:val="24"/>
      <w:szCs w:val="24"/>
      <w:lang w:val="en-US" w:eastAsia="en-US"/>
    </w:rPr>
  </w:style>
  <w:style w:type="paragraph" w:styleId="Heading1">
    <w:name w:val="heading 1"/>
    <w:basedOn w:val="Normal"/>
    <w:next w:val="Normal"/>
    <w:qFormat/>
    <w:rsid w:val="00BA2A0B"/>
    <w:pPr>
      <w:keepNext/>
      <w:outlineLvl w:val="0"/>
    </w:pPr>
    <w:rPr>
      <w:b/>
      <w:bCs/>
      <w:lang w:val="en-AU"/>
    </w:rPr>
  </w:style>
  <w:style w:type="paragraph" w:styleId="Heading2">
    <w:name w:val="heading 2"/>
    <w:basedOn w:val="Normal"/>
    <w:next w:val="Normal"/>
    <w:qFormat/>
    <w:rsid w:val="00BA2A0B"/>
    <w:pPr>
      <w:keepNext/>
      <w:outlineLvl w:val="1"/>
    </w:pPr>
    <w:rPr>
      <w:i/>
      <w:iCs/>
      <w:color w:val="000000"/>
    </w:rPr>
  </w:style>
  <w:style w:type="paragraph" w:styleId="Heading3">
    <w:name w:val="heading 3"/>
    <w:basedOn w:val="Normal"/>
    <w:next w:val="Normal"/>
    <w:qFormat/>
    <w:rsid w:val="00BA2A0B"/>
    <w:pPr>
      <w:keepNext/>
      <w:outlineLvl w:val="2"/>
    </w:pPr>
    <w:rPr>
      <w:i/>
      <w:i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A2A0B"/>
    <w:pPr>
      <w:widowControl w:val="0"/>
      <w:autoSpaceDE w:val="0"/>
      <w:autoSpaceDN w:val="0"/>
      <w:adjustRightInd w:val="0"/>
      <w:spacing w:line="480" w:lineRule="auto"/>
      <w:ind w:firstLine="720"/>
      <w:jc w:val="both"/>
    </w:pPr>
    <w:rPr>
      <w:color w:val="000000"/>
      <w:szCs w:val="20"/>
    </w:rPr>
  </w:style>
  <w:style w:type="paragraph" w:styleId="BodyText">
    <w:name w:val="Body Text"/>
    <w:basedOn w:val="Normal"/>
    <w:rsid w:val="00BA2A0B"/>
    <w:pPr>
      <w:spacing w:line="480" w:lineRule="auto"/>
      <w:jc w:val="both"/>
    </w:pPr>
    <w:rPr>
      <w:szCs w:val="20"/>
      <w:lang w:val="en-AU"/>
    </w:rPr>
  </w:style>
  <w:style w:type="paragraph" w:styleId="BodyTextIndent2">
    <w:name w:val="Body Text Indent 2"/>
    <w:basedOn w:val="Normal"/>
    <w:rsid w:val="00BA2A0B"/>
    <w:pPr>
      <w:ind w:firstLine="720"/>
      <w:jc w:val="both"/>
    </w:pPr>
    <w:rPr>
      <w:lang w:val="en-AU"/>
    </w:rPr>
  </w:style>
  <w:style w:type="table" w:styleId="TableGrid">
    <w:name w:val="Table Grid"/>
    <w:basedOn w:val="TableNormal"/>
    <w:rsid w:val="00BC1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373033"/>
    <w:rPr>
      <w:sz w:val="16"/>
      <w:szCs w:val="16"/>
    </w:rPr>
  </w:style>
  <w:style w:type="paragraph" w:styleId="CommentText">
    <w:name w:val="annotation text"/>
    <w:basedOn w:val="Normal"/>
    <w:link w:val="CommentTextChar"/>
    <w:rsid w:val="00373033"/>
    <w:rPr>
      <w:sz w:val="20"/>
      <w:szCs w:val="20"/>
    </w:rPr>
  </w:style>
  <w:style w:type="character" w:customStyle="1" w:styleId="CommentTextChar">
    <w:name w:val="Comment Text Char"/>
    <w:basedOn w:val="DefaultParagraphFont"/>
    <w:link w:val="CommentText"/>
    <w:rsid w:val="00373033"/>
    <w:rPr>
      <w:lang w:val="en-US" w:eastAsia="en-US"/>
    </w:rPr>
  </w:style>
  <w:style w:type="paragraph" w:styleId="CommentSubject">
    <w:name w:val="annotation subject"/>
    <w:basedOn w:val="CommentText"/>
    <w:next w:val="CommentText"/>
    <w:link w:val="CommentSubjectChar"/>
    <w:rsid w:val="00373033"/>
    <w:rPr>
      <w:b/>
      <w:bCs/>
    </w:rPr>
  </w:style>
  <w:style w:type="character" w:customStyle="1" w:styleId="CommentSubjectChar">
    <w:name w:val="Comment Subject Char"/>
    <w:basedOn w:val="CommentTextChar"/>
    <w:link w:val="CommentSubject"/>
    <w:rsid w:val="00373033"/>
    <w:rPr>
      <w:b/>
      <w:bCs/>
      <w:lang w:val="en-US" w:eastAsia="en-US"/>
    </w:rPr>
  </w:style>
  <w:style w:type="paragraph" w:styleId="BalloonText">
    <w:name w:val="Balloon Text"/>
    <w:basedOn w:val="Normal"/>
    <w:link w:val="BalloonTextChar"/>
    <w:rsid w:val="00373033"/>
    <w:rPr>
      <w:rFonts w:ascii="Tahoma" w:hAnsi="Tahoma" w:cs="Tahoma"/>
      <w:sz w:val="16"/>
      <w:szCs w:val="16"/>
    </w:rPr>
  </w:style>
  <w:style w:type="character" w:customStyle="1" w:styleId="BalloonTextChar">
    <w:name w:val="Balloon Text Char"/>
    <w:basedOn w:val="DefaultParagraphFont"/>
    <w:link w:val="BalloonText"/>
    <w:rsid w:val="00373033"/>
    <w:rPr>
      <w:rFonts w:ascii="Tahoma" w:hAnsi="Tahoma" w:cs="Tahoma"/>
      <w:sz w:val="16"/>
      <w:szCs w:val="16"/>
      <w:lang w:val="en-US" w:eastAsia="en-US"/>
    </w:rPr>
  </w:style>
  <w:style w:type="paragraph" w:styleId="FootnoteText">
    <w:name w:val="footnote text"/>
    <w:basedOn w:val="Normal"/>
    <w:link w:val="FootnoteTextChar"/>
    <w:rsid w:val="00373033"/>
    <w:rPr>
      <w:sz w:val="20"/>
      <w:szCs w:val="20"/>
    </w:rPr>
  </w:style>
  <w:style w:type="character" w:customStyle="1" w:styleId="FootnoteTextChar">
    <w:name w:val="Footnote Text Char"/>
    <w:basedOn w:val="DefaultParagraphFont"/>
    <w:link w:val="FootnoteText"/>
    <w:rsid w:val="00373033"/>
    <w:rPr>
      <w:lang w:val="en-US" w:eastAsia="en-US"/>
    </w:rPr>
  </w:style>
  <w:style w:type="character" w:styleId="FootnoteReference">
    <w:name w:val="footnote reference"/>
    <w:basedOn w:val="DefaultParagraphFont"/>
    <w:rsid w:val="00373033"/>
    <w:rPr>
      <w:vertAlign w:val="superscript"/>
    </w:rPr>
  </w:style>
</w:styles>
</file>

<file path=word/webSettings.xml><?xml version="1.0" encoding="utf-8"?>
<w:webSettings xmlns:r="http://schemas.openxmlformats.org/officeDocument/2006/relationships" xmlns:w="http://schemas.openxmlformats.org/wordprocessingml/2006/main">
  <w:divs>
    <w:div w:id="232467153">
      <w:bodyDiv w:val="1"/>
      <w:marLeft w:val="0"/>
      <w:marRight w:val="0"/>
      <w:marTop w:val="0"/>
      <w:marBottom w:val="0"/>
      <w:divBdr>
        <w:top w:val="none" w:sz="0" w:space="0" w:color="auto"/>
        <w:left w:val="none" w:sz="0" w:space="0" w:color="auto"/>
        <w:bottom w:val="none" w:sz="0" w:space="0" w:color="auto"/>
        <w:right w:val="none" w:sz="0" w:space="0" w:color="auto"/>
      </w:divBdr>
    </w:div>
    <w:div w:id="410081583">
      <w:bodyDiv w:val="1"/>
      <w:marLeft w:val="0"/>
      <w:marRight w:val="0"/>
      <w:marTop w:val="0"/>
      <w:marBottom w:val="0"/>
      <w:divBdr>
        <w:top w:val="none" w:sz="0" w:space="0" w:color="auto"/>
        <w:left w:val="none" w:sz="0" w:space="0" w:color="auto"/>
        <w:bottom w:val="none" w:sz="0" w:space="0" w:color="auto"/>
        <w:right w:val="none" w:sz="0" w:space="0" w:color="auto"/>
      </w:divBdr>
    </w:div>
    <w:div w:id="511534549">
      <w:bodyDiv w:val="1"/>
      <w:marLeft w:val="0"/>
      <w:marRight w:val="0"/>
      <w:marTop w:val="0"/>
      <w:marBottom w:val="0"/>
      <w:divBdr>
        <w:top w:val="none" w:sz="0" w:space="0" w:color="auto"/>
        <w:left w:val="none" w:sz="0" w:space="0" w:color="auto"/>
        <w:bottom w:val="none" w:sz="0" w:space="0" w:color="auto"/>
        <w:right w:val="none" w:sz="0" w:space="0" w:color="auto"/>
      </w:divBdr>
    </w:div>
    <w:div w:id="586885508">
      <w:bodyDiv w:val="1"/>
      <w:marLeft w:val="0"/>
      <w:marRight w:val="0"/>
      <w:marTop w:val="0"/>
      <w:marBottom w:val="0"/>
      <w:divBdr>
        <w:top w:val="none" w:sz="0" w:space="0" w:color="auto"/>
        <w:left w:val="none" w:sz="0" w:space="0" w:color="auto"/>
        <w:bottom w:val="none" w:sz="0" w:space="0" w:color="auto"/>
        <w:right w:val="none" w:sz="0" w:space="0" w:color="auto"/>
      </w:divBdr>
    </w:div>
    <w:div w:id="689448625">
      <w:bodyDiv w:val="1"/>
      <w:marLeft w:val="0"/>
      <w:marRight w:val="0"/>
      <w:marTop w:val="0"/>
      <w:marBottom w:val="0"/>
      <w:divBdr>
        <w:top w:val="none" w:sz="0" w:space="0" w:color="auto"/>
        <w:left w:val="none" w:sz="0" w:space="0" w:color="auto"/>
        <w:bottom w:val="none" w:sz="0" w:space="0" w:color="auto"/>
        <w:right w:val="none" w:sz="0" w:space="0" w:color="auto"/>
      </w:divBdr>
    </w:div>
    <w:div w:id="702747728">
      <w:bodyDiv w:val="1"/>
      <w:marLeft w:val="0"/>
      <w:marRight w:val="0"/>
      <w:marTop w:val="0"/>
      <w:marBottom w:val="0"/>
      <w:divBdr>
        <w:top w:val="none" w:sz="0" w:space="0" w:color="auto"/>
        <w:left w:val="none" w:sz="0" w:space="0" w:color="auto"/>
        <w:bottom w:val="none" w:sz="0" w:space="0" w:color="auto"/>
        <w:right w:val="none" w:sz="0" w:space="0" w:color="auto"/>
      </w:divBdr>
    </w:div>
    <w:div w:id="828525071">
      <w:bodyDiv w:val="1"/>
      <w:marLeft w:val="0"/>
      <w:marRight w:val="0"/>
      <w:marTop w:val="0"/>
      <w:marBottom w:val="0"/>
      <w:divBdr>
        <w:top w:val="none" w:sz="0" w:space="0" w:color="auto"/>
        <w:left w:val="none" w:sz="0" w:space="0" w:color="auto"/>
        <w:bottom w:val="none" w:sz="0" w:space="0" w:color="auto"/>
        <w:right w:val="none" w:sz="0" w:space="0" w:color="auto"/>
      </w:divBdr>
    </w:div>
    <w:div w:id="841896438">
      <w:bodyDiv w:val="1"/>
      <w:marLeft w:val="0"/>
      <w:marRight w:val="0"/>
      <w:marTop w:val="0"/>
      <w:marBottom w:val="0"/>
      <w:divBdr>
        <w:top w:val="none" w:sz="0" w:space="0" w:color="auto"/>
        <w:left w:val="none" w:sz="0" w:space="0" w:color="auto"/>
        <w:bottom w:val="none" w:sz="0" w:space="0" w:color="auto"/>
        <w:right w:val="none" w:sz="0" w:space="0" w:color="auto"/>
      </w:divBdr>
      <w:divsChild>
        <w:div w:id="911308229">
          <w:marLeft w:val="0"/>
          <w:marRight w:val="0"/>
          <w:marTop w:val="0"/>
          <w:marBottom w:val="0"/>
          <w:divBdr>
            <w:top w:val="none" w:sz="0" w:space="0" w:color="auto"/>
            <w:left w:val="none" w:sz="0" w:space="0" w:color="auto"/>
            <w:bottom w:val="none" w:sz="0" w:space="0" w:color="auto"/>
            <w:right w:val="none" w:sz="0" w:space="0" w:color="auto"/>
          </w:divBdr>
          <w:divsChild>
            <w:div w:id="2343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5450">
      <w:bodyDiv w:val="1"/>
      <w:marLeft w:val="0"/>
      <w:marRight w:val="0"/>
      <w:marTop w:val="0"/>
      <w:marBottom w:val="0"/>
      <w:divBdr>
        <w:top w:val="none" w:sz="0" w:space="0" w:color="auto"/>
        <w:left w:val="none" w:sz="0" w:space="0" w:color="auto"/>
        <w:bottom w:val="none" w:sz="0" w:space="0" w:color="auto"/>
        <w:right w:val="none" w:sz="0" w:space="0" w:color="auto"/>
      </w:divBdr>
    </w:div>
    <w:div w:id="1043142480">
      <w:bodyDiv w:val="1"/>
      <w:marLeft w:val="0"/>
      <w:marRight w:val="0"/>
      <w:marTop w:val="0"/>
      <w:marBottom w:val="0"/>
      <w:divBdr>
        <w:top w:val="none" w:sz="0" w:space="0" w:color="auto"/>
        <w:left w:val="none" w:sz="0" w:space="0" w:color="auto"/>
        <w:bottom w:val="none" w:sz="0" w:space="0" w:color="auto"/>
        <w:right w:val="none" w:sz="0" w:space="0" w:color="auto"/>
      </w:divBdr>
    </w:div>
    <w:div w:id="1188060852">
      <w:bodyDiv w:val="1"/>
      <w:marLeft w:val="0"/>
      <w:marRight w:val="0"/>
      <w:marTop w:val="0"/>
      <w:marBottom w:val="0"/>
      <w:divBdr>
        <w:top w:val="none" w:sz="0" w:space="0" w:color="auto"/>
        <w:left w:val="none" w:sz="0" w:space="0" w:color="auto"/>
        <w:bottom w:val="none" w:sz="0" w:space="0" w:color="auto"/>
        <w:right w:val="none" w:sz="0" w:space="0" w:color="auto"/>
      </w:divBdr>
    </w:div>
    <w:div w:id="1412002205">
      <w:bodyDiv w:val="1"/>
      <w:marLeft w:val="0"/>
      <w:marRight w:val="0"/>
      <w:marTop w:val="0"/>
      <w:marBottom w:val="0"/>
      <w:divBdr>
        <w:top w:val="none" w:sz="0" w:space="0" w:color="auto"/>
        <w:left w:val="none" w:sz="0" w:space="0" w:color="auto"/>
        <w:bottom w:val="none" w:sz="0" w:space="0" w:color="auto"/>
        <w:right w:val="none" w:sz="0" w:space="0" w:color="auto"/>
      </w:divBdr>
    </w:div>
    <w:div w:id="1564023218">
      <w:bodyDiv w:val="1"/>
      <w:marLeft w:val="0"/>
      <w:marRight w:val="0"/>
      <w:marTop w:val="0"/>
      <w:marBottom w:val="0"/>
      <w:divBdr>
        <w:top w:val="none" w:sz="0" w:space="0" w:color="auto"/>
        <w:left w:val="none" w:sz="0" w:space="0" w:color="auto"/>
        <w:bottom w:val="none" w:sz="0" w:space="0" w:color="auto"/>
        <w:right w:val="none" w:sz="0" w:space="0" w:color="auto"/>
      </w:divBdr>
    </w:div>
    <w:div w:id="1579098002">
      <w:bodyDiv w:val="1"/>
      <w:marLeft w:val="0"/>
      <w:marRight w:val="0"/>
      <w:marTop w:val="0"/>
      <w:marBottom w:val="0"/>
      <w:divBdr>
        <w:top w:val="none" w:sz="0" w:space="0" w:color="auto"/>
        <w:left w:val="none" w:sz="0" w:space="0" w:color="auto"/>
        <w:bottom w:val="none" w:sz="0" w:space="0" w:color="auto"/>
        <w:right w:val="none" w:sz="0" w:space="0" w:color="auto"/>
      </w:divBdr>
    </w:div>
    <w:div w:id="1675721439">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838494161">
      <w:bodyDiv w:val="1"/>
      <w:marLeft w:val="0"/>
      <w:marRight w:val="0"/>
      <w:marTop w:val="0"/>
      <w:marBottom w:val="0"/>
      <w:divBdr>
        <w:top w:val="none" w:sz="0" w:space="0" w:color="auto"/>
        <w:left w:val="none" w:sz="0" w:space="0" w:color="auto"/>
        <w:bottom w:val="none" w:sz="0" w:space="0" w:color="auto"/>
        <w:right w:val="none" w:sz="0" w:space="0" w:color="auto"/>
      </w:divBdr>
    </w:div>
    <w:div w:id="1863014798">
      <w:bodyDiv w:val="1"/>
      <w:marLeft w:val="0"/>
      <w:marRight w:val="0"/>
      <w:marTop w:val="0"/>
      <w:marBottom w:val="0"/>
      <w:divBdr>
        <w:top w:val="none" w:sz="0" w:space="0" w:color="auto"/>
        <w:left w:val="none" w:sz="0" w:space="0" w:color="auto"/>
        <w:bottom w:val="none" w:sz="0" w:space="0" w:color="auto"/>
        <w:right w:val="none" w:sz="0" w:space="0" w:color="auto"/>
      </w:divBdr>
    </w:div>
    <w:div w:id="2088070014">
      <w:bodyDiv w:val="1"/>
      <w:marLeft w:val="0"/>
      <w:marRight w:val="0"/>
      <w:marTop w:val="0"/>
      <w:marBottom w:val="0"/>
      <w:divBdr>
        <w:top w:val="none" w:sz="0" w:space="0" w:color="auto"/>
        <w:left w:val="none" w:sz="0" w:space="0" w:color="auto"/>
        <w:bottom w:val="none" w:sz="0" w:space="0" w:color="auto"/>
        <w:right w:val="none" w:sz="0" w:space="0" w:color="auto"/>
      </w:divBdr>
    </w:div>
    <w:div w:id="213012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image" Target="media/image30.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image" Target="media/image33.e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image" Target="media/image3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10" Type="http://schemas.openxmlformats.org/officeDocument/2006/relationships/image" Target="media/image3.png"/><Relationship Id="rId19" Type="http://schemas.openxmlformats.org/officeDocument/2006/relationships/image" Target="media/image10.emf"/><Relationship Id="rId31" Type="http://schemas.openxmlformats.org/officeDocument/2006/relationships/image" Target="media/image22.emf"/><Relationship Id="rId44" Type="http://schemas.openxmlformats.org/officeDocument/2006/relationships/image" Target="media/image3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4.emf"/><Relationship Id="rId48"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eter\Desktop\Peter%20Tables\Projection%20Table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eter\Desktop\Peter%20Tables\Projection%20Table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0.14253409411023946"/>
          <c:y val="4.4117710417208404E-2"/>
          <c:w val="0.84841722684665943"/>
          <c:h val="0.84411885931591701"/>
        </c:manualLayout>
      </c:layout>
      <c:lineChart>
        <c:grouping val="standard"/>
        <c:ser>
          <c:idx val="0"/>
          <c:order val="0"/>
          <c:tx>
            <c:strRef>
              <c:f>Tg!$B$1</c:f>
              <c:strCache>
                <c:ptCount val="1"/>
                <c:pt idx="0">
                  <c:v>Low</c:v>
                </c:pt>
              </c:strCache>
            </c:strRef>
          </c:tx>
          <c:spPr>
            <a:ln w="3175">
              <a:solidFill>
                <a:srgbClr val="000000"/>
              </a:solidFill>
              <a:prstDash val="sysDash"/>
            </a:ln>
          </c:spPr>
          <c:marker>
            <c:symbol val="none"/>
          </c:marker>
          <c:cat>
            <c:numRef>
              <c:f>Tg!$A$2:$A$32</c:f>
              <c:numCache>
                <c:formatCode>General</c:formatCode>
                <c:ptCount val="31"/>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numCache>
            </c:numRef>
          </c:cat>
          <c:val>
            <c:numRef>
              <c:f>Tg!$B$2:$B$32</c:f>
              <c:numCache>
                <c:formatCode>General</c:formatCode>
                <c:ptCount val="31"/>
                <c:pt idx="0">
                  <c:v>22320819</c:v>
                </c:pt>
                <c:pt idx="1">
                  <c:v>22641994.2515557</c:v>
                </c:pt>
                <c:pt idx="2">
                  <c:v>23002122.3111616</c:v>
                </c:pt>
                <c:pt idx="3">
                  <c:v>23387627.3826047</c:v>
                </c:pt>
                <c:pt idx="4">
                  <c:v>23789593.160642676</c:v>
                </c:pt>
                <c:pt idx="5">
                  <c:v>24203738.355668176</c:v>
                </c:pt>
                <c:pt idx="6">
                  <c:v>24625483.004538</c:v>
                </c:pt>
                <c:pt idx="7">
                  <c:v>25022790.50980806</c:v>
                </c:pt>
                <c:pt idx="8">
                  <c:v>25394631.819466341</c:v>
                </c:pt>
                <c:pt idx="9">
                  <c:v>25739950.122960899</c:v>
                </c:pt>
                <c:pt idx="10">
                  <c:v>26057651.367656399</c:v>
                </c:pt>
                <c:pt idx="11">
                  <c:v>26347533.715291176</c:v>
                </c:pt>
                <c:pt idx="12">
                  <c:v>26635625.889200792</c:v>
                </c:pt>
                <c:pt idx="13">
                  <c:v>26921372.806019198</c:v>
                </c:pt>
                <c:pt idx="14">
                  <c:v>27204285.12121816</c:v>
                </c:pt>
                <c:pt idx="15">
                  <c:v>27483934.156524982</c:v>
                </c:pt>
                <c:pt idx="16">
                  <c:v>27760034.127379999</c:v>
                </c:pt>
                <c:pt idx="17">
                  <c:v>28032337.884521309</c:v>
                </c:pt>
                <c:pt idx="18">
                  <c:v>28300629.275573976</c:v>
                </c:pt>
                <c:pt idx="19">
                  <c:v>28564707.3290153</c:v>
                </c:pt>
                <c:pt idx="20">
                  <c:v>28824479.1152904</c:v>
                </c:pt>
                <c:pt idx="21">
                  <c:v>29080067.648824945</c:v>
                </c:pt>
                <c:pt idx="22">
                  <c:v>29331590.072589241</c:v>
                </c:pt>
                <c:pt idx="23">
                  <c:v>29579190.432150505</c:v>
                </c:pt>
                <c:pt idx="24">
                  <c:v>29823063.6297931</c:v>
                </c:pt>
                <c:pt idx="25">
                  <c:v>30063472.954128101</c:v>
                </c:pt>
                <c:pt idx="26">
                  <c:v>30300700.235991396</c:v>
                </c:pt>
                <c:pt idx="27">
                  <c:v>30535019.453337397</c:v>
                </c:pt>
                <c:pt idx="28">
                  <c:v>30766676.510919701</c:v>
                </c:pt>
                <c:pt idx="29">
                  <c:v>30995858.823012397</c:v>
                </c:pt>
                <c:pt idx="30">
                  <c:v>31222695.450259309</c:v>
                </c:pt>
              </c:numCache>
            </c:numRef>
          </c:val>
        </c:ser>
        <c:ser>
          <c:idx val="1"/>
          <c:order val="1"/>
          <c:tx>
            <c:strRef>
              <c:f>Tg!$C$1</c:f>
              <c:strCache>
                <c:ptCount val="1"/>
                <c:pt idx="0">
                  <c:v>Medium</c:v>
                </c:pt>
              </c:strCache>
            </c:strRef>
          </c:tx>
          <c:spPr>
            <a:ln w="12700">
              <a:solidFill>
                <a:srgbClr val="000000"/>
              </a:solidFill>
              <a:prstDash val="solid"/>
            </a:ln>
          </c:spPr>
          <c:marker>
            <c:symbol val="none"/>
          </c:marker>
          <c:cat>
            <c:numRef>
              <c:f>Tg!$A$2:$A$32</c:f>
              <c:numCache>
                <c:formatCode>General</c:formatCode>
                <c:ptCount val="31"/>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numCache>
            </c:numRef>
          </c:cat>
          <c:val>
            <c:numRef>
              <c:f>Tg!$C$2:$C$32</c:f>
              <c:numCache>
                <c:formatCode>General</c:formatCode>
                <c:ptCount val="31"/>
                <c:pt idx="0">
                  <c:v>22320819</c:v>
                </c:pt>
                <c:pt idx="1">
                  <c:v>22641994.2515557</c:v>
                </c:pt>
                <c:pt idx="2">
                  <c:v>23002122.3111616</c:v>
                </c:pt>
                <c:pt idx="3">
                  <c:v>23387627.3826047</c:v>
                </c:pt>
                <c:pt idx="4">
                  <c:v>23789593.160642676</c:v>
                </c:pt>
                <c:pt idx="5">
                  <c:v>24203738.355668176</c:v>
                </c:pt>
                <c:pt idx="6">
                  <c:v>24625483.004538</c:v>
                </c:pt>
                <c:pt idx="7">
                  <c:v>25043000.685217876</c:v>
                </c:pt>
                <c:pt idx="8">
                  <c:v>25455709.599448644</c:v>
                </c:pt>
                <c:pt idx="9">
                  <c:v>25863008.746178892</c:v>
                </c:pt>
                <c:pt idx="10">
                  <c:v>26264265.126646999</c:v>
                </c:pt>
                <c:pt idx="11">
                  <c:v>26659759.179833096</c:v>
                </c:pt>
                <c:pt idx="12">
                  <c:v>27055806.4907123</c:v>
                </c:pt>
                <c:pt idx="13">
                  <c:v>27451895.447620444</c:v>
                </c:pt>
                <c:pt idx="14">
                  <c:v>27847560.593515296</c:v>
                </c:pt>
                <c:pt idx="15">
                  <c:v>28242375.374492805</c:v>
                </c:pt>
                <c:pt idx="16">
                  <c:v>28636032.719405398</c:v>
                </c:pt>
                <c:pt idx="17">
                  <c:v>29028239.495665744</c:v>
                </c:pt>
                <c:pt idx="18">
                  <c:v>29418710.76281216</c:v>
                </c:pt>
                <c:pt idx="19">
                  <c:v>29807152.89103866</c:v>
                </c:pt>
                <c:pt idx="20">
                  <c:v>30193360.927193996</c:v>
                </c:pt>
                <c:pt idx="21">
                  <c:v>30577329.931590602</c:v>
                </c:pt>
                <c:pt idx="22">
                  <c:v>30959037.842578456</c:v>
                </c:pt>
                <c:pt idx="23">
                  <c:v>31338483.485431138</c:v>
                </c:pt>
                <c:pt idx="24">
                  <c:v>31715716.007573102</c:v>
                </c:pt>
                <c:pt idx="25">
                  <c:v>32090857.789197572</c:v>
                </c:pt>
                <c:pt idx="26">
                  <c:v>32464059.8557752</c:v>
                </c:pt>
                <c:pt idx="27">
                  <c:v>32835479.802334741</c:v>
                </c:pt>
                <c:pt idx="28">
                  <c:v>33205264.738732129</c:v>
                </c:pt>
                <c:pt idx="29">
                  <c:v>33573522.625014283</c:v>
                </c:pt>
                <c:pt idx="30">
                  <c:v>33940322.888512485</c:v>
                </c:pt>
              </c:numCache>
            </c:numRef>
          </c:val>
        </c:ser>
        <c:ser>
          <c:idx val="2"/>
          <c:order val="2"/>
          <c:tx>
            <c:strRef>
              <c:f>Tg!$D$1</c:f>
              <c:strCache>
                <c:ptCount val="1"/>
                <c:pt idx="0">
                  <c:v>High</c:v>
                </c:pt>
              </c:strCache>
            </c:strRef>
          </c:tx>
          <c:spPr>
            <a:ln w="25400">
              <a:solidFill>
                <a:srgbClr val="000000"/>
              </a:solidFill>
              <a:prstDash val="solid"/>
            </a:ln>
          </c:spPr>
          <c:marker>
            <c:symbol val="none"/>
          </c:marker>
          <c:cat>
            <c:numRef>
              <c:f>Tg!$A$2:$A$32</c:f>
              <c:numCache>
                <c:formatCode>General</c:formatCode>
                <c:ptCount val="31"/>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numCache>
            </c:numRef>
          </c:cat>
          <c:val>
            <c:numRef>
              <c:f>Tg!$D$2:$D$32</c:f>
              <c:numCache>
                <c:formatCode>General</c:formatCode>
                <c:ptCount val="31"/>
                <c:pt idx="0">
                  <c:v>22320819</c:v>
                </c:pt>
                <c:pt idx="1">
                  <c:v>22641994.2515557</c:v>
                </c:pt>
                <c:pt idx="2">
                  <c:v>23002122.3111616</c:v>
                </c:pt>
                <c:pt idx="3">
                  <c:v>23387627.3826047</c:v>
                </c:pt>
                <c:pt idx="4">
                  <c:v>23789593.160642676</c:v>
                </c:pt>
                <c:pt idx="5">
                  <c:v>24203738.355668176</c:v>
                </c:pt>
                <c:pt idx="6">
                  <c:v>24625483.004538</c:v>
                </c:pt>
                <c:pt idx="7">
                  <c:v>25054197.121702101</c:v>
                </c:pt>
                <c:pt idx="8">
                  <c:v>25489445.639471676</c:v>
                </c:pt>
                <c:pt idx="9">
                  <c:v>25930877.849576201</c:v>
                </c:pt>
                <c:pt idx="10">
                  <c:v>26378113.905433748</c:v>
                </c:pt>
                <c:pt idx="11">
                  <c:v>26826646.954971444</c:v>
                </c:pt>
                <c:pt idx="12">
                  <c:v>27276911.02304104</c:v>
                </c:pt>
                <c:pt idx="13">
                  <c:v>27728414.4750208</c:v>
                </c:pt>
                <c:pt idx="14">
                  <c:v>28180701.780142076</c:v>
                </c:pt>
                <c:pt idx="15">
                  <c:v>28633345.216346741</c:v>
                </c:pt>
                <c:pt idx="16">
                  <c:v>29086024.666303705</c:v>
                </c:pt>
                <c:pt idx="17">
                  <c:v>29538421.483737044</c:v>
                </c:pt>
                <c:pt idx="18">
                  <c:v>29990213.8207381</c:v>
                </c:pt>
                <c:pt idx="19">
                  <c:v>30441059.337832399</c:v>
                </c:pt>
                <c:pt idx="20">
                  <c:v>30890695.001636796</c:v>
                </c:pt>
                <c:pt idx="21">
                  <c:v>31339050.256710999</c:v>
                </c:pt>
                <c:pt idx="22">
                  <c:v>31786032.302174341</c:v>
                </c:pt>
                <c:pt idx="23">
                  <c:v>32231566.748159099</c:v>
                </c:pt>
                <c:pt idx="24">
                  <c:v>32675629.813682999</c:v>
                </c:pt>
                <c:pt idx="25">
                  <c:v>33118273.952305201</c:v>
                </c:pt>
                <c:pt idx="26">
                  <c:v>33559585.873267896</c:v>
                </c:pt>
                <c:pt idx="27">
                  <c:v>33999666.539609782</c:v>
                </c:pt>
                <c:pt idx="28">
                  <c:v>34438615.556904785</c:v>
                </c:pt>
                <c:pt idx="29">
                  <c:v>34876503.222127102</c:v>
                </c:pt>
                <c:pt idx="30">
                  <c:v>35313371.235193662</c:v>
                </c:pt>
              </c:numCache>
            </c:numRef>
          </c:val>
        </c:ser>
        <c:marker val="1"/>
        <c:axId val="72414720"/>
        <c:axId val="72416256"/>
      </c:lineChart>
      <c:catAx>
        <c:axId val="72414720"/>
        <c:scaling>
          <c:orientation val="minMax"/>
        </c:scaling>
        <c:axPos val="b"/>
        <c:numFmt formatCode="General" sourceLinked="1"/>
        <c:tickLblPos val="nextTo"/>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en-US"/>
          </a:p>
        </c:txPr>
        <c:crossAx val="72416256"/>
        <c:crosses val="autoZero"/>
        <c:auto val="1"/>
        <c:lblAlgn val="ctr"/>
        <c:lblOffset val="100"/>
        <c:tickLblSkip val="2"/>
        <c:tickMarkSkip val="1"/>
      </c:catAx>
      <c:valAx>
        <c:axId val="72416256"/>
        <c:scaling>
          <c:orientation val="minMax"/>
          <c:min val="20000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72414720"/>
        <c:crosses val="autoZero"/>
        <c:crossBetween val="between"/>
      </c:valAx>
      <c:spPr>
        <a:noFill/>
        <a:ln w="12700">
          <a:solidFill>
            <a:srgbClr val="808080"/>
          </a:solidFill>
          <a:prstDash val="solid"/>
        </a:ln>
      </c:spPr>
    </c:plotArea>
    <c:legend>
      <c:legendPos val="r"/>
      <c:layout>
        <c:manualLayout>
          <c:xMode val="edge"/>
          <c:yMode val="edge"/>
          <c:x val="0.19457037327347637"/>
          <c:y val="5.8823529411764705E-2"/>
          <c:w val="0.69909573520504631"/>
          <c:h val="9.7058823529411961E-2"/>
        </c:manualLayout>
      </c:layout>
      <c:spPr>
        <a:solidFill>
          <a:srgbClr val="FFFFFF"/>
        </a:solidFill>
        <a:ln w="3175">
          <a:solidFill>
            <a:srgbClr val="000000"/>
          </a:solidFill>
          <a:prstDash val="solid"/>
        </a:ln>
      </c:spPr>
      <c:txPr>
        <a:bodyPr/>
        <a:lstStyle/>
        <a:p>
          <a:pPr>
            <a:defRPr sz="89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0.14062515326925362"/>
          <c:y val="5.1724137931034524E-2"/>
          <c:w val="0.85044735548548744"/>
          <c:h val="0.8172413793103448"/>
        </c:manualLayout>
      </c:layout>
      <c:lineChart>
        <c:grouping val="standard"/>
        <c:ser>
          <c:idx val="0"/>
          <c:order val="0"/>
          <c:tx>
            <c:strRef>
              <c:f>Tg!$G$1</c:f>
              <c:strCache>
                <c:ptCount val="1"/>
                <c:pt idx="0">
                  <c:v>Low</c:v>
                </c:pt>
              </c:strCache>
            </c:strRef>
          </c:tx>
          <c:spPr>
            <a:ln w="3175">
              <a:solidFill>
                <a:srgbClr val="000000"/>
              </a:solidFill>
              <a:prstDash val="sysDash"/>
            </a:ln>
          </c:spPr>
          <c:marker>
            <c:symbol val="none"/>
          </c:marker>
          <c:cat>
            <c:numRef>
              <c:f>Tg!$F$2:$F$32</c:f>
              <c:numCache>
                <c:formatCode>General</c:formatCode>
                <c:ptCount val="31"/>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numCache>
            </c:numRef>
          </c:cat>
          <c:val>
            <c:numRef>
              <c:f>Tg!$G$2:$G$32</c:f>
              <c:numCache>
                <c:formatCode>General</c:formatCode>
                <c:ptCount val="31"/>
                <c:pt idx="0">
                  <c:v>8678972.817479251</c:v>
                </c:pt>
                <c:pt idx="1">
                  <c:v>8826886.6833438799</c:v>
                </c:pt>
                <c:pt idx="2">
                  <c:v>8989730.1322741304</c:v>
                </c:pt>
                <c:pt idx="3">
                  <c:v>9161062.3237909991</c:v>
                </c:pt>
                <c:pt idx="4">
                  <c:v>9338947.7215239871</c:v>
                </c:pt>
                <c:pt idx="5">
                  <c:v>9521140.4007484969</c:v>
                </c:pt>
                <c:pt idx="6">
                  <c:v>9706588.3055486809</c:v>
                </c:pt>
                <c:pt idx="7">
                  <c:v>9883997.3605879601</c:v>
                </c:pt>
                <c:pt idx="8">
                  <c:v>10053681.2100791</c:v>
                </c:pt>
                <c:pt idx="9">
                  <c:v>10214887.596364565</c:v>
                </c:pt>
                <c:pt idx="10">
                  <c:v>10366789.9117145</c:v>
                </c:pt>
                <c:pt idx="11">
                  <c:v>10509938.925353806</c:v>
                </c:pt>
                <c:pt idx="12">
                  <c:v>10651674.303389899</c:v>
                </c:pt>
                <c:pt idx="13">
                  <c:v>10792453.5580732</c:v>
                </c:pt>
                <c:pt idx="14">
                  <c:v>10933259.232396569</c:v>
                </c:pt>
                <c:pt idx="15">
                  <c:v>11074939.577027487</c:v>
                </c:pt>
                <c:pt idx="16">
                  <c:v>11217555.4876936</c:v>
                </c:pt>
                <c:pt idx="17">
                  <c:v>11361478.345983131</c:v>
                </c:pt>
                <c:pt idx="18">
                  <c:v>11504690.6580725</c:v>
                </c:pt>
                <c:pt idx="19">
                  <c:v>11646740.196331678</c:v>
                </c:pt>
                <c:pt idx="20">
                  <c:v>11787885.1257069</c:v>
                </c:pt>
                <c:pt idx="21">
                  <c:v>11928083.927262681</c:v>
                </c:pt>
                <c:pt idx="22">
                  <c:v>12067270.246477965</c:v>
                </c:pt>
                <c:pt idx="23">
                  <c:v>12205293.9687848</c:v>
                </c:pt>
                <c:pt idx="24">
                  <c:v>12342095.647056783</c:v>
                </c:pt>
                <c:pt idx="25">
                  <c:v>12476904.999604</c:v>
                </c:pt>
                <c:pt idx="26">
                  <c:v>12609819.526992491</c:v>
                </c:pt>
                <c:pt idx="27">
                  <c:v>12740559.167600404</c:v>
                </c:pt>
                <c:pt idx="28">
                  <c:v>12868855.1416707</c:v>
                </c:pt>
                <c:pt idx="29">
                  <c:v>12994614.662070706</c:v>
                </c:pt>
                <c:pt idx="30">
                  <c:v>13117831.063573902</c:v>
                </c:pt>
              </c:numCache>
            </c:numRef>
          </c:val>
        </c:ser>
        <c:ser>
          <c:idx val="1"/>
          <c:order val="1"/>
          <c:tx>
            <c:strRef>
              <c:f>Tg!$H$1</c:f>
              <c:strCache>
                <c:ptCount val="1"/>
                <c:pt idx="0">
                  <c:v>Medium</c:v>
                </c:pt>
              </c:strCache>
            </c:strRef>
          </c:tx>
          <c:spPr>
            <a:ln w="12700">
              <a:solidFill>
                <a:srgbClr val="000000"/>
              </a:solidFill>
              <a:prstDash val="solid"/>
            </a:ln>
          </c:spPr>
          <c:marker>
            <c:symbol val="none"/>
          </c:marker>
          <c:cat>
            <c:numRef>
              <c:f>Tg!$F$2:$F$32</c:f>
              <c:numCache>
                <c:formatCode>General</c:formatCode>
                <c:ptCount val="31"/>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numCache>
            </c:numRef>
          </c:cat>
          <c:val>
            <c:numRef>
              <c:f>Tg!$H$2:$H$32</c:f>
              <c:numCache>
                <c:formatCode>General</c:formatCode>
                <c:ptCount val="31"/>
                <c:pt idx="0">
                  <c:v>8678972.817479251</c:v>
                </c:pt>
                <c:pt idx="1">
                  <c:v>8826886.6833438799</c:v>
                </c:pt>
                <c:pt idx="2">
                  <c:v>8989730.1322741304</c:v>
                </c:pt>
                <c:pt idx="3">
                  <c:v>9161062.3237909991</c:v>
                </c:pt>
                <c:pt idx="4">
                  <c:v>9338947.7215239871</c:v>
                </c:pt>
                <c:pt idx="5">
                  <c:v>9521140.4007484969</c:v>
                </c:pt>
                <c:pt idx="6">
                  <c:v>9706588.3055486809</c:v>
                </c:pt>
                <c:pt idx="7">
                  <c:v>9890523.1196686011</c:v>
                </c:pt>
                <c:pt idx="8">
                  <c:v>10073571.5955314</c:v>
                </c:pt>
                <c:pt idx="9">
                  <c:v>10255281.537072301</c:v>
                </c:pt>
                <c:pt idx="10">
                  <c:v>10435110.949470701</c:v>
                </c:pt>
                <c:pt idx="11">
                  <c:v>10613877.312594401</c:v>
                </c:pt>
                <c:pt idx="12">
                  <c:v>10792630.5642295</c:v>
                </c:pt>
                <c:pt idx="13">
                  <c:v>10971746.981057202</c:v>
                </c:pt>
                <c:pt idx="14">
                  <c:v>11152132.460005</c:v>
                </c:pt>
                <c:pt idx="15">
                  <c:v>11334563.3454819</c:v>
                </c:pt>
                <c:pt idx="16">
                  <c:v>11518973.242386876</c:v>
                </c:pt>
                <c:pt idx="17">
                  <c:v>11705799.830083204</c:v>
                </c:pt>
                <c:pt idx="18">
                  <c:v>11892864.522439281</c:v>
                </c:pt>
                <c:pt idx="19">
                  <c:v>12079619.097454701</c:v>
                </c:pt>
                <c:pt idx="20">
                  <c:v>12266259.516643699</c:v>
                </c:pt>
                <c:pt idx="21">
                  <c:v>12452703.5228732</c:v>
                </c:pt>
                <c:pt idx="22">
                  <c:v>12638837.919535872</c:v>
                </c:pt>
                <c:pt idx="23">
                  <c:v>12824509.721039601</c:v>
                </c:pt>
                <c:pt idx="24">
                  <c:v>13009651.3615858</c:v>
                </c:pt>
                <c:pt idx="25">
                  <c:v>13193483.832752516</c:v>
                </c:pt>
                <c:pt idx="26">
                  <c:v>13376110.266411981</c:v>
                </c:pt>
                <c:pt idx="27">
                  <c:v>13557287.318856006</c:v>
                </c:pt>
                <c:pt idx="28">
                  <c:v>13736797.498118104</c:v>
                </c:pt>
                <c:pt idx="29">
                  <c:v>13914598.039627789</c:v>
                </c:pt>
                <c:pt idx="30">
                  <c:v>14090746.8903859</c:v>
                </c:pt>
              </c:numCache>
            </c:numRef>
          </c:val>
        </c:ser>
        <c:ser>
          <c:idx val="2"/>
          <c:order val="2"/>
          <c:tx>
            <c:strRef>
              <c:f>Tg!$I$1</c:f>
              <c:strCache>
                <c:ptCount val="1"/>
                <c:pt idx="0">
                  <c:v>High</c:v>
                </c:pt>
              </c:strCache>
            </c:strRef>
          </c:tx>
          <c:spPr>
            <a:ln w="25400">
              <a:solidFill>
                <a:srgbClr val="000000"/>
              </a:solidFill>
              <a:prstDash val="solid"/>
            </a:ln>
          </c:spPr>
          <c:marker>
            <c:symbol val="none"/>
          </c:marker>
          <c:cat>
            <c:numRef>
              <c:f>Tg!$F$2:$F$32</c:f>
              <c:numCache>
                <c:formatCode>General</c:formatCode>
                <c:ptCount val="31"/>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numCache>
            </c:numRef>
          </c:cat>
          <c:val>
            <c:numRef>
              <c:f>Tg!$I$2:$I$32</c:f>
              <c:numCache>
                <c:formatCode>General</c:formatCode>
                <c:ptCount val="31"/>
                <c:pt idx="0">
                  <c:v>8678972.817479251</c:v>
                </c:pt>
                <c:pt idx="1">
                  <c:v>8826886.6833438799</c:v>
                </c:pt>
                <c:pt idx="2">
                  <c:v>8989730.1322741304</c:v>
                </c:pt>
                <c:pt idx="3">
                  <c:v>9161062.3237909991</c:v>
                </c:pt>
                <c:pt idx="4">
                  <c:v>9338947.7215239871</c:v>
                </c:pt>
                <c:pt idx="5">
                  <c:v>9521140.4007484969</c:v>
                </c:pt>
                <c:pt idx="6">
                  <c:v>9706588.3055486809</c:v>
                </c:pt>
                <c:pt idx="7">
                  <c:v>9894138.3921013307</c:v>
                </c:pt>
                <c:pt idx="8">
                  <c:v>10084558.2520271</c:v>
                </c:pt>
                <c:pt idx="9">
                  <c:v>10277560.3532205</c:v>
                </c:pt>
                <c:pt idx="10">
                  <c:v>10472758.8359644</c:v>
                </c:pt>
                <c:pt idx="11">
                  <c:v>10669486.4583419</c:v>
                </c:pt>
                <c:pt idx="12">
                  <c:v>10866892.626959199</c:v>
                </c:pt>
                <c:pt idx="13">
                  <c:v>11065312.257502001</c:v>
                </c:pt>
                <c:pt idx="14">
                  <c:v>11265612.7029317</c:v>
                </c:pt>
                <c:pt idx="15">
                  <c:v>11468534.9650055</c:v>
                </c:pt>
                <c:pt idx="16">
                  <c:v>11673948.963275408</c:v>
                </c:pt>
                <c:pt idx="17">
                  <c:v>11882327.2749961</c:v>
                </c:pt>
                <c:pt idx="18">
                  <c:v>12091410.705365401</c:v>
                </c:pt>
                <c:pt idx="19">
                  <c:v>12300603.3897229</c:v>
                </c:pt>
                <c:pt idx="20">
                  <c:v>12510071.374638025</c:v>
                </c:pt>
                <c:pt idx="21">
                  <c:v>12719713.468548501</c:v>
                </c:pt>
                <c:pt idx="22">
                  <c:v>12929394.388364101</c:v>
                </c:pt>
                <c:pt idx="23">
                  <c:v>13138961.065738125</c:v>
                </c:pt>
                <c:pt idx="24">
                  <c:v>13348342.128141683</c:v>
                </c:pt>
                <c:pt idx="25">
                  <c:v>13556754.405113516</c:v>
                </c:pt>
                <c:pt idx="26">
                  <c:v>13764306.302688621</c:v>
                </c:pt>
                <c:pt idx="27">
                  <c:v>13970774.660730002</c:v>
                </c:pt>
                <c:pt idx="28">
                  <c:v>14175969.141197274</c:v>
                </c:pt>
                <c:pt idx="29">
                  <c:v>14379872.289993601</c:v>
                </c:pt>
                <c:pt idx="30">
                  <c:v>14582574.5340863</c:v>
                </c:pt>
              </c:numCache>
            </c:numRef>
          </c:val>
        </c:ser>
        <c:marker val="1"/>
        <c:axId val="92416256"/>
        <c:axId val="105467904"/>
      </c:lineChart>
      <c:catAx>
        <c:axId val="92416256"/>
        <c:scaling>
          <c:orientation val="minMax"/>
        </c:scaling>
        <c:axPos val="b"/>
        <c:numFmt formatCode="General" sourceLinked="1"/>
        <c:tickLblPos val="nextTo"/>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en-US"/>
          </a:p>
        </c:txPr>
        <c:crossAx val="105467904"/>
        <c:crosses val="autoZero"/>
        <c:auto val="1"/>
        <c:lblAlgn val="ctr"/>
        <c:lblOffset val="100"/>
        <c:tickLblSkip val="2"/>
        <c:tickMarkSkip val="1"/>
      </c:catAx>
      <c:valAx>
        <c:axId val="105467904"/>
        <c:scaling>
          <c:orientation val="minMax"/>
          <c:min val="8000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92416256"/>
        <c:crosses val="autoZero"/>
        <c:crossBetween val="between"/>
      </c:valAx>
      <c:spPr>
        <a:noFill/>
        <a:ln w="12700">
          <a:solidFill>
            <a:srgbClr val="808080"/>
          </a:solidFill>
          <a:prstDash val="solid"/>
        </a:ln>
      </c:spPr>
    </c:plotArea>
    <c:legend>
      <c:legendPos val="r"/>
      <c:layout>
        <c:manualLayout>
          <c:xMode val="edge"/>
          <c:yMode val="edge"/>
          <c:x val="0.16071452005999248"/>
          <c:y val="2.7586206896551741E-2"/>
          <c:w val="0.68973284589426176"/>
          <c:h val="0.11379310344827623"/>
        </c:manualLayout>
      </c:layout>
      <c:spPr>
        <a:solidFill>
          <a:srgbClr val="FFFFFF"/>
        </a:solidFill>
        <a:ln w="3175">
          <a:solidFill>
            <a:srgbClr val="000000"/>
          </a:solidFill>
          <a:prstDash val="solid"/>
        </a:ln>
      </c:spPr>
      <c:txPr>
        <a:bodyPr/>
        <a:lstStyle/>
        <a:p>
          <a:pPr>
            <a:defRPr sz="89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106DE-91EF-4FF1-9AC4-4F459535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50</Pages>
  <Words>9142</Words>
  <Characters>52114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Projections of Housing Demand in New South Wales, 2006-2021</vt:lpstr>
    </vt:vector>
  </TitlesOfParts>
  <Company>ANU</Company>
  <LinksUpToDate>false</LinksUpToDate>
  <CharactersWithSpaces>61134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Projections of Housing Demand in New South Wales, 2006-2021</dc:title>
  <dc:creator>ADSRI</dc:creator>
  <cp:lastModifiedBy>Jeromey</cp:lastModifiedBy>
  <cp:revision>10</cp:revision>
  <cp:lastPrinted>2011-05-21T02:21:00Z</cp:lastPrinted>
  <dcterms:created xsi:type="dcterms:W3CDTF">2013-06-24T03:15:00Z</dcterms:created>
  <dcterms:modified xsi:type="dcterms:W3CDTF">2013-06-25T01:34:00Z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-1167295343</vt:i4>
  </property>
  <property fmtid="{D5CDD505-2E9C-101B-9397-08002B2CF9AE}" pid="3" name="_NewReviewCycle">
    <vt:lpwstr/>
  </property>
  <property fmtid="{D5CDD505-2E9C-101B-9397-08002B2CF9AE}" pid="4" name="_EmailSubject">
    <vt:lpwstr>State of Supply report - Senate estimates [SEC=UNCLASSIFIED]</vt:lpwstr>
  </property>
  <property fmtid="{D5CDD505-2E9C-101B-9397-08002B2CF9AE}" pid="5" name="_AuthorEmail">
    <vt:lpwstr>Grey.Robertson@TREASURY.GOV.AU</vt:lpwstr>
  </property>
  <property fmtid="{D5CDD505-2E9C-101B-9397-08002B2CF9AE}" pid="6" name="_AuthorEmailDisplayName">
    <vt:lpwstr>Robertson, Grey</vt:lpwstr>
  </property>
</Properties>
</file>