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65" w:rsidRDefault="00CB6765" w:rsidP="001B207C"/>
    <w:p w:rsidR="00CB6765" w:rsidRDefault="00CB6765" w:rsidP="001B207C"/>
    <w:p w:rsidR="003F7384" w:rsidRDefault="003F7384" w:rsidP="001B207C"/>
    <w:p w:rsidR="003F7384" w:rsidRDefault="003F7384" w:rsidP="001B207C"/>
    <w:p w:rsidR="003F7384" w:rsidRDefault="003F7384" w:rsidP="001B207C"/>
    <w:p w:rsidR="003F7384" w:rsidRDefault="003F7384" w:rsidP="001B207C"/>
    <w:p w:rsidR="003F7384" w:rsidRDefault="003F7384" w:rsidP="001B207C"/>
    <w:p w:rsidR="003F7384" w:rsidRDefault="003F7384" w:rsidP="001B207C"/>
    <w:p w:rsidR="00CB6765" w:rsidRDefault="00CB6765" w:rsidP="001B207C"/>
    <w:p w:rsidR="00CB6765" w:rsidRDefault="00CB6765" w:rsidP="001B207C"/>
    <w:p w:rsidR="00CB6765" w:rsidRDefault="00CB6765" w:rsidP="001B207C"/>
    <w:p w:rsidR="00CB6765" w:rsidRPr="00006C7C" w:rsidRDefault="00006C7C" w:rsidP="00006C7C">
      <w:pPr>
        <w:pStyle w:val="CoverTitleMain"/>
        <w:jc w:val="right"/>
        <w:rPr>
          <w:sz w:val="46"/>
          <w:szCs w:val="46"/>
        </w:rPr>
      </w:pPr>
      <w:r w:rsidRPr="00006C7C">
        <w:rPr>
          <w:sz w:val="46"/>
          <w:szCs w:val="46"/>
        </w:rPr>
        <w:t>Strategies for reducing</w:t>
      </w:r>
      <w:r w:rsidR="00124836" w:rsidRPr="00006C7C">
        <w:rPr>
          <w:sz w:val="46"/>
          <w:szCs w:val="46"/>
        </w:rPr>
        <w:t xml:space="preserve"> </w:t>
      </w:r>
      <w:r w:rsidRPr="00006C7C">
        <w:rPr>
          <w:sz w:val="46"/>
          <w:szCs w:val="46"/>
        </w:rPr>
        <w:t>reliance</w:t>
      </w:r>
      <w:r w:rsidR="0033143B" w:rsidRPr="00006C7C">
        <w:rPr>
          <w:sz w:val="46"/>
          <w:szCs w:val="46"/>
        </w:rPr>
        <w:t xml:space="preserve"> </w:t>
      </w:r>
      <w:r w:rsidRPr="00006C7C">
        <w:rPr>
          <w:sz w:val="46"/>
          <w:szCs w:val="46"/>
        </w:rPr>
        <w:t>on high</w:t>
      </w:r>
      <w:r w:rsidR="00496483">
        <w:rPr>
          <w:sz w:val="46"/>
          <w:szCs w:val="46"/>
        </w:rPr>
        <w:noBreakHyphen/>
      </w:r>
      <w:r w:rsidRPr="00006C7C">
        <w:rPr>
          <w:sz w:val="46"/>
          <w:szCs w:val="46"/>
        </w:rPr>
        <w:t>cost,</w:t>
      </w:r>
      <w:r w:rsidR="0033143B" w:rsidRPr="00006C7C">
        <w:rPr>
          <w:sz w:val="46"/>
          <w:szCs w:val="46"/>
        </w:rPr>
        <w:t xml:space="preserve"> </w:t>
      </w:r>
      <w:r w:rsidR="0079441E" w:rsidRPr="00006C7C">
        <w:rPr>
          <w:sz w:val="46"/>
          <w:szCs w:val="46"/>
        </w:rPr>
        <w:t>short</w:t>
      </w:r>
      <w:r w:rsidR="00496483">
        <w:rPr>
          <w:sz w:val="46"/>
          <w:szCs w:val="46"/>
        </w:rPr>
        <w:noBreakHyphen/>
      </w:r>
      <w:r w:rsidR="0079441E" w:rsidRPr="00006C7C">
        <w:rPr>
          <w:sz w:val="46"/>
          <w:szCs w:val="46"/>
        </w:rPr>
        <w:t>term</w:t>
      </w:r>
      <w:r w:rsidR="0079441E">
        <w:rPr>
          <w:sz w:val="46"/>
          <w:szCs w:val="46"/>
        </w:rPr>
        <w:t>,</w:t>
      </w:r>
      <w:r w:rsidR="0079441E" w:rsidRPr="00006C7C">
        <w:rPr>
          <w:sz w:val="46"/>
          <w:szCs w:val="46"/>
        </w:rPr>
        <w:t xml:space="preserve"> </w:t>
      </w:r>
      <w:r w:rsidRPr="00006C7C">
        <w:rPr>
          <w:sz w:val="46"/>
          <w:szCs w:val="46"/>
        </w:rPr>
        <w:t>small amount</w:t>
      </w:r>
      <w:r w:rsidR="0033143B" w:rsidRPr="00006C7C">
        <w:rPr>
          <w:sz w:val="46"/>
          <w:szCs w:val="46"/>
        </w:rPr>
        <w:t xml:space="preserve"> </w:t>
      </w:r>
      <w:r w:rsidRPr="00006C7C">
        <w:rPr>
          <w:sz w:val="46"/>
          <w:szCs w:val="46"/>
        </w:rPr>
        <w:t>lending</w:t>
      </w:r>
    </w:p>
    <w:p w:rsidR="00C446D6" w:rsidRDefault="00C446D6" w:rsidP="005B2769">
      <w:pPr>
        <w:pStyle w:val="CoverTitleSub"/>
        <w:jc w:val="right"/>
        <w:rPr>
          <w:rFonts w:cs="Calibri"/>
          <w:szCs w:val="36"/>
        </w:rPr>
      </w:pPr>
    </w:p>
    <w:p w:rsidR="00CB6765" w:rsidRDefault="00CB6765" w:rsidP="005B2769">
      <w:pPr>
        <w:pStyle w:val="CoverTitleSub"/>
        <w:ind w:left="-1400" w:right="-1418"/>
        <w:jc w:val="right"/>
      </w:pPr>
    </w:p>
    <w:p w:rsidR="00CB6765" w:rsidRPr="001318C7" w:rsidRDefault="00CB6765" w:rsidP="005B2769">
      <w:pPr>
        <w:pStyle w:val="CoverTitleSub"/>
        <w:jc w:val="right"/>
        <w:rPr>
          <w:rFonts w:cs="Calibri"/>
          <w:b/>
          <w:sz w:val="44"/>
          <w:szCs w:val="44"/>
        </w:rPr>
      </w:pPr>
      <w:r w:rsidRPr="001318C7">
        <w:rPr>
          <w:rFonts w:cs="Calibri"/>
          <w:b/>
          <w:sz w:val="44"/>
          <w:szCs w:val="44"/>
        </w:rPr>
        <w:t>Discussion Paper</w:t>
      </w:r>
    </w:p>
    <w:p w:rsidR="009D32B0" w:rsidRPr="009D32B0" w:rsidRDefault="00CB6765" w:rsidP="009D32B0">
      <w:pPr>
        <w:pStyle w:val="CoverTitleSub"/>
        <w:jc w:val="right"/>
        <w:sectPr w:rsidR="009D32B0" w:rsidRPr="009D32B0" w:rsidSect="009D32B0">
          <w:footerReference w:type="even" r:id="rId12"/>
          <w:footerReference w:type="default" r:id="rId13"/>
          <w:pgSz w:w="11906" w:h="16838"/>
          <w:pgMar w:top="1135" w:right="1440" w:bottom="1440" w:left="1440" w:header="708" w:footer="708" w:gutter="0"/>
          <w:pgNumType w:fmt="lowerRoman"/>
          <w:cols w:space="708"/>
          <w:titlePg/>
          <w:docGrid w:linePitch="360"/>
        </w:sectPr>
      </w:pPr>
      <w:r>
        <w:rPr>
          <w:rFonts w:cs="Calibri"/>
        </w:rPr>
        <w:br/>
      </w:r>
      <w:r w:rsidR="00996F67">
        <w:rPr>
          <w:szCs w:val="28"/>
        </w:rPr>
        <w:t>April</w:t>
      </w:r>
      <w:r w:rsidR="00436125">
        <w:rPr>
          <w:szCs w:val="28"/>
        </w:rPr>
        <w:t xml:space="preserve"> </w:t>
      </w:r>
      <w:r w:rsidR="00C232FF">
        <w:rPr>
          <w:szCs w:val="28"/>
        </w:rPr>
        <w:t>2012</w:t>
      </w:r>
    </w:p>
    <w:p w:rsidR="00CB6765" w:rsidRDefault="00CB6765" w:rsidP="00180B51">
      <w:pPr>
        <w:spacing w:after="200" w:line="276" w:lineRule="auto"/>
        <w:jc w:val="left"/>
      </w:pPr>
      <w:r w:rsidRPr="00661BF0">
        <w:lastRenderedPageBreak/>
        <w:t xml:space="preserve">© Commonwealth of Australia </w:t>
      </w:r>
      <w:r w:rsidRPr="005317A6">
        <w:t>201</w:t>
      </w:r>
      <w:r w:rsidR="00466BCF">
        <w:t>2</w:t>
      </w:r>
    </w:p>
    <w:p w:rsidR="00CB6765" w:rsidRPr="005317A6" w:rsidRDefault="00CB6765" w:rsidP="001B446D">
      <w:r w:rsidRPr="00464A16">
        <w:t xml:space="preserve">ISBN </w:t>
      </w:r>
      <w:r w:rsidR="009008A6" w:rsidRPr="009008A6">
        <w:t>978</w:t>
      </w:r>
      <w:r w:rsidR="00496483">
        <w:noBreakHyphen/>
      </w:r>
      <w:r w:rsidR="009008A6" w:rsidRPr="009008A6">
        <w:t>0</w:t>
      </w:r>
      <w:r w:rsidR="00496483">
        <w:noBreakHyphen/>
      </w:r>
      <w:r w:rsidR="009008A6" w:rsidRPr="009008A6">
        <w:t>642</w:t>
      </w:r>
      <w:r w:rsidR="00496483">
        <w:noBreakHyphen/>
      </w:r>
      <w:r w:rsidR="009008A6" w:rsidRPr="009008A6">
        <w:t>74792</w:t>
      </w:r>
      <w:r w:rsidR="00496483">
        <w:noBreakHyphen/>
      </w:r>
      <w:r w:rsidR="009008A6" w:rsidRPr="009008A6">
        <w:t>1</w:t>
      </w:r>
    </w:p>
    <w:p w:rsidR="00CB6765" w:rsidRPr="00086F82" w:rsidRDefault="00CB6765" w:rsidP="001B446D">
      <w:pPr>
        <w:tabs>
          <w:tab w:val="left" w:pos="1650"/>
        </w:tabs>
        <w:spacing w:before="100" w:beforeAutospacing="1" w:after="100" w:afterAutospacing="1"/>
        <w:rPr>
          <w:rStyle w:val="A5"/>
          <w:sz w:val="24"/>
          <w:szCs w:val="24"/>
        </w:rPr>
      </w:pPr>
      <w:r w:rsidRPr="002F1BC2">
        <w:t>This publication is available for your use under a</w:t>
      </w:r>
      <w:r w:rsidR="00426276">
        <w:t xml:space="preserve"> </w:t>
      </w:r>
      <w:hyperlink r:id="rId14" w:history="1">
        <w:r w:rsidRPr="006627B4">
          <w:rPr>
            <w:rStyle w:val="Hyperlink"/>
          </w:rPr>
          <w:t>Creative Commons Attribution 3.0 Australia</w:t>
        </w:r>
      </w:hyperlink>
      <w:r>
        <w:t xml:space="preserve"> licence</w:t>
      </w:r>
      <w:r w:rsidRPr="002F1BC2">
        <w:t>, with the exception of the Commonwealth Coat of Arms, the Treasury logo</w:t>
      </w:r>
      <w:r>
        <w:t>, photographs, images, signatures</w:t>
      </w:r>
      <w:r w:rsidR="00426276">
        <w:t xml:space="preserve"> and where otherwise stated</w:t>
      </w:r>
      <w:r w:rsidR="00496483">
        <w:t xml:space="preserve">.  </w:t>
      </w:r>
      <w:r w:rsidRPr="002F1BC2">
        <w:t>The full licence terms are available from</w:t>
      </w:r>
      <w:r w:rsidR="00220B4D">
        <w:t xml:space="preserve"> </w:t>
      </w:r>
      <w:hyperlink r:id="rId15" w:history="1">
        <w:r w:rsidRPr="006627B4">
          <w:rPr>
            <w:rStyle w:val="Hyperlink"/>
          </w:rPr>
          <w:t>http://creativecommons.org/licenses/by/3.0/au/legalcode</w:t>
        </w:r>
      </w:hyperlink>
      <w:r w:rsidRPr="006627B4">
        <w:rPr>
          <w:rStyle w:val="Hyperlink"/>
        </w:rPr>
        <w:t>.</w:t>
      </w:r>
    </w:p>
    <w:p w:rsidR="00CB6765" w:rsidRDefault="00D5532F" w:rsidP="00315496">
      <w:pPr>
        <w:tabs>
          <w:tab w:val="left" w:pos="1650"/>
        </w:tabs>
        <w:spacing w:before="100" w:beforeAutospacing="1" w:after="100" w:afterAutospacing="1" w:line="240" w:lineRule="auto"/>
        <w:rPr>
          <w:rFonts w:cs="Calibri"/>
          <w:sz w:val="24"/>
          <w:szCs w:val="24"/>
        </w:rPr>
      </w:pPr>
      <w:r>
        <w:rPr>
          <w:rFonts w:cs="Calibri"/>
          <w:noProof/>
          <w:sz w:val="24"/>
          <w:szCs w:val="24"/>
        </w:rPr>
        <w:pict w14:anchorId="52A8B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C by_grey" style="width:61.25pt;height:22.55pt;visibility:visible">
            <v:imagedata r:id="rId16" o:title=""/>
          </v:shape>
        </w:pict>
      </w:r>
    </w:p>
    <w:p w:rsidR="00CB6765" w:rsidRPr="006627B4" w:rsidRDefault="00CB6765" w:rsidP="001B446D">
      <w:pPr>
        <w:tabs>
          <w:tab w:val="left" w:pos="1650"/>
        </w:tabs>
        <w:spacing w:before="100" w:beforeAutospacing="1" w:after="100" w:afterAutospacing="1"/>
      </w:pPr>
      <w:r w:rsidRPr="006627B4">
        <w:t>Use of Treasury material under a</w:t>
      </w:r>
      <w:r w:rsidR="00426276">
        <w:t xml:space="preserve"> </w:t>
      </w:r>
      <w:hyperlink r:id="rId17" w:history="1">
        <w:r w:rsidRPr="002F1BC2">
          <w:rPr>
            <w:rStyle w:val="Hyperlink"/>
          </w:rPr>
          <w:t>Creative Commons Attribution 3.0 Australia</w:t>
        </w:r>
      </w:hyperlink>
      <w:r w:rsidR="00426276">
        <w:rPr>
          <w:rStyle w:val="Hyperlink"/>
        </w:rPr>
        <w:t xml:space="preserve"> </w:t>
      </w:r>
      <w:r w:rsidRPr="006627B4">
        <w:t>licence requires you to attribute the work (but not in any way that suggests that the Treasury endorses you or your use of the work)</w:t>
      </w:r>
      <w:r w:rsidR="00496483">
        <w:t xml:space="preserve">.  </w:t>
      </w:r>
    </w:p>
    <w:p w:rsidR="00CB6765" w:rsidRPr="002F1BC2" w:rsidRDefault="00CB6765" w:rsidP="001B446D">
      <w:pPr>
        <w:spacing w:before="120"/>
        <w:rPr>
          <w:i/>
        </w:rPr>
      </w:pPr>
      <w:r w:rsidRPr="002F1BC2">
        <w:rPr>
          <w:i/>
        </w:rPr>
        <w:t>Trea</w:t>
      </w:r>
      <w:r w:rsidR="00176394">
        <w:rPr>
          <w:i/>
        </w:rPr>
        <w:t>sury material used 'as supplied'</w:t>
      </w:r>
    </w:p>
    <w:p w:rsidR="00CB6765" w:rsidRPr="00476F09" w:rsidRDefault="00B542C2" w:rsidP="001B446D">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rsidR="00CB6765" w:rsidRPr="00A13A11" w:rsidRDefault="00CB6765" w:rsidP="001B446D">
      <w:pPr>
        <w:ind w:firstLine="720"/>
      </w:pPr>
      <w:r w:rsidRPr="002F1BC2">
        <w:rPr>
          <w:i/>
        </w:rPr>
        <w:t xml:space="preserve">Source: The </w:t>
      </w:r>
      <w:r w:rsidRPr="002F1BC2">
        <w:rPr>
          <w:i/>
          <w:iCs/>
        </w:rPr>
        <w:t>Aus</w:t>
      </w:r>
      <w:r>
        <w:rPr>
          <w:i/>
          <w:iCs/>
        </w:rPr>
        <w:t>tralian Government, the Treasury</w:t>
      </w:r>
    </w:p>
    <w:p w:rsidR="00CB6765" w:rsidRPr="001B446D" w:rsidRDefault="00CB6765" w:rsidP="001B446D">
      <w:pPr>
        <w:rPr>
          <w:i/>
        </w:rPr>
      </w:pPr>
      <w:r w:rsidRPr="001B446D">
        <w:rPr>
          <w:i/>
        </w:rPr>
        <w:t>Derivative material</w:t>
      </w:r>
    </w:p>
    <w:p w:rsidR="00CB6765" w:rsidRPr="006627B4" w:rsidRDefault="00CB6765" w:rsidP="001B446D">
      <w:r w:rsidRPr="006627B4">
        <w:t xml:space="preserve">If you have modified or transformed Treasury material, or derived new material from those of the Treasury in any way, then Treasury prefers the following attribution: </w:t>
      </w:r>
    </w:p>
    <w:p w:rsidR="00CB6765" w:rsidRPr="006627B4" w:rsidRDefault="00CB6765" w:rsidP="001B446D">
      <w:pPr>
        <w:ind w:firstLine="720"/>
      </w:pPr>
      <w:r w:rsidRPr="002F1BC2">
        <w:rPr>
          <w:i/>
        </w:rPr>
        <w:t>Based on The Australian Government the Treasury data</w:t>
      </w:r>
    </w:p>
    <w:p w:rsidR="00CB6765" w:rsidRPr="006627B4" w:rsidRDefault="00CB6765" w:rsidP="001B446D">
      <w:pPr>
        <w:spacing w:after="40"/>
        <w:rPr>
          <w:b/>
        </w:rPr>
      </w:pPr>
      <w:r w:rsidRPr="006627B4">
        <w:rPr>
          <w:b/>
        </w:rPr>
        <w:t>Use of the Coat of Arms</w:t>
      </w:r>
    </w:p>
    <w:p w:rsidR="00CB6765" w:rsidRPr="006627B4" w:rsidRDefault="00CB6765" w:rsidP="001B446D">
      <w:pPr>
        <w:spacing w:before="120"/>
      </w:pPr>
      <w:r w:rsidRPr="006627B4">
        <w:t xml:space="preserve">The terms under which the Coat of Arms can be used are set out on the It’s an Honour website (see </w:t>
      </w:r>
      <w:hyperlink r:id="rId18" w:history="1">
        <w:r w:rsidRPr="006627B4">
          <w:t>www.itsanhonour.gov.au</w:t>
        </w:r>
      </w:hyperlink>
      <w:r w:rsidRPr="006627B4">
        <w:t>)</w:t>
      </w:r>
    </w:p>
    <w:p w:rsidR="00CB6765" w:rsidRPr="006627B4" w:rsidRDefault="00CB6765" w:rsidP="001B446D">
      <w:pPr>
        <w:spacing w:after="120"/>
        <w:rPr>
          <w:b/>
        </w:rPr>
      </w:pPr>
      <w:r w:rsidRPr="006627B4">
        <w:rPr>
          <w:b/>
        </w:rPr>
        <w:t>Other Uses</w:t>
      </w:r>
    </w:p>
    <w:p w:rsidR="00CB6765" w:rsidRPr="006627B4" w:rsidRDefault="00CB6765" w:rsidP="001B446D">
      <w:r w:rsidRPr="006627B4">
        <w:t>Inquiries regarding this licence and any other use of this document are welcome at:</w:t>
      </w:r>
    </w:p>
    <w:p w:rsidR="00CB6765" w:rsidRPr="006627B4" w:rsidRDefault="00CB6765" w:rsidP="001B446D">
      <w:pPr>
        <w:spacing w:after="0"/>
        <w:ind w:left="720"/>
      </w:pPr>
      <w:r w:rsidRPr="006627B4">
        <w:t>Manager</w:t>
      </w:r>
    </w:p>
    <w:p w:rsidR="00CB6765" w:rsidRPr="006627B4" w:rsidRDefault="00CB6765" w:rsidP="001B446D">
      <w:pPr>
        <w:spacing w:after="0"/>
        <w:ind w:left="720"/>
      </w:pPr>
      <w:r w:rsidRPr="006627B4">
        <w:t xml:space="preserve">Communications </w:t>
      </w:r>
    </w:p>
    <w:p w:rsidR="00CB6765" w:rsidRPr="006627B4" w:rsidRDefault="00CB6765" w:rsidP="001B446D">
      <w:pPr>
        <w:spacing w:after="0"/>
        <w:ind w:left="720"/>
      </w:pPr>
      <w:r w:rsidRPr="006627B4">
        <w:t>The Treasury</w:t>
      </w:r>
    </w:p>
    <w:p w:rsidR="00CB6765" w:rsidRPr="006627B4" w:rsidRDefault="00CB6765" w:rsidP="001B446D">
      <w:pPr>
        <w:spacing w:after="0"/>
        <w:ind w:left="720"/>
      </w:pPr>
      <w:r w:rsidRPr="006627B4">
        <w:t>Langton Crescent Parkes ACT 2600</w:t>
      </w:r>
    </w:p>
    <w:p w:rsidR="00CB6765" w:rsidRPr="002F1BC2" w:rsidRDefault="00CB6765" w:rsidP="001B446D">
      <w:pPr>
        <w:spacing w:after="0"/>
        <w:ind w:left="720"/>
        <w:rPr>
          <w:rStyle w:val="Hyperlink"/>
        </w:rPr>
      </w:pPr>
      <w:r w:rsidRPr="006627B4">
        <w:t xml:space="preserve">Email: </w:t>
      </w:r>
      <w:hyperlink r:id="rId19" w:history="1">
        <w:r w:rsidRPr="00573329">
          <w:rPr>
            <w:rStyle w:val="Hyperlink"/>
          </w:rPr>
          <w:t>medialiaison@treasury.gov.au</w:t>
        </w:r>
      </w:hyperlink>
    </w:p>
    <w:p w:rsidR="00CB6765" w:rsidRPr="009F0DCD" w:rsidRDefault="00CB6765" w:rsidP="009F0DCD">
      <w:pPr>
        <w:rPr>
          <w:rFonts w:ascii="Century Gothic" w:hAnsi="Century Gothic"/>
          <w:b/>
          <w:color w:val="000080"/>
          <w:sz w:val="28"/>
          <w:szCs w:val="28"/>
        </w:rPr>
      </w:pPr>
      <w:r>
        <w:br w:type="page"/>
      </w:r>
      <w:r w:rsidRPr="009F0DCD">
        <w:rPr>
          <w:rFonts w:ascii="Century Gothic" w:hAnsi="Century Gothic"/>
          <w:b/>
          <w:color w:val="000080"/>
          <w:sz w:val="28"/>
          <w:szCs w:val="28"/>
        </w:rPr>
        <w:lastRenderedPageBreak/>
        <w:t>Consultation Process</w:t>
      </w:r>
    </w:p>
    <w:p w:rsidR="00CB6765" w:rsidRPr="009F0DCD" w:rsidRDefault="00CB6765" w:rsidP="009F0DCD">
      <w:pPr>
        <w:rPr>
          <w:rFonts w:ascii="Century Gothic" w:hAnsi="Century Gothic"/>
          <w:b/>
          <w:color w:val="000080"/>
        </w:rPr>
      </w:pPr>
      <w:r w:rsidRPr="009F0DCD">
        <w:rPr>
          <w:rFonts w:ascii="Century Gothic" w:hAnsi="Century Gothic"/>
          <w:b/>
          <w:color w:val="000080"/>
        </w:rPr>
        <w:t>Request for feedback and comments</w:t>
      </w:r>
    </w:p>
    <w:p w:rsidR="00CB6765" w:rsidRDefault="00CB6765" w:rsidP="002732A1">
      <w:r w:rsidRPr="00C56942">
        <w:t>The Government is seeking your feedback and comments on</w:t>
      </w:r>
      <w:r>
        <w:t xml:space="preserve"> the </w:t>
      </w:r>
      <w:r w:rsidR="005760F3">
        <w:t xml:space="preserve">strategies and </w:t>
      </w:r>
      <w:r>
        <w:t xml:space="preserve">options discussed </w:t>
      </w:r>
      <w:r w:rsidR="007D04C9">
        <w:t>in this paper looking into offering</w:t>
      </w:r>
      <w:r w:rsidRPr="00A916DF">
        <w:t xml:space="preserve"> alternative means of </w:t>
      </w:r>
      <w:r>
        <w:t>assistance for those who may otherwise use payday</w:t>
      </w:r>
      <w:r w:rsidR="00070EBB">
        <w:t xml:space="preserve"> or </w:t>
      </w:r>
      <w:r w:rsidR="005760F3">
        <w:t>high cost</w:t>
      </w:r>
      <w:r w:rsidR="00334FBC">
        <w:t>,</w:t>
      </w:r>
      <w:r w:rsidR="005760F3">
        <w:t xml:space="preserve"> </w:t>
      </w:r>
      <w:r w:rsidR="007F28C1">
        <w:t>short</w:t>
      </w:r>
      <w:r w:rsidR="00496483">
        <w:noBreakHyphen/>
      </w:r>
      <w:r w:rsidR="007F28C1">
        <w:t>term</w:t>
      </w:r>
      <w:r w:rsidR="00334FBC">
        <w:t>,</w:t>
      </w:r>
      <w:r w:rsidR="005760F3">
        <w:t xml:space="preserve"> </w:t>
      </w:r>
      <w:r w:rsidR="00070EBB">
        <w:t>small amount</w:t>
      </w:r>
      <w:r>
        <w:t xml:space="preserve"> lending as a source of finance</w:t>
      </w:r>
      <w:r w:rsidR="00496483">
        <w:t xml:space="preserve">.  </w:t>
      </w:r>
      <w:r w:rsidRPr="00C56942">
        <w:t xml:space="preserve">Specific questions have also been included </w:t>
      </w:r>
      <w:r>
        <w:t xml:space="preserve">to focus your </w:t>
      </w:r>
      <w:r w:rsidRPr="00C56942">
        <w:t>feedback</w:t>
      </w:r>
      <w:r w:rsidR="00496483">
        <w:t xml:space="preserve">.  </w:t>
      </w:r>
    </w:p>
    <w:p w:rsidR="00CB6765" w:rsidRPr="00C56942" w:rsidRDefault="00CB6765" w:rsidP="002732A1">
      <w:r w:rsidRPr="00C56942">
        <w:t>While submissions may be lodged electronically, by post or by facsimile, electronic lodgement is preferred.</w:t>
      </w:r>
    </w:p>
    <w:p w:rsidR="00CB6765" w:rsidRPr="00C56942" w:rsidRDefault="00CB6765" w:rsidP="002732A1">
      <w:r w:rsidRPr="00C56942">
        <w:t xml:space="preserve">All </w:t>
      </w:r>
      <w:r w:rsidRPr="002732A1">
        <w:t>information</w:t>
      </w:r>
      <w:r w:rsidRPr="00C56942">
        <w:t xml:space="preserve"> (including name and address details) contained in submissions will be made available to the public on the Treasury website unless respondents indicate that they would like all or part of their submission to remain in confidence</w:t>
      </w:r>
      <w:r w:rsidR="00496483">
        <w:t xml:space="preserve">.  </w:t>
      </w:r>
      <w:r w:rsidRPr="00C56942">
        <w:t>Automatically generated confidentiality statements in emails do not suffice for this purpose</w:t>
      </w:r>
      <w:r w:rsidR="00496483">
        <w:t xml:space="preserve">.  </w:t>
      </w:r>
      <w:r w:rsidRPr="00C56942">
        <w:t>Respondents who would like part of their submission to remain in confidence should provide this information marked as such in a separate attachment</w:t>
      </w:r>
      <w:r w:rsidR="00496483">
        <w:t xml:space="preserve">.  </w:t>
      </w:r>
      <w:r w:rsidRPr="00C56942">
        <w:t xml:space="preserve">A request made under the </w:t>
      </w:r>
      <w:r w:rsidRPr="002732A1">
        <w:rPr>
          <w:i/>
        </w:rPr>
        <w:t>Freedom of Information Act 1982</w:t>
      </w:r>
      <w:r w:rsidRPr="00C56942">
        <w:t xml:space="preserve"> to make available a submission marked ‘confidential’ will be determined in accordance with that Act.</w:t>
      </w:r>
    </w:p>
    <w:p w:rsidR="00CB6765" w:rsidRPr="009F0DCD" w:rsidRDefault="00CB6765" w:rsidP="009F0DCD">
      <w:pPr>
        <w:rPr>
          <w:rFonts w:ascii="Century Gothic" w:hAnsi="Century Gothic"/>
          <w:b/>
          <w:color w:val="000080"/>
        </w:rPr>
      </w:pPr>
      <w:r w:rsidRPr="009F0DCD">
        <w:rPr>
          <w:rFonts w:ascii="Century Gothic" w:hAnsi="Century Gothic"/>
          <w:b/>
          <w:color w:val="000080"/>
        </w:rPr>
        <w:t>Closing date for submissions:</w:t>
      </w:r>
      <w:r w:rsidR="00334FBC">
        <w:rPr>
          <w:rFonts w:ascii="Century Gothic" w:hAnsi="Century Gothic"/>
          <w:b/>
          <w:color w:val="000080"/>
        </w:rPr>
        <w:t xml:space="preserve"> </w:t>
      </w:r>
      <w:r w:rsidRPr="009F0DCD">
        <w:rPr>
          <w:rFonts w:ascii="Century Gothic" w:hAnsi="Century Gothic"/>
          <w:b/>
          <w:color w:val="000080"/>
        </w:rPr>
        <w:t xml:space="preserve"> </w:t>
      </w:r>
      <w:r w:rsidR="00923DC7">
        <w:rPr>
          <w:rFonts w:ascii="Century Gothic" w:hAnsi="Century Gothic"/>
          <w:b/>
          <w:color w:val="000080"/>
        </w:rPr>
        <w:t>Mon</w:t>
      </w:r>
      <w:r w:rsidR="00947546">
        <w:rPr>
          <w:rFonts w:ascii="Century Gothic" w:hAnsi="Century Gothic"/>
          <w:b/>
          <w:color w:val="000080"/>
        </w:rPr>
        <w:t>day, 4</w:t>
      </w:r>
      <w:r w:rsidR="00C30A84">
        <w:rPr>
          <w:rFonts w:ascii="Century Gothic" w:hAnsi="Century Gothic"/>
          <w:b/>
          <w:color w:val="000080"/>
        </w:rPr>
        <w:t xml:space="preserve"> </w:t>
      </w:r>
      <w:r w:rsidR="00EE6C68">
        <w:rPr>
          <w:rFonts w:ascii="Century Gothic" w:hAnsi="Century Gothic"/>
          <w:b/>
          <w:color w:val="000080"/>
        </w:rPr>
        <w:t>June</w:t>
      </w:r>
      <w:r w:rsidR="00C30A84" w:rsidRPr="00334FBC">
        <w:rPr>
          <w:rFonts w:ascii="Century Gothic" w:hAnsi="Century Gothic"/>
          <w:b/>
          <w:color w:val="000080"/>
        </w:rPr>
        <w:t xml:space="preserve"> </w:t>
      </w:r>
      <w:r w:rsidRPr="00334FBC">
        <w:rPr>
          <w:rFonts w:ascii="Century Gothic" w:hAnsi="Century Gothic"/>
          <w:b/>
          <w:color w:val="000080"/>
        </w:rPr>
        <w:t>2012</w:t>
      </w:r>
    </w:p>
    <w:tbl>
      <w:tblPr>
        <w:tblW w:w="0" w:type="auto"/>
        <w:tblLook w:val="01E0" w:firstRow="1" w:lastRow="1" w:firstColumn="1" w:lastColumn="1" w:noHBand="0" w:noVBand="0"/>
      </w:tblPr>
      <w:tblGrid>
        <w:gridCol w:w="1666"/>
        <w:gridCol w:w="7576"/>
      </w:tblGrid>
      <w:tr w:rsidR="00CB6765" w:rsidRPr="00832563" w:rsidTr="005471AE">
        <w:tc>
          <w:tcPr>
            <w:tcW w:w="1666" w:type="dxa"/>
          </w:tcPr>
          <w:p w:rsidR="00CB6765" w:rsidRPr="00832563" w:rsidRDefault="00CB6765" w:rsidP="004F0938">
            <w:pPr>
              <w:pStyle w:val="SingleParagraph"/>
              <w:rPr>
                <w:rFonts w:cs="Arial"/>
              </w:rPr>
            </w:pPr>
            <w:bookmarkStart w:id="0" w:name="OLE_LINK5" w:colFirst="0" w:colLast="0"/>
            <w:bookmarkStart w:id="1" w:name="OLE_LINK6" w:colFirst="0" w:colLast="0"/>
            <w:r w:rsidRPr="00832563">
              <w:rPr>
                <w:rFonts w:cs="Arial"/>
              </w:rPr>
              <w:t xml:space="preserve">Email: </w:t>
            </w:r>
          </w:p>
        </w:tc>
        <w:tc>
          <w:tcPr>
            <w:tcW w:w="7576" w:type="dxa"/>
          </w:tcPr>
          <w:p w:rsidR="00CB6765" w:rsidRPr="00857280" w:rsidRDefault="007818EE" w:rsidP="007818EE">
            <w:pPr>
              <w:rPr>
                <w:rFonts w:cs="Arial"/>
              </w:rPr>
            </w:pPr>
            <w:r w:rsidRPr="00144973">
              <w:rPr>
                <w:rFonts w:cs="Arial"/>
              </w:rPr>
              <w:t>SALpape</w:t>
            </w:r>
            <w:r w:rsidRPr="00C30A84">
              <w:rPr>
                <w:rFonts w:cs="Arial"/>
              </w:rPr>
              <w:t>r</w:t>
            </w:r>
            <w:r w:rsidR="00CB6765" w:rsidRPr="00C30A84">
              <w:rPr>
                <w:rFonts w:cs="Arial"/>
              </w:rPr>
              <w:t>@treasury.gov.au</w:t>
            </w:r>
          </w:p>
        </w:tc>
      </w:tr>
      <w:bookmarkEnd w:id="0"/>
      <w:bookmarkEnd w:id="1"/>
      <w:tr w:rsidR="00CB6765" w:rsidRPr="00832563" w:rsidTr="005471AE">
        <w:tc>
          <w:tcPr>
            <w:tcW w:w="1666" w:type="dxa"/>
          </w:tcPr>
          <w:p w:rsidR="00CB6765" w:rsidRPr="00832563" w:rsidRDefault="00CB6765" w:rsidP="004F0938">
            <w:pPr>
              <w:pStyle w:val="SingleParagraph"/>
              <w:rPr>
                <w:rFonts w:cs="Arial"/>
              </w:rPr>
            </w:pPr>
            <w:r w:rsidRPr="00832563">
              <w:rPr>
                <w:rFonts w:cs="Arial"/>
              </w:rPr>
              <w:t>Mail:</w:t>
            </w:r>
          </w:p>
        </w:tc>
        <w:tc>
          <w:tcPr>
            <w:tcW w:w="7576" w:type="dxa"/>
          </w:tcPr>
          <w:p w:rsidR="00CB6765" w:rsidRDefault="005471AE" w:rsidP="004F0938">
            <w:pPr>
              <w:pStyle w:val="SingleParagraph"/>
              <w:rPr>
                <w:rFonts w:cs="Arial"/>
              </w:rPr>
            </w:pPr>
            <w:r>
              <w:rPr>
                <w:rFonts w:cs="Arial"/>
              </w:rPr>
              <w:t>General</w:t>
            </w:r>
            <w:r w:rsidR="00CB6765" w:rsidRPr="00832563">
              <w:rPr>
                <w:rFonts w:cs="Arial"/>
              </w:rPr>
              <w:t xml:space="preserve"> Manager</w:t>
            </w:r>
          </w:p>
          <w:p w:rsidR="00CB6765" w:rsidRPr="00832563" w:rsidRDefault="00CB6765" w:rsidP="004F0938">
            <w:pPr>
              <w:pStyle w:val="SingleParagraph"/>
              <w:rPr>
                <w:rFonts w:cs="Arial"/>
              </w:rPr>
            </w:pPr>
            <w:r w:rsidRPr="00832563">
              <w:rPr>
                <w:rFonts w:cs="Arial"/>
              </w:rPr>
              <w:t>Retail Investor Division</w:t>
            </w:r>
          </w:p>
          <w:p w:rsidR="00CB6765" w:rsidRPr="00832563" w:rsidRDefault="00CB6765" w:rsidP="004F0938">
            <w:pPr>
              <w:pStyle w:val="SingleParagraph"/>
              <w:rPr>
                <w:rFonts w:cs="Arial"/>
              </w:rPr>
            </w:pPr>
            <w:r w:rsidRPr="00832563">
              <w:rPr>
                <w:rFonts w:cs="Arial"/>
              </w:rPr>
              <w:t>The Treasury</w:t>
            </w:r>
          </w:p>
          <w:p w:rsidR="00CB6765" w:rsidRPr="00832563" w:rsidRDefault="00CB6765" w:rsidP="004F0938">
            <w:pPr>
              <w:pStyle w:val="SingleParagraph"/>
              <w:rPr>
                <w:rFonts w:cs="Arial"/>
              </w:rPr>
            </w:pPr>
            <w:r w:rsidRPr="00832563">
              <w:rPr>
                <w:rFonts w:cs="Arial"/>
              </w:rPr>
              <w:t>Langton Crescent</w:t>
            </w:r>
          </w:p>
          <w:p w:rsidR="00CB6765" w:rsidRDefault="00CB6765" w:rsidP="004F0938">
            <w:pPr>
              <w:rPr>
                <w:rFonts w:cs="Arial"/>
              </w:rPr>
            </w:pPr>
            <w:r w:rsidRPr="00832563">
              <w:rPr>
                <w:rFonts w:cs="Arial"/>
              </w:rPr>
              <w:t>PARKES ACT 2600</w:t>
            </w:r>
          </w:p>
        </w:tc>
      </w:tr>
    </w:tbl>
    <w:p w:rsidR="005471AE" w:rsidRDefault="005471AE" w:rsidP="00315496">
      <w:r w:rsidRPr="00832563">
        <w:t>Enq</w:t>
      </w:r>
      <w:r w:rsidRPr="005471AE">
        <w:t>u</w:t>
      </w:r>
      <w:r w:rsidRPr="00832563">
        <w:t>iries:</w:t>
      </w:r>
    </w:p>
    <w:p w:rsidR="002416EC" w:rsidRDefault="00315496" w:rsidP="005471AE">
      <w:pPr>
        <w:tabs>
          <w:tab w:val="left" w:pos="1774"/>
        </w:tabs>
        <w:jc w:val="left"/>
        <w:rPr>
          <w:rFonts w:cs="Arial"/>
        </w:rPr>
      </w:pPr>
      <w:r>
        <w:rPr>
          <w:rFonts w:cs="Arial"/>
        </w:rPr>
        <w:t xml:space="preserve">(1) </w:t>
      </w:r>
      <w:r w:rsidR="005471AE" w:rsidRPr="00832563">
        <w:rPr>
          <w:rFonts w:cs="Arial"/>
        </w:rPr>
        <w:t>Mr Christian Mikula, Manager, Consumer Credit Unit</w:t>
      </w:r>
      <w:r w:rsidR="005471AE">
        <w:rPr>
          <w:rFonts w:cs="Arial"/>
        </w:rPr>
        <w:t xml:space="preserve">, </w:t>
      </w:r>
      <w:r w:rsidR="002416EC">
        <w:rPr>
          <w:rFonts w:cs="Arial"/>
        </w:rPr>
        <w:t>The</w:t>
      </w:r>
      <w:r w:rsidR="005471AE">
        <w:rPr>
          <w:rFonts w:cs="Arial"/>
        </w:rPr>
        <w:t xml:space="preserve"> Treasury</w:t>
      </w:r>
    </w:p>
    <w:p w:rsidR="005471AE" w:rsidRDefault="005471AE" w:rsidP="005471AE">
      <w:pPr>
        <w:tabs>
          <w:tab w:val="left" w:pos="1774"/>
        </w:tabs>
        <w:jc w:val="left"/>
        <w:rPr>
          <w:rFonts w:cs="Arial"/>
        </w:rPr>
      </w:pPr>
      <w:r w:rsidRPr="00832563">
        <w:rPr>
          <w:rFonts w:cs="Arial"/>
        </w:rPr>
        <w:t>Phone:</w:t>
      </w:r>
      <w:r w:rsidR="002416EC">
        <w:rPr>
          <w:rFonts w:cs="Arial"/>
        </w:rPr>
        <w:t xml:space="preserve"> </w:t>
      </w:r>
      <w:r w:rsidRPr="00832563">
        <w:rPr>
          <w:rFonts w:cs="Arial"/>
        </w:rPr>
        <w:t>02 6263 2046</w:t>
      </w:r>
    </w:p>
    <w:p w:rsidR="005471AE" w:rsidRDefault="005471AE" w:rsidP="00315496">
      <w:r>
        <w:t>Or</w:t>
      </w:r>
    </w:p>
    <w:p w:rsidR="002416EC" w:rsidRPr="00315496" w:rsidRDefault="00315496" w:rsidP="00315496">
      <w:r>
        <w:rPr>
          <w:rFonts w:cs="Arial"/>
        </w:rPr>
        <w:t xml:space="preserve">(2) </w:t>
      </w:r>
      <w:r w:rsidR="005471AE" w:rsidRPr="005471AE">
        <w:rPr>
          <w:rFonts w:cs="Arial"/>
        </w:rPr>
        <w:t xml:space="preserve">Ms Paula Mance, </w:t>
      </w:r>
      <w:r w:rsidR="00334FBC">
        <w:rPr>
          <w:rFonts w:cs="Arial"/>
        </w:rPr>
        <w:t xml:space="preserve">Section </w:t>
      </w:r>
      <w:r w:rsidR="005471AE" w:rsidRPr="005471AE">
        <w:rPr>
          <w:rFonts w:cs="Arial"/>
        </w:rPr>
        <w:t>Manager, Money Management Branch</w:t>
      </w:r>
      <w:r w:rsidR="005471AE">
        <w:rPr>
          <w:rFonts w:cs="Arial"/>
        </w:rPr>
        <w:t xml:space="preserve">, </w:t>
      </w:r>
      <w:r w:rsidR="005471AE">
        <w:t>Department of Families, Housing, Community Services and Indigenous Affairs</w:t>
      </w:r>
    </w:p>
    <w:p w:rsidR="009D32B0" w:rsidRDefault="005471AE" w:rsidP="009D32B0">
      <w:pPr>
        <w:jc w:val="left"/>
        <w:sectPr w:rsidR="009D32B0" w:rsidSect="004A4F05">
          <w:footerReference w:type="default" r:id="rId20"/>
          <w:footerReference w:type="first" r:id="rId21"/>
          <w:pgSz w:w="11906" w:h="16838"/>
          <w:pgMar w:top="1135" w:right="1440" w:bottom="1440" w:left="1440" w:header="708" w:footer="708" w:gutter="0"/>
          <w:pgNumType w:fmt="lowerRoman"/>
          <w:cols w:space="708"/>
          <w:titlePg/>
          <w:docGrid w:linePitch="360"/>
        </w:sectPr>
      </w:pPr>
      <w:r>
        <w:t>Phone:</w:t>
      </w:r>
      <w:r w:rsidR="00315496">
        <w:t xml:space="preserve"> </w:t>
      </w:r>
      <w:r w:rsidRPr="005471AE">
        <w:t>02 6146 2220</w:t>
      </w:r>
    </w:p>
    <w:p w:rsidR="005227A1" w:rsidRPr="00180B51" w:rsidRDefault="005227A1" w:rsidP="00180B51">
      <w:pPr>
        <w:pStyle w:val="ContentsHeading"/>
      </w:pPr>
      <w:r w:rsidRPr="00180B51">
        <w:lastRenderedPageBreak/>
        <w:t>Table of Contents</w:t>
      </w:r>
    </w:p>
    <w:p w:rsidR="00D5532F" w:rsidRDefault="00A96939">
      <w:pPr>
        <w:pStyle w:val="TOC1"/>
        <w:rPr>
          <w:rFonts w:asciiTheme="minorHAnsi" w:eastAsiaTheme="minorEastAsia" w:hAnsiTheme="minorHAnsi" w:cstheme="minorBidi"/>
          <w:b w:val="0"/>
          <w:smallCaps w:val="0"/>
          <w:noProof/>
          <w:color w:val="auto"/>
        </w:rPr>
      </w:pPr>
      <w:r>
        <w:rPr>
          <w:b w:val="0"/>
          <w:smallCaps w:val="0"/>
        </w:rPr>
        <w:fldChar w:fldCharType="begin"/>
      </w:r>
      <w:r>
        <w:rPr>
          <w:b w:val="0"/>
          <w:smallCaps w:val="0"/>
        </w:rPr>
        <w:instrText xml:space="preserve"> TOC \o "1-2" \h \z \u </w:instrText>
      </w:r>
      <w:r>
        <w:rPr>
          <w:b w:val="0"/>
          <w:smallCaps w:val="0"/>
        </w:rPr>
        <w:fldChar w:fldCharType="separate"/>
      </w:r>
      <w:hyperlink w:anchor="_Toc322008272" w:history="1">
        <w:r w:rsidR="00D5532F" w:rsidRPr="001731B3">
          <w:rPr>
            <w:rStyle w:val="Hyperlink"/>
            <w:noProof/>
          </w:rPr>
          <w:t>FOREWORD</w:t>
        </w:r>
        <w:r w:rsidR="00D5532F">
          <w:rPr>
            <w:noProof/>
            <w:webHidden/>
          </w:rPr>
          <w:tab/>
        </w:r>
        <w:r w:rsidR="00D5532F">
          <w:rPr>
            <w:noProof/>
            <w:webHidden/>
          </w:rPr>
          <w:fldChar w:fldCharType="begin"/>
        </w:r>
        <w:r w:rsidR="00D5532F">
          <w:rPr>
            <w:noProof/>
            <w:webHidden/>
          </w:rPr>
          <w:instrText xml:space="preserve"> PAGEREF _Toc322008272 \h </w:instrText>
        </w:r>
        <w:r w:rsidR="00D5532F">
          <w:rPr>
            <w:noProof/>
            <w:webHidden/>
          </w:rPr>
        </w:r>
        <w:r w:rsidR="00D5532F">
          <w:rPr>
            <w:noProof/>
            <w:webHidden/>
          </w:rPr>
          <w:fldChar w:fldCharType="separate"/>
        </w:r>
        <w:r w:rsidR="00D5532F">
          <w:rPr>
            <w:noProof/>
            <w:webHidden/>
          </w:rPr>
          <w:t>vii</w:t>
        </w:r>
        <w:r w:rsidR="00D5532F">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273" w:history="1">
        <w:r w:rsidRPr="001731B3">
          <w:rPr>
            <w:rStyle w:val="Hyperlink"/>
            <w:noProof/>
          </w:rPr>
          <w:t>Executive Summary</w:t>
        </w:r>
        <w:r>
          <w:rPr>
            <w:noProof/>
            <w:webHidden/>
          </w:rPr>
          <w:tab/>
        </w:r>
        <w:r>
          <w:rPr>
            <w:noProof/>
            <w:webHidden/>
          </w:rPr>
          <w:fldChar w:fldCharType="begin"/>
        </w:r>
        <w:r>
          <w:rPr>
            <w:noProof/>
            <w:webHidden/>
          </w:rPr>
          <w:instrText xml:space="preserve"> PAGEREF _Toc322008273 \h </w:instrText>
        </w:r>
        <w:r>
          <w:rPr>
            <w:noProof/>
            <w:webHidden/>
          </w:rPr>
        </w:r>
        <w:r>
          <w:rPr>
            <w:noProof/>
            <w:webHidden/>
          </w:rPr>
          <w:fldChar w:fldCharType="separate"/>
        </w:r>
        <w:r>
          <w:rPr>
            <w:noProof/>
            <w:webHidden/>
          </w:rPr>
          <w:t>ix</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274" w:history="1">
        <w:r w:rsidRPr="001731B3">
          <w:rPr>
            <w:rStyle w:val="Hyperlink"/>
            <w:noProof/>
          </w:rPr>
          <w:t>Chapter 1 Financial exclusion of some consumers</w:t>
        </w:r>
        <w:r>
          <w:rPr>
            <w:noProof/>
            <w:webHidden/>
          </w:rPr>
          <w:tab/>
        </w:r>
        <w:r>
          <w:rPr>
            <w:noProof/>
            <w:webHidden/>
          </w:rPr>
          <w:fldChar w:fldCharType="begin"/>
        </w:r>
        <w:r>
          <w:rPr>
            <w:noProof/>
            <w:webHidden/>
          </w:rPr>
          <w:instrText xml:space="preserve"> PAGEREF _Toc322008274 \h </w:instrText>
        </w:r>
        <w:r>
          <w:rPr>
            <w:noProof/>
            <w:webHidden/>
          </w:rPr>
        </w:r>
        <w:r>
          <w:rPr>
            <w:noProof/>
            <w:webHidden/>
          </w:rPr>
          <w:fldChar w:fldCharType="separate"/>
        </w:r>
        <w:r>
          <w:rPr>
            <w:noProof/>
            <w:webHidden/>
          </w:rPr>
          <w:t>1</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75" w:history="1">
        <w:r w:rsidRPr="001731B3">
          <w:rPr>
            <w:rStyle w:val="Hyperlink"/>
            <w:noProof/>
          </w:rPr>
          <w:t>Financial exclusion</w:t>
        </w:r>
        <w:r>
          <w:rPr>
            <w:noProof/>
            <w:webHidden/>
          </w:rPr>
          <w:tab/>
        </w:r>
        <w:r>
          <w:rPr>
            <w:noProof/>
            <w:webHidden/>
          </w:rPr>
          <w:fldChar w:fldCharType="begin"/>
        </w:r>
        <w:r>
          <w:rPr>
            <w:noProof/>
            <w:webHidden/>
          </w:rPr>
          <w:instrText xml:space="preserve"> PAGEREF _Toc322008275 \h </w:instrText>
        </w:r>
        <w:r>
          <w:rPr>
            <w:noProof/>
            <w:webHidden/>
          </w:rPr>
        </w:r>
        <w:r>
          <w:rPr>
            <w:noProof/>
            <w:webHidden/>
          </w:rPr>
          <w:fldChar w:fldCharType="separate"/>
        </w:r>
        <w:r>
          <w:rPr>
            <w:noProof/>
            <w:webHidden/>
          </w:rPr>
          <w:t>1</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76" w:history="1">
        <w:r w:rsidRPr="001731B3">
          <w:rPr>
            <w:rStyle w:val="Hyperlink"/>
            <w:noProof/>
          </w:rPr>
          <w:t>Consumers of small amount loans</w:t>
        </w:r>
        <w:r>
          <w:rPr>
            <w:noProof/>
            <w:webHidden/>
          </w:rPr>
          <w:tab/>
        </w:r>
        <w:r>
          <w:rPr>
            <w:noProof/>
            <w:webHidden/>
          </w:rPr>
          <w:fldChar w:fldCharType="begin"/>
        </w:r>
        <w:r>
          <w:rPr>
            <w:noProof/>
            <w:webHidden/>
          </w:rPr>
          <w:instrText xml:space="preserve"> PAGEREF _Toc322008276 \h </w:instrText>
        </w:r>
        <w:r>
          <w:rPr>
            <w:noProof/>
            <w:webHidden/>
          </w:rPr>
        </w:r>
        <w:r>
          <w:rPr>
            <w:noProof/>
            <w:webHidden/>
          </w:rPr>
          <w:fldChar w:fldCharType="separate"/>
        </w:r>
        <w:r>
          <w:rPr>
            <w:noProof/>
            <w:webHidden/>
          </w:rPr>
          <w:t>2</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77" w:history="1">
        <w:r w:rsidRPr="001731B3">
          <w:rPr>
            <w:rStyle w:val="Hyperlink"/>
            <w:noProof/>
          </w:rPr>
          <w:t>Impact of financial exclusion</w:t>
        </w:r>
        <w:r>
          <w:rPr>
            <w:noProof/>
            <w:webHidden/>
          </w:rPr>
          <w:tab/>
        </w:r>
        <w:r>
          <w:rPr>
            <w:noProof/>
            <w:webHidden/>
          </w:rPr>
          <w:fldChar w:fldCharType="begin"/>
        </w:r>
        <w:r>
          <w:rPr>
            <w:noProof/>
            <w:webHidden/>
          </w:rPr>
          <w:instrText xml:space="preserve"> PAGEREF _Toc322008277 \h </w:instrText>
        </w:r>
        <w:r>
          <w:rPr>
            <w:noProof/>
            <w:webHidden/>
          </w:rPr>
        </w:r>
        <w:r>
          <w:rPr>
            <w:noProof/>
            <w:webHidden/>
          </w:rPr>
          <w:fldChar w:fldCharType="separate"/>
        </w:r>
        <w:r>
          <w:rPr>
            <w:noProof/>
            <w:webHidden/>
          </w:rPr>
          <w:t>3</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78" w:history="1">
        <w:r w:rsidRPr="001731B3">
          <w:rPr>
            <w:rStyle w:val="Hyperlink"/>
            <w:noProof/>
          </w:rPr>
          <w:t>Extent and cost of small amount lending</w:t>
        </w:r>
        <w:r>
          <w:rPr>
            <w:noProof/>
            <w:webHidden/>
          </w:rPr>
          <w:tab/>
        </w:r>
        <w:r>
          <w:rPr>
            <w:noProof/>
            <w:webHidden/>
          </w:rPr>
          <w:fldChar w:fldCharType="begin"/>
        </w:r>
        <w:r>
          <w:rPr>
            <w:noProof/>
            <w:webHidden/>
          </w:rPr>
          <w:instrText xml:space="preserve"> PAGEREF _Toc322008278 \h </w:instrText>
        </w:r>
        <w:r>
          <w:rPr>
            <w:noProof/>
            <w:webHidden/>
          </w:rPr>
        </w:r>
        <w:r>
          <w:rPr>
            <w:noProof/>
            <w:webHidden/>
          </w:rPr>
          <w:fldChar w:fldCharType="separate"/>
        </w:r>
        <w:r>
          <w:rPr>
            <w:noProof/>
            <w:webHidden/>
          </w:rPr>
          <w:t>5</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279" w:history="1">
        <w:r w:rsidRPr="001731B3">
          <w:rPr>
            <w:rStyle w:val="Hyperlink"/>
            <w:noProof/>
          </w:rPr>
          <w:t>Chapter 2 Reducing the need for small amount loans</w:t>
        </w:r>
        <w:r>
          <w:rPr>
            <w:noProof/>
            <w:webHidden/>
          </w:rPr>
          <w:tab/>
        </w:r>
        <w:r>
          <w:rPr>
            <w:noProof/>
            <w:webHidden/>
          </w:rPr>
          <w:fldChar w:fldCharType="begin"/>
        </w:r>
        <w:r>
          <w:rPr>
            <w:noProof/>
            <w:webHidden/>
          </w:rPr>
          <w:instrText xml:space="preserve"> PAGEREF _Toc322008279 \h </w:instrText>
        </w:r>
        <w:r>
          <w:rPr>
            <w:noProof/>
            <w:webHidden/>
          </w:rPr>
        </w:r>
        <w:r>
          <w:rPr>
            <w:noProof/>
            <w:webHidden/>
          </w:rPr>
          <w:fldChar w:fldCharType="separate"/>
        </w:r>
        <w:r>
          <w:rPr>
            <w:noProof/>
            <w:webHidden/>
          </w:rPr>
          <w:t>7</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0" w:history="1">
        <w:r w:rsidRPr="001731B3">
          <w:rPr>
            <w:rStyle w:val="Hyperlink"/>
            <w:noProof/>
          </w:rPr>
          <w:t>The Financial Management Program</w:t>
        </w:r>
        <w:r>
          <w:rPr>
            <w:noProof/>
            <w:webHidden/>
          </w:rPr>
          <w:tab/>
        </w:r>
        <w:r>
          <w:rPr>
            <w:noProof/>
            <w:webHidden/>
          </w:rPr>
          <w:fldChar w:fldCharType="begin"/>
        </w:r>
        <w:r>
          <w:rPr>
            <w:noProof/>
            <w:webHidden/>
          </w:rPr>
          <w:instrText xml:space="preserve"> PAGEREF _Toc322008280 \h </w:instrText>
        </w:r>
        <w:r>
          <w:rPr>
            <w:noProof/>
            <w:webHidden/>
          </w:rPr>
        </w:r>
        <w:r>
          <w:rPr>
            <w:noProof/>
            <w:webHidden/>
          </w:rPr>
          <w:fldChar w:fldCharType="separate"/>
        </w:r>
        <w:r>
          <w:rPr>
            <w:noProof/>
            <w:webHidden/>
          </w:rPr>
          <w:t>7</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1" w:history="1">
        <w:r w:rsidRPr="001731B3">
          <w:rPr>
            <w:rStyle w:val="Hyperlink"/>
            <w:noProof/>
          </w:rPr>
          <w:t>MoneySmart website</w:t>
        </w:r>
        <w:r>
          <w:rPr>
            <w:noProof/>
            <w:webHidden/>
          </w:rPr>
          <w:tab/>
        </w:r>
        <w:r>
          <w:rPr>
            <w:noProof/>
            <w:webHidden/>
          </w:rPr>
          <w:fldChar w:fldCharType="begin"/>
        </w:r>
        <w:r>
          <w:rPr>
            <w:noProof/>
            <w:webHidden/>
          </w:rPr>
          <w:instrText xml:space="preserve"> PAGEREF _Toc322008281 \h </w:instrText>
        </w:r>
        <w:r>
          <w:rPr>
            <w:noProof/>
            <w:webHidden/>
          </w:rPr>
        </w:r>
        <w:r>
          <w:rPr>
            <w:noProof/>
            <w:webHidden/>
          </w:rPr>
          <w:fldChar w:fldCharType="separate"/>
        </w:r>
        <w:r>
          <w:rPr>
            <w:noProof/>
            <w:webHidden/>
          </w:rPr>
          <w:t>8</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2" w:history="1">
        <w:r w:rsidRPr="001731B3">
          <w:rPr>
            <w:rStyle w:val="Hyperlink"/>
            <w:noProof/>
          </w:rPr>
          <w:t>Centrepay, advances and weekly payments</w:t>
        </w:r>
        <w:r>
          <w:rPr>
            <w:noProof/>
            <w:webHidden/>
          </w:rPr>
          <w:tab/>
        </w:r>
        <w:r>
          <w:rPr>
            <w:noProof/>
            <w:webHidden/>
          </w:rPr>
          <w:fldChar w:fldCharType="begin"/>
        </w:r>
        <w:r>
          <w:rPr>
            <w:noProof/>
            <w:webHidden/>
          </w:rPr>
          <w:instrText xml:space="preserve"> PAGEREF _Toc322008282 \h </w:instrText>
        </w:r>
        <w:r>
          <w:rPr>
            <w:noProof/>
            <w:webHidden/>
          </w:rPr>
        </w:r>
        <w:r>
          <w:rPr>
            <w:noProof/>
            <w:webHidden/>
          </w:rPr>
          <w:fldChar w:fldCharType="separate"/>
        </w:r>
        <w:r>
          <w:rPr>
            <w:noProof/>
            <w:webHidden/>
          </w:rPr>
          <w:t>8</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3" w:history="1">
        <w:r w:rsidRPr="001731B3">
          <w:rPr>
            <w:rStyle w:val="Hyperlink"/>
            <w:noProof/>
          </w:rPr>
          <w:t>Centrepay</w:t>
        </w:r>
        <w:r>
          <w:rPr>
            <w:noProof/>
            <w:webHidden/>
          </w:rPr>
          <w:tab/>
        </w:r>
        <w:r>
          <w:rPr>
            <w:noProof/>
            <w:webHidden/>
          </w:rPr>
          <w:fldChar w:fldCharType="begin"/>
        </w:r>
        <w:r>
          <w:rPr>
            <w:noProof/>
            <w:webHidden/>
          </w:rPr>
          <w:instrText xml:space="preserve"> PAGEREF _Toc322008283 \h </w:instrText>
        </w:r>
        <w:r>
          <w:rPr>
            <w:noProof/>
            <w:webHidden/>
          </w:rPr>
        </w:r>
        <w:r>
          <w:rPr>
            <w:noProof/>
            <w:webHidden/>
          </w:rPr>
          <w:fldChar w:fldCharType="separate"/>
        </w:r>
        <w:r>
          <w:rPr>
            <w:noProof/>
            <w:webHidden/>
          </w:rPr>
          <w:t>8</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4" w:history="1">
        <w:r w:rsidRPr="001731B3">
          <w:rPr>
            <w:rStyle w:val="Hyperlink"/>
            <w:noProof/>
          </w:rPr>
          <w:t>Advance payments</w:t>
        </w:r>
        <w:r>
          <w:rPr>
            <w:noProof/>
            <w:webHidden/>
          </w:rPr>
          <w:tab/>
        </w:r>
        <w:r>
          <w:rPr>
            <w:noProof/>
            <w:webHidden/>
          </w:rPr>
          <w:fldChar w:fldCharType="begin"/>
        </w:r>
        <w:r>
          <w:rPr>
            <w:noProof/>
            <w:webHidden/>
          </w:rPr>
          <w:instrText xml:space="preserve"> PAGEREF _Toc322008284 \h </w:instrText>
        </w:r>
        <w:r>
          <w:rPr>
            <w:noProof/>
            <w:webHidden/>
          </w:rPr>
        </w:r>
        <w:r>
          <w:rPr>
            <w:noProof/>
            <w:webHidden/>
          </w:rPr>
          <w:fldChar w:fldCharType="separate"/>
        </w:r>
        <w:r>
          <w:rPr>
            <w:noProof/>
            <w:webHidden/>
          </w:rPr>
          <w:t>10</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5" w:history="1">
        <w:r w:rsidRPr="001731B3">
          <w:rPr>
            <w:rStyle w:val="Hyperlink"/>
            <w:noProof/>
          </w:rPr>
          <w:t>Weekly payments</w:t>
        </w:r>
        <w:r>
          <w:rPr>
            <w:noProof/>
            <w:webHidden/>
          </w:rPr>
          <w:tab/>
        </w:r>
        <w:r>
          <w:rPr>
            <w:noProof/>
            <w:webHidden/>
          </w:rPr>
          <w:fldChar w:fldCharType="begin"/>
        </w:r>
        <w:r>
          <w:rPr>
            <w:noProof/>
            <w:webHidden/>
          </w:rPr>
          <w:instrText xml:space="preserve"> PAGEREF _Toc322008285 \h </w:instrText>
        </w:r>
        <w:r>
          <w:rPr>
            <w:noProof/>
            <w:webHidden/>
          </w:rPr>
        </w:r>
        <w:r>
          <w:rPr>
            <w:noProof/>
            <w:webHidden/>
          </w:rPr>
          <w:fldChar w:fldCharType="separate"/>
        </w:r>
        <w:r>
          <w:rPr>
            <w:noProof/>
            <w:webHidden/>
          </w:rPr>
          <w:t>11</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6" w:history="1">
        <w:r w:rsidRPr="001731B3">
          <w:rPr>
            <w:rStyle w:val="Hyperlink"/>
            <w:noProof/>
          </w:rPr>
          <w:t>Encourage greater use of utility hardship programs</w:t>
        </w:r>
        <w:r>
          <w:rPr>
            <w:noProof/>
            <w:webHidden/>
          </w:rPr>
          <w:tab/>
        </w:r>
        <w:r>
          <w:rPr>
            <w:noProof/>
            <w:webHidden/>
          </w:rPr>
          <w:fldChar w:fldCharType="begin"/>
        </w:r>
        <w:r>
          <w:rPr>
            <w:noProof/>
            <w:webHidden/>
          </w:rPr>
          <w:instrText xml:space="preserve"> PAGEREF _Toc322008286 \h </w:instrText>
        </w:r>
        <w:r>
          <w:rPr>
            <w:noProof/>
            <w:webHidden/>
          </w:rPr>
        </w:r>
        <w:r>
          <w:rPr>
            <w:noProof/>
            <w:webHidden/>
          </w:rPr>
          <w:fldChar w:fldCharType="separate"/>
        </w:r>
        <w:r>
          <w:rPr>
            <w:noProof/>
            <w:webHidden/>
          </w:rPr>
          <w:t>11</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7" w:history="1">
        <w:r w:rsidRPr="001731B3">
          <w:rPr>
            <w:rStyle w:val="Hyperlink"/>
            <w:noProof/>
          </w:rPr>
          <w:t>Extent of use of small amount loans to meet utility debts</w:t>
        </w:r>
        <w:r>
          <w:rPr>
            <w:noProof/>
            <w:webHidden/>
          </w:rPr>
          <w:tab/>
        </w:r>
        <w:r>
          <w:rPr>
            <w:noProof/>
            <w:webHidden/>
          </w:rPr>
          <w:fldChar w:fldCharType="begin"/>
        </w:r>
        <w:r>
          <w:rPr>
            <w:noProof/>
            <w:webHidden/>
          </w:rPr>
          <w:instrText xml:space="preserve"> PAGEREF _Toc322008287 \h </w:instrText>
        </w:r>
        <w:r>
          <w:rPr>
            <w:noProof/>
            <w:webHidden/>
          </w:rPr>
        </w:r>
        <w:r>
          <w:rPr>
            <w:noProof/>
            <w:webHidden/>
          </w:rPr>
          <w:fldChar w:fldCharType="separate"/>
        </w:r>
        <w:r>
          <w:rPr>
            <w:noProof/>
            <w:webHidden/>
          </w:rPr>
          <w:t>11</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8" w:history="1">
        <w:r w:rsidRPr="001731B3">
          <w:rPr>
            <w:rStyle w:val="Hyperlink"/>
            <w:noProof/>
          </w:rPr>
          <w:t>Current arrangements</w:t>
        </w:r>
        <w:r>
          <w:rPr>
            <w:noProof/>
            <w:webHidden/>
          </w:rPr>
          <w:tab/>
        </w:r>
        <w:r>
          <w:rPr>
            <w:noProof/>
            <w:webHidden/>
          </w:rPr>
          <w:fldChar w:fldCharType="begin"/>
        </w:r>
        <w:r>
          <w:rPr>
            <w:noProof/>
            <w:webHidden/>
          </w:rPr>
          <w:instrText xml:space="preserve"> PAGEREF _Toc322008288 \h </w:instrText>
        </w:r>
        <w:r>
          <w:rPr>
            <w:noProof/>
            <w:webHidden/>
          </w:rPr>
        </w:r>
        <w:r>
          <w:rPr>
            <w:noProof/>
            <w:webHidden/>
          </w:rPr>
          <w:fldChar w:fldCharType="separate"/>
        </w:r>
        <w:r>
          <w:rPr>
            <w:noProof/>
            <w:webHidden/>
          </w:rPr>
          <w:t>12</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89" w:history="1">
        <w:r w:rsidRPr="001731B3">
          <w:rPr>
            <w:rStyle w:val="Hyperlink"/>
            <w:noProof/>
          </w:rPr>
          <w:t>Regulation of energy distributors</w:t>
        </w:r>
        <w:r>
          <w:rPr>
            <w:noProof/>
            <w:webHidden/>
          </w:rPr>
          <w:tab/>
        </w:r>
        <w:r>
          <w:rPr>
            <w:noProof/>
            <w:webHidden/>
          </w:rPr>
          <w:fldChar w:fldCharType="begin"/>
        </w:r>
        <w:r>
          <w:rPr>
            <w:noProof/>
            <w:webHidden/>
          </w:rPr>
          <w:instrText xml:space="preserve"> PAGEREF _Toc322008289 \h </w:instrText>
        </w:r>
        <w:r>
          <w:rPr>
            <w:noProof/>
            <w:webHidden/>
          </w:rPr>
        </w:r>
        <w:r>
          <w:rPr>
            <w:noProof/>
            <w:webHidden/>
          </w:rPr>
          <w:fldChar w:fldCharType="separate"/>
        </w:r>
        <w:r>
          <w:rPr>
            <w:noProof/>
            <w:webHidden/>
          </w:rPr>
          <w:t>12</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0" w:history="1">
        <w:r w:rsidRPr="001731B3">
          <w:rPr>
            <w:rStyle w:val="Hyperlink"/>
            <w:noProof/>
          </w:rPr>
          <w:t>Limitations in consumer use of hardship programs</w:t>
        </w:r>
        <w:r>
          <w:rPr>
            <w:noProof/>
            <w:webHidden/>
          </w:rPr>
          <w:tab/>
        </w:r>
        <w:r>
          <w:rPr>
            <w:noProof/>
            <w:webHidden/>
          </w:rPr>
          <w:fldChar w:fldCharType="begin"/>
        </w:r>
        <w:r>
          <w:rPr>
            <w:noProof/>
            <w:webHidden/>
          </w:rPr>
          <w:instrText xml:space="preserve"> PAGEREF _Toc322008290 \h </w:instrText>
        </w:r>
        <w:r>
          <w:rPr>
            <w:noProof/>
            <w:webHidden/>
          </w:rPr>
        </w:r>
        <w:r>
          <w:rPr>
            <w:noProof/>
            <w:webHidden/>
          </w:rPr>
          <w:fldChar w:fldCharType="separate"/>
        </w:r>
        <w:r>
          <w:rPr>
            <w:noProof/>
            <w:webHidden/>
          </w:rPr>
          <w:t>13</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1" w:history="1">
        <w:r w:rsidRPr="001731B3">
          <w:rPr>
            <w:rStyle w:val="Hyperlink"/>
            <w:noProof/>
          </w:rPr>
          <w:t>Improved access to other assistance with energy hardship</w:t>
        </w:r>
        <w:r>
          <w:rPr>
            <w:noProof/>
            <w:webHidden/>
          </w:rPr>
          <w:tab/>
        </w:r>
        <w:r>
          <w:rPr>
            <w:noProof/>
            <w:webHidden/>
          </w:rPr>
          <w:fldChar w:fldCharType="begin"/>
        </w:r>
        <w:r>
          <w:rPr>
            <w:noProof/>
            <w:webHidden/>
          </w:rPr>
          <w:instrText xml:space="preserve"> PAGEREF _Toc322008291 \h </w:instrText>
        </w:r>
        <w:r>
          <w:rPr>
            <w:noProof/>
            <w:webHidden/>
          </w:rPr>
        </w:r>
        <w:r>
          <w:rPr>
            <w:noProof/>
            <w:webHidden/>
          </w:rPr>
          <w:fldChar w:fldCharType="separate"/>
        </w:r>
        <w:r>
          <w:rPr>
            <w:noProof/>
            <w:webHidden/>
          </w:rPr>
          <w:t>14</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2" w:history="1">
        <w:r w:rsidRPr="001731B3">
          <w:rPr>
            <w:rStyle w:val="Hyperlink"/>
            <w:noProof/>
          </w:rPr>
          <w:t>Energy efficiency programs</w:t>
        </w:r>
        <w:r>
          <w:rPr>
            <w:noProof/>
            <w:webHidden/>
          </w:rPr>
          <w:tab/>
        </w:r>
        <w:r>
          <w:rPr>
            <w:noProof/>
            <w:webHidden/>
          </w:rPr>
          <w:fldChar w:fldCharType="begin"/>
        </w:r>
        <w:r>
          <w:rPr>
            <w:noProof/>
            <w:webHidden/>
          </w:rPr>
          <w:instrText xml:space="preserve"> PAGEREF _Toc322008292 \h </w:instrText>
        </w:r>
        <w:r>
          <w:rPr>
            <w:noProof/>
            <w:webHidden/>
          </w:rPr>
        </w:r>
        <w:r>
          <w:rPr>
            <w:noProof/>
            <w:webHidden/>
          </w:rPr>
          <w:fldChar w:fldCharType="separate"/>
        </w:r>
        <w:r>
          <w:rPr>
            <w:noProof/>
            <w:webHidden/>
          </w:rPr>
          <w:t>14</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3" w:history="1">
        <w:r w:rsidRPr="001731B3">
          <w:rPr>
            <w:rStyle w:val="Hyperlink"/>
            <w:noProof/>
          </w:rPr>
          <w:t>The Home Energy Saver Scheme (HESS)</w:t>
        </w:r>
        <w:r>
          <w:rPr>
            <w:noProof/>
            <w:webHidden/>
          </w:rPr>
          <w:tab/>
        </w:r>
        <w:r>
          <w:rPr>
            <w:noProof/>
            <w:webHidden/>
          </w:rPr>
          <w:fldChar w:fldCharType="begin"/>
        </w:r>
        <w:r>
          <w:rPr>
            <w:noProof/>
            <w:webHidden/>
          </w:rPr>
          <w:instrText xml:space="preserve"> PAGEREF _Toc322008293 \h </w:instrText>
        </w:r>
        <w:r>
          <w:rPr>
            <w:noProof/>
            <w:webHidden/>
          </w:rPr>
        </w:r>
        <w:r>
          <w:rPr>
            <w:noProof/>
            <w:webHidden/>
          </w:rPr>
          <w:fldChar w:fldCharType="separate"/>
        </w:r>
        <w:r>
          <w:rPr>
            <w:noProof/>
            <w:webHidden/>
          </w:rPr>
          <w:t>14</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4" w:history="1">
        <w:r w:rsidRPr="001731B3">
          <w:rPr>
            <w:rStyle w:val="Hyperlink"/>
            <w:noProof/>
          </w:rPr>
          <w:t>The Low Income Energy Efficiency Program (LIEEP)</w:t>
        </w:r>
        <w:r>
          <w:rPr>
            <w:noProof/>
            <w:webHidden/>
          </w:rPr>
          <w:tab/>
        </w:r>
        <w:r>
          <w:rPr>
            <w:noProof/>
            <w:webHidden/>
          </w:rPr>
          <w:fldChar w:fldCharType="begin"/>
        </w:r>
        <w:r>
          <w:rPr>
            <w:noProof/>
            <w:webHidden/>
          </w:rPr>
          <w:instrText xml:space="preserve"> PAGEREF _Toc322008294 \h </w:instrText>
        </w:r>
        <w:r>
          <w:rPr>
            <w:noProof/>
            <w:webHidden/>
          </w:rPr>
        </w:r>
        <w:r>
          <w:rPr>
            <w:noProof/>
            <w:webHidden/>
          </w:rPr>
          <w:fldChar w:fldCharType="separate"/>
        </w:r>
        <w:r>
          <w:rPr>
            <w:noProof/>
            <w:webHidden/>
          </w:rPr>
          <w:t>15</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295" w:history="1">
        <w:r w:rsidRPr="001731B3">
          <w:rPr>
            <w:rStyle w:val="Hyperlink"/>
            <w:noProof/>
          </w:rPr>
          <w:t>Chapter 3 Improve the small amount, short</w:t>
        </w:r>
        <w:r w:rsidRPr="001731B3">
          <w:rPr>
            <w:rStyle w:val="Hyperlink"/>
            <w:noProof/>
          </w:rPr>
          <w:noBreakHyphen/>
          <w:t>term loan product</w:t>
        </w:r>
        <w:r>
          <w:rPr>
            <w:noProof/>
            <w:webHidden/>
          </w:rPr>
          <w:tab/>
        </w:r>
        <w:r>
          <w:rPr>
            <w:noProof/>
            <w:webHidden/>
          </w:rPr>
          <w:fldChar w:fldCharType="begin"/>
        </w:r>
        <w:r>
          <w:rPr>
            <w:noProof/>
            <w:webHidden/>
          </w:rPr>
          <w:instrText xml:space="preserve"> PAGEREF _Toc322008295 \h </w:instrText>
        </w:r>
        <w:r>
          <w:rPr>
            <w:noProof/>
            <w:webHidden/>
          </w:rPr>
        </w:r>
        <w:r>
          <w:rPr>
            <w:noProof/>
            <w:webHidden/>
          </w:rPr>
          <w:fldChar w:fldCharType="separate"/>
        </w:r>
        <w:r>
          <w:rPr>
            <w:noProof/>
            <w:webHidden/>
          </w:rPr>
          <w:t>17</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296" w:history="1">
        <w:r w:rsidRPr="001731B3">
          <w:rPr>
            <w:rStyle w:val="Hyperlink"/>
            <w:noProof/>
          </w:rPr>
          <w:t>Chapter 4 Encourage alternatives to high cost, small amount, short</w:t>
        </w:r>
        <w:r w:rsidRPr="001731B3">
          <w:rPr>
            <w:rStyle w:val="Hyperlink"/>
            <w:noProof/>
          </w:rPr>
          <w:noBreakHyphen/>
          <w:t>term lending</w:t>
        </w:r>
        <w:r>
          <w:rPr>
            <w:noProof/>
            <w:webHidden/>
          </w:rPr>
          <w:tab/>
        </w:r>
        <w:r>
          <w:rPr>
            <w:noProof/>
            <w:webHidden/>
          </w:rPr>
          <w:fldChar w:fldCharType="begin"/>
        </w:r>
        <w:r>
          <w:rPr>
            <w:noProof/>
            <w:webHidden/>
          </w:rPr>
          <w:instrText xml:space="preserve"> PAGEREF _Toc322008296 \h </w:instrText>
        </w:r>
        <w:r>
          <w:rPr>
            <w:noProof/>
            <w:webHidden/>
          </w:rPr>
        </w:r>
        <w:r>
          <w:rPr>
            <w:noProof/>
            <w:webHidden/>
          </w:rPr>
          <w:fldChar w:fldCharType="separate"/>
        </w:r>
        <w:r>
          <w:rPr>
            <w:noProof/>
            <w:webHidden/>
          </w:rPr>
          <w:t>19</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7" w:history="1">
        <w:r w:rsidRPr="001731B3">
          <w:rPr>
            <w:rStyle w:val="Hyperlink"/>
            <w:noProof/>
          </w:rPr>
          <w:t>Current alternatives</w:t>
        </w:r>
        <w:r>
          <w:rPr>
            <w:noProof/>
            <w:webHidden/>
          </w:rPr>
          <w:tab/>
        </w:r>
        <w:r>
          <w:rPr>
            <w:noProof/>
            <w:webHidden/>
          </w:rPr>
          <w:fldChar w:fldCharType="begin"/>
        </w:r>
        <w:r>
          <w:rPr>
            <w:noProof/>
            <w:webHidden/>
          </w:rPr>
          <w:instrText xml:space="preserve"> PAGEREF _Toc322008297 \h </w:instrText>
        </w:r>
        <w:r>
          <w:rPr>
            <w:noProof/>
            <w:webHidden/>
          </w:rPr>
        </w:r>
        <w:r>
          <w:rPr>
            <w:noProof/>
            <w:webHidden/>
          </w:rPr>
          <w:fldChar w:fldCharType="separate"/>
        </w:r>
        <w:r>
          <w:rPr>
            <w:noProof/>
            <w:webHidden/>
          </w:rPr>
          <w:t>19</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8" w:history="1">
        <w:r w:rsidRPr="001731B3">
          <w:rPr>
            <w:rStyle w:val="Hyperlink"/>
            <w:noProof/>
          </w:rPr>
          <w:t>Current Australian approaches</w:t>
        </w:r>
        <w:r>
          <w:rPr>
            <w:noProof/>
            <w:webHidden/>
          </w:rPr>
          <w:tab/>
        </w:r>
        <w:r>
          <w:rPr>
            <w:noProof/>
            <w:webHidden/>
          </w:rPr>
          <w:fldChar w:fldCharType="begin"/>
        </w:r>
        <w:r>
          <w:rPr>
            <w:noProof/>
            <w:webHidden/>
          </w:rPr>
          <w:instrText xml:space="preserve"> PAGEREF _Toc322008298 \h </w:instrText>
        </w:r>
        <w:r>
          <w:rPr>
            <w:noProof/>
            <w:webHidden/>
          </w:rPr>
        </w:r>
        <w:r>
          <w:rPr>
            <w:noProof/>
            <w:webHidden/>
          </w:rPr>
          <w:fldChar w:fldCharType="separate"/>
        </w:r>
        <w:r>
          <w:rPr>
            <w:noProof/>
            <w:webHidden/>
          </w:rPr>
          <w:t>22</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299" w:history="1">
        <w:r w:rsidRPr="001731B3">
          <w:rPr>
            <w:rStyle w:val="Hyperlink"/>
            <w:noProof/>
          </w:rPr>
          <w:t>Potential mechanisms to encourage mainstream lenders to provide small loans</w:t>
        </w:r>
        <w:r>
          <w:rPr>
            <w:noProof/>
            <w:webHidden/>
          </w:rPr>
          <w:tab/>
        </w:r>
        <w:r>
          <w:rPr>
            <w:noProof/>
            <w:webHidden/>
          </w:rPr>
          <w:fldChar w:fldCharType="begin"/>
        </w:r>
        <w:r>
          <w:rPr>
            <w:noProof/>
            <w:webHidden/>
          </w:rPr>
          <w:instrText xml:space="preserve"> PAGEREF _Toc322008299 \h </w:instrText>
        </w:r>
        <w:r>
          <w:rPr>
            <w:noProof/>
            <w:webHidden/>
          </w:rPr>
        </w:r>
        <w:r>
          <w:rPr>
            <w:noProof/>
            <w:webHidden/>
          </w:rPr>
          <w:fldChar w:fldCharType="separate"/>
        </w:r>
        <w:r>
          <w:rPr>
            <w:noProof/>
            <w:webHidden/>
          </w:rPr>
          <w:t>24</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300" w:history="1">
        <w:r w:rsidRPr="001731B3">
          <w:rPr>
            <w:rStyle w:val="Hyperlink"/>
            <w:noProof/>
          </w:rPr>
          <w:t>Chapter 5 Assisting low income individuals who fall into debt cycles</w:t>
        </w:r>
        <w:r>
          <w:rPr>
            <w:noProof/>
            <w:webHidden/>
          </w:rPr>
          <w:tab/>
        </w:r>
        <w:r>
          <w:rPr>
            <w:noProof/>
            <w:webHidden/>
          </w:rPr>
          <w:fldChar w:fldCharType="begin"/>
        </w:r>
        <w:r>
          <w:rPr>
            <w:noProof/>
            <w:webHidden/>
          </w:rPr>
          <w:instrText xml:space="preserve"> PAGEREF _Toc322008300 \h </w:instrText>
        </w:r>
        <w:r>
          <w:rPr>
            <w:noProof/>
            <w:webHidden/>
          </w:rPr>
        </w:r>
        <w:r>
          <w:rPr>
            <w:noProof/>
            <w:webHidden/>
          </w:rPr>
          <w:fldChar w:fldCharType="separate"/>
        </w:r>
        <w:r>
          <w:rPr>
            <w:noProof/>
            <w:webHidden/>
          </w:rPr>
          <w:t>27</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1" w:history="1">
        <w:r w:rsidRPr="001731B3">
          <w:rPr>
            <w:rStyle w:val="Hyperlink"/>
            <w:noProof/>
          </w:rPr>
          <w:t>‘One Stop Shop’ hubs</w:t>
        </w:r>
        <w:r>
          <w:rPr>
            <w:noProof/>
            <w:webHidden/>
          </w:rPr>
          <w:tab/>
        </w:r>
        <w:r>
          <w:rPr>
            <w:noProof/>
            <w:webHidden/>
          </w:rPr>
          <w:fldChar w:fldCharType="begin"/>
        </w:r>
        <w:r>
          <w:rPr>
            <w:noProof/>
            <w:webHidden/>
          </w:rPr>
          <w:instrText xml:space="preserve"> PAGEREF _Toc322008301 \h </w:instrText>
        </w:r>
        <w:r>
          <w:rPr>
            <w:noProof/>
            <w:webHidden/>
          </w:rPr>
        </w:r>
        <w:r>
          <w:rPr>
            <w:noProof/>
            <w:webHidden/>
          </w:rPr>
          <w:fldChar w:fldCharType="separate"/>
        </w:r>
        <w:r>
          <w:rPr>
            <w:noProof/>
            <w:webHidden/>
          </w:rPr>
          <w:t>27</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302" w:history="1">
        <w:r w:rsidRPr="001731B3">
          <w:rPr>
            <w:rStyle w:val="Hyperlink"/>
            <w:noProof/>
          </w:rPr>
          <w:t>Chapter 6 Debt consolidation products and debt management advice</w:t>
        </w:r>
        <w:r>
          <w:rPr>
            <w:noProof/>
            <w:webHidden/>
          </w:rPr>
          <w:tab/>
        </w:r>
        <w:r>
          <w:rPr>
            <w:noProof/>
            <w:webHidden/>
          </w:rPr>
          <w:fldChar w:fldCharType="begin"/>
        </w:r>
        <w:r>
          <w:rPr>
            <w:noProof/>
            <w:webHidden/>
          </w:rPr>
          <w:instrText xml:space="preserve"> PAGEREF _Toc322008302 \h </w:instrText>
        </w:r>
        <w:r>
          <w:rPr>
            <w:noProof/>
            <w:webHidden/>
          </w:rPr>
        </w:r>
        <w:r>
          <w:rPr>
            <w:noProof/>
            <w:webHidden/>
          </w:rPr>
          <w:fldChar w:fldCharType="separate"/>
        </w:r>
        <w:r>
          <w:rPr>
            <w:noProof/>
            <w:webHidden/>
          </w:rPr>
          <w:t>29</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3" w:history="1">
        <w:r w:rsidRPr="001731B3">
          <w:rPr>
            <w:rStyle w:val="Hyperlink"/>
            <w:noProof/>
          </w:rPr>
          <w:t>Debt consolidation loans</w:t>
        </w:r>
        <w:r>
          <w:rPr>
            <w:noProof/>
            <w:webHidden/>
          </w:rPr>
          <w:tab/>
        </w:r>
        <w:r>
          <w:rPr>
            <w:noProof/>
            <w:webHidden/>
          </w:rPr>
          <w:fldChar w:fldCharType="begin"/>
        </w:r>
        <w:r>
          <w:rPr>
            <w:noProof/>
            <w:webHidden/>
          </w:rPr>
          <w:instrText xml:space="preserve"> PAGEREF _Toc322008303 \h </w:instrText>
        </w:r>
        <w:r>
          <w:rPr>
            <w:noProof/>
            <w:webHidden/>
          </w:rPr>
        </w:r>
        <w:r>
          <w:rPr>
            <w:noProof/>
            <w:webHidden/>
          </w:rPr>
          <w:fldChar w:fldCharType="separate"/>
        </w:r>
        <w:r>
          <w:rPr>
            <w:noProof/>
            <w:webHidden/>
          </w:rPr>
          <w:t>29</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4" w:history="1">
        <w:r w:rsidRPr="001731B3">
          <w:rPr>
            <w:rStyle w:val="Hyperlink"/>
            <w:noProof/>
          </w:rPr>
          <w:t>Debt advice system</w:t>
        </w:r>
        <w:r>
          <w:rPr>
            <w:noProof/>
            <w:webHidden/>
          </w:rPr>
          <w:tab/>
        </w:r>
        <w:r>
          <w:rPr>
            <w:noProof/>
            <w:webHidden/>
          </w:rPr>
          <w:fldChar w:fldCharType="begin"/>
        </w:r>
        <w:r>
          <w:rPr>
            <w:noProof/>
            <w:webHidden/>
          </w:rPr>
          <w:instrText xml:space="preserve"> PAGEREF _Toc322008304 \h </w:instrText>
        </w:r>
        <w:r>
          <w:rPr>
            <w:noProof/>
            <w:webHidden/>
          </w:rPr>
        </w:r>
        <w:r>
          <w:rPr>
            <w:noProof/>
            <w:webHidden/>
          </w:rPr>
          <w:fldChar w:fldCharType="separate"/>
        </w:r>
        <w:r>
          <w:rPr>
            <w:noProof/>
            <w:webHidden/>
          </w:rPr>
          <w:t>29</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5" w:history="1">
        <w:r w:rsidRPr="001731B3">
          <w:rPr>
            <w:rStyle w:val="Hyperlink"/>
            <w:noProof/>
          </w:rPr>
          <w:t>Existing debt products</w:t>
        </w:r>
        <w:r>
          <w:rPr>
            <w:noProof/>
            <w:webHidden/>
          </w:rPr>
          <w:tab/>
        </w:r>
        <w:r>
          <w:rPr>
            <w:noProof/>
            <w:webHidden/>
          </w:rPr>
          <w:fldChar w:fldCharType="begin"/>
        </w:r>
        <w:r>
          <w:rPr>
            <w:noProof/>
            <w:webHidden/>
          </w:rPr>
          <w:instrText xml:space="preserve"> PAGEREF _Toc322008305 \h </w:instrText>
        </w:r>
        <w:r>
          <w:rPr>
            <w:noProof/>
            <w:webHidden/>
          </w:rPr>
        </w:r>
        <w:r>
          <w:rPr>
            <w:noProof/>
            <w:webHidden/>
          </w:rPr>
          <w:fldChar w:fldCharType="separate"/>
        </w:r>
        <w:r>
          <w:rPr>
            <w:noProof/>
            <w:webHidden/>
          </w:rPr>
          <w:t>30</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306" w:history="1">
        <w:r w:rsidRPr="001731B3">
          <w:rPr>
            <w:rStyle w:val="Hyperlink"/>
            <w:noProof/>
          </w:rPr>
          <w:t>Attachment A</w:t>
        </w:r>
        <w:r>
          <w:rPr>
            <w:noProof/>
            <w:webHidden/>
          </w:rPr>
          <w:tab/>
        </w:r>
        <w:r>
          <w:rPr>
            <w:noProof/>
            <w:webHidden/>
          </w:rPr>
          <w:fldChar w:fldCharType="begin"/>
        </w:r>
        <w:r>
          <w:rPr>
            <w:noProof/>
            <w:webHidden/>
          </w:rPr>
          <w:instrText xml:space="preserve"> PAGEREF _Toc322008306 \h </w:instrText>
        </w:r>
        <w:r>
          <w:rPr>
            <w:noProof/>
            <w:webHidden/>
          </w:rPr>
        </w:r>
        <w:r>
          <w:rPr>
            <w:noProof/>
            <w:webHidden/>
          </w:rPr>
          <w:fldChar w:fldCharType="separate"/>
        </w:r>
        <w:r>
          <w:rPr>
            <w:noProof/>
            <w:webHidden/>
          </w:rPr>
          <w:t>33</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7" w:history="1">
        <w:r w:rsidRPr="001731B3">
          <w:rPr>
            <w:rStyle w:val="Hyperlink"/>
            <w:noProof/>
          </w:rPr>
          <w:t>Existing utility financial assistance programs</w:t>
        </w:r>
        <w:r>
          <w:rPr>
            <w:noProof/>
            <w:webHidden/>
          </w:rPr>
          <w:tab/>
        </w:r>
        <w:r>
          <w:rPr>
            <w:noProof/>
            <w:webHidden/>
          </w:rPr>
          <w:fldChar w:fldCharType="begin"/>
        </w:r>
        <w:r>
          <w:rPr>
            <w:noProof/>
            <w:webHidden/>
          </w:rPr>
          <w:instrText xml:space="preserve"> PAGEREF _Toc322008307 \h </w:instrText>
        </w:r>
        <w:r>
          <w:rPr>
            <w:noProof/>
            <w:webHidden/>
          </w:rPr>
        </w:r>
        <w:r>
          <w:rPr>
            <w:noProof/>
            <w:webHidden/>
          </w:rPr>
          <w:fldChar w:fldCharType="separate"/>
        </w:r>
        <w:r>
          <w:rPr>
            <w:noProof/>
            <w:webHidden/>
          </w:rPr>
          <w:t>33</w:t>
        </w:r>
        <w:r>
          <w:rPr>
            <w:noProof/>
            <w:webHidden/>
          </w:rPr>
          <w:fldChar w:fldCharType="end"/>
        </w:r>
      </w:hyperlink>
    </w:p>
    <w:p w:rsidR="00D5532F" w:rsidRDefault="00D5532F">
      <w:pPr>
        <w:pStyle w:val="TOC1"/>
        <w:rPr>
          <w:rFonts w:asciiTheme="minorHAnsi" w:eastAsiaTheme="minorEastAsia" w:hAnsiTheme="minorHAnsi" w:cstheme="minorBidi"/>
          <w:b w:val="0"/>
          <w:smallCaps w:val="0"/>
          <w:noProof/>
          <w:color w:val="auto"/>
        </w:rPr>
      </w:pPr>
      <w:hyperlink w:anchor="_Toc322008308" w:history="1">
        <w:r w:rsidRPr="001731B3">
          <w:rPr>
            <w:rStyle w:val="Hyperlink"/>
            <w:noProof/>
          </w:rPr>
          <w:t>ATTACHMENT B</w:t>
        </w:r>
        <w:r>
          <w:rPr>
            <w:noProof/>
            <w:webHidden/>
          </w:rPr>
          <w:tab/>
        </w:r>
        <w:r>
          <w:rPr>
            <w:noProof/>
            <w:webHidden/>
          </w:rPr>
          <w:fldChar w:fldCharType="begin"/>
        </w:r>
        <w:r>
          <w:rPr>
            <w:noProof/>
            <w:webHidden/>
          </w:rPr>
          <w:instrText xml:space="preserve"> PAGEREF _Toc322008308 \h </w:instrText>
        </w:r>
        <w:r>
          <w:rPr>
            <w:noProof/>
            <w:webHidden/>
          </w:rPr>
        </w:r>
        <w:r>
          <w:rPr>
            <w:noProof/>
            <w:webHidden/>
          </w:rPr>
          <w:fldChar w:fldCharType="separate"/>
        </w:r>
        <w:r>
          <w:rPr>
            <w:noProof/>
            <w:webHidden/>
          </w:rPr>
          <w:t>35</w:t>
        </w:r>
        <w:r>
          <w:rPr>
            <w:noProof/>
            <w:webHidden/>
          </w:rPr>
          <w:fldChar w:fldCharType="end"/>
        </w:r>
      </w:hyperlink>
    </w:p>
    <w:p w:rsidR="00D5532F" w:rsidRDefault="00D5532F">
      <w:pPr>
        <w:pStyle w:val="TOC2"/>
        <w:rPr>
          <w:rFonts w:asciiTheme="minorHAnsi" w:eastAsiaTheme="minorEastAsia" w:hAnsiTheme="minorHAnsi" w:cstheme="minorBidi"/>
          <w:noProof/>
          <w:color w:val="auto"/>
          <w:sz w:val="22"/>
          <w:szCs w:val="22"/>
        </w:rPr>
      </w:pPr>
      <w:hyperlink w:anchor="_Toc322008309" w:history="1">
        <w:r w:rsidRPr="001731B3">
          <w:rPr>
            <w:rStyle w:val="Hyperlink"/>
            <w:noProof/>
          </w:rPr>
          <w:t>Glossary Of Terms</w:t>
        </w:r>
        <w:r>
          <w:rPr>
            <w:noProof/>
            <w:webHidden/>
          </w:rPr>
          <w:tab/>
        </w:r>
        <w:r>
          <w:rPr>
            <w:noProof/>
            <w:webHidden/>
          </w:rPr>
          <w:fldChar w:fldCharType="begin"/>
        </w:r>
        <w:r>
          <w:rPr>
            <w:noProof/>
            <w:webHidden/>
          </w:rPr>
          <w:instrText xml:space="preserve"> PAGEREF _Toc322008309 \h </w:instrText>
        </w:r>
        <w:r>
          <w:rPr>
            <w:noProof/>
            <w:webHidden/>
          </w:rPr>
        </w:r>
        <w:r>
          <w:rPr>
            <w:noProof/>
            <w:webHidden/>
          </w:rPr>
          <w:fldChar w:fldCharType="separate"/>
        </w:r>
        <w:r>
          <w:rPr>
            <w:noProof/>
            <w:webHidden/>
          </w:rPr>
          <w:t>35</w:t>
        </w:r>
        <w:r>
          <w:rPr>
            <w:noProof/>
            <w:webHidden/>
          </w:rPr>
          <w:fldChar w:fldCharType="end"/>
        </w:r>
      </w:hyperlink>
    </w:p>
    <w:p w:rsidR="005227A1" w:rsidRDefault="00A96939" w:rsidP="009F1620">
      <w:pPr>
        <w:pStyle w:val="TOC2"/>
      </w:pPr>
      <w:r>
        <w:rPr>
          <w:b/>
          <w:smallCaps/>
          <w:szCs w:val="22"/>
        </w:rPr>
        <w:lastRenderedPageBreak/>
        <w:fldChar w:fldCharType="end"/>
      </w:r>
    </w:p>
    <w:p w:rsidR="009D32B0" w:rsidRDefault="009D32B0" w:rsidP="00315496">
      <w:pPr>
        <w:pStyle w:val="Heading1"/>
        <w:rPr>
          <w:color w:val="auto"/>
        </w:rPr>
        <w:sectPr w:rsidR="009D32B0" w:rsidSect="00A96939">
          <w:footerReference w:type="even" r:id="rId22"/>
          <w:footerReference w:type="first" r:id="rId23"/>
          <w:type w:val="oddPage"/>
          <w:pgSz w:w="11906" w:h="16838"/>
          <w:pgMar w:top="1418" w:right="1418" w:bottom="1418" w:left="1418" w:header="709" w:footer="709" w:gutter="0"/>
          <w:pgNumType w:fmt="lowerRoman"/>
          <w:cols w:space="708"/>
          <w:titlePg/>
          <w:docGrid w:linePitch="360"/>
        </w:sectPr>
      </w:pPr>
    </w:p>
    <w:p w:rsidR="00CB6765" w:rsidRPr="00315496" w:rsidRDefault="00CB6765" w:rsidP="00315496">
      <w:pPr>
        <w:pStyle w:val="Heading1"/>
      </w:pPr>
      <w:bookmarkStart w:id="2" w:name="_Toc322008272"/>
      <w:r w:rsidRPr="00315496">
        <w:lastRenderedPageBreak/>
        <w:t>FOREW</w:t>
      </w:r>
      <w:r w:rsidR="00842C2B" w:rsidRPr="00315496">
        <w:t>O</w:t>
      </w:r>
      <w:r w:rsidRPr="00315496">
        <w:t>RD</w:t>
      </w:r>
      <w:bookmarkEnd w:id="2"/>
    </w:p>
    <w:p w:rsidR="00A9308E" w:rsidRDefault="00D5532F" w:rsidP="00A9308E">
      <w:r>
        <w:rPr>
          <w:noProof/>
        </w:rPr>
        <w:pict w14:anchorId="7321326E">
          <v:shape id="_x0000_s1029" type="#_x0000_t75" style="position:absolute;left:0;text-align:left;margin-left:112.75pt;margin-top:58.9pt;width:105.15pt;height:2in;z-index:251661312;mso-position-horizontal-relative:margin;mso-position-vertical-relative:margin">
            <v:imagedata r:id="rId24" o:title="Julie Collins MP - Federal Member for Franklin"/>
            <w10:wrap type="square" anchorx="margin" anchory="margin"/>
          </v:shape>
        </w:pict>
      </w:r>
      <w:r>
        <w:rPr>
          <w:noProof/>
        </w:rPr>
        <w:pict w14:anchorId="446C9E7C">
          <v:shape id="Picture 4" o:spid="_x0000_s1027" type="#_x0000_t75" alt="Description: BillHeadshot.JPG" style="position:absolute;left:0;text-align:left;margin-left:0;margin-top:.75pt;width:104.55pt;height:2in;z-index:251659264;visibility:visible;mso-wrap-style:square;mso-wrap-distance-left:9pt;mso-wrap-distance-top:0;mso-wrap-distance-right:9pt;mso-wrap-distance-bottom:0;mso-position-horizontal-relative:margin;mso-position-vertical-relative:text">
            <v:imagedata r:id="rId25" o:title="BillHeadshot"/>
            <w10:wrap type="square" anchorx="margin"/>
          </v:shape>
        </w:pict>
      </w:r>
      <w:r w:rsidR="0079441E" w:rsidRPr="009569D9">
        <w:t>We</w:t>
      </w:r>
      <w:r w:rsidR="00A9308E" w:rsidRPr="009569D9">
        <w:t xml:space="preserve"> </w:t>
      </w:r>
      <w:r w:rsidR="0079441E" w:rsidRPr="009569D9">
        <w:t>are</w:t>
      </w:r>
      <w:r w:rsidR="00A9308E" w:rsidRPr="009569D9">
        <w:t xml:space="preserve"> pleased</w:t>
      </w:r>
      <w:r w:rsidR="00A9308E">
        <w:t xml:space="preserve"> to release this paper which </w:t>
      </w:r>
      <w:r w:rsidR="003A234F">
        <w:t>canvasses</w:t>
      </w:r>
      <w:r w:rsidR="00A9308E">
        <w:t xml:space="preserve"> a number of </w:t>
      </w:r>
      <w:r w:rsidR="003A234F">
        <w:t>options</w:t>
      </w:r>
      <w:r w:rsidR="00A3055B">
        <w:t xml:space="preserve"> and strategies</w:t>
      </w:r>
      <w:r w:rsidR="004B2A64">
        <w:t xml:space="preserve"> </w:t>
      </w:r>
      <w:r w:rsidR="009569D9">
        <w:t>that</w:t>
      </w:r>
      <w:r w:rsidR="00C477A7">
        <w:t xml:space="preserve"> </w:t>
      </w:r>
      <w:r w:rsidR="00A3055B">
        <w:t>aim to</w:t>
      </w:r>
      <w:r w:rsidR="000B5D20">
        <w:t xml:space="preserve"> provide </w:t>
      </w:r>
      <w:r w:rsidR="00C477A7">
        <w:t>more</w:t>
      </w:r>
      <w:r w:rsidR="004B2A64">
        <w:t xml:space="preserve"> </w:t>
      </w:r>
      <w:r w:rsidR="00C477A7" w:rsidRPr="005034AF">
        <w:t xml:space="preserve">affordable, fair and readily accessible </w:t>
      </w:r>
      <w:r w:rsidR="00C477A7">
        <w:t>alternative lending or</w:t>
      </w:r>
      <w:r w:rsidR="00C477A7" w:rsidRPr="005034AF">
        <w:t xml:space="preserve"> other assistance</w:t>
      </w:r>
      <w:r w:rsidR="00C477A7">
        <w:t xml:space="preserve"> for those consumers who would normally access</w:t>
      </w:r>
      <w:r w:rsidR="00A9308E">
        <w:t xml:space="preserve"> </w:t>
      </w:r>
      <w:r w:rsidR="00057E92">
        <w:t>high</w:t>
      </w:r>
      <w:r w:rsidR="00496483">
        <w:noBreakHyphen/>
      </w:r>
      <w:r w:rsidR="00057E92">
        <w:t>cost</w:t>
      </w:r>
      <w:r w:rsidR="000C7445">
        <w:t>,</w:t>
      </w:r>
      <w:r w:rsidR="00057E92">
        <w:t xml:space="preserve"> </w:t>
      </w:r>
      <w:r w:rsidR="000C7445">
        <w:t>short</w:t>
      </w:r>
      <w:r w:rsidR="00496483">
        <w:noBreakHyphen/>
      </w:r>
      <w:r w:rsidR="000C7445">
        <w:t xml:space="preserve">term, </w:t>
      </w:r>
      <w:r w:rsidR="00A9308E">
        <w:t>small amount</w:t>
      </w:r>
      <w:r w:rsidR="007818EE">
        <w:t xml:space="preserve"> </w:t>
      </w:r>
      <w:r w:rsidR="00A9308E">
        <w:t>lending</w:t>
      </w:r>
      <w:r w:rsidR="002530BC">
        <w:t xml:space="preserve">, </w:t>
      </w:r>
      <w:r w:rsidR="00A3055B">
        <w:t xml:space="preserve">particularly those products </w:t>
      </w:r>
      <w:r w:rsidR="007818EE">
        <w:t>referred to</w:t>
      </w:r>
      <w:r w:rsidR="002530BC">
        <w:t xml:space="preserve"> as</w:t>
      </w:r>
      <w:r w:rsidR="00C477A7">
        <w:t xml:space="preserve"> </w:t>
      </w:r>
      <w:r w:rsidR="002530BC">
        <w:t xml:space="preserve">payday </w:t>
      </w:r>
      <w:r w:rsidR="00C477A7">
        <w:t>loan</w:t>
      </w:r>
      <w:r w:rsidR="009569D9">
        <w:t>s</w:t>
      </w:r>
      <w:r w:rsidR="00496483">
        <w:t xml:space="preserve">.  </w:t>
      </w:r>
    </w:p>
    <w:p w:rsidR="000B5D20" w:rsidRDefault="00A9308E" w:rsidP="004B2A64">
      <w:r>
        <w:t>The Government recognises the value of th</w:t>
      </w:r>
      <w:r w:rsidR="00DA2569">
        <w:t>is</w:t>
      </w:r>
      <w:r>
        <w:t xml:space="preserve"> small amount lending sector as it fills an important gap in the market place</w:t>
      </w:r>
      <w:r w:rsidR="00496483">
        <w:t xml:space="preserve">.  </w:t>
      </w:r>
      <w:r w:rsidR="004B2A64">
        <w:t xml:space="preserve">However, the cost of these loans can be </w:t>
      </w:r>
      <w:r w:rsidR="00E91B44">
        <w:t>very</w:t>
      </w:r>
      <w:r w:rsidR="004B2A64">
        <w:t xml:space="preserve"> high due to their short</w:t>
      </w:r>
      <w:r w:rsidR="00496483">
        <w:noBreakHyphen/>
      </w:r>
      <w:r w:rsidR="004B2A64">
        <w:t>term nature and high risk, so that this type of borrowing</w:t>
      </w:r>
      <w:r w:rsidR="00C477A7">
        <w:t xml:space="preserve"> by the financially disadvantage</w:t>
      </w:r>
      <w:r w:rsidR="00270422">
        <w:t>d</w:t>
      </w:r>
      <w:r w:rsidR="00C477A7">
        <w:t xml:space="preserve"> </w:t>
      </w:r>
      <w:r w:rsidR="004B2A64">
        <w:t>can perpetuate</w:t>
      </w:r>
      <w:r w:rsidR="00C477A7">
        <w:t xml:space="preserve"> their</w:t>
      </w:r>
      <w:r w:rsidR="004B2A64">
        <w:t xml:space="preserve"> debt problems </w:t>
      </w:r>
      <w:r w:rsidR="00C477A7">
        <w:t>as they</w:t>
      </w:r>
      <w:r w:rsidR="004B2A64">
        <w:t xml:space="preserve"> need to spend a relatively high percentage of their income to service the debt</w:t>
      </w:r>
      <w:r w:rsidR="00496483">
        <w:t xml:space="preserve">.  </w:t>
      </w:r>
      <w:r w:rsidR="000B5D20">
        <w:t xml:space="preserve">The Government </w:t>
      </w:r>
      <w:r w:rsidR="009463FE">
        <w:t xml:space="preserve">wants to </w:t>
      </w:r>
      <w:r w:rsidR="00DA2569">
        <w:t>see</w:t>
      </w:r>
      <w:r w:rsidR="000B5D20">
        <w:t xml:space="preserve"> </w:t>
      </w:r>
      <w:r w:rsidR="009463FE">
        <w:t>improved</w:t>
      </w:r>
      <w:r w:rsidR="000B5D20">
        <w:t xml:space="preserve"> outcomes for this </w:t>
      </w:r>
      <w:r w:rsidR="00D2383D">
        <w:t>sector by</w:t>
      </w:r>
      <w:r w:rsidR="009463FE">
        <w:t xml:space="preserve"> ensuring the availability of </w:t>
      </w:r>
      <w:r w:rsidR="00DA2569">
        <w:t xml:space="preserve">a </w:t>
      </w:r>
      <w:r w:rsidR="009463FE">
        <w:t>range of affordable and fair</w:t>
      </w:r>
      <w:r w:rsidR="000B5D20">
        <w:t xml:space="preserve"> alternatives</w:t>
      </w:r>
      <w:r w:rsidR="00496483">
        <w:t xml:space="preserve">.  </w:t>
      </w:r>
      <w:r w:rsidR="00DA2569">
        <w:t>T</w:t>
      </w:r>
      <w:r w:rsidR="000B5D20">
        <w:t xml:space="preserve">his paper canvasses a number of </w:t>
      </w:r>
      <w:r w:rsidR="009463FE">
        <w:t>possible</w:t>
      </w:r>
      <w:r w:rsidR="000B5D20">
        <w:t xml:space="preserve"> </w:t>
      </w:r>
      <w:r w:rsidR="009463FE">
        <w:t>strategies to achieve this</w:t>
      </w:r>
      <w:r w:rsidR="000B5D20">
        <w:t>.</w:t>
      </w:r>
    </w:p>
    <w:p w:rsidR="00A75B81" w:rsidRDefault="000B5D20" w:rsidP="00A75B81">
      <w:r>
        <w:t>S</w:t>
      </w:r>
      <w:r w:rsidR="00A75B81">
        <w:t xml:space="preserve">mall amount lenders are </w:t>
      </w:r>
      <w:r w:rsidR="00C477A7">
        <w:t>already</w:t>
      </w:r>
      <w:r w:rsidR="00A75B81">
        <w:t xml:space="preserve"> subject to the licensing and responsible lending obligations </w:t>
      </w:r>
      <w:r w:rsidR="009569D9">
        <w:t>contained in</w:t>
      </w:r>
      <w:r w:rsidR="00A75B81">
        <w:t xml:space="preserve"> the </w:t>
      </w:r>
      <w:r w:rsidR="002F108A">
        <w:t>National Credit Legislation</w:t>
      </w:r>
      <w:r w:rsidR="00496483">
        <w:t xml:space="preserve">.  </w:t>
      </w:r>
      <w:r w:rsidR="00325410">
        <w:t>Mo</w:t>
      </w:r>
      <w:r w:rsidR="002530BC">
        <w:t>re recently</w:t>
      </w:r>
      <w:r w:rsidR="00325410">
        <w:t>,</w:t>
      </w:r>
      <w:r w:rsidR="002530BC">
        <w:t xml:space="preserve"> </w:t>
      </w:r>
      <w:r w:rsidR="00325410">
        <w:t>t</w:t>
      </w:r>
      <w:r w:rsidR="00DA2569">
        <w:t>he</w:t>
      </w:r>
      <w:r w:rsidR="002530BC">
        <w:t xml:space="preserve"> </w:t>
      </w:r>
      <w:r w:rsidR="00A75B81">
        <w:t xml:space="preserve">Consumer Credit and Corporations Legislation Amendment (Enhancements) Bill 2011, which is due to be made into law early </w:t>
      </w:r>
      <w:r w:rsidR="00C477A7">
        <w:t>this</w:t>
      </w:r>
      <w:r w:rsidR="00A75B81">
        <w:t xml:space="preserve"> year, introduce</w:t>
      </w:r>
      <w:r w:rsidR="00325410">
        <w:t>d</w:t>
      </w:r>
      <w:r w:rsidR="009569D9">
        <w:t xml:space="preserve"> caps on</w:t>
      </w:r>
      <w:r w:rsidR="00A75B81">
        <w:t xml:space="preserve"> interest rate</w:t>
      </w:r>
      <w:r w:rsidR="009569D9">
        <w:t>s,</w:t>
      </w:r>
      <w:r w:rsidR="00A75B81">
        <w:t xml:space="preserve"> fees and charges to small amount lenders which will </w:t>
      </w:r>
      <w:r w:rsidR="002530BC">
        <w:t>reduce the costs</w:t>
      </w:r>
      <w:r w:rsidR="00325410">
        <w:t xml:space="preserve"> for consumers</w:t>
      </w:r>
      <w:r w:rsidR="002530BC">
        <w:t xml:space="preserve"> </w:t>
      </w:r>
      <w:r w:rsidR="00A75B81">
        <w:t>taking out these loans</w:t>
      </w:r>
      <w:r w:rsidR="00496483">
        <w:t xml:space="preserve">.  </w:t>
      </w:r>
      <w:r w:rsidR="00C477A7">
        <w:t xml:space="preserve">These changes will go some way </w:t>
      </w:r>
      <w:r w:rsidR="009569D9">
        <w:t>towards</w:t>
      </w:r>
      <w:r w:rsidR="00C477A7">
        <w:t xml:space="preserve"> protecting</w:t>
      </w:r>
      <w:r w:rsidR="00A7309D">
        <w:t xml:space="preserve"> the interests of more vulnerable consumers.</w:t>
      </w:r>
    </w:p>
    <w:p w:rsidR="00A9308E" w:rsidRDefault="000B5D20" w:rsidP="00A9308E">
      <w:pPr>
        <w:rPr>
          <w:i/>
        </w:rPr>
      </w:pPr>
      <w:r>
        <w:t>The</w:t>
      </w:r>
      <w:r w:rsidR="00A7309D">
        <w:t xml:space="preserve"> options</w:t>
      </w:r>
      <w:r>
        <w:t xml:space="preserve"> discuss</w:t>
      </w:r>
      <w:r w:rsidR="00BB4823">
        <w:t>ed in this paper seek primarily</w:t>
      </w:r>
      <w:r w:rsidR="00A7309D">
        <w:t xml:space="preserve"> </w:t>
      </w:r>
      <w:r w:rsidR="00625E1B">
        <w:t>to</w:t>
      </w:r>
      <w:r w:rsidR="0090526C">
        <w:t xml:space="preserve"> </w:t>
      </w:r>
      <w:r w:rsidR="005B14DA">
        <w:t xml:space="preserve">enhance </w:t>
      </w:r>
      <w:r w:rsidR="00A9308E">
        <w:t>access</w:t>
      </w:r>
      <w:r w:rsidR="00625E1B">
        <w:t xml:space="preserve"> to</w:t>
      </w:r>
      <w:r w:rsidR="0090526C">
        <w:t xml:space="preserve"> alternative</w:t>
      </w:r>
      <w:r w:rsidR="00A9308E">
        <w:t xml:space="preserve"> low</w:t>
      </w:r>
      <w:r w:rsidR="00A7309D">
        <w:t xml:space="preserve">er </w:t>
      </w:r>
      <w:r w:rsidR="00A9308E">
        <w:t>cost financial or other assistance</w:t>
      </w:r>
      <w:r w:rsidR="00A7309D">
        <w:t xml:space="preserve"> to </w:t>
      </w:r>
      <w:r w:rsidR="00BB4823">
        <w:t>ultimately</w:t>
      </w:r>
      <w:r w:rsidR="00A9308E">
        <w:t xml:space="preserve"> improve</w:t>
      </w:r>
      <w:r w:rsidR="00BB4823">
        <w:t xml:space="preserve"> </w:t>
      </w:r>
      <w:r w:rsidR="00270422">
        <w:t xml:space="preserve">vulnerable </w:t>
      </w:r>
      <w:r w:rsidR="00BB4823">
        <w:t>consumers’ financial situation</w:t>
      </w:r>
      <w:r w:rsidR="009569D9">
        <w:t>s</w:t>
      </w:r>
      <w:r w:rsidR="00BB4823">
        <w:t xml:space="preserve"> leading to improved</w:t>
      </w:r>
      <w:r w:rsidR="00A9308E">
        <w:t xml:space="preserve"> financial health and capability for the long term</w:t>
      </w:r>
      <w:r w:rsidR="00496483">
        <w:t xml:space="preserve">.  </w:t>
      </w:r>
      <w:r w:rsidR="00BC27EE">
        <w:t xml:space="preserve">The Government considers that improving financial capability should be addressed in many </w:t>
      </w:r>
      <w:r w:rsidR="00F54F00">
        <w:t xml:space="preserve">varied </w:t>
      </w:r>
      <w:r w:rsidR="00BC27EE">
        <w:t xml:space="preserve">ways to assist </w:t>
      </w:r>
      <w:r w:rsidR="00F54F00">
        <w:t>as</w:t>
      </w:r>
      <w:r w:rsidR="00BC27EE">
        <w:t xml:space="preserve"> broad a spectrum of consumers</w:t>
      </w:r>
      <w:r w:rsidR="00F54F00">
        <w:t xml:space="preserve"> as possible</w:t>
      </w:r>
      <w:r w:rsidR="0040354C">
        <w:t>, all</w:t>
      </w:r>
      <w:r w:rsidR="00BC27EE">
        <w:t xml:space="preserve"> with different financial positions</w:t>
      </w:r>
      <w:r w:rsidR="0040354C">
        <w:t xml:space="preserve">, </w:t>
      </w:r>
      <w:r w:rsidR="00BC27EE">
        <w:t>needs</w:t>
      </w:r>
      <w:r w:rsidR="0040354C">
        <w:t xml:space="preserve"> and objectives</w:t>
      </w:r>
      <w:r w:rsidR="00BC27EE">
        <w:t>.</w:t>
      </w:r>
    </w:p>
    <w:p w:rsidR="0090526C" w:rsidRDefault="0090526C" w:rsidP="0090526C">
      <w:r>
        <w:t>Y</w:t>
      </w:r>
      <w:r w:rsidRPr="00845FDE">
        <w:t xml:space="preserve">our input </w:t>
      </w:r>
      <w:r>
        <w:t>is important to the</w:t>
      </w:r>
      <w:r w:rsidRPr="00845FDE">
        <w:t xml:space="preserve"> Government </w:t>
      </w:r>
      <w:r>
        <w:t xml:space="preserve">in deciding how best to proceed on this </w:t>
      </w:r>
      <w:r w:rsidR="000B5D20">
        <w:t>important issue</w:t>
      </w:r>
      <w:r w:rsidRPr="00845FDE">
        <w:t>.</w:t>
      </w:r>
    </w:p>
    <w:p w:rsidR="00A9308E" w:rsidRDefault="0079441E" w:rsidP="007E47D7">
      <w:pPr>
        <w:spacing w:after="840"/>
      </w:pPr>
      <w:r w:rsidRPr="00B97788">
        <w:t>We</w:t>
      </w:r>
      <w:r w:rsidR="00A9308E" w:rsidRPr="00845FDE">
        <w:t xml:space="preserve"> encourage you to participate in this</w:t>
      </w:r>
      <w:r w:rsidR="00A9308E">
        <w:t xml:space="preserve"> discussion </w:t>
      </w:r>
      <w:r w:rsidR="00A9308E" w:rsidRPr="00845FDE">
        <w:t xml:space="preserve">and provide your views on the </w:t>
      </w:r>
      <w:r w:rsidR="00427007">
        <w:t>options</w:t>
      </w:r>
      <w:r w:rsidR="00A9308E">
        <w:t xml:space="preserve"> </w:t>
      </w:r>
      <w:r w:rsidR="00A9308E" w:rsidRPr="00845FDE">
        <w:t>outlined in this paper</w:t>
      </w:r>
      <w:r w:rsidR="00496483">
        <w:t xml:space="preserve">.  </w:t>
      </w:r>
    </w:p>
    <w:p w:rsidR="00B97788" w:rsidRPr="005405F8" w:rsidRDefault="00B97788" w:rsidP="00B97788"/>
    <w:tbl>
      <w:tblPr>
        <w:tblW w:w="0" w:type="auto"/>
        <w:tblLook w:val="04A0" w:firstRow="1" w:lastRow="0" w:firstColumn="1" w:lastColumn="0" w:noHBand="0" w:noVBand="1"/>
      </w:tblPr>
      <w:tblGrid>
        <w:gridCol w:w="4621"/>
        <w:gridCol w:w="4621"/>
      </w:tblGrid>
      <w:tr w:rsidR="00CE5B3B" w:rsidRPr="00CE5B3B" w:rsidTr="00B97788">
        <w:tc>
          <w:tcPr>
            <w:tcW w:w="4621" w:type="dxa"/>
            <w:shd w:val="clear" w:color="auto" w:fill="auto"/>
          </w:tcPr>
          <w:p w:rsidR="00CE5B3B" w:rsidRPr="00315496" w:rsidRDefault="00CE5B3B" w:rsidP="00315496">
            <w:pPr>
              <w:pStyle w:val="SingleParagraph"/>
              <w:jc w:val="left"/>
              <w:rPr>
                <w:rFonts w:cs="Calibri"/>
                <w:b/>
              </w:rPr>
            </w:pPr>
            <w:r w:rsidRPr="00315496">
              <w:rPr>
                <w:rFonts w:cs="Calibri"/>
                <w:b/>
              </w:rPr>
              <w:t>The Hon Bill Shorten MP</w:t>
            </w:r>
            <w:r w:rsidRPr="00315496">
              <w:rPr>
                <w:rFonts w:cs="Calibri"/>
                <w:b/>
              </w:rPr>
              <w:br/>
            </w:r>
          </w:p>
          <w:p w:rsidR="00CE5B3B" w:rsidRPr="00315496" w:rsidRDefault="00CE5B3B" w:rsidP="00315496">
            <w:pPr>
              <w:pStyle w:val="SingleParagraph"/>
              <w:jc w:val="left"/>
              <w:rPr>
                <w:rFonts w:cs="Arial"/>
                <w:b/>
                <w:sz w:val="24"/>
                <w:szCs w:val="24"/>
              </w:rPr>
            </w:pPr>
            <w:r w:rsidRPr="00315496">
              <w:rPr>
                <w:rFonts w:cs="Arial"/>
                <w:b/>
                <w:szCs w:val="24"/>
              </w:rPr>
              <w:t>Minister for Financial Services and Superannuation and Minister for Employment and Workplace Relations</w:t>
            </w:r>
          </w:p>
        </w:tc>
        <w:tc>
          <w:tcPr>
            <w:tcW w:w="4621" w:type="dxa"/>
            <w:shd w:val="clear" w:color="auto" w:fill="auto"/>
          </w:tcPr>
          <w:p w:rsidR="00CE5B3B" w:rsidRPr="00315496" w:rsidRDefault="00CE5B3B" w:rsidP="00315496">
            <w:pPr>
              <w:pStyle w:val="SingleParagraph"/>
              <w:jc w:val="left"/>
              <w:rPr>
                <w:rFonts w:cs="Arial"/>
                <w:b/>
                <w:szCs w:val="24"/>
              </w:rPr>
            </w:pPr>
            <w:r w:rsidRPr="00315496">
              <w:rPr>
                <w:rFonts w:cs="Arial"/>
                <w:b/>
                <w:szCs w:val="24"/>
              </w:rPr>
              <w:t xml:space="preserve">The Hon Julie Collins MP </w:t>
            </w:r>
          </w:p>
          <w:p w:rsidR="00CE5B3B" w:rsidRPr="00315496" w:rsidRDefault="00CE5B3B" w:rsidP="00315496">
            <w:pPr>
              <w:pStyle w:val="SingleParagraph"/>
              <w:jc w:val="left"/>
              <w:rPr>
                <w:rFonts w:cs="Arial"/>
                <w:b/>
                <w:szCs w:val="24"/>
              </w:rPr>
            </w:pPr>
          </w:p>
          <w:p w:rsidR="00CE5B3B" w:rsidRPr="00315496" w:rsidRDefault="00CE5B3B" w:rsidP="00315496">
            <w:pPr>
              <w:pStyle w:val="SingleParagraph"/>
              <w:jc w:val="left"/>
              <w:rPr>
                <w:rFonts w:cs="Arial"/>
                <w:b/>
                <w:szCs w:val="24"/>
              </w:rPr>
            </w:pPr>
            <w:r w:rsidRPr="00315496">
              <w:rPr>
                <w:rFonts w:cs="Arial"/>
                <w:b/>
                <w:szCs w:val="24"/>
              </w:rPr>
              <w:t>Minister for Indigenous Employment and Economic Development</w:t>
            </w:r>
          </w:p>
          <w:p w:rsidR="00CE5B3B" w:rsidRPr="00315496" w:rsidRDefault="00CE5B3B" w:rsidP="00315496">
            <w:pPr>
              <w:pStyle w:val="SingleParagraph"/>
              <w:jc w:val="left"/>
              <w:rPr>
                <w:rFonts w:cs="Arial"/>
                <w:b/>
                <w:szCs w:val="24"/>
              </w:rPr>
            </w:pPr>
            <w:r w:rsidRPr="00315496">
              <w:rPr>
                <w:rFonts w:cs="Arial"/>
                <w:b/>
                <w:szCs w:val="24"/>
              </w:rPr>
              <w:t>Minister for Community Services</w:t>
            </w:r>
          </w:p>
          <w:p w:rsidR="00CE5B3B" w:rsidRPr="00315496" w:rsidRDefault="00CE5B3B" w:rsidP="00315496">
            <w:pPr>
              <w:pStyle w:val="SingleParagraph"/>
              <w:jc w:val="left"/>
              <w:rPr>
                <w:rFonts w:cs="Arial"/>
                <w:b/>
                <w:szCs w:val="24"/>
              </w:rPr>
            </w:pPr>
            <w:r w:rsidRPr="00315496">
              <w:rPr>
                <w:rFonts w:cs="Arial"/>
                <w:b/>
                <w:szCs w:val="24"/>
              </w:rPr>
              <w:t>Minister for the Status of Women</w:t>
            </w:r>
          </w:p>
        </w:tc>
      </w:tr>
    </w:tbl>
    <w:p w:rsidR="00483C9D" w:rsidRDefault="00483C9D" w:rsidP="00315496">
      <w:pPr>
        <w:pStyle w:val="Heading1"/>
        <w:sectPr w:rsidR="00483C9D" w:rsidSect="00A96939">
          <w:footerReference w:type="even" r:id="rId26"/>
          <w:footerReference w:type="default" r:id="rId27"/>
          <w:footerReference w:type="first" r:id="rId28"/>
          <w:type w:val="oddPage"/>
          <w:pgSz w:w="11906" w:h="16838"/>
          <w:pgMar w:top="1418" w:right="1418" w:bottom="1418" w:left="1418" w:header="709" w:footer="709" w:gutter="0"/>
          <w:pgNumType w:fmt="lowerRoman"/>
          <w:cols w:space="708"/>
          <w:titlePg/>
          <w:docGrid w:linePitch="360"/>
        </w:sectPr>
      </w:pPr>
      <w:bookmarkStart w:id="3" w:name="_Toc315428422"/>
    </w:p>
    <w:p w:rsidR="00A3055B" w:rsidRPr="00315496" w:rsidRDefault="00A3055B" w:rsidP="00315496">
      <w:pPr>
        <w:pStyle w:val="Heading1"/>
      </w:pPr>
      <w:bookmarkStart w:id="4" w:name="_Toc322008273"/>
      <w:r w:rsidRPr="00315496">
        <w:lastRenderedPageBreak/>
        <w:t>Executive Summary</w:t>
      </w:r>
      <w:bookmarkEnd w:id="4"/>
    </w:p>
    <w:p w:rsidR="000513EA" w:rsidRDefault="00A3055B" w:rsidP="0075091B">
      <w:pPr>
        <w:spacing w:after="120"/>
        <w:rPr>
          <w:szCs w:val="22"/>
        </w:rPr>
      </w:pPr>
      <w:r>
        <w:t>The last 10 years ha</w:t>
      </w:r>
      <w:r w:rsidR="00B97788">
        <w:t>ve</w:t>
      </w:r>
      <w:r>
        <w:t xml:space="preserve"> seen a substantial increase in consumer use of</w:t>
      </w:r>
      <w:r w:rsidR="002F108A">
        <w:t xml:space="preserve"> high</w:t>
      </w:r>
      <w:r w:rsidR="00496483">
        <w:noBreakHyphen/>
      </w:r>
      <w:r w:rsidR="002F108A">
        <w:t>cost</w:t>
      </w:r>
      <w:r>
        <w:t xml:space="preserve"> small amount</w:t>
      </w:r>
      <w:r w:rsidR="002F108A">
        <w:t xml:space="preserve"> </w:t>
      </w:r>
      <w:r w:rsidR="007F28C1">
        <w:t>short</w:t>
      </w:r>
      <w:r w:rsidR="00496483">
        <w:noBreakHyphen/>
      </w:r>
      <w:r w:rsidR="007F28C1">
        <w:t>term</w:t>
      </w:r>
      <w:r w:rsidR="002F108A">
        <w:t xml:space="preserve"> </w:t>
      </w:r>
      <w:r>
        <w:t xml:space="preserve">loans (defined as loans for amounts up to $2,000 with a maximum term of </w:t>
      </w:r>
      <w:r w:rsidR="00842C2B">
        <w:t xml:space="preserve">two </w:t>
      </w:r>
      <w:r>
        <w:t>years)</w:t>
      </w:r>
      <w:r w:rsidR="00496483">
        <w:t xml:space="preserve">.  </w:t>
      </w:r>
      <w:r w:rsidR="005C5ED2">
        <w:t>The cost of these loans can be very high</w:t>
      </w:r>
      <w:r w:rsidR="00B97788">
        <w:t>,</w:t>
      </w:r>
      <w:r w:rsidR="005C5ED2">
        <w:t xml:space="preserve"> with effective interest rates up to </w:t>
      </w:r>
      <w:r w:rsidR="00B97788">
        <w:t>1</w:t>
      </w:r>
      <w:r w:rsidR="005B2D60">
        <w:t>,</w:t>
      </w:r>
      <w:r w:rsidR="00B97788">
        <w:t>000</w:t>
      </w:r>
      <w:r w:rsidR="005C5ED2">
        <w:t xml:space="preserve"> per cent.</w:t>
      </w:r>
      <w:r w:rsidR="005C5ED2">
        <w:rPr>
          <w:rStyle w:val="FootnoteReference"/>
        </w:rPr>
        <w:footnoteReference w:id="1"/>
      </w:r>
      <w:r w:rsidR="007E47D7">
        <w:rPr>
          <w:szCs w:val="22"/>
        </w:rPr>
        <w:t xml:space="preserve"> </w:t>
      </w:r>
      <w:r w:rsidR="00B97788">
        <w:t>T</w:t>
      </w:r>
      <w:r w:rsidR="00842C2B">
        <w:t>hese costs are borne largely by consumers who can least afford them</w:t>
      </w:r>
      <w:r w:rsidR="000513EA">
        <w:rPr>
          <w:szCs w:val="22"/>
        </w:rPr>
        <w:t>.</w:t>
      </w:r>
    </w:p>
    <w:p w:rsidR="00A3055B" w:rsidRDefault="000513EA" w:rsidP="0075091B">
      <w:pPr>
        <w:spacing w:after="120"/>
        <w:rPr>
          <w:szCs w:val="22"/>
        </w:rPr>
      </w:pPr>
      <w:r>
        <w:rPr>
          <w:szCs w:val="22"/>
        </w:rPr>
        <w:t>Australian research</w:t>
      </w:r>
      <w:r w:rsidR="00B97788">
        <w:rPr>
          <w:szCs w:val="22"/>
        </w:rPr>
        <w:t xml:space="preserve"> has</w:t>
      </w:r>
      <w:r>
        <w:rPr>
          <w:szCs w:val="22"/>
        </w:rPr>
        <w:t xml:space="preserve"> show</w:t>
      </w:r>
      <w:r w:rsidR="00B97788">
        <w:rPr>
          <w:szCs w:val="22"/>
        </w:rPr>
        <w:t>n</w:t>
      </w:r>
      <w:r>
        <w:rPr>
          <w:szCs w:val="22"/>
        </w:rPr>
        <w:t xml:space="preserve"> there is a significant level of use</w:t>
      </w:r>
      <w:r w:rsidR="00B97788">
        <w:rPr>
          <w:szCs w:val="22"/>
        </w:rPr>
        <w:t xml:space="preserve"> of these loans</w:t>
      </w:r>
      <w:r>
        <w:rPr>
          <w:szCs w:val="22"/>
        </w:rPr>
        <w:t xml:space="preserve"> by consumers who are unable to access mainstream credit products and who</w:t>
      </w:r>
      <w:r w:rsidR="00B97788">
        <w:rPr>
          <w:szCs w:val="22"/>
        </w:rPr>
        <w:t xml:space="preserve"> may</w:t>
      </w:r>
      <w:r>
        <w:rPr>
          <w:szCs w:val="22"/>
        </w:rPr>
        <w:t xml:space="preserve"> experience financial exclusion</w:t>
      </w:r>
      <w:r w:rsidR="00496483">
        <w:rPr>
          <w:szCs w:val="22"/>
        </w:rPr>
        <w:t xml:space="preserve">.  </w:t>
      </w:r>
      <w:r>
        <w:rPr>
          <w:szCs w:val="22"/>
        </w:rPr>
        <w:t>In summary</w:t>
      </w:r>
      <w:r w:rsidR="00B97788">
        <w:rPr>
          <w:szCs w:val="22"/>
        </w:rPr>
        <w:t>,</w:t>
      </w:r>
      <w:r>
        <w:rPr>
          <w:szCs w:val="22"/>
        </w:rPr>
        <w:t xml:space="preserve"> the data suggests:</w:t>
      </w:r>
    </w:p>
    <w:p w:rsidR="00A3055B" w:rsidRDefault="002F108A" w:rsidP="000528AE">
      <w:pPr>
        <w:pStyle w:val="Bullet"/>
      </w:pPr>
      <w:r w:rsidRPr="000528AE">
        <w:t>a</w:t>
      </w:r>
      <w:r w:rsidR="00A3055B" w:rsidRPr="000528AE">
        <w:t>pproximately</w:t>
      </w:r>
      <w:r w:rsidR="00A3055B" w:rsidRPr="00CA08F7">
        <w:t xml:space="preserve"> 40 to 49</w:t>
      </w:r>
      <w:r w:rsidR="00714DFB">
        <w:t xml:space="preserve"> per cent</w:t>
      </w:r>
      <w:r w:rsidR="00A3055B" w:rsidRPr="00CA08F7">
        <w:t xml:space="preserve"> of </w:t>
      </w:r>
      <w:r w:rsidR="00A3055B">
        <w:t>small amount loan</w:t>
      </w:r>
      <w:r w:rsidR="00A3055B" w:rsidRPr="00CA08F7">
        <w:t xml:space="preserve"> customers have ann</w:t>
      </w:r>
      <w:r w:rsidR="00714DFB">
        <w:t>ual income</w:t>
      </w:r>
      <w:r w:rsidR="001C0E1E">
        <w:t>s</w:t>
      </w:r>
      <w:r w:rsidR="00714DFB">
        <w:t xml:space="preserve"> of less than $24,000;</w:t>
      </w:r>
    </w:p>
    <w:p w:rsidR="00A3055B" w:rsidRDefault="002F108A" w:rsidP="000528AE">
      <w:pPr>
        <w:pStyle w:val="Bullet"/>
      </w:pPr>
      <w:r>
        <w:t>b</w:t>
      </w:r>
      <w:r w:rsidR="00A3055B" w:rsidRPr="00CA08F7">
        <w:t xml:space="preserve">etween 50 </w:t>
      </w:r>
      <w:r w:rsidR="001C0E1E">
        <w:t>and</w:t>
      </w:r>
      <w:r w:rsidR="00A3055B" w:rsidRPr="00CA08F7">
        <w:t xml:space="preserve"> 74</w:t>
      </w:r>
      <w:r w:rsidR="00714DFB">
        <w:t xml:space="preserve"> per cent</w:t>
      </w:r>
      <w:r w:rsidR="00A3055B" w:rsidRPr="00CA08F7">
        <w:t xml:space="preserve"> of </w:t>
      </w:r>
      <w:r w:rsidR="00A3055B">
        <w:t>small amount loan</w:t>
      </w:r>
      <w:r w:rsidR="00A3055B" w:rsidRPr="00CA08F7">
        <w:t xml:space="preserve"> customers have ann</w:t>
      </w:r>
      <w:r w:rsidR="00714DFB">
        <w:t>ual income</w:t>
      </w:r>
      <w:r w:rsidR="001146DF">
        <w:t>s</w:t>
      </w:r>
      <w:r w:rsidR="00714DFB">
        <w:t xml:space="preserve"> of less than $36,000;</w:t>
      </w:r>
    </w:p>
    <w:p w:rsidR="00A3055B" w:rsidRDefault="00A3055B" w:rsidP="000528AE">
      <w:pPr>
        <w:pStyle w:val="Bullet"/>
      </w:pPr>
      <w:r w:rsidRPr="00CA08F7">
        <w:t>50</w:t>
      </w:r>
      <w:r w:rsidR="00714DFB">
        <w:t xml:space="preserve"> per cent</w:t>
      </w:r>
      <w:r w:rsidRPr="00CA08F7">
        <w:t xml:space="preserve"> of </w:t>
      </w:r>
      <w:r>
        <w:t>small amount loan</w:t>
      </w:r>
      <w:r w:rsidRPr="00CA08F7">
        <w:t xml:space="preserve"> customers are p</w:t>
      </w:r>
      <w:r w:rsidR="00714DFB">
        <w:t>artially employed or unemployed; and</w:t>
      </w:r>
    </w:p>
    <w:p w:rsidR="00A3055B" w:rsidRPr="00CA08F7" w:rsidRDefault="002F108A" w:rsidP="000528AE">
      <w:pPr>
        <w:pStyle w:val="Bullet"/>
      </w:pPr>
      <w:r>
        <w:t>b</w:t>
      </w:r>
      <w:r w:rsidR="00A3055B" w:rsidRPr="00CA08F7">
        <w:t>etween 46 and 50</w:t>
      </w:r>
      <w:r w:rsidR="00714DFB">
        <w:t xml:space="preserve"> per cent</w:t>
      </w:r>
      <w:r w:rsidR="00A3055B" w:rsidRPr="00CA08F7">
        <w:t xml:space="preserve"> of </w:t>
      </w:r>
      <w:r w:rsidR="00A3055B">
        <w:t>small amount loan</w:t>
      </w:r>
      <w:r w:rsidR="00A3055B" w:rsidRPr="00CA08F7">
        <w:t xml:space="preserve"> customers are in receipt of government benefits</w:t>
      </w:r>
      <w:r w:rsidR="00496483">
        <w:t xml:space="preserve">.  </w:t>
      </w:r>
    </w:p>
    <w:p w:rsidR="00A3055B" w:rsidRDefault="00A3055B" w:rsidP="0075091B">
      <w:r>
        <w:t xml:space="preserve">The </w:t>
      </w:r>
      <w:r w:rsidRPr="00934576">
        <w:rPr>
          <w:i/>
        </w:rPr>
        <w:t>National Consumer Credit Protection Act</w:t>
      </w:r>
      <w:r>
        <w:rPr>
          <w:i/>
        </w:rPr>
        <w:t xml:space="preserve"> 2009</w:t>
      </w:r>
      <w:r>
        <w:t xml:space="preserve"> regulates the provision of consumer credit, including most short</w:t>
      </w:r>
      <w:r w:rsidR="00496483">
        <w:noBreakHyphen/>
      </w:r>
      <w:r>
        <w:t>term, small amount loans</w:t>
      </w:r>
      <w:r w:rsidR="00496483">
        <w:t xml:space="preserve">.  </w:t>
      </w:r>
      <w:r>
        <w:t xml:space="preserve">The Consumer Credit and Corporations Legislation Amendment (Enhancements) Bill 2011 </w:t>
      </w:r>
      <w:r w:rsidR="0077385E">
        <w:t>(</w:t>
      </w:r>
      <w:r w:rsidR="001C0E1E">
        <w:t xml:space="preserve">the </w:t>
      </w:r>
      <w:r w:rsidR="0077385E">
        <w:t xml:space="preserve">Enhancements Bill), </w:t>
      </w:r>
      <w:r>
        <w:t>introduced into Parliament in September 2011</w:t>
      </w:r>
      <w:r w:rsidR="0077385E">
        <w:t>,</w:t>
      </w:r>
      <w:r>
        <w:t xml:space="preserve"> </w:t>
      </w:r>
      <w:r w:rsidR="0077385E">
        <w:t xml:space="preserve">proposes reforms to </w:t>
      </w:r>
      <w:r>
        <w:t>regulate small amount lending, including a cap on costs</w:t>
      </w:r>
      <w:r w:rsidR="00496483">
        <w:t xml:space="preserve">.  </w:t>
      </w:r>
      <w:r>
        <w:t>Passage o</w:t>
      </w:r>
      <w:r w:rsidR="00714DFB">
        <w:t>f th</w:t>
      </w:r>
      <w:r w:rsidR="001C0E1E">
        <w:t>e</w:t>
      </w:r>
      <w:r w:rsidR="00714DFB">
        <w:t xml:space="preserve"> Bill is expected in the </w:t>
      </w:r>
      <w:r w:rsidR="00930C6B">
        <w:t xml:space="preserve">winter </w:t>
      </w:r>
      <w:r>
        <w:t>2012 sittings of Parliament</w:t>
      </w:r>
      <w:r w:rsidR="00496483">
        <w:t xml:space="preserve">.  </w:t>
      </w:r>
      <w:r w:rsidR="008A0984" w:rsidRPr="00B222A8">
        <w:t>Th</w:t>
      </w:r>
      <w:r w:rsidR="0077385E">
        <w:t xml:space="preserve">e cap on costs will reduce the amount borrowers can be charged to </w:t>
      </w:r>
      <w:r w:rsidR="008A0984" w:rsidRPr="00B222A8">
        <w:t>a more acceptable and controlled level</w:t>
      </w:r>
      <w:r w:rsidR="00496483">
        <w:t xml:space="preserve">.  </w:t>
      </w:r>
    </w:p>
    <w:p w:rsidR="00A3055B" w:rsidRPr="00655ACD" w:rsidRDefault="005C5ED2" w:rsidP="0075091B">
      <w:pPr>
        <w:rPr>
          <w:rFonts w:cs="Calibri"/>
          <w:szCs w:val="22"/>
        </w:rPr>
      </w:pPr>
      <w:r>
        <w:t>Financial exclusion represents a significant policy issue in Australia</w:t>
      </w:r>
      <w:r w:rsidR="00496483">
        <w:t xml:space="preserve">.  </w:t>
      </w:r>
      <w:r>
        <w:t>Financial exclusion means that individuals are less able to participate fully in social and economic activities and financial hardship is increased.</w:t>
      </w:r>
      <w:r>
        <w:rPr>
          <w:rStyle w:val="FootnoteReference"/>
        </w:rPr>
        <w:footnoteReference w:id="2"/>
      </w:r>
      <w:r w:rsidRPr="00677142">
        <w:t xml:space="preserve"> </w:t>
      </w:r>
      <w:r>
        <w:t>For this reason, increasing financial inclusion is a</w:t>
      </w:r>
      <w:r w:rsidR="001C0E1E">
        <w:t xml:space="preserve"> key</w:t>
      </w:r>
      <w:r>
        <w:t xml:space="preserve"> policy goal of the Government</w:t>
      </w:r>
      <w:r w:rsidR="0077385E">
        <w:t>.</w:t>
      </w:r>
    </w:p>
    <w:p w:rsidR="00A3055B" w:rsidRDefault="00A3055B" w:rsidP="0075091B">
      <w:r>
        <w:t>The Government therefore considers it important to canva</w:t>
      </w:r>
      <w:r w:rsidR="001C0E1E">
        <w:t>s</w:t>
      </w:r>
      <w:r>
        <w:t>s strategies to reduce the extent to which</w:t>
      </w:r>
      <w:r w:rsidR="005C5ED2">
        <w:t xml:space="preserve"> financially excluded</w:t>
      </w:r>
      <w:r>
        <w:t xml:space="preserve"> consumers are dependent on</w:t>
      </w:r>
      <w:r w:rsidR="008A0984">
        <w:t xml:space="preserve"> these high cost</w:t>
      </w:r>
      <w:r>
        <w:t xml:space="preserve"> small amount loans</w:t>
      </w:r>
      <w:r w:rsidR="00496483">
        <w:t xml:space="preserve">.  </w:t>
      </w:r>
      <w:r>
        <w:t xml:space="preserve">There are a number of </w:t>
      </w:r>
      <w:r w:rsidR="00A55607">
        <w:t>areas</w:t>
      </w:r>
      <w:r>
        <w:t xml:space="preserve"> for potential intervention: </w:t>
      </w:r>
    </w:p>
    <w:p w:rsidR="00A3055B" w:rsidRDefault="00A3055B" w:rsidP="000528AE">
      <w:pPr>
        <w:pStyle w:val="Bullet"/>
      </w:pPr>
      <w:r>
        <w:t>reduce the need for</w:t>
      </w:r>
      <w:r w:rsidR="002F108A">
        <w:t xml:space="preserve"> high</w:t>
      </w:r>
      <w:r w:rsidR="00496483">
        <w:noBreakHyphen/>
      </w:r>
      <w:r w:rsidR="002F108A">
        <w:t>cost,</w:t>
      </w:r>
      <w:r>
        <w:t xml:space="preserve"> </w:t>
      </w:r>
      <w:r w:rsidR="001C0E1E">
        <w:t>short</w:t>
      </w:r>
      <w:r w:rsidR="00496483">
        <w:noBreakHyphen/>
      </w:r>
      <w:r w:rsidR="001C0E1E">
        <w:t xml:space="preserve">term, </w:t>
      </w:r>
      <w:r>
        <w:t>small amount</w:t>
      </w:r>
      <w:r w:rsidR="002F108A">
        <w:t xml:space="preserve"> </w:t>
      </w:r>
      <w:r>
        <w:t>credit;</w:t>
      </w:r>
    </w:p>
    <w:p w:rsidR="00A3055B" w:rsidRDefault="00A3055B" w:rsidP="00F4298D">
      <w:pPr>
        <w:pStyle w:val="Bullet"/>
      </w:pPr>
      <w:r>
        <w:t xml:space="preserve">reduce the risks to </w:t>
      </w:r>
      <w:r w:rsidRPr="00F4298D">
        <w:t>individuals</w:t>
      </w:r>
      <w:r>
        <w:t xml:space="preserve"> from </w:t>
      </w:r>
      <w:r w:rsidR="001C0E1E">
        <w:t>high</w:t>
      </w:r>
      <w:r w:rsidR="00496483">
        <w:noBreakHyphen/>
      </w:r>
      <w:r w:rsidR="001C0E1E">
        <w:t>cost, short</w:t>
      </w:r>
      <w:r w:rsidR="00496483">
        <w:noBreakHyphen/>
      </w:r>
      <w:r w:rsidR="001C0E1E">
        <w:t xml:space="preserve">term, small amount </w:t>
      </w:r>
      <w:r>
        <w:t xml:space="preserve">lending (the objective of the reforms in the Enhancements Bill); </w:t>
      </w:r>
    </w:p>
    <w:p w:rsidR="00A3055B" w:rsidRDefault="00A3055B" w:rsidP="00F4298D">
      <w:pPr>
        <w:pStyle w:val="Bullet"/>
      </w:pPr>
      <w:r>
        <w:t xml:space="preserve">provide alternatives to </w:t>
      </w:r>
      <w:r w:rsidR="001C0E1E">
        <w:t>high</w:t>
      </w:r>
      <w:r w:rsidR="00496483">
        <w:noBreakHyphen/>
      </w:r>
      <w:r w:rsidR="001C0E1E">
        <w:t>cost, short</w:t>
      </w:r>
      <w:r w:rsidR="00496483">
        <w:noBreakHyphen/>
      </w:r>
      <w:r w:rsidR="001C0E1E">
        <w:t xml:space="preserve">term, small amount </w:t>
      </w:r>
      <w:r>
        <w:t>lending; and</w:t>
      </w:r>
    </w:p>
    <w:p w:rsidR="00A3055B" w:rsidRDefault="00A3055B" w:rsidP="00F4298D">
      <w:pPr>
        <w:pStyle w:val="Bullet"/>
      </w:pPr>
      <w:r>
        <w:t>provide a greater level of assistance to individuals who are in a debt cycle</w:t>
      </w:r>
      <w:r w:rsidR="00496483">
        <w:t xml:space="preserve">.  </w:t>
      </w:r>
    </w:p>
    <w:p w:rsidR="00A3055B" w:rsidRDefault="0077385E" w:rsidP="0075091B">
      <w:r>
        <w:lastRenderedPageBreak/>
        <w:t xml:space="preserve">Other than the reforms included in the Enhancements Bill, </w:t>
      </w:r>
      <w:r w:rsidR="00A3055B">
        <w:t xml:space="preserve">the Government has not committed to implementing or advancing any particular strategy and further detail on how or </w:t>
      </w:r>
      <w:r w:rsidR="001C0E1E">
        <w:t>whether</w:t>
      </w:r>
      <w:r w:rsidR="00A3055B">
        <w:t xml:space="preserve"> this might occur would need to be subject to further specific consultation and analysis.</w:t>
      </w:r>
    </w:p>
    <w:p w:rsidR="00A3055B" w:rsidRDefault="00A3055B" w:rsidP="0075091B">
      <w:r>
        <w:t>This paper has been prepared in consultation with the Department of Families, Housing, Community Services and Indigenous Affairs (FaHCSIA)</w:t>
      </w:r>
      <w:r w:rsidR="00496483">
        <w:t xml:space="preserve">.  </w:t>
      </w:r>
      <w:r>
        <w:t>Feedback received will inform any Government decision to proceed with any of these strategies, and will be used for regulatory assessment processes, including a Regulatory Impact Statement.</w:t>
      </w:r>
    </w:p>
    <w:p w:rsidR="00A93238" w:rsidRPr="002901AD" w:rsidRDefault="00A93238" w:rsidP="00A93238">
      <w:r w:rsidRPr="00411096">
        <w:t>In this Discussion Paper, unless otherwise noted, a ‘small amount loan or lender’ refers to a high</w:t>
      </w:r>
      <w:r w:rsidR="00496483">
        <w:noBreakHyphen/>
      </w:r>
      <w:r w:rsidRPr="00411096">
        <w:t>cost</w:t>
      </w:r>
      <w:r w:rsidR="00411096">
        <w:t>,</w:t>
      </w:r>
      <w:r w:rsidRPr="00411096">
        <w:t xml:space="preserve"> small amount</w:t>
      </w:r>
      <w:r w:rsidR="00411096">
        <w:t>,</w:t>
      </w:r>
      <w:r w:rsidRPr="00411096">
        <w:t xml:space="preserve"> </w:t>
      </w:r>
      <w:r w:rsidR="007F28C1">
        <w:t>short</w:t>
      </w:r>
      <w:r w:rsidR="00496483">
        <w:noBreakHyphen/>
      </w:r>
      <w:r w:rsidR="007F28C1">
        <w:t>term</w:t>
      </w:r>
      <w:r w:rsidRPr="00411096">
        <w:t xml:space="preserve"> loan</w:t>
      </w:r>
      <w:r w:rsidR="00F73EA1">
        <w:t xml:space="preserve"> or lender, sometimes also</w:t>
      </w:r>
      <w:r w:rsidRPr="00411096">
        <w:t xml:space="preserve"> referred to as</w:t>
      </w:r>
      <w:r w:rsidR="00F73EA1">
        <w:t xml:space="preserve"> a</w:t>
      </w:r>
      <w:r w:rsidRPr="00411096">
        <w:t xml:space="preserve"> fringe or payday lender</w:t>
      </w:r>
      <w:r w:rsidR="00496483">
        <w:t xml:space="preserve">.  </w:t>
      </w:r>
      <w:r w:rsidR="00411096">
        <w:t>It excludes small amount loans provided by not</w:t>
      </w:r>
      <w:r w:rsidR="00496483">
        <w:noBreakHyphen/>
      </w:r>
      <w:r w:rsidR="00411096">
        <w:t>for</w:t>
      </w:r>
      <w:r w:rsidR="00496483">
        <w:noBreakHyphen/>
      </w:r>
      <w:r w:rsidR="00411096">
        <w:t xml:space="preserve">profit organisations and </w:t>
      </w:r>
      <w:r w:rsidR="0033562D">
        <w:t>Government</w:t>
      </w:r>
      <w:r w:rsidR="001C0E1E">
        <w:t>s</w:t>
      </w:r>
      <w:r w:rsidR="00411096">
        <w:t>, such as the No Interest Loan Scheme (NILS).</w:t>
      </w:r>
    </w:p>
    <w:p w:rsidR="00C25E38" w:rsidRDefault="00C25E38" w:rsidP="00361794">
      <w:pPr>
        <w:pStyle w:val="Heading1"/>
        <w:rPr>
          <w:color w:val="auto"/>
        </w:rPr>
        <w:sectPr w:rsidR="00C25E38" w:rsidSect="00A96939">
          <w:type w:val="oddPage"/>
          <w:pgSz w:w="11906" w:h="16838"/>
          <w:pgMar w:top="1418" w:right="1418" w:bottom="1418" w:left="1418" w:header="709" w:footer="709" w:gutter="0"/>
          <w:pgNumType w:fmt="lowerRoman"/>
          <w:cols w:space="708"/>
          <w:titlePg/>
          <w:docGrid w:linePitch="360"/>
        </w:sectPr>
      </w:pPr>
      <w:bookmarkStart w:id="5" w:name="_Toc315428423"/>
      <w:bookmarkEnd w:id="3"/>
    </w:p>
    <w:p w:rsidR="00A3055B" w:rsidRPr="00315496" w:rsidRDefault="007E60FB" w:rsidP="00361794">
      <w:pPr>
        <w:pStyle w:val="Heading1"/>
      </w:pPr>
      <w:bookmarkStart w:id="6" w:name="_Toc322008274"/>
      <w:r>
        <w:lastRenderedPageBreak/>
        <w:t>C</w:t>
      </w:r>
      <w:r w:rsidRPr="00315496">
        <w:t>hapter 1</w:t>
      </w:r>
      <w:bookmarkStart w:id="7" w:name="_Toc315428424"/>
      <w:bookmarkEnd w:id="5"/>
      <w:r>
        <w:br/>
        <w:t>F</w:t>
      </w:r>
      <w:r w:rsidRPr="00315496">
        <w:t>inancial exclusion of some consumers</w:t>
      </w:r>
      <w:bookmarkEnd w:id="7"/>
      <w:bookmarkEnd w:id="6"/>
    </w:p>
    <w:p w:rsidR="00A3055B" w:rsidRDefault="00A3055B" w:rsidP="00A3055B">
      <w:r>
        <w:t>This Chapter</w:t>
      </w:r>
      <w:r w:rsidR="00411096">
        <w:t xml:space="preserve"> provides background material on </w:t>
      </w:r>
      <w:r>
        <w:t>the following</w:t>
      </w:r>
      <w:r w:rsidR="0077385E">
        <w:t xml:space="preserve"> topics</w:t>
      </w:r>
      <w:r>
        <w:t>:</w:t>
      </w:r>
    </w:p>
    <w:p w:rsidR="00F73EA1" w:rsidRDefault="0077385E" w:rsidP="00F4298D">
      <w:pPr>
        <w:pStyle w:val="Bullet"/>
      </w:pPr>
      <w:r>
        <w:t xml:space="preserve">the extent and nature of </w:t>
      </w:r>
      <w:r w:rsidR="00F73EA1">
        <w:t>financial exclusion;</w:t>
      </w:r>
    </w:p>
    <w:p w:rsidR="00A3055B" w:rsidRDefault="00A3055B" w:rsidP="00F4298D">
      <w:pPr>
        <w:pStyle w:val="Bullet"/>
      </w:pPr>
      <w:r>
        <w:t xml:space="preserve">research on the financial position of borrowers who use </w:t>
      </w:r>
      <w:r w:rsidR="00411096">
        <w:t>hig</w:t>
      </w:r>
      <w:r w:rsidR="00647EE2">
        <w:t>h</w:t>
      </w:r>
      <w:r w:rsidR="00496483">
        <w:noBreakHyphen/>
      </w:r>
      <w:r w:rsidR="00411096">
        <w:t xml:space="preserve">cost, </w:t>
      </w:r>
      <w:r w:rsidR="00647EE2">
        <w:t>short</w:t>
      </w:r>
      <w:r w:rsidR="00496483">
        <w:noBreakHyphen/>
      </w:r>
      <w:r w:rsidR="00647EE2">
        <w:t xml:space="preserve">term, </w:t>
      </w:r>
      <w:r>
        <w:t>small amount</w:t>
      </w:r>
      <w:r w:rsidR="00411096">
        <w:t xml:space="preserve"> </w:t>
      </w:r>
      <w:r>
        <w:t>credit, and the use they make of these loans</w:t>
      </w:r>
      <w:r w:rsidR="00411096">
        <w:t>;</w:t>
      </w:r>
    </w:p>
    <w:p w:rsidR="00A3055B" w:rsidRDefault="00A3055B" w:rsidP="00F4298D">
      <w:pPr>
        <w:pStyle w:val="Bullet"/>
      </w:pPr>
      <w:r>
        <w:t xml:space="preserve">the current extent of </w:t>
      </w:r>
      <w:r w:rsidR="00411096">
        <w:t xml:space="preserve">this type of </w:t>
      </w:r>
      <w:r>
        <w:t>lending in Australia</w:t>
      </w:r>
      <w:r w:rsidR="00411096">
        <w:t>;</w:t>
      </w:r>
      <w:r w:rsidR="00F73EA1">
        <w:t xml:space="preserve"> and</w:t>
      </w:r>
    </w:p>
    <w:p w:rsidR="00A3055B" w:rsidRDefault="00A3055B" w:rsidP="00F4298D">
      <w:pPr>
        <w:pStyle w:val="Bullet"/>
      </w:pPr>
      <w:r>
        <w:t>the impact of financial exclusion for this class of borrowers</w:t>
      </w:r>
      <w:r w:rsidR="00F73EA1">
        <w:t>.</w:t>
      </w:r>
    </w:p>
    <w:p w:rsidR="00B23009" w:rsidRPr="00315496" w:rsidRDefault="00B23009" w:rsidP="00315496">
      <w:pPr>
        <w:pStyle w:val="Heading2"/>
      </w:pPr>
      <w:bookmarkStart w:id="8" w:name="_Toc315428426"/>
      <w:bookmarkStart w:id="9" w:name="_Toc322008275"/>
      <w:r w:rsidRPr="00315496">
        <w:t>Financial exclusion</w:t>
      </w:r>
      <w:bookmarkEnd w:id="9"/>
      <w:r w:rsidRPr="00315496">
        <w:t xml:space="preserve"> </w:t>
      </w:r>
    </w:p>
    <w:p w:rsidR="00F4298D" w:rsidRDefault="00B23009" w:rsidP="00F4298D">
      <w:r>
        <w:t xml:space="preserve">Australian research </w:t>
      </w:r>
      <w:r w:rsidRPr="00514C0D">
        <w:t>(</w:t>
      </w:r>
      <w:r w:rsidR="00F4298D">
        <w:t>for example,</w:t>
      </w:r>
      <w:r w:rsidRPr="00514C0D">
        <w:t xml:space="preserve"> Connolly 2011</w:t>
      </w:r>
      <w:r w:rsidR="00EA46B9" w:rsidRPr="00514C0D">
        <w:rPr>
          <w:rStyle w:val="FootnoteReference"/>
        </w:rPr>
        <w:footnoteReference w:id="3"/>
      </w:r>
      <w:r w:rsidRPr="00514C0D">
        <w:t>; Burkett &amp; Drew</w:t>
      </w:r>
      <w:r w:rsidR="00514C0D" w:rsidRPr="00514C0D">
        <w:rPr>
          <w:rStyle w:val="FootnoteReference"/>
        </w:rPr>
        <w:footnoteReference w:id="4"/>
      </w:r>
      <w:r w:rsidRPr="00514C0D">
        <w:t>, 2008; Chant Link 2004</w:t>
      </w:r>
      <w:r w:rsidR="00514C0D" w:rsidRPr="00514C0D">
        <w:rPr>
          <w:rStyle w:val="FootnoteReference"/>
        </w:rPr>
        <w:footnoteReference w:id="5"/>
      </w:r>
      <w:r w:rsidRPr="00514C0D">
        <w:t>) has identified the existence of a substantial minority of Australians who are unable to access mainstream financial products and services, particularly credit</w:t>
      </w:r>
      <w:r w:rsidR="00496483">
        <w:t xml:space="preserve">.  </w:t>
      </w:r>
      <w:r w:rsidRPr="00514C0D">
        <w:t>This is commonly referred to as financial exclusion</w:t>
      </w:r>
      <w:r w:rsidR="00496483">
        <w:t xml:space="preserve">.  </w:t>
      </w:r>
      <w:r w:rsidRPr="00514C0D">
        <w:t>Corr (2006)</w:t>
      </w:r>
      <w:r w:rsidR="00514C0D">
        <w:rPr>
          <w:rStyle w:val="FootnoteReference"/>
        </w:rPr>
        <w:footnoteReference w:id="6"/>
      </w:r>
      <w:r w:rsidRPr="00514C0D">
        <w:t xml:space="preserve"> identified</w:t>
      </w:r>
      <w:r>
        <w:t xml:space="preserve"> a range of dimensions of financial exclusion</w:t>
      </w:r>
      <w:r w:rsidR="00647EE2">
        <w:t>,</w:t>
      </w:r>
      <w:r>
        <w:t xml:space="preserve"> including: </w:t>
      </w:r>
    </w:p>
    <w:p w:rsidR="00B23009" w:rsidRDefault="00B23009" w:rsidP="00F4298D">
      <w:pPr>
        <w:pStyle w:val="Bullet"/>
      </w:pPr>
      <w:r>
        <w:t>geographical exclusion:</w:t>
      </w:r>
      <w:r w:rsidR="00577F3A">
        <w:t xml:space="preserve"> </w:t>
      </w:r>
      <w:r w:rsidR="00647EE2">
        <w:t xml:space="preserve"> </w:t>
      </w:r>
      <w:r w:rsidRPr="00F37C00">
        <w:t xml:space="preserve">due to </w:t>
      </w:r>
      <w:r>
        <w:t>the absence, or closures, of mainstream services in particular geographical areas</w:t>
      </w:r>
      <w:r w:rsidR="00496483">
        <w:t xml:space="preserve">.  </w:t>
      </w:r>
      <w:r>
        <w:t>This is often due to the hig</w:t>
      </w:r>
      <w:r w:rsidR="00577F3A">
        <w:t>h cost of servicing these areas;</w:t>
      </w:r>
    </w:p>
    <w:p w:rsidR="00B23009" w:rsidRPr="00F37C00" w:rsidRDefault="00B23009" w:rsidP="00F4298D">
      <w:pPr>
        <w:pStyle w:val="Bullet"/>
        <w:rPr>
          <w:rFonts w:ascii="ArialMT" w:hAnsi="ArialMT" w:cs="ArialMT"/>
          <w:color w:val="auto"/>
          <w:sz w:val="21"/>
          <w:szCs w:val="21"/>
        </w:rPr>
      </w:pPr>
      <w:r>
        <w:t>access</w:t>
      </w:r>
      <w:r w:rsidRPr="004B5BAD">
        <w:t xml:space="preserve"> </w:t>
      </w:r>
      <w:r>
        <w:t xml:space="preserve">exclusion: </w:t>
      </w:r>
      <w:r w:rsidR="00647EE2">
        <w:t xml:space="preserve"> </w:t>
      </w:r>
      <w:r>
        <w:t>when there is a perception by mainstream financial services that some individuals are too risky to price, particularly those on income support or with credit defaults</w:t>
      </w:r>
      <w:r w:rsidR="00577F3A">
        <w:t>;</w:t>
      </w:r>
      <w:r>
        <w:t xml:space="preserve"> and</w:t>
      </w:r>
    </w:p>
    <w:p w:rsidR="00B23009" w:rsidRPr="004B5BAD" w:rsidRDefault="00B23009" w:rsidP="00F4298D">
      <w:pPr>
        <w:pStyle w:val="Bullet"/>
      </w:pPr>
      <w:r>
        <w:t>self</w:t>
      </w:r>
      <w:r w:rsidR="00496483">
        <w:noBreakHyphen/>
      </w:r>
      <w:r>
        <w:t>exclusion:</w:t>
      </w:r>
      <w:r w:rsidR="00647EE2">
        <w:t xml:space="preserve"> </w:t>
      </w:r>
      <w:r w:rsidR="00577F3A">
        <w:t xml:space="preserve"> </w:t>
      </w:r>
      <w:r>
        <w:t xml:space="preserve">occurs </w:t>
      </w:r>
      <w:r w:rsidRPr="00F37C00">
        <w:t>when</w:t>
      </w:r>
      <w:r>
        <w:t xml:space="preserve"> individuals exclude themselves from mainstream services based on previous experience of discrimination or beliefs of discrimination</w:t>
      </w:r>
      <w:r w:rsidR="00180B51">
        <w:t xml:space="preserve"> —</w:t>
      </w:r>
      <w:r w:rsidR="00DA5A8D">
        <w:t xml:space="preserve"> </w:t>
      </w:r>
      <w:r w:rsidR="007E60FB">
        <w:t>‘</w:t>
      </w:r>
      <w:r w:rsidRPr="00F37C00">
        <w:t xml:space="preserve">they don’t accept people </w:t>
      </w:r>
      <w:r>
        <w:t>like me.</w:t>
      </w:r>
      <w:r w:rsidR="00496483">
        <w:t>’</w:t>
      </w:r>
    </w:p>
    <w:p w:rsidR="00B23009" w:rsidRDefault="00B23009" w:rsidP="00F4298D">
      <w:r>
        <w:t>Evidence on the prevalence of financial exclusion in Australia suggests:</w:t>
      </w:r>
    </w:p>
    <w:p w:rsidR="00B23009" w:rsidRPr="00C45F7A" w:rsidRDefault="00B23009" w:rsidP="00F4298D">
      <w:pPr>
        <w:pStyle w:val="Bullet"/>
      </w:pPr>
      <w:r w:rsidRPr="00C45F7A">
        <w:t>15.6 per cent of Australians, or 2,650,000 individuals, are fully or severely excluded from financial services including credit</w:t>
      </w:r>
      <w:r w:rsidRPr="00C45F7A">
        <w:rPr>
          <w:vertAlign w:val="superscript"/>
        </w:rPr>
        <w:footnoteReference w:id="7"/>
      </w:r>
      <w:r w:rsidRPr="00C45F7A">
        <w:t>; and</w:t>
      </w:r>
    </w:p>
    <w:p w:rsidR="00B23009" w:rsidRPr="00C45F7A" w:rsidRDefault="00F73EA1" w:rsidP="00F4298D">
      <w:pPr>
        <w:pStyle w:val="Bullet"/>
      </w:pPr>
      <w:r>
        <w:t>six</w:t>
      </w:r>
      <w:r w:rsidRPr="00C45F7A">
        <w:t xml:space="preserve"> </w:t>
      </w:r>
      <w:r w:rsidR="00B23009" w:rsidRPr="00C45F7A">
        <w:t>per cent of adults have minimal access to financial services and around 120,000 people have no ownership of financial products</w:t>
      </w:r>
      <w:r w:rsidR="007E60FB">
        <w:t>.</w:t>
      </w:r>
      <w:r w:rsidR="00B23009" w:rsidRPr="00C45F7A">
        <w:rPr>
          <w:vertAlign w:val="superscript"/>
        </w:rPr>
        <w:footnoteReference w:id="8"/>
      </w:r>
    </w:p>
    <w:p w:rsidR="00B23009" w:rsidRDefault="00B23009" w:rsidP="00B23009">
      <w:r>
        <w:lastRenderedPageBreak/>
        <w:t>Financial exclusion makes day</w:t>
      </w:r>
      <w:r w:rsidR="00496483">
        <w:noBreakHyphen/>
      </w:r>
      <w:r>
        <w:t>to</w:t>
      </w:r>
      <w:r w:rsidR="00496483">
        <w:noBreakHyphen/>
      </w:r>
      <w:r>
        <w:t>day money management difficult</w:t>
      </w:r>
      <w:r w:rsidR="00496483">
        <w:t xml:space="preserve">.  </w:t>
      </w:r>
      <w:r>
        <w:t>Individuals find it harder to plan for</w:t>
      </w:r>
      <w:r w:rsidR="007E60FB">
        <w:t xml:space="preserve"> the future or manage ‘lumpy spending’</w:t>
      </w:r>
      <w:r>
        <w:t xml:space="preserve"> such as large bills or unexpected expenses</w:t>
      </w:r>
      <w:r w:rsidR="00496483">
        <w:t xml:space="preserve">.  </w:t>
      </w:r>
      <w:r>
        <w:t>Individuals become more vulnerable to financial stress and can fall into a spiral of debt, hardship and poverty.</w:t>
      </w:r>
    </w:p>
    <w:p w:rsidR="00B23009" w:rsidRPr="00B570EB" w:rsidRDefault="00B23009" w:rsidP="00B23009">
      <w:pPr>
        <w:rPr>
          <w:rFonts w:cs="Arial"/>
        </w:rPr>
      </w:pPr>
      <w:r w:rsidRPr="00B570EB">
        <w:rPr>
          <w:rFonts w:cs="Arial"/>
        </w:rPr>
        <w:t>Whyley (2010)</w:t>
      </w:r>
      <w:r w:rsidRPr="00B570EB">
        <w:rPr>
          <w:rStyle w:val="FootnoteReference"/>
          <w:rFonts w:cs="Arial"/>
        </w:rPr>
        <w:footnoteReference w:id="9"/>
      </w:r>
      <w:r>
        <w:rPr>
          <w:rFonts w:cs="Arial"/>
        </w:rPr>
        <w:t>, for instance,</w:t>
      </w:r>
      <w:r w:rsidRPr="00B570EB">
        <w:rPr>
          <w:rFonts w:cs="Arial"/>
        </w:rPr>
        <w:t xml:space="preserve"> described a range of costs to individuals associated </w:t>
      </w:r>
      <w:r>
        <w:rPr>
          <w:rFonts w:cs="Arial"/>
        </w:rPr>
        <w:t>with financial exclusion, particularly a</w:t>
      </w:r>
      <w:r w:rsidRPr="00B570EB">
        <w:rPr>
          <w:rFonts w:cs="Arial"/>
        </w:rPr>
        <w:t xml:space="preserve"> lack of access to credit, including:</w:t>
      </w:r>
    </w:p>
    <w:p w:rsidR="00B23009" w:rsidRPr="00B570EB" w:rsidRDefault="00B23009" w:rsidP="007C25EB">
      <w:pPr>
        <w:pStyle w:val="Bullet"/>
      </w:pPr>
      <w:r w:rsidRPr="00B570EB">
        <w:t>limited ability to smooth lumpy or unexpected expenditures leading to serious hardship, including going without food, fuel, school uniforms, disconnection from utilities and increased social exclusion;</w:t>
      </w:r>
    </w:p>
    <w:p w:rsidR="00B23009" w:rsidRPr="00B570EB" w:rsidRDefault="00B23009" w:rsidP="007C25EB">
      <w:pPr>
        <w:pStyle w:val="Bullet"/>
      </w:pPr>
      <w:r w:rsidRPr="00B570EB">
        <w:t>increased use of sub</w:t>
      </w:r>
      <w:r w:rsidR="00496483">
        <w:noBreakHyphen/>
      </w:r>
      <w:r w:rsidRPr="00B570EB">
        <w:t>prime lenders with high costs, confusing and punitive terms and conditions, being drawn into a cycle of borrowing and debt, stigmatisation, and negative impacts on household budgets and quality of life; and</w:t>
      </w:r>
    </w:p>
    <w:p w:rsidR="00B23009" w:rsidRDefault="00B23009" w:rsidP="007C25EB">
      <w:pPr>
        <w:pStyle w:val="Bullet"/>
      </w:pPr>
      <w:r w:rsidRPr="00B570EB">
        <w:t>long</w:t>
      </w:r>
      <w:r w:rsidR="00496483">
        <w:noBreakHyphen/>
      </w:r>
      <w:r w:rsidRPr="00B570EB">
        <w:t>term impacts such as no opportunity to build up a positive credit history to allow transition to mainstream services, and de</w:t>
      </w:r>
      <w:r>
        <w:t>crease in financial capability.</w:t>
      </w:r>
    </w:p>
    <w:p w:rsidR="00B23009" w:rsidRPr="009914C1" w:rsidRDefault="00B23009" w:rsidP="00B23009">
      <w:r>
        <w:t xml:space="preserve">In a modern society such as Australia, the need for small amounts of </w:t>
      </w:r>
      <w:r w:rsidR="007F28C1">
        <w:t>short</w:t>
      </w:r>
      <w:r w:rsidR="00496483">
        <w:noBreakHyphen/>
      </w:r>
      <w:r w:rsidR="007F28C1">
        <w:t>term</w:t>
      </w:r>
      <w:r>
        <w:t xml:space="preserve"> credit to help manage cash flow and lumpy expenditure </w:t>
      </w:r>
      <w:r w:rsidR="00BB6868">
        <w:t xml:space="preserve">should be </w:t>
      </w:r>
      <w:r>
        <w:t>accepted as a universal element of financial inclusion</w:t>
      </w:r>
      <w:r w:rsidR="00496483">
        <w:t xml:space="preserve">.  </w:t>
      </w:r>
    </w:p>
    <w:p w:rsidR="003F6C66" w:rsidRDefault="003F6C66" w:rsidP="003F6C66">
      <w:pPr>
        <w:pStyle w:val="Heading2"/>
      </w:pPr>
      <w:bookmarkStart w:id="10" w:name="_Toc322008276"/>
      <w:bookmarkEnd w:id="8"/>
      <w:r>
        <w:t xml:space="preserve">Consumers </w:t>
      </w:r>
      <w:r w:rsidR="00F73EA1">
        <w:t>of</w:t>
      </w:r>
      <w:r>
        <w:t xml:space="preserve"> small amount loans</w:t>
      </w:r>
      <w:bookmarkEnd w:id="10"/>
    </w:p>
    <w:p w:rsidR="00460407" w:rsidRDefault="003F6C66" w:rsidP="00460407">
      <w:pPr>
        <w:rPr>
          <w:rFonts w:cs="Calibri"/>
          <w:szCs w:val="22"/>
        </w:rPr>
      </w:pPr>
      <w:r>
        <w:rPr>
          <w:rFonts w:cs="Calibri"/>
          <w:szCs w:val="22"/>
        </w:rPr>
        <w:t>Research suggests that many Australians who are financially excluded often resort to the use of high cost small amount lenders</w:t>
      </w:r>
      <w:r w:rsidR="00496483">
        <w:rPr>
          <w:rFonts w:cs="Calibri"/>
          <w:szCs w:val="22"/>
        </w:rPr>
        <w:t xml:space="preserve">.  </w:t>
      </w:r>
      <w:r w:rsidR="00460407">
        <w:rPr>
          <w:rFonts w:cs="Calibri"/>
          <w:szCs w:val="22"/>
        </w:rPr>
        <w:t xml:space="preserve">The need for these loans emerge when consumers, often already vulnerable, </w:t>
      </w:r>
      <w:r w:rsidR="00460407">
        <w:t>find themselves with insufficient funds to meet recurrent basic living expenses such as food, rent, utilities and other bills</w:t>
      </w:r>
      <w:r w:rsidR="00905B6F">
        <w:t>,</w:t>
      </w:r>
      <w:r w:rsidR="00460407">
        <w:t xml:space="preserve"> or one</w:t>
      </w:r>
      <w:r w:rsidR="00496483">
        <w:noBreakHyphen/>
      </w:r>
      <w:r w:rsidR="00460407">
        <w:t>off unexpected expenses such as medical costs, car repairs or the purchase of whitegoods</w:t>
      </w:r>
      <w:r w:rsidR="00496483">
        <w:t xml:space="preserve">.  </w:t>
      </w:r>
      <w:r w:rsidR="00460407">
        <w:rPr>
          <w:rFonts w:cs="Calibri"/>
          <w:szCs w:val="22"/>
        </w:rPr>
        <w:t>As a result of exclusion f</w:t>
      </w:r>
      <w:r w:rsidR="007E60FB">
        <w:rPr>
          <w:rFonts w:cs="Calibri"/>
          <w:szCs w:val="22"/>
        </w:rPr>
        <w:t>rom mainstream credit providers</w:t>
      </w:r>
      <w:r w:rsidR="00460407">
        <w:rPr>
          <w:rFonts w:cs="Calibri"/>
          <w:szCs w:val="22"/>
        </w:rPr>
        <w:t>,</w:t>
      </w:r>
      <w:r w:rsidR="007E60FB">
        <w:rPr>
          <w:rFonts w:cs="Calibri"/>
          <w:szCs w:val="22"/>
        </w:rPr>
        <w:t xml:space="preserve"> </w:t>
      </w:r>
      <w:r w:rsidR="00460407">
        <w:rPr>
          <w:rFonts w:cs="Calibri"/>
          <w:szCs w:val="22"/>
        </w:rPr>
        <w:t>these consumers may have few alternatives other than to source finance as quickly as possible from the first available lender at whatever cost and</w:t>
      </w:r>
      <w:r w:rsidR="00905B6F">
        <w:rPr>
          <w:rFonts w:cs="Calibri"/>
          <w:szCs w:val="22"/>
        </w:rPr>
        <w:t xml:space="preserve"> accept the </w:t>
      </w:r>
      <w:r w:rsidR="00460407">
        <w:rPr>
          <w:rFonts w:cs="Calibri"/>
          <w:szCs w:val="22"/>
        </w:rPr>
        <w:t>terms offered.</w:t>
      </w:r>
    </w:p>
    <w:p w:rsidR="00460407" w:rsidRDefault="00460407" w:rsidP="00460407">
      <w:pPr>
        <w:rPr>
          <w:rFonts w:cs="Calibri"/>
          <w:szCs w:val="22"/>
        </w:rPr>
      </w:pPr>
      <w:r>
        <w:rPr>
          <w:rFonts w:cs="Calibri"/>
          <w:szCs w:val="22"/>
        </w:rPr>
        <w:t>Research from a range of sources, consistently shows that a substantial proportion of small amount loans are used to meet recurrent or basic living expenses:</w:t>
      </w:r>
    </w:p>
    <w:p w:rsidR="00460407" w:rsidRDefault="00460407" w:rsidP="006A193A">
      <w:pPr>
        <w:pStyle w:val="Bullet"/>
        <w:numPr>
          <w:ilvl w:val="0"/>
          <w:numId w:val="15"/>
        </w:numPr>
      </w:pPr>
      <w:r>
        <w:t>A report by the Consumer Action Law Centre (CALC) in 2010 reported that 71.3 per cent of surveyed consumers used small amount loans to pay for basic expenses</w:t>
      </w:r>
      <w:r w:rsidR="00905B6F">
        <w:t>, including</w:t>
      </w:r>
      <w:r>
        <w:t>:  utility bills (21 per cent), food (17.6 per cent), rent (10.7 per cent) and car repairs or registration (22 per cent)</w:t>
      </w:r>
      <w:r w:rsidR="005E5B9E">
        <w:t>.</w:t>
      </w:r>
      <w:r>
        <w:rPr>
          <w:vertAlign w:val="superscript"/>
        </w:rPr>
        <w:footnoteReference w:id="10"/>
      </w:r>
    </w:p>
    <w:p w:rsidR="00460407" w:rsidRDefault="00460407" w:rsidP="006A193A">
      <w:pPr>
        <w:pStyle w:val="Bullet"/>
        <w:numPr>
          <w:ilvl w:val="0"/>
          <w:numId w:val="15"/>
        </w:numPr>
      </w:pPr>
      <w:r>
        <w:t>In a Victorian study, Wilson (2002) reported that respondents had taken out small amount loans to pay for bills (32 per cent), day</w:t>
      </w:r>
      <w:r w:rsidR="00496483">
        <w:noBreakHyphen/>
      </w:r>
      <w:r>
        <w:t>to</w:t>
      </w:r>
      <w:r w:rsidR="00496483">
        <w:noBreakHyphen/>
      </w:r>
      <w:r>
        <w:t>day living expenses (26 per cent), car repairs or registration (10 per cent), and rent or mortgage (10 per cent)</w:t>
      </w:r>
      <w:r w:rsidR="00496483">
        <w:t xml:space="preserve">.  </w:t>
      </w:r>
      <w:r>
        <w:t>In total 78 per cent of borrowers borrowed for non</w:t>
      </w:r>
      <w:r w:rsidR="00496483">
        <w:noBreakHyphen/>
      </w:r>
      <w:r>
        <w:t>discretionary spending</w:t>
      </w:r>
      <w:r w:rsidR="005E5B9E">
        <w:t>.</w:t>
      </w:r>
      <w:r>
        <w:rPr>
          <w:vertAlign w:val="superscript"/>
        </w:rPr>
        <w:footnoteReference w:id="11"/>
      </w:r>
    </w:p>
    <w:p w:rsidR="00460407" w:rsidRDefault="00460407" w:rsidP="006A193A">
      <w:pPr>
        <w:pStyle w:val="Bullet"/>
        <w:numPr>
          <w:ilvl w:val="0"/>
          <w:numId w:val="15"/>
        </w:numPr>
      </w:pPr>
      <w:r>
        <w:lastRenderedPageBreak/>
        <w:t>Research by the Policis research consultancy</w:t>
      </w:r>
      <w:r w:rsidR="00E027D1">
        <w:rPr>
          <w:rStyle w:val="FootnoteReference"/>
        </w:rPr>
        <w:footnoteReference w:id="12"/>
      </w:r>
      <w:r>
        <w:t xml:space="preserve"> (</w:t>
      </w:r>
      <w:r w:rsidR="00E027D1">
        <w:t>undated</w:t>
      </w:r>
      <w:r>
        <w:t>) found that credit, particularly small amount credit, is used by low income households primarily for essentials and to ensure the effective functioning of household finances</w:t>
      </w:r>
      <w:r w:rsidR="00496483">
        <w:t xml:space="preserve">.  </w:t>
      </w:r>
      <w:r>
        <w:t xml:space="preserve">Policis </w:t>
      </w:r>
      <w:r w:rsidR="00905B6F">
        <w:t>stated that</w:t>
      </w:r>
      <w:r>
        <w:t xml:space="preserve"> 28 per cent of borrowing </w:t>
      </w:r>
      <w:r w:rsidR="00905B6F">
        <w:t>w</w:t>
      </w:r>
      <w:r>
        <w:t>as ‘</w:t>
      </w:r>
      <w:r w:rsidRPr="00361794">
        <w:t>distress</w:t>
      </w:r>
      <w:r>
        <w:t xml:space="preserve"> borrowing’ to deal with cash shortfalls; 29 per cent was used to meet unexpected bills and expenses and 9 per cent was used to meet regular bills and expenses</w:t>
      </w:r>
      <w:r w:rsidR="00496483">
        <w:t xml:space="preserve">.  </w:t>
      </w:r>
      <w:r>
        <w:t>Credit was used to finance spending on discretionary items in only 10 per cent of cases</w:t>
      </w:r>
      <w:r w:rsidR="005E5B9E">
        <w:t>.</w:t>
      </w:r>
      <w:r>
        <w:rPr>
          <w:vertAlign w:val="superscript"/>
        </w:rPr>
        <w:footnoteReference w:id="13"/>
      </w:r>
    </w:p>
    <w:p w:rsidR="00460407" w:rsidRDefault="00460407" w:rsidP="006A193A">
      <w:pPr>
        <w:pStyle w:val="Bullet"/>
        <w:numPr>
          <w:ilvl w:val="0"/>
          <w:numId w:val="15"/>
        </w:numPr>
      </w:pPr>
      <w:r>
        <w:t xml:space="preserve">Data provided by Cash Converters in a 2008 submission to Treasury is consistent with these findings, showing that nearly six in </w:t>
      </w:r>
      <w:r w:rsidR="00905B6F">
        <w:t>10</w:t>
      </w:r>
      <w:r>
        <w:t xml:space="preserve"> of their clients with incomes </w:t>
      </w:r>
      <w:r w:rsidR="00905B6F">
        <w:t>of</w:t>
      </w:r>
      <w:r>
        <w:t xml:space="preserve"> than $35,000 per annum would be unable to manage a cash emergency without borrowing and 55 per cent would be unable to renew or repair essential equipment.</w:t>
      </w:r>
      <w:r>
        <w:rPr>
          <w:vertAlign w:val="superscript"/>
        </w:rPr>
        <w:footnoteReference w:id="14"/>
      </w:r>
      <w:r>
        <w:t xml:space="preserve">  This suggests that its clients are borrowing to meet emergencies of this type.</w:t>
      </w:r>
    </w:p>
    <w:p w:rsidR="00460407" w:rsidRDefault="00460407" w:rsidP="006A193A">
      <w:pPr>
        <w:pStyle w:val="Bullet"/>
        <w:numPr>
          <w:ilvl w:val="0"/>
          <w:numId w:val="15"/>
        </w:numPr>
      </w:pPr>
      <w:r>
        <w:t>Data provided by Cash Stop quoting Smiles Turner research</w:t>
      </w:r>
      <w:r w:rsidR="00905B6F">
        <w:t xml:space="preserve"> identified</w:t>
      </w:r>
      <w:r>
        <w:t xml:space="preserve"> that the top uses for credit were for basic expenses and bills (29.8 per cent), personal (32.9 per cent), car expenses (8.1 per cent) and groceries (5.6 per cent)</w:t>
      </w:r>
      <w:r w:rsidR="00496483">
        <w:t xml:space="preserve">.  </w:t>
      </w:r>
    </w:p>
    <w:p w:rsidR="00460407" w:rsidRDefault="00460407" w:rsidP="00460407">
      <w:r>
        <w:t>In summary, it is estimated that the majority of borrowers primarily use small amount credit to meet basic living expenses, presumably because of their low incomes</w:t>
      </w:r>
      <w:r w:rsidR="00496483">
        <w:t xml:space="preserve">.  </w:t>
      </w:r>
    </w:p>
    <w:p w:rsidR="00460407" w:rsidRDefault="00460407" w:rsidP="00460407">
      <w:r>
        <w:t>The typical profile of consumers using these types of loans is broadly one of vulnerability and disadvantage</w:t>
      </w:r>
      <w:r w:rsidR="00496483">
        <w:t xml:space="preserve">.  </w:t>
      </w:r>
      <w:r w:rsidR="0077385E">
        <w:t xml:space="preserve">A review of </w:t>
      </w:r>
      <w:r>
        <w:t>Australian research</w:t>
      </w:r>
      <w:r w:rsidR="009034A7">
        <w:rPr>
          <w:rStyle w:val="FootnoteReference"/>
        </w:rPr>
        <w:footnoteReference w:id="15"/>
      </w:r>
      <w:r>
        <w:t xml:space="preserve"> </w:t>
      </w:r>
      <w:r w:rsidR="0077385E">
        <w:t>found</w:t>
      </w:r>
      <w:r>
        <w:t>:</w:t>
      </w:r>
    </w:p>
    <w:p w:rsidR="00460407" w:rsidRDefault="00460407" w:rsidP="006A193A">
      <w:pPr>
        <w:pStyle w:val="Bullet"/>
        <w:numPr>
          <w:ilvl w:val="0"/>
          <w:numId w:val="15"/>
        </w:numPr>
      </w:pPr>
      <w:r w:rsidRPr="00361794">
        <w:t>approximately</w:t>
      </w:r>
      <w:r>
        <w:t xml:space="preserve"> 40 to 49 per cent of small amount loan customers have annual income</w:t>
      </w:r>
      <w:r w:rsidR="00905B6F">
        <w:t>s</w:t>
      </w:r>
      <w:r>
        <w:t xml:space="preserve"> of less than $24,000;</w:t>
      </w:r>
    </w:p>
    <w:p w:rsidR="00460407" w:rsidRDefault="00460407" w:rsidP="00361794">
      <w:pPr>
        <w:pStyle w:val="Bullet"/>
      </w:pPr>
      <w:r>
        <w:t>between 50 to 74 per cent of small amount loan customers have annual income</w:t>
      </w:r>
      <w:r w:rsidR="00905B6F">
        <w:t>s</w:t>
      </w:r>
      <w:r>
        <w:t xml:space="preserve"> of less than $36,000;</w:t>
      </w:r>
    </w:p>
    <w:p w:rsidR="00460407" w:rsidRDefault="00460407" w:rsidP="00361794">
      <w:pPr>
        <w:pStyle w:val="Bullet"/>
      </w:pPr>
      <w:r>
        <w:t>50 per cent of small amount loan customers are partially employed or unemployed; and</w:t>
      </w:r>
    </w:p>
    <w:p w:rsidR="00460407" w:rsidRDefault="00460407" w:rsidP="00361794">
      <w:pPr>
        <w:pStyle w:val="Bullet"/>
      </w:pPr>
      <w:r>
        <w:t>b</w:t>
      </w:r>
      <w:r w:rsidRPr="005A4124">
        <w:t>etween 46 and 50 per cent of small amount loan customers are in receipt of government benefits</w:t>
      </w:r>
      <w:r w:rsidR="00496483">
        <w:t xml:space="preserve">.  </w:t>
      </w:r>
    </w:p>
    <w:p w:rsidR="00460407" w:rsidRDefault="00460407" w:rsidP="00460407">
      <w:r>
        <w:t>The research therefore establishes there is significant use of high</w:t>
      </w:r>
      <w:r w:rsidR="00496483">
        <w:noBreakHyphen/>
      </w:r>
      <w:r>
        <w:t>cost, small amount loans by people who are on low incomes and vulnerable to financial exclusion</w:t>
      </w:r>
      <w:r w:rsidR="00496483">
        <w:t xml:space="preserve">.  </w:t>
      </w:r>
      <w:r>
        <w:t>This can create a range of additional problems for</w:t>
      </w:r>
      <w:r w:rsidR="00905B6F">
        <w:t xml:space="preserve"> these people</w:t>
      </w:r>
      <w:r>
        <w:t>, their families and the broader community.</w:t>
      </w:r>
    </w:p>
    <w:p w:rsidR="003F6C66" w:rsidRDefault="003F6C66" w:rsidP="003F6C66">
      <w:pPr>
        <w:pStyle w:val="Heading2"/>
      </w:pPr>
      <w:bookmarkStart w:id="11" w:name="_Toc322008277"/>
      <w:r>
        <w:t>Impact of financial exclusion</w:t>
      </w:r>
      <w:bookmarkEnd w:id="11"/>
      <w:r>
        <w:t xml:space="preserve"> </w:t>
      </w:r>
    </w:p>
    <w:p w:rsidR="003F6C66" w:rsidRDefault="003F6C66" w:rsidP="003F6C66">
      <w:pPr>
        <w:rPr>
          <w:rFonts w:cs="Calibri"/>
          <w:szCs w:val="22"/>
        </w:rPr>
      </w:pPr>
      <w:r>
        <w:rPr>
          <w:rFonts w:cs="Calibri"/>
          <w:szCs w:val="22"/>
        </w:rPr>
        <w:t xml:space="preserve">Financial exclusion can result in or contribute to a range of broader problems, such as </w:t>
      </w:r>
      <w:r w:rsidR="00416345">
        <w:rPr>
          <w:rFonts w:cs="Calibri"/>
          <w:szCs w:val="22"/>
        </w:rPr>
        <w:t>relationship breakdown</w:t>
      </w:r>
      <w:r>
        <w:rPr>
          <w:rFonts w:cs="Calibri"/>
          <w:szCs w:val="22"/>
        </w:rPr>
        <w:t xml:space="preserve"> and a decreased standard of living</w:t>
      </w:r>
      <w:r w:rsidR="00496483">
        <w:rPr>
          <w:rFonts w:cs="Calibri"/>
          <w:szCs w:val="22"/>
        </w:rPr>
        <w:t xml:space="preserve">.  </w:t>
      </w:r>
      <w:r>
        <w:rPr>
          <w:rFonts w:cs="Calibri"/>
          <w:szCs w:val="22"/>
        </w:rPr>
        <w:t>A key driver of financial exclusion is low income and there is strong evidence that identifies the links between poverty, indebtedness and financial exclusion (Connolly, 2011; Chant Link, 2004)</w:t>
      </w:r>
      <w:r w:rsidR="00496483">
        <w:rPr>
          <w:rFonts w:cs="Calibri"/>
          <w:szCs w:val="22"/>
        </w:rPr>
        <w:t xml:space="preserve">.  </w:t>
      </w:r>
      <w:r>
        <w:rPr>
          <w:rFonts w:cs="Calibri"/>
          <w:szCs w:val="22"/>
        </w:rPr>
        <w:t>While little research has been undertaken on the long</w:t>
      </w:r>
      <w:r w:rsidR="00496483">
        <w:rPr>
          <w:rFonts w:cs="Calibri"/>
          <w:szCs w:val="22"/>
        </w:rPr>
        <w:noBreakHyphen/>
      </w:r>
      <w:r>
        <w:rPr>
          <w:rFonts w:cs="Calibri"/>
          <w:szCs w:val="22"/>
        </w:rPr>
        <w:t xml:space="preserve">term impacts of financial exclusion, studies </w:t>
      </w:r>
      <w:r>
        <w:rPr>
          <w:rFonts w:cs="Calibri"/>
          <w:szCs w:val="22"/>
        </w:rPr>
        <w:lastRenderedPageBreak/>
        <w:t>on the range of social problems associated with its correlates, particularly low income, are numerous and include:</w:t>
      </w:r>
    </w:p>
    <w:p w:rsidR="003F6C66" w:rsidRDefault="003F6C66" w:rsidP="006A193A">
      <w:pPr>
        <w:pStyle w:val="Bullet"/>
        <w:numPr>
          <w:ilvl w:val="0"/>
          <w:numId w:val="16"/>
        </w:numPr>
      </w:pPr>
      <w:r>
        <w:t>Health problems</w:t>
      </w:r>
      <w:r w:rsidR="00180B51">
        <w:t xml:space="preserve"> — </w:t>
      </w:r>
      <w:r>
        <w:t>35</w:t>
      </w:r>
      <w:r w:rsidR="00994648">
        <w:t xml:space="preserve"> </w:t>
      </w:r>
      <w:r>
        <w:t>per cent of people in the lowest income quintile report fair or poor health compared to only</w:t>
      </w:r>
      <w:r w:rsidR="00994648">
        <w:t xml:space="preserve"> </w:t>
      </w:r>
      <w:r w:rsidR="005B07D6">
        <w:t>seven</w:t>
      </w:r>
      <w:r w:rsidR="00416345">
        <w:t xml:space="preserve"> </w:t>
      </w:r>
      <w:r>
        <w:t>per cent in the highest income quintile.</w:t>
      </w:r>
      <w:r>
        <w:rPr>
          <w:rStyle w:val="FootnoteReference"/>
          <w:rFonts w:cs="Calibri"/>
          <w:szCs w:val="22"/>
        </w:rPr>
        <w:footnoteReference w:id="16"/>
      </w:r>
      <w:r>
        <w:t xml:space="preserve"> People experiencing financial hardship have higher rates of suicide and self</w:t>
      </w:r>
      <w:r w:rsidR="00496483">
        <w:noBreakHyphen/>
      </w:r>
      <w:r>
        <w:t>harm than the rest of the population.</w:t>
      </w:r>
      <w:r>
        <w:rPr>
          <w:rStyle w:val="FootnoteReference"/>
          <w:szCs w:val="22"/>
        </w:rPr>
        <w:footnoteReference w:id="17"/>
      </w:r>
    </w:p>
    <w:p w:rsidR="003F6C66" w:rsidRDefault="003F6C66" w:rsidP="006A193A">
      <w:pPr>
        <w:pStyle w:val="Bullet"/>
        <w:numPr>
          <w:ilvl w:val="0"/>
          <w:numId w:val="16"/>
        </w:numPr>
      </w:pPr>
      <w:r>
        <w:t>Intergenerational joblessness</w:t>
      </w:r>
      <w:r w:rsidR="00180B51">
        <w:t xml:space="preserve"> — </w:t>
      </w:r>
      <w:r>
        <w:t>jobless families with dependants may not be able to access or provide resources that would assist children in their development (such as healthy foods</w:t>
      </w:r>
      <w:r w:rsidR="005B07D6">
        <w:t xml:space="preserve"> or</w:t>
      </w:r>
      <w:r>
        <w:t xml:space="preserve"> educational materials);</w:t>
      </w:r>
      <w:r w:rsidR="005B07D6">
        <w:t xml:space="preserve"> and</w:t>
      </w:r>
      <w:r>
        <w:t xml:space="preserve"> this increases the likelihood that these dependants will be unable to break free from the cycle of disadvantage.</w:t>
      </w:r>
      <w:r>
        <w:rPr>
          <w:rStyle w:val="FootnoteReference"/>
          <w:szCs w:val="22"/>
        </w:rPr>
        <w:footnoteReference w:id="18"/>
      </w:r>
    </w:p>
    <w:p w:rsidR="003F6C66" w:rsidRDefault="003F6C66" w:rsidP="006A193A">
      <w:pPr>
        <w:pStyle w:val="Bullet"/>
        <w:numPr>
          <w:ilvl w:val="0"/>
          <w:numId w:val="16"/>
        </w:numPr>
      </w:pPr>
      <w:r>
        <w:t>Increased incidence of crime</w:t>
      </w:r>
      <w:r w:rsidR="00180B51">
        <w:t xml:space="preserve"> — </w:t>
      </w:r>
      <w:r>
        <w:t>49</w:t>
      </w:r>
      <w:r w:rsidR="00994648">
        <w:t xml:space="preserve"> </w:t>
      </w:r>
      <w:r>
        <w:t xml:space="preserve">per cent of prisoners in a recent Australian study of women prisoners and debt said they had committed </w:t>
      </w:r>
      <w:r w:rsidR="005B07D6">
        <w:t xml:space="preserve">a </w:t>
      </w:r>
      <w:r>
        <w:t>crime to repay a debt.</w:t>
      </w:r>
      <w:r>
        <w:rPr>
          <w:rStyle w:val="FootnoteReference"/>
          <w:szCs w:val="22"/>
        </w:rPr>
        <w:footnoteReference w:id="19"/>
      </w:r>
    </w:p>
    <w:p w:rsidR="003F6C66" w:rsidRDefault="003F6C66" w:rsidP="00361794">
      <w:pPr>
        <w:pStyle w:val="Bullet"/>
      </w:pPr>
      <w:r>
        <w:t>Inadequate housing</w:t>
      </w:r>
      <w:r w:rsidR="00180B51">
        <w:t xml:space="preserve"> — </w:t>
      </w:r>
      <w:r>
        <w:t>people experiencing financial hardship are more likely to live in housing that does not meet their needs, with consequent risks to their health or relationships</w:t>
      </w:r>
      <w:r>
        <w:rPr>
          <w:rFonts w:cs="Arial"/>
        </w:rPr>
        <w:t>.</w:t>
      </w:r>
      <w:r>
        <w:rPr>
          <w:rStyle w:val="FootnoteReference"/>
          <w:rFonts w:cs="Arial"/>
          <w:szCs w:val="22"/>
        </w:rPr>
        <w:footnoteReference w:id="20"/>
      </w:r>
    </w:p>
    <w:p w:rsidR="003F6C66" w:rsidRDefault="003F6C66" w:rsidP="00361794">
      <w:pPr>
        <w:pStyle w:val="Bullet"/>
      </w:pPr>
      <w:r>
        <w:t>Adverse responses to financial stress</w:t>
      </w:r>
      <w:r w:rsidR="00180B51">
        <w:t xml:space="preserve"> — </w:t>
      </w:r>
      <w:r>
        <w:t>relationship breakdown, mental health issues, drug use, homelessness and domestic violence.</w:t>
      </w:r>
      <w:r>
        <w:rPr>
          <w:rStyle w:val="FootnoteReference"/>
          <w:rFonts w:cs="Arial"/>
          <w:szCs w:val="22"/>
        </w:rPr>
        <w:footnoteReference w:id="21"/>
      </w:r>
    </w:p>
    <w:p w:rsidR="003F6C66" w:rsidRDefault="003F6C66" w:rsidP="003F6C66">
      <w:pPr>
        <w:pStyle w:val="Bullet"/>
        <w:numPr>
          <w:ilvl w:val="0"/>
          <w:numId w:val="0"/>
        </w:numPr>
        <w:tabs>
          <w:tab w:val="left" w:pos="720"/>
        </w:tabs>
      </w:pPr>
      <w:r>
        <w:t>There can be a reciprocal relationship between low or declining incomes and other problems, so that financial exclusion can cause, reinforce or stem from other elements of disadvantage</w:t>
      </w:r>
      <w:r w:rsidR="00496483">
        <w:t xml:space="preserve">.  </w:t>
      </w:r>
      <w:r>
        <w:t>The potential problems that can contribute to ongoing social exclusion and a cycle of disadvantage can therefore be self</w:t>
      </w:r>
      <w:r w:rsidR="00496483">
        <w:noBreakHyphen/>
      </w:r>
      <w:r>
        <w:t>reinforcing</w:t>
      </w:r>
      <w:r w:rsidR="00496483">
        <w:t xml:space="preserve">.  </w:t>
      </w:r>
    </w:p>
    <w:p w:rsidR="003F6C66" w:rsidRDefault="003F6C66" w:rsidP="005B07D6">
      <w:r>
        <w:t>The Government’s view is that a commitment to financial inclusion involves providing opportunities for</w:t>
      </w:r>
      <w:r w:rsidR="00416345">
        <w:t xml:space="preserve"> those who are</w:t>
      </w:r>
      <w:r>
        <w:t xml:space="preserve"> financially disadvantaged to improve their own situation, including</w:t>
      </w:r>
      <w:r w:rsidR="005B07D6">
        <w:t xml:space="preserve"> </w:t>
      </w:r>
      <w:r>
        <w:t>improved access t</w:t>
      </w:r>
      <w:r w:rsidR="005B07D6">
        <w:t xml:space="preserve">o mainstream financial services and </w:t>
      </w:r>
      <w:r>
        <w:t>more opportunities to take up mainstream credit that is fair and equitable</w:t>
      </w:r>
      <w:r w:rsidR="00496483">
        <w:t xml:space="preserve">.  </w:t>
      </w:r>
      <w:r w:rsidR="005B07D6">
        <w:t>This could result in:</w:t>
      </w:r>
    </w:p>
    <w:p w:rsidR="003F6C66" w:rsidRDefault="003F6C66" w:rsidP="00361794">
      <w:pPr>
        <w:pStyle w:val="Bullet"/>
      </w:pPr>
      <w:r>
        <w:t>lower financial and emotional stress;</w:t>
      </w:r>
    </w:p>
    <w:p w:rsidR="003F6C66" w:rsidRDefault="003F6C66" w:rsidP="00361794">
      <w:pPr>
        <w:pStyle w:val="Bullet"/>
      </w:pPr>
      <w:r>
        <w:t xml:space="preserve">reduced risk of social impacts, such as levels of crime; </w:t>
      </w:r>
      <w:r w:rsidR="0045647C">
        <w:t>and</w:t>
      </w:r>
    </w:p>
    <w:p w:rsidR="003F6C66" w:rsidRDefault="003F6C66" w:rsidP="00361794">
      <w:pPr>
        <w:pStyle w:val="Bullet"/>
      </w:pPr>
      <w:r>
        <w:t>increased levels of self</w:t>
      </w:r>
      <w:r w:rsidR="00496483">
        <w:noBreakHyphen/>
      </w:r>
      <w:r>
        <w:t>empowerment, financial resilience and capability</w:t>
      </w:r>
      <w:r w:rsidR="00D2383D">
        <w:t>, motivation</w:t>
      </w:r>
      <w:r>
        <w:t xml:space="preserve"> and confidence.</w:t>
      </w:r>
    </w:p>
    <w:p w:rsidR="003F6C66" w:rsidRDefault="00994648" w:rsidP="003F6C66">
      <w:r>
        <w:t xml:space="preserve">The Government therefore </w:t>
      </w:r>
      <w:r w:rsidR="0045647C">
        <w:t xml:space="preserve">considers </w:t>
      </w:r>
      <w:r>
        <w:t>that</w:t>
      </w:r>
      <w:r w:rsidR="0045647C">
        <w:t xml:space="preserve"> alleviating</w:t>
      </w:r>
      <w:r>
        <w:t xml:space="preserve"> f</w:t>
      </w:r>
      <w:r w:rsidR="003F6C66">
        <w:t>i</w:t>
      </w:r>
      <w:r>
        <w:t>nancial ex</w:t>
      </w:r>
      <w:r w:rsidR="003F6C66">
        <w:t>clusion can reduce both economic and social costs on individuals, families, the community and the wider economy</w:t>
      </w:r>
      <w:r w:rsidR="00496483">
        <w:t xml:space="preserve">.  </w:t>
      </w:r>
    </w:p>
    <w:p w:rsidR="00A3055B" w:rsidRDefault="00A3055B" w:rsidP="00A3055B">
      <w:pPr>
        <w:pStyle w:val="Heading2"/>
      </w:pPr>
      <w:bookmarkStart w:id="12" w:name="_Toc315428425"/>
      <w:bookmarkStart w:id="13" w:name="_Toc322008278"/>
      <w:r>
        <w:lastRenderedPageBreak/>
        <w:t xml:space="preserve">Extent </w:t>
      </w:r>
      <w:r w:rsidR="00141E5D">
        <w:t>and c</w:t>
      </w:r>
      <w:r w:rsidR="00994648">
        <w:t xml:space="preserve">ost </w:t>
      </w:r>
      <w:r>
        <w:t>of small amount lending</w:t>
      </w:r>
      <w:bookmarkEnd w:id="12"/>
      <w:bookmarkEnd w:id="13"/>
    </w:p>
    <w:p w:rsidR="00A3055B" w:rsidRDefault="00A3055B" w:rsidP="00A3055B">
      <w:r>
        <w:t xml:space="preserve">Small amount </w:t>
      </w:r>
      <w:r w:rsidRPr="00761D1B">
        <w:t xml:space="preserve">loans </w:t>
      </w:r>
      <w:r>
        <w:t>fill a gap in the market for credit that is otherwise not readily available to some</w:t>
      </w:r>
      <w:r w:rsidR="0045647C">
        <w:t xml:space="preserve"> consumers</w:t>
      </w:r>
      <w:r w:rsidR="00496483">
        <w:t xml:space="preserve">.  </w:t>
      </w:r>
      <w:r w:rsidR="005B07D6">
        <w:t>T</w:t>
      </w:r>
      <w:r>
        <w:t>here are</w:t>
      </w:r>
      <w:r w:rsidR="005B07D6">
        <w:t>, however,</w:t>
      </w:r>
      <w:r>
        <w:t xml:space="preserve"> alternative sources of credit and assistance that consumers can tap into but of which they may not be aware</w:t>
      </w:r>
      <w:r w:rsidR="00496483">
        <w:t xml:space="preserve">.  </w:t>
      </w:r>
      <w:r w:rsidR="00BD6011">
        <w:t>S</w:t>
      </w:r>
      <w:r>
        <w:t xml:space="preserve">mall amount loans, particularly </w:t>
      </w:r>
      <w:r w:rsidR="0077385E">
        <w:t>for amounts</w:t>
      </w:r>
      <w:r w:rsidR="005B07D6">
        <w:t xml:space="preserve"> of</w:t>
      </w:r>
      <w:r w:rsidR="0077385E">
        <w:t xml:space="preserve"> less than $500, </w:t>
      </w:r>
      <w:r>
        <w:t xml:space="preserve">have experienced </w:t>
      </w:r>
      <w:r w:rsidR="0077385E">
        <w:t xml:space="preserve">significant </w:t>
      </w:r>
      <w:r>
        <w:t>growth over the last few years</w:t>
      </w:r>
      <w:r w:rsidR="00496483">
        <w:t xml:space="preserve">.  </w:t>
      </w:r>
      <w:r w:rsidR="0077385E">
        <w:t xml:space="preserve">Some estimates suggest </w:t>
      </w:r>
      <w:r>
        <w:t>that the market now provides approximately 674,000 loans annually.</w:t>
      </w:r>
      <w:r>
        <w:rPr>
          <w:rStyle w:val="FootnoteReference"/>
        </w:rPr>
        <w:footnoteReference w:id="22"/>
      </w:r>
      <w:r w:rsidR="00361794">
        <w:t xml:space="preserve"> </w:t>
      </w:r>
      <w:r>
        <w:t xml:space="preserve">However, </w:t>
      </w:r>
      <w:r w:rsidRPr="000A61A6">
        <w:rPr>
          <w:szCs w:val="24"/>
        </w:rPr>
        <w:t>researchers have noted the difficulty in obtaining reliable figures</w:t>
      </w:r>
      <w:r>
        <w:rPr>
          <w:szCs w:val="24"/>
        </w:rPr>
        <w:t>.</w:t>
      </w:r>
      <w:r w:rsidRPr="00C8114A">
        <w:rPr>
          <w:rStyle w:val="FootnoteReference"/>
          <w:szCs w:val="24"/>
        </w:rPr>
        <w:footnoteReference w:id="23"/>
      </w:r>
      <w:r w:rsidR="00361794">
        <w:rPr>
          <w:szCs w:val="24"/>
        </w:rPr>
        <w:t xml:space="preserve"> </w:t>
      </w:r>
      <w:r w:rsidRPr="00C8114A">
        <w:t xml:space="preserve">Cash Converters also recently reported that the exact size of the </w:t>
      </w:r>
      <w:r w:rsidR="007F28C1">
        <w:t>short</w:t>
      </w:r>
      <w:r w:rsidR="00496483">
        <w:noBreakHyphen/>
      </w:r>
      <w:r w:rsidR="007F28C1">
        <w:t>term</w:t>
      </w:r>
      <w:r w:rsidRPr="000A61A6">
        <w:t xml:space="preserve"> lending market has not been quantified</w:t>
      </w:r>
      <w:r>
        <w:t>.</w:t>
      </w:r>
      <w:r w:rsidRPr="00C8114A">
        <w:rPr>
          <w:rStyle w:val="FootnoteReference"/>
        </w:rPr>
        <w:footnoteReference w:id="24"/>
      </w:r>
      <w:r w:rsidRPr="00C8114A">
        <w:t xml:space="preserve"> </w:t>
      </w:r>
      <w:r>
        <w:t xml:space="preserve"> </w:t>
      </w:r>
    </w:p>
    <w:p w:rsidR="00A3055B" w:rsidRPr="00F62F04" w:rsidRDefault="00A3055B" w:rsidP="00A3055B">
      <w:r w:rsidRPr="00F62F04">
        <w:t>According to the N</w:t>
      </w:r>
      <w:r>
        <w:t>ational Financial Services Federation (NFSF)</w:t>
      </w:r>
      <w:r w:rsidR="005B07D6">
        <w:t>,</w:t>
      </w:r>
      <w:r w:rsidRPr="00F62F04">
        <w:t xml:space="preserve"> in 2008</w:t>
      </w:r>
      <w:r w:rsidR="0077385E">
        <w:t xml:space="preserve"> small amount </w:t>
      </w:r>
      <w:r w:rsidRPr="00F62F04">
        <w:t>lending constitu</w:t>
      </w:r>
      <w:r>
        <w:t xml:space="preserve">ted approximately $500 million worth of </w:t>
      </w:r>
      <w:r w:rsidRPr="00F62F04">
        <w:t>loans</w:t>
      </w:r>
      <w:r>
        <w:t xml:space="preserve"> per </w:t>
      </w:r>
      <w:r w:rsidR="005B07D6">
        <w:t>year</w:t>
      </w:r>
      <w:r w:rsidRPr="00F62F04">
        <w:t xml:space="preserve"> in Australia.</w:t>
      </w:r>
      <w:r w:rsidRPr="00F62F04">
        <w:rPr>
          <w:vertAlign w:val="superscript"/>
        </w:rPr>
        <w:footnoteReference w:id="25"/>
      </w:r>
      <w:r w:rsidRPr="00F62F04">
        <w:t xml:space="preserve"> </w:t>
      </w:r>
      <w:r>
        <w:t xml:space="preserve"> </w:t>
      </w:r>
    </w:p>
    <w:p w:rsidR="00A3055B" w:rsidRPr="006D02E9" w:rsidRDefault="00A3055B" w:rsidP="00A3055B">
      <w:pPr>
        <w:tabs>
          <w:tab w:val="left" w:pos="1134"/>
        </w:tabs>
        <w:rPr>
          <w:bCs/>
          <w:lang w:val="en-US"/>
        </w:rPr>
      </w:pPr>
      <w:r>
        <w:rPr>
          <w:bCs/>
          <w:lang w:val="en-US"/>
        </w:rPr>
        <w:t xml:space="preserve">The main features of small amount lenders and loans </w:t>
      </w:r>
      <w:r w:rsidR="00BD6011">
        <w:rPr>
          <w:bCs/>
          <w:lang w:val="en-US"/>
        </w:rPr>
        <w:t>are that they</w:t>
      </w:r>
      <w:r w:rsidRPr="006D02E9">
        <w:rPr>
          <w:bCs/>
          <w:lang w:val="en-US"/>
        </w:rPr>
        <w:t xml:space="preserve">:  </w:t>
      </w:r>
    </w:p>
    <w:p w:rsidR="00A3055B" w:rsidRDefault="00A3055B" w:rsidP="00361794">
      <w:pPr>
        <w:pStyle w:val="Bullet"/>
      </w:pPr>
      <w:r>
        <w:t xml:space="preserve">are </w:t>
      </w:r>
      <w:r w:rsidRPr="006D02E9">
        <w:t xml:space="preserve">frequently based on fixed price fees which, when converted to effective interest rates, </w:t>
      </w:r>
      <w:r>
        <w:t xml:space="preserve">may </w:t>
      </w:r>
      <w:r w:rsidRPr="006D02E9">
        <w:t xml:space="preserve">amount </w:t>
      </w:r>
      <w:r>
        <w:t>to rates of</w:t>
      </w:r>
      <w:r w:rsidRPr="006D02E9">
        <w:t xml:space="preserve"> 1</w:t>
      </w:r>
      <w:r w:rsidR="00C13FBB">
        <w:t>,</w:t>
      </w:r>
      <w:r w:rsidRPr="006D02E9">
        <w:t>000</w:t>
      </w:r>
      <w:r w:rsidR="005A3142">
        <w:t xml:space="preserve"> </w:t>
      </w:r>
      <w:r w:rsidR="00714DFB">
        <w:t>per cent</w:t>
      </w:r>
      <w:r>
        <w:t xml:space="preserve"> or higher;</w:t>
      </w:r>
    </w:p>
    <w:p w:rsidR="00A3055B" w:rsidRDefault="00A3055B" w:rsidP="00361794">
      <w:pPr>
        <w:pStyle w:val="Bullet"/>
      </w:pPr>
      <w:r>
        <w:rPr>
          <w:lang w:val="en-US"/>
        </w:rPr>
        <w:t>provide a q</w:t>
      </w:r>
      <w:r w:rsidRPr="006D02E9">
        <w:rPr>
          <w:lang w:val="en-US"/>
        </w:rPr>
        <w:t>uick turnaround on lending decisions</w:t>
      </w:r>
      <w:r>
        <w:rPr>
          <w:lang w:val="en-US"/>
        </w:rPr>
        <w:t>;</w:t>
      </w:r>
    </w:p>
    <w:p w:rsidR="00A3055B" w:rsidRDefault="00A3055B" w:rsidP="00361794">
      <w:pPr>
        <w:pStyle w:val="Bullet"/>
        <w:rPr>
          <w:lang w:val="en-GB"/>
        </w:rPr>
      </w:pPr>
      <w:r>
        <w:rPr>
          <w:lang w:val="en-US"/>
        </w:rPr>
        <w:t>a</w:t>
      </w:r>
      <w:r w:rsidRPr="006D02E9">
        <w:rPr>
          <w:lang w:val="en-US"/>
        </w:rPr>
        <w:t xml:space="preserve">ccept welfare benefits as a </w:t>
      </w:r>
      <w:r>
        <w:rPr>
          <w:lang w:val="en-US"/>
        </w:rPr>
        <w:t>legitimate source of income when assessing borrower’s capacity to make repayments;</w:t>
      </w:r>
    </w:p>
    <w:p w:rsidR="00A3055B" w:rsidRDefault="00A3055B" w:rsidP="00361794">
      <w:pPr>
        <w:pStyle w:val="Bullet"/>
        <w:rPr>
          <w:lang w:val="en-US"/>
        </w:rPr>
      </w:pPr>
      <w:r>
        <w:rPr>
          <w:lang w:val="en-US"/>
        </w:rPr>
        <w:t>allow b</w:t>
      </w:r>
      <w:r w:rsidRPr="00E655FB">
        <w:rPr>
          <w:lang w:val="en-US"/>
        </w:rPr>
        <w:t>orrowers to provide direct debit authorisation</w:t>
      </w:r>
      <w:r w:rsidR="005B07D6">
        <w:rPr>
          <w:lang w:val="en-US"/>
        </w:rPr>
        <w:t>s</w:t>
      </w:r>
      <w:r w:rsidRPr="00E655FB">
        <w:rPr>
          <w:lang w:val="en-US"/>
        </w:rPr>
        <w:t xml:space="preserve"> to lenders, substantially reducing </w:t>
      </w:r>
      <w:r w:rsidR="00BD6011">
        <w:rPr>
          <w:lang w:val="en-US"/>
        </w:rPr>
        <w:t>the risk of default to the lender</w:t>
      </w:r>
      <w:r>
        <w:rPr>
          <w:lang w:val="en-US"/>
        </w:rPr>
        <w:t>;</w:t>
      </w:r>
    </w:p>
    <w:p w:rsidR="00A3055B" w:rsidRDefault="00A3055B" w:rsidP="00361794">
      <w:pPr>
        <w:pStyle w:val="Bullet"/>
        <w:rPr>
          <w:lang w:val="en-US"/>
        </w:rPr>
      </w:pPr>
      <w:r>
        <w:rPr>
          <w:lang w:val="en-US"/>
        </w:rPr>
        <w:t>can require, for s</w:t>
      </w:r>
      <w:r w:rsidRPr="00E655FB">
        <w:rPr>
          <w:lang w:val="en-US"/>
        </w:rPr>
        <w:t>ome lenders</w:t>
      </w:r>
      <w:r>
        <w:rPr>
          <w:lang w:val="en-US"/>
        </w:rPr>
        <w:t>,</w:t>
      </w:r>
      <w:r w:rsidRPr="00E655FB">
        <w:rPr>
          <w:lang w:val="en-US"/>
        </w:rPr>
        <w:t xml:space="preserve"> security for loans (</w:t>
      </w:r>
      <w:r>
        <w:rPr>
          <w:lang w:val="en-US"/>
        </w:rPr>
        <w:t>for example,</w:t>
      </w:r>
      <w:r w:rsidRPr="00E655FB">
        <w:rPr>
          <w:lang w:val="en-US"/>
        </w:rPr>
        <w:t xml:space="preserve"> bil</w:t>
      </w:r>
      <w:r>
        <w:rPr>
          <w:lang w:val="en-US"/>
        </w:rPr>
        <w:t>ls of sale over motor vehicles); and</w:t>
      </w:r>
    </w:p>
    <w:p w:rsidR="00A3055B" w:rsidRDefault="00A3055B" w:rsidP="00361794">
      <w:pPr>
        <w:pStyle w:val="Bullet"/>
        <w:rPr>
          <w:lang w:val="en-US"/>
        </w:rPr>
      </w:pPr>
      <w:r>
        <w:rPr>
          <w:lang w:val="en-US"/>
        </w:rPr>
        <w:t>‘roll over’ loans</w:t>
      </w:r>
      <w:r w:rsidR="00BD6011">
        <w:rPr>
          <w:lang w:val="en-US"/>
        </w:rPr>
        <w:t>, where loans</w:t>
      </w:r>
      <w:r>
        <w:rPr>
          <w:lang w:val="en-US"/>
        </w:rPr>
        <w:t xml:space="preserve"> can be </w:t>
      </w:r>
      <w:r w:rsidR="00BD6011">
        <w:rPr>
          <w:lang w:val="en-US"/>
        </w:rPr>
        <w:t xml:space="preserve">extended </w:t>
      </w:r>
      <w:r>
        <w:rPr>
          <w:lang w:val="en-US"/>
        </w:rPr>
        <w:t>for a further period for an additional fee (which may result in escalating debt).</w:t>
      </w:r>
    </w:p>
    <w:p w:rsidR="00F157D2" w:rsidRPr="00FB00AA" w:rsidRDefault="00F157D2" w:rsidP="00C13FBB">
      <w:r>
        <w:t xml:space="preserve">Reviews of </w:t>
      </w:r>
      <w:r w:rsidR="008F2770">
        <w:t>small amount</w:t>
      </w:r>
      <w:r>
        <w:t xml:space="preserve"> lending have identified a significant divergence in the level of costs charged by different lenders, with some lenders charging significantly higher costs</w:t>
      </w:r>
      <w:r w:rsidR="00496483">
        <w:t xml:space="preserve">.  </w:t>
      </w:r>
      <w:r>
        <w:t xml:space="preserve">A </w:t>
      </w:r>
      <w:r w:rsidRPr="00424443">
        <w:t xml:space="preserve">comprehensive analysis of </w:t>
      </w:r>
      <w:r>
        <w:t xml:space="preserve">the </w:t>
      </w:r>
      <w:r w:rsidRPr="00424443">
        <w:t>costs of loans charged by 40 Queensland lenders</w:t>
      </w:r>
      <w:r>
        <w:t xml:space="preserve"> (</w:t>
      </w:r>
      <w:r w:rsidRPr="00424443">
        <w:t>undertaken by Howell in 2008</w:t>
      </w:r>
      <w:r>
        <w:t xml:space="preserve">) found considerable </w:t>
      </w:r>
      <w:r w:rsidRPr="005A6328">
        <w:t xml:space="preserve">differences in </w:t>
      </w:r>
      <w:r w:rsidRPr="00F157D2">
        <w:t>cost</w:t>
      </w:r>
      <w:r w:rsidRPr="00987648">
        <w:rPr>
          <w:rStyle w:val="FootnoteReference"/>
        </w:rPr>
        <w:footnoteReference w:id="26"/>
      </w:r>
      <w:r w:rsidR="005B07D6">
        <w:t>:</w:t>
      </w:r>
      <w:r w:rsidRPr="00F157D2">
        <w:t xml:space="preserve"> </w:t>
      </w:r>
    </w:p>
    <w:p w:rsidR="00F157D2" w:rsidRPr="00F157D2" w:rsidRDefault="00F157D2" w:rsidP="00361794">
      <w:pPr>
        <w:pStyle w:val="Bullet"/>
        <w:rPr>
          <w:lang w:val="en-US"/>
        </w:rPr>
      </w:pPr>
      <w:r w:rsidRPr="00FB00AA">
        <w:t>for a loan of $300 over one</w:t>
      </w:r>
      <w:r w:rsidR="00CB4235">
        <w:t xml:space="preserve"> </w:t>
      </w:r>
      <w:r w:rsidRPr="00FB00AA">
        <w:t>week</w:t>
      </w:r>
      <w:r w:rsidR="005B07D6">
        <w:t>,</w:t>
      </w:r>
      <w:r w:rsidRPr="00FB00AA">
        <w:t xml:space="preserve"> consumers could be charged a minimum of $41 and up to $195 (a difference of $154); </w:t>
      </w:r>
    </w:p>
    <w:p w:rsidR="00F157D2" w:rsidRPr="00F157D2" w:rsidRDefault="00F157D2" w:rsidP="0019709A">
      <w:pPr>
        <w:pStyle w:val="Bullet"/>
        <w:rPr>
          <w:lang w:val="en-US"/>
        </w:rPr>
      </w:pPr>
      <w:r w:rsidRPr="00F157D2">
        <w:t xml:space="preserve">for a </w:t>
      </w:r>
      <w:r w:rsidRPr="0019709A">
        <w:t>loan</w:t>
      </w:r>
      <w:r w:rsidRPr="00F157D2">
        <w:t xml:space="preserve"> of $300 over 26 weeks</w:t>
      </w:r>
      <w:r w:rsidR="005B07D6">
        <w:t>,</w:t>
      </w:r>
      <w:r w:rsidRPr="00F157D2">
        <w:t xml:space="preserve"> consumers could be charged between $157 and a maximum of $376 (a difference of $219); and</w:t>
      </w:r>
    </w:p>
    <w:p w:rsidR="00F157D2" w:rsidRPr="00F157D2" w:rsidRDefault="00F157D2" w:rsidP="0019709A">
      <w:pPr>
        <w:pStyle w:val="Bullet"/>
      </w:pPr>
      <w:r w:rsidRPr="00F157D2">
        <w:lastRenderedPageBreak/>
        <w:t>for a loan of $1,</w:t>
      </w:r>
      <w:r w:rsidRPr="0019709A">
        <w:t>000</w:t>
      </w:r>
      <w:r w:rsidRPr="00F157D2">
        <w:t xml:space="preserve"> over a year</w:t>
      </w:r>
      <w:r w:rsidR="005B07D6">
        <w:t>,</w:t>
      </w:r>
      <w:r w:rsidRPr="00F157D2">
        <w:t xml:space="preserve"> consumers could be charged between $622 and $2</w:t>
      </w:r>
      <w:r w:rsidR="00C13FBB">
        <w:t>,</w:t>
      </w:r>
      <w:r w:rsidRPr="00F157D2">
        <w:t xml:space="preserve">074 </w:t>
      </w:r>
      <w:r w:rsidR="00C13FBB">
        <w:br/>
      </w:r>
      <w:r w:rsidRPr="00F157D2">
        <w:t>(a difference of $1</w:t>
      </w:r>
      <w:r w:rsidR="00C13FBB">
        <w:t>,</w:t>
      </w:r>
      <w:r w:rsidRPr="00F157D2">
        <w:t>452).</w:t>
      </w:r>
    </w:p>
    <w:p w:rsidR="00F157D2" w:rsidRDefault="00F157D2">
      <w:pPr>
        <w:rPr>
          <w:highlight w:val="yellow"/>
        </w:rPr>
      </w:pPr>
      <w:r>
        <w:t>The difference</w:t>
      </w:r>
      <w:r w:rsidR="005B07D6">
        <w:t>s</w:t>
      </w:r>
      <w:r>
        <w:t xml:space="preserve"> in cost reflect the la</w:t>
      </w:r>
      <w:r w:rsidR="005B07D6">
        <w:t xml:space="preserve">ck of competition in this area, </w:t>
      </w:r>
      <w:r>
        <w:t>where consumer choices are driven by</w:t>
      </w:r>
      <w:r w:rsidR="005B07D6">
        <w:t xml:space="preserve"> the need to</w:t>
      </w:r>
      <w:r>
        <w:t xml:space="preserve"> access credit rather than price</w:t>
      </w:r>
      <w:r w:rsidR="00496483">
        <w:t xml:space="preserve">.  </w:t>
      </w:r>
    </w:p>
    <w:p w:rsidR="00C25E38" w:rsidRDefault="00C25E38" w:rsidP="0019709A">
      <w:pPr>
        <w:pStyle w:val="Heading1"/>
        <w:rPr>
          <w:color w:val="auto"/>
        </w:rPr>
        <w:sectPr w:rsidR="00C25E38" w:rsidSect="00A96939">
          <w:footerReference w:type="first" r:id="rId29"/>
          <w:type w:val="oddPage"/>
          <w:pgSz w:w="11906" w:h="16838"/>
          <w:pgMar w:top="1418" w:right="1418" w:bottom="1418" w:left="1418" w:header="709" w:footer="709" w:gutter="0"/>
          <w:pgNumType w:start="1"/>
          <w:cols w:space="708"/>
          <w:titlePg/>
          <w:docGrid w:linePitch="360"/>
        </w:sectPr>
      </w:pPr>
    </w:p>
    <w:p w:rsidR="00CB6765" w:rsidRPr="00C15DE4" w:rsidRDefault="00C13FBB" w:rsidP="0019709A">
      <w:pPr>
        <w:pStyle w:val="Heading1"/>
        <w:rPr>
          <w:rStyle w:val="Strong"/>
          <w:b/>
          <w:bCs/>
        </w:rPr>
      </w:pPr>
      <w:bookmarkStart w:id="14" w:name="_Toc322008279"/>
      <w:r w:rsidRPr="00315496">
        <w:lastRenderedPageBreak/>
        <w:t xml:space="preserve">Chapter </w:t>
      </w:r>
      <w:r w:rsidR="002C4CB5" w:rsidRPr="00315496">
        <w:t>2</w:t>
      </w:r>
      <w:r w:rsidR="00A85D80">
        <w:br/>
      </w:r>
      <w:r>
        <w:rPr>
          <w:rStyle w:val="Strong"/>
          <w:b/>
          <w:bCs/>
        </w:rPr>
        <w:t>R</w:t>
      </w:r>
      <w:r w:rsidRPr="00C15DE4">
        <w:rPr>
          <w:rStyle w:val="Strong"/>
          <w:b/>
          <w:bCs/>
        </w:rPr>
        <w:t xml:space="preserve">educing the </w:t>
      </w:r>
      <w:r w:rsidRPr="00315496">
        <w:t>need</w:t>
      </w:r>
      <w:r w:rsidRPr="00C15DE4">
        <w:rPr>
          <w:rStyle w:val="Strong"/>
          <w:b/>
          <w:bCs/>
        </w:rPr>
        <w:t xml:space="preserve"> for small amount loans</w:t>
      </w:r>
      <w:bookmarkEnd w:id="14"/>
    </w:p>
    <w:p w:rsidR="006E750A" w:rsidRDefault="006E750A" w:rsidP="00FB44A0">
      <w:r>
        <w:t>This section of the Paper discusses options to reduce the need for consumers to rely on small amount loans.</w:t>
      </w:r>
    </w:p>
    <w:p w:rsidR="00476C27" w:rsidRDefault="00D80243" w:rsidP="00476C27">
      <w:r>
        <w:t>As noted in the previous c</w:t>
      </w:r>
      <w:r w:rsidR="00476C27">
        <w:t>hapter, the need for high cost, short</w:t>
      </w:r>
      <w:r w:rsidR="00496483">
        <w:noBreakHyphen/>
      </w:r>
      <w:r w:rsidR="00476C27">
        <w:t>term</w:t>
      </w:r>
      <w:r>
        <w:t>, small amount</w:t>
      </w:r>
      <w:r w:rsidR="00476C27">
        <w:t xml:space="preserve"> loans emerges when individuals find themselves with ins</w:t>
      </w:r>
      <w:r>
        <w:t>ufficient</w:t>
      </w:r>
      <w:r w:rsidR="00476C27">
        <w:t xml:space="preserve"> funds to meet recurrent basic living expenses such as food, rent, utilities </w:t>
      </w:r>
      <w:r>
        <w:t>or</w:t>
      </w:r>
      <w:r w:rsidR="00476C27">
        <w:t xml:space="preserve"> other bills, or other one</w:t>
      </w:r>
      <w:r w:rsidR="00496483">
        <w:noBreakHyphen/>
      </w:r>
      <w:r w:rsidR="00476C27">
        <w:t xml:space="preserve">off expenses such as medical costs, car repairs </w:t>
      </w:r>
      <w:r>
        <w:t>or</w:t>
      </w:r>
      <w:r w:rsidR="00476C27">
        <w:t xml:space="preserve"> the purchase of whitegoods.</w:t>
      </w:r>
    </w:p>
    <w:p w:rsidR="00476C27" w:rsidRPr="006E750A" w:rsidRDefault="00476C27" w:rsidP="00476C27">
      <w:r>
        <w:t>The Government funds a number of activities to support vulnerable individuals to better manage their finances</w:t>
      </w:r>
      <w:r w:rsidR="00496483">
        <w:t xml:space="preserve">.  </w:t>
      </w:r>
      <w:r>
        <w:t>These activities take the form of the funding of services and programs such as financial counselling and microfinance programs, and the provision of tools and materials such as advance payments and Centrepay, along with information available through the MoneySmart website.</w:t>
      </w:r>
    </w:p>
    <w:p w:rsidR="00476C27" w:rsidRDefault="00476C27" w:rsidP="00476C27">
      <w:pPr>
        <w:pStyle w:val="Heading2"/>
      </w:pPr>
      <w:bookmarkStart w:id="15" w:name="_Toc322008280"/>
      <w:r>
        <w:t>The Financial Management Program</w:t>
      </w:r>
      <w:bookmarkEnd w:id="15"/>
    </w:p>
    <w:p w:rsidR="00476C27" w:rsidRDefault="00476C27" w:rsidP="00476C27">
      <w:r>
        <w:t xml:space="preserve">The Government’s Financial Management Program (FMP) </w:t>
      </w:r>
      <w:r>
        <w:rPr>
          <w:szCs w:val="22"/>
        </w:rPr>
        <w:t>aims to build financial resilience and wellbeing for vulnerable people and those most at risk of financial and social exclusion and disadvantage</w:t>
      </w:r>
      <w:r w:rsidR="00496483">
        <w:t xml:space="preserve">.  </w:t>
      </w:r>
      <w:r>
        <w:t>The FMP helps individuals across a range of income and financial literacy levels to manage their money, overcome financial adversity, participate in their communities and plan for the medium to long term</w:t>
      </w:r>
      <w:r w:rsidR="00496483">
        <w:t xml:space="preserve">.  </w:t>
      </w:r>
      <w:r>
        <w:t>The services are voluntary, free and available to those experiencing financial difficulties</w:t>
      </w:r>
      <w:r w:rsidR="00496483">
        <w:t xml:space="preserve">.  </w:t>
      </w:r>
    </w:p>
    <w:p w:rsidR="00476C27" w:rsidRDefault="00476C27" w:rsidP="00476C27">
      <w:r>
        <w:t xml:space="preserve">Strategies under the FMP include: </w:t>
      </w:r>
    </w:p>
    <w:p w:rsidR="00476C27" w:rsidRDefault="00476C27" w:rsidP="006A193A">
      <w:pPr>
        <w:pStyle w:val="Bullet"/>
        <w:numPr>
          <w:ilvl w:val="0"/>
          <w:numId w:val="15"/>
        </w:numPr>
      </w:pPr>
      <w:r w:rsidRPr="0019709A">
        <w:rPr>
          <w:i/>
        </w:rPr>
        <w:t>Emergency Relief</w:t>
      </w:r>
      <w:r>
        <w:t xml:space="preserve"> services </w:t>
      </w:r>
      <w:r w:rsidRPr="0019709A">
        <w:t>provide</w:t>
      </w:r>
      <w:r>
        <w:t xml:space="preserve"> support to address immediate needs in time of crisis</w:t>
      </w:r>
      <w:r w:rsidR="00496483">
        <w:t xml:space="preserve">.  </w:t>
      </w:r>
      <w:r>
        <w:t>Assistance often includes food</w:t>
      </w:r>
      <w:r w:rsidR="00D80243">
        <w:t>,</w:t>
      </w:r>
      <w:r>
        <w:t xml:space="preserve"> clothing</w:t>
      </w:r>
      <w:r w:rsidR="00D80243">
        <w:t>,</w:t>
      </w:r>
      <w:r>
        <w:t xml:space="preserve"> transport</w:t>
      </w:r>
      <w:r w:rsidR="00D80243">
        <w:t xml:space="preserve"> vouchers</w:t>
      </w:r>
      <w:r>
        <w:t>, chemist vouchers, help with accommodation</w:t>
      </w:r>
      <w:r w:rsidR="00D80243">
        <w:t xml:space="preserve"> or</w:t>
      </w:r>
      <w:r>
        <w:t xml:space="preserve"> payment of bills, budgeting </w:t>
      </w:r>
      <w:r w:rsidR="00D80243">
        <w:t>advice or</w:t>
      </w:r>
      <w:r>
        <w:t xml:space="preserve"> sometimes</w:t>
      </w:r>
      <w:r w:rsidR="00D80243">
        <w:t xml:space="preserve"> provision of</w:t>
      </w:r>
      <w:r>
        <w:t xml:space="preserve"> cash</w:t>
      </w:r>
      <w:r w:rsidR="00496483">
        <w:t xml:space="preserve">.  </w:t>
      </w:r>
      <w:r>
        <w:t xml:space="preserve">Importantly, Emergency Relief agencies </w:t>
      </w:r>
      <w:r w:rsidR="00D80243">
        <w:t>make</w:t>
      </w:r>
      <w:r>
        <w:t xml:space="preserve"> referrals to other services that help to address the underlying causes of financial crisis and social and financial exclusion.</w:t>
      </w:r>
    </w:p>
    <w:p w:rsidR="00476C27" w:rsidRDefault="00476C27" w:rsidP="006A193A">
      <w:pPr>
        <w:pStyle w:val="Bullet"/>
        <w:numPr>
          <w:ilvl w:val="0"/>
          <w:numId w:val="15"/>
        </w:numPr>
      </w:pPr>
      <w:r>
        <w:rPr>
          <w:i/>
        </w:rPr>
        <w:t>Commonwealth Financial Counselling</w:t>
      </w:r>
      <w:r>
        <w:t xml:space="preserve"> services help people to address their financial problems and make informed choices</w:t>
      </w:r>
      <w:r w:rsidR="00496483">
        <w:t xml:space="preserve">.  </w:t>
      </w:r>
      <w:r>
        <w:t xml:space="preserve">Services may include direct casework (including the provision of advice and information), advocacy and/or negotiation, referrals, </w:t>
      </w:r>
      <w:r w:rsidR="00D80243">
        <w:t xml:space="preserve">or </w:t>
      </w:r>
      <w:r>
        <w:t>community education</w:t>
      </w:r>
      <w:r w:rsidR="00496483">
        <w:t xml:space="preserve">.  </w:t>
      </w:r>
    </w:p>
    <w:p w:rsidR="00476C27" w:rsidRDefault="00476C27" w:rsidP="006A193A">
      <w:pPr>
        <w:pStyle w:val="Bullet"/>
        <w:numPr>
          <w:ilvl w:val="0"/>
          <w:numId w:val="15"/>
        </w:numPr>
      </w:pPr>
      <w:r>
        <w:rPr>
          <w:i/>
        </w:rPr>
        <w:t xml:space="preserve">Microfinance schemes </w:t>
      </w:r>
      <w:r w:rsidR="00C64076" w:rsidRPr="00C64076">
        <w:t>to help people access small amounts for specific purposes</w:t>
      </w:r>
      <w:r w:rsidR="00496483">
        <w:t xml:space="preserve">.  </w:t>
      </w:r>
      <w:r w:rsidR="00C64076" w:rsidRPr="00C64076">
        <w:t>These include</w:t>
      </w:r>
      <w:r w:rsidR="00C64076">
        <w:t>:</w:t>
      </w:r>
    </w:p>
    <w:p w:rsidR="00476C27" w:rsidRDefault="00476C27" w:rsidP="006A193A">
      <w:pPr>
        <w:pStyle w:val="Dash"/>
        <w:numPr>
          <w:ilvl w:val="1"/>
          <w:numId w:val="15"/>
        </w:numPr>
      </w:pPr>
      <w:r>
        <w:t>no interest loans and low interest loans</w:t>
      </w:r>
      <w:r w:rsidR="00496483">
        <w:t xml:space="preserve">.  </w:t>
      </w:r>
      <w:r>
        <w:t xml:space="preserve">Further detail can be found </w:t>
      </w:r>
      <w:r w:rsidR="0081711F">
        <w:t xml:space="preserve">in </w:t>
      </w:r>
      <w:r w:rsidRPr="00144973">
        <w:t xml:space="preserve">Chapter </w:t>
      </w:r>
      <w:r w:rsidR="0081711F" w:rsidRPr="00144973">
        <w:t>4</w:t>
      </w:r>
      <w:r w:rsidRPr="00144973">
        <w:t>;</w:t>
      </w:r>
      <w:r>
        <w:t xml:space="preserve"> and</w:t>
      </w:r>
    </w:p>
    <w:p w:rsidR="00476C27" w:rsidRDefault="00476C27" w:rsidP="006A193A">
      <w:pPr>
        <w:pStyle w:val="Dash"/>
        <w:numPr>
          <w:ilvl w:val="1"/>
          <w:numId w:val="15"/>
        </w:numPr>
      </w:pPr>
      <w:r>
        <w:t>Saver Plus, a matched savings and financial education program targeted at people on low incomes, which is run by the Brotherhood of St Laurence in partnership with the ANZ Bank and the Government</w:t>
      </w:r>
      <w:r w:rsidR="00496483">
        <w:t xml:space="preserve">.  </w:t>
      </w:r>
      <w:r>
        <w:t>It offers people who meet their savings goal matched savings of up to $500 per participant</w:t>
      </w:r>
      <w:r w:rsidR="00496483">
        <w:t xml:space="preserve">.  </w:t>
      </w:r>
      <w:r>
        <w:t>Participants must attend MoneyMinded financial education and learn about planning and saving, understanding paperwork, credit and debit, and rights and responsibilities.</w:t>
      </w:r>
    </w:p>
    <w:p w:rsidR="00476C27" w:rsidRDefault="00476C27" w:rsidP="006A193A">
      <w:pPr>
        <w:pStyle w:val="Bullet"/>
        <w:numPr>
          <w:ilvl w:val="0"/>
          <w:numId w:val="15"/>
        </w:numPr>
      </w:pPr>
      <w:r>
        <w:lastRenderedPageBreak/>
        <w:t>The Government</w:t>
      </w:r>
      <w:r w:rsidR="00C64076">
        <w:t>’s</w:t>
      </w:r>
      <w:r>
        <w:t xml:space="preserve"> </w:t>
      </w:r>
      <w:r w:rsidRPr="0019709A">
        <w:rPr>
          <w:i/>
        </w:rPr>
        <w:t>Community Development Financial Institutions</w:t>
      </w:r>
      <w:r>
        <w:t xml:space="preserve"> </w:t>
      </w:r>
      <w:r w:rsidRPr="0019709A">
        <w:rPr>
          <w:i/>
        </w:rPr>
        <w:t>(CDFI) pilot project</w:t>
      </w:r>
      <w:r>
        <w:t xml:space="preserve">, </w:t>
      </w:r>
      <w:r w:rsidRPr="0019709A">
        <w:t>managed</w:t>
      </w:r>
      <w:r>
        <w:t xml:space="preserve"> by FaHSCIA, has</w:t>
      </w:r>
      <w:r w:rsidR="00C64076">
        <w:t xml:space="preserve"> funded</w:t>
      </w:r>
      <w:r>
        <w:t xml:space="preserve"> five organisations to provide low cost lending and other facilities for low income earners</w:t>
      </w:r>
      <w:r w:rsidR="00496483">
        <w:t xml:space="preserve">.  </w:t>
      </w:r>
      <w:r>
        <w:t xml:space="preserve">Further detail can be found at </w:t>
      </w:r>
      <w:r w:rsidRPr="00144973">
        <w:t xml:space="preserve">Chapter </w:t>
      </w:r>
      <w:r w:rsidR="0081711F">
        <w:t>4</w:t>
      </w:r>
      <w:r w:rsidR="00496483">
        <w:t xml:space="preserve">.  </w:t>
      </w:r>
    </w:p>
    <w:p w:rsidR="00476C27" w:rsidRDefault="00476C27" w:rsidP="006A193A">
      <w:pPr>
        <w:pStyle w:val="Bullet"/>
        <w:numPr>
          <w:ilvl w:val="0"/>
          <w:numId w:val="15"/>
        </w:numPr>
      </w:pPr>
      <w:r>
        <w:t xml:space="preserve">The </w:t>
      </w:r>
      <w:r>
        <w:rPr>
          <w:i/>
        </w:rPr>
        <w:t>Home Energy Saver Scheme</w:t>
      </w:r>
      <w:r>
        <w:t xml:space="preserve"> (HESS) will provide support to low</w:t>
      </w:r>
      <w:r w:rsidR="00496483">
        <w:noBreakHyphen/>
      </w:r>
      <w:r>
        <w:t xml:space="preserve">income households across Australia experiencing difficulty meeting and paying for their energy </w:t>
      </w:r>
      <w:r w:rsidR="00B542C2">
        <w:t>needs</w:t>
      </w:r>
      <w:r w:rsidR="00496483">
        <w:t xml:space="preserve">.  </w:t>
      </w:r>
      <w:r w:rsidR="00B542C2">
        <w:t>Further</w:t>
      </w:r>
      <w:r>
        <w:t xml:space="preserve"> detail can be found </w:t>
      </w:r>
      <w:r w:rsidR="0081711F">
        <w:t>later in this</w:t>
      </w:r>
      <w:r>
        <w:t xml:space="preserve"> </w:t>
      </w:r>
      <w:r w:rsidRPr="00144973">
        <w:t>Chapter</w:t>
      </w:r>
      <w:r w:rsidR="00496483">
        <w:t xml:space="preserve">.  </w:t>
      </w:r>
    </w:p>
    <w:p w:rsidR="00476C27" w:rsidRDefault="00476C27" w:rsidP="006A193A">
      <w:pPr>
        <w:pStyle w:val="Bullet"/>
        <w:numPr>
          <w:ilvl w:val="0"/>
          <w:numId w:val="15"/>
        </w:numPr>
      </w:pPr>
      <w:r w:rsidRPr="00C64076">
        <w:rPr>
          <w:i/>
        </w:rPr>
        <w:t>Money Management Service</w:t>
      </w:r>
      <w:r w:rsidR="00C64076">
        <w:rPr>
          <w:i/>
        </w:rPr>
        <w:t>s</w:t>
      </w:r>
      <w:r>
        <w:t xml:space="preserve"> provide</w:t>
      </w:r>
      <w:r w:rsidR="005F551A">
        <w:t>s</w:t>
      </w:r>
      <w:r>
        <w:t xml:space="preserve"> practical and essential support to help people build </w:t>
      </w:r>
      <w:r w:rsidR="00C64076">
        <w:t xml:space="preserve">their </w:t>
      </w:r>
      <w:r>
        <w:t>capability to manage their money better</w:t>
      </w:r>
      <w:r w:rsidR="00C64076">
        <w:t xml:space="preserve"> in the longer term</w:t>
      </w:r>
      <w:r>
        <w:t xml:space="preserve"> and increase</w:t>
      </w:r>
      <w:r w:rsidR="00C64076">
        <w:t xml:space="preserve"> their</w:t>
      </w:r>
      <w:r>
        <w:t xml:space="preserve"> financial resilience</w:t>
      </w:r>
      <w:r w:rsidR="00496483">
        <w:t xml:space="preserve">.  </w:t>
      </w:r>
      <w:r>
        <w:t>The</w:t>
      </w:r>
      <w:r w:rsidR="00C64076">
        <w:t xml:space="preserve"> services</w:t>
      </w:r>
      <w:r>
        <w:t xml:space="preserve"> are primarily delivered in remote locations with high </w:t>
      </w:r>
      <w:r w:rsidR="00C64076">
        <w:t>Indigenous</w:t>
      </w:r>
      <w:r>
        <w:t xml:space="preserve"> population</w:t>
      </w:r>
      <w:r w:rsidR="00C64076">
        <w:t>s and</w:t>
      </w:r>
      <w:r>
        <w:t xml:space="preserve"> are open to the broader community</w:t>
      </w:r>
      <w:r w:rsidR="00496483">
        <w:t xml:space="preserve">.  </w:t>
      </w:r>
      <w:r>
        <w:t xml:space="preserve">Services may include: education and coaching in financial literacy and budgeting; provision of tools to </w:t>
      </w:r>
      <w:r w:rsidR="00C64076">
        <w:t>support</w:t>
      </w:r>
      <w:r>
        <w:t xml:space="preserve"> individual and family budgeting and savings</w:t>
      </w:r>
      <w:r w:rsidR="00C64076">
        <w:t xml:space="preserve"> </w:t>
      </w:r>
      <w:r>
        <w:t>and debt management plans; and delivery of approved money management courses.</w:t>
      </w:r>
    </w:p>
    <w:p w:rsidR="00476C27" w:rsidRDefault="00476C27" w:rsidP="006A193A">
      <w:pPr>
        <w:pStyle w:val="Bullet"/>
        <w:numPr>
          <w:ilvl w:val="0"/>
          <w:numId w:val="15"/>
        </w:numPr>
      </w:pPr>
      <w:r>
        <w:t xml:space="preserve">Other </w:t>
      </w:r>
      <w:r w:rsidR="00C64076">
        <w:t>initiatives</w:t>
      </w:r>
      <w:r>
        <w:t xml:space="preserve"> under the FMP include</w:t>
      </w:r>
      <w:r w:rsidR="00C64076">
        <w:t xml:space="preserve"> funding for the National Information Centre on Retirement Investments</w:t>
      </w:r>
      <w:r>
        <w:t xml:space="preserve"> and research into problem gambling.</w:t>
      </w:r>
    </w:p>
    <w:p w:rsidR="00476C27" w:rsidRPr="00320022" w:rsidRDefault="00C13FBB" w:rsidP="00476C27">
      <w:pPr>
        <w:pStyle w:val="Heading2"/>
      </w:pPr>
      <w:bookmarkStart w:id="16" w:name="_Toc322008281"/>
      <w:r>
        <w:t>Money</w:t>
      </w:r>
      <w:r w:rsidR="00476C27">
        <w:t xml:space="preserve">Smart </w:t>
      </w:r>
      <w:r w:rsidR="00A051F4">
        <w:t>w</w:t>
      </w:r>
      <w:r w:rsidR="00476C27">
        <w:t>ebsite</w:t>
      </w:r>
      <w:bookmarkEnd w:id="16"/>
    </w:p>
    <w:p w:rsidR="00476C27" w:rsidRPr="00216AF8" w:rsidRDefault="00476C27" w:rsidP="00476C27">
      <w:pPr>
        <w:pStyle w:val="OutlineNumbered1"/>
        <w:numPr>
          <w:ilvl w:val="0"/>
          <w:numId w:val="0"/>
        </w:numPr>
        <w:spacing w:line="240" w:lineRule="auto"/>
      </w:pPr>
      <w:r>
        <w:t>The MoneySmart website (www.moneysmart.gov.au), run by the Australian Securities and Investments Commission</w:t>
      </w:r>
      <w:r w:rsidR="00C64076">
        <w:t>,</w:t>
      </w:r>
      <w:r>
        <w:t xml:space="preserve"> is also available to assist individuals to make smart choices about their personal finances</w:t>
      </w:r>
      <w:r w:rsidR="00496483">
        <w:t xml:space="preserve">.  </w:t>
      </w:r>
      <w:r>
        <w:t>This website provides free, independent guidance to individuals about how to improve their personal finances, including information on dealing with life transitions such as losing your job, having a baby, divorce or separation and buying a home</w:t>
      </w:r>
      <w:r w:rsidR="00496483">
        <w:t xml:space="preserve">.  </w:t>
      </w:r>
      <w:r>
        <w:t xml:space="preserve">Tools available through the website include budget planners, a savings goal calculator, </w:t>
      </w:r>
      <w:r w:rsidR="00C64076">
        <w:t xml:space="preserve">a </w:t>
      </w:r>
      <w:r>
        <w:t>financial counsellor online search too</w:t>
      </w:r>
      <w:r w:rsidR="00C30A84">
        <w:t>l</w:t>
      </w:r>
      <w:r w:rsidR="00C64076">
        <w:t xml:space="preserve">, </w:t>
      </w:r>
      <w:r>
        <w:t>personal loan and credit card calculators</w:t>
      </w:r>
      <w:r w:rsidR="00C64076">
        <w:t xml:space="preserve"> and</w:t>
      </w:r>
      <w:r>
        <w:t xml:space="preserve"> fact sheets on various topics such as payday lending and the No Interest Loans Scheme</w:t>
      </w:r>
      <w:r w:rsidR="00496483">
        <w:t xml:space="preserve">.  </w:t>
      </w:r>
    </w:p>
    <w:p w:rsidR="00751E45" w:rsidRPr="00505CC0" w:rsidRDefault="002C4CB5" w:rsidP="001A7E5D">
      <w:pPr>
        <w:pStyle w:val="Heading2"/>
      </w:pPr>
      <w:bookmarkStart w:id="17" w:name="_Toc314138420"/>
      <w:bookmarkStart w:id="18" w:name="_Toc311116716"/>
      <w:bookmarkStart w:id="19" w:name="_Toc322008282"/>
      <w:r w:rsidRPr="00F51499">
        <w:t>Centrepay</w:t>
      </w:r>
      <w:r w:rsidR="00B4584C">
        <w:t xml:space="preserve">, </w:t>
      </w:r>
      <w:r w:rsidR="00A051F4">
        <w:t>a</w:t>
      </w:r>
      <w:r w:rsidR="00B4584C">
        <w:t>dvance</w:t>
      </w:r>
      <w:r w:rsidR="00311DD6">
        <w:t>s</w:t>
      </w:r>
      <w:r w:rsidR="00B4584C">
        <w:t xml:space="preserve"> </w:t>
      </w:r>
      <w:r w:rsidR="00A051F4">
        <w:t>a</w:t>
      </w:r>
      <w:r w:rsidRPr="00F51499">
        <w:t xml:space="preserve">nd </w:t>
      </w:r>
      <w:r w:rsidR="00A051F4">
        <w:t>w</w:t>
      </w:r>
      <w:r w:rsidRPr="00F51499">
        <w:t xml:space="preserve">eekly </w:t>
      </w:r>
      <w:r w:rsidR="00A051F4">
        <w:t>p</w:t>
      </w:r>
      <w:r w:rsidRPr="00F51499">
        <w:t>ayments</w:t>
      </w:r>
      <w:bookmarkEnd w:id="17"/>
      <w:bookmarkEnd w:id="19"/>
    </w:p>
    <w:p w:rsidR="00751E45" w:rsidRDefault="005F551A" w:rsidP="00751E45">
      <w:r>
        <w:t>In addition to programs and services funded under the FMP, t</w:t>
      </w:r>
      <w:r w:rsidR="00751E45">
        <w:t>he Australian Government has a number of tools</w:t>
      </w:r>
      <w:r>
        <w:t xml:space="preserve"> and services available through the Department of Human Services (DHS)</w:t>
      </w:r>
      <w:r w:rsidR="00751E45">
        <w:t xml:space="preserve"> to assist with </w:t>
      </w:r>
      <w:r w:rsidR="008A7CC4">
        <w:t xml:space="preserve">smoothing lumpy expenditure and </w:t>
      </w:r>
      <w:r w:rsidR="00751E45">
        <w:t>quick access to money in times of</w:t>
      </w:r>
      <w:r w:rsidR="008A7CC4">
        <w:t xml:space="preserve"> crisis</w:t>
      </w:r>
      <w:r w:rsidR="00751E45">
        <w:t xml:space="preserve">, such as </w:t>
      </w:r>
      <w:r>
        <w:t xml:space="preserve">Centrepay or </w:t>
      </w:r>
      <w:r w:rsidR="00751E45">
        <w:t>Advance Payments</w:t>
      </w:r>
      <w:r w:rsidR="00311DD6">
        <w:t xml:space="preserve"> respectively</w:t>
      </w:r>
      <w:r w:rsidR="00496483">
        <w:t xml:space="preserve">.  </w:t>
      </w:r>
      <w:r w:rsidR="00751E45">
        <w:t>In</w:t>
      </w:r>
      <w:r w:rsidR="001A7E5D">
        <w:t>c</w:t>
      </w:r>
      <w:r w:rsidR="00751E45">
        <w:t>reased promotion</w:t>
      </w:r>
      <w:r>
        <w:t xml:space="preserve"> and</w:t>
      </w:r>
      <w:r w:rsidR="00751E45">
        <w:t xml:space="preserve"> use of these options </w:t>
      </w:r>
      <w:r w:rsidR="00C51983">
        <w:t>m</w:t>
      </w:r>
      <w:r w:rsidR="00751E45">
        <w:t>ay assist individuals to better manage their money and reduce demand for</w:t>
      </w:r>
      <w:r>
        <w:t xml:space="preserve"> high</w:t>
      </w:r>
      <w:r w:rsidR="00496483">
        <w:noBreakHyphen/>
      </w:r>
      <w:r>
        <w:t>cost</w:t>
      </w:r>
      <w:r w:rsidR="008A7CC4">
        <w:t>, s</w:t>
      </w:r>
      <w:r w:rsidR="00751E45">
        <w:t>mall amount loans.</w:t>
      </w:r>
    </w:p>
    <w:p w:rsidR="00751E45" w:rsidRPr="00B4584C" w:rsidRDefault="00751E45" w:rsidP="001A7E5D">
      <w:pPr>
        <w:pStyle w:val="Heading2"/>
        <w:rPr>
          <w:b w:val="0"/>
        </w:rPr>
      </w:pPr>
      <w:bookmarkStart w:id="20" w:name="_Toc322008283"/>
      <w:r w:rsidRPr="00180B51">
        <w:t>Centrepay</w:t>
      </w:r>
      <w:bookmarkEnd w:id="20"/>
      <w:r w:rsidRPr="00B4584C">
        <w:rPr>
          <w:b w:val="0"/>
        </w:rPr>
        <w:t xml:space="preserve"> </w:t>
      </w:r>
    </w:p>
    <w:p w:rsidR="001A7E5D" w:rsidRPr="00152FAC" w:rsidRDefault="001A7E5D" w:rsidP="002C4CB5">
      <w:pPr>
        <w:pStyle w:val="Caption"/>
        <w:rPr>
          <w:i/>
        </w:rPr>
      </w:pPr>
      <w:r w:rsidRPr="00152FAC">
        <w:t>Current</w:t>
      </w:r>
      <w:r w:rsidRPr="00152FAC">
        <w:rPr>
          <w:i/>
        </w:rPr>
        <w:t xml:space="preserve"> </w:t>
      </w:r>
      <w:r w:rsidR="00A051F4">
        <w:rPr>
          <w:rStyle w:val="Emphasis"/>
          <w:i w:val="0"/>
        </w:rPr>
        <w:t>a</w:t>
      </w:r>
      <w:r w:rsidRPr="00152FAC">
        <w:rPr>
          <w:rStyle w:val="Emphasis"/>
          <w:i w:val="0"/>
        </w:rPr>
        <w:t>rrangements</w:t>
      </w:r>
    </w:p>
    <w:p w:rsidR="00751E45" w:rsidRDefault="00751E45" w:rsidP="00751E45">
      <w:r w:rsidRPr="005D1ADB">
        <w:t xml:space="preserve">Centrepay provides </w:t>
      </w:r>
      <w:r w:rsidR="00152FAC">
        <w:t>DHS</w:t>
      </w:r>
      <w:r w:rsidRPr="005D1ADB">
        <w:t xml:space="preserve"> customers with a free bill paying service that allows for voluntary deductions direct from </w:t>
      </w:r>
      <w:r w:rsidR="00152FAC">
        <w:t>DHS</w:t>
      </w:r>
      <w:r w:rsidRPr="005D1ADB">
        <w:t xml:space="preserve"> payments</w:t>
      </w:r>
      <w:r w:rsidR="00496483">
        <w:t xml:space="preserve">.  </w:t>
      </w:r>
      <w:r w:rsidRPr="005D1ADB">
        <w:t>These deductions are forwarded directly to the participating entities as full or part payment for essential services</w:t>
      </w:r>
      <w:r w:rsidR="00152FAC">
        <w:t xml:space="preserve"> prior to the customer's money being deposited into their bank account</w:t>
      </w:r>
      <w:r w:rsidR="00496483">
        <w:t xml:space="preserve">.  </w:t>
      </w:r>
    </w:p>
    <w:p w:rsidR="00751E45" w:rsidRDefault="00751E45" w:rsidP="00751E45">
      <w:r>
        <w:t xml:space="preserve">Centrepay was originally </w:t>
      </w:r>
      <w:r w:rsidR="00152FAC">
        <w:t xml:space="preserve">introduced in </w:t>
      </w:r>
      <w:r w:rsidR="005F551A">
        <w:t xml:space="preserve">Indigenous </w:t>
      </w:r>
      <w:r w:rsidR="00152FAC">
        <w:t>communities to</w:t>
      </w:r>
      <w:r w:rsidR="003B0CAA">
        <w:t xml:space="preserve"> help with housing payments</w:t>
      </w:r>
      <w:r w:rsidR="00496483">
        <w:t xml:space="preserve">.  </w:t>
      </w:r>
      <w:r w:rsidR="00152FAC">
        <w:t>It was expanded a</w:t>
      </w:r>
      <w:r>
        <w:t>s a debt prevention</w:t>
      </w:r>
      <w:r w:rsidR="00152FAC">
        <w:t xml:space="preserve"> measure </w:t>
      </w:r>
      <w:r>
        <w:t xml:space="preserve">to ensure bank accounts did not </w:t>
      </w:r>
      <w:r>
        <w:lastRenderedPageBreak/>
        <w:t>become overdrawn through bank direct debit arrangements and to minimise direct debit costs for low income earners</w:t>
      </w:r>
      <w:r w:rsidR="00496483">
        <w:t xml:space="preserve">.  </w:t>
      </w:r>
      <w:r>
        <w:t>It has not to date been used to support customers’ savings strategies</w:t>
      </w:r>
      <w:r w:rsidR="00496483">
        <w:t xml:space="preserve">.  </w:t>
      </w:r>
      <w:r w:rsidR="00152FAC">
        <w:t>DHS has</w:t>
      </w:r>
      <w:r w:rsidR="005F551A">
        <w:t xml:space="preserve"> in the past</w:t>
      </w:r>
      <w:r w:rsidR="00152FAC">
        <w:t xml:space="preserve"> explored providing a savings deduction option but this has</w:t>
      </w:r>
      <w:r w:rsidR="003B0CAA">
        <w:t xml:space="preserve"> not proceeded </w:t>
      </w:r>
      <w:r w:rsidR="005F551A">
        <w:t>for a number of reasons, including</w:t>
      </w:r>
      <w:r w:rsidR="00152FAC">
        <w:t>:</w:t>
      </w:r>
    </w:p>
    <w:p w:rsidR="00152FAC" w:rsidRDefault="00152FAC" w:rsidP="00152FAC">
      <w:pPr>
        <w:pStyle w:val="Bullet"/>
      </w:pPr>
      <w:r>
        <w:t xml:space="preserve">DHS </w:t>
      </w:r>
      <w:r w:rsidR="005F551A">
        <w:t>is not</w:t>
      </w:r>
      <w:r>
        <w:t xml:space="preserve"> a financial institution so banking laws do not permit </w:t>
      </w:r>
      <w:r w:rsidR="003B0CAA">
        <w:t>it</w:t>
      </w:r>
      <w:r>
        <w:t xml:space="preserve"> to hold customer</w:t>
      </w:r>
      <w:r w:rsidR="003B0CAA">
        <w:t>s’</w:t>
      </w:r>
      <w:r>
        <w:t xml:space="preserve"> money in savings; and</w:t>
      </w:r>
    </w:p>
    <w:p w:rsidR="00152FAC" w:rsidRDefault="00152FAC" w:rsidP="00152FAC">
      <w:pPr>
        <w:pStyle w:val="Bullet"/>
      </w:pPr>
      <w:r>
        <w:t>banks already provide savings schemes and therefore have been reluctant to pay the Centrepay fee.</w:t>
      </w:r>
    </w:p>
    <w:p w:rsidR="00751E45" w:rsidRDefault="00751E45" w:rsidP="00751E45">
      <w:r>
        <w:t>Organisations pay</w:t>
      </w:r>
      <w:r w:rsidR="00152FAC">
        <w:t xml:space="preserve"> DHS a fee </w:t>
      </w:r>
      <w:r>
        <w:t>for</w:t>
      </w:r>
      <w:r w:rsidR="00152FAC">
        <w:t xml:space="preserve"> receiving </w:t>
      </w:r>
      <w:r>
        <w:t>payments through Centrepay and must demonstrate that they meet all legislative and regulatory requirements relevant to that business in order to become an approved Centrepay participant</w:t>
      </w:r>
      <w:r w:rsidR="00496483">
        <w:t xml:space="preserve">.  </w:t>
      </w:r>
      <w:r>
        <w:t>Participants must demonstrate an external dispute resolution mechanism to be</w:t>
      </w:r>
      <w:r w:rsidR="003B0CAA">
        <w:t xml:space="preserve"> eligible for inclusion in the s</w:t>
      </w:r>
      <w:r>
        <w:t>cheme</w:t>
      </w:r>
      <w:r w:rsidR="00496483">
        <w:t xml:space="preserve">.  </w:t>
      </w:r>
      <w:r>
        <w:t>Should a Centrepay participant breach these requirements it</w:t>
      </w:r>
      <w:r w:rsidR="00152FAC">
        <w:t xml:space="preserve"> may </w:t>
      </w:r>
      <w:r>
        <w:t xml:space="preserve">no longer be </w:t>
      </w:r>
      <w:r w:rsidR="003B0CAA">
        <w:t>eligible to participate in the s</w:t>
      </w:r>
      <w:r>
        <w:t>cheme</w:t>
      </w:r>
      <w:r w:rsidR="00496483">
        <w:t xml:space="preserve">.  </w:t>
      </w:r>
    </w:p>
    <w:p w:rsidR="00751E45" w:rsidRDefault="00751E45" w:rsidP="00751E45">
      <w:pPr>
        <w:rPr>
          <w:rFonts w:cs="Arial"/>
        </w:rPr>
      </w:pPr>
      <w:r>
        <w:rPr>
          <w:rFonts w:cs="Arial"/>
        </w:rPr>
        <w:t xml:space="preserve">In recent research, </w:t>
      </w:r>
      <w:r w:rsidRPr="00DA021F">
        <w:rPr>
          <w:rFonts w:cs="Arial"/>
        </w:rPr>
        <w:t xml:space="preserve">Good </w:t>
      </w:r>
      <w:r>
        <w:rPr>
          <w:rFonts w:cs="Arial"/>
        </w:rPr>
        <w:t>Shepherd Youth and Family Service highlighted the importance of Centrepay in helping people to manage their money and providing payment options for people on low incomes.</w:t>
      </w:r>
      <w:r w:rsidRPr="00151A8C">
        <w:rPr>
          <w:vertAlign w:val="superscript"/>
        </w:rPr>
        <w:footnoteReference w:id="27"/>
      </w:r>
      <w:r w:rsidR="005B2D60">
        <w:rPr>
          <w:rFonts w:cs="Arial"/>
        </w:rPr>
        <w:t xml:space="preserve"> </w:t>
      </w:r>
      <w:r>
        <w:rPr>
          <w:rFonts w:cs="Arial"/>
        </w:rPr>
        <w:t xml:space="preserve">The report noted that the use of Centrepay was preferred to direct debits </w:t>
      </w:r>
      <w:r w:rsidR="005B2958">
        <w:rPr>
          <w:rFonts w:cs="Arial"/>
        </w:rPr>
        <w:t xml:space="preserve">because household expenses are removed from </w:t>
      </w:r>
      <w:r>
        <w:rPr>
          <w:rFonts w:cs="Arial"/>
        </w:rPr>
        <w:t>welfare payments before they arrive at the financial institution</w:t>
      </w:r>
      <w:r w:rsidR="00496483">
        <w:rPr>
          <w:rFonts w:cs="Arial"/>
        </w:rPr>
        <w:t xml:space="preserve">.  </w:t>
      </w:r>
      <w:r w:rsidR="005B2958">
        <w:rPr>
          <w:rFonts w:cs="Arial"/>
        </w:rPr>
        <w:t>This allows DHS customers to better manage their money</w:t>
      </w:r>
    </w:p>
    <w:p w:rsidR="00751E45" w:rsidRDefault="00751E45" w:rsidP="00751E45">
      <w:r>
        <w:t>In order to protect customers,</w:t>
      </w:r>
      <w:r w:rsidR="005B2958">
        <w:t xml:space="preserve"> DHS </w:t>
      </w:r>
      <w:r>
        <w:t xml:space="preserve">has restricted access to Centrepay to organisations </w:t>
      </w:r>
      <w:r w:rsidR="003B0CAA">
        <w:t>that</w:t>
      </w:r>
      <w:r>
        <w:t xml:space="preserve"> align with specific service reasons defined in Centrepay policy</w:t>
      </w:r>
      <w:r w:rsidR="00496483">
        <w:t xml:space="preserve">.  </w:t>
      </w:r>
      <w:r>
        <w:t>These service reasons</w:t>
      </w:r>
      <w:r w:rsidR="003B0CAA">
        <w:t xml:space="preserve"> support the use of Centrepay as a tool that helps</w:t>
      </w:r>
      <w:r>
        <w:t xml:space="preserve"> customers to improve their financial self</w:t>
      </w:r>
      <w:r w:rsidR="00496483">
        <w:noBreakHyphen/>
      </w:r>
      <w:r>
        <w:t xml:space="preserve">management, and cover </w:t>
      </w:r>
      <w:r w:rsidR="005B2958">
        <w:t>payments for essential services and regular ongoing expenses s</w:t>
      </w:r>
      <w:r>
        <w:t>uch as accommodation, education and employment</w:t>
      </w:r>
      <w:r w:rsidR="00496483">
        <w:t xml:space="preserve">.  </w:t>
      </w:r>
    </w:p>
    <w:p w:rsidR="00751E45" w:rsidRDefault="00751E45" w:rsidP="00751E45">
      <w:r>
        <w:t xml:space="preserve">Currently, Centrepay is used successfully by </w:t>
      </w:r>
      <w:r w:rsidR="00122004">
        <w:t>Good Shepherd Microfinance</w:t>
      </w:r>
      <w:r w:rsidR="003B0CAA">
        <w:t xml:space="preserve"> for</w:t>
      </w:r>
      <w:r w:rsidR="00122004">
        <w:t xml:space="preserve"> </w:t>
      </w:r>
      <w:r>
        <w:t>No Interest Loan Scheme (NILS)</w:t>
      </w:r>
      <w:r w:rsidR="003B0CAA">
        <w:t xml:space="preserve"> repayments by customers</w:t>
      </w:r>
      <w:r w:rsidR="00496483">
        <w:t xml:space="preserve">.  </w:t>
      </w:r>
    </w:p>
    <w:p w:rsidR="001A7E5D" w:rsidRPr="00FF7826" w:rsidRDefault="001A7E5D" w:rsidP="002C4CB5">
      <w:pPr>
        <w:pStyle w:val="Caption"/>
      </w:pPr>
      <w:r w:rsidRPr="00FF7826">
        <w:t>Options</w:t>
      </w:r>
    </w:p>
    <w:p w:rsidR="00751E45" w:rsidRDefault="00751E45" w:rsidP="00751E45">
      <w:r>
        <w:t xml:space="preserve">One way to assist vulnerable individuals to pay for essential items without the need to resort to </w:t>
      </w:r>
      <w:r w:rsidR="00F3232F">
        <w:t xml:space="preserve">high cost, </w:t>
      </w:r>
      <w:r w:rsidR="00CB1014">
        <w:t>small amount</w:t>
      </w:r>
      <w:r>
        <w:t xml:space="preserve"> loans </w:t>
      </w:r>
      <w:r w:rsidR="001674A7">
        <w:t>could be</w:t>
      </w:r>
      <w:r>
        <w:t xml:space="preserve"> to extend Centrepay eligibility for </w:t>
      </w:r>
      <w:r w:rsidR="001674A7">
        <w:t xml:space="preserve">a broader range of </w:t>
      </w:r>
      <w:r>
        <w:t>purposes</w:t>
      </w:r>
      <w:r w:rsidR="00496483">
        <w:t xml:space="preserve">.  </w:t>
      </w:r>
      <w:r w:rsidR="00154C8D">
        <w:t>This may include, f</w:t>
      </w:r>
      <w:r w:rsidR="001674A7">
        <w:t>or example</w:t>
      </w:r>
      <w:r>
        <w:t>,</w:t>
      </w:r>
      <w:r w:rsidR="00F3232F">
        <w:t xml:space="preserve"> providing </w:t>
      </w:r>
      <w:r>
        <w:t xml:space="preserve">access to alternative financial products provided by CDFIs </w:t>
      </w:r>
      <w:r w:rsidR="00154C8D">
        <w:t>or</w:t>
      </w:r>
      <w:r>
        <w:t xml:space="preserve"> other organisations with a charitable or social purpose</w:t>
      </w:r>
      <w:r w:rsidR="00496483">
        <w:t xml:space="preserve">.  </w:t>
      </w:r>
    </w:p>
    <w:p w:rsidR="00751E45" w:rsidRDefault="00751E45" w:rsidP="00751E45">
      <w:r>
        <w:t>Under an</w:t>
      </w:r>
      <w:r w:rsidR="006212A0">
        <w:t xml:space="preserve">y expanded criteria, services would have to </w:t>
      </w:r>
      <w:r>
        <w:t>meet the objectives of the Centrepay scheme to enhance the well</w:t>
      </w:r>
      <w:r w:rsidR="00496483">
        <w:noBreakHyphen/>
      </w:r>
      <w:r>
        <w:t>being of its customers by improving their social capacity and encouraging their movement towards financial self</w:t>
      </w:r>
      <w:r w:rsidR="00496483">
        <w:noBreakHyphen/>
      </w:r>
      <w:r>
        <w:t>management</w:t>
      </w:r>
      <w:r w:rsidR="00496483">
        <w:t xml:space="preserve">.  </w:t>
      </w:r>
      <w:r>
        <w:t xml:space="preserve">Organisations funded under </w:t>
      </w:r>
      <w:r w:rsidR="006212A0">
        <w:t>FaHCSIA’s</w:t>
      </w:r>
      <w:r>
        <w:t xml:space="preserve"> microfinance service strategy</w:t>
      </w:r>
      <w:r w:rsidR="001674A7">
        <w:t xml:space="preserve"> could</w:t>
      </w:r>
      <w:r>
        <w:t xml:space="preserve"> achieve this by:</w:t>
      </w:r>
    </w:p>
    <w:p w:rsidR="00751E45" w:rsidRDefault="00751E45" w:rsidP="0019709A">
      <w:pPr>
        <w:pStyle w:val="Bullet"/>
      </w:pPr>
      <w:r>
        <w:t>providing access to credit for those underserved by mainstream financial services;</w:t>
      </w:r>
    </w:p>
    <w:p w:rsidR="00751E45" w:rsidRDefault="00751E45" w:rsidP="009D02CC">
      <w:pPr>
        <w:pStyle w:val="Bullet"/>
      </w:pPr>
      <w:r>
        <w:t xml:space="preserve">providing an alternative to costly small amount, </w:t>
      </w:r>
      <w:r w:rsidR="007F28C1">
        <w:t>short</w:t>
      </w:r>
      <w:r w:rsidR="00496483">
        <w:noBreakHyphen/>
      </w:r>
      <w:r w:rsidR="007F28C1">
        <w:t>term</w:t>
      </w:r>
      <w:r>
        <w:t xml:space="preserve"> lenders;</w:t>
      </w:r>
    </w:p>
    <w:p w:rsidR="00751E45" w:rsidRDefault="00751E45" w:rsidP="009D02CC">
      <w:pPr>
        <w:pStyle w:val="Bullet"/>
      </w:pPr>
      <w:r>
        <w:t>building financial capability through financial education and money mentoring; and</w:t>
      </w:r>
    </w:p>
    <w:p w:rsidR="00751E45" w:rsidRDefault="00751E45" w:rsidP="009D02CC">
      <w:pPr>
        <w:pStyle w:val="Bullet"/>
      </w:pPr>
      <w:r>
        <w:lastRenderedPageBreak/>
        <w:t>providing a pathway for individuals to transition to mainstream financial services by improving an individual’s credit rating.</w:t>
      </w:r>
    </w:p>
    <w:p w:rsidR="00751E45" w:rsidRPr="00180B51" w:rsidRDefault="00751E45" w:rsidP="00786171">
      <w:pPr>
        <w:pStyle w:val="Heading2"/>
      </w:pPr>
      <w:bookmarkStart w:id="21" w:name="_Toc322008284"/>
      <w:r w:rsidRPr="00180B51">
        <w:t xml:space="preserve">Advance </w:t>
      </w:r>
      <w:r w:rsidR="00A051F4">
        <w:t>p</w:t>
      </w:r>
      <w:r w:rsidRPr="00180B51">
        <w:t>ayments</w:t>
      </w:r>
      <w:bookmarkEnd w:id="21"/>
    </w:p>
    <w:p w:rsidR="001A7E5D" w:rsidRDefault="001A7E5D" w:rsidP="00751E45">
      <w:pPr>
        <w:rPr>
          <w:b/>
        </w:rPr>
      </w:pPr>
      <w:r w:rsidRPr="00FF7826">
        <w:rPr>
          <w:b/>
        </w:rPr>
        <w:t xml:space="preserve">Current </w:t>
      </w:r>
      <w:r w:rsidR="00A051F4">
        <w:rPr>
          <w:b/>
        </w:rPr>
        <w:t>a</w:t>
      </w:r>
      <w:r w:rsidRPr="00FF7826">
        <w:rPr>
          <w:b/>
        </w:rPr>
        <w:t>rrangements</w:t>
      </w:r>
    </w:p>
    <w:p w:rsidR="00CE726C" w:rsidRDefault="00CE726C" w:rsidP="00CE726C">
      <w:r>
        <w:t xml:space="preserve">Advance payments are delivered by </w:t>
      </w:r>
      <w:r w:rsidR="00594581">
        <w:t>DHS</w:t>
      </w:r>
      <w:r>
        <w:t xml:space="preserve"> through Centrelink</w:t>
      </w:r>
      <w:r w:rsidR="00496483">
        <w:t xml:space="preserve">.  </w:t>
      </w:r>
      <w:r>
        <w:t>Advance payment arrangements allow pension, allowance and family assistance recipients to receive a portion of their future entitlement as a lump sum</w:t>
      </w:r>
      <w:r w:rsidR="00496483">
        <w:t xml:space="preserve">.  </w:t>
      </w:r>
      <w:r w:rsidRPr="00015DA2">
        <w:t>The advance is repaid through fortnightly deductions</w:t>
      </w:r>
      <w:r>
        <w:t>.</w:t>
      </w:r>
    </w:p>
    <w:p w:rsidR="00CE726C" w:rsidRDefault="00CE726C" w:rsidP="00CE726C">
      <w:r>
        <w:t>From 1 July 2010, the Government made pension advance payments more accessible and flexible</w:t>
      </w:r>
      <w:r w:rsidR="00496483">
        <w:t xml:space="preserve">.  </w:t>
      </w:r>
      <w:r>
        <w:t>The changes apply to Age Pension; Disability Support Pension; Carer Payment; Widow B Pension; and Wife Pension</w:t>
      </w:r>
      <w:r w:rsidR="00496483">
        <w:t xml:space="preserve">.  </w:t>
      </w:r>
      <w:r>
        <w:t>Pension advance payments are subject to maximum and minimum amounts, which are increased with pension indexation each March and September</w:t>
      </w:r>
      <w:r w:rsidR="00496483">
        <w:t xml:space="preserve">.  </w:t>
      </w:r>
      <w:r>
        <w:t>Depending on the amount requested, pensioners may take one, two or three advances of their pension entitlement, up to a maximum amount (currently $1</w:t>
      </w:r>
      <w:r w:rsidR="005B2D60">
        <w:t>,</w:t>
      </w:r>
      <w:r>
        <w:t>074.90 for a single full rate pensioner), in a 13</w:t>
      </w:r>
      <w:r w:rsidR="00CB4235">
        <w:t xml:space="preserve"> </w:t>
      </w:r>
      <w:r>
        <w:t>fortnight period</w:t>
      </w:r>
      <w:r w:rsidR="00496483">
        <w:t xml:space="preserve">.  </w:t>
      </w:r>
    </w:p>
    <w:p w:rsidR="00CE726C" w:rsidRDefault="00CE726C" w:rsidP="0019709A">
      <w:r>
        <w:t>Eligible Parenting Payment Single and allowance recipients may access an advance of up to $500</w:t>
      </w:r>
      <w:r w:rsidR="00496483">
        <w:t xml:space="preserve">.  </w:t>
      </w:r>
      <w:r>
        <w:t>The minimum advance payment available is $250</w:t>
      </w:r>
      <w:r w:rsidR="00496483">
        <w:t xml:space="preserve">.  </w:t>
      </w:r>
      <w:r>
        <w:t>The maximum and minimum advance payment amounts are not indexed</w:t>
      </w:r>
      <w:r w:rsidR="00496483">
        <w:t xml:space="preserve">.  </w:t>
      </w:r>
      <w:r>
        <w:t>These advances are limited to one per 12 month period.</w:t>
      </w:r>
    </w:p>
    <w:p w:rsidR="00CE726C" w:rsidRDefault="00CE726C" w:rsidP="00CE726C">
      <w:r w:rsidRPr="008E464D">
        <w:t>From 1 July 2011</w:t>
      </w:r>
      <w:r>
        <w:t>,</w:t>
      </w:r>
      <w:r w:rsidRPr="008E464D">
        <w:t xml:space="preserve"> the Government also changed the Family Tax Benefit </w:t>
      </w:r>
      <w:r w:rsidR="00A051F4">
        <w:t xml:space="preserve">(FTB) </w:t>
      </w:r>
      <w:r w:rsidRPr="008E464D">
        <w:t>advance payment arrangements to improve accessibility and flexibility to meet lumpy expenditure and provide families with alternatives to payday lending facilities</w:t>
      </w:r>
      <w:r w:rsidR="00496483">
        <w:t xml:space="preserve">.  </w:t>
      </w:r>
      <w:r w:rsidRPr="008E464D">
        <w:t xml:space="preserve">Since the introduction of these reforms, eligible </w:t>
      </w:r>
      <w:r w:rsidR="00A051F4">
        <w:t>FTB</w:t>
      </w:r>
      <w:r w:rsidRPr="008E464D">
        <w:t xml:space="preserve"> customers can now receive an unlimited number of advances of at least the minimum amount (around $160), with the total outstanding not exceeding 7.5</w:t>
      </w:r>
      <w:r>
        <w:t xml:space="preserve"> </w:t>
      </w:r>
      <w:r w:rsidRPr="008E464D">
        <w:t>per cent</w:t>
      </w:r>
      <w:r>
        <w:t xml:space="preserve"> </w:t>
      </w:r>
      <w:r w:rsidRPr="008E464D">
        <w:t xml:space="preserve">of their annual FTB instalment </w:t>
      </w:r>
      <w:r>
        <w:t xml:space="preserve">rate </w:t>
      </w:r>
      <w:r w:rsidRPr="008E464D">
        <w:t>(up to $1,000), with amounts becoming available again as each advance payment is fully repaid</w:t>
      </w:r>
      <w:r w:rsidR="00496483">
        <w:t xml:space="preserve">.  </w:t>
      </w:r>
    </w:p>
    <w:p w:rsidR="00CE726C" w:rsidRDefault="00A051F4" w:rsidP="00CE726C">
      <w:pPr>
        <w:rPr>
          <w:rFonts w:ascii="Tms Rmn" w:hAnsi="Tms Rmn" w:cs="Tms Rmn"/>
          <w:sz w:val="24"/>
          <w:szCs w:val="24"/>
        </w:rPr>
      </w:pPr>
      <w:r>
        <w:t>FTB</w:t>
      </w:r>
      <w:r w:rsidR="00CE726C">
        <w:t xml:space="preserve"> advances include the qualification that customers with repeated requests for advances, rejections due to affordability or reduced or suspended advance payment recovery should be </w:t>
      </w:r>
      <w:r w:rsidR="00CE726C" w:rsidRPr="008E464D">
        <w:t>offered a referral to an appropriate financial</w:t>
      </w:r>
      <w:r w:rsidR="00CE726C">
        <w:t xml:space="preserve"> counselling or support service</w:t>
      </w:r>
      <w:r w:rsidR="00496483">
        <w:t xml:space="preserve">.  </w:t>
      </w:r>
      <w:r w:rsidR="00CE726C" w:rsidRPr="008E464D">
        <w:t>While t</w:t>
      </w:r>
      <w:r w:rsidR="00CE726C">
        <w:t>his is not mandatory for other forms of advances,</w:t>
      </w:r>
      <w:r w:rsidR="00CE726C" w:rsidRPr="008E464D">
        <w:t xml:space="preserve"> a referral</w:t>
      </w:r>
      <w:r w:rsidR="00CE726C">
        <w:rPr>
          <w:rFonts w:ascii="Tms Rmn" w:hAnsi="Tms Rmn" w:cs="Tms Rmn"/>
          <w:sz w:val="24"/>
          <w:szCs w:val="24"/>
        </w:rPr>
        <w:t xml:space="preserve"> is available to all customer groups.</w:t>
      </w:r>
    </w:p>
    <w:p w:rsidR="00CE726C" w:rsidRDefault="00CE726C" w:rsidP="00CE726C">
      <w:pPr>
        <w:rPr>
          <w:rFonts w:ascii="Tms Rmn" w:hAnsi="Tms Rmn" w:cs="Tms Rmn"/>
          <w:sz w:val="24"/>
          <w:szCs w:val="24"/>
        </w:rPr>
      </w:pPr>
      <w:r>
        <w:rPr>
          <w:rFonts w:ascii="Tms Rmn" w:hAnsi="Tms Rmn" w:cs="Tms Rmn"/>
          <w:sz w:val="24"/>
          <w:szCs w:val="24"/>
        </w:rPr>
        <w:t>Subject to eligibility, both pension and allowance advances may be held concurrently with a</w:t>
      </w:r>
      <w:r w:rsidR="00594581">
        <w:rPr>
          <w:rFonts w:ascii="Tms Rmn" w:hAnsi="Tms Rmn" w:cs="Tms Rmn"/>
          <w:sz w:val="24"/>
          <w:szCs w:val="24"/>
        </w:rPr>
        <w:t>n</w:t>
      </w:r>
      <w:r>
        <w:rPr>
          <w:rFonts w:ascii="Tms Rmn" w:hAnsi="Tms Rmn" w:cs="Tms Rmn"/>
          <w:sz w:val="24"/>
          <w:szCs w:val="24"/>
        </w:rPr>
        <w:t xml:space="preserve"> </w:t>
      </w:r>
      <w:r w:rsidR="00A051F4">
        <w:rPr>
          <w:rFonts w:ascii="Tms Rmn" w:hAnsi="Tms Rmn" w:cs="Tms Rmn"/>
          <w:sz w:val="24"/>
          <w:szCs w:val="24"/>
        </w:rPr>
        <w:t>FTB</w:t>
      </w:r>
      <w:r>
        <w:rPr>
          <w:rFonts w:ascii="Tms Rmn" w:hAnsi="Tms Rmn" w:cs="Tms Rmn"/>
          <w:sz w:val="24"/>
          <w:szCs w:val="24"/>
        </w:rPr>
        <w:t xml:space="preserve"> advance.</w:t>
      </w:r>
    </w:p>
    <w:p w:rsidR="00CE726C" w:rsidRPr="00FF7826" w:rsidRDefault="00CE726C" w:rsidP="00CE726C">
      <w:pPr>
        <w:rPr>
          <w:b/>
        </w:rPr>
      </w:pPr>
      <w:r>
        <w:t>Advance payments are a useful tool for customers who may have made a considered decision to use the advance payment for a specific lump sum expense, for example car registration</w:t>
      </w:r>
      <w:r w:rsidR="00496483">
        <w:t xml:space="preserve">.  </w:t>
      </w:r>
      <w:r>
        <w:t>Other examples of their use include enabling individuals to avoid building up higher credit card bills or seeking small loans from high interest providers in times of crisis.</w:t>
      </w:r>
    </w:p>
    <w:p w:rsidR="00751E45" w:rsidRPr="00180B51" w:rsidRDefault="00594581" w:rsidP="00786171">
      <w:pPr>
        <w:pStyle w:val="Heading2"/>
      </w:pPr>
      <w:r>
        <w:br w:type="page"/>
      </w:r>
      <w:bookmarkStart w:id="22" w:name="_Toc322008285"/>
      <w:r w:rsidR="00751E45" w:rsidRPr="00180B51">
        <w:lastRenderedPageBreak/>
        <w:t xml:space="preserve">Weekly </w:t>
      </w:r>
      <w:r w:rsidR="00A051F4">
        <w:t>p</w:t>
      </w:r>
      <w:r w:rsidR="00751E45" w:rsidRPr="00180B51">
        <w:t>ayments</w:t>
      </w:r>
      <w:bookmarkEnd w:id="22"/>
    </w:p>
    <w:p w:rsidR="001A7E5D" w:rsidRPr="001A7E5D" w:rsidRDefault="001A7E5D" w:rsidP="00F8230F">
      <w:pPr>
        <w:pStyle w:val="Caption"/>
      </w:pPr>
      <w:r w:rsidRPr="001A7E5D">
        <w:t xml:space="preserve">Current </w:t>
      </w:r>
      <w:r w:rsidR="00A051F4">
        <w:t>a</w:t>
      </w:r>
      <w:r w:rsidRPr="001A7E5D">
        <w:t>rrangements</w:t>
      </w:r>
    </w:p>
    <w:p w:rsidR="00751E45" w:rsidRPr="000A6084" w:rsidRDefault="00751E45" w:rsidP="00A051F4">
      <w:r w:rsidRPr="000A6084">
        <w:t>The Australian Government currently makes weekly payments available to some vulnerable</w:t>
      </w:r>
      <w:r w:rsidR="00E52A44">
        <w:t xml:space="preserve"> DHS </w:t>
      </w:r>
      <w:r w:rsidRPr="000A6084">
        <w:t>customers to support them to better manage their finances and stabilise their circumstances</w:t>
      </w:r>
      <w:r w:rsidR="00496483">
        <w:t xml:space="preserve">.  </w:t>
      </w:r>
      <w:r w:rsidRPr="000A6084">
        <w:t>This means that a customer on weekly payments normally has less time to wait unt</w:t>
      </w:r>
      <w:r>
        <w:t>il they receive payment</w:t>
      </w:r>
      <w:r w:rsidR="00594581">
        <w:t>,</w:t>
      </w:r>
      <w:r>
        <w:t xml:space="preserve"> which c</w:t>
      </w:r>
      <w:r w:rsidRPr="000A6084">
        <w:t>ould assist them in avoiding financial crises</w:t>
      </w:r>
      <w:r w:rsidR="00E52A44">
        <w:t xml:space="preserve"> </w:t>
      </w:r>
      <w:r w:rsidR="00CE726C">
        <w:t>and the need to</w:t>
      </w:r>
      <w:r w:rsidR="00E52A44">
        <w:t xml:space="preserve"> access</w:t>
      </w:r>
      <w:r w:rsidR="004F6779">
        <w:t xml:space="preserve"> </w:t>
      </w:r>
      <w:r w:rsidRPr="000A6084">
        <w:t>high</w:t>
      </w:r>
      <w:r w:rsidR="00496483">
        <w:noBreakHyphen/>
      </w:r>
      <w:r w:rsidR="00CE726C">
        <w:t>cost</w:t>
      </w:r>
      <w:r w:rsidRPr="000A6084">
        <w:t xml:space="preserve"> </w:t>
      </w:r>
      <w:r>
        <w:t>small amount</w:t>
      </w:r>
      <w:r w:rsidRPr="000A6084">
        <w:t xml:space="preserve"> loans</w:t>
      </w:r>
      <w:r w:rsidR="00496483">
        <w:t xml:space="preserve">.  </w:t>
      </w:r>
    </w:p>
    <w:p w:rsidR="00751E45" w:rsidRDefault="00E52A44" w:rsidP="00A051F4">
      <w:pPr>
        <w:rPr>
          <w:lang w:val="en"/>
        </w:rPr>
      </w:pPr>
      <w:r>
        <w:rPr>
          <w:lang w:val="en"/>
        </w:rPr>
        <w:t xml:space="preserve">DHS </w:t>
      </w:r>
      <w:r w:rsidR="004F6779">
        <w:rPr>
          <w:lang w:val="en"/>
        </w:rPr>
        <w:t>staff offer w</w:t>
      </w:r>
      <w:r w:rsidR="00751E45">
        <w:rPr>
          <w:lang w:val="en"/>
        </w:rPr>
        <w:t>eekly payments in conjunction with</w:t>
      </w:r>
      <w:r w:rsidR="004F6779">
        <w:rPr>
          <w:lang w:val="en"/>
        </w:rPr>
        <w:t xml:space="preserve"> referrals to</w:t>
      </w:r>
      <w:r w:rsidR="00751E45">
        <w:rPr>
          <w:lang w:val="en"/>
        </w:rPr>
        <w:t xml:space="preserve"> other services as appropriate (</w:t>
      </w:r>
      <w:r w:rsidR="0019709A">
        <w:rPr>
          <w:lang w:val="en"/>
        </w:rPr>
        <w:t xml:space="preserve">for example, </w:t>
      </w:r>
      <w:r w:rsidR="00751E45">
        <w:rPr>
          <w:lang w:val="en"/>
        </w:rPr>
        <w:t>services such as housing, financial counselling, drug rehabilitation or domestic violence counselling)</w:t>
      </w:r>
      <w:r w:rsidR="00496483">
        <w:rPr>
          <w:lang w:val="en"/>
        </w:rPr>
        <w:t xml:space="preserve">.  </w:t>
      </w:r>
      <w:r>
        <w:rPr>
          <w:lang w:val="en"/>
        </w:rPr>
        <w:t xml:space="preserve">DHS staff </w:t>
      </w:r>
      <w:r w:rsidR="00594581">
        <w:rPr>
          <w:lang w:val="en"/>
        </w:rPr>
        <w:t xml:space="preserve">may </w:t>
      </w:r>
      <w:r>
        <w:rPr>
          <w:lang w:val="en"/>
        </w:rPr>
        <w:t>also promote the use of Centrepay and where appropriate, Voluntary Income Management.</w:t>
      </w:r>
    </w:p>
    <w:p w:rsidR="00E52A44" w:rsidRDefault="00E52A44" w:rsidP="00A051F4">
      <w:pPr>
        <w:rPr>
          <w:lang w:val="en"/>
        </w:rPr>
      </w:pPr>
      <w:r>
        <w:rPr>
          <w:lang w:val="en"/>
        </w:rPr>
        <w:t xml:space="preserve">Receiving </w:t>
      </w:r>
      <w:r w:rsidR="00CE726C">
        <w:rPr>
          <w:lang w:val="en"/>
        </w:rPr>
        <w:t>income support payment</w:t>
      </w:r>
      <w:r w:rsidR="0033562D">
        <w:rPr>
          <w:lang w:val="en"/>
        </w:rPr>
        <w:t>s</w:t>
      </w:r>
      <w:r>
        <w:rPr>
          <w:lang w:val="en"/>
        </w:rPr>
        <w:t xml:space="preserve"> on a weekly basis is voluntary and is specifically targeted </w:t>
      </w:r>
      <w:r w:rsidR="00B63FBE">
        <w:rPr>
          <w:lang w:val="en"/>
        </w:rPr>
        <w:t>at</w:t>
      </w:r>
      <w:r>
        <w:rPr>
          <w:lang w:val="en"/>
        </w:rPr>
        <w:t xml:space="preserve"> those who are financially vulnerable</w:t>
      </w:r>
      <w:r w:rsidR="00180B51">
        <w:rPr>
          <w:lang w:val="en"/>
        </w:rPr>
        <w:t xml:space="preserve"> — </w:t>
      </w:r>
      <w:r w:rsidR="00B63FBE">
        <w:rPr>
          <w:lang w:val="en"/>
        </w:rPr>
        <w:t>such as r</w:t>
      </w:r>
      <w:r>
        <w:rPr>
          <w:lang w:val="en"/>
        </w:rPr>
        <w:t xml:space="preserve">ecipients who have difficulty managing their finances, </w:t>
      </w:r>
      <w:r w:rsidR="00B63FBE">
        <w:rPr>
          <w:lang w:val="en"/>
        </w:rPr>
        <w:t>including</w:t>
      </w:r>
      <w:r>
        <w:rPr>
          <w:lang w:val="en"/>
        </w:rPr>
        <w:t xml:space="preserve"> those with mental health issues, gambling and</w:t>
      </w:r>
      <w:r w:rsidR="00B63FBE">
        <w:rPr>
          <w:lang w:val="en"/>
        </w:rPr>
        <w:t>/or</w:t>
      </w:r>
      <w:r>
        <w:rPr>
          <w:lang w:val="en"/>
        </w:rPr>
        <w:t xml:space="preserve"> substance addictions, victims of domestic violence</w:t>
      </w:r>
      <w:r w:rsidR="00B63FBE">
        <w:rPr>
          <w:lang w:val="en"/>
        </w:rPr>
        <w:t>,</w:t>
      </w:r>
      <w:r>
        <w:rPr>
          <w:lang w:val="en"/>
        </w:rPr>
        <w:t xml:space="preserve"> o</w:t>
      </w:r>
      <w:r w:rsidR="00B63FBE">
        <w:rPr>
          <w:lang w:val="en"/>
        </w:rPr>
        <w:t>r</w:t>
      </w:r>
      <w:r>
        <w:rPr>
          <w:lang w:val="en"/>
        </w:rPr>
        <w:t xml:space="preserve"> others who have demonstrated they have difficulty managing their money to last to the end of a fortnight.</w:t>
      </w:r>
    </w:p>
    <w:p w:rsidR="004F77EA" w:rsidRPr="0035181A" w:rsidRDefault="00BD0D3F" w:rsidP="00A051F4">
      <w:r>
        <w:t>As at January 201</w:t>
      </w:r>
      <w:r w:rsidR="00B63FBE">
        <w:t xml:space="preserve">2, there were </w:t>
      </w:r>
      <w:r w:rsidR="00CE726C">
        <w:t xml:space="preserve">more than </w:t>
      </w:r>
      <w:r w:rsidR="00B63FBE">
        <w:t>14,5</w:t>
      </w:r>
      <w:r>
        <w:t>00 customers receiving their income support payments on a weekly basis</w:t>
      </w:r>
      <w:r w:rsidR="00E33A3E">
        <w:t>.</w:t>
      </w:r>
    </w:p>
    <w:tbl>
      <w:tblPr>
        <w:tblW w:w="4885" w:type="pct"/>
        <w:tblInd w:w="108" w:type="dxa"/>
        <w:shd w:val="clear" w:color="auto" w:fill="E6E6E6"/>
        <w:tblLook w:val="01E0" w:firstRow="1" w:lastRow="1" w:firstColumn="1" w:lastColumn="1" w:noHBand="0" w:noVBand="0"/>
      </w:tblPr>
      <w:tblGrid>
        <w:gridCol w:w="9072"/>
      </w:tblGrid>
      <w:tr w:rsidR="0019709A" w:rsidTr="0019709A">
        <w:tc>
          <w:tcPr>
            <w:tcW w:w="5000" w:type="pct"/>
            <w:shd w:val="clear" w:color="auto" w:fill="E6E6E6"/>
          </w:tcPr>
          <w:p w:rsidR="0019709A" w:rsidRPr="00315496" w:rsidRDefault="0019709A" w:rsidP="0019709A">
            <w:pPr>
              <w:pStyle w:val="BoxHeadingnonumber"/>
            </w:pPr>
            <w:r w:rsidRPr="00315496">
              <w:t>Questions</w:t>
            </w:r>
          </w:p>
          <w:p w:rsidR="0019709A" w:rsidRDefault="0019709A" w:rsidP="00A85D80">
            <w:pPr>
              <w:pStyle w:val="OutlineNumbered1"/>
            </w:pPr>
            <w:r w:rsidRPr="00A85D80">
              <w:t>Currently</w:t>
            </w:r>
            <w:r>
              <w:t xml:space="preserve"> the Government offers Centrepay, </w:t>
            </w:r>
            <w:r w:rsidR="00161D6B">
              <w:t>a</w:t>
            </w:r>
            <w:r>
              <w:t xml:space="preserve">dvance </w:t>
            </w:r>
            <w:r w:rsidR="00161D6B">
              <w:t>p</w:t>
            </w:r>
            <w:r>
              <w:t xml:space="preserve">ayments and </w:t>
            </w:r>
            <w:r w:rsidR="00161D6B">
              <w:t>w</w:t>
            </w:r>
            <w:r>
              <w:t xml:space="preserve">eekly </w:t>
            </w:r>
            <w:r w:rsidR="00161D6B">
              <w:t>p</w:t>
            </w:r>
            <w:r>
              <w:t>ayments as mechanisms</w:t>
            </w:r>
            <w:r w:rsidR="00594581">
              <w:t xml:space="preserve"> for customers</w:t>
            </w:r>
            <w:r>
              <w:t xml:space="preserve"> to manage</w:t>
            </w:r>
            <w:r w:rsidR="00594581">
              <w:t xml:space="preserve"> their</w:t>
            </w:r>
            <w:r>
              <w:t xml:space="preserve"> money</w:t>
            </w:r>
            <w:r w:rsidR="00496483">
              <w:t xml:space="preserve">.  </w:t>
            </w:r>
            <w:r>
              <w:t xml:space="preserve">Are there any other mechanisms that </w:t>
            </w:r>
            <w:r w:rsidR="00594581">
              <w:t>could</w:t>
            </w:r>
            <w:r>
              <w:t xml:space="preserve"> be used for this purpose?</w:t>
            </w:r>
          </w:p>
          <w:p w:rsidR="0019709A" w:rsidRPr="008950C5" w:rsidRDefault="0019709A" w:rsidP="00A85D80">
            <w:pPr>
              <w:pStyle w:val="OutlineNumbered1"/>
            </w:pPr>
            <w:r>
              <w:t xml:space="preserve">Should referrals be </w:t>
            </w:r>
            <w:r w:rsidRPr="0019709A">
              <w:t>made</w:t>
            </w:r>
            <w:r>
              <w:t xml:space="preserve"> to FMP </w:t>
            </w:r>
            <w:r w:rsidRPr="00A85D80">
              <w:t>services</w:t>
            </w:r>
            <w:r>
              <w:t xml:space="preserve"> at a certain stage as a matter of course?</w:t>
            </w:r>
          </w:p>
        </w:tc>
      </w:tr>
    </w:tbl>
    <w:p w:rsidR="001C2156" w:rsidRPr="0019709A" w:rsidRDefault="006755FC" w:rsidP="0019709A">
      <w:pPr>
        <w:pStyle w:val="Heading2"/>
      </w:pPr>
      <w:bookmarkStart w:id="23" w:name="_Toc322008286"/>
      <w:r w:rsidRPr="0019709A">
        <w:t xml:space="preserve">Encourage </w:t>
      </w:r>
      <w:r w:rsidR="00161D6B">
        <w:t>g</w:t>
      </w:r>
      <w:r w:rsidRPr="0019709A">
        <w:t xml:space="preserve">reater </w:t>
      </w:r>
      <w:r w:rsidR="00161D6B">
        <w:t>u</w:t>
      </w:r>
      <w:r w:rsidRPr="0019709A">
        <w:t xml:space="preserve">se </w:t>
      </w:r>
      <w:r w:rsidR="00161D6B">
        <w:t>o</w:t>
      </w:r>
      <w:r w:rsidRPr="0019709A">
        <w:t xml:space="preserve">f </w:t>
      </w:r>
      <w:r w:rsidR="00161D6B">
        <w:t>u</w:t>
      </w:r>
      <w:r w:rsidRPr="0019709A">
        <w:t xml:space="preserve">tility </w:t>
      </w:r>
      <w:r w:rsidR="00161D6B">
        <w:t>h</w:t>
      </w:r>
      <w:r w:rsidRPr="0019709A">
        <w:t xml:space="preserve">ardship </w:t>
      </w:r>
      <w:r w:rsidR="00161D6B">
        <w:t>p</w:t>
      </w:r>
      <w:r w:rsidRPr="0019709A">
        <w:t>rograms</w:t>
      </w:r>
      <w:bookmarkEnd w:id="23"/>
    </w:p>
    <w:p w:rsidR="006755FC" w:rsidRDefault="006755FC" w:rsidP="0019709A">
      <w:r>
        <w:t>E</w:t>
      </w:r>
      <w:r w:rsidRPr="00E46AC0">
        <w:t>vidence from community organisations as well as the high numbers of customers u</w:t>
      </w:r>
      <w:r w:rsidR="00CE726C">
        <w:t>sing</w:t>
      </w:r>
      <w:r>
        <w:t xml:space="preserve"> small amount </w:t>
      </w:r>
      <w:r w:rsidRPr="00E46AC0">
        <w:t>lending services to pay utility bills suggests that</w:t>
      </w:r>
      <w:r>
        <w:t xml:space="preserve"> </w:t>
      </w:r>
      <w:r w:rsidR="004651F9">
        <w:t xml:space="preserve">their inability to pay utility bills is </w:t>
      </w:r>
      <w:r>
        <w:t>a major reason that people access</w:t>
      </w:r>
      <w:r w:rsidR="004651F9">
        <w:t xml:space="preserve">, </w:t>
      </w:r>
      <w:r w:rsidR="007F28C1">
        <w:t>short</w:t>
      </w:r>
      <w:r w:rsidR="00496483">
        <w:noBreakHyphen/>
      </w:r>
      <w:r w:rsidR="007F28C1">
        <w:t>term</w:t>
      </w:r>
      <w:r w:rsidR="004651F9">
        <w:t xml:space="preserve"> loans</w:t>
      </w:r>
      <w:r w:rsidR="00496483">
        <w:t xml:space="preserve">.  </w:t>
      </w:r>
      <w:r>
        <w:t>Demand</w:t>
      </w:r>
      <w:r w:rsidR="004651F9">
        <w:t xml:space="preserve"> could </w:t>
      </w:r>
      <w:r>
        <w:t>be reduced through improved access to utility retailer’s hardship programs and other schemes aimed at improving energy efficiency and financial management.</w:t>
      </w:r>
    </w:p>
    <w:p w:rsidR="006755FC" w:rsidRPr="004A7974" w:rsidRDefault="006755FC" w:rsidP="004A7A14">
      <w:pPr>
        <w:pStyle w:val="Heading2"/>
      </w:pPr>
      <w:bookmarkStart w:id="24" w:name="_Toc311116717"/>
      <w:bookmarkStart w:id="25" w:name="_Toc322008287"/>
      <w:r w:rsidRPr="004A7974">
        <w:t xml:space="preserve">Extent of use of small amount loans </w:t>
      </w:r>
      <w:bookmarkEnd w:id="24"/>
      <w:r w:rsidRPr="004A7974">
        <w:t>to meet utility debts</w:t>
      </w:r>
      <w:bookmarkEnd w:id="25"/>
    </w:p>
    <w:p w:rsidR="006755FC" w:rsidRPr="009875F5" w:rsidRDefault="006755FC" w:rsidP="006755FC">
      <w:pPr>
        <w:rPr>
          <w:rFonts w:cs="Calibri"/>
        </w:rPr>
      </w:pPr>
      <w:r w:rsidRPr="009875F5">
        <w:rPr>
          <w:rFonts w:cs="Calibri"/>
        </w:rPr>
        <w:t xml:space="preserve">Between 50 and 70 per cent of borrowers primarily use </w:t>
      </w:r>
      <w:r w:rsidR="00594581">
        <w:rPr>
          <w:rFonts w:cs="Calibri"/>
        </w:rPr>
        <w:t>small amount</w:t>
      </w:r>
      <w:r w:rsidRPr="009875F5">
        <w:rPr>
          <w:rFonts w:cs="Calibri"/>
        </w:rPr>
        <w:t xml:space="preserve"> credit to meet basic living expenses, </w:t>
      </w:r>
      <w:r>
        <w:rPr>
          <w:rFonts w:cs="Calibri"/>
        </w:rPr>
        <w:t>with d</w:t>
      </w:r>
      <w:r w:rsidRPr="009875F5">
        <w:rPr>
          <w:rFonts w:cs="Calibri"/>
        </w:rPr>
        <w:t xml:space="preserve">ata from a series of surveys of consumer use of </w:t>
      </w:r>
      <w:r w:rsidR="00594581">
        <w:rPr>
          <w:rFonts w:cs="Calibri"/>
        </w:rPr>
        <w:t>this</w:t>
      </w:r>
      <w:r w:rsidRPr="009875F5">
        <w:rPr>
          <w:rFonts w:cs="Calibri"/>
        </w:rPr>
        <w:t xml:space="preserve"> credit </w:t>
      </w:r>
      <w:r>
        <w:rPr>
          <w:rFonts w:cs="Calibri"/>
        </w:rPr>
        <w:t>finding</w:t>
      </w:r>
      <w:r w:rsidRPr="009875F5">
        <w:rPr>
          <w:rFonts w:cs="Calibri"/>
        </w:rPr>
        <w:t xml:space="preserve"> that up to 32</w:t>
      </w:r>
      <w:r w:rsidR="00CE726C">
        <w:rPr>
          <w:rFonts w:cs="Calibri"/>
        </w:rPr>
        <w:t xml:space="preserve"> </w:t>
      </w:r>
      <w:r w:rsidR="00714DFB">
        <w:rPr>
          <w:rFonts w:cs="Calibri"/>
        </w:rPr>
        <w:t>per cent</w:t>
      </w:r>
      <w:r w:rsidRPr="009875F5">
        <w:rPr>
          <w:rFonts w:cs="Calibri"/>
        </w:rPr>
        <w:t xml:space="preserve"> of small amount loans were used for bills</w:t>
      </w:r>
      <w:r w:rsidR="00496483">
        <w:rPr>
          <w:rFonts w:cs="Calibri"/>
        </w:rPr>
        <w:t xml:space="preserve">.  </w:t>
      </w:r>
      <w:r w:rsidR="00CE726C">
        <w:rPr>
          <w:rFonts w:cs="Calibri"/>
        </w:rPr>
        <w:t>In</w:t>
      </w:r>
      <w:r w:rsidR="00CE726C" w:rsidRPr="009875F5">
        <w:rPr>
          <w:rFonts w:cs="Calibri"/>
        </w:rPr>
        <w:t xml:space="preserve"> </w:t>
      </w:r>
      <w:r w:rsidRPr="009875F5">
        <w:rPr>
          <w:rFonts w:cs="Calibri"/>
        </w:rPr>
        <w:t>2010</w:t>
      </w:r>
      <w:r w:rsidR="00206A9A">
        <w:rPr>
          <w:rFonts w:cs="Calibri"/>
        </w:rPr>
        <w:t xml:space="preserve">, the Consumer Action Law Centre </w:t>
      </w:r>
      <w:r w:rsidRPr="009875F5">
        <w:rPr>
          <w:rFonts w:cs="Calibri"/>
        </w:rPr>
        <w:t>reported that around 21</w:t>
      </w:r>
      <w:r w:rsidR="00594581">
        <w:rPr>
          <w:rFonts w:cs="Calibri"/>
        </w:rPr>
        <w:t xml:space="preserve"> </w:t>
      </w:r>
      <w:r w:rsidR="00714DFB">
        <w:rPr>
          <w:rFonts w:cs="Calibri"/>
        </w:rPr>
        <w:t>per cent</w:t>
      </w:r>
      <w:r w:rsidRPr="009875F5">
        <w:rPr>
          <w:rFonts w:cs="Calibri"/>
        </w:rPr>
        <w:t xml:space="preserve"> of these loans were used for the payment of utility bills</w:t>
      </w:r>
      <w:r w:rsidR="00496483">
        <w:rPr>
          <w:rFonts w:cs="Calibri"/>
        </w:rPr>
        <w:t xml:space="preserve">.  </w:t>
      </w:r>
    </w:p>
    <w:p w:rsidR="006755FC" w:rsidRPr="009875F5" w:rsidRDefault="006755FC" w:rsidP="00161D6B">
      <w:r w:rsidRPr="009875F5">
        <w:t xml:space="preserve">Utility bills </w:t>
      </w:r>
      <w:r>
        <w:t>featured</w:t>
      </w:r>
      <w:r w:rsidRPr="009875F5">
        <w:t xml:space="preserve"> highly against other major uses of small amount loans,</w:t>
      </w:r>
      <w:r w:rsidR="00917739">
        <w:t xml:space="preserve"> such as </w:t>
      </w:r>
      <w:r>
        <w:t>daily living expenses,</w:t>
      </w:r>
      <w:r w:rsidRPr="009875F5">
        <w:t xml:space="preserve"> food and rent</w:t>
      </w:r>
      <w:r w:rsidR="00594581">
        <w:t>,</w:t>
      </w:r>
      <w:r w:rsidRPr="009875F5">
        <w:t xml:space="preserve"> and car and registration costs.</w:t>
      </w:r>
    </w:p>
    <w:p w:rsidR="006755FC" w:rsidRDefault="006755FC" w:rsidP="0019709A">
      <w:r>
        <w:lastRenderedPageBreak/>
        <w:t>Utility bills, specifically electricity and gas, are not discretionary expenses but are essential services which some consumers struggle to pay</w:t>
      </w:r>
      <w:r w:rsidR="00496483">
        <w:t xml:space="preserve">.  </w:t>
      </w:r>
      <w:r w:rsidR="00CF6F91">
        <w:t>The</w:t>
      </w:r>
      <w:r w:rsidR="00CE726C">
        <w:t xml:space="preserve"> high</w:t>
      </w:r>
      <w:r w:rsidR="00CF6F91">
        <w:t xml:space="preserve"> rate of use of</w:t>
      </w:r>
      <w:r>
        <w:t xml:space="preserve"> small amount loans to pay</w:t>
      </w:r>
      <w:r w:rsidR="00CE726C">
        <w:t xml:space="preserve"> utility bills suggests that some borrowers could</w:t>
      </w:r>
      <w:r>
        <w:t xml:space="preserve"> be better off entering into hardship arrangements with their provider or accessing other assistance rather than using the credit provided under a </w:t>
      </w:r>
      <w:r w:rsidR="00CF6F91">
        <w:t>high</w:t>
      </w:r>
      <w:r w:rsidR="00496483">
        <w:noBreakHyphen/>
      </w:r>
      <w:r w:rsidR="00CF6F91">
        <w:t xml:space="preserve">cost, </w:t>
      </w:r>
      <w:r>
        <w:t>small amount</w:t>
      </w:r>
      <w:r w:rsidR="00CF6F91">
        <w:t xml:space="preserve"> loan</w:t>
      </w:r>
      <w:r>
        <w:t xml:space="preserve"> contract</w:t>
      </w:r>
      <w:r w:rsidR="00496483">
        <w:t xml:space="preserve">.  </w:t>
      </w:r>
    </w:p>
    <w:p w:rsidR="00CF6F91" w:rsidRDefault="00CF6F91" w:rsidP="0019709A">
      <w:r>
        <w:t xml:space="preserve">The introduction of obligations under </w:t>
      </w:r>
      <w:r w:rsidR="006F3B53">
        <w:t xml:space="preserve">soon to be implemented </w:t>
      </w:r>
      <w:r>
        <w:t>national legislation creates an opportunity to develop more rigorous standards in relation to the operation of utility hardship schemes and to provide consumers with more consistent messages about how to access these schemes</w:t>
      </w:r>
      <w:r w:rsidR="006F3B53">
        <w:t>.</w:t>
      </w:r>
    </w:p>
    <w:p w:rsidR="006755FC" w:rsidRPr="004A7974" w:rsidRDefault="006755FC" w:rsidP="004A7A14">
      <w:pPr>
        <w:pStyle w:val="Heading2"/>
      </w:pPr>
      <w:bookmarkStart w:id="26" w:name="_Toc322008288"/>
      <w:r w:rsidRPr="004A7974">
        <w:t>Current arrangements</w:t>
      </w:r>
      <w:bookmarkEnd w:id="26"/>
      <w:r w:rsidRPr="004A7974">
        <w:t xml:space="preserve"> </w:t>
      </w:r>
    </w:p>
    <w:p w:rsidR="006755FC" w:rsidRDefault="006755FC" w:rsidP="00A85D80">
      <w:r>
        <w:t>There are around 20 retail providers of electricity and gas around Australia</w:t>
      </w:r>
      <w:r w:rsidR="00496483">
        <w:t xml:space="preserve">.  </w:t>
      </w:r>
      <w:r w:rsidR="00EB1ED4">
        <w:t>P</w:t>
      </w:r>
      <w:r>
        <w:t>roviders are currently required under State and Territory law to offer hardship plans and payment options for consumers in financial difficulty, with nationally consistent obligations coming into force on 1 July 2012 (except in W</w:t>
      </w:r>
      <w:r w:rsidR="00366087">
        <w:t>A</w:t>
      </w:r>
      <w:r>
        <w:t xml:space="preserve"> and the N</w:t>
      </w:r>
      <w:r w:rsidR="00366087">
        <w:t>T</w:t>
      </w:r>
      <w:r>
        <w:t>).</w:t>
      </w:r>
    </w:p>
    <w:p w:rsidR="006755FC" w:rsidRDefault="006755FC" w:rsidP="00A85D80">
      <w:bookmarkStart w:id="27" w:name="_Toc311116718"/>
      <w:r>
        <w:t xml:space="preserve">Under existing State and Territory rules governing electricity and gas supply, </w:t>
      </w:r>
      <w:r w:rsidR="00EB1ED4">
        <w:t>e</w:t>
      </w:r>
      <w:r>
        <w:t>ach regime is different but the common options offered are payment plans, rebate programs and referrals to financial counselling services</w:t>
      </w:r>
      <w:r w:rsidR="00496483">
        <w:t xml:space="preserve">.  </w:t>
      </w:r>
      <w:r>
        <w:t xml:space="preserve">More information on the types of financial assistance currently provided in each State and Territory is set out </w:t>
      </w:r>
      <w:r w:rsidR="005E25EC" w:rsidRPr="0081711F">
        <w:t>in</w:t>
      </w:r>
      <w:r w:rsidRPr="00144973">
        <w:t xml:space="preserve"> Attachment</w:t>
      </w:r>
      <w:r w:rsidR="00ED0C48" w:rsidRPr="00144973">
        <w:t> </w:t>
      </w:r>
      <w:r w:rsidRPr="00144973">
        <w:t>A.</w:t>
      </w:r>
    </w:p>
    <w:p w:rsidR="006755FC" w:rsidRDefault="006755FC" w:rsidP="00A85D80">
      <w:r>
        <w:t>Any hardship plan needs to be agreed between the customer and the provider, be consistent and transparent and meet the needs of the customer</w:t>
      </w:r>
      <w:r w:rsidR="00496483">
        <w:t xml:space="preserve">.  </w:t>
      </w:r>
      <w:r>
        <w:t>Importantly, while complying with a hardship or payment plan, consumers cannot be disconnected</w:t>
      </w:r>
      <w:r w:rsidR="00496483">
        <w:t xml:space="preserve">.  </w:t>
      </w:r>
    </w:p>
    <w:p w:rsidR="006755FC" w:rsidRDefault="006755FC" w:rsidP="00A85D80">
      <w:r>
        <w:t xml:space="preserve">If agreement on </w:t>
      </w:r>
      <w:r w:rsidR="00956BD6">
        <w:t>a</w:t>
      </w:r>
      <w:r>
        <w:t xml:space="preserve"> plan cannot be reached, consumers can seek to have the complaint dealt with internally initially</w:t>
      </w:r>
      <w:r w:rsidR="00496483">
        <w:t xml:space="preserve">.  </w:t>
      </w:r>
      <w:r>
        <w:t xml:space="preserve">If they are still dissatisfied complaints can be heard through </w:t>
      </w:r>
      <w:r w:rsidRPr="00DE244C">
        <w:t>the</w:t>
      </w:r>
      <w:r>
        <w:t xml:space="preserve"> Victoria, WA,</w:t>
      </w:r>
      <w:r w:rsidRPr="00DE244C">
        <w:t xml:space="preserve"> Queensland, N</w:t>
      </w:r>
      <w:r w:rsidR="00917739">
        <w:t>SW</w:t>
      </w:r>
      <w:r w:rsidRPr="00DE244C">
        <w:t>, Tasmania and S</w:t>
      </w:r>
      <w:r w:rsidR="00917739">
        <w:t>A</w:t>
      </w:r>
      <w:r w:rsidRPr="00DE244C">
        <w:t xml:space="preserve"> ombudsman offices</w:t>
      </w:r>
      <w:r w:rsidR="00496483">
        <w:t xml:space="preserve">.  </w:t>
      </w:r>
      <w:r>
        <w:t>The ACT provides an alternative service for dealing with customer complaints</w:t>
      </w:r>
      <w:r w:rsidR="00496483">
        <w:t xml:space="preserve">.  </w:t>
      </w:r>
    </w:p>
    <w:p w:rsidR="006755FC" w:rsidRPr="004A7974" w:rsidRDefault="007D02BF" w:rsidP="004A7A14">
      <w:pPr>
        <w:pStyle w:val="Heading2"/>
      </w:pPr>
      <w:bookmarkStart w:id="28" w:name="_Toc322008289"/>
      <w:r>
        <w:t xml:space="preserve">Regulation of </w:t>
      </w:r>
      <w:r w:rsidR="00161D6B">
        <w:t>e</w:t>
      </w:r>
      <w:r w:rsidR="006755FC" w:rsidRPr="004A7974">
        <w:t xml:space="preserve">nergy </w:t>
      </w:r>
      <w:r>
        <w:t>d</w:t>
      </w:r>
      <w:r w:rsidR="006755FC" w:rsidRPr="004A7974">
        <w:t>istributor</w:t>
      </w:r>
      <w:bookmarkEnd w:id="27"/>
      <w:r w:rsidR="006755FC" w:rsidRPr="004A7974">
        <w:t>s</w:t>
      </w:r>
      <w:bookmarkEnd w:id="28"/>
    </w:p>
    <w:p w:rsidR="006755FC" w:rsidRDefault="006755FC" w:rsidP="00A85D80">
      <w:r>
        <w:t xml:space="preserve">The </w:t>
      </w:r>
      <w:r w:rsidRPr="00CE1EA7">
        <w:rPr>
          <w:i/>
        </w:rPr>
        <w:t>National Energy Retail Law (South Australia) Act 2011</w:t>
      </w:r>
      <w:r>
        <w:rPr>
          <w:i/>
        </w:rPr>
        <w:t xml:space="preserve"> </w:t>
      </w:r>
      <w:r w:rsidRPr="00511CB0">
        <w:t>(together with</w:t>
      </w:r>
      <w:r>
        <w:t xml:space="preserve"> the</w:t>
      </w:r>
      <w:r>
        <w:rPr>
          <w:i/>
        </w:rPr>
        <w:t xml:space="preserve"> Statute Amendment (National Energy Retail Law) Act 2011</w:t>
      </w:r>
      <w:r w:rsidRPr="00511CB0">
        <w:t xml:space="preserve">) </w:t>
      </w:r>
      <w:r w:rsidRPr="00304786">
        <w:t>establishes</w:t>
      </w:r>
      <w:r>
        <w:t xml:space="preserve"> a national framework for the regulation of energy distributors</w:t>
      </w:r>
      <w:r w:rsidRPr="007752B9">
        <w:t>,</w:t>
      </w:r>
      <w:r>
        <w:t xml:space="preserve"> with jurisdictions working towards a common commencement date of 1 July 2012</w:t>
      </w:r>
      <w:r w:rsidR="00496483">
        <w:t xml:space="preserve">.  </w:t>
      </w:r>
      <w:r>
        <w:t>The legislation applies to all energy retail providers except those in WA and the NT who are not part of the national energy framework</w:t>
      </w:r>
      <w:r w:rsidR="00496483">
        <w:t xml:space="preserve">.  </w:t>
      </w:r>
    </w:p>
    <w:p w:rsidR="006755FC" w:rsidRDefault="006755FC" w:rsidP="00A85D80">
      <w:pPr>
        <w:pStyle w:val="Bullet"/>
      </w:pPr>
      <w:r>
        <w:t xml:space="preserve">WA </w:t>
      </w:r>
      <w:r w:rsidRPr="00A85D80">
        <w:t>will</w:t>
      </w:r>
      <w:r>
        <w:t xml:space="preserve"> remain covered by its own state regulatory scheme, which provides hardship programs, including rebates, concessions and payment plans for consumers in financial difficulty</w:t>
      </w:r>
      <w:r w:rsidR="00496483">
        <w:t xml:space="preserve">.  </w:t>
      </w:r>
    </w:p>
    <w:p w:rsidR="006755FC" w:rsidRDefault="006755FC" w:rsidP="00A85D80">
      <w:pPr>
        <w:pStyle w:val="Bullet"/>
      </w:pPr>
      <w:r w:rsidRPr="00304786">
        <w:t>The NT has no legislative requirement to</w:t>
      </w:r>
      <w:r>
        <w:t xml:space="preserve"> provide hardship programs, and only two retail providers</w:t>
      </w:r>
      <w:r w:rsidR="00496483">
        <w:t xml:space="preserve">.  </w:t>
      </w:r>
      <w:r>
        <w:t>The major NT retail energy supplier, PowerWater, has voluntarily implemented its own hardship program for its customers</w:t>
      </w:r>
      <w:r w:rsidR="00496483">
        <w:t xml:space="preserve">.  </w:t>
      </w:r>
      <w:r>
        <w:t>The second provider is new to the market, but mainly services wholesale clients.</w:t>
      </w:r>
    </w:p>
    <w:p w:rsidR="006755FC" w:rsidRDefault="006755FC" w:rsidP="00A85D80">
      <w:r>
        <w:t>The national regime includes minimum requirements for the provision and management of hardship programs</w:t>
      </w:r>
      <w:r w:rsidR="00496483">
        <w:t xml:space="preserve">.  </w:t>
      </w:r>
      <w:r>
        <w:t xml:space="preserve">In summary, providers are required to have: </w:t>
      </w:r>
    </w:p>
    <w:p w:rsidR="006755FC" w:rsidRPr="00A85D80" w:rsidRDefault="006755FC" w:rsidP="00A85D80">
      <w:pPr>
        <w:pStyle w:val="Bullet"/>
      </w:pPr>
      <w:r w:rsidRPr="00A85D80">
        <w:lastRenderedPageBreak/>
        <w:t>processes to actively identify customers in financial difficulties;</w:t>
      </w:r>
    </w:p>
    <w:p w:rsidR="006755FC" w:rsidRPr="00A85D80" w:rsidRDefault="006755FC" w:rsidP="00A85D80">
      <w:pPr>
        <w:pStyle w:val="Bullet"/>
      </w:pPr>
      <w:r w:rsidRPr="00A85D80">
        <w:t>processes for early response where required;</w:t>
      </w:r>
    </w:p>
    <w:p w:rsidR="006755FC" w:rsidRPr="00A85D80" w:rsidRDefault="006755FC" w:rsidP="00A85D80">
      <w:pPr>
        <w:pStyle w:val="Bullet"/>
      </w:pPr>
      <w:r w:rsidRPr="00A85D80">
        <w:t>flexible payment options, including a payment plan and use of Centrepay;</w:t>
      </w:r>
    </w:p>
    <w:p w:rsidR="006755FC" w:rsidRPr="00A85D80" w:rsidRDefault="006755FC" w:rsidP="00A85D80">
      <w:pPr>
        <w:pStyle w:val="Bullet"/>
      </w:pPr>
      <w:r w:rsidRPr="00A85D80">
        <w:t xml:space="preserve">processes to provide appropriate information to those in hardship, </w:t>
      </w:r>
      <w:r w:rsidR="00A85D80">
        <w:t>for example,</w:t>
      </w:r>
      <w:r w:rsidR="002732A1" w:rsidRPr="00A85D80">
        <w:t xml:space="preserve"> </w:t>
      </w:r>
      <w:r w:rsidRPr="00A85D80">
        <w:t>government concession programs, counselling services;</w:t>
      </w:r>
    </w:p>
    <w:p w:rsidR="006755FC" w:rsidRPr="00A85D80" w:rsidRDefault="006755FC" w:rsidP="00A85D80">
      <w:pPr>
        <w:pStyle w:val="Bullet"/>
      </w:pPr>
      <w:r w:rsidRPr="00A85D80">
        <w:t>an outline of a range of programs to assist hardship customers;</w:t>
      </w:r>
    </w:p>
    <w:p w:rsidR="006755FC" w:rsidRPr="00A85D80" w:rsidRDefault="006755FC" w:rsidP="00A85D80">
      <w:pPr>
        <w:pStyle w:val="Bullet"/>
      </w:pPr>
      <w:r w:rsidRPr="00A85D80">
        <w:t>processes to review the appropriateness of any contract to assist hardship customers; and</w:t>
      </w:r>
    </w:p>
    <w:p w:rsidR="006755FC" w:rsidRPr="00A85D80" w:rsidRDefault="006755FC" w:rsidP="00A85D80">
      <w:pPr>
        <w:pStyle w:val="Bullet"/>
      </w:pPr>
      <w:r w:rsidRPr="00A85D80">
        <w:t>processes and programs to assist customers with strategies to improve their energy efficiency.</w:t>
      </w:r>
    </w:p>
    <w:p w:rsidR="006755FC" w:rsidRDefault="006755FC" w:rsidP="00A85D80">
      <w:r>
        <w:t>P</w:t>
      </w:r>
      <w:r w:rsidRPr="00D439AC">
        <w:t xml:space="preserve">roviders </w:t>
      </w:r>
      <w:r>
        <w:t>will also be required to</w:t>
      </w:r>
      <w:r w:rsidRPr="00D439AC">
        <w:t xml:space="preserve"> publish details of </w:t>
      </w:r>
      <w:r>
        <w:t>their</w:t>
      </w:r>
      <w:r w:rsidRPr="00D439AC">
        <w:t xml:space="preserve"> approved hardship policies on their website</w:t>
      </w:r>
      <w:r>
        <w:t xml:space="preserve"> for easier access for their customers</w:t>
      </w:r>
      <w:r w:rsidR="00496483">
        <w:t xml:space="preserve">.  </w:t>
      </w:r>
      <w:r>
        <w:t>Some providers already include brief details</w:t>
      </w:r>
      <w:r w:rsidRPr="00752218">
        <w:t xml:space="preserve"> of their hardship programs on bills</w:t>
      </w:r>
      <w:r w:rsidR="00EB1ED4">
        <w:t xml:space="preserve">, </w:t>
      </w:r>
      <w:r w:rsidRPr="00A04B1B">
        <w:t xml:space="preserve">although this is not </w:t>
      </w:r>
      <w:r>
        <w:t>compulsory</w:t>
      </w:r>
      <w:r w:rsidRPr="00A04B1B">
        <w:t>.</w:t>
      </w:r>
    </w:p>
    <w:p w:rsidR="006755FC" w:rsidRDefault="006755FC" w:rsidP="00A85D80">
      <w:r>
        <w:t xml:space="preserve">For pensioners and healthcare cardholders, State, Territory and </w:t>
      </w:r>
      <w:r w:rsidR="00956BD6">
        <w:t>Commonwealth</w:t>
      </w:r>
      <w:r>
        <w:t xml:space="preserve"> government assistance will still be available in the form of rebates and concessions, subject to eligibility requirements</w:t>
      </w:r>
      <w:r w:rsidR="00496483">
        <w:t xml:space="preserve">.  </w:t>
      </w:r>
    </w:p>
    <w:p w:rsidR="006755FC" w:rsidRDefault="006755FC" w:rsidP="00A85D80">
      <w:r w:rsidRPr="00B167CE">
        <w:t>The Australian Energy Regulator</w:t>
      </w:r>
      <w:r>
        <w:t xml:space="preserve"> (AER), </w:t>
      </w:r>
      <w:r w:rsidR="00EB1ED4" w:rsidRPr="00B167CE">
        <w:t>the</w:t>
      </w:r>
      <w:r w:rsidR="00EB1ED4">
        <w:t xml:space="preserve"> independent</w:t>
      </w:r>
      <w:r w:rsidR="00EB1ED4" w:rsidRPr="00B167CE">
        <w:t xml:space="preserve"> national regulator of energy supply in Australia</w:t>
      </w:r>
      <w:r w:rsidR="00EB1ED4">
        <w:t xml:space="preserve">, and </w:t>
      </w:r>
      <w:r>
        <w:t xml:space="preserve">part of the Australian Competition and Consumer Commission, will approve, </w:t>
      </w:r>
      <w:r w:rsidRPr="00B167CE">
        <w:t>monitor</w:t>
      </w:r>
      <w:r>
        <w:t xml:space="preserve"> and enforce the implementation of these</w:t>
      </w:r>
      <w:r w:rsidRPr="00B167CE">
        <w:t xml:space="preserve"> hardship</w:t>
      </w:r>
      <w:r>
        <w:t xml:space="preserve"> policies, and </w:t>
      </w:r>
      <w:r w:rsidRPr="00D0346C">
        <w:t>has</w:t>
      </w:r>
      <w:r>
        <w:t xml:space="preserve"> issued guidance on its website for this purpose</w:t>
      </w:r>
      <w:r w:rsidR="00496483">
        <w:t xml:space="preserve">.  </w:t>
      </w:r>
      <w:r>
        <w:t>Energy providers were required to submit their customer hardship policy to the AER for approval by 1 December 2011</w:t>
      </w:r>
      <w:r w:rsidR="00496483">
        <w:t xml:space="preserve">.  </w:t>
      </w:r>
      <w:r>
        <w:t xml:space="preserve">Once the new </w:t>
      </w:r>
      <w:r w:rsidR="00917739">
        <w:t xml:space="preserve">national </w:t>
      </w:r>
      <w:r>
        <w:t>energy laws have been operational for a reasonable period of time, AER will be able to provide energy consumption data across different areas and demographics which will enable consumers to determine whether their own energy usage is high, low or average</w:t>
      </w:r>
      <w:r w:rsidR="00496483">
        <w:t xml:space="preserve">.  </w:t>
      </w:r>
    </w:p>
    <w:p w:rsidR="006755FC" w:rsidRDefault="006755FC" w:rsidP="00A85D80">
      <w:r>
        <w:t>The introduction of nationally consistent legislation for hardship programs should contribute to reducing the need for consumers to resort to borrowing to pay their utility bill</w:t>
      </w:r>
      <w:r w:rsidR="00EB1ED4">
        <w:t>s</w:t>
      </w:r>
      <w:r w:rsidR="00496483">
        <w:t xml:space="preserve">.  </w:t>
      </w:r>
      <w:r>
        <w:t>These programs are free to access, and can deliver positive results for both parties, including affordable payment plans to reduce debt</w:t>
      </w:r>
      <w:r w:rsidR="00496483">
        <w:t xml:space="preserve">.  </w:t>
      </w:r>
      <w:r>
        <w:t>Importantly, it also means that fewer customers will risk having their utility supply disconnected.</w:t>
      </w:r>
    </w:p>
    <w:p w:rsidR="006755FC" w:rsidRPr="004A7974" w:rsidRDefault="006755FC" w:rsidP="004A7A14">
      <w:pPr>
        <w:pStyle w:val="Heading2"/>
      </w:pPr>
      <w:bookmarkStart w:id="29" w:name="_Toc311116722"/>
      <w:bookmarkStart w:id="30" w:name="_Toc322008290"/>
      <w:r w:rsidRPr="004A7974">
        <w:t xml:space="preserve">Limitations in </w:t>
      </w:r>
      <w:r w:rsidR="00DB350A">
        <w:t>c</w:t>
      </w:r>
      <w:r w:rsidRPr="004A7974">
        <w:t xml:space="preserve">onsumer </w:t>
      </w:r>
      <w:r w:rsidR="00DB350A">
        <w:t>u</w:t>
      </w:r>
      <w:r w:rsidRPr="004A7974">
        <w:t xml:space="preserve">se of </w:t>
      </w:r>
      <w:r w:rsidR="00DB350A">
        <w:t>h</w:t>
      </w:r>
      <w:r w:rsidRPr="004A7974">
        <w:t xml:space="preserve">ardship </w:t>
      </w:r>
      <w:r w:rsidR="00DB350A">
        <w:t>p</w:t>
      </w:r>
      <w:r w:rsidRPr="004A7974">
        <w:t>rograms</w:t>
      </w:r>
      <w:bookmarkEnd w:id="29"/>
      <w:bookmarkEnd w:id="30"/>
      <w:r w:rsidRPr="004A7974">
        <w:t xml:space="preserve"> </w:t>
      </w:r>
    </w:p>
    <w:p w:rsidR="006755FC" w:rsidRDefault="006755FC" w:rsidP="00A85D80">
      <w:r>
        <w:t>Evidence from community organisations as well as the numbers utilising small amount lending services to pay utility bills suggests that these hardship programs are not well utilised or recognised</w:t>
      </w:r>
      <w:r w:rsidR="00496483">
        <w:t xml:space="preserve">.  </w:t>
      </w:r>
      <w:r>
        <w:t>This could be due to a number of reasons</w:t>
      </w:r>
      <w:r w:rsidR="005E2C28">
        <w:t>, such as not</w:t>
      </w:r>
      <w:r>
        <w:t xml:space="preserve"> read</w:t>
      </w:r>
      <w:r w:rsidR="005E2C28">
        <w:t>ing</w:t>
      </w:r>
      <w:r>
        <w:t xml:space="preserve"> the relevant information, or </w:t>
      </w:r>
      <w:r w:rsidR="005E2C28">
        <w:t xml:space="preserve">people being embarrassed </w:t>
      </w:r>
      <w:r>
        <w:t>to advise the provider that they are struggling with their bill</w:t>
      </w:r>
      <w:r w:rsidR="005E2C28">
        <w:t>s</w:t>
      </w:r>
      <w:r w:rsidR="00496483">
        <w:t xml:space="preserve">.  </w:t>
      </w:r>
    </w:p>
    <w:p w:rsidR="006755FC" w:rsidRPr="00B65E5A" w:rsidRDefault="006755FC" w:rsidP="00A85D80">
      <w:r w:rsidRPr="00B65E5A">
        <w:t>The new</w:t>
      </w:r>
      <w:r>
        <w:t xml:space="preserve"> national energy</w:t>
      </w:r>
      <w:r w:rsidRPr="00B65E5A">
        <w:t xml:space="preserve"> legislation will</w:t>
      </w:r>
      <w:r>
        <w:t xml:space="preserve"> help to</w:t>
      </w:r>
      <w:r w:rsidRPr="00B65E5A">
        <w:t xml:space="preserve"> address this by: </w:t>
      </w:r>
    </w:p>
    <w:p w:rsidR="006755FC" w:rsidRPr="00B65E5A" w:rsidRDefault="006755FC" w:rsidP="00A85D80">
      <w:pPr>
        <w:pStyle w:val="Bullet"/>
      </w:pPr>
      <w:r w:rsidRPr="00B65E5A">
        <w:t>requiring providers to publish their hardship program details on their website</w:t>
      </w:r>
      <w:r>
        <w:t>; providing greater visibility of the</w:t>
      </w:r>
      <w:r w:rsidRPr="00B65E5A">
        <w:t xml:space="preserve"> existence of these hardship policies; and</w:t>
      </w:r>
    </w:p>
    <w:p w:rsidR="006755FC" w:rsidRPr="00B65E5A" w:rsidRDefault="006755FC" w:rsidP="00A85D80">
      <w:pPr>
        <w:pStyle w:val="Bullet"/>
      </w:pPr>
      <w:r>
        <w:lastRenderedPageBreak/>
        <w:t xml:space="preserve">encouraging </w:t>
      </w:r>
      <w:r w:rsidRPr="00B65E5A">
        <w:t>providers to adopt best practice</w:t>
      </w:r>
      <w:r>
        <w:t xml:space="preserve">, particularly by developing programs to </w:t>
      </w:r>
      <w:r w:rsidRPr="00B65E5A">
        <w:t>proactively identify</w:t>
      </w:r>
      <w:r>
        <w:t xml:space="preserve"> consumers who may be in financial hardship but not necessarily taking the initiative in addressing their problems </w:t>
      </w:r>
      <w:r w:rsidRPr="00B65E5A">
        <w:t>(for example, those who are consistently late in paying)</w:t>
      </w:r>
      <w:r w:rsidR="00496483">
        <w:t xml:space="preserve">.  </w:t>
      </w:r>
      <w:r>
        <w:t>This should also help to address those areas where consumers are reluctant to seek help.</w:t>
      </w:r>
    </w:p>
    <w:p w:rsidR="006755FC" w:rsidRPr="003341A9" w:rsidRDefault="006755FC" w:rsidP="00A85D80">
      <w:r w:rsidRPr="003341A9">
        <w:t>Social media, such as Facebook and Twitter may also be an avenue to promote the various concessions and hardship programs available to individuals in need</w:t>
      </w:r>
      <w:r w:rsidR="00496483">
        <w:t xml:space="preserve">.  </w:t>
      </w:r>
    </w:p>
    <w:p w:rsidR="006755FC" w:rsidRPr="003341A9" w:rsidRDefault="00523163" w:rsidP="00A85D80">
      <w:r>
        <w:t>Another option would be the d</w:t>
      </w:r>
      <w:r w:rsidR="006755FC" w:rsidRPr="003341A9">
        <w:t xml:space="preserve">evelopment and distribution of generic pamphlets and information on concessions, consumer rights and hardship programs </w:t>
      </w:r>
      <w:r>
        <w:t>which could</w:t>
      </w:r>
      <w:r w:rsidR="006755FC" w:rsidRPr="003341A9">
        <w:t>, with the agreement of the Department of Human Services, be placed in Centrelink offices.</w:t>
      </w:r>
    </w:p>
    <w:p w:rsidR="006755FC" w:rsidRPr="004A7974" w:rsidRDefault="006755FC" w:rsidP="004A7A14">
      <w:pPr>
        <w:pStyle w:val="Heading2"/>
      </w:pPr>
      <w:bookmarkStart w:id="31" w:name="_Toc322008291"/>
      <w:r w:rsidRPr="004A7974">
        <w:t>Improved access to other assistance with energy hardship</w:t>
      </w:r>
      <w:bookmarkEnd w:id="31"/>
    </w:p>
    <w:p w:rsidR="006755FC" w:rsidRPr="003F79B7" w:rsidRDefault="00882A2C" w:rsidP="00A85D80">
      <w:r>
        <w:t>Another avenue to explore in terms of reducing the demand for small amount loans linked to utility hardship is to improve access to energy efficiency and financial management programs to minimise the cost of energy bills and improve financial strategies in managing these bills</w:t>
      </w:r>
      <w:r w:rsidR="00496483">
        <w:t xml:space="preserve">.  </w:t>
      </w:r>
    </w:p>
    <w:p w:rsidR="006755FC" w:rsidRPr="00BB16FE" w:rsidRDefault="006755FC" w:rsidP="004A7A14">
      <w:pPr>
        <w:pStyle w:val="Heading2"/>
      </w:pPr>
      <w:bookmarkStart w:id="32" w:name="_Toc322008292"/>
      <w:r w:rsidRPr="00BB16FE">
        <w:t xml:space="preserve">Energy </w:t>
      </w:r>
      <w:r w:rsidR="00DB350A">
        <w:t>e</w:t>
      </w:r>
      <w:r w:rsidRPr="00BB16FE">
        <w:t xml:space="preserve">fficiency </w:t>
      </w:r>
      <w:r w:rsidR="00DB350A">
        <w:t>p</w:t>
      </w:r>
      <w:r w:rsidRPr="00BB16FE">
        <w:t>rograms</w:t>
      </w:r>
      <w:bookmarkEnd w:id="32"/>
    </w:p>
    <w:p w:rsidR="006755FC" w:rsidRDefault="006755FC" w:rsidP="00A85D80">
      <w:r>
        <w:t>There are over 300 existing programs across Australia that assist households with improving their energy efficiency and management of their energy bills</w:t>
      </w:r>
      <w:r w:rsidR="00496483">
        <w:t xml:space="preserve">.  </w:t>
      </w:r>
      <w:r>
        <w:t>These programs vary across states and territories but often include a home energy audit supported by varying levels of access to energy efficient devices and energy and financial management education</w:t>
      </w:r>
      <w:r w:rsidR="00496483">
        <w:t xml:space="preserve">.  </w:t>
      </w:r>
      <w:r w:rsidR="0016439B">
        <w:t>Enhanced promotion of these programs could increase access and reduce energy costs, potentially leading to reduced demand for high</w:t>
      </w:r>
      <w:r w:rsidR="00496483">
        <w:noBreakHyphen/>
      </w:r>
      <w:r w:rsidR="0016439B">
        <w:t>cost, small amount loans to meet energy costs.</w:t>
      </w:r>
    </w:p>
    <w:p w:rsidR="006755FC" w:rsidRDefault="00917739" w:rsidP="00A85D80">
      <w:r>
        <w:t>T</w:t>
      </w:r>
      <w:r w:rsidR="006755FC">
        <w:t>he Government has recently announced a range</w:t>
      </w:r>
      <w:r>
        <w:t xml:space="preserve"> of comple</w:t>
      </w:r>
      <w:r w:rsidR="006755FC">
        <w:t>mentary measures to assist low</w:t>
      </w:r>
      <w:r w:rsidR="00496483">
        <w:noBreakHyphen/>
      </w:r>
      <w:r w:rsidR="006755FC">
        <w:t xml:space="preserve">income households with energy efficiency and energy bills as a part of its </w:t>
      </w:r>
      <w:r w:rsidR="006755FC" w:rsidRPr="003F79B7">
        <w:t>Securing a Clean Energy Future</w:t>
      </w:r>
      <w:r w:rsidR="006755FC">
        <w:t xml:space="preserve"> climate change plan, the Home Energy Saver Scheme and the Low</w:t>
      </w:r>
      <w:r w:rsidR="00496483">
        <w:noBreakHyphen/>
      </w:r>
      <w:r w:rsidR="006755FC">
        <w:t>income Energy Efficiency Program.</w:t>
      </w:r>
    </w:p>
    <w:p w:rsidR="006755FC" w:rsidRPr="00BB16FE" w:rsidRDefault="006755FC" w:rsidP="004A7A14">
      <w:pPr>
        <w:pStyle w:val="Heading2"/>
      </w:pPr>
      <w:bookmarkStart w:id="33" w:name="_Toc322008293"/>
      <w:r w:rsidRPr="00BB16FE">
        <w:t>The Home Energy Saver Scheme (HESS)</w:t>
      </w:r>
      <w:bookmarkEnd w:id="33"/>
    </w:p>
    <w:p w:rsidR="006755FC" w:rsidRPr="003F79B7" w:rsidRDefault="006755FC" w:rsidP="00A85D80">
      <w:r w:rsidRPr="003F79B7">
        <w:t>Th</w:t>
      </w:r>
      <w:r w:rsidR="00407EC1">
        <w:t>e</w:t>
      </w:r>
      <w:r>
        <w:t xml:space="preserve"> </w:t>
      </w:r>
      <w:r w:rsidR="00407EC1">
        <w:t xml:space="preserve">Home Energy Saver </w:t>
      </w:r>
      <w:r>
        <w:t>Schem</w:t>
      </w:r>
      <w:r w:rsidR="00407EC1">
        <w:t>e (HESS)</w:t>
      </w:r>
      <w:r w:rsidRPr="003F79B7">
        <w:t xml:space="preserve"> will provide $29.9 million over four years (until 2014</w:t>
      </w:r>
      <w:r w:rsidR="00496483">
        <w:noBreakHyphen/>
      </w:r>
      <w:r w:rsidRPr="003F79B7">
        <w:t>15) to support low</w:t>
      </w:r>
      <w:r w:rsidR="00496483">
        <w:noBreakHyphen/>
      </w:r>
      <w:r w:rsidRPr="003F79B7">
        <w:t>income households across Australia experiencing difficulty meeting and paying for their energy needs</w:t>
      </w:r>
      <w:r w:rsidR="00496483">
        <w:t xml:space="preserve">.  </w:t>
      </w:r>
      <w:r w:rsidRPr="003F79B7">
        <w:t>The Scheme</w:t>
      </w:r>
      <w:r>
        <w:t xml:space="preserve">, which is due to be operational from </w:t>
      </w:r>
      <w:r w:rsidR="00407EC1">
        <w:t>July</w:t>
      </w:r>
      <w:r w:rsidR="00DB350A">
        <w:t> </w:t>
      </w:r>
      <w:r>
        <w:t>2012,</w:t>
      </w:r>
      <w:r w:rsidRPr="003F79B7">
        <w:t xml:space="preserve"> will provide access to energy efficiency and financial management information, advice, advocacy, support, referral to the No Interest Loans Scheme </w:t>
      </w:r>
      <w:r>
        <w:t>(</w:t>
      </w:r>
      <w:r w:rsidRPr="003F79B7">
        <w:t>if appropriate</w:t>
      </w:r>
      <w:r>
        <w:t>)</w:t>
      </w:r>
      <w:r w:rsidRPr="003F79B7">
        <w:t xml:space="preserve"> and integrated service co</w:t>
      </w:r>
      <w:r w:rsidR="00496483">
        <w:noBreakHyphen/>
      </w:r>
      <w:r w:rsidRPr="003F79B7">
        <w:t>ordination around energy efficiency and financial management</w:t>
      </w:r>
      <w:r w:rsidR="00496483">
        <w:t xml:space="preserve">.  </w:t>
      </w:r>
      <w:r w:rsidRPr="003F79B7">
        <w:t>These services will be delivered to 100,000 low</w:t>
      </w:r>
      <w:r w:rsidR="00496483">
        <w:noBreakHyphen/>
      </w:r>
      <w:r w:rsidRPr="003F79B7">
        <w:t>income households, including tailored in</w:t>
      </w:r>
      <w:r w:rsidR="00496483">
        <w:noBreakHyphen/>
      </w:r>
      <w:r w:rsidRPr="003F79B7">
        <w:t>depth assistance through a home visit by a trained worker to 50,000 households.</w:t>
      </w:r>
    </w:p>
    <w:p w:rsidR="006755FC" w:rsidRPr="003F79B7" w:rsidRDefault="006755FC" w:rsidP="006755FC">
      <w:r w:rsidRPr="003F79B7">
        <w:t>The Scheme will be delivered through existing not</w:t>
      </w:r>
      <w:r w:rsidR="00496483">
        <w:noBreakHyphen/>
      </w:r>
      <w:r w:rsidRPr="003F79B7">
        <w:t>for</w:t>
      </w:r>
      <w:r w:rsidR="00496483">
        <w:noBreakHyphen/>
      </w:r>
      <w:r w:rsidRPr="003F79B7">
        <w:t>profit organisations</w:t>
      </w:r>
      <w:r>
        <w:t xml:space="preserve"> that</w:t>
      </w:r>
      <w:r w:rsidRPr="003F79B7">
        <w:t xml:space="preserve"> provid</w:t>
      </w:r>
      <w:r>
        <w:t>e</w:t>
      </w:r>
      <w:r w:rsidRPr="003F79B7">
        <w:t xml:space="preserve"> financial counselling services and will focus on working with households to improve their financial and energy management practices and engagement with the energy market.</w:t>
      </w:r>
    </w:p>
    <w:p w:rsidR="006755FC" w:rsidRDefault="006755FC" w:rsidP="006755FC">
      <w:r w:rsidRPr="003F79B7">
        <w:lastRenderedPageBreak/>
        <w:t>An important part of the Scheme will be to link participants with the No Interest Loans Scheme (NILS) as appropriate to enable them to access capital to make longer term energy efficiency improvements</w:t>
      </w:r>
      <w:r w:rsidR="00496483">
        <w:t xml:space="preserve">.  </w:t>
      </w:r>
    </w:p>
    <w:p w:rsidR="00A8768C" w:rsidRDefault="00A8768C" w:rsidP="006755FC">
      <w:r>
        <w:t>Financial Management Program service providers already encounter many individuals with energy hardship issues</w:t>
      </w:r>
      <w:r w:rsidR="00496483">
        <w:t xml:space="preserve">.  </w:t>
      </w:r>
      <w:r>
        <w:t>HESS seeks to build on that service framework by improving its resourcing and capacity to provide advice and assistance to low income households on energy hardship issues</w:t>
      </w:r>
      <w:r w:rsidR="00496483">
        <w:t xml:space="preserve">.  </w:t>
      </w:r>
      <w:r w:rsidR="00407EC1">
        <w:t>HESS will complement other energy programs.</w:t>
      </w:r>
    </w:p>
    <w:p w:rsidR="006755FC" w:rsidRPr="00BB16FE" w:rsidRDefault="006755FC" w:rsidP="004A7A14">
      <w:pPr>
        <w:pStyle w:val="Heading2"/>
      </w:pPr>
      <w:bookmarkStart w:id="34" w:name="_Toc322008294"/>
      <w:r w:rsidRPr="00BB16FE">
        <w:t>The Low Income Energy Efficiency Program (LIEEP)</w:t>
      </w:r>
      <w:bookmarkEnd w:id="34"/>
    </w:p>
    <w:p w:rsidR="006755FC" w:rsidRDefault="00A8768C" w:rsidP="00A85D80">
      <w:r>
        <w:t>The Low Income Energy Efficiency Program</w:t>
      </w:r>
      <w:r w:rsidR="00407EC1">
        <w:t xml:space="preserve"> (LIEEP)</w:t>
      </w:r>
      <w:r>
        <w:t xml:space="preserve"> will</w:t>
      </w:r>
      <w:r w:rsidR="006755FC">
        <w:t xml:space="preserve"> provide grants to consortia of government, business and community organisations to assist low income and vulnerable households overcome barriers to energy efficiency and to better manage their energy use</w:t>
      </w:r>
      <w:r w:rsidR="00496483">
        <w:t xml:space="preserve">.  </w:t>
      </w:r>
    </w:p>
    <w:p w:rsidR="006755FC" w:rsidRDefault="006755FC" w:rsidP="006755FC">
      <w:r>
        <w:rPr>
          <w:rFonts w:cs="Arial"/>
        </w:rPr>
        <w:t xml:space="preserve">Trials under the program will be aimed at overcoming barriers to energy efficiency (such as </w:t>
      </w:r>
      <w:r>
        <w:t>information failure, capital constraints and split incentives</w:t>
      </w:r>
      <w:r>
        <w:rPr>
          <w:rFonts w:cs="Arial"/>
        </w:rPr>
        <w:t xml:space="preserve">) which prevent low income households from </w:t>
      </w:r>
      <w:r>
        <w:t>adopting more energy efficient practices</w:t>
      </w:r>
      <w:r w:rsidR="00496483">
        <w:t xml:space="preserve">.  </w:t>
      </w:r>
      <w:r w:rsidR="00A8768C">
        <w:t>As LIEEP is focused on energy efficiency, grant funding will not be able to be used to fund installation of renewable energy generation systems.</w:t>
      </w:r>
    </w:p>
    <w:p w:rsidR="006755FC" w:rsidRDefault="006755FC" w:rsidP="006755FC">
      <w:pPr>
        <w:rPr>
          <w:rFonts w:cs="Arial"/>
        </w:rPr>
      </w:pPr>
      <w:r>
        <w:rPr>
          <w:rFonts w:cs="Arial"/>
        </w:rPr>
        <w:t>The trials will consider innovative ways to deliver approaches that will implement energy efficient technologies, assessing costs and benefits, collecting and benchmarking data and establishing effective administration and communication tools</w:t>
      </w:r>
      <w:r w:rsidR="00496483">
        <w:rPr>
          <w:rFonts w:cs="Arial"/>
        </w:rPr>
        <w:t xml:space="preserve">.  </w:t>
      </w:r>
    </w:p>
    <w:tbl>
      <w:tblPr>
        <w:tblW w:w="4885" w:type="pct"/>
        <w:tblInd w:w="108" w:type="dxa"/>
        <w:shd w:val="clear" w:color="auto" w:fill="E6E6E6"/>
        <w:tblLook w:val="01E0" w:firstRow="1" w:lastRow="1" w:firstColumn="1" w:lastColumn="1" w:noHBand="0" w:noVBand="0"/>
      </w:tblPr>
      <w:tblGrid>
        <w:gridCol w:w="9072"/>
      </w:tblGrid>
      <w:tr w:rsidR="00A85D80" w:rsidTr="00A85D80">
        <w:tc>
          <w:tcPr>
            <w:tcW w:w="5000" w:type="pct"/>
            <w:shd w:val="clear" w:color="auto" w:fill="E6E6E6"/>
          </w:tcPr>
          <w:p w:rsidR="00A85D80" w:rsidRPr="003341A9" w:rsidRDefault="00A85D80" w:rsidP="00A85D80">
            <w:pPr>
              <w:pStyle w:val="BoxHeadingnonumber"/>
            </w:pPr>
            <w:r w:rsidRPr="003341A9">
              <w:t>QUESTIONS</w:t>
            </w:r>
          </w:p>
          <w:p w:rsidR="00A85D80" w:rsidRDefault="00A85D80" w:rsidP="00A85D80">
            <w:pPr>
              <w:pStyle w:val="OutlineNumbered1"/>
            </w:pPr>
            <w:r w:rsidRPr="003341A9">
              <w:t xml:space="preserve">Should </w:t>
            </w:r>
            <w:r w:rsidRPr="00A85D80">
              <w:t>providers</w:t>
            </w:r>
            <w:r w:rsidRPr="003341A9">
              <w:t xml:space="preserve"> </w:t>
            </w:r>
            <w:r w:rsidRPr="00A85D80">
              <w:t>of</w:t>
            </w:r>
            <w:r w:rsidRPr="003341A9">
              <w:t xml:space="preserve"> </w:t>
            </w:r>
            <w:r>
              <w:t>high</w:t>
            </w:r>
            <w:r w:rsidR="00496483">
              <w:noBreakHyphen/>
            </w:r>
            <w:r>
              <w:t xml:space="preserve">cost </w:t>
            </w:r>
            <w:r w:rsidRPr="003341A9">
              <w:t xml:space="preserve">small amount loans be required to advise individuals about the existence of hardship programs where the individual is seeking loans to pay a utilities bill?  </w:t>
            </w:r>
          </w:p>
          <w:p w:rsidR="00A85D80" w:rsidRDefault="00A85D80" w:rsidP="00A85D80">
            <w:pPr>
              <w:pStyle w:val="OutlineNumbered1"/>
            </w:pPr>
            <w:r>
              <w:t>How can individuals be encouraged to use these alternatives for paying utility bills rather than using high</w:t>
            </w:r>
            <w:r w:rsidR="00496483">
              <w:noBreakHyphen/>
            </w:r>
            <w:r>
              <w:t xml:space="preserve">cost small amount loans? </w:t>
            </w:r>
          </w:p>
          <w:p w:rsidR="00A85D80" w:rsidRDefault="00A85D80" w:rsidP="00A85D80">
            <w:pPr>
              <w:pStyle w:val="OutlineNumbered1"/>
            </w:pPr>
            <w:r>
              <w:t xml:space="preserve">What are the advantages and disadvantages of requiring </w:t>
            </w:r>
            <w:r w:rsidRPr="003341A9">
              <w:t xml:space="preserve">energy providers </w:t>
            </w:r>
            <w:r>
              <w:t>to</w:t>
            </w:r>
            <w:r w:rsidRPr="003341A9">
              <w:t xml:space="preserve"> provid</w:t>
            </w:r>
            <w:r>
              <w:t>e</w:t>
            </w:r>
            <w:r w:rsidRPr="003341A9">
              <w:t xml:space="preserve"> information on their payment plans and hardship programs initially when contracts are entered into or renewed, and on each bill?</w:t>
            </w:r>
          </w:p>
          <w:p w:rsidR="00A85D80" w:rsidRDefault="00A85D80" w:rsidP="00A85D80">
            <w:pPr>
              <w:pStyle w:val="OutlineNumbered1"/>
            </w:pPr>
            <w:r>
              <w:t>Are there other support services that would help reduce energy hardship and the demand for small amount, short</w:t>
            </w:r>
            <w:r w:rsidR="00496483">
              <w:noBreakHyphen/>
            </w:r>
            <w:r>
              <w:t>term loans to pay energy bills?</w:t>
            </w:r>
          </w:p>
          <w:p w:rsidR="00A85D80" w:rsidRPr="008950C5" w:rsidRDefault="00A85D80" w:rsidP="00A85D80">
            <w:pPr>
              <w:pStyle w:val="OutlineNumbered1"/>
            </w:pPr>
            <w:r>
              <w:t>Should energy hardship programs be promoted more widely? If so, what mechanisms could be used?</w:t>
            </w:r>
          </w:p>
        </w:tc>
      </w:tr>
    </w:tbl>
    <w:p w:rsidR="006755FC" w:rsidRDefault="006755FC" w:rsidP="006755FC">
      <w:pPr>
        <w:rPr>
          <w:rFonts w:cs="Arial"/>
        </w:rPr>
      </w:pPr>
    </w:p>
    <w:p w:rsidR="00C25E38" w:rsidRDefault="00C25E38" w:rsidP="00A85D80">
      <w:pPr>
        <w:pStyle w:val="Heading1"/>
        <w:rPr>
          <w:rStyle w:val="Strong"/>
          <w:b/>
          <w:color w:val="auto"/>
        </w:rPr>
        <w:sectPr w:rsidR="00C25E38" w:rsidSect="00A96939">
          <w:type w:val="oddPage"/>
          <w:pgSz w:w="11906" w:h="16838"/>
          <w:pgMar w:top="1418" w:right="1418" w:bottom="1418" w:left="1418" w:header="709" w:footer="709" w:gutter="0"/>
          <w:cols w:space="708"/>
          <w:titlePg/>
          <w:docGrid w:linePitch="360"/>
        </w:sectPr>
      </w:pPr>
      <w:bookmarkStart w:id="35" w:name="_Toc314138423"/>
    </w:p>
    <w:p w:rsidR="008515F3" w:rsidRPr="00DB350A" w:rsidRDefault="00DB350A" w:rsidP="00DB350A">
      <w:pPr>
        <w:pStyle w:val="Heading1"/>
      </w:pPr>
      <w:bookmarkStart w:id="36" w:name="_Toc322008295"/>
      <w:r w:rsidRPr="00DB350A">
        <w:lastRenderedPageBreak/>
        <w:t>Chapter 3</w:t>
      </w:r>
      <w:r w:rsidR="00A85D80" w:rsidRPr="00DB350A">
        <w:br/>
      </w:r>
      <w:r w:rsidRPr="00DB350A">
        <w:t>Improve the small amount, short</w:t>
      </w:r>
      <w:r w:rsidR="00496483">
        <w:noBreakHyphen/>
      </w:r>
      <w:r w:rsidRPr="00DB350A">
        <w:t>term loan product</w:t>
      </w:r>
      <w:bookmarkEnd w:id="35"/>
      <w:bookmarkEnd w:id="36"/>
    </w:p>
    <w:p w:rsidR="00066A9A" w:rsidRDefault="00066A9A" w:rsidP="00A85D80">
      <w:r w:rsidRPr="00FB00AA">
        <w:t xml:space="preserve">The regulation of credit providers, including small amount lending, is now the responsibility of the Commonwealth after the 2009 referral of power and the commencement of the </w:t>
      </w:r>
      <w:r w:rsidRPr="00FB00AA">
        <w:rPr>
          <w:i/>
        </w:rPr>
        <w:t>National Consumer Credit Protection Act 2009,</w:t>
      </w:r>
      <w:r w:rsidRPr="00FB00AA">
        <w:t xml:space="preserve"> incorporating the National Credit Code.</w:t>
      </w:r>
    </w:p>
    <w:p w:rsidR="008515F3" w:rsidRDefault="008515F3" w:rsidP="00A85D80">
      <w:r>
        <w:t xml:space="preserve">The Enhancements Bill complements the Credit Act’s licensing and responsible lending </w:t>
      </w:r>
      <w:r w:rsidR="00FB00AA">
        <w:t xml:space="preserve">obligations by </w:t>
      </w:r>
      <w:r>
        <w:t>introduc</w:t>
      </w:r>
      <w:r w:rsidR="00FB00AA">
        <w:t>ing</w:t>
      </w:r>
      <w:r>
        <w:t>:</w:t>
      </w:r>
    </w:p>
    <w:p w:rsidR="008515F3" w:rsidRDefault="008515F3" w:rsidP="00A85D80">
      <w:pPr>
        <w:pStyle w:val="Bullet"/>
      </w:pPr>
      <w:r>
        <w:t xml:space="preserve">a </w:t>
      </w:r>
      <w:r w:rsidR="00FB00AA">
        <w:t>cap on the fees that can be charged on small amount contracts (defined as a contract for $2,000 or less, with a maximum term of two years);</w:t>
      </w:r>
    </w:p>
    <w:p w:rsidR="008515F3" w:rsidRDefault="00FB00AA" w:rsidP="00A85D80">
      <w:pPr>
        <w:pStyle w:val="Bullet"/>
      </w:pPr>
      <w:r>
        <w:t xml:space="preserve">a national </w:t>
      </w:r>
      <w:r w:rsidR="008515F3">
        <w:t>interest rate cap</w:t>
      </w:r>
      <w:r>
        <w:t xml:space="preserve"> of 48 per cent in respect of all other credit contracts</w:t>
      </w:r>
      <w:r w:rsidR="008515F3">
        <w:t>;</w:t>
      </w:r>
    </w:p>
    <w:p w:rsidR="008515F3" w:rsidRDefault="008515F3" w:rsidP="00A85D80">
      <w:pPr>
        <w:pStyle w:val="Bullet"/>
      </w:pPr>
      <w:r>
        <w:t>limits on repeat borrowing; and</w:t>
      </w:r>
    </w:p>
    <w:p w:rsidR="008515F3" w:rsidRDefault="008515F3" w:rsidP="00A85D80">
      <w:pPr>
        <w:pStyle w:val="Bullet"/>
      </w:pPr>
      <w:r>
        <w:t xml:space="preserve">the requirement for small amount lenders to disclose information on alternative options on their website, </w:t>
      </w:r>
      <w:r w:rsidR="00FB00AA">
        <w:t xml:space="preserve">about </w:t>
      </w:r>
      <w:r>
        <w:t>the availability of alternative sources of assistance and alternative no cost or low</w:t>
      </w:r>
      <w:r w:rsidR="00496483">
        <w:noBreakHyphen/>
      </w:r>
      <w:r>
        <w:t>cost credit.</w:t>
      </w:r>
    </w:p>
    <w:p w:rsidR="00767DBF" w:rsidRDefault="00FB00AA" w:rsidP="00A85D80">
      <w:pPr>
        <w:rPr>
          <w:i/>
        </w:rPr>
      </w:pPr>
      <w:r>
        <w:t>The provisions in the Enhancements Bill were the subject of a review by the Parliamentary Joint Committee on Corporations and Financial Services</w:t>
      </w:r>
      <w:r w:rsidR="00496483">
        <w:t xml:space="preserve">.  </w:t>
      </w:r>
      <w:r>
        <w:t>At paragraph 5.223 of its report the Committee stated:</w:t>
      </w:r>
      <w:r w:rsidR="00767DBF">
        <w:rPr>
          <w:i/>
        </w:rPr>
        <w:t xml:space="preserve"> </w:t>
      </w:r>
    </w:p>
    <w:p w:rsidR="00FB00AA" w:rsidRPr="00987648" w:rsidRDefault="00767DBF" w:rsidP="00767DBF">
      <w:pPr>
        <w:ind w:left="720"/>
        <w:rPr>
          <w:i/>
        </w:rPr>
      </w:pPr>
      <w:r>
        <w:rPr>
          <w:i/>
        </w:rPr>
        <w:t>‘</w:t>
      </w:r>
      <w:r w:rsidR="00FB00AA" w:rsidRPr="00987648">
        <w:rPr>
          <w:i/>
        </w:rPr>
        <w:t>The very nature of a small amount short</w:t>
      </w:r>
      <w:r w:rsidR="00496483">
        <w:rPr>
          <w:i/>
        </w:rPr>
        <w:noBreakHyphen/>
      </w:r>
      <w:r w:rsidR="00FB00AA" w:rsidRPr="00987648">
        <w:rPr>
          <w:i/>
        </w:rPr>
        <w:t>term loan indicates that the loans are being sought to address financial difficulty</w:t>
      </w:r>
      <w:r w:rsidR="00496483">
        <w:rPr>
          <w:i/>
        </w:rPr>
        <w:t xml:space="preserve">.  </w:t>
      </w:r>
      <w:r w:rsidR="00FB00AA" w:rsidRPr="00987648">
        <w:rPr>
          <w:i/>
        </w:rPr>
        <w:t>In entering into a pay</w:t>
      </w:r>
      <w:r w:rsidR="00496483">
        <w:rPr>
          <w:i/>
        </w:rPr>
        <w:noBreakHyphen/>
      </w:r>
      <w:r w:rsidR="00C30A84">
        <w:rPr>
          <w:i/>
        </w:rPr>
        <w:t>d</w:t>
      </w:r>
      <w:r w:rsidR="00FB00AA" w:rsidRPr="00987648">
        <w:rPr>
          <w:i/>
        </w:rPr>
        <w:t>ay loan contract, consumers exchange what appear to be substantial fees for a rapid injection of cash</w:t>
      </w:r>
      <w:r w:rsidR="00496483">
        <w:rPr>
          <w:i/>
        </w:rPr>
        <w:t xml:space="preserve">.  </w:t>
      </w:r>
      <w:r w:rsidR="00FB00AA" w:rsidRPr="00987648">
        <w:rPr>
          <w:i/>
        </w:rPr>
        <w:t>For consumers in financial hardship, or those not understanding the financial implications, this may be a perilous path</w:t>
      </w:r>
      <w:r w:rsidR="00496483">
        <w:rPr>
          <w:i/>
        </w:rPr>
        <w:t xml:space="preserve">.  </w:t>
      </w:r>
      <w:r w:rsidR="00FB00AA" w:rsidRPr="00987648">
        <w:rPr>
          <w:i/>
        </w:rPr>
        <w:t>The committee considers that the short</w:t>
      </w:r>
      <w:r w:rsidR="00496483">
        <w:rPr>
          <w:i/>
        </w:rPr>
        <w:noBreakHyphen/>
      </w:r>
      <w:r w:rsidR="00FB00AA" w:rsidRPr="00987648">
        <w:rPr>
          <w:i/>
        </w:rPr>
        <w:t>term loan market is a complex market in which a proportion of c</w:t>
      </w:r>
      <w:r w:rsidR="005B2D60">
        <w:rPr>
          <w:i/>
        </w:rPr>
        <w:t>onsumers are not fully informed</w:t>
      </w:r>
      <w:r>
        <w:rPr>
          <w:i/>
        </w:rPr>
        <w:t>’</w:t>
      </w:r>
      <w:r w:rsidR="005B2D60">
        <w:rPr>
          <w:i/>
        </w:rPr>
        <w:t>.</w:t>
      </w:r>
    </w:p>
    <w:p w:rsidR="00FB00AA" w:rsidRDefault="0065609C" w:rsidP="00A85D80">
      <w:r>
        <w:t xml:space="preserve">The Enhancements Bill is </w:t>
      </w:r>
      <w:r w:rsidR="00A15CEF">
        <w:t xml:space="preserve">scheduled </w:t>
      </w:r>
      <w:r>
        <w:t xml:space="preserve">to be passed into law in </w:t>
      </w:r>
      <w:r w:rsidR="00FB00AA">
        <w:t xml:space="preserve">the </w:t>
      </w:r>
      <w:r w:rsidR="00A15CEF">
        <w:t xml:space="preserve">winter </w:t>
      </w:r>
      <w:r>
        <w:t>2012</w:t>
      </w:r>
      <w:r w:rsidR="00FB00AA">
        <w:t xml:space="preserve"> sittings of Parliament (following further consultations and </w:t>
      </w:r>
      <w:r w:rsidR="0081711F">
        <w:t xml:space="preserve">amendments </w:t>
      </w:r>
      <w:r w:rsidR="00FB00AA">
        <w:t>in light of the recommendations in the</w:t>
      </w:r>
      <w:r w:rsidR="0081711F">
        <w:t xml:space="preserve"> </w:t>
      </w:r>
      <w:r w:rsidR="00C30A84">
        <w:t xml:space="preserve">Parliamentary Joint </w:t>
      </w:r>
      <w:r w:rsidR="0081711F">
        <w:t>Committee</w:t>
      </w:r>
      <w:r w:rsidR="00FB00AA">
        <w:t xml:space="preserve"> report)</w:t>
      </w:r>
      <w:r w:rsidR="00496483">
        <w:t xml:space="preserve">.  </w:t>
      </w:r>
      <w:r w:rsidR="00FB00AA">
        <w:t>These reforms are intended to help mitigate the extent small amount lending causes financial harm to individuals excluded from mainstream financial services</w:t>
      </w:r>
      <w:r w:rsidR="00496483">
        <w:t xml:space="preserve">.  </w:t>
      </w:r>
    </w:p>
    <w:p w:rsidR="00A15CEF" w:rsidRPr="00A15CEF" w:rsidRDefault="00A15CEF" w:rsidP="00A85D80">
      <w:r>
        <w:t>The Government has conducted extensive consultations with stakeholders in relation to the legislative reforms proposed in the Enhancements Bill</w:t>
      </w:r>
      <w:r w:rsidR="00496483">
        <w:t xml:space="preserve">.  </w:t>
      </w:r>
      <w:r>
        <w:t>Accordingly, this Discussion Paper does not seek any views on those reforms</w:t>
      </w:r>
      <w:r w:rsidR="00496483">
        <w:t xml:space="preserve">.  </w:t>
      </w:r>
      <w:r>
        <w:t xml:space="preserve">Further information on the Enhancements Bill can </w:t>
      </w:r>
      <w:r w:rsidRPr="00A15CEF">
        <w:t>be found at:</w:t>
      </w:r>
    </w:p>
    <w:p w:rsidR="009F0DCD" w:rsidRPr="002D1CC9" w:rsidRDefault="00A15CEF" w:rsidP="002D1CC9">
      <w:pPr>
        <w:pStyle w:val="PlainText"/>
        <w:rPr>
          <w:rFonts w:ascii="Book Antiqua" w:hAnsi="Book Antiqua"/>
        </w:rPr>
      </w:pPr>
      <w:r w:rsidRPr="00144973">
        <w:rPr>
          <w:rFonts w:ascii="Book Antiqua" w:hAnsi="Book Antiqua"/>
        </w:rPr>
        <w:t>http://www.treasury.gov.au/consumercredit/content/default.asp</w:t>
      </w:r>
    </w:p>
    <w:p w:rsidR="00144973" w:rsidRPr="00144973" w:rsidRDefault="00144973" w:rsidP="00144973">
      <w:pPr>
        <w:pStyle w:val="OutlineNumbered1"/>
        <w:sectPr w:rsidR="00144973" w:rsidRPr="00144973" w:rsidSect="00A96939">
          <w:type w:val="oddPage"/>
          <w:pgSz w:w="11906" w:h="16838"/>
          <w:pgMar w:top="1418" w:right="1418" w:bottom="1418" w:left="1418" w:header="709" w:footer="709" w:gutter="0"/>
          <w:cols w:space="708"/>
          <w:titlePg/>
          <w:docGrid w:linePitch="360"/>
        </w:sectPr>
      </w:pPr>
    </w:p>
    <w:p w:rsidR="008515F3" w:rsidRPr="00C25E38" w:rsidRDefault="00767DBF" w:rsidP="00C25E38">
      <w:pPr>
        <w:pStyle w:val="Heading1"/>
      </w:pPr>
      <w:bookmarkStart w:id="37" w:name="_Toc322008296"/>
      <w:r w:rsidRPr="00C25E38">
        <w:lastRenderedPageBreak/>
        <w:t>Chapter 4</w:t>
      </w:r>
      <w:r w:rsidR="00A85D80" w:rsidRPr="00C25E38">
        <w:br/>
      </w:r>
      <w:r>
        <w:t>E</w:t>
      </w:r>
      <w:r w:rsidRPr="00C25E38">
        <w:t>ncourage alternatives to high cost, small amount, short</w:t>
      </w:r>
      <w:r w:rsidR="00496483">
        <w:noBreakHyphen/>
      </w:r>
      <w:r w:rsidRPr="00C25E38">
        <w:t>term lending</w:t>
      </w:r>
      <w:bookmarkEnd w:id="37"/>
      <w:r w:rsidRPr="00C25E38">
        <w:t xml:space="preserve"> </w:t>
      </w:r>
    </w:p>
    <w:p w:rsidR="008515F3" w:rsidRDefault="008515F3" w:rsidP="008515F3">
      <w:r>
        <w:t>Another strategy to increas</w:t>
      </w:r>
      <w:r w:rsidR="00B37CFD">
        <w:t>e</w:t>
      </w:r>
      <w:r>
        <w:t xml:space="preserve"> the financial inclusion of individuals is to ensure</w:t>
      </w:r>
      <w:r w:rsidR="00B37CFD">
        <w:t xml:space="preserve"> that</w:t>
      </w:r>
      <w:r>
        <w:t xml:space="preserve"> fair and appropriate alternatives to</w:t>
      </w:r>
      <w:r w:rsidR="00407EC1">
        <w:t xml:space="preserve"> high cost,</w:t>
      </w:r>
      <w:r>
        <w:t xml:space="preserve"> small amount, </w:t>
      </w:r>
      <w:r w:rsidR="007F28C1">
        <w:t>short</w:t>
      </w:r>
      <w:r w:rsidR="00496483">
        <w:noBreakHyphen/>
      </w:r>
      <w:r w:rsidR="007F28C1">
        <w:t>term</w:t>
      </w:r>
      <w:r>
        <w:t xml:space="preserve"> lending are available to vulnerable Australians</w:t>
      </w:r>
      <w:r w:rsidR="00496483">
        <w:t xml:space="preserve">.  </w:t>
      </w:r>
      <w:r>
        <w:t>Such alternatives will need to cover the spectrum from</w:t>
      </w:r>
      <w:r w:rsidR="0083315C">
        <w:t xml:space="preserve"> products provided by</w:t>
      </w:r>
      <w:r>
        <w:t xml:space="preserve"> not</w:t>
      </w:r>
      <w:r w:rsidR="00496483">
        <w:noBreakHyphen/>
      </w:r>
      <w:r>
        <w:t>for</w:t>
      </w:r>
      <w:r w:rsidR="00496483">
        <w:noBreakHyphen/>
      </w:r>
      <w:r>
        <w:t>profits</w:t>
      </w:r>
      <w:r w:rsidR="0083315C">
        <w:t xml:space="preserve"> </w:t>
      </w:r>
      <w:r>
        <w:t>through to mainstream alternatives to cover the different c</w:t>
      </w:r>
      <w:r w:rsidR="00F056CC">
        <w:t>ircumstances of individuals</w:t>
      </w:r>
      <w:r w:rsidR="00496483">
        <w:t xml:space="preserve">.  </w:t>
      </w:r>
      <w:r w:rsidR="00F056CC">
        <w:t>Th</w:t>
      </w:r>
      <w:r>
        <w:t xml:space="preserve">ese alternatives </w:t>
      </w:r>
      <w:r w:rsidR="002C7338">
        <w:t>c</w:t>
      </w:r>
      <w:r w:rsidR="0083315C">
        <w:t xml:space="preserve">ould </w:t>
      </w:r>
      <w:r>
        <w:t xml:space="preserve">include </w:t>
      </w:r>
      <w:r w:rsidR="00594899">
        <w:t>support with managing debt, as well as improving</w:t>
      </w:r>
      <w:r>
        <w:t xml:space="preserve"> access to alternative sources </w:t>
      </w:r>
      <w:r w:rsidR="00594899">
        <w:t>of</w:t>
      </w:r>
      <w:r>
        <w:t xml:space="preserve"> </w:t>
      </w:r>
      <w:r w:rsidR="00714FC3">
        <w:t xml:space="preserve">cheaper </w:t>
      </w:r>
      <w:r>
        <w:t>small amount lending</w:t>
      </w:r>
      <w:r w:rsidR="0083315C">
        <w:t xml:space="preserve"> and/</w:t>
      </w:r>
      <w:r>
        <w:t>or other</w:t>
      </w:r>
      <w:r w:rsidR="0083315C">
        <w:t xml:space="preserve"> financial management</w:t>
      </w:r>
      <w:r>
        <w:t xml:space="preserve"> </w:t>
      </w:r>
      <w:r w:rsidR="00407EC1">
        <w:t>support services</w:t>
      </w:r>
      <w:r>
        <w:t>.</w:t>
      </w:r>
    </w:p>
    <w:p w:rsidR="008515F3" w:rsidRPr="00786171" w:rsidRDefault="008515F3" w:rsidP="00A85D80">
      <w:pPr>
        <w:pStyle w:val="Heading2"/>
      </w:pPr>
      <w:bookmarkStart w:id="38" w:name="_Toc314138425"/>
      <w:bookmarkStart w:id="39" w:name="_Toc322008297"/>
      <w:r w:rsidRPr="00786171">
        <w:t xml:space="preserve">Current </w:t>
      </w:r>
      <w:r w:rsidRPr="00A85D80">
        <w:t>alternatives</w:t>
      </w:r>
      <w:bookmarkEnd w:id="39"/>
      <w:r w:rsidRPr="00786171">
        <w:t xml:space="preserve"> </w:t>
      </w:r>
      <w:bookmarkEnd w:id="38"/>
    </w:p>
    <w:p w:rsidR="008515F3" w:rsidRPr="00B4584C" w:rsidRDefault="008515F3" w:rsidP="00A85D80">
      <w:pPr>
        <w:pStyle w:val="Heading3"/>
      </w:pPr>
      <w:r w:rsidRPr="00B4584C">
        <w:t xml:space="preserve">Financial </w:t>
      </w:r>
      <w:r w:rsidRPr="00A85D80">
        <w:t>Management</w:t>
      </w:r>
      <w:r w:rsidRPr="00B4584C">
        <w:t xml:space="preserve"> Program </w:t>
      </w:r>
    </w:p>
    <w:p w:rsidR="00E8284A" w:rsidRDefault="00664C73" w:rsidP="008515F3">
      <w:r>
        <w:t xml:space="preserve">As discussed in </w:t>
      </w:r>
      <w:r w:rsidRPr="00144973">
        <w:t xml:space="preserve">Chapter </w:t>
      </w:r>
      <w:r w:rsidR="0083315C" w:rsidRPr="00144973">
        <w:t>2</w:t>
      </w:r>
      <w:r w:rsidRPr="0081711F">
        <w:t>,</w:t>
      </w:r>
      <w:r>
        <w:t xml:space="preserve"> the</w:t>
      </w:r>
      <w:r w:rsidR="00E8284A">
        <w:t xml:space="preserve"> Government</w:t>
      </w:r>
      <w:r w:rsidR="002C7338">
        <w:t>’s</w:t>
      </w:r>
      <w:r w:rsidR="00E8284A">
        <w:t xml:space="preserve"> Financial Management Program (FMP) provides funding to a number of services </w:t>
      </w:r>
      <w:r w:rsidR="002C7338">
        <w:t>to</w:t>
      </w:r>
      <w:r w:rsidR="00E8284A">
        <w:t xml:space="preserve"> assist in building an individual's financial resilience and well</w:t>
      </w:r>
      <w:r w:rsidR="00496483">
        <w:noBreakHyphen/>
      </w:r>
      <w:r w:rsidR="00E8284A">
        <w:t>being across a range of income and financial literacy levels</w:t>
      </w:r>
      <w:r w:rsidR="00496483">
        <w:t xml:space="preserve">.  </w:t>
      </w:r>
      <w:r w:rsidR="00E8284A">
        <w:t xml:space="preserve">These services include microfinance initiatives, such as the no and low interest loans schemes (NILS and LILS) and the Community Development Financial Institutions </w:t>
      </w:r>
      <w:r w:rsidR="00767DBF">
        <w:t>(CDFIs) p</w:t>
      </w:r>
      <w:r w:rsidR="00E8284A">
        <w:t>ilot</w:t>
      </w:r>
      <w:r w:rsidR="00496483">
        <w:t xml:space="preserve">.  </w:t>
      </w:r>
    </w:p>
    <w:p w:rsidR="00A83DCD" w:rsidRDefault="00A83DCD" w:rsidP="00A85D80">
      <w:pPr>
        <w:pStyle w:val="Heading3"/>
      </w:pPr>
      <w:r>
        <w:t>No and Low Interest L</w:t>
      </w:r>
      <w:r w:rsidRPr="00A85D80">
        <w:t>o</w:t>
      </w:r>
      <w:r>
        <w:t>ans Schemes (NILS and LILS)</w:t>
      </w:r>
    </w:p>
    <w:p w:rsidR="00A83DCD" w:rsidRDefault="00A83DCD" w:rsidP="00A83DCD">
      <w:r>
        <w:t>The No Interest Loans Scheme (NILS) provides eligible low income people with loans ranging from $800 to $1,200 at zero per cent interest to buy essential household items</w:t>
      </w:r>
      <w:r w:rsidR="00496483">
        <w:t xml:space="preserve">.  </w:t>
      </w:r>
      <w:r>
        <w:t>The scheme is run by Good Shepherd Microfinance in partnership with the National Australia Bank and the Government</w:t>
      </w:r>
      <w:r w:rsidR="00496483">
        <w:t xml:space="preserve">.  </w:t>
      </w:r>
      <w:r>
        <w:t>A list of providers is available on</w:t>
      </w:r>
      <w:r w:rsidR="002C7338">
        <w:t xml:space="preserve"> the Good Shepherd</w:t>
      </w:r>
      <w:r>
        <w:t xml:space="preserve"> website at:  </w:t>
      </w:r>
      <w:hyperlink r:id="rId30" w:tgtFrame="_blank" w:history="1">
        <w:r>
          <w:rPr>
            <w:rStyle w:val="Hyperlink"/>
            <w:color w:val="000000"/>
          </w:rPr>
          <w:t>http://www.goodshepvic.org.au/microfinance</w:t>
        </w:r>
      </w:hyperlink>
      <w:r>
        <w:t>.</w:t>
      </w:r>
    </w:p>
    <w:p w:rsidR="00A83DCD" w:rsidRDefault="00A83DCD" w:rsidP="00A83DCD">
      <w:r>
        <w:t>StepUP, a low interest loan</w:t>
      </w:r>
      <w:r w:rsidR="00263FB9">
        <w:t xml:space="preserve"> product, </w:t>
      </w:r>
      <w:r>
        <w:t>acts as a stepping stone to help people on low incomes transition into mainstream credit products</w:t>
      </w:r>
      <w:r w:rsidR="00496483">
        <w:t xml:space="preserve">.  </w:t>
      </w:r>
      <w:r>
        <w:t>Loans range from $800 to $3,000, offer a low fixed interest rate (currently at 3.99 per cent), have no fees and a</w:t>
      </w:r>
      <w:r w:rsidR="002C7338">
        <w:t xml:space="preserve"> have</w:t>
      </w:r>
      <w:r>
        <w:t xml:space="preserve"> repayment period of up to three years</w:t>
      </w:r>
      <w:r w:rsidR="00496483">
        <w:t xml:space="preserve">.  </w:t>
      </w:r>
      <w:r>
        <w:t>The scheme is run by Good Shepherd Microfinance in partnership with the National Australia Bank and the Government.</w:t>
      </w:r>
    </w:p>
    <w:p w:rsidR="00C30A84" w:rsidRPr="00CF205C" w:rsidRDefault="00C30A84" w:rsidP="00C30A84">
      <w:pPr>
        <w:rPr>
          <w:rFonts w:ascii="Times New Roman" w:hAnsi="Times New Roman"/>
          <w:sz w:val="24"/>
          <w:szCs w:val="24"/>
        </w:rPr>
      </w:pPr>
      <w:r>
        <w:rPr>
          <w:rFonts w:cs="Arial"/>
        </w:rPr>
        <w:t>Good Shepherd has been delivering the No Interest Loans Scheme for over 30 years and NILS sites are now operating in over 400 locations across Australia</w:t>
      </w:r>
      <w:r w:rsidR="00496483">
        <w:rPr>
          <w:rFonts w:cs="Arial"/>
        </w:rPr>
        <w:t xml:space="preserve">.  </w:t>
      </w:r>
      <w:r>
        <w:rPr>
          <w:rFonts w:cs="Arial"/>
        </w:rPr>
        <w:t xml:space="preserve">In 2011, Good Shepherd announced the </w:t>
      </w:r>
      <w:r w:rsidRPr="00CF205C">
        <w:rPr>
          <w:rFonts w:ascii="Times New Roman" w:hAnsi="Times New Roman"/>
          <w:sz w:val="24"/>
          <w:szCs w:val="24"/>
        </w:rPr>
        <w:t>establishment of a new entity, Good Shepherd Microfinance, with the aim of further building their microfinance programs and developing new microfinance responses to community need</w:t>
      </w:r>
      <w:r>
        <w:rPr>
          <w:rFonts w:ascii="Times New Roman" w:hAnsi="Times New Roman"/>
          <w:sz w:val="24"/>
          <w:szCs w:val="24"/>
        </w:rPr>
        <w:t>s</w:t>
      </w:r>
      <w:r w:rsidR="00496483">
        <w:rPr>
          <w:rFonts w:ascii="Times New Roman" w:hAnsi="Times New Roman"/>
          <w:sz w:val="24"/>
          <w:szCs w:val="24"/>
        </w:rPr>
        <w:t xml:space="preserve">.  </w:t>
      </w:r>
    </w:p>
    <w:p w:rsidR="002D3C7E" w:rsidRDefault="002D3C7E" w:rsidP="002D3C7E">
      <w:pPr>
        <w:rPr>
          <w:rFonts w:cs="Arial"/>
        </w:rPr>
      </w:pPr>
      <w:r>
        <w:rPr>
          <w:rFonts w:cs="Arial"/>
        </w:rPr>
        <w:t>While these types of loans are able to assist many low income consumers to obtain small amounts of credit for specific purposes, there are characteristics of these products that make them an unsuitable alternative to high</w:t>
      </w:r>
      <w:r w:rsidR="00496483">
        <w:rPr>
          <w:rFonts w:cs="Arial"/>
        </w:rPr>
        <w:noBreakHyphen/>
      </w:r>
      <w:r>
        <w:rPr>
          <w:rFonts w:cs="Arial"/>
        </w:rPr>
        <w:t>cost, short</w:t>
      </w:r>
      <w:r w:rsidR="00496483">
        <w:rPr>
          <w:rFonts w:cs="Arial"/>
        </w:rPr>
        <w:noBreakHyphen/>
      </w:r>
      <w:r>
        <w:rPr>
          <w:rFonts w:cs="Arial"/>
        </w:rPr>
        <w:t>term loans for many consumers of these products</w:t>
      </w:r>
      <w:r w:rsidR="00496483">
        <w:rPr>
          <w:rFonts w:cs="Arial"/>
        </w:rPr>
        <w:t xml:space="preserve">.  </w:t>
      </w:r>
      <w:r>
        <w:rPr>
          <w:rFonts w:cs="Arial"/>
        </w:rPr>
        <w:t>High</w:t>
      </w:r>
      <w:r w:rsidR="00496483">
        <w:rPr>
          <w:rFonts w:cs="Arial"/>
        </w:rPr>
        <w:noBreakHyphen/>
      </w:r>
      <w:r>
        <w:rPr>
          <w:rFonts w:cs="Arial"/>
        </w:rPr>
        <w:t>cost, short</w:t>
      </w:r>
      <w:r w:rsidR="00496483">
        <w:rPr>
          <w:rFonts w:cs="Arial"/>
        </w:rPr>
        <w:noBreakHyphen/>
      </w:r>
      <w:r>
        <w:rPr>
          <w:rFonts w:cs="Arial"/>
        </w:rPr>
        <w:t>term loans, for example, have a very fast application and approval process, with consumers often able to receive an immediate cash advance</w:t>
      </w:r>
      <w:r w:rsidR="00496483">
        <w:rPr>
          <w:rFonts w:cs="Arial"/>
        </w:rPr>
        <w:t xml:space="preserve">.  </w:t>
      </w:r>
      <w:r>
        <w:rPr>
          <w:rFonts w:cs="Arial"/>
        </w:rPr>
        <w:t>There are few limitations on the amount that can be loaned or the potential uses of the loan.</w:t>
      </w:r>
    </w:p>
    <w:p w:rsidR="002D3C7E" w:rsidRDefault="002D3C7E" w:rsidP="002D3C7E">
      <w:pPr>
        <w:rPr>
          <w:rFonts w:cs="Arial"/>
        </w:rPr>
      </w:pPr>
      <w:r>
        <w:rPr>
          <w:rFonts w:cs="Arial"/>
        </w:rPr>
        <w:lastRenderedPageBreak/>
        <w:t>This is in contrast to a NILS or StepUP product, which is ultimately designed to ensure that the loan is in the best interests of the consumer</w:t>
      </w:r>
      <w:r w:rsidR="00496483">
        <w:rPr>
          <w:rFonts w:cs="Arial"/>
        </w:rPr>
        <w:t xml:space="preserve">.  </w:t>
      </w:r>
      <w:r>
        <w:rPr>
          <w:rFonts w:cs="Arial"/>
        </w:rPr>
        <w:t xml:space="preserve">Loans are provided for asset building purposes, specifically for the purchase of </w:t>
      </w:r>
      <w:r>
        <w:t>essential household items such as fridges, washing machines or other essential needs</w:t>
      </w:r>
      <w:r w:rsidR="00496483">
        <w:t xml:space="preserve">.  </w:t>
      </w:r>
      <w:r>
        <w:t>Due to the diligence applied by community organisations, these loans can also take some weeks to be approved, there are restrictions on the amount that can be borrowed and they are only available to those individuals who hold a health care or pension concession card</w:t>
      </w:r>
    </w:p>
    <w:p w:rsidR="008515F3" w:rsidRDefault="00E21F44" w:rsidP="008515F3">
      <w:pPr>
        <w:rPr>
          <w:rFonts w:cs="Arial"/>
        </w:rPr>
      </w:pPr>
      <w:r>
        <w:rPr>
          <w:rFonts w:cs="Arial"/>
        </w:rPr>
        <w:t>T</w:t>
      </w:r>
      <w:r w:rsidR="008515F3">
        <w:rPr>
          <w:rFonts w:cs="Arial"/>
        </w:rPr>
        <w:t>he specific eligibility requirements applying to</w:t>
      </w:r>
      <w:r w:rsidR="002D3C7E">
        <w:rPr>
          <w:rFonts w:cs="Arial"/>
        </w:rPr>
        <w:t xml:space="preserve"> NILS and StepUP</w:t>
      </w:r>
      <w:r w:rsidR="008515F3" w:rsidRPr="00387C69">
        <w:rPr>
          <w:rFonts w:cs="Arial"/>
        </w:rPr>
        <w:t xml:space="preserve"> products</w:t>
      </w:r>
      <w:r w:rsidR="008515F3">
        <w:rPr>
          <w:rFonts w:cs="Arial"/>
        </w:rPr>
        <w:t>, their limited coverage and lack of universal access for</w:t>
      </w:r>
      <w:r w:rsidR="00263FB9">
        <w:rPr>
          <w:rFonts w:cs="Arial"/>
        </w:rPr>
        <w:t xml:space="preserve"> financially excluded </w:t>
      </w:r>
      <w:r w:rsidR="008515F3">
        <w:rPr>
          <w:rFonts w:cs="Arial"/>
        </w:rPr>
        <w:t xml:space="preserve">groups has meant that </w:t>
      </w:r>
      <w:r w:rsidR="00263FB9">
        <w:rPr>
          <w:rFonts w:cs="Arial"/>
        </w:rPr>
        <w:t xml:space="preserve">there remains </w:t>
      </w:r>
      <w:r w:rsidR="008515F3">
        <w:rPr>
          <w:rFonts w:cs="Arial"/>
        </w:rPr>
        <w:t>unmet demand for small amounts of credit</w:t>
      </w:r>
      <w:r w:rsidR="00496483">
        <w:rPr>
          <w:rFonts w:cs="Arial"/>
        </w:rPr>
        <w:t xml:space="preserve">.  </w:t>
      </w:r>
      <w:r w:rsidR="00263FB9">
        <w:rPr>
          <w:rFonts w:cs="Arial"/>
        </w:rPr>
        <w:t>This is one factor that</w:t>
      </w:r>
      <w:r w:rsidR="008515F3">
        <w:rPr>
          <w:rFonts w:cs="Arial"/>
        </w:rPr>
        <w:t xml:space="preserve"> has led to significant growth in the </w:t>
      </w:r>
      <w:r w:rsidR="008515F3" w:rsidRPr="00387C69">
        <w:rPr>
          <w:rFonts w:cs="Arial"/>
        </w:rPr>
        <w:t>high</w:t>
      </w:r>
      <w:r w:rsidR="00496483">
        <w:rPr>
          <w:rFonts w:cs="Arial"/>
        </w:rPr>
        <w:noBreakHyphen/>
      </w:r>
      <w:r w:rsidR="008515F3" w:rsidRPr="00387C69">
        <w:rPr>
          <w:rFonts w:cs="Arial"/>
        </w:rPr>
        <w:t>cost, short</w:t>
      </w:r>
      <w:r w:rsidR="00496483">
        <w:rPr>
          <w:rFonts w:cs="Arial"/>
        </w:rPr>
        <w:noBreakHyphen/>
      </w:r>
      <w:r w:rsidR="008515F3" w:rsidRPr="00387C69">
        <w:rPr>
          <w:rFonts w:cs="Arial"/>
        </w:rPr>
        <w:t>term loan sector</w:t>
      </w:r>
      <w:r w:rsidR="008515F3">
        <w:rPr>
          <w:rFonts w:cs="Arial"/>
        </w:rPr>
        <w:t>.</w:t>
      </w:r>
    </w:p>
    <w:p w:rsidR="00F64748" w:rsidRPr="005B2769" w:rsidRDefault="00F64748" w:rsidP="00A85D80">
      <w:pPr>
        <w:pStyle w:val="Heading3"/>
      </w:pPr>
      <w:r w:rsidRPr="00A85D80">
        <w:t>Community</w:t>
      </w:r>
      <w:r w:rsidRPr="005B2769">
        <w:t xml:space="preserve"> Development Financial Institutions (CDFIs)</w:t>
      </w:r>
    </w:p>
    <w:p w:rsidR="00F64748" w:rsidRDefault="00F64748" w:rsidP="00A85D80">
      <w:r>
        <w:t>In 2011, the Government, through its Community Development Financial Institutions (CDFI) pilot, provided $6 million to five community finance organisations for a range of business development and infrastructure costs</w:t>
      </w:r>
      <w:r w:rsidR="00496483">
        <w:t xml:space="preserve">.  </w:t>
      </w:r>
    </w:p>
    <w:p w:rsidR="00F64748" w:rsidRDefault="00F64748" w:rsidP="00A85D80">
      <w:r w:rsidRPr="00DE4239">
        <w:t xml:space="preserve">The </w:t>
      </w:r>
      <w:r>
        <w:t xml:space="preserve">FMP’s CDFI pilot </w:t>
      </w:r>
      <w:r w:rsidRPr="00DE4239">
        <w:t>seeks to build the capacity and resilience of disadvantaged and financially excluded individuals by funding community finance organisations that offer them financial services and products they would otherwise not be able to access from mainstream sources</w:t>
      </w:r>
      <w:r w:rsidR="00496483">
        <w:t xml:space="preserve">.  </w:t>
      </w:r>
      <w:r w:rsidRPr="00DE4239">
        <w:t>CDFIs provide financial products (such as loans) and financial services (such as financial literacy, counselling</w:t>
      </w:r>
      <w:r w:rsidR="0022264B">
        <w:t xml:space="preserve"> or</w:t>
      </w:r>
      <w:r w:rsidRPr="00DE4239">
        <w:t xml:space="preserve"> business development advice).</w:t>
      </w:r>
    </w:p>
    <w:p w:rsidR="00F64748" w:rsidRDefault="00F64748" w:rsidP="00A85D80">
      <w:r w:rsidRPr="00DE4239">
        <w:t>In market terms, CDFIs</w:t>
      </w:r>
      <w:r w:rsidR="00857280">
        <w:t xml:space="preserve"> helps to</w:t>
      </w:r>
      <w:r w:rsidRPr="00DE4239">
        <w:t xml:space="preserve"> fill the gap between welfare and mai</w:t>
      </w:r>
      <w:r>
        <w:t>nstream financial institutions</w:t>
      </w:r>
      <w:r w:rsidR="00496483">
        <w:t xml:space="preserve">.  </w:t>
      </w:r>
      <w:r w:rsidRPr="00DE4239">
        <w:t>CDFIs target individuals on low incomes and those who experience discrimination in the lending market</w:t>
      </w:r>
      <w:r w:rsidR="00496483">
        <w:t xml:space="preserve">.  </w:t>
      </w:r>
      <w:r w:rsidRPr="00DE4239">
        <w:t>These are individuals who could afford financial products and services but cannot gain access to them.</w:t>
      </w:r>
    </w:p>
    <w:p w:rsidR="00F64748" w:rsidRDefault="00F64748" w:rsidP="00A85D80">
      <w:r>
        <w:t>CDFI loans offer greater flexibility in loan purposes than NILS and LILS loans</w:t>
      </w:r>
      <w:r w:rsidR="00496483">
        <w:t xml:space="preserve">.  </w:t>
      </w:r>
      <w:r>
        <w:t>However, due to the small number of CDFIs participating in the pilot, coverage and loan volume is limited</w:t>
      </w:r>
      <w:r w:rsidR="00496483">
        <w:t xml:space="preserve">.  </w:t>
      </w:r>
    </w:p>
    <w:p w:rsidR="0022264B" w:rsidRDefault="00F64748" w:rsidP="00466BCF">
      <w:r w:rsidRPr="00375166">
        <w:t xml:space="preserve">Each </w:t>
      </w:r>
      <w:r>
        <w:t>CDFI</w:t>
      </w:r>
      <w:r w:rsidR="00B10F12">
        <w:t xml:space="preserve"> in the pilot</w:t>
      </w:r>
      <w:r>
        <w:t xml:space="preserve"> is working closely with </w:t>
      </w:r>
      <w:r w:rsidRPr="00375166">
        <w:t>a bank</w:t>
      </w:r>
      <w:r>
        <w:t xml:space="preserve"> or credit union</w:t>
      </w:r>
      <w:r w:rsidRPr="00375166">
        <w:t xml:space="preserve"> for </w:t>
      </w:r>
      <w:r>
        <w:t xml:space="preserve">capital </w:t>
      </w:r>
      <w:r w:rsidRPr="00375166">
        <w:t>funding purposes</w:t>
      </w:r>
      <w:r w:rsidR="00496483">
        <w:t xml:space="preserve">.  </w:t>
      </w:r>
      <w:r>
        <w:t xml:space="preserve">At </w:t>
      </w:r>
      <w:r w:rsidR="00B10F12">
        <w:t>20 March 2012,</w:t>
      </w:r>
      <w:r>
        <w:t xml:space="preserve"> these organisations had provided </w:t>
      </w:r>
      <w:r w:rsidR="00B10F12">
        <w:t>804</w:t>
      </w:r>
      <w:r>
        <w:t xml:space="preserve"> loans to individuals</w:t>
      </w:r>
      <w:r w:rsidR="00496483">
        <w:t xml:space="preserve">.  </w:t>
      </w:r>
      <w:r>
        <w:t xml:space="preserve">The pilot is currently being evaluated and its future is subject to a report on the pilot, due in </w:t>
      </w:r>
      <w:r w:rsidR="00B10F12">
        <w:t>August</w:t>
      </w:r>
      <w:r>
        <w:t xml:space="preserve"> 2012.</w:t>
      </w:r>
    </w:p>
    <w:tbl>
      <w:tblPr>
        <w:tblW w:w="4885" w:type="pct"/>
        <w:tblInd w:w="108" w:type="dxa"/>
        <w:shd w:val="clear" w:color="auto" w:fill="E6E6E6"/>
        <w:tblLook w:val="01E0" w:firstRow="1" w:lastRow="1" w:firstColumn="1" w:lastColumn="1" w:noHBand="0" w:noVBand="0"/>
      </w:tblPr>
      <w:tblGrid>
        <w:gridCol w:w="9072"/>
      </w:tblGrid>
      <w:tr w:rsidR="00A85D80" w:rsidTr="00A85D80">
        <w:tc>
          <w:tcPr>
            <w:tcW w:w="5000" w:type="pct"/>
            <w:shd w:val="clear" w:color="auto" w:fill="E6E6E6"/>
          </w:tcPr>
          <w:p w:rsidR="00A85D80" w:rsidRDefault="00A85D80" w:rsidP="0022264B">
            <w:pPr>
              <w:pStyle w:val="BoxHeadingnonumber"/>
              <w:keepNext w:val="0"/>
              <w:widowControl w:val="0"/>
              <w:spacing w:before="0"/>
            </w:pPr>
            <w:r>
              <w:t>QUESTIONS</w:t>
            </w:r>
          </w:p>
          <w:p w:rsidR="00A85D80" w:rsidRDefault="00A85D80" w:rsidP="00A85D80">
            <w:pPr>
              <w:pStyle w:val="OutlineNumbered1"/>
            </w:pPr>
            <w:r>
              <w:t>Is building upon existing programs and extending the criteria for accessing these programs, such as NILS and StepUP, an appropriate alternative to small amount, short</w:t>
            </w:r>
            <w:r w:rsidR="00496483">
              <w:noBreakHyphen/>
            </w:r>
            <w:r>
              <w:t xml:space="preserve">term loans?  </w:t>
            </w:r>
          </w:p>
          <w:p w:rsidR="00A85D80" w:rsidRDefault="00A85D80" w:rsidP="00A85D80">
            <w:pPr>
              <w:pStyle w:val="OutlineNumbered1"/>
            </w:pPr>
            <w:r>
              <w:t>If yes, should the eligibility and purpose criteria for no interest and low interest loans be expanded and what should these criteria be expanded to include?</w:t>
            </w:r>
          </w:p>
          <w:p w:rsidR="00A85D80" w:rsidRPr="008950C5" w:rsidRDefault="00A85D80" w:rsidP="00A85D80">
            <w:pPr>
              <w:pStyle w:val="OutlineNumbered1"/>
            </w:pPr>
            <w:r>
              <w:t xml:space="preserve">How </w:t>
            </w:r>
            <w:r w:rsidR="000E15EF">
              <w:t>more partnerships could</w:t>
            </w:r>
            <w:r>
              <w:t xml:space="preserve"> be developed between community service organisations and financial institutions to increase the number of these products and their coverage.</w:t>
            </w:r>
          </w:p>
        </w:tc>
      </w:tr>
    </w:tbl>
    <w:p w:rsidR="00C2562F" w:rsidRPr="005B2769" w:rsidRDefault="00F85A67" w:rsidP="004A7A14">
      <w:pPr>
        <w:pStyle w:val="Heading3"/>
      </w:pPr>
      <w:r w:rsidRPr="006A193A">
        <w:lastRenderedPageBreak/>
        <w:t>Encourage</w:t>
      </w:r>
      <w:r w:rsidRPr="005B2769">
        <w:t xml:space="preserve"> </w:t>
      </w:r>
      <w:r w:rsidR="00767DBF">
        <w:t>m</w:t>
      </w:r>
      <w:r w:rsidRPr="005B2769">
        <w:t xml:space="preserve">ainstream </w:t>
      </w:r>
      <w:r w:rsidR="00767DBF">
        <w:t>l</w:t>
      </w:r>
      <w:r w:rsidRPr="005B2769">
        <w:t xml:space="preserve">enders </w:t>
      </w:r>
      <w:r w:rsidR="00767DBF">
        <w:t>t</w:t>
      </w:r>
      <w:r w:rsidRPr="005B2769">
        <w:t xml:space="preserve">o </w:t>
      </w:r>
      <w:r w:rsidR="00767DBF">
        <w:t>s</w:t>
      </w:r>
      <w:r w:rsidRPr="005B2769">
        <w:t xml:space="preserve">upport </w:t>
      </w:r>
      <w:r w:rsidR="00767DBF">
        <w:t>s</w:t>
      </w:r>
      <w:r w:rsidRPr="005B2769">
        <w:t xml:space="preserve">mall </w:t>
      </w:r>
      <w:r w:rsidR="00767DBF">
        <w:t>a</w:t>
      </w:r>
      <w:r w:rsidRPr="005B2769">
        <w:t xml:space="preserve">mount </w:t>
      </w:r>
      <w:r w:rsidR="00767DBF">
        <w:t>l</w:t>
      </w:r>
      <w:r w:rsidRPr="005B2769">
        <w:t>ending</w:t>
      </w:r>
    </w:p>
    <w:p w:rsidR="00D004AE" w:rsidRDefault="00D004AE" w:rsidP="006A193A">
      <w:r>
        <w:t xml:space="preserve">There are a number of </w:t>
      </w:r>
      <w:r w:rsidR="00C2562F">
        <w:t>strategies</w:t>
      </w:r>
      <w:r>
        <w:t xml:space="preserve"> which could be used to encourage mainstream lenders </w:t>
      </w:r>
      <w:r w:rsidR="00C2562F">
        <w:t xml:space="preserve">to support </w:t>
      </w:r>
      <w:r w:rsidR="00BC6C86">
        <w:t>low</w:t>
      </w:r>
      <w:r w:rsidR="00496483">
        <w:noBreakHyphen/>
      </w:r>
      <w:r>
        <w:t>cost</w:t>
      </w:r>
      <w:r w:rsidR="00BC6C86">
        <w:t>,</w:t>
      </w:r>
      <w:r>
        <w:t xml:space="preserve"> </w:t>
      </w:r>
      <w:r w:rsidR="00C2562F">
        <w:t xml:space="preserve">small amount lending to a </w:t>
      </w:r>
      <w:r w:rsidR="00C2562F" w:rsidRPr="0005418E">
        <w:t xml:space="preserve">greater </w:t>
      </w:r>
      <w:r w:rsidR="00C2562F">
        <w:t>extent than is currently the case</w:t>
      </w:r>
      <w:r w:rsidR="00496483">
        <w:t xml:space="preserve">.  </w:t>
      </w:r>
      <w:r w:rsidR="00C2562F">
        <w:t>For the purposes of this discussion</w:t>
      </w:r>
      <w:r w:rsidR="00BC6C86">
        <w:t>,</w:t>
      </w:r>
      <w:r w:rsidR="00C2562F">
        <w:t xml:space="preserve"> ‘mainstream lenders’ are lenders who are of a large enough size or have sufficient resources to offer a </w:t>
      </w:r>
      <w:r w:rsidR="00A15CEF">
        <w:t xml:space="preserve">broad </w:t>
      </w:r>
      <w:r w:rsidR="00C2562F">
        <w:t>range of credit products other than small amount contracts</w:t>
      </w:r>
      <w:r w:rsidR="00496483">
        <w:t xml:space="preserve">.  </w:t>
      </w:r>
    </w:p>
    <w:p w:rsidR="00C2562F" w:rsidRDefault="00C2562F" w:rsidP="006A193A">
      <w:r>
        <w:t>This section will first examine how mainstream lenders are encouraged to support</w:t>
      </w:r>
      <w:r w:rsidR="00D004AE">
        <w:t xml:space="preserve"> low cost</w:t>
      </w:r>
      <w:r>
        <w:t xml:space="preserve"> small amount lending overseas and then present the </w:t>
      </w:r>
      <w:r w:rsidR="00D004AE">
        <w:t>Australian experience</w:t>
      </w:r>
      <w:r>
        <w:t>.</w:t>
      </w:r>
    </w:p>
    <w:p w:rsidR="00C2562F" w:rsidRPr="00CB1014" w:rsidRDefault="00C2562F" w:rsidP="006A193A">
      <w:pPr>
        <w:pStyle w:val="Heading3"/>
      </w:pPr>
      <w:r w:rsidRPr="00CB1014">
        <w:t xml:space="preserve">Overseas </w:t>
      </w:r>
      <w:r w:rsidR="00767DBF">
        <w:t>a</w:t>
      </w:r>
      <w:r w:rsidRPr="00CB1014">
        <w:t>pproaches</w:t>
      </w:r>
    </w:p>
    <w:p w:rsidR="00C2562F" w:rsidRDefault="00C2562F" w:rsidP="001C6AA6">
      <w:r>
        <w:t>Overseas jurisdictions have considered the use of both statutory and non</w:t>
      </w:r>
      <w:r w:rsidR="00496483">
        <w:noBreakHyphen/>
      </w:r>
      <w:r>
        <w:t>statutory mechanisms to further the engagement of mainstream financial institutions in building their smaller lending sectors for the financially disadvantaged.</w:t>
      </w:r>
    </w:p>
    <w:p w:rsidR="00C2562F" w:rsidRPr="006A193A" w:rsidRDefault="00C2562F" w:rsidP="006A193A">
      <w:pPr>
        <w:pStyle w:val="Heading3"/>
      </w:pPr>
      <w:bookmarkStart w:id="40" w:name="_Toc314138427"/>
      <w:r w:rsidRPr="006A193A">
        <w:rPr>
          <w:rStyle w:val="Heading3Char"/>
          <w:b/>
          <w:bCs/>
        </w:rPr>
        <w:t>App</w:t>
      </w:r>
      <w:r w:rsidR="00EC04DF" w:rsidRPr="006A193A">
        <w:rPr>
          <w:rStyle w:val="Heading3Char"/>
          <w:b/>
          <w:bCs/>
        </w:rPr>
        <w:t>r</w:t>
      </w:r>
      <w:r w:rsidRPr="006A193A">
        <w:rPr>
          <w:rStyle w:val="Heading3Char"/>
          <w:b/>
          <w:bCs/>
        </w:rPr>
        <w:t>oach in the United States</w:t>
      </w:r>
      <w:bookmarkEnd w:id="40"/>
    </w:p>
    <w:p w:rsidR="00C2562F" w:rsidRDefault="00C2562F" w:rsidP="001C6AA6">
      <w:r>
        <w:t xml:space="preserve">In the </w:t>
      </w:r>
      <w:r w:rsidR="00767DBF">
        <w:t>United States (</w:t>
      </w:r>
      <w:r>
        <w:t>US</w:t>
      </w:r>
      <w:r w:rsidR="00767DBF">
        <w:t>)</w:t>
      </w:r>
      <w:r>
        <w:t xml:space="preserve">, the </w:t>
      </w:r>
      <w:r w:rsidRPr="0094711D">
        <w:rPr>
          <w:i/>
        </w:rPr>
        <w:t>Community Reinvestment Act</w:t>
      </w:r>
      <w:r>
        <w:t xml:space="preserve"> (CRA) was enacted in 1977 to require banks to serve the credit needs of the low and moderate income neighbourhoods to overcome reliance on fringe credit providers</w:t>
      </w:r>
      <w:r w:rsidR="00496483">
        <w:t xml:space="preserve">.  </w:t>
      </w:r>
      <w:r>
        <w:t>It initially focused on residential mortgage lending but has now moved to offering banking services to individuals on low incomes</w:t>
      </w:r>
      <w:r w:rsidR="00496483">
        <w:t xml:space="preserve">.  </w:t>
      </w:r>
      <w:r>
        <w:t xml:space="preserve">CRA </w:t>
      </w:r>
      <w:r w:rsidR="001C3AED">
        <w:t>encourages responsible lending</w:t>
      </w:r>
      <w:r>
        <w:t xml:space="preserve"> as t</w:t>
      </w:r>
      <w:r w:rsidRPr="00B70255">
        <w:t>he law makes it clear that an institution's CRA activities should be undertaken in a safe and sound manner</w:t>
      </w:r>
      <w:r w:rsidR="00496483">
        <w:t xml:space="preserve">.  </w:t>
      </w:r>
      <w:r>
        <w:t xml:space="preserve">It provides rewards in terms of ratings </w:t>
      </w:r>
      <w:r w:rsidR="00276094">
        <w:t xml:space="preserve">based </w:t>
      </w:r>
      <w:r>
        <w:t>on the extent of lending to marginalise</w:t>
      </w:r>
      <w:r w:rsidR="00CA5014">
        <w:t>d</w:t>
      </w:r>
      <w:r>
        <w:t xml:space="preserve"> borrowers and the range of services provided</w:t>
      </w:r>
      <w:r w:rsidR="00496483">
        <w:t xml:space="preserve">.  </w:t>
      </w:r>
      <w:r>
        <w:t>The rating system assists financial institutions</w:t>
      </w:r>
      <w:r w:rsidR="00CA5014">
        <w:t xml:space="preserve"> to</w:t>
      </w:r>
      <w:r>
        <w:t xml:space="preserve"> obtain funding for this purpose and has resulted in the channelling of significantly more credit into low income and minority neighbourhoods than before its enactment</w:t>
      </w:r>
      <w:r w:rsidR="00496483">
        <w:t xml:space="preserve">.  </w:t>
      </w:r>
      <w:r>
        <w:t xml:space="preserve">The CDFIs funded through this model can also benefit from tax credits which encourage further investment into this sector through entities who in turn offer those tax credits </w:t>
      </w:r>
      <w:r w:rsidR="00CA5014">
        <w:t>as an incentive for investment</w:t>
      </w:r>
      <w:r w:rsidR="00496483">
        <w:t xml:space="preserve">.  </w:t>
      </w:r>
      <w:r>
        <w:t>To qualify for tax credit an organisation needs to demonstrate the primary mission of serving or providing investment capital for low income communities or persons</w:t>
      </w:r>
      <w:r w:rsidR="00496483">
        <w:t xml:space="preserve">.  </w:t>
      </w:r>
    </w:p>
    <w:p w:rsidR="00C2562F" w:rsidRDefault="00C2562F" w:rsidP="001C6AA6">
      <w:r w:rsidRPr="00387C69">
        <w:t xml:space="preserve">In the US, the CRA has significantly contributed both to raising awareness of lending and investment in underserved markets and </w:t>
      </w:r>
      <w:r w:rsidR="00CA5014">
        <w:t>to</w:t>
      </w:r>
      <w:r w:rsidRPr="00387C69">
        <w:t xml:space="preserve"> opening up a flow of capital to community</w:t>
      </w:r>
      <w:r w:rsidR="00496483">
        <w:noBreakHyphen/>
      </w:r>
      <w:r w:rsidRPr="00387C69">
        <w:t>focused entities such as CDFIs</w:t>
      </w:r>
      <w:r w:rsidR="00496483">
        <w:t xml:space="preserve">.  </w:t>
      </w:r>
      <w:r w:rsidRPr="00786D85">
        <w:t>However, there is also an argument that the CRA has not kept up with changes that have taken place in financial systems since it was enacted in 1977, and some argue that the issues it was intended to address have changed so much that the Act is now largely irrelevant</w:t>
      </w:r>
      <w:r w:rsidR="00496483">
        <w:t xml:space="preserve">.  </w:t>
      </w:r>
      <w:r w:rsidRPr="00786D85">
        <w:t>It remains, however, the key foundation legislation underpinning capital supply to CDFIs in the US</w:t>
      </w:r>
      <w:r>
        <w:t>.</w:t>
      </w:r>
    </w:p>
    <w:p w:rsidR="001C6AA6" w:rsidRDefault="00276094" w:rsidP="001C6AA6">
      <w:r>
        <w:t>Another form of incentive used in the US is the Program Related Investments (PRI)</w:t>
      </w:r>
      <w:r w:rsidR="00496483">
        <w:t xml:space="preserve">.  </w:t>
      </w:r>
      <w:r>
        <w:t xml:space="preserve">This may be considered a form of tax incentive in that PRI's enable a charitable foundation to count a qualifying investment as part of its required </w:t>
      </w:r>
      <w:r w:rsidR="00BC6C86">
        <w:t>five</w:t>
      </w:r>
      <w:r>
        <w:t xml:space="preserve"> per cent charitable distribution.</w:t>
      </w:r>
    </w:p>
    <w:p w:rsidR="00C2562F" w:rsidRPr="001C6AA6" w:rsidRDefault="00C2562F" w:rsidP="001C6AA6">
      <w:pPr>
        <w:rPr>
          <w:rStyle w:val="Heading3Char"/>
        </w:rPr>
      </w:pPr>
      <w:bookmarkStart w:id="41" w:name="_Toc314138428"/>
      <w:r w:rsidRPr="001C6AA6">
        <w:rPr>
          <w:rStyle w:val="Heading3Char"/>
        </w:rPr>
        <w:t>Approach in the U</w:t>
      </w:r>
      <w:bookmarkEnd w:id="41"/>
      <w:r w:rsidRPr="001C6AA6">
        <w:rPr>
          <w:rStyle w:val="Heading3Char"/>
        </w:rPr>
        <w:t>nited Kingdom</w:t>
      </w:r>
    </w:p>
    <w:p w:rsidR="00C2562F" w:rsidRDefault="00C2562F" w:rsidP="001C6AA6">
      <w:r w:rsidRPr="00D90EB1">
        <w:t xml:space="preserve">In the </w:t>
      </w:r>
      <w:r w:rsidR="00CC2ECB">
        <w:t>United Kingdom (</w:t>
      </w:r>
      <w:r w:rsidRPr="00D90EB1">
        <w:t>UK</w:t>
      </w:r>
      <w:r w:rsidR="00CC2ECB">
        <w:t>)</w:t>
      </w:r>
      <w:r w:rsidRPr="00D90EB1">
        <w:t xml:space="preserve">, the Government’s </w:t>
      </w:r>
      <w:r>
        <w:t>F</w:t>
      </w:r>
      <w:r w:rsidRPr="00D90EB1">
        <w:t>inancial</w:t>
      </w:r>
      <w:r>
        <w:t xml:space="preserve"> I</w:t>
      </w:r>
      <w:r w:rsidRPr="00D90EB1">
        <w:t xml:space="preserve">nclusion Growth Fund has provided lending capital and administration funding </w:t>
      </w:r>
      <w:r w:rsidRPr="005F3EB8">
        <w:t>to increase the availability of affordable personal loans via third sector (not</w:t>
      </w:r>
      <w:r w:rsidR="00496483">
        <w:noBreakHyphen/>
      </w:r>
      <w:r w:rsidRPr="005F3EB8">
        <w:t>for</w:t>
      </w:r>
      <w:r w:rsidR="00496483">
        <w:noBreakHyphen/>
      </w:r>
      <w:r w:rsidRPr="005F3EB8">
        <w:t xml:space="preserve">profit) lenders such as credit unions and </w:t>
      </w:r>
      <w:r w:rsidR="00CA5014">
        <w:t>CDFIs</w:t>
      </w:r>
      <w:r w:rsidR="00496483">
        <w:t xml:space="preserve">.  </w:t>
      </w:r>
      <w:r>
        <w:t>The Growth Fund is managed through contracts which incentivise and support third sector lenders to increase lending and improve professional standards</w:t>
      </w:r>
      <w:r w:rsidR="00496483">
        <w:t xml:space="preserve">.  </w:t>
      </w:r>
      <w:r>
        <w:t>Institutions have sufficient flexibility to set borrowing costs so that they can recoup their delivery costs</w:t>
      </w:r>
      <w:r w:rsidR="00496483">
        <w:t xml:space="preserve">.  </w:t>
      </w:r>
      <w:r>
        <w:t xml:space="preserve">While </w:t>
      </w:r>
      <w:r>
        <w:lastRenderedPageBreak/>
        <w:t>annualised percentage rates (APRs) can seem quite high, costs are still lower than for</w:t>
      </w:r>
      <w:r w:rsidR="00496483">
        <w:noBreakHyphen/>
      </w:r>
      <w:r>
        <w:t>profit lending to low income households and</w:t>
      </w:r>
      <w:r w:rsidR="00CA5014">
        <w:t xml:space="preserve"> are</w:t>
      </w:r>
      <w:r>
        <w:t xml:space="preserve"> significantly lower than those proposed in the </w:t>
      </w:r>
      <w:r w:rsidR="00CA5014">
        <w:t>Credit Enhancement Bill</w:t>
      </w:r>
      <w:r w:rsidR="00496483">
        <w:t xml:space="preserve">.  </w:t>
      </w:r>
      <w:r>
        <w:t>The delivery model’s success is also based on institutions’ presence and profiles in local communities, which allows funded organisations to support their borrowers to repay loans.</w:t>
      </w:r>
    </w:p>
    <w:p w:rsidR="007358D4" w:rsidRDefault="007358D4" w:rsidP="001C6AA6">
      <w:r>
        <w:t>Also in the UK, the Government contributes to the Community Development Finance Association (CDFA) for CDFIs, providing them with sector development support and with an advocate to liaise with government</w:t>
      </w:r>
      <w:r w:rsidR="00496483">
        <w:t xml:space="preserve">.  </w:t>
      </w:r>
      <w:r>
        <w:t>The CDFA also established a Code of Practice for its member institutions</w:t>
      </w:r>
      <w:r w:rsidR="00496483">
        <w:t xml:space="preserve">.  </w:t>
      </w:r>
      <w:r>
        <w:t>A voluntary disclosure regime has also been put in place encouraging CDFIs to report on their lending activities to marginalised communities but there are varied reports on its success with encouraging investment and lending</w:t>
      </w:r>
      <w:r w:rsidR="00276094">
        <w:t xml:space="preserve"> i</w:t>
      </w:r>
      <w:r w:rsidR="002B3ED3">
        <w:t>n these communities</w:t>
      </w:r>
      <w:r w:rsidR="00496483">
        <w:t xml:space="preserve">.  </w:t>
      </w:r>
      <w:r w:rsidR="002B3ED3">
        <w:t>As such, t</w:t>
      </w:r>
      <w:r>
        <w:t>here have been calls in the UK to make it mandatory</w:t>
      </w:r>
      <w:r w:rsidR="00496483">
        <w:t xml:space="preserve">.  </w:t>
      </w:r>
      <w:r>
        <w:t>The</w:t>
      </w:r>
      <w:r w:rsidR="002B3ED3">
        <w:t xml:space="preserve"> </w:t>
      </w:r>
      <w:r w:rsidR="00276094">
        <w:t xml:space="preserve">UK Government </w:t>
      </w:r>
      <w:r>
        <w:t xml:space="preserve">also provides tax relief to CDFIs undertaking microenterprise lending but </w:t>
      </w:r>
      <w:r>
        <w:rPr>
          <w:rFonts w:cs="Arial"/>
        </w:rPr>
        <w:t>not</w:t>
      </w:r>
      <w:r>
        <w:t xml:space="preserve"> personal lending</w:t>
      </w:r>
      <w:r w:rsidR="00496483">
        <w:t xml:space="preserve">.  </w:t>
      </w:r>
      <w:r>
        <w:t>There have also been calls to extend this relief to attract further investment into this area.</w:t>
      </w:r>
    </w:p>
    <w:p w:rsidR="00CA5014" w:rsidRDefault="00CA5014" w:rsidP="001C6AA6">
      <w:pPr>
        <w:pStyle w:val="Heading3"/>
      </w:pPr>
      <w:r>
        <w:t xml:space="preserve">Products delivered through the US </w:t>
      </w:r>
      <w:r w:rsidRPr="001C6AA6">
        <w:t>and</w:t>
      </w:r>
      <w:r>
        <w:t xml:space="preserve"> UK approaches</w:t>
      </w:r>
    </w:p>
    <w:p w:rsidR="00CA5014" w:rsidRDefault="00276094" w:rsidP="00CA5014">
      <w:pPr>
        <w:jc w:val="left"/>
      </w:pPr>
      <w:r>
        <w:t>Due to the range of supports and incentives introduced by Government, a</w:t>
      </w:r>
      <w:r w:rsidR="00CA5014">
        <w:t>n energetic CDFI sector has grown in other developed countries</w:t>
      </w:r>
      <w:r w:rsidR="00496483">
        <w:t xml:space="preserve">.  </w:t>
      </w:r>
      <w:r w:rsidR="00CA5014">
        <w:t>Although at varying stages in their development, all have created significant social and financial outcomes for financially excluded individuals, organisations and communities</w:t>
      </w:r>
      <w:r w:rsidR="00496483">
        <w:t xml:space="preserve">.  </w:t>
      </w:r>
    </w:p>
    <w:p w:rsidR="00CA5014" w:rsidRDefault="00CA5014" w:rsidP="00CA5014">
      <w:pPr>
        <w:jc w:val="left"/>
      </w:pPr>
      <w:r>
        <w:t>As mentioned</w:t>
      </w:r>
      <w:r w:rsidR="007358D4">
        <w:t xml:space="preserve"> earlier</w:t>
      </w:r>
      <w:r>
        <w:t>, in the UK the Government’s Financial Inclusion Growth Fund has provided lending capital and administration funding to increase the availability of affordable personal loans via third sector lenders such as credit unions and community development finance institutions</w:t>
      </w:r>
      <w:r w:rsidR="00496483">
        <w:t xml:space="preserve">.  </w:t>
      </w:r>
    </w:p>
    <w:p w:rsidR="00CA5014" w:rsidRDefault="00CA5014" w:rsidP="00CA5014">
      <w:r>
        <w:t>In the US, the CDFI fund uses government resources to invest in CDFIs and to build their capacity to serve low</w:t>
      </w:r>
      <w:r w:rsidR="00496483">
        <w:noBreakHyphen/>
      </w:r>
      <w:r>
        <w:t>income and underserved individuals and communities</w:t>
      </w:r>
      <w:r w:rsidR="00496483">
        <w:t xml:space="preserve">.  </w:t>
      </w:r>
      <w:r>
        <w:t>The program offers both financial and technical assistance awards through a competitive process to certified CDFIs</w:t>
      </w:r>
      <w:r w:rsidR="00496483">
        <w:t xml:space="preserve">.  </w:t>
      </w:r>
      <w:r>
        <w:t>The awards can be used for financing capital, loan loss reserves, capital reserves or operations</w:t>
      </w:r>
      <w:r w:rsidR="00496483">
        <w:t xml:space="preserve">.  </w:t>
      </w:r>
      <w:r>
        <w:t>They are made in the form of equity investments, loans, deposits or grants</w:t>
      </w:r>
      <w:r w:rsidR="00496483">
        <w:t xml:space="preserve">.  </w:t>
      </w:r>
      <w:r>
        <w:t>Importantly, the CDFI is required to match the award dollar</w:t>
      </w:r>
      <w:r w:rsidR="00496483">
        <w:noBreakHyphen/>
      </w:r>
      <w:r>
        <w:t>for</w:t>
      </w:r>
      <w:r w:rsidR="00496483">
        <w:noBreakHyphen/>
      </w:r>
      <w:r>
        <w:t>dollar with private capital</w:t>
      </w:r>
      <w:r w:rsidR="00496483">
        <w:t xml:space="preserve">.  </w:t>
      </w:r>
      <w:r>
        <w:t>Thus the fund not only provides government funds to the sector but it also leverages the flow of private capital into the CDFI sector</w:t>
      </w:r>
      <w:r w:rsidR="00496483">
        <w:t xml:space="preserve">.  </w:t>
      </w:r>
      <w:r>
        <w:t xml:space="preserve">The certification program and technical assistance also play a role in helping CDFIs attract this private capital through instruments such as the </w:t>
      </w:r>
      <w:r w:rsidRPr="00CC2ECB">
        <w:rPr>
          <w:i/>
        </w:rPr>
        <w:t>Community Reinvestment Act</w:t>
      </w:r>
      <w:r>
        <w:t>.</w:t>
      </w:r>
    </w:p>
    <w:p w:rsidR="00CA5014" w:rsidRDefault="00CA5014" w:rsidP="00CA5014">
      <w:pPr>
        <w:rPr>
          <w:rFonts w:cs="Arial"/>
        </w:rPr>
      </w:pPr>
      <w:r>
        <w:rPr>
          <w:rFonts w:cs="Arial"/>
        </w:rPr>
        <w:t>In the US and UK markets, CDFIs have played a major role in increasing access to services for financially excluded individuals; however, in Australia the market is embryonic and consists of a handful of organisations providing a limited range of products to a small number of individuals.</w:t>
      </w:r>
    </w:p>
    <w:p w:rsidR="00C2562F" w:rsidRDefault="00C2562F" w:rsidP="001C6AA6">
      <w:pPr>
        <w:pStyle w:val="Heading2"/>
      </w:pPr>
      <w:bookmarkStart w:id="42" w:name="_Toc322008298"/>
      <w:r w:rsidRPr="00505CC0">
        <w:t xml:space="preserve">Current </w:t>
      </w:r>
      <w:r w:rsidRPr="001C6AA6">
        <w:t>Australian</w:t>
      </w:r>
      <w:r w:rsidRPr="00505CC0">
        <w:t xml:space="preserve"> </w:t>
      </w:r>
      <w:r w:rsidR="00BD2A9C">
        <w:t>a</w:t>
      </w:r>
      <w:r w:rsidRPr="00505CC0">
        <w:t>pproaches</w:t>
      </w:r>
      <w:bookmarkEnd w:id="42"/>
    </w:p>
    <w:p w:rsidR="00C2562F" w:rsidRPr="005B2769" w:rsidRDefault="00C2562F" w:rsidP="001C6AA6">
      <w:pPr>
        <w:pStyle w:val="Heading3"/>
      </w:pPr>
      <w:r w:rsidRPr="005B2769">
        <w:t>Current arrangements</w:t>
      </w:r>
    </w:p>
    <w:p w:rsidR="00C2562F" w:rsidRPr="00F332D1" w:rsidRDefault="00C2562F" w:rsidP="001C6AA6">
      <w:r w:rsidRPr="00F332D1">
        <w:t>The financial system both within Australia and</w:t>
      </w:r>
      <w:r w:rsidR="00E0273D">
        <w:t xml:space="preserve"> overseas </w:t>
      </w:r>
      <w:r w:rsidRPr="00F332D1">
        <w:t>has changed markedly over the past few decades, and so what determines an ‘underserved market’ or a financially excluded group of people has also changed</w:t>
      </w:r>
      <w:r w:rsidR="00496483">
        <w:t xml:space="preserve">.  </w:t>
      </w:r>
      <w:r w:rsidRPr="00F332D1">
        <w:t>In Australia friendly societies formed around making benefits and insurance accessible, building societies played a crucial role in making home loans accessible, and later (in the</w:t>
      </w:r>
      <w:r w:rsidR="00004E37">
        <w:t xml:space="preserve"> </w:t>
      </w:r>
      <w:r w:rsidRPr="00F332D1">
        <w:t xml:space="preserve">1960s and 1970s) many local and industry credit unions </w:t>
      </w:r>
      <w:r w:rsidRPr="00F332D1">
        <w:lastRenderedPageBreak/>
        <w:t>began as savings and credit self</w:t>
      </w:r>
      <w:r w:rsidR="00496483">
        <w:noBreakHyphen/>
      </w:r>
      <w:r w:rsidRPr="00F332D1">
        <w:t>help initiatives for groups that found it hard to access mainstream credit</w:t>
      </w:r>
      <w:r w:rsidR="00496483">
        <w:t xml:space="preserve">.  </w:t>
      </w:r>
      <w:r w:rsidRPr="00F332D1">
        <w:t>Though most of these organisations have now themselves become mainstream financial institutions, many could be seen to have been the original CDFIs, making key financial products and services accessible to underserved markets</w:t>
      </w:r>
      <w:r w:rsidR="00496483">
        <w:t xml:space="preserve">.  </w:t>
      </w:r>
      <w:r w:rsidRPr="00F332D1">
        <w:t>There has been, however, a significant consolidation of the Australian financial services industry and this has led to changes in products and services, and in the nature of financial institutions themselves</w:t>
      </w:r>
      <w:r w:rsidR="00496483">
        <w:t xml:space="preserve">.  </w:t>
      </w:r>
    </w:p>
    <w:p w:rsidR="00C2562F" w:rsidRPr="00F332D1" w:rsidRDefault="00C2562F" w:rsidP="001C6AA6">
      <w:r w:rsidRPr="00F332D1">
        <w:t>CDFIs have the potential to act as financial intermediaries, institutions that link financial services and products to the needs and capacities of underserved markets and thereby improve access, develop specialist products and services and enhance the flow of capital into underserved markets.</w:t>
      </w:r>
    </w:p>
    <w:p w:rsidR="00C2562F" w:rsidRPr="00F332D1" w:rsidRDefault="00C2562F" w:rsidP="001C6AA6">
      <w:r w:rsidRPr="00F332D1">
        <w:t>The products offered by</w:t>
      </w:r>
      <w:r w:rsidR="00E0273D">
        <w:t xml:space="preserve"> the Australian Government's </w:t>
      </w:r>
      <w:r w:rsidR="00CA5014">
        <w:t>CDFI</w:t>
      </w:r>
      <w:r w:rsidRPr="00F332D1">
        <w:t xml:space="preserve"> pilot are intended to provide alternatives to high</w:t>
      </w:r>
      <w:r w:rsidR="00496483">
        <w:noBreakHyphen/>
      </w:r>
      <w:r w:rsidRPr="00F332D1">
        <w:t xml:space="preserve">cost, small amount, </w:t>
      </w:r>
      <w:r w:rsidR="007F28C1">
        <w:t>short</w:t>
      </w:r>
      <w:r w:rsidR="00496483">
        <w:noBreakHyphen/>
      </w:r>
      <w:r w:rsidR="007F28C1">
        <w:t>term</w:t>
      </w:r>
      <w:r w:rsidRPr="00F332D1">
        <w:t xml:space="preserve"> loans</w:t>
      </w:r>
      <w:r w:rsidR="00496483">
        <w:t xml:space="preserve">.  </w:t>
      </w:r>
      <w:r w:rsidRPr="00F332D1">
        <w:t xml:space="preserve">Loan products have flexible purposes (asset building, debt consolidation, payment of bills) and are provided at lower interest rates and for similar amounts to those offered by small amount, </w:t>
      </w:r>
      <w:r w:rsidR="007F28C1">
        <w:t>short</w:t>
      </w:r>
      <w:r w:rsidR="00496483">
        <w:noBreakHyphen/>
      </w:r>
      <w:r w:rsidR="007F28C1">
        <w:t>term</w:t>
      </w:r>
      <w:r w:rsidRPr="00F332D1">
        <w:t xml:space="preserve"> lenders</w:t>
      </w:r>
      <w:r w:rsidR="00496483">
        <w:t xml:space="preserve">.  </w:t>
      </w:r>
      <w:r w:rsidRPr="00F332D1">
        <w:t>CDFIs also provide support through money management educators</w:t>
      </w:r>
      <w:r w:rsidR="00496483">
        <w:t xml:space="preserve">.  </w:t>
      </w:r>
    </w:p>
    <w:p w:rsidR="00C2562F" w:rsidRPr="00F332D1" w:rsidRDefault="00CA5014" w:rsidP="004A7A14">
      <w:pPr>
        <w:pStyle w:val="Heading3"/>
      </w:pPr>
      <w:r>
        <w:t xml:space="preserve">CDFI </w:t>
      </w:r>
      <w:r w:rsidR="00BD2A9C">
        <w:t>s</w:t>
      </w:r>
      <w:r>
        <w:t>ector a</w:t>
      </w:r>
      <w:r w:rsidR="00F85A67" w:rsidRPr="00F332D1">
        <w:t xml:space="preserve">nd </w:t>
      </w:r>
      <w:r w:rsidR="00BD2A9C" w:rsidRPr="004A7A14">
        <w:t>a</w:t>
      </w:r>
      <w:r w:rsidR="00F85A67" w:rsidRPr="004A7A14">
        <w:t>ccess</w:t>
      </w:r>
      <w:r w:rsidR="00F85A67" w:rsidRPr="00F332D1">
        <w:t xml:space="preserve"> </w:t>
      </w:r>
      <w:r w:rsidR="00BD2A9C">
        <w:t>t</w:t>
      </w:r>
      <w:r w:rsidR="00F85A67" w:rsidRPr="00F332D1">
        <w:t xml:space="preserve">o </w:t>
      </w:r>
      <w:r w:rsidR="00BD2A9C">
        <w:t>f</w:t>
      </w:r>
      <w:r w:rsidR="00F85A67" w:rsidRPr="00F332D1">
        <w:t>unds</w:t>
      </w:r>
    </w:p>
    <w:p w:rsidR="00C2562F" w:rsidRDefault="00EE5CC0" w:rsidP="00C2562F">
      <w:pPr>
        <w:rPr>
          <w:rFonts w:cs="Arial"/>
        </w:rPr>
      </w:pPr>
      <w:r>
        <w:rPr>
          <w:rFonts w:cs="Arial"/>
        </w:rPr>
        <w:t>As already stated, i</w:t>
      </w:r>
      <w:r w:rsidR="00C2562F" w:rsidRPr="00D74D77">
        <w:rPr>
          <w:rFonts w:cs="Arial"/>
        </w:rPr>
        <w:t>n Australia the</w:t>
      </w:r>
      <w:r w:rsidR="00E0273D">
        <w:rPr>
          <w:rFonts w:cs="Arial"/>
        </w:rPr>
        <w:t xml:space="preserve"> CDFI</w:t>
      </w:r>
      <w:r w:rsidR="00C2562F" w:rsidRPr="00D74D77">
        <w:rPr>
          <w:rFonts w:cs="Arial"/>
        </w:rPr>
        <w:t xml:space="preserve"> sector is </w:t>
      </w:r>
      <w:r w:rsidR="00C2562F">
        <w:rPr>
          <w:rFonts w:cs="Arial"/>
        </w:rPr>
        <w:t xml:space="preserve">comparatively </w:t>
      </w:r>
      <w:r w:rsidR="00C2562F" w:rsidRPr="00D74D77">
        <w:rPr>
          <w:rFonts w:cs="Arial"/>
        </w:rPr>
        <w:t>underdeveloped</w:t>
      </w:r>
      <w:r w:rsidR="00496483">
        <w:rPr>
          <w:rFonts w:cs="Arial"/>
        </w:rPr>
        <w:t xml:space="preserve">.  </w:t>
      </w:r>
      <w:r w:rsidR="00C2562F">
        <w:rPr>
          <w:rFonts w:cs="Arial"/>
        </w:rPr>
        <w:t>T</w:t>
      </w:r>
      <w:r w:rsidR="00C2562F" w:rsidRPr="00D74D77">
        <w:rPr>
          <w:rFonts w:cs="Arial"/>
        </w:rPr>
        <w:t>here were less than 10 CDFI</w:t>
      </w:r>
      <w:r w:rsidR="00496483">
        <w:rPr>
          <w:rFonts w:cs="Arial"/>
        </w:rPr>
        <w:noBreakHyphen/>
      </w:r>
      <w:r w:rsidR="00C2562F" w:rsidRPr="00D74D77">
        <w:rPr>
          <w:rFonts w:cs="Arial"/>
        </w:rPr>
        <w:t xml:space="preserve">like organisations identified during the course of </w:t>
      </w:r>
      <w:r w:rsidR="00C2562F">
        <w:rPr>
          <w:rFonts w:cs="Arial"/>
        </w:rPr>
        <w:t xml:space="preserve">a </w:t>
      </w:r>
      <w:r w:rsidR="00C2562F" w:rsidRPr="00D74D77">
        <w:rPr>
          <w:rFonts w:cs="Arial"/>
        </w:rPr>
        <w:t>scoping study commissioned by FaHCSIA in 20</w:t>
      </w:r>
      <w:r w:rsidR="00B41A90">
        <w:rPr>
          <w:rFonts w:cs="Arial"/>
        </w:rPr>
        <w:t>09</w:t>
      </w:r>
      <w:r w:rsidR="00C2562F" w:rsidRPr="00B265A8">
        <w:rPr>
          <w:rStyle w:val="FootnoteReference"/>
        </w:rPr>
        <w:footnoteReference w:id="28"/>
      </w:r>
      <w:r w:rsidR="00CA748F">
        <w:rPr>
          <w:rFonts w:cs="Arial"/>
        </w:rPr>
        <w:t xml:space="preserve">, </w:t>
      </w:r>
      <w:r w:rsidR="00C2562F" w:rsidRPr="00D74D77">
        <w:rPr>
          <w:rFonts w:cs="Arial"/>
        </w:rPr>
        <w:t>which operate a loan portfolio of less than $150</w:t>
      </w:r>
      <w:r w:rsidR="00CC17D6">
        <w:rPr>
          <w:rFonts w:cs="Arial"/>
        </w:rPr>
        <w:t> </w:t>
      </w:r>
      <w:r w:rsidR="00C2562F" w:rsidRPr="00D74D77">
        <w:rPr>
          <w:rFonts w:cs="Arial"/>
        </w:rPr>
        <w:t>million</w:t>
      </w:r>
      <w:r w:rsidR="00496483">
        <w:rPr>
          <w:rFonts w:cs="Arial"/>
        </w:rPr>
        <w:t xml:space="preserve">.  </w:t>
      </w:r>
      <w:r w:rsidR="00C2562F" w:rsidRPr="00D74D77">
        <w:rPr>
          <w:rFonts w:cs="Arial"/>
        </w:rPr>
        <w:t>There is</w:t>
      </w:r>
      <w:r w:rsidR="00CC17D6">
        <w:rPr>
          <w:rFonts w:cs="Arial"/>
        </w:rPr>
        <w:t>,</w:t>
      </w:r>
      <w:r w:rsidR="00C2562F" w:rsidRPr="00D74D77">
        <w:rPr>
          <w:rFonts w:cs="Arial"/>
        </w:rPr>
        <w:t xml:space="preserve"> therefore, scope for emergence of a CDFI sector in Australia</w:t>
      </w:r>
      <w:r w:rsidR="00496483">
        <w:rPr>
          <w:rFonts w:cs="Arial"/>
        </w:rPr>
        <w:t xml:space="preserve">.  </w:t>
      </w:r>
    </w:p>
    <w:p w:rsidR="00C2562F" w:rsidRDefault="00D8442D" w:rsidP="00C2562F">
      <w:pPr>
        <w:rPr>
          <w:rFonts w:cs="Arial"/>
        </w:rPr>
      </w:pPr>
      <w:r>
        <w:rPr>
          <w:rFonts w:cs="Arial"/>
        </w:rPr>
        <w:t>T</w:t>
      </w:r>
      <w:r w:rsidR="00C2562F">
        <w:rPr>
          <w:rFonts w:cs="Arial"/>
        </w:rPr>
        <w:t>he final results of the current FaHCSIA</w:t>
      </w:r>
      <w:r>
        <w:rPr>
          <w:rFonts w:cs="Arial"/>
        </w:rPr>
        <w:t xml:space="preserve"> CDFI</w:t>
      </w:r>
      <w:r w:rsidR="00C2562F">
        <w:rPr>
          <w:rFonts w:cs="Arial"/>
        </w:rPr>
        <w:t xml:space="preserve"> pilot evaluation</w:t>
      </w:r>
      <w:r>
        <w:rPr>
          <w:rFonts w:cs="Arial"/>
        </w:rPr>
        <w:t xml:space="preserve"> will provide an evidence base for any further government action</w:t>
      </w:r>
      <w:r w:rsidR="00E0273D">
        <w:rPr>
          <w:rFonts w:cs="Arial"/>
        </w:rPr>
        <w:t xml:space="preserve"> in this area</w:t>
      </w:r>
      <w:r w:rsidR="00496483">
        <w:rPr>
          <w:rFonts w:cs="Arial"/>
        </w:rPr>
        <w:t xml:space="preserve">.  </w:t>
      </w:r>
      <w:r w:rsidR="00C2562F">
        <w:rPr>
          <w:rFonts w:cs="Arial"/>
        </w:rPr>
        <w:t>An issue that has already been raised through the pilot is the need to define CDFIs clearly and to have a system of certification</w:t>
      </w:r>
      <w:r w:rsidR="00496483">
        <w:rPr>
          <w:rFonts w:cs="Arial"/>
        </w:rPr>
        <w:t xml:space="preserve">.  </w:t>
      </w:r>
      <w:r w:rsidR="00C2562F">
        <w:rPr>
          <w:rFonts w:cs="Arial"/>
        </w:rPr>
        <w:t>A clear definition and certification system would be crucial to ensuring integrity of any emergent CDFI sector in Australia including ways of targeting assistance to those most vulnerable in the community.</w:t>
      </w:r>
    </w:p>
    <w:p w:rsidR="00EE5CC0" w:rsidRDefault="00857280" w:rsidP="00C2562F">
      <w:pPr>
        <w:rPr>
          <w:rFonts w:cs="Arial"/>
        </w:rPr>
      </w:pPr>
      <w:r>
        <w:t>The growth of a CDFI sector in Australia will require access to capital and operational funding</w:t>
      </w:r>
      <w:r w:rsidR="00496483">
        <w:t xml:space="preserve">.  </w:t>
      </w:r>
      <w:r>
        <w:t>More financial institutions would need to be encouraged to help meet the funding requirements of the local communities in which CDFIs are established</w:t>
      </w:r>
      <w:r w:rsidR="00496483">
        <w:t xml:space="preserve">.  </w:t>
      </w:r>
      <w:r>
        <w:t>This could be assisted through a number of mechanisms, similar to those used overseas, including a UK style financial inclusion growth fund or CRA</w:t>
      </w:r>
      <w:r w:rsidR="00496483">
        <w:noBreakHyphen/>
      </w:r>
      <w:r>
        <w:t>like legislation</w:t>
      </w:r>
      <w:r w:rsidR="00496483">
        <w:t xml:space="preserve">.  </w:t>
      </w:r>
      <w:r w:rsidR="00D8442D">
        <w:rPr>
          <w:rFonts w:cs="Arial"/>
        </w:rPr>
        <w:t xml:space="preserve">Additionally, a regulator such as ASIC would need to </w:t>
      </w:r>
      <w:r w:rsidR="001541C0">
        <w:rPr>
          <w:rFonts w:cs="Arial"/>
        </w:rPr>
        <w:t>provide supervisory and regulatory oversight, consistent with safe and sound operation</w:t>
      </w:r>
      <w:r w:rsidR="00496483">
        <w:rPr>
          <w:rFonts w:cs="Arial"/>
        </w:rPr>
        <w:t xml:space="preserve">.  </w:t>
      </w:r>
      <w:r w:rsidR="001541C0">
        <w:rPr>
          <w:rFonts w:cs="Arial"/>
        </w:rPr>
        <w:t xml:space="preserve">In </w:t>
      </w:r>
      <w:r w:rsidR="00CA748F">
        <w:rPr>
          <w:rFonts w:cs="Arial"/>
        </w:rPr>
        <w:t>the US</w:t>
      </w:r>
      <w:r w:rsidR="001541C0">
        <w:rPr>
          <w:rFonts w:cs="Arial"/>
        </w:rPr>
        <w:t xml:space="preserve"> enforcement is undertaken through the examination of banking institutions for CRA compliance</w:t>
      </w:r>
      <w:r w:rsidR="00496483">
        <w:rPr>
          <w:rFonts w:cs="Arial"/>
        </w:rPr>
        <w:t xml:space="preserve">.  </w:t>
      </w:r>
    </w:p>
    <w:p w:rsidR="00C2562F" w:rsidRDefault="001541C0" w:rsidP="00C2562F">
      <w:pPr>
        <w:rPr>
          <w:rFonts w:cs="Arial"/>
        </w:rPr>
      </w:pPr>
      <w:r>
        <w:rPr>
          <w:rFonts w:cs="Arial"/>
        </w:rPr>
        <w:t>Introduction of similar legislation in Australia could also encourage mainstream financial institutions to develop a suite of alternative microcredit products such as debt consolidation loans, low income credit cards and insurance products or encourage the provision of low</w:t>
      </w:r>
      <w:r w:rsidR="00496483">
        <w:rPr>
          <w:rFonts w:cs="Arial"/>
        </w:rPr>
        <w:noBreakHyphen/>
      </w:r>
      <w:r>
        <w:rPr>
          <w:rFonts w:cs="Arial"/>
        </w:rPr>
        <w:t>cost capital to intermediary organisations such as credit unions and CDFIs to provide these services on their behalf</w:t>
      </w:r>
      <w:r w:rsidR="00C2562F">
        <w:rPr>
          <w:rFonts w:cs="Arial"/>
        </w:rPr>
        <w:t>.</w:t>
      </w:r>
    </w:p>
    <w:p w:rsidR="00D4520B" w:rsidRPr="0044380C" w:rsidRDefault="00D4520B" w:rsidP="00D4520B">
      <w:pPr>
        <w:pStyle w:val="Heading2"/>
      </w:pPr>
      <w:bookmarkStart w:id="43" w:name="_Toc322008299"/>
      <w:r w:rsidRPr="003E4161">
        <w:lastRenderedPageBreak/>
        <w:t xml:space="preserve">Potential </w:t>
      </w:r>
      <w:r w:rsidR="00BD2A9C">
        <w:t>m</w:t>
      </w:r>
      <w:r w:rsidRPr="003E4161">
        <w:t xml:space="preserve">echanisms </w:t>
      </w:r>
      <w:r w:rsidR="00BD2A9C">
        <w:t>t</w:t>
      </w:r>
      <w:r w:rsidRPr="003E4161">
        <w:t xml:space="preserve">o </w:t>
      </w:r>
      <w:r w:rsidR="00BD2A9C">
        <w:t>e</w:t>
      </w:r>
      <w:r w:rsidRPr="003E4161">
        <w:t xml:space="preserve">ncourage </w:t>
      </w:r>
      <w:r w:rsidR="00BD2A9C">
        <w:t>m</w:t>
      </w:r>
      <w:r w:rsidRPr="003E4161">
        <w:t>ainstream</w:t>
      </w:r>
      <w:r>
        <w:t xml:space="preserve"> </w:t>
      </w:r>
      <w:r w:rsidR="00BD2A9C">
        <w:t>l</w:t>
      </w:r>
      <w:r>
        <w:t xml:space="preserve">enders </w:t>
      </w:r>
      <w:r w:rsidR="00BD2A9C">
        <w:t>t</w:t>
      </w:r>
      <w:r>
        <w:t xml:space="preserve">o </w:t>
      </w:r>
      <w:r w:rsidR="00BD2A9C">
        <w:t>p</w:t>
      </w:r>
      <w:r>
        <w:t xml:space="preserve">rovide </w:t>
      </w:r>
      <w:r w:rsidR="00BD2A9C">
        <w:t>s</w:t>
      </w:r>
      <w:r>
        <w:t xml:space="preserve">mall </w:t>
      </w:r>
      <w:r w:rsidR="00BD2A9C">
        <w:t>l</w:t>
      </w:r>
      <w:r>
        <w:t>oans</w:t>
      </w:r>
      <w:bookmarkEnd w:id="43"/>
    </w:p>
    <w:p w:rsidR="00D4520B" w:rsidRPr="001C6AA6" w:rsidRDefault="00D4520B" w:rsidP="001C6AA6">
      <w:pPr>
        <w:pStyle w:val="Heading3"/>
      </w:pPr>
      <w:r w:rsidRPr="001C6AA6">
        <w:t xml:space="preserve">Encouraging </w:t>
      </w:r>
      <w:r w:rsidR="00BD2A9C">
        <w:t>m</w:t>
      </w:r>
      <w:r w:rsidRPr="001C6AA6">
        <w:t xml:space="preserve">ainstream </w:t>
      </w:r>
      <w:r w:rsidR="00BD2A9C">
        <w:t>l</w:t>
      </w:r>
      <w:r w:rsidRPr="001C6AA6">
        <w:t xml:space="preserve">enders to </w:t>
      </w:r>
      <w:r w:rsidR="00BD2A9C">
        <w:t>p</w:t>
      </w:r>
      <w:r w:rsidRPr="001C6AA6">
        <w:t xml:space="preserve">rovide </w:t>
      </w:r>
      <w:r w:rsidR="00BD2A9C">
        <w:t>s</w:t>
      </w:r>
      <w:r w:rsidRPr="001C6AA6">
        <w:t xml:space="preserve">mall </w:t>
      </w:r>
      <w:r w:rsidR="00BD2A9C">
        <w:t>l</w:t>
      </w:r>
      <w:r w:rsidRPr="001C6AA6">
        <w:t>oans</w:t>
      </w:r>
    </w:p>
    <w:p w:rsidR="00C2562F" w:rsidRDefault="00C2562F" w:rsidP="001C6AA6">
      <w:r>
        <w:t xml:space="preserve"> Most </w:t>
      </w:r>
      <w:r w:rsidRPr="00E37A5F">
        <w:t xml:space="preserve">major banks or </w:t>
      </w:r>
      <w:r>
        <w:t>mainstream financial institutions</w:t>
      </w:r>
      <w:r w:rsidRPr="00E37A5F">
        <w:t xml:space="preserve"> are </w:t>
      </w:r>
      <w:r>
        <w:t xml:space="preserve">not </w:t>
      </w:r>
      <w:r w:rsidRPr="00E37A5F">
        <w:t xml:space="preserve">actively providing affordable </w:t>
      </w:r>
      <w:r>
        <w:t xml:space="preserve">small amount, </w:t>
      </w:r>
      <w:r w:rsidR="007F28C1">
        <w:t>short</w:t>
      </w:r>
      <w:r w:rsidR="00496483">
        <w:noBreakHyphen/>
      </w:r>
      <w:r w:rsidR="007F28C1">
        <w:t>term</w:t>
      </w:r>
      <w:r>
        <w:t xml:space="preserve"> </w:t>
      </w:r>
      <w:r w:rsidRPr="00E37A5F">
        <w:t xml:space="preserve">mainstream </w:t>
      </w:r>
      <w:r>
        <w:t>loans</w:t>
      </w:r>
      <w:r w:rsidR="00496483">
        <w:t xml:space="preserve">.  </w:t>
      </w:r>
      <w:r>
        <w:t>Increasing participation by these institutions would alleviate an important shortfall in the market place while also providing the financial institution with an opportunity to raise their profile, build trust within the community, produce future business opportunities, and increase their long</w:t>
      </w:r>
      <w:r w:rsidR="00496483">
        <w:noBreakHyphen/>
      </w:r>
      <w:r>
        <w:t>term customer base</w:t>
      </w:r>
      <w:r w:rsidR="00496483">
        <w:t xml:space="preserve">.  </w:t>
      </w:r>
    </w:p>
    <w:p w:rsidR="00D4520B" w:rsidRDefault="00D4520B" w:rsidP="001C6AA6">
      <w:r>
        <w:t>The size of some of these financial institutions suggests that offering these types of lending products would have little detriment on other services or to shareholders, would likely have a beneficial impact on their public image and community reputation and could lead to further investment in the organisation from those seeking more socially responsible investments.</w:t>
      </w:r>
    </w:p>
    <w:p w:rsidR="00C2562F" w:rsidRDefault="00C2562F" w:rsidP="001C6AA6">
      <w:r>
        <w:t xml:space="preserve">The Government could encourage more mainstream financial institutions, particularly the major banks, to provide more affordable and accessible small amount, </w:t>
      </w:r>
      <w:r w:rsidR="007F28C1">
        <w:t>short</w:t>
      </w:r>
      <w:r w:rsidR="00496483">
        <w:noBreakHyphen/>
      </w:r>
      <w:r w:rsidR="007F28C1">
        <w:t>term</w:t>
      </w:r>
      <w:r>
        <w:t xml:space="preserve"> lending opportunities as part of their social responsibility programs</w:t>
      </w:r>
      <w:r w:rsidR="00496483">
        <w:t xml:space="preserve">.  </w:t>
      </w:r>
      <w:r>
        <w:t xml:space="preserve">This could be done either through mandating </w:t>
      </w:r>
      <w:r w:rsidR="00D4520B">
        <w:t>Corporate Social Responsibility (C</w:t>
      </w:r>
      <w:r>
        <w:t>SR</w:t>
      </w:r>
      <w:r w:rsidR="00D4520B">
        <w:t>)</w:t>
      </w:r>
      <w:r>
        <w:t xml:space="preserve"> reporting requirements or through introducing or making more visible </w:t>
      </w:r>
      <w:r w:rsidRPr="00904B11">
        <w:t>voluntary</w:t>
      </w:r>
      <w:r>
        <w:t xml:space="preserve"> specific CSR reporting requirements.</w:t>
      </w:r>
    </w:p>
    <w:p w:rsidR="001541C0" w:rsidRDefault="001541C0" w:rsidP="001C6AA6">
      <w:r>
        <w:t xml:space="preserve">If this strategy were to be progress, a policy </w:t>
      </w:r>
      <w:r w:rsidR="00CC17D6">
        <w:t>or</w:t>
      </w:r>
      <w:r>
        <w:t xml:space="preserve"> legislati</w:t>
      </w:r>
      <w:r w:rsidR="001C6AA6">
        <w:t>ve framework would be required.</w:t>
      </w:r>
    </w:p>
    <w:p w:rsidR="00C2562F" w:rsidRPr="001C6AA6" w:rsidRDefault="00C2562F" w:rsidP="001C6AA6">
      <w:pPr>
        <w:pStyle w:val="Heading3"/>
      </w:pPr>
      <w:r w:rsidRPr="001C6AA6">
        <w:t xml:space="preserve">Mandated </w:t>
      </w:r>
      <w:r w:rsidR="00BD2A9C">
        <w:t>r</w:t>
      </w:r>
      <w:r w:rsidRPr="001C6AA6">
        <w:t xml:space="preserve">eporting </w:t>
      </w:r>
      <w:r w:rsidR="00BD2A9C">
        <w:t>r</w:t>
      </w:r>
      <w:r w:rsidRPr="001C6AA6">
        <w:t>equirements</w:t>
      </w:r>
    </w:p>
    <w:p w:rsidR="00C2562F" w:rsidRDefault="00C2562F" w:rsidP="001C6AA6">
      <w:r>
        <w:rPr>
          <w:rFonts w:cs="Calibri"/>
        </w:rPr>
        <w:t>Under this strategy</w:t>
      </w:r>
      <w:r w:rsidR="00CC17D6">
        <w:rPr>
          <w:rFonts w:cs="Calibri"/>
        </w:rPr>
        <w:t>,</w:t>
      </w:r>
      <w:r>
        <w:rPr>
          <w:rFonts w:cs="Calibri"/>
        </w:rPr>
        <w:t xml:space="preserve"> </w:t>
      </w:r>
      <w:r w:rsidRPr="00576157">
        <w:rPr>
          <w:rFonts w:cs="Calibri"/>
        </w:rPr>
        <w:t>mainstream lenders</w:t>
      </w:r>
      <w:r>
        <w:rPr>
          <w:rFonts w:cs="Calibri"/>
        </w:rPr>
        <w:t xml:space="preserve"> would </w:t>
      </w:r>
      <w:r w:rsidRPr="00576157">
        <w:rPr>
          <w:rFonts w:cs="Calibri"/>
        </w:rPr>
        <w:t>be encouraged</w:t>
      </w:r>
      <w:r>
        <w:t xml:space="preserve"> to </w:t>
      </w:r>
      <w:r w:rsidRPr="008B1F85">
        <w:t>contribute more</w:t>
      </w:r>
      <w:r>
        <w:t xml:space="preserve"> towards providing small amount </w:t>
      </w:r>
      <w:r w:rsidR="007F28C1">
        <w:t>short</w:t>
      </w:r>
      <w:r w:rsidR="00496483">
        <w:noBreakHyphen/>
      </w:r>
      <w:r w:rsidR="007F28C1">
        <w:t>term</w:t>
      </w:r>
      <w:r>
        <w:t xml:space="preserve"> loans by </w:t>
      </w:r>
      <w:r w:rsidRPr="00A751C6">
        <w:t>mandating</w:t>
      </w:r>
      <w:r>
        <w:t xml:space="preserve"> specific CSR reporting obligations on </w:t>
      </w:r>
      <w:r w:rsidRPr="00576157">
        <w:t xml:space="preserve">small amount </w:t>
      </w:r>
      <w:r w:rsidR="007F28C1">
        <w:t>short</w:t>
      </w:r>
      <w:r w:rsidR="00496483">
        <w:noBreakHyphen/>
      </w:r>
      <w:r w:rsidR="007F28C1">
        <w:t>term</w:t>
      </w:r>
      <w:r w:rsidRPr="00576157">
        <w:t xml:space="preserve"> lending activities</w:t>
      </w:r>
      <w:r w:rsidR="00496483">
        <w:t xml:space="preserve">.  </w:t>
      </w:r>
      <w:r>
        <w:t>Lenders could be required t</w:t>
      </w:r>
      <w:r w:rsidR="001C6AA6">
        <w:t>o disclose information such as:</w:t>
      </w:r>
    </w:p>
    <w:p w:rsidR="00C2562F" w:rsidRDefault="00C2562F" w:rsidP="001C6AA6">
      <w:pPr>
        <w:pStyle w:val="Bullet"/>
      </w:pPr>
      <w:r>
        <w:t>details of their overall strategy to provide services and resources to the financially disadvantaged in the community;</w:t>
      </w:r>
    </w:p>
    <w:p w:rsidR="00C2562F" w:rsidRDefault="00C2562F" w:rsidP="001C6AA6">
      <w:pPr>
        <w:pStyle w:val="Bullet"/>
      </w:pPr>
      <w:r>
        <w:t>specific details of any programs or funding they undertake that impact the community, particularly low income, welfare recipients or other financially disadvantaged groups;</w:t>
      </w:r>
    </w:p>
    <w:p w:rsidR="00C2562F" w:rsidRDefault="00C2562F" w:rsidP="001C6AA6">
      <w:pPr>
        <w:pStyle w:val="Bullet"/>
      </w:pPr>
      <w:r>
        <w:t>lists of target stakeholders and evaluations of its performance; and</w:t>
      </w:r>
    </w:p>
    <w:p w:rsidR="00C2562F" w:rsidRDefault="00C2562F" w:rsidP="001C6AA6">
      <w:pPr>
        <w:pStyle w:val="Bullet"/>
      </w:pPr>
      <w:r>
        <w:t>details of any future plans.</w:t>
      </w:r>
    </w:p>
    <w:p w:rsidR="00C2562F" w:rsidRDefault="00C2562F" w:rsidP="001C6AA6">
      <w:r w:rsidRPr="003A44C2">
        <w:t>Mandating</w:t>
      </w:r>
      <w:r>
        <w:t xml:space="preserve"> the reporting of a financial institution’s activities in relation to small amount lending would provide shareholders</w:t>
      </w:r>
      <w:r w:rsidR="00B227E1">
        <w:t>,</w:t>
      </w:r>
      <w:r>
        <w:t xml:space="preserve"> other potential investors and the community generally with information on whether that particular organisation is providing some form of assistance to financially vulnerable individuals and could encourage organisations to introduce products and programs for this purpose</w:t>
      </w:r>
      <w:r w:rsidR="00496483">
        <w:t xml:space="preserve">.  </w:t>
      </w:r>
    </w:p>
    <w:p w:rsidR="00C2562F" w:rsidRPr="00B54FA8" w:rsidRDefault="00C2562F" w:rsidP="001C6AA6">
      <w:pPr>
        <w:pStyle w:val="Heading3"/>
      </w:pPr>
      <w:r w:rsidRPr="00B54FA8">
        <w:t xml:space="preserve">Voluntary </w:t>
      </w:r>
      <w:r w:rsidR="000F68E8">
        <w:t>r</w:t>
      </w:r>
      <w:r w:rsidRPr="001C6AA6">
        <w:t>eporting</w:t>
      </w:r>
      <w:r w:rsidRPr="00B54FA8">
        <w:t xml:space="preserve"> </w:t>
      </w:r>
      <w:r w:rsidR="000F68E8">
        <w:t>r</w:t>
      </w:r>
      <w:r w:rsidRPr="00B54FA8">
        <w:t>equirements</w:t>
      </w:r>
    </w:p>
    <w:p w:rsidR="00C2562F" w:rsidRDefault="00C2562F" w:rsidP="001C6AA6">
      <w:r>
        <w:rPr>
          <w:rFonts w:cs="Calibri"/>
        </w:rPr>
        <w:t>Under this strategy</w:t>
      </w:r>
      <w:r w:rsidR="00CC17D6">
        <w:rPr>
          <w:rFonts w:cs="Calibri"/>
        </w:rPr>
        <w:t>,</w:t>
      </w:r>
      <w:r>
        <w:rPr>
          <w:rFonts w:cs="Calibri"/>
        </w:rPr>
        <w:t xml:space="preserve"> </w:t>
      </w:r>
      <w:r w:rsidRPr="00576157">
        <w:rPr>
          <w:rFonts w:cs="Calibri"/>
        </w:rPr>
        <w:t>mainstream lenders</w:t>
      </w:r>
      <w:r>
        <w:rPr>
          <w:rFonts w:cs="Calibri"/>
        </w:rPr>
        <w:t xml:space="preserve"> would </w:t>
      </w:r>
      <w:r w:rsidRPr="00576157">
        <w:rPr>
          <w:rFonts w:cs="Calibri"/>
        </w:rPr>
        <w:t>be encouraged</w:t>
      </w:r>
      <w:r>
        <w:t xml:space="preserve"> to </w:t>
      </w:r>
      <w:r w:rsidRPr="008B1F85">
        <w:t>contribute more</w:t>
      </w:r>
      <w:r>
        <w:t xml:space="preserve"> towards providing small amount</w:t>
      </w:r>
      <w:r w:rsidR="00CC17D6">
        <w:t>,</w:t>
      </w:r>
      <w:r>
        <w:t xml:space="preserve"> short</w:t>
      </w:r>
      <w:r w:rsidR="00496483">
        <w:noBreakHyphen/>
      </w:r>
      <w:r>
        <w:t xml:space="preserve">term loans by introducing or making more visible </w:t>
      </w:r>
      <w:r w:rsidRPr="005848A3">
        <w:t>voluntary</w:t>
      </w:r>
      <w:r>
        <w:t xml:space="preserve"> specific CSR reporting obligations in relation to</w:t>
      </w:r>
      <w:r w:rsidRPr="00576157">
        <w:t xml:space="preserve"> small amount short</w:t>
      </w:r>
      <w:r w:rsidR="00496483">
        <w:noBreakHyphen/>
      </w:r>
      <w:r w:rsidRPr="00576157">
        <w:t>term lending activities</w:t>
      </w:r>
      <w:r>
        <w:t>.</w:t>
      </w:r>
    </w:p>
    <w:p w:rsidR="00B227E1" w:rsidRDefault="00B227E1" w:rsidP="00C2562F">
      <w:r>
        <w:lastRenderedPageBreak/>
        <w:t>Although not mandatory, many corporate entities both nationally and internationally now commonly include non</w:t>
      </w:r>
      <w:r w:rsidR="00496483">
        <w:noBreakHyphen/>
      </w:r>
      <w:r>
        <w:t>financial reporting elements in their annual reports, including details of their CSR activities,</w:t>
      </w:r>
      <w:r w:rsidRPr="00E37A5F">
        <w:t xml:space="preserve"> through reporting frameworks such as the Global Reporting Initiative</w:t>
      </w:r>
      <w:r w:rsidR="00496483">
        <w:t xml:space="preserve">.  </w:t>
      </w:r>
      <w:r>
        <w:t>Indeed, many corporations view this as an opportunity to publicise their activities and reap the benefits of being socially responsible</w:t>
      </w:r>
      <w:r w:rsidR="00496483">
        <w:t xml:space="preserve">.  </w:t>
      </w:r>
      <w:r>
        <w:t>This in turn can lead to the building of better relationships with the community, employees, suppliers and environmental groups, and for attracting more investment.</w:t>
      </w:r>
    </w:p>
    <w:p w:rsidR="00C2562F" w:rsidRPr="00793D6C" w:rsidRDefault="00C2562F" w:rsidP="005A325A">
      <w:pPr>
        <w:pStyle w:val="Heading3"/>
      </w:pPr>
      <w:r>
        <w:t>T</w:t>
      </w:r>
      <w:r w:rsidRPr="00792829">
        <w:t xml:space="preserve">he Global Reporting Initiative </w:t>
      </w:r>
    </w:p>
    <w:p w:rsidR="00C2562F" w:rsidRDefault="00C2562F" w:rsidP="00C2562F">
      <w:pPr>
        <w:rPr>
          <w:lang w:val="en-GB"/>
        </w:rPr>
      </w:pPr>
      <w:r w:rsidRPr="00151EE9">
        <w:rPr>
          <w:lang w:val="en-GB"/>
        </w:rPr>
        <w:t xml:space="preserve">The Global Reporting Initiative (GRI) produces </w:t>
      </w:r>
      <w:r>
        <w:rPr>
          <w:lang w:val="en-GB"/>
        </w:rPr>
        <w:t xml:space="preserve">a </w:t>
      </w:r>
      <w:r w:rsidRPr="00151EE9">
        <w:rPr>
          <w:lang w:val="en-GB"/>
        </w:rPr>
        <w:t>sustainability reporting framework that is used around the world</w:t>
      </w:r>
      <w:r w:rsidR="00496483">
        <w:rPr>
          <w:lang w:val="en-GB"/>
        </w:rPr>
        <w:t xml:space="preserve">.  </w:t>
      </w:r>
      <w:r>
        <w:rPr>
          <w:lang w:val="en-GB"/>
        </w:rPr>
        <w:t xml:space="preserve">The GRI aims to encourage consistent mainstream </w:t>
      </w:r>
      <w:r w:rsidRPr="00151EE9">
        <w:rPr>
          <w:lang w:val="en-GB"/>
        </w:rPr>
        <w:t>disclosure on environmental, social and governance performance</w:t>
      </w:r>
      <w:r>
        <w:rPr>
          <w:lang w:val="en-GB"/>
        </w:rPr>
        <w:t xml:space="preserve"> of corporate entities</w:t>
      </w:r>
      <w:r w:rsidR="00496483">
        <w:rPr>
          <w:lang w:val="en-GB"/>
        </w:rPr>
        <w:t xml:space="preserve">.  </w:t>
      </w:r>
      <w:r w:rsidRPr="00151EE9">
        <w:rPr>
          <w:lang w:val="en-GB"/>
        </w:rPr>
        <w:t>Participants</w:t>
      </w:r>
      <w:r>
        <w:rPr>
          <w:lang w:val="en-GB"/>
        </w:rPr>
        <w:t xml:space="preserve"> include</w:t>
      </w:r>
      <w:r w:rsidRPr="00151EE9">
        <w:rPr>
          <w:lang w:val="en-GB"/>
        </w:rPr>
        <w:t xml:space="preserve"> global business</w:t>
      </w:r>
      <w:r>
        <w:rPr>
          <w:lang w:val="en-GB"/>
        </w:rPr>
        <w:t>es</w:t>
      </w:r>
      <w:r w:rsidRPr="00151EE9">
        <w:rPr>
          <w:lang w:val="en-GB"/>
        </w:rPr>
        <w:t>, academic and professional institutions</w:t>
      </w:r>
      <w:r>
        <w:rPr>
          <w:lang w:val="en-GB"/>
        </w:rPr>
        <w:t xml:space="preserve">, with some Australian institutions, including </w:t>
      </w:r>
      <w:r w:rsidRPr="0044380C">
        <w:rPr>
          <w:lang w:val="en-GB"/>
        </w:rPr>
        <w:t>some of the four major banks</w:t>
      </w:r>
      <w:r w:rsidR="00496483">
        <w:rPr>
          <w:lang w:val="en-GB"/>
        </w:rPr>
        <w:t xml:space="preserve">.  </w:t>
      </w:r>
    </w:p>
    <w:p w:rsidR="00C2562F" w:rsidRPr="00151EE9" w:rsidRDefault="00C2562F" w:rsidP="00C2562F">
      <w:pPr>
        <w:rPr>
          <w:lang w:val="en-GB"/>
        </w:rPr>
      </w:pPr>
      <w:r>
        <w:rPr>
          <w:lang w:val="en-GB"/>
        </w:rPr>
        <w:t>This reporting framework could support voluntary reporting and the Australian Government and other interested stakeholder</w:t>
      </w:r>
      <w:r w:rsidR="00A3125A">
        <w:rPr>
          <w:lang w:val="en-GB"/>
        </w:rPr>
        <w:t>s</w:t>
      </w:r>
      <w:r>
        <w:rPr>
          <w:lang w:val="en-GB"/>
        </w:rPr>
        <w:t>, including shareholders, could actively encourage financial institutions to include small amount, short</w:t>
      </w:r>
      <w:r w:rsidR="00496483">
        <w:rPr>
          <w:lang w:val="en-GB"/>
        </w:rPr>
        <w:noBreakHyphen/>
      </w:r>
      <w:r>
        <w:rPr>
          <w:lang w:val="en-GB"/>
        </w:rPr>
        <w:t>term loans as an indicator of CSR.</w:t>
      </w:r>
    </w:p>
    <w:p w:rsidR="00C2562F" w:rsidRDefault="00C2562F" w:rsidP="00C2562F">
      <w:r>
        <w:t>The banking industry’s Code of Conduct provides another means, also voluntarily, by which corporations can report on these issues</w:t>
      </w:r>
      <w:r w:rsidR="00496483">
        <w:t xml:space="preserve">.  </w:t>
      </w:r>
      <w:r>
        <w:t xml:space="preserve">Government could engage with the sector to actively encourage the banking industry to include small amount, </w:t>
      </w:r>
      <w:r w:rsidR="007F28C1">
        <w:t>short</w:t>
      </w:r>
      <w:r w:rsidR="00496483">
        <w:noBreakHyphen/>
      </w:r>
      <w:r w:rsidR="007F28C1">
        <w:t>term</w:t>
      </w:r>
      <w:r>
        <w:t xml:space="preserve"> loans through their Code of Conduct.</w:t>
      </w:r>
    </w:p>
    <w:p w:rsidR="00C2562F" w:rsidRPr="00F85A67" w:rsidRDefault="00F85A67" w:rsidP="004A7A14">
      <w:pPr>
        <w:pStyle w:val="Heading3"/>
      </w:pPr>
      <w:r w:rsidRPr="00F85A67">
        <w:t xml:space="preserve">Encourage </w:t>
      </w:r>
      <w:r w:rsidR="000F68E8">
        <w:t>i</w:t>
      </w:r>
      <w:r w:rsidRPr="00F85A67">
        <w:t>nnovation</w:t>
      </w:r>
      <w:r w:rsidR="00EC69C6">
        <w:t xml:space="preserve">, </w:t>
      </w:r>
      <w:r w:rsidR="000F68E8">
        <w:t>i</w:t>
      </w:r>
      <w:r w:rsidR="00EC69C6">
        <w:t>ncluding CDFIs,</w:t>
      </w:r>
      <w:r w:rsidRPr="00F85A67">
        <w:t xml:space="preserve"> </w:t>
      </w:r>
      <w:r w:rsidR="000F68E8">
        <w:t>b</w:t>
      </w:r>
      <w:r w:rsidRPr="00F85A67">
        <w:t xml:space="preserve">y </w:t>
      </w:r>
      <w:r w:rsidR="000F68E8">
        <w:t>s</w:t>
      </w:r>
      <w:r w:rsidRPr="00F85A67">
        <w:t xml:space="preserve">upporting </w:t>
      </w:r>
      <w:r w:rsidR="000F68E8">
        <w:t>t</w:t>
      </w:r>
      <w:r w:rsidRPr="00F85A67">
        <w:t xml:space="preserve">he </w:t>
      </w:r>
      <w:r w:rsidR="000F68E8">
        <w:t>g</w:t>
      </w:r>
      <w:r w:rsidRPr="00F85A67">
        <w:t xml:space="preserve">rowth </w:t>
      </w:r>
      <w:r w:rsidR="000F68E8">
        <w:t>o</w:t>
      </w:r>
      <w:r w:rsidRPr="00F85A67">
        <w:t xml:space="preserve">f </w:t>
      </w:r>
      <w:r w:rsidR="000F68E8">
        <w:t>s</w:t>
      </w:r>
      <w:r w:rsidRPr="00F85A67">
        <w:t xml:space="preserve">ervices </w:t>
      </w:r>
      <w:r w:rsidR="000F68E8">
        <w:t>t</w:t>
      </w:r>
      <w:r w:rsidRPr="00F85A67">
        <w:t xml:space="preserve">o </w:t>
      </w:r>
      <w:r w:rsidR="000F68E8">
        <w:t>a</w:t>
      </w:r>
      <w:r w:rsidRPr="00F85A67">
        <w:t xml:space="preserve">ssist </w:t>
      </w:r>
      <w:r w:rsidR="000F68E8">
        <w:t>l</w:t>
      </w:r>
      <w:r w:rsidRPr="00F85A67">
        <w:t xml:space="preserve">ow </w:t>
      </w:r>
      <w:r w:rsidR="000F68E8">
        <w:t>i</w:t>
      </w:r>
      <w:r w:rsidRPr="00F85A67">
        <w:t xml:space="preserve">ncome </w:t>
      </w:r>
      <w:r w:rsidR="000F68E8">
        <w:t>i</w:t>
      </w:r>
      <w:r w:rsidRPr="00F85A67">
        <w:t xml:space="preserve">ndividuals </w:t>
      </w:r>
    </w:p>
    <w:p w:rsidR="00C2562F" w:rsidRPr="00C160A1" w:rsidRDefault="00EC69C6" w:rsidP="00C2562F">
      <w:pPr>
        <w:pStyle w:val="Bullet"/>
        <w:numPr>
          <w:ilvl w:val="0"/>
          <w:numId w:val="0"/>
        </w:numPr>
        <w:rPr>
          <w:rFonts w:cs="Arial"/>
        </w:rPr>
      </w:pPr>
      <w:r>
        <w:rPr>
          <w:rFonts w:cs="Arial"/>
        </w:rPr>
        <w:t>S</w:t>
      </w:r>
      <w:r w:rsidR="00C2562F" w:rsidRPr="00C160A1">
        <w:rPr>
          <w:rFonts w:cs="Arial"/>
        </w:rPr>
        <w:t xml:space="preserve">upport </w:t>
      </w:r>
      <w:r>
        <w:rPr>
          <w:rFonts w:cs="Arial"/>
        </w:rPr>
        <w:t>c</w:t>
      </w:r>
      <w:r w:rsidR="00C2562F" w:rsidRPr="00C160A1">
        <w:rPr>
          <w:rFonts w:cs="Arial"/>
        </w:rPr>
        <w:t xml:space="preserve">ould </w:t>
      </w:r>
      <w:r>
        <w:rPr>
          <w:rFonts w:cs="Arial"/>
        </w:rPr>
        <w:t>also be provided</w:t>
      </w:r>
      <w:r w:rsidR="00C2562F" w:rsidRPr="00C160A1">
        <w:rPr>
          <w:rFonts w:cs="Arial"/>
        </w:rPr>
        <w:t xml:space="preserve"> to increase the number, accessibility and coverage of CDFIs in Australia through a revised regulatory framework and access to capital for infrastructure and lending</w:t>
      </w:r>
      <w:r w:rsidR="00496483">
        <w:rPr>
          <w:rFonts w:cs="Arial"/>
        </w:rPr>
        <w:t xml:space="preserve">.  </w:t>
      </w:r>
      <w:r w:rsidR="00A3125A">
        <w:t>This approach</w:t>
      </w:r>
      <w:r w:rsidR="00C2562F">
        <w:t xml:space="preserve"> </w:t>
      </w:r>
      <w:r w:rsidR="0068285C">
        <w:t>could</w:t>
      </w:r>
      <w:r w:rsidR="00C2562F">
        <w:t xml:space="preserve"> provide a response to</w:t>
      </w:r>
      <w:r w:rsidR="00A3125A">
        <w:t xml:space="preserve"> high</w:t>
      </w:r>
      <w:r w:rsidR="00496483">
        <w:noBreakHyphen/>
      </w:r>
      <w:r w:rsidR="00A3125A">
        <w:t>cost lending</w:t>
      </w:r>
      <w:r w:rsidR="00C2562F">
        <w:t xml:space="preserve"> issues</w:t>
      </w:r>
      <w:r w:rsidR="0068285C">
        <w:t>, although</w:t>
      </w:r>
      <w:r w:rsidR="00A3125A">
        <w:t xml:space="preserve"> all the</w:t>
      </w:r>
      <w:r w:rsidR="00C2562F">
        <w:t xml:space="preserve"> financial, legislative and regulatory requirements</w:t>
      </w:r>
      <w:r>
        <w:t xml:space="preserve"> likely to be needed to support the growth of the sector</w:t>
      </w:r>
      <w:r w:rsidR="00C2562F">
        <w:t xml:space="preserve"> would require careful consideration.</w:t>
      </w:r>
    </w:p>
    <w:p w:rsidR="00C2562F" w:rsidRPr="008501CA" w:rsidRDefault="00C2562F" w:rsidP="00C2562F">
      <w:r w:rsidRPr="008501CA">
        <w:rPr>
          <w:rFonts w:cs="Arial"/>
        </w:rPr>
        <w:t>Under the model</w:t>
      </w:r>
      <w:r w:rsidR="00EC69C6">
        <w:rPr>
          <w:rFonts w:cs="Arial"/>
        </w:rPr>
        <w:t xml:space="preserve"> currently being piloted</w:t>
      </w:r>
      <w:r w:rsidRPr="008501CA">
        <w:rPr>
          <w:rFonts w:cs="Arial"/>
        </w:rPr>
        <w:t xml:space="preserve"> capital for CDFIs is provided from corporate responsibility funds of a limited number of banks through a bilateral relationship between the lender and CDFI</w:t>
      </w:r>
      <w:r w:rsidR="00496483">
        <w:rPr>
          <w:rFonts w:cs="Arial"/>
        </w:rPr>
        <w:t xml:space="preserve">.  </w:t>
      </w:r>
      <w:r w:rsidRPr="008501CA">
        <w:rPr>
          <w:rFonts w:cs="Arial"/>
        </w:rPr>
        <w:t>The provision of capital can take the form of</w:t>
      </w:r>
      <w:r w:rsidR="004D52BE">
        <w:rPr>
          <w:rFonts w:cs="Arial"/>
        </w:rPr>
        <w:t xml:space="preserve"> a</w:t>
      </w:r>
      <w:r w:rsidRPr="008501CA">
        <w:rPr>
          <w:rFonts w:cs="Arial"/>
        </w:rPr>
        <w:t xml:space="preserve"> low cost line of credit, holding the loans on the bank</w:t>
      </w:r>
      <w:r w:rsidRPr="00625074">
        <w:rPr>
          <w:rFonts w:cs="Arial"/>
        </w:rPr>
        <w:t>’</w:t>
      </w:r>
      <w:r w:rsidRPr="008501CA">
        <w:rPr>
          <w:rFonts w:cs="Arial"/>
        </w:rPr>
        <w:t>s own loan book or</w:t>
      </w:r>
      <w:r>
        <w:rPr>
          <w:rFonts w:cs="Arial"/>
        </w:rPr>
        <w:t>,</w:t>
      </w:r>
      <w:r w:rsidRPr="008501CA">
        <w:rPr>
          <w:rFonts w:cs="Arial"/>
        </w:rPr>
        <w:t xml:space="preserve"> in a limited number of cases, operational and capital grants</w:t>
      </w:r>
      <w:r w:rsidR="00496483">
        <w:rPr>
          <w:rFonts w:cs="Arial"/>
        </w:rPr>
        <w:t xml:space="preserve">.  </w:t>
      </w:r>
    </w:p>
    <w:p w:rsidR="00C2562F" w:rsidRDefault="00C2562F" w:rsidP="00C2562F">
      <w:pPr>
        <w:rPr>
          <w:bCs/>
        </w:rPr>
      </w:pPr>
      <w:r w:rsidRPr="008501CA">
        <w:rPr>
          <w:rFonts w:cs="Arial"/>
        </w:rPr>
        <w:t>While these relationships provid</w:t>
      </w:r>
      <w:r>
        <w:rPr>
          <w:rFonts w:cs="Arial"/>
        </w:rPr>
        <w:t>ed</w:t>
      </w:r>
      <w:r w:rsidRPr="008501CA">
        <w:rPr>
          <w:rFonts w:cs="Arial"/>
        </w:rPr>
        <w:t xml:space="preserve"> capital </w:t>
      </w:r>
      <w:r w:rsidR="004D52BE">
        <w:rPr>
          <w:rFonts w:cs="Arial"/>
        </w:rPr>
        <w:t>for</w:t>
      </w:r>
      <w:r w:rsidRPr="008501CA">
        <w:rPr>
          <w:rFonts w:cs="Arial"/>
        </w:rPr>
        <w:t xml:space="preserve"> the CDFI pilot, mechanisms to improve the amount and flow of capital are required </w:t>
      </w:r>
      <w:r>
        <w:rPr>
          <w:rFonts w:cs="Arial"/>
        </w:rPr>
        <w:t>for</w:t>
      </w:r>
      <w:r w:rsidRPr="008501CA">
        <w:rPr>
          <w:rFonts w:cs="Arial"/>
        </w:rPr>
        <w:t xml:space="preserve"> growth in the provision of small </w:t>
      </w:r>
      <w:r>
        <w:rPr>
          <w:rFonts w:cs="Arial"/>
        </w:rPr>
        <w:t xml:space="preserve">amount </w:t>
      </w:r>
      <w:r w:rsidRPr="008501CA">
        <w:rPr>
          <w:rFonts w:cs="Arial"/>
        </w:rPr>
        <w:t>loans to individuals who might otherwise access high</w:t>
      </w:r>
      <w:r w:rsidR="00496483">
        <w:rPr>
          <w:rFonts w:cs="Arial"/>
        </w:rPr>
        <w:noBreakHyphen/>
      </w:r>
      <w:r w:rsidRPr="008501CA">
        <w:rPr>
          <w:rFonts w:cs="Arial"/>
        </w:rPr>
        <w:t>cost short</w:t>
      </w:r>
      <w:r w:rsidR="00496483">
        <w:rPr>
          <w:rFonts w:cs="Arial"/>
        </w:rPr>
        <w:noBreakHyphen/>
      </w:r>
      <w:r w:rsidRPr="008501CA">
        <w:rPr>
          <w:rFonts w:cs="Arial"/>
        </w:rPr>
        <w:t>term loans</w:t>
      </w:r>
      <w:r w:rsidR="00496483">
        <w:rPr>
          <w:rFonts w:cs="Arial"/>
        </w:rPr>
        <w:t xml:space="preserve">.  </w:t>
      </w:r>
      <w:r w:rsidRPr="008501CA">
        <w:rPr>
          <w:rFonts w:cs="Arial"/>
        </w:rPr>
        <w:t>These mechanisms could include CRA</w:t>
      </w:r>
      <w:r w:rsidR="00496483">
        <w:rPr>
          <w:rFonts w:cs="Arial"/>
        </w:rPr>
        <w:noBreakHyphen/>
      </w:r>
      <w:r w:rsidRPr="008501CA">
        <w:rPr>
          <w:rFonts w:cs="Arial"/>
        </w:rPr>
        <w:t>like legislation or requiring mainstream financial institutions to report on their service delivery to underserved groups</w:t>
      </w:r>
      <w:r w:rsidR="0068285C">
        <w:rPr>
          <w:rFonts w:cs="Arial"/>
        </w:rPr>
        <w:t xml:space="preserve"> (</w:t>
      </w:r>
      <w:r w:rsidR="00EC69C6">
        <w:rPr>
          <w:rFonts w:cs="Arial"/>
        </w:rPr>
        <w:t>discussed above</w:t>
      </w:r>
      <w:r w:rsidR="0068285C">
        <w:rPr>
          <w:rFonts w:cs="Arial"/>
        </w:rPr>
        <w:t>)</w:t>
      </w:r>
      <w:r w:rsidR="00496483">
        <w:rPr>
          <w:rFonts w:cs="Arial"/>
        </w:rPr>
        <w:t xml:space="preserve">.  </w:t>
      </w:r>
      <w:r w:rsidRPr="008501CA">
        <w:rPr>
          <w:rFonts w:cs="Arial"/>
        </w:rPr>
        <w:t>Reporting could take the form of compliance reports under CRA</w:t>
      </w:r>
      <w:r w:rsidR="00496483">
        <w:rPr>
          <w:rFonts w:cs="Arial"/>
        </w:rPr>
        <w:noBreakHyphen/>
      </w:r>
      <w:r w:rsidRPr="008501CA">
        <w:rPr>
          <w:rFonts w:cs="Arial"/>
        </w:rPr>
        <w:t>like legislation</w:t>
      </w:r>
      <w:r w:rsidR="004D52BE">
        <w:rPr>
          <w:rFonts w:cs="Arial"/>
        </w:rPr>
        <w:t>, or reporting requirements in a</w:t>
      </w:r>
      <w:r w:rsidRPr="008501CA">
        <w:rPr>
          <w:rFonts w:cs="Arial"/>
        </w:rPr>
        <w:t>nnual reports whi</w:t>
      </w:r>
      <w:r>
        <w:rPr>
          <w:rFonts w:cs="Arial"/>
        </w:rPr>
        <w:t>ch would be publicly available.</w:t>
      </w:r>
    </w:p>
    <w:p w:rsidR="00C2562F" w:rsidRPr="00F85A67" w:rsidRDefault="00F85A67" w:rsidP="004A7A14">
      <w:pPr>
        <w:pStyle w:val="Heading3"/>
      </w:pPr>
      <w:r w:rsidRPr="00F85A67">
        <w:t xml:space="preserve">Extend </w:t>
      </w:r>
      <w:r w:rsidRPr="001C6AA6">
        <w:t>deductible</w:t>
      </w:r>
      <w:r w:rsidRPr="00F85A67">
        <w:t xml:space="preserve"> gift recipient status to cdfi</w:t>
      </w:r>
      <w:r w:rsidRPr="004D52BE">
        <w:rPr>
          <w:sz w:val="24"/>
          <w:szCs w:val="24"/>
        </w:rPr>
        <w:t>s</w:t>
      </w:r>
      <w:r w:rsidRPr="00F85A67">
        <w:t xml:space="preserve">  </w:t>
      </w:r>
    </w:p>
    <w:p w:rsidR="00C2562F" w:rsidRPr="008501CA" w:rsidRDefault="00C2562F" w:rsidP="00C2562F">
      <w:r w:rsidRPr="008501CA">
        <w:rPr>
          <w:rFonts w:cs="Arial"/>
        </w:rPr>
        <w:t>A deductible gift recipient (DGR) is an organisation that is entitled to receive income tax deductible gifts and deductible contributions</w:t>
      </w:r>
      <w:r w:rsidR="00496483">
        <w:rPr>
          <w:rFonts w:cs="Arial"/>
        </w:rPr>
        <w:t xml:space="preserve">.  </w:t>
      </w:r>
    </w:p>
    <w:p w:rsidR="00C2562F" w:rsidRPr="008501CA" w:rsidRDefault="00C2562F" w:rsidP="00C2562F">
      <w:r w:rsidRPr="008501CA">
        <w:rPr>
          <w:rFonts w:cs="Arial"/>
        </w:rPr>
        <w:lastRenderedPageBreak/>
        <w:t xml:space="preserve">CDFIs have a business model that maximises financial sustainability by leveraging philanthropic and private investment to cover costs and </w:t>
      </w:r>
      <w:r>
        <w:rPr>
          <w:rFonts w:cs="Arial"/>
        </w:rPr>
        <w:t xml:space="preserve">potentially </w:t>
      </w:r>
      <w:r w:rsidRPr="008501CA">
        <w:rPr>
          <w:rFonts w:cs="Arial"/>
        </w:rPr>
        <w:t>generate a return on capital investment</w:t>
      </w:r>
      <w:r w:rsidR="00496483">
        <w:rPr>
          <w:rFonts w:cs="Arial"/>
        </w:rPr>
        <w:t xml:space="preserve">.  </w:t>
      </w:r>
    </w:p>
    <w:p w:rsidR="00C2562F" w:rsidRDefault="00C2562F" w:rsidP="00C2562F">
      <w:pPr>
        <w:rPr>
          <w:rFonts w:cs="Arial"/>
        </w:rPr>
      </w:pPr>
      <w:r w:rsidRPr="008501CA">
        <w:rPr>
          <w:rFonts w:cs="Arial"/>
        </w:rPr>
        <w:t>Evidence from the CDFI pilot to date suggests that reaching financial sustainability, particularly given the high cost of service delivery to the</w:t>
      </w:r>
      <w:r>
        <w:rPr>
          <w:rFonts w:cs="Arial"/>
        </w:rPr>
        <w:t xml:space="preserve"> </w:t>
      </w:r>
      <w:r w:rsidRPr="008501CA">
        <w:rPr>
          <w:rFonts w:cs="Arial"/>
        </w:rPr>
        <w:t xml:space="preserve">targeted client population, is a </w:t>
      </w:r>
      <w:r w:rsidR="00887D6A">
        <w:rPr>
          <w:rFonts w:cs="Arial"/>
        </w:rPr>
        <w:t xml:space="preserve">significant </w:t>
      </w:r>
      <w:r w:rsidRPr="008501CA">
        <w:rPr>
          <w:rFonts w:cs="Arial"/>
        </w:rPr>
        <w:t>challenge for an emerging CDFI sector</w:t>
      </w:r>
      <w:r w:rsidR="00496483">
        <w:rPr>
          <w:rFonts w:cs="Arial"/>
        </w:rPr>
        <w:t xml:space="preserve">.  </w:t>
      </w:r>
      <w:r w:rsidRPr="008501CA">
        <w:rPr>
          <w:rFonts w:cs="Arial"/>
        </w:rPr>
        <w:t>Most prominent of these challenges has been the access to affordable capital to maintain a loan portfolio</w:t>
      </w:r>
      <w:r w:rsidR="00496483">
        <w:rPr>
          <w:rFonts w:cs="Arial"/>
        </w:rPr>
        <w:t xml:space="preserve">.  </w:t>
      </w:r>
      <w:r>
        <w:rPr>
          <w:rFonts w:cs="Arial"/>
        </w:rPr>
        <w:t xml:space="preserve">Access to </w:t>
      </w:r>
      <w:r w:rsidRPr="008501CA">
        <w:rPr>
          <w:rFonts w:cs="Arial"/>
        </w:rPr>
        <w:t xml:space="preserve">DGR </w:t>
      </w:r>
      <w:r>
        <w:rPr>
          <w:rFonts w:cs="Arial"/>
        </w:rPr>
        <w:t xml:space="preserve">status could </w:t>
      </w:r>
      <w:r w:rsidRPr="008501CA">
        <w:rPr>
          <w:rFonts w:cs="Arial"/>
        </w:rPr>
        <w:t>provide one solution for CDFIs seeking to access affordable capital to maintain their loan program.</w:t>
      </w:r>
    </w:p>
    <w:p w:rsidR="004C0502" w:rsidRPr="00B54FA8" w:rsidRDefault="004D52BE" w:rsidP="004A7A14">
      <w:pPr>
        <w:pStyle w:val="Heading3"/>
      </w:pPr>
      <w:r>
        <w:t xml:space="preserve">Senate </w:t>
      </w:r>
      <w:r w:rsidRPr="001C6AA6">
        <w:t>Economics</w:t>
      </w:r>
      <w:r>
        <w:t xml:space="preserve"> Committee</w:t>
      </w:r>
      <w:r w:rsidR="00180B51">
        <w:t xml:space="preserve"> — </w:t>
      </w:r>
      <w:r>
        <w:t xml:space="preserve">Inquiry </w:t>
      </w:r>
      <w:r w:rsidR="00F96F9B">
        <w:t>i</w:t>
      </w:r>
      <w:r>
        <w:t xml:space="preserve">nto </w:t>
      </w:r>
      <w:r w:rsidR="00F96F9B">
        <w:t>F</w:t>
      </w:r>
      <w:r>
        <w:t>inancing the Not</w:t>
      </w:r>
      <w:r w:rsidR="00496483">
        <w:noBreakHyphen/>
      </w:r>
      <w:r>
        <w:t>For</w:t>
      </w:r>
      <w:r w:rsidR="00496483">
        <w:noBreakHyphen/>
      </w:r>
      <w:r>
        <w:t>Profit Sector</w:t>
      </w:r>
    </w:p>
    <w:p w:rsidR="00C2562F" w:rsidRDefault="006D4FDF" w:rsidP="001C6AA6">
      <w:r>
        <w:t xml:space="preserve">These options </w:t>
      </w:r>
      <w:r w:rsidR="004D52BE">
        <w:t>could</w:t>
      </w:r>
      <w:r w:rsidR="002C6A86">
        <w:t xml:space="preserve"> be better </w:t>
      </w:r>
      <w:r>
        <w:t>examined thro</w:t>
      </w:r>
      <w:r w:rsidR="002C0DDD">
        <w:t>ugh a mechanism recommended by t</w:t>
      </w:r>
      <w:r>
        <w:t>he Senate Economics Committee</w:t>
      </w:r>
      <w:r w:rsidR="004D52BE">
        <w:t xml:space="preserve"> in </w:t>
      </w:r>
      <w:r w:rsidR="004D52BE" w:rsidRPr="0092469E">
        <w:t>November 2011</w:t>
      </w:r>
      <w:r w:rsidR="00496483">
        <w:t xml:space="preserve">.  </w:t>
      </w:r>
      <w:r>
        <w:t>I</w:t>
      </w:r>
      <w:r w:rsidR="004C0502">
        <w:t>n</w:t>
      </w:r>
      <w:r w:rsidR="00C2562F" w:rsidRPr="0092469E">
        <w:t xml:space="preserve"> its inquiry into Financing the Not</w:t>
      </w:r>
      <w:r w:rsidR="00496483">
        <w:noBreakHyphen/>
      </w:r>
      <w:r w:rsidR="00C2562F" w:rsidRPr="0092469E">
        <w:t>For</w:t>
      </w:r>
      <w:r w:rsidR="00496483">
        <w:noBreakHyphen/>
      </w:r>
      <w:r w:rsidR="00C2562F" w:rsidRPr="0092469E">
        <w:t>Profit Sector, the Senate Economics Committee</w:t>
      </w:r>
      <w:r w:rsidR="004D52BE">
        <w:t xml:space="preserve"> recommended </w:t>
      </w:r>
      <w:r w:rsidR="00C2562F" w:rsidRPr="0092469E">
        <w:t xml:space="preserve">that a Social Finance Task Force consider possible options to </w:t>
      </w:r>
      <w:r w:rsidR="002C0DDD">
        <w:t xml:space="preserve">further </w:t>
      </w:r>
      <w:r w:rsidR="00C2562F" w:rsidRPr="0092469E">
        <w:t>develop CDFIs in Australia</w:t>
      </w:r>
      <w:r w:rsidR="00496483">
        <w:t xml:space="preserve">.  </w:t>
      </w:r>
    </w:p>
    <w:tbl>
      <w:tblPr>
        <w:tblW w:w="4885" w:type="pct"/>
        <w:tblInd w:w="108" w:type="dxa"/>
        <w:shd w:val="clear" w:color="auto" w:fill="E6E6E6"/>
        <w:tblLook w:val="01E0" w:firstRow="1" w:lastRow="1" w:firstColumn="1" w:lastColumn="1" w:noHBand="0" w:noVBand="0"/>
      </w:tblPr>
      <w:tblGrid>
        <w:gridCol w:w="9072"/>
      </w:tblGrid>
      <w:tr w:rsidR="001C6AA6" w:rsidTr="001C6AA6">
        <w:tc>
          <w:tcPr>
            <w:tcW w:w="5000" w:type="pct"/>
            <w:shd w:val="clear" w:color="auto" w:fill="E6E6E6"/>
          </w:tcPr>
          <w:p w:rsidR="001C6AA6" w:rsidRDefault="001C6AA6" w:rsidP="001C6AA6">
            <w:pPr>
              <w:pStyle w:val="BoxHeadingnonumber"/>
            </w:pPr>
            <w:r>
              <w:t>QUESTIONS</w:t>
            </w:r>
          </w:p>
          <w:p w:rsidR="001C6AA6" w:rsidRPr="0092469E" w:rsidRDefault="001C6AA6" w:rsidP="001C6AA6">
            <w:pPr>
              <w:pStyle w:val="OutlineNumbered1"/>
            </w:pPr>
            <w:r>
              <w:t xml:space="preserve">What mechanisms would be most successful in encouraging </w:t>
            </w:r>
            <w:r w:rsidR="00E21F44">
              <w:t xml:space="preserve">mainstream lenders </w:t>
            </w:r>
            <w:r>
              <w:t>to improve access for low</w:t>
            </w:r>
            <w:r w:rsidR="00496483">
              <w:noBreakHyphen/>
            </w:r>
            <w:r>
              <w:t>income individuals to small amount loans?</w:t>
            </w:r>
          </w:p>
          <w:p w:rsidR="001C6AA6" w:rsidRPr="00273AF2" w:rsidRDefault="001C6AA6" w:rsidP="001C6AA6">
            <w:pPr>
              <w:pStyle w:val="OutlineNumbered1"/>
            </w:pPr>
            <w:r w:rsidRPr="00273AF2">
              <w:t>Would reporting be an effective mechanism for encouraging mainstream lenders to increase their small amount, short</w:t>
            </w:r>
            <w:r w:rsidR="00496483">
              <w:noBreakHyphen/>
            </w:r>
            <w:r w:rsidRPr="00273AF2">
              <w:t>term loan activity and, if so, what type of reporting would be most effective?</w:t>
            </w:r>
            <w:r w:rsidRPr="00160CEE">
              <w:t xml:space="preserve"> </w:t>
            </w:r>
            <w:r>
              <w:t xml:space="preserve"> Is it reasonable to expect financial institutions to support the CDFI sector through their corporate social responsibility activities?</w:t>
            </w:r>
          </w:p>
          <w:p w:rsidR="001C6AA6" w:rsidRPr="008950C5" w:rsidRDefault="001C6AA6" w:rsidP="001C6AA6">
            <w:pPr>
              <w:pStyle w:val="OutlineNumbered1"/>
            </w:pPr>
            <w:r w:rsidRPr="00307D40">
              <w:t xml:space="preserve">Should </w:t>
            </w:r>
            <w:r>
              <w:t xml:space="preserve">the </w:t>
            </w:r>
            <w:r w:rsidRPr="00307D40">
              <w:t xml:space="preserve">growth of </w:t>
            </w:r>
            <w:r>
              <w:t xml:space="preserve">a </w:t>
            </w:r>
            <w:r w:rsidRPr="00307D40">
              <w:t>CDFI sector in Australia</w:t>
            </w:r>
            <w:r>
              <w:t xml:space="preserve"> be supported</w:t>
            </w:r>
            <w:r w:rsidRPr="00307D40">
              <w:t>?  If yes, what are the base requirements for growth of the sector?  Would a UK style financial inclusion growth fund be an appropriate mechanism for developing a pool of capital funds that CDFIs could access?</w:t>
            </w:r>
          </w:p>
        </w:tc>
      </w:tr>
    </w:tbl>
    <w:p w:rsidR="001E7289" w:rsidRDefault="001E7289" w:rsidP="00C2562F">
      <w:pPr>
        <w:spacing w:after="0"/>
      </w:pPr>
    </w:p>
    <w:p w:rsidR="00C25E38" w:rsidRDefault="00C25E38" w:rsidP="001C6AA6">
      <w:pPr>
        <w:pStyle w:val="Heading1"/>
        <w:rPr>
          <w:rStyle w:val="Heading1Char"/>
          <w:color w:val="auto"/>
          <w:shd w:val="clear" w:color="auto" w:fill="B8CCE4"/>
        </w:rPr>
        <w:sectPr w:rsidR="00C25E38" w:rsidSect="000E15EF">
          <w:type w:val="oddPage"/>
          <w:pgSz w:w="11906" w:h="16838"/>
          <w:pgMar w:top="1276" w:right="1418" w:bottom="1276" w:left="1418" w:header="709" w:footer="709" w:gutter="0"/>
          <w:cols w:space="708"/>
          <w:titlePg/>
          <w:docGrid w:linePitch="360"/>
        </w:sectPr>
      </w:pPr>
    </w:p>
    <w:p w:rsidR="00BD1637" w:rsidRPr="00F96F9B" w:rsidRDefault="00F96F9B" w:rsidP="00F96F9B">
      <w:pPr>
        <w:pStyle w:val="Heading1"/>
      </w:pPr>
      <w:bookmarkStart w:id="44" w:name="_Toc322008300"/>
      <w:r w:rsidRPr="00F96F9B">
        <w:lastRenderedPageBreak/>
        <w:t xml:space="preserve">Chapter </w:t>
      </w:r>
      <w:r w:rsidR="00F513DC" w:rsidRPr="00F96F9B">
        <w:t>5</w:t>
      </w:r>
      <w:r w:rsidR="001C6AA6" w:rsidRPr="00F96F9B">
        <w:br/>
      </w:r>
      <w:r>
        <w:t>A</w:t>
      </w:r>
      <w:r w:rsidRPr="00F96F9B">
        <w:t>ssisting low income individuals who fall into debt cycles</w:t>
      </w:r>
      <w:bookmarkEnd w:id="44"/>
      <w:r w:rsidRPr="00F96F9B">
        <w:t xml:space="preserve"> </w:t>
      </w:r>
    </w:p>
    <w:p w:rsidR="009A333A" w:rsidRDefault="009A333A" w:rsidP="00B222A8">
      <w:r>
        <w:t>One strategy for increasing access to alternative products and assistance with debt could be to establish a retail presence in direct competition with high</w:t>
      </w:r>
      <w:r w:rsidR="00496483">
        <w:noBreakHyphen/>
      </w:r>
      <w:r>
        <w:t>cost, small amount lenders.</w:t>
      </w:r>
    </w:p>
    <w:p w:rsidR="001632B5" w:rsidRPr="001C6AA6" w:rsidRDefault="001632B5" w:rsidP="001C6AA6">
      <w:pPr>
        <w:pStyle w:val="Heading2"/>
      </w:pPr>
      <w:bookmarkStart w:id="45" w:name="_Toc322008301"/>
      <w:r w:rsidRPr="001C6AA6">
        <w:t xml:space="preserve">‘One Stop Shop’ </w:t>
      </w:r>
      <w:r w:rsidR="00F96F9B">
        <w:t>h</w:t>
      </w:r>
      <w:r w:rsidRPr="001C6AA6">
        <w:t>ubs</w:t>
      </w:r>
      <w:bookmarkEnd w:id="45"/>
    </w:p>
    <w:p w:rsidR="00BD1637" w:rsidRDefault="00BD1637" w:rsidP="00BD1637">
      <w:r>
        <w:t xml:space="preserve">This strategy </w:t>
      </w:r>
      <w:r w:rsidR="00B31ACA">
        <w:t>considers</w:t>
      </w:r>
      <w:r>
        <w:t xml:space="preserve"> the establishment of ‘one</w:t>
      </w:r>
      <w:r w:rsidR="00496483">
        <w:noBreakHyphen/>
      </w:r>
      <w:r>
        <w:t xml:space="preserve">stop shop’ </w:t>
      </w:r>
      <w:r w:rsidR="009A333A">
        <w:t xml:space="preserve">financial services </w:t>
      </w:r>
      <w:r>
        <w:t>hubs as a means of providing financially excluded individuals on low incomes with improved access to local, affordable and appropriate financial products and services</w:t>
      </w:r>
      <w:r w:rsidR="00496483">
        <w:t xml:space="preserve">.  </w:t>
      </w:r>
    </w:p>
    <w:p w:rsidR="003B44B7" w:rsidRDefault="00BD1637" w:rsidP="00BD1637">
      <w:r w:rsidRPr="00EB58EC">
        <w:t>The aim of these hubs would be to</w:t>
      </w:r>
      <w:r w:rsidR="00B31ACA" w:rsidRPr="00EB58EC">
        <w:t xml:space="preserve"> address financial</w:t>
      </w:r>
      <w:r w:rsidR="009A333A">
        <w:t xml:space="preserve"> exclusion </w:t>
      </w:r>
      <w:r w:rsidR="00B31ACA" w:rsidRPr="00EB58EC">
        <w:t>by</w:t>
      </w:r>
      <w:r w:rsidR="009A333A">
        <w:t xml:space="preserve"> providing </w:t>
      </w:r>
      <w:r w:rsidRPr="00EB58EC">
        <w:t xml:space="preserve">a retail service delivery model which could compete with </w:t>
      </w:r>
      <w:r>
        <w:t>the service offer</w:t>
      </w:r>
      <w:r w:rsidR="00B31ACA">
        <w:t>ed by high</w:t>
      </w:r>
      <w:r w:rsidR="00496483">
        <w:noBreakHyphen/>
      </w:r>
      <w:r w:rsidR="00B31ACA">
        <w:t>cost</w:t>
      </w:r>
      <w:r>
        <w:t xml:space="preserve"> small amount</w:t>
      </w:r>
      <w:r w:rsidRPr="00EB58EC">
        <w:t xml:space="preserve"> lenders</w:t>
      </w:r>
      <w:r w:rsidR="00496483">
        <w:t xml:space="preserve">.  </w:t>
      </w:r>
      <w:r>
        <w:t>The hubs would</w:t>
      </w:r>
      <w:r w:rsidR="00B31ACA">
        <w:t xml:space="preserve"> be well placed to</w:t>
      </w:r>
      <w:r>
        <w:t xml:space="preserve"> provide services</w:t>
      </w:r>
      <w:r w:rsidRPr="00EB58EC">
        <w:t xml:space="preserve"> through a coordinated crisis to capability and asset</w:t>
      </w:r>
      <w:r w:rsidR="00496483">
        <w:noBreakHyphen/>
      </w:r>
      <w:r w:rsidRPr="00EB58EC">
        <w:t>building approach, including through</w:t>
      </w:r>
      <w:r w:rsidR="009A333A">
        <w:t xml:space="preserve"> offering</w:t>
      </w:r>
      <w:r w:rsidRPr="00EB58EC">
        <w:t xml:space="preserve"> financial counselling, </w:t>
      </w:r>
      <w:r>
        <w:t xml:space="preserve">access to </w:t>
      </w:r>
      <w:r w:rsidRPr="00EB58EC">
        <w:t>microfinance products</w:t>
      </w:r>
      <w:r w:rsidR="009A333A">
        <w:t>,</w:t>
      </w:r>
      <w:r w:rsidRPr="00EB58EC">
        <w:t xml:space="preserve"> </w:t>
      </w:r>
      <w:r>
        <w:t>E</w:t>
      </w:r>
      <w:r w:rsidRPr="00EB58EC">
        <w:t xml:space="preserve">mergency </w:t>
      </w:r>
      <w:r>
        <w:t>R</w:t>
      </w:r>
      <w:r w:rsidRPr="00EB58EC">
        <w:t xml:space="preserve">elief, money management education and </w:t>
      </w:r>
      <w:r>
        <w:t>referral</w:t>
      </w:r>
      <w:r w:rsidR="00D87850">
        <w:t>s</w:t>
      </w:r>
      <w:r>
        <w:t xml:space="preserve"> to the H</w:t>
      </w:r>
      <w:r w:rsidRPr="00EB58EC">
        <w:t xml:space="preserve">ome </w:t>
      </w:r>
      <w:r>
        <w:t>E</w:t>
      </w:r>
      <w:r w:rsidRPr="00EB58EC">
        <w:t xml:space="preserve">nergy </w:t>
      </w:r>
      <w:r>
        <w:t>Saver Scheme</w:t>
      </w:r>
      <w:r w:rsidR="00496483">
        <w:t xml:space="preserve">.  </w:t>
      </w:r>
      <w:r>
        <w:t>Other local services could provide a virtual or physical presence in the hubs, including local employment services, Centrelink and other local support services</w:t>
      </w:r>
      <w:r w:rsidR="00496483">
        <w:t xml:space="preserve">.  </w:t>
      </w:r>
      <w:r w:rsidR="009A333A">
        <w:t>Additional products could also be developed to directly compete with small amount loans currently provided by payday and fringe lenders</w:t>
      </w:r>
      <w:r w:rsidR="00496483">
        <w:t xml:space="preserve">.  </w:t>
      </w:r>
      <w:r w:rsidR="009A333A">
        <w:t>These a</w:t>
      </w:r>
      <w:r w:rsidR="008524C7">
        <w:t>re discussed in more detail in C</w:t>
      </w:r>
      <w:r w:rsidR="009A333A">
        <w:t>hapter 6.</w:t>
      </w:r>
    </w:p>
    <w:p w:rsidR="00BD1637" w:rsidRPr="00F41D57" w:rsidRDefault="00BD1637" w:rsidP="001C6AA6">
      <w:pPr>
        <w:pStyle w:val="Heading3"/>
      </w:pPr>
      <w:bookmarkStart w:id="46" w:name="_Toc314138431"/>
      <w:r w:rsidRPr="00F41D57">
        <w:t xml:space="preserve">Current </w:t>
      </w:r>
      <w:r w:rsidR="00F96F9B">
        <w:t>a</w:t>
      </w:r>
      <w:r w:rsidRPr="001C6AA6">
        <w:t>rrangements</w:t>
      </w:r>
      <w:bookmarkEnd w:id="46"/>
    </w:p>
    <w:p w:rsidR="00BD1637" w:rsidRDefault="00BD1637" w:rsidP="00BD1637">
      <w:pPr>
        <w:rPr>
          <w:rFonts w:cs="Arial"/>
        </w:rPr>
      </w:pPr>
      <w:r>
        <w:rPr>
          <w:rFonts w:cs="Arial"/>
        </w:rPr>
        <w:t xml:space="preserve">There are currently a number of </w:t>
      </w:r>
      <w:r w:rsidR="00260243">
        <w:rPr>
          <w:rFonts w:cs="Arial"/>
        </w:rPr>
        <w:t xml:space="preserve">financial management support </w:t>
      </w:r>
      <w:r>
        <w:rPr>
          <w:rFonts w:cs="Arial"/>
        </w:rPr>
        <w:t>services available to vulnerable Australians who may be experiencing financial exclusion or financial stress in sites where</w:t>
      </w:r>
      <w:r w:rsidR="00B31ACA">
        <w:rPr>
          <w:rFonts w:cs="Arial"/>
        </w:rPr>
        <w:t xml:space="preserve"> many high</w:t>
      </w:r>
      <w:r w:rsidR="00496483">
        <w:rPr>
          <w:rFonts w:cs="Arial"/>
        </w:rPr>
        <w:noBreakHyphen/>
      </w:r>
      <w:r w:rsidR="00B31ACA">
        <w:rPr>
          <w:rFonts w:cs="Arial"/>
        </w:rPr>
        <w:t>cost</w:t>
      </w:r>
      <w:r>
        <w:rPr>
          <w:rFonts w:cs="Arial"/>
        </w:rPr>
        <w:t xml:space="preserve"> small amount lenders operate.</w:t>
      </w:r>
    </w:p>
    <w:p w:rsidR="00BD1637" w:rsidRDefault="00B31ACA" w:rsidP="00BD1637">
      <w:pPr>
        <w:rPr>
          <w:rFonts w:cs="Arial"/>
        </w:rPr>
      </w:pPr>
      <w:r>
        <w:rPr>
          <w:rFonts w:cs="Arial"/>
        </w:rPr>
        <w:t>T</w:t>
      </w:r>
      <w:r w:rsidR="00BD1637">
        <w:rPr>
          <w:rFonts w:cs="Arial"/>
        </w:rPr>
        <w:t>he majority of</w:t>
      </w:r>
      <w:r w:rsidR="008524C7">
        <w:rPr>
          <w:rFonts w:cs="Arial"/>
        </w:rPr>
        <w:t xml:space="preserve"> organisations</w:t>
      </w:r>
      <w:r w:rsidR="00BD1637">
        <w:rPr>
          <w:rFonts w:cs="Arial"/>
        </w:rPr>
        <w:t xml:space="preserve"> are Commonwealth</w:t>
      </w:r>
      <w:r w:rsidR="00496483">
        <w:rPr>
          <w:rFonts w:cs="Arial"/>
        </w:rPr>
        <w:noBreakHyphen/>
      </w:r>
      <w:r w:rsidR="00BD1637">
        <w:rPr>
          <w:rFonts w:cs="Arial"/>
        </w:rPr>
        <w:t xml:space="preserve">funded Financial Management Program </w:t>
      </w:r>
      <w:r w:rsidR="008524C7">
        <w:rPr>
          <w:rFonts w:cs="Arial"/>
        </w:rPr>
        <w:t>services</w:t>
      </w:r>
      <w:r>
        <w:rPr>
          <w:rFonts w:cs="Arial"/>
        </w:rPr>
        <w:t>, with some</w:t>
      </w:r>
      <w:r w:rsidR="008524C7">
        <w:rPr>
          <w:rFonts w:cs="Arial"/>
        </w:rPr>
        <w:t xml:space="preserve"> organisations </w:t>
      </w:r>
      <w:r>
        <w:rPr>
          <w:rFonts w:cs="Arial"/>
        </w:rPr>
        <w:t xml:space="preserve">offering a combination of </w:t>
      </w:r>
      <w:r w:rsidR="008524C7">
        <w:rPr>
          <w:rFonts w:cs="Arial"/>
        </w:rPr>
        <w:t>services</w:t>
      </w:r>
      <w:r w:rsidR="00496483">
        <w:rPr>
          <w:rFonts w:cs="Arial"/>
        </w:rPr>
        <w:t xml:space="preserve">.  </w:t>
      </w:r>
      <w:r>
        <w:rPr>
          <w:rFonts w:cs="Arial"/>
        </w:rPr>
        <w:t>While most</w:t>
      </w:r>
      <w:r w:rsidR="008524C7">
        <w:rPr>
          <w:rFonts w:cs="Arial"/>
        </w:rPr>
        <w:t xml:space="preserve"> organisations </w:t>
      </w:r>
      <w:r>
        <w:rPr>
          <w:rFonts w:cs="Arial"/>
        </w:rPr>
        <w:t>are not specifically funded to</w:t>
      </w:r>
      <w:r w:rsidR="00BD1637">
        <w:rPr>
          <w:rFonts w:cs="Arial"/>
        </w:rPr>
        <w:t xml:space="preserve"> offer fully integrated financial support or assistance to individuals</w:t>
      </w:r>
      <w:r>
        <w:rPr>
          <w:rFonts w:cs="Arial"/>
        </w:rPr>
        <w:t>,</w:t>
      </w:r>
      <w:r w:rsidR="00BD1637">
        <w:rPr>
          <w:rFonts w:cs="Arial"/>
        </w:rPr>
        <w:t xml:space="preserve"> or</w:t>
      </w:r>
      <w:r>
        <w:rPr>
          <w:rFonts w:cs="Arial"/>
        </w:rPr>
        <w:t xml:space="preserve"> have</w:t>
      </w:r>
      <w:r w:rsidR="00BD1637">
        <w:rPr>
          <w:rFonts w:cs="Arial"/>
        </w:rPr>
        <w:t xml:space="preserve"> a highly visible retail presence</w:t>
      </w:r>
      <w:r>
        <w:rPr>
          <w:rFonts w:cs="Arial"/>
        </w:rPr>
        <w:t>, many services</w:t>
      </w:r>
      <w:r w:rsidR="008524C7">
        <w:rPr>
          <w:rFonts w:cs="Arial"/>
        </w:rPr>
        <w:t xml:space="preserve"> also</w:t>
      </w:r>
      <w:r>
        <w:rPr>
          <w:rFonts w:cs="Arial"/>
        </w:rPr>
        <w:t xml:space="preserve"> actively refer clients to other relevant local service providers</w:t>
      </w:r>
      <w:r w:rsidR="00496483">
        <w:rPr>
          <w:rFonts w:cs="Arial"/>
        </w:rPr>
        <w:t xml:space="preserve">.  </w:t>
      </w:r>
    </w:p>
    <w:p w:rsidR="00BD1637" w:rsidRPr="00530C52" w:rsidRDefault="00BD1637" w:rsidP="00BD1637">
      <w:pPr>
        <w:rPr>
          <w:rFonts w:cs="Arial"/>
        </w:rPr>
      </w:pPr>
      <w:r>
        <w:rPr>
          <w:rFonts w:cs="Arial"/>
        </w:rPr>
        <w:t>A small version of a financial management service hub is currently being trialled in three locations in Victoria by Good Shepherd Microfinance, in conjunction with the Victorian Government and the National Australia Bank</w:t>
      </w:r>
      <w:r w:rsidR="00496483">
        <w:rPr>
          <w:rFonts w:cs="Arial"/>
        </w:rPr>
        <w:t xml:space="preserve">.  </w:t>
      </w:r>
      <w:r>
        <w:rPr>
          <w:rFonts w:cs="Arial"/>
        </w:rPr>
        <w:t xml:space="preserve">These </w:t>
      </w:r>
      <w:r w:rsidRPr="00D31569">
        <w:rPr>
          <w:rFonts w:cs="Arial"/>
          <w:i/>
        </w:rPr>
        <w:t>Good Money Hubs</w:t>
      </w:r>
      <w:r>
        <w:rPr>
          <w:rFonts w:cs="Arial"/>
        </w:rPr>
        <w:t xml:space="preserve"> are being trialled in Geelong, Collingwood and Dandenong</w:t>
      </w:r>
      <w:r w:rsidR="00496483">
        <w:rPr>
          <w:rFonts w:cs="Arial"/>
        </w:rPr>
        <w:t xml:space="preserve">.  </w:t>
      </w:r>
      <w:r>
        <w:rPr>
          <w:rFonts w:cs="Arial"/>
        </w:rPr>
        <w:t>The pilot will run over three years (from 2011) with an evaluation expected to be completed at the end of this time.</w:t>
      </w:r>
    </w:p>
    <w:p w:rsidR="008415A3" w:rsidRDefault="00BD1637" w:rsidP="00BD1637">
      <w:pPr>
        <w:rPr>
          <w:rFonts w:cs="Arial"/>
        </w:rPr>
      </w:pPr>
      <w:r>
        <w:rPr>
          <w:rFonts w:cs="Arial"/>
        </w:rPr>
        <w:t>The</w:t>
      </w:r>
      <w:r w:rsidR="00B31ACA">
        <w:rPr>
          <w:rFonts w:cs="Arial"/>
        </w:rPr>
        <w:t xml:space="preserve"> intended </w:t>
      </w:r>
      <w:r>
        <w:rPr>
          <w:rFonts w:cs="Arial"/>
        </w:rPr>
        <w:t>outcome of the proposed hub</w:t>
      </w:r>
      <w:r w:rsidR="00B31ACA">
        <w:rPr>
          <w:rFonts w:cs="Arial"/>
        </w:rPr>
        <w:t xml:space="preserve"> model</w:t>
      </w:r>
      <w:r>
        <w:rPr>
          <w:rFonts w:cs="Arial"/>
        </w:rPr>
        <w:t xml:space="preserve"> is a positive change in financial capability and levels of financial stress experienced by low income individuals and households</w:t>
      </w:r>
      <w:r w:rsidR="00496483">
        <w:rPr>
          <w:rFonts w:cs="Arial"/>
        </w:rPr>
        <w:t xml:space="preserve">.  </w:t>
      </w:r>
      <w:r>
        <w:rPr>
          <w:rFonts w:cs="Arial"/>
        </w:rPr>
        <w:t>Increased financial capability will result in fewer households and individuals seeking assistance through more expensive and less appropriate forms of credit</w:t>
      </w:r>
      <w:r w:rsidR="00496483">
        <w:rPr>
          <w:rFonts w:cs="Arial"/>
        </w:rPr>
        <w:t xml:space="preserve">.  </w:t>
      </w:r>
    </w:p>
    <w:p w:rsidR="00BD1637" w:rsidRDefault="00BD1637" w:rsidP="00BD1637">
      <w:pPr>
        <w:rPr>
          <w:rFonts w:cs="Arial"/>
        </w:rPr>
      </w:pPr>
      <w:r>
        <w:rPr>
          <w:rFonts w:cs="Arial"/>
        </w:rPr>
        <w:lastRenderedPageBreak/>
        <w:t>The hubs will also provide individuals and households with a holistic assessment of their financial situation and referrals to other support services, where appropriate, to allow them to develop longer</w:t>
      </w:r>
      <w:r w:rsidR="00496483">
        <w:rPr>
          <w:rFonts w:cs="Arial"/>
        </w:rPr>
        <w:noBreakHyphen/>
      </w:r>
      <w:r>
        <w:rPr>
          <w:rFonts w:cs="Arial"/>
        </w:rPr>
        <w:t>term debt reduction strategies and build their capability to manage their income more effectively</w:t>
      </w:r>
      <w:r w:rsidR="00496483">
        <w:rPr>
          <w:rFonts w:cs="Arial"/>
        </w:rPr>
        <w:t xml:space="preserve">.  </w:t>
      </w:r>
    </w:p>
    <w:p w:rsidR="00BD1637" w:rsidRDefault="008415A3" w:rsidP="00BD1637">
      <w:pPr>
        <w:rPr>
          <w:rFonts w:cs="Arial"/>
        </w:rPr>
      </w:pPr>
      <w:r>
        <w:rPr>
          <w:rFonts w:cs="Arial"/>
        </w:rPr>
        <w:t>I</w:t>
      </w:r>
      <w:r w:rsidR="00BD1637">
        <w:rPr>
          <w:rFonts w:cs="Arial"/>
        </w:rPr>
        <w:t xml:space="preserve">ntegrating relevant services in a ‘one stop shop’ model </w:t>
      </w:r>
      <w:r>
        <w:rPr>
          <w:rFonts w:cs="Arial"/>
        </w:rPr>
        <w:t>would</w:t>
      </w:r>
      <w:r w:rsidR="00BD1637">
        <w:rPr>
          <w:rFonts w:cs="Arial"/>
        </w:rPr>
        <w:t xml:space="preserve"> also</w:t>
      </w:r>
      <w:r>
        <w:rPr>
          <w:rFonts w:cs="Arial"/>
        </w:rPr>
        <w:t xml:space="preserve"> be</w:t>
      </w:r>
      <w:r w:rsidR="00BD1637">
        <w:rPr>
          <w:rFonts w:cs="Arial"/>
        </w:rPr>
        <w:t xml:space="preserve"> expected</w:t>
      </w:r>
      <w:r>
        <w:rPr>
          <w:rFonts w:cs="Arial"/>
        </w:rPr>
        <w:t xml:space="preserve"> to offer</w:t>
      </w:r>
      <w:r w:rsidR="00BD1637">
        <w:rPr>
          <w:rFonts w:cs="Arial"/>
        </w:rPr>
        <w:t xml:space="preserve"> </w:t>
      </w:r>
      <w:r>
        <w:rPr>
          <w:rFonts w:cs="Arial"/>
        </w:rPr>
        <w:t xml:space="preserve">quicker and more effective </w:t>
      </w:r>
      <w:r w:rsidR="00BD1637">
        <w:rPr>
          <w:rFonts w:cs="Arial"/>
        </w:rPr>
        <w:t>referrals to other appropriate services.</w:t>
      </w:r>
      <w:r w:rsidR="00BD1637">
        <w:rPr>
          <w:rStyle w:val="FootnoteReference"/>
          <w:rFonts w:cs="Arial"/>
        </w:rPr>
        <w:footnoteReference w:id="29"/>
      </w:r>
      <w:r w:rsidR="00BD1637">
        <w:rPr>
          <w:rFonts w:cs="Arial"/>
        </w:rPr>
        <w:t xml:space="preserve">  </w:t>
      </w:r>
    </w:p>
    <w:p w:rsidR="00BD1637" w:rsidRDefault="00D2383D" w:rsidP="00BD1637">
      <w:pPr>
        <w:rPr>
          <w:rFonts w:cs="Arial"/>
        </w:rPr>
      </w:pPr>
      <w:r>
        <w:rPr>
          <w:rFonts w:cs="Arial"/>
        </w:rPr>
        <w:t>Ultimately</w:t>
      </w:r>
      <w:r w:rsidR="008415A3">
        <w:rPr>
          <w:rFonts w:cs="Arial"/>
        </w:rPr>
        <w:t>, p</w:t>
      </w:r>
      <w:r w:rsidR="00BD1637">
        <w:rPr>
          <w:rFonts w:cs="Arial"/>
        </w:rPr>
        <w:t>roviding</w:t>
      </w:r>
      <w:r w:rsidR="008415A3">
        <w:rPr>
          <w:rFonts w:cs="Arial"/>
        </w:rPr>
        <w:t xml:space="preserve"> these</w:t>
      </w:r>
      <w:r w:rsidR="00BD1637">
        <w:rPr>
          <w:rFonts w:cs="Arial"/>
        </w:rPr>
        <w:t xml:space="preserve"> integrated financial services would offer individuals at risk of financial stress:</w:t>
      </w:r>
    </w:p>
    <w:p w:rsidR="00BD1637" w:rsidRDefault="00BD1637" w:rsidP="001C6AA6">
      <w:pPr>
        <w:pStyle w:val="Bullet"/>
      </w:pPr>
      <w:r>
        <w:t xml:space="preserve">a one stop shop to support their financial management </w:t>
      </w:r>
      <w:r w:rsidR="00B31ACA">
        <w:t xml:space="preserve">program </w:t>
      </w:r>
      <w:r>
        <w:t xml:space="preserve">service needs; </w:t>
      </w:r>
    </w:p>
    <w:p w:rsidR="00BD1637" w:rsidRDefault="00BD1637" w:rsidP="001C6AA6">
      <w:pPr>
        <w:pStyle w:val="Bullet"/>
      </w:pPr>
      <w:r>
        <w:t>tailored financial products and services;</w:t>
      </w:r>
    </w:p>
    <w:p w:rsidR="00BD1637" w:rsidRDefault="00BD1637" w:rsidP="001C6AA6">
      <w:pPr>
        <w:pStyle w:val="Bullet"/>
      </w:pPr>
      <w:r>
        <w:t>the opportunity for immediate and appropriate referral to other local support services; and</w:t>
      </w:r>
    </w:p>
    <w:p w:rsidR="00BD1637" w:rsidRDefault="00BD1637" w:rsidP="001C6AA6">
      <w:pPr>
        <w:pStyle w:val="Bullet"/>
      </w:pPr>
      <w:r>
        <w:t xml:space="preserve">alternative microfinance products to assist the individual’s need for </w:t>
      </w:r>
      <w:r w:rsidR="007F28C1">
        <w:t>short</w:t>
      </w:r>
      <w:r w:rsidR="00496483">
        <w:noBreakHyphen/>
      </w:r>
      <w:r w:rsidR="007F28C1">
        <w:t>term</w:t>
      </w:r>
      <w:r>
        <w:t xml:space="preserve"> financial assistance</w:t>
      </w:r>
      <w:r w:rsidR="00496483">
        <w:t xml:space="preserve">.  </w:t>
      </w:r>
    </w:p>
    <w:p w:rsidR="00E92A66" w:rsidRDefault="00BD1637" w:rsidP="00E92A66">
      <w:pPr>
        <w:jc w:val="left"/>
        <w:rPr>
          <w:rFonts w:cs="Arial"/>
        </w:rPr>
      </w:pPr>
      <w:r>
        <w:rPr>
          <w:rFonts w:cs="Arial"/>
        </w:rPr>
        <w:t>The shop</w:t>
      </w:r>
      <w:r w:rsidR="00496483">
        <w:rPr>
          <w:rFonts w:cs="Arial"/>
        </w:rPr>
        <w:noBreakHyphen/>
      </w:r>
      <w:r>
        <w:rPr>
          <w:rFonts w:cs="Arial"/>
        </w:rPr>
        <w:t xml:space="preserve">front retail model of the hubs </w:t>
      </w:r>
      <w:r w:rsidR="008415A3">
        <w:rPr>
          <w:rFonts w:cs="Arial"/>
        </w:rPr>
        <w:t>would</w:t>
      </w:r>
      <w:r>
        <w:rPr>
          <w:rFonts w:cs="Arial"/>
        </w:rPr>
        <w:t xml:space="preserve"> als</w:t>
      </w:r>
      <w:r w:rsidR="008415A3">
        <w:rPr>
          <w:rFonts w:cs="Arial"/>
        </w:rPr>
        <w:t>o be</w:t>
      </w:r>
      <w:r>
        <w:rPr>
          <w:rFonts w:cs="Arial"/>
        </w:rPr>
        <w:t xml:space="preserve"> expected</w:t>
      </w:r>
      <w:r w:rsidR="008415A3">
        <w:rPr>
          <w:rFonts w:cs="Arial"/>
        </w:rPr>
        <w:t xml:space="preserve"> to</w:t>
      </w:r>
      <w:r>
        <w:rPr>
          <w:rFonts w:cs="Arial"/>
        </w:rPr>
        <w:t xml:space="preserve"> engage a wider range of individuals, including those vulnerable and financially stressed individuals </w:t>
      </w:r>
      <w:r w:rsidR="008415A3">
        <w:rPr>
          <w:rFonts w:cs="Arial"/>
        </w:rPr>
        <w:t>who do not traditionally identif</w:t>
      </w:r>
      <w:r>
        <w:rPr>
          <w:rFonts w:cs="Arial"/>
        </w:rPr>
        <w:t>y as clients of community or financial assistance services</w:t>
      </w:r>
      <w:r w:rsidR="00496483">
        <w:rPr>
          <w:rFonts w:cs="Arial"/>
        </w:rPr>
        <w:t xml:space="preserve">.  </w:t>
      </w:r>
      <w:r>
        <w:rPr>
          <w:rFonts w:cs="Arial"/>
        </w:rPr>
        <w:t xml:space="preserve">These individuals may include: </w:t>
      </w:r>
      <w:r w:rsidR="008415A3">
        <w:rPr>
          <w:rFonts w:cs="Arial"/>
        </w:rPr>
        <w:t xml:space="preserve"> </w:t>
      </w:r>
      <w:r>
        <w:rPr>
          <w:rFonts w:cs="Arial"/>
        </w:rPr>
        <w:t>non</w:t>
      </w:r>
      <w:r w:rsidR="00496483">
        <w:rPr>
          <w:rFonts w:cs="Arial"/>
        </w:rPr>
        <w:noBreakHyphen/>
      </w:r>
      <w:r>
        <w:rPr>
          <w:rFonts w:cs="Arial"/>
        </w:rPr>
        <w:t>Centrelink clients, older persons (asset rich, money poor), younger people and students</w:t>
      </w:r>
      <w:r w:rsidR="00496483">
        <w:rPr>
          <w:rFonts w:cs="Arial"/>
        </w:rPr>
        <w:t xml:space="preserve">.  </w:t>
      </w:r>
    </w:p>
    <w:p w:rsidR="00E92A66" w:rsidRPr="00B4584C" w:rsidRDefault="00E92A66" w:rsidP="001C6AA6">
      <w:pPr>
        <w:pStyle w:val="Heading3"/>
      </w:pPr>
      <w:r w:rsidRPr="00B4584C">
        <w:t xml:space="preserve">Debt </w:t>
      </w:r>
      <w:r w:rsidR="00F96F9B">
        <w:t>c</w:t>
      </w:r>
      <w:r w:rsidRPr="001C6AA6">
        <w:t>onsolidation</w:t>
      </w:r>
      <w:r w:rsidRPr="00B4584C">
        <w:t xml:space="preserve"> </w:t>
      </w:r>
      <w:r w:rsidR="00F96F9B">
        <w:t>p</w:t>
      </w:r>
      <w:r w:rsidR="00B17912" w:rsidRPr="00B4584C">
        <w:t xml:space="preserve">roducts </w:t>
      </w:r>
      <w:r w:rsidRPr="00B4584C">
        <w:t xml:space="preserve">and </w:t>
      </w:r>
      <w:r w:rsidR="00F96F9B">
        <w:t>d</w:t>
      </w:r>
      <w:r w:rsidRPr="00B4584C">
        <w:t xml:space="preserve">ebt </w:t>
      </w:r>
      <w:r w:rsidR="00F96F9B">
        <w:t>m</w:t>
      </w:r>
      <w:r w:rsidRPr="00B4584C">
        <w:t xml:space="preserve">anagement </w:t>
      </w:r>
      <w:r w:rsidR="00F96F9B">
        <w:t>a</w:t>
      </w:r>
      <w:r w:rsidRPr="00B4584C">
        <w:t>dvice</w:t>
      </w:r>
    </w:p>
    <w:p w:rsidR="0084475C" w:rsidRDefault="0084475C" w:rsidP="001C6AA6">
      <w:r>
        <w:t>The hub model also offers opportunities to develop specialist products which could be delivered in the retail setting, such as debt consolidation products.</w:t>
      </w:r>
    </w:p>
    <w:p w:rsidR="00E92A66" w:rsidRDefault="00260243" w:rsidP="001C6AA6">
      <w:r>
        <w:t>De</w:t>
      </w:r>
      <w:r w:rsidR="00E92A66" w:rsidRPr="00790D88">
        <w:t xml:space="preserve">bt consolidation products could </w:t>
      </w:r>
      <w:r>
        <w:t xml:space="preserve">also </w:t>
      </w:r>
      <w:r w:rsidR="00E92A66" w:rsidRPr="00790D88">
        <w:t>provide some relief to consumers</w:t>
      </w:r>
      <w:r w:rsidR="0084475C">
        <w:t xml:space="preserve"> who have existing small amount loans or who are trapped a debt cycle</w:t>
      </w:r>
      <w:r w:rsidR="00496483">
        <w:t xml:space="preserve">.  </w:t>
      </w:r>
      <w:r>
        <w:t>T</w:t>
      </w:r>
      <w:r w:rsidR="00E92A66" w:rsidRPr="00790D88">
        <w:t>his can include debt consolidation loans, a debt advice system under a debt management plan and improved access to existing products</w:t>
      </w:r>
      <w:r w:rsidR="00496483">
        <w:t xml:space="preserve">.  </w:t>
      </w:r>
      <w:r w:rsidR="00E92A66">
        <w:t>This is discussed further in the next Chapter.</w:t>
      </w:r>
    </w:p>
    <w:tbl>
      <w:tblPr>
        <w:tblW w:w="4885" w:type="pct"/>
        <w:tblInd w:w="108" w:type="dxa"/>
        <w:shd w:val="clear" w:color="auto" w:fill="E6E6E6"/>
        <w:tblLook w:val="01E0" w:firstRow="1" w:lastRow="1" w:firstColumn="1" w:lastColumn="1" w:noHBand="0" w:noVBand="0"/>
      </w:tblPr>
      <w:tblGrid>
        <w:gridCol w:w="9072"/>
      </w:tblGrid>
      <w:tr w:rsidR="001C6AA6" w:rsidTr="001C6AA6">
        <w:tc>
          <w:tcPr>
            <w:tcW w:w="5000" w:type="pct"/>
            <w:shd w:val="clear" w:color="auto" w:fill="E6E6E6"/>
          </w:tcPr>
          <w:p w:rsidR="001C6AA6" w:rsidRPr="00BD1637" w:rsidRDefault="001C6AA6" w:rsidP="001C6AA6">
            <w:pPr>
              <w:pStyle w:val="BoxHeadingnonumber"/>
            </w:pPr>
            <w:bookmarkStart w:id="47" w:name="_Toc314138434"/>
            <w:r w:rsidRPr="00BD1637">
              <w:t>QUESTIONS</w:t>
            </w:r>
            <w:bookmarkEnd w:id="47"/>
          </w:p>
          <w:p w:rsidR="001C6AA6" w:rsidRPr="0092469E" w:rsidRDefault="001C6AA6" w:rsidP="001C6AA6">
            <w:pPr>
              <w:pStyle w:val="OutlineNumbered1"/>
            </w:pPr>
            <w:r w:rsidRPr="0092469E">
              <w:t>Can a f</w:t>
            </w:r>
            <w:r>
              <w:t>inancial services hub provide a viable</w:t>
            </w:r>
            <w:r w:rsidRPr="0092469E">
              <w:t xml:space="preserve"> alternative to</w:t>
            </w:r>
            <w:r>
              <w:t xml:space="preserve"> high cost</w:t>
            </w:r>
            <w:r w:rsidRPr="0092469E">
              <w:t xml:space="preserve"> </w:t>
            </w:r>
            <w:r>
              <w:t xml:space="preserve">small amount </w:t>
            </w:r>
            <w:r w:rsidRPr="0092469E">
              <w:t>lenders?</w:t>
            </w:r>
          </w:p>
          <w:p w:rsidR="001C6AA6" w:rsidRPr="0092469E" w:rsidRDefault="001C6AA6" w:rsidP="001C6AA6">
            <w:pPr>
              <w:pStyle w:val="OutlineNumbered1"/>
            </w:pPr>
            <w:r w:rsidRPr="0092469E">
              <w:t>W</w:t>
            </w:r>
            <w:r>
              <w:t>ould a</w:t>
            </w:r>
            <w:r w:rsidRPr="0092469E">
              <w:t xml:space="preserve"> hub approach make services more accessible for </w:t>
            </w:r>
            <w:r>
              <w:t>individuals</w:t>
            </w:r>
            <w:r w:rsidRPr="0092469E">
              <w:t xml:space="preserve"> who may be reluctant to visit major church providers for assistance</w:t>
            </w:r>
            <w:r w:rsidR="00D87850">
              <w:t>?</w:t>
            </w:r>
          </w:p>
          <w:p w:rsidR="001C6AA6" w:rsidRPr="008950C5" w:rsidRDefault="001C6AA6" w:rsidP="001C6AA6">
            <w:pPr>
              <w:pStyle w:val="OutlineNumbered1"/>
            </w:pPr>
            <w:r>
              <w:t>Are there other services that c</w:t>
            </w:r>
            <w:r w:rsidRPr="0092469E">
              <w:t>ould be included in the hub model?</w:t>
            </w:r>
          </w:p>
        </w:tc>
      </w:tr>
    </w:tbl>
    <w:p w:rsidR="001C6AA6" w:rsidRPr="001C6AA6" w:rsidRDefault="001C6AA6" w:rsidP="001C6AA6"/>
    <w:p w:rsidR="00C25E38" w:rsidRDefault="00C25E38" w:rsidP="001C6AA6">
      <w:pPr>
        <w:pStyle w:val="Heading1"/>
        <w:rPr>
          <w:color w:val="auto"/>
        </w:rPr>
        <w:sectPr w:rsidR="00C25E38" w:rsidSect="00A96939">
          <w:type w:val="oddPage"/>
          <w:pgSz w:w="11906" w:h="16838"/>
          <w:pgMar w:top="1418" w:right="1418" w:bottom="1418" w:left="1418" w:header="709" w:footer="709" w:gutter="0"/>
          <w:cols w:space="708"/>
          <w:titlePg/>
          <w:docGrid w:linePitch="360"/>
        </w:sectPr>
      </w:pPr>
    </w:p>
    <w:p w:rsidR="00790D88" w:rsidRPr="00F96F9B" w:rsidRDefault="00F96F9B" w:rsidP="00F96F9B">
      <w:pPr>
        <w:pStyle w:val="Heading1"/>
      </w:pPr>
      <w:bookmarkStart w:id="48" w:name="_Toc322008302"/>
      <w:r w:rsidRPr="00F96F9B">
        <w:lastRenderedPageBreak/>
        <w:t xml:space="preserve">Chapter </w:t>
      </w:r>
      <w:r w:rsidR="00F513DC" w:rsidRPr="00F96F9B">
        <w:t>6</w:t>
      </w:r>
      <w:r w:rsidR="001C6AA6" w:rsidRPr="00F96F9B">
        <w:br/>
      </w:r>
      <w:r>
        <w:t>D</w:t>
      </w:r>
      <w:r w:rsidRPr="00F96F9B">
        <w:t>ebt consolidation products and debt management advice</w:t>
      </w:r>
      <w:bookmarkEnd w:id="48"/>
      <w:r w:rsidRPr="00F96F9B">
        <w:t xml:space="preserve"> </w:t>
      </w:r>
    </w:p>
    <w:p w:rsidR="00954903" w:rsidRDefault="00954903" w:rsidP="001C6AA6">
      <w:r w:rsidRPr="00B222A8">
        <w:t xml:space="preserve">Debt management assistance is likely to help reduce the overall demand for </w:t>
      </w:r>
      <w:r w:rsidR="005513FF">
        <w:t>small amount loans</w:t>
      </w:r>
      <w:r w:rsidRPr="00B222A8">
        <w:t xml:space="preserve"> particularly for those individuals with either multiple loans/debts or where continual rollover of </w:t>
      </w:r>
      <w:r w:rsidR="005513FF">
        <w:t>these</w:t>
      </w:r>
      <w:r w:rsidRPr="00B222A8">
        <w:t xml:space="preserve"> loans has escalated debt to unmanageable levels through the application of multiple fees and high levels of interest.</w:t>
      </w:r>
    </w:p>
    <w:p w:rsidR="00954903" w:rsidRPr="00B222A8" w:rsidRDefault="00954903" w:rsidP="001C6AA6">
      <w:r w:rsidRPr="00B222A8">
        <w:t>The provision of specific debt consolidation products and support services to address the immediate needs of longer</w:t>
      </w:r>
      <w:r w:rsidR="00496483">
        <w:noBreakHyphen/>
      </w:r>
      <w:r w:rsidRPr="00B222A8">
        <w:t>term vulnerable individuals would assist in breaking the ‘cycle of debt’, while also building financial capability and resilience</w:t>
      </w:r>
      <w:r w:rsidR="00496483">
        <w:t xml:space="preserve">.  </w:t>
      </w:r>
    </w:p>
    <w:p w:rsidR="00954903" w:rsidRPr="00B222A8" w:rsidRDefault="00954903" w:rsidP="001C6AA6">
      <w:pPr>
        <w:pStyle w:val="Heading2"/>
      </w:pPr>
      <w:bookmarkStart w:id="49" w:name="_Toc322008303"/>
      <w:r w:rsidRPr="00B222A8">
        <w:t>Debt consolidation loans</w:t>
      </w:r>
      <w:bookmarkEnd w:id="49"/>
    </w:p>
    <w:p w:rsidR="00954903" w:rsidRDefault="00954903" w:rsidP="001C6AA6">
      <w:r w:rsidRPr="00B222A8">
        <w:t>There are a range of commercial debt consolidation products available from mainstream financial institutions, in the form of unsecured personal loans, with interest rates ranging from 12 to 15 per cent</w:t>
      </w:r>
      <w:r w:rsidR="002A3BBF">
        <w:t>.</w:t>
      </w:r>
      <w:r w:rsidRPr="00B222A8">
        <w:rPr>
          <w:rStyle w:val="FootnoteReference"/>
        </w:rPr>
        <w:footnoteReference w:id="30"/>
      </w:r>
      <w:r w:rsidR="002732A1">
        <w:t xml:space="preserve"> </w:t>
      </w:r>
      <w:r w:rsidRPr="00B222A8">
        <w:t>However, it is difficult for the financially excluded to access any mainstream products for this purpose</w:t>
      </w:r>
      <w:r w:rsidR="00496483">
        <w:t xml:space="preserve">.  </w:t>
      </w:r>
      <w:r w:rsidR="00A82175">
        <w:t>The needs of vulnerable consumers would be addressed if mainstream institutions developed specialist programs to provide them with access to loans for $2,000 or less</w:t>
      </w:r>
      <w:r w:rsidR="00496483">
        <w:t xml:space="preserve">.  </w:t>
      </w:r>
    </w:p>
    <w:p w:rsidR="00954903" w:rsidRDefault="00954903" w:rsidP="001C6AA6">
      <w:r w:rsidRPr="00B222A8">
        <w:t>A trial of such a loan scheme is currently being conducted in Victoria</w:t>
      </w:r>
      <w:r w:rsidR="00496483">
        <w:t xml:space="preserve">.  </w:t>
      </w:r>
      <w:r w:rsidRPr="00B222A8">
        <w:t>Good Shepherd Microfinance, the National Australia Bank and the Victorian Government are conducting the ‘Debt Deduct’ trial in a number of sites in Victoria</w:t>
      </w:r>
      <w:r w:rsidR="00496483">
        <w:t xml:space="preserve">.  </w:t>
      </w:r>
      <w:r w:rsidRPr="00B222A8">
        <w:t>These loans will take a similar form to the NILS product, in that the loans will be at zero per cent interest and provide an additional tool for financial counsellors working with individuals in financial stress and with multiple debts</w:t>
      </w:r>
      <w:r w:rsidR="00496483">
        <w:t xml:space="preserve">.  </w:t>
      </w:r>
      <w:r w:rsidRPr="00B222A8">
        <w:t>Individuals are only able to receive a ‘Debt Deduct’ loan where they have been referred by a financial counsellor</w:t>
      </w:r>
      <w:r w:rsidR="00496483">
        <w:t xml:space="preserve">.  </w:t>
      </w:r>
      <w:r w:rsidRPr="00B222A8">
        <w:t>The trial is expected to be completed in 2014</w:t>
      </w:r>
      <w:r w:rsidR="00496483">
        <w:t xml:space="preserve">.  </w:t>
      </w:r>
    </w:p>
    <w:p w:rsidR="00954903" w:rsidRDefault="00954903" w:rsidP="001C6AA6">
      <w:r w:rsidRPr="00B222A8">
        <w:t>If this pilot provides evidence of significant benefits to the target group, this could be used as a model to implement such a scheme nationally</w:t>
      </w:r>
      <w:r w:rsidR="00496483">
        <w:t xml:space="preserve">.  </w:t>
      </w:r>
      <w:r w:rsidRPr="00B222A8">
        <w:t>To operate effectively, as with CDFIs, this program would require ongoing support, including significant funding from mainstream lenders and/or Government.</w:t>
      </w:r>
    </w:p>
    <w:p w:rsidR="00C22FC3" w:rsidRDefault="00C22FC3" w:rsidP="001C6AA6">
      <w:pPr>
        <w:pStyle w:val="Heading2"/>
      </w:pPr>
      <w:bookmarkStart w:id="50" w:name="_Toc315101559"/>
      <w:bookmarkStart w:id="51" w:name="_Toc322008304"/>
      <w:r>
        <w:t xml:space="preserve">Debt </w:t>
      </w:r>
      <w:r w:rsidR="00F96F9B">
        <w:t>a</w:t>
      </w:r>
      <w:r>
        <w:t xml:space="preserve">dvice </w:t>
      </w:r>
      <w:r w:rsidR="00F96F9B">
        <w:t>s</w:t>
      </w:r>
      <w:r>
        <w:t>ystem</w:t>
      </w:r>
      <w:bookmarkEnd w:id="50"/>
      <w:bookmarkEnd w:id="51"/>
    </w:p>
    <w:p w:rsidR="00C22FC3" w:rsidRDefault="00C22FC3" w:rsidP="001C6AA6">
      <w:r>
        <w:t>A debt advice system similar to that used in the United Kingdom (UK) may also be useful in assisting individuals to escape the ‘debt cycle’</w:t>
      </w:r>
      <w:r w:rsidR="00496483">
        <w:t xml:space="preserve">.  </w:t>
      </w:r>
      <w:r>
        <w:t>The Consumer Credit Counselling Service is a UK based free debt advice service run by a charity organisation</w:t>
      </w:r>
      <w:r w:rsidR="00496483">
        <w:t xml:space="preserve">.  </w:t>
      </w:r>
      <w:r w:rsidR="00D87850">
        <w:t xml:space="preserve">It </w:t>
      </w:r>
      <w:r>
        <w:t>offer</w:t>
      </w:r>
      <w:r w:rsidR="00D87850">
        <w:t>s</w:t>
      </w:r>
      <w:r>
        <w:t xml:space="preserve"> telephone, email and website services</w:t>
      </w:r>
      <w:r w:rsidR="00D87850">
        <w:t>,</w:t>
      </w:r>
      <w:r>
        <w:t xml:space="preserve"> and </w:t>
      </w:r>
      <w:r w:rsidR="00D87850">
        <w:t>is</w:t>
      </w:r>
      <w:r>
        <w:t xml:space="preserve"> the only agency in the UK to offer an on</w:t>
      </w:r>
      <w:r w:rsidR="00496483">
        <w:noBreakHyphen/>
      </w:r>
      <w:r>
        <w:t>line debt advice tool</w:t>
      </w:r>
      <w:r w:rsidR="00180B51">
        <w:t xml:space="preserve"> — </w:t>
      </w:r>
      <w:r>
        <w:t>Debt Remedy</w:t>
      </w:r>
      <w:r w:rsidR="00496483">
        <w:t xml:space="preserve">.  </w:t>
      </w:r>
      <w:r>
        <w:t xml:space="preserve">They also offer debt management plans (DMPs), individual voluntary agreements (IVAs), mortgage broking via a preferred broker, and equity release services for </w:t>
      </w:r>
      <w:r>
        <w:lastRenderedPageBreak/>
        <w:t>over 55s</w:t>
      </w:r>
      <w:r w:rsidR="00496483">
        <w:t xml:space="preserve">.  </w:t>
      </w:r>
      <w:r>
        <w:t>They are 100 per cent industry funded, via initial donations, plus creditor contributions (a fixed percentage of Debt Management Plan payments)</w:t>
      </w:r>
      <w:r w:rsidR="002A3BBF">
        <w:t>.</w:t>
      </w:r>
      <w:r>
        <w:rPr>
          <w:rStyle w:val="FootnoteReference"/>
        </w:rPr>
        <w:footnoteReference w:id="31"/>
      </w:r>
      <w:r>
        <w:t xml:space="preserve"> </w:t>
      </w:r>
    </w:p>
    <w:p w:rsidR="00C22FC3" w:rsidRDefault="00C22FC3" w:rsidP="001C6AA6">
      <w:r>
        <w:t>Debt Management Plans allow the centralised management of an individual’s debts following assessment of each individual’s financial situation and negotiations with all creditors on an agreed, tailored approach to an individual’s debt issues</w:t>
      </w:r>
      <w:r w:rsidR="00496483">
        <w:t xml:space="preserve">.  </w:t>
      </w:r>
      <w:r>
        <w:t>The individual then makes one central payment and the organisation disburses those payments to all creditors and provides ongoing monitoring of the debt management plan</w:t>
      </w:r>
      <w:r w:rsidR="00496483">
        <w:t xml:space="preserve">.  </w:t>
      </w:r>
      <w:r>
        <w:t>Advantages of such an approach include that all an individual’s debts and ongoing financial needs are considered as a whole allowing a more realistic analysis of capacity to pay and reducing the likelihood of failure to meet the agreed approach</w:t>
      </w:r>
      <w:r w:rsidR="00496483">
        <w:t xml:space="preserve">.  </w:t>
      </w:r>
      <w:r>
        <w:t>Creditors are not negotiating debt in isolation from other creditors and have some assurance that the plan has a likelihood of being achievable, reducing the risk of default and costly pursuant actions</w:t>
      </w:r>
      <w:r w:rsidR="00496483">
        <w:t xml:space="preserve">.  </w:t>
      </w:r>
    </w:p>
    <w:p w:rsidR="00C22FC3" w:rsidRDefault="00C22FC3" w:rsidP="001C6AA6">
      <w:r>
        <w:t>The establishment of a similar not</w:t>
      </w:r>
      <w:r w:rsidR="00496483">
        <w:noBreakHyphen/>
      </w:r>
      <w:r>
        <w:t>for</w:t>
      </w:r>
      <w:r w:rsidR="00496483">
        <w:noBreakHyphen/>
      </w:r>
      <w:r>
        <w:t>profit debt advice service in Australia could reduce the demand for small amount loans, and provide a holistic and sustainable approach to debt management</w:t>
      </w:r>
      <w:r w:rsidR="00496483">
        <w:t xml:space="preserve">.  </w:t>
      </w:r>
      <w:r>
        <w:t>Industry may also see advantages</w:t>
      </w:r>
      <w:r w:rsidR="004F3CFB">
        <w:t xml:space="preserve"> to</w:t>
      </w:r>
      <w:r>
        <w:t xml:space="preserve"> support</w:t>
      </w:r>
      <w:r w:rsidR="004F3CFB">
        <w:t>ing</w:t>
      </w:r>
      <w:r>
        <w:t xml:space="preserve"> </w:t>
      </w:r>
      <w:r w:rsidR="004F3CFB">
        <w:t>a similar</w:t>
      </w:r>
      <w:r>
        <w:t xml:space="preserve"> model</w:t>
      </w:r>
      <w:r w:rsidR="00496483">
        <w:t xml:space="preserve">.  </w:t>
      </w:r>
      <w:r w:rsidR="00B222A8">
        <w:t>There would be a need to regulate relationships to ensure consumers were protected and the organisation acted in the best interests of the individual (</w:t>
      </w:r>
      <w:r w:rsidR="00D87850">
        <w:t>that is,</w:t>
      </w:r>
      <w:r w:rsidR="002732A1">
        <w:t xml:space="preserve"> </w:t>
      </w:r>
      <w:r w:rsidR="00B222A8">
        <w:t>linking of industry funding and debt collection).</w:t>
      </w:r>
    </w:p>
    <w:p w:rsidR="00C22FC3" w:rsidRDefault="00C22FC3" w:rsidP="001C6AA6">
      <w:pPr>
        <w:pStyle w:val="Heading2"/>
      </w:pPr>
      <w:bookmarkStart w:id="52" w:name="_Toc315101560"/>
      <w:bookmarkStart w:id="53" w:name="_Toc322008305"/>
      <w:r>
        <w:t>Existing debt products</w:t>
      </w:r>
      <w:bookmarkEnd w:id="52"/>
      <w:bookmarkEnd w:id="53"/>
    </w:p>
    <w:p w:rsidR="00C22FC3" w:rsidRDefault="00C22FC3" w:rsidP="001C6AA6">
      <w:r>
        <w:t>A debt reduction product that could provide a useful approach is the expansion of the National Bulk Debt Project.</w:t>
      </w:r>
      <w:r>
        <w:rPr>
          <w:rStyle w:val="FootnoteReference"/>
        </w:rPr>
        <w:footnoteReference w:id="32"/>
      </w:r>
      <w:r>
        <w:t xml:space="preserve"> This initiative was developed by the West Heidelberg Community Legal Service and aimed to assist people in long</w:t>
      </w:r>
      <w:r w:rsidR="00496483">
        <w:noBreakHyphen/>
      </w:r>
      <w:r>
        <w:t>term hardship, who have no assets and are on Centrelink payments</w:t>
      </w:r>
      <w:r w:rsidR="00496483">
        <w:t xml:space="preserve">.  </w:t>
      </w:r>
      <w:r>
        <w:t>The initiative involved financial counsellors, legal aid offices and legal centres referring clients to the West Heidelberg Community Legal Service to negotiate with creditors for bulk waivers on the debts of these clients</w:t>
      </w:r>
      <w:r w:rsidR="00496483">
        <w:t xml:space="preserve">.  </w:t>
      </w:r>
    </w:p>
    <w:p w:rsidR="00C22FC3" w:rsidRDefault="00C22FC3" w:rsidP="001C6AA6">
      <w:r>
        <w:t>The National Bulk Debt Project allowed more than 400 clients to have $3.75 million worth of debt waived where the debt has been assessed as either being acquired through a lack of due diligence on the part of the lender/creditor or where an individual’s circumstances had changed since acquiring the debt such that the debt would never be able to be addressed without causing severe detriment to the individual</w:t>
      </w:r>
      <w:r w:rsidR="00496483">
        <w:t xml:space="preserve">.  </w:t>
      </w:r>
      <w:r>
        <w:t xml:space="preserve">Criteria for accessing this project were strict, including types of debt addressed, and the project made use of existing mechanisms including Section 60 of the </w:t>
      </w:r>
      <w:r w:rsidRPr="00DF4D93">
        <w:rPr>
          <w:i/>
        </w:rPr>
        <w:t>Social Security (Admin</w:t>
      </w:r>
      <w:r w:rsidR="00B222A8" w:rsidRPr="00DF4D93">
        <w:rPr>
          <w:i/>
        </w:rPr>
        <w:t>istration</w:t>
      </w:r>
      <w:r w:rsidRPr="00DF4D93">
        <w:rPr>
          <w:i/>
        </w:rPr>
        <w:t>) Act 1991</w:t>
      </w:r>
      <w:r>
        <w:t xml:space="preserve"> which provides some protections of Centrelink client income</w:t>
      </w:r>
      <w:r w:rsidR="00496483">
        <w:t xml:space="preserve">.  </w:t>
      </w:r>
    </w:p>
    <w:p w:rsidR="00C22FC3" w:rsidRDefault="00C22FC3" w:rsidP="001C6AA6">
      <w:r>
        <w:t>If such an approach were to be applied, consideration would need to be given to what this might look like on a larger scale including whether criteria should be limited to basic services such as energy, water, communication and medical products and services; and limited to recipients of long term Centrelink payment types.</w:t>
      </w:r>
    </w:p>
    <w:tbl>
      <w:tblPr>
        <w:tblW w:w="4885" w:type="pct"/>
        <w:tblInd w:w="108" w:type="dxa"/>
        <w:shd w:val="clear" w:color="auto" w:fill="E6E6E6"/>
        <w:tblLook w:val="01E0" w:firstRow="1" w:lastRow="1" w:firstColumn="1" w:lastColumn="1" w:noHBand="0" w:noVBand="0"/>
      </w:tblPr>
      <w:tblGrid>
        <w:gridCol w:w="9072"/>
      </w:tblGrid>
      <w:tr w:rsidR="001C6AA6" w:rsidTr="001C6AA6">
        <w:tc>
          <w:tcPr>
            <w:tcW w:w="5000" w:type="pct"/>
            <w:shd w:val="clear" w:color="auto" w:fill="E6E6E6"/>
          </w:tcPr>
          <w:p w:rsidR="001C6AA6" w:rsidRDefault="001C6AA6" w:rsidP="001C6AA6">
            <w:pPr>
              <w:pStyle w:val="BoxHeadingnonumber"/>
            </w:pPr>
            <w:r>
              <w:lastRenderedPageBreak/>
              <w:t>QUESTIONS</w:t>
            </w:r>
          </w:p>
          <w:p w:rsidR="001C6AA6" w:rsidRPr="00C22FC3" w:rsidRDefault="001C6AA6" w:rsidP="001C6AA6">
            <w:pPr>
              <w:pStyle w:val="OutlineNumbered1"/>
            </w:pPr>
            <w:r w:rsidRPr="00C22FC3">
              <w:t>W</w:t>
            </w:r>
            <w:r>
              <w:t xml:space="preserve">hat are the advantages and disadvantages of </w:t>
            </w:r>
            <w:r w:rsidRPr="00C22FC3">
              <w:t>debt consolidation loan</w:t>
            </w:r>
            <w:r>
              <w:t>s</w:t>
            </w:r>
            <w:r w:rsidRPr="00C22FC3">
              <w:t xml:space="preserve"> </w:t>
            </w:r>
            <w:r>
              <w:t xml:space="preserve">in relation to the objective of </w:t>
            </w:r>
            <w:r w:rsidRPr="00C22FC3">
              <w:t xml:space="preserve">decreasing the cycle of debt for vulnerable individuals?  </w:t>
            </w:r>
          </w:p>
          <w:p w:rsidR="001C6AA6" w:rsidRPr="00C22FC3" w:rsidRDefault="001C6AA6" w:rsidP="001C6AA6">
            <w:pPr>
              <w:pStyle w:val="OutlineNumbered1"/>
            </w:pPr>
            <w:r w:rsidRPr="00C22FC3">
              <w:t>Is a not</w:t>
            </w:r>
            <w:r w:rsidR="00496483">
              <w:noBreakHyphen/>
            </w:r>
            <w:r w:rsidRPr="00C22FC3">
              <w:t>for</w:t>
            </w:r>
            <w:r w:rsidR="00496483">
              <w:noBreakHyphen/>
            </w:r>
            <w:r w:rsidRPr="00C22FC3">
              <w:t>profit debt advice service which includes capacity to implement and administer debt management plans, similar to the one implemented in the United Kingdom, desirable in the Australian context?</w:t>
            </w:r>
          </w:p>
          <w:p w:rsidR="001C6AA6" w:rsidRPr="008950C5" w:rsidRDefault="001C6AA6" w:rsidP="001C6AA6">
            <w:pPr>
              <w:pStyle w:val="OutlineNumbered1"/>
            </w:pPr>
            <w:r w:rsidRPr="00C22FC3">
              <w:t xml:space="preserve">Is a national debt reduction project another potential mechanism for reducing demand for small amount loans?  If yes, what types of debts should be covered and what other eligibility criteria for client participation should be applied? </w:t>
            </w:r>
            <w:r>
              <w:t xml:space="preserve"> </w:t>
            </w:r>
            <w:r w:rsidRPr="00C22FC3">
              <w:t xml:space="preserve"> Should this be restricted to long term Centrelink customers?</w:t>
            </w:r>
          </w:p>
        </w:tc>
      </w:tr>
    </w:tbl>
    <w:p w:rsidR="001C6AA6" w:rsidRDefault="001C6AA6" w:rsidP="001C6AA6"/>
    <w:p w:rsidR="00C25E38" w:rsidRDefault="00C25E38" w:rsidP="00B56B94">
      <w:pPr>
        <w:pStyle w:val="Heading1"/>
        <w:rPr>
          <w:color w:val="auto"/>
        </w:rPr>
        <w:sectPr w:rsidR="00C25E38" w:rsidSect="00A96939">
          <w:type w:val="oddPage"/>
          <w:pgSz w:w="11906" w:h="16838"/>
          <w:pgMar w:top="1418" w:right="1418" w:bottom="1418" w:left="1418" w:header="709" w:footer="709" w:gutter="0"/>
          <w:cols w:space="708"/>
          <w:titlePg/>
          <w:docGrid w:linePitch="360"/>
        </w:sectPr>
      </w:pPr>
      <w:bookmarkStart w:id="54" w:name="_Toc293580221"/>
      <w:bookmarkEnd w:id="18"/>
    </w:p>
    <w:p w:rsidR="00CB6765" w:rsidRPr="009167FB" w:rsidRDefault="00DF4D93" w:rsidP="00B56B94">
      <w:pPr>
        <w:pStyle w:val="Heading1"/>
      </w:pPr>
      <w:bookmarkStart w:id="55" w:name="_Toc322008306"/>
      <w:r w:rsidRPr="009167FB">
        <w:lastRenderedPageBreak/>
        <w:t xml:space="preserve">Attachment </w:t>
      </w:r>
      <w:r>
        <w:t>A</w:t>
      </w:r>
      <w:bookmarkEnd w:id="55"/>
    </w:p>
    <w:p w:rsidR="00CB6765" w:rsidRPr="002C75A2" w:rsidRDefault="00A8768C" w:rsidP="00DF4D93">
      <w:pPr>
        <w:pStyle w:val="Heading2"/>
      </w:pPr>
      <w:bookmarkStart w:id="56" w:name="_Toc322008307"/>
      <w:r>
        <w:t xml:space="preserve">Existing </w:t>
      </w:r>
      <w:r w:rsidR="00DF4D93">
        <w:t>u</w:t>
      </w:r>
      <w:r w:rsidR="00CB6765" w:rsidRPr="002C75A2">
        <w:t xml:space="preserve">tility </w:t>
      </w:r>
      <w:r w:rsidR="00DF4D93">
        <w:t>f</w:t>
      </w:r>
      <w:r w:rsidR="00CB6765" w:rsidRPr="002C75A2">
        <w:t xml:space="preserve">inancial </w:t>
      </w:r>
      <w:r w:rsidR="00DF4D93">
        <w:t>a</w:t>
      </w:r>
      <w:r w:rsidR="00CB6765" w:rsidRPr="002C75A2">
        <w:t xml:space="preserve">ssistance </w:t>
      </w:r>
      <w:r w:rsidR="00DF4D93">
        <w:t>p</w:t>
      </w:r>
      <w:r w:rsidR="00CB6765" w:rsidRPr="002C75A2">
        <w:t>rograms</w:t>
      </w:r>
      <w:bookmarkEnd w:id="54"/>
      <w:r w:rsidR="00CB6765" w:rsidRPr="00C0364F">
        <w:rPr>
          <w:rStyle w:val="FootnoteReference"/>
          <w:b w:val="0"/>
          <w:sz w:val="24"/>
          <w:szCs w:val="24"/>
        </w:rPr>
        <w:footnoteReference w:id="33"/>
      </w:r>
      <w:bookmarkEnd w:id="56"/>
    </w:p>
    <w:p w:rsidR="00CB6765" w:rsidRPr="00272B5F" w:rsidRDefault="00CB6765" w:rsidP="006A6862">
      <w:r>
        <w:t>NB</w:t>
      </w:r>
      <w:r w:rsidR="00180B51">
        <w:t xml:space="preserve"> — </w:t>
      </w:r>
      <w:r w:rsidR="00DF4D93">
        <w:t>e</w:t>
      </w:r>
      <w:r>
        <w:t>xcept for WA and NT, all states will be moving to the national energy legislation from 1 July 2012 which sets out hardship program mechanisms which supplies must meet to gain approval from the Australian Energy Regulator (AER)</w:t>
      </w:r>
      <w:r w:rsidR="000848CE">
        <w:t>.</w:t>
      </w:r>
    </w:p>
    <w:tbl>
      <w:tblPr>
        <w:tblW w:w="0" w:type="auto"/>
        <w:tblInd w:w="122"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tblCellMar>
        <w:tblLook w:val="00A0" w:firstRow="1" w:lastRow="0" w:firstColumn="1" w:lastColumn="0" w:noHBand="0" w:noVBand="0"/>
      </w:tblPr>
      <w:tblGrid>
        <w:gridCol w:w="3105"/>
        <w:gridCol w:w="5953"/>
      </w:tblGrid>
      <w:tr w:rsidR="00CB6765" w:rsidRPr="00832563" w:rsidTr="00C0364F">
        <w:tc>
          <w:tcPr>
            <w:tcW w:w="3105" w:type="dxa"/>
            <w:shd w:val="clear" w:color="auto" w:fill="8DB3E2"/>
          </w:tcPr>
          <w:p w:rsidR="00CB6765" w:rsidRPr="00272B5F" w:rsidRDefault="00CB6765" w:rsidP="004B22A1">
            <w:pPr>
              <w:rPr>
                <w:b/>
                <w:color w:val="FFFFFF"/>
              </w:rPr>
            </w:pPr>
            <w:r w:rsidRPr="00272B5F">
              <w:rPr>
                <w:b/>
                <w:color w:val="FFFFFF"/>
              </w:rPr>
              <w:t>Jurisdiction</w:t>
            </w:r>
          </w:p>
        </w:tc>
        <w:tc>
          <w:tcPr>
            <w:tcW w:w="5953" w:type="dxa"/>
            <w:shd w:val="clear" w:color="auto" w:fill="8DB3E2"/>
          </w:tcPr>
          <w:p w:rsidR="00CB6765" w:rsidRPr="00272B5F" w:rsidRDefault="00CB6765" w:rsidP="004B22A1">
            <w:pPr>
              <w:rPr>
                <w:b/>
                <w:color w:val="FFFFFF"/>
              </w:rPr>
            </w:pPr>
            <w:r w:rsidRPr="00272B5F">
              <w:rPr>
                <w:b/>
                <w:color w:val="FFFFFF"/>
              </w:rPr>
              <w:t>Options</w:t>
            </w:r>
          </w:p>
        </w:tc>
      </w:tr>
      <w:tr w:rsidR="00CB6765" w:rsidRPr="00832563" w:rsidTr="00C0364F">
        <w:tc>
          <w:tcPr>
            <w:tcW w:w="3105" w:type="dxa"/>
          </w:tcPr>
          <w:p w:rsidR="00CB6765" w:rsidRPr="00272B5F" w:rsidRDefault="00CB6765" w:rsidP="004B22A1">
            <w:r w:rsidRPr="00272B5F">
              <w:t>Victoria</w:t>
            </w:r>
            <w:r w:rsidRPr="00272B5F">
              <w:rPr>
                <w:rStyle w:val="FootnoteReference"/>
              </w:rPr>
              <w:footnoteReference w:id="34"/>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Utility relief grant from the Victorian government (normally concession card holders but some flexibility around this)</w:t>
            </w:r>
            <w:r w:rsidR="00DF4D93">
              <w:t>.</w:t>
            </w:r>
          </w:p>
          <w:p w:rsidR="00CB6765" w:rsidRPr="00272B5F" w:rsidRDefault="00CB6765" w:rsidP="009F0DCD">
            <w:pPr>
              <w:pStyle w:val="Bullet"/>
            </w:pPr>
            <w:r w:rsidRPr="00272B5F">
              <w:t>Centrelink recipients may be entitled to concession rates and grants</w:t>
            </w:r>
            <w:r w:rsidR="00DF4D93">
              <w:t>.</w:t>
            </w:r>
          </w:p>
        </w:tc>
      </w:tr>
      <w:tr w:rsidR="00CB6765" w:rsidRPr="00832563" w:rsidTr="00C0364F">
        <w:tc>
          <w:tcPr>
            <w:tcW w:w="3105" w:type="dxa"/>
          </w:tcPr>
          <w:p w:rsidR="00CB6765" w:rsidRPr="00272B5F" w:rsidRDefault="00CB6765" w:rsidP="004B22A1">
            <w:r w:rsidRPr="00272B5F">
              <w:t>WA</w:t>
            </w:r>
            <w:r w:rsidRPr="00272B5F">
              <w:rPr>
                <w:rStyle w:val="FootnoteReference"/>
              </w:rPr>
              <w:footnoteReference w:id="35"/>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 xml:space="preserve">Energy Rebate: </w:t>
            </w:r>
            <w:r w:rsidR="00DF4D93">
              <w:t>T</w:t>
            </w:r>
            <w:r w:rsidRPr="00272B5F">
              <w:t xml:space="preserve">he Government provides a range of </w:t>
            </w:r>
            <w:hyperlink r:id="rId31" w:tgtFrame="_blank" w:history="1">
              <w:r w:rsidRPr="00272B5F">
                <w:rPr>
                  <w:rStyle w:val="Hyperlink"/>
                </w:rPr>
                <w:t>subsidies and rebates</w:t>
              </w:r>
            </w:hyperlink>
            <w:r w:rsidRPr="00272B5F">
              <w:t xml:space="preserve"> to assist with energy costs for a range of people including those at financial disadvantage</w:t>
            </w:r>
            <w:r w:rsidR="00496483">
              <w:t xml:space="preserve">.  </w:t>
            </w:r>
          </w:p>
          <w:p w:rsidR="00CB6765" w:rsidRPr="00272B5F" w:rsidRDefault="00CB6765" w:rsidP="00DF4D93">
            <w:pPr>
              <w:pStyle w:val="Bullet"/>
            </w:pPr>
            <w:r w:rsidRPr="00272B5F">
              <w:t>Hardship Utilities Grant Scheme: This scheme can provide a one</w:t>
            </w:r>
            <w:r w:rsidR="00496483">
              <w:noBreakHyphen/>
            </w:r>
            <w:r w:rsidRPr="00272B5F">
              <w:t>off grant of up to 85</w:t>
            </w:r>
            <w:r w:rsidR="006B1F6E">
              <w:t xml:space="preserve"> </w:t>
            </w:r>
            <w:r w:rsidR="00714DFB">
              <w:t>per cent</w:t>
            </w:r>
            <w:r w:rsidRPr="00272B5F">
              <w:t xml:space="preserve"> of the amount that a household owes to an energy or water retailer</w:t>
            </w:r>
            <w:r w:rsidR="00496483">
              <w:t xml:space="preserve">.  </w:t>
            </w:r>
            <w:r w:rsidRPr="00272B5F">
              <w:t>It also refers people to a financial counsellor for counselling</w:t>
            </w:r>
            <w:r w:rsidR="00496483">
              <w:t xml:space="preserve">.  </w:t>
            </w:r>
          </w:p>
        </w:tc>
      </w:tr>
      <w:tr w:rsidR="00CB6765" w:rsidRPr="00832563" w:rsidTr="00C0364F">
        <w:tc>
          <w:tcPr>
            <w:tcW w:w="3105" w:type="dxa"/>
          </w:tcPr>
          <w:p w:rsidR="00CB6765" w:rsidRPr="00272B5F" w:rsidRDefault="00CB6765" w:rsidP="004B22A1">
            <w:r w:rsidRPr="00272B5F">
              <w:t>ACT</w:t>
            </w:r>
            <w:r w:rsidRPr="00272B5F">
              <w:rPr>
                <w:rStyle w:val="FootnoteReference"/>
              </w:rPr>
              <w:footnoteReference w:id="36"/>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ACT Civil and Administrative Tribunal is empowered to order continued supply despite failed payment, to set up payment schedules and to discharge part or all of overdue account</w:t>
            </w:r>
            <w:r w:rsidR="00496483">
              <w:t xml:space="preserve">.  </w:t>
            </w:r>
          </w:p>
        </w:tc>
      </w:tr>
    </w:tbl>
    <w:p w:rsidR="00DF4D93" w:rsidRDefault="00DF4D93">
      <w:r>
        <w:br w:type="page"/>
      </w:r>
    </w:p>
    <w:tbl>
      <w:tblPr>
        <w:tblW w:w="0" w:type="auto"/>
        <w:tblInd w:w="122"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tblCellMar>
        <w:tblLook w:val="00A0" w:firstRow="1" w:lastRow="0" w:firstColumn="1" w:lastColumn="0" w:noHBand="0" w:noVBand="0"/>
      </w:tblPr>
      <w:tblGrid>
        <w:gridCol w:w="3105"/>
        <w:gridCol w:w="5953"/>
      </w:tblGrid>
      <w:tr w:rsidR="00DF4D93" w:rsidRPr="00832563" w:rsidTr="00C0364F">
        <w:tc>
          <w:tcPr>
            <w:tcW w:w="3105" w:type="dxa"/>
            <w:shd w:val="clear" w:color="auto" w:fill="8DB3E2"/>
          </w:tcPr>
          <w:p w:rsidR="00DF4D93" w:rsidRPr="00272B5F" w:rsidRDefault="00DF4D93" w:rsidP="00DF4D93">
            <w:pPr>
              <w:rPr>
                <w:b/>
                <w:color w:val="FFFFFF"/>
              </w:rPr>
            </w:pPr>
            <w:r w:rsidRPr="00272B5F">
              <w:rPr>
                <w:b/>
                <w:color w:val="FFFFFF"/>
              </w:rPr>
              <w:t>Jurisdiction</w:t>
            </w:r>
          </w:p>
        </w:tc>
        <w:tc>
          <w:tcPr>
            <w:tcW w:w="5953" w:type="dxa"/>
            <w:shd w:val="clear" w:color="auto" w:fill="8DB3E2"/>
          </w:tcPr>
          <w:p w:rsidR="00DF4D93" w:rsidRPr="00272B5F" w:rsidRDefault="00DF4D93" w:rsidP="00DF4D93">
            <w:pPr>
              <w:rPr>
                <w:b/>
                <w:color w:val="FFFFFF"/>
              </w:rPr>
            </w:pPr>
            <w:r w:rsidRPr="00272B5F">
              <w:rPr>
                <w:b/>
                <w:color w:val="FFFFFF"/>
              </w:rPr>
              <w:t>Options</w:t>
            </w:r>
          </w:p>
        </w:tc>
      </w:tr>
      <w:tr w:rsidR="00CB6765" w:rsidRPr="00832563" w:rsidTr="00C0364F">
        <w:tc>
          <w:tcPr>
            <w:tcW w:w="3105" w:type="dxa"/>
          </w:tcPr>
          <w:p w:rsidR="00CB6765" w:rsidRPr="00272B5F" w:rsidRDefault="00CB6765" w:rsidP="004B22A1">
            <w:r w:rsidRPr="00272B5F">
              <w:t>NSW</w:t>
            </w:r>
            <w:r w:rsidRPr="00272B5F">
              <w:rPr>
                <w:rStyle w:val="FootnoteReference"/>
              </w:rPr>
              <w:footnoteReference w:id="37"/>
            </w:r>
          </w:p>
        </w:tc>
        <w:tc>
          <w:tcPr>
            <w:tcW w:w="5953" w:type="dxa"/>
          </w:tcPr>
          <w:p w:rsidR="00CB6765" w:rsidRPr="00272B5F" w:rsidRDefault="00CB6765" w:rsidP="009F0DCD">
            <w:pPr>
              <w:pStyle w:val="Bullet"/>
            </w:pPr>
            <w:r w:rsidRPr="00272B5F">
              <w:t>Retailers are required to make two offers of a payment plan to a residential customer experiencing financial difficulties before the retailer can move to disconnect the customer.</w:t>
            </w:r>
          </w:p>
          <w:p w:rsidR="00CB6765" w:rsidRPr="00272B5F" w:rsidRDefault="00CB6765" w:rsidP="009F0DCD">
            <w:pPr>
              <w:pStyle w:val="Bullet"/>
            </w:pPr>
            <w:r w:rsidRPr="00272B5F">
              <w:t>A number of rebate programs and energy account vouchers are available.</w:t>
            </w:r>
          </w:p>
          <w:p w:rsidR="00CB6765" w:rsidRPr="00272B5F" w:rsidRDefault="00CB6765" w:rsidP="009F0DCD">
            <w:pPr>
              <w:pStyle w:val="Bullet"/>
            </w:pPr>
            <w:r w:rsidRPr="00272B5F">
              <w:t>Free financial counselling services offered</w:t>
            </w:r>
            <w:r w:rsidR="00496483">
              <w:t xml:space="preserve">.  </w:t>
            </w:r>
          </w:p>
        </w:tc>
      </w:tr>
      <w:tr w:rsidR="00CB6765" w:rsidRPr="00832563" w:rsidTr="00C0364F">
        <w:tc>
          <w:tcPr>
            <w:tcW w:w="3105" w:type="dxa"/>
          </w:tcPr>
          <w:p w:rsidR="00CB6765" w:rsidRPr="00272B5F" w:rsidRDefault="00CB6765" w:rsidP="004B22A1">
            <w:r w:rsidRPr="00272B5F">
              <w:t>Tasmania</w:t>
            </w:r>
            <w:r w:rsidRPr="00272B5F">
              <w:rPr>
                <w:rStyle w:val="FootnoteReference"/>
              </w:rPr>
              <w:footnoteReference w:id="38"/>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Rebates available to consumers with concession cards</w:t>
            </w:r>
            <w:r w:rsidR="00DF4D93">
              <w:t>.</w:t>
            </w:r>
          </w:p>
          <w:p w:rsidR="00CB6765" w:rsidRPr="00272B5F" w:rsidRDefault="00CB6765" w:rsidP="009F0DCD">
            <w:pPr>
              <w:pStyle w:val="Bullet"/>
            </w:pPr>
            <w:r w:rsidRPr="00272B5F">
              <w:t>Additional concession payment available in form of credit to account</w:t>
            </w:r>
            <w:r w:rsidR="00DF4D93">
              <w:t>.</w:t>
            </w:r>
          </w:p>
        </w:tc>
      </w:tr>
      <w:tr w:rsidR="00CB6765" w:rsidRPr="00832563" w:rsidTr="00C0364F">
        <w:tc>
          <w:tcPr>
            <w:tcW w:w="3105" w:type="dxa"/>
          </w:tcPr>
          <w:p w:rsidR="00CB6765" w:rsidRPr="00E26885" w:rsidRDefault="00CB6765" w:rsidP="00C65F5E">
            <w:r w:rsidRPr="00E26885">
              <w:t>Northern Territory</w:t>
            </w:r>
          </w:p>
          <w:p w:rsidR="00CB6765" w:rsidRPr="00E26885" w:rsidRDefault="00CB6765" w:rsidP="00B66B10"/>
        </w:tc>
        <w:tc>
          <w:tcPr>
            <w:tcW w:w="5953" w:type="dxa"/>
          </w:tcPr>
          <w:p w:rsidR="00CB6765" w:rsidRPr="00E26885" w:rsidRDefault="00CB6765" w:rsidP="009F0DCD">
            <w:pPr>
              <w:pStyle w:val="Bullet"/>
            </w:pPr>
            <w:r w:rsidRPr="00E26885">
              <w:t>No current legislative requirements for dealing with financial hardship</w:t>
            </w:r>
            <w:r w:rsidR="00496483">
              <w:t xml:space="preserve">.  </w:t>
            </w:r>
          </w:p>
          <w:p w:rsidR="00CB6765" w:rsidRPr="00E26885" w:rsidRDefault="00CB6765" w:rsidP="009F0DCD">
            <w:pPr>
              <w:pStyle w:val="Bullet"/>
            </w:pPr>
            <w:r w:rsidRPr="00E26885">
              <w:t xml:space="preserve">Major provider to retail </w:t>
            </w:r>
            <w:r w:rsidRPr="009F0DCD">
              <w:t>consumers</w:t>
            </w:r>
            <w:r w:rsidRPr="00E26885">
              <w:t xml:space="preserve"> has voluntarily established a hardship program under its corporate responsibility obligations based on individual circumstances, which include payment plans and referrals to counselling services.</w:t>
            </w:r>
          </w:p>
        </w:tc>
      </w:tr>
      <w:tr w:rsidR="00CB6765" w:rsidRPr="00832563" w:rsidTr="00C0364F">
        <w:tc>
          <w:tcPr>
            <w:tcW w:w="3105" w:type="dxa"/>
          </w:tcPr>
          <w:p w:rsidR="00CB6765" w:rsidRPr="00272B5F" w:rsidRDefault="00CB6765" w:rsidP="004B22A1">
            <w:r w:rsidRPr="00272B5F">
              <w:t>QLD</w:t>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Electricity and gas rebate available.</w:t>
            </w:r>
          </w:p>
          <w:p w:rsidR="00CB6765" w:rsidRPr="00272B5F" w:rsidRDefault="00CB6765" w:rsidP="009F0DCD">
            <w:pPr>
              <w:pStyle w:val="Bullet"/>
            </w:pPr>
            <w:r w:rsidRPr="00272B5F">
              <w:t>Free financial counselling services offered.</w:t>
            </w:r>
          </w:p>
        </w:tc>
      </w:tr>
      <w:tr w:rsidR="00CB6765" w:rsidRPr="00832563" w:rsidTr="00C0364F">
        <w:tc>
          <w:tcPr>
            <w:tcW w:w="3105" w:type="dxa"/>
          </w:tcPr>
          <w:p w:rsidR="00CB6765" w:rsidRPr="00272B5F" w:rsidRDefault="00CB6765" w:rsidP="004B22A1">
            <w:r w:rsidRPr="00272B5F">
              <w:t>South Australia</w:t>
            </w:r>
            <w:r w:rsidRPr="00272B5F">
              <w:rPr>
                <w:rStyle w:val="FootnoteReference"/>
              </w:rPr>
              <w:footnoteReference w:id="39"/>
            </w:r>
          </w:p>
        </w:tc>
        <w:tc>
          <w:tcPr>
            <w:tcW w:w="5953" w:type="dxa"/>
          </w:tcPr>
          <w:p w:rsidR="00CB6765" w:rsidRPr="00272B5F" w:rsidRDefault="00CB6765" w:rsidP="009F0DCD">
            <w:pPr>
              <w:pStyle w:val="Bullet"/>
            </w:pPr>
            <w:r w:rsidRPr="00272B5F">
              <w:t>Payment plans if consumer is in financial hardship</w:t>
            </w:r>
            <w:r w:rsidR="00496483">
              <w:t xml:space="preserve">.  </w:t>
            </w:r>
          </w:p>
          <w:p w:rsidR="00CB6765" w:rsidRPr="00272B5F" w:rsidRDefault="00CB6765" w:rsidP="009F0DCD">
            <w:pPr>
              <w:pStyle w:val="Bullet"/>
            </w:pPr>
            <w:r w:rsidRPr="00272B5F">
              <w:t>Energy concession available</w:t>
            </w:r>
            <w:r w:rsidR="009008A6">
              <w:t>.</w:t>
            </w:r>
          </w:p>
        </w:tc>
      </w:tr>
    </w:tbl>
    <w:p w:rsidR="00CB6765" w:rsidRDefault="00CB6765" w:rsidP="0055171F">
      <w:pPr>
        <w:rPr>
          <w:b/>
          <w:bCs/>
          <w:i/>
          <w:iCs/>
        </w:rPr>
      </w:pPr>
    </w:p>
    <w:p w:rsidR="009167FB" w:rsidRPr="00B84FFB" w:rsidRDefault="00CB6765" w:rsidP="00F332D1">
      <w:pPr>
        <w:pStyle w:val="Heading1"/>
      </w:pPr>
      <w:r>
        <w:rPr>
          <w:i/>
        </w:rPr>
        <w:br w:type="page"/>
      </w:r>
      <w:bookmarkStart w:id="57" w:name="_Toc322008308"/>
      <w:r w:rsidR="00B84FFB" w:rsidRPr="00B84FFB">
        <w:lastRenderedPageBreak/>
        <w:t>ATTACHMENT B</w:t>
      </w:r>
      <w:bookmarkEnd w:id="57"/>
    </w:p>
    <w:p w:rsidR="0088482B" w:rsidRDefault="00C15DE4" w:rsidP="00F4298D">
      <w:pPr>
        <w:pStyle w:val="Heading2"/>
      </w:pPr>
      <w:bookmarkStart w:id="58" w:name="_Toc322008309"/>
      <w:r>
        <w:t>Glossary Of Terms</w:t>
      </w:r>
      <w:bookmarkEnd w:id="58"/>
    </w:p>
    <w:tbl>
      <w:tblPr>
        <w:tblW w:w="0" w:type="auto"/>
        <w:tblInd w:w="534"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CellMar>
          <w:top w:w="28" w:type="dxa"/>
        </w:tblCellMar>
        <w:tblLook w:val="00A0" w:firstRow="1" w:lastRow="0" w:firstColumn="1" w:lastColumn="0" w:noHBand="0" w:noVBand="0"/>
      </w:tblPr>
      <w:tblGrid>
        <w:gridCol w:w="2126"/>
        <w:gridCol w:w="6520"/>
      </w:tblGrid>
      <w:tr w:rsidR="0088482B" w:rsidRPr="00832563" w:rsidTr="00C0364F">
        <w:tc>
          <w:tcPr>
            <w:tcW w:w="2126" w:type="dxa"/>
            <w:shd w:val="clear" w:color="auto" w:fill="8DB3E2"/>
          </w:tcPr>
          <w:p w:rsidR="0088482B" w:rsidRPr="00832563" w:rsidRDefault="0088482B" w:rsidP="00C25342">
            <w:pPr>
              <w:jc w:val="center"/>
              <w:rPr>
                <w:rFonts w:ascii="Times New Roman" w:hAnsi="Times New Roman"/>
                <w:b/>
                <w:color w:val="FFFFFF"/>
                <w:sz w:val="20"/>
              </w:rPr>
            </w:pPr>
            <w:r w:rsidRPr="00832563">
              <w:rPr>
                <w:rFonts w:ascii="Times New Roman" w:hAnsi="Times New Roman"/>
                <w:b/>
                <w:color w:val="FFFFFF"/>
                <w:sz w:val="20"/>
              </w:rPr>
              <w:t>Term</w:t>
            </w:r>
          </w:p>
        </w:tc>
        <w:tc>
          <w:tcPr>
            <w:tcW w:w="6520" w:type="dxa"/>
            <w:shd w:val="clear" w:color="auto" w:fill="8DB3E2"/>
          </w:tcPr>
          <w:p w:rsidR="0088482B" w:rsidRPr="00832563" w:rsidRDefault="0088482B" w:rsidP="00C25342">
            <w:pPr>
              <w:jc w:val="center"/>
              <w:rPr>
                <w:rFonts w:ascii="Times New Roman" w:hAnsi="Times New Roman"/>
                <w:b/>
                <w:color w:val="FFFFFF"/>
                <w:sz w:val="20"/>
              </w:rPr>
            </w:pPr>
            <w:r w:rsidRPr="00832563">
              <w:rPr>
                <w:rFonts w:ascii="Times New Roman" w:hAnsi="Times New Roman"/>
                <w:b/>
                <w:color w:val="FFFFFF"/>
                <w:sz w:val="20"/>
              </w:rPr>
              <w:t>Definition</w:t>
            </w:r>
          </w:p>
        </w:tc>
      </w:tr>
      <w:tr w:rsidR="0088482B" w:rsidRPr="00832563" w:rsidTr="00C0364F">
        <w:tc>
          <w:tcPr>
            <w:tcW w:w="2126" w:type="dxa"/>
            <w:shd w:val="clear" w:color="auto" w:fill="FFFFFF"/>
          </w:tcPr>
          <w:p w:rsidR="0088482B" w:rsidRPr="00832563" w:rsidRDefault="0088482B" w:rsidP="009F0DCD">
            <w:r w:rsidRPr="00832563">
              <w:t>AER</w:t>
            </w:r>
          </w:p>
        </w:tc>
        <w:tc>
          <w:tcPr>
            <w:tcW w:w="6520" w:type="dxa"/>
            <w:shd w:val="clear" w:color="auto" w:fill="FFFFFF"/>
          </w:tcPr>
          <w:p w:rsidR="0088482B" w:rsidRPr="00832563" w:rsidRDefault="0088482B" w:rsidP="009F0DCD">
            <w:r w:rsidRPr="00832563">
              <w:t>Australian Energy Regulator</w:t>
            </w:r>
          </w:p>
        </w:tc>
      </w:tr>
      <w:tr w:rsidR="0088482B" w:rsidRPr="00832563" w:rsidTr="00C0364F">
        <w:tc>
          <w:tcPr>
            <w:tcW w:w="2126" w:type="dxa"/>
            <w:shd w:val="clear" w:color="auto" w:fill="FFFFFF"/>
          </w:tcPr>
          <w:p w:rsidR="0088482B" w:rsidRPr="00832563" w:rsidRDefault="0088482B" w:rsidP="009F0DCD">
            <w:r w:rsidRPr="00832563">
              <w:t>ASIC</w:t>
            </w:r>
          </w:p>
        </w:tc>
        <w:tc>
          <w:tcPr>
            <w:tcW w:w="6520" w:type="dxa"/>
            <w:shd w:val="clear" w:color="auto" w:fill="FFFFFF"/>
          </w:tcPr>
          <w:p w:rsidR="0088482B" w:rsidRPr="00832563" w:rsidRDefault="0088482B" w:rsidP="009F0DCD">
            <w:r w:rsidRPr="00832563">
              <w:t>Australian Securities and Investments Commission</w:t>
            </w:r>
          </w:p>
        </w:tc>
      </w:tr>
      <w:tr w:rsidR="0088482B" w:rsidRPr="00832563" w:rsidTr="00C0364F">
        <w:tc>
          <w:tcPr>
            <w:tcW w:w="2126" w:type="dxa"/>
            <w:shd w:val="clear" w:color="auto" w:fill="FFFFFF"/>
          </w:tcPr>
          <w:p w:rsidR="0088482B" w:rsidRPr="00832563" w:rsidRDefault="0088482B" w:rsidP="009F0DCD">
            <w:r w:rsidRPr="00832563">
              <w:t>CALC</w:t>
            </w:r>
          </w:p>
        </w:tc>
        <w:tc>
          <w:tcPr>
            <w:tcW w:w="6520" w:type="dxa"/>
            <w:shd w:val="clear" w:color="auto" w:fill="FFFFFF"/>
          </w:tcPr>
          <w:p w:rsidR="0088482B" w:rsidRPr="00832563" w:rsidRDefault="0088482B" w:rsidP="00D87850">
            <w:r w:rsidRPr="00832563">
              <w:t>Consumer A</w:t>
            </w:r>
            <w:r w:rsidR="00D87850">
              <w:t>ction</w:t>
            </w:r>
            <w:r w:rsidRPr="00832563">
              <w:t xml:space="preserve"> Law Centre</w:t>
            </w:r>
          </w:p>
        </w:tc>
      </w:tr>
      <w:tr w:rsidR="0088482B" w:rsidRPr="00832563" w:rsidTr="00C0364F">
        <w:tc>
          <w:tcPr>
            <w:tcW w:w="2126" w:type="dxa"/>
            <w:shd w:val="clear" w:color="auto" w:fill="FFFFFF"/>
          </w:tcPr>
          <w:p w:rsidR="0088482B" w:rsidRPr="00832563" w:rsidRDefault="0088482B" w:rsidP="009F0DCD">
            <w:r w:rsidRPr="00832563">
              <w:t>CDFI</w:t>
            </w:r>
          </w:p>
        </w:tc>
        <w:tc>
          <w:tcPr>
            <w:tcW w:w="6520" w:type="dxa"/>
            <w:shd w:val="clear" w:color="auto" w:fill="FFFFFF"/>
          </w:tcPr>
          <w:p w:rsidR="0088482B" w:rsidRPr="00832563" w:rsidRDefault="0088482B" w:rsidP="009F0DCD">
            <w:r w:rsidRPr="00832563">
              <w:t>Community Development Financial Institution</w:t>
            </w:r>
          </w:p>
        </w:tc>
      </w:tr>
      <w:tr w:rsidR="0088482B" w:rsidRPr="00832563" w:rsidTr="00C0364F">
        <w:tc>
          <w:tcPr>
            <w:tcW w:w="2126" w:type="dxa"/>
            <w:shd w:val="clear" w:color="auto" w:fill="FFFFFF"/>
          </w:tcPr>
          <w:p w:rsidR="0088482B" w:rsidRPr="00832563" w:rsidRDefault="0088482B" w:rsidP="009F0DCD">
            <w:r>
              <w:t>CRA</w:t>
            </w:r>
          </w:p>
        </w:tc>
        <w:tc>
          <w:tcPr>
            <w:tcW w:w="6520" w:type="dxa"/>
            <w:shd w:val="clear" w:color="auto" w:fill="FFFFFF"/>
          </w:tcPr>
          <w:p w:rsidR="0088482B" w:rsidRPr="00832563" w:rsidRDefault="0088482B" w:rsidP="009F0DCD">
            <w:r>
              <w:t>(US) Community Reinvestment Act</w:t>
            </w:r>
          </w:p>
        </w:tc>
      </w:tr>
      <w:tr w:rsidR="0088482B" w:rsidRPr="00832563" w:rsidTr="00C0364F">
        <w:tc>
          <w:tcPr>
            <w:tcW w:w="2126" w:type="dxa"/>
            <w:shd w:val="clear" w:color="auto" w:fill="FFFFFF"/>
          </w:tcPr>
          <w:p w:rsidR="0088482B" w:rsidRPr="00832563" w:rsidRDefault="0088482B" w:rsidP="009F0DCD">
            <w:r w:rsidRPr="00832563">
              <w:t>Credit Act</w:t>
            </w:r>
          </w:p>
        </w:tc>
        <w:tc>
          <w:tcPr>
            <w:tcW w:w="6520" w:type="dxa"/>
            <w:shd w:val="clear" w:color="auto" w:fill="FFFFFF"/>
          </w:tcPr>
          <w:p w:rsidR="0088482B" w:rsidRPr="00832563" w:rsidRDefault="0088482B" w:rsidP="009F0DCD">
            <w:pPr>
              <w:rPr>
                <w:i/>
              </w:rPr>
            </w:pPr>
            <w:r w:rsidRPr="00832563">
              <w:rPr>
                <w:i/>
              </w:rPr>
              <w:t>National Consumer Credit Protection Act 2009</w:t>
            </w:r>
          </w:p>
        </w:tc>
      </w:tr>
      <w:tr w:rsidR="0088482B" w:rsidRPr="00832563" w:rsidTr="00C0364F">
        <w:tc>
          <w:tcPr>
            <w:tcW w:w="2126" w:type="dxa"/>
            <w:shd w:val="clear" w:color="auto" w:fill="FFFFFF"/>
          </w:tcPr>
          <w:p w:rsidR="0088482B" w:rsidRPr="00832563" w:rsidRDefault="0088482B" w:rsidP="009F0DCD">
            <w:r w:rsidRPr="00832563">
              <w:t>CSR</w:t>
            </w:r>
          </w:p>
        </w:tc>
        <w:tc>
          <w:tcPr>
            <w:tcW w:w="6520" w:type="dxa"/>
            <w:shd w:val="clear" w:color="auto" w:fill="FFFFFF"/>
          </w:tcPr>
          <w:p w:rsidR="0088482B" w:rsidRPr="00832563" w:rsidRDefault="0088482B" w:rsidP="009F0DCD">
            <w:r w:rsidRPr="00832563">
              <w:t>Corporate social responsibility</w:t>
            </w:r>
          </w:p>
        </w:tc>
      </w:tr>
      <w:tr w:rsidR="006B1F6E" w:rsidRPr="00832563" w:rsidTr="00C0364F">
        <w:tc>
          <w:tcPr>
            <w:tcW w:w="2126" w:type="dxa"/>
            <w:shd w:val="clear" w:color="auto" w:fill="FFFFFF"/>
          </w:tcPr>
          <w:p w:rsidR="006B1F6E" w:rsidRPr="00832563" w:rsidRDefault="006B1F6E" w:rsidP="009F0DCD">
            <w:r>
              <w:t>DHS</w:t>
            </w:r>
          </w:p>
        </w:tc>
        <w:tc>
          <w:tcPr>
            <w:tcW w:w="6520" w:type="dxa"/>
            <w:shd w:val="clear" w:color="auto" w:fill="FFFFFF"/>
          </w:tcPr>
          <w:p w:rsidR="006B1F6E" w:rsidRPr="00832563" w:rsidRDefault="006B1F6E" w:rsidP="009F0DCD">
            <w:r>
              <w:t>Department of Human Services</w:t>
            </w:r>
          </w:p>
        </w:tc>
      </w:tr>
      <w:tr w:rsidR="0088482B" w:rsidRPr="00832563" w:rsidTr="00C0364F">
        <w:tc>
          <w:tcPr>
            <w:tcW w:w="2126" w:type="dxa"/>
            <w:shd w:val="clear" w:color="auto" w:fill="FFFFFF"/>
          </w:tcPr>
          <w:p w:rsidR="0088482B" w:rsidRPr="00832563" w:rsidRDefault="0088482B" w:rsidP="009F0DCD">
            <w:r w:rsidRPr="00832563">
              <w:t>EDR scheme</w:t>
            </w:r>
          </w:p>
        </w:tc>
        <w:tc>
          <w:tcPr>
            <w:tcW w:w="6520" w:type="dxa"/>
            <w:shd w:val="clear" w:color="auto" w:fill="FFFFFF"/>
          </w:tcPr>
          <w:p w:rsidR="0088482B" w:rsidRPr="00832563" w:rsidRDefault="0088482B" w:rsidP="009F0DCD">
            <w:r w:rsidRPr="00832563">
              <w:t>External dispute resolution scheme</w:t>
            </w:r>
          </w:p>
        </w:tc>
      </w:tr>
      <w:tr w:rsidR="0088482B" w:rsidRPr="00832563" w:rsidTr="00C0364F">
        <w:tc>
          <w:tcPr>
            <w:tcW w:w="2126" w:type="dxa"/>
            <w:shd w:val="clear" w:color="auto" w:fill="FFFFFF"/>
          </w:tcPr>
          <w:p w:rsidR="0088482B" w:rsidRPr="00832563" w:rsidRDefault="0088482B" w:rsidP="009F0DCD">
            <w:r w:rsidRPr="00832563">
              <w:t>Enhancements Bill</w:t>
            </w:r>
          </w:p>
        </w:tc>
        <w:tc>
          <w:tcPr>
            <w:tcW w:w="6520" w:type="dxa"/>
            <w:shd w:val="clear" w:color="auto" w:fill="FFFFFF"/>
          </w:tcPr>
          <w:p w:rsidR="0088482B" w:rsidRPr="00832563" w:rsidRDefault="0088482B" w:rsidP="009F0DCD">
            <w:pPr>
              <w:rPr>
                <w:i/>
              </w:rPr>
            </w:pPr>
            <w:r w:rsidRPr="00832563">
              <w:t>Consumer Credit and Corporations Legislation Amendment (Enhancements) Bill 2011</w:t>
            </w:r>
          </w:p>
        </w:tc>
      </w:tr>
      <w:tr w:rsidR="0088482B" w:rsidRPr="00832563" w:rsidTr="00C0364F">
        <w:tc>
          <w:tcPr>
            <w:tcW w:w="2126" w:type="dxa"/>
            <w:shd w:val="clear" w:color="auto" w:fill="FFFFFF"/>
          </w:tcPr>
          <w:p w:rsidR="0088482B" w:rsidRPr="00832563" w:rsidRDefault="005760F3" w:rsidP="009F0DCD">
            <w:r>
              <w:t>Fa</w:t>
            </w:r>
            <w:r w:rsidR="0088482B" w:rsidRPr="00832563">
              <w:t>HCSIA</w:t>
            </w:r>
          </w:p>
        </w:tc>
        <w:tc>
          <w:tcPr>
            <w:tcW w:w="6520" w:type="dxa"/>
            <w:shd w:val="clear" w:color="auto" w:fill="FFFFFF"/>
          </w:tcPr>
          <w:p w:rsidR="0088482B" w:rsidRPr="00832563" w:rsidRDefault="0088482B" w:rsidP="009F0DCD">
            <w:r w:rsidRPr="00832563">
              <w:t>Department of Families, Housing, Community Services and Indigenous Affairs</w:t>
            </w:r>
          </w:p>
        </w:tc>
      </w:tr>
      <w:tr w:rsidR="0088482B" w:rsidRPr="00832563" w:rsidTr="00C0364F">
        <w:tc>
          <w:tcPr>
            <w:tcW w:w="2126" w:type="dxa"/>
            <w:shd w:val="clear" w:color="auto" w:fill="FFFFFF"/>
          </w:tcPr>
          <w:p w:rsidR="0088482B" w:rsidRPr="00832563" w:rsidRDefault="0088482B" w:rsidP="009F0DCD">
            <w:r>
              <w:t>FTB</w:t>
            </w:r>
          </w:p>
        </w:tc>
        <w:tc>
          <w:tcPr>
            <w:tcW w:w="6520" w:type="dxa"/>
            <w:shd w:val="clear" w:color="auto" w:fill="FFFFFF"/>
          </w:tcPr>
          <w:p w:rsidR="0088482B" w:rsidRPr="00832563" w:rsidRDefault="0088482B" w:rsidP="009F0DCD">
            <w:r>
              <w:t>Family Tax Benefit</w:t>
            </w:r>
          </w:p>
        </w:tc>
      </w:tr>
      <w:tr w:rsidR="0088482B" w:rsidRPr="00832563" w:rsidTr="00C0364F">
        <w:tc>
          <w:tcPr>
            <w:tcW w:w="2126" w:type="dxa"/>
            <w:shd w:val="clear" w:color="auto" w:fill="FFFFFF"/>
          </w:tcPr>
          <w:p w:rsidR="0088482B" w:rsidRPr="00832563" w:rsidRDefault="0088482B" w:rsidP="009F0DCD">
            <w:r>
              <w:t>FMP</w:t>
            </w:r>
          </w:p>
        </w:tc>
        <w:tc>
          <w:tcPr>
            <w:tcW w:w="6520" w:type="dxa"/>
            <w:shd w:val="clear" w:color="auto" w:fill="FFFFFF"/>
          </w:tcPr>
          <w:p w:rsidR="0088482B" w:rsidRPr="00832563" w:rsidRDefault="0088482B" w:rsidP="009F0DCD">
            <w:r>
              <w:t>Financial Management Program</w:t>
            </w:r>
          </w:p>
        </w:tc>
      </w:tr>
      <w:tr w:rsidR="0088482B" w:rsidRPr="00832563" w:rsidTr="00C0364F">
        <w:tc>
          <w:tcPr>
            <w:tcW w:w="2126" w:type="dxa"/>
            <w:shd w:val="clear" w:color="auto" w:fill="FFFFFF"/>
          </w:tcPr>
          <w:p w:rsidR="0088482B" w:rsidRPr="00832563" w:rsidRDefault="0088482B" w:rsidP="009F0DCD">
            <w:r w:rsidRPr="00832563">
              <w:t>GRI</w:t>
            </w:r>
          </w:p>
        </w:tc>
        <w:tc>
          <w:tcPr>
            <w:tcW w:w="6520" w:type="dxa"/>
            <w:shd w:val="clear" w:color="auto" w:fill="FFFFFF"/>
          </w:tcPr>
          <w:p w:rsidR="0088482B" w:rsidRPr="00832563" w:rsidRDefault="0088482B" w:rsidP="009F0DCD">
            <w:r w:rsidRPr="00832563">
              <w:t>Global Reporting Initiative</w:t>
            </w:r>
          </w:p>
        </w:tc>
      </w:tr>
      <w:tr w:rsidR="0088482B" w:rsidRPr="00832563" w:rsidTr="00C0364F">
        <w:tc>
          <w:tcPr>
            <w:tcW w:w="2126" w:type="dxa"/>
            <w:shd w:val="clear" w:color="auto" w:fill="FFFFFF"/>
          </w:tcPr>
          <w:p w:rsidR="0088482B" w:rsidRPr="00832563" w:rsidRDefault="0088482B" w:rsidP="009F0DCD">
            <w:r>
              <w:t>HESS</w:t>
            </w:r>
          </w:p>
        </w:tc>
        <w:tc>
          <w:tcPr>
            <w:tcW w:w="6520" w:type="dxa"/>
            <w:shd w:val="clear" w:color="auto" w:fill="FFFFFF"/>
          </w:tcPr>
          <w:p w:rsidR="0088482B" w:rsidRPr="00832563" w:rsidRDefault="0088482B" w:rsidP="009F0DCD">
            <w:r>
              <w:t>Home Energy Saver Scheme</w:t>
            </w:r>
          </w:p>
        </w:tc>
      </w:tr>
      <w:tr w:rsidR="0088482B" w:rsidRPr="00832563" w:rsidTr="00C0364F">
        <w:tc>
          <w:tcPr>
            <w:tcW w:w="2126" w:type="dxa"/>
            <w:shd w:val="clear" w:color="auto" w:fill="FFFFFF"/>
          </w:tcPr>
          <w:p w:rsidR="0088482B" w:rsidRDefault="0088482B" w:rsidP="009F0DCD">
            <w:r>
              <w:t>LIEEP</w:t>
            </w:r>
          </w:p>
        </w:tc>
        <w:tc>
          <w:tcPr>
            <w:tcW w:w="6520" w:type="dxa"/>
            <w:shd w:val="clear" w:color="auto" w:fill="FFFFFF"/>
          </w:tcPr>
          <w:p w:rsidR="0088482B" w:rsidRDefault="0088482B" w:rsidP="009F0DCD">
            <w:r>
              <w:t>Low Income Energy Efficiency Program</w:t>
            </w:r>
          </w:p>
        </w:tc>
      </w:tr>
      <w:tr w:rsidR="0088482B" w:rsidRPr="00832563" w:rsidTr="00C0364F">
        <w:tc>
          <w:tcPr>
            <w:tcW w:w="2126" w:type="dxa"/>
            <w:shd w:val="clear" w:color="auto" w:fill="FFFFFF"/>
          </w:tcPr>
          <w:p w:rsidR="0088482B" w:rsidRPr="00832563" w:rsidRDefault="0088482B" w:rsidP="009F0DCD">
            <w:r w:rsidRPr="00832563">
              <w:t>LILS</w:t>
            </w:r>
          </w:p>
        </w:tc>
        <w:tc>
          <w:tcPr>
            <w:tcW w:w="6520" w:type="dxa"/>
            <w:shd w:val="clear" w:color="auto" w:fill="FFFFFF"/>
          </w:tcPr>
          <w:p w:rsidR="0088482B" w:rsidRPr="00832563" w:rsidRDefault="0088482B" w:rsidP="009F0DCD">
            <w:r w:rsidRPr="00832563">
              <w:t>Low Income Loans Scheme</w:t>
            </w:r>
          </w:p>
        </w:tc>
      </w:tr>
      <w:tr w:rsidR="0088482B" w:rsidRPr="00832563" w:rsidTr="00C0364F">
        <w:tc>
          <w:tcPr>
            <w:tcW w:w="2126" w:type="dxa"/>
            <w:shd w:val="clear" w:color="auto" w:fill="FFFFFF"/>
          </w:tcPr>
          <w:p w:rsidR="0088482B" w:rsidRPr="00832563" w:rsidRDefault="0088482B" w:rsidP="009F0DCD">
            <w:r w:rsidRPr="00832563">
              <w:t>NILS</w:t>
            </w:r>
          </w:p>
        </w:tc>
        <w:tc>
          <w:tcPr>
            <w:tcW w:w="6520" w:type="dxa"/>
            <w:shd w:val="clear" w:color="auto" w:fill="FFFFFF"/>
          </w:tcPr>
          <w:p w:rsidR="0088482B" w:rsidRPr="00832563" w:rsidRDefault="0088482B" w:rsidP="009F0DCD">
            <w:r w:rsidRPr="00832563">
              <w:t xml:space="preserve">No </w:t>
            </w:r>
            <w:r>
              <w:t xml:space="preserve">Interest </w:t>
            </w:r>
            <w:r w:rsidRPr="00832563">
              <w:t>Loan Scheme</w:t>
            </w:r>
          </w:p>
        </w:tc>
      </w:tr>
    </w:tbl>
    <w:p w:rsidR="00F91BFE" w:rsidRDefault="00F91BFE" w:rsidP="0088482B">
      <w:pPr>
        <w:spacing w:after="200" w:line="276" w:lineRule="auto"/>
        <w:rPr>
          <w:sz w:val="28"/>
          <w:szCs w:val="28"/>
        </w:rPr>
      </w:pPr>
      <w:r>
        <w:rPr>
          <w:sz w:val="28"/>
          <w:szCs w:val="28"/>
        </w:rPr>
        <w:br w:type="page"/>
      </w:r>
    </w:p>
    <w:p w:rsidR="00F91BFE" w:rsidRPr="00F91BFE" w:rsidRDefault="00F91BFE" w:rsidP="00F91BFE">
      <w:pPr>
        <w:rPr>
          <w:sz w:val="28"/>
          <w:szCs w:val="28"/>
        </w:rPr>
      </w:pPr>
    </w:p>
    <w:p w:rsidR="00F91BFE" w:rsidRDefault="00F91BFE" w:rsidP="00F91BFE">
      <w:pPr>
        <w:rPr>
          <w:sz w:val="28"/>
          <w:szCs w:val="28"/>
        </w:rPr>
      </w:pPr>
    </w:p>
    <w:p w:rsidR="0088482B" w:rsidRPr="00F91BFE" w:rsidRDefault="00F91BFE" w:rsidP="00F91BFE">
      <w:pPr>
        <w:tabs>
          <w:tab w:val="left" w:pos="3675"/>
        </w:tabs>
        <w:rPr>
          <w:sz w:val="28"/>
          <w:szCs w:val="28"/>
        </w:rPr>
      </w:pPr>
      <w:r>
        <w:rPr>
          <w:sz w:val="28"/>
          <w:szCs w:val="28"/>
        </w:rPr>
        <w:tab/>
      </w:r>
      <w:bookmarkStart w:id="59" w:name="_GoBack"/>
      <w:bookmarkEnd w:id="59"/>
    </w:p>
    <w:sectPr w:rsidR="0088482B" w:rsidRPr="00F91BFE" w:rsidSect="00A96939">
      <w:headerReference w:type="even" r:id="rId32"/>
      <w:footerReference w:type="even" r:id="rId33"/>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CA" w:rsidRDefault="00556BCA" w:rsidP="00E37F1C">
      <w:pPr>
        <w:spacing w:after="0"/>
      </w:pPr>
      <w:r>
        <w:separator/>
      </w:r>
    </w:p>
  </w:endnote>
  <w:endnote w:type="continuationSeparator" w:id="0">
    <w:p w:rsidR="00556BCA" w:rsidRDefault="00556BCA" w:rsidP="00E37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altName w:val="??????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Even"/>
    </w:pPr>
    <w:r>
      <w:fldChar w:fldCharType="begin"/>
    </w:r>
    <w:r>
      <w:instrText xml:space="preserve"> PAGE   \* MERGEFORMAT </w:instrText>
    </w:r>
    <w:r>
      <w:fldChar w:fldCharType="separate"/>
    </w:r>
    <w:r w:rsidR="00D5532F">
      <w:rPr>
        <w:noProof/>
      </w:rPr>
      <w:t>vi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Odd"/>
    </w:pPr>
    <w:r>
      <w:fldChar w:fldCharType="begin"/>
    </w:r>
    <w:r>
      <w:instrText xml:space="preserve"> PAGE   \* MERGEFORMAT </w:instrText>
    </w:r>
    <w:r>
      <w:fldChar w:fldCharType="separate"/>
    </w:r>
    <w:r w:rsidR="00D5532F">
      <w:rPr>
        <w:noProof/>
      </w:rPr>
      <w:t>33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FE" w:rsidRPr="00F91BFE" w:rsidRDefault="00F91BFE" w:rsidP="00F91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4A4F05">
    <w:pPr>
      <w:pStyle w:val="FooterOdd"/>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4A4F05">
    <w:pPr>
      <w:pStyle w:val="FooterOdd"/>
    </w:pPr>
    <w:r>
      <w:fldChar w:fldCharType="begin"/>
    </w:r>
    <w:r>
      <w:instrText xml:space="preserve"> PAGE   \* MERGEFORMAT </w:instrText>
    </w:r>
    <w:r>
      <w:fldChar w:fldCharType="separate"/>
    </w:r>
    <w:r w:rsidR="00D5532F">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Od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2F" w:rsidRDefault="00D5532F" w:rsidP="001C6AA6">
    <w:pPr>
      <w:pStyle w:val="FooterEven"/>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Odd"/>
    </w:pPr>
    <w:r>
      <w:fldChar w:fldCharType="begin"/>
    </w:r>
    <w:r>
      <w:instrText xml:space="preserve"> PAGE   \* MERGEFORMAT </w:instrText>
    </w:r>
    <w:r>
      <w:fldChar w:fldCharType="separate"/>
    </w:r>
    <w:r w:rsidR="00D5532F">
      <w:rPr>
        <w:noProof/>
      </w:rPr>
      <w:t>v</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Even"/>
    </w:pPr>
    <w:r>
      <w:fldChar w:fldCharType="begin"/>
    </w:r>
    <w:r>
      <w:instrText xml:space="preserve"> PAGE   \* MERGEFORMAT </w:instrText>
    </w:r>
    <w:r>
      <w:fldChar w:fldCharType="separate"/>
    </w:r>
    <w:r w:rsidR="00D5532F">
      <w:rPr>
        <w:noProof/>
      </w:rPr>
      <w:t>30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4A4F05">
    <w:pPr>
      <w:pStyle w:val="FooterOdd"/>
    </w:pPr>
    <w:r>
      <w:fldChar w:fldCharType="begin"/>
    </w:r>
    <w:r>
      <w:instrText xml:space="preserve"> PAGE   \* MERGEFORMAT </w:instrText>
    </w:r>
    <w:r>
      <w:fldChar w:fldCharType="separate"/>
    </w:r>
    <w:r w:rsidR="00D5532F">
      <w:rPr>
        <w:noProof/>
      </w:rPr>
      <w:t>35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CD" w:rsidRDefault="00F452CD" w:rsidP="001C6AA6">
    <w:pPr>
      <w:pStyle w:val="FooterOdd"/>
    </w:pPr>
    <w:r>
      <w:fldChar w:fldCharType="begin"/>
    </w:r>
    <w:r>
      <w:instrText xml:space="preserve"> PAGE   \* MERGEFORMAT </w:instrText>
    </w:r>
    <w:r>
      <w:fldChar w:fldCharType="separate"/>
    </w:r>
    <w:r w:rsidR="00D5532F">
      <w:rPr>
        <w:noProof/>
      </w:rPr>
      <w:t>ix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CA" w:rsidRDefault="00556BCA" w:rsidP="00E37F1C">
      <w:pPr>
        <w:spacing w:after="0"/>
      </w:pPr>
      <w:r>
        <w:separator/>
      </w:r>
    </w:p>
  </w:footnote>
  <w:footnote w:type="continuationSeparator" w:id="0">
    <w:p w:rsidR="00556BCA" w:rsidRDefault="00556BCA" w:rsidP="00E37F1C">
      <w:pPr>
        <w:spacing w:after="0"/>
      </w:pPr>
      <w:r>
        <w:continuationSeparator/>
      </w:r>
    </w:p>
  </w:footnote>
  <w:footnote w:id="1">
    <w:p w:rsidR="00F452CD" w:rsidRPr="002F19E0" w:rsidRDefault="00F452CD" w:rsidP="002F19E0">
      <w:pPr>
        <w:pStyle w:val="FootnoteText"/>
      </w:pPr>
      <w:r w:rsidRPr="002F19E0">
        <w:rPr>
          <w:rStyle w:val="FootnoteReference"/>
          <w:vertAlign w:val="baseline"/>
        </w:rPr>
        <w:footnoteRef/>
      </w:r>
      <w:r>
        <w:tab/>
      </w:r>
      <w:r w:rsidRPr="002F19E0">
        <w:t xml:space="preserve">RMIT University &amp; the University of QLD (2011) </w:t>
      </w:r>
      <w:r w:rsidRPr="002F19E0">
        <w:rPr>
          <w:i/>
        </w:rPr>
        <w:t>Caught Short: Exploring the role of small, short-term loans in the</w:t>
      </w:r>
      <w:r>
        <w:rPr>
          <w:i/>
        </w:rPr>
        <w:t xml:space="preserve"> </w:t>
      </w:r>
      <w:r w:rsidRPr="002F19E0">
        <w:rPr>
          <w:i/>
        </w:rPr>
        <w:t xml:space="preserve"> lives of Australians, Interim Report</w:t>
      </w:r>
      <w:r w:rsidRPr="002F19E0">
        <w:t>, July 2011</w:t>
      </w:r>
    </w:p>
  </w:footnote>
  <w:footnote w:id="2">
    <w:p w:rsidR="00F452CD" w:rsidRPr="002F19E0" w:rsidRDefault="00F452CD" w:rsidP="002F19E0">
      <w:pPr>
        <w:pStyle w:val="FootnoteText"/>
      </w:pPr>
      <w:r w:rsidRPr="002F19E0">
        <w:rPr>
          <w:rStyle w:val="FootnoteReference"/>
          <w:vertAlign w:val="baseline"/>
        </w:rPr>
        <w:footnoteRef/>
      </w:r>
      <w:r>
        <w:tab/>
      </w:r>
      <w:r w:rsidRPr="002F19E0">
        <w:t xml:space="preserve">Connolly, C., M. Georgouras, et al. (2011). </w:t>
      </w:r>
      <w:r w:rsidRPr="002F19E0">
        <w:rPr>
          <w:i/>
        </w:rPr>
        <w:t>Measuring financial exclusion in Australia</w:t>
      </w:r>
      <w:r w:rsidRPr="002F19E0">
        <w:t>. Sydney, Centre for Social Impact for NAB.</w:t>
      </w:r>
    </w:p>
  </w:footnote>
  <w:footnote w:id="3">
    <w:p w:rsidR="00F452CD" w:rsidRPr="00315496" w:rsidRDefault="00F452CD" w:rsidP="005E5B9E">
      <w:pPr>
        <w:pStyle w:val="FootnoteText"/>
        <w:spacing w:line="240" w:lineRule="exact"/>
      </w:pPr>
      <w:r w:rsidRPr="00F4298D">
        <w:footnoteRef/>
      </w:r>
      <w:r>
        <w:tab/>
      </w:r>
      <w:r w:rsidRPr="00315496">
        <w:t xml:space="preserve">Connolly, C., M. Georgouras, et al. (2011). </w:t>
      </w:r>
      <w:r w:rsidRPr="00315496">
        <w:rPr>
          <w:i/>
          <w:iCs/>
        </w:rPr>
        <w:t>Measuring financial exclusion in Australia</w:t>
      </w:r>
      <w:r w:rsidRPr="00315496">
        <w:t>. Sydney, Centre for Social Impact for NAB.</w:t>
      </w:r>
    </w:p>
  </w:footnote>
  <w:footnote w:id="4">
    <w:p w:rsidR="00F452CD" w:rsidRPr="00315496" w:rsidRDefault="00F452CD" w:rsidP="005E5B9E">
      <w:pPr>
        <w:pStyle w:val="FootnoteText"/>
        <w:spacing w:line="240" w:lineRule="exact"/>
      </w:pPr>
      <w:r w:rsidRPr="00F4298D">
        <w:footnoteRef/>
      </w:r>
      <w:r>
        <w:tab/>
      </w:r>
      <w:r w:rsidRPr="00315496">
        <w:t xml:space="preserve">Burkett, I. and B. Drew (2008). </w:t>
      </w:r>
      <w:r w:rsidRPr="00315496">
        <w:rPr>
          <w:i/>
          <w:iCs/>
        </w:rPr>
        <w:t>Financial inclusion, market failures and new markets: Possibilities for Community Development Finance Institutions in Australia</w:t>
      </w:r>
      <w:r w:rsidRPr="00315496">
        <w:t>. Brisbane, Foresters Community Finance.</w:t>
      </w:r>
    </w:p>
  </w:footnote>
  <w:footnote w:id="5">
    <w:p w:rsidR="00F452CD" w:rsidRPr="008A6A89" w:rsidRDefault="00F452CD" w:rsidP="005E5B9E">
      <w:pPr>
        <w:pStyle w:val="FootnoteText"/>
        <w:spacing w:line="240" w:lineRule="exact"/>
      </w:pPr>
      <w:r w:rsidRPr="008A6A89">
        <w:rPr>
          <w:rStyle w:val="FootnoteReference"/>
          <w:vertAlign w:val="baseline"/>
        </w:rPr>
        <w:footnoteRef/>
      </w:r>
      <w:r>
        <w:tab/>
      </w:r>
      <w:r w:rsidRPr="008A6A89">
        <w:t xml:space="preserve">Chant Link (2004). </w:t>
      </w:r>
      <w:r w:rsidRPr="008A6A89">
        <w:rPr>
          <w:i/>
        </w:rPr>
        <w:t>A Quantitative report on financial exclusion</w:t>
      </w:r>
      <w:r w:rsidRPr="008A6A89">
        <w:t>. Melbourne, ANZ.</w:t>
      </w:r>
    </w:p>
  </w:footnote>
  <w:footnote w:id="6">
    <w:p w:rsidR="00F452CD" w:rsidRPr="00315496" w:rsidRDefault="00F452CD" w:rsidP="005E5B9E">
      <w:pPr>
        <w:pStyle w:val="FootnoteText"/>
        <w:spacing w:line="240" w:lineRule="exact"/>
      </w:pPr>
      <w:r w:rsidRPr="008A6A89">
        <w:footnoteRef/>
      </w:r>
      <w:r>
        <w:tab/>
      </w:r>
      <w:r w:rsidRPr="008A6A89">
        <w:t xml:space="preserve">Corr, C. (2006). </w:t>
      </w:r>
      <w:r w:rsidRPr="008A6A89">
        <w:rPr>
          <w:i/>
        </w:rPr>
        <w:t>Financial exclusion in Ireland: An exploratory study and policy review</w:t>
      </w:r>
      <w:r w:rsidRPr="008A6A89">
        <w:t>. Dublin, Combat Poverty</w:t>
      </w:r>
      <w:r w:rsidRPr="00315496">
        <w:t xml:space="preserve"> Agency.</w:t>
      </w:r>
    </w:p>
  </w:footnote>
  <w:footnote w:id="7">
    <w:p w:rsidR="00F452CD" w:rsidRPr="008A6A89" w:rsidRDefault="00F452CD" w:rsidP="005E5B9E">
      <w:pPr>
        <w:pStyle w:val="FootnoteText"/>
        <w:spacing w:line="240" w:lineRule="exact"/>
      </w:pPr>
      <w:r w:rsidRPr="008A6A89">
        <w:rPr>
          <w:rStyle w:val="FootnoteReference"/>
          <w:vertAlign w:val="baseline"/>
        </w:rPr>
        <w:footnoteRef/>
      </w:r>
      <w:r w:rsidRPr="008A6A89">
        <w:tab/>
        <w:t xml:space="preserve">Connolly et al (refer footnote </w:t>
      </w:r>
      <w:r>
        <w:t>3</w:t>
      </w:r>
      <w:r w:rsidRPr="008A6A89">
        <w:t xml:space="preserve"> above).</w:t>
      </w:r>
    </w:p>
  </w:footnote>
  <w:footnote w:id="8">
    <w:p w:rsidR="00F452CD" w:rsidRPr="008A6A89" w:rsidRDefault="00F452CD" w:rsidP="005E5B9E">
      <w:pPr>
        <w:pStyle w:val="FootnoteText"/>
        <w:spacing w:line="240" w:lineRule="exact"/>
      </w:pPr>
      <w:r w:rsidRPr="008A6A89">
        <w:rPr>
          <w:rStyle w:val="FootnoteReference"/>
          <w:vertAlign w:val="baseline"/>
        </w:rPr>
        <w:footnoteRef/>
      </w:r>
      <w:r>
        <w:t xml:space="preserve"> </w:t>
      </w:r>
      <w:r>
        <w:tab/>
      </w:r>
      <w:r w:rsidRPr="008A6A89">
        <w:t>Chant Link (2004)</w:t>
      </w:r>
      <w:r>
        <w:t xml:space="preserve"> (</w:t>
      </w:r>
      <w:r w:rsidRPr="008A6A89">
        <w:t xml:space="preserve">refer footnote </w:t>
      </w:r>
      <w:r>
        <w:t>5</w:t>
      </w:r>
      <w:r w:rsidRPr="008A6A89">
        <w:t xml:space="preserve"> above).</w:t>
      </w:r>
    </w:p>
  </w:footnote>
  <w:footnote w:id="9">
    <w:p w:rsidR="00F452CD" w:rsidRPr="008A6A89" w:rsidRDefault="00F452CD" w:rsidP="008A6A89">
      <w:pPr>
        <w:pStyle w:val="FootnoteText"/>
      </w:pPr>
      <w:r w:rsidRPr="008A6A89">
        <w:rPr>
          <w:rStyle w:val="FootnoteReference"/>
          <w:vertAlign w:val="baseline"/>
        </w:rPr>
        <w:footnoteRef/>
      </w:r>
      <w:r>
        <w:tab/>
      </w:r>
      <w:r w:rsidRPr="008A6A89">
        <w:rPr>
          <w:i/>
        </w:rPr>
        <w:t>HMT Financial Inclusion evidence Review: the costs of credit exclusion and the benefits of access to affordable credit</w:t>
      </w:r>
      <w:r w:rsidRPr="008A6A89">
        <w:t>, Financial Inclusion Taskforce</w:t>
      </w:r>
    </w:p>
  </w:footnote>
  <w:footnote w:id="10">
    <w:p w:rsidR="00F452CD" w:rsidRPr="008A6A89" w:rsidRDefault="00F452CD" w:rsidP="008A6A89">
      <w:pPr>
        <w:pStyle w:val="FootnoteText"/>
      </w:pPr>
      <w:r w:rsidRPr="008A6A89">
        <w:rPr>
          <w:rStyle w:val="FootnoteReference"/>
          <w:vertAlign w:val="baseline"/>
        </w:rPr>
        <w:footnoteRef/>
      </w:r>
      <w:r>
        <w:tab/>
      </w:r>
      <w:r w:rsidRPr="008A6A89">
        <w:t>Gillam and Consumer Action Law Centre, Payday Loans, Helping Hand or Quicksand 2010 p. 59</w:t>
      </w:r>
    </w:p>
  </w:footnote>
  <w:footnote w:id="11">
    <w:p w:rsidR="00F452CD" w:rsidRPr="008A6A89" w:rsidRDefault="00F452CD" w:rsidP="008A6A89">
      <w:pPr>
        <w:pStyle w:val="FootnoteText"/>
      </w:pPr>
      <w:r w:rsidRPr="008A6A89">
        <w:rPr>
          <w:rStyle w:val="FootnoteReference"/>
          <w:vertAlign w:val="baseline"/>
        </w:rPr>
        <w:footnoteRef/>
      </w:r>
      <w:r>
        <w:tab/>
      </w:r>
      <w:r w:rsidRPr="008A6A89">
        <w:t>Wilson, Consumer Law Centre Victoria, Payday Lending in Victoria – A research report p. 36</w:t>
      </w:r>
    </w:p>
  </w:footnote>
  <w:footnote w:id="12">
    <w:p w:rsidR="00F452CD" w:rsidRPr="008A6A89" w:rsidRDefault="00F452CD" w:rsidP="008A6A89">
      <w:pPr>
        <w:pStyle w:val="FootnoteText"/>
      </w:pPr>
      <w:r w:rsidRPr="008A6A89">
        <w:rPr>
          <w:rStyle w:val="FootnoteReference"/>
          <w:vertAlign w:val="baseline"/>
        </w:rPr>
        <w:footnoteRef/>
      </w:r>
      <w:r>
        <w:tab/>
      </w:r>
      <w:r w:rsidRPr="008A6A89">
        <w:t>Ellison, Forster, The Dynamics of Low Income Credit Use, undated, p8.</w:t>
      </w:r>
    </w:p>
  </w:footnote>
  <w:footnote w:id="13">
    <w:p w:rsidR="00F452CD" w:rsidRPr="008A6A89" w:rsidRDefault="00F452CD" w:rsidP="008A6A89">
      <w:pPr>
        <w:pStyle w:val="FootnoteText"/>
      </w:pPr>
      <w:r w:rsidRPr="008A6A89">
        <w:rPr>
          <w:rStyle w:val="FootnoteReference"/>
          <w:vertAlign w:val="baseline"/>
        </w:rPr>
        <w:footnoteRef/>
      </w:r>
      <w:r>
        <w:tab/>
      </w:r>
      <w:r w:rsidRPr="008A6A89">
        <w:t>Ellison, Forster, Policis, The Dynamics Of Low Income Credit use, undated p. 8</w:t>
      </w:r>
    </w:p>
  </w:footnote>
  <w:footnote w:id="14">
    <w:p w:rsidR="00F452CD" w:rsidRPr="008A6A89" w:rsidRDefault="00F452CD" w:rsidP="008A6A89">
      <w:pPr>
        <w:pStyle w:val="FootnoteText"/>
      </w:pPr>
      <w:r w:rsidRPr="008A6A89">
        <w:rPr>
          <w:rStyle w:val="FootnoteReference"/>
          <w:vertAlign w:val="baseline"/>
        </w:rPr>
        <w:footnoteRef/>
      </w:r>
      <w:r>
        <w:tab/>
      </w:r>
      <w:r w:rsidRPr="008A6A89">
        <w:t>Cash Converters, ‘Position Paper, Response to the Federal Government’s Green Paper on Financial Services and Credit Reform, 2008’, p. 10</w:t>
      </w:r>
    </w:p>
  </w:footnote>
  <w:footnote w:id="15">
    <w:p w:rsidR="00F452CD" w:rsidRPr="008A6A89" w:rsidRDefault="00F452CD" w:rsidP="008A6A89">
      <w:pPr>
        <w:pStyle w:val="FootnoteText"/>
      </w:pPr>
      <w:r w:rsidRPr="008A6A89">
        <w:rPr>
          <w:rStyle w:val="FootnoteReference"/>
          <w:vertAlign w:val="baseline"/>
        </w:rPr>
        <w:footnoteRef/>
      </w:r>
      <w:r>
        <w:tab/>
      </w:r>
      <w:r w:rsidRPr="008A6A89">
        <w:t>The Regulation of Short Term, Small Amount Finance, Regulation Impact Statement, June 2011 – page 15.</w:t>
      </w:r>
    </w:p>
  </w:footnote>
  <w:footnote w:id="16">
    <w:p w:rsidR="00F452CD" w:rsidRPr="008A6A89" w:rsidRDefault="00F452CD" w:rsidP="008A6A89">
      <w:pPr>
        <w:pStyle w:val="FootnoteText"/>
      </w:pPr>
      <w:r w:rsidRPr="008A6A89">
        <w:rPr>
          <w:rStyle w:val="FootnoteReference"/>
          <w:vertAlign w:val="baseline"/>
        </w:rPr>
        <w:footnoteRef/>
      </w:r>
      <w:r w:rsidRPr="008A6A89">
        <w:t xml:space="preserve"> </w:t>
      </w:r>
      <w:r>
        <w:tab/>
      </w:r>
      <w:r w:rsidRPr="008A6A89">
        <w:t>Australian Social Inclusion Board, Social Inclusion in Australia How Australia is faring, January 2010, p. 1.</w:t>
      </w:r>
    </w:p>
  </w:footnote>
  <w:footnote w:id="17">
    <w:p w:rsidR="00F452CD" w:rsidRPr="008A6A89" w:rsidRDefault="00F452CD" w:rsidP="008A6A89">
      <w:pPr>
        <w:pStyle w:val="FootnoteText"/>
      </w:pPr>
      <w:r w:rsidRPr="008A6A89">
        <w:rPr>
          <w:rStyle w:val="FootnoteReference"/>
          <w:vertAlign w:val="baseline"/>
        </w:rPr>
        <w:footnoteRef/>
      </w:r>
      <w:r w:rsidRPr="008A6A89">
        <w:t xml:space="preserve"> </w:t>
      </w:r>
      <w:r>
        <w:tab/>
      </w:r>
      <w:r w:rsidRPr="008A6A89">
        <w:t>Ibid.</w:t>
      </w:r>
    </w:p>
  </w:footnote>
  <w:footnote w:id="18">
    <w:p w:rsidR="00F452CD" w:rsidRPr="00315496" w:rsidRDefault="00F452CD" w:rsidP="008A6A89">
      <w:pPr>
        <w:pStyle w:val="FootnoteText"/>
      </w:pPr>
      <w:r w:rsidRPr="008A6A89">
        <w:footnoteRef/>
      </w:r>
      <w:r>
        <w:t xml:space="preserve"> </w:t>
      </w:r>
      <w:r>
        <w:tab/>
      </w:r>
      <w:r w:rsidRPr="008A6A89">
        <w:t xml:space="preserve">Reference Group on Welfare Reform, </w:t>
      </w:r>
      <w:r w:rsidRPr="008A6A89">
        <w:rPr>
          <w:i/>
        </w:rPr>
        <w:t>Participation Support for a More Equitable Society</w:t>
      </w:r>
      <w:r w:rsidRPr="008A6A89">
        <w:t>, Final Report, FaCS,</w:t>
      </w:r>
      <w:r w:rsidRPr="00315496">
        <w:t xml:space="preserve"> Canberra, 2000</w:t>
      </w:r>
    </w:p>
  </w:footnote>
  <w:footnote w:id="19">
    <w:p w:rsidR="00F452CD" w:rsidRPr="008A6A89" w:rsidRDefault="00F452CD" w:rsidP="008A6A89">
      <w:pPr>
        <w:pStyle w:val="FootnoteText"/>
      </w:pPr>
      <w:r w:rsidRPr="008A6A89">
        <w:footnoteRef/>
      </w:r>
      <w:r w:rsidRPr="008A6A89">
        <w:t xml:space="preserve"> </w:t>
      </w:r>
      <w:r w:rsidRPr="008A6A89">
        <w:tab/>
        <w:t>Stringer, A., CRC Justice Support, Women Inside in Debt, the Prison and Debt Project, Broadway, Sydney, 2000, 10. The project used a combination of research techniques, including a survey by questionnaire of 121 prisoners and 4 follow up interviews, plus focus groups and unstructured interviews with key stakeholders.</w:t>
      </w:r>
    </w:p>
  </w:footnote>
  <w:footnote w:id="20">
    <w:p w:rsidR="00F452CD" w:rsidRPr="008A6A89" w:rsidRDefault="00F452CD" w:rsidP="008A6A89">
      <w:pPr>
        <w:pStyle w:val="FootnoteText"/>
      </w:pPr>
      <w:r w:rsidRPr="008A6A89">
        <w:rPr>
          <w:rStyle w:val="FootnoteReference"/>
          <w:vertAlign w:val="baseline"/>
        </w:rPr>
        <w:footnoteRef/>
      </w:r>
      <w:r w:rsidRPr="008A6A89">
        <w:t xml:space="preserve"> </w:t>
      </w:r>
      <w:r>
        <w:tab/>
      </w:r>
      <w:r w:rsidRPr="008A6A89">
        <w:t>Western Australian Council of Social Service Inc, ER Factsheet #5</w:t>
      </w:r>
    </w:p>
  </w:footnote>
  <w:footnote w:id="21">
    <w:p w:rsidR="00F452CD" w:rsidRPr="00315496" w:rsidRDefault="00F452CD" w:rsidP="001E7289">
      <w:pPr>
        <w:pStyle w:val="FootnoteText"/>
        <w:spacing w:line="240" w:lineRule="auto"/>
        <w:rPr>
          <w:rFonts w:ascii="Calibri" w:hAnsi="Calibri" w:cs="Calibri"/>
          <w:sz w:val="16"/>
          <w:szCs w:val="16"/>
        </w:rPr>
      </w:pPr>
      <w:r w:rsidRPr="008A6A89">
        <w:footnoteRef/>
      </w:r>
      <w:r w:rsidRPr="008A6A89">
        <w:t xml:space="preserve"> </w:t>
      </w:r>
      <w:r>
        <w:tab/>
      </w:r>
      <w:r w:rsidRPr="008A6A89">
        <w:t xml:space="preserve">Department of Families, Housing, Community Services and Indigenous Affairs, </w:t>
      </w:r>
      <w:r w:rsidRPr="008A6A89">
        <w:rPr>
          <w:i/>
        </w:rPr>
        <w:t>Community Development Finance Institutions (CDIs) Scoping Study</w:t>
      </w:r>
      <w:r w:rsidRPr="008A6A89">
        <w:t>, Chapter 1: The Nature of Financial Exclusion, 2009.</w:t>
      </w:r>
    </w:p>
  </w:footnote>
  <w:footnote w:id="22">
    <w:p w:rsidR="00F452CD" w:rsidRPr="008A6A89" w:rsidRDefault="00F452CD" w:rsidP="008A6A89">
      <w:pPr>
        <w:pStyle w:val="FootnoteText"/>
      </w:pPr>
      <w:r w:rsidRPr="008A6A89">
        <w:rPr>
          <w:rStyle w:val="FootnoteReference"/>
          <w:vertAlign w:val="baseline"/>
        </w:rPr>
        <w:footnoteRef/>
      </w:r>
      <w:r>
        <w:tab/>
      </w:r>
      <w:r w:rsidRPr="008A6A89">
        <w:t>Payday loa</w:t>
      </w:r>
      <w:r>
        <w:t xml:space="preserve">ns: Helping hand or quicksand? </w:t>
      </w:r>
      <w:r w:rsidRPr="008A6A89">
        <w:t xml:space="preserve">Report by ZacGuillam and the Consumer Action Law Centre, September 2010. </w:t>
      </w:r>
    </w:p>
  </w:footnote>
  <w:footnote w:id="23">
    <w:p w:rsidR="00F452CD" w:rsidRPr="00A3055B" w:rsidRDefault="00F452CD" w:rsidP="008A6A89">
      <w:pPr>
        <w:pStyle w:val="FootnoteText"/>
      </w:pPr>
      <w:r w:rsidRPr="008A6A89">
        <w:footnoteRef/>
      </w:r>
      <w:r w:rsidRPr="008A6A89">
        <w:tab/>
        <w:t>Market Intelligence Strategy Centre (MISC) Australia for Consumer Affairs Victoria, ‘Consumer Credit</w:t>
      </w:r>
      <w:r w:rsidRPr="00A3055B">
        <w:t xml:space="preserve"> Report’, 2006, p. 51</w:t>
      </w:r>
    </w:p>
  </w:footnote>
  <w:footnote w:id="24">
    <w:p w:rsidR="00F452CD" w:rsidRPr="00311DD6" w:rsidRDefault="00F452CD" w:rsidP="008A6A89">
      <w:pPr>
        <w:pStyle w:val="FootnoteText"/>
      </w:pPr>
      <w:r w:rsidRPr="008A6A89">
        <w:footnoteRef/>
      </w:r>
      <w:r w:rsidRPr="008A6A89">
        <w:tab/>
        <w:t>Cash Converters, ‘Response to the Commonwealth Government Green Paper on Consumer Credit Reform -</w:t>
      </w:r>
      <w:r w:rsidRPr="00311DD6">
        <w:rPr>
          <w:lang w:val="en-US"/>
        </w:rPr>
        <w:t xml:space="preserve"> Phase 2’ , 2010, p. 5</w:t>
      </w:r>
    </w:p>
  </w:footnote>
  <w:footnote w:id="25">
    <w:p w:rsidR="00F452CD" w:rsidRPr="00311DD6" w:rsidRDefault="00F452CD" w:rsidP="008A6A89">
      <w:pPr>
        <w:pStyle w:val="FootnoteText"/>
      </w:pPr>
      <w:r w:rsidRPr="008A6A89">
        <w:footnoteRef/>
      </w:r>
      <w:r w:rsidRPr="008A6A89">
        <w:tab/>
        <w:t>National Financial Service</w:t>
      </w:r>
      <w:r>
        <w:t>s</w:t>
      </w:r>
      <w:r w:rsidRPr="008A6A89">
        <w:t xml:space="preserve"> Federation, ‘Submission to Financial Services and Credit Reform Green Paper’,</w:t>
      </w:r>
      <w:r w:rsidRPr="00311DD6">
        <w:rPr>
          <w:lang w:val="en-US"/>
        </w:rPr>
        <w:t xml:space="preserve"> 2008, p. 2</w:t>
      </w:r>
    </w:p>
  </w:footnote>
  <w:footnote w:id="26">
    <w:p w:rsidR="00F452CD" w:rsidRPr="00315496" w:rsidRDefault="00F452CD" w:rsidP="00F157D2">
      <w:pPr>
        <w:pStyle w:val="FootnoteText"/>
        <w:spacing w:line="240" w:lineRule="auto"/>
        <w:rPr>
          <w:rFonts w:ascii="Calibri" w:hAnsi="Calibri" w:cs="Calibri"/>
          <w:sz w:val="16"/>
          <w:szCs w:val="16"/>
        </w:rPr>
      </w:pPr>
      <w:r w:rsidRPr="008A6A89">
        <w:footnoteRef/>
      </w:r>
      <w:r>
        <w:tab/>
      </w:r>
      <w:r w:rsidRPr="008A6A89">
        <w:t>December 2008 - Interest Rate Caps: protection or paternalism? - Through the Griffith University survey 40 members of the National Financial Services Federation representing micro and payday lenders in Australia.</w:t>
      </w:r>
    </w:p>
  </w:footnote>
  <w:footnote w:id="27">
    <w:p w:rsidR="00F452CD" w:rsidRDefault="00F452CD" w:rsidP="008A6A89">
      <w:pPr>
        <w:pStyle w:val="FootnoteText"/>
      </w:pPr>
      <w:r w:rsidRPr="008A6A89">
        <w:footnoteRef/>
      </w:r>
      <w:r>
        <w:tab/>
      </w:r>
      <w:r w:rsidRPr="008A6A89">
        <w:t xml:space="preserve">Corrie, T.(2011). </w:t>
      </w:r>
      <w:r w:rsidRPr="008A6A89">
        <w:rPr>
          <w:i/>
        </w:rPr>
        <w:t>Microfinance and the household economy: Financial inclusion, social and economic participation and material wellbeing</w:t>
      </w:r>
      <w:r>
        <w:t xml:space="preserve">, </w:t>
      </w:r>
      <w:r w:rsidRPr="00DA021F">
        <w:rPr>
          <w:rFonts w:cs="Arial"/>
        </w:rPr>
        <w:t xml:space="preserve">Good Shepherd </w:t>
      </w:r>
      <w:r w:rsidRPr="008A6A89">
        <w:t>Youth</w:t>
      </w:r>
      <w:r w:rsidRPr="00DA021F">
        <w:rPr>
          <w:rFonts w:cs="Arial"/>
        </w:rPr>
        <w:t xml:space="preserve"> &amp; Family Service</w:t>
      </w:r>
    </w:p>
  </w:footnote>
  <w:footnote w:id="28">
    <w:p w:rsidR="00F452CD" w:rsidRPr="008A6A89" w:rsidRDefault="00F452CD" w:rsidP="008A6A89">
      <w:pPr>
        <w:pStyle w:val="FootnoteText"/>
      </w:pPr>
      <w:r w:rsidRPr="008A6A89">
        <w:rPr>
          <w:rStyle w:val="FootnoteReference"/>
          <w:vertAlign w:val="baseline"/>
        </w:rPr>
        <w:footnoteRef/>
      </w:r>
      <w:r>
        <w:tab/>
      </w:r>
      <w:r w:rsidRPr="008A6A89">
        <w:t>Social Ventures Australia (20</w:t>
      </w:r>
      <w:r w:rsidR="00B41A90">
        <w:t>09</w:t>
      </w:r>
      <w:r w:rsidRPr="008A6A89">
        <w:t xml:space="preserve">), </w:t>
      </w:r>
      <w:r w:rsidRPr="008A6A89">
        <w:rPr>
          <w:i/>
        </w:rPr>
        <w:t>Community Development Financial Institutions Scoping Study</w:t>
      </w:r>
      <w:r w:rsidRPr="008A6A89">
        <w:t>.</w:t>
      </w:r>
    </w:p>
  </w:footnote>
  <w:footnote w:id="29">
    <w:p w:rsidR="00F452CD" w:rsidRPr="008A6A89" w:rsidRDefault="00F452CD" w:rsidP="008A6A89">
      <w:pPr>
        <w:pStyle w:val="FootnoteText"/>
      </w:pPr>
      <w:r w:rsidRPr="008A6A89">
        <w:rPr>
          <w:rStyle w:val="FootnoteReference"/>
          <w:vertAlign w:val="baseline"/>
        </w:rPr>
        <w:footnoteRef/>
      </w:r>
      <w:r w:rsidRPr="008A6A89">
        <w:tab/>
        <w:t>FaHCSIA, unpublished report (2011)</w:t>
      </w:r>
    </w:p>
  </w:footnote>
  <w:footnote w:id="30">
    <w:p w:rsidR="00F452CD" w:rsidRPr="008A6A89" w:rsidRDefault="00F452CD" w:rsidP="008A6A89">
      <w:pPr>
        <w:pStyle w:val="FootnoteText"/>
      </w:pPr>
      <w:r w:rsidRPr="008A6A89">
        <w:rPr>
          <w:rStyle w:val="FootnoteReference"/>
          <w:vertAlign w:val="baseline"/>
        </w:rPr>
        <w:footnoteRef/>
      </w:r>
      <w:r>
        <w:tab/>
      </w:r>
      <w:r w:rsidRPr="008A6A89">
        <w:t xml:space="preserve">See </w:t>
      </w:r>
      <w:r w:rsidRPr="008A6A89">
        <w:rPr>
          <w:i/>
        </w:rPr>
        <w:t>http://www.infochoice.com.au/personal-loans/unsecured/interest-rate-comparison/</w:t>
      </w:r>
    </w:p>
  </w:footnote>
  <w:footnote w:id="31">
    <w:p w:rsidR="00F452CD" w:rsidRPr="00C22FC3" w:rsidRDefault="00F452CD" w:rsidP="008A6A89">
      <w:pPr>
        <w:pStyle w:val="FootnoteText"/>
      </w:pPr>
      <w:r w:rsidRPr="008A6A89">
        <w:footnoteRef/>
      </w:r>
      <w:r>
        <w:tab/>
      </w:r>
      <w:r w:rsidRPr="00C22FC3">
        <w:t xml:space="preserve">Consumer </w:t>
      </w:r>
      <w:r w:rsidRPr="008A6A89">
        <w:t>Credit</w:t>
      </w:r>
      <w:r w:rsidRPr="00C22FC3">
        <w:t xml:space="preserve"> Counselling Service </w:t>
      </w:r>
      <w:r w:rsidRPr="00C22FC3">
        <w:rPr>
          <w:i/>
        </w:rPr>
        <w:t>Consumer Credit Counselling Service of the UK</w:t>
      </w:r>
      <w:r w:rsidRPr="00C22FC3">
        <w:t>, presentation at the 2009 AFFCRA Conference, July 2009</w:t>
      </w:r>
    </w:p>
  </w:footnote>
  <w:footnote w:id="32">
    <w:p w:rsidR="00F452CD" w:rsidRPr="00F4298D" w:rsidRDefault="00F452CD" w:rsidP="00F4298D">
      <w:pPr>
        <w:pStyle w:val="FootnoteText"/>
      </w:pPr>
      <w:r w:rsidRPr="00F4298D">
        <w:rPr>
          <w:rStyle w:val="FootnoteReference"/>
          <w:vertAlign w:val="baseline"/>
        </w:rPr>
        <w:footnoteRef/>
      </w:r>
      <w:r>
        <w:tab/>
      </w:r>
      <w:r w:rsidRPr="00F4298D">
        <w:t>See www.bulkdebt.org</w:t>
      </w:r>
    </w:p>
  </w:footnote>
  <w:footnote w:id="33">
    <w:p w:rsidR="00F452CD" w:rsidRDefault="00F452CD" w:rsidP="009D02CC">
      <w:pPr>
        <w:pStyle w:val="FootnoteText"/>
      </w:pPr>
      <w:r w:rsidRPr="00F4298D">
        <w:footnoteRef/>
      </w:r>
      <w:r>
        <w:tab/>
      </w:r>
      <w:r w:rsidRPr="00F4298D">
        <w:t>Except for WA and NT, all states will be moving to the national energy legislation from 1 July 2012 which sets</w:t>
      </w:r>
      <w:r w:rsidRPr="00B66B10">
        <w:t xml:space="preserve"> out hardship program mechanisms which suppliers must comply with to gain approval from the Australian Energy Regulator (AER)</w:t>
      </w:r>
      <w:r>
        <w:t>.</w:t>
      </w:r>
    </w:p>
  </w:footnote>
  <w:footnote w:id="34">
    <w:p w:rsidR="00F452CD" w:rsidRPr="00F4298D" w:rsidRDefault="00F452CD" w:rsidP="00F4298D">
      <w:pPr>
        <w:pStyle w:val="FootnoteText"/>
      </w:pPr>
      <w:r w:rsidRPr="00F4298D">
        <w:rPr>
          <w:rStyle w:val="FootnoteReference"/>
          <w:vertAlign w:val="baseline"/>
        </w:rPr>
        <w:footnoteRef/>
      </w:r>
      <w:r>
        <w:tab/>
      </w:r>
      <w:hyperlink r:id="rId1" w:history="1">
        <w:r w:rsidRPr="00F4298D">
          <w:rPr>
            <w:rStyle w:val="Hyperlink"/>
            <w:color w:val="000000"/>
          </w:rPr>
          <w:t>http://www.moneyhelp.org.au/Housing-costs/Energy-and-water-bills.html</w:t>
        </w:r>
      </w:hyperlink>
      <w:r w:rsidRPr="00F4298D">
        <w:t xml:space="preserve"> accessed 10/02/2011</w:t>
      </w:r>
    </w:p>
  </w:footnote>
  <w:footnote w:id="35">
    <w:p w:rsidR="00F452CD" w:rsidRPr="00F4298D" w:rsidRDefault="00F452CD" w:rsidP="00F4298D">
      <w:pPr>
        <w:pStyle w:val="FootnoteText"/>
      </w:pPr>
      <w:r w:rsidRPr="00F4298D">
        <w:rPr>
          <w:rStyle w:val="FootnoteReference"/>
          <w:vertAlign w:val="baseline"/>
        </w:rPr>
        <w:footnoteRef/>
      </w:r>
      <w:r>
        <w:tab/>
      </w:r>
      <w:hyperlink r:id="rId2" w:history="1">
        <w:r w:rsidRPr="00F4298D">
          <w:rPr>
            <w:rStyle w:val="Hyperlink"/>
            <w:color w:val="000000"/>
          </w:rPr>
          <w:t>http://www.energy.wa.gov.au/2/3265/64/financial_hardship_assistance.pm</w:t>
        </w:r>
      </w:hyperlink>
      <w:r w:rsidRPr="00F4298D">
        <w:t xml:space="preserve"> accessed 10/02/2011</w:t>
      </w:r>
    </w:p>
  </w:footnote>
  <w:footnote w:id="36">
    <w:p w:rsidR="00F452CD" w:rsidRPr="00F4298D" w:rsidRDefault="00F452CD" w:rsidP="00F4298D">
      <w:pPr>
        <w:pStyle w:val="FootnoteText"/>
      </w:pPr>
      <w:r w:rsidRPr="00F4298D">
        <w:rPr>
          <w:rStyle w:val="FootnoteReference"/>
          <w:vertAlign w:val="baseline"/>
        </w:rPr>
        <w:footnoteRef/>
      </w:r>
      <w:r>
        <w:tab/>
      </w:r>
      <w:r w:rsidRPr="00F4298D">
        <w:t>http://www.acat.act.gov.au/category.php?id=3</w:t>
      </w:r>
    </w:p>
  </w:footnote>
  <w:footnote w:id="37">
    <w:p w:rsidR="00F452CD" w:rsidRPr="00F4298D" w:rsidRDefault="00F452CD" w:rsidP="00F4298D">
      <w:pPr>
        <w:pStyle w:val="FootnoteText"/>
      </w:pPr>
      <w:r w:rsidRPr="00F4298D">
        <w:rPr>
          <w:rStyle w:val="FootnoteReference"/>
          <w:vertAlign w:val="baseline"/>
        </w:rPr>
        <w:footnoteRef/>
      </w:r>
      <w:r>
        <w:tab/>
      </w:r>
      <w:hyperlink r:id="rId3" w:history="1">
        <w:r w:rsidRPr="00F4298D">
          <w:rPr>
            <w:rStyle w:val="Hyperlink"/>
            <w:color w:val="000000"/>
          </w:rPr>
          <w:t>http://www.industry.nsw.gov.au/energy/customers/questions-electricity-gas-prices</w:t>
        </w:r>
      </w:hyperlink>
      <w:r w:rsidRPr="00F4298D">
        <w:t xml:space="preserve"> accessed 10/02/2011</w:t>
      </w:r>
    </w:p>
  </w:footnote>
  <w:footnote w:id="38">
    <w:p w:rsidR="00F452CD" w:rsidRPr="00F4298D" w:rsidRDefault="00F452CD" w:rsidP="00F4298D">
      <w:pPr>
        <w:pStyle w:val="FootnoteText"/>
      </w:pPr>
      <w:r w:rsidRPr="00F4298D">
        <w:footnoteRef/>
      </w:r>
      <w:r>
        <w:tab/>
      </w:r>
      <w:hyperlink r:id="rId4" w:history="1">
        <w:r w:rsidRPr="00F4298D">
          <w:t>http://www.concessions.tas.gov.au/concessions/electricity_and_heating</w:t>
        </w:r>
      </w:hyperlink>
      <w:r w:rsidRPr="00F4298D">
        <w:t>;</w:t>
      </w:r>
      <w:r>
        <w:t xml:space="preserve"> </w:t>
      </w:r>
      <w:r w:rsidRPr="00F4298D">
        <w:t>http://www.energyombudsman.tas.gov.au/making_a_complaint/frequently_asked_questions#five</w:t>
      </w:r>
    </w:p>
  </w:footnote>
  <w:footnote w:id="39">
    <w:p w:rsidR="00F452CD" w:rsidRPr="00F4298D" w:rsidRDefault="00F452CD" w:rsidP="00F4298D">
      <w:pPr>
        <w:pStyle w:val="FootnoteText"/>
      </w:pPr>
      <w:r w:rsidRPr="00F4298D">
        <w:rPr>
          <w:rStyle w:val="FootnoteReference"/>
          <w:vertAlign w:val="baseline"/>
        </w:rPr>
        <w:footnoteRef/>
      </w:r>
      <w:r>
        <w:tab/>
      </w:r>
      <w:r w:rsidRPr="00F4298D">
        <w:t>http://www.eiosa.com.au/faq.html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FE" w:rsidRDefault="00F91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2FB"/>
    <w:multiLevelType w:val="hybridMultilevel"/>
    <w:tmpl w:val="D33E6706"/>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nsid w:val="06C90428"/>
    <w:multiLevelType w:val="hybridMultilevel"/>
    <w:tmpl w:val="A54A8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1">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5D22308F"/>
    <w:multiLevelType w:val="hybridMultilevel"/>
    <w:tmpl w:val="4A728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EBF275E"/>
    <w:multiLevelType w:val="multilevel"/>
    <w:tmpl w:val="A6800B9E"/>
    <w:numStyleLink w:val="Outlinenumbering"/>
  </w:abstractNum>
  <w:num w:numId="1">
    <w:abstractNumId w:val="5"/>
  </w:num>
  <w:num w:numId="2">
    <w:abstractNumId w:val="7"/>
  </w:num>
  <w:num w:numId="3">
    <w:abstractNumId w:val="10"/>
  </w:num>
  <w:num w:numId="4">
    <w:abstractNumId w:val="11"/>
  </w:num>
  <w:num w:numId="5">
    <w:abstractNumId w:val="2"/>
  </w:num>
  <w:num w:numId="6">
    <w:abstractNumId w:val="6"/>
  </w:num>
  <w:num w:numId="7">
    <w:abstractNumId w:val="0"/>
  </w:num>
  <w:num w:numId="8">
    <w:abstractNumId w:val="1"/>
  </w:num>
  <w:num w:numId="9">
    <w:abstractNumId w:val="12"/>
  </w:num>
  <w:num w:numId="10">
    <w:abstractNumId w:val="3"/>
  </w:num>
  <w:num w:numId="11">
    <w:abstractNumId w:val="4"/>
  </w:num>
  <w:num w:numId="12">
    <w:abstractNumId w:val="8"/>
  </w:num>
  <w:num w:numId="13">
    <w:abstractNumId w:val="15"/>
  </w:num>
  <w:num w:numId="14">
    <w:abstractNumId w:val="14"/>
  </w:num>
  <w:num w:numId="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oNotTrackMove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029E7CF5-D21A-4106-BC78-657B57D8ED62}"/>
    <w:docVar w:name="dgnword-eventsink" w:val="139786936"/>
    <w:docVar w:name="FOIClassificationInHeader" w:val="True"/>
    <w:docVar w:name="SecurityClassificationInHeader" w:val="False"/>
  </w:docVars>
  <w:rsids>
    <w:rsidRoot w:val="003E1C2F"/>
    <w:rsid w:val="00004E37"/>
    <w:rsid w:val="00006C7C"/>
    <w:rsid w:val="00007FA8"/>
    <w:rsid w:val="000105A1"/>
    <w:rsid w:val="00010A8D"/>
    <w:rsid w:val="00010E26"/>
    <w:rsid w:val="000112F3"/>
    <w:rsid w:val="00011E4C"/>
    <w:rsid w:val="00012374"/>
    <w:rsid w:val="000123FA"/>
    <w:rsid w:val="0001338F"/>
    <w:rsid w:val="00013A02"/>
    <w:rsid w:val="00015DA2"/>
    <w:rsid w:val="00016A84"/>
    <w:rsid w:val="00016E59"/>
    <w:rsid w:val="00017335"/>
    <w:rsid w:val="00017863"/>
    <w:rsid w:val="00020593"/>
    <w:rsid w:val="00021D98"/>
    <w:rsid w:val="00022708"/>
    <w:rsid w:val="000340CB"/>
    <w:rsid w:val="0003552D"/>
    <w:rsid w:val="00035B1D"/>
    <w:rsid w:val="00035B98"/>
    <w:rsid w:val="000371D6"/>
    <w:rsid w:val="00040942"/>
    <w:rsid w:val="00046124"/>
    <w:rsid w:val="00047745"/>
    <w:rsid w:val="00050376"/>
    <w:rsid w:val="000513EA"/>
    <w:rsid w:val="00052570"/>
    <w:rsid w:val="000528AE"/>
    <w:rsid w:val="00053501"/>
    <w:rsid w:val="000538BD"/>
    <w:rsid w:val="0005400C"/>
    <w:rsid w:val="0005418E"/>
    <w:rsid w:val="00054B25"/>
    <w:rsid w:val="00057E92"/>
    <w:rsid w:val="00061565"/>
    <w:rsid w:val="000632C7"/>
    <w:rsid w:val="00065056"/>
    <w:rsid w:val="000658F6"/>
    <w:rsid w:val="00065CB1"/>
    <w:rsid w:val="00066A9A"/>
    <w:rsid w:val="00070EBB"/>
    <w:rsid w:val="00075305"/>
    <w:rsid w:val="00075C8E"/>
    <w:rsid w:val="00076297"/>
    <w:rsid w:val="00076D6D"/>
    <w:rsid w:val="0007776E"/>
    <w:rsid w:val="000809BF"/>
    <w:rsid w:val="00080AD3"/>
    <w:rsid w:val="00081C8B"/>
    <w:rsid w:val="00082DB1"/>
    <w:rsid w:val="00083852"/>
    <w:rsid w:val="00083EBC"/>
    <w:rsid w:val="0008474B"/>
    <w:rsid w:val="000848CE"/>
    <w:rsid w:val="000852D8"/>
    <w:rsid w:val="0008659D"/>
    <w:rsid w:val="00086F82"/>
    <w:rsid w:val="000872DC"/>
    <w:rsid w:val="00087774"/>
    <w:rsid w:val="00090511"/>
    <w:rsid w:val="000915DD"/>
    <w:rsid w:val="00093E12"/>
    <w:rsid w:val="000957A8"/>
    <w:rsid w:val="00095C3F"/>
    <w:rsid w:val="000A10EA"/>
    <w:rsid w:val="000A15AF"/>
    <w:rsid w:val="000A2602"/>
    <w:rsid w:val="000A5726"/>
    <w:rsid w:val="000A6C13"/>
    <w:rsid w:val="000B06EC"/>
    <w:rsid w:val="000B0EF8"/>
    <w:rsid w:val="000B181F"/>
    <w:rsid w:val="000B2AFE"/>
    <w:rsid w:val="000B3D30"/>
    <w:rsid w:val="000B4CBA"/>
    <w:rsid w:val="000B54E5"/>
    <w:rsid w:val="000B5D20"/>
    <w:rsid w:val="000B6793"/>
    <w:rsid w:val="000C0337"/>
    <w:rsid w:val="000C069B"/>
    <w:rsid w:val="000C3A6A"/>
    <w:rsid w:val="000C3AC5"/>
    <w:rsid w:val="000C4841"/>
    <w:rsid w:val="000C69D5"/>
    <w:rsid w:val="000C7014"/>
    <w:rsid w:val="000C7445"/>
    <w:rsid w:val="000D1D04"/>
    <w:rsid w:val="000D2F2A"/>
    <w:rsid w:val="000D32B4"/>
    <w:rsid w:val="000D4DFD"/>
    <w:rsid w:val="000D5091"/>
    <w:rsid w:val="000D6F5A"/>
    <w:rsid w:val="000D6F7E"/>
    <w:rsid w:val="000D7979"/>
    <w:rsid w:val="000D7BEC"/>
    <w:rsid w:val="000E15EF"/>
    <w:rsid w:val="000E41C7"/>
    <w:rsid w:val="000E58D7"/>
    <w:rsid w:val="000E7FC4"/>
    <w:rsid w:val="000F24D3"/>
    <w:rsid w:val="000F36FC"/>
    <w:rsid w:val="000F47DA"/>
    <w:rsid w:val="000F608E"/>
    <w:rsid w:val="000F68E8"/>
    <w:rsid w:val="000F7455"/>
    <w:rsid w:val="000F75AA"/>
    <w:rsid w:val="0010095F"/>
    <w:rsid w:val="00100999"/>
    <w:rsid w:val="00101EF9"/>
    <w:rsid w:val="00102D61"/>
    <w:rsid w:val="00103C9C"/>
    <w:rsid w:val="00104F36"/>
    <w:rsid w:val="0010563F"/>
    <w:rsid w:val="00105AE4"/>
    <w:rsid w:val="00105F11"/>
    <w:rsid w:val="00106CC8"/>
    <w:rsid w:val="0010783B"/>
    <w:rsid w:val="001113EA"/>
    <w:rsid w:val="00113026"/>
    <w:rsid w:val="001146DF"/>
    <w:rsid w:val="00114A05"/>
    <w:rsid w:val="00117097"/>
    <w:rsid w:val="00120816"/>
    <w:rsid w:val="00120B0C"/>
    <w:rsid w:val="00122004"/>
    <w:rsid w:val="001227A0"/>
    <w:rsid w:val="00124836"/>
    <w:rsid w:val="00124FAD"/>
    <w:rsid w:val="001259A2"/>
    <w:rsid w:val="001259F4"/>
    <w:rsid w:val="001318C7"/>
    <w:rsid w:val="001320B3"/>
    <w:rsid w:val="0013261A"/>
    <w:rsid w:val="00133DCB"/>
    <w:rsid w:val="00134983"/>
    <w:rsid w:val="001349FC"/>
    <w:rsid w:val="00136B11"/>
    <w:rsid w:val="0014005D"/>
    <w:rsid w:val="00141E5D"/>
    <w:rsid w:val="00143275"/>
    <w:rsid w:val="00144678"/>
    <w:rsid w:val="00144973"/>
    <w:rsid w:val="0014657C"/>
    <w:rsid w:val="00146A60"/>
    <w:rsid w:val="00146F6F"/>
    <w:rsid w:val="00151A8C"/>
    <w:rsid w:val="00151EE9"/>
    <w:rsid w:val="00152FAC"/>
    <w:rsid w:val="00153257"/>
    <w:rsid w:val="001541C0"/>
    <w:rsid w:val="00154C8D"/>
    <w:rsid w:val="00154D02"/>
    <w:rsid w:val="001607E3"/>
    <w:rsid w:val="00160CEE"/>
    <w:rsid w:val="00161D6B"/>
    <w:rsid w:val="001632B5"/>
    <w:rsid w:val="001634BB"/>
    <w:rsid w:val="0016439B"/>
    <w:rsid w:val="00165D22"/>
    <w:rsid w:val="001674A7"/>
    <w:rsid w:val="00175A79"/>
    <w:rsid w:val="0017625C"/>
    <w:rsid w:val="00176394"/>
    <w:rsid w:val="0017697B"/>
    <w:rsid w:val="00180B51"/>
    <w:rsid w:val="0018119B"/>
    <w:rsid w:val="00181D63"/>
    <w:rsid w:val="001834E5"/>
    <w:rsid w:val="001837C5"/>
    <w:rsid w:val="00185256"/>
    <w:rsid w:val="001903E5"/>
    <w:rsid w:val="00191B66"/>
    <w:rsid w:val="00191E71"/>
    <w:rsid w:val="001934A9"/>
    <w:rsid w:val="00194448"/>
    <w:rsid w:val="00196EF9"/>
    <w:rsid w:val="0019709A"/>
    <w:rsid w:val="00197A46"/>
    <w:rsid w:val="001A105D"/>
    <w:rsid w:val="001A5D75"/>
    <w:rsid w:val="001A7E5D"/>
    <w:rsid w:val="001B207C"/>
    <w:rsid w:val="001B24EF"/>
    <w:rsid w:val="001B446D"/>
    <w:rsid w:val="001B48D7"/>
    <w:rsid w:val="001B6029"/>
    <w:rsid w:val="001B6F4E"/>
    <w:rsid w:val="001B7974"/>
    <w:rsid w:val="001C03A3"/>
    <w:rsid w:val="001C09F0"/>
    <w:rsid w:val="001C0E1E"/>
    <w:rsid w:val="001C2156"/>
    <w:rsid w:val="001C3AED"/>
    <w:rsid w:val="001C62EC"/>
    <w:rsid w:val="001C6651"/>
    <w:rsid w:val="001C6AA6"/>
    <w:rsid w:val="001D00A0"/>
    <w:rsid w:val="001D3214"/>
    <w:rsid w:val="001D4C88"/>
    <w:rsid w:val="001D5B6B"/>
    <w:rsid w:val="001E1315"/>
    <w:rsid w:val="001E5FAF"/>
    <w:rsid w:val="001E66F2"/>
    <w:rsid w:val="001E6F52"/>
    <w:rsid w:val="001E7264"/>
    <w:rsid w:val="001E7289"/>
    <w:rsid w:val="001E7486"/>
    <w:rsid w:val="001E7535"/>
    <w:rsid w:val="001F06E4"/>
    <w:rsid w:val="001F14D1"/>
    <w:rsid w:val="001F2FF1"/>
    <w:rsid w:val="001F38DF"/>
    <w:rsid w:val="001F4FDB"/>
    <w:rsid w:val="001F6074"/>
    <w:rsid w:val="001F61AC"/>
    <w:rsid w:val="001F6B10"/>
    <w:rsid w:val="001F74AD"/>
    <w:rsid w:val="0020007B"/>
    <w:rsid w:val="002063E8"/>
    <w:rsid w:val="00206A9A"/>
    <w:rsid w:val="00207762"/>
    <w:rsid w:val="002109E7"/>
    <w:rsid w:val="00212855"/>
    <w:rsid w:val="00212CC4"/>
    <w:rsid w:val="0021320F"/>
    <w:rsid w:val="002134B1"/>
    <w:rsid w:val="00213C5B"/>
    <w:rsid w:val="00215C8C"/>
    <w:rsid w:val="00216246"/>
    <w:rsid w:val="002164FD"/>
    <w:rsid w:val="00220B4D"/>
    <w:rsid w:val="00221004"/>
    <w:rsid w:val="0022123C"/>
    <w:rsid w:val="00221B12"/>
    <w:rsid w:val="0022264B"/>
    <w:rsid w:val="0022268C"/>
    <w:rsid w:val="00223B4B"/>
    <w:rsid w:val="0022795D"/>
    <w:rsid w:val="0023017A"/>
    <w:rsid w:val="002312D2"/>
    <w:rsid w:val="0023187A"/>
    <w:rsid w:val="00232469"/>
    <w:rsid w:val="00233F3B"/>
    <w:rsid w:val="002357B1"/>
    <w:rsid w:val="00235A85"/>
    <w:rsid w:val="002366F5"/>
    <w:rsid w:val="00240142"/>
    <w:rsid w:val="002416EC"/>
    <w:rsid w:val="00243702"/>
    <w:rsid w:val="00243EE0"/>
    <w:rsid w:val="00244FAC"/>
    <w:rsid w:val="00247B72"/>
    <w:rsid w:val="00251322"/>
    <w:rsid w:val="00251A63"/>
    <w:rsid w:val="002530BC"/>
    <w:rsid w:val="002536AE"/>
    <w:rsid w:val="002540A9"/>
    <w:rsid w:val="002565E1"/>
    <w:rsid w:val="002568F6"/>
    <w:rsid w:val="00257DEF"/>
    <w:rsid w:val="00257E59"/>
    <w:rsid w:val="002601C9"/>
    <w:rsid w:val="00260243"/>
    <w:rsid w:val="00263F9B"/>
    <w:rsid w:val="00263FB9"/>
    <w:rsid w:val="00265D9D"/>
    <w:rsid w:val="00266175"/>
    <w:rsid w:val="002662D2"/>
    <w:rsid w:val="00270422"/>
    <w:rsid w:val="00270B61"/>
    <w:rsid w:val="0027131B"/>
    <w:rsid w:val="00272B5F"/>
    <w:rsid w:val="002732A1"/>
    <w:rsid w:val="00273AF2"/>
    <w:rsid w:val="00275876"/>
    <w:rsid w:val="00276094"/>
    <w:rsid w:val="00277A15"/>
    <w:rsid w:val="0028005D"/>
    <w:rsid w:val="00281350"/>
    <w:rsid w:val="0028160D"/>
    <w:rsid w:val="00292628"/>
    <w:rsid w:val="00294CBD"/>
    <w:rsid w:val="00294E21"/>
    <w:rsid w:val="00295D74"/>
    <w:rsid w:val="002A090D"/>
    <w:rsid w:val="002A176F"/>
    <w:rsid w:val="002A2F85"/>
    <w:rsid w:val="002A3BBF"/>
    <w:rsid w:val="002A41BE"/>
    <w:rsid w:val="002A514E"/>
    <w:rsid w:val="002B32F5"/>
    <w:rsid w:val="002B3ED3"/>
    <w:rsid w:val="002B45DC"/>
    <w:rsid w:val="002B4814"/>
    <w:rsid w:val="002B4E64"/>
    <w:rsid w:val="002B6B73"/>
    <w:rsid w:val="002B7AA2"/>
    <w:rsid w:val="002C0DDD"/>
    <w:rsid w:val="002C36EE"/>
    <w:rsid w:val="002C4B97"/>
    <w:rsid w:val="002C4CB5"/>
    <w:rsid w:val="002C563C"/>
    <w:rsid w:val="002C6A86"/>
    <w:rsid w:val="002C7338"/>
    <w:rsid w:val="002C75A2"/>
    <w:rsid w:val="002D0808"/>
    <w:rsid w:val="002D0D22"/>
    <w:rsid w:val="002D1CC9"/>
    <w:rsid w:val="002D3182"/>
    <w:rsid w:val="002D3C7E"/>
    <w:rsid w:val="002D410E"/>
    <w:rsid w:val="002E0832"/>
    <w:rsid w:val="002E1388"/>
    <w:rsid w:val="002E4DD2"/>
    <w:rsid w:val="002E6EB8"/>
    <w:rsid w:val="002F108A"/>
    <w:rsid w:val="002F15E3"/>
    <w:rsid w:val="002F183D"/>
    <w:rsid w:val="002F19E0"/>
    <w:rsid w:val="002F1BC2"/>
    <w:rsid w:val="002F2B7B"/>
    <w:rsid w:val="002F2E2D"/>
    <w:rsid w:val="002F4EA5"/>
    <w:rsid w:val="002F60EB"/>
    <w:rsid w:val="0030172F"/>
    <w:rsid w:val="00301AF0"/>
    <w:rsid w:val="00304786"/>
    <w:rsid w:val="0030499A"/>
    <w:rsid w:val="00306155"/>
    <w:rsid w:val="003063EF"/>
    <w:rsid w:val="0030660F"/>
    <w:rsid w:val="00306A0D"/>
    <w:rsid w:val="00307D40"/>
    <w:rsid w:val="00311DD6"/>
    <w:rsid w:val="00312EA2"/>
    <w:rsid w:val="00313E5D"/>
    <w:rsid w:val="00315496"/>
    <w:rsid w:val="003200EF"/>
    <w:rsid w:val="0032109A"/>
    <w:rsid w:val="00323221"/>
    <w:rsid w:val="00324CBE"/>
    <w:rsid w:val="00325170"/>
    <w:rsid w:val="00325410"/>
    <w:rsid w:val="003269D7"/>
    <w:rsid w:val="0033143B"/>
    <w:rsid w:val="003341A9"/>
    <w:rsid w:val="00334FBC"/>
    <w:rsid w:val="0033561E"/>
    <w:rsid w:val="0033562D"/>
    <w:rsid w:val="00336FD8"/>
    <w:rsid w:val="003375C7"/>
    <w:rsid w:val="00340DC2"/>
    <w:rsid w:val="00342F38"/>
    <w:rsid w:val="00343F5C"/>
    <w:rsid w:val="00344785"/>
    <w:rsid w:val="00345C00"/>
    <w:rsid w:val="00352442"/>
    <w:rsid w:val="00353CB9"/>
    <w:rsid w:val="00355D59"/>
    <w:rsid w:val="00357256"/>
    <w:rsid w:val="00361794"/>
    <w:rsid w:val="00362101"/>
    <w:rsid w:val="0036244A"/>
    <w:rsid w:val="003636E9"/>
    <w:rsid w:val="003641BC"/>
    <w:rsid w:val="00364243"/>
    <w:rsid w:val="00364B4A"/>
    <w:rsid w:val="00366087"/>
    <w:rsid w:val="00366853"/>
    <w:rsid w:val="0036724D"/>
    <w:rsid w:val="00372E50"/>
    <w:rsid w:val="003735B7"/>
    <w:rsid w:val="0037397D"/>
    <w:rsid w:val="00375166"/>
    <w:rsid w:val="00377E81"/>
    <w:rsid w:val="00383462"/>
    <w:rsid w:val="003852C2"/>
    <w:rsid w:val="00387C69"/>
    <w:rsid w:val="0039081E"/>
    <w:rsid w:val="00391E56"/>
    <w:rsid w:val="003921DF"/>
    <w:rsid w:val="00392493"/>
    <w:rsid w:val="003933F4"/>
    <w:rsid w:val="00394564"/>
    <w:rsid w:val="003954AE"/>
    <w:rsid w:val="00396E30"/>
    <w:rsid w:val="00397F22"/>
    <w:rsid w:val="003A025E"/>
    <w:rsid w:val="003A0702"/>
    <w:rsid w:val="003A234F"/>
    <w:rsid w:val="003A43D8"/>
    <w:rsid w:val="003A44C2"/>
    <w:rsid w:val="003A4554"/>
    <w:rsid w:val="003A5E51"/>
    <w:rsid w:val="003A7895"/>
    <w:rsid w:val="003B0CAA"/>
    <w:rsid w:val="003B1D15"/>
    <w:rsid w:val="003B1F4F"/>
    <w:rsid w:val="003B3730"/>
    <w:rsid w:val="003B44B7"/>
    <w:rsid w:val="003B556D"/>
    <w:rsid w:val="003B7B97"/>
    <w:rsid w:val="003C0CDF"/>
    <w:rsid w:val="003C3D3B"/>
    <w:rsid w:val="003C487A"/>
    <w:rsid w:val="003C69C0"/>
    <w:rsid w:val="003D0195"/>
    <w:rsid w:val="003D06B8"/>
    <w:rsid w:val="003D12C0"/>
    <w:rsid w:val="003D4AB0"/>
    <w:rsid w:val="003E155A"/>
    <w:rsid w:val="003E186B"/>
    <w:rsid w:val="003E1C2F"/>
    <w:rsid w:val="003E2322"/>
    <w:rsid w:val="003E3B97"/>
    <w:rsid w:val="003E4161"/>
    <w:rsid w:val="003E61A6"/>
    <w:rsid w:val="003E70D1"/>
    <w:rsid w:val="003E79C3"/>
    <w:rsid w:val="003F0BC9"/>
    <w:rsid w:val="003F193C"/>
    <w:rsid w:val="003F2077"/>
    <w:rsid w:val="003F52AA"/>
    <w:rsid w:val="003F6C66"/>
    <w:rsid w:val="003F6D13"/>
    <w:rsid w:val="003F7384"/>
    <w:rsid w:val="003F79B7"/>
    <w:rsid w:val="0040040B"/>
    <w:rsid w:val="004013CD"/>
    <w:rsid w:val="00401846"/>
    <w:rsid w:val="00402361"/>
    <w:rsid w:val="00402F33"/>
    <w:rsid w:val="00402FB6"/>
    <w:rsid w:val="0040354C"/>
    <w:rsid w:val="0040372F"/>
    <w:rsid w:val="00406409"/>
    <w:rsid w:val="00407EC1"/>
    <w:rsid w:val="00410866"/>
    <w:rsid w:val="00411096"/>
    <w:rsid w:val="00411977"/>
    <w:rsid w:val="00416345"/>
    <w:rsid w:val="00416B90"/>
    <w:rsid w:val="00420C22"/>
    <w:rsid w:val="004228EB"/>
    <w:rsid w:val="00422E23"/>
    <w:rsid w:val="00423D6C"/>
    <w:rsid w:val="00424443"/>
    <w:rsid w:val="00426276"/>
    <w:rsid w:val="00427007"/>
    <w:rsid w:val="00430557"/>
    <w:rsid w:val="004311BF"/>
    <w:rsid w:val="0043239A"/>
    <w:rsid w:val="0043309B"/>
    <w:rsid w:val="004338F9"/>
    <w:rsid w:val="00435005"/>
    <w:rsid w:val="00435482"/>
    <w:rsid w:val="00435EA4"/>
    <w:rsid w:val="00436125"/>
    <w:rsid w:val="00441477"/>
    <w:rsid w:val="0044307C"/>
    <w:rsid w:val="00443DB4"/>
    <w:rsid w:val="004441AE"/>
    <w:rsid w:val="00445440"/>
    <w:rsid w:val="00446B4B"/>
    <w:rsid w:val="00450A64"/>
    <w:rsid w:val="004527F5"/>
    <w:rsid w:val="00453758"/>
    <w:rsid w:val="00453777"/>
    <w:rsid w:val="00453EE3"/>
    <w:rsid w:val="00454B93"/>
    <w:rsid w:val="0045647C"/>
    <w:rsid w:val="004565AB"/>
    <w:rsid w:val="00460228"/>
    <w:rsid w:val="00460407"/>
    <w:rsid w:val="00460C65"/>
    <w:rsid w:val="00462F4A"/>
    <w:rsid w:val="00463AC6"/>
    <w:rsid w:val="00463FAD"/>
    <w:rsid w:val="004648DA"/>
    <w:rsid w:val="00464A16"/>
    <w:rsid w:val="004651F9"/>
    <w:rsid w:val="00466872"/>
    <w:rsid w:val="00466BCF"/>
    <w:rsid w:val="00466DB2"/>
    <w:rsid w:val="004670AB"/>
    <w:rsid w:val="00467293"/>
    <w:rsid w:val="004675F4"/>
    <w:rsid w:val="00471909"/>
    <w:rsid w:val="004727A8"/>
    <w:rsid w:val="00476C27"/>
    <w:rsid w:val="00476EDA"/>
    <w:rsid w:val="00476F09"/>
    <w:rsid w:val="0048144C"/>
    <w:rsid w:val="00481877"/>
    <w:rsid w:val="00482919"/>
    <w:rsid w:val="00482D3B"/>
    <w:rsid w:val="00483C9D"/>
    <w:rsid w:val="00483DCC"/>
    <w:rsid w:val="0048484C"/>
    <w:rsid w:val="0048545D"/>
    <w:rsid w:val="00486EC0"/>
    <w:rsid w:val="00486F15"/>
    <w:rsid w:val="0049043C"/>
    <w:rsid w:val="00490F03"/>
    <w:rsid w:val="00496483"/>
    <w:rsid w:val="00496575"/>
    <w:rsid w:val="00496DBC"/>
    <w:rsid w:val="00497B3C"/>
    <w:rsid w:val="004A21B1"/>
    <w:rsid w:val="004A380A"/>
    <w:rsid w:val="004A4D5D"/>
    <w:rsid w:val="004A4F05"/>
    <w:rsid w:val="004A607E"/>
    <w:rsid w:val="004A6A10"/>
    <w:rsid w:val="004A7068"/>
    <w:rsid w:val="004A7974"/>
    <w:rsid w:val="004A7A14"/>
    <w:rsid w:val="004B0469"/>
    <w:rsid w:val="004B05F2"/>
    <w:rsid w:val="004B0929"/>
    <w:rsid w:val="004B0CD2"/>
    <w:rsid w:val="004B13D2"/>
    <w:rsid w:val="004B13E7"/>
    <w:rsid w:val="004B181D"/>
    <w:rsid w:val="004B22A1"/>
    <w:rsid w:val="004B2A64"/>
    <w:rsid w:val="004B2DFA"/>
    <w:rsid w:val="004B357E"/>
    <w:rsid w:val="004B3E7C"/>
    <w:rsid w:val="004B5A9C"/>
    <w:rsid w:val="004B67C5"/>
    <w:rsid w:val="004B6EF1"/>
    <w:rsid w:val="004C0502"/>
    <w:rsid w:val="004C24CF"/>
    <w:rsid w:val="004C2546"/>
    <w:rsid w:val="004C3B38"/>
    <w:rsid w:val="004C46CB"/>
    <w:rsid w:val="004C5A57"/>
    <w:rsid w:val="004C6B2F"/>
    <w:rsid w:val="004D089B"/>
    <w:rsid w:val="004D17B0"/>
    <w:rsid w:val="004D3FD9"/>
    <w:rsid w:val="004D46B4"/>
    <w:rsid w:val="004D5111"/>
    <w:rsid w:val="004D52BE"/>
    <w:rsid w:val="004D6351"/>
    <w:rsid w:val="004D7989"/>
    <w:rsid w:val="004D798B"/>
    <w:rsid w:val="004D79A8"/>
    <w:rsid w:val="004E31FA"/>
    <w:rsid w:val="004E3BAB"/>
    <w:rsid w:val="004E50E9"/>
    <w:rsid w:val="004E55AE"/>
    <w:rsid w:val="004E6664"/>
    <w:rsid w:val="004E7B2B"/>
    <w:rsid w:val="004F0938"/>
    <w:rsid w:val="004F3CFB"/>
    <w:rsid w:val="004F438B"/>
    <w:rsid w:val="004F44A2"/>
    <w:rsid w:val="004F6779"/>
    <w:rsid w:val="004F6C2A"/>
    <w:rsid w:val="004F77EA"/>
    <w:rsid w:val="005010AB"/>
    <w:rsid w:val="00501316"/>
    <w:rsid w:val="0050469D"/>
    <w:rsid w:val="00507543"/>
    <w:rsid w:val="0051191A"/>
    <w:rsid w:val="00511CB0"/>
    <w:rsid w:val="00514C0D"/>
    <w:rsid w:val="00515EEB"/>
    <w:rsid w:val="0052120D"/>
    <w:rsid w:val="005224B6"/>
    <w:rsid w:val="005227A1"/>
    <w:rsid w:val="00522AC0"/>
    <w:rsid w:val="00523163"/>
    <w:rsid w:val="00523CCF"/>
    <w:rsid w:val="00526156"/>
    <w:rsid w:val="005261F1"/>
    <w:rsid w:val="005267C3"/>
    <w:rsid w:val="005306C6"/>
    <w:rsid w:val="00530C52"/>
    <w:rsid w:val="005317A6"/>
    <w:rsid w:val="00532589"/>
    <w:rsid w:val="00532891"/>
    <w:rsid w:val="005329DA"/>
    <w:rsid w:val="00533FBD"/>
    <w:rsid w:val="00542C8E"/>
    <w:rsid w:val="005438F4"/>
    <w:rsid w:val="00544827"/>
    <w:rsid w:val="005448E8"/>
    <w:rsid w:val="00544D59"/>
    <w:rsid w:val="00545882"/>
    <w:rsid w:val="005471AE"/>
    <w:rsid w:val="005502EA"/>
    <w:rsid w:val="005513FF"/>
    <w:rsid w:val="0055171F"/>
    <w:rsid w:val="00552EDD"/>
    <w:rsid w:val="00553ED9"/>
    <w:rsid w:val="00554974"/>
    <w:rsid w:val="00556BCA"/>
    <w:rsid w:val="005623FD"/>
    <w:rsid w:val="00562568"/>
    <w:rsid w:val="00563255"/>
    <w:rsid w:val="00565E5B"/>
    <w:rsid w:val="00572BB8"/>
    <w:rsid w:val="00573329"/>
    <w:rsid w:val="005734B5"/>
    <w:rsid w:val="005760F3"/>
    <w:rsid w:val="00576157"/>
    <w:rsid w:val="00577F3A"/>
    <w:rsid w:val="0058262B"/>
    <w:rsid w:val="00582744"/>
    <w:rsid w:val="005839DF"/>
    <w:rsid w:val="005848A3"/>
    <w:rsid w:val="00584AAF"/>
    <w:rsid w:val="00584BE1"/>
    <w:rsid w:val="00586832"/>
    <w:rsid w:val="00587E49"/>
    <w:rsid w:val="0059083D"/>
    <w:rsid w:val="00592AC5"/>
    <w:rsid w:val="00594581"/>
    <w:rsid w:val="00594899"/>
    <w:rsid w:val="00595915"/>
    <w:rsid w:val="005963B2"/>
    <w:rsid w:val="005A0ABC"/>
    <w:rsid w:val="005A3142"/>
    <w:rsid w:val="005A325A"/>
    <w:rsid w:val="005A6BE9"/>
    <w:rsid w:val="005B07D6"/>
    <w:rsid w:val="005B0EC3"/>
    <w:rsid w:val="005B14DA"/>
    <w:rsid w:val="005B1C2A"/>
    <w:rsid w:val="005B2769"/>
    <w:rsid w:val="005B2958"/>
    <w:rsid w:val="005B2D60"/>
    <w:rsid w:val="005B5027"/>
    <w:rsid w:val="005B601F"/>
    <w:rsid w:val="005C1B72"/>
    <w:rsid w:val="005C1F1D"/>
    <w:rsid w:val="005C229B"/>
    <w:rsid w:val="005C2786"/>
    <w:rsid w:val="005C288B"/>
    <w:rsid w:val="005C5ED2"/>
    <w:rsid w:val="005C6DD8"/>
    <w:rsid w:val="005C7D70"/>
    <w:rsid w:val="005D1ADB"/>
    <w:rsid w:val="005D25FA"/>
    <w:rsid w:val="005E25EC"/>
    <w:rsid w:val="005E2A09"/>
    <w:rsid w:val="005E2C28"/>
    <w:rsid w:val="005E2D01"/>
    <w:rsid w:val="005E43BF"/>
    <w:rsid w:val="005E4BC1"/>
    <w:rsid w:val="005E4F74"/>
    <w:rsid w:val="005E5B9E"/>
    <w:rsid w:val="005E5E72"/>
    <w:rsid w:val="005E66D5"/>
    <w:rsid w:val="005E674E"/>
    <w:rsid w:val="005E6806"/>
    <w:rsid w:val="005E79AE"/>
    <w:rsid w:val="005F2B1C"/>
    <w:rsid w:val="005F3EB8"/>
    <w:rsid w:val="005F4417"/>
    <w:rsid w:val="005F5060"/>
    <w:rsid w:val="005F540C"/>
    <w:rsid w:val="005F551A"/>
    <w:rsid w:val="005F7058"/>
    <w:rsid w:val="005F71CF"/>
    <w:rsid w:val="005F7CD6"/>
    <w:rsid w:val="005F7EE2"/>
    <w:rsid w:val="005F7F8E"/>
    <w:rsid w:val="00604041"/>
    <w:rsid w:val="00604166"/>
    <w:rsid w:val="006044DF"/>
    <w:rsid w:val="00604A1E"/>
    <w:rsid w:val="006054F5"/>
    <w:rsid w:val="0060586D"/>
    <w:rsid w:val="00607B24"/>
    <w:rsid w:val="00611008"/>
    <w:rsid w:val="00611CB6"/>
    <w:rsid w:val="00611EA6"/>
    <w:rsid w:val="00612ABC"/>
    <w:rsid w:val="0061430D"/>
    <w:rsid w:val="00616A55"/>
    <w:rsid w:val="00617D28"/>
    <w:rsid w:val="00617E98"/>
    <w:rsid w:val="006212A0"/>
    <w:rsid w:val="00621AB0"/>
    <w:rsid w:val="00624CBA"/>
    <w:rsid w:val="00624D69"/>
    <w:rsid w:val="00624EB8"/>
    <w:rsid w:val="00625074"/>
    <w:rsid w:val="00625D5E"/>
    <w:rsid w:val="00625E1B"/>
    <w:rsid w:val="006260E3"/>
    <w:rsid w:val="006267E1"/>
    <w:rsid w:val="00627119"/>
    <w:rsid w:val="00627F28"/>
    <w:rsid w:val="00630209"/>
    <w:rsid w:val="00630924"/>
    <w:rsid w:val="006309EA"/>
    <w:rsid w:val="0063218D"/>
    <w:rsid w:val="00633439"/>
    <w:rsid w:val="006339F8"/>
    <w:rsid w:val="00635199"/>
    <w:rsid w:val="00635BD7"/>
    <w:rsid w:val="00637409"/>
    <w:rsid w:val="006406DC"/>
    <w:rsid w:val="0064304E"/>
    <w:rsid w:val="00643845"/>
    <w:rsid w:val="00643B88"/>
    <w:rsid w:val="00644702"/>
    <w:rsid w:val="006452A2"/>
    <w:rsid w:val="00647EE2"/>
    <w:rsid w:val="006503DB"/>
    <w:rsid w:val="00651B06"/>
    <w:rsid w:val="0065246D"/>
    <w:rsid w:val="00655792"/>
    <w:rsid w:val="00655ACD"/>
    <w:rsid w:val="0065609C"/>
    <w:rsid w:val="0066048A"/>
    <w:rsid w:val="00661BF0"/>
    <w:rsid w:val="006627B4"/>
    <w:rsid w:val="00663809"/>
    <w:rsid w:val="00664B7B"/>
    <w:rsid w:val="00664C73"/>
    <w:rsid w:val="00665496"/>
    <w:rsid w:val="0067028B"/>
    <w:rsid w:val="00672C99"/>
    <w:rsid w:val="006730C2"/>
    <w:rsid w:val="00674470"/>
    <w:rsid w:val="006755FC"/>
    <w:rsid w:val="0067633A"/>
    <w:rsid w:val="00676ED6"/>
    <w:rsid w:val="006773CE"/>
    <w:rsid w:val="006805AC"/>
    <w:rsid w:val="00680AA9"/>
    <w:rsid w:val="0068285C"/>
    <w:rsid w:val="00682BC2"/>
    <w:rsid w:val="00683DBC"/>
    <w:rsid w:val="006842FA"/>
    <w:rsid w:val="0068455E"/>
    <w:rsid w:val="00684C94"/>
    <w:rsid w:val="0068510E"/>
    <w:rsid w:val="006853FD"/>
    <w:rsid w:val="00685B67"/>
    <w:rsid w:val="00686B45"/>
    <w:rsid w:val="00687639"/>
    <w:rsid w:val="00693149"/>
    <w:rsid w:val="00694AC2"/>
    <w:rsid w:val="0069648A"/>
    <w:rsid w:val="006A193A"/>
    <w:rsid w:val="006A2420"/>
    <w:rsid w:val="006A2900"/>
    <w:rsid w:val="006A5756"/>
    <w:rsid w:val="006A5C6A"/>
    <w:rsid w:val="006A6862"/>
    <w:rsid w:val="006A6B71"/>
    <w:rsid w:val="006B06EF"/>
    <w:rsid w:val="006B1F6E"/>
    <w:rsid w:val="006B334A"/>
    <w:rsid w:val="006B4552"/>
    <w:rsid w:val="006B4DA1"/>
    <w:rsid w:val="006B5435"/>
    <w:rsid w:val="006B5476"/>
    <w:rsid w:val="006B641A"/>
    <w:rsid w:val="006B6F6C"/>
    <w:rsid w:val="006B77D1"/>
    <w:rsid w:val="006C29BD"/>
    <w:rsid w:val="006D02E9"/>
    <w:rsid w:val="006D2D10"/>
    <w:rsid w:val="006D357F"/>
    <w:rsid w:val="006D3962"/>
    <w:rsid w:val="006D4FDF"/>
    <w:rsid w:val="006D54C5"/>
    <w:rsid w:val="006D5F8A"/>
    <w:rsid w:val="006D7D7C"/>
    <w:rsid w:val="006E19D6"/>
    <w:rsid w:val="006E285F"/>
    <w:rsid w:val="006E3D03"/>
    <w:rsid w:val="006E4AC2"/>
    <w:rsid w:val="006E4BCF"/>
    <w:rsid w:val="006E705B"/>
    <w:rsid w:val="006E7163"/>
    <w:rsid w:val="006E750A"/>
    <w:rsid w:val="006F1B1E"/>
    <w:rsid w:val="006F1B2B"/>
    <w:rsid w:val="006F206C"/>
    <w:rsid w:val="006F2A14"/>
    <w:rsid w:val="006F3B53"/>
    <w:rsid w:val="006F4B41"/>
    <w:rsid w:val="006F7F7B"/>
    <w:rsid w:val="00700201"/>
    <w:rsid w:val="00701F89"/>
    <w:rsid w:val="00701FA5"/>
    <w:rsid w:val="0070418F"/>
    <w:rsid w:val="00704CE9"/>
    <w:rsid w:val="00704DAB"/>
    <w:rsid w:val="00705DB5"/>
    <w:rsid w:val="00710569"/>
    <w:rsid w:val="007119A5"/>
    <w:rsid w:val="00713BC0"/>
    <w:rsid w:val="007140FA"/>
    <w:rsid w:val="007143EA"/>
    <w:rsid w:val="007145CA"/>
    <w:rsid w:val="00714DFB"/>
    <w:rsid w:val="00714FC3"/>
    <w:rsid w:val="0071688B"/>
    <w:rsid w:val="00721515"/>
    <w:rsid w:val="007235E6"/>
    <w:rsid w:val="00725326"/>
    <w:rsid w:val="00726446"/>
    <w:rsid w:val="00727A8D"/>
    <w:rsid w:val="00730028"/>
    <w:rsid w:val="00730A50"/>
    <w:rsid w:val="007312D9"/>
    <w:rsid w:val="00731505"/>
    <w:rsid w:val="00732625"/>
    <w:rsid w:val="0073345E"/>
    <w:rsid w:val="007358D4"/>
    <w:rsid w:val="00736190"/>
    <w:rsid w:val="00740FBC"/>
    <w:rsid w:val="00741F7E"/>
    <w:rsid w:val="0074275E"/>
    <w:rsid w:val="00745F66"/>
    <w:rsid w:val="0074600B"/>
    <w:rsid w:val="00746295"/>
    <w:rsid w:val="00746531"/>
    <w:rsid w:val="00747F8D"/>
    <w:rsid w:val="00750082"/>
    <w:rsid w:val="0075091B"/>
    <w:rsid w:val="00750965"/>
    <w:rsid w:val="007516B9"/>
    <w:rsid w:val="007517F3"/>
    <w:rsid w:val="00751E45"/>
    <w:rsid w:val="00752218"/>
    <w:rsid w:val="00754484"/>
    <w:rsid w:val="00754A10"/>
    <w:rsid w:val="00755B4F"/>
    <w:rsid w:val="00757280"/>
    <w:rsid w:val="007601C9"/>
    <w:rsid w:val="0076071F"/>
    <w:rsid w:val="00761D1B"/>
    <w:rsid w:val="00762898"/>
    <w:rsid w:val="0076447E"/>
    <w:rsid w:val="007653AF"/>
    <w:rsid w:val="00765DF9"/>
    <w:rsid w:val="007665B6"/>
    <w:rsid w:val="00767DBF"/>
    <w:rsid w:val="00772144"/>
    <w:rsid w:val="0077385E"/>
    <w:rsid w:val="00774138"/>
    <w:rsid w:val="007752B9"/>
    <w:rsid w:val="007765A0"/>
    <w:rsid w:val="007779C0"/>
    <w:rsid w:val="0078146A"/>
    <w:rsid w:val="007818EE"/>
    <w:rsid w:val="0078477D"/>
    <w:rsid w:val="00784F06"/>
    <w:rsid w:val="00785132"/>
    <w:rsid w:val="00786171"/>
    <w:rsid w:val="00786D85"/>
    <w:rsid w:val="00787058"/>
    <w:rsid w:val="00790282"/>
    <w:rsid w:val="00790D88"/>
    <w:rsid w:val="00791B93"/>
    <w:rsid w:val="00792102"/>
    <w:rsid w:val="00792829"/>
    <w:rsid w:val="007931B1"/>
    <w:rsid w:val="00793D6C"/>
    <w:rsid w:val="0079441E"/>
    <w:rsid w:val="00794C4D"/>
    <w:rsid w:val="00795B9D"/>
    <w:rsid w:val="007A2AB3"/>
    <w:rsid w:val="007A33A0"/>
    <w:rsid w:val="007A497F"/>
    <w:rsid w:val="007A5615"/>
    <w:rsid w:val="007A5E9B"/>
    <w:rsid w:val="007A693A"/>
    <w:rsid w:val="007B062A"/>
    <w:rsid w:val="007B0CCF"/>
    <w:rsid w:val="007B3313"/>
    <w:rsid w:val="007B3A1C"/>
    <w:rsid w:val="007B4429"/>
    <w:rsid w:val="007B494E"/>
    <w:rsid w:val="007B6DBD"/>
    <w:rsid w:val="007B6DD2"/>
    <w:rsid w:val="007C006C"/>
    <w:rsid w:val="007C2318"/>
    <w:rsid w:val="007C25EB"/>
    <w:rsid w:val="007C35C1"/>
    <w:rsid w:val="007C5C07"/>
    <w:rsid w:val="007C7015"/>
    <w:rsid w:val="007D02BC"/>
    <w:rsid w:val="007D02BF"/>
    <w:rsid w:val="007D04C9"/>
    <w:rsid w:val="007D0A33"/>
    <w:rsid w:val="007D204D"/>
    <w:rsid w:val="007D3F1B"/>
    <w:rsid w:val="007D4CC9"/>
    <w:rsid w:val="007D4D4A"/>
    <w:rsid w:val="007D55D7"/>
    <w:rsid w:val="007D573A"/>
    <w:rsid w:val="007E47D7"/>
    <w:rsid w:val="007E4E31"/>
    <w:rsid w:val="007E60FB"/>
    <w:rsid w:val="007E76E8"/>
    <w:rsid w:val="007E7E96"/>
    <w:rsid w:val="007F1895"/>
    <w:rsid w:val="007F28C1"/>
    <w:rsid w:val="007F2BDD"/>
    <w:rsid w:val="007F32DE"/>
    <w:rsid w:val="007F40C4"/>
    <w:rsid w:val="007F4959"/>
    <w:rsid w:val="007F5753"/>
    <w:rsid w:val="007F799B"/>
    <w:rsid w:val="00801154"/>
    <w:rsid w:val="008012E0"/>
    <w:rsid w:val="00802EAB"/>
    <w:rsid w:val="00803BA5"/>
    <w:rsid w:val="0080401A"/>
    <w:rsid w:val="00806E4A"/>
    <w:rsid w:val="00807C1C"/>
    <w:rsid w:val="00811880"/>
    <w:rsid w:val="0081229B"/>
    <w:rsid w:val="00813AA7"/>
    <w:rsid w:val="00814448"/>
    <w:rsid w:val="0081674F"/>
    <w:rsid w:val="0081711F"/>
    <w:rsid w:val="008174BA"/>
    <w:rsid w:val="0082496E"/>
    <w:rsid w:val="00824C0C"/>
    <w:rsid w:val="00826AA0"/>
    <w:rsid w:val="00827EDF"/>
    <w:rsid w:val="0083098C"/>
    <w:rsid w:val="00831417"/>
    <w:rsid w:val="00832563"/>
    <w:rsid w:val="00832B47"/>
    <w:rsid w:val="008330DA"/>
    <w:rsid w:val="0083315C"/>
    <w:rsid w:val="0084005A"/>
    <w:rsid w:val="008415A3"/>
    <w:rsid w:val="00842179"/>
    <w:rsid w:val="008423BC"/>
    <w:rsid w:val="00842944"/>
    <w:rsid w:val="008429EE"/>
    <w:rsid w:val="00842C2B"/>
    <w:rsid w:val="008438FE"/>
    <w:rsid w:val="0084475C"/>
    <w:rsid w:val="00844AC7"/>
    <w:rsid w:val="00845C11"/>
    <w:rsid w:val="008501CA"/>
    <w:rsid w:val="00850E37"/>
    <w:rsid w:val="008515F3"/>
    <w:rsid w:val="00851F58"/>
    <w:rsid w:val="008524C7"/>
    <w:rsid w:val="008535CE"/>
    <w:rsid w:val="0085369D"/>
    <w:rsid w:val="00854EE0"/>
    <w:rsid w:val="0085612C"/>
    <w:rsid w:val="00857280"/>
    <w:rsid w:val="00861553"/>
    <w:rsid w:val="00861CAE"/>
    <w:rsid w:val="00862FB3"/>
    <w:rsid w:val="00864184"/>
    <w:rsid w:val="0086520A"/>
    <w:rsid w:val="00867A56"/>
    <w:rsid w:val="00873B93"/>
    <w:rsid w:val="00875666"/>
    <w:rsid w:val="00876287"/>
    <w:rsid w:val="00880F9A"/>
    <w:rsid w:val="008829D4"/>
    <w:rsid w:val="00882A2C"/>
    <w:rsid w:val="008847CC"/>
    <w:rsid w:val="0088482B"/>
    <w:rsid w:val="00884A9D"/>
    <w:rsid w:val="00884E63"/>
    <w:rsid w:val="00887D6A"/>
    <w:rsid w:val="0089332B"/>
    <w:rsid w:val="00894ED4"/>
    <w:rsid w:val="00897C41"/>
    <w:rsid w:val="008A008C"/>
    <w:rsid w:val="008A045C"/>
    <w:rsid w:val="008A0984"/>
    <w:rsid w:val="008A120D"/>
    <w:rsid w:val="008A422A"/>
    <w:rsid w:val="008A449D"/>
    <w:rsid w:val="008A4A13"/>
    <w:rsid w:val="008A5B7F"/>
    <w:rsid w:val="008A6A89"/>
    <w:rsid w:val="008A6F05"/>
    <w:rsid w:val="008A7A0F"/>
    <w:rsid w:val="008A7CC4"/>
    <w:rsid w:val="008B1F85"/>
    <w:rsid w:val="008B3A52"/>
    <w:rsid w:val="008B5B81"/>
    <w:rsid w:val="008C0199"/>
    <w:rsid w:val="008C0E45"/>
    <w:rsid w:val="008C1AFC"/>
    <w:rsid w:val="008C6BD3"/>
    <w:rsid w:val="008C73AD"/>
    <w:rsid w:val="008D18F7"/>
    <w:rsid w:val="008D2319"/>
    <w:rsid w:val="008D23A3"/>
    <w:rsid w:val="008D2550"/>
    <w:rsid w:val="008D4318"/>
    <w:rsid w:val="008D478E"/>
    <w:rsid w:val="008D59A8"/>
    <w:rsid w:val="008D5E3B"/>
    <w:rsid w:val="008D6CEA"/>
    <w:rsid w:val="008D790A"/>
    <w:rsid w:val="008E138C"/>
    <w:rsid w:val="008E2817"/>
    <w:rsid w:val="008E3CB8"/>
    <w:rsid w:val="008E3F98"/>
    <w:rsid w:val="008E464D"/>
    <w:rsid w:val="008E5586"/>
    <w:rsid w:val="008E723C"/>
    <w:rsid w:val="008F0045"/>
    <w:rsid w:val="008F01A3"/>
    <w:rsid w:val="008F2770"/>
    <w:rsid w:val="008F2BAE"/>
    <w:rsid w:val="008F4B52"/>
    <w:rsid w:val="008F57CB"/>
    <w:rsid w:val="008F6D88"/>
    <w:rsid w:val="009008A6"/>
    <w:rsid w:val="00902570"/>
    <w:rsid w:val="009034A7"/>
    <w:rsid w:val="009041DE"/>
    <w:rsid w:val="009043C7"/>
    <w:rsid w:val="00904B11"/>
    <w:rsid w:val="0090526C"/>
    <w:rsid w:val="00905B6F"/>
    <w:rsid w:val="00906B09"/>
    <w:rsid w:val="00906FFE"/>
    <w:rsid w:val="0090750E"/>
    <w:rsid w:val="009076D4"/>
    <w:rsid w:val="00907EA4"/>
    <w:rsid w:val="00910BAC"/>
    <w:rsid w:val="009138CA"/>
    <w:rsid w:val="0091566A"/>
    <w:rsid w:val="009167FB"/>
    <w:rsid w:val="00917739"/>
    <w:rsid w:val="00917920"/>
    <w:rsid w:val="009211EE"/>
    <w:rsid w:val="00923AE3"/>
    <w:rsid w:val="00923DC7"/>
    <w:rsid w:val="00927C4B"/>
    <w:rsid w:val="00930C6B"/>
    <w:rsid w:val="00930D7B"/>
    <w:rsid w:val="00934576"/>
    <w:rsid w:val="00934B1C"/>
    <w:rsid w:val="00935AB6"/>
    <w:rsid w:val="00936A3C"/>
    <w:rsid w:val="0094367F"/>
    <w:rsid w:val="00943A39"/>
    <w:rsid w:val="00944198"/>
    <w:rsid w:val="00944DBA"/>
    <w:rsid w:val="0094585B"/>
    <w:rsid w:val="009463FE"/>
    <w:rsid w:val="00947546"/>
    <w:rsid w:val="00952464"/>
    <w:rsid w:val="00954903"/>
    <w:rsid w:val="0095531C"/>
    <w:rsid w:val="00956292"/>
    <w:rsid w:val="0095651A"/>
    <w:rsid w:val="009569D9"/>
    <w:rsid w:val="00956BD6"/>
    <w:rsid w:val="009571B3"/>
    <w:rsid w:val="009613F0"/>
    <w:rsid w:val="00963793"/>
    <w:rsid w:val="00963C48"/>
    <w:rsid w:val="00963FBA"/>
    <w:rsid w:val="009640F5"/>
    <w:rsid w:val="009650BA"/>
    <w:rsid w:val="0096692D"/>
    <w:rsid w:val="00966BC0"/>
    <w:rsid w:val="00970BBA"/>
    <w:rsid w:val="0097293E"/>
    <w:rsid w:val="0097430C"/>
    <w:rsid w:val="00975873"/>
    <w:rsid w:val="00976346"/>
    <w:rsid w:val="00976567"/>
    <w:rsid w:val="009771E9"/>
    <w:rsid w:val="00980B1F"/>
    <w:rsid w:val="00981397"/>
    <w:rsid w:val="00982DAD"/>
    <w:rsid w:val="00983B54"/>
    <w:rsid w:val="0098400F"/>
    <w:rsid w:val="00986969"/>
    <w:rsid w:val="009875F5"/>
    <w:rsid w:val="00987648"/>
    <w:rsid w:val="00994095"/>
    <w:rsid w:val="00994648"/>
    <w:rsid w:val="009951B9"/>
    <w:rsid w:val="00996308"/>
    <w:rsid w:val="00996F67"/>
    <w:rsid w:val="00997996"/>
    <w:rsid w:val="009A09D1"/>
    <w:rsid w:val="009A3031"/>
    <w:rsid w:val="009A333A"/>
    <w:rsid w:val="009A3A44"/>
    <w:rsid w:val="009A4704"/>
    <w:rsid w:val="009A5129"/>
    <w:rsid w:val="009B0089"/>
    <w:rsid w:val="009B214A"/>
    <w:rsid w:val="009B2D18"/>
    <w:rsid w:val="009B73F2"/>
    <w:rsid w:val="009B77A1"/>
    <w:rsid w:val="009C041D"/>
    <w:rsid w:val="009C18A4"/>
    <w:rsid w:val="009C1A5E"/>
    <w:rsid w:val="009C1AB4"/>
    <w:rsid w:val="009C244F"/>
    <w:rsid w:val="009C2720"/>
    <w:rsid w:val="009C318B"/>
    <w:rsid w:val="009C3EF5"/>
    <w:rsid w:val="009C59DE"/>
    <w:rsid w:val="009C6A2D"/>
    <w:rsid w:val="009C75C1"/>
    <w:rsid w:val="009D0124"/>
    <w:rsid w:val="009D02CC"/>
    <w:rsid w:val="009D06E0"/>
    <w:rsid w:val="009D0EE9"/>
    <w:rsid w:val="009D32B0"/>
    <w:rsid w:val="009D4451"/>
    <w:rsid w:val="009D50AA"/>
    <w:rsid w:val="009D50E1"/>
    <w:rsid w:val="009D5BE8"/>
    <w:rsid w:val="009E0CA2"/>
    <w:rsid w:val="009E3327"/>
    <w:rsid w:val="009E593E"/>
    <w:rsid w:val="009E64C4"/>
    <w:rsid w:val="009E6D81"/>
    <w:rsid w:val="009E7491"/>
    <w:rsid w:val="009E79CC"/>
    <w:rsid w:val="009F0DCD"/>
    <w:rsid w:val="009F1294"/>
    <w:rsid w:val="009F148A"/>
    <w:rsid w:val="009F1620"/>
    <w:rsid w:val="009F1840"/>
    <w:rsid w:val="009F4F06"/>
    <w:rsid w:val="009F7171"/>
    <w:rsid w:val="009F7D6E"/>
    <w:rsid w:val="00A04B1B"/>
    <w:rsid w:val="00A051F4"/>
    <w:rsid w:val="00A05645"/>
    <w:rsid w:val="00A069CB"/>
    <w:rsid w:val="00A12C47"/>
    <w:rsid w:val="00A13A11"/>
    <w:rsid w:val="00A144EC"/>
    <w:rsid w:val="00A14FAC"/>
    <w:rsid w:val="00A15CEF"/>
    <w:rsid w:val="00A17A50"/>
    <w:rsid w:val="00A17EEF"/>
    <w:rsid w:val="00A203B2"/>
    <w:rsid w:val="00A22E77"/>
    <w:rsid w:val="00A2459D"/>
    <w:rsid w:val="00A24938"/>
    <w:rsid w:val="00A260E6"/>
    <w:rsid w:val="00A27698"/>
    <w:rsid w:val="00A3055B"/>
    <w:rsid w:val="00A3125A"/>
    <w:rsid w:val="00A32C6F"/>
    <w:rsid w:val="00A32E18"/>
    <w:rsid w:val="00A331D2"/>
    <w:rsid w:val="00A33506"/>
    <w:rsid w:val="00A33886"/>
    <w:rsid w:val="00A34E3B"/>
    <w:rsid w:val="00A36B9E"/>
    <w:rsid w:val="00A413F9"/>
    <w:rsid w:val="00A426D7"/>
    <w:rsid w:val="00A43987"/>
    <w:rsid w:val="00A52B6C"/>
    <w:rsid w:val="00A55607"/>
    <w:rsid w:val="00A55B73"/>
    <w:rsid w:val="00A55BEA"/>
    <w:rsid w:val="00A609BF"/>
    <w:rsid w:val="00A60E66"/>
    <w:rsid w:val="00A61C5D"/>
    <w:rsid w:val="00A653A7"/>
    <w:rsid w:val="00A654A9"/>
    <w:rsid w:val="00A65840"/>
    <w:rsid w:val="00A66B4D"/>
    <w:rsid w:val="00A6731B"/>
    <w:rsid w:val="00A7309D"/>
    <w:rsid w:val="00A7428D"/>
    <w:rsid w:val="00A74D2B"/>
    <w:rsid w:val="00A751C6"/>
    <w:rsid w:val="00A75B81"/>
    <w:rsid w:val="00A77D32"/>
    <w:rsid w:val="00A803FE"/>
    <w:rsid w:val="00A82175"/>
    <w:rsid w:val="00A8309B"/>
    <w:rsid w:val="00A83323"/>
    <w:rsid w:val="00A83DCD"/>
    <w:rsid w:val="00A85D80"/>
    <w:rsid w:val="00A8723D"/>
    <w:rsid w:val="00A8768C"/>
    <w:rsid w:val="00A87977"/>
    <w:rsid w:val="00A90497"/>
    <w:rsid w:val="00A90B3E"/>
    <w:rsid w:val="00A910A9"/>
    <w:rsid w:val="00A916DF"/>
    <w:rsid w:val="00A9191C"/>
    <w:rsid w:val="00A9308E"/>
    <w:rsid w:val="00A93238"/>
    <w:rsid w:val="00A96939"/>
    <w:rsid w:val="00AA1EEB"/>
    <w:rsid w:val="00AA2478"/>
    <w:rsid w:val="00AA2592"/>
    <w:rsid w:val="00AA2631"/>
    <w:rsid w:val="00AA63E9"/>
    <w:rsid w:val="00AA6F1B"/>
    <w:rsid w:val="00AB01F8"/>
    <w:rsid w:val="00AB10F4"/>
    <w:rsid w:val="00AB1822"/>
    <w:rsid w:val="00AB6D6E"/>
    <w:rsid w:val="00AB7A76"/>
    <w:rsid w:val="00AC0DE0"/>
    <w:rsid w:val="00AC1B1E"/>
    <w:rsid w:val="00AC24A3"/>
    <w:rsid w:val="00AC2EE8"/>
    <w:rsid w:val="00AC66B1"/>
    <w:rsid w:val="00AC68B3"/>
    <w:rsid w:val="00AC7B69"/>
    <w:rsid w:val="00AC7F32"/>
    <w:rsid w:val="00AD0005"/>
    <w:rsid w:val="00AD0053"/>
    <w:rsid w:val="00AD0948"/>
    <w:rsid w:val="00AD129C"/>
    <w:rsid w:val="00AD272C"/>
    <w:rsid w:val="00AD277B"/>
    <w:rsid w:val="00AD3814"/>
    <w:rsid w:val="00AD5645"/>
    <w:rsid w:val="00AD637D"/>
    <w:rsid w:val="00AD63E7"/>
    <w:rsid w:val="00AD6C0A"/>
    <w:rsid w:val="00AD7002"/>
    <w:rsid w:val="00AD7419"/>
    <w:rsid w:val="00AE382E"/>
    <w:rsid w:val="00AF1D85"/>
    <w:rsid w:val="00AF1E81"/>
    <w:rsid w:val="00AF2F13"/>
    <w:rsid w:val="00AF3FD8"/>
    <w:rsid w:val="00AF4794"/>
    <w:rsid w:val="00AF4C7D"/>
    <w:rsid w:val="00B007C2"/>
    <w:rsid w:val="00B02799"/>
    <w:rsid w:val="00B037A4"/>
    <w:rsid w:val="00B04A43"/>
    <w:rsid w:val="00B0561A"/>
    <w:rsid w:val="00B05E8B"/>
    <w:rsid w:val="00B0738F"/>
    <w:rsid w:val="00B1069E"/>
    <w:rsid w:val="00B10C61"/>
    <w:rsid w:val="00B10F12"/>
    <w:rsid w:val="00B131E2"/>
    <w:rsid w:val="00B1558E"/>
    <w:rsid w:val="00B167CE"/>
    <w:rsid w:val="00B17912"/>
    <w:rsid w:val="00B17E84"/>
    <w:rsid w:val="00B214F2"/>
    <w:rsid w:val="00B222A8"/>
    <w:rsid w:val="00B222E9"/>
    <w:rsid w:val="00B223F7"/>
    <w:rsid w:val="00B227E1"/>
    <w:rsid w:val="00B22DC0"/>
    <w:rsid w:val="00B23009"/>
    <w:rsid w:val="00B23212"/>
    <w:rsid w:val="00B2332D"/>
    <w:rsid w:val="00B25451"/>
    <w:rsid w:val="00B25B07"/>
    <w:rsid w:val="00B265A8"/>
    <w:rsid w:val="00B305B2"/>
    <w:rsid w:val="00B31ACA"/>
    <w:rsid w:val="00B31CC8"/>
    <w:rsid w:val="00B3551E"/>
    <w:rsid w:val="00B371AB"/>
    <w:rsid w:val="00B37CFD"/>
    <w:rsid w:val="00B40E24"/>
    <w:rsid w:val="00B41681"/>
    <w:rsid w:val="00B41A90"/>
    <w:rsid w:val="00B41D2D"/>
    <w:rsid w:val="00B44350"/>
    <w:rsid w:val="00B4584C"/>
    <w:rsid w:val="00B45D86"/>
    <w:rsid w:val="00B5150B"/>
    <w:rsid w:val="00B53D66"/>
    <w:rsid w:val="00B542C2"/>
    <w:rsid w:val="00B54FA8"/>
    <w:rsid w:val="00B55205"/>
    <w:rsid w:val="00B56132"/>
    <w:rsid w:val="00B56B3E"/>
    <w:rsid w:val="00B56B94"/>
    <w:rsid w:val="00B5706A"/>
    <w:rsid w:val="00B570EB"/>
    <w:rsid w:val="00B602EB"/>
    <w:rsid w:val="00B61843"/>
    <w:rsid w:val="00B6266D"/>
    <w:rsid w:val="00B6293F"/>
    <w:rsid w:val="00B629CF"/>
    <w:rsid w:val="00B63FBE"/>
    <w:rsid w:val="00B657AC"/>
    <w:rsid w:val="00B65E5A"/>
    <w:rsid w:val="00B66006"/>
    <w:rsid w:val="00B66B10"/>
    <w:rsid w:val="00B66F2E"/>
    <w:rsid w:val="00B70255"/>
    <w:rsid w:val="00B74F93"/>
    <w:rsid w:val="00B75388"/>
    <w:rsid w:val="00B77915"/>
    <w:rsid w:val="00B80A41"/>
    <w:rsid w:val="00B80C2A"/>
    <w:rsid w:val="00B81570"/>
    <w:rsid w:val="00B81732"/>
    <w:rsid w:val="00B82C1B"/>
    <w:rsid w:val="00B83225"/>
    <w:rsid w:val="00B8379E"/>
    <w:rsid w:val="00B84FFB"/>
    <w:rsid w:val="00B8518C"/>
    <w:rsid w:val="00B86781"/>
    <w:rsid w:val="00B91CDB"/>
    <w:rsid w:val="00B973A0"/>
    <w:rsid w:val="00B97788"/>
    <w:rsid w:val="00B977B3"/>
    <w:rsid w:val="00BA1D1D"/>
    <w:rsid w:val="00BA1E71"/>
    <w:rsid w:val="00BA39CC"/>
    <w:rsid w:val="00BA4BDD"/>
    <w:rsid w:val="00BA4C13"/>
    <w:rsid w:val="00BA5CE0"/>
    <w:rsid w:val="00BA6E02"/>
    <w:rsid w:val="00BA6E78"/>
    <w:rsid w:val="00BA7C84"/>
    <w:rsid w:val="00BB16FE"/>
    <w:rsid w:val="00BB1C4A"/>
    <w:rsid w:val="00BB3B28"/>
    <w:rsid w:val="00BB448A"/>
    <w:rsid w:val="00BB4823"/>
    <w:rsid w:val="00BB5B02"/>
    <w:rsid w:val="00BB6144"/>
    <w:rsid w:val="00BB6868"/>
    <w:rsid w:val="00BC138F"/>
    <w:rsid w:val="00BC27EE"/>
    <w:rsid w:val="00BC2D60"/>
    <w:rsid w:val="00BC3E85"/>
    <w:rsid w:val="00BC5880"/>
    <w:rsid w:val="00BC6C86"/>
    <w:rsid w:val="00BC7F7C"/>
    <w:rsid w:val="00BD051B"/>
    <w:rsid w:val="00BD0D3F"/>
    <w:rsid w:val="00BD1637"/>
    <w:rsid w:val="00BD2A9C"/>
    <w:rsid w:val="00BD5EE1"/>
    <w:rsid w:val="00BD5EF9"/>
    <w:rsid w:val="00BD6011"/>
    <w:rsid w:val="00BD6345"/>
    <w:rsid w:val="00BD6EC1"/>
    <w:rsid w:val="00BE4643"/>
    <w:rsid w:val="00BE5139"/>
    <w:rsid w:val="00BE5FC8"/>
    <w:rsid w:val="00BE7728"/>
    <w:rsid w:val="00BF30BB"/>
    <w:rsid w:val="00BF4134"/>
    <w:rsid w:val="00BF4475"/>
    <w:rsid w:val="00BF5C7B"/>
    <w:rsid w:val="00BF5DA1"/>
    <w:rsid w:val="00BF60E8"/>
    <w:rsid w:val="00BF6D0E"/>
    <w:rsid w:val="00BF7425"/>
    <w:rsid w:val="00BF77CC"/>
    <w:rsid w:val="00BF7A1D"/>
    <w:rsid w:val="00C002A1"/>
    <w:rsid w:val="00C00838"/>
    <w:rsid w:val="00C01820"/>
    <w:rsid w:val="00C0364F"/>
    <w:rsid w:val="00C03C9E"/>
    <w:rsid w:val="00C04ED4"/>
    <w:rsid w:val="00C05A20"/>
    <w:rsid w:val="00C104D6"/>
    <w:rsid w:val="00C11545"/>
    <w:rsid w:val="00C131A1"/>
    <w:rsid w:val="00C13FBB"/>
    <w:rsid w:val="00C15DE4"/>
    <w:rsid w:val="00C162E8"/>
    <w:rsid w:val="00C1688E"/>
    <w:rsid w:val="00C16C28"/>
    <w:rsid w:val="00C17D55"/>
    <w:rsid w:val="00C20D14"/>
    <w:rsid w:val="00C20F29"/>
    <w:rsid w:val="00C22FC3"/>
    <w:rsid w:val="00C232FF"/>
    <w:rsid w:val="00C23C3A"/>
    <w:rsid w:val="00C24925"/>
    <w:rsid w:val="00C25069"/>
    <w:rsid w:val="00C25342"/>
    <w:rsid w:val="00C2562F"/>
    <w:rsid w:val="00C25E38"/>
    <w:rsid w:val="00C27A1F"/>
    <w:rsid w:val="00C30A84"/>
    <w:rsid w:val="00C314F1"/>
    <w:rsid w:val="00C328F8"/>
    <w:rsid w:val="00C33CE4"/>
    <w:rsid w:val="00C36292"/>
    <w:rsid w:val="00C37537"/>
    <w:rsid w:val="00C40E8D"/>
    <w:rsid w:val="00C40E9B"/>
    <w:rsid w:val="00C446D6"/>
    <w:rsid w:val="00C45556"/>
    <w:rsid w:val="00C45A70"/>
    <w:rsid w:val="00C46327"/>
    <w:rsid w:val="00C477A7"/>
    <w:rsid w:val="00C47C35"/>
    <w:rsid w:val="00C51983"/>
    <w:rsid w:val="00C53369"/>
    <w:rsid w:val="00C54683"/>
    <w:rsid w:val="00C568E6"/>
    <w:rsid w:val="00C56942"/>
    <w:rsid w:val="00C576AE"/>
    <w:rsid w:val="00C6190C"/>
    <w:rsid w:val="00C62D6C"/>
    <w:rsid w:val="00C62EC1"/>
    <w:rsid w:val="00C63977"/>
    <w:rsid w:val="00C64076"/>
    <w:rsid w:val="00C6429E"/>
    <w:rsid w:val="00C65F5E"/>
    <w:rsid w:val="00C70755"/>
    <w:rsid w:val="00C70B80"/>
    <w:rsid w:val="00C7208E"/>
    <w:rsid w:val="00C72F94"/>
    <w:rsid w:val="00C73432"/>
    <w:rsid w:val="00C73996"/>
    <w:rsid w:val="00C75F5E"/>
    <w:rsid w:val="00C75FE8"/>
    <w:rsid w:val="00C80CC3"/>
    <w:rsid w:val="00C8261F"/>
    <w:rsid w:val="00C82D05"/>
    <w:rsid w:val="00C82EE8"/>
    <w:rsid w:val="00C8484B"/>
    <w:rsid w:val="00C84CF4"/>
    <w:rsid w:val="00C86C68"/>
    <w:rsid w:val="00C911C1"/>
    <w:rsid w:val="00C93855"/>
    <w:rsid w:val="00C939D0"/>
    <w:rsid w:val="00C93B2B"/>
    <w:rsid w:val="00C94ECC"/>
    <w:rsid w:val="00C96900"/>
    <w:rsid w:val="00C97241"/>
    <w:rsid w:val="00C97412"/>
    <w:rsid w:val="00CA18CC"/>
    <w:rsid w:val="00CA337D"/>
    <w:rsid w:val="00CA4BE0"/>
    <w:rsid w:val="00CA5014"/>
    <w:rsid w:val="00CA5A3C"/>
    <w:rsid w:val="00CA5C35"/>
    <w:rsid w:val="00CA748F"/>
    <w:rsid w:val="00CA75D6"/>
    <w:rsid w:val="00CB1014"/>
    <w:rsid w:val="00CB381A"/>
    <w:rsid w:val="00CB3F8B"/>
    <w:rsid w:val="00CB4235"/>
    <w:rsid w:val="00CB6765"/>
    <w:rsid w:val="00CB7EA5"/>
    <w:rsid w:val="00CC17D6"/>
    <w:rsid w:val="00CC21A8"/>
    <w:rsid w:val="00CC2ECB"/>
    <w:rsid w:val="00CC3AC4"/>
    <w:rsid w:val="00CC491E"/>
    <w:rsid w:val="00CC67EF"/>
    <w:rsid w:val="00CC7E6F"/>
    <w:rsid w:val="00CD08BC"/>
    <w:rsid w:val="00CD5C4E"/>
    <w:rsid w:val="00CD6556"/>
    <w:rsid w:val="00CE0A77"/>
    <w:rsid w:val="00CE0F94"/>
    <w:rsid w:val="00CE119C"/>
    <w:rsid w:val="00CE1876"/>
    <w:rsid w:val="00CE1EA7"/>
    <w:rsid w:val="00CE3ACF"/>
    <w:rsid w:val="00CE3B50"/>
    <w:rsid w:val="00CE3D84"/>
    <w:rsid w:val="00CE579D"/>
    <w:rsid w:val="00CE5B3B"/>
    <w:rsid w:val="00CE726C"/>
    <w:rsid w:val="00CF028D"/>
    <w:rsid w:val="00CF0F9E"/>
    <w:rsid w:val="00CF5139"/>
    <w:rsid w:val="00CF56FE"/>
    <w:rsid w:val="00CF59FB"/>
    <w:rsid w:val="00CF6F91"/>
    <w:rsid w:val="00CF72F1"/>
    <w:rsid w:val="00D004AE"/>
    <w:rsid w:val="00D00C85"/>
    <w:rsid w:val="00D01018"/>
    <w:rsid w:val="00D0197E"/>
    <w:rsid w:val="00D0346C"/>
    <w:rsid w:val="00D06A21"/>
    <w:rsid w:val="00D0732C"/>
    <w:rsid w:val="00D07B14"/>
    <w:rsid w:val="00D12311"/>
    <w:rsid w:val="00D134EE"/>
    <w:rsid w:val="00D13896"/>
    <w:rsid w:val="00D176B6"/>
    <w:rsid w:val="00D178C9"/>
    <w:rsid w:val="00D204EF"/>
    <w:rsid w:val="00D21A61"/>
    <w:rsid w:val="00D2383D"/>
    <w:rsid w:val="00D239AE"/>
    <w:rsid w:val="00D2422F"/>
    <w:rsid w:val="00D24D0B"/>
    <w:rsid w:val="00D31569"/>
    <w:rsid w:val="00D327E7"/>
    <w:rsid w:val="00D33386"/>
    <w:rsid w:val="00D376A8"/>
    <w:rsid w:val="00D40304"/>
    <w:rsid w:val="00D41E5D"/>
    <w:rsid w:val="00D439AC"/>
    <w:rsid w:val="00D4449A"/>
    <w:rsid w:val="00D4520B"/>
    <w:rsid w:val="00D46551"/>
    <w:rsid w:val="00D46BA7"/>
    <w:rsid w:val="00D506D2"/>
    <w:rsid w:val="00D511AB"/>
    <w:rsid w:val="00D51C48"/>
    <w:rsid w:val="00D5532F"/>
    <w:rsid w:val="00D55DC6"/>
    <w:rsid w:val="00D600D7"/>
    <w:rsid w:val="00D67984"/>
    <w:rsid w:val="00D679B3"/>
    <w:rsid w:val="00D67EB3"/>
    <w:rsid w:val="00D706FC"/>
    <w:rsid w:val="00D70BBD"/>
    <w:rsid w:val="00D715C5"/>
    <w:rsid w:val="00D7341B"/>
    <w:rsid w:val="00D73C78"/>
    <w:rsid w:val="00D74622"/>
    <w:rsid w:val="00D74D77"/>
    <w:rsid w:val="00D764AE"/>
    <w:rsid w:val="00D80243"/>
    <w:rsid w:val="00D81AC0"/>
    <w:rsid w:val="00D820D4"/>
    <w:rsid w:val="00D8442D"/>
    <w:rsid w:val="00D848D9"/>
    <w:rsid w:val="00D86359"/>
    <w:rsid w:val="00D86C1A"/>
    <w:rsid w:val="00D87850"/>
    <w:rsid w:val="00D87B19"/>
    <w:rsid w:val="00D90EB1"/>
    <w:rsid w:val="00D94D68"/>
    <w:rsid w:val="00D9635E"/>
    <w:rsid w:val="00D9709C"/>
    <w:rsid w:val="00D97EDA"/>
    <w:rsid w:val="00DA021F"/>
    <w:rsid w:val="00DA13CF"/>
    <w:rsid w:val="00DA2569"/>
    <w:rsid w:val="00DA2F3E"/>
    <w:rsid w:val="00DA3BF5"/>
    <w:rsid w:val="00DA5A8D"/>
    <w:rsid w:val="00DB00E4"/>
    <w:rsid w:val="00DB0E81"/>
    <w:rsid w:val="00DB1102"/>
    <w:rsid w:val="00DB2711"/>
    <w:rsid w:val="00DB2F72"/>
    <w:rsid w:val="00DB350A"/>
    <w:rsid w:val="00DB3741"/>
    <w:rsid w:val="00DB407B"/>
    <w:rsid w:val="00DB74E4"/>
    <w:rsid w:val="00DB7EB2"/>
    <w:rsid w:val="00DC2F3C"/>
    <w:rsid w:val="00DC4582"/>
    <w:rsid w:val="00DD03FF"/>
    <w:rsid w:val="00DD06EE"/>
    <w:rsid w:val="00DD0B51"/>
    <w:rsid w:val="00DD2EFF"/>
    <w:rsid w:val="00DD378F"/>
    <w:rsid w:val="00DD5714"/>
    <w:rsid w:val="00DD674C"/>
    <w:rsid w:val="00DE244C"/>
    <w:rsid w:val="00DE33CA"/>
    <w:rsid w:val="00DE5A7D"/>
    <w:rsid w:val="00DE5D01"/>
    <w:rsid w:val="00DE5E29"/>
    <w:rsid w:val="00DE7D18"/>
    <w:rsid w:val="00DF180F"/>
    <w:rsid w:val="00DF1E16"/>
    <w:rsid w:val="00DF3A3F"/>
    <w:rsid w:val="00DF4D93"/>
    <w:rsid w:val="00DF4DCE"/>
    <w:rsid w:val="00DF5C91"/>
    <w:rsid w:val="00DF6E5E"/>
    <w:rsid w:val="00E01688"/>
    <w:rsid w:val="00E0273D"/>
    <w:rsid w:val="00E027D1"/>
    <w:rsid w:val="00E02CF3"/>
    <w:rsid w:val="00E0525A"/>
    <w:rsid w:val="00E052B2"/>
    <w:rsid w:val="00E056B8"/>
    <w:rsid w:val="00E05D6A"/>
    <w:rsid w:val="00E070C5"/>
    <w:rsid w:val="00E1718B"/>
    <w:rsid w:val="00E21C73"/>
    <w:rsid w:val="00E21F44"/>
    <w:rsid w:val="00E230C6"/>
    <w:rsid w:val="00E263F1"/>
    <w:rsid w:val="00E2668B"/>
    <w:rsid w:val="00E26885"/>
    <w:rsid w:val="00E26A8C"/>
    <w:rsid w:val="00E317F0"/>
    <w:rsid w:val="00E329CB"/>
    <w:rsid w:val="00E33A3E"/>
    <w:rsid w:val="00E35850"/>
    <w:rsid w:val="00E37A5F"/>
    <w:rsid w:val="00E37AFF"/>
    <w:rsid w:val="00E37F1C"/>
    <w:rsid w:val="00E4260D"/>
    <w:rsid w:val="00E44260"/>
    <w:rsid w:val="00E455A8"/>
    <w:rsid w:val="00E46AC0"/>
    <w:rsid w:val="00E46C30"/>
    <w:rsid w:val="00E50F62"/>
    <w:rsid w:val="00E52A44"/>
    <w:rsid w:val="00E55733"/>
    <w:rsid w:val="00E5610C"/>
    <w:rsid w:val="00E63881"/>
    <w:rsid w:val="00E65090"/>
    <w:rsid w:val="00E655FB"/>
    <w:rsid w:val="00E6601C"/>
    <w:rsid w:val="00E67CFC"/>
    <w:rsid w:val="00E70FEE"/>
    <w:rsid w:val="00E72062"/>
    <w:rsid w:val="00E73B16"/>
    <w:rsid w:val="00E76D05"/>
    <w:rsid w:val="00E80BF6"/>
    <w:rsid w:val="00E8284A"/>
    <w:rsid w:val="00E91A37"/>
    <w:rsid w:val="00E91B44"/>
    <w:rsid w:val="00E92A66"/>
    <w:rsid w:val="00E94562"/>
    <w:rsid w:val="00EA233E"/>
    <w:rsid w:val="00EA269E"/>
    <w:rsid w:val="00EA441C"/>
    <w:rsid w:val="00EA46B9"/>
    <w:rsid w:val="00EA52D2"/>
    <w:rsid w:val="00EA6B5E"/>
    <w:rsid w:val="00EB0D4F"/>
    <w:rsid w:val="00EB1ED4"/>
    <w:rsid w:val="00EB49A6"/>
    <w:rsid w:val="00EB58EC"/>
    <w:rsid w:val="00EB6497"/>
    <w:rsid w:val="00EB7F99"/>
    <w:rsid w:val="00EC04DF"/>
    <w:rsid w:val="00EC497F"/>
    <w:rsid w:val="00EC5CC5"/>
    <w:rsid w:val="00EC69C6"/>
    <w:rsid w:val="00ED0C48"/>
    <w:rsid w:val="00ED121D"/>
    <w:rsid w:val="00ED1657"/>
    <w:rsid w:val="00ED2896"/>
    <w:rsid w:val="00ED5050"/>
    <w:rsid w:val="00ED7074"/>
    <w:rsid w:val="00ED7AC2"/>
    <w:rsid w:val="00EE1FBC"/>
    <w:rsid w:val="00EE2BFA"/>
    <w:rsid w:val="00EE4012"/>
    <w:rsid w:val="00EE540D"/>
    <w:rsid w:val="00EE5CC0"/>
    <w:rsid w:val="00EE5FF0"/>
    <w:rsid w:val="00EE6C68"/>
    <w:rsid w:val="00EE7CBD"/>
    <w:rsid w:val="00EE7CBE"/>
    <w:rsid w:val="00EF1931"/>
    <w:rsid w:val="00EF1F5C"/>
    <w:rsid w:val="00EF2A4C"/>
    <w:rsid w:val="00EF3750"/>
    <w:rsid w:val="00EF507D"/>
    <w:rsid w:val="00F0270A"/>
    <w:rsid w:val="00F030A8"/>
    <w:rsid w:val="00F056CC"/>
    <w:rsid w:val="00F073EC"/>
    <w:rsid w:val="00F075C5"/>
    <w:rsid w:val="00F077AB"/>
    <w:rsid w:val="00F10293"/>
    <w:rsid w:val="00F10A27"/>
    <w:rsid w:val="00F10A70"/>
    <w:rsid w:val="00F10B64"/>
    <w:rsid w:val="00F124AD"/>
    <w:rsid w:val="00F157D2"/>
    <w:rsid w:val="00F2031F"/>
    <w:rsid w:val="00F23443"/>
    <w:rsid w:val="00F26725"/>
    <w:rsid w:val="00F270EC"/>
    <w:rsid w:val="00F27DE7"/>
    <w:rsid w:val="00F30ED6"/>
    <w:rsid w:val="00F3232F"/>
    <w:rsid w:val="00F32CCA"/>
    <w:rsid w:val="00F332D1"/>
    <w:rsid w:val="00F34770"/>
    <w:rsid w:val="00F347AC"/>
    <w:rsid w:val="00F36828"/>
    <w:rsid w:val="00F36C34"/>
    <w:rsid w:val="00F40633"/>
    <w:rsid w:val="00F40E94"/>
    <w:rsid w:val="00F41AD3"/>
    <w:rsid w:val="00F41D57"/>
    <w:rsid w:val="00F42269"/>
    <w:rsid w:val="00F42536"/>
    <w:rsid w:val="00F4298D"/>
    <w:rsid w:val="00F43355"/>
    <w:rsid w:val="00F44B5D"/>
    <w:rsid w:val="00F452CD"/>
    <w:rsid w:val="00F513DC"/>
    <w:rsid w:val="00F543D2"/>
    <w:rsid w:val="00F54F00"/>
    <w:rsid w:val="00F60B26"/>
    <w:rsid w:val="00F618AC"/>
    <w:rsid w:val="00F64748"/>
    <w:rsid w:val="00F67B15"/>
    <w:rsid w:val="00F67C08"/>
    <w:rsid w:val="00F70EEA"/>
    <w:rsid w:val="00F73EA1"/>
    <w:rsid w:val="00F7555B"/>
    <w:rsid w:val="00F80CCC"/>
    <w:rsid w:val="00F81095"/>
    <w:rsid w:val="00F8230F"/>
    <w:rsid w:val="00F858F5"/>
    <w:rsid w:val="00F85A67"/>
    <w:rsid w:val="00F90417"/>
    <w:rsid w:val="00F90D8D"/>
    <w:rsid w:val="00F91BFE"/>
    <w:rsid w:val="00F963E8"/>
    <w:rsid w:val="00F96F9B"/>
    <w:rsid w:val="00F972A5"/>
    <w:rsid w:val="00F977DE"/>
    <w:rsid w:val="00FA0458"/>
    <w:rsid w:val="00FA0EA2"/>
    <w:rsid w:val="00FA2CB0"/>
    <w:rsid w:val="00FB00AA"/>
    <w:rsid w:val="00FB0E10"/>
    <w:rsid w:val="00FB1DFF"/>
    <w:rsid w:val="00FB3423"/>
    <w:rsid w:val="00FB44A0"/>
    <w:rsid w:val="00FB63F8"/>
    <w:rsid w:val="00FC188C"/>
    <w:rsid w:val="00FC301F"/>
    <w:rsid w:val="00FC350A"/>
    <w:rsid w:val="00FC44B1"/>
    <w:rsid w:val="00FC47DE"/>
    <w:rsid w:val="00FC7546"/>
    <w:rsid w:val="00FC771C"/>
    <w:rsid w:val="00FD0C4D"/>
    <w:rsid w:val="00FD0E10"/>
    <w:rsid w:val="00FD17D9"/>
    <w:rsid w:val="00FD29F1"/>
    <w:rsid w:val="00FD4F58"/>
    <w:rsid w:val="00FD5390"/>
    <w:rsid w:val="00FD60D8"/>
    <w:rsid w:val="00FD69C4"/>
    <w:rsid w:val="00FE1153"/>
    <w:rsid w:val="00FE123F"/>
    <w:rsid w:val="00FE19AB"/>
    <w:rsid w:val="00FE45B8"/>
    <w:rsid w:val="00FE51D0"/>
    <w:rsid w:val="00FE5A73"/>
    <w:rsid w:val="00FE69F1"/>
    <w:rsid w:val="00FE708D"/>
    <w:rsid w:val="00FE75D0"/>
    <w:rsid w:val="00FE7791"/>
    <w:rsid w:val="00FF0670"/>
    <w:rsid w:val="00FF0FBE"/>
    <w:rsid w:val="00FF7080"/>
    <w:rsid w:val="00FF70B1"/>
    <w:rsid w:val="00FF71BE"/>
    <w:rsid w:val="00FF7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iPriority="0" w:unhideWhenUsed="1"/>
    <w:lsdException w:name="footnote text" w:locked="1" w:uiPriority="0"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iPriority="0"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80B51"/>
    <w:pPr>
      <w:spacing w:after="240" w:line="260" w:lineRule="exact"/>
      <w:jc w:val="both"/>
    </w:pPr>
    <w:rPr>
      <w:rFonts w:ascii="Book Antiqua" w:hAnsi="Book Antiqua"/>
      <w:color w:val="000000"/>
      <w:sz w:val="22"/>
    </w:rPr>
  </w:style>
  <w:style w:type="paragraph" w:styleId="Heading1">
    <w:name w:val="heading 1"/>
    <w:basedOn w:val="HeadingBase"/>
    <w:next w:val="OutlineNumbered1"/>
    <w:link w:val="Heading1Char"/>
    <w:qFormat/>
    <w:rsid w:val="00180B51"/>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180B51"/>
    <w:pPr>
      <w:spacing w:before="240" w:after="240"/>
      <w:outlineLvl w:val="1"/>
    </w:pPr>
    <w:rPr>
      <w:rFonts w:cs="Arial"/>
      <w:b/>
      <w:bCs/>
      <w:iCs/>
      <w:smallCaps/>
      <w:sz w:val="28"/>
      <w:szCs w:val="28"/>
    </w:rPr>
  </w:style>
  <w:style w:type="paragraph" w:styleId="Heading3">
    <w:name w:val="heading 3"/>
    <w:basedOn w:val="HeadingBase"/>
    <w:next w:val="OutlineNumbered1"/>
    <w:link w:val="Heading3Char"/>
    <w:qFormat/>
    <w:rsid w:val="00180B51"/>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180B51"/>
    <w:pPr>
      <w:spacing w:after="240"/>
      <w:outlineLvl w:val="3"/>
    </w:pPr>
    <w:rPr>
      <w:b/>
      <w:bCs/>
      <w:sz w:val="22"/>
      <w:szCs w:val="22"/>
    </w:rPr>
  </w:style>
  <w:style w:type="paragraph" w:styleId="Heading5">
    <w:name w:val="heading 5"/>
    <w:basedOn w:val="HeadingBase"/>
    <w:next w:val="OutlineNumbered1"/>
    <w:link w:val="Heading5Char"/>
    <w:qFormat/>
    <w:rsid w:val="00180B51"/>
    <w:pPr>
      <w:spacing w:after="120"/>
      <w:outlineLvl w:val="4"/>
    </w:pPr>
    <w:rPr>
      <w:b/>
      <w:bCs/>
      <w:iCs/>
    </w:rPr>
  </w:style>
  <w:style w:type="paragraph" w:styleId="Heading6">
    <w:name w:val="heading 6"/>
    <w:basedOn w:val="HeadingBase"/>
    <w:next w:val="OutlineNumbered1"/>
    <w:link w:val="Heading6Char"/>
    <w:qFormat/>
    <w:rsid w:val="00180B51"/>
    <w:pPr>
      <w:spacing w:after="120"/>
      <w:outlineLvl w:val="5"/>
    </w:pPr>
    <w:rPr>
      <w:bCs/>
      <w:szCs w:val="22"/>
    </w:rPr>
  </w:style>
  <w:style w:type="paragraph" w:styleId="Heading7">
    <w:name w:val="heading 7"/>
    <w:basedOn w:val="HeadingBase"/>
    <w:next w:val="Normal"/>
    <w:link w:val="Heading7Char"/>
    <w:qFormat/>
    <w:rsid w:val="00180B51"/>
    <w:pPr>
      <w:spacing w:after="120"/>
      <w:outlineLvl w:val="6"/>
    </w:pPr>
    <w:rPr>
      <w:szCs w:val="24"/>
    </w:rPr>
  </w:style>
  <w:style w:type="paragraph" w:styleId="Heading8">
    <w:name w:val="heading 8"/>
    <w:basedOn w:val="HeadingBase"/>
    <w:next w:val="Normal"/>
    <w:link w:val="Heading8Char"/>
    <w:qFormat/>
    <w:rsid w:val="00180B51"/>
    <w:pPr>
      <w:spacing w:after="120"/>
      <w:outlineLvl w:val="7"/>
    </w:pPr>
    <w:rPr>
      <w:iCs/>
      <w:szCs w:val="24"/>
    </w:rPr>
  </w:style>
  <w:style w:type="paragraph" w:styleId="Heading9">
    <w:name w:val="heading 9"/>
    <w:basedOn w:val="HeadingBase"/>
    <w:next w:val="Normal"/>
    <w:link w:val="Heading9Char"/>
    <w:qFormat/>
    <w:rsid w:val="00180B51"/>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13DC"/>
    <w:rPr>
      <w:rFonts w:ascii="Century Gothic" w:hAnsi="Century Gothic" w:cs="Arial"/>
      <w:b/>
      <w:bCs/>
      <w:smallCaps/>
      <w:color w:val="000080"/>
      <w:kern w:val="32"/>
      <w:sz w:val="36"/>
      <w:szCs w:val="36"/>
    </w:rPr>
  </w:style>
  <w:style w:type="character" w:customStyle="1" w:styleId="Heading2Char">
    <w:name w:val="Heading 2 Char"/>
    <w:link w:val="Heading2"/>
    <w:locked/>
    <w:rsid w:val="00F513DC"/>
    <w:rPr>
      <w:rFonts w:ascii="Century Gothic" w:hAnsi="Century Gothic" w:cs="Arial"/>
      <w:b/>
      <w:bCs/>
      <w:iCs/>
      <w:smallCaps/>
      <w:color w:val="000080"/>
      <w:sz w:val="28"/>
      <w:szCs w:val="28"/>
    </w:rPr>
  </w:style>
  <w:style w:type="character" w:customStyle="1" w:styleId="Heading3Char">
    <w:name w:val="Heading 3 Char"/>
    <w:link w:val="Heading3"/>
    <w:locked/>
    <w:rsid w:val="00F513DC"/>
    <w:rPr>
      <w:rFonts w:ascii="Century Gothic" w:hAnsi="Century Gothic" w:cs="Arial"/>
      <w:b/>
      <w:bCs/>
      <w:color w:val="000080"/>
      <w:sz w:val="26"/>
      <w:szCs w:val="26"/>
    </w:rPr>
  </w:style>
  <w:style w:type="character" w:customStyle="1" w:styleId="Heading4Char">
    <w:name w:val="Heading 4 Char"/>
    <w:link w:val="Heading4"/>
    <w:locked/>
    <w:rsid w:val="00F513DC"/>
    <w:rPr>
      <w:rFonts w:ascii="Century Gothic" w:hAnsi="Century Gothic"/>
      <w:b/>
      <w:bCs/>
      <w:color w:val="000080"/>
      <w:sz w:val="22"/>
      <w:szCs w:val="22"/>
    </w:rPr>
  </w:style>
  <w:style w:type="character" w:customStyle="1" w:styleId="Heading5Char">
    <w:name w:val="Heading 5 Char"/>
    <w:link w:val="Heading5"/>
    <w:locked/>
    <w:rsid w:val="00F513DC"/>
    <w:rPr>
      <w:rFonts w:ascii="Century Gothic" w:hAnsi="Century Gothic"/>
      <w:b/>
      <w:bCs/>
      <w:iCs/>
      <w:color w:val="000080"/>
    </w:rPr>
  </w:style>
  <w:style w:type="character" w:customStyle="1" w:styleId="Heading6Char">
    <w:name w:val="Heading 6 Char"/>
    <w:link w:val="Heading6"/>
    <w:locked/>
    <w:rsid w:val="00F513DC"/>
    <w:rPr>
      <w:rFonts w:ascii="Century Gothic" w:hAnsi="Century Gothic"/>
      <w:bCs/>
      <w:color w:val="000080"/>
      <w:szCs w:val="22"/>
    </w:rPr>
  </w:style>
  <w:style w:type="character" w:customStyle="1" w:styleId="Heading7Char">
    <w:name w:val="Heading 7 Char"/>
    <w:link w:val="Heading7"/>
    <w:locked/>
    <w:rsid w:val="00F513DC"/>
    <w:rPr>
      <w:rFonts w:ascii="Century Gothic" w:hAnsi="Century Gothic"/>
      <w:color w:val="000080"/>
      <w:szCs w:val="24"/>
    </w:rPr>
  </w:style>
  <w:style w:type="character" w:customStyle="1" w:styleId="Heading8Char">
    <w:name w:val="Heading 8 Char"/>
    <w:link w:val="Heading8"/>
    <w:locked/>
    <w:rsid w:val="00F513DC"/>
    <w:rPr>
      <w:rFonts w:ascii="Century Gothic" w:hAnsi="Century Gothic"/>
      <w:iCs/>
      <w:color w:val="000080"/>
      <w:szCs w:val="24"/>
    </w:rPr>
  </w:style>
  <w:style w:type="character" w:customStyle="1" w:styleId="Heading9Char">
    <w:name w:val="Heading 9 Char"/>
    <w:link w:val="Heading9"/>
    <w:locked/>
    <w:rsid w:val="00F513DC"/>
    <w:rPr>
      <w:rFonts w:ascii="Century Gothic" w:hAnsi="Century Gothic" w:cs="Arial"/>
      <w:color w:val="000080"/>
      <w:szCs w:val="22"/>
    </w:rPr>
  </w:style>
  <w:style w:type="paragraph" w:customStyle="1" w:styleId="ChartGraphic">
    <w:name w:val="Chart Graphic"/>
    <w:basedOn w:val="HeadingBase"/>
    <w:rsid w:val="00180B51"/>
    <w:pPr>
      <w:jc w:val="center"/>
    </w:pPr>
  </w:style>
  <w:style w:type="paragraph" w:customStyle="1" w:styleId="TableGraphic">
    <w:name w:val="Table Graphic"/>
    <w:basedOn w:val="HeadingBase"/>
    <w:next w:val="Normal"/>
    <w:rsid w:val="00180B51"/>
  </w:style>
  <w:style w:type="paragraph" w:customStyle="1" w:styleId="Bullet">
    <w:name w:val="Bullet"/>
    <w:aliases w:val="b"/>
    <w:basedOn w:val="Normal"/>
    <w:link w:val="BulletChar"/>
    <w:rsid w:val="00180B51"/>
    <w:pPr>
      <w:numPr>
        <w:numId w:val="1"/>
      </w:numPr>
    </w:pPr>
  </w:style>
  <w:style w:type="character" w:customStyle="1" w:styleId="BulletChar">
    <w:name w:val="Bullet Char"/>
    <w:link w:val="Bullet"/>
    <w:locked/>
    <w:rsid w:val="00E230C6"/>
    <w:rPr>
      <w:rFonts w:ascii="Book Antiqua" w:hAnsi="Book Antiqua"/>
      <w:color w:val="000000"/>
      <w:sz w:val="22"/>
    </w:rPr>
  </w:style>
  <w:style w:type="paragraph" w:customStyle="1" w:styleId="Dash">
    <w:name w:val="Dash"/>
    <w:basedOn w:val="Normal"/>
    <w:rsid w:val="00180B51"/>
    <w:pPr>
      <w:numPr>
        <w:ilvl w:val="1"/>
        <w:numId w:val="1"/>
      </w:numPr>
    </w:pPr>
  </w:style>
  <w:style w:type="paragraph" w:customStyle="1" w:styleId="DoubleDot">
    <w:name w:val="Double Dot"/>
    <w:basedOn w:val="Normal"/>
    <w:rsid w:val="00180B51"/>
    <w:pPr>
      <w:numPr>
        <w:ilvl w:val="2"/>
        <w:numId w:val="1"/>
      </w:numPr>
    </w:pPr>
  </w:style>
  <w:style w:type="paragraph" w:styleId="NormalWeb">
    <w:name w:val="Normal (Web)"/>
    <w:basedOn w:val="Normal"/>
    <w:uiPriority w:val="99"/>
    <w:semiHidden/>
    <w:rsid w:val="000D1D04"/>
    <w:rPr>
      <w:rFonts w:ascii="Times New Roman" w:hAnsi="Times New Roman"/>
      <w:sz w:val="24"/>
      <w:szCs w:val="24"/>
    </w:rPr>
  </w:style>
  <w:style w:type="paragraph" w:styleId="BalloonText">
    <w:name w:val="Balloon Text"/>
    <w:basedOn w:val="Normal"/>
    <w:link w:val="BalloonTextChar"/>
    <w:uiPriority w:val="99"/>
    <w:semiHidden/>
    <w:unhideWhenUsed/>
    <w:rsid w:val="00180B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80B51"/>
    <w:rPr>
      <w:rFonts w:ascii="Tahoma" w:hAnsi="Tahoma" w:cs="Tahoma"/>
      <w:color w:val="000000"/>
      <w:sz w:val="16"/>
      <w:szCs w:val="16"/>
    </w:rPr>
  </w:style>
  <w:style w:type="paragraph" w:customStyle="1" w:styleId="OutlineNumbered1">
    <w:name w:val="Outline Numbered 1"/>
    <w:basedOn w:val="Normal"/>
    <w:link w:val="OutlineNumbered1Char"/>
    <w:rsid w:val="00180B51"/>
    <w:pPr>
      <w:numPr>
        <w:numId w:val="13"/>
      </w:numPr>
    </w:pPr>
  </w:style>
  <w:style w:type="character" w:customStyle="1" w:styleId="OutlineNumbered1Char">
    <w:name w:val="Outline Numbered 1 Char"/>
    <w:link w:val="OutlineNumbered1"/>
    <w:locked/>
    <w:rsid w:val="000F75AA"/>
    <w:rPr>
      <w:rFonts w:ascii="Book Antiqua" w:hAnsi="Book Antiqua"/>
      <w:color w:val="000000"/>
      <w:sz w:val="22"/>
    </w:rPr>
  </w:style>
  <w:style w:type="paragraph" w:customStyle="1" w:styleId="OutlineNumbered2">
    <w:name w:val="Outline Numbered 2"/>
    <w:basedOn w:val="Normal"/>
    <w:link w:val="OutlineNumbered2Char"/>
    <w:rsid w:val="00180B51"/>
    <w:pPr>
      <w:numPr>
        <w:ilvl w:val="1"/>
        <w:numId w:val="13"/>
      </w:numPr>
    </w:pPr>
  </w:style>
  <w:style w:type="character" w:customStyle="1" w:styleId="OutlineNumbered2Char">
    <w:name w:val="Outline Numbered 2 Char"/>
    <w:link w:val="OutlineNumbered2"/>
    <w:locked/>
    <w:rsid w:val="000F75AA"/>
    <w:rPr>
      <w:rFonts w:ascii="Book Antiqua" w:hAnsi="Book Antiqua"/>
      <w:color w:val="000000"/>
      <w:sz w:val="22"/>
    </w:rPr>
  </w:style>
  <w:style w:type="paragraph" w:customStyle="1" w:styleId="OutlineNumbered3">
    <w:name w:val="Outline Numbered 3"/>
    <w:basedOn w:val="Normal"/>
    <w:link w:val="OutlineNumbered3Char"/>
    <w:rsid w:val="00180B51"/>
    <w:pPr>
      <w:numPr>
        <w:ilvl w:val="2"/>
        <w:numId w:val="13"/>
      </w:numPr>
    </w:pPr>
  </w:style>
  <w:style w:type="character" w:customStyle="1" w:styleId="OutlineNumbered3Char">
    <w:name w:val="Outline Numbered 3 Char"/>
    <w:link w:val="OutlineNumbered3"/>
    <w:locked/>
    <w:rsid w:val="000F75AA"/>
    <w:rPr>
      <w:rFonts w:ascii="Book Antiqua" w:hAnsi="Book Antiqua"/>
      <w:color w:val="000000"/>
      <w:sz w:val="22"/>
    </w:rPr>
  </w:style>
  <w:style w:type="character" w:styleId="Hyperlink">
    <w:name w:val="Hyperlink"/>
    <w:uiPriority w:val="99"/>
    <w:rsid w:val="00180B51"/>
    <w:rPr>
      <w:color w:val="auto"/>
      <w:u w:val="none"/>
    </w:rPr>
  </w:style>
  <w:style w:type="character" w:styleId="FollowedHyperlink">
    <w:name w:val="FollowedHyperlink"/>
    <w:rsid w:val="00180B51"/>
    <w:rPr>
      <w:color w:val="auto"/>
      <w:u w:val="none"/>
    </w:rPr>
  </w:style>
  <w:style w:type="paragraph" w:styleId="FootnoteText">
    <w:name w:val="footnote text"/>
    <w:basedOn w:val="Normal"/>
    <w:link w:val="FootnoteTextChar"/>
    <w:rsid w:val="007E47D7"/>
    <w:pPr>
      <w:tabs>
        <w:tab w:val="left" w:pos="284"/>
      </w:tabs>
      <w:spacing w:after="0"/>
      <w:ind w:left="284" w:hanging="284"/>
    </w:pPr>
    <w:rPr>
      <w:sz w:val="18"/>
    </w:rPr>
  </w:style>
  <w:style w:type="character" w:customStyle="1" w:styleId="FootnoteTextChar">
    <w:name w:val="Footnote Text Char"/>
    <w:link w:val="FootnoteText"/>
    <w:locked/>
    <w:rsid w:val="007E47D7"/>
    <w:rPr>
      <w:rFonts w:ascii="Book Antiqua" w:hAnsi="Book Antiqua"/>
      <w:color w:val="000000"/>
      <w:sz w:val="18"/>
    </w:rPr>
  </w:style>
  <w:style w:type="character" w:styleId="FootnoteReference">
    <w:name w:val="footnote reference"/>
    <w:rsid w:val="00BA39CC"/>
    <w:rPr>
      <w:rFonts w:cs="Times New Roman"/>
      <w:vertAlign w:val="superscript"/>
    </w:rPr>
  </w:style>
  <w:style w:type="paragraph" w:customStyle="1" w:styleId="CoverTitleSub">
    <w:name w:val="Cover Title Sub"/>
    <w:basedOn w:val="HeadingBase"/>
    <w:rsid w:val="00180B51"/>
    <w:pPr>
      <w:spacing w:after="360"/>
      <w:jc w:val="center"/>
    </w:pPr>
    <w:rPr>
      <w:sz w:val="36"/>
    </w:rPr>
  </w:style>
  <w:style w:type="character" w:customStyle="1" w:styleId="A5">
    <w:name w:val="A5"/>
    <w:uiPriority w:val="99"/>
    <w:rsid w:val="00180B51"/>
    <w:rPr>
      <w:rFonts w:cs="Swiss 721 BT"/>
      <w:color w:val="000000"/>
      <w:sz w:val="20"/>
      <w:szCs w:val="20"/>
    </w:rPr>
  </w:style>
  <w:style w:type="paragraph" w:customStyle="1" w:styleId="SingleParagraph">
    <w:name w:val="Single Paragraph"/>
    <w:basedOn w:val="Normal"/>
    <w:link w:val="SingleParagraphChar"/>
    <w:rsid w:val="00180B51"/>
    <w:pPr>
      <w:spacing w:after="0"/>
    </w:pPr>
  </w:style>
  <w:style w:type="paragraph" w:customStyle="1" w:styleId="Heading2NotNumbered">
    <w:name w:val="Heading 2 Not Numbered"/>
    <w:basedOn w:val="HeadingBase"/>
    <w:next w:val="Normal"/>
    <w:uiPriority w:val="99"/>
    <w:rsid w:val="00BA39CC"/>
    <w:pPr>
      <w:spacing w:before="360" w:after="180"/>
    </w:pPr>
    <w:rPr>
      <w:smallCaps/>
      <w:sz w:val="28"/>
      <w:szCs w:val="28"/>
    </w:rPr>
  </w:style>
  <w:style w:type="character" w:customStyle="1" w:styleId="SingleParagraphChar">
    <w:name w:val="Single Paragraph Char"/>
    <w:link w:val="SingleParagraph"/>
    <w:locked/>
    <w:rsid w:val="00BA39CC"/>
    <w:rPr>
      <w:rFonts w:ascii="Book Antiqua" w:hAnsi="Book Antiqua"/>
      <w:color w:val="000000"/>
      <w:sz w:val="22"/>
    </w:rPr>
  </w:style>
  <w:style w:type="table" w:styleId="TableGrid">
    <w:name w:val="Table Grid"/>
    <w:basedOn w:val="TableNormal"/>
    <w:rsid w:val="00180B51"/>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styleId="Header">
    <w:name w:val="header"/>
    <w:basedOn w:val="HeadingBase"/>
    <w:link w:val="HeaderChar"/>
    <w:rsid w:val="00180B51"/>
    <w:rPr>
      <w:sz w:val="18"/>
    </w:rPr>
  </w:style>
  <w:style w:type="character" w:customStyle="1" w:styleId="HeaderChar">
    <w:name w:val="Header Char"/>
    <w:link w:val="Header"/>
    <w:locked/>
    <w:rsid w:val="00450A64"/>
    <w:rPr>
      <w:rFonts w:ascii="Century Gothic" w:hAnsi="Century Gothic"/>
      <w:color w:val="000080"/>
      <w:sz w:val="18"/>
    </w:rPr>
  </w:style>
  <w:style w:type="paragraph" w:styleId="Footer">
    <w:name w:val="footer"/>
    <w:basedOn w:val="HeadingBase"/>
    <w:link w:val="FooterChar"/>
    <w:uiPriority w:val="99"/>
    <w:rsid w:val="00180B51"/>
    <w:rPr>
      <w:sz w:val="18"/>
    </w:rPr>
  </w:style>
  <w:style w:type="character" w:customStyle="1" w:styleId="FooterChar">
    <w:name w:val="Footer Char"/>
    <w:link w:val="Footer"/>
    <w:uiPriority w:val="99"/>
    <w:locked/>
    <w:rsid w:val="00450A64"/>
    <w:rPr>
      <w:rFonts w:ascii="Century Gothic" w:hAnsi="Century Gothic"/>
      <w:color w:val="000080"/>
      <w:sz w:val="18"/>
    </w:rPr>
  </w:style>
  <w:style w:type="paragraph" w:customStyle="1" w:styleId="SecurityClassificationHeader">
    <w:name w:val="Security Classification Header"/>
    <w:link w:val="SecurityClassificationHeaderChar"/>
    <w:rsid w:val="00180B51"/>
    <w:pPr>
      <w:spacing w:after="240"/>
      <w:jc w:val="center"/>
    </w:pPr>
    <w:rPr>
      <w:rFonts w:ascii="Book Antiqua" w:hAnsi="Book Antiqua"/>
      <w:b/>
      <w:caps/>
      <w:color w:val="000080"/>
      <w:sz w:val="22"/>
    </w:rPr>
  </w:style>
  <w:style w:type="character" w:customStyle="1" w:styleId="SecurityClassificationHeaderChar">
    <w:name w:val="Security Classification Header Char"/>
    <w:link w:val="SecurityClassificationHeader"/>
    <w:locked/>
    <w:rsid w:val="00450A64"/>
    <w:rPr>
      <w:rFonts w:ascii="Book Antiqua" w:hAnsi="Book Antiqua"/>
      <w:b/>
      <w:caps/>
      <w:color w:val="000080"/>
      <w:sz w:val="22"/>
    </w:rPr>
  </w:style>
  <w:style w:type="paragraph" w:customStyle="1" w:styleId="SecurityClassificationFooter">
    <w:name w:val="Security Classification Footer"/>
    <w:link w:val="SecurityClassificationFooterChar"/>
    <w:rsid w:val="00180B51"/>
    <w:pPr>
      <w:spacing w:before="240"/>
      <w:jc w:val="center"/>
    </w:pPr>
    <w:rPr>
      <w:rFonts w:ascii="Book Antiqua" w:hAnsi="Book Antiqua"/>
      <w:b/>
      <w:caps/>
      <w:color w:val="000080"/>
      <w:sz w:val="22"/>
    </w:rPr>
  </w:style>
  <w:style w:type="character" w:customStyle="1" w:styleId="SecurityClassificationFooterChar">
    <w:name w:val="Security Classification Footer Char"/>
    <w:link w:val="SecurityClassificationFooter"/>
    <w:locked/>
    <w:rsid w:val="00450A64"/>
    <w:rPr>
      <w:rFonts w:ascii="Book Antiqua" w:hAnsi="Book Antiqua"/>
      <w:b/>
      <w:caps/>
      <w:color w:val="000080"/>
      <w:sz w:val="22"/>
    </w:rPr>
  </w:style>
  <w:style w:type="paragraph" w:styleId="TOCHeading">
    <w:name w:val="TOC Heading"/>
    <w:basedOn w:val="Heading1"/>
    <w:next w:val="Normal"/>
    <w:uiPriority w:val="39"/>
    <w:semiHidden/>
    <w:unhideWhenUsed/>
    <w:qFormat/>
    <w:rsid w:val="00F513DC"/>
    <w:pPr>
      <w:keepLines/>
      <w:spacing w:before="480" w:after="0" w:line="280" w:lineRule="exact"/>
      <w:jc w:val="both"/>
      <w:outlineLvl w:val="9"/>
    </w:pPr>
    <w:rPr>
      <w:rFonts w:ascii="Cambria" w:hAnsi="Cambria" w:cs="Times New Roman"/>
      <w:b w:val="0"/>
      <w:smallCaps w:val="0"/>
      <w:color w:val="365F91"/>
      <w:kern w:val="0"/>
      <w:sz w:val="28"/>
      <w:szCs w:val="28"/>
    </w:rPr>
  </w:style>
  <w:style w:type="paragraph" w:styleId="TOC1">
    <w:name w:val="toc 1"/>
    <w:basedOn w:val="HeadingBase"/>
    <w:next w:val="Normal"/>
    <w:uiPriority w:val="39"/>
    <w:rsid w:val="00180B51"/>
    <w:pPr>
      <w:tabs>
        <w:tab w:val="right" w:leader="dot" w:pos="9072"/>
      </w:tabs>
      <w:spacing w:before="180"/>
      <w:ind w:right="851"/>
    </w:pPr>
    <w:rPr>
      <w:b/>
      <w:smallCaps/>
      <w:sz w:val="22"/>
      <w:szCs w:val="22"/>
    </w:rPr>
  </w:style>
  <w:style w:type="paragraph" w:styleId="TOC3">
    <w:name w:val="toc 3"/>
    <w:basedOn w:val="Normal"/>
    <w:next w:val="Normal"/>
    <w:uiPriority w:val="39"/>
    <w:rsid w:val="00180B51"/>
    <w:pPr>
      <w:tabs>
        <w:tab w:val="right" w:leader="dot" w:pos="9072"/>
      </w:tabs>
      <w:spacing w:before="20" w:after="0" w:line="240" w:lineRule="auto"/>
      <w:ind w:left="284" w:right="851"/>
    </w:pPr>
  </w:style>
  <w:style w:type="character" w:customStyle="1" w:styleId="BoldandItalic">
    <w:name w:val="Bold and Italic"/>
    <w:rsid w:val="00180B51"/>
    <w:rPr>
      <w:rFonts w:ascii="Arial" w:hAnsi="Arial"/>
      <w:b/>
      <w:i/>
    </w:rPr>
  </w:style>
  <w:style w:type="paragraph" w:customStyle="1" w:styleId="TableColumnHeadingBase">
    <w:name w:val="Table Column Heading Base"/>
    <w:basedOn w:val="Normal"/>
    <w:uiPriority w:val="99"/>
    <w:rsid w:val="00BA39CC"/>
    <w:pPr>
      <w:spacing w:before="40" w:after="40" w:line="240" w:lineRule="auto"/>
    </w:pPr>
    <w:rPr>
      <w:b/>
      <w:color w:val="342E82"/>
      <w:sz w:val="16"/>
    </w:rPr>
  </w:style>
  <w:style w:type="paragraph" w:customStyle="1" w:styleId="AlphaParagraph">
    <w:name w:val="Alpha Paragraph"/>
    <w:basedOn w:val="Normal"/>
    <w:rsid w:val="00180B51"/>
    <w:pPr>
      <w:numPr>
        <w:numId w:val="2"/>
      </w:numPr>
      <w:tabs>
        <w:tab w:val="clear" w:pos="567"/>
        <w:tab w:val="num" w:pos="283"/>
      </w:tabs>
      <w:ind w:left="283" w:hanging="283"/>
    </w:pPr>
  </w:style>
  <w:style w:type="paragraph" w:customStyle="1" w:styleId="HeadingBase">
    <w:name w:val="Heading Base"/>
    <w:next w:val="Normal"/>
    <w:rsid w:val="00180B51"/>
    <w:pPr>
      <w:keepNext/>
    </w:pPr>
    <w:rPr>
      <w:rFonts w:ascii="Century Gothic" w:hAnsi="Century Gothic"/>
      <w:color w:val="000080"/>
    </w:rPr>
  </w:style>
  <w:style w:type="paragraph" w:customStyle="1" w:styleId="AppendixHeading">
    <w:name w:val="Appendix Heading"/>
    <w:basedOn w:val="HeadingBase"/>
    <w:next w:val="Normal"/>
    <w:rsid w:val="00180B51"/>
    <w:pPr>
      <w:spacing w:before="720" w:after="360"/>
    </w:pPr>
    <w:rPr>
      <w:rFonts w:ascii="Arial Bold" w:hAnsi="Arial Bold"/>
      <w:b/>
      <w:smallCaps/>
      <w:sz w:val="36"/>
      <w:szCs w:val="36"/>
    </w:rPr>
  </w:style>
  <w:style w:type="character" w:customStyle="1" w:styleId="Bold">
    <w:name w:val="Bold"/>
    <w:rsid w:val="00180B51"/>
    <w:rPr>
      <w:b/>
    </w:rPr>
  </w:style>
  <w:style w:type="paragraph" w:customStyle="1" w:styleId="BoxHeading">
    <w:name w:val="Box Heading"/>
    <w:basedOn w:val="HeadingBase"/>
    <w:next w:val="BoxText"/>
    <w:rsid w:val="00180B51"/>
    <w:pPr>
      <w:numPr>
        <w:numId w:val="17"/>
      </w:numPr>
      <w:spacing w:before="120" w:after="120"/>
    </w:pPr>
    <w:rPr>
      <w:b/>
      <w:sz w:val="22"/>
    </w:rPr>
  </w:style>
  <w:style w:type="paragraph" w:customStyle="1" w:styleId="BoxTextBase">
    <w:name w:val="Box Text Base"/>
    <w:basedOn w:val="Normal"/>
    <w:rsid w:val="00180B51"/>
    <w:pPr>
      <w:spacing w:line="240" w:lineRule="auto"/>
    </w:pPr>
    <w:rPr>
      <w:color w:val="000080"/>
    </w:rPr>
  </w:style>
  <w:style w:type="paragraph" w:customStyle="1" w:styleId="ChartandTableFootnoteAlpha">
    <w:name w:val="Chart and Table Footnote Alpha"/>
    <w:rsid w:val="00180B51"/>
    <w:pPr>
      <w:numPr>
        <w:numId w:val="3"/>
      </w:numPr>
      <w:jc w:val="both"/>
    </w:pPr>
    <w:rPr>
      <w:rFonts w:ascii="Arial" w:hAnsi="Arial"/>
      <w:color w:val="000000"/>
      <w:sz w:val="16"/>
      <w:szCs w:val="16"/>
    </w:rPr>
  </w:style>
  <w:style w:type="paragraph" w:customStyle="1" w:styleId="ChartMainHeading">
    <w:name w:val="Chart Main Heading"/>
    <w:basedOn w:val="HeadingBase"/>
    <w:next w:val="ChartGraphic"/>
    <w:rsid w:val="00180B51"/>
    <w:pPr>
      <w:spacing w:after="20"/>
      <w:jc w:val="center"/>
    </w:pPr>
    <w:rPr>
      <w:b/>
      <w:sz w:val="22"/>
    </w:rPr>
  </w:style>
  <w:style w:type="paragraph" w:customStyle="1" w:styleId="ChartorTableNote">
    <w:name w:val="Chart or Table Note"/>
    <w:next w:val="Normal"/>
    <w:rsid w:val="00180B51"/>
    <w:pPr>
      <w:jc w:val="both"/>
    </w:pPr>
    <w:rPr>
      <w:rFonts w:ascii="Arial" w:hAnsi="Arial"/>
      <w:color w:val="000000"/>
      <w:sz w:val="16"/>
    </w:rPr>
  </w:style>
  <w:style w:type="paragraph" w:customStyle="1" w:styleId="ChartSecondHeading">
    <w:name w:val="Chart Second Heading"/>
    <w:basedOn w:val="HeadingBase"/>
    <w:next w:val="ChartGraphic"/>
    <w:rsid w:val="00180B51"/>
    <w:pPr>
      <w:spacing w:after="20"/>
      <w:jc w:val="center"/>
    </w:pPr>
  </w:style>
  <w:style w:type="paragraph" w:customStyle="1" w:styleId="Classification">
    <w:name w:val="Classification"/>
    <w:basedOn w:val="HeadingBase"/>
    <w:next w:val="Footer"/>
    <w:rsid w:val="00180B51"/>
    <w:pPr>
      <w:spacing w:after="120"/>
      <w:jc w:val="center"/>
    </w:pPr>
    <w:rPr>
      <w:b/>
      <w:smallCaps/>
    </w:rPr>
  </w:style>
  <w:style w:type="paragraph" w:customStyle="1" w:styleId="ContentsHeading">
    <w:name w:val="Contents Heading"/>
    <w:basedOn w:val="HeadingBase"/>
    <w:next w:val="Normal"/>
    <w:rsid w:val="00180B51"/>
    <w:pPr>
      <w:spacing w:after="360"/>
    </w:pPr>
    <w:rPr>
      <w:smallCaps/>
      <w:sz w:val="36"/>
      <w:szCs w:val="36"/>
    </w:rPr>
  </w:style>
  <w:style w:type="paragraph" w:customStyle="1" w:styleId="CoverTitleMain">
    <w:name w:val="Cover Title Main"/>
    <w:basedOn w:val="HeadingBase"/>
    <w:next w:val="Normal"/>
    <w:rsid w:val="00180B51"/>
    <w:pPr>
      <w:spacing w:after="480"/>
      <w:jc w:val="center"/>
    </w:pPr>
    <w:rPr>
      <w:b/>
      <w:sz w:val="48"/>
    </w:rPr>
  </w:style>
  <w:style w:type="paragraph" w:customStyle="1" w:styleId="FooterCentered">
    <w:name w:val="Footer Centered"/>
    <w:basedOn w:val="Footer"/>
    <w:rsid w:val="00180B51"/>
    <w:pPr>
      <w:jc w:val="center"/>
    </w:pPr>
    <w:rPr>
      <w:rFonts w:ascii="Book Antiqua" w:hAnsi="Book Antiqua"/>
      <w:sz w:val="22"/>
    </w:rPr>
  </w:style>
  <w:style w:type="paragraph" w:customStyle="1" w:styleId="FooterEven">
    <w:name w:val="Footer Even"/>
    <w:basedOn w:val="Footer"/>
    <w:rsid w:val="00180B51"/>
  </w:style>
  <w:style w:type="paragraph" w:customStyle="1" w:styleId="FooterOdd">
    <w:name w:val="Footer Odd"/>
    <w:basedOn w:val="Footer"/>
    <w:rsid w:val="00180B51"/>
    <w:pPr>
      <w:jc w:val="right"/>
    </w:pPr>
  </w:style>
  <w:style w:type="character" w:customStyle="1" w:styleId="FramedFooter">
    <w:name w:val="Framed Footer"/>
    <w:rsid w:val="00180B51"/>
    <w:rPr>
      <w:rFonts w:ascii="Arial" w:hAnsi="Arial"/>
      <w:sz w:val="18"/>
    </w:rPr>
  </w:style>
  <w:style w:type="character" w:customStyle="1" w:styleId="FramedHeader">
    <w:name w:val="Framed Header"/>
    <w:rsid w:val="00180B51"/>
    <w:rPr>
      <w:rFonts w:ascii="Arial" w:hAnsi="Arial"/>
      <w:dstrike w:val="0"/>
      <w:color w:val="auto"/>
      <w:sz w:val="18"/>
      <w:vertAlign w:val="baseline"/>
    </w:rPr>
  </w:style>
  <w:style w:type="paragraph" w:customStyle="1" w:styleId="HeaderEven">
    <w:name w:val="Header Even"/>
    <w:basedOn w:val="Header"/>
    <w:rsid w:val="00180B51"/>
  </w:style>
  <w:style w:type="paragraph" w:customStyle="1" w:styleId="HeaderOdd">
    <w:name w:val="Header Odd"/>
    <w:basedOn w:val="Header"/>
    <w:rsid w:val="00180B51"/>
    <w:pPr>
      <w:jc w:val="right"/>
    </w:pPr>
  </w:style>
  <w:style w:type="paragraph" w:styleId="NormalIndent">
    <w:name w:val="Normal Indent"/>
    <w:basedOn w:val="Normal"/>
    <w:rsid w:val="00180B51"/>
    <w:pPr>
      <w:ind w:left="567"/>
    </w:pPr>
  </w:style>
  <w:style w:type="paragraph" w:customStyle="1" w:styleId="RecommendationHeading">
    <w:name w:val="Recommendation Heading"/>
    <w:basedOn w:val="HeadingBase"/>
    <w:next w:val="RecommendationText"/>
    <w:rsid w:val="00180B51"/>
    <w:pPr>
      <w:numPr>
        <w:numId w:val="11"/>
      </w:numPr>
      <w:spacing w:before="120" w:after="240"/>
    </w:pPr>
    <w:rPr>
      <w:b/>
      <w:sz w:val="22"/>
    </w:rPr>
  </w:style>
  <w:style w:type="paragraph" w:customStyle="1" w:styleId="RecommendationTextBase">
    <w:name w:val="Recommendation Text Base"/>
    <w:basedOn w:val="Normal"/>
    <w:rsid w:val="00180B51"/>
  </w:style>
  <w:style w:type="paragraph" w:customStyle="1" w:styleId="RecommendationText">
    <w:name w:val="Recommendation Text"/>
    <w:basedOn w:val="RecommendationTextBase"/>
    <w:rsid w:val="00180B51"/>
  </w:style>
  <w:style w:type="paragraph" w:customStyle="1" w:styleId="TableTextBase">
    <w:name w:val="Table Text Base"/>
    <w:rsid w:val="00180B51"/>
    <w:pPr>
      <w:spacing w:before="40" w:after="40"/>
    </w:pPr>
    <w:rPr>
      <w:rFonts w:ascii="Arial" w:hAnsi="Arial"/>
      <w:color w:val="000000"/>
      <w:sz w:val="16"/>
    </w:rPr>
  </w:style>
  <w:style w:type="paragraph" w:customStyle="1" w:styleId="TableColumnHeadingCentred">
    <w:name w:val="Table Column Heading Centred"/>
    <w:basedOn w:val="TableTextBase"/>
    <w:rsid w:val="00180B51"/>
    <w:pPr>
      <w:jc w:val="center"/>
    </w:pPr>
    <w:rPr>
      <w:b/>
    </w:rPr>
  </w:style>
  <w:style w:type="paragraph" w:customStyle="1" w:styleId="TableColumnHeadingLeft">
    <w:name w:val="Table Column Heading Left"/>
    <w:basedOn w:val="TableTextBase"/>
    <w:rsid w:val="00180B51"/>
    <w:rPr>
      <w:b/>
    </w:rPr>
  </w:style>
  <w:style w:type="paragraph" w:customStyle="1" w:styleId="TableColumnHeadingRight">
    <w:name w:val="Table Column Heading Right"/>
    <w:basedOn w:val="TableTextBase"/>
    <w:rsid w:val="00180B51"/>
    <w:pPr>
      <w:jc w:val="right"/>
    </w:pPr>
    <w:rPr>
      <w:b/>
    </w:rPr>
  </w:style>
  <w:style w:type="paragraph" w:customStyle="1" w:styleId="TableMainHeading">
    <w:name w:val="Table Main Heading"/>
    <w:basedOn w:val="HeadingBase"/>
    <w:next w:val="TableGraphic"/>
    <w:rsid w:val="00180B51"/>
    <w:pPr>
      <w:spacing w:after="20"/>
    </w:pPr>
    <w:rPr>
      <w:b/>
      <w:sz w:val="22"/>
    </w:rPr>
  </w:style>
  <w:style w:type="paragraph" w:customStyle="1" w:styleId="TableMainHeadingContd">
    <w:name w:val="Table Main Heading Contd"/>
    <w:basedOn w:val="HeadingBase"/>
    <w:next w:val="TableGraphic"/>
    <w:rsid w:val="00180B51"/>
    <w:pPr>
      <w:spacing w:after="20"/>
    </w:pPr>
    <w:rPr>
      <w:b/>
      <w:sz w:val="22"/>
    </w:rPr>
  </w:style>
  <w:style w:type="paragraph" w:customStyle="1" w:styleId="TableSecondHeading">
    <w:name w:val="Table Second Heading"/>
    <w:basedOn w:val="HeadingBase"/>
    <w:next w:val="TableGraphic"/>
    <w:rsid w:val="00180B51"/>
    <w:pPr>
      <w:spacing w:after="20"/>
    </w:pPr>
  </w:style>
  <w:style w:type="paragraph" w:customStyle="1" w:styleId="TableTextCentered">
    <w:name w:val="Table Text Centered"/>
    <w:basedOn w:val="TableTextBase"/>
    <w:rsid w:val="00180B51"/>
    <w:pPr>
      <w:jc w:val="center"/>
    </w:pPr>
  </w:style>
  <w:style w:type="paragraph" w:customStyle="1" w:styleId="TableTextIndented">
    <w:name w:val="Table Text Indented"/>
    <w:basedOn w:val="TableTextBase"/>
    <w:rsid w:val="00180B51"/>
    <w:pPr>
      <w:ind w:left="284"/>
    </w:pPr>
  </w:style>
  <w:style w:type="paragraph" w:customStyle="1" w:styleId="TableTextLeft">
    <w:name w:val="Table Text Left"/>
    <w:basedOn w:val="TableTextBase"/>
    <w:rsid w:val="00180B51"/>
  </w:style>
  <w:style w:type="paragraph" w:customStyle="1" w:styleId="TableTextRight">
    <w:name w:val="Table Text Right"/>
    <w:basedOn w:val="TableTextBase"/>
    <w:rsid w:val="00180B51"/>
    <w:pPr>
      <w:jc w:val="right"/>
    </w:pPr>
  </w:style>
  <w:style w:type="paragraph" w:styleId="TOC2">
    <w:name w:val="toc 2"/>
    <w:basedOn w:val="HeadingBase"/>
    <w:next w:val="Normal"/>
    <w:uiPriority w:val="39"/>
    <w:rsid w:val="00180B51"/>
    <w:pPr>
      <w:tabs>
        <w:tab w:val="right" w:leader="dot" w:pos="9072"/>
      </w:tabs>
      <w:spacing w:before="40" w:after="20"/>
      <w:ind w:right="851"/>
    </w:pPr>
  </w:style>
  <w:style w:type="paragraph" w:styleId="TOC4">
    <w:name w:val="toc 4"/>
    <w:basedOn w:val="Normal"/>
    <w:next w:val="Normal"/>
    <w:rsid w:val="00180B51"/>
    <w:pPr>
      <w:tabs>
        <w:tab w:val="right" w:leader="dot" w:pos="9072"/>
      </w:tabs>
      <w:spacing w:after="0" w:line="240" w:lineRule="auto"/>
      <w:ind w:left="284" w:right="851"/>
    </w:pPr>
  </w:style>
  <w:style w:type="character" w:customStyle="1" w:styleId="italic">
    <w:name w:val="italic"/>
    <w:rsid w:val="00180B51"/>
    <w:rPr>
      <w:i/>
    </w:rPr>
  </w:style>
  <w:style w:type="paragraph" w:customStyle="1" w:styleId="OneLevelNumberedParagraph">
    <w:name w:val="One Level Numbered Paragraph"/>
    <w:basedOn w:val="Normal"/>
    <w:rsid w:val="00180B51"/>
    <w:pPr>
      <w:numPr>
        <w:numId w:val="5"/>
      </w:numPr>
    </w:pPr>
  </w:style>
  <w:style w:type="paragraph" w:customStyle="1" w:styleId="BoxText">
    <w:name w:val="Box Text"/>
    <w:basedOn w:val="BoxTextBase"/>
    <w:rsid w:val="00180B51"/>
  </w:style>
  <w:style w:type="paragraph" w:customStyle="1" w:styleId="BoxBullet">
    <w:name w:val="Box Bullet"/>
    <w:basedOn w:val="BoxTextBase"/>
    <w:rsid w:val="00180B51"/>
    <w:pPr>
      <w:numPr>
        <w:numId w:val="4"/>
      </w:numPr>
    </w:pPr>
  </w:style>
  <w:style w:type="paragraph" w:customStyle="1" w:styleId="BoxDash">
    <w:name w:val="Box Dash"/>
    <w:basedOn w:val="BoxTextBase"/>
    <w:rsid w:val="00180B51"/>
    <w:pPr>
      <w:numPr>
        <w:ilvl w:val="1"/>
        <w:numId w:val="4"/>
      </w:numPr>
    </w:pPr>
  </w:style>
  <w:style w:type="paragraph" w:customStyle="1" w:styleId="BoxDoubleDot">
    <w:name w:val="Box Double Dot"/>
    <w:basedOn w:val="BoxTextBase"/>
    <w:rsid w:val="00180B51"/>
    <w:pPr>
      <w:numPr>
        <w:ilvl w:val="2"/>
        <w:numId w:val="4"/>
      </w:numPr>
    </w:pPr>
  </w:style>
  <w:style w:type="paragraph" w:customStyle="1" w:styleId="RecommendationBullet">
    <w:name w:val="Recommendation Bullet"/>
    <w:basedOn w:val="RecommendationTextBase"/>
    <w:rsid w:val="00180B51"/>
    <w:pPr>
      <w:numPr>
        <w:numId w:val="10"/>
      </w:numPr>
    </w:pPr>
  </w:style>
  <w:style w:type="paragraph" w:customStyle="1" w:styleId="RecommendationDash">
    <w:name w:val="Recommendation Dash"/>
    <w:basedOn w:val="RecommendationTextBase"/>
    <w:rsid w:val="00180B51"/>
    <w:pPr>
      <w:numPr>
        <w:ilvl w:val="1"/>
        <w:numId w:val="10"/>
      </w:numPr>
    </w:pPr>
  </w:style>
  <w:style w:type="paragraph" w:customStyle="1" w:styleId="RecommendationDoubleDot">
    <w:name w:val="Recommendation Double Dot"/>
    <w:basedOn w:val="RecommendationTextBase"/>
    <w:rsid w:val="00180B51"/>
    <w:pPr>
      <w:numPr>
        <w:ilvl w:val="2"/>
        <w:numId w:val="10"/>
      </w:numPr>
    </w:pPr>
  </w:style>
  <w:style w:type="paragraph" w:customStyle="1" w:styleId="Heading1NotNumbered">
    <w:name w:val="Heading 1 Not Numbered"/>
    <w:basedOn w:val="HeadingBase"/>
    <w:next w:val="Normal"/>
    <w:uiPriority w:val="99"/>
    <w:rsid w:val="00BA39CC"/>
    <w:pPr>
      <w:spacing w:before="720" w:after="360"/>
    </w:pPr>
    <w:rPr>
      <w:smallCaps/>
      <w:sz w:val="36"/>
      <w:szCs w:val="36"/>
    </w:rPr>
  </w:style>
  <w:style w:type="paragraph" w:customStyle="1" w:styleId="Heading3NotNumbered">
    <w:name w:val="Heading 3 Not Numbered"/>
    <w:basedOn w:val="HeadingBase"/>
    <w:next w:val="Normal"/>
    <w:uiPriority w:val="99"/>
    <w:rsid w:val="00BA39CC"/>
    <w:pPr>
      <w:spacing w:before="240" w:after="120"/>
    </w:pPr>
    <w:rPr>
      <w:sz w:val="28"/>
      <w:szCs w:val="26"/>
    </w:rPr>
  </w:style>
  <w:style w:type="paragraph" w:customStyle="1" w:styleId="Heading4NotNumbered">
    <w:name w:val="Heading 4 Not Numbered"/>
    <w:basedOn w:val="HeadingBase"/>
    <w:uiPriority w:val="99"/>
    <w:rsid w:val="00BA39CC"/>
    <w:pPr>
      <w:spacing w:before="120" w:after="120"/>
      <w:outlineLvl w:val="3"/>
    </w:pPr>
    <w:rPr>
      <w:b/>
      <w:sz w:val="26"/>
    </w:rPr>
  </w:style>
  <w:style w:type="paragraph" w:styleId="Caption">
    <w:name w:val="caption"/>
    <w:basedOn w:val="Normal"/>
    <w:next w:val="Normal"/>
    <w:qFormat/>
    <w:rsid w:val="00F513DC"/>
    <w:rPr>
      <w:b/>
      <w:bCs/>
    </w:rPr>
  </w:style>
  <w:style w:type="character" w:styleId="CommentReference">
    <w:name w:val="annotation reference"/>
    <w:rsid w:val="00BA39CC"/>
    <w:rPr>
      <w:rFonts w:cs="Times New Roman"/>
      <w:sz w:val="16"/>
      <w:szCs w:val="16"/>
    </w:rPr>
  </w:style>
  <w:style w:type="paragraph" w:styleId="CommentText">
    <w:name w:val="annotation text"/>
    <w:basedOn w:val="Normal"/>
    <w:link w:val="CommentTextChar"/>
    <w:uiPriority w:val="99"/>
    <w:rsid w:val="00BA39CC"/>
  </w:style>
  <w:style w:type="character" w:customStyle="1" w:styleId="CommentTextChar">
    <w:name w:val="Comment Text Char"/>
    <w:link w:val="CommentText"/>
    <w:uiPriority w:val="99"/>
    <w:locked/>
    <w:rsid w:val="00BA39CC"/>
    <w:rPr>
      <w:rFonts w:eastAsia="Times New Roman" w:cs="Times New Roman"/>
      <w:color w:val="000000"/>
      <w:sz w:val="20"/>
      <w:szCs w:val="20"/>
      <w:lang w:eastAsia="en-AU"/>
    </w:rPr>
  </w:style>
  <w:style w:type="paragraph" w:styleId="CommentSubject">
    <w:name w:val="annotation subject"/>
    <w:basedOn w:val="CommentText"/>
    <w:next w:val="CommentText"/>
    <w:link w:val="CommentSubjectChar"/>
    <w:uiPriority w:val="99"/>
    <w:semiHidden/>
    <w:rsid w:val="00BA39CC"/>
    <w:rPr>
      <w:b/>
      <w:bCs/>
    </w:rPr>
  </w:style>
  <w:style w:type="character" w:customStyle="1" w:styleId="CommentSubjectChar">
    <w:name w:val="Comment Subject Char"/>
    <w:link w:val="CommentSubject"/>
    <w:uiPriority w:val="99"/>
    <w:semiHidden/>
    <w:locked/>
    <w:rsid w:val="00BA39CC"/>
    <w:rPr>
      <w:rFonts w:eastAsia="Times New Roman" w:cs="Times New Roman"/>
      <w:b/>
      <w:bCs/>
      <w:color w:val="000000"/>
      <w:sz w:val="20"/>
      <w:szCs w:val="20"/>
      <w:lang w:eastAsia="en-AU"/>
    </w:rPr>
  </w:style>
  <w:style w:type="paragraph" w:styleId="DocumentMap">
    <w:name w:val="Document Map"/>
    <w:basedOn w:val="Normal"/>
    <w:link w:val="DocumentMapChar"/>
    <w:uiPriority w:val="99"/>
    <w:semiHidden/>
    <w:rsid w:val="00BA39CC"/>
    <w:pPr>
      <w:shd w:val="clear" w:color="auto" w:fill="000080"/>
    </w:pPr>
    <w:rPr>
      <w:rFonts w:ascii="Tahoma" w:hAnsi="Tahoma" w:cs="Tahoma"/>
    </w:rPr>
  </w:style>
  <w:style w:type="character" w:customStyle="1" w:styleId="DocumentMapChar">
    <w:name w:val="Document Map Char"/>
    <w:link w:val="DocumentMap"/>
    <w:uiPriority w:val="99"/>
    <w:semiHidden/>
    <w:locked/>
    <w:rsid w:val="00BA39CC"/>
    <w:rPr>
      <w:rFonts w:ascii="Tahoma" w:hAnsi="Tahoma" w:cs="Tahoma"/>
      <w:color w:val="000000"/>
      <w:sz w:val="20"/>
      <w:szCs w:val="20"/>
      <w:shd w:val="clear" w:color="auto" w:fill="000080"/>
      <w:lang w:eastAsia="en-AU"/>
    </w:rPr>
  </w:style>
  <w:style w:type="character" w:styleId="EndnoteReference">
    <w:name w:val="endnote reference"/>
    <w:uiPriority w:val="99"/>
    <w:semiHidden/>
    <w:rsid w:val="00BA39CC"/>
    <w:rPr>
      <w:rFonts w:cs="Times New Roman"/>
      <w:vertAlign w:val="superscript"/>
    </w:rPr>
  </w:style>
  <w:style w:type="paragraph" w:styleId="EndnoteText">
    <w:name w:val="endnote text"/>
    <w:basedOn w:val="Normal"/>
    <w:link w:val="EndnoteTextChar"/>
    <w:uiPriority w:val="99"/>
    <w:semiHidden/>
    <w:rsid w:val="00BA39CC"/>
  </w:style>
  <w:style w:type="character" w:customStyle="1" w:styleId="EndnoteTextChar">
    <w:name w:val="Endnote Text Char"/>
    <w:link w:val="EndnoteText"/>
    <w:uiPriority w:val="99"/>
    <w:semiHidden/>
    <w:locked/>
    <w:rsid w:val="00BA39CC"/>
    <w:rPr>
      <w:rFonts w:eastAsia="Times New Roman" w:cs="Times New Roman"/>
      <w:color w:val="000000"/>
      <w:sz w:val="20"/>
      <w:szCs w:val="20"/>
      <w:lang w:eastAsia="en-AU"/>
    </w:rPr>
  </w:style>
  <w:style w:type="paragraph" w:styleId="Index1">
    <w:name w:val="index 1"/>
    <w:basedOn w:val="Normal"/>
    <w:next w:val="Normal"/>
    <w:autoRedefine/>
    <w:uiPriority w:val="99"/>
    <w:semiHidden/>
    <w:rsid w:val="00BA39CC"/>
    <w:pPr>
      <w:ind w:left="200" w:hanging="200"/>
    </w:pPr>
  </w:style>
  <w:style w:type="paragraph" w:styleId="Index2">
    <w:name w:val="index 2"/>
    <w:basedOn w:val="Normal"/>
    <w:next w:val="Normal"/>
    <w:autoRedefine/>
    <w:uiPriority w:val="99"/>
    <w:semiHidden/>
    <w:rsid w:val="00BA39CC"/>
    <w:pPr>
      <w:ind w:left="400" w:hanging="200"/>
    </w:pPr>
  </w:style>
  <w:style w:type="paragraph" w:styleId="Index3">
    <w:name w:val="index 3"/>
    <w:basedOn w:val="Normal"/>
    <w:next w:val="Normal"/>
    <w:autoRedefine/>
    <w:uiPriority w:val="99"/>
    <w:semiHidden/>
    <w:rsid w:val="00BA39CC"/>
    <w:pPr>
      <w:ind w:left="600" w:hanging="200"/>
    </w:pPr>
  </w:style>
  <w:style w:type="paragraph" w:styleId="Index4">
    <w:name w:val="index 4"/>
    <w:basedOn w:val="Normal"/>
    <w:next w:val="Normal"/>
    <w:autoRedefine/>
    <w:uiPriority w:val="99"/>
    <w:semiHidden/>
    <w:rsid w:val="00BA39CC"/>
    <w:pPr>
      <w:ind w:left="800" w:hanging="200"/>
    </w:pPr>
  </w:style>
  <w:style w:type="paragraph" w:styleId="Index5">
    <w:name w:val="index 5"/>
    <w:basedOn w:val="Normal"/>
    <w:next w:val="Normal"/>
    <w:autoRedefine/>
    <w:uiPriority w:val="99"/>
    <w:semiHidden/>
    <w:rsid w:val="00BA39CC"/>
    <w:pPr>
      <w:ind w:left="1000" w:hanging="200"/>
    </w:pPr>
  </w:style>
  <w:style w:type="paragraph" w:styleId="Index6">
    <w:name w:val="index 6"/>
    <w:basedOn w:val="Normal"/>
    <w:next w:val="Normal"/>
    <w:autoRedefine/>
    <w:uiPriority w:val="99"/>
    <w:semiHidden/>
    <w:rsid w:val="00BA39CC"/>
    <w:pPr>
      <w:ind w:left="1200" w:hanging="200"/>
    </w:pPr>
  </w:style>
  <w:style w:type="paragraph" w:styleId="Index7">
    <w:name w:val="index 7"/>
    <w:basedOn w:val="Normal"/>
    <w:next w:val="Normal"/>
    <w:autoRedefine/>
    <w:uiPriority w:val="99"/>
    <w:semiHidden/>
    <w:rsid w:val="00BA39CC"/>
    <w:pPr>
      <w:ind w:left="1400" w:hanging="200"/>
    </w:pPr>
  </w:style>
  <w:style w:type="paragraph" w:styleId="Index8">
    <w:name w:val="index 8"/>
    <w:basedOn w:val="Normal"/>
    <w:next w:val="Normal"/>
    <w:autoRedefine/>
    <w:uiPriority w:val="99"/>
    <w:semiHidden/>
    <w:rsid w:val="00BA39CC"/>
    <w:pPr>
      <w:ind w:left="1600" w:hanging="200"/>
    </w:pPr>
  </w:style>
  <w:style w:type="paragraph" w:styleId="Index9">
    <w:name w:val="index 9"/>
    <w:basedOn w:val="Normal"/>
    <w:next w:val="Normal"/>
    <w:autoRedefine/>
    <w:uiPriority w:val="99"/>
    <w:semiHidden/>
    <w:rsid w:val="00BA39CC"/>
    <w:pPr>
      <w:ind w:left="1800" w:hanging="200"/>
    </w:pPr>
  </w:style>
  <w:style w:type="paragraph" w:styleId="IndexHeading">
    <w:name w:val="index heading"/>
    <w:basedOn w:val="Normal"/>
    <w:next w:val="Index1"/>
    <w:uiPriority w:val="99"/>
    <w:semiHidden/>
    <w:rsid w:val="00BA39CC"/>
    <w:rPr>
      <w:rFonts w:cs="Arial"/>
      <w:b/>
      <w:bCs/>
    </w:rPr>
  </w:style>
  <w:style w:type="paragraph" w:styleId="MacroText">
    <w:name w:val="macro"/>
    <w:link w:val="MacroTextChar"/>
    <w:uiPriority w:val="99"/>
    <w:semiHidden/>
    <w:rsid w:val="00BA39CC"/>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sid w:val="00BA39CC"/>
    <w:rPr>
      <w:rFonts w:ascii="Courier New" w:eastAsia="Times New Roman" w:hAnsi="Courier New" w:cs="Courier New"/>
      <w:color w:val="000000"/>
      <w:lang w:val="en-AU" w:eastAsia="en-AU" w:bidi="ar-SA"/>
    </w:rPr>
  </w:style>
  <w:style w:type="paragraph" w:styleId="TableofAuthorities">
    <w:name w:val="table of authorities"/>
    <w:basedOn w:val="Normal"/>
    <w:next w:val="Normal"/>
    <w:uiPriority w:val="99"/>
    <w:rsid w:val="00BA39CC"/>
    <w:pPr>
      <w:ind w:left="200" w:hanging="200"/>
    </w:pPr>
  </w:style>
  <w:style w:type="paragraph" w:styleId="TableofFigures">
    <w:name w:val="table of figures"/>
    <w:basedOn w:val="Normal"/>
    <w:next w:val="Normal"/>
    <w:uiPriority w:val="99"/>
    <w:rsid w:val="00BA39CC"/>
  </w:style>
  <w:style w:type="paragraph" w:styleId="TOAHeading">
    <w:name w:val="toa heading"/>
    <w:basedOn w:val="Normal"/>
    <w:next w:val="Normal"/>
    <w:uiPriority w:val="99"/>
    <w:semiHidden/>
    <w:rsid w:val="00BA39CC"/>
    <w:pPr>
      <w:spacing w:before="120"/>
    </w:pPr>
    <w:rPr>
      <w:rFonts w:cs="Arial"/>
      <w:b/>
      <w:bCs/>
      <w:sz w:val="24"/>
      <w:szCs w:val="24"/>
    </w:rPr>
  </w:style>
  <w:style w:type="paragraph" w:styleId="TOC5">
    <w:name w:val="toc 5"/>
    <w:basedOn w:val="Normal"/>
    <w:next w:val="Normal"/>
    <w:autoRedefine/>
    <w:uiPriority w:val="99"/>
    <w:semiHidden/>
    <w:rsid w:val="00BA39CC"/>
    <w:pPr>
      <w:ind w:left="800"/>
    </w:pPr>
  </w:style>
  <w:style w:type="paragraph" w:styleId="TOC6">
    <w:name w:val="toc 6"/>
    <w:basedOn w:val="Normal"/>
    <w:next w:val="Normal"/>
    <w:autoRedefine/>
    <w:uiPriority w:val="99"/>
    <w:semiHidden/>
    <w:rsid w:val="00BA39CC"/>
    <w:pPr>
      <w:ind w:left="1000"/>
    </w:pPr>
  </w:style>
  <w:style w:type="paragraph" w:styleId="TOC7">
    <w:name w:val="toc 7"/>
    <w:basedOn w:val="Normal"/>
    <w:next w:val="Normal"/>
    <w:autoRedefine/>
    <w:uiPriority w:val="99"/>
    <w:semiHidden/>
    <w:rsid w:val="00BA39CC"/>
    <w:pPr>
      <w:ind w:left="1200"/>
    </w:pPr>
  </w:style>
  <w:style w:type="paragraph" w:styleId="TOC8">
    <w:name w:val="toc 8"/>
    <w:basedOn w:val="Normal"/>
    <w:next w:val="Normal"/>
    <w:autoRedefine/>
    <w:uiPriority w:val="99"/>
    <w:semiHidden/>
    <w:rsid w:val="00BA39CC"/>
    <w:pPr>
      <w:ind w:left="1400"/>
    </w:pPr>
  </w:style>
  <w:style w:type="paragraph" w:styleId="TOC9">
    <w:name w:val="toc 9"/>
    <w:basedOn w:val="Normal"/>
    <w:next w:val="Normal"/>
    <w:autoRedefine/>
    <w:uiPriority w:val="99"/>
    <w:semiHidden/>
    <w:rsid w:val="00BA39CC"/>
    <w:pPr>
      <w:ind w:left="1600"/>
    </w:pPr>
  </w:style>
  <w:style w:type="paragraph" w:customStyle="1" w:styleId="Heading5NotNumbered">
    <w:name w:val="Heading 5 Not Numbered"/>
    <w:basedOn w:val="HeadingBase"/>
    <w:uiPriority w:val="99"/>
    <w:rsid w:val="00BA39CC"/>
    <w:pPr>
      <w:spacing w:after="120"/>
      <w:outlineLvl w:val="4"/>
    </w:pPr>
    <w:rPr>
      <w:b/>
      <w:sz w:val="24"/>
    </w:rPr>
  </w:style>
  <w:style w:type="table" w:customStyle="1" w:styleId="OptionsTable">
    <w:name w:val="Options Table"/>
    <w:uiPriority w:val="99"/>
    <w:rsid w:val="00BA39CC"/>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BA39CC"/>
    <w:pPr>
      <w:numPr>
        <w:numId w:val="6"/>
      </w:numPr>
    </w:pPr>
  </w:style>
  <w:style w:type="paragraph" w:customStyle="1" w:styleId="OutlineNumbered4">
    <w:name w:val="Outline Numbered 4"/>
    <w:basedOn w:val="Normal"/>
    <w:uiPriority w:val="99"/>
    <w:rsid w:val="00BA39CC"/>
  </w:style>
  <w:style w:type="paragraph" w:customStyle="1" w:styleId="OutlineNumbered5">
    <w:name w:val="Outline Numbered 5"/>
    <w:basedOn w:val="Normal"/>
    <w:uiPriority w:val="99"/>
    <w:rsid w:val="00BA39CC"/>
    <w:pPr>
      <w:tabs>
        <w:tab w:val="num" w:pos="1800"/>
      </w:tabs>
      <w:ind w:left="1800" w:hanging="360"/>
    </w:pPr>
  </w:style>
  <w:style w:type="paragraph" w:customStyle="1" w:styleId="Crest">
    <w:name w:val="Crest"/>
    <w:basedOn w:val="Header"/>
    <w:uiPriority w:val="99"/>
    <w:rsid w:val="00BA39CC"/>
    <w:pPr>
      <w:spacing w:after="480"/>
      <w:jc w:val="right"/>
    </w:pPr>
  </w:style>
  <w:style w:type="paragraph" w:customStyle="1" w:styleId="Default">
    <w:name w:val="Default"/>
    <w:rsid w:val="00257DEF"/>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F513DC"/>
    <w:pPr>
      <w:ind w:left="720"/>
      <w:contextualSpacing/>
    </w:pPr>
  </w:style>
  <w:style w:type="character" w:customStyle="1" w:styleId="FootnoteTextChar1">
    <w:name w:val="Footnote Text Char1"/>
    <w:uiPriority w:val="99"/>
    <w:locked/>
    <w:rsid w:val="00C46327"/>
    <w:rPr>
      <w:rFonts w:ascii="Times New Roman" w:hAnsi="Times New Roman"/>
      <w:sz w:val="20"/>
      <w:lang w:eastAsia="en-AU"/>
    </w:rPr>
  </w:style>
  <w:style w:type="character" w:styleId="Strong">
    <w:name w:val="Strong"/>
    <w:qFormat/>
    <w:rsid w:val="00F513DC"/>
    <w:rPr>
      <w:b/>
      <w:bCs/>
    </w:rPr>
  </w:style>
  <w:style w:type="paragraph" w:styleId="Subtitle">
    <w:name w:val="Subtitle"/>
    <w:basedOn w:val="Normal"/>
    <w:next w:val="Normal"/>
    <w:link w:val="SubtitleChar"/>
    <w:qFormat/>
    <w:rsid w:val="00F513DC"/>
    <w:pPr>
      <w:numPr>
        <w:ilvl w:val="1"/>
      </w:numPr>
    </w:pPr>
    <w:rPr>
      <w:rFonts w:ascii="Cambria" w:hAnsi="Cambria"/>
      <w:i/>
      <w:iCs/>
      <w:color w:val="4F81BD"/>
      <w:spacing w:val="15"/>
      <w:sz w:val="24"/>
      <w:szCs w:val="24"/>
    </w:rPr>
  </w:style>
  <w:style w:type="character" w:customStyle="1" w:styleId="SubtitleChar">
    <w:name w:val="Subtitle Char"/>
    <w:link w:val="Subtitle"/>
    <w:locked/>
    <w:rsid w:val="00F513DC"/>
    <w:rPr>
      <w:rFonts w:ascii="Cambria" w:eastAsia="Times New Roman" w:hAnsi="Cambria" w:cs="Times New Roman"/>
      <w:i/>
      <w:iCs/>
      <w:color w:val="4F81BD"/>
      <w:spacing w:val="15"/>
      <w:sz w:val="24"/>
      <w:szCs w:val="24"/>
    </w:rPr>
  </w:style>
  <w:style w:type="character" w:styleId="BookTitle">
    <w:name w:val="Book Title"/>
    <w:uiPriority w:val="33"/>
    <w:qFormat/>
    <w:rsid w:val="00F513DC"/>
    <w:rPr>
      <w:b/>
      <w:bCs/>
      <w:smallCaps/>
      <w:spacing w:val="5"/>
    </w:rPr>
  </w:style>
  <w:style w:type="paragraph" w:customStyle="1" w:styleId="Body">
    <w:name w:val="Body"/>
    <w:uiPriority w:val="99"/>
    <w:rsid w:val="007B062A"/>
    <w:rPr>
      <w:rFonts w:ascii="Helvetica" w:eastAsia="?????? Pro W3" w:hAnsi="Helvetica"/>
      <w:color w:val="000000"/>
      <w:sz w:val="24"/>
      <w:lang w:val="en-US" w:eastAsia="en-US"/>
    </w:rPr>
  </w:style>
  <w:style w:type="character" w:styleId="Emphasis">
    <w:name w:val="Emphasis"/>
    <w:uiPriority w:val="20"/>
    <w:qFormat/>
    <w:rsid w:val="00F513DC"/>
    <w:rPr>
      <w:i/>
      <w:iCs/>
    </w:rPr>
  </w:style>
  <w:style w:type="paragraph" w:styleId="Title">
    <w:name w:val="Title"/>
    <w:basedOn w:val="Normal"/>
    <w:next w:val="Normal"/>
    <w:link w:val="TitleChar"/>
    <w:qFormat/>
    <w:rsid w:val="00F513D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rsid w:val="00F513DC"/>
    <w:rPr>
      <w:rFonts w:ascii="Cambria" w:eastAsia="Times New Roman" w:hAnsi="Cambria" w:cs="Times New Roman"/>
      <w:color w:val="17365D"/>
      <w:spacing w:val="5"/>
      <w:kern w:val="28"/>
      <w:sz w:val="52"/>
      <w:szCs w:val="52"/>
    </w:rPr>
  </w:style>
  <w:style w:type="paragraph" w:styleId="NoSpacing">
    <w:name w:val="No Spacing"/>
    <w:uiPriority w:val="1"/>
    <w:qFormat/>
    <w:rsid w:val="00F513DC"/>
    <w:pPr>
      <w:jc w:val="both"/>
    </w:pPr>
    <w:rPr>
      <w:rFonts w:ascii="Calibri" w:hAnsi="Calibri"/>
      <w:color w:val="000000"/>
      <w:sz w:val="22"/>
    </w:rPr>
  </w:style>
  <w:style w:type="paragraph" w:styleId="Quote">
    <w:name w:val="Quote"/>
    <w:basedOn w:val="Normal"/>
    <w:next w:val="Normal"/>
    <w:link w:val="QuoteChar"/>
    <w:uiPriority w:val="29"/>
    <w:qFormat/>
    <w:rsid w:val="00F513DC"/>
    <w:rPr>
      <w:i/>
      <w:iCs/>
    </w:rPr>
  </w:style>
  <w:style w:type="character" w:customStyle="1" w:styleId="QuoteChar">
    <w:name w:val="Quote Char"/>
    <w:link w:val="Quote"/>
    <w:uiPriority w:val="29"/>
    <w:rsid w:val="00F513DC"/>
    <w:rPr>
      <w:rFonts w:ascii="Calibri" w:hAnsi="Calibri"/>
      <w:i/>
      <w:iCs/>
      <w:color w:val="000000"/>
      <w:sz w:val="22"/>
    </w:rPr>
  </w:style>
  <w:style w:type="paragraph" w:styleId="IntenseQuote">
    <w:name w:val="Intense Quote"/>
    <w:basedOn w:val="Normal"/>
    <w:next w:val="Normal"/>
    <w:link w:val="IntenseQuoteChar"/>
    <w:uiPriority w:val="30"/>
    <w:qFormat/>
    <w:rsid w:val="00F513D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513DC"/>
    <w:rPr>
      <w:rFonts w:ascii="Calibri" w:hAnsi="Calibri"/>
      <w:b/>
      <w:bCs/>
      <w:i/>
      <w:iCs/>
      <w:color w:val="4F81BD"/>
      <w:sz w:val="22"/>
    </w:rPr>
  </w:style>
  <w:style w:type="character" w:styleId="SubtleEmphasis">
    <w:name w:val="Subtle Emphasis"/>
    <w:uiPriority w:val="19"/>
    <w:qFormat/>
    <w:rsid w:val="00F513DC"/>
    <w:rPr>
      <w:i/>
      <w:iCs/>
      <w:color w:val="808080"/>
    </w:rPr>
  </w:style>
  <w:style w:type="character" w:styleId="IntenseEmphasis">
    <w:name w:val="Intense Emphasis"/>
    <w:uiPriority w:val="21"/>
    <w:qFormat/>
    <w:rsid w:val="00F513DC"/>
    <w:rPr>
      <w:b/>
      <w:bCs/>
      <w:i/>
      <w:iCs/>
      <w:color w:val="4F81BD"/>
    </w:rPr>
  </w:style>
  <w:style w:type="character" w:styleId="SubtleReference">
    <w:name w:val="Subtle Reference"/>
    <w:uiPriority w:val="31"/>
    <w:qFormat/>
    <w:rsid w:val="00F513DC"/>
    <w:rPr>
      <w:smallCaps/>
      <w:color w:val="C0504D"/>
      <w:u w:val="single"/>
    </w:rPr>
  </w:style>
  <w:style w:type="character" w:styleId="IntenseReference">
    <w:name w:val="Intense Reference"/>
    <w:uiPriority w:val="32"/>
    <w:qFormat/>
    <w:rsid w:val="00F513DC"/>
    <w:rPr>
      <w:b/>
      <w:bCs/>
      <w:smallCaps/>
      <w:color w:val="C0504D"/>
      <w:spacing w:val="5"/>
      <w:u w:val="single"/>
    </w:rPr>
  </w:style>
  <w:style w:type="character" w:styleId="PageNumber">
    <w:name w:val="page number"/>
    <w:locked/>
    <w:rsid w:val="00180B51"/>
    <w:rPr>
      <w:rFonts w:ascii="Arial" w:hAnsi="Arial"/>
      <w:sz w:val="18"/>
    </w:rPr>
  </w:style>
  <w:style w:type="paragraph" w:customStyle="1" w:styleId="Disclaimer">
    <w:name w:val="Disclaimer"/>
    <w:basedOn w:val="HeadingBase"/>
    <w:rsid w:val="00180B51"/>
    <w:pPr>
      <w:spacing w:after="240"/>
    </w:pPr>
    <w:rPr>
      <w:b/>
      <w:sz w:val="22"/>
    </w:rPr>
  </w:style>
  <w:style w:type="character" w:customStyle="1" w:styleId="EmailStyle84">
    <w:name w:val="EmailStyle84"/>
    <w:semiHidden/>
    <w:rsid w:val="00180B51"/>
    <w:rPr>
      <w:rFonts w:ascii="Arial" w:hAnsi="Arial" w:cs="Arial"/>
      <w:color w:val="auto"/>
      <w:sz w:val="20"/>
      <w:szCs w:val="20"/>
    </w:rPr>
  </w:style>
  <w:style w:type="character" w:customStyle="1" w:styleId="Italics">
    <w:name w:val="Italics"/>
    <w:rsid w:val="00180B51"/>
    <w:rPr>
      <w:i/>
    </w:rPr>
  </w:style>
  <w:style w:type="paragraph" w:customStyle="1" w:styleId="NotesHeading">
    <w:name w:val="Notes Heading"/>
    <w:basedOn w:val="ContentsHeading"/>
    <w:rsid w:val="00180B51"/>
    <w:pPr>
      <w:spacing w:before="240"/>
      <w:jc w:val="center"/>
    </w:pPr>
  </w:style>
  <w:style w:type="paragraph" w:customStyle="1" w:styleId="BoxHeadingnonumber">
    <w:name w:val="Box Heading no number"/>
    <w:basedOn w:val="BoxHeading"/>
    <w:next w:val="BoxText"/>
    <w:qFormat/>
    <w:rsid w:val="00180B51"/>
    <w:pPr>
      <w:numPr>
        <w:numId w:val="0"/>
      </w:numPr>
    </w:pPr>
  </w:style>
  <w:style w:type="numbering" w:customStyle="1" w:styleId="Outlinenumbering">
    <w:name w:val="Outline numbering"/>
    <w:uiPriority w:val="99"/>
    <w:rsid w:val="00180B51"/>
    <w:pPr>
      <w:numPr>
        <w:numId w:val="12"/>
      </w:numPr>
    </w:pPr>
  </w:style>
  <w:style w:type="numbering" w:customStyle="1" w:styleId="Optionboxheading">
    <w:name w:val="Option box heading"/>
    <w:uiPriority w:val="99"/>
    <w:rsid w:val="00180B51"/>
    <w:pPr>
      <w:numPr>
        <w:numId w:val="14"/>
      </w:numPr>
    </w:pPr>
  </w:style>
  <w:style w:type="paragraph" w:styleId="PlainText">
    <w:name w:val="Plain Text"/>
    <w:basedOn w:val="Normal"/>
    <w:link w:val="PlainTextChar"/>
    <w:uiPriority w:val="99"/>
    <w:unhideWhenUsed/>
    <w:locked/>
    <w:rsid w:val="00A15CEF"/>
    <w:pPr>
      <w:spacing w:after="0" w:line="240" w:lineRule="auto"/>
      <w:jc w:val="left"/>
    </w:pPr>
    <w:rPr>
      <w:rFonts w:ascii="Calibri" w:eastAsia="Calibri" w:hAnsi="Calibri"/>
      <w:color w:val="auto"/>
      <w:szCs w:val="21"/>
      <w:lang w:eastAsia="en-US"/>
    </w:rPr>
  </w:style>
  <w:style w:type="character" w:customStyle="1" w:styleId="PlainTextChar">
    <w:name w:val="Plain Text Char"/>
    <w:link w:val="PlainText"/>
    <w:uiPriority w:val="99"/>
    <w:rsid w:val="00A15CEF"/>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Outlinenumbering"/>
    <w:pPr>
      <w:numPr>
        <w:numId w:val="12"/>
      </w:numPr>
    </w:pPr>
  </w:style>
  <w:style w:type="numbering" w:customStyle="1" w:styleId="Heading2Char">
    <w:name w:val="Optionboxheading"/>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1409">
      <w:bodyDiv w:val="1"/>
      <w:marLeft w:val="0"/>
      <w:marRight w:val="0"/>
      <w:marTop w:val="0"/>
      <w:marBottom w:val="0"/>
      <w:divBdr>
        <w:top w:val="none" w:sz="0" w:space="0" w:color="auto"/>
        <w:left w:val="none" w:sz="0" w:space="0" w:color="auto"/>
        <w:bottom w:val="none" w:sz="0" w:space="0" w:color="auto"/>
        <w:right w:val="none" w:sz="0" w:space="0" w:color="auto"/>
      </w:divBdr>
    </w:div>
    <w:div w:id="57287857">
      <w:bodyDiv w:val="1"/>
      <w:marLeft w:val="0"/>
      <w:marRight w:val="0"/>
      <w:marTop w:val="0"/>
      <w:marBottom w:val="0"/>
      <w:divBdr>
        <w:top w:val="none" w:sz="0" w:space="0" w:color="auto"/>
        <w:left w:val="none" w:sz="0" w:space="0" w:color="auto"/>
        <w:bottom w:val="none" w:sz="0" w:space="0" w:color="auto"/>
        <w:right w:val="none" w:sz="0" w:space="0" w:color="auto"/>
      </w:divBdr>
    </w:div>
    <w:div w:id="201290409">
      <w:bodyDiv w:val="1"/>
      <w:marLeft w:val="0"/>
      <w:marRight w:val="0"/>
      <w:marTop w:val="0"/>
      <w:marBottom w:val="0"/>
      <w:divBdr>
        <w:top w:val="none" w:sz="0" w:space="0" w:color="auto"/>
        <w:left w:val="none" w:sz="0" w:space="0" w:color="auto"/>
        <w:bottom w:val="none" w:sz="0" w:space="0" w:color="auto"/>
        <w:right w:val="none" w:sz="0" w:space="0" w:color="auto"/>
      </w:divBdr>
    </w:div>
    <w:div w:id="249580794">
      <w:bodyDiv w:val="1"/>
      <w:marLeft w:val="0"/>
      <w:marRight w:val="0"/>
      <w:marTop w:val="0"/>
      <w:marBottom w:val="0"/>
      <w:divBdr>
        <w:top w:val="none" w:sz="0" w:space="0" w:color="auto"/>
        <w:left w:val="none" w:sz="0" w:space="0" w:color="auto"/>
        <w:bottom w:val="none" w:sz="0" w:space="0" w:color="auto"/>
        <w:right w:val="none" w:sz="0" w:space="0" w:color="auto"/>
      </w:divBdr>
    </w:div>
    <w:div w:id="282543506">
      <w:bodyDiv w:val="1"/>
      <w:marLeft w:val="0"/>
      <w:marRight w:val="0"/>
      <w:marTop w:val="0"/>
      <w:marBottom w:val="0"/>
      <w:divBdr>
        <w:top w:val="none" w:sz="0" w:space="0" w:color="auto"/>
        <w:left w:val="none" w:sz="0" w:space="0" w:color="auto"/>
        <w:bottom w:val="none" w:sz="0" w:space="0" w:color="auto"/>
        <w:right w:val="none" w:sz="0" w:space="0" w:color="auto"/>
      </w:divBdr>
    </w:div>
    <w:div w:id="412970701">
      <w:bodyDiv w:val="1"/>
      <w:marLeft w:val="0"/>
      <w:marRight w:val="0"/>
      <w:marTop w:val="0"/>
      <w:marBottom w:val="0"/>
      <w:divBdr>
        <w:top w:val="none" w:sz="0" w:space="0" w:color="auto"/>
        <w:left w:val="none" w:sz="0" w:space="0" w:color="auto"/>
        <w:bottom w:val="none" w:sz="0" w:space="0" w:color="auto"/>
        <w:right w:val="none" w:sz="0" w:space="0" w:color="auto"/>
      </w:divBdr>
    </w:div>
    <w:div w:id="467286363">
      <w:bodyDiv w:val="1"/>
      <w:marLeft w:val="0"/>
      <w:marRight w:val="0"/>
      <w:marTop w:val="0"/>
      <w:marBottom w:val="0"/>
      <w:divBdr>
        <w:top w:val="none" w:sz="0" w:space="0" w:color="auto"/>
        <w:left w:val="none" w:sz="0" w:space="0" w:color="auto"/>
        <w:bottom w:val="none" w:sz="0" w:space="0" w:color="auto"/>
        <w:right w:val="none" w:sz="0" w:space="0" w:color="auto"/>
      </w:divBdr>
    </w:div>
    <w:div w:id="497427659">
      <w:bodyDiv w:val="1"/>
      <w:marLeft w:val="0"/>
      <w:marRight w:val="0"/>
      <w:marTop w:val="0"/>
      <w:marBottom w:val="0"/>
      <w:divBdr>
        <w:top w:val="none" w:sz="0" w:space="0" w:color="auto"/>
        <w:left w:val="none" w:sz="0" w:space="0" w:color="auto"/>
        <w:bottom w:val="none" w:sz="0" w:space="0" w:color="auto"/>
        <w:right w:val="none" w:sz="0" w:space="0" w:color="auto"/>
      </w:divBdr>
    </w:div>
    <w:div w:id="528025983">
      <w:bodyDiv w:val="1"/>
      <w:marLeft w:val="0"/>
      <w:marRight w:val="0"/>
      <w:marTop w:val="0"/>
      <w:marBottom w:val="0"/>
      <w:divBdr>
        <w:top w:val="none" w:sz="0" w:space="0" w:color="auto"/>
        <w:left w:val="none" w:sz="0" w:space="0" w:color="auto"/>
        <w:bottom w:val="none" w:sz="0" w:space="0" w:color="auto"/>
        <w:right w:val="none" w:sz="0" w:space="0" w:color="auto"/>
      </w:divBdr>
    </w:div>
    <w:div w:id="740176092">
      <w:bodyDiv w:val="1"/>
      <w:marLeft w:val="0"/>
      <w:marRight w:val="0"/>
      <w:marTop w:val="0"/>
      <w:marBottom w:val="0"/>
      <w:divBdr>
        <w:top w:val="none" w:sz="0" w:space="0" w:color="auto"/>
        <w:left w:val="none" w:sz="0" w:space="0" w:color="auto"/>
        <w:bottom w:val="none" w:sz="0" w:space="0" w:color="auto"/>
        <w:right w:val="none" w:sz="0" w:space="0" w:color="auto"/>
      </w:divBdr>
    </w:div>
    <w:div w:id="913590484">
      <w:bodyDiv w:val="1"/>
      <w:marLeft w:val="0"/>
      <w:marRight w:val="0"/>
      <w:marTop w:val="0"/>
      <w:marBottom w:val="0"/>
      <w:divBdr>
        <w:top w:val="none" w:sz="0" w:space="0" w:color="auto"/>
        <w:left w:val="none" w:sz="0" w:space="0" w:color="auto"/>
        <w:bottom w:val="none" w:sz="0" w:space="0" w:color="auto"/>
        <w:right w:val="none" w:sz="0" w:space="0" w:color="auto"/>
      </w:divBdr>
    </w:div>
    <w:div w:id="1095900662">
      <w:bodyDiv w:val="1"/>
      <w:marLeft w:val="0"/>
      <w:marRight w:val="0"/>
      <w:marTop w:val="0"/>
      <w:marBottom w:val="0"/>
      <w:divBdr>
        <w:top w:val="none" w:sz="0" w:space="0" w:color="auto"/>
        <w:left w:val="none" w:sz="0" w:space="0" w:color="auto"/>
        <w:bottom w:val="none" w:sz="0" w:space="0" w:color="auto"/>
        <w:right w:val="none" w:sz="0" w:space="0" w:color="auto"/>
      </w:divBdr>
    </w:div>
    <w:div w:id="1240140684">
      <w:bodyDiv w:val="1"/>
      <w:marLeft w:val="0"/>
      <w:marRight w:val="0"/>
      <w:marTop w:val="0"/>
      <w:marBottom w:val="0"/>
      <w:divBdr>
        <w:top w:val="none" w:sz="0" w:space="0" w:color="auto"/>
        <w:left w:val="none" w:sz="0" w:space="0" w:color="auto"/>
        <w:bottom w:val="none" w:sz="0" w:space="0" w:color="auto"/>
        <w:right w:val="none" w:sz="0" w:space="0" w:color="auto"/>
      </w:divBdr>
    </w:div>
    <w:div w:id="1369600498">
      <w:bodyDiv w:val="1"/>
      <w:marLeft w:val="0"/>
      <w:marRight w:val="0"/>
      <w:marTop w:val="0"/>
      <w:marBottom w:val="0"/>
      <w:divBdr>
        <w:top w:val="none" w:sz="0" w:space="0" w:color="auto"/>
        <w:left w:val="none" w:sz="0" w:space="0" w:color="auto"/>
        <w:bottom w:val="none" w:sz="0" w:space="0" w:color="auto"/>
        <w:right w:val="none" w:sz="0" w:space="0" w:color="auto"/>
      </w:divBdr>
    </w:div>
    <w:div w:id="1498838223">
      <w:bodyDiv w:val="1"/>
      <w:marLeft w:val="0"/>
      <w:marRight w:val="0"/>
      <w:marTop w:val="0"/>
      <w:marBottom w:val="0"/>
      <w:divBdr>
        <w:top w:val="none" w:sz="0" w:space="0" w:color="auto"/>
        <w:left w:val="none" w:sz="0" w:space="0" w:color="auto"/>
        <w:bottom w:val="none" w:sz="0" w:space="0" w:color="auto"/>
        <w:right w:val="none" w:sz="0" w:space="0" w:color="auto"/>
      </w:divBdr>
    </w:div>
    <w:div w:id="1544900394">
      <w:bodyDiv w:val="1"/>
      <w:marLeft w:val="0"/>
      <w:marRight w:val="0"/>
      <w:marTop w:val="0"/>
      <w:marBottom w:val="0"/>
      <w:divBdr>
        <w:top w:val="none" w:sz="0" w:space="0" w:color="auto"/>
        <w:left w:val="none" w:sz="0" w:space="0" w:color="auto"/>
        <w:bottom w:val="none" w:sz="0" w:space="0" w:color="auto"/>
        <w:right w:val="none" w:sz="0" w:space="0" w:color="auto"/>
      </w:divBdr>
    </w:div>
    <w:div w:id="1583219961">
      <w:bodyDiv w:val="1"/>
      <w:marLeft w:val="0"/>
      <w:marRight w:val="0"/>
      <w:marTop w:val="0"/>
      <w:marBottom w:val="0"/>
      <w:divBdr>
        <w:top w:val="none" w:sz="0" w:space="0" w:color="auto"/>
        <w:left w:val="none" w:sz="0" w:space="0" w:color="auto"/>
        <w:bottom w:val="none" w:sz="0" w:space="0" w:color="auto"/>
        <w:right w:val="none" w:sz="0" w:space="0" w:color="auto"/>
      </w:divBdr>
    </w:div>
    <w:div w:id="1645235015">
      <w:bodyDiv w:val="1"/>
      <w:marLeft w:val="0"/>
      <w:marRight w:val="0"/>
      <w:marTop w:val="0"/>
      <w:marBottom w:val="0"/>
      <w:divBdr>
        <w:top w:val="none" w:sz="0" w:space="0" w:color="auto"/>
        <w:left w:val="none" w:sz="0" w:space="0" w:color="auto"/>
        <w:bottom w:val="none" w:sz="0" w:space="0" w:color="auto"/>
        <w:right w:val="none" w:sz="0" w:space="0" w:color="auto"/>
      </w:divBdr>
    </w:div>
    <w:div w:id="1685521307">
      <w:bodyDiv w:val="1"/>
      <w:marLeft w:val="0"/>
      <w:marRight w:val="0"/>
      <w:marTop w:val="0"/>
      <w:marBottom w:val="0"/>
      <w:divBdr>
        <w:top w:val="none" w:sz="0" w:space="0" w:color="auto"/>
        <w:left w:val="none" w:sz="0" w:space="0" w:color="auto"/>
        <w:bottom w:val="none" w:sz="0" w:space="0" w:color="auto"/>
        <w:right w:val="none" w:sz="0" w:space="0" w:color="auto"/>
      </w:divBdr>
    </w:div>
    <w:div w:id="1704985416">
      <w:marLeft w:val="0"/>
      <w:marRight w:val="0"/>
      <w:marTop w:val="0"/>
      <w:marBottom w:val="0"/>
      <w:divBdr>
        <w:top w:val="none" w:sz="0" w:space="0" w:color="auto"/>
        <w:left w:val="none" w:sz="0" w:space="0" w:color="auto"/>
        <w:bottom w:val="none" w:sz="0" w:space="0" w:color="auto"/>
        <w:right w:val="none" w:sz="0" w:space="0" w:color="auto"/>
      </w:divBdr>
      <w:divsChild>
        <w:div w:id="1704985448">
          <w:marLeft w:val="0"/>
          <w:marRight w:val="0"/>
          <w:marTop w:val="0"/>
          <w:marBottom w:val="0"/>
          <w:divBdr>
            <w:top w:val="none" w:sz="0" w:space="0" w:color="auto"/>
            <w:left w:val="none" w:sz="0" w:space="0" w:color="auto"/>
            <w:bottom w:val="none" w:sz="0" w:space="0" w:color="auto"/>
            <w:right w:val="none" w:sz="0" w:space="0" w:color="auto"/>
          </w:divBdr>
          <w:divsChild>
            <w:div w:id="1704985483">
              <w:marLeft w:val="0"/>
              <w:marRight w:val="0"/>
              <w:marTop w:val="0"/>
              <w:marBottom w:val="0"/>
              <w:divBdr>
                <w:top w:val="none" w:sz="0" w:space="0" w:color="auto"/>
                <w:left w:val="none" w:sz="0" w:space="0" w:color="auto"/>
                <w:bottom w:val="none" w:sz="0" w:space="0" w:color="auto"/>
                <w:right w:val="none" w:sz="0" w:space="0" w:color="auto"/>
              </w:divBdr>
              <w:divsChild>
                <w:div w:id="1704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18">
      <w:marLeft w:val="0"/>
      <w:marRight w:val="0"/>
      <w:marTop w:val="0"/>
      <w:marBottom w:val="0"/>
      <w:divBdr>
        <w:top w:val="none" w:sz="0" w:space="0" w:color="auto"/>
        <w:left w:val="none" w:sz="0" w:space="0" w:color="auto"/>
        <w:bottom w:val="none" w:sz="0" w:space="0" w:color="auto"/>
        <w:right w:val="none" w:sz="0" w:space="0" w:color="auto"/>
      </w:divBdr>
    </w:div>
    <w:div w:id="1704985420">
      <w:marLeft w:val="0"/>
      <w:marRight w:val="0"/>
      <w:marTop w:val="0"/>
      <w:marBottom w:val="0"/>
      <w:divBdr>
        <w:top w:val="none" w:sz="0" w:space="0" w:color="auto"/>
        <w:left w:val="none" w:sz="0" w:space="0" w:color="auto"/>
        <w:bottom w:val="none" w:sz="0" w:space="0" w:color="auto"/>
        <w:right w:val="none" w:sz="0" w:space="0" w:color="auto"/>
      </w:divBdr>
      <w:divsChild>
        <w:div w:id="1704985456">
          <w:marLeft w:val="0"/>
          <w:marRight w:val="0"/>
          <w:marTop w:val="0"/>
          <w:marBottom w:val="0"/>
          <w:divBdr>
            <w:top w:val="none" w:sz="0" w:space="0" w:color="auto"/>
            <w:left w:val="none" w:sz="0" w:space="0" w:color="auto"/>
            <w:bottom w:val="none" w:sz="0" w:space="0" w:color="auto"/>
            <w:right w:val="none" w:sz="0" w:space="0" w:color="auto"/>
          </w:divBdr>
          <w:divsChild>
            <w:div w:id="1704985443">
              <w:marLeft w:val="0"/>
              <w:marRight w:val="0"/>
              <w:marTop w:val="0"/>
              <w:marBottom w:val="0"/>
              <w:divBdr>
                <w:top w:val="none" w:sz="0" w:space="0" w:color="auto"/>
                <w:left w:val="none" w:sz="0" w:space="0" w:color="auto"/>
                <w:bottom w:val="none" w:sz="0" w:space="0" w:color="auto"/>
                <w:right w:val="none" w:sz="0" w:space="0" w:color="auto"/>
              </w:divBdr>
              <w:divsChild>
                <w:div w:id="17049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21">
      <w:marLeft w:val="0"/>
      <w:marRight w:val="0"/>
      <w:marTop w:val="0"/>
      <w:marBottom w:val="0"/>
      <w:divBdr>
        <w:top w:val="none" w:sz="0" w:space="0" w:color="auto"/>
        <w:left w:val="none" w:sz="0" w:space="0" w:color="auto"/>
        <w:bottom w:val="none" w:sz="0" w:space="0" w:color="auto"/>
        <w:right w:val="none" w:sz="0" w:space="0" w:color="auto"/>
      </w:divBdr>
      <w:divsChild>
        <w:div w:id="1704985431">
          <w:marLeft w:val="0"/>
          <w:marRight w:val="0"/>
          <w:marTop w:val="0"/>
          <w:marBottom w:val="0"/>
          <w:divBdr>
            <w:top w:val="none" w:sz="0" w:space="0" w:color="auto"/>
            <w:left w:val="none" w:sz="0" w:space="0" w:color="auto"/>
            <w:bottom w:val="none" w:sz="0" w:space="0" w:color="auto"/>
            <w:right w:val="none" w:sz="0" w:space="0" w:color="auto"/>
          </w:divBdr>
          <w:divsChild>
            <w:div w:id="1704985468">
              <w:marLeft w:val="0"/>
              <w:marRight w:val="0"/>
              <w:marTop w:val="0"/>
              <w:marBottom w:val="0"/>
              <w:divBdr>
                <w:top w:val="none" w:sz="0" w:space="0" w:color="auto"/>
                <w:left w:val="none" w:sz="0" w:space="0" w:color="auto"/>
                <w:bottom w:val="none" w:sz="0" w:space="0" w:color="auto"/>
                <w:right w:val="none" w:sz="0" w:space="0" w:color="auto"/>
              </w:divBdr>
              <w:divsChild>
                <w:div w:id="1704985485">
                  <w:marLeft w:val="0"/>
                  <w:marRight w:val="0"/>
                  <w:marTop w:val="0"/>
                  <w:marBottom w:val="0"/>
                  <w:divBdr>
                    <w:top w:val="none" w:sz="0" w:space="0" w:color="auto"/>
                    <w:left w:val="none" w:sz="0" w:space="0" w:color="auto"/>
                    <w:bottom w:val="none" w:sz="0" w:space="0" w:color="auto"/>
                    <w:right w:val="none" w:sz="0" w:space="0" w:color="auto"/>
                  </w:divBdr>
                  <w:divsChild>
                    <w:div w:id="1704985453">
                      <w:marLeft w:val="0"/>
                      <w:marRight w:val="0"/>
                      <w:marTop w:val="0"/>
                      <w:marBottom w:val="0"/>
                      <w:divBdr>
                        <w:top w:val="none" w:sz="0" w:space="0" w:color="auto"/>
                        <w:left w:val="none" w:sz="0" w:space="0" w:color="auto"/>
                        <w:bottom w:val="none" w:sz="0" w:space="0" w:color="auto"/>
                        <w:right w:val="none" w:sz="0" w:space="0" w:color="auto"/>
                      </w:divBdr>
                      <w:divsChild>
                        <w:div w:id="1704985454">
                          <w:marLeft w:val="0"/>
                          <w:marRight w:val="0"/>
                          <w:marTop w:val="0"/>
                          <w:marBottom w:val="0"/>
                          <w:divBdr>
                            <w:top w:val="none" w:sz="0" w:space="0" w:color="auto"/>
                            <w:left w:val="none" w:sz="0" w:space="0" w:color="auto"/>
                            <w:bottom w:val="none" w:sz="0" w:space="0" w:color="auto"/>
                            <w:right w:val="none" w:sz="0" w:space="0" w:color="auto"/>
                          </w:divBdr>
                          <w:divsChild>
                            <w:div w:id="1704985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85424">
      <w:marLeft w:val="0"/>
      <w:marRight w:val="0"/>
      <w:marTop w:val="0"/>
      <w:marBottom w:val="0"/>
      <w:divBdr>
        <w:top w:val="none" w:sz="0" w:space="0" w:color="auto"/>
        <w:left w:val="none" w:sz="0" w:space="0" w:color="auto"/>
        <w:bottom w:val="none" w:sz="0" w:space="0" w:color="auto"/>
        <w:right w:val="none" w:sz="0" w:space="0" w:color="auto"/>
      </w:divBdr>
      <w:divsChild>
        <w:div w:id="1704985469">
          <w:marLeft w:val="0"/>
          <w:marRight w:val="0"/>
          <w:marTop w:val="0"/>
          <w:marBottom w:val="0"/>
          <w:divBdr>
            <w:top w:val="none" w:sz="0" w:space="0" w:color="auto"/>
            <w:left w:val="none" w:sz="0" w:space="0" w:color="auto"/>
            <w:bottom w:val="none" w:sz="0" w:space="0" w:color="auto"/>
            <w:right w:val="none" w:sz="0" w:space="0" w:color="auto"/>
          </w:divBdr>
          <w:divsChild>
            <w:div w:id="1704985460">
              <w:marLeft w:val="0"/>
              <w:marRight w:val="0"/>
              <w:marTop w:val="0"/>
              <w:marBottom w:val="0"/>
              <w:divBdr>
                <w:top w:val="none" w:sz="0" w:space="0" w:color="auto"/>
                <w:left w:val="none" w:sz="0" w:space="0" w:color="auto"/>
                <w:bottom w:val="none" w:sz="0" w:space="0" w:color="auto"/>
                <w:right w:val="none" w:sz="0" w:space="0" w:color="auto"/>
              </w:divBdr>
              <w:divsChild>
                <w:div w:id="1704985432">
                  <w:marLeft w:val="0"/>
                  <w:marRight w:val="0"/>
                  <w:marTop w:val="0"/>
                  <w:marBottom w:val="0"/>
                  <w:divBdr>
                    <w:top w:val="none" w:sz="0" w:space="0" w:color="auto"/>
                    <w:left w:val="none" w:sz="0" w:space="0" w:color="auto"/>
                    <w:bottom w:val="none" w:sz="0" w:space="0" w:color="auto"/>
                    <w:right w:val="none" w:sz="0" w:space="0" w:color="auto"/>
                  </w:divBdr>
                  <w:divsChild>
                    <w:div w:id="17049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26">
      <w:marLeft w:val="0"/>
      <w:marRight w:val="0"/>
      <w:marTop w:val="0"/>
      <w:marBottom w:val="0"/>
      <w:divBdr>
        <w:top w:val="none" w:sz="0" w:space="0" w:color="auto"/>
        <w:left w:val="none" w:sz="0" w:space="0" w:color="auto"/>
        <w:bottom w:val="none" w:sz="0" w:space="0" w:color="auto"/>
        <w:right w:val="none" w:sz="0" w:space="0" w:color="auto"/>
      </w:divBdr>
      <w:divsChild>
        <w:div w:id="1704985427">
          <w:marLeft w:val="0"/>
          <w:marRight w:val="0"/>
          <w:marTop w:val="0"/>
          <w:marBottom w:val="0"/>
          <w:divBdr>
            <w:top w:val="none" w:sz="0" w:space="0" w:color="auto"/>
            <w:left w:val="none" w:sz="0" w:space="0" w:color="auto"/>
            <w:bottom w:val="none" w:sz="0" w:space="0" w:color="auto"/>
            <w:right w:val="none" w:sz="0" w:space="0" w:color="auto"/>
          </w:divBdr>
          <w:divsChild>
            <w:div w:id="1704985428">
              <w:marLeft w:val="0"/>
              <w:marRight w:val="0"/>
              <w:marTop w:val="0"/>
              <w:marBottom w:val="0"/>
              <w:divBdr>
                <w:top w:val="none" w:sz="0" w:space="0" w:color="auto"/>
                <w:left w:val="none" w:sz="0" w:space="0" w:color="auto"/>
                <w:bottom w:val="none" w:sz="0" w:space="0" w:color="auto"/>
                <w:right w:val="none" w:sz="0" w:space="0" w:color="auto"/>
              </w:divBdr>
              <w:divsChild>
                <w:div w:id="1704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33">
      <w:marLeft w:val="0"/>
      <w:marRight w:val="0"/>
      <w:marTop w:val="0"/>
      <w:marBottom w:val="0"/>
      <w:divBdr>
        <w:top w:val="none" w:sz="0" w:space="0" w:color="auto"/>
        <w:left w:val="none" w:sz="0" w:space="0" w:color="auto"/>
        <w:bottom w:val="none" w:sz="0" w:space="0" w:color="auto"/>
        <w:right w:val="none" w:sz="0" w:space="0" w:color="auto"/>
      </w:divBdr>
      <w:divsChild>
        <w:div w:id="1704985423">
          <w:marLeft w:val="0"/>
          <w:marRight w:val="0"/>
          <w:marTop w:val="0"/>
          <w:marBottom w:val="0"/>
          <w:divBdr>
            <w:top w:val="none" w:sz="0" w:space="0" w:color="auto"/>
            <w:left w:val="none" w:sz="0" w:space="0" w:color="auto"/>
            <w:bottom w:val="none" w:sz="0" w:space="0" w:color="auto"/>
            <w:right w:val="none" w:sz="0" w:space="0" w:color="auto"/>
          </w:divBdr>
          <w:divsChild>
            <w:div w:id="1704985417">
              <w:marLeft w:val="0"/>
              <w:marRight w:val="0"/>
              <w:marTop w:val="0"/>
              <w:marBottom w:val="0"/>
              <w:divBdr>
                <w:top w:val="none" w:sz="0" w:space="0" w:color="auto"/>
                <w:left w:val="none" w:sz="0" w:space="0" w:color="auto"/>
                <w:bottom w:val="none" w:sz="0" w:space="0" w:color="auto"/>
                <w:right w:val="none" w:sz="0" w:space="0" w:color="auto"/>
              </w:divBdr>
              <w:divsChild>
                <w:div w:id="1704985430">
                  <w:marLeft w:val="0"/>
                  <w:marRight w:val="0"/>
                  <w:marTop w:val="0"/>
                  <w:marBottom w:val="0"/>
                  <w:divBdr>
                    <w:top w:val="none" w:sz="0" w:space="0" w:color="auto"/>
                    <w:left w:val="none" w:sz="0" w:space="0" w:color="auto"/>
                    <w:bottom w:val="none" w:sz="0" w:space="0" w:color="auto"/>
                    <w:right w:val="none" w:sz="0" w:space="0" w:color="auto"/>
                  </w:divBdr>
                  <w:divsChild>
                    <w:div w:id="17049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37">
      <w:marLeft w:val="0"/>
      <w:marRight w:val="0"/>
      <w:marTop w:val="0"/>
      <w:marBottom w:val="0"/>
      <w:divBdr>
        <w:top w:val="none" w:sz="0" w:space="0" w:color="auto"/>
        <w:left w:val="none" w:sz="0" w:space="0" w:color="auto"/>
        <w:bottom w:val="none" w:sz="0" w:space="0" w:color="auto"/>
        <w:right w:val="none" w:sz="0" w:space="0" w:color="auto"/>
      </w:divBdr>
      <w:divsChild>
        <w:div w:id="1704985476">
          <w:marLeft w:val="0"/>
          <w:marRight w:val="0"/>
          <w:marTop w:val="0"/>
          <w:marBottom w:val="0"/>
          <w:divBdr>
            <w:top w:val="none" w:sz="0" w:space="0" w:color="auto"/>
            <w:left w:val="none" w:sz="0" w:space="0" w:color="auto"/>
            <w:bottom w:val="none" w:sz="0" w:space="0" w:color="auto"/>
            <w:right w:val="none" w:sz="0" w:space="0" w:color="auto"/>
          </w:divBdr>
          <w:divsChild>
            <w:div w:id="1704985452">
              <w:marLeft w:val="0"/>
              <w:marRight w:val="0"/>
              <w:marTop w:val="0"/>
              <w:marBottom w:val="0"/>
              <w:divBdr>
                <w:top w:val="none" w:sz="0" w:space="0" w:color="auto"/>
                <w:left w:val="none" w:sz="0" w:space="0" w:color="auto"/>
                <w:bottom w:val="none" w:sz="0" w:space="0" w:color="auto"/>
                <w:right w:val="none" w:sz="0" w:space="0" w:color="auto"/>
              </w:divBdr>
              <w:divsChild>
                <w:div w:id="1704985480">
                  <w:marLeft w:val="0"/>
                  <w:marRight w:val="0"/>
                  <w:marTop w:val="0"/>
                  <w:marBottom w:val="0"/>
                  <w:divBdr>
                    <w:top w:val="none" w:sz="0" w:space="0" w:color="auto"/>
                    <w:left w:val="none" w:sz="0" w:space="0" w:color="auto"/>
                    <w:bottom w:val="none" w:sz="0" w:space="0" w:color="auto"/>
                    <w:right w:val="none" w:sz="0" w:space="0" w:color="auto"/>
                  </w:divBdr>
                  <w:divsChild>
                    <w:div w:id="1704985410">
                      <w:marLeft w:val="0"/>
                      <w:marRight w:val="0"/>
                      <w:marTop w:val="0"/>
                      <w:marBottom w:val="0"/>
                      <w:divBdr>
                        <w:top w:val="none" w:sz="0" w:space="0" w:color="auto"/>
                        <w:left w:val="none" w:sz="0" w:space="0" w:color="auto"/>
                        <w:bottom w:val="none" w:sz="0" w:space="0" w:color="auto"/>
                        <w:right w:val="none" w:sz="0" w:space="0" w:color="auto"/>
                      </w:divBdr>
                      <w:divsChild>
                        <w:div w:id="1704985414">
                          <w:marLeft w:val="0"/>
                          <w:marRight w:val="0"/>
                          <w:marTop w:val="0"/>
                          <w:marBottom w:val="0"/>
                          <w:divBdr>
                            <w:top w:val="none" w:sz="0" w:space="0" w:color="auto"/>
                            <w:left w:val="none" w:sz="0" w:space="0" w:color="auto"/>
                            <w:bottom w:val="none" w:sz="0" w:space="0" w:color="auto"/>
                            <w:right w:val="none" w:sz="0" w:space="0" w:color="auto"/>
                          </w:divBdr>
                          <w:divsChild>
                            <w:div w:id="1704985434">
                              <w:marLeft w:val="0"/>
                              <w:marRight w:val="0"/>
                              <w:marTop w:val="0"/>
                              <w:marBottom w:val="0"/>
                              <w:divBdr>
                                <w:top w:val="none" w:sz="0" w:space="0" w:color="auto"/>
                                <w:left w:val="none" w:sz="0" w:space="0" w:color="auto"/>
                                <w:bottom w:val="none" w:sz="0" w:space="0" w:color="auto"/>
                                <w:right w:val="none" w:sz="0" w:space="0" w:color="auto"/>
                              </w:divBdr>
                              <w:divsChild>
                                <w:div w:id="1704985461">
                                  <w:marLeft w:val="0"/>
                                  <w:marRight w:val="0"/>
                                  <w:marTop w:val="0"/>
                                  <w:marBottom w:val="0"/>
                                  <w:divBdr>
                                    <w:top w:val="none" w:sz="0" w:space="0" w:color="auto"/>
                                    <w:left w:val="none" w:sz="0" w:space="0" w:color="auto"/>
                                    <w:bottom w:val="none" w:sz="0" w:space="0" w:color="auto"/>
                                    <w:right w:val="none" w:sz="0" w:space="0" w:color="auto"/>
                                  </w:divBdr>
                                  <w:divsChild>
                                    <w:div w:id="17049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985441">
      <w:marLeft w:val="0"/>
      <w:marRight w:val="0"/>
      <w:marTop w:val="0"/>
      <w:marBottom w:val="0"/>
      <w:divBdr>
        <w:top w:val="none" w:sz="0" w:space="0" w:color="auto"/>
        <w:left w:val="none" w:sz="0" w:space="0" w:color="auto"/>
        <w:bottom w:val="none" w:sz="0" w:space="0" w:color="auto"/>
        <w:right w:val="none" w:sz="0" w:space="0" w:color="auto"/>
      </w:divBdr>
      <w:divsChild>
        <w:div w:id="1704985484">
          <w:marLeft w:val="0"/>
          <w:marRight w:val="0"/>
          <w:marTop w:val="0"/>
          <w:marBottom w:val="0"/>
          <w:divBdr>
            <w:top w:val="none" w:sz="0" w:space="0" w:color="auto"/>
            <w:left w:val="none" w:sz="0" w:space="0" w:color="auto"/>
            <w:bottom w:val="none" w:sz="0" w:space="0" w:color="auto"/>
            <w:right w:val="none" w:sz="0" w:space="0" w:color="auto"/>
          </w:divBdr>
          <w:divsChild>
            <w:div w:id="1704985459">
              <w:marLeft w:val="0"/>
              <w:marRight w:val="0"/>
              <w:marTop w:val="0"/>
              <w:marBottom w:val="0"/>
              <w:divBdr>
                <w:top w:val="none" w:sz="0" w:space="0" w:color="auto"/>
                <w:left w:val="none" w:sz="0" w:space="0" w:color="auto"/>
                <w:bottom w:val="none" w:sz="0" w:space="0" w:color="auto"/>
                <w:right w:val="none" w:sz="0" w:space="0" w:color="auto"/>
              </w:divBdr>
              <w:divsChild>
                <w:div w:id="1704985435">
                  <w:marLeft w:val="0"/>
                  <w:marRight w:val="0"/>
                  <w:marTop w:val="0"/>
                  <w:marBottom w:val="0"/>
                  <w:divBdr>
                    <w:top w:val="none" w:sz="0" w:space="0" w:color="auto"/>
                    <w:left w:val="none" w:sz="0" w:space="0" w:color="auto"/>
                    <w:bottom w:val="none" w:sz="0" w:space="0" w:color="auto"/>
                    <w:right w:val="none" w:sz="0" w:space="0" w:color="auto"/>
                  </w:divBdr>
                  <w:divsChild>
                    <w:div w:id="1704985481">
                      <w:marLeft w:val="0"/>
                      <w:marRight w:val="0"/>
                      <w:marTop w:val="0"/>
                      <w:marBottom w:val="0"/>
                      <w:divBdr>
                        <w:top w:val="none" w:sz="0" w:space="0" w:color="auto"/>
                        <w:left w:val="none" w:sz="0" w:space="0" w:color="auto"/>
                        <w:bottom w:val="none" w:sz="0" w:space="0" w:color="auto"/>
                        <w:right w:val="none" w:sz="0" w:space="0" w:color="auto"/>
                      </w:divBdr>
                      <w:divsChild>
                        <w:div w:id="1704985447">
                          <w:marLeft w:val="0"/>
                          <w:marRight w:val="0"/>
                          <w:marTop w:val="0"/>
                          <w:marBottom w:val="0"/>
                          <w:divBdr>
                            <w:top w:val="none" w:sz="0" w:space="0" w:color="auto"/>
                            <w:left w:val="none" w:sz="0" w:space="0" w:color="auto"/>
                            <w:bottom w:val="none" w:sz="0" w:space="0" w:color="auto"/>
                            <w:right w:val="none" w:sz="0" w:space="0" w:color="auto"/>
                          </w:divBdr>
                          <w:divsChild>
                            <w:div w:id="1704985482">
                              <w:marLeft w:val="0"/>
                              <w:marRight w:val="0"/>
                              <w:marTop w:val="0"/>
                              <w:marBottom w:val="0"/>
                              <w:divBdr>
                                <w:top w:val="none" w:sz="0" w:space="0" w:color="auto"/>
                                <w:left w:val="none" w:sz="0" w:space="0" w:color="auto"/>
                                <w:bottom w:val="none" w:sz="0" w:space="0" w:color="auto"/>
                                <w:right w:val="none" w:sz="0" w:space="0" w:color="auto"/>
                              </w:divBdr>
                              <w:divsChild>
                                <w:div w:id="1704985479">
                                  <w:marLeft w:val="0"/>
                                  <w:marRight w:val="0"/>
                                  <w:marTop w:val="0"/>
                                  <w:marBottom w:val="0"/>
                                  <w:divBdr>
                                    <w:top w:val="none" w:sz="0" w:space="0" w:color="auto"/>
                                    <w:left w:val="none" w:sz="0" w:space="0" w:color="auto"/>
                                    <w:bottom w:val="none" w:sz="0" w:space="0" w:color="auto"/>
                                    <w:right w:val="none" w:sz="0" w:space="0" w:color="auto"/>
                                  </w:divBdr>
                                  <w:divsChild>
                                    <w:div w:id="17049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985446">
      <w:marLeft w:val="0"/>
      <w:marRight w:val="0"/>
      <w:marTop w:val="0"/>
      <w:marBottom w:val="0"/>
      <w:divBdr>
        <w:top w:val="none" w:sz="0" w:space="0" w:color="auto"/>
        <w:left w:val="none" w:sz="0" w:space="0" w:color="auto"/>
        <w:bottom w:val="none" w:sz="0" w:space="0" w:color="auto"/>
        <w:right w:val="none" w:sz="0" w:space="0" w:color="auto"/>
      </w:divBdr>
      <w:divsChild>
        <w:div w:id="1704985466">
          <w:marLeft w:val="0"/>
          <w:marRight w:val="0"/>
          <w:marTop w:val="0"/>
          <w:marBottom w:val="0"/>
          <w:divBdr>
            <w:top w:val="none" w:sz="0" w:space="0" w:color="auto"/>
            <w:left w:val="none" w:sz="0" w:space="0" w:color="auto"/>
            <w:bottom w:val="none" w:sz="0" w:space="0" w:color="auto"/>
            <w:right w:val="none" w:sz="0" w:space="0" w:color="auto"/>
          </w:divBdr>
          <w:divsChild>
            <w:div w:id="1704985473">
              <w:marLeft w:val="0"/>
              <w:marRight w:val="0"/>
              <w:marTop w:val="0"/>
              <w:marBottom w:val="0"/>
              <w:divBdr>
                <w:top w:val="none" w:sz="0" w:space="0" w:color="auto"/>
                <w:left w:val="none" w:sz="0" w:space="0" w:color="auto"/>
                <w:bottom w:val="none" w:sz="0" w:space="0" w:color="auto"/>
                <w:right w:val="none" w:sz="0" w:space="0" w:color="auto"/>
              </w:divBdr>
              <w:divsChild>
                <w:div w:id="1704985422">
                  <w:marLeft w:val="0"/>
                  <w:marRight w:val="0"/>
                  <w:marTop w:val="0"/>
                  <w:marBottom w:val="0"/>
                  <w:divBdr>
                    <w:top w:val="none" w:sz="0" w:space="0" w:color="auto"/>
                    <w:left w:val="none" w:sz="0" w:space="0" w:color="auto"/>
                    <w:bottom w:val="none" w:sz="0" w:space="0" w:color="auto"/>
                    <w:right w:val="none" w:sz="0" w:space="0" w:color="auto"/>
                  </w:divBdr>
                  <w:divsChild>
                    <w:div w:id="17049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51">
      <w:marLeft w:val="0"/>
      <w:marRight w:val="0"/>
      <w:marTop w:val="0"/>
      <w:marBottom w:val="0"/>
      <w:divBdr>
        <w:top w:val="none" w:sz="0" w:space="0" w:color="auto"/>
        <w:left w:val="none" w:sz="0" w:space="0" w:color="auto"/>
        <w:bottom w:val="none" w:sz="0" w:space="0" w:color="auto"/>
        <w:right w:val="none" w:sz="0" w:space="0" w:color="auto"/>
      </w:divBdr>
      <w:divsChild>
        <w:div w:id="1704985425">
          <w:marLeft w:val="0"/>
          <w:marRight w:val="0"/>
          <w:marTop w:val="0"/>
          <w:marBottom w:val="0"/>
          <w:divBdr>
            <w:top w:val="none" w:sz="0" w:space="0" w:color="auto"/>
            <w:left w:val="none" w:sz="0" w:space="0" w:color="auto"/>
            <w:bottom w:val="none" w:sz="0" w:space="0" w:color="auto"/>
            <w:right w:val="none" w:sz="0" w:space="0" w:color="auto"/>
          </w:divBdr>
          <w:divsChild>
            <w:div w:id="1704985490">
              <w:marLeft w:val="0"/>
              <w:marRight w:val="0"/>
              <w:marTop w:val="0"/>
              <w:marBottom w:val="0"/>
              <w:divBdr>
                <w:top w:val="none" w:sz="0" w:space="0" w:color="auto"/>
                <w:left w:val="none" w:sz="0" w:space="0" w:color="auto"/>
                <w:bottom w:val="none" w:sz="0" w:space="0" w:color="auto"/>
                <w:right w:val="none" w:sz="0" w:space="0" w:color="auto"/>
              </w:divBdr>
              <w:divsChild>
                <w:div w:id="1704985439">
                  <w:marLeft w:val="0"/>
                  <w:marRight w:val="0"/>
                  <w:marTop w:val="0"/>
                  <w:marBottom w:val="0"/>
                  <w:divBdr>
                    <w:top w:val="none" w:sz="0" w:space="0" w:color="auto"/>
                    <w:left w:val="none" w:sz="0" w:space="0" w:color="auto"/>
                    <w:bottom w:val="none" w:sz="0" w:space="0" w:color="auto"/>
                    <w:right w:val="none" w:sz="0" w:space="0" w:color="auto"/>
                  </w:divBdr>
                  <w:divsChild>
                    <w:div w:id="1704985493">
                      <w:marLeft w:val="0"/>
                      <w:marRight w:val="0"/>
                      <w:marTop w:val="0"/>
                      <w:marBottom w:val="0"/>
                      <w:divBdr>
                        <w:top w:val="none" w:sz="0" w:space="0" w:color="auto"/>
                        <w:left w:val="none" w:sz="0" w:space="0" w:color="auto"/>
                        <w:bottom w:val="none" w:sz="0" w:space="0" w:color="auto"/>
                        <w:right w:val="none" w:sz="0" w:space="0" w:color="auto"/>
                      </w:divBdr>
                      <w:divsChild>
                        <w:div w:id="1704985462">
                          <w:marLeft w:val="0"/>
                          <w:marRight w:val="0"/>
                          <w:marTop w:val="0"/>
                          <w:marBottom w:val="0"/>
                          <w:divBdr>
                            <w:top w:val="none" w:sz="0" w:space="0" w:color="auto"/>
                            <w:left w:val="none" w:sz="0" w:space="0" w:color="auto"/>
                            <w:bottom w:val="none" w:sz="0" w:space="0" w:color="auto"/>
                            <w:right w:val="none" w:sz="0" w:space="0" w:color="auto"/>
                          </w:divBdr>
                          <w:divsChild>
                            <w:div w:id="1704985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85455">
      <w:marLeft w:val="0"/>
      <w:marRight w:val="0"/>
      <w:marTop w:val="0"/>
      <w:marBottom w:val="0"/>
      <w:divBdr>
        <w:top w:val="none" w:sz="0" w:space="0" w:color="auto"/>
        <w:left w:val="none" w:sz="0" w:space="0" w:color="auto"/>
        <w:bottom w:val="none" w:sz="0" w:space="0" w:color="auto"/>
        <w:right w:val="none" w:sz="0" w:space="0" w:color="auto"/>
      </w:divBdr>
    </w:div>
    <w:div w:id="1704985457">
      <w:marLeft w:val="0"/>
      <w:marRight w:val="0"/>
      <w:marTop w:val="0"/>
      <w:marBottom w:val="0"/>
      <w:divBdr>
        <w:top w:val="none" w:sz="0" w:space="0" w:color="auto"/>
        <w:left w:val="none" w:sz="0" w:space="0" w:color="auto"/>
        <w:bottom w:val="none" w:sz="0" w:space="0" w:color="auto"/>
        <w:right w:val="none" w:sz="0" w:space="0" w:color="auto"/>
      </w:divBdr>
      <w:divsChild>
        <w:div w:id="1704985419">
          <w:marLeft w:val="0"/>
          <w:marRight w:val="0"/>
          <w:marTop w:val="0"/>
          <w:marBottom w:val="0"/>
          <w:divBdr>
            <w:top w:val="none" w:sz="0" w:space="0" w:color="auto"/>
            <w:left w:val="none" w:sz="0" w:space="0" w:color="auto"/>
            <w:bottom w:val="none" w:sz="0" w:space="0" w:color="auto"/>
            <w:right w:val="none" w:sz="0" w:space="0" w:color="auto"/>
          </w:divBdr>
          <w:divsChild>
            <w:div w:id="1704985429">
              <w:marLeft w:val="0"/>
              <w:marRight w:val="0"/>
              <w:marTop w:val="0"/>
              <w:marBottom w:val="0"/>
              <w:divBdr>
                <w:top w:val="none" w:sz="0" w:space="0" w:color="auto"/>
                <w:left w:val="none" w:sz="0" w:space="0" w:color="auto"/>
                <w:bottom w:val="none" w:sz="0" w:space="0" w:color="auto"/>
                <w:right w:val="none" w:sz="0" w:space="0" w:color="auto"/>
              </w:divBdr>
              <w:divsChild>
                <w:div w:id="1704985491">
                  <w:marLeft w:val="0"/>
                  <w:marRight w:val="0"/>
                  <w:marTop w:val="0"/>
                  <w:marBottom w:val="0"/>
                  <w:divBdr>
                    <w:top w:val="none" w:sz="0" w:space="0" w:color="auto"/>
                    <w:left w:val="none" w:sz="0" w:space="0" w:color="auto"/>
                    <w:bottom w:val="none" w:sz="0" w:space="0" w:color="auto"/>
                    <w:right w:val="none" w:sz="0" w:space="0" w:color="auto"/>
                  </w:divBdr>
                  <w:divsChild>
                    <w:div w:id="17049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58">
      <w:marLeft w:val="0"/>
      <w:marRight w:val="0"/>
      <w:marTop w:val="0"/>
      <w:marBottom w:val="0"/>
      <w:divBdr>
        <w:top w:val="none" w:sz="0" w:space="0" w:color="auto"/>
        <w:left w:val="none" w:sz="0" w:space="0" w:color="auto"/>
        <w:bottom w:val="none" w:sz="0" w:space="0" w:color="auto"/>
        <w:right w:val="none" w:sz="0" w:space="0" w:color="auto"/>
      </w:divBdr>
      <w:divsChild>
        <w:div w:id="1704985436">
          <w:marLeft w:val="0"/>
          <w:marRight w:val="0"/>
          <w:marTop w:val="0"/>
          <w:marBottom w:val="0"/>
          <w:divBdr>
            <w:top w:val="none" w:sz="0" w:space="0" w:color="auto"/>
            <w:left w:val="none" w:sz="0" w:space="0" w:color="auto"/>
            <w:bottom w:val="none" w:sz="0" w:space="0" w:color="auto"/>
            <w:right w:val="none" w:sz="0" w:space="0" w:color="auto"/>
          </w:divBdr>
          <w:divsChild>
            <w:div w:id="1704985474">
              <w:marLeft w:val="0"/>
              <w:marRight w:val="0"/>
              <w:marTop w:val="0"/>
              <w:marBottom w:val="0"/>
              <w:divBdr>
                <w:top w:val="none" w:sz="0" w:space="0" w:color="auto"/>
                <w:left w:val="none" w:sz="0" w:space="0" w:color="auto"/>
                <w:bottom w:val="none" w:sz="0" w:space="0" w:color="auto"/>
                <w:right w:val="none" w:sz="0" w:space="0" w:color="auto"/>
              </w:divBdr>
              <w:divsChild>
                <w:div w:id="17049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64">
      <w:marLeft w:val="0"/>
      <w:marRight w:val="0"/>
      <w:marTop w:val="0"/>
      <w:marBottom w:val="0"/>
      <w:divBdr>
        <w:top w:val="none" w:sz="0" w:space="0" w:color="auto"/>
        <w:left w:val="none" w:sz="0" w:space="0" w:color="auto"/>
        <w:bottom w:val="none" w:sz="0" w:space="0" w:color="auto"/>
        <w:right w:val="none" w:sz="0" w:space="0" w:color="auto"/>
      </w:divBdr>
      <w:divsChild>
        <w:div w:id="1704985438">
          <w:marLeft w:val="0"/>
          <w:marRight w:val="0"/>
          <w:marTop w:val="0"/>
          <w:marBottom w:val="0"/>
          <w:divBdr>
            <w:top w:val="none" w:sz="0" w:space="0" w:color="auto"/>
            <w:left w:val="none" w:sz="0" w:space="0" w:color="auto"/>
            <w:bottom w:val="none" w:sz="0" w:space="0" w:color="auto"/>
            <w:right w:val="none" w:sz="0" w:space="0" w:color="auto"/>
          </w:divBdr>
          <w:divsChild>
            <w:div w:id="1704985440">
              <w:marLeft w:val="0"/>
              <w:marRight w:val="0"/>
              <w:marTop w:val="0"/>
              <w:marBottom w:val="0"/>
              <w:divBdr>
                <w:top w:val="none" w:sz="0" w:space="0" w:color="auto"/>
                <w:left w:val="none" w:sz="0" w:space="0" w:color="auto"/>
                <w:bottom w:val="none" w:sz="0" w:space="0" w:color="auto"/>
                <w:right w:val="none" w:sz="0" w:space="0" w:color="auto"/>
              </w:divBdr>
              <w:divsChild>
                <w:div w:id="1704985494">
                  <w:marLeft w:val="0"/>
                  <w:marRight w:val="0"/>
                  <w:marTop w:val="0"/>
                  <w:marBottom w:val="0"/>
                  <w:divBdr>
                    <w:top w:val="none" w:sz="0" w:space="0" w:color="auto"/>
                    <w:left w:val="none" w:sz="0" w:space="0" w:color="auto"/>
                    <w:bottom w:val="none" w:sz="0" w:space="0" w:color="auto"/>
                    <w:right w:val="none" w:sz="0" w:space="0" w:color="auto"/>
                  </w:divBdr>
                  <w:divsChild>
                    <w:div w:id="17049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70">
      <w:marLeft w:val="0"/>
      <w:marRight w:val="0"/>
      <w:marTop w:val="0"/>
      <w:marBottom w:val="0"/>
      <w:divBdr>
        <w:top w:val="none" w:sz="0" w:space="0" w:color="auto"/>
        <w:left w:val="none" w:sz="0" w:space="0" w:color="auto"/>
        <w:bottom w:val="none" w:sz="0" w:space="0" w:color="auto"/>
        <w:right w:val="none" w:sz="0" w:space="0" w:color="auto"/>
      </w:divBdr>
      <w:divsChild>
        <w:div w:id="1704985477">
          <w:marLeft w:val="0"/>
          <w:marRight w:val="0"/>
          <w:marTop w:val="0"/>
          <w:marBottom w:val="0"/>
          <w:divBdr>
            <w:top w:val="none" w:sz="0" w:space="0" w:color="auto"/>
            <w:left w:val="none" w:sz="0" w:space="0" w:color="auto"/>
            <w:bottom w:val="none" w:sz="0" w:space="0" w:color="auto"/>
            <w:right w:val="none" w:sz="0" w:space="0" w:color="auto"/>
          </w:divBdr>
          <w:divsChild>
            <w:div w:id="1704985475">
              <w:marLeft w:val="0"/>
              <w:marRight w:val="0"/>
              <w:marTop w:val="0"/>
              <w:marBottom w:val="0"/>
              <w:divBdr>
                <w:top w:val="none" w:sz="0" w:space="0" w:color="auto"/>
                <w:left w:val="none" w:sz="0" w:space="0" w:color="auto"/>
                <w:bottom w:val="none" w:sz="0" w:space="0" w:color="auto"/>
                <w:right w:val="none" w:sz="0" w:space="0" w:color="auto"/>
              </w:divBdr>
              <w:divsChild>
                <w:div w:id="1704985471">
                  <w:marLeft w:val="0"/>
                  <w:marRight w:val="0"/>
                  <w:marTop w:val="0"/>
                  <w:marBottom w:val="0"/>
                  <w:divBdr>
                    <w:top w:val="none" w:sz="0" w:space="0" w:color="auto"/>
                    <w:left w:val="none" w:sz="0" w:space="0" w:color="auto"/>
                    <w:bottom w:val="none" w:sz="0" w:space="0" w:color="auto"/>
                    <w:right w:val="none" w:sz="0" w:space="0" w:color="auto"/>
                  </w:divBdr>
                  <w:divsChild>
                    <w:div w:id="1704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85472">
      <w:marLeft w:val="0"/>
      <w:marRight w:val="0"/>
      <w:marTop w:val="0"/>
      <w:marBottom w:val="0"/>
      <w:divBdr>
        <w:top w:val="none" w:sz="0" w:space="0" w:color="auto"/>
        <w:left w:val="none" w:sz="0" w:space="0" w:color="auto"/>
        <w:bottom w:val="none" w:sz="0" w:space="0" w:color="auto"/>
        <w:right w:val="none" w:sz="0" w:space="0" w:color="auto"/>
      </w:divBdr>
    </w:div>
    <w:div w:id="1704985488">
      <w:marLeft w:val="0"/>
      <w:marRight w:val="0"/>
      <w:marTop w:val="0"/>
      <w:marBottom w:val="0"/>
      <w:divBdr>
        <w:top w:val="none" w:sz="0" w:space="0" w:color="auto"/>
        <w:left w:val="none" w:sz="0" w:space="0" w:color="auto"/>
        <w:bottom w:val="none" w:sz="0" w:space="0" w:color="auto"/>
        <w:right w:val="none" w:sz="0" w:space="0" w:color="auto"/>
      </w:divBdr>
      <w:divsChild>
        <w:div w:id="1704985442">
          <w:marLeft w:val="0"/>
          <w:marRight w:val="0"/>
          <w:marTop w:val="0"/>
          <w:marBottom w:val="0"/>
          <w:divBdr>
            <w:top w:val="none" w:sz="0" w:space="0" w:color="auto"/>
            <w:left w:val="none" w:sz="0" w:space="0" w:color="auto"/>
            <w:bottom w:val="none" w:sz="0" w:space="0" w:color="auto"/>
            <w:right w:val="none" w:sz="0" w:space="0" w:color="auto"/>
          </w:divBdr>
          <w:divsChild>
            <w:div w:id="1704985415">
              <w:marLeft w:val="0"/>
              <w:marRight w:val="0"/>
              <w:marTop w:val="0"/>
              <w:marBottom w:val="0"/>
              <w:divBdr>
                <w:top w:val="none" w:sz="0" w:space="0" w:color="auto"/>
                <w:left w:val="none" w:sz="0" w:space="0" w:color="auto"/>
                <w:bottom w:val="none" w:sz="0" w:space="0" w:color="auto"/>
                <w:right w:val="none" w:sz="0" w:space="0" w:color="auto"/>
              </w:divBdr>
              <w:divsChild>
                <w:div w:id="1704985487">
                  <w:marLeft w:val="0"/>
                  <w:marRight w:val="0"/>
                  <w:marTop w:val="0"/>
                  <w:marBottom w:val="0"/>
                  <w:divBdr>
                    <w:top w:val="none" w:sz="0" w:space="0" w:color="auto"/>
                    <w:left w:val="none" w:sz="0" w:space="0" w:color="auto"/>
                    <w:bottom w:val="none" w:sz="0" w:space="0" w:color="auto"/>
                    <w:right w:val="none" w:sz="0" w:space="0" w:color="auto"/>
                  </w:divBdr>
                  <w:divsChild>
                    <w:div w:id="17049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8077">
      <w:bodyDiv w:val="1"/>
      <w:marLeft w:val="0"/>
      <w:marRight w:val="0"/>
      <w:marTop w:val="0"/>
      <w:marBottom w:val="0"/>
      <w:divBdr>
        <w:top w:val="none" w:sz="0" w:space="0" w:color="auto"/>
        <w:left w:val="none" w:sz="0" w:space="0" w:color="auto"/>
        <w:bottom w:val="none" w:sz="0" w:space="0" w:color="auto"/>
        <w:right w:val="none" w:sz="0" w:space="0" w:color="auto"/>
      </w:divBdr>
    </w:div>
    <w:div w:id="1782994589">
      <w:bodyDiv w:val="1"/>
      <w:marLeft w:val="0"/>
      <w:marRight w:val="0"/>
      <w:marTop w:val="0"/>
      <w:marBottom w:val="0"/>
      <w:divBdr>
        <w:top w:val="none" w:sz="0" w:space="0" w:color="auto"/>
        <w:left w:val="none" w:sz="0" w:space="0" w:color="auto"/>
        <w:bottom w:val="none" w:sz="0" w:space="0" w:color="auto"/>
        <w:right w:val="none" w:sz="0" w:space="0" w:color="auto"/>
      </w:divBdr>
    </w:div>
    <w:div w:id="20218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itsanhonour.gov.a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creativecommons.org/licenses/by/3.0/au/deed.en" TargetMode="External"/><Relationship Id="rId25" Type="http://schemas.openxmlformats.org/officeDocument/2006/relationships/image" Target="media/image3.jpeg"/><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reativecommons.org/licenses/by/3.0/au/legalcode" TargetMode="Externa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yperlink" Target="mailto:medialiaison@treasury.gov.au" TargetMode="External"/><Relationship Id="rId31" Type="http://schemas.openxmlformats.org/officeDocument/2006/relationships/hyperlink" Target="http://www.energy.wa.gov.au/cproot/1530/2/Rebates%20and%20subsidies%20Nov%2020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deed.en"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www.goodshepvic.org.au/microfinanc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ndustry.nsw.gov.au/energy/customers/questions-electricity-gas-prices" TargetMode="External"/><Relationship Id="rId2" Type="http://schemas.openxmlformats.org/officeDocument/2006/relationships/hyperlink" Target="http://www.energy.wa.gov.au/2/3265/64/financial_hardship_assistance.pm" TargetMode="External"/><Relationship Id="rId1" Type="http://schemas.openxmlformats.org/officeDocument/2006/relationships/hyperlink" Target="http://www.moneyhelp.org.au/Housing-costs/Energy-and-water-bills.html" TargetMode="External"/><Relationship Id="rId4" Type="http://schemas.openxmlformats.org/officeDocument/2006/relationships/hyperlink" Target="http://www.concessions.tas.gov.au/concessions/electricity_and_he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esource\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C5C3-AD15-49E4-B8BA-493F0A373488}">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1E69E-F50F-4A51-B218-70975F32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33CDFF-48CC-4869-9533-7E68B0189CAA}">
  <ds:schemaRefs>
    <ds:schemaRef ds:uri="http://schemas.microsoft.com/sharepoint/v3/contenttype/forms"/>
  </ds:schemaRefs>
</ds:datastoreItem>
</file>

<file path=customXml/itemProps4.xml><?xml version="1.0" encoding="utf-8"?>
<ds:datastoreItem xmlns:ds="http://schemas.openxmlformats.org/officeDocument/2006/customXml" ds:itemID="{7B28BF59-F03F-4C84-B6EC-692BE097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46</Pages>
  <Words>13175</Words>
  <Characters>78119</Characters>
  <Application>Microsoft Office Word</Application>
  <DocSecurity>0</DocSecurity>
  <Lines>650</Lines>
  <Paragraphs>182</Paragraphs>
  <ScaleCrop>false</ScaleCrop>
  <HeadingPairs>
    <vt:vector size="2" baseType="variant">
      <vt:variant>
        <vt:lpstr>Title</vt:lpstr>
      </vt:variant>
      <vt:variant>
        <vt:i4>1</vt:i4>
      </vt:variant>
    </vt:vector>
  </HeadingPairs>
  <TitlesOfParts>
    <vt:vector size="1" baseType="lpstr">
      <vt:lpstr> </vt:lpstr>
    </vt:vector>
  </TitlesOfParts>
  <Company>Australian Government - The Treasury</Company>
  <LinksUpToDate>false</LinksUpToDate>
  <CharactersWithSpaces>91112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Bonnett, Sue</dc:creator>
  <cp:keywords/>
  <dc:description/>
  <cp:lastModifiedBy>Smith, Jason</cp:lastModifiedBy>
  <cp:revision>3</cp:revision>
  <cp:lastPrinted>2012-03-27T00:25:00Z</cp:lastPrinted>
  <dcterms:created xsi:type="dcterms:W3CDTF">2012-04-12T05:35:00Z</dcterms:created>
  <dcterms:modified xsi:type="dcterms:W3CDTF">2012-04-12T05:36:00Z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DocStatus">
    <vt:lpwstr/>
  </property>
  <property fmtid="{D5CDD505-2E9C-101B-9397-08002B2CF9AE}" pid="3" name="_AdHocReviewCycleID">
    <vt:i4>1498943245</vt:i4>
  </property>
  <property fmtid="{D5CDD505-2E9C-101B-9397-08002B2CF9AE}" pid="4" name="_NewReviewCycle">
    <vt:lpwstr/>
  </property>
  <property fmtid="{D5CDD505-2E9C-101B-9397-08002B2CF9AE}" pid="5" name="_EmailSubject">
    <vt:lpwstr>FORMATTED PAPER FOR PUBLICATION - SAL.docx [SEC=UNCLASSIFIED]</vt:lpwstr>
  </property>
  <property fmtid="{D5CDD505-2E9C-101B-9397-08002B2CF9AE}" pid="6" name="_AuthorEmail">
    <vt:lpwstr>Jason.Smith@TREASURY.GOV.AU</vt:lpwstr>
  </property>
  <property fmtid="{D5CDD505-2E9C-101B-9397-08002B2CF9AE}" pid="7" name="_AuthorEmailDisplayName">
    <vt:lpwstr>Smith, Jason</vt:lpwstr>
  </property>
  <property fmtid="{D5CDD505-2E9C-101B-9397-08002B2CF9AE}" pid="8" name="ContentTypeId">
    <vt:lpwstr>0x010100D5EBCAED125CEB43B39DAD94BDEC00A1</vt:lpwstr>
  </property>
  <property fmtid="{D5CDD505-2E9C-101B-9397-08002B2CF9AE}" pid="9" name="_PreviousAdHocReviewCycleID">
    <vt:i4>15076027</vt:i4>
  </property>
</Properties>
</file>