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4E63E" w14:textId="497029CE" w:rsidR="000E0B74" w:rsidRDefault="00DE7CB5" w:rsidP="000E0B74">
      <w:pPr>
        <w:pStyle w:val="Title"/>
      </w:pPr>
      <w:r>
        <w:t xml:space="preserve">Universal terms for </w:t>
      </w:r>
      <w:r w:rsidRPr="003712B6">
        <w:t>insurance</w:t>
      </w:r>
      <w:r>
        <w:t xml:space="preserve"> within </w:t>
      </w:r>
      <w:proofErr w:type="spellStart"/>
      <w:r>
        <w:t>MySuper</w:t>
      </w:r>
      <w:proofErr w:type="spellEnd"/>
    </w:p>
    <w:p w14:paraId="29D8AB7E" w14:textId="77777777" w:rsidR="00D72213" w:rsidRPr="00D72213" w:rsidRDefault="00D72213" w:rsidP="00D72213">
      <w:pPr>
        <w:autoSpaceDE w:val="0"/>
        <w:autoSpaceDN w:val="0"/>
        <w:adjustRightInd w:val="0"/>
        <w:spacing w:after="0" w:line="240" w:lineRule="auto"/>
        <w:jc w:val="left"/>
        <w:rPr>
          <w:rFonts w:eastAsiaTheme="minorHAnsi" w:cs="Calibri"/>
          <w:color w:val="000000"/>
          <w:sz w:val="24"/>
          <w:szCs w:val="24"/>
          <w:lang w:eastAsia="en-US"/>
        </w:rPr>
      </w:pPr>
    </w:p>
    <w:p w14:paraId="0ED3ACDA" w14:textId="77777777" w:rsidR="00D72213" w:rsidRDefault="00D72213" w:rsidP="00D72213">
      <w:pPr>
        <w:pStyle w:val="Subtitle"/>
        <w:rPr>
          <w:rFonts w:eastAsiaTheme="minorHAnsi" w:cs="Calibri"/>
          <w:b w:val="0"/>
          <w:iCs w:val="0"/>
          <w:color w:val="000000"/>
          <w:sz w:val="40"/>
          <w:szCs w:val="40"/>
          <w:lang w:eastAsia="en-US"/>
        </w:rPr>
      </w:pPr>
      <w:r w:rsidRPr="00D72213">
        <w:rPr>
          <w:rFonts w:eastAsiaTheme="minorHAnsi" w:cs="Calibri"/>
          <w:b w:val="0"/>
          <w:iCs w:val="0"/>
          <w:color w:val="000000"/>
          <w:sz w:val="24"/>
          <w:szCs w:val="24"/>
          <w:lang w:eastAsia="en-US"/>
        </w:rPr>
        <w:t xml:space="preserve"> </w:t>
      </w:r>
      <w:r w:rsidRPr="00D72213">
        <w:rPr>
          <w:rFonts w:eastAsiaTheme="minorHAnsi" w:cs="Calibri"/>
          <w:b w:val="0"/>
          <w:iCs w:val="0"/>
          <w:color w:val="000000"/>
          <w:sz w:val="40"/>
          <w:szCs w:val="40"/>
          <w:lang w:eastAsia="en-US"/>
        </w:rPr>
        <w:t>Taking action on recommendation 4.13 of the Royal Commission into Misconduct in the Banking, Superannuation and Financial Services In</w:t>
      </w:r>
      <w:bookmarkStart w:id="0" w:name="_GoBack"/>
      <w:bookmarkEnd w:id="0"/>
      <w:r w:rsidRPr="00D72213">
        <w:rPr>
          <w:rFonts w:eastAsiaTheme="minorHAnsi" w:cs="Calibri"/>
          <w:b w:val="0"/>
          <w:iCs w:val="0"/>
          <w:color w:val="000000"/>
          <w:sz w:val="40"/>
          <w:szCs w:val="40"/>
          <w:lang w:eastAsia="en-US"/>
        </w:rPr>
        <w:t xml:space="preserve">dustry </w:t>
      </w:r>
    </w:p>
    <w:p w14:paraId="2F118AA7" w14:textId="699AE802" w:rsidR="000E0B74" w:rsidRPr="00D45AF8" w:rsidRDefault="00DE7CB5" w:rsidP="00D72213">
      <w:pPr>
        <w:pStyle w:val="Subtitle"/>
      </w:pPr>
      <w:r>
        <w:t>Issues paper</w:t>
      </w:r>
    </w:p>
    <w:p w14:paraId="25AC760F" w14:textId="6074EFFA" w:rsidR="000E0B74" w:rsidRDefault="00DE7CB5" w:rsidP="009004C8">
      <w:pPr>
        <w:pStyle w:val="ReportDate"/>
        <w:ind w:right="0"/>
        <w:rPr>
          <w:rFonts w:cs="Calibri"/>
          <w:sz w:val="20"/>
        </w:rPr>
      </w:pPr>
      <w:r>
        <w:rPr>
          <w:rStyle w:val="ReportDateChar"/>
        </w:rPr>
        <w:t>March 2019</w:t>
      </w:r>
    </w:p>
    <w:p w14:paraId="6439DCB0" w14:textId="77777777" w:rsidR="000E0B74" w:rsidRDefault="000E0B74" w:rsidP="000E0B74">
      <w:pPr>
        <w:sectPr w:rsidR="000E0B74" w:rsidSect="009004C8">
          <w:headerReference w:type="default" r:id="rId13"/>
          <w:footerReference w:type="default" r:id="rId14"/>
          <w:pgSz w:w="11906" w:h="16838" w:code="9"/>
          <w:pgMar w:top="1418" w:right="1418" w:bottom="1418" w:left="1418" w:header="709" w:footer="709" w:gutter="0"/>
          <w:pgNumType w:fmt="lowerRoman" w:start="1"/>
          <w:cols w:space="720"/>
          <w:vAlign w:val="center"/>
        </w:sectPr>
      </w:pPr>
    </w:p>
    <w:p w14:paraId="1AD43178" w14:textId="2FD83FF5" w:rsidR="000E0B74" w:rsidRDefault="000E0B74" w:rsidP="009004C8">
      <w:pPr>
        <w:spacing w:before="240"/>
      </w:pPr>
      <w:r w:rsidRPr="00661BF0">
        <w:lastRenderedPageBreak/>
        <w:t xml:space="preserve">© Commonwealth of </w:t>
      </w:r>
      <w:r w:rsidRPr="006105BF">
        <w:t>Australia 201</w:t>
      </w:r>
      <w:r w:rsidR="006105BF" w:rsidRPr="006105BF">
        <w:t>9</w:t>
      </w:r>
    </w:p>
    <w:p w14:paraId="597A80CA" w14:textId="321B4FFC" w:rsidR="000E0B74" w:rsidRPr="00086F82" w:rsidRDefault="000E0B74" w:rsidP="009004C8">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ED2227">
        <w:t>and where otherwise stated</w:t>
      </w:r>
      <w:r w:rsidRPr="002F1BC2">
        <w:t>.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p>
    <w:p w14:paraId="4BABA810" w14:textId="77777777" w:rsidR="000E0B74" w:rsidRDefault="000E0B74" w:rsidP="00AD4B72">
      <w:pPr>
        <w:pStyle w:val="TableGraphic"/>
      </w:pPr>
      <w:r w:rsidRPr="00E56DFB">
        <w:rPr>
          <w:noProof/>
        </w:rPr>
        <w:drawing>
          <wp:inline distT="0" distB="0" distL="0" distR="0" wp14:anchorId="300E55D4" wp14:editId="30FF822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35B501F" w14:textId="77777777" w:rsidR="000E0B74" w:rsidRPr="006627B4" w:rsidRDefault="000E0B74" w:rsidP="009004C8">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11D74BA" w14:textId="77777777" w:rsidR="000E0B74" w:rsidRPr="002F1BC2" w:rsidRDefault="000E0B74" w:rsidP="009004C8">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5213D7A4" w14:textId="6F0CD49A" w:rsidR="000E0B74" w:rsidRPr="00476F09" w:rsidRDefault="000E0B74" w:rsidP="009004C8">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9004C8">
        <w:t>he following attribution:</w:t>
      </w:r>
    </w:p>
    <w:p w14:paraId="5E4480C6" w14:textId="3F39A842" w:rsidR="000E0B74" w:rsidRPr="00A13A11" w:rsidRDefault="000E0B74" w:rsidP="009004C8">
      <w:pPr>
        <w:ind w:firstLine="720"/>
      </w:pPr>
      <w:r w:rsidRPr="002F1BC2">
        <w:rPr>
          <w:i/>
        </w:rPr>
        <w:t xml:space="preserve">Source: The </w:t>
      </w:r>
      <w:r w:rsidRPr="002F1BC2">
        <w:rPr>
          <w:i/>
          <w:iCs/>
        </w:rPr>
        <w:t>Aus</w:t>
      </w:r>
      <w:r w:rsidR="00ED2227">
        <w:rPr>
          <w:i/>
          <w:iCs/>
        </w:rPr>
        <w:t>tralian Government the Treasury.</w:t>
      </w:r>
    </w:p>
    <w:p w14:paraId="050D0FBD" w14:textId="77777777" w:rsidR="000E0B74" w:rsidRPr="006627B4" w:rsidRDefault="000E0B74" w:rsidP="009004C8">
      <w:pPr>
        <w:spacing w:before="240"/>
      </w:pPr>
      <w:r w:rsidRPr="00CC63CC">
        <w:rPr>
          <w:b/>
        </w:rPr>
        <w:t>Derivative</w:t>
      </w:r>
      <w:r w:rsidRPr="006627B4">
        <w:t xml:space="preserve"> </w:t>
      </w:r>
      <w:r w:rsidRPr="00CC63CC">
        <w:rPr>
          <w:b/>
        </w:rPr>
        <w:t>material</w:t>
      </w:r>
    </w:p>
    <w:p w14:paraId="61217709" w14:textId="2806F831" w:rsidR="000E0B74" w:rsidRPr="006627B4" w:rsidRDefault="000E0B74" w:rsidP="009004C8">
      <w:r w:rsidRPr="006627B4">
        <w:t>If you have modified or transformed Treasury material, or derived new material from those of the Treasury in any way, then Treasury pre</w:t>
      </w:r>
      <w:r w:rsidR="009004C8">
        <w:t>fers the following attribution:</w:t>
      </w:r>
    </w:p>
    <w:p w14:paraId="5BE08902" w14:textId="652909A1" w:rsidR="000E0B74" w:rsidRPr="006627B4" w:rsidRDefault="000E0B74" w:rsidP="009004C8">
      <w:pPr>
        <w:ind w:firstLine="720"/>
      </w:pPr>
      <w:proofErr w:type="gramStart"/>
      <w:r w:rsidRPr="002F1BC2">
        <w:rPr>
          <w:i/>
        </w:rPr>
        <w:t>Based on The Australian Government the Treasury data</w:t>
      </w:r>
      <w:r>
        <w:t>.</w:t>
      </w:r>
      <w:proofErr w:type="gramEnd"/>
    </w:p>
    <w:p w14:paraId="4FF4EB6A" w14:textId="77777777" w:rsidR="000E0B74" w:rsidRPr="006627B4" w:rsidRDefault="000E0B74" w:rsidP="009004C8">
      <w:pPr>
        <w:spacing w:before="240"/>
        <w:rPr>
          <w:b/>
        </w:rPr>
      </w:pPr>
      <w:r w:rsidRPr="006627B4">
        <w:rPr>
          <w:b/>
        </w:rPr>
        <w:t>Use of the Coat of Arms</w:t>
      </w:r>
    </w:p>
    <w:p w14:paraId="01F82B9C" w14:textId="77777777" w:rsidR="000E0B74" w:rsidRPr="006627B4" w:rsidRDefault="004A7BC2" w:rsidP="009004C8">
      <w:r w:rsidRPr="004A7BC2">
        <w:t>The terms under which the Coat of Arms can be used are set out</w:t>
      </w:r>
      <w:r>
        <w:t xml:space="preserve"> on the Department of the Prime </w:t>
      </w:r>
      <w:r w:rsidRPr="004A7BC2">
        <w:t xml:space="preserve">Minister and Cabinet website (see </w:t>
      </w:r>
      <w:hyperlink r:id="rId19" w:history="1">
        <w:r w:rsidRPr="005A283B">
          <w:rPr>
            <w:rStyle w:val="Hyperlink"/>
          </w:rPr>
          <w:t>www.pmc.gov.au/government/commonwealth-coat-arm</w:t>
        </w:r>
      </w:hyperlink>
      <w:r w:rsidRPr="004A7BC2">
        <w:t>s).</w:t>
      </w:r>
    </w:p>
    <w:p w14:paraId="28ADBAF1" w14:textId="77777777" w:rsidR="000E0B74" w:rsidRPr="006627B4" w:rsidRDefault="000E0B74" w:rsidP="009004C8">
      <w:pPr>
        <w:spacing w:before="240"/>
        <w:rPr>
          <w:b/>
        </w:rPr>
      </w:pPr>
      <w:r>
        <w:rPr>
          <w:b/>
        </w:rPr>
        <w:t>Other u</w:t>
      </w:r>
      <w:r w:rsidRPr="006627B4">
        <w:rPr>
          <w:b/>
        </w:rPr>
        <w:t>ses</w:t>
      </w:r>
    </w:p>
    <w:p w14:paraId="2BE97D08" w14:textId="77777777" w:rsidR="000E0B74" w:rsidRPr="006627B4" w:rsidRDefault="000E0B74" w:rsidP="009004C8">
      <w:r>
        <w:t>E</w:t>
      </w:r>
      <w:r w:rsidRPr="006627B4">
        <w:t>nquiries regarding this licence and any other use of this document are welcome at:</w:t>
      </w:r>
    </w:p>
    <w:p w14:paraId="376E5F58" w14:textId="77777777" w:rsidR="000E0B74" w:rsidRPr="002F1BC2" w:rsidRDefault="000E0B74" w:rsidP="009004C8">
      <w:pPr>
        <w:ind w:left="720"/>
        <w:jc w:val="left"/>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Pr="00B31CFB">
          <w:rPr>
            <w:rStyle w:val="Hyperlink"/>
          </w:rPr>
          <w:t>medialiaison@treasury.gov.au</w:t>
        </w:r>
      </w:hyperlink>
    </w:p>
    <w:p w14:paraId="01272EFA" w14:textId="77777777" w:rsidR="009004C8" w:rsidRPr="009004C8" w:rsidRDefault="009004C8" w:rsidP="009004C8"/>
    <w:p w14:paraId="1682C70F" w14:textId="77777777" w:rsidR="009004C8" w:rsidRPr="009004C8" w:rsidRDefault="009004C8" w:rsidP="009004C8">
      <w:pPr>
        <w:sectPr w:rsidR="009004C8" w:rsidRPr="009004C8" w:rsidSect="00475B7B">
          <w:headerReference w:type="even" r:id="rId21"/>
          <w:headerReference w:type="default" r:id="rId22"/>
          <w:footerReference w:type="even" r:id="rId23"/>
          <w:pgSz w:w="11906" w:h="16838" w:code="9"/>
          <w:pgMar w:top="1418" w:right="1418" w:bottom="1418" w:left="1418" w:header="709" w:footer="709" w:gutter="0"/>
          <w:pgNumType w:fmt="lowerRoman"/>
          <w:cols w:space="708"/>
          <w:titlePg/>
          <w:docGrid w:linePitch="360"/>
        </w:sectPr>
      </w:pPr>
    </w:p>
    <w:p w14:paraId="30C05588" w14:textId="77777777" w:rsidR="000E0B74" w:rsidRPr="00AD4B72" w:rsidRDefault="000E0B74" w:rsidP="00AD4B72">
      <w:pPr>
        <w:pStyle w:val="Heading1-TOC"/>
      </w:pPr>
      <w:bookmarkStart w:id="1" w:name="_Toc2261837"/>
      <w:bookmarkStart w:id="2" w:name="_Toc2690109"/>
      <w:bookmarkStart w:id="3" w:name="_Toc2944180"/>
      <w:bookmarkStart w:id="4" w:name="_Toc2959797"/>
      <w:r w:rsidRPr="00AD4B72">
        <w:lastRenderedPageBreak/>
        <w:t>Contents</w:t>
      </w:r>
      <w:bookmarkEnd w:id="1"/>
      <w:bookmarkEnd w:id="2"/>
      <w:bookmarkEnd w:id="3"/>
      <w:bookmarkEnd w:id="4"/>
    </w:p>
    <w:p w14:paraId="7E85A56E" w14:textId="77777777" w:rsidR="00F079E5" w:rsidRDefault="00257AEE">
      <w:pPr>
        <w:pStyle w:val="TOC1"/>
        <w:rPr>
          <w:rFonts w:asciiTheme="minorHAnsi" w:eastAsiaTheme="minorEastAsia" w:hAnsiTheme="minorHAnsi" w:cstheme="minorBidi"/>
          <w:b w:val="0"/>
          <w:caps w:val="0"/>
          <w:color w:val="auto"/>
        </w:rPr>
      </w:pPr>
      <w:r>
        <w:fldChar w:fldCharType="begin"/>
      </w:r>
      <w:r>
        <w:instrText xml:space="preserve"> TOC \o "1-2" \h \z \t "Heading 3,3,Chart Main Heading,3,Table Main Heading,3,Heading 3 Numbered,3,Table Heading Continued,3" </w:instrText>
      </w:r>
      <w:r>
        <w:fldChar w:fldCharType="separate"/>
      </w:r>
      <w:hyperlink w:anchor="_Toc4503513" w:history="1">
        <w:r w:rsidR="00F079E5" w:rsidRPr="00B3580A">
          <w:rPr>
            <w:rStyle w:val="Hyperlink"/>
          </w:rPr>
          <w:t>Consultation Process</w:t>
        </w:r>
        <w:r w:rsidR="00F079E5">
          <w:rPr>
            <w:webHidden/>
          </w:rPr>
          <w:tab/>
        </w:r>
        <w:r w:rsidR="00F079E5">
          <w:rPr>
            <w:webHidden/>
          </w:rPr>
          <w:fldChar w:fldCharType="begin"/>
        </w:r>
        <w:r w:rsidR="00F079E5">
          <w:rPr>
            <w:webHidden/>
          </w:rPr>
          <w:instrText xml:space="preserve"> PAGEREF _Toc4503513 \h </w:instrText>
        </w:r>
        <w:r w:rsidR="00F079E5">
          <w:rPr>
            <w:webHidden/>
          </w:rPr>
        </w:r>
        <w:r w:rsidR="00F079E5">
          <w:rPr>
            <w:webHidden/>
          </w:rPr>
          <w:fldChar w:fldCharType="separate"/>
        </w:r>
        <w:r w:rsidR="00F079E5">
          <w:rPr>
            <w:webHidden/>
          </w:rPr>
          <w:t>iv</w:t>
        </w:r>
        <w:r w:rsidR="00F079E5">
          <w:rPr>
            <w:webHidden/>
          </w:rPr>
          <w:fldChar w:fldCharType="end"/>
        </w:r>
      </w:hyperlink>
    </w:p>
    <w:p w14:paraId="68286585" w14:textId="77777777" w:rsidR="00F079E5" w:rsidRDefault="009610B3">
      <w:pPr>
        <w:pStyle w:val="TOC2"/>
        <w:rPr>
          <w:rFonts w:asciiTheme="minorHAnsi" w:eastAsiaTheme="minorEastAsia" w:hAnsiTheme="minorHAnsi" w:cstheme="minorBidi"/>
          <w:color w:val="auto"/>
          <w:szCs w:val="22"/>
        </w:rPr>
      </w:pPr>
      <w:hyperlink w:anchor="_Toc4503514" w:history="1">
        <w:r w:rsidR="00F079E5" w:rsidRPr="00B3580A">
          <w:rPr>
            <w:rStyle w:val="Hyperlink"/>
          </w:rPr>
          <w:t>Request for feedback and comments</w:t>
        </w:r>
        <w:r w:rsidR="00F079E5">
          <w:rPr>
            <w:webHidden/>
          </w:rPr>
          <w:tab/>
        </w:r>
        <w:r w:rsidR="00F079E5">
          <w:rPr>
            <w:webHidden/>
          </w:rPr>
          <w:fldChar w:fldCharType="begin"/>
        </w:r>
        <w:r w:rsidR="00F079E5">
          <w:rPr>
            <w:webHidden/>
          </w:rPr>
          <w:instrText xml:space="preserve"> PAGEREF _Toc4503514 \h </w:instrText>
        </w:r>
        <w:r w:rsidR="00F079E5">
          <w:rPr>
            <w:webHidden/>
          </w:rPr>
        </w:r>
        <w:r w:rsidR="00F079E5">
          <w:rPr>
            <w:webHidden/>
          </w:rPr>
          <w:fldChar w:fldCharType="separate"/>
        </w:r>
        <w:r w:rsidR="00F079E5">
          <w:rPr>
            <w:webHidden/>
          </w:rPr>
          <w:t>iv</w:t>
        </w:r>
        <w:r w:rsidR="00F079E5">
          <w:rPr>
            <w:webHidden/>
          </w:rPr>
          <w:fldChar w:fldCharType="end"/>
        </w:r>
      </w:hyperlink>
    </w:p>
    <w:p w14:paraId="70CB8331" w14:textId="77777777" w:rsidR="00F079E5" w:rsidRDefault="009610B3">
      <w:pPr>
        <w:pStyle w:val="TOC1"/>
        <w:rPr>
          <w:rFonts w:asciiTheme="minorHAnsi" w:eastAsiaTheme="minorEastAsia" w:hAnsiTheme="minorHAnsi" w:cstheme="minorBidi"/>
          <w:b w:val="0"/>
          <w:caps w:val="0"/>
          <w:color w:val="auto"/>
        </w:rPr>
      </w:pPr>
      <w:hyperlink w:anchor="_Toc4503515" w:history="1">
        <w:r w:rsidR="00F079E5" w:rsidRPr="00B3580A">
          <w:rPr>
            <w:rStyle w:val="Hyperlink"/>
          </w:rPr>
          <w:t>Minister’s foreword</w:t>
        </w:r>
        <w:r w:rsidR="00F079E5">
          <w:rPr>
            <w:webHidden/>
          </w:rPr>
          <w:tab/>
        </w:r>
        <w:r w:rsidR="00F079E5">
          <w:rPr>
            <w:webHidden/>
          </w:rPr>
          <w:fldChar w:fldCharType="begin"/>
        </w:r>
        <w:r w:rsidR="00F079E5">
          <w:rPr>
            <w:webHidden/>
          </w:rPr>
          <w:instrText xml:space="preserve"> PAGEREF _Toc4503515 \h </w:instrText>
        </w:r>
        <w:r w:rsidR="00F079E5">
          <w:rPr>
            <w:webHidden/>
          </w:rPr>
        </w:r>
        <w:r w:rsidR="00F079E5">
          <w:rPr>
            <w:webHidden/>
          </w:rPr>
          <w:fldChar w:fldCharType="separate"/>
        </w:r>
        <w:r w:rsidR="00F079E5">
          <w:rPr>
            <w:webHidden/>
          </w:rPr>
          <w:t>v</w:t>
        </w:r>
        <w:r w:rsidR="00F079E5">
          <w:rPr>
            <w:webHidden/>
          </w:rPr>
          <w:fldChar w:fldCharType="end"/>
        </w:r>
      </w:hyperlink>
    </w:p>
    <w:p w14:paraId="4A74F3E0" w14:textId="77777777" w:rsidR="00F079E5" w:rsidRDefault="009610B3">
      <w:pPr>
        <w:pStyle w:val="TOC1"/>
        <w:rPr>
          <w:rFonts w:asciiTheme="minorHAnsi" w:eastAsiaTheme="minorEastAsia" w:hAnsiTheme="minorHAnsi" w:cstheme="minorBidi"/>
          <w:b w:val="0"/>
          <w:caps w:val="0"/>
          <w:color w:val="auto"/>
        </w:rPr>
      </w:pPr>
      <w:hyperlink w:anchor="_Toc4503516" w:history="1">
        <w:r w:rsidR="00F079E5" w:rsidRPr="00B3580A">
          <w:rPr>
            <w:rStyle w:val="Hyperlink"/>
          </w:rPr>
          <w:t>Legislating universal definitions, terms and exclusions in MySuper products</w:t>
        </w:r>
        <w:r w:rsidR="00F079E5">
          <w:rPr>
            <w:webHidden/>
          </w:rPr>
          <w:tab/>
        </w:r>
        <w:r w:rsidR="00F079E5">
          <w:rPr>
            <w:webHidden/>
          </w:rPr>
          <w:fldChar w:fldCharType="begin"/>
        </w:r>
        <w:r w:rsidR="00F079E5">
          <w:rPr>
            <w:webHidden/>
          </w:rPr>
          <w:instrText xml:space="preserve"> PAGEREF _Toc4503516 \h </w:instrText>
        </w:r>
        <w:r w:rsidR="00F079E5">
          <w:rPr>
            <w:webHidden/>
          </w:rPr>
        </w:r>
        <w:r w:rsidR="00F079E5">
          <w:rPr>
            <w:webHidden/>
          </w:rPr>
          <w:fldChar w:fldCharType="separate"/>
        </w:r>
        <w:r w:rsidR="00F079E5">
          <w:rPr>
            <w:webHidden/>
          </w:rPr>
          <w:t>1</w:t>
        </w:r>
        <w:r w:rsidR="00F079E5">
          <w:rPr>
            <w:webHidden/>
          </w:rPr>
          <w:fldChar w:fldCharType="end"/>
        </w:r>
      </w:hyperlink>
    </w:p>
    <w:p w14:paraId="03BCA2A2" w14:textId="77777777" w:rsidR="00F079E5" w:rsidRDefault="009610B3">
      <w:pPr>
        <w:pStyle w:val="TOC2"/>
        <w:rPr>
          <w:rFonts w:asciiTheme="minorHAnsi" w:eastAsiaTheme="minorEastAsia" w:hAnsiTheme="minorHAnsi" w:cstheme="minorBidi"/>
          <w:color w:val="auto"/>
          <w:szCs w:val="22"/>
        </w:rPr>
      </w:pPr>
      <w:hyperlink w:anchor="_Toc4503517" w:history="1">
        <w:r w:rsidR="00F079E5" w:rsidRPr="00B3580A">
          <w:rPr>
            <w:rStyle w:val="Hyperlink"/>
          </w:rPr>
          <w:t>Introduction</w:t>
        </w:r>
        <w:r w:rsidR="00F079E5">
          <w:rPr>
            <w:webHidden/>
          </w:rPr>
          <w:tab/>
        </w:r>
        <w:r w:rsidR="00F079E5">
          <w:rPr>
            <w:webHidden/>
          </w:rPr>
          <w:fldChar w:fldCharType="begin"/>
        </w:r>
        <w:r w:rsidR="00F079E5">
          <w:rPr>
            <w:webHidden/>
          </w:rPr>
          <w:instrText xml:space="preserve"> PAGEREF _Toc4503517 \h </w:instrText>
        </w:r>
        <w:r w:rsidR="00F079E5">
          <w:rPr>
            <w:webHidden/>
          </w:rPr>
        </w:r>
        <w:r w:rsidR="00F079E5">
          <w:rPr>
            <w:webHidden/>
          </w:rPr>
          <w:fldChar w:fldCharType="separate"/>
        </w:r>
        <w:r w:rsidR="00F079E5">
          <w:rPr>
            <w:webHidden/>
          </w:rPr>
          <w:t>1</w:t>
        </w:r>
        <w:r w:rsidR="00F079E5">
          <w:rPr>
            <w:webHidden/>
          </w:rPr>
          <w:fldChar w:fldCharType="end"/>
        </w:r>
      </w:hyperlink>
    </w:p>
    <w:p w14:paraId="76B7D48D" w14:textId="77777777" w:rsidR="00F079E5" w:rsidRDefault="009610B3">
      <w:pPr>
        <w:pStyle w:val="TOC2"/>
        <w:rPr>
          <w:rFonts w:asciiTheme="minorHAnsi" w:eastAsiaTheme="minorEastAsia" w:hAnsiTheme="minorHAnsi" w:cstheme="minorBidi"/>
          <w:color w:val="auto"/>
          <w:szCs w:val="22"/>
        </w:rPr>
      </w:pPr>
      <w:hyperlink w:anchor="_Toc4503518" w:history="1">
        <w:r w:rsidR="00F079E5" w:rsidRPr="00B3580A">
          <w:rPr>
            <w:rStyle w:val="Hyperlink"/>
          </w:rPr>
          <w:t>Current settings for insurance in superannuation</w:t>
        </w:r>
        <w:r w:rsidR="00F079E5">
          <w:rPr>
            <w:webHidden/>
          </w:rPr>
          <w:tab/>
        </w:r>
        <w:r w:rsidR="00F079E5">
          <w:rPr>
            <w:webHidden/>
          </w:rPr>
          <w:fldChar w:fldCharType="begin"/>
        </w:r>
        <w:r w:rsidR="00F079E5">
          <w:rPr>
            <w:webHidden/>
          </w:rPr>
          <w:instrText xml:space="preserve"> PAGEREF _Toc4503518 \h </w:instrText>
        </w:r>
        <w:r w:rsidR="00F079E5">
          <w:rPr>
            <w:webHidden/>
          </w:rPr>
        </w:r>
        <w:r w:rsidR="00F079E5">
          <w:rPr>
            <w:webHidden/>
          </w:rPr>
          <w:fldChar w:fldCharType="separate"/>
        </w:r>
        <w:r w:rsidR="00F079E5">
          <w:rPr>
            <w:webHidden/>
          </w:rPr>
          <w:t>2</w:t>
        </w:r>
        <w:r w:rsidR="00F079E5">
          <w:rPr>
            <w:webHidden/>
          </w:rPr>
          <w:fldChar w:fldCharType="end"/>
        </w:r>
      </w:hyperlink>
    </w:p>
    <w:p w14:paraId="05620BCE" w14:textId="77777777" w:rsidR="00F079E5" w:rsidRDefault="009610B3">
      <w:pPr>
        <w:pStyle w:val="TOC3"/>
        <w:rPr>
          <w:rFonts w:asciiTheme="minorHAnsi" w:eastAsiaTheme="minorEastAsia" w:hAnsiTheme="minorHAnsi" w:cstheme="minorBidi"/>
          <w:color w:val="auto"/>
          <w:szCs w:val="22"/>
        </w:rPr>
      </w:pPr>
      <w:hyperlink w:anchor="_Toc4503519" w:history="1">
        <w:r w:rsidR="00F079E5" w:rsidRPr="00B3580A">
          <w:rPr>
            <w:rStyle w:val="Hyperlink"/>
          </w:rPr>
          <w:t>Recent regulatory changes</w:t>
        </w:r>
        <w:r w:rsidR="00F079E5">
          <w:rPr>
            <w:webHidden/>
          </w:rPr>
          <w:tab/>
        </w:r>
        <w:r w:rsidR="00F079E5">
          <w:rPr>
            <w:webHidden/>
          </w:rPr>
          <w:fldChar w:fldCharType="begin"/>
        </w:r>
        <w:r w:rsidR="00F079E5">
          <w:rPr>
            <w:webHidden/>
          </w:rPr>
          <w:instrText xml:space="preserve"> PAGEREF _Toc4503519 \h </w:instrText>
        </w:r>
        <w:r w:rsidR="00F079E5">
          <w:rPr>
            <w:webHidden/>
          </w:rPr>
        </w:r>
        <w:r w:rsidR="00F079E5">
          <w:rPr>
            <w:webHidden/>
          </w:rPr>
          <w:fldChar w:fldCharType="separate"/>
        </w:r>
        <w:r w:rsidR="00F079E5">
          <w:rPr>
            <w:webHidden/>
          </w:rPr>
          <w:t>2</w:t>
        </w:r>
        <w:r w:rsidR="00F079E5">
          <w:rPr>
            <w:webHidden/>
          </w:rPr>
          <w:fldChar w:fldCharType="end"/>
        </w:r>
      </w:hyperlink>
    </w:p>
    <w:p w14:paraId="1D6B8494" w14:textId="77777777" w:rsidR="00F079E5" w:rsidRDefault="009610B3">
      <w:pPr>
        <w:pStyle w:val="TOC2"/>
        <w:rPr>
          <w:rFonts w:asciiTheme="minorHAnsi" w:eastAsiaTheme="minorEastAsia" w:hAnsiTheme="minorHAnsi" w:cstheme="minorBidi"/>
          <w:color w:val="auto"/>
          <w:szCs w:val="22"/>
        </w:rPr>
      </w:pPr>
      <w:hyperlink w:anchor="_Toc4503520" w:history="1">
        <w:r w:rsidR="00F079E5" w:rsidRPr="00B3580A">
          <w:rPr>
            <w:rStyle w:val="Hyperlink"/>
          </w:rPr>
          <w:t>Related inquiries and work in this area</w:t>
        </w:r>
        <w:r w:rsidR="00F079E5">
          <w:rPr>
            <w:webHidden/>
          </w:rPr>
          <w:tab/>
        </w:r>
        <w:r w:rsidR="00F079E5">
          <w:rPr>
            <w:webHidden/>
          </w:rPr>
          <w:fldChar w:fldCharType="begin"/>
        </w:r>
        <w:r w:rsidR="00F079E5">
          <w:rPr>
            <w:webHidden/>
          </w:rPr>
          <w:instrText xml:space="preserve"> PAGEREF _Toc4503520 \h </w:instrText>
        </w:r>
        <w:r w:rsidR="00F079E5">
          <w:rPr>
            <w:webHidden/>
          </w:rPr>
        </w:r>
        <w:r w:rsidR="00F079E5">
          <w:rPr>
            <w:webHidden/>
          </w:rPr>
          <w:fldChar w:fldCharType="separate"/>
        </w:r>
        <w:r w:rsidR="00F079E5">
          <w:rPr>
            <w:webHidden/>
          </w:rPr>
          <w:t>3</w:t>
        </w:r>
        <w:r w:rsidR="00F079E5">
          <w:rPr>
            <w:webHidden/>
          </w:rPr>
          <w:fldChar w:fldCharType="end"/>
        </w:r>
      </w:hyperlink>
    </w:p>
    <w:p w14:paraId="40C9D1B8" w14:textId="77777777" w:rsidR="00F079E5" w:rsidRDefault="009610B3">
      <w:pPr>
        <w:pStyle w:val="TOC3"/>
        <w:rPr>
          <w:rFonts w:asciiTheme="minorHAnsi" w:eastAsiaTheme="minorEastAsia" w:hAnsiTheme="minorHAnsi" w:cstheme="minorBidi"/>
          <w:color w:val="auto"/>
          <w:szCs w:val="22"/>
        </w:rPr>
      </w:pPr>
      <w:hyperlink w:anchor="_Toc4503521" w:history="1">
        <w:r w:rsidR="00F079E5" w:rsidRPr="00B3580A">
          <w:rPr>
            <w:rStyle w:val="Hyperlink"/>
          </w:rPr>
          <w:t>Insurance in Superannuation Voluntary Code of Practice</w:t>
        </w:r>
        <w:r w:rsidR="00F079E5">
          <w:rPr>
            <w:webHidden/>
          </w:rPr>
          <w:tab/>
        </w:r>
        <w:r w:rsidR="00F079E5">
          <w:rPr>
            <w:webHidden/>
          </w:rPr>
          <w:fldChar w:fldCharType="begin"/>
        </w:r>
        <w:r w:rsidR="00F079E5">
          <w:rPr>
            <w:webHidden/>
          </w:rPr>
          <w:instrText xml:space="preserve"> PAGEREF _Toc4503521 \h </w:instrText>
        </w:r>
        <w:r w:rsidR="00F079E5">
          <w:rPr>
            <w:webHidden/>
          </w:rPr>
        </w:r>
        <w:r w:rsidR="00F079E5">
          <w:rPr>
            <w:webHidden/>
          </w:rPr>
          <w:fldChar w:fldCharType="separate"/>
        </w:r>
        <w:r w:rsidR="00F079E5">
          <w:rPr>
            <w:webHidden/>
          </w:rPr>
          <w:t>3</w:t>
        </w:r>
        <w:r w:rsidR="00F079E5">
          <w:rPr>
            <w:webHidden/>
          </w:rPr>
          <w:fldChar w:fldCharType="end"/>
        </w:r>
      </w:hyperlink>
    </w:p>
    <w:p w14:paraId="197F6347" w14:textId="77777777" w:rsidR="00F079E5" w:rsidRDefault="009610B3">
      <w:pPr>
        <w:pStyle w:val="TOC3"/>
        <w:rPr>
          <w:rFonts w:asciiTheme="minorHAnsi" w:eastAsiaTheme="minorEastAsia" w:hAnsiTheme="minorHAnsi" w:cstheme="minorBidi"/>
          <w:color w:val="auto"/>
          <w:szCs w:val="22"/>
        </w:rPr>
      </w:pPr>
      <w:hyperlink w:anchor="_Toc4503522" w:history="1">
        <w:r w:rsidR="00F079E5" w:rsidRPr="00B3580A">
          <w:rPr>
            <w:rStyle w:val="Hyperlink"/>
          </w:rPr>
          <w:t>Parliamentary Joint Committee Inquiry into the life insurance industry</w:t>
        </w:r>
        <w:r w:rsidR="00F079E5">
          <w:rPr>
            <w:webHidden/>
          </w:rPr>
          <w:tab/>
        </w:r>
        <w:r w:rsidR="00F079E5">
          <w:rPr>
            <w:webHidden/>
          </w:rPr>
          <w:fldChar w:fldCharType="begin"/>
        </w:r>
        <w:r w:rsidR="00F079E5">
          <w:rPr>
            <w:webHidden/>
          </w:rPr>
          <w:instrText xml:space="preserve"> PAGEREF _Toc4503522 \h </w:instrText>
        </w:r>
        <w:r w:rsidR="00F079E5">
          <w:rPr>
            <w:webHidden/>
          </w:rPr>
        </w:r>
        <w:r w:rsidR="00F079E5">
          <w:rPr>
            <w:webHidden/>
          </w:rPr>
          <w:fldChar w:fldCharType="separate"/>
        </w:r>
        <w:r w:rsidR="00F079E5">
          <w:rPr>
            <w:webHidden/>
          </w:rPr>
          <w:t>4</w:t>
        </w:r>
        <w:r w:rsidR="00F079E5">
          <w:rPr>
            <w:webHidden/>
          </w:rPr>
          <w:fldChar w:fldCharType="end"/>
        </w:r>
      </w:hyperlink>
    </w:p>
    <w:p w14:paraId="47104FB1" w14:textId="77777777" w:rsidR="00F079E5" w:rsidRDefault="009610B3">
      <w:pPr>
        <w:pStyle w:val="TOC3"/>
        <w:rPr>
          <w:rFonts w:asciiTheme="minorHAnsi" w:eastAsiaTheme="minorEastAsia" w:hAnsiTheme="minorHAnsi" w:cstheme="minorBidi"/>
          <w:color w:val="auto"/>
          <w:szCs w:val="22"/>
        </w:rPr>
      </w:pPr>
      <w:hyperlink w:anchor="_Toc4503523" w:history="1">
        <w:r w:rsidR="00F079E5" w:rsidRPr="00B3580A">
          <w:rPr>
            <w:rStyle w:val="Hyperlink"/>
          </w:rPr>
          <w:t>ASIC Report 591 – Insurance in Superannuation</w:t>
        </w:r>
        <w:r w:rsidR="00F079E5">
          <w:rPr>
            <w:webHidden/>
          </w:rPr>
          <w:tab/>
        </w:r>
        <w:r w:rsidR="00F079E5">
          <w:rPr>
            <w:webHidden/>
          </w:rPr>
          <w:fldChar w:fldCharType="begin"/>
        </w:r>
        <w:r w:rsidR="00F079E5">
          <w:rPr>
            <w:webHidden/>
          </w:rPr>
          <w:instrText xml:space="preserve"> PAGEREF _Toc4503523 \h </w:instrText>
        </w:r>
        <w:r w:rsidR="00F079E5">
          <w:rPr>
            <w:webHidden/>
          </w:rPr>
        </w:r>
        <w:r w:rsidR="00F079E5">
          <w:rPr>
            <w:webHidden/>
          </w:rPr>
          <w:fldChar w:fldCharType="separate"/>
        </w:r>
        <w:r w:rsidR="00F079E5">
          <w:rPr>
            <w:webHidden/>
          </w:rPr>
          <w:t>4</w:t>
        </w:r>
        <w:r w:rsidR="00F079E5">
          <w:rPr>
            <w:webHidden/>
          </w:rPr>
          <w:fldChar w:fldCharType="end"/>
        </w:r>
      </w:hyperlink>
    </w:p>
    <w:p w14:paraId="57CE1C48" w14:textId="77777777" w:rsidR="00F079E5" w:rsidRDefault="009610B3">
      <w:pPr>
        <w:pStyle w:val="TOC3"/>
        <w:rPr>
          <w:rFonts w:asciiTheme="minorHAnsi" w:eastAsiaTheme="minorEastAsia" w:hAnsiTheme="minorHAnsi" w:cstheme="minorBidi"/>
          <w:color w:val="auto"/>
          <w:szCs w:val="22"/>
        </w:rPr>
      </w:pPr>
      <w:hyperlink w:anchor="_Toc4503524" w:history="1">
        <w:r w:rsidR="00F079E5" w:rsidRPr="00B3580A">
          <w:rPr>
            <w:rStyle w:val="Hyperlink"/>
          </w:rPr>
          <w:t>Productivity Commission superannuation inquiry</w:t>
        </w:r>
        <w:r w:rsidR="00F079E5">
          <w:rPr>
            <w:webHidden/>
          </w:rPr>
          <w:tab/>
        </w:r>
        <w:r w:rsidR="00F079E5">
          <w:rPr>
            <w:webHidden/>
          </w:rPr>
          <w:fldChar w:fldCharType="begin"/>
        </w:r>
        <w:r w:rsidR="00F079E5">
          <w:rPr>
            <w:webHidden/>
          </w:rPr>
          <w:instrText xml:space="preserve"> PAGEREF _Toc4503524 \h </w:instrText>
        </w:r>
        <w:r w:rsidR="00F079E5">
          <w:rPr>
            <w:webHidden/>
          </w:rPr>
        </w:r>
        <w:r w:rsidR="00F079E5">
          <w:rPr>
            <w:webHidden/>
          </w:rPr>
          <w:fldChar w:fldCharType="separate"/>
        </w:r>
        <w:r w:rsidR="00F079E5">
          <w:rPr>
            <w:webHidden/>
          </w:rPr>
          <w:t>4</w:t>
        </w:r>
        <w:r w:rsidR="00F079E5">
          <w:rPr>
            <w:webHidden/>
          </w:rPr>
          <w:fldChar w:fldCharType="end"/>
        </w:r>
      </w:hyperlink>
    </w:p>
    <w:p w14:paraId="191FCDFA" w14:textId="77777777" w:rsidR="00F079E5" w:rsidRDefault="009610B3">
      <w:pPr>
        <w:pStyle w:val="TOC2"/>
        <w:rPr>
          <w:rFonts w:asciiTheme="minorHAnsi" w:eastAsiaTheme="minorEastAsia" w:hAnsiTheme="minorHAnsi" w:cstheme="minorBidi"/>
          <w:color w:val="auto"/>
          <w:szCs w:val="22"/>
        </w:rPr>
      </w:pPr>
      <w:hyperlink w:anchor="_Toc4503525" w:history="1">
        <w:r w:rsidR="00F079E5" w:rsidRPr="00B3580A">
          <w:rPr>
            <w:rStyle w:val="Hyperlink"/>
          </w:rPr>
          <w:t>Objective</w:t>
        </w:r>
        <w:r w:rsidR="00F079E5">
          <w:rPr>
            <w:webHidden/>
          </w:rPr>
          <w:tab/>
        </w:r>
        <w:r w:rsidR="00F079E5">
          <w:rPr>
            <w:webHidden/>
          </w:rPr>
          <w:fldChar w:fldCharType="begin"/>
        </w:r>
        <w:r w:rsidR="00F079E5">
          <w:rPr>
            <w:webHidden/>
          </w:rPr>
          <w:instrText xml:space="preserve"> PAGEREF _Toc4503525 \h </w:instrText>
        </w:r>
        <w:r w:rsidR="00F079E5">
          <w:rPr>
            <w:webHidden/>
          </w:rPr>
        </w:r>
        <w:r w:rsidR="00F079E5">
          <w:rPr>
            <w:webHidden/>
          </w:rPr>
          <w:fldChar w:fldCharType="separate"/>
        </w:r>
        <w:r w:rsidR="00F079E5">
          <w:rPr>
            <w:webHidden/>
          </w:rPr>
          <w:t>4</w:t>
        </w:r>
        <w:r w:rsidR="00F079E5">
          <w:rPr>
            <w:webHidden/>
          </w:rPr>
          <w:fldChar w:fldCharType="end"/>
        </w:r>
      </w:hyperlink>
    </w:p>
    <w:p w14:paraId="742D9ECC" w14:textId="77777777" w:rsidR="00F079E5" w:rsidRDefault="009610B3">
      <w:pPr>
        <w:pStyle w:val="TOC2"/>
        <w:rPr>
          <w:rFonts w:asciiTheme="minorHAnsi" w:eastAsiaTheme="minorEastAsia" w:hAnsiTheme="minorHAnsi" w:cstheme="minorBidi"/>
          <w:color w:val="auto"/>
          <w:szCs w:val="22"/>
        </w:rPr>
      </w:pPr>
      <w:hyperlink w:anchor="_Toc4503526" w:history="1">
        <w:r w:rsidR="00F079E5" w:rsidRPr="00B3580A">
          <w:rPr>
            <w:rStyle w:val="Hyperlink"/>
          </w:rPr>
          <w:t>Issues for discussion</w:t>
        </w:r>
        <w:r w:rsidR="00F079E5">
          <w:rPr>
            <w:webHidden/>
          </w:rPr>
          <w:tab/>
        </w:r>
        <w:r w:rsidR="00F079E5">
          <w:rPr>
            <w:webHidden/>
          </w:rPr>
          <w:fldChar w:fldCharType="begin"/>
        </w:r>
        <w:r w:rsidR="00F079E5">
          <w:rPr>
            <w:webHidden/>
          </w:rPr>
          <w:instrText xml:space="preserve"> PAGEREF _Toc4503526 \h </w:instrText>
        </w:r>
        <w:r w:rsidR="00F079E5">
          <w:rPr>
            <w:webHidden/>
          </w:rPr>
        </w:r>
        <w:r w:rsidR="00F079E5">
          <w:rPr>
            <w:webHidden/>
          </w:rPr>
          <w:fldChar w:fldCharType="separate"/>
        </w:r>
        <w:r w:rsidR="00F079E5">
          <w:rPr>
            <w:webHidden/>
          </w:rPr>
          <w:t>5</w:t>
        </w:r>
        <w:r w:rsidR="00F079E5">
          <w:rPr>
            <w:webHidden/>
          </w:rPr>
          <w:fldChar w:fldCharType="end"/>
        </w:r>
      </w:hyperlink>
    </w:p>
    <w:p w14:paraId="1531F40B" w14:textId="77777777" w:rsidR="00F079E5" w:rsidRDefault="009610B3">
      <w:pPr>
        <w:pStyle w:val="TOC3"/>
        <w:rPr>
          <w:rFonts w:asciiTheme="minorHAnsi" w:eastAsiaTheme="minorEastAsia" w:hAnsiTheme="minorHAnsi" w:cstheme="minorBidi"/>
          <w:color w:val="auto"/>
          <w:szCs w:val="22"/>
        </w:rPr>
      </w:pPr>
      <w:hyperlink w:anchor="_Toc4503527" w:history="1">
        <w:r w:rsidR="00F079E5" w:rsidRPr="00B3580A">
          <w:rPr>
            <w:rStyle w:val="Hyperlink"/>
          </w:rPr>
          <w:t>The merits of setting standard terms and definitions</w:t>
        </w:r>
        <w:r w:rsidR="00F079E5">
          <w:rPr>
            <w:webHidden/>
          </w:rPr>
          <w:tab/>
        </w:r>
        <w:r w:rsidR="00F079E5">
          <w:rPr>
            <w:webHidden/>
          </w:rPr>
          <w:fldChar w:fldCharType="begin"/>
        </w:r>
        <w:r w:rsidR="00F079E5">
          <w:rPr>
            <w:webHidden/>
          </w:rPr>
          <w:instrText xml:space="preserve"> PAGEREF _Toc4503527 \h </w:instrText>
        </w:r>
        <w:r w:rsidR="00F079E5">
          <w:rPr>
            <w:webHidden/>
          </w:rPr>
        </w:r>
        <w:r w:rsidR="00F079E5">
          <w:rPr>
            <w:webHidden/>
          </w:rPr>
          <w:fldChar w:fldCharType="separate"/>
        </w:r>
        <w:r w:rsidR="00F079E5">
          <w:rPr>
            <w:webHidden/>
          </w:rPr>
          <w:t>5</w:t>
        </w:r>
        <w:r w:rsidR="00F079E5">
          <w:rPr>
            <w:webHidden/>
          </w:rPr>
          <w:fldChar w:fldCharType="end"/>
        </w:r>
      </w:hyperlink>
    </w:p>
    <w:p w14:paraId="386C0E1B" w14:textId="77777777" w:rsidR="00F079E5" w:rsidRDefault="009610B3">
      <w:pPr>
        <w:pStyle w:val="TOC3"/>
        <w:rPr>
          <w:rFonts w:asciiTheme="minorHAnsi" w:eastAsiaTheme="minorEastAsia" w:hAnsiTheme="minorHAnsi" w:cstheme="minorBidi"/>
          <w:color w:val="auto"/>
          <w:szCs w:val="22"/>
        </w:rPr>
      </w:pPr>
      <w:hyperlink w:anchor="_Toc4503528" w:history="1">
        <w:r w:rsidR="00F079E5" w:rsidRPr="00B3580A">
          <w:rPr>
            <w:rStyle w:val="Hyperlink"/>
          </w:rPr>
          <w:t>Impact on premiums</w:t>
        </w:r>
        <w:r w:rsidR="00F079E5">
          <w:rPr>
            <w:webHidden/>
          </w:rPr>
          <w:tab/>
        </w:r>
        <w:r w:rsidR="00F079E5">
          <w:rPr>
            <w:webHidden/>
          </w:rPr>
          <w:fldChar w:fldCharType="begin"/>
        </w:r>
        <w:r w:rsidR="00F079E5">
          <w:rPr>
            <w:webHidden/>
          </w:rPr>
          <w:instrText xml:space="preserve"> PAGEREF _Toc4503528 \h </w:instrText>
        </w:r>
        <w:r w:rsidR="00F079E5">
          <w:rPr>
            <w:webHidden/>
          </w:rPr>
        </w:r>
        <w:r w:rsidR="00F079E5">
          <w:rPr>
            <w:webHidden/>
          </w:rPr>
          <w:fldChar w:fldCharType="separate"/>
        </w:r>
        <w:r w:rsidR="00F079E5">
          <w:rPr>
            <w:webHidden/>
          </w:rPr>
          <w:t>7</w:t>
        </w:r>
        <w:r w:rsidR="00F079E5">
          <w:rPr>
            <w:webHidden/>
          </w:rPr>
          <w:fldChar w:fldCharType="end"/>
        </w:r>
      </w:hyperlink>
    </w:p>
    <w:p w14:paraId="2465FFEC" w14:textId="77777777" w:rsidR="00F079E5" w:rsidRDefault="009610B3">
      <w:pPr>
        <w:pStyle w:val="TOC3"/>
        <w:rPr>
          <w:rFonts w:asciiTheme="minorHAnsi" w:eastAsiaTheme="minorEastAsia" w:hAnsiTheme="minorHAnsi" w:cstheme="minorBidi"/>
          <w:color w:val="auto"/>
          <w:szCs w:val="22"/>
        </w:rPr>
      </w:pPr>
      <w:hyperlink w:anchor="_Toc4503529" w:history="1">
        <w:r w:rsidR="00F079E5" w:rsidRPr="00B3580A">
          <w:rPr>
            <w:rStyle w:val="Hyperlink"/>
          </w:rPr>
          <w:t>Improving consumers’ understanding of insurance in superannuation</w:t>
        </w:r>
        <w:r w:rsidR="00F079E5">
          <w:rPr>
            <w:webHidden/>
          </w:rPr>
          <w:tab/>
        </w:r>
        <w:r w:rsidR="00F079E5">
          <w:rPr>
            <w:webHidden/>
          </w:rPr>
          <w:fldChar w:fldCharType="begin"/>
        </w:r>
        <w:r w:rsidR="00F079E5">
          <w:rPr>
            <w:webHidden/>
          </w:rPr>
          <w:instrText xml:space="preserve"> PAGEREF _Toc4503529 \h </w:instrText>
        </w:r>
        <w:r w:rsidR="00F079E5">
          <w:rPr>
            <w:webHidden/>
          </w:rPr>
        </w:r>
        <w:r w:rsidR="00F079E5">
          <w:rPr>
            <w:webHidden/>
          </w:rPr>
          <w:fldChar w:fldCharType="separate"/>
        </w:r>
        <w:r w:rsidR="00F079E5">
          <w:rPr>
            <w:webHidden/>
          </w:rPr>
          <w:t>8</w:t>
        </w:r>
        <w:r w:rsidR="00F079E5">
          <w:rPr>
            <w:webHidden/>
          </w:rPr>
          <w:fldChar w:fldCharType="end"/>
        </w:r>
      </w:hyperlink>
    </w:p>
    <w:p w14:paraId="7817B99A" w14:textId="77777777" w:rsidR="00F079E5" w:rsidRDefault="009610B3">
      <w:pPr>
        <w:pStyle w:val="TOC3"/>
        <w:rPr>
          <w:rFonts w:asciiTheme="minorHAnsi" w:eastAsiaTheme="minorEastAsia" w:hAnsiTheme="minorHAnsi" w:cstheme="minorBidi"/>
          <w:color w:val="auto"/>
          <w:szCs w:val="22"/>
        </w:rPr>
      </w:pPr>
      <w:hyperlink w:anchor="_Toc4503530" w:history="1">
        <w:r w:rsidR="00F079E5" w:rsidRPr="00B3580A">
          <w:rPr>
            <w:rStyle w:val="Hyperlink"/>
          </w:rPr>
          <w:t>Merits of prescribing minimum, maximum or set levels of cover</w:t>
        </w:r>
        <w:r w:rsidR="00F079E5">
          <w:rPr>
            <w:webHidden/>
          </w:rPr>
          <w:tab/>
        </w:r>
        <w:r w:rsidR="00F079E5">
          <w:rPr>
            <w:webHidden/>
          </w:rPr>
          <w:fldChar w:fldCharType="begin"/>
        </w:r>
        <w:r w:rsidR="00F079E5">
          <w:rPr>
            <w:webHidden/>
          </w:rPr>
          <w:instrText xml:space="preserve"> PAGEREF _Toc4503530 \h </w:instrText>
        </w:r>
        <w:r w:rsidR="00F079E5">
          <w:rPr>
            <w:webHidden/>
          </w:rPr>
        </w:r>
        <w:r w:rsidR="00F079E5">
          <w:rPr>
            <w:webHidden/>
          </w:rPr>
          <w:fldChar w:fldCharType="separate"/>
        </w:r>
        <w:r w:rsidR="00F079E5">
          <w:rPr>
            <w:webHidden/>
          </w:rPr>
          <w:t>9</w:t>
        </w:r>
        <w:r w:rsidR="00F079E5">
          <w:rPr>
            <w:webHidden/>
          </w:rPr>
          <w:fldChar w:fldCharType="end"/>
        </w:r>
      </w:hyperlink>
    </w:p>
    <w:p w14:paraId="0A6B583C" w14:textId="77777777" w:rsidR="000E0B74" w:rsidRDefault="00257AEE" w:rsidP="008541A8">
      <w:pPr>
        <w:sectPr w:rsidR="000E0B74" w:rsidSect="009004C8">
          <w:footerReference w:type="first" r:id="rId24"/>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04D59BBA" w14:textId="77777777" w:rsidR="0022164F" w:rsidRPr="0022164F" w:rsidRDefault="0022164F" w:rsidP="0022164F">
      <w:bookmarkStart w:id="5" w:name="_Toc2261838"/>
      <w:bookmarkStart w:id="6" w:name="_Toc2690110"/>
      <w:bookmarkStart w:id="7" w:name="_Toc2944181"/>
      <w:bookmarkStart w:id="8" w:name="_Toc2959798"/>
      <w:bookmarkStart w:id="9" w:name="_Toc432067103"/>
    </w:p>
    <w:p w14:paraId="11C3F1EF" w14:textId="77777777" w:rsidR="0022164F" w:rsidRDefault="0022164F" w:rsidP="0022164F"/>
    <w:p w14:paraId="5CBEA016" w14:textId="77777777" w:rsidR="0022164F" w:rsidRDefault="0022164F" w:rsidP="0022164F">
      <w:pPr>
        <w:sectPr w:rsidR="0022164F" w:rsidSect="0022164F">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418" w:right="1418" w:bottom="1418" w:left="1418" w:header="709" w:footer="709" w:gutter="0"/>
          <w:pgNumType w:fmt="lowerRoman"/>
          <w:cols w:space="708"/>
          <w:docGrid w:linePitch="360"/>
        </w:sectPr>
      </w:pPr>
    </w:p>
    <w:p w14:paraId="5324AB4B" w14:textId="18105B1D" w:rsidR="000E0B74" w:rsidRDefault="000E0B74" w:rsidP="000E0B74">
      <w:pPr>
        <w:pStyle w:val="Heading1"/>
      </w:pPr>
      <w:bookmarkStart w:id="10" w:name="_Toc4503513"/>
      <w:r>
        <w:lastRenderedPageBreak/>
        <w:t>Consultation Process</w:t>
      </w:r>
      <w:bookmarkEnd w:id="5"/>
      <w:bookmarkEnd w:id="6"/>
      <w:bookmarkEnd w:id="7"/>
      <w:bookmarkEnd w:id="8"/>
      <w:bookmarkEnd w:id="10"/>
    </w:p>
    <w:p w14:paraId="40CC509C" w14:textId="77777777" w:rsidR="000E0B74" w:rsidRDefault="000E0B74" w:rsidP="000E0B74">
      <w:pPr>
        <w:pStyle w:val="Heading2"/>
      </w:pPr>
      <w:bookmarkStart w:id="11" w:name="_Toc2261839"/>
      <w:bookmarkStart w:id="12" w:name="_Toc2690111"/>
      <w:bookmarkStart w:id="13" w:name="_Toc2944182"/>
      <w:bookmarkStart w:id="14" w:name="_Toc2959799"/>
      <w:bookmarkStart w:id="15" w:name="_Toc4503514"/>
      <w:r>
        <w:t>Request for feedback and comments</w:t>
      </w:r>
      <w:bookmarkEnd w:id="11"/>
      <w:bookmarkEnd w:id="12"/>
      <w:bookmarkEnd w:id="13"/>
      <w:bookmarkEnd w:id="14"/>
      <w:bookmarkEnd w:id="15"/>
    </w:p>
    <w:p w14:paraId="37958D7D" w14:textId="46DFE7F4" w:rsidR="00E9070E" w:rsidRDefault="00E9070E" w:rsidP="00E9070E">
      <w:r>
        <w:t>Interested parties are invited to comment on this consultation paper. While submissions may be lodged electronically or by post, electronic lodgement is preferred. For accessibility reasons, please submit responses sent via email in a Word or RTF format. An additional PDF</w:t>
      </w:r>
      <w:r w:rsidR="00863640">
        <w:t xml:space="preserve"> version may also be submitted.</w:t>
      </w:r>
    </w:p>
    <w:p w14:paraId="7F61CACD" w14:textId="2860413C" w:rsidR="00E9070E" w:rsidRDefault="00E9070E" w:rsidP="00E9070E">
      <w:r>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3FE1AF71" w14:textId="196AFAD4" w:rsidR="000E0B74" w:rsidRPr="0022164F" w:rsidRDefault="000E0B74" w:rsidP="0022164F">
      <w:pPr>
        <w:pStyle w:val="Heading3noTOC"/>
      </w:pPr>
      <w:r w:rsidRPr="0022164F">
        <w:t xml:space="preserve">Closing date for submissions: </w:t>
      </w:r>
      <w:sdt>
        <w:sdtPr>
          <w:rPr>
            <w:rStyle w:val="Heading3Char"/>
            <w:rFonts w:cs="Calibri"/>
            <w:b w:val="0"/>
          </w:rPr>
          <w:id w:val="1454836312"/>
          <w:placeholder>
            <w:docPart w:val="2D5B4B1D44FE4198AFD6DED1285D2B5D"/>
          </w:placeholder>
          <w:date w:fullDate="2019-04-26T00:00:00Z">
            <w:dateFormat w:val="dd MMMM yyyy"/>
            <w:lid w:val="en-AU"/>
            <w:storeMappedDataAs w:val="dateTime"/>
            <w:calendar w:val="gregorian"/>
          </w:date>
        </w:sdtPr>
        <w:sdtEndPr>
          <w:rPr>
            <w:rStyle w:val="DefaultParagraphFont"/>
          </w:rPr>
        </w:sdtEndPr>
        <w:sdtContent>
          <w:r w:rsidR="00D72213">
            <w:rPr>
              <w:rStyle w:val="Heading3Char"/>
              <w:rFonts w:cs="Calibri"/>
              <w:b w:val="0"/>
            </w:rPr>
            <w:t>26 April 2019</w:t>
          </w:r>
        </w:sdtContent>
      </w:sdt>
    </w:p>
    <w:tbl>
      <w:tblPr>
        <w:tblStyle w:val="TableGrid"/>
        <w:tblW w:w="0" w:type="auto"/>
        <w:tblLook w:val="04A0" w:firstRow="1" w:lastRow="0" w:firstColumn="1" w:lastColumn="0" w:noHBand="0" w:noVBand="1"/>
      </w:tblPr>
      <w:tblGrid>
        <w:gridCol w:w="1526"/>
        <w:gridCol w:w="7654"/>
      </w:tblGrid>
      <w:tr w:rsidR="000E0B74" w:rsidRPr="00B85F47" w14:paraId="36C51E25" w14:textId="77777777" w:rsidTr="00B85F47">
        <w:tc>
          <w:tcPr>
            <w:tcW w:w="1526" w:type="dxa"/>
            <w:shd w:val="clear" w:color="auto" w:fill="auto"/>
          </w:tcPr>
          <w:p w14:paraId="501461E2" w14:textId="77777777" w:rsidR="000E0B74" w:rsidRPr="00863640" w:rsidRDefault="000E0B74" w:rsidP="0017089D">
            <w:pPr>
              <w:rPr>
                <w:rFonts w:asciiTheme="minorHAnsi" w:hAnsiTheme="minorHAnsi"/>
                <w:b/>
                <w:sz w:val="22"/>
              </w:rPr>
            </w:pPr>
            <w:r w:rsidRPr="00863640">
              <w:rPr>
                <w:rFonts w:asciiTheme="minorHAnsi" w:hAnsiTheme="minorHAnsi"/>
                <w:b/>
                <w:sz w:val="22"/>
              </w:rPr>
              <w:t>Email</w:t>
            </w:r>
          </w:p>
        </w:tc>
        <w:tc>
          <w:tcPr>
            <w:tcW w:w="7654" w:type="dxa"/>
            <w:shd w:val="clear" w:color="auto" w:fill="auto"/>
          </w:tcPr>
          <w:p w14:paraId="38FC0128" w14:textId="5D17CA58" w:rsidR="000E0B74" w:rsidRPr="00946522" w:rsidRDefault="009610B3" w:rsidP="00516785">
            <w:pPr>
              <w:rPr>
                <w:rStyle w:val="Hyperlink"/>
                <w:sz w:val="22"/>
                <w:szCs w:val="22"/>
              </w:rPr>
            </w:pPr>
            <w:hyperlink r:id="rId31" w:history="1">
              <w:r w:rsidR="00A170FB" w:rsidRPr="00946522">
                <w:rPr>
                  <w:rStyle w:val="Hyperlink"/>
                  <w:sz w:val="22"/>
                  <w:szCs w:val="22"/>
                </w:rPr>
                <w:t>superannuation@treasury.gov.au</w:t>
              </w:r>
            </w:hyperlink>
          </w:p>
        </w:tc>
      </w:tr>
      <w:tr w:rsidR="000E0B74" w:rsidRPr="00B85F47" w14:paraId="1B325842" w14:textId="77777777" w:rsidTr="00B85F47">
        <w:tc>
          <w:tcPr>
            <w:tcW w:w="1526" w:type="dxa"/>
            <w:shd w:val="clear" w:color="auto" w:fill="auto"/>
          </w:tcPr>
          <w:p w14:paraId="43223746" w14:textId="77777777" w:rsidR="000E0B74" w:rsidRPr="00863640" w:rsidRDefault="000E0B74" w:rsidP="0017089D">
            <w:pPr>
              <w:rPr>
                <w:rFonts w:asciiTheme="minorHAnsi" w:hAnsiTheme="minorHAnsi"/>
                <w:b/>
                <w:sz w:val="22"/>
              </w:rPr>
            </w:pPr>
            <w:r w:rsidRPr="00863640">
              <w:rPr>
                <w:rFonts w:asciiTheme="minorHAnsi" w:hAnsiTheme="minorHAnsi"/>
                <w:b/>
                <w:sz w:val="22"/>
              </w:rPr>
              <w:t>Mail</w:t>
            </w:r>
          </w:p>
          <w:p w14:paraId="12AF5D5C" w14:textId="77777777" w:rsidR="008D7F38" w:rsidRPr="00863640" w:rsidRDefault="008D7F38" w:rsidP="0017089D">
            <w:pPr>
              <w:rPr>
                <w:rFonts w:asciiTheme="minorHAnsi" w:hAnsiTheme="minorHAnsi"/>
                <w:b/>
                <w:sz w:val="22"/>
              </w:rPr>
            </w:pPr>
          </w:p>
          <w:p w14:paraId="6C9D5F98" w14:textId="77777777" w:rsidR="008D7F38" w:rsidRPr="00863640" w:rsidRDefault="008D7F38" w:rsidP="0017089D">
            <w:pPr>
              <w:rPr>
                <w:rFonts w:asciiTheme="minorHAnsi" w:hAnsiTheme="minorHAnsi"/>
                <w:b/>
                <w:sz w:val="22"/>
              </w:rPr>
            </w:pPr>
          </w:p>
        </w:tc>
        <w:tc>
          <w:tcPr>
            <w:tcW w:w="7654" w:type="dxa"/>
            <w:shd w:val="clear" w:color="auto" w:fill="auto"/>
          </w:tcPr>
          <w:p w14:paraId="1EDD1D09" w14:textId="378D7CCF" w:rsidR="000E0B74" w:rsidRPr="00BB4E3C" w:rsidRDefault="00A170FB" w:rsidP="00A170FB">
            <w:pPr>
              <w:pStyle w:val="SingleParagraph"/>
              <w:jc w:val="left"/>
              <w:rPr>
                <w:rFonts w:asciiTheme="minorHAnsi" w:hAnsiTheme="minorHAnsi"/>
                <w:sz w:val="22"/>
              </w:rPr>
            </w:pPr>
            <w:r w:rsidRPr="00BB4E3C">
              <w:rPr>
                <w:rFonts w:asciiTheme="minorHAnsi" w:hAnsiTheme="minorHAnsi"/>
                <w:sz w:val="22"/>
              </w:rPr>
              <w:t>Division Head</w:t>
            </w:r>
            <w:r w:rsidRPr="00BB4E3C">
              <w:rPr>
                <w:rFonts w:asciiTheme="minorHAnsi" w:hAnsiTheme="minorHAnsi"/>
                <w:sz w:val="22"/>
              </w:rPr>
              <w:br/>
              <w:t>Retirement Income Policy Division</w:t>
            </w:r>
          </w:p>
          <w:p w14:paraId="23AF9E97" w14:textId="77777777" w:rsidR="000E0B74" w:rsidRPr="00BB4E3C" w:rsidRDefault="000E0B74" w:rsidP="0017089D">
            <w:pPr>
              <w:pStyle w:val="SingleParagraph"/>
              <w:rPr>
                <w:rFonts w:asciiTheme="minorHAnsi" w:hAnsiTheme="minorHAnsi"/>
                <w:sz w:val="22"/>
              </w:rPr>
            </w:pPr>
            <w:r w:rsidRPr="00BB4E3C">
              <w:rPr>
                <w:rFonts w:asciiTheme="minorHAnsi" w:hAnsiTheme="minorHAnsi"/>
                <w:sz w:val="22"/>
              </w:rPr>
              <w:t>The Treasury</w:t>
            </w:r>
          </w:p>
          <w:p w14:paraId="2363C2CD" w14:textId="77777777" w:rsidR="000E0B74" w:rsidRPr="00BB4E3C" w:rsidRDefault="000E0B74" w:rsidP="0017089D">
            <w:pPr>
              <w:pStyle w:val="SingleParagraph"/>
              <w:rPr>
                <w:rFonts w:asciiTheme="minorHAnsi" w:hAnsiTheme="minorHAnsi"/>
                <w:sz w:val="22"/>
              </w:rPr>
            </w:pPr>
            <w:r w:rsidRPr="00BB4E3C">
              <w:rPr>
                <w:rFonts w:asciiTheme="minorHAnsi" w:hAnsiTheme="minorHAnsi"/>
                <w:sz w:val="22"/>
              </w:rPr>
              <w:t>Langton Crescent</w:t>
            </w:r>
          </w:p>
          <w:p w14:paraId="4534F1F0" w14:textId="77777777" w:rsidR="000E0B74" w:rsidRPr="00BB4E3C" w:rsidRDefault="000E0B74" w:rsidP="0017089D">
            <w:pPr>
              <w:pStyle w:val="SingleParagraph"/>
              <w:rPr>
                <w:rFonts w:asciiTheme="minorHAnsi" w:hAnsiTheme="minorHAnsi"/>
                <w:sz w:val="22"/>
              </w:rPr>
            </w:pPr>
            <w:r w:rsidRPr="00BB4E3C">
              <w:rPr>
                <w:rFonts w:asciiTheme="minorHAnsi" w:hAnsiTheme="minorHAnsi"/>
                <w:sz w:val="22"/>
              </w:rPr>
              <w:t>PARKES ACT 2600</w:t>
            </w:r>
          </w:p>
        </w:tc>
      </w:tr>
      <w:tr w:rsidR="000E0B74" w:rsidRPr="00B85F47" w14:paraId="0D6F6A21" w14:textId="77777777" w:rsidTr="00B85F47">
        <w:tc>
          <w:tcPr>
            <w:tcW w:w="1526" w:type="dxa"/>
            <w:shd w:val="clear" w:color="auto" w:fill="auto"/>
          </w:tcPr>
          <w:p w14:paraId="7570AE2C" w14:textId="77777777" w:rsidR="000E0B74" w:rsidRPr="00863640" w:rsidRDefault="000E0B74" w:rsidP="0017089D">
            <w:pPr>
              <w:rPr>
                <w:rFonts w:asciiTheme="minorHAnsi" w:hAnsiTheme="minorHAnsi"/>
                <w:b/>
                <w:sz w:val="22"/>
              </w:rPr>
            </w:pPr>
            <w:r w:rsidRPr="00863640">
              <w:rPr>
                <w:rFonts w:asciiTheme="minorHAnsi" w:hAnsiTheme="minorHAnsi"/>
                <w:b/>
                <w:sz w:val="22"/>
              </w:rPr>
              <w:t>Enquiries</w:t>
            </w:r>
          </w:p>
        </w:tc>
        <w:tc>
          <w:tcPr>
            <w:tcW w:w="7654" w:type="dxa"/>
            <w:shd w:val="clear" w:color="auto" w:fill="auto"/>
          </w:tcPr>
          <w:p w14:paraId="7ED6B1C9" w14:textId="56CD97FE" w:rsidR="000E0B74" w:rsidRPr="00BB4E3C" w:rsidRDefault="000E0B74" w:rsidP="007143A6">
            <w:pPr>
              <w:rPr>
                <w:rFonts w:asciiTheme="minorHAnsi" w:hAnsiTheme="minorHAnsi"/>
                <w:sz w:val="22"/>
              </w:rPr>
            </w:pPr>
            <w:r w:rsidRPr="00BB4E3C">
              <w:rPr>
                <w:rFonts w:asciiTheme="minorHAnsi" w:hAnsiTheme="minorHAnsi"/>
                <w:sz w:val="22"/>
              </w:rPr>
              <w:t xml:space="preserve">Enquiries can be initially directed to </w:t>
            </w:r>
            <w:r w:rsidR="007143A6">
              <w:rPr>
                <w:rFonts w:asciiTheme="minorHAnsi" w:hAnsiTheme="minorHAnsi"/>
                <w:sz w:val="22"/>
              </w:rPr>
              <w:t>+61 2 6263 2111</w:t>
            </w:r>
          </w:p>
        </w:tc>
      </w:tr>
      <w:bookmarkEnd w:id="9"/>
    </w:tbl>
    <w:p w14:paraId="322B5A2E" w14:textId="77777777" w:rsidR="00E10D39" w:rsidRDefault="00E10D39" w:rsidP="0007102C"/>
    <w:p w14:paraId="69A79248" w14:textId="77777777" w:rsidR="008D7F38" w:rsidRPr="008D7F38" w:rsidRDefault="008D7F38" w:rsidP="008D7F38"/>
    <w:p w14:paraId="5CA3CB97" w14:textId="77777777" w:rsidR="00E10D39" w:rsidRDefault="00E10D39">
      <w:pPr>
        <w:spacing w:after="160" w:line="259" w:lineRule="auto"/>
        <w:rPr>
          <w:rFonts w:cs="Arial"/>
          <w:color w:val="004A7F"/>
          <w:kern w:val="32"/>
          <w:sz w:val="48"/>
          <w:szCs w:val="36"/>
        </w:rPr>
      </w:pPr>
      <w:r>
        <w:br w:type="page"/>
      </w:r>
    </w:p>
    <w:p w14:paraId="1FA1A1D5" w14:textId="05F4F87C" w:rsidR="003322D2" w:rsidRDefault="003322D2" w:rsidP="003322D2">
      <w:pPr>
        <w:pStyle w:val="Heading1"/>
        <w:spacing w:after="480"/>
      </w:pPr>
      <w:bookmarkStart w:id="16" w:name="_Toc512701701"/>
      <w:bookmarkStart w:id="17" w:name="_Toc512701831"/>
      <w:bookmarkStart w:id="18" w:name="_Toc513128317"/>
      <w:bookmarkStart w:id="19" w:name="_Toc513388738"/>
      <w:bookmarkStart w:id="20" w:name="_Toc2261840"/>
      <w:bookmarkStart w:id="21" w:name="_Toc2690112"/>
      <w:bookmarkStart w:id="22" w:name="_Toc2944183"/>
      <w:bookmarkStart w:id="23" w:name="_Toc2959800"/>
      <w:bookmarkStart w:id="24" w:name="_Toc4503515"/>
      <w:bookmarkEnd w:id="16"/>
      <w:bookmarkEnd w:id="17"/>
      <w:bookmarkEnd w:id="18"/>
      <w:bookmarkEnd w:id="19"/>
      <w:r>
        <w:lastRenderedPageBreak/>
        <w:t>Minister’s foreword</w:t>
      </w:r>
      <w:bookmarkEnd w:id="20"/>
      <w:bookmarkEnd w:id="21"/>
      <w:bookmarkEnd w:id="22"/>
      <w:bookmarkEnd w:id="23"/>
      <w:bookmarkEnd w:id="24"/>
    </w:p>
    <w:p w14:paraId="16CA235A" w14:textId="7C6FFFA1" w:rsidR="003322D2" w:rsidRPr="00AE6C02" w:rsidRDefault="006638E0" w:rsidP="0022164F">
      <w:r>
        <w:rPr>
          <w:noProof/>
        </w:rPr>
        <w:drawing>
          <wp:anchor distT="0" distB="0" distL="114300" distR="114300" simplePos="0" relativeHeight="251658240" behindDoc="0" locked="0" layoutInCell="1" allowOverlap="1" wp14:anchorId="3AF25202" wp14:editId="375CC078">
            <wp:simplePos x="0" y="0"/>
            <wp:positionH relativeFrom="column">
              <wp:posOffset>13970</wp:posOffset>
            </wp:positionH>
            <wp:positionV relativeFrom="paragraph">
              <wp:posOffset>60960</wp:posOffset>
            </wp:positionV>
            <wp:extent cx="1906270" cy="20999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Headshot.png"/>
                    <pic:cNvPicPr/>
                  </pic:nvPicPr>
                  <pic:blipFill rotWithShape="1">
                    <a:blip r:embed="rId32" cstate="print">
                      <a:extLst>
                        <a:ext uri="{28A0092B-C50C-407E-A947-70E740481C1C}">
                          <a14:useLocalDpi xmlns:a14="http://schemas.microsoft.com/office/drawing/2010/main" val="0"/>
                        </a:ext>
                      </a:extLst>
                    </a:blip>
                    <a:srcRect l="5986" r="9907"/>
                    <a:stretch/>
                  </pic:blipFill>
                  <pic:spPr bwMode="auto">
                    <a:xfrm>
                      <a:off x="0" y="0"/>
                      <a:ext cx="1906270" cy="209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22D2" w:rsidRPr="00AE6C02">
        <w:t>Our superannuation system provides a vehicle for over 1</w:t>
      </w:r>
      <w:r w:rsidR="00B17715">
        <w:t>5</w:t>
      </w:r>
      <w:r w:rsidR="003322D2" w:rsidRPr="00AE6C02">
        <w:t> million Australians to save for their retirement. It also provides insurance cover to around 12 million individuals, most commonly on a default basis.</w:t>
      </w:r>
    </w:p>
    <w:p w14:paraId="13FB77E4" w14:textId="027E8840" w:rsidR="003322D2" w:rsidRPr="00AE6C02" w:rsidRDefault="003322D2" w:rsidP="0022164F">
      <w:r w:rsidRPr="00AE6C02">
        <w:t xml:space="preserve">Undoubtedly the insurance settings within superannuation </w:t>
      </w:r>
      <w:r w:rsidR="00547976">
        <w:t>have</w:t>
      </w:r>
      <w:r w:rsidRPr="00AE6C02">
        <w:t xml:space="preserve"> been an important contributor to increased levels of life insurance cover </w:t>
      </w:r>
      <w:r w:rsidR="00547976">
        <w:t>for Australians</w:t>
      </w:r>
      <w:r w:rsidRPr="00AE6C02">
        <w:t xml:space="preserve"> – with over 70 per cent of total life insurance polici</w:t>
      </w:r>
      <w:r w:rsidR="0022164F">
        <w:t>es held through superannuation.</w:t>
      </w:r>
    </w:p>
    <w:p w14:paraId="31333328" w14:textId="2F1E4EE5" w:rsidR="003322D2" w:rsidRPr="00AE6C02" w:rsidRDefault="003322D2" w:rsidP="0022164F">
      <w:r w:rsidRPr="00AE6C02">
        <w:t>However, it is im</w:t>
      </w:r>
      <w:r w:rsidR="00AB7095">
        <w:t xml:space="preserve">portant to ensure that </w:t>
      </w:r>
      <w:proofErr w:type="spellStart"/>
      <w:r w:rsidR="00AB7095">
        <w:t>MySuper</w:t>
      </w:r>
      <w:proofErr w:type="spellEnd"/>
      <w:r w:rsidR="00AB7095">
        <w:t xml:space="preserve"> </w:t>
      </w:r>
      <w:r w:rsidR="00CB1236">
        <w:t xml:space="preserve">(default) </w:t>
      </w:r>
      <w:r w:rsidR="00AB7095">
        <w:t xml:space="preserve">members are provided with </w:t>
      </w:r>
      <w:r w:rsidR="00AE6C02" w:rsidRPr="00AE6C02">
        <w:t xml:space="preserve">insurance </w:t>
      </w:r>
      <w:r w:rsidR="00AB7095">
        <w:t xml:space="preserve">that </w:t>
      </w:r>
      <w:r w:rsidR="00CB1236">
        <w:t xml:space="preserve">is easy to understand and </w:t>
      </w:r>
      <w:r w:rsidR="00A76100">
        <w:t>meets the needs of members</w:t>
      </w:r>
      <w:r w:rsidR="00AE6C02" w:rsidRPr="00AE6C02">
        <w:t xml:space="preserve">. </w:t>
      </w:r>
      <w:r w:rsidR="00AB7095">
        <w:t xml:space="preserve">As </w:t>
      </w:r>
      <w:r w:rsidR="00AB7095" w:rsidRPr="00AE6C02">
        <w:t>Commissioner Hayne</w:t>
      </w:r>
      <w:r w:rsidR="007143A6">
        <w:t>,</w:t>
      </w:r>
      <w:r w:rsidR="00AB7095">
        <w:t xml:space="preserve"> in the Final Report of the </w:t>
      </w:r>
      <w:r w:rsidR="00AB7095" w:rsidRPr="00AE6C02">
        <w:t>Royal Commission into Misconduct in the Banking, Superannuation and Financial Services</w:t>
      </w:r>
      <w:r w:rsidR="00E90202">
        <w:t xml:space="preserve"> </w:t>
      </w:r>
      <w:proofErr w:type="gramStart"/>
      <w:r w:rsidR="00E90202">
        <w:t>Industry</w:t>
      </w:r>
      <w:r w:rsidR="007143A6">
        <w:t>,</w:t>
      </w:r>
      <w:proofErr w:type="gramEnd"/>
      <w:r w:rsidR="00CB1236">
        <w:t xml:space="preserve"> noted</w:t>
      </w:r>
      <w:r w:rsidR="00AB7095" w:rsidRPr="00AE6C02">
        <w:t xml:space="preserve"> “the value of a policy turns so heavily on key d</w:t>
      </w:r>
      <w:r w:rsidR="00AB7095">
        <w:t>efinitions, terms and exclusions</w:t>
      </w:r>
      <w:r w:rsidR="004D3248">
        <w:t>.</w:t>
      </w:r>
      <w:r w:rsidR="00AB7095" w:rsidRPr="00AE6C02">
        <w:t>”</w:t>
      </w:r>
    </w:p>
    <w:p w14:paraId="195DEEFB" w14:textId="006D3596" w:rsidR="00AB7095" w:rsidRDefault="00CB1236" w:rsidP="0022164F">
      <w:r>
        <w:t xml:space="preserve">To ensure </w:t>
      </w:r>
      <w:proofErr w:type="spellStart"/>
      <w:r w:rsidR="00AE6C02" w:rsidRPr="00AE6C02">
        <w:t>MySuper</w:t>
      </w:r>
      <w:proofErr w:type="spellEnd"/>
      <w:r w:rsidR="00AE6C02" w:rsidRPr="00AE6C02">
        <w:t xml:space="preserve"> members are getting value from their insurance policies, the Government is considering the</w:t>
      </w:r>
      <w:r w:rsidR="00AB7095">
        <w:t xml:space="preserve"> merits of </w:t>
      </w:r>
      <w:r w:rsidR="007143A6">
        <w:t xml:space="preserve">legislating universal key </w:t>
      </w:r>
      <w:r w:rsidR="00AB7095">
        <w:t>terms</w:t>
      </w:r>
      <w:r w:rsidR="007143A6">
        <w:t>, definitions and exclusions</w:t>
      </w:r>
      <w:r w:rsidR="00AE6C02" w:rsidRPr="00AE6C02">
        <w:t xml:space="preserve"> </w:t>
      </w:r>
      <w:r w:rsidR="007143A6">
        <w:t xml:space="preserve">for default insurance cover for </w:t>
      </w:r>
      <w:r w:rsidR="00AE6C02" w:rsidRPr="00AE6C02">
        <w:t xml:space="preserve">all </w:t>
      </w:r>
      <w:proofErr w:type="spellStart"/>
      <w:r w:rsidR="00AE6C02" w:rsidRPr="00AE6C02">
        <w:t>MySuper</w:t>
      </w:r>
      <w:proofErr w:type="spellEnd"/>
      <w:r w:rsidR="00AE6C02" w:rsidRPr="00AE6C02">
        <w:t xml:space="preserve"> products.</w:t>
      </w:r>
      <w:r w:rsidR="003C068A">
        <w:t xml:space="preserve"> Assessing the</w:t>
      </w:r>
      <w:r w:rsidR="00AB7095">
        <w:t xml:space="preserve"> merits </w:t>
      </w:r>
      <w:r w:rsidR="003C068A">
        <w:t>of standardis</w:t>
      </w:r>
      <w:r w:rsidR="007143A6">
        <w:t>ation</w:t>
      </w:r>
      <w:r w:rsidR="003C068A">
        <w:t xml:space="preserve"> </w:t>
      </w:r>
      <w:r w:rsidR="00AB7095">
        <w:t xml:space="preserve">requires </w:t>
      </w:r>
      <w:r w:rsidR="004D3248">
        <w:t>an</w:t>
      </w:r>
      <w:r w:rsidR="00AB7095">
        <w:t xml:space="preserve"> assessment of not only the benefits to consumers, but also the costs, including any impacts on the costs of premiums.</w:t>
      </w:r>
    </w:p>
    <w:p w14:paraId="75FAF436" w14:textId="58C4BE41" w:rsidR="00EB38EC" w:rsidRPr="00AE6C02" w:rsidRDefault="00EB38EC" w:rsidP="0022164F">
      <w:r>
        <w:t>I note that the Government has already taken action to ensure that superannuation members are not paying for insurance premiums that are unnecessary or that inappropriately erode their retirement income. The Government is committed to ensuring that the settings for insurance within superannuation are appropriate</w:t>
      </w:r>
      <w:r w:rsidR="007143A6">
        <w:t xml:space="preserve"> for consumers</w:t>
      </w:r>
      <w:r>
        <w:t>.</w:t>
      </w:r>
    </w:p>
    <w:p w14:paraId="6448B7A9" w14:textId="013EBBDE" w:rsidR="00AE6C02" w:rsidRPr="00AE6C02" w:rsidRDefault="000B0924" w:rsidP="0022164F">
      <w:r w:rsidRPr="00AE6C02">
        <w:t>This consultation paper is another step forward as part of the Government’s continued action on all 76 recommendations contained in the Final Report of the Royal Commission into Misconduct in the Banking, Supera</w:t>
      </w:r>
      <w:r w:rsidR="00AE6C02" w:rsidRPr="00AE6C02">
        <w:t>nnuation and Financial Services</w:t>
      </w:r>
      <w:r w:rsidR="007143A6">
        <w:t xml:space="preserve"> Industry</w:t>
      </w:r>
      <w:r w:rsidR="00AE6C02" w:rsidRPr="00AE6C02">
        <w:t>.</w:t>
      </w:r>
    </w:p>
    <w:p w14:paraId="754D2CE5" w14:textId="2FC90091" w:rsidR="00AE6C02" w:rsidRPr="0022164F" w:rsidRDefault="003322D2" w:rsidP="0022164F">
      <w:r w:rsidRPr="00AE6C02">
        <w:t xml:space="preserve">The Government seeks your views on the </w:t>
      </w:r>
      <w:r w:rsidR="00F36C21" w:rsidRPr="00AE6C02">
        <w:t xml:space="preserve">issues raised </w:t>
      </w:r>
      <w:r w:rsidR="00CB1236">
        <w:t xml:space="preserve">in this paper. </w:t>
      </w:r>
      <w:r w:rsidR="004D3248">
        <w:t>I invite</w:t>
      </w:r>
      <w:r w:rsidR="00CB1236">
        <w:t xml:space="preserve"> all interested parties to make a submission by </w:t>
      </w:r>
      <w:r w:rsidR="00CB1236" w:rsidRPr="005E3EA8">
        <w:t>19 April 2019.</w:t>
      </w:r>
    </w:p>
    <w:p w14:paraId="4B3DA29E" w14:textId="53DC5B6C" w:rsidR="0022164F" w:rsidRDefault="0022164F" w:rsidP="0022164F">
      <w:pPr>
        <w:pStyle w:val="TableGraphic"/>
        <w:spacing w:before="240" w:after="120"/>
        <w:rPr>
          <w:noProof/>
        </w:rPr>
      </w:pPr>
      <w:r>
        <w:rPr>
          <w:noProof/>
        </w:rPr>
        <w:drawing>
          <wp:inline distT="0" distB="0" distL="0" distR="0" wp14:anchorId="47AC25EF" wp14:editId="1B2C8C4A">
            <wp:extent cx="1850745" cy="72229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h Frydenberg.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56677" cy="724613"/>
                    </a:xfrm>
                    <a:prstGeom prst="rect">
                      <a:avLst/>
                    </a:prstGeom>
                  </pic:spPr>
                </pic:pic>
              </a:graphicData>
            </a:graphic>
          </wp:inline>
        </w:drawing>
      </w:r>
    </w:p>
    <w:p w14:paraId="0FD745BC" w14:textId="595FF64F" w:rsidR="003322D2" w:rsidRDefault="003322D2" w:rsidP="0022164F">
      <w:pPr>
        <w:jc w:val="left"/>
      </w:pPr>
      <w:r w:rsidRPr="00AE6C02">
        <w:t xml:space="preserve">The Hon Josh </w:t>
      </w:r>
      <w:proofErr w:type="spellStart"/>
      <w:r w:rsidRPr="00AE6C02">
        <w:t>Frydenberg</w:t>
      </w:r>
      <w:proofErr w:type="spellEnd"/>
      <w:r w:rsidRPr="00AE6C02">
        <w:t xml:space="preserve"> MP</w:t>
      </w:r>
      <w:r w:rsidR="0022164F">
        <w:br/>
      </w:r>
      <w:r w:rsidRPr="00AE6C02">
        <w:t>Treasurer</w:t>
      </w:r>
    </w:p>
    <w:p w14:paraId="5179222B" w14:textId="77777777" w:rsidR="0022164F" w:rsidRPr="0022164F" w:rsidRDefault="0022164F" w:rsidP="0022164F"/>
    <w:p w14:paraId="67542C25" w14:textId="77777777" w:rsidR="0022164F" w:rsidRDefault="0022164F" w:rsidP="0022164F"/>
    <w:p w14:paraId="232E779C" w14:textId="77777777" w:rsidR="0022164F" w:rsidRDefault="0022164F" w:rsidP="0022164F"/>
    <w:p w14:paraId="0DC059D3" w14:textId="77777777" w:rsidR="0022164F" w:rsidRDefault="0022164F" w:rsidP="0022164F">
      <w:pPr>
        <w:sectPr w:rsidR="0022164F" w:rsidSect="0022164F">
          <w:pgSz w:w="11906" w:h="16838" w:code="9"/>
          <w:pgMar w:top="1418" w:right="1418" w:bottom="1418" w:left="1418" w:header="709" w:footer="709" w:gutter="0"/>
          <w:pgNumType w:fmt="lowerRoman"/>
          <w:cols w:space="708"/>
          <w:docGrid w:linePitch="360"/>
        </w:sectPr>
      </w:pPr>
    </w:p>
    <w:p w14:paraId="12C64E3A" w14:textId="2187039F" w:rsidR="000E0B74" w:rsidRDefault="00442CA7" w:rsidP="000E0B74">
      <w:pPr>
        <w:pStyle w:val="Heading1"/>
      </w:pPr>
      <w:bookmarkStart w:id="25" w:name="_Toc2261841"/>
      <w:bookmarkStart w:id="26" w:name="_Toc2690113"/>
      <w:bookmarkStart w:id="27" w:name="_Toc2944184"/>
      <w:bookmarkStart w:id="28" w:name="_Toc2959801"/>
      <w:bookmarkStart w:id="29" w:name="_Toc4503516"/>
      <w:r>
        <w:lastRenderedPageBreak/>
        <w:t>Legislating universal definitions, terms and exclusions in MySuper products</w:t>
      </w:r>
      <w:bookmarkEnd w:id="25"/>
      <w:bookmarkEnd w:id="26"/>
      <w:bookmarkEnd w:id="27"/>
      <w:bookmarkEnd w:id="28"/>
      <w:bookmarkEnd w:id="29"/>
    </w:p>
    <w:p w14:paraId="7CDC90FF" w14:textId="16364192" w:rsidR="00DE7CB5" w:rsidRDefault="00A76100" w:rsidP="00DE7CB5">
      <w:pPr>
        <w:pStyle w:val="Heading2"/>
      </w:pPr>
      <w:bookmarkStart w:id="30" w:name="_Toc4503517"/>
      <w:bookmarkStart w:id="31" w:name="_Toc306887371"/>
      <w:bookmarkStart w:id="32" w:name="_Toc432064635"/>
      <w:r>
        <w:t>Introduction</w:t>
      </w:r>
      <w:bookmarkEnd w:id="30"/>
    </w:p>
    <w:p w14:paraId="42983F12" w14:textId="15D62293" w:rsidR="00484A4E" w:rsidRDefault="00484A4E" w:rsidP="0022164F">
      <w:r>
        <w:t>In the Final Report of the</w:t>
      </w:r>
      <w:r w:rsidR="00845A4A" w:rsidRPr="00F52800">
        <w:t xml:space="preserve"> Royal Commission into Misconduct in the Banking, Superannuation </w:t>
      </w:r>
      <w:r>
        <w:t xml:space="preserve">and Financial Services Industry, Commissioner Hayne found the value of an insurance policy </w:t>
      </w:r>
      <w:r w:rsidR="007C5200">
        <w:t xml:space="preserve">relies </w:t>
      </w:r>
      <w:r>
        <w:t>heavily on key definitions, terms and exclusions. He noted that any changes to these terms will affect when a person can claim on a policy and will almost certainly affect the cost of insurance premiums</w:t>
      </w:r>
      <w:r w:rsidR="007C5200">
        <w:t xml:space="preserve"> and how much superannuation the member will have at retirement</w:t>
      </w:r>
      <w:r>
        <w:t>.</w:t>
      </w:r>
    </w:p>
    <w:p w14:paraId="3FAA6B91" w14:textId="5794DFED" w:rsidR="007C5200" w:rsidRDefault="007C5200" w:rsidP="0022164F">
      <w:r>
        <w:t>Commissioner Hayne also noted that “(</w:t>
      </w:r>
      <w:proofErr w:type="spellStart"/>
      <w:r>
        <w:t>i</w:t>
      </w:r>
      <w:proofErr w:type="spellEnd"/>
      <w:proofErr w:type="gramStart"/>
      <w:r>
        <w:t>)</w:t>
      </w:r>
      <w:proofErr w:type="spellStart"/>
      <w:r>
        <w:t>nsurance</w:t>
      </w:r>
      <w:proofErr w:type="spellEnd"/>
      <w:proofErr w:type="gramEnd"/>
      <w:r>
        <w:t xml:space="preserve"> contracts can often be difficult for the average consumer to navigate and understand. And subtle differences in definitions, terms and exclusions from one policy to another can make the task of comparing policies particularly challenging.”</w:t>
      </w:r>
      <w:r w:rsidRPr="0022164F">
        <w:rPr>
          <w:rStyle w:val="FootnoteReference"/>
        </w:rPr>
        <w:footnoteReference w:id="2"/>
      </w:r>
    </w:p>
    <w:p w14:paraId="016B6BD4" w14:textId="5D15EFA4" w:rsidR="00845A4A" w:rsidRPr="00F52800" w:rsidRDefault="00484A4E" w:rsidP="0022164F">
      <w:r>
        <w:t xml:space="preserve">Commissioner Hayne </w:t>
      </w:r>
      <w:r w:rsidR="007C5200">
        <w:t xml:space="preserve">suggested “…there is merit in considering the extent to which insurance within </w:t>
      </w:r>
      <w:proofErr w:type="spellStart"/>
      <w:r w:rsidR="007C5200">
        <w:t>MySuper</w:t>
      </w:r>
      <w:proofErr w:type="spellEnd"/>
      <w:r w:rsidR="007C5200">
        <w:t xml:space="preserve"> funds can be standardised, or at least standardised in key respects.”</w:t>
      </w:r>
      <w:r w:rsidR="007C5200" w:rsidRPr="0022164F">
        <w:rPr>
          <w:rStyle w:val="FootnoteReference"/>
        </w:rPr>
        <w:footnoteReference w:id="3"/>
      </w:r>
      <w:r w:rsidR="007C5200">
        <w:t xml:space="preserve"> Accordingly, he </w:t>
      </w:r>
      <w:r>
        <w:t xml:space="preserve">recommended </w:t>
      </w:r>
      <w:r w:rsidR="007C5200">
        <w:t xml:space="preserve">that </w:t>
      </w:r>
      <w:r>
        <w:t>Treasury, in consultation with industry, determine the practicability, and likely pricing effects, of legislating universal key definition</w:t>
      </w:r>
      <w:r w:rsidR="00740BEC">
        <w:t>s</w:t>
      </w:r>
      <w:r>
        <w:t xml:space="preserve">, terms and exclusions for default </w:t>
      </w:r>
      <w:proofErr w:type="spellStart"/>
      <w:r>
        <w:t>MySuper</w:t>
      </w:r>
      <w:proofErr w:type="spellEnd"/>
      <w:r>
        <w:t xml:space="preserve"> group life policies.</w:t>
      </w:r>
      <w:r w:rsidR="00514768">
        <w:t xml:space="preserve"> This recommendation builds on similar findings of a number of other reviews (see</w:t>
      </w:r>
      <w:r w:rsidR="0022164F">
        <w:t> </w:t>
      </w:r>
      <w:r w:rsidR="00514768" w:rsidRPr="008741FA">
        <w:rPr>
          <w:b/>
        </w:rPr>
        <w:t>Related inquiries</w:t>
      </w:r>
      <w:r w:rsidR="00BE71B4" w:rsidRPr="008741FA">
        <w:t>,</w:t>
      </w:r>
      <w:r w:rsidR="00514768" w:rsidRPr="008741FA">
        <w:t xml:space="preserve"> below)</w:t>
      </w:r>
      <w:r w:rsidR="00514768">
        <w:t>.</w:t>
      </w:r>
    </w:p>
    <w:p w14:paraId="0C68578B" w14:textId="3D5759F0" w:rsidR="00C84E78" w:rsidRDefault="00484A4E" w:rsidP="0022164F">
      <w:r>
        <w:t xml:space="preserve">Commissioner Hayne also recommended </w:t>
      </w:r>
      <w:r w:rsidR="007C5200">
        <w:t xml:space="preserve">this review should </w:t>
      </w:r>
      <w:r>
        <w:t>consider</w:t>
      </w:r>
      <w:r w:rsidR="008D5AC9">
        <w:t xml:space="preserve"> the merits of prescribing</w:t>
      </w:r>
      <w:r>
        <w:t>:</w:t>
      </w:r>
    </w:p>
    <w:p w14:paraId="55B677AF" w14:textId="116CB77F" w:rsidR="00484A4E" w:rsidRPr="0089399E" w:rsidRDefault="00484A4E" w:rsidP="0089399E">
      <w:pPr>
        <w:pStyle w:val="Bullet"/>
      </w:pPr>
      <w:r w:rsidRPr="0089399E">
        <w:t>higher minimum coverage for life insurance than is currently provided for by the Superannuation Guarantee (Administration) Regulations</w:t>
      </w:r>
      <w:r w:rsidR="009B538A" w:rsidRPr="0089399E">
        <w:t xml:space="preserve"> 2018</w:t>
      </w:r>
      <w:r w:rsidRPr="0089399E">
        <w:t>;</w:t>
      </w:r>
    </w:p>
    <w:p w14:paraId="1016CBFE" w14:textId="3BAD77C3" w:rsidR="00484A4E" w:rsidRPr="0089399E" w:rsidRDefault="00484A4E" w:rsidP="0089399E">
      <w:pPr>
        <w:pStyle w:val="Bullet"/>
      </w:pPr>
      <w:r w:rsidRPr="0089399E">
        <w:t>minimum coverage for permanent incapacity insurance;</w:t>
      </w:r>
    </w:p>
    <w:p w14:paraId="732530D4" w14:textId="47D01693" w:rsidR="00484A4E" w:rsidRPr="0089399E" w:rsidRDefault="00484A4E" w:rsidP="0089399E">
      <w:pPr>
        <w:pStyle w:val="Bullet"/>
      </w:pPr>
      <w:r w:rsidRPr="0089399E">
        <w:t>maximum coverage for life and/or permanent incapacity insurance; and</w:t>
      </w:r>
    </w:p>
    <w:p w14:paraId="30A3ADA8" w14:textId="064C4517" w:rsidR="00514768" w:rsidRPr="0089399E" w:rsidRDefault="00484A4E" w:rsidP="0089399E">
      <w:pPr>
        <w:pStyle w:val="Bullet"/>
      </w:pPr>
      <w:proofErr w:type="gramStart"/>
      <w:r w:rsidRPr="0089399E">
        <w:t>a</w:t>
      </w:r>
      <w:proofErr w:type="gramEnd"/>
      <w:r w:rsidRPr="0089399E">
        <w:t xml:space="preserve"> fixed level of coverage for life and/or permanent incapacity insurance so as to set a standard amount of default insurance across all </w:t>
      </w:r>
      <w:proofErr w:type="spellStart"/>
      <w:r w:rsidRPr="0089399E">
        <w:t>MySuper</w:t>
      </w:r>
      <w:proofErr w:type="spellEnd"/>
      <w:r w:rsidRPr="0089399E">
        <w:t xml:space="preserve"> products.</w:t>
      </w:r>
    </w:p>
    <w:p w14:paraId="7EC0C76F" w14:textId="150BDB4B" w:rsidR="00484A4E" w:rsidRPr="00484A4E" w:rsidRDefault="00484A4E" w:rsidP="0022164F">
      <w:r>
        <w:t xml:space="preserve">This paper </w:t>
      </w:r>
      <w:r w:rsidR="009B538A">
        <w:t>seeks stakeholder views on the issue</w:t>
      </w:r>
      <w:r w:rsidR="00AF39C7">
        <w:t>s</w:t>
      </w:r>
      <w:r w:rsidR="009B538A">
        <w:t xml:space="preserve"> raised by Commissioner</w:t>
      </w:r>
      <w:r w:rsidR="004A321D">
        <w:t xml:space="preserve"> </w:t>
      </w:r>
      <w:r w:rsidR="009B538A">
        <w:t>Hayne.</w:t>
      </w:r>
      <w:r w:rsidR="00BF0AF1">
        <w:t xml:space="preserve"> </w:t>
      </w:r>
      <w:r w:rsidR="004D6DC3">
        <w:t>Although this paper asks specific</w:t>
      </w:r>
      <w:r w:rsidR="00C42EB4">
        <w:t xml:space="preserve"> questions, stakeholders should not restrict themselves to commenting on the specific discussion q</w:t>
      </w:r>
      <w:r w:rsidR="00A61014">
        <w:t>uestions set out in this paper.</w:t>
      </w:r>
    </w:p>
    <w:p w14:paraId="22800C52" w14:textId="77777777" w:rsidR="0089399E" w:rsidRDefault="0089399E">
      <w:pPr>
        <w:spacing w:after="160" w:line="259" w:lineRule="auto"/>
        <w:jc w:val="left"/>
        <w:rPr>
          <w:rFonts w:cs="Arial"/>
          <w:b/>
          <w:iCs/>
          <w:color w:val="004A7F"/>
          <w:kern w:val="32"/>
          <w:sz w:val="36"/>
          <w:szCs w:val="28"/>
        </w:rPr>
      </w:pPr>
      <w:bookmarkStart w:id="33" w:name="_Toc2261843"/>
      <w:bookmarkStart w:id="34" w:name="_Toc2690115"/>
      <w:bookmarkStart w:id="35" w:name="_Toc2944186"/>
      <w:bookmarkStart w:id="36" w:name="_Toc2959803"/>
      <w:bookmarkEnd w:id="31"/>
      <w:bookmarkEnd w:id="32"/>
      <w:r>
        <w:br w:type="page"/>
      </w:r>
    </w:p>
    <w:p w14:paraId="5CB3CFE6" w14:textId="6AFA619F" w:rsidR="000E0B74" w:rsidRDefault="00B7152E" w:rsidP="00DE7CB5">
      <w:pPr>
        <w:pStyle w:val="Heading2"/>
      </w:pPr>
      <w:bookmarkStart w:id="37" w:name="_Toc4503518"/>
      <w:r>
        <w:lastRenderedPageBreak/>
        <w:t>Current settings for</w:t>
      </w:r>
      <w:r w:rsidR="00DE7CB5">
        <w:t xml:space="preserve"> insurance in superannuation</w:t>
      </w:r>
      <w:bookmarkEnd w:id="33"/>
      <w:bookmarkEnd w:id="34"/>
      <w:bookmarkEnd w:id="35"/>
      <w:bookmarkEnd w:id="36"/>
      <w:bookmarkEnd w:id="37"/>
    </w:p>
    <w:p w14:paraId="3BC6FDE3" w14:textId="38C5860D" w:rsidR="009B538A" w:rsidRPr="009B538A" w:rsidRDefault="004D6DC3" w:rsidP="0089399E">
      <w:r>
        <w:t>Super</w:t>
      </w:r>
      <w:r w:rsidR="007C5200">
        <w:t>annuation</w:t>
      </w:r>
      <w:r>
        <w:t xml:space="preserve"> t</w:t>
      </w:r>
      <w:r w:rsidR="009B538A" w:rsidRPr="009B538A">
        <w:t xml:space="preserve">rustees are required </w:t>
      </w:r>
      <w:r>
        <w:t xml:space="preserve">by the </w:t>
      </w:r>
      <w:r w:rsidRPr="009B538A">
        <w:rPr>
          <w:i/>
        </w:rPr>
        <w:t xml:space="preserve">Superannuation </w:t>
      </w:r>
      <w:r w:rsidR="00BF4BE5">
        <w:rPr>
          <w:i/>
        </w:rPr>
        <w:t>Industry (Supervision</w:t>
      </w:r>
      <w:r>
        <w:rPr>
          <w:i/>
        </w:rPr>
        <w:t xml:space="preserve">) </w:t>
      </w:r>
      <w:r w:rsidR="00DB0B93">
        <w:rPr>
          <w:i/>
        </w:rPr>
        <w:t>Act</w:t>
      </w:r>
      <w:r w:rsidR="00E90202">
        <w:rPr>
          <w:i/>
        </w:rPr>
        <w:t xml:space="preserve"> </w:t>
      </w:r>
      <w:r w:rsidR="00DB0B93">
        <w:rPr>
          <w:i/>
        </w:rPr>
        <w:t xml:space="preserve">1993 </w:t>
      </w:r>
      <w:r w:rsidR="00DB0B93">
        <w:t>(SIS Act</w:t>
      </w:r>
      <w:r w:rsidR="00BF4BE5">
        <w:t xml:space="preserve">) </w:t>
      </w:r>
      <w:r w:rsidR="009B538A" w:rsidRPr="009B538A">
        <w:t xml:space="preserve">to provide their </w:t>
      </w:r>
      <w:proofErr w:type="spellStart"/>
      <w:r w:rsidR="009B538A" w:rsidRPr="009B538A">
        <w:t>MySuper</w:t>
      </w:r>
      <w:proofErr w:type="spellEnd"/>
      <w:r w:rsidR="009B538A" w:rsidRPr="009B538A">
        <w:t xml:space="preserve"> members with insurance cover in </w:t>
      </w:r>
      <w:r w:rsidR="001021E0">
        <w:t>respect of death and total and permanent disability (TPD)</w:t>
      </w:r>
      <w:r w:rsidR="009B538A" w:rsidRPr="009B538A">
        <w:t xml:space="preserve">. </w:t>
      </w:r>
      <w:r w:rsidR="009B538A">
        <w:t xml:space="preserve">This cover must generally be provided to </w:t>
      </w:r>
      <w:r w:rsidR="004A321D">
        <w:t>members</w:t>
      </w:r>
      <w:r w:rsidR="009B538A">
        <w:t xml:space="preserve"> on an opt-out basis (see</w:t>
      </w:r>
      <w:r w:rsidR="009B538A" w:rsidRPr="004A321D">
        <w:rPr>
          <w:b/>
        </w:rPr>
        <w:t xml:space="preserve"> </w:t>
      </w:r>
      <w:r w:rsidR="004A321D" w:rsidRPr="004A321D">
        <w:rPr>
          <w:b/>
        </w:rPr>
        <w:t xml:space="preserve">Recent </w:t>
      </w:r>
      <w:r w:rsidR="00B73D9D">
        <w:rPr>
          <w:b/>
        </w:rPr>
        <w:t xml:space="preserve">regulatory </w:t>
      </w:r>
      <w:r w:rsidR="007C5200">
        <w:rPr>
          <w:b/>
        </w:rPr>
        <w:t>c</w:t>
      </w:r>
      <w:r w:rsidR="009B538A" w:rsidRPr="004A321D">
        <w:rPr>
          <w:b/>
        </w:rPr>
        <w:t>hanges</w:t>
      </w:r>
      <w:r w:rsidR="00BE71B4">
        <w:rPr>
          <w:b/>
        </w:rPr>
        <w:t>,</w:t>
      </w:r>
      <w:r w:rsidR="009B538A">
        <w:t xml:space="preserve"> below</w:t>
      </w:r>
      <w:r w:rsidR="009B538A" w:rsidRPr="009B538A">
        <w:t xml:space="preserve">). Trustees are also permitted, but not required, to provide their </w:t>
      </w:r>
      <w:proofErr w:type="spellStart"/>
      <w:r w:rsidR="009B538A">
        <w:t>MySuper</w:t>
      </w:r>
      <w:proofErr w:type="spellEnd"/>
      <w:r w:rsidR="009B538A">
        <w:t xml:space="preserve"> </w:t>
      </w:r>
      <w:r w:rsidR="009B538A" w:rsidRPr="009B538A">
        <w:t>members with income protection insurance</w:t>
      </w:r>
      <w:r w:rsidR="00BF4BE5">
        <w:t xml:space="preserve"> on a default or opt-in basis</w:t>
      </w:r>
      <w:r w:rsidR="009B538A" w:rsidRPr="009B538A">
        <w:t>.</w:t>
      </w:r>
    </w:p>
    <w:p w14:paraId="201D38A6" w14:textId="6AF82297" w:rsidR="009B538A" w:rsidRPr="009B538A" w:rsidRDefault="00465C17" w:rsidP="0089399E">
      <w:r>
        <w:t>In addition, t</w:t>
      </w:r>
      <w:r w:rsidR="004D6DC3">
        <w:t>he</w:t>
      </w:r>
      <w:r w:rsidR="00BF4BE5">
        <w:t xml:space="preserve"> </w:t>
      </w:r>
      <w:r w:rsidR="00BF4BE5">
        <w:rPr>
          <w:i/>
        </w:rPr>
        <w:t>Superannuation Guarantee (Administration) Regulations</w:t>
      </w:r>
      <w:r w:rsidR="00BF4BE5">
        <w:t xml:space="preserve"> </w:t>
      </w:r>
      <w:r w:rsidR="00BF4BE5" w:rsidRPr="00346463">
        <w:rPr>
          <w:i/>
        </w:rPr>
        <w:t>1994</w:t>
      </w:r>
      <w:r w:rsidR="004D6DC3">
        <w:t xml:space="preserve"> require that</w:t>
      </w:r>
      <w:r w:rsidR="009B538A" w:rsidRPr="009B538A">
        <w:t xml:space="preserve"> </w:t>
      </w:r>
      <w:proofErr w:type="spellStart"/>
      <w:r w:rsidR="009B538A" w:rsidRPr="009B538A">
        <w:t>MySuper</w:t>
      </w:r>
      <w:proofErr w:type="spellEnd"/>
      <w:r w:rsidR="009B538A" w:rsidRPr="009B538A">
        <w:t xml:space="preserve"> members are provided with a minimum level of death cover based on</w:t>
      </w:r>
      <w:r w:rsidR="009B538A">
        <w:t xml:space="preserve"> age.</w:t>
      </w:r>
      <w:r w:rsidR="009B538A" w:rsidRPr="009B538A">
        <w:t xml:space="preserve"> The regulations also require that death insurance must be provided at a prem</w:t>
      </w:r>
      <w:r w:rsidR="001021E0">
        <w:t>ium of at least $0.50 per week</w:t>
      </w:r>
      <w:r w:rsidR="009B538A" w:rsidRPr="009B538A">
        <w:t xml:space="preserve">. </w:t>
      </w:r>
      <w:r w:rsidR="0080305E" w:rsidRPr="009B538A">
        <w:t>There is no required minimum level of cover</w:t>
      </w:r>
      <w:r w:rsidR="001021E0">
        <w:t xml:space="preserve"> or minimum premium requirement</w:t>
      </w:r>
      <w:r w:rsidR="0080305E" w:rsidRPr="009B538A">
        <w:t xml:space="preserve"> with respect to TPD insurance.</w:t>
      </w:r>
      <w:r w:rsidR="00DB0B93">
        <w:t xml:space="preserve"> These obligations, as well as the obligations in the SIS Act to provide opt-out death and TPD insurance</w:t>
      </w:r>
      <w:r w:rsidR="00BE71B4">
        <w:t>,</w:t>
      </w:r>
      <w:r w:rsidR="00DB0B93">
        <w:t xml:space="preserve"> are subject to </w:t>
      </w:r>
      <w:r w:rsidR="00BE71B4">
        <w:t>‘</w:t>
      </w:r>
      <w:r w:rsidR="00DB0B93">
        <w:t>reasonable conditions</w:t>
      </w:r>
      <w:r w:rsidR="00BE71B4">
        <w:t>’</w:t>
      </w:r>
      <w:r w:rsidR="00DB0B93">
        <w:t xml:space="preserve"> as the trustee determines.</w:t>
      </w:r>
      <w:r w:rsidR="00016D35">
        <w:t xml:space="preserve"> </w:t>
      </w:r>
      <w:r w:rsidR="00D57CCD">
        <w:t>In determining ‘reasonable conditions’,</w:t>
      </w:r>
      <w:r w:rsidR="00D57CCD" w:rsidRPr="00D57CCD">
        <w:t xml:space="preserve"> trustees remain bound by the obligation to promote the financial interests of members with an interest in the </w:t>
      </w:r>
      <w:proofErr w:type="spellStart"/>
      <w:r w:rsidR="00D57CCD" w:rsidRPr="00D57CCD">
        <w:t>MySuper</w:t>
      </w:r>
      <w:proofErr w:type="spellEnd"/>
      <w:r w:rsidR="00D57CCD" w:rsidRPr="00D57CCD">
        <w:t xml:space="preserve"> product and </w:t>
      </w:r>
      <w:r>
        <w:t xml:space="preserve">by the </w:t>
      </w:r>
      <w:r w:rsidR="00D57CCD" w:rsidRPr="00D57CCD">
        <w:t>general covenants to act in the best interests of beneficiaries and to act fairly in dealing with beneficiaries, such as when a trustee is selecting and negotiating insurance</w:t>
      </w:r>
      <w:r w:rsidR="00346463">
        <w:t xml:space="preserve"> to be provided to members</w:t>
      </w:r>
      <w:r w:rsidR="00D57CCD">
        <w:t>.</w:t>
      </w:r>
    </w:p>
    <w:p w14:paraId="6DBFBEB8" w14:textId="35D019C6" w:rsidR="00D30B37" w:rsidRDefault="00465C17" w:rsidP="0089399E">
      <w:r>
        <w:t xml:space="preserve">There is also a more specific insurance covenant (which is a one of the general covenants) </w:t>
      </w:r>
      <w:r w:rsidR="0080305E" w:rsidRPr="00B7152E">
        <w:t xml:space="preserve">in the SIS Act </w:t>
      </w:r>
      <w:r>
        <w:t>which</w:t>
      </w:r>
      <w:r w:rsidR="0080305E" w:rsidRPr="00B7152E">
        <w:t xml:space="preserve"> requires trustees to formulate, review regularly</w:t>
      </w:r>
      <w:r w:rsidR="000A4127">
        <w:t>,</w:t>
      </w:r>
      <w:r w:rsidR="0080305E" w:rsidRPr="00B7152E">
        <w:t xml:space="preserve"> and give effect to an insurance strategy for the benefit of all beneficiaries. In addition, trustees are only allowed to offer insurance of a particular kind, or at a particular level, if the cost of insurance does not inappropriately erode the retireme</w:t>
      </w:r>
      <w:r w:rsidR="0089399E">
        <w:t>nt income of its beneficiaries.</w:t>
      </w:r>
    </w:p>
    <w:p w14:paraId="7B997BBF" w14:textId="4CEFC93E" w:rsidR="0080305E" w:rsidRPr="00B7152E" w:rsidRDefault="00F36C21" w:rsidP="0089399E">
      <w:r w:rsidRPr="00740BEC">
        <w:t xml:space="preserve">Beyond </w:t>
      </w:r>
      <w:r w:rsidR="00740BEC" w:rsidRPr="00740BEC">
        <w:t>complying with these requirements, trustees have discretion to determine the insurance offering</w:t>
      </w:r>
      <w:r w:rsidR="00740BEC">
        <w:t xml:space="preserve"> provided via their </w:t>
      </w:r>
      <w:proofErr w:type="spellStart"/>
      <w:r w:rsidR="00740BEC">
        <w:t>MySuper</w:t>
      </w:r>
      <w:proofErr w:type="spellEnd"/>
      <w:r w:rsidR="00740BEC">
        <w:t xml:space="preserve"> product</w:t>
      </w:r>
      <w:r w:rsidR="00740BEC" w:rsidRPr="00740BEC">
        <w:t>. This includes the terms and conditions</w:t>
      </w:r>
      <w:r w:rsidR="00740BEC">
        <w:t xml:space="preserve">, any </w:t>
      </w:r>
      <w:proofErr w:type="gramStart"/>
      <w:r w:rsidR="00740BEC">
        <w:t>exclusions</w:t>
      </w:r>
      <w:proofErr w:type="gramEnd"/>
      <w:r w:rsidR="00740BEC">
        <w:t xml:space="preserve">, and the level of coverage. This discretion has resulted in a broad variation in the default insurance coverage being </w:t>
      </w:r>
      <w:r w:rsidR="00BF4BE5">
        <w:t xml:space="preserve">provided </w:t>
      </w:r>
      <w:r w:rsidR="00740BEC">
        <w:t>to</w:t>
      </w:r>
      <w:r w:rsidR="001021E0">
        <w:t xml:space="preserve"> </w:t>
      </w:r>
      <w:proofErr w:type="spellStart"/>
      <w:r w:rsidR="001021E0">
        <w:t>MySuper</w:t>
      </w:r>
      <w:proofErr w:type="spellEnd"/>
      <w:r w:rsidR="00740BEC">
        <w:t xml:space="preserve"> members.</w:t>
      </w:r>
    </w:p>
    <w:p w14:paraId="04A744F9" w14:textId="0B798977" w:rsidR="00B7152E" w:rsidRPr="0089399E" w:rsidRDefault="00B7152E" w:rsidP="0089399E">
      <w:pPr>
        <w:pStyle w:val="Heading3"/>
      </w:pPr>
      <w:bookmarkStart w:id="38" w:name="_Toc2261844"/>
      <w:bookmarkStart w:id="39" w:name="_Toc2690116"/>
      <w:bookmarkStart w:id="40" w:name="_Toc2944187"/>
      <w:bookmarkStart w:id="41" w:name="_Toc2959804"/>
      <w:bookmarkStart w:id="42" w:name="_Toc4503519"/>
      <w:r w:rsidRPr="0089399E">
        <w:t xml:space="preserve">Recent </w:t>
      </w:r>
      <w:r w:rsidR="000A4127" w:rsidRPr="0089399E">
        <w:t xml:space="preserve">regulatory </w:t>
      </w:r>
      <w:r w:rsidRPr="0089399E">
        <w:t>changes</w:t>
      </w:r>
      <w:bookmarkEnd w:id="38"/>
      <w:bookmarkEnd w:id="39"/>
      <w:bookmarkEnd w:id="40"/>
      <w:bookmarkEnd w:id="41"/>
      <w:bookmarkEnd w:id="42"/>
    </w:p>
    <w:p w14:paraId="7395F31F" w14:textId="7C6DB0AC" w:rsidR="003317DA" w:rsidRDefault="009D7C36" w:rsidP="0089399E">
      <w:r w:rsidRPr="00E03BE8">
        <w:t>In response to concerns about the appropriateness of default insurance in superannuation and the resulting erosion of superannuation balances, the Government announced reforms to insurance in</w:t>
      </w:r>
      <w:r w:rsidRPr="003317DA">
        <w:t xml:space="preserve"> the 2018–19 Budget. A key objective of the </w:t>
      </w:r>
      <w:r w:rsidRPr="003317DA">
        <w:rPr>
          <w:i/>
          <w:iCs/>
        </w:rPr>
        <w:t xml:space="preserve">Protecting Your Super Package </w:t>
      </w:r>
      <w:r w:rsidRPr="003317DA">
        <w:t>is to protect su</w:t>
      </w:r>
      <w:r w:rsidR="001021E0">
        <w:t>perannuation savings from undue</w:t>
      </w:r>
      <w:r w:rsidRPr="003317DA">
        <w:t xml:space="preserve"> erosion</w:t>
      </w:r>
      <w:r w:rsidR="001021E0">
        <w:t xml:space="preserve"> caused by unnecessary or inappropriate </w:t>
      </w:r>
      <w:r w:rsidR="0089399E">
        <w:t>insurance premiums.</w:t>
      </w:r>
    </w:p>
    <w:p w14:paraId="5D896679" w14:textId="7003F5CE" w:rsidR="003317DA" w:rsidRPr="00B7152E" w:rsidRDefault="0080305E" w:rsidP="0089399E">
      <w:r>
        <w:t>T</w:t>
      </w:r>
      <w:r w:rsidR="003317DA" w:rsidRPr="00B7152E">
        <w:t xml:space="preserve">he </w:t>
      </w:r>
      <w:r w:rsidR="003317DA" w:rsidRPr="00B7152E">
        <w:rPr>
          <w:i/>
        </w:rPr>
        <w:t>Treasury Laws Amendment (Protecting Your Superannuation Package) Bill</w:t>
      </w:r>
      <w:r>
        <w:t xml:space="preserve"> </w:t>
      </w:r>
      <w:r>
        <w:rPr>
          <w:i/>
        </w:rPr>
        <w:t xml:space="preserve">2018 </w:t>
      </w:r>
      <w:r>
        <w:t xml:space="preserve">was passed by the Parliament </w:t>
      </w:r>
      <w:r w:rsidR="00D30B37">
        <w:t>on 18</w:t>
      </w:r>
      <w:r>
        <w:t xml:space="preserve"> </w:t>
      </w:r>
      <w:r w:rsidR="004A06F0">
        <w:t>February</w:t>
      </w:r>
      <w:r>
        <w:t xml:space="preserve"> 2019. As a result of these changes,</w:t>
      </w:r>
      <w:r w:rsidR="007C6BE4">
        <w:t xml:space="preserve"> from 1 July 2019,</w:t>
      </w:r>
      <w:r>
        <w:t xml:space="preserve"> trustees will be required to offer insurance on an </w:t>
      </w:r>
      <w:r w:rsidRPr="001411D7">
        <w:t>opt-in basis</w:t>
      </w:r>
      <w:r w:rsidR="000A38C0">
        <w:t xml:space="preserve"> only</w:t>
      </w:r>
      <w:r w:rsidRPr="0080305E">
        <w:rPr>
          <w:b/>
        </w:rPr>
        <w:t xml:space="preserve"> </w:t>
      </w:r>
      <w:r w:rsidR="003317DA" w:rsidRPr="00B7152E">
        <w:t>to</w:t>
      </w:r>
      <w:r w:rsidR="00D30B37">
        <w:t xml:space="preserve"> members whose</w:t>
      </w:r>
      <w:r w:rsidR="003317DA" w:rsidRPr="00B7152E">
        <w:t xml:space="preserve"> accounts have </w:t>
      </w:r>
      <w:r w:rsidR="001021E0">
        <w:t>not received a contribution</w:t>
      </w:r>
      <w:r w:rsidR="00BF0AF1">
        <w:t xml:space="preserve"> for 16 </w:t>
      </w:r>
      <w:r w:rsidR="0089399E">
        <w:t>months or longer.</w:t>
      </w:r>
    </w:p>
    <w:p w14:paraId="0D2AC2C3" w14:textId="380B6D75" w:rsidR="003317DA" w:rsidRPr="00B7152E" w:rsidRDefault="003317DA" w:rsidP="0089399E">
      <w:r w:rsidRPr="00B7152E">
        <w:t>The Government</w:t>
      </w:r>
      <w:r w:rsidR="00BC1A82" w:rsidRPr="00B7152E">
        <w:t xml:space="preserve"> also</w:t>
      </w:r>
      <w:r w:rsidR="0080305E">
        <w:t xml:space="preserve"> introduced the </w:t>
      </w:r>
      <w:r w:rsidR="0080305E" w:rsidRPr="00303704">
        <w:t>Treasury Laws Amendment (Putting Members Interests First) Bill</w:t>
      </w:r>
      <w:r w:rsidR="00303704" w:rsidRPr="00303704">
        <w:t xml:space="preserve"> on 20 February 2019</w:t>
      </w:r>
      <w:r w:rsidR="0080305E">
        <w:t xml:space="preserve"> which will require trustees to</w:t>
      </w:r>
      <w:r w:rsidRPr="00B7152E">
        <w:t xml:space="preserve"> offer insurance on an </w:t>
      </w:r>
      <w:r w:rsidRPr="001411D7">
        <w:t>opt-in basis</w:t>
      </w:r>
      <w:r w:rsidR="000A38C0">
        <w:t xml:space="preserve"> only</w:t>
      </w:r>
      <w:r w:rsidRPr="00B7152E">
        <w:t xml:space="preserve"> </w:t>
      </w:r>
      <w:r w:rsidR="0080305E">
        <w:t>in relation to accounts:</w:t>
      </w:r>
    </w:p>
    <w:p w14:paraId="3C7E75E7" w14:textId="77777777" w:rsidR="003317DA" w:rsidRPr="0089399E" w:rsidRDefault="003317DA" w:rsidP="0089399E">
      <w:pPr>
        <w:pStyle w:val="Bullet"/>
      </w:pPr>
      <w:r w:rsidRPr="0089399E">
        <w:t>of new members who are under 25 years old; or</w:t>
      </w:r>
    </w:p>
    <w:p w14:paraId="490FB3A4" w14:textId="23DE965E" w:rsidR="0080305E" w:rsidRPr="0089399E" w:rsidRDefault="003317DA" w:rsidP="0089399E">
      <w:pPr>
        <w:pStyle w:val="Bullet"/>
      </w:pPr>
      <w:proofErr w:type="gramStart"/>
      <w:r w:rsidRPr="0089399E">
        <w:t>th</w:t>
      </w:r>
      <w:r w:rsidR="0089399E">
        <w:t>at</w:t>
      </w:r>
      <w:proofErr w:type="gramEnd"/>
      <w:r w:rsidR="0089399E">
        <w:t xml:space="preserve"> have a balance below $6,000.</w:t>
      </w:r>
    </w:p>
    <w:p w14:paraId="5A7DE832" w14:textId="64AF3E55" w:rsidR="003317DA" w:rsidRPr="00740BEC" w:rsidRDefault="00740BEC" w:rsidP="0089399E">
      <w:r>
        <w:lastRenderedPageBreak/>
        <w:t xml:space="preserve">The Government’s work to date has focused on </w:t>
      </w:r>
      <w:r w:rsidR="0080305E" w:rsidRPr="00740BEC">
        <w:t>addressing the undue erosion of balances</w:t>
      </w:r>
      <w:r w:rsidRPr="00740BEC">
        <w:t xml:space="preserve"> caused by insurance premium</w:t>
      </w:r>
      <w:r w:rsidR="00303704">
        <w:t>s</w:t>
      </w:r>
      <w:r w:rsidRPr="00740BEC">
        <w:t>. This paper consider</w:t>
      </w:r>
      <w:r w:rsidR="00303704">
        <w:t>s</w:t>
      </w:r>
      <w:r w:rsidRPr="00740BEC">
        <w:t xml:space="preserve"> </w:t>
      </w:r>
      <w:r w:rsidR="00303704">
        <w:t>whether there is a need to take action in regard to standardising the terms, conditions and exclusions relating to insurance cover offered on a default basis through superannuation.</w:t>
      </w:r>
    </w:p>
    <w:p w14:paraId="726360D0" w14:textId="0F332452" w:rsidR="00B7152E" w:rsidRDefault="00F81373" w:rsidP="00B7152E">
      <w:pPr>
        <w:pStyle w:val="Heading2"/>
      </w:pPr>
      <w:bookmarkStart w:id="43" w:name="_Toc2261845"/>
      <w:bookmarkStart w:id="44" w:name="_Toc2690117"/>
      <w:bookmarkStart w:id="45" w:name="_Toc2944188"/>
      <w:bookmarkStart w:id="46" w:name="_Toc2959805"/>
      <w:bookmarkStart w:id="47" w:name="_Toc4503520"/>
      <w:r>
        <w:t>Related</w:t>
      </w:r>
      <w:r w:rsidR="00B7152E">
        <w:t xml:space="preserve"> inquiries and work in this area</w:t>
      </w:r>
      <w:bookmarkEnd w:id="43"/>
      <w:bookmarkEnd w:id="44"/>
      <w:bookmarkEnd w:id="45"/>
      <w:bookmarkEnd w:id="46"/>
      <w:bookmarkEnd w:id="47"/>
    </w:p>
    <w:p w14:paraId="2769151E" w14:textId="2B97D195" w:rsidR="000B0924" w:rsidRDefault="000B0924" w:rsidP="000B0924">
      <w:pPr>
        <w:pStyle w:val="Heading3"/>
      </w:pPr>
      <w:bookmarkStart w:id="48" w:name="_Toc2690118"/>
      <w:bookmarkStart w:id="49" w:name="_Toc2944189"/>
      <w:bookmarkStart w:id="50" w:name="_Toc2959806"/>
      <w:bookmarkStart w:id="51" w:name="_Toc4503521"/>
      <w:bookmarkStart w:id="52" w:name="_Toc2261846"/>
      <w:r>
        <w:t>Insurance in Superannuation Voluntary Code of Practice</w:t>
      </w:r>
      <w:bookmarkEnd w:id="48"/>
      <w:bookmarkEnd w:id="49"/>
      <w:bookmarkEnd w:id="50"/>
      <w:bookmarkEnd w:id="51"/>
    </w:p>
    <w:p w14:paraId="055BE463" w14:textId="0A0CAEAF" w:rsidR="000B0924" w:rsidRPr="00656AD2" w:rsidRDefault="000B0924" w:rsidP="0089399E">
      <w:r w:rsidRPr="00656AD2">
        <w:t>In late 2016, in response to calls from Government</w:t>
      </w:r>
      <w:r w:rsidR="002B101F">
        <w:t xml:space="preserve"> and public scrutiny around </w:t>
      </w:r>
      <w:r w:rsidR="00303704">
        <w:t xml:space="preserve">inappropriate premiums, lack of transparency and poor member understanding </w:t>
      </w:r>
      <w:r w:rsidR="002B101F">
        <w:t xml:space="preserve">of insurance in superannuation, </w:t>
      </w:r>
      <w:r w:rsidRPr="00656AD2">
        <w:t>the insurance and sup</w:t>
      </w:r>
      <w:r w:rsidR="00303704">
        <w:t xml:space="preserve">erannuation industries formed the </w:t>
      </w:r>
      <w:r w:rsidR="00303704" w:rsidRPr="00656AD2">
        <w:t xml:space="preserve">Insurance in Superannuation Working Group (ISWG) </w:t>
      </w:r>
      <w:r w:rsidRPr="00656AD2">
        <w:t xml:space="preserve">to develop a Code of Practice. </w:t>
      </w:r>
      <w:r w:rsidR="00303704">
        <w:t>A</w:t>
      </w:r>
      <w:r w:rsidRPr="00656AD2">
        <w:t xml:space="preserve"> voluntary Code for superannu</w:t>
      </w:r>
      <w:r w:rsidR="00303704">
        <w:t>ation trustees was published in December 2017.</w:t>
      </w:r>
      <w:r w:rsidR="00A61014">
        <w:t xml:space="preserve"> </w:t>
      </w:r>
      <w:r w:rsidR="002B101F">
        <w:t>Most large superannuation funds have signed up to the Code.</w:t>
      </w:r>
    </w:p>
    <w:p w14:paraId="330B486E" w14:textId="3F94F1A1" w:rsidR="000B0924" w:rsidRDefault="000B0924" w:rsidP="0089399E">
      <w:r>
        <w:t>The</w:t>
      </w:r>
      <w:r w:rsidDel="004664E0">
        <w:t xml:space="preserve"> </w:t>
      </w:r>
      <w:r>
        <w:t>Code does not include standard terms and definitions. It requires trustees</w:t>
      </w:r>
      <w:r w:rsidR="00303704">
        <w:t xml:space="preserve"> who subscribe to the Code</w:t>
      </w:r>
      <w:r>
        <w:t xml:space="preserve"> </w:t>
      </w:r>
      <w:r w:rsidRPr="00656AD2">
        <w:t xml:space="preserve">to clearly explain how their definitions of </w:t>
      </w:r>
      <w:r w:rsidR="00303704">
        <w:t xml:space="preserve">TPD </w:t>
      </w:r>
      <w:r w:rsidRPr="00656AD2">
        <w:t>a</w:t>
      </w:r>
      <w:r>
        <w:t>nd income protection will be applied in practice. The Code also sets out eight</w:t>
      </w:r>
      <w:r w:rsidRPr="00656AD2">
        <w:t xml:space="preserve"> standard plain-language </w:t>
      </w:r>
      <w:r>
        <w:t>‘</w:t>
      </w:r>
      <w:r w:rsidRPr="00656AD2">
        <w:t>headings</w:t>
      </w:r>
      <w:r>
        <w:t>’</w:t>
      </w:r>
      <w:r w:rsidRPr="00656AD2">
        <w:t xml:space="preserve"> </w:t>
      </w:r>
      <w:r>
        <w:t xml:space="preserve">that must be used for </w:t>
      </w:r>
      <w:r w:rsidR="001021E0">
        <w:t>TPD</w:t>
      </w:r>
      <w:r w:rsidRPr="00656AD2">
        <w:t xml:space="preserve"> cover to help members understand technical</w:t>
      </w:r>
      <w:r>
        <w:t xml:space="preserve"> </w:t>
      </w:r>
      <w:r w:rsidRPr="00656AD2">
        <w:t xml:space="preserve">definitions. </w:t>
      </w:r>
      <w:r w:rsidR="00303704">
        <w:t>Further, the Code</w:t>
      </w:r>
      <w:r w:rsidR="001021E0">
        <w:t xml:space="preserve"> requires t</w:t>
      </w:r>
      <w:r w:rsidRPr="00656AD2">
        <w:t xml:space="preserve">rustees </w:t>
      </w:r>
      <w:r w:rsidR="001021E0">
        <w:t>to</w:t>
      </w:r>
      <w:r w:rsidRPr="00656AD2">
        <w:t xml:space="preserve"> </w:t>
      </w:r>
      <w:r w:rsidR="00303704" w:rsidRPr="00656AD2">
        <w:t xml:space="preserve">review </w:t>
      </w:r>
      <w:r w:rsidRPr="00656AD2">
        <w:t>regularly their insurance offering</w:t>
      </w:r>
      <w:r w:rsidR="00303704">
        <w:t>s</w:t>
      </w:r>
      <w:r w:rsidRPr="00656AD2">
        <w:t xml:space="preserve"> to ensure the interpretation and</w:t>
      </w:r>
      <w:r>
        <w:t xml:space="preserve"> </w:t>
      </w:r>
      <w:r w:rsidRPr="00BD0AED">
        <w:t>application of their insurance definitions are consistent with any chang</w:t>
      </w:r>
      <w:r>
        <w:t xml:space="preserve">es in their policy terms, their </w:t>
      </w:r>
      <w:r w:rsidRPr="00BD0AED">
        <w:t>insurer’s approach and developments in the law.</w:t>
      </w:r>
    </w:p>
    <w:p w14:paraId="4F79902D" w14:textId="26E92EE5" w:rsidR="001021E0" w:rsidRDefault="000B0924" w:rsidP="0089399E">
      <w:r w:rsidRPr="00656AD2">
        <w:t>Upon release of the Code, the</w:t>
      </w:r>
      <w:r>
        <w:t xml:space="preserve"> then</w:t>
      </w:r>
      <w:r w:rsidRPr="00656AD2">
        <w:t xml:space="preserve"> Minister for Revenue and Financial Services expressed concerns that the Code did not go far enough to address issues in the industry relating to insurance in superannuation.</w:t>
      </w:r>
      <w:r w:rsidR="00D4062D">
        <w:t xml:space="preserve"> The Minister pointed to the lack of enforceability</w:t>
      </w:r>
      <w:r w:rsidR="002B101F">
        <w:t xml:space="preserve"> or an independent oversight body</w:t>
      </w:r>
      <w:r w:rsidR="00D4062D">
        <w:t xml:space="preserve"> and</w:t>
      </w:r>
      <w:r w:rsidR="002B101F">
        <w:t xml:space="preserve"> the</w:t>
      </w:r>
      <w:r w:rsidR="00D4062D">
        <w:t xml:space="preserve"> failure</w:t>
      </w:r>
      <w:r w:rsidR="002B101F">
        <w:t xml:space="preserve"> to effectively address key issues </w:t>
      </w:r>
      <w:r w:rsidR="004664E0">
        <w:t>(</w:t>
      </w:r>
      <w:r w:rsidR="002B101F">
        <w:t>such as the appropriateness of default insurance premiums for young members</w:t>
      </w:r>
      <w:r w:rsidR="004664E0">
        <w:t>)</w:t>
      </w:r>
      <w:r w:rsidR="002B101F">
        <w:t xml:space="preserve"> as the Code’s major shortcomings.</w:t>
      </w:r>
      <w:r w:rsidR="00016D35">
        <w:rPr>
          <w:rStyle w:val="FootnoteReference"/>
        </w:rPr>
        <w:footnoteReference w:id="4"/>
      </w:r>
    </w:p>
    <w:p w14:paraId="0C7A8964" w14:textId="363739A9" w:rsidR="00016D35" w:rsidRDefault="001021E0" w:rsidP="0089399E">
      <w:r>
        <w:t>Throughout the Code’s development</w:t>
      </w:r>
      <w:r w:rsidRPr="00656AD2">
        <w:t>, the ISWG</w:t>
      </w:r>
      <w:r>
        <w:t xml:space="preserve"> attempted to standardise definitions for insurance within superannuation, however </w:t>
      </w:r>
      <w:r w:rsidR="00303704">
        <w:t>the group decided</w:t>
      </w:r>
      <w:r>
        <w:t xml:space="preserve"> this is a longer-term project.</w:t>
      </w:r>
      <w:r>
        <w:rPr>
          <w:rStyle w:val="FootnoteReference"/>
        </w:rPr>
        <w:footnoteReference w:id="5"/>
      </w:r>
      <w:r>
        <w:t xml:space="preserve"> </w:t>
      </w:r>
      <w:r w:rsidR="000B0924">
        <w:t xml:space="preserve">An implementation committee </w:t>
      </w:r>
      <w:r w:rsidR="000A38C0">
        <w:t>comprising the Code Owners</w:t>
      </w:r>
      <w:r w:rsidR="00346463">
        <w:rPr>
          <w:rStyle w:val="FootnoteReference"/>
        </w:rPr>
        <w:footnoteReference w:id="6"/>
      </w:r>
      <w:r w:rsidR="000A38C0">
        <w:t xml:space="preserve"> (which replaced the ISWG) and a group of selected trustees, insurers and administrators</w:t>
      </w:r>
      <w:r w:rsidR="000B0924">
        <w:t xml:space="preserve"> is currently investigating o</w:t>
      </w:r>
      <w:r w:rsidR="000B0924" w:rsidRPr="00B63F3D">
        <w:t>ptions for industry standardisation of key terms.</w:t>
      </w:r>
      <w:r w:rsidR="000B0924">
        <w:t xml:space="preserve"> A timeframe for finalisation of this work has not been made public to date.</w:t>
      </w:r>
      <w:r>
        <w:rPr>
          <w:rStyle w:val="FootnoteReference"/>
        </w:rPr>
        <w:footnoteReference w:id="7"/>
      </w:r>
    </w:p>
    <w:p w14:paraId="56F40A92" w14:textId="5AF88AD8" w:rsidR="00B7152E" w:rsidRDefault="00B7152E" w:rsidP="003718C0">
      <w:pPr>
        <w:pStyle w:val="Heading3"/>
      </w:pPr>
      <w:bookmarkStart w:id="53" w:name="_Toc2690119"/>
      <w:bookmarkStart w:id="54" w:name="_Toc2944190"/>
      <w:bookmarkStart w:id="55" w:name="_Toc2959807"/>
      <w:bookmarkStart w:id="56" w:name="_Toc4503522"/>
      <w:r>
        <w:lastRenderedPageBreak/>
        <w:t>Parliamentary Joint Committee</w:t>
      </w:r>
      <w:r w:rsidR="00740BEC">
        <w:t xml:space="preserve"> Inquiry into the </w:t>
      </w:r>
      <w:r w:rsidR="003718C0">
        <w:t>life insurance</w:t>
      </w:r>
      <w:bookmarkEnd w:id="52"/>
      <w:r w:rsidR="003718C0">
        <w:t xml:space="preserve"> </w:t>
      </w:r>
      <w:r w:rsidR="00740BEC">
        <w:t>industry</w:t>
      </w:r>
      <w:bookmarkEnd w:id="53"/>
      <w:bookmarkEnd w:id="54"/>
      <w:bookmarkEnd w:id="55"/>
      <w:bookmarkEnd w:id="56"/>
    </w:p>
    <w:p w14:paraId="07270C14" w14:textId="5AFA77AD" w:rsidR="00FD1088" w:rsidRPr="00740BEC" w:rsidRDefault="00740BEC" w:rsidP="0089399E">
      <w:r w:rsidRPr="00740BEC">
        <w:t xml:space="preserve">On 14 September 2016, the Senate referred an inquiry into the life insurance industry to the Joint Parliamentary Committee on Corporations and Financial Services for report. </w:t>
      </w:r>
      <w:r w:rsidR="00972B4D" w:rsidRPr="00740BEC">
        <w:t>The</w:t>
      </w:r>
      <w:r w:rsidRPr="00740BEC">
        <w:t xml:space="preserve"> Committee’s report</w:t>
      </w:r>
      <w:r w:rsidR="00972B4D" w:rsidRPr="00740BEC">
        <w:t xml:space="preserve">, </w:t>
      </w:r>
      <w:r w:rsidR="00FD1088" w:rsidRPr="00740BEC">
        <w:t>released</w:t>
      </w:r>
      <w:r w:rsidR="00972B4D" w:rsidRPr="00740BEC">
        <w:t xml:space="preserve"> in </w:t>
      </w:r>
      <w:r w:rsidR="00FD1088" w:rsidRPr="00740BEC">
        <w:t>March 2018,</w:t>
      </w:r>
      <w:r w:rsidR="00972B4D" w:rsidRPr="00740BEC">
        <w:t xml:space="preserve"> </w:t>
      </w:r>
      <w:r w:rsidR="009F4C19" w:rsidRPr="00740BEC">
        <w:t xml:space="preserve">noted the </w:t>
      </w:r>
      <w:r w:rsidR="005768B4" w:rsidRPr="001D57CB">
        <w:t>desirability of standardising</w:t>
      </w:r>
      <w:r w:rsidR="009F4C19" w:rsidRPr="00740BEC">
        <w:t xml:space="preserve"> policy definitions in life insurance </w:t>
      </w:r>
      <w:r w:rsidR="00566426">
        <w:t>for</w:t>
      </w:r>
      <w:r w:rsidR="00566426" w:rsidRPr="00740BEC">
        <w:t xml:space="preserve"> </w:t>
      </w:r>
      <w:r w:rsidR="009F4C19" w:rsidRPr="00740BEC">
        <w:t>all types of policies</w:t>
      </w:r>
      <w:r w:rsidR="00EC1994">
        <w:t xml:space="preserve"> across the insurance industry</w:t>
      </w:r>
      <w:r w:rsidR="009F4C19" w:rsidRPr="00740BEC">
        <w:t>.</w:t>
      </w:r>
      <w:r w:rsidR="00D4062D">
        <w:t xml:space="preserve"> The Committee’s final report noted that “</w:t>
      </w:r>
      <w:r w:rsidR="00D4062D" w:rsidRPr="00D4062D">
        <w:t>this would provide certainty to consumers and policyholders about what they are covered for, including the extent to which any associated conditions that may arise from the initial condition, such as mental ill health, are covered by the insurance policy.”</w:t>
      </w:r>
      <w:r w:rsidR="00D4062D">
        <w:rPr>
          <w:rStyle w:val="FootnoteReference"/>
        </w:rPr>
        <w:footnoteReference w:id="8"/>
      </w:r>
    </w:p>
    <w:p w14:paraId="546ED92E" w14:textId="2F0D62D7" w:rsidR="000B0924" w:rsidRDefault="000B0924" w:rsidP="000B0924">
      <w:pPr>
        <w:pStyle w:val="Heading3"/>
      </w:pPr>
      <w:bookmarkStart w:id="57" w:name="_Toc2690120"/>
      <w:bookmarkStart w:id="58" w:name="_Toc2944191"/>
      <w:bookmarkStart w:id="59" w:name="_Toc2959808"/>
      <w:bookmarkStart w:id="60" w:name="_Toc4503523"/>
      <w:bookmarkStart w:id="61" w:name="_Toc2261847"/>
      <w:r>
        <w:t>ASIC Report 591</w:t>
      </w:r>
      <w:bookmarkEnd w:id="57"/>
      <w:bookmarkEnd w:id="58"/>
      <w:r w:rsidR="00A80469">
        <w:t xml:space="preserve"> – Insurance in Superannuation</w:t>
      </w:r>
      <w:bookmarkEnd w:id="59"/>
      <w:bookmarkEnd w:id="60"/>
    </w:p>
    <w:p w14:paraId="69A2442A" w14:textId="26306773" w:rsidR="000B0924" w:rsidRPr="000B0924" w:rsidRDefault="00A80469" w:rsidP="0089399E">
      <w:r>
        <w:t>In September 2018, ASIC published</w:t>
      </w:r>
      <w:r w:rsidR="00EC1994">
        <w:t xml:space="preserve"> Report 591 which set out th</w:t>
      </w:r>
      <w:r w:rsidR="00EC1994" w:rsidRPr="00EC1994">
        <w:t>e findings from recent work</w:t>
      </w:r>
      <w:r w:rsidR="00EC1994">
        <w:t xml:space="preserve"> it had conducted</w:t>
      </w:r>
      <w:r w:rsidR="00EC1994" w:rsidRPr="00EC1994">
        <w:t xml:space="preserve"> on issues relevant to the consumer experience of insurance provided through superannuation.</w:t>
      </w:r>
      <w:r w:rsidR="00EC1994">
        <w:t xml:space="preserve"> The report </w:t>
      </w:r>
      <w:r w:rsidR="000B0924" w:rsidRPr="000B0924">
        <w:t xml:space="preserve">raised the issue of high rates of variation amongst TPD definitions used in the insurance products offered </w:t>
      </w:r>
      <w:r w:rsidR="00566426">
        <w:t>by</w:t>
      </w:r>
      <w:r w:rsidR="00566426" w:rsidRPr="000B0924">
        <w:t xml:space="preserve"> </w:t>
      </w:r>
      <w:r w:rsidR="000B0924" w:rsidRPr="000B0924">
        <w:t>superannuation funds.</w:t>
      </w:r>
      <w:r w:rsidR="000B0924" w:rsidRPr="000B0924">
        <w:rPr>
          <w:rStyle w:val="FootnoteReference"/>
          <w:rFonts w:asciiTheme="majorHAnsi" w:hAnsiTheme="majorHAnsi"/>
        </w:rPr>
        <w:footnoteReference w:id="9"/>
      </w:r>
      <w:r w:rsidR="007948FC">
        <w:t xml:space="preserve"> </w:t>
      </w:r>
      <w:r w:rsidR="00EC1994">
        <w:t>In the report, ASIC</w:t>
      </w:r>
      <w:r w:rsidR="000B0924" w:rsidRPr="000B0924">
        <w:t xml:space="preserve"> found that such variation across the industry can pose difficulties for consumers to compare the insurance offerings between funds or to understand insurance offered in superannuation generally. ASIC also noted the particular prevalence of variation of</w:t>
      </w:r>
      <w:r w:rsidR="00EC1994">
        <w:t xml:space="preserve"> definitions in relation to TPD and </w:t>
      </w:r>
      <w:r w:rsidR="000B0924">
        <w:t xml:space="preserve">indicated it will </w:t>
      </w:r>
      <w:r w:rsidR="000B0924" w:rsidRPr="000B0924">
        <w:t>monitor and assess industry initiatives to standardise definitions and terminology.</w:t>
      </w:r>
      <w:r w:rsidR="00EC1994" w:rsidRPr="000B0924">
        <w:rPr>
          <w:rStyle w:val="FootnoteReference"/>
          <w:rFonts w:asciiTheme="majorHAnsi" w:hAnsiTheme="majorHAnsi"/>
        </w:rPr>
        <w:footnoteReference w:id="10"/>
      </w:r>
    </w:p>
    <w:p w14:paraId="30E7A711" w14:textId="61252E91" w:rsidR="003718C0" w:rsidRDefault="003718C0" w:rsidP="003718C0">
      <w:pPr>
        <w:pStyle w:val="Heading3"/>
      </w:pPr>
      <w:bookmarkStart w:id="62" w:name="_Toc2690121"/>
      <w:bookmarkStart w:id="63" w:name="_Toc2944192"/>
      <w:bookmarkStart w:id="64" w:name="_Toc2959809"/>
      <w:bookmarkStart w:id="65" w:name="_Toc4503524"/>
      <w:r>
        <w:t xml:space="preserve">Productivity Commission </w:t>
      </w:r>
      <w:r w:rsidR="00E46B82">
        <w:t>superannuation inquiry</w:t>
      </w:r>
      <w:bookmarkEnd w:id="61"/>
      <w:bookmarkEnd w:id="62"/>
      <w:bookmarkEnd w:id="63"/>
      <w:bookmarkEnd w:id="64"/>
      <w:bookmarkEnd w:id="65"/>
    </w:p>
    <w:p w14:paraId="63056C86" w14:textId="545DAE03" w:rsidR="00276A89" w:rsidRPr="00A61277" w:rsidRDefault="00BF4F52" w:rsidP="0089399E">
      <w:r w:rsidRPr="00A61277">
        <w:t xml:space="preserve">The Productivity Commission’s </w:t>
      </w:r>
      <w:r w:rsidR="00276A89" w:rsidRPr="00A61277">
        <w:t xml:space="preserve">report </w:t>
      </w:r>
      <w:r w:rsidR="00276A89" w:rsidRPr="000B0924">
        <w:rPr>
          <w:i/>
        </w:rPr>
        <w:t>Superannuation: Assessing Competiveness and Efficiency</w:t>
      </w:r>
      <w:r w:rsidR="000B0924">
        <w:t>, released in January 2019,</w:t>
      </w:r>
      <w:r w:rsidR="00276A89" w:rsidRPr="000B0924">
        <w:rPr>
          <w:i/>
        </w:rPr>
        <w:t xml:space="preserve"> </w:t>
      </w:r>
      <w:r w:rsidR="00276A89" w:rsidRPr="00A61277">
        <w:t>found that complexity and lack of standardisation in ins</w:t>
      </w:r>
      <w:r w:rsidR="00EC1994">
        <w:t>urance product offerings impede</w:t>
      </w:r>
      <w:r w:rsidR="00276A89" w:rsidRPr="00A61277">
        <w:t xml:space="preserve"> member engagement and </w:t>
      </w:r>
      <w:r w:rsidR="00EC1994">
        <w:t xml:space="preserve">members’ </w:t>
      </w:r>
      <w:r w:rsidR="00276A89" w:rsidRPr="00A61277">
        <w:t xml:space="preserve">decisions to retain, amend or cancel their cover, </w:t>
      </w:r>
      <w:r w:rsidR="00EC1994">
        <w:t xml:space="preserve">thereby </w:t>
      </w:r>
      <w:r w:rsidR="00276A89" w:rsidRPr="00A61277">
        <w:t>reducing the overall value of insurance to members.</w:t>
      </w:r>
      <w:r w:rsidR="007C6BE4">
        <w:t xml:space="preserve"> </w:t>
      </w:r>
      <w:r w:rsidR="00276A89" w:rsidRPr="00A61277">
        <w:t>Specifically</w:t>
      </w:r>
      <w:r w:rsidR="007C6BE4">
        <w:t>, the Commission pointed to</w:t>
      </w:r>
      <w:r w:rsidR="00276A89" w:rsidRPr="00A61277">
        <w:t xml:space="preserve"> variable eligibilit</w:t>
      </w:r>
      <w:r w:rsidR="007C6BE4">
        <w:t>y definitions and exclusions as</w:t>
      </w:r>
      <w:r w:rsidR="00276A89" w:rsidRPr="00A61277">
        <w:t xml:space="preserve"> particular problems that make it difficult for members to understand what</w:t>
      </w:r>
      <w:r w:rsidR="007C6BE4">
        <w:t xml:space="preserve"> their insurance covers, which may </w:t>
      </w:r>
      <w:r w:rsidR="00276A89" w:rsidRPr="00A61277">
        <w:t>also lead to a failure to claim entitlements.</w:t>
      </w:r>
    </w:p>
    <w:p w14:paraId="250E0B5F" w14:textId="1A520D3B" w:rsidR="00A76100" w:rsidRDefault="00A76100" w:rsidP="003718C0">
      <w:pPr>
        <w:pStyle w:val="Heading2"/>
      </w:pPr>
      <w:bookmarkStart w:id="66" w:name="_Toc4503525"/>
      <w:bookmarkStart w:id="67" w:name="_Toc2261850"/>
      <w:bookmarkStart w:id="68" w:name="_Toc2690122"/>
      <w:bookmarkStart w:id="69" w:name="_Toc2944193"/>
      <w:bookmarkStart w:id="70" w:name="_Toc2959810"/>
      <w:r>
        <w:t>Objective</w:t>
      </w:r>
      <w:bookmarkEnd w:id="66"/>
    </w:p>
    <w:p w14:paraId="451A3AE4" w14:textId="5ED874BB" w:rsidR="00A76100" w:rsidRPr="00346463" w:rsidRDefault="0002507D" w:rsidP="0089399E">
      <w:r w:rsidRPr="00083260">
        <w:t xml:space="preserve">The objective of this paper is to canvass views from interested parties regarding the </w:t>
      </w:r>
      <w:r w:rsidR="00743E94" w:rsidRPr="00083260">
        <w:t>costs and benefits of</w:t>
      </w:r>
      <w:r w:rsidRPr="00083260">
        <w:t xml:space="preserve"> </w:t>
      </w:r>
      <w:r w:rsidR="002A02F4" w:rsidRPr="00083260">
        <w:t>standardising</w:t>
      </w:r>
      <w:r w:rsidR="00912366" w:rsidRPr="00083260">
        <w:t xml:space="preserve"> </w:t>
      </w:r>
      <w:r w:rsidRPr="00083260">
        <w:t>of terms</w:t>
      </w:r>
      <w:r w:rsidR="00912366" w:rsidRPr="00083260">
        <w:t>,</w:t>
      </w:r>
      <w:r w:rsidRPr="00083260">
        <w:t xml:space="preserve"> definitions </w:t>
      </w:r>
      <w:r w:rsidR="00912366" w:rsidRPr="00083260">
        <w:t>and exclusions</w:t>
      </w:r>
      <w:r w:rsidRPr="00083260">
        <w:t xml:space="preserve"> in insurance </w:t>
      </w:r>
      <w:r w:rsidR="00912366" w:rsidRPr="00083260">
        <w:t>offered</w:t>
      </w:r>
      <w:r w:rsidRPr="00083260">
        <w:t xml:space="preserve"> </w:t>
      </w:r>
      <w:r w:rsidR="002A02F4" w:rsidRPr="00083260">
        <w:t xml:space="preserve">through </w:t>
      </w:r>
      <w:r w:rsidR="001C2886" w:rsidRPr="00083260">
        <w:t xml:space="preserve">default </w:t>
      </w:r>
      <w:proofErr w:type="spellStart"/>
      <w:r w:rsidR="001C2886" w:rsidRPr="00083260">
        <w:t>MySuper</w:t>
      </w:r>
      <w:proofErr w:type="spellEnd"/>
      <w:r w:rsidR="001C2886" w:rsidRPr="00083260">
        <w:t xml:space="preserve"> products</w:t>
      </w:r>
      <w:r w:rsidR="002A02F4" w:rsidRPr="00083260">
        <w:t>,</w:t>
      </w:r>
      <w:r w:rsidR="00912366" w:rsidRPr="00083260">
        <w:t xml:space="preserve"> </w:t>
      </w:r>
      <w:r w:rsidR="002A02F4" w:rsidRPr="00083260">
        <w:t>to improve</w:t>
      </w:r>
      <w:r w:rsidR="00912366" w:rsidRPr="00083260">
        <w:t xml:space="preserve"> consumer outcomes</w:t>
      </w:r>
      <w:r w:rsidRPr="00083260">
        <w:t xml:space="preserve">. </w:t>
      </w:r>
      <w:r w:rsidR="00743E94" w:rsidRPr="00083260">
        <w:t xml:space="preserve">In particular, </w:t>
      </w:r>
      <w:r w:rsidR="00083260" w:rsidRPr="00083260">
        <w:t xml:space="preserve">feedback is sought on </w:t>
      </w:r>
      <w:r w:rsidR="00083260">
        <w:t>the areas in which the</w:t>
      </w:r>
      <w:r w:rsidR="00083260" w:rsidRPr="00083260">
        <w:t xml:space="preserve"> benefits of standardisation </w:t>
      </w:r>
      <w:r w:rsidR="00083260">
        <w:t xml:space="preserve">are the strongest and </w:t>
      </w:r>
      <w:r w:rsidR="00083260" w:rsidRPr="00083260">
        <w:t xml:space="preserve">the trade-offs with the capacity of trustees to tailor insurance coverage to certain cohorts of members. </w:t>
      </w:r>
      <w:r w:rsidRPr="00083260">
        <w:t>Stakeholders are encouraged to also provide views on implementation considerations relevant to the issues raised in the paper. These perspectives will be considered by Government to inform any decisions related to changes to th</w:t>
      </w:r>
      <w:r w:rsidR="00A61014">
        <w:t>e current regulatory framework.</w:t>
      </w:r>
    </w:p>
    <w:p w14:paraId="6485B4F9" w14:textId="2BB9229D" w:rsidR="00123A36" w:rsidRPr="003718C0" w:rsidRDefault="00B822F9" w:rsidP="003718C0">
      <w:pPr>
        <w:pStyle w:val="Heading2"/>
      </w:pPr>
      <w:bookmarkStart w:id="71" w:name="_Toc4503526"/>
      <w:r>
        <w:lastRenderedPageBreak/>
        <w:t xml:space="preserve">Issues for </w:t>
      </w:r>
      <w:r w:rsidRPr="0076326F">
        <w:t>discussion</w:t>
      </w:r>
      <w:bookmarkEnd w:id="67"/>
      <w:bookmarkEnd w:id="68"/>
      <w:bookmarkEnd w:id="69"/>
      <w:bookmarkEnd w:id="70"/>
      <w:bookmarkEnd w:id="71"/>
    </w:p>
    <w:p w14:paraId="60892932" w14:textId="3B56A867" w:rsidR="003E7A05" w:rsidRPr="00B628E6" w:rsidRDefault="005E7939" w:rsidP="00FA0001">
      <w:pPr>
        <w:pStyle w:val="Heading3"/>
        <w:rPr>
          <w:b w:val="0"/>
        </w:rPr>
      </w:pPr>
      <w:bookmarkStart w:id="72" w:name="_Toc2944194"/>
      <w:bookmarkStart w:id="73" w:name="_Toc2959811"/>
      <w:bookmarkStart w:id="74" w:name="_Toc4503527"/>
      <w:r>
        <w:t>The merits of setting standard terms</w:t>
      </w:r>
      <w:bookmarkEnd w:id="72"/>
      <w:r>
        <w:t xml:space="preserve"> </w:t>
      </w:r>
      <w:r w:rsidR="00860254">
        <w:t>and definitions</w:t>
      </w:r>
      <w:bookmarkEnd w:id="73"/>
      <w:bookmarkEnd w:id="74"/>
    </w:p>
    <w:p w14:paraId="64619811" w14:textId="0DE100C4" w:rsidR="002160A3" w:rsidRDefault="002160A3" w:rsidP="0089399E">
      <w:r w:rsidRPr="002160A3">
        <w:t xml:space="preserve">When considering standardising </w:t>
      </w:r>
      <w:proofErr w:type="spellStart"/>
      <w:r w:rsidRPr="002160A3">
        <w:t>MySuper</w:t>
      </w:r>
      <w:proofErr w:type="spellEnd"/>
      <w:r w:rsidRPr="002160A3">
        <w:t xml:space="preserve"> insurance, Commissioner Hayne noted</w:t>
      </w:r>
      <w:r w:rsidR="00951B51">
        <w:t xml:space="preserve"> that</w:t>
      </w:r>
      <w:r w:rsidRPr="002160A3">
        <w:t xml:space="preserve"> “key definitions, terms and exclusion clauses are central to the rights of an insured under a policy of insurance. They are the machinery that, when triggered, will require payment to be made by an insurer to an insured.”</w:t>
      </w:r>
      <w:r w:rsidRPr="002160A3">
        <w:rPr>
          <w:rStyle w:val="FootnoteReference"/>
        </w:rPr>
        <w:footnoteReference w:id="11"/>
      </w:r>
    </w:p>
    <w:p w14:paraId="4FE101C8" w14:textId="736428B4" w:rsidR="002160A3" w:rsidRPr="002160A3" w:rsidRDefault="00566426" w:rsidP="0089399E">
      <w:r>
        <w:t xml:space="preserve">Although </w:t>
      </w:r>
      <w:r w:rsidR="00951B51">
        <w:t xml:space="preserve">there would be benefits to standardising </w:t>
      </w:r>
      <w:r w:rsidR="00860254">
        <w:t xml:space="preserve">insurance </w:t>
      </w:r>
      <w:r w:rsidR="00951B51">
        <w:t>terms</w:t>
      </w:r>
      <w:r w:rsidR="00860254">
        <w:t xml:space="preserve"> and definitions for </w:t>
      </w:r>
      <w:proofErr w:type="spellStart"/>
      <w:r w:rsidR="00860254">
        <w:t>MySuper</w:t>
      </w:r>
      <w:proofErr w:type="spellEnd"/>
      <w:r w:rsidR="00860254">
        <w:t xml:space="preserve"> products</w:t>
      </w:r>
      <w:r w:rsidR="00951B51">
        <w:t xml:space="preserve">, </w:t>
      </w:r>
      <w:r w:rsidR="00F06CB0">
        <w:t xml:space="preserve">such as </w:t>
      </w:r>
      <w:r w:rsidR="00303300">
        <w:t xml:space="preserve">improving consumers’ understanding of insurance within </w:t>
      </w:r>
      <w:proofErr w:type="spellStart"/>
      <w:r w:rsidR="00303300">
        <w:t>MySuper</w:t>
      </w:r>
      <w:proofErr w:type="spellEnd"/>
      <w:r w:rsidR="00303300">
        <w:t xml:space="preserve"> products, enabling members to make more informed decisions </w:t>
      </w:r>
      <w:r w:rsidR="00AB33A6">
        <w:t xml:space="preserve">and </w:t>
      </w:r>
      <w:r w:rsidR="00303300">
        <w:t xml:space="preserve">improving the comparability of insurance products and </w:t>
      </w:r>
      <w:proofErr w:type="spellStart"/>
      <w:r w:rsidR="00303300">
        <w:t>MySuper</w:t>
      </w:r>
      <w:proofErr w:type="spellEnd"/>
      <w:r w:rsidR="00303300">
        <w:t xml:space="preserve"> products more broadly, </w:t>
      </w:r>
      <w:r w:rsidR="00860254">
        <w:t xml:space="preserve">this </w:t>
      </w:r>
      <w:r w:rsidR="00951B51">
        <w:t>require</w:t>
      </w:r>
      <w:r w:rsidR="00860254">
        <w:t>s</w:t>
      </w:r>
      <w:r w:rsidR="00951B51">
        <w:t xml:space="preserve"> careful consideration.</w:t>
      </w:r>
      <w:r w:rsidR="00D74215">
        <w:t xml:space="preserve"> These benefits, and the extent to which any benefits are realised, will depend on what terms or definitions are standardised and to what extent. </w:t>
      </w:r>
      <w:r w:rsidR="00951B51">
        <w:t xml:space="preserve">Any </w:t>
      </w:r>
      <w:r w:rsidR="00860254">
        <w:t xml:space="preserve">potential </w:t>
      </w:r>
      <w:r w:rsidR="00951B51">
        <w:t>benefit</w:t>
      </w:r>
      <w:r w:rsidR="00860254">
        <w:t>s</w:t>
      </w:r>
      <w:r w:rsidR="00951B51">
        <w:t xml:space="preserve"> should be weighed against the potential cost</w:t>
      </w:r>
      <w:r w:rsidR="00860254">
        <w:t>s, including unintended consequences</w:t>
      </w:r>
      <w:r w:rsidR="00951B51">
        <w:t>.</w:t>
      </w:r>
    </w:p>
    <w:p w14:paraId="6961B49C" w14:textId="0FF89648" w:rsidR="00BC3F1B" w:rsidRPr="00BC3F1B" w:rsidRDefault="00BC3F1B" w:rsidP="00FA2649">
      <w:pPr>
        <w:pStyle w:val="Heading4"/>
      </w:pPr>
      <w:r w:rsidRPr="00BC3F1B">
        <w:t>Total and permanent disability (TPD)</w:t>
      </w:r>
    </w:p>
    <w:p w14:paraId="3C256A3D" w14:textId="46D10880" w:rsidR="00BB1DB0" w:rsidRDefault="00860254" w:rsidP="0089399E">
      <w:r>
        <w:t xml:space="preserve">There is broad variation between definitions of TPD contained in insurance contracts associated with </w:t>
      </w:r>
      <w:proofErr w:type="spellStart"/>
      <w:r>
        <w:t>MySuper</w:t>
      </w:r>
      <w:proofErr w:type="spellEnd"/>
      <w:r>
        <w:t xml:space="preserve"> products. </w:t>
      </w:r>
      <w:r w:rsidR="00FD26FC">
        <w:t>In the</w:t>
      </w:r>
      <w:r w:rsidR="00701D36">
        <w:t xml:space="preserve"> </w:t>
      </w:r>
      <w:r w:rsidR="00BB1DB0">
        <w:t xml:space="preserve">Royal Commission </w:t>
      </w:r>
      <w:r w:rsidR="006246B1">
        <w:t>Final R</w:t>
      </w:r>
      <w:r w:rsidR="00701D36">
        <w:t>eport</w:t>
      </w:r>
      <w:r w:rsidR="00FD26FC">
        <w:t xml:space="preserve">, </w:t>
      </w:r>
      <w:r w:rsidR="00BF0D85">
        <w:t xml:space="preserve">Commissioner Hayne </w:t>
      </w:r>
      <w:r w:rsidR="002160A3">
        <w:t xml:space="preserve">referred </w:t>
      </w:r>
      <w:r w:rsidR="00951B51">
        <w:t xml:space="preserve">to </w:t>
      </w:r>
      <w:r w:rsidR="002160A3">
        <w:t>ASIC Report 591 which highlighted</w:t>
      </w:r>
      <w:r w:rsidR="00BF0D85">
        <w:t xml:space="preserve"> the difficulties that consumers face when comparing definitions in policies</w:t>
      </w:r>
      <w:r w:rsidR="00B25939">
        <w:t>,</w:t>
      </w:r>
      <w:r w:rsidR="00BF0D85">
        <w:t xml:space="preserve"> such as the definition of </w:t>
      </w:r>
      <w:r w:rsidR="00A15C38">
        <w:t>TPD</w:t>
      </w:r>
      <w:r w:rsidR="00BF0D85">
        <w:t>.</w:t>
      </w:r>
      <w:r w:rsidR="00BF0D85">
        <w:rPr>
          <w:rStyle w:val="FootnoteReference"/>
        </w:rPr>
        <w:footnoteReference w:id="12"/>
      </w:r>
      <w:r w:rsidR="00F53800">
        <w:t xml:space="preserve"> </w:t>
      </w:r>
      <w:r w:rsidR="006246B1">
        <w:t>V</w:t>
      </w:r>
      <w:r w:rsidR="00B25939">
        <w:t xml:space="preserve">arious stakeholders </w:t>
      </w:r>
      <w:r w:rsidR="006246B1">
        <w:t>have flagged that the definition of TPD</w:t>
      </w:r>
      <w:r w:rsidR="00DE70FE">
        <w:t>, in particular,</w:t>
      </w:r>
      <w:r w:rsidR="00B25939">
        <w:t xml:space="preserve"> may benefit from standardisation.</w:t>
      </w:r>
    </w:p>
    <w:p w14:paraId="156F9AB5" w14:textId="59F185B7" w:rsidR="00BB1DB0" w:rsidRDefault="00BB1DB0" w:rsidP="0089399E">
      <w:r>
        <w:t>The only current constraint on definitions of TPD is that a payment for TPD must satisfy the ‘permanent</w:t>
      </w:r>
      <w:r w:rsidR="00204FB5">
        <w:t xml:space="preserve"> incapacity’ condit</w:t>
      </w:r>
      <w:r w:rsidR="00FA0001">
        <w:t>ion of release contained in the</w:t>
      </w:r>
      <w:r w:rsidR="00204FB5">
        <w:t xml:space="preserve"> SIS Regulations. </w:t>
      </w:r>
      <w:r w:rsidR="005E7939">
        <w:t xml:space="preserve">The legislated </w:t>
      </w:r>
      <w:r w:rsidR="006246B1">
        <w:t xml:space="preserve">definition </w:t>
      </w:r>
      <w:r w:rsidR="005E7939">
        <w:t xml:space="preserve">serves as the upper limit in terms of broadness of TPD definitions that can be used within superannuation. </w:t>
      </w:r>
      <w:r w:rsidR="00204FB5">
        <w:t xml:space="preserve">This ensures that insurance benefits paid to the trustee on behalf of a member can be paid to the member at the time of the injury, and </w:t>
      </w:r>
      <w:r w:rsidR="00A76100">
        <w:t>are</w:t>
      </w:r>
      <w:r w:rsidR="00204FB5">
        <w:t xml:space="preserve"> not ‘trapped’ in the superannuation fund until the member meets another condition of release.</w:t>
      </w:r>
    </w:p>
    <w:p w14:paraId="4F10DCCA" w14:textId="41BE47E0" w:rsidR="00136C31" w:rsidRDefault="00204FB5" w:rsidP="0089399E">
      <w:r>
        <w:t xml:space="preserve">The current definition of permanent incapacity requires a trustee to be </w:t>
      </w:r>
      <w:r w:rsidR="00FC7199">
        <w:t>“</w:t>
      </w:r>
      <w:r w:rsidRPr="00204FB5">
        <w:t xml:space="preserve">reasonably satisfied that the member’s ill-health (whether physical or mental) makes it </w:t>
      </w:r>
      <w:r w:rsidRPr="001411D7">
        <w:rPr>
          <w:i/>
        </w:rPr>
        <w:t>unlikely</w:t>
      </w:r>
      <w:r w:rsidRPr="00204FB5">
        <w:t xml:space="preserve"> that the member will engage in gainful employment for which the member is reasonably qualified by education, training or experience</w:t>
      </w:r>
      <w:r w:rsidR="00A20176">
        <w:t>”</w:t>
      </w:r>
      <w:r>
        <w:t>.</w:t>
      </w:r>
      <w:r w:rsidR="00A20176">
        <w:rPr>
          <w:rStyle w:val="FootnoteReference"/>
        </w:rPr>
        <w:footnoteReference w:id="13"/>
      </w:r>
      <w:r>
        <w:t xml:space="preserve"> </w:t>
      </w:r>
      <w:r w:rsidR="006851D0" w:rsidRPr="00AB33A6">
        <w:rPr>
          <w:rFonts w:eastAsiaTheme="minorHAnsi" w:cs="Calibri"/>
          <w:szCs w:val="22"/>
          <w:lang w:eastAsia="en-US"/>
        </w:rPr>
        <w:t>The</w:t>
      </w:r>
      <w:r w:rsidR="007856DE" w:rsidRPr="006851D0">
        <w:rPr>
          <w:rFonts w:eastAsiaTheme="minorHAnsi" w:cs="Calibri"/>
          <w:szCs w:val="22"/>
          <w:lang w:eastAsia="en-US"/>
        </w:rPr>
        <w:t xml:space="preserve"> definition of permanent incapacity </w:t>
      </w:r>
      <w:r w:rsidR="006851D0" w:rsidRPr="00AB33A6">
        <w:rPr>
          <w:rFonts w:eastAsiaTheme="minorHAnsi" w:cs="Calibri"/>
          <w:szCs w:val="22"/>
          <w:lang w:eastAsia="en-US"/>
        </w:rPr>
        <w:t xml:space="preserve">intends to strike a </w:t>
      </w:r>
      <w:r w:rsidR="007856DE" w:rsidRPr="006851D0">
        <w:rPr>
          <w:rFonts w:eastAsiaTheme="minorHAnsi" w:cs="Calibri"/>
          <w:szCs w:val="22"/>
          <w:lang w:eastAsia="en-US"/>
        </w:rPr>
        <w:t xml:space="preserve">balance between the needs of members who cannot work due to ill health and the public interest of ensuring that funds are preserved for the purposes of </w:t>
      </w:r>
      <w:r w:rsidR="001064F3" w:rsidRPr="006851D0">
        <w:rPr>
          <w:rFonts w:eastAsiaTheme="minorHAnsi" w:cs="Calibri"/>
          <w:szCs w:val="22"/>
          <w:lang w:eastAsia="en-US"/>
        </w:rPr>
        <w:t>retirement income</w:t>
      </w:r>
      <w:r w:rsidR="007856DE" w:rsidRPr="006851D0">
        <w:rPr>
          <w:rFonts w:eastAsiaTheme="minorHAnsi" w:cs="Calibri"/>
          <w:szCs w:val="22"/>
          <w:lang w:eastAsia="en-US"/>
        </w:rPr>
        <w:t xml:space="preserve"> and only released under </w:t>
      </w:r>
      <w:r w:rsidR="001064F3" w:rsidRPr="006851D0">
        <w:rPr>
          <w:rFonts w:eastAsiaTheme="minorHAnsi" w:cs="Calibri"/>
          <w:szCs w:val="22"/>
          <w:lang w:eastAsia="en-US"/>
        </w:rPr>
        <w:t xml:space="preserve">limited </w:t>
      </w:r>
      <w:r w:rsidR="007948FC" w:rsidRPr="006851D0">
        <w:rPr>
          <w:rFonts w:eastAsiaTheme="minorHAnsi" w:cs="Calibri"/>
          <w:szCs w:val="22"/>
          <w:lang w:eastAsia="en-US"/>
        </w:rPr>
        <w:t>exceptional circumstances.</w:t>
      </w:r>
      <w:r w:rsidR="007856DE">
        <w:rPr>
          <w:rFonts w:eastAsiaTheme="minorHAnsi" w:cs="Calibri"/>
          <w:szCs w:val="22"/>
          <w:lang w:eastAsia="en-US"/>
        </w:rPr>
        <w:t xml:space="preserve"> </w:t>
      </w:r>
      <w:r w:rsidR="00743E94">
        <w:t>However, f</w:t>
      </w:r>
      <w:r>
        <w:t xml:space="preserve">unds and insurers can offer TPD insurance that is </w:t>
      </w:r>
      <w:r w:rsidR="00532C24">
        <w:t xml:space="preserve">formulated </w:t>
      </w:r>
      <w:r w:rsidR="002669DA">
        <w:t xml:space="preserve">more </w:t>
      </w:r>
      <w:r w:rsidR="001064F3">
        <w:t xml:space="preserve">narrowly </w:t>
      </w:r>
      <w:r w:rsidR="002669DA">
        <w:t>than</w:t>
      </w:r>
      <w:r>
        <w:t xml:space="preserve"> this definition.</w:t>
      </w:r>
    </w:p>
    <w:p w14:paraId="567ECC85" w14:textId="77777777" w:rsidR="00A61014" w:rsidRDefault="00A61014">
      <w:pPr>
        <w:spacing w:after="160" w:line="259" w:lineRule="auto"/>
        <w:jc w:val="left"/>
      </w:pPr>
      <w:r>
        <w:br w:type="page"/>
      </w:r>
    </w:p>
    <w:p w14:paraId="5B047FD6" w14:textId="354FEE89" w:rsidR="006851D0" w:rsidRDefault="00204FB5" w:rsidP="0089399E">
      <w:r>
        <w:lastRenderedPageBreak/>
        <w:t>A recent Rice Warner report</w:t>
      </w:r>
      <w:r w:rsidR="00BC3F1B">
        <w:t xml:space="preserve"> </w:t>
      </w:r>
      <w:r w:rsidR="007856DE">
        <w:t xml:space="preserve">found that </w:t>
      </w:r>
      <w:r w:rsidR="006851D0">
        <w:t>trustees</w:t>
      </w:r>
      <w:r w:rsidR="007856DE">
        <w:t xml:space="preserve"> have been increasing</w:t>
      </w:r>
      <w:r w:rsidR="00BC3F1B">
        <w:t>ly</w:t>
      </w:r>
      <w:r w:rsidR="006851D0">
        <w:t xml:space="preserve"> offering more targeted TPD coverage</w:t>
      </w:r>
      <w:r w:rsidR="007856DE">
        <w:t xml:space="preserve">, most notably to replace ‘unlikely’ with ‘unable’ or to include provisions to require retraining or </w:t>
      </w:r>
      <w:r w:rsidR="00BC3F1B">
        <w:t>rehabilitation</w:t>
      </w:r>
      <w:r w:rsidR="007856DE">
        <w:t>.</w:t>
      </w:r>
      <w:r w:rsidR="00BC3F1B" w:rsidRPr="00BC3F1B">
        <w:rPr>
          <w:rStyle w:val="FootnoteReference"/>
        </w:rPr>
        <w:t xml:space="preserve"> </w:t>
      </w:r>
      <w:r w:rsidR="00BC3F1B">
        <w:rPr>
          <w:rStyle w:val="FootnoteReference"/>
        </w:rPr>
        <w:footnoteReference w:id="14"/>
      </w:r>
      <w:r w:rsidR="00BC3F1B">
        <w:t xml:space="preserve"> </w:t>
      </w:r>
      <w:r w:rsidR="007856DE">
        <w:t>Rice Warner analysis found that of a sample of 50 industry funds, over 40 per cent of the</w:t>
      </w:r>
      <w:r w:rsidR="00BC3F1B">
        <w:t xml:space="preserve"> TPD</w:t>
      </w:r>
      <w:r w:rsidR="007856DE">
        <w:t xml:space="preserve"> definitions included </w:t>
      </w:r>
      <w:r w:rsidR="00BC3F1B">
        <w:t>retraining or rehabilitation provisions.</w:t>
      </w:r>
      <w:r w:rsidR="000F45B1">
        <w:rPr>
          <w:rStyle w:val="FootnoteReference"/>
        </w:rPr>
        <w:footnoteReference w:id="15"/>
      </w:r>
      <w:r w:rsidR="006851D0">
        <w:t xml:space="preserve"> </w:t>
      </w:r>
      <w:r w:rsidR="00DE70FE">
        <w:t>Although</w:t>
      </w:r>
      <w:r w:rsidR="006851D0">
        <w:t xml:space="preserve"> these definitions are narrow</w:t>
      </w:r>
      <w:r w:rsidR="00DE70FE">
        <w:t>er</w:t>
      </w:r>
      <w:r w:rsidR="006851D0">
        <w:t xml:space="preserve"> than the SIS Act definition </w:t>
      </w:r>
      <w:r w:rsidR="007B3DF7">
        <w:t>allows for</w:t>
      </w:r>
      <w:r w:rsidR="006851D0">
        <w:t>, they may more closely reflect trustees</w:t>
      </w:r>
      <w:r w:rsidR="00DE70FE">
        <w:t>’</w:t>
      </w:r>
      <w:r w:rsidR="006851D0">
        <w:t xml:space="preserve"> </w:t>
      </w:r>
      <w:r w:rsidR="00DE70FE">
        <w:t>broader</w:t>
      </w:r>
      <w:r w:rsidR="006851D0">
        <w:t xml:space="preserve"> obligations to members</w:t>
      </w:r>
      <w:r w:rsidR="00DE70FE">
        <w:t xml:space="preserve">, such as </w:t>
      </w:r>
      <w:r w:rsidR="00136C31">
        <w:t xml:space="preserve">under </w:t>
      </w:r>
      <w:r w:rsidR="00DE70FE">
        <w:t>the insurance covenant contained in section 52(7) of the SIS Act</w:t>
      </w:r>
      <w:r w:rsidR="006851D0">
        <w:t>.</w:t>
      </w:r>
    </w:p>
    <w:p w14:paraId="499E83D2" w14:textId="61B4A825" w:rsidR="006851D0" w:rsidRDefault="00136C31" w:rsidP="0089399E">
      <w:r>
        <w:t xml:space="preserve">Specifically, </w:t>
      </w:r>
      <w:r w:rsidR="006851D0">
        <w:t>the insurance covenant requires trustees to only offer or acquire insurance of a particular kind, or at a particular level, if the cost does not inappropriate</w:t>
      </w:r>
      <w:r w:rsidR="00DE70FE">
        <w:t>ly</w:t>
      </w:r>
      <w:r w:rsidR="006851D0">
        <w:t xml:space="preserve"> erode the retirement income of the members. For fund</w:t>
      </w:r>
      <w:r w:rsidR="00DE70FE">
        <w:t>s</w:t>
      </w:r>
      <w:r w:rsidR="006851D0">
        <w:t xml:space="preserve"> with a narrower </w:t>
      </w:r>
      <w:r w:rsidR="00DE70FE">
        <w:t>d</w:t>
      </w:r>
      <w:r>
        <w:t>efinition of</w:t>
      </w:r>
      <w:r w:rsidR="00DE70FE">
        <w:t xml:space="preserve"> TPD</w:t>
      </w:r>
      <w:r>
        <w:t xml:space="preserve"> than the SIS definition of ‘permanent incapacity’</w:t>
      </w:r>
      <w:r w:rsidR="006851D0">
        <w:t xml:space="preserve">, </w:t>
      </w:r>
      <w:r w:rsidR="00AB33A6">
        <w:t xml:space="preserve">trustees may have determined that </w:t>
      </w:r>
      <w:r w:rsidR="006851D0">
        <w:t xml:space="preserve">a more generous (and therefore more expensive) TPD product </w:t>
      </w:r>
      <w:r w:rsidR="00AB33A6">
        <w:t>would lead to the</w:t>
      </w:r>
      <w:r w:rsidR="006851D0">
        <w:t xml:space="preserve"> inappropriate</w:t>
      </w:r>
      <w:r w:rsidR="00AB33A6">
        <w:t xml:space="preserve"> erosion of</w:t>
      </w:r>
      <w:r w:rsidR="006851D0">
        <w:t xml:space="preserve"> members’ balances</w:t>
      </w:r>
      <w:r w:rsidR="00743E94">
        <w:t xml:space="preserve"> or may not be in members’ best interests</w:t>
      </w:r>
      <w:r w:rsidR="006851D0">
        <w:t>.</w:t>
      </w:r>
    </w:p>
    <w:p w14:paraId="200D5DB4" w14:textId="2E8995FB" w:rsidR="00FA057D" w:rsidRDefault="007856DE" w:rsidP="0089399E">
      <w:r>
        <w:t>The variations in the definition of TPD</w:t>
      </w:r>
      <w:r w:rsidR="008E3A82">
        <w:t xml:space="preserve"> can be a result of trustees tailoring their </w:t>
      </w:r>
      <w:r w:rsidR="002669DA">
        <w:t>insurance</w:t>
      </w:r>
      <w:r w:rsidR="008E3A82">
        <w:t xml:space="preserve"> offering to their membership</w:t>
      </w:r>
      <w:r>
        <w:t xml:space="preserve">. For example, </w:t>
      </w:r>
      <w:r w:rsidR="00BC3F1B">
        <w:t>one superannuation fund</w:t>
      </w:r>
      <w:r>
        <w:t>, upon surveying their TP</w:t>
      </w:r>
      <w:r w:rsidR="00FA057D">
        <w:t>D claimants and finding that 36 </w:t>
      </w:r>
      <w:r>
        <w:t>per</w:t>
      </w:r>
      <w:r w:rsidR="00FA057D">
        <w:t> </w:t>
      </w:r>
      <w:r>
        <w:t xml:space="preserve">cent returned to work after receiving a payout, developed a product that provides payouts in up to six annual payments depending on whether members are assessed as able to return to work. The changes to </w:t>
      </w:r>
      <w:r w:rsidR="00BC3F1B">
        <w:t>this fund’s</w:t>
      </w:r>
      <w:r>
        <w:t xml:space="preserve"> TPD product ha</w:t>
      </w:r>
      <w:r w:rsidR="00860254">
        <w:t>ve</w:t>
      </w:r>
      <w:r>
        <w:t xml:space="preserve"> reduced premiums by approximately 30</w:t>
      </w:r>
      <w:r w:rsidR="00B73D9D">
        <w:t> </w:t>
      </w:r>
      <w:r>
        <w:t>per</w:t>
      </w:r>
      <w:r w:rsidR="00860254">
        <w:t> </w:t>
      </w:r>
      <w:r>
        <w:t>cent.</w:t>
      </w:r>
      <w:r>
        <w:rPr>
          <w:rStyle w:val="FootnoteReference"/>
        </w:rPr>
        <w:footnoteReference w:id="16"/>
      </w:r>
      <w:r w:rsidR="00BC3F1B">
        <w:t xml:space="preserve"> </w:t>
      </w:r>
      <w:r w:rsidR="00FA057D">
        <w:t xml:space="preserve">At the same time, </w:t>
      </w:r>
      <w:r w:rsidR="00BC3F1B">
        <w:t xml:space="preserve">the fund </w:t>
      </w:r>
      <w:r w:rsidR="00FA057D">
        <w:t>has been criticised for offering a product paying TPD payouts in instalments to members who would otherwise receive a lump sum TPD payout.</w:t>
      </w:r>
      <w:r w:rsidR="00FA057D">
        <w:rPr>
          <w:rStyle w:val="FootnoteReference"/>
        </w:rPr>
        <w:footnoteReference w:id="17"/>
      </w:r>
    </w:p>
    <w:p w14:paraId="0A5CF06F" w14:textId="67B81DB8" w:rsidR="00AB6A6C" w:rsidRDefault="00AB6A6C" w:rsidP="0089399E">
      <w:r>
        <w:t xml:space="preserve">In this vein, some stakeholders have called for changes to the SIS Regulations to specifically allow for insurance payouts to cover the cost of early intervention </w:t>
      </w:r>
      <w:r w:rsidR="001D1D27">
        <w:t>measures</w:t>
      </w:r>
      <w:r w:rsidR="00AB33A6">
        <w:t xml:space="preserve"> </w:t>
      </w:r>
      <w:r>
        <w:t>for members to facilitate their return to work. Such payments are currently not permitted under the current conditions of release.</w:t>
      </w:r>
    </w:p>
    <w:p w14:paraId="583519CC" w14:textId="77777777" w:rsidR="008E3A82" w:rsidRDefault="00D74215" w:rsidP="0089399E">
      <w:r>
        <w:t>Given the variation that is currently occurring under the current settings, a</w:t>
      </w:r>
      <w:r w:rsidR="00430340">
        <w:t xml:space="preserve"> universal definition of TPD would ensure that all </w:t>
      </w:r>
      <w:proofErr w:type="spellStart"/>
      <w:r w:rsidR="00430340">
        <w:t>MySuper</w:t>
      </w:r>
      <w:proofErr w:type="spellEnd"/>
      <w:r w:rsidR="00430340">
        <w:t xml:space="preserve"> members would receive </w:t>
      </w:r>
      <w:r w:rsidR="00860254">
        <w:t xml:space="preserve">the same </w:t>
      </w:r>
      <w:r w:rsidR="00430340">
        <w:t>type of insurance coverage within their default superannuation product</w:t>
      </w:r>
      <w:r w:rsidR="00860254">
        <w:t xml:space="preserve"> and enable ease of comparison between </w:t>
      </w:r>
      <w:proofErr w:type="spellStart"/>
      <w:r w:rsidR="00860254">
        <w:t>MySuper</w:t>
      </w:r>
      <w:proofErr w:type="spellEnd"/>
      <w:r w:rsidR="00860254">
        <w:t xml:space="preserve"> products</w:t>
      </w:r>
      <w:r w:rsidR="00430340">
        <w:t>. However, s</w:t>
      </w:r>
      <w:r w:rsidR="00FA0001">
        <w:t xml:space="preserve">etting a standard definition of TPD for all </w:t>
      </w:r>
      <w:proofErr w:type="spellStart"/>
      <w:r w:rsidR="00FA0001">
        <w:t>MySuper</w:t>
      </w:r>
      <w:proofErr w:type="spellEnd"/>
      <w:r w:rsidR="00FA0001">
        <w:t xml:space="preserve"> products </w:t>
      </w:r>
      <w:r w:rsidR="00E82A48">
        <w:t>would</w:t>
      </w:r>
      <w:r w:rsidR="00BC3F1B">
        <w:t xml:space="preserve"> require establishing</w:t>
      </w:r>
      <w:r w:rsidR="00E82A48">
        <w:t xml:space="preserve"> a definition that is appropriate to a broad range of funds</w:t>
      </w:r>
      <w:r w:rsidR="00860254">
        <w:t>, with different membership demographics</w:t>
      </w:r>
      <w:r w:rsidR="00E82A48">
        <w:t xml:space="preserve">. It may remove the ability for trustees to use information about their membership to </w:t>
      </w:r>
      <w:r w:rsidR="00B13895">
        <w:t>offer a</w:t>
      </w:r>
      <w:r w:rsidR="00E82A48">
        <w:t xml:space="preserve"> TPD product that best suits their members’ needs. </w:t>
      </w:r>
      <w:r w:rsidR="00136C31">
        <w:t xml:space="preserve">This highlights the challenge of striking the right balance for members between standardisation and tailoring of a default offering </w:t>
      </w:r>
      <w:r w:rsidR="001C2886">
        <w:t xml:space="preserve">to </w:t>
      </w:r>
      <w:r w:rsidR="00136C31">
        <w:t>members. O</w:t>
      </w:r>
      <w:r w:rsidR="001C2886">
        <w:t xml:space="preserve">ne option may be to standardise select </w:t>
      </w:r>
      <w:r w:rsidR="00261898">
        <w:t>elements of the definition of TPD</w:t>
      </w:r>
      <w:r w:rsidR="00136C31">
        <w:t>;</w:t>
      </w:r>
      <w:r w:rsidR="00BA6720">
        <w:t xml:space="preserve"> for example ‘unlikely to return to work’ or ‘</w:t>
      </w:r>
      <w:r w:rsidR="00261898">
        <w:t>reasonably qualified’.</w:t>
      </w:r>
    </w:p>
    <w:p w14:paraId="1D432375" w14:textId="77777777" w:rsidR="00A61014" w:rsidRPr="00946522" w:rsidRDefault="00A61014" w:rsidP="00946522">
      <w:pPr>
        <w:rPr>
          <w:rFonts w:eastAsiaTheme="minorHAnsi"/>
        </w:rPr>
      </w:pPr>
    </w:p>
    <w:p w14:paraId="1C4638C9" w14:textId="77777777" w:rsidR="00A61014" w:rsidRDefault="00A61014" w:rsidP="00A61014">
      <w:pPr>
        <w:rPr>
          <w:rFonts w:eastAsiaTheme="minorHAnsi" w:cs="Arial"/>
          <w:color w:val="336E98"/>
          <w:kern w:val="32"/>
          <w:sz w:val="28"/>
          <w:szCs w:val="26"/>
        </w:rPr>
      </w:pPr>
      <w:r>
        <w:rPr>
          <w:rFonts w:eastAsiaTheme="minorHAnsi"/>
        </w:rPr>
        <w:br w:type="page"/>
      </w:r>
    </w:p>
    <w:p w14:paraId="79E6BA4B" w14:textId="33B40590" w:rsidR="00C4065A" w:rsidRPr="0089399E" w:rsidRDefault="00F670D1" w:rsidP="0089399E">
      <w:pPr>
        <w:pStyle w:val="Heading4"/>
        <w:rPr>
          <w:rFonts w:eastAsiaTheme="minorHAnsi"/>
        </w:rPr>
      </w:pPr>
      <w:r w:rsidRPr="0089399E">
        <w:rPr>
          <w:rFonts w:eastAsiaTheme="minorHAnsi"/>
        </w:rPr>
        <w:lastRenderedPageBreak/>
        <w:t>Other te</w:t>
      </w:r>
      <w:r w:rsidR="00A61014">
        <w:rPr>
          <w:rFonts w:eastAsiaTheme="minorHAnsi"/>
        </w:rPr>
        <w:t>rms, definitions and exclusions</w:t>
      </w:r>
    </w:p>
    <w:p w14:paraId="4E2DA157" w14:textId="038CADCB" w:rsidR="00F670D1" w:rsidRPr="00F670D1" w:rsidRDefault="00860254" w:rsidP="0089399E">
      <w:pPr>
        <w:rPr>
          <w:rFonts w:eastAsiaTheme="minorHAnsi"/>
          <w:lang w:eastAsia="en-US"/>
        </w:rPr>
      </w:pPr>
      <w:r>
        <w:rPr>
          <w:rFonts w:eastAsiaTheme="minorHAnsi"/>
          <w:lang w:eastAsia="en-US"/>
        </w:rPr>
        <w:t>T</w:t>
      </w:r>
      <w:r w:rsidR="006246B1">
        <w:rPr>
          <w:rFonts w:eastAsiaTheme="minorHAnsi"/>
          <w:lang w:eastAsia="en-US"/>
        </w:rPr>
        <w:t>here are many other terms that appear in insurance contracts that could be standardised</w:t>
      </w:r>
      <w:r>
        <w:rPr>
          <w:rFonts w:eastAsiaTheme="minorHAnsi"/>
          <w:lang w:eastAsia="en-US"/>
        </w:rPr>
        <w:t xml:space="preserve"> to benefit consumers</w:t>
      </w:r>
      <w:r w:rsidR="001C2886">
        <w:rPr>
          <w:rFonts w:eastAsiaTheme="minorHAnsi"/>
          <w:lang w:eastAsia="en-US"/>
        </w:rPr>
        <w:t xml:space="preserve"> by </w:t>
      </w:r>
      <w:r w:rsidR="00F670D1">
        <w:rPr>
          <w:rFonts w:eastAsiaTheme="minorHAnsi"/>
          <w:lang w:eastAsia="en-US"/>
        </w:rPr>
        <w:t xml:space="preserve">improving understanding, claims handling processes or comparability of policies, such as ‘activities of daily living’ or ‘gainfully employed’. </w:t>
      </w:r>
      <w:r w:rsidR="006246B1">
        <w:rPr>
          <w:rFonts w:eastAsiaTheme="minorHAnsi"/>
          <w:sz w:val="21"/>
          <w:szCs w:val="21"/>
          <w:lang w:eastAsia="en-US"/>
        </w:rPr>
        <w:t>I</w:t>
      </w:r>
      <w:r w:rsidR="006246B1" w:rsidRPr="006246B1">
        <w:rPr>
          <w:rFonts w:eastAsiaTheme="minorHAnsi"/>
          <w:lang w:eastAsia="en-US"/>
        </w:rPr>
        <w:t>n addition to standardising terms</w:t>
      </w:r>
      <w:r w:rsidR="00F670D1">
        <w:rPr>
          <w:rFonts w:eastAsiaTheme="minorHAnsi"/>
          <w:lang w:eastAsia="en-US"/>
        </w:rPr>
        <w:t xml:space="preserve"> and </w:t>
      </w:r>
      <w:proofErr w:type="spellStart"/>
      <w:r w:rsidR="00F670D1">
        <w:rPr>
          <w:rFonts w:eastAsiaTheme="minorHAnsi"/>
          <w:lang w:eastAsia="en-US"/>
        </w:rPr>
        <w:t>defintions</w:t>
      </w:r>
      <w:proofErr w:type="spellEnd"/>
      <w:r w:rsidR="006246B1" w:rsidRPr="006246B1">
        <w:rPr>
          <w:rFonts w:eastAsiaTheme="minorHAnsi"/>
          <w:lang w:eastAsia="en-US"/>
        </w:rPr>
        <w:t xml:space="preserve">, certain exclusions could be standardised across all </w:t>
      </w:r>
      <w:r w:rsidR="004E7D67">
        <w:rPr>
          <w:rFonts w:eastAsiaTheme="minorHAnsi"/>
          <w:lang w:eastAsia="en-US"/>
        </w:rPr>
        <w:t>insur</w:t>
      </w:r>
      <w:r w:rsidR="006246B1">
        <w:rPr>
          <w:rFonts w:eastAsiaTheme="minorHAnsi"/>
          <w:lang w:eastAsia="en-US"/>
        </w:rPr>
        <w:t xml:space="preserve">ance provided within </w:t>
      </w:r>
      <w:proofErr w:type="spellStart"/>
      <w:r w:rsidR="006246B1" w:rsidRPr="006246B1">
        <w:rPr>
          <w:rFonts w:eastAsiaTheme="minorHAnsi"/>
          <w:lang w:eastAsia="en-US"/>
        </w:rPr>
        <w:t>MySuper</w:t>
      </w:r>
      <w:proofErr w:type="spellEnd"/>
      <w:r w:rsidR="006246B1" w:rsidRPr="006246B1">
        <w:rPr>
          <w:rFonts w:eastAsiaTheme="minorHAnsi"/>
          <w:lang w:eastAsia="en-US"/>
        </w:rPr>
        <w:t xml:space="preserve"> products.</w:t>
      </w:r>
    </w:p>
    <w:tbl>
      <w:tblPr>
        <w:tblStyle w:val="TableGrid"/>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5E27E0" w14:paraId="302143F6" w14:textId="77777777" w:rsidTr="0076326F">
        <w:trPr>
          <w:trHeight w:val="2120"/>
        </w:trPr>
        <w:tc>
          <w:tcPr>
            <w:tcW w:w="9286" w:type="dxa"/>
            <w:shd w:val="clear" w:color="auto" w:fill="DEEAF6" w:themeFill="accent1" w:themeFillTint="33"/>
          </w:tcPr>
          <w:p w14:paraId="3D12DE83" w14:textId="76B23C3A" w:rsidR="005E27E0" w:rsidRPr="008541A8" w:rsidRDefault="005E27E0" w:rsidP="0076326F">
            <w:pPr>
              <w:pStyle w:val="BoxHeading"/>
            </w:pPr>
            <w:bookmarkStart w:id="75" w:name="_Toc2690124"/>
            <w:bookmarkStart w:id="76" w:name="_Toc2753713"/>
            <w:bookmarkStart w:id="77" w:name="_Toc2753746"/>
            <w:bookmarkStart w:id="78" w:name="_Toc2944195"/>
            <w:bookmarkStart w:id="79" w:name="_Toc2261852"/>
            <w:bookmarkStart w:id="80" w:name="_Toc2261851"/>
            <w:r w:rsidRPr="008541A8">
              <w:t>Questions for discussion</w:t>
            </w:r>
            <w:bookmarkEnd w:id="75"/>
            <w:bookmarkEnd w:id="76"/>
            <w:bookmarkEnd w:id="77"/>
            <w:bookmarkEnd w:id="78"/>
          </w:p>
          <w:p w14:paraId="2D5E8059" w14:textId="3C362C8F" w:rsidR="00330436" w:rsidRPr="00F670D1" w:rsidRDefault="00F670D1" w:rsidP="0076326F">
            <w:pPr>
              <w:pStyle w:val="BoxText-Numbering"/>
            </w:pPr>
            <w:r w:rsidRPr="00F670D1">
              <w:t>What are the costs and benefits of</w:t>
            </w:r>
            <w:r w:rsidR="00D74215" w:rsidRPr="00F670D1">
              <w:t xml:space="preserve"> standardisation of terms and definitions for defau</w:t>
            </w:r>
            <w:r w:rsidR="00F079E5">
              <w:t xml:space="preserve">lt </w:t>
            </w:r>
            <w:proofErr w:type="spellStart"/>
            <w:r w:rsidR="00F079E5">
              <w:t>MySuper</w:t>
            </w:r>
            <w:proofErr w:type="spellEnd"/>
            <w:r w:rsidR="00F079E5">
              <w:t xml:space="preserve"> group life policies?</w:t>
            </w:r>
          </w:p>
          <w:p w14:paraId="59E87800" w14:textId="2BE45489" w:rsidR="00330436" w:rsidRDefault="00F670D1" w:rsidP="0076326F">
            <w:pPr>
              <w:pStyle w:val="BoxText-Numbering"/>
            </w:pPr>
            <w:r w:rsidRPr="00F670D1">
              <w:t>What terms and definitions would benefit from standardisation?</w:t>
            </w:r>
            <w:r>
              <w:t xml:space="preserve"> </w:t>
            </w:r>
            <w:r w:rsidR="00330436">
              <w:t xml:space="preserve">Are there </w:t>
            </w:r>
            <w:r w:rsidR="001C2886">
              <w:t xml:space="preserve">particular </w:t>
            </w:r>
            <w:r w:rsidR="00330436">
              <w:t>terms</w:t>
            </w:r>
            <w:r w:rsidR="001C2886">
              <w:t>/definitions</w:t>
            </w:r>
            <w:r w:rsidR="00330436">
              <w:t xml:space="preserve"> where the case for standardisation is stronger</w:t>
            </w:r>
            <w:r w:rsidR="0018433D">
              <w:t xml:space="preserve"> </w:t>
            </w:r>
            <w:r w:rsidR="00DE17AF">
              <w:t>or should be prioritised</w:t>
            </w:r>
            <w:r w:rsidR="00330436">
              <w:t>?</w:t>
            </w:r>
          </w:p>
          <w:p w14:paraId="034625AD" w14:textId="24187FB5" w:rsidR="00B17715" w:rsidRDefault="00B17715" w:rsidP="0076326F">
            <w:pPr>
              <w:pStyle w:val="BoxText-Numbering"/>
            </w:pPr>
            <w:r>
              <w:t xml:space="preserve">Should </w:t>
            </w:r>
            <w:r w:rsidR="00D57CCD">
              <w:t xml:space="preserve">trustees be permitted to offer TPD insurances that </w:t>
            </w:r>
            <w:proofErr w:type="gramStart"/>
            <w:r w:rsidR="00D57CCD">
              <w:t>differs</w:t>
            </w:r>
            <w:proofErr w:type="gramEnd"/>
            <w:r w:rsidR="00D57CCD">
              <w:t xml:space="preserve"> from the definition of ‘permanent incapacity’ in the SIS Act? Is the current </w:t>
            </w:r>
            <w:r>
              <w:t xml:space="preserve">legislated definition of ‘permanent incapacity’ </w:t>
            </w:r>
            <w:r w:rsidR="00D57CCD">
              <w:t xml:space="preserve">an appropriate </w:t>
            </w:r>
            <w:r>
              <w:t>standard definition of TPD?</w:t>
            </w:r>
          </w:p>
          <w:p w14:paraId="78164B61" w14:textId="1F000C9B" w:rsidR="00D57CCD" w:rsidRDefault="00D57CCD" w:rsidP="0076326F">
            <w:pPr>
              <w:pStyle w:val="BoxText-Numbering"/>
            </w:pPr>
            <w:r>
              <w:t>Should the definition of TPD allow for rehabilitation or return to work initiatives? Why/Why not?</w:t>
            </w:r>
          </w:p>
          <w:p w14:paraId="4C4B9418" w14:textId="662D1CCA" w:rsidR="006246B1" w:rsidRDefault="00854EE0" w:rsidP="0076326F">
            <w:pPr>
              <w:pStyle w:val="BoxText-Numbering"/>
            </w:pPr>
            <w:r>
              <w:t xml:space="preserve">Is there a need for universal insurance exclusions in </w:t>
            </w:r>
            <w:proofErr w:type="spellStart"/>
            <w:r>
              <w:t>MySuper</w:t>
            </w:r>
            <w:proofErr w:type="spellEnd"/>
            <w:r>
              <w:t xml:space="preserve"> products? Why/Why not? If yes, s</w:t>
            </w:r>
            <w:r w:rsidR="006246B1">
              <w:t>hould exclusions be standardised across all</w:t>
            </w:r>
            <w:r>
              <w:t xml:space="preserve"> types of</w:t>
            </w:r>
            <w:r w:rsidR="006246B1">
              <w:t xml:space="preserve"> </w:t>
            </w:r>
            <w:r w:rsidR="002160A3" w:rsidRPr="006246B1">
              <w:t>insurance</w:t>
            </w:r>
            <w:r w:rsidR="006246B1" w:rsidRPr="006246B1">
              <w:t xml:space="preserve"> p</w:t>
            </w:r>
            <w:r w:rsidR="006246B1">
              <w:t xml:space="preserve">rovided within </w:t>
            </w:r>
            <w:proofErr w:type="spellStart"/>
            <w:r w:rsidR="006246B1">
              <w:t>MySuper</w:t>
            </w:r>
            <w:proofErr w:type="spellEnd"/>
            <w:r w:rsidR="006246B1">
              <w:t xml:space="preserve"> products?</w:t>
            </w:r>
            <w:r w:rsidR="00552956">
              <w:t xml:space="preserve"> What standardised exclusions would deliver the greatest benefit to consumers?</w:t>
            </w:r>
          </w:p>
          <w:p w14:paraId="67B544E7" w14:textId="4AA73A9E" w:rsidR="005E27E0" w:rsidRPr="0089399E" w:rsidRDefault="00B17715" w:rsidP="0076326F">
            <w:pPr>
              <w:pStyle w:val="BoxText-Numbering"/>
              <w:rPr>
                <w:rFonts w:ascii="Calibri" w:hAnsi="Calibri"/>
                <w:sz w:val="20"/>
              </w:rPr>
            </w:pPr>
            <w:r>
              <w:t xml:space="preserve">What lead time would be required for the industry to implement standardised </w:t>
            </w:r>
            <w:r w:rsidR="00854EE0">
              <w:t xml:space="preserve">terms, </w:t>
            </w:r>
            <w:r>
              <w:t>definitions</w:t>
            </w:r>
            <w:r w:rsidR="00854EE0">
              <w:t xml:space="preserve"> and exclusions if this reform was implemented</w:t>
            </w:r>
            <w:r w:rsidR="006F259E">
              <w:t>?</w:t>
            </w:r>
          </w:p>
        </w:tc>
      </w:tr>
    </w:tbl>
    <w:p w14:paraId="0C809CD6" w14:textId="77777777" w:rsidR="0089399E" w:rsidRDefault="0089399E" w:rsidP="0089399E">
      <w:pPr>
        <w:pStyle w:val="SingleParagraph"/>
      </w:pPr>
      <w:bookmarkStart w:id="81" w:name="_Toc2690125"/>
      <w:bookmarkStart w:id="82" w:name="_Toc2944196"/>
      <w:bookmarkStart w:id="83" w:name="_Toc2959812"/>
    </w:p>
    <w:p w14:paraId="5F50815C" w14:textId="2FA27D80" w:rsidR="00553D94" w:rsidRDefault="00553D94" w:rsidP="00553D94">
      <w:pPr>
        <w:pStyle w:val="Heading3"/>
      </w:pPr>
      <w:bookmarkStart w:id="84" w:name="_Toc4503528"/>
      <w:r>
        <w:t>Impact on premiums</w:t>
      </w:r>
      <w:bookmarkEnd w:id="79"/>
      <w:bookmarkEnd w:id="81"/>
      <w:bookmarkEnd w:id="82"/>
      <w:bookmarkEnd w:id="83"/>
      <w:bookmarkEnd w:id="84"/>
    </w:p>
    <w:p w14:paraId="2E7F8F3F" w14:textId="7B45253A" w:rsidR="00553D94" w:rsidRDefault="00553D94" w:rsidP="0089399E">
      <w:r w:rsidRPr="003C64B6">
        <w:t>Commissioner Hayne, in the Royal Commission Final Report</w:t>
      </w:r>
      <w:r w:rsidR="00BC3F1B">
        <w:t>,</w:t>
      </w:r>
      <w:r w:rsidRPr="003C64B6">
        <w:t xml:space="preserve"> found that changes to key terms, definitions or exclusions will almost certainly affect the cost of insurance premiums. Thi</w:t>
      </w:r>
      <w:r w:rsidR="00BC3F1B">
        <w:t>s aligns with the views of</w:t>
      </w:r>
      <w:r w:rsidRPr="003C64B6">
        <w:t xml:space="preserve"> </w:t>
      </w:r>
      <w:r w:rsidR="007A0336">
        <w:t>stakeholders</w:t>
      </w:r>
      <w:r w:rsidR="00430340">
        <w:t xml:space="preserve"> within the superannuation and insurance industry</w:t>
      </w:r>
      <w:r w:rsidR="007A0336">
        <w:t xml:space="preserve"> who have argued that any change to insurance arrangements will result in a </w:t>
      </w:r>
      <w:r w:rsidR="00F079E5">
        <w:t>change to the cost of premiums.</w:t>
      </w:r>
    </w:p>
    <w:p w14:paraId="7B40AA12" w14:textId="1F017301" w:rsidR="00234056" w:rsidRDefault="00234056" w:rsidP="0089399E">
      <w:r>
        <w:t>Typically</w:t>
      </w:r>
      <w:r w:rsidR="00C94FAA">
        <w:t>,</w:t>
      </w:r>
      <w:r w:rsidR="005F6BE3">
        <w:t xml:space="preserve"> any narrowing</w:t>
      </w:r>
      <w:r>
        <w:t xml:space="preserve"> of terms, conditions or definitions will result in fewer payouts</w:t>
      </w:r>
      <w:r w:rsidR="005F6BE3">
        <w:t xml:space="preserve">, which would be expected to lead to </w:t>
      </w:r>
      <w:r>
        <w:t>reduced premiums for members. However</w:t>
      </w:r>
      <w:r w:rsidR="00C94FAA">
        <w:t>,</w:t>
      </w:r>
      <w:r>
        <w:t xml:space="preserve"> this may not be in members’ best interests, as policies with</w:t>
      </w:r>
      <w:r w:rsidR="00330436">
        <w:t xml:space="preserve"> </w:t>
      </w:r>
      <w:r w:rsidR="003B4F75">
        <w:t>overly restrictive</w:t>
      </w:r>
      <w:r w:rsidR="007948FC">
        <w:t xml:space="preserve"> terms and conditions</w:t>
      </w:r>
      <w:r w:rsidR="005F6BE3">
        <w:t xml:space="preserve"> or increased exclusions </w:t>
      </w:r>
      <w:r>
        <w:t xml:space="preserve">risk becoming ‘junk </w:t>
      </w:r>
      <w:r w:rsidR="003B4F75">
        <w:t xml:space="preserve">insurance </w:t>
      </w:r>
      <w:r>
        <w:t xml:space="preserve">policies’ </w:t>
      </w:r>
      <w:r w:rsidR="00743E94">
        <w:t>that do not benefit members</w:t>
      </w:r>
      <w:r>
        <w:t>.</w:t>
      </w:r>
    </w:p>
    <w:p w14:paraId="45741B3F" w14:textId="3D0D84A0" w:rsidR="00A46E21" w:rsidRDefault="007A0336" w:rsidP="0089399E">
      <w:r>
        <w:t xml:space="preserve">Some funds have argued that the definitions used in their insurance contracts reflect the demographic characteristics of their fund. </w:t>
      </w:r>
      <w:r w:rsidR="00C94FAA">
        <w:t xml:space="preserve">For example, the definition of TPD may be calibrated to take into account the primary type of employment of the members of the funds. </w:t>
      </w:r>
      <w:r w:rsidR="001747D4">
        <w:t>These funds have argued that changes to TPD definitions in particular would most likely result in higher premiums across the industry.</w:t>
      </w:r>
    </w:p>
    <w:tbl>
      <w:tblPr>
        <w:tblStyle w:val="TableGrid"/>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234056" w14:paraId="0F14EBEA" w14:textId="77777777" w:rsidTr="0076326F">
        <w:trPr>
          <w:trHeight w:val="434"/>
        </w:trPr>
        <w:tc>
          <w:tcPr>
            <w:tcW w:w="9286" w:type="dxa"/>
            <w:shd w:val="clear" w:color="auto" w:fill="DEEAF6" w:themeFill="accent1" w:themeFillTint="33"/>
          </w:tcPr>
          <w:p w14:paraId="32998568" w14:textId="0E29D695" w:rsidR="00234056" w:rsidRPr="008541A8" w:rsidRDefault="00234056" w:rsidP="00A61014">
            <w:pPr>
              <w:pStyle w:val="BoxHeading"/>
              <w:keepNext w:val="0"/>
            </w:pPr>
            <w:bookmarkStart w:id="85" w:name="_Toc2690126"/>
            <w:bookmarkStart w:id="86" w:name="_Toc2753715"/>
            <w:bookmarkStart w:id="87" w:name="_Toc2753748"/>
            <w:bookmarkStart w:id="88" w:name="_Toc2944197"/>
            <w:r w:rsidRPr="008541A8">
              <w:t>Questions for discussion</w:t>
            </w:r>
            <w:bookmarkEnd w:id="85"/>
            <w:bookmarkEnd w:id="86"/>
            <w:bookmarkEnd w:id="87"/>
            <w:bookmarkEnd w:id="88"/>
          </w:p>
          <w:p w14:paraId="4FB6C203" w14:textId="495348CC" w:rsidR="00234056" w:rsidRDefault="0065558D" w:rsidP="00A61014">
            <w:pPr>
              <w:pStyle w:val="BoxText-Numbering"/>
            </w:pPr>
            <w:r>
              <w:t>To what</w:t>
            </w:r>
            <w:r w:rsidR="005F6BE3">
              <w:t xml:space="preserve"> extent would standardising terms, definitions and exclusions </w:t>
            </w:r>
            <w:r>
              <w:t xml:space="preserve">across </w:t>
            </w:r>
            <w:proofErr w:type="spellStart"/>
            <w:r>
              <w:t>MySuper</w:t>
            </w:r>
            <w:proofErr w:type="spellEnd"/>
            <w:r>
              <w:t xml:space="preserve"> products impact the price of premiums?</w:t>
            </w:r>
          </w:p>
          <w:p w14:paraId="06CD5A7C" w14:textId="65D8656E" w:rsidR="00234056" w:rsidRPr="00835E61" w:rsidRDefault="005F6BE3" w:rsidP="00F079E5">
            <w:pPr>
              <w:pStyle w:val="BoxText-Numbering"/>
            </w:pPr>
            <w:r>
              <w:t>Would th</w:t>
            </w:r>
            <w:r w:rsidR="00E96676">
              <w:t>e impact on premiums</w:t>
            </w:r>
            <w:r>
              <w:t xml:space="preserve"> outweigh the benefits of standardising the definition of TPD</w:t>
            </w:r>
            <w:r w:rsidR="00835E61">
              <w:t>, or other definitions, terms and exclusions</w:t>
            </w:r>
            <w:r>
              <w:t>?</w:t>
            </w:r>
          </w:p>
        </w:tc>
      </w:tr>
      <w:tr w:rsidR="00946522" w14:paraId="0D097DCC" w14:textId="77777777" w:rsidTr="0076326F">
        <w:trPr>
          <w:trHeight w:val="434"/>
        </w:trPr>
        <w:tc>
          <w:tcPr>
            <w:tcW w:w="9286" w:type="dxa"/>
            <w:shd w:val="clear" w:color="auto" w:fill="DEEAF6" w:themeFill="accent1" w:themeFillTint="33"/>
          </w:tcPr>
          <w:p w14:paraId="05908D21" w14:textId="2762403D" w:rsidR="00946522" w:rsidRPr="008541A8" w:rsidRDefault="00946522" w:rsidP="00946522">
            <w:pPr>
              <w:pStyle w:val="BoxHeading"/>
              <w:keepNext w:val="0"/>
            </w:pPr>
            <w:r w:rsidRPr="008541A8">
              <w:lastRenderedPageBreak/>
              <w:t>Questions for discussion</w:t>
            </w:r>
            <w:r>
              <w:t xml:space="preserve"> (continued)</w:t>
            </w:r>
          </w:p>
          <w:p w14:paraId="09315435" w14:textId="2BA21F1E" w:rsidR="00946522" w:rsidRDefault="00946522" w:rsidP="00946522">
            <w:pPr>
              <w:pStyle w:val="BoxText-Numbering"/>
            </w:pPr>
            <w:r>
              <w:t xml:space="preserve">How </w:t>
            </w:r>
            <w:proofErr w:type="gramStart"/>
            <w:r>
              <w:t>could the impact on the price of premiums</w:t>
            </w:r>
            <w:proofErr w:type="gramEnd"/>
            <w:r>
              <w:t xml:space="preserve"> be mitigated, without incentivising the creation of ‘junk insurance policies’?</w:t>
            </w:r>
          </w:p>
          <w:p w14:paraId="46DC5083" w14:textId="44783C23" w:rsidR="00946522" w:rsidRPr="008541A8" w:rsidRDefault="00946522" w:rsidP="00946522">
            <w:pPr>
              <w:pStyle w:val="BoxText-Numbering"/>
            </w:pPr>
            <w:r>
              <w:t xml:space="preserve">If terms, definitions and exclusions for </w:t>
            </w:r>
            <w:proofErr w:type="spellStart"/>
            <w:r>
              <w:t>MySuper</w:t>
            </w:r>
            <w:proofErr w:type="spellEnd"/>
            <w:r>
              <w:t xml:space="preserve"> products were standardised, how long would repricing of premiums take to flow through to members?</w:t>
            </w:r>
          </w:p>
        </w:tc>
      </w:tr>
    </w:tbl>
    <w:p w14:paraId="73110EC3" w14:textId="77777777" w:rsidR="00946522" w:rsidRDefault="00946522" w:rsidP="00946522">
      <w:pPr>
        <w:pStyle w:val="SingleParagraph"/>
      </w:pPr>
      <w:bookmarkStart w:id="89" w:name="_Toc2690127"/>
      <w:bookmarkStart w:id="90" w:name="_Toc2944198"/>
      <w:bookmarkStart w:id="91" w:name="_Toc2959813"/>
    </w:p>
    <w:p w14:paraId="17A9A1FA" w14:textId="09BB87D9" w:rsidR="00553D94" w:rsidRDefault="00553D94" w:rsidP="00553D94">
      <w:pPr>
        <w:pStyle w:val="Heading3"/>
      </w:pPr>
      <w:bookmarkStart w:id="92" w:name="_Toc4503529"/>
      <w:r>
        <w:t xml:space="preserve">Improving </w:t>
      </w:r>
      <w:r w:rsidR="00AB18EA">
        <w:t>consumers</w:t>
      </w:r>
      <w:r w:rsidR="00E76361">
        <w:t xml:space="preserve">’ </w:t>
      </w:r>
      <w:r>
        <w:t>understanding of insurance in superannuation</w:t>
      </w:r>
      <w:bookmarkEnd w:id="80"/>
      <w:bookmarkEnd w:id="89"/>
      <w:bookmarkEnd w:id="90"/>
      <w:bookmarkEnd w:id="91"/>
      <w:bookmarkEnd w:id="92"/>
    </w:p>
    <w:p w14:paraId="706EC547" w14:textId="739E5FD1" w:rsidR="00DF0F19" w:rsidRDefault="00AB18EA" w:rsidP="0089399E">
      <w:r>
        <w:t>Consumer</w:t>
      </w:r>
      <w:r w:rsidR="005F6BE3">
        <w:t xml:space="preserve"> e</w:t>
      </w:r>
      <w:r w:rsidR="00553D94" w:rsidRPr="0079006B">
        <w:t xml:space="preserve">ngagement with insurance in superannuation is notably low. </w:t>
      </w:r>
      <w:r w:rsidR="00DF0F19">
        <w:t>The Productivity Commission found that c</w:t>
      </w:r>
      <w:r w:rsidR="00DF0F19" w:rsidRPr="0079006B">
        <w:t xml:space="preserve">omplex and incomparable policies impede member </w:t>
      </w:r>
      <w:r w:rsidR="00AB6A6C" w:rsidRPr="0079006B">
        <w:t>decision-making</w:t>
      </w:r>
      <w:r w:rsidR="00DF0F19">
        <w:t xml:space="preserve"> in relation to </w:t>
      </w:r>
      <w:r w:rsidR="00AB6A6C">
        <w:t xml:space="preserve">both </w:t>
      </w:r>
      <w:r w:rsidR="00DF0F19">
        <w:t xml:space="preserve">insurance and superannuation products more broadly. </w:t>
      </w:r>
      <w:r w:rsidR="00F23126">
        <w:t xml:space="preserve">It also noted </w:t>
      </w:r>
      <w:r w:rsidR="00AB6A6C">
        <w:t xml:space="preserve">a </w:t>
      </w:r>
      <w:r w:rsidR="00F23126">
        <w:t>lack of comparability of insurance products may act as a barrier to switching superannuation products</w:t>
      </w:r>
      <w:r w:rsidR="00F079E5">
        <w:t>.</w:t>
      </w:r>
    </w:p>
    <w:p w14:paraId="5D9140AB" w14:textId="556FA73F" w:rsidR="00553D94" w:rsidRDefault="00553D94" w:rsidP="0089399E">
      <w:r w:rsidRPr="0079006B">
        <w:t>The Productivity Commission’s survey</w:t>
      </w:r>
      <w:r w:rsidR="005F6BE3">
        <w:t xml:space="preserve"> of members</w:t>
      </w:r>
      <w:r w:rsidRPr="0079006B">
        <w:t xml:space="preserve"> foun</w:t>
      </w:r>
      <w:r w:rsidR="00353DF2">
        <w:t>d that 24 per cent of members did</w:t>
      </w:r>
      <w:r w:rsidRPr="0079006B">
        <w:t xml:space="preserve"> not know if there was insurance in their</w:t>
      </w:r>
      <w:r w:rsidR="00DF0F19">
        <w:t xml:space="preserve"> superannuation product</w:t>
      </w:r>
      <w:r w:rsidRPr="0079006B">
        <w:t>, and a further 16 per cent knew they paid for insurance but did not know what that insurance</w:t>
      </w:r>
      <w:r w:rsidR="00DF0F19">
        <w:t xml:space="preserve"> covered</w:t>
      </w:r>
      <w:r w:rsidRPr="0079006B">
        <w:t>. The Productivity Commission also found that 79 per cent of members have never made changes to their de</w:t>
      </w:r>
      <w:r>
        <w:t>fault insurance.</w:t>
      </w:r>
      <w:r w:rsidR="00BF0AF1">
        <w:rPr>
          <w:rStyle w:val="FootnoteReference"/>
        </w:rPr>
        <w:footnoteReference w:id="18"/>
      </w:r>
    </w:p>
    <w:p w14:paraId="1A775BCD" w14:textId="08F256CF" w:rsidR="00353DF2" w:rsidRDefault="003B2381" w:rsidP="0089399E">
      <w:r>
        <w:t>Standardising terms, definitions and exclusions for</w:t>
      </w:r>
      <w:r w:rsidR="00353DF2">
        <w:t xml:space="preserve"> </w:t>
      </w:r>
      <w:proofErr w:type="spellStart"/>
      <w:r w:rsidR="00353DF2">
        <w:t>MySuper</w:t>
      </w:r>
      <w:proofErr w:type="spellEnd"/>
      <w:r w:rsidR="00353DF2">
        <w:t xml:space="preserve"> products would mean that superannuation funds would need to compete</w:t>
      </w:r>
      <w:r w:rsidR="00AB6A6C">
        <w:t xml:space="preserve"> more heavily</w:t>
      </w:r>
      <w:r w:rsidR="00353DF2">
        <w:t xml:space="preserve"> on features such as </w:t>
      </w:r>
      <w:r w:rsidR="00353DF2" w:rsidRPr="003C64B6">
        <w:t>price, benefit level and claims handling experience</w:t>
      </w:r>
      <w:r>
        <w:t>. Stakeholders have suggested</w:t>
      </w:r>
      <w:r w:rsidR="00353DF2">
        <w:t xml:space="preserve"> these features are easier for consumers to compare, </w:t>
      </w:r>
      <w:r w:rsidR="00B62C2F">
        <w:t>rather than</w:t>
      </w:r>
      <w:r w:rsidR="00353DF2">
        <w:t xml:space="preserve"> </w:t>
      </w:r>
      <w:r w:rsidR="00B62C2F">
        <w:t>complex terms, c</w:t>
      </w:r>
      <w:r w:rsidR="00353DF2">
        <w:t xml:space="preserve">onditions </w:t>
      </w:r>
      <w:r w:rsidR="00B62C2F">
        <w:t>and exclusions</w:t>
      </w:r>
      <w:r>
        <w:t>, which vary considerably between products</w:t>
      </w:r>
      <w:r w:rsidR="00353DF2">
        <w:t>.</w:t>
      </w:r>
      <w:r w:rsidR="001747D4">
        <w:t xml:space="preserve"> As Commissioner Hayne noted “</w:t>
      </w:r>
      <w:r w:rsidR="001747D4" w:rsidRPr="001747D4">
        <w:t>insurance contracts can often be difficult for the average consumer to navigate and understand. And subtle differences in definitions, terms and exclusions from one policy to another can make the task of comparing policies particularly challenging</w:t>
      </w:r>
      <w:r w:rsidR="00F23126">
        <w:t>.</w:t>
      </w:r>
      <w:r w:rsidR="001747D4" w:rsidRPr="001747D4">
        <w:t>”</w:t>
      </w:r>
      <w:r w:rsidR="001747D4">
        <w:rPr>
          <w:rStyle w:val="FootnoteReference"/>
        </w:rPr>
        <w:footnoteReference w:id="19"/>
      </w:r>
      <w:r w:rsidR="00E90202">
        <w:t xml:space="preserve"> </w:t>
      </w:r>
      <w:r w:rsidR="00353DF2">
        <w:t xml:space="preserve">In addition, </w:t>
      </w:r>
      <w:r>
        <w:t>standardised terms</w:t>
      </w:r>
      <w:r w:rsidR="00353DF2">
        <w:t xml:space="preserve"> for</w:t>
      </w:r>
      <w:r>
        <w:t xml:space="preserve"> insurance within</w:t>
      </w:r>
      <w:r w:rsidR="00353DF2">
        <w:t xml:space="preserve"> </w:t>
      </w:r>
      <w:proofErr w:type="spellStart"/>
      <w:r w:rsidR="00353DF2">
        <w:t>MySuper</w:t>
      </w:r>
      <w:proofErr w:type="spellEnd"/>
      <w:r w:rsidR="00353DF2">
        <w:t xml:space="preserve"> would make comparisons between </w:t>
      </w:r>
      <w:proofErr w:type="spellStart"/>
      <w:r w:rsidR="00353DF2">
        <w:t>MySuper</w:t>
      </w:r>
      <w:proofErr w:type="spellEnd"/>
      <w:r w:rsidR="00353DF2">
        <w:t xml:space="preserve"> products much easier</w:t>
      </w:r>
      <w:r w:rsidR="00F23126">
        <w:t>,</w:t>
      </w:r>
      <w:r w:rsidR="00B62C2F">
        <w:t xml:space="preserve"> with the noise of variable terms and conditions removed.</w:t>
      </w:r>
    </w:p>
    <w:p w14:paraId="12BAB459" w14:textId="170BAFF0" w:rsidR="00D57CCD" w:rsidRDefault="00D57CCD" w:rsidP="0089399E">
      <w:r>
        <w:t>Standardised terms may also improve the claims handling process for members who make a claim. Simplifying the claims handling process may reduce the need for members to engage legal advocates when making a claim on their insurance. The Insurance in Superannuation Working Group</w:t>
      </w:r>
      <w:r w:rsidR="00E90202">
        <w:t xml:space="preserve"> noted</w:t>
      </w:r>
      <w:r>
        <w:t xml:space="preserve"> </w:t>
      </w:r>
      <w:r w:rsidR="003B4F75">
        <w:t xml:space="preserve">in </w:t>
      </w:r>
      <w:r>
        <w:t>its discussion paper on claims handling</w:t>
      </w:r>
      <w:r w:rsidR="00E90202">
        <w:t xml:space="preserve"> </w:t>
      </w:r>
      <w:r w:rsidR="001E45E6">
        <w:t>“</w:t>
      </w:r>
      <w:r>
        <w:t xml:space="preserve">the involvement of a legal adviser </w:t>
      </w:r>
      <w:r w:rsidR="003B4F75">
        <w:t xml:space="preserve">in the </w:t>
      </w:r>
      <w:r>
        <w:t>early stages of a claim exp</w:t>
      </w:r>
      <w:r w:rsidR="001E45E6">
        <w:t>oses people claiming to a risk of unnecessarily paying legal fees, as well as unnecessary delays due to the involvement of a third party in the communications.”</w:t>
      </w:r>
      <w:r w:rsidR="001E45E6">
        <w:rPr>
          <w:rStyle w:val="FootnoteReference"/>
        </w:rPr>
        <w:footnoteReference w:id="20"/>
      </w:r>
    </w:p>
    <w:p w14:paraId="3CA3E6FF" w14:textId="36640BDC" w:rsidR="00B62C2F" w:rsidRDefault="00B62C2F" w:rsidP="0089399E">
      <w:r>
        <w:t>Industry ha</w:t>
      </w:r>
      <w:r w:rsidR="003B2381">
        <w:t>s</w:t>
      </w:r>
      <w:r>
        <w:t xml:space="preserve"> taken steps to improve engagement and understanding </w:t>
      </w:r>
      <w:r w:rsidR="003B2381">
        <w:t xml:space="preserve">of </w:t>
      </w:r>
      <w:r>
        <w:t xml:space="preserve">insurance in superannuation through the development of the Insurance in Superannuation Voluntary Code of Conduct, including by the use of plain language in communications and by the use of ‘Key Fact Sheets’. These initiatives </w:t>
      </w:r>
      <w:r w:rsidR="003B2381">
        <w:t xml:space="preserve">may </w:t>
      </w:r>
      <w:r>
        <w:t>be bolstered by the introduction of standardised terms</w:t>
      </w:r>
      <w:r w:rsidR="003B2381">
        <w:t>, similar to the use of standardised terms in other insurance Key Facts Sheets, such as for flood insurance</w:t>
      </w:r>
      <w:r w:rsidR="00F079E5">
        <w:t>.</w:t>
      </w:r>
    </w:p>
    <w:p w14:paraId="286AC5E0" w14:textId="67AC0AA4" w:rsidR="00553D94" w:rsidRDefault="003B2381" w:rsidP="0089399E">
      <w:r>
        <w:lastRenderedPageBreak/>
        <w:t>Although</w:t>
      </w:r>
      <w:r w:rsidR="00C94FAA">
        <w:t xml:space="preserve"> increased standardisation in itself would not improve</w:t>
      </w:r>
      <w:r>
        <w:t xml:space="preserve"> member</w:t>
      </w:r>
      <w:r w:rsidR="00C94FAA">
        <w:t xml:space="preserve"> engagement with insurance in superannuation, it </w:t>
      </w:r>
      <w:r>
        <w:t xml:space="preserve">is </w:t>
      </w:r>
      <w:r w:rsidR="00C94FAA">
        <w:t xml:space="preserve">likely that standardisation </w:t>
      </w:r>
      <w:r>
        <w:t xml:space="preserve">of terms and definitions </w:t>
      </w:r>
      <w:r w:rsidR="00C94FAA">
        <w:t>would improve the experience and understanding for consumers who</w:t>
      </w:r>
      <w:r w:rsidR="00BC50A4">
        <w:t xml:space="preserve"> claim against their insurance product or otherwise</w:t>
      </w:r>
      <w:r w:rsidR="00C94FAA">
        <w:t xml:space="preserve"> </w:t>
      </w:r>
      <w:r>
        <w:t xml:space="preserve">choose to </w:t>
      </w:r>
      <w:r w:rsidR="00C94FAA">
        <w:t>engage.</w:t>
      </w:r>
      <w:r w:rsidR="00B62C2F">
        <w:t xml:space="preserve"> </w:t>
      </w:r>
      <w:r w:rsidR="00AB6A6C">
        <w:t>On the other hand</w:t>
      </w:r>
      <w:r>
        <w:t xml:space="preserve">, </w:t>
      </w:r>
      <w:r w:rsidR="00EB38EC">
        <w:t xml:space="preserve">if </w:t>
      </w:r>
      <w:r w:rsidR="00B62C2F">
        <w:t xml:space="preserve">trustees and insurers </w:t>
      </w:r>
      <w:r w:rsidR="00A176B8">
        <w:t xml:space="preserve">did not </w:t>
      </w:r>
      <w:r w:rsidR="00B62C2F">
        <w:t>adopt</w:t>
      </w:r>
      <w:r w:rsidR="00694F19">
        <w:t xml:space="preserve"> the </w:t>
      </w:r>
      <w:proofErr w:type="spellStart"/>
      <w:r w:rsidR="00A176B8">
        <w:t>MySuper</w:t>
      </w:r>
      <w:proofErr w:type="spellEnd"/>
      <w:r w:rsidR="00A176B8">
        <w:t xml:space="preserve"> </w:t>
      </w:r>
      <w:r w:rsidR="001747D4">
        <w:t>standardised</w:t>
      </w:r>
      <w:r w:rsidR="00B62C2F">
        <w:t xml:space="preserve"> terms for their choice products, it could lead to increased confusion for</w:t>
      </w:r>
      <w:r w:rsidR="00EB38EC">
        <w:t xml:space="preserve"> choice</w:t>
      </w:r>
      <w:r w:rsidR="00B62C2F">
        <w:t xml:space="preserve"> members.</w:t>
      </w:r>
    </w:p>
    <w:tbl>
      <w:tblPr>
        <w:tblStyle w:val="TableGrid"/>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6105BF" w14:paraId="75301C79" w14:textId="77777777" w:rsidTr="0076326F">
        <w:trPr>
          <w:trHeight w:val="1609"/>
        </w:trPr>
        <w:tc>
          <w:tcPr>
            <w:tcW w:w="9286" w:type="dxa"/>
            <w:shd w:val="clear" w:color="auto" w:fill="DEEAF6" w:themeFill="accent1" w:themeFillTint="33"/>
          </w:tcPr>
          <w:p w14:paraId="490DBE04" w14:textId="0D6B9115" w:rsidR="006105BF" w:rsidRPr="0076326F" w:rsidRDefault="006105BF" w:rsidP="0076326F">
            <w:pPr>
              <w:pStyle w:val="BoxHeading"/>
            </w:pPr>
            <w:bookmarkStart w:id="93" w:name="_Toc2690128"/>
            <w:bookmarkStart w:id="94" w:name="_Toc2753717"/>
            <w:bookmarkStart w:id="95" w:name="_Toc2753750"/>
            <w:bookmarkStart w:id="96" w:name="_Toc2944199"/>
            <w:r w:rsidRPr="0076326F">
              <w:t>Questions for discussion</w:t>
            </w:r>
            <w:bookmarkEnd w:id="93"/>
            <w:bookmarkEnd w:id="94"/>
            <w:bookmarkEnd w:id="95"/>
            <w:bookmarkEnd w:id="96"/>
          </w:p>
          <w:p w14:paraId="13FC9283" w14:textId="61A0C54E" w:rsidR="0065558D" w:rsidRDefault="000C43C4" w:rsidP="0076326F">
            <w:pPr>
              <w:pStyle w:val="BoxText-Numbering"/>
            </w:pPr>
            <w:r>
              <w:t>To what extent w</w:t>
            </w:r>
            <w:r w:rsidR="003B2381">
              <w:t xml:space="preserve">ould standardised terms, definitions and exclusions for </w:t>
            </w:r>
            <w:proofErr w:type="spellStart"/>
            <w:r w:rsidR="003B2381">
              <w:t>MySuper</w:t>
            </w:r>
            <w:proofErr w:type="spellEnd"/>
            <w:r w:rsidR="003B2381">
              <w:t xml:space="preserve"> products </w:t>
            </w:r>
            <w:r w:rsidR="0065558D">
              <w:t xml:space="preserve">improve </w:t>
            </w:r>
            <w:r w:rsidR="00AB18EA">
              <w:t xml:space="preserve">consumer </w:t>
            </w:r>
            <w:r w:rsidR="0065558D">
              <w:t>understanding</w:t>
            </w:r>
            <w:r w:rsidR="003B2381">
              <w:t xml:space="preserve"> of ins</w:t>
            </w:r>
            <w:r w:rsidR="00AB18EA">
              <w:t>urance in superannuation</w:t>
            </w:r>
            <w:r w:rsidR="0065558D">
              <w:t>?</w:t>
            </w:r>
            <w:r>
              <w:t xml:space="preserve"> What particular changes would deliver the greatest benefits to consumer outcomes?</w:t>
            </w:r>
          </w:p>
          <w:p w14:paraId="4620D8F6" w14:textId="2CAE750C" w:rsidR="0065558D" w:rsidRPr="006105BF" w:rsidRDefault="0065558D" w:rsidP="0076326F">
            <w:pPr>
              <w:pStyle w:val="BoxText-Numbering"/>
            </w:pPr>
            <w:r>
              <w:t>Are there other ways to improve consumer understanding of insurance in superannuation without standardising terms</w:t>
            </w:r>
            <w:r w:rsidR="000C43C4">
              <w:t>/definitions/exclusions</w:t>
            </w:r>
            <w:r>
              <w:t>?</w:t>
            </w:r>
          </w:p>
        </w:tc>
      </w:tr>
    </w:tbl>
    <w:p w14:paraId="01509520" w14:textId="0A6BD1F6" w:rsidR="006105BF" w:rsidRPr="0079006B" w:rsidRDefault="006105BF" w:rsidP="0089399E">
      <w:pPr>
        <w:pStyle w:val="SingleParagraph"/>
        <w:rPr>
          <w:rFonts w:eastAsiaTheme="minorHAnsi"/>
        </w:rPr>
      </w:pPr>
    </w:p>
    <w:p w14:paraId="74FDEE0A" w14:textId="25849C2F" w:rsidR="00C84E78" w:rsidRDefault="00C84E78" w:rsidP="00C84E78">
      <w:pPr>
        <w:pStyle w:val="Heading3"/>
      </w:pPr>
      <w:bookmarkStart w:id="97" w:name="_Toc2261854"/>
      <w:bookmarkStart w:id="98" w:name="_Toc2944200"/>
      <w:bookmarkStart w:id="99" w:name="_Toc2959814"/>
      <w:bookmarkStart w:id="100" w:name="_Toc4503530"/>
      <w:bookmarkStart w:id="101" w:name="_Toc2690129"/>
      <w:r>
        <w:t>Merits of prescribing minimum, maximum or set levels of cover</w:t>
      </w:r>
      <w:bookmarkEnd w:id="97"/>
      <w:bookmarkEnd w:id="98"/>
      <w:bookmarkEnd w:id="99"/>
      <w:bookmarkEnd w:id="100"/>
    </w:p>
    <w:bookmarkEnd w:id="101"/>
    <w:p w14:paraId="3A0968F0" w14:textId="4E673425" w:rsidR="003322D2" w:rsidRDefault="004A321D" w:rsidP="0089399E">
      <w:r w:rsidRPr="00A61277">
        <w:t>The design of insurance benefit</w:t>
      </w:r>
      <w:r w:rsidR="003C64B6">
        <w:t xml:space="preserve">s </w:t>
      </w:r>
      <w:r w:rsidR="003C068A">
        <w:t>is</w:t>
      </w:r>
      <w:r w:rsidR="003C64B6">
        <w:t xml:space="preserve"> generally left to trustee</w:t>
      </w:r>
      <w:r w:rsidRPr="00A61277">
        <w:t>s</w:t>
      </w:r>
      <w:r w:rsidR="003C64B6">
        <w:t>’</w:t>
      </w:r>
      <w:r w:rsidRPr="00A61277">
        <w:t xml:space="preserve"> discretion. </w:t>
      </w:r>
      <w:r w:rsidR="00353DF2" w:rsidRPr="00A61277">
        <w:t xml:space="preserve">Commissioner Hayne recommended </w:t>
      </w:r>
      <w:r w:rsidR="007948FC">
        <w:t>consideration be given to the merits of</w:t>
      </w:r>
      <w:r w:rsidR="00353DF2" w:rsidRPr="00A61277">
        <w:t xml:space="preserve"> prescribing minimum, maximum or fixed levels of coverage for life and/or TPD insurance so as to set a standard amount of default insurance across all </w:t>
      </w:r>
      <w:proofErr w:type="spellStart"/>
      <w:r w:rsidR="00353DF2" w:rsidRPr="00A61277">
        <w:t>MySuper</w:t>
      </w:r>
      <w:proofErr w:type="spellEnd"/>
      <w:r w:rsidR="00353DF2" w:rsidRPr="00A61277">
        <w:t xml:space="preserve"> products</w:t>
      </w:r>
      <w:r w:rsidR="00353DF2">
        <w:t>.</w:t>
      </w:r>
    </w:p>
    <w:p w14:paraId="2BCF6520" w14:textId="7DB0C25F" w:rsidR="00C81AFA" w:rsidRPr="00C81AFA" w:rsidRDefault="00C81AFA" w:rsidP="00FA2649">
      <w:pPr>
        <w:pStyle w:val="Heading4"/>
      </w:pPr>
      <w:r w:rsidRPr="00C81AFA">
        <w:t>A maximum or set level of cover</w:t>
      </w:r>
    </w:p>
    <w:p w14:paraId="52F53601" w14:textId="11A26D6A" w:rsidR="003322D2" w:rsidRPr="00A61277" w:rsidRDefault="00353DF2" w:rsidP="0089399E">
      <w:r>
        <w:t xml:space="preserve">Commissioner Hayne’s proposal </w:t>
      </w:r>
      <w:r w:rsidR="00594B7A" w:rsidRPr="00A61277">
        <w:t xml:space="preserve">can be considered in </w:t>
      </w:r>
      <w:r w:rsidR="003322D2" w:rsidRPr="00A61277">
        <w:t xml:space="preserve">light of the intention of </w:t>
      </w:r>
      <w:proofErr w:type="spellStart"/>
      <w:r w:rsidR="003322D2" w:rsidRPr="00A61277">
        <w:t>MySuper</w:t>
      </w:r>
      <w:proofErr w:type="spellEnd"/>
      <w:r w:rsidR="003322D2" w:rsidRPr="00A61277">
        <w:t xml:space="preserve"> products</w:t>
      </w:r>
      <w:r w:rsidR="00A56E1A">
        <w:t>,</w:t>
      </w:r>
      <w:r w:rsidR="003322D2" w:rsidRPr="00A61277">
        <w:t xml:space="preserve"> as envisaged by the Coope</w:t>
      </w:r>
      <w:r w:rsidR="00594B7A" w:rsidRPr="00A61277">
        <w:t>r R</w:t>
      </w:r>
      <w:r w:rsidR="003322D2" w:rsidRPr="00A61277">
        <w:t>eview</w:t>
      </w:r>
      <w:r w:rsidR="00A56E1A">
        <w:t>,</w:t>
      </w:r>
      <w:r w:rsidR="003322D2" w:rsidRPr="00A61277">
        <w:t xml:space="preserve"> </w:t>
      </w:r>
      <w:r w:rsidR="00A56E1A">
        <w:t>to</w:t>
      </w:r>
      <w:r w:rsidR="003322D2" w:rsidRPr="00A61277">
        <w:t xml:space="preserve"> a simple, </w:t>
      </w:r>
      <w:r w:rsidR="00553D94">
        <w:t>cost-effective</w:t>
      </w:r>
      <w:r w:rsidR="003322D2" w:rsidRPr="00A61277">
        <w:t xml:space="preserve"> product for members who do not choose their own fund. </w:t>
      </w:r>
      <w:proofErr w:type="spellStart"/>
      <w:r w:rsidR="003322D2" w:rsidRPr="00A61277">
        <w:t>MySuper</w:t>
      </w:r>
      <w:proofErr w:type="spellEnd"/>
      <w:r w:rsidR="003322D2" w:rsidRPr="00A61277">
        <w:t xml:space="preserve"> products were not intended to provide members with unnecessary ‘bells and whistles’.</w:t>
      </w:r>
      <w:r w:rsidR="003322D2" w:rsidRPr="00857D6A">
        <w:rPr>
          <w:vertAlign w:val="superscript"/>
        </w:rPr>
        <w:footnoteReference w:id="21"/>
      </w:r>
      <w:r w:rsidR="003322D2" w:rsidRPr="00857D6A">
        <w:rPr>
          <w:vertAlign w:val="superscript"/>
        </w:rPr>
        <w:t xml:space="preserve"> </w:t>
      </w:r>
      <w:r w:rsidR="00594B7A" w:rsidRPr="00A61277">
        <w:t xml:space="preserve">A prescribed level </w:t>
      </w:r>
      <w:r w:rsidR="007948FC">
        <w:t xml:space="preserve">or maximum level </w:t>
      </w:r>
      <w:r w:rsidR="00594B7A" w:rsidRPr="00A61277">
        <w:t xml:space="preserve">of </w:t>
      </w:r>
      <w:r w:rsidR="007948FC">
        <w:t xml:space="preserve">insurance </w:t>
      </w:r>
      <w:r w:rsidR="00594B7A" w:rsidRPr="00A61277">
        <w:t xml:space="preserve">cover </w:t>
      </w:r>
      <w:r w:rsidR="007948FC">
        <w:t>could be argued to</w:t>
      </w:r>
      <w:r w:rsidR="00594B7A" w:rsidRPr="00A61277">
        <w:t xml:space="preserve"> be</w:t>
      </w:r>
      <w:r w:rsidR="003322D2" w:rsidRPr="00A61277">
        <w:t xml:space="preserve"> consistent with the purpose of including default insurance with</w:t>
      </w:r>
      <w:r w:rsidR="00A56E1A">
        <w:t>in</w:t>
      </w:r>
      <w:r w:rsidR="003322D2" w:rsidRPr="00A61277">
        <w:t xml:space="preserve"> </w:t>
      </w:r>
      <w:proofErr w:type="spellStart"/>
      <w:r w:rsidR="003322D2" w:rsidRPr="00A61277">
        <w:t>MySuper</w:t>
      </w:r>
      <w:proofErr w:type="spellEnd"/>
      <w:r w:rsidR="003322D2" w:rsidRPr="00A61277">
        <w:t xml:space="preserve"> products</w:t>
      </w:r>
      <w:r w:rsidR="007948FC">
        <w:t>;</w:t>
      </w:r>
      <w:r w:rsidR="003322D2" w:rsidRPr="00A61277">
        <w:t xml:space="preserve"> that is</w:t>
      </w:r>
      <w:r w:rsidR="00A56E1A">
        <w:t>,</w:t>
      </w:r>
      <w:r w:rsidR="003322D2" w:rsidRPr="00A61277" w:rsidDel="00A56E1A">
        <w:t xml:space="preserve"> </w:t>
      </w:r>
      <w:r w:rsidR="003322D2" w:rsidRPr="00A61277">
        <w:t xml:space="preserve">to provide ‘safety net’ insurance for members who </w:t>
      </w:r>
      <w:r w:rsidR="00A56E1A">
        <w:t>do</w:t>
      </w:r>
      <w:r w:rsidR="003322D2" w:rsidRPr="00A61277">
        <w:t xml:space="preserve"> not engage with </w:t>
      </w:r>
      <w:r w:rsidR="00A56E1A">
        <w:t xml:space="preserve">their </w:t>
      </w:r>
      <w:r w:rsidR="003322D2" w:rsidRPr="00A61277">
        <w:t xml:space="preserve">insurance needs. </w:t>
      </w:r>
      <w:proofErr w:type="spellStart"/>
      <w:r w:rsidR="003322D2" w:rsidRPr="00A61277">
        <w:t>MySuper</w:t>
      </w:r>
      <w:proofErr w:type="spellEnd"/>
      <w:r w:rsidR="003322D2" w:rsidRPr="00A61277">
        <w:t xml:space="preserve"> members who wish to hold insurance above the base level of cover </w:t>
      </w:r>
      <w:r w:rsidR="00A56E1A">
        <w:t xml:space="preserve">can </w:t>
      </w:r>
      <w:r w:rsidR="003322D2" w:rsidRPr="00A61277">
        <w:t xml:space="preserve">still able opt into higher levels of cover, which </w:t>
      </w:r>
      <w:r w:rsidR="00A56E1A">
        <w:t>is</w:t>
      </w:r>
      <w:r w:rsidR="003322D2" w:rsidRPr="00A61277" w:rsidDel="00A56E1A">
        <w:t xml:space="preserve"> </w:t>
      </w:r>
      <w:r w:rsidR="003322D2" w:rsidRPr="00A61277">
        <w:t>subject to concessional tax treatment and automatic acceptance where availabl</w:t>
      </w:r>
      <w:r w:rsidR="00594B7A" w:rsidRPr="00A61277">
        <w:t>e</w:t>
      </w:r>
      <w:r w:rsidR="00F079E5">
        <w:t>.</w:t>
      </w:r>
    </w:p>
    <w:p w14:paraId="4B79262B" w14:textId="5A7537E7" w:rsidR="00594B7A" w:rsidRPr="00A61277" w:rsidRDefault="00594B7A" w:rsidP="0089399E">
      <w:r w:rsidRPr="00A61277">
        <w:t xml:space="preserve">On the other hand, additional prescription </w:t>
      </w:r>
      <w:r w:rsidR="007948FC">
        <w:t>can lead</w:t>
      </w:r>
      <w:r w:rsidRPr="00A61277">
        <w:t xml:space="preserve"> to less tailored insurance coverage</w:t>
      </w:r>
      <w:r w:rsidR="00E90202">
        <w:t xml:space="preserve"> for funds’ </w:t>
      </w:r>
      <w:r w:rsidR="007948FC">
        <w:t>memberships</w:t>
      </w:r>
      <w:r w:rsidRPr="00A61277">
        <w:t xml:space="preserve">. </w:t>
      </w:r>
      <w:r w:rsidR="007948FC">
        <w:t>A lack of</w:t>
      </w:r>
      <w:r w:rsidR="003322D2" w:rsidRPr="00A61277">
        <w:t xml:space="preserve"> tailoring of cover </w:t>
      </w:r>
      <w:r w:rsidR="00330436">
        <w:t>may</w:t>
      </w:r>
      <w:r w:rsidR="00330436" w:rsidRPr="00A61277">
        <w:t xml:space="preserve"> </w:t>
      </w:r>
      <w:r w:rsidR="003322D2" w:rsidRPr="00A61277">
        <w:t>result in members with cover that is</w:t>
      </w:r>
      <w:r w:rsidRPr="00A61277">
        <w:t xml:space="preserve"> </w:t>
      </w:r>
      <w:r w:rsidR="00330436">
        <w:t>of less</w:t>
      </w:r>
      <w:r w:rsidR="00330436" w:rsidRPr="00A61277">
        <w:t xml:space="preserve"> </w:t>
      </w:r>
      <w:r w:rsidR="003322D2" w:rsidRPr="00A61277">
        <w:t xml:space="preserve">value or causes excessive erosion of balances. The Productivity Commission </w:t>
      </w:r>
      <w:r w:rsidRPr="00A61277">
        <w:t>found that most funds use some member information when setting their insurance cover</w:t>
      </w:r>
      <w:r w:rsidR="00533E25" w:rsidRPr="00A61277">
        <w:t>, including data on the age, gender, occupation and salary</w:t>
      </w:r>
      <w:r w:rsidR="007948FC">
        <w:t xml:space="preserve"> of their membership</w:t>
      </w:r>
      <w:r w:rsidRPr="00A61277">
        <w:t>.</w:t>
      </w:r>
      <w:r w:rsidR="00533E25" w:rsidRPr="00857D6A">
        <w:rPr>
          <w:vertAlign w:val="superscript"/>
        </w:rPr>
        <w:footnoteReference w:id="22"/>
      </w:r>
      <w:r w:rsidRPr="00A61277">
        <w:t xml:space="preserve"> </w:t>
      </w:r>
      <w:r w:rsidR="00533E25" w:rsidRPr="00A61277">
        <w:t xml:space="preserve">The </w:t>
      </w:r>
      <w:r w:rsidR="007948FC">
        <w:t xml:space="preserve">Productivity </w:t>
      </w:r>
      <w:r w:rsidR="00533E25" w:rsidRPr="00A61277">
        <w:t xml:space="preserve">Commission pointed </w:t>
      </w:r>
      <w:r w:rsidR="007948FC">
        <w:t xml:space="preserve">to </w:t>
      </w:r>
      <w:r w:rsidR="00533E25" w:rsidRPr="00A61277">
        <w:t>examples of so</w:t>
      </w:r>
      <w:r w:rsidR="007948FC">
        <w:t>me funds significantly alteri</w:t>
      </w:r>
      <w:r w:rsidR="00533E25" w:rsidRPr="00A61277">
        <w:t>ng their cover to better meet the needs of their members</w:t>
      </w:r>
      <w:r w:rsidR="00354840">
        <w:t xml:space="preserve"> </w:t>
      </w:r>
      <w:r w:rsidR="00330436">
        <w:t xml:space="preserve">and </w:t>
      </w:r>
      <w:r w:rsidR="00353DF2">
        <w:t>concluded that better tailoring of insurance coverage to different member cohorts would improve the overall value of insurance in superannuation.</w:t>
      </w:r>
    </w:p>
    <w:p w14:paraId="6D242CA7" w14:textId="774899D0" w:rsidR="003322D2" w:rsidRDefault="00353DF2" w:rsidP="0089399E">
      <w:r>
        <w:lastRenderedPageBreak/>
        <w:t xml:space="preserve">The negative </w:t>
      </w:r>
      <w:r w:rsidR="007948FC">
        <w:t>impacts of less-tailored insurance offerings are expected to</w:t>
      </w:r>
      <w:r>
        <w:t xml:space="preserve"> be most pronounced for </w:t>
      </w:r>
      <w:r w:rsidR="003322D2" w:rsidRPr="00A61277">
        <w:t xml:space="preserve">funds </w:t>
      </w:r>
      <w:r>
        <w:t xml:space="preserve">which </w:t>
      </w:r>
      <w:r w:rsidR="003322D2" w:rsidRPr="00A61277">
        <w:t>have memberships with bespoke needs.</w:t>
      </w:r>
      <w:r>
        <w:t xml:space="preserve"> This could include funds that primar</w:t>
      </w:r>
      <w:r w:rsidR="007948FC">
        <w:t>il</w:t>
      </w:r>
      <w:r>
        <w:t>y cater to certain occupations or which have memberships in certain age brackets.</w:t>
      </w:r>
    </w:p>
    <w:p w14:paraId="411A20D5" w14:textId="7E3A1D77" w:rsidR="00FF33D9" w:rsidRDefault="007948FC" w:rsidP="0089399E">
      <w:r>
        <w:t>Furthermore,</w:t>
      </w:r>
      <w:r w:rsidR="00FF33D9">
        <w:t xml:space="preserve"> setting prescribed levels of cover will not result in standard levels of premiums across all funds. Funds with particular demographic characteristics may have significantly higher premium levels for the same amount of cover due to certain risk factors.</w:t>
      </w:r>
    </w:p>
    <w:p w14:paraId="50286DDC" w14:textId="10C149A3" w:rsidR="00C81AFA" w:rsidRPr="00C81AFA" w:rsidRDefault="00946522" w:rsidP="00FA2649">
      <w:pPr>
        <w:pStyle w:val="Heading4"/>
      </w:pPr>
      <w:r>
        <w:t>A minimum level of cover</w:t>
      </w:r>
    </w:p>
    <w:p w14:paraId="2C70D3D8" w14:textId="70A0846A" w:rsidR="006F259E" w:rsidRDefault="000C43C4" w:rsidP="0089399E">
      <w:r>
        <w:t>As mentioned above</w:t>
      </w:r>
      <w:r w:rsidR="00C81AFA">
        <w:t>,</w:t>
      </w:r>
      <w:r w:rsidR="006F259E">
        <w:t xml:space="preserve"> the </w:t>
      </w:r>
      <w:r w:rsidR="00BC50A4" w:rsidRPr="00676EE9">
        <w:rPr>
          <w:i/>
        </w:rPr>
        <w:t>Superannuation Guarante</w:t>
      </w:r>
      <w:r w:rsidR="00FA5A45" w:rsidRPr="00FA5A45">
        <w:rPr>
          <w:i/>
        </w:rPr>
        <w:t>e (Administration) Regulations</w:t>
      </w:r>
      <w:r w:rsidR="00FA5A45">
        <w:rPr>
          <w:i/>
        </w:rPr>
        <w:t xml:space="preserve"> </w:t>
      </w:r>
      <w:r w:rsidR="00BC50A4" w:rsidRPr="00676EE9">
        <w:rPr>
          <w:i/>
        </w:rPr>
        <w:t xml:space="preserve">1994 </w:t>
      </w:r>
      <w:r w:rsidR="006F259E">
        <w:t>already require minimum levels of de</w:t>
      </w:r>
      <w:r w:rsidR="00C81AFA">
        <w:t xml:space="preserve">ath cover for </w:t>
      </w:r>
      <w:proofErr w:type="spellStart"/>
      <w:r w:rsidR="00C81AFA">
        <w:t>MySuper</w:t>
      </w:r>
      <w:proofErr w:type="spellEnd"/>
      <w:r w:rsidR="00C81AFA">
        <w:t xml:space="preserve"> members. However, the 2010 Cooper R</w:t>
      </w:r>
      <w:r w:rsidR="006F259E">
        <w:t>eview recommended repealing the</w:t>
      </w:r>
      <w:r w:rsidR="00946522">
        <w:t>se minimum levels, noting that:</w:t>
      </w:r>
    </w:p>
    <w:p w14:paraId="1D3B53CC" w14:textId="0D0F121B" w:rsidR="006F259E" w:rsidRDefault="006F259E" w:rsidP="0089399E">
      <w:pPr>
        <w:pStyle w:val="Quote"/>
      </w:pPr>
      <w:r w:rsidRPr="006F259E">
        <w:t>These minimum levels have eroded in real terms sinc</w:t>
      </w:r>
      <w:r w:rsidR="007948FC">
        <w:t>e they were introduced in 2005.</w:t>
      </w:r>
      <w:r w:rsidRPr="006F259E">
        <w:t xml:space="preserve"> In practice, they have not acted as a proper threshold </w:t>
      </w:r>
      <w:r w:rsidRPr="0089399E">
        <w:t>for</w:t>
      </w:r>
      <w:r w:rsidRPr="006F259E">
        <w:t xml:space="preserve"> default insurance as trustees have generally set default insurance cover levels in excess of these minimum levels, making the requirement largely redundant.</w:t>
      </w:r>
      <w:r w:rsidR="009A29AC">
        <w:rPr>
          <w:rStyle w:val="FootnoteReference"/>
        </w:rPr>
        <w:footnoteReference w:id="23"/>
      </w:r>
    </w:p>
    <w:p w14:paraId="25FAF5E4" w14:textId="1D58697A" w:rsidR="00C81AFA" w:rsidRDefault="00CE71A5" w:rsidP="0089399E">
      <w:r>
        <w:t xml:space="preserve">These remarks hold true today. </w:t>
      </w:r>
      <w:r w:rsidR="00C81AFA">
        <w:t xml:space="preserve">Commissioner Hayne specifically </w:t>
      </w:r>
      <w:r>
        <w:t xml:space="preserve">suggested </w:t>
      </w:r>
      <w:r w:rsidR="00C81AFA">
        <w:t xml:space="preserve">considering whether these minimum requirements should be increased. </w:t>
      </w:r>
      <w:r>
        <w:t>Increasing these thresholds and/or extending the minimum requirements to TPD insurance as well as death</w:t>
      </w:r>
      <w:r w:rsidR="00C81AFA">
        <w:t xml:space="preserve"> </w:t>
      </w:r>
      <w:r>
        <w:t>could set a</w:t>
      </w:r>
      <w:r w:rsidR="00C81AFA">
        <w:t xml:space="preserve"> signpost for trustees in terms of the minimum </w:t>
      </w:r>
      <w:r>
        <w:t xml:space="preserve">expected </w:t>
      </w:r>
      <w:r w:rsidR="00C81AFA">
        <w:t>level of cover</w:t>
      </w:r>
      <w:r>
        <w:t xml:space="preserve"> and provide members with a level of certainty around the level of cover they will receive in a </w:t>
      </w:r>
      <w:proofErr w:type="spellStart"/>
      <w:r>
        <w:t>MySuper</w:t>
      </w:r>
      <w:proofErr w:type="spellEnd"/>
      <w:r>
        <w:t xml:space="preserve"> product. At the same time,</w:t>
      </w:r>
      <w:r w:rsidR="00C81AFA">
        <w:t xml:space="preserve"> </w:t>
      </w:r>
      <w:r>
        <w:t xml:space="preserve">an increased </w:t>
      </w:r>
      <w:r w:rsidR="00C81AFA">
        <w:t>minimum level of cover would not prevent trustees from setting a level of default cover in excess of a minimum level, and trustee would still be bound by their obligations to act in the best interests of their members whe</w:t>
      </w:r>
      <w:r w:rsidR="00AA2CE0">
        <w:t>n</w:t>
      </w:r>
      <w:r w:rsidR="00C81AFA">
        <w:t xml:space="preserve"> determining the level of default cover offering within their </w:t>
      </w:r>
      <w:proofErr w:type="spellStart"/>
      <w:r>
        <w:t>MySuper</w:t>
      </w:r>
      <w:proofErr w:type="spellEnd"/>
      <w:r>
        <w:t xml:space="preserve"> product, meaning this alone will not act as a guarantee of standardised cover for </w:t>
      </w:r>
      <w:proofErr w:type="spellStart"/>
      <w:r>
        <w:t>MySuper</w:t>
      </w:r>
      <w:proofErr w:type="spellEnd"/>
      <w:r>
        <w:t xml:space="preserve"> products.</w:t>
      </w:r>
    </w:p>
    <w:tbl>
      <w:tblPr>
        <w:tblStyle w:val="TableGrid"/>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6105BF" w14:paraId="3A1EDB62" w14:textId="77777777" w:rsidTr="0076326F">
        <w:trPr>
          <w:trHeight w:val="2120"/>
        </w:trPr>
        <w:tc>
          <w:tcPr>
            <w:tcW w:w="9286" w:type="dxa"/>
            <w:shd w:val="clear" w:color="auto" w:fill="DEEAF6" w:themeFill="accent1" w:themeFillTint="33"/>
          </w:tcPr>
          <w:p w14:paraId="20CEE3F7" w14:textId="492BDC73" w:rsidR="006105BF" w:rsidRPr="0076326F" w:rsidRDefault="006105BF" w:rsidP="0076326F">
            <w:pPr>
              <w:pStyle w:val="BoxHeading"/>
            </w:pPr>
            <w:bookmarkStart w:id="102" w:name="_Toc2690130"/>
            <w:bookmarkStart w:id="103" w:name="_Toc2753719"/>
            <w:bookmarkStart w:id="104" w:name="_Toc2753752"/>
            <w:bookmarkStart w:id="105" w:name="_Toc2944201"/>
            <w:r w:rsidRPr="0076326F">
              <w:t>Questions for discussion</w:t>
            </w:r>
            <w:bookmarkEnd w:id="102"/>
            <w:bookmarkEnd w:id="103"/>
            <w:bookmarkEnd w:id="104"/>
            <w:bookmarkEnd w:id="105"/>
          </w:p>
          <w:p w14:paraId="5E93215E" w14:textId="6D1BF2BB" w:rsidR="009C6A05" w:rsidRPr="0076326F" w:rsidRDefault="009C6A05" w:rsidP="0076326F">
            <w:pPr>
              <w:pStyle w:val="BoxText-Numbering"/>
            </w:pPr>
            <w:r w:rsidRPr="0076326F">
              <w:t xml:space="preserve">Should maximum, minimum or set levels of cover be prescribed for </w:t>
            </w:r>
            <w:proofErr w:type="spellStart"/>
            <w:r w:rsidRPr="0076326F">
              <w:t>MySuper</w:t>
            </w:r>
            <w:proofErr w:type="spellEnd"/>
            <w:r w:rsidRPr="0076326F">
              <w:t xml:space="preserve"> products? Why/Why not?</w:t>
            </w:r>
            <w:r w:rsidR="00F670D1" w:rsidRPr="0076326F">
              <w:t xml:space="preserve"> Should these apply to all types of insurance provided within </w:t>
            </w:r>
            <w:proofErr w:type="spellStart"/>
            <w:r w:rsidR="00F670D1" w:rsidRPr="0076326F">
              <w:t>MySuper</w:t>
            </w:r>
            <w:proofErr w:type="spellEnd"/>
            <w:r w:rsidR="00F670D1" w:rsidRPr="0076326F">
              <w:t xml:space="preserve"> products?</w:t>
            </w:r>
          </w:p>
          <w:p w14:paraId="451B34C6" w14:textId="70ECEA15" w:rsidR="0065558D" w:rsidRPr="0076326F" w:rsidRDefault="00C81AFA" w:rsidP="0076326F">
            <w:pPr>
              <w:pStyle w:val="BoxText-Numbering"/>
            </w:pPr>
            <w:r w:rsidRPr="0076326F" w:rsidDel="009C6A05">
              <w:t>W</w:t>
            </w:r>
            <w:r w:rsidRPr="0076326F">
              <w:t>hat factors s</w:t>
            </w:r>
            <w:r w:rsidR="00B62C2F" w:rsidRPr="0076326F">
              <w:t>hould</w:t>
            </w:r>
            <w:r w:rsidRPr="0076326F">
              <w:t xml:space="preserve"> be taken into account if a minimum, maximum or set level </w:t>
            </w:r>
            <w:r w:rsidR="00B62C2F" w:rsidRPr="0076326F">
              <w:t xml:space="preserve">of cover </w:t>
            </w:r>
            <w:r w:rsidRPr="0076326F">
              <w:t>were to be prescribed?</w:t>
            </w:r>
          </w:p>
          <w:p w14:paraId="3C0C2CC8" w14:textId="2DA2F359" w:rsidR="006105BF" w:rsidRPr="006105BF" w:rsidRDefault="006105BF" w:rsidP="0076326F">
            <w:pPr>
              <w:pStyle w:val="BoxText-Numbering"/>
            </w:pPr>
            <w:r w:rsidRPr="0076326F">
              <w:t>Are there any unintended consequences</w:t>
            </w:r>
            <w:r w:rsidR="00B62C2F" w:rsidRPr="0076326F">
              <w:t xml:space="preserve"> of mandating a </w:t>
            </w:r>
            <w:r w:rsidR="002B08E4" w:rsidRPr="0076326F">
              <w:t xml:space="preserve">minimum, maximum or </w:t>
            </w:r>
            <w:r w:rsidR="00B62C2F" w:rsidRPr="0076326F">
              <w:t xml:space="preserve">set level of cover for </w:t>
            </w:r>
            <w:proofErr w:type="spellStart"/>
            <w:r w:rsidR="00B62C2F" w:rsidRPr="0076326F">
              <w:t>MySuper</w:t>
            </w:r>
            <w:proofErr w:type="spellEnd"/>
            <w:r w:rsidR="00B62C2F" w:rsidRPr="0076326F">
              <w:t xml:space="preserve"> products</w:t>
            </w:r>
            <w:r w:rsidRPr="0076326F">
              <w:t>?</w:t>
            </w:r>
          </w:p>
        </w:tc>
      </w:tr>
    </w:tbl>
    <w:p w14:paraId="407CEB5C" w14:textId="135DF96C" w:rsidR="006D2C6B" w:rsidRDefault="006D2C6B" w:rsidP="006105BF">
      <w:pPr>
        <w:pStyle w:val="Bullet"/>
        <w:numPr>
          <w:ilvl w:val="0"/>
          <w:numId w:val="0"/>
        </w:numPr>
      </w:pPr>
    </w:p>
    <w:p w14:paraId="47161E90" w14:textId="7D015E5E" w:rsidR="006D2C6B" w:rsidRPr="006D2C6B" w:rsidRDefault="006D2C6B" w:rsidP="006D2C6B">
      <w:pPr>
        <w:tabs>
          <w:tab w:val="left" w:pos="1687"/>
        </w:tabs>
      </w:pPr>
    </w:p>
    <w:sectPr w:rsidR="006D2C6B" w:rsidRPr="006D2C6B" w:rsidSect="0076326F">
      <w:headerReference w:type="even" r:id="rId34"/>
      <w:headerReference w:type="default" r:id="rId35"/>
      <w:footerReference w:type="even" r:id="rId36"/>
      <w:type w:val="oddPage"/>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18288" w14:textId="77777777" w:rsidR="00067C3E" w:rsidRDefault="00067C3E">
      <w:pPr>
        <w:spacing w:after="0"/>
      </w:pPr>
      <w:r>
        <w:separator/>
      </w:r>
    </w:p>
  </w:endnote>
  <w:endnote w:type="continuationSeparator" w:id="0">
    <w:p w14:paraId="0BAD3CB9" w14:textId="77777777" w:rsidR="00067C3E" w:rsidRDefault="00067C3E">
      <w:pPr>
        <w:spacing w:after="0"/>
      </w:pPr>
      <w:r>
        <w:continuationSeparator/>
      </w:r>
    </w:p>
  </w:endnote>
  <w:endnote w:type="continuationNotice" w:id="1">
    <w:p w14:paraId="4FE04435" w14:textId="77777777" w:rsidR="00067C3E" w:rsidRDefault="00067C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E4EB" w14:textId="0F793CBA" w:rsidR="00067C3E" w:rsidRPr="00E1136B" w:rsidRDefault="00067C3E" w:rsidP="00E1136B">
    <w:pPr>
      <w:pStyle w:val="Footer"/>
    </w:pPr>
    <w:r>
      <w:rPr>
        <w:noProof/>
      </w:rPr>
      <w:drawing>
        <wp:anchor distT="0" distB="0" distL="114300" distR="114300" simplePos="0" relativeHeight="251658241" behindDoc="1" locked="0" layoutInCell="1" allowOverlap="1" wp14:anchorId="5CD54A76" wp14:editId="7D966874">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009004C8" w:rsidRPr="00E1136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53F42" w14:textId="77777777" w:rsidR="00067C3E" w:rsidRPr="00E77C89" w:rsidRDefault="00067C3E"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C04AD" w14:textId="60A62F6C" w:rsidR="009004C8" w:rsidRDefault="009004C8" w:rsidP="009004C8">
    <w:pPr>
      <w:pStyle w:val="FooterOdd"/>
    </w:pPr>
    <w:r>
      <w:fldChar w:fldCharType="begin"/>
    </w:r>
    <w:r>
      <w:instrText xml:space="preserve"> PAGE  \* roman  \* MERGEFORMAT </w:instrText>
    </w:r>
    <w:r>
      <w:fldChar w:fldCharType="separate"/>
    </w:r>
    <w:r w:rsidR="00D72213">
      <w:rPr>
        <w:noProof/>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BC63" w14:textId="733525A3" w:rsidR="00067C3E" w:rsidRPr="00A61014" w:rsidRDefault="0022164F" w:rsidP="00A61014">
    <w:pPr>
      <w:pStyle w:val="FooterEven"/>
    </w:pPr>
    <w:r w:rsidRPr="00A61014">
      <w:fldChar w:fldCharType="begin"/>
    </w:r>
    <w:r w:rsidRPr="00A61014">
      <w:instrText xml:space="preserve"> PAGE  \* roman  \* MERGEFORMAT </w:instrText>
    </w:r>
    <w:r w:rsidRPr="00A61014">
      <w:fldChar w:fldCharType="separate"/>
    </w:r>
    <w:r w:rsidR="009610B3">
      <w:t>iv</w:t>
    </w:r>
    <w:r w:rsidRPr="00A6101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6B4EC" w14:textId="77777777" w:rsidR="00067C3E" w:rsidRPr="0022164F" w:rsidRDefault="00067C3E" w:rsidP="0022164F">
    <w:pPr>
      <w:pStyle w:val="FooterOdd"/>
    </w:pPr>
    <w:r w:rsidRPr="0022164F">
      <w:fldChar w:fldCharType="begin"/>
    </w:r>
    <w:r w:rsidRPr="0022164F">
      <w:instrText xml:space="preserve"> PAGE   \* MERGEFORMAT </w:instrText>
    </w:r>
    <w:r w:rsidRPr="0022164F">
      <w:fldChar w:fldCharType="separate"/>
    </w:r>
    <w:r w:rsidR="009610B3">
      <w:rPr>
        <w:noProof/>
      </w:rPr>
      <w:t>9</w:t>
    </w:r>
    <w:r w:rsidRPr="0022164F">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7BA8F" w14:textId="65C6B404" w:rsidR="00067C3E" w:rsidRDefault="0076326F" w:rsidP="0076326F">
    <w:pPr>
      <w:pStyle w:val="FooterOdd"/>
    </w:pPr>
    <w:r>
      <w:fldChar w:fldCharType="begin"/>
    </w:r>
    <w:r>
      <w:instrText xml:space="preserve"> PAGE  \* Arabic  \* MERGEFORMAT </w:instrText>
    </w:r>
    <w:r>
      <w:fldChar w:fldCharType="separate"/>
    </w:r>
    <w:r w:rsidR="00D72213">
      <w:rPr>
        <w:noProof/>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593D9" w14:textId="42CEAF5A" w:rsidR="00A61014" w:rsidRPr="00A61014" w:rsidRDefault="00A61014" w:rsidP="00A61014">
    <w:pPr>
      <w:pStyle w:val="FooterEven"/>
    </w:pPr>
    <w:r>
      <w:fldChar w:fldCharType="begin"/>
    </w:r>
    <w:r>
      <w:instrText xml:space="preserve"> PAGE  \* Arabic  \* MERGEFORMAT </w:instrText>
    </w:r>
    <w:r>
      <w:fldChar w:fldCharType="separate"/>
    </w:r>
    <w:r w:rsidR="009610B3">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62621" w14:textId="77777777" w:rsidR="00067C3E" w:rsidRDefault="00067C3E">
      <w:pPr>
        <w:spacing w:after="0"/>
      </w:pPr>
      <w:r>
        <w:separator/>
      </w:r>
    </w:p>
  </w:footnote>
  <w:footnote w:type="continuationSeparator" w:id="0">
    <w:p w14:paraId="5F1A2683" w14:textId="77777777" w:rsidR="00067C3E" w:rsidRDefault="00067C3E">
      <w:pPr>
        <w:spacing w:after="0"/>
      </w:pPr>
      <w:r>
        <w:continuationSeparator/>
      </w:r>
    </w:p>
  </w:footnote>
  <w:footnote w:type="continuationNotice" w:id="1">
    <w:p w14:paraId="1FBB64DB" w14:textId="77777777" w:rsidR="00067C3E" w:rsidRDefault="00067C3E">
      <w:pPr>
        <w:spacing w:after="0"/>
      </w:pPr>
    </w:p>
  </w:footnote>
  <w:footnote w:id="2">
    <w:p w14:paraId="00A0B057" w14:textId="680561E2"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Pr="0089399E">
        <w:t xml:space="preserve">Royal Commission into Misconduct in the Banking, Superannuation and Financial Services Industry, </w:t>
      </w:r>
      <w:r w:rsidRPr="0089399E">
        <w:rPr>
          <w:i/>
        </w:rPr>
        <w:t>Final Report Volume 1</w:t>
      </w:r>
      <w:r w:rsidRPr="0089399E">
        <w:t xml:space="preserve"> (2019), 322 (FSRC Final Report).</w:t>
      </w:r>
      <w:proofErr w:type="gramEnd"/>
    </w:p>
  </w:footnote>
  <w:footnote w:id="3">
    <w:p w14:paraId="569DFC65" w14:textId="4B6D1B62"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Pr="0089399E">
        <w:t>FSRC Final Report, 323.</w:t>
      </w:r>
      <w:proofErr w:type="gramEnd"/>
    </w:p>
  </w:footnote>
  <w:footnote w:id="4">
    <w:p w14:paraId="5AB8C408" w14:textId="3DCBB860"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The Financial Services Council (FSC) announced in July 2018 that it would extend its existing Life Insurance Code of Practice to cover superannuation trustees. The FSC has released a revised version of its code with a new chapter which adopts the Insurance in Superannuation Voluntary Code of Practice. The Life Insurance Code of Practice is mandatory for all FSC members. The Code is enforced by the independent Life Code Compliance Committee which is administered by the Australian Financial Complaints Authority. The FSC has indicated that it is committed to having the Code registered with ASIC.</w:t>
      </w:r>
    </w:p>
  </w:footnote>
  <w:footnote w:id="5">
    <w:p w14:paraId="3D336B45" w14:textId="6AE6DFC9"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Insurance in Superannuation Working Group, </w:t>
      </w:r>
      <w:r w:rsidRPr="0089399E">
        <w:rPr>
          <w:i/>
        </w:rPr>
        <w:t>Consultation Paper: Insurance in Superannuation Code of Practice</w:t>
      </w:r>
      <w:r w:rsidR="00A61014">
        <w:t xml:space="preserve"> (2017), 10.</w:t>
      </w:r>
    </w:p>
  </w:footnote>
  <w:footnote w:id="6">
    <w:p w14:paraId="7FABDABD" w14:textId="33C056A5"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The Code Owners are the Australian Institute of Superannuation Funds (AIST), Association of Superannuation Funds of Australia (ASFA) and the FSC.</w:t>
      </w:r>
    </w:p>
  </w:footnote>
  <w:footnote w:id="7">
    <w:p w14:paraId="3FE74A2F" w14:textId="3A79D90A" w:rsidR="00067C3E" w:rsidRPr="00AD4B72" w:rsidRDefault="00067C3E" w:rsidP="00AD4B72">
      <w:pPr>
        <w:pStyle w:val="FootnoteText"/>
      </w:pPr>
      <w:r w:rsidRPr="00AD4B72">
        <w:rPr>
          <w:rStyle w:val="FootnoteReference"/>
          <w:sz w:val="19"/>
          <w:vertAlign w:val="baseline"/>
        </w:rPr>
        <w:footnoteRef/>
      </w:r>
      <w:r w:rsidRPr="00AD4B72">
        <w:t xml:space="preserve"> </w:t>
      </w:r>
      <w:r w:rsidR="00AD4B72">
        <w:tab/>
      </w:r>
      <w:proofErr w:type="gramStart"/>
      <w:r w:rsidRPr="00AD4B72">
        <w:t xml:space="preserve">AIST, </w:t>
      </w:r>
      <w:r w:rsidRPr="00AD4B72">
        <w:rPr>
          <w:i/>
        </w:rPr>
        <w:t>Insurance in Superannuation Voluntary Code of Practice</w:t>
      </w:r>
      <w:r w:rsidRPr="00AD4B72">
        <w:t xml:space="preserve">, (accessed 8 March 2019) </w:t>
      </w:r>
      <w:hyperlink r:id="rId1" w:history="1">
        <w:r w:rsidRPr="00AD4B72">
          <w:rPr>
            <w:rStyle w:val="Hyperlink"/>
          </w:rPr>
          <w:t>http://www.aist.asn.au/policy/insurance-in-superannuation-voluntary-code-of-practice/insurance-in-superannuation-voluntary-code-of-practice.aspx</w:t>
        </w:r>
      </w:hyperlink>
      <w:r w:rsidRPr="00AD4B72">
        <w:t>.</w:t>
      </w:r>
      <w:proofErr w:type="gramEnd"/>
    </w:p>
  </w:footnote>
  <w:footnote w:id="8">
    <w:p w14:paraId="7B2FFC2A" w14:textId="72CCBDCF"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Parliamentary Joint Committee on Corporations and Financial Services, </w:t>
      </w:r>
      <w:r w:rsidRPr="0089399E">
        <w:rPr>
          <w:i/>
        </w:rPr>
        <w:t>Life Insurance Industry: Final Report</w:t>
      </w:r>
      <w:r w:rsidRPr="0089399E">
        <w:t xml:space="preserve"> (2018), 167 (PJC Report).</w:t>
      </w:r>
    </w:p>
  </w:footnote>
  <w:footnote w:id="9">
    <w:p w14:paraId="111DFD37" w14:textId="5F55B32B"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Australian Securities and Investments Commission REP 591: Insurance </w:t>
      </w:r>
      <w:r w:rsidR="00A61014">
        <w:t>in superannuation, 6.</w:t>
      </w:r>
    </w:p>
  </w:footnote>
  <w:footnote w:id="10">
    <w:p w14:paraId="65161B39" w14:textId="53DA7D38"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Australian Securities and Investments Commission REP 591: Insurance in superannuation, 14.</w:t>
      </w:r>
    </w:p>
  </w:footnote>
  <w:footnote w:id="11">
    <w:p w14:paraId="20BE1FBB" w14:textId="0002B905"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Pr="0089399E">
        <w:t>FSRC Final Report, 322.</w:t>
      </w:r>
      <w:proofErr w:type="gramEnd"/>
    </w:p>
  </w:footnote>
  <w:footnote w:id="12">
    <w:p w14:paraId="69887467" w14:textId="0380A8F8"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Pr="0089399E">
        <w:t>FSRC Final Report, 323.</w:t>
      </w:r>
      <w:proofErr w:type="gramEnd"/>
    </w:p>
  </w:footnote>
  <w:footnote w:id="13">
    <w:p w14:paraId="16A95E41" w14:textId="339A9FF1"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Pr="0089399E">
        <w:rPr>
          <w:i/>
        </w:rPr>
        <w:t>Superannuation Industry (Supervision) Regulations 1994</w:t>
      </w:r>
      <w:r w:rsidRPr="0089399E">
        <w:t xml:space="preserve"> (</w:t>
      </w:r>
      <w:proofErr w:type="spellStart"/>
      <w:r w:rsidRPr="0089399E">
        <w:t>Cth</w:t>
      </w:r>
      <w:proofErr w:type="spellEnd"/>
      <w:r w:rsidRPr="0089399E">
        <w:t>), regulation 1.03C.</w:t>
      </w:r>
      <w:proofErr w:type="gramEnd"/>
    </w:p>
  </w:footnote>
  <w:footnote w:id="14">
    <w:p w14:paraId="3B0D879D" w14:textId="4DF6B00D"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Rice Warner, </w:t>
      </w:r>
      <w:r w:rsidRPr="0089399E">
        <w:rPr>
          <w:i/>
        </w:rPr>
        <w:t>Quarterly Group Risks Insights Bulletin: July 2017</w:t>
      </w:r>
      <w:r w:rsidRPr="0089399E">
        <w:t xml:space="preserve"> (2017), 2.</w:t>
      </w:r>
    </w:p>
  </w:footnote>
  <w:footnote w:id="15">
    <w:p w14:paraId="3C2E07B0" w14:textId="0BCCB1DA"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Rice Warner, </w:t>
      </w:r>
      <w:r w:rsidRPr="0089399E">
        <w:rPr>
          <w:i/>
        </w:rPr>
        <w:t>Quarterly Group Risks Insights Bulletin: July 2017</w:t>
      </w:r>
      <w:r w:rsidRPr="0089399E">
        <w:t xml:space="preserve"> (2017), 2.</w:t>
      </w:r>
    </w:p>
  </w:footnote>
  <w:footnote w:id="16">
    <w:p w14:paraId="300691DF" w14:textId="46CFA47A"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Productivity Commission, </w:t>
      </w:r>
      <w:r w:rsidRPr="0089399E">
        <w:rPr>
          <w:i/>
        </w:rPr>
        <w:t>Superannuation: Assessing Efficiency and Competiveness: Final Report</w:t>
      </w:r>
      <w:r w:rsidRPr="0089399E">
        <w:t xml:space="preserve"> (2018), 392. </w:t>
      </w:r>
      <w:proofErr w:type="gramStart"/>
      <w:r w:rsidRPr="0089399E">
        <w:t>(</w:t>
      </w:r>
      <w:r w:rsidRPr="0089399E">
        <w:rPr>
          <w:i/>
        </w:rPr>
        <w:t>PC Superannuation Report</w:t>
      </w:r>
      <w:r w:rsidRPr="0089399E">
        <w:t>).</w:t>
      </w:r>
      <w:proofErr w:type="gramEnd"/>
    </w:p>
  </w:footnote>
  <w:footnote w:id="17">
    <w:p w14:paraId="4EE7E800" w14:textId="55D6305A"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AD4B72">
        <w:rPr>
          <w:spacing w:val="-2"/>
        </w:rPr>
        <w:t>ABC News, ‘</w:t>
      </w:r>
      <w:proofErr w:type="spellStart"/>
      <w:r w:rsidRPr="00AD4B72">
        <w:rPr>
          <w:spacing w:val="-2"/>
        </w:rPr>
        <w:t>Sunsuper</w:t>
      </w:r>
      <w:proofErr w:type="spellEnd"/>
      <w:r w:rsidRPr="00AD4B72">
        <w:rPr>
          <w:spacing w:val="-2"/>
        </w:rPr>
        <w:t xml:space="preserve"> faces legal action over alleged ‘improper’ payments for disa</w:t>
      </w:r>
      <w:r w:rsidR="0089399E" w:rsidRPr="00AD4B72">
        <w:rPr>
          <w:spacing w:val="-2"/>
        </w:rPr>
        <w:t>bility benefits’, (3</w:t>
      </w:r>
      <w:r w:rsidR="0089399E" w:rsidRPr="00AD4B72">
        <w:rPr>
          <w:spacing w:val="-2"/>
          <w:sz w:val="12"/>
        </w:rPr>
        <w:t> </w:t>
      </w:r>
      <w:r w:rsidR="0089399E" w:rsidRPr="00AD4B72">
        <w:rPr>
          <w:spacing w:val="-2"/>
        </w:rPr>
        <w:t>June</w:t>
      </w:r>
      <w:r w:rsidR="0089399E" w:rsidRPr="00AD4B72">
        <w:rPr>
          <w:spacing w:val="-2"/>
          <w:sz w:val="12"/>
        </w:rPr>
        <w:t> </w:t>
      </w:r>
      <w:r w:rsidR="0089399E" w:rsidRPr="00AD4B72">
        <w:rPr>
          <w:spacing w:val="-2"/>
        </w:rPr>
        <w:t>2018)</w:t>
      </w:r>
      <w:r w:rsidR="0089399E" w:rsidRPr="00AD4B72">
        <w:rPr>
          <w:spacing w:val="-2"/>
          <w:sz w:val="12"/>
        </w:rPr>
        <w:t xml:space="preserve"> </w:t>
      </w:r>
      <w:hyperlink r:id="rId2" w:history="1">
        <w:r w:rsidR="00AD4B72" w:rsidRPr="001A693E">
          <w:rPr>
            <w:rStyle w:val="Hyperlink"/>
            <w:spacing w:val="-2"/>
          </w:rPr>
          <w:t>https://www.abc.net.au/news/2018-06-03/sunsuper-insurance-members-sue-qld/9825324</w:t>
        </w:r>
      </w:hyperlink>
      <w:r w:rsidR="00AD4B72" w:rsidRPr="00AD4B72">
        <w:rPr>
          <w:sz w:val="12"/>
        </w:rPr>
        <w:t>.</w:t>
      </w:r>
    </w:p>
  </w:footnote>
  <w:footnote w:id="18">
    <w:p w14:paraId="6C98B21B" w14:textId="79DEF5C1"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Pr="0089399E">
        <w:t>PC Superannuation report, 384.</w:t>
      </w:r>
      <w:proofErr w:type="gramEnd"/>
    </w:p>
  </w:footnote>
  <w:footnote w:id="19">
    <w:p w14:paraId="34076E3A" w14:textId="7986D59B"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Pr="0089399E">
        <w:t>FSRC Final Report, 322.</w:t>
      </w:r>
      <w:proofErr w:type="gramEnd"/>
    </w:p>
  </w:footnote>
  <w:footnote w:id="20">
    <w:p w14:paraId="6EC5DEC1" w14:textId="44BDA301"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Insurance in Superannuation Working Group, </w:t>
      </w:r>
      <w:r w:rsidRPr="0089399E">
        <w:rPr>
          <w:i/>
        </w:rPr>
        <w:t>Discussion Paper: Claims Handling</w:t>
      </w:r>
      <w:r w:rsidRPr="0089399E">
        <w:t xml:space="preserve"> (2017), 14.</w:t>
      </w:r>
    </w:p>
  </w:footnote>
  <w:footnote w:id="21">
    <w:p w14:paraId="1FBBC028" w14:textId="3A233568"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 xml:space="preserve">Review into the Governance, Efficiency, Structure and Operation of Australia’s Superannuation System, </w:t>
      </w:r>
      <w:r w:rsidRPr="0089399E">
        <w:rPr>
          <w:i/>
        </w:rPr>
        <w:t>Super System Review Final Report</w:t>
      </w:r>
      <w:r w:rsidRPr="0089399E">
        <w:t xml:space="preserve"> (2010), 23 (Cooper Review).</w:t>
      </w:r>
    </w:p>
  </w:footnote>
  <w:footnote w:id="22">
    <w:p w14:paraId="26536C89" w14:textId="3C0A5B71"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proofErr w:type="gramStart"/>
      <w:r w:rsidR="00F079E5">
        <w:t>PC Superannuation Report, 91.</w:t>
      </w:r>
      <w:proofErr w:type="gramEnd"/>
    </w:p>
  </w:footnote>
  <w:footnote w:id="23">
    <w:p w14:paraId="473C97DA" w14:textId="29D06432" w:rsidR="00067C3E" w:rsidRPr="0089399E" w:rsidRDefault="00067C3E" w:rsidP="0089399E">
      <w:pPr>
        <w:pStyle w:val="FootnoteText"/>
      </w:pPr>
      <w:r w:rsidRPr="0089399E">
        <w:rPr>
          <w:rStyle w:val="FootnoteReference"/>
          <w:sz w:val="19"/>
          <w:vertAlign w:val="baseline"/>
        </w:rPr>
        <w:footnoteRef/>
      </w:r>
      <w:r w:rsidRPr="0089399E">
        <w:t xml:space="preserve"> </w:t>
      </w:r>
      <w:r w:rsidR="0089399E">
        <w:tab/>
      </w:r>
      <w:r w:rsidRPr="0089399E">
        <w:t>Cooper Review, 143.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A7A0" w14:textId="77777777" w:rsidR="00067C3E" w:rsidRDefault="00067C3E">
    <w:pPr>
      <w:pStyle w:val="Header"/>
    </w:pPr>
    <w:r>
      <w:rPr>
        <w:noProof/>
      </w:rPr>
      <w:drawing>
        <wp:anchor distT="0" distB="0" distL="114300" distR="114300" simplePos="0" relativeHeight="251658240" behindDoc="1" locked="0" layoutInCell="1" allowOverlap="1" wp14:anchorId="41F7F6A1" wp14:editId="60BD64EA">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5FD35" w14:textId="77777777" w:rsidR="00067C3E" w:rsidRPr="001F3912" w:rsidRDefault="00067C3E"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14EE9" w14:textId="77777777" w:rsidR="00067C3E" w:rsidRPr="001F3912" w:rsidRDefault="00067C3E"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E4398" w14:textId="1FD37735" w:rsidR="00067C3E" w:rsidRPr="004326A2" w:rsidRDefault="00067C3E" w:rsidP="004326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EA7C1" w14:textId="508D7F3F" w:rsidR="00067C3E" w:rsidRPr="004326A2" w:rsidRDefault="00067C3E" w:rsidP="004326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392C1" w14:textId="77777777" w:rsidR="00067C3E" w:rsidRDefault="00067C3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40E40" w14:textId="77777777" w:rsidR="004326A2" w:rsidRPr="001F3912" w:rsidRDefault="003712B6" w:rsidP="00F079E5">
    <w:pPr>
      <w:pStyle w:val="HeaderEven"/>
    </w:pPr>
    <w:fldSimple w:instr=" TITLE   \* MERGEFORMAT ">
      <w:r w:rsidR="004326A2">
        <w:t>Universal term for insurance within MySuper products</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6C10" w14:textId="77777777" w:rsidR="004326A2" w:rsidRPr="0022164F" w:rsidRDefault="009610B3" w:rsidP="00F079E5">
    <w:pPr>
      <w:pStyle w:val="HeaderOdd"/>
    </w:pPr>
    <w:r>
      <w:fldChar w:fldCharType="begin"/>
    </w:r>
    <w:r>
      <w:instrText xml:space="preserve"> TITLE   \* MERGEFORMAT </w:instrText>
    </w:r>
    <w:r>
      <w:fldChar w:fldCharType="separate"/>
    </w:r>
    <w:r w:rsidR="004326A2">
      <w:t xml:space="preserve">Universal term for insurance within </w:t>
    </w:r>
    <w:proofErr w:type="spellStart"/>
    <w:r w:rsidR="004326A2">
      <w:t>MySuper</w:t>
    </w:r>
    <w:proofErr w:type="spellEnd"/>
    <w:r w:rsidR="004326A2">
      <w:t xml:space="preserve"> products</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6CC4E5D"/>
    <w:multiLevelType w:val="multilevel"/>
    <w:tmpl w:val="D10E9CF6"/>
    <w:numStyleLink w:val="OneLevelList"/>
  </w:abstractNum>
  <w:abstractNum w:abstractNumId="3">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C5940ED"/>
    <w:multiLevelType w:val="multilevel"/>
    <w:tmpl w:val="28E2F34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08C2710"/>
    <w:multiLevelType w:val="multilevel"/>
    <w:tmpl w:val="B04AAA5C"/>
    <w:styleLink w:val="BulletedList"/>
    <w:lvl w:ilvl="0">
      <w:start w:val="1"/>
      <w:numFmt w:val="bullet"/>
      <w:pStyle w:val="Bullet"/>
      <w:lvlText w:val="•"/>
      <w:lvlJc w:val="left"/>
      <w:pPr>
        <w:ind w:left="360" w:hanging="360"/>
      </w:pPr>
      <w:rPr>
        <w:rFonts w:ascii="Arial" w:hAnsi="Arial"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10D2021"/>
    <w:multiLevelType w:val="multilevel"/>
    <w:tmpl w:val="72F8140E"/>
    <w:numStyleLink w:val="OutlineList"/>
  </w:abstractNum>
  <w:abstractNum w:abstractNumId="10">
    <w:nsid w:val="7131470D"/>
    <w:multiLevelType w:val="hybridMultilevel"/>
    <w:tmpl w:val="29E6D1FC"/>
    <w:lvl w:ilvl="0" w:tplc="291A1978">
      <w:start w:val="1"/>
      <w:numFmt w:val="decimal"/>
      <w:pStyle w:val="BoxText-Numbering"/>
      <w:lvlText w:val="%1."/>
      <w:lvlJc w:val="left"/>
      <w:pPr>
        <w:tabs>
          <w:tab w:val="num" w:pos="425"/>
        </w:tabs>
        <w:ind w:left="425" w:hanging="425"/>
      </w:pPr>
      <w:rPr>
        <w:rFonts w:ascii="Arial" w:hAnsi="Arial" w:cs="Symbol" w:hint="default"/>
        <w:b w:val="0"/>
        <w:i w:val="0"/>
        <w:caps w:val="0"/>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1"/>
  </w:num>
  <w:num w:numId="5">
    <w:abstractNumId w:val="2"/>
  </w:num>
  <w:num w:numId="6">
    <w:abstractNumId w:val="9"/>
  </w:num>
  <w:num w:numId="7">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3"/>
  </w:num>
  <w:num w:numId="9">
    <w:abstractNumId w:val="5"/>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AA"/>
    <w:rsid w:val="000016F7"/>
    <w:rsid w:val="00011725"/>
    <w:rsid w:val="000118E2"/>
    <w:rsid w:val="00012C62"/>
    <w:rsid w:val="00016D35"/>
    <w:rsid w:val="0002387F"/>
    <w:rsid w:val="0002507D"/>
    <w:rsid w:val="0002544D"/>
    <w:rsid w:val="00027A40"/>
    <w:rsid w:val="0004134A"/>
    <w:rsid w:val="00041A8B"/>
    <w:rsid w:val="0004274D"/>
    <w:rsid w:val="00044C0A"/>
    <w:rsid w:val="00051FB6"/>
    <w:rsid w:val="00056880"/>
    <w:rsid w:val="00064930"/>
    <w:rsid w:val="000675D1"/>
    <w:rsid w:val="00067C3E"/>
    <w:rsid w:val="0007102C"/>
    <w:rsid w:val="00071E63"/>
    <w:rsid w:val="00073521"/>
    <w:rsid w:val="000759EC"/>
    <w:rsid w:val="000775DE"/>
    <w:rsid w:val="00083260"/>
    <w:rsid w:val="000858F2"/>
    <w:rsid w:val="00085C70"/>
    <w:rsid w:val="00087EE6"/>
    <w:rsid w:val="00087FAF"/>
    <w:rsid w:val="000A0386"/>
    <w:rsid w:val="000A38C0"/>
    <w:rsid w:val="000A4127"/>
    <w:rsid w:val="000A740C"/>
    <w:rsid w:val="000B0924"/>
    <w:rsid w:val="000B3883"/>
    <w:rsid w:val="000B4DD2"/>
    <w:rsid w:val="000C2748"/>
    <w:rsid w:val="000C29EC"/>
    <w:rsid w:val="000C43C4"/>
    <w:rsid w:val="000C5F40"/>
    <w:rsid w:val="000D2446"/>
    <w:rsid w:val="000D5142"/>
    <w:rsid w:val="000D7CD2"/>
    <w:rsid w:val="000E0B74"/>
    <w:rsid w:val="000E3970"/>
    <w:rsid w:val="000E59AD"/>
    <w:rsid w:val="000E5C73"/>
    <w:rsid w:val="000F0BF8"/>
    <w:rsid w:val="000F42B2"/>
    <w:rsid w:val="000F45B1"/>
    <w:rsid w:val="000F7517"/>
    <w:rsid w:val="001021E0"/>
    <w:rsid w:val="001046E6"/>
    <w:rsid w:val="00104AEE"/>
    <w:rsid w:val="001064F3"/>
    <w:rsid w:val="0010690E"/>
    <w:rsid w:val="00113FC5"/>
    <w:rsid w:val="00115CDD"/>
    <w:rsid w:val="001210E4"/>
    <w:rsid w:val="00123A36"/>
    <w:rsid w:val="00130D4C"/>
    <w:rsid w:val="00136C31"/>
    <w:rsid w:val="0014091C"/>
    <w:rsid w:val="001411D7"/>
    <w:rsid w:val="001441EA"/>
    <w:rsid w:val="00146AA8"/>
    <w:rsid w:val="001606CF"/>
    <w:rsid w:val="0016128D"/>
    <w:rsid w:val="0016620F"/>
    <w:rsid w:val="001705AE"/>
    <w:rsid w:val="0017089D"/>
    <w:rsid w:val="001747D4"/>
    <w:rsid w:val="00182714"/>
    <w:rsid w:val="0018433D"/>
    <w:rsid w:val="0018496B"/>
    <w:rsid w:val="0019101A"/>
    <w:rsid w:val="001A79D0"/>
    <w:rsid w:val="001B0454"/>
    <w:rsid w:val="001B1ADF"/>
    <w:rsid w:val="001B3DAA"/>
    <w:rsid w:val="001C2237"/>
    <w:rsid w:val="001C2886"/>
    <w:rsid w:val="001C2C8B"/>
    <w:rsid w:val="001C358D"/>
    <w:rsid w:val="001C60B1"/>
    <w:rsid w:val="001C7355"/>
    <w:rsid w:val="001C7F3F"/>
    <w:rsid w:val="001D1D27"/>
    <w:rsid w:val="001D4E39"/>
    <w:rsid w:val="001D57CB"/>
    <w:rsid w:val="001E45E6"/>
    <w:rsid w:val="001E5E55"/>
    <w:rsid w:val="001F38DF"/>
    <w:rsid w:val="001F4736"/>
    <w:rsid w:val="0020342F"/>
    <w:rsid w:val="002045EA"/>
    <w:rsid w:val="00204FB5"/>
    <w:rsid w:val="002078B5"/>
    <w:rsid w:val="002125AB"/>
    <w:rsid w:val="002160A3"/>
    <w:rsid w:val="0021622A"/>
    <w:rsid w:val="00217801"/>
    <w:rsid w:val="0022164F"/>
    <w:rsid w:val="0022190E"/>
    <w:rsid w:val="0022322F"/>
    <w:rsid w:val="00227B79"/>
    <w:rsid w:val="00231049"/>
    <w:rsid w:val="002314D2"/>
    <w:rsid w:val="00233C9C"/>
    <w:rsid w:val="00234056"/>
    <w:rsid w:val="002372A6"/>
    <w:rsid w:val="002535A2"/>
    <w:rsid w:val="00257AEE"/>
    <w:rsid w:val="00261898"/>
    <w:rsid w:val="00263B6C"/>
    <w:rsid w:val="002669DA"/>
    <w:rsid w:val="002708E5"/>
    <w:rsid w:val="0027590B"/>
    <w:rsid w:val="00276A89"/>
    <w:rsid w:val="00283BBD"/>
    <w:rsid w:val="00285969"/>
    <w:rsid w:val="0028677A"/>
    <w:rsid w:val="002940EC"/>
    <w:rsid w:val="002A02F4"/>
    <w:rsid w:val="002B08E4"/>
    <w:rsid w:val="002B101F"/>
    <w:rsid w:val="002B3829"/>
    <w:rsid w:val="002B515E"/>
    <w:rsid w:val="002B5C39"/>
    <w:rsid w:val="002B66DB"/>
    <w:rsid w:val="002C44FA"/>
    <w:rsid w:val="002C598D"/>
    <w:rsid w:val="002D15B3"/>
    <w:rsid w:val="002D488F"/>
    <w:rsid w:val="002E601F"/>
    <w:rsid w:val="002E6332"/>
    <w:rsid w:val="002F4DC4"/>
    <w:rsid w:val="002F617F"/>
    <w:rsid w:val="002F6306"/>
    <w:rsid w:val="00303300"/>
    <w:rsid w:val="00303704"/>
    <w:rsid w:val="00311853"/>
    <w:rsid w:val="003122F4"/>
    <w:rsid w:val="00316B7B"/>
    <w:rsid w:val="003268D5"/>
    <w:rsid w:val="00330436"/>
    <w:rsid w:val="003317DA"/>
    <w:rsid w:val="003322D2"/>
    <w:rsid w:val="00341029"/>
    <w:rsid w:val="0034377A"/>
    <w:rsid w:val="00343C30"/>
    <w:rsid w:val="00344779"/>
    <w:rsid w:val="00345401"/>
    <w:rsid w:val="00345B38"/>
    <w:rsid w:val="00346463"/>
    <w:rsid w:val="00350047"/>
    <w:rsid w:val="003515A9"/>
    <w:rsid w:val="003520B4"/>
    <w:rsid w:val="00353DF2"/>
    <w:rsid w:val="00354840"/>
    <w:rsid w:val="00354D27"/>
    <w:rsid w:val="00356907"/>
    <w:rsid w:val="003602D4"/>
    <w:rsid w:val="0036255C"/>
    <w:rsid w:val="00364694"/>
    <w:rsid w:val="0036694A"/>
    <w:rsid w:val="003712B6"/>
    <w:rsid w:val="003718C0"/>
    <w:rsid w:val="00374C88"/>
    <w:rsid w:val="003763DD"/>
    <w:rsid w:val="00377DEA"/>
    <w:rsid w:val="00383629"/>
    <w:rsid w:val="003839F0"/>
    <w:rsid w:val="003858A6"/>
    <w:rsid w:val="003924F2"/>
    <w:rsid w:val="00392DCC"/>
    <w:rsid w:val="00393509"/>
    <w:rsid w:val="00393BE0"/>
    <w:rsid w:val="003A754C"/>
    <w:rsid w:val="003B2381"/>
    <w:rsid w:val="003B4F75"/>
    <w:rsid w:val="003B7AB2"/>
    <w:rsid w:val="003B7E31"/>
    <w:rsid w:val="003C068A"/>
    <w:rsid w:val="003C3B05"/>
    <w:rsid w:val="003C64B6"/>
    <w:rsid w:val="003D3204"/>
    <w:rsid w:val="003D3CC1"/>
    <w:rsid w:val="003D689B"/>
    <w:rsid w:val="003D7259"/>
    <w:rsid w:val="003E4D87"/>
    <w:rsid w:val="003E7A05"/>
    <w:rsid w:val="003F71F2"/>
    <w:rsid w:val="004003FF"/>
    <w:rsid w:val="0040061F"/>
    <w:rsid w:val="00411284"/>
    <w:rsid w:val="00415F67"/>
    <w:rsid w:val="00416762"/>
    <w:rsid w:val="00417E96"/>
    <w:rsid w:val="00430340"/>
    <w:rsid w:val="004326A2"/>
    <w:rsid w:val="00434594"/>
    <w:rsid w:val="004413D7"/>
    <w:rsid w:val="00442CA7"/>
    <w:rsid w:val="00445265"/>
    <w:rsid w:val="00452C2B"/>
    <w:rsid w:val="00454586"/>
    <w:rsid w:val="004559CE"/>
    <w:rsid w:val="00460F5D"/>
    <w:rsid w:val="00465C17"/>
    <w:rsid w:val="004664E0"/>
    <w:rsid w:val="00466E90"/>
    <w:rsid w:val="004725D7"/>
    <w:rsid w:val="00475B7B"/>
    <w:rsid w:val="00475F4D"/>
    <w:rsid w:val="00481AD6"/>
    <w:rsid w:val="00482AD1"/>
    <w:rsid w:val="00483049"/>
    <w:rsid w:val="00483B40"/>
    <w:rsid w:val="00484A4E"/>
    <w:rsid w:val="00492FCB"/>
    <w:rsid w:val="004938D1"/>
    <w:rsid w:val="004951A8"/>
    <w:rsid w:val="00496984"/>
    <w:rsid w:val="004A06F0"/>
    <w:rsid w:val="004A321D"/>
    <w:rsid w:val="004A3534"/>
    <w:rsid w:val="004A7BC2"/>
    <w:rsid w:val="004B1DFC"/>
    <w:rsid w:val="004B449A"/>
    <w:rsid w:val="004B5112"/>
    <w:rsid w:val="004B6410"/>
    <w:rsid w:val="004C4CD9"/>
    <w:rsid w:val="004D3248"/>
    <w:rsid w:val="004D3540"/>
    <w:rsid w:val="004D6321"/>
    <w:rsid w:val="004D6DC3"/>
    <w:rsid w:val="004E6FF1"/>
    <w:rsid w:val="004E7D67"/>
    <w:rsid w:val="004F1164"/>
    <w:rsid w:val="004F1B29"/>
    <w:rsid w:val="00504463"/>
    <w:rsid w:val="00513E23"/>
    <w:rsid w:val="00514768"/>
    <w:rsid w:val="00516785"/>
    <w:rsid w:val="0052419D"/>
    <w:rsid w:val="005263C6"/>
    <w:rsid w:val="0052645B"/>
    <w:rsid w:val="005301F8"/>
    <w:rsid w:val="005312FC"/>
    <w:rsid w:val="00532C24"/>
    <w:rsid w:val="00533E25"/>
    <w:rsid w:val="00535D88"/>
    <w:rsid w:val="0053603D"/>
    <w:rsid w:val="0053669E"/>
    <w:rsid w:val="005405AC"/>
    <w:rsid w:val="005473D8"/>
    <w:rsid w:val="00547976"/>
    <w:rsid w:val="00552956"/>
    <w:rsid w:val="00552A2C"/>
    <w:rsid w:val="00553D94"/>
    <w:rsid w:val="00553F2A"/>
    <w:rsid w:val="00563878"/>
    <w:rsid w:val="00566426"/>
    <w:rsid w:val="00567CC1"/>
    <w:rsid w:val="00570F7B"/>
    <w:rsid w:val="00571701"/>
    <w:rsid w:val="00573420"/>
    <w:rsid w:val="005768B4"/>
    <w:rsid w:val="005868DE"/>
    <w:rsid w:val="0059036D"/>
    <w:rsid w:val="005922D7"/>
    <w:rsid w:val="00594B7A"/>
    <w:rsid w:val="005975C5"/>
    <w:rsid w:val="005A6D13"/>
    <w:rsid w:val="005B22E2"/>
    <w:rsid w:val="005B6E94"/>
    <w:rsid w:val="005C5A14"/>
    <w:rsid w:val="005C7536"/>
    <w:rsid w:val="005D2B92"/>
    <w:rsid w:val="005D435A"/>
    <w:rsid w:val="005D74AD"/>
    <w:rsid w:val="005E1B54"/>
    <w:rsid w:val="005E27E0"/>
    <w:rsid w:val="005E3EA8"/>
    <w:rsid w:val="005E7939"/>
    <w:rsid w:val="005F31AA"/>
    <w:rsid w:val="005F6BE3"/>
    <w:rsid w:val="0060595B"/>
    <w:rsid w:val="00605AFD"/>
    <w:rsid w:val="00606C09"/>
    <w:rsid w:val="00607C7C"/>
    <w:rsid w:val="006105BF"/>
    <w:rsid w:val="00611D41"/>
    <w:rsid w:val="006123D4"/>
    <w:rsid w:val="00616D13"/>
    <w:rsid w:val="00620FDF"/>
    <w:rsid w:val="00621A1D"/>
    <w:rsid w:val="00623881"/>
    <w:rsid w:val="00624696"/>
    <w:rsid w:val="006246B1"/>
    <w:rsid w:val="00625A4C"/>
    <w:rsid w:val="00637C14"/>
    <w:rsid w:val="00641C77"/>
    <w:rsid w:val="00647699"/>
    <w:rsid w:val="00647AEA"/>
    <w:rsid w:val="0065182D"/>
    <w:rsid w:val="0065558D"/>
    <w:rsid w:val="00656356"/>
    <w:rsid w:val="00656AD2"/>
    <w:rsid w:val="00662731"/>
    <w:rsid w:val="006635EF"/>
    <w:rsid w:val="006638E0"/>
    <w:rsid w:val="006653B2"/>
    <w:rsid w:val="006657D1"/>
    <w:rsid w:val="006725F1"/>
    <w:rsid w:val="00674028"/>
    <w:rsid w:val="006755BF"/>
    <w:rsid w:val="00676EE9"/>
    <w:rsid w:val="006851D0"/>
    <w:rsid w:val="00685768"/>
    <w:rsid w:val="00685BC4"/>
    <w:rsid w:val="00686165"/>
    <w:rsid w:val="00691CB5"/>
    <w:rsid w:val="006922FB"/>
    <w:rsid w:val="00693C62"/>
    <w:rsid w:val="00694869"/>
    <w:rsid w:val="00694F19"/>
    <w:rsid w:val="00696BCF"/>
    <w:rsid w:val="006A0AEA"/>
    <w:rsid w:val="006A3CC1"/>
    <w:rsid w:val="006A6EE1"/>
    <w:rsid w:val="006B172C"/>
    <w:rsid w:val="006B4766"/>
    <w:rsid w:val="006B5E7C"/>
    <w:rsid w:val="006C5DC3"/>
    <w:rsid w:val="006C645D"/>
    <w:rsid w:val="006D0A05"/>
    <w:rsid w:val="006D0A74"/>
    <w:rsid w:val="006D1B6B"/>
    <w:rsid w:val="006D2219"/>
    <w:rsid w:val="006D2C6B"/>
    <w:rsid w:val="006D42C7"/>
    <w:rsid w:val="006D47BD"/>
    <w:rsid w:val="006D59F2"/>
    <w:rsid w:val="006D7E42"/>
    <w:rsid w:val="006E03DC"/>
    <w:rsid w:val="006E2BEC"/>
    <w:rsid w:val="006E3CC3"/>
    <w:rsid w:val="006E5AEA"/>
    <w:rsid w:val="006E628B"/>
    <w:rsid w:val="006F259E"/>
    <w:rsid w:val="006F3BC8"/>
    <w:rsid w:val="006F3CBA"/>
    <w:rsid w:val="006F656C"/>
    <w:rsid w:val="00701D36"/>
    <w:rsid w:val="00702B18"/>
    <w:rsid w:val="00705DF5"/>
    <w:rsid w:val="00707014"/>
    <w:rsid w:val="00707626"/>
    <w:rsid w:val="00710DE8"/>
    <w:rsid w:val="0071342D"/>
    <w:rsid w:val="007143A6"/>
    <w:rsid w:val="00726173"/>
    <w:rsid w:val="00732BFF"/>
    <w:rsid w:val="007334F4"/>
    <w:rsid w:val="00736E54"/>
    <w:rsid w:val="00740BEC"/>
    <w:rsid w:val="00743E94"/>
    <w:rsid w:val="007449AF"/>
    <w:rsid w:val="00745A87"/>
    <w:rsid w:val="00750482"/>
    <w:rsid w:val="00761431"/>
    <w:rsid w:val="0076326F"/>
    <w:rsid w:val="00766702"/>
    <w:rsid w:val="00774AA4"/>
    <w:rsid w:val="00780094"/>
    <w:rsid w:val="00780EA4"/>
    <w:rsid w:val="007831CE"/>
    <w:rsid w:val="0078509F"/>
    <w:rsid w:val="007856DE"/>
    <w:rsid w:val="00785EC7"/>
    <w:rsid w:val="0079006B"/>
    <w:rsid w:val="00794499"/>
    <w:rsid w:val="007948FC"/>
    <w:rsid w:val="0079567C"/>
    <w:rsid w:val="007956F2"/>
    <w:rsid w:val="007A0336"/>
    <w:rsid w:val="007A1324"/>
    <w:rsid w:val="007A3B4B"/>
    <w:rsid w:val="007A7B30"/>
    <w:rsid w:val="007B3DF7"/>
    <w:rsid w:val="007C1039"/>
    <w:rsid w:val="007C5200"/>
    <w:rsid w:val="007C6BE4"/>
    <w:rsid w:val="007D2A3C"/>
    <w:rsid w:val="007D5AA6"/>
    <w:rsid w:val="007D766D"/>
    <w:rsid w:val="007E2767"/>
    <w:rsid w:val="007E2AB9"/>
    <w:rsid w:val="007E3692"/>
    <w:rsid w:val="007E57AD"/>
    <w:rsid w:val="007E5E89"/>
    <w:rsid w:val="007E6456"/>
    <w:rsid w:val="007F2E18"/>
    <w:rsid w:val="007F60F1"/>
    <w:rsid w:val="00801441"/>
    <w:rsid w:val="00801E18"/>
    <w:rsid w:val="0080305E"/>
    <w:rsid w:val="00804DD7"/>
    <w:rsid w:val="0081128D"/>
    <w:rsid w:val="008128BB"/>
    <w:rsid w:val="00813BEC"/>
    <w:rsid w:val="00813F19"/>
    <w:rsid w:val="0081774C"/>
    <w:rsid w:val="008221CA"/>
    <w:rsid w:val="00832C7B"/>
    <w:rsid w:val="00833B1A"/>
    <w:rsid w:val="00834243"/>
    <w:rsid w:val="00834478"/>
    <w:rsid w:val="00835E61"/>
    <w:rsid w:val="008376AA"/>
    <w:rsid w:val="008448C3"/>
    <w:rsid w:val="0084582A"/>
    <w:rsid w:val="00845A4A"/>
    <w:rsid w:val="00853365"/>
    <w:rsid w:val="008541A8"/>
    <w:rsid w:val="008549AE"/>
    <w:rsid w:val="00854EE0"/>
    <w:rsid w:val="00855618"/>
    <w:rsid w:val="00857969"/>
    <w:rsid w:val="00857D6A"/>
    <w:rsid w:val="00860254"/>
    <w:rsid w:val="00863640"/>
    <w:rsid w:val="008741FA"/>
    <w:rsid w:val="00884002"/>
    <w:rsid w:val="00890D21"/>
    <w:rsid w:val="0089399E"/>
    <w:rsid w:val="008A1187"/>
    <w:rsid w:val="008A258D"/>
    <w:rsid w:val="008A4144"/>
    <w:rsid w:val="008A73E8"/>
    <w:rsid w:val="008B12BB"/>
    <w:rsid w:val="008B1499"/>
    <w:rsid w:val="008B287B"/>
    <w:rsid w:val="008B5E06"/>
    <w:rsid w:val="008C544A"/>
    <w:rsid w:val="008D107D"/>
    <w:rsid w:val="008D339F"/>
    <w:rsid w:val="008D3F89"/>
    <w:rsid w:val="008D5AC9"/>
    <w:rsid w:val="008D7F38"/>
    <w:rsid w:val="008E3A82"/>
    <w:rsid w:val="008E6292"/>
    <w:rsid w:val="008E73A0"/>
    <w:rsid w:val="008E76AB"/>
    <w:rsid w:val="008F5F84"/>
    <w:rsid w:val="008F7B6E"/>
    <w:rsid w:val="009004C8"/>
    <w:rsid w:val="00901DC7"/>
    <w:rsid w:val="00905A37"/>
    <w:rsid w:val="00912366"/>
    <w:rsid w:val="00913048"/>
    <w:rsid w:val="00917A40"/>
    <w:rsid w:val="00923AFC"/>
    <w:rsid w:val="00925AA5"/>
    <w:rsid w:val="00930AF9"/>
    <w:rsid w:val="0094019D"/>
    <w:rsid w:val="00941682"/>
    <w:rsid w:val="0094223A"/>
    <w:rsid w:val="00942C11"/>
    <w:rsid w:val="00943942"/>
    <w:rsid w:val="00946522"/>
    <w:rsid w:val="009515AD"/>
    <w:rsid w:val="00951B51"/>
    <w:rsid w:val="009610B3"/>
    <w:rsid w:val="0096593E"/>
    <w:rsid w:val="00970EDC"/>
    <w:rsid w:val="009726F9"/>
    <w:rsid w:val="00972B4D"/>
    <w:rsid w:val="009732EC"/>
    <w:rsid w:val="00975F4D"/>
    <w:rsid w:val="009774DD"/>
    <w:rsid w:val="009817A8"/>
    <w:rsid w:val="009821CE"/>
    <w:rsid w:val="009852CF"/>
    <w:rsid w:val="009A1348"/>
    <w:rsid w:val="009A29AC"/>
    <w:rsid w:val="009A658F"/>
    <w:rsid w:val="009A668A"/>
    <w:rsid w:val="009A69F9"/>
    <w:rsid w:val="009B3E81"/>
    <w:rsid w:val="009B4C88"/>
    <w:rsid w:val="009B538A"/>
    <w:rsid w:val="009B5622"/>
    <w:rsid w:val="009B5EFF"/>
    <w:rsid w:val="009B692E"/>
    <w:rsid w:val="009B7535"/>
    <w:rsid w:val="009C4B29"/>
    <w:rsid w:val="009C6A05"/>
    <w:rsid w:val="009D43C3"/>
    <w:rsid w:val="009D761E"/>
    <w:rsid w:val="009D7C36"/>
    <w:rsid w:val="009E1BC1"/>
    <w:rsid w:val="009E210F"/>
    <w:rsid w:val="009F247B"/>
    <w:rsid w:val="009F2B37"/>
    <w:rsid w:val="009F3703"/>
    <w:rsid w:val="009F4C19"/>
    <w:rsid w:val="009F64C7"/>
    <w:rsid w:val="00A00516"/>
    <w:rsid w:val="00A023DA"/>
    <w:rsid w:val="00A052D6"/>
    <w:rsid w:val="00A15C38"/>
    <w:rsid w:val="00A16E03"/>
    <w:rsid w:val="00A17059"/>
    <w:rsid w:val="00A170FB"/>
    <w:rsid w:val="00A176B8"/>
    <w:rsid w:val="00A20176"/>
    <w:rsid w:val="00A20CF5"/>
    <w:rsid w:val="00A20FD4"/>
    <w:rsid w:val="00A22FEE"/>
    <w:rsid w:val="00A260CD"/>
    <w:rsid w:val="00A268E0"/>
    <w:rsid w:val="00A319CC"/>
    <w:rsid w:val="00A33478"/>
    <w:rsid w:val="00A33EC8"/>
    <w:rsid w:val="00A35AF6"/>
    <w:rsid w:val="00A3749B"/>
    <w:rsid w:val="00A42D17"/>
    <w:rsid w:val="00A43A2A"/>
    <w:rsid w:val="00A446D7"/>
    <w:rsid w:val="00A46E21"/>
    <w:rsid w:val="00A56E1A"/>
    <w:rsid w:val="00A61014"/>
    <w:rsid w:val="00A61277"/>
    <w:rsid w:val="00A62E42"/>
    <w:rsid w:val="00A62E61"/>
    <w:rsid w:val="00A62F25"/>
    <w:rsid w:val="00A64A71"/>
    <w:rsid w:val="00A7315A"/>
    <w:rsid w:val="00A76100"/>
    <w:rsid w:val="00A77193"/>
    <w:rsid w:val="00A80469"/>
    <w:rsid w:val="00A80E79"/>
    <w:rsid w:val="00A848FD"/>
    <w:rsid w:val="00A904FD"/>
    <w:rsid w:val="00A92071"/>
    <w:rsid w:val="00A9217B"/>
    <w:rsid w:val="00AA2CE0"/>
    <w:rsid w:val="00AA7FC9"/>
    <w:rsid w:val="00AB18EA"/>
    <w:rsid w:val="00AB33A6"/>
    <w:rsid w:val="00AB51CB"/>
    <w:rsid w:val="00AB6A6C"/>
    <w:rsid w:val="00AB7095"/>
    <w:rsid w:val="00AC29DC"/>
    <w:rsid w:val="00AC365F"/>
    <w:rsid w:val="00AC64BF"/>
    <w:rsid w:val="00AC6D83"/>
    <w:rsid w:val="00AC6E3C"/>
    <w:rsid w:val="00AD1D25"/>
    <w:rsid w:val="00AD3138"/>
    <w:rsid w:val="00AD4B72"/>
    <w:rsid w:val="00AD61A2"/>
    <w:rsid w:val="00AE29E9"/>
    <w:rsid w:val="00AE2EC9"/>
    <w:rsid w:val="00AE2F90"/>
    <w:rsid w:val="00AE6C02"/>
    <w:rsid w:val="00AF25BE"/>
    <w:rsid w:val="00AF2C40"/>
    <w:rsid w:val="00AF2F04"/>
    <w:rsid w:val="00AF304F"/>
    <w:rsid w:val="00AF39C7"/>
    <w:rsid w:val="00AF4BD4"/>
    <w:rsid w:val="00B05B76"/>
    <w:rsid w:val="00B13895"/>
    <w:rsid w:val="00B13C82"/>
    <w:rsid w:val="00B14F16"/>
    <w:rsid w:val="00B15A54"/>
    <w:rsid w:val="00B17715"/>
    <w:rsid w:val="00B25939"/>
    <w:rsid w:val="00B3149D"/>
    <w:rsid w:val="00B3768D"/>
    <w:rsid w:val="00B4137A"/>
    <w:rsid w:val="00B46C99"/>
    <w:rsid w:val="00B54FB6"/>
    <w:rsid w:val="00B55A53"/>
    <w:rsid w:val="00B55D90"/>
    <w:rsid w:val="00B566D8"/>
    <w:rsid w:val="00B57D9D"/>
    <w:rsid w:val="00B61E52"/>
    <w:rsid w:val="00B628E6"/>
    <w:rsid w:val="00B62C2F"/>
    <w:rsid w:val="00B63F3D"/>
    <w:rsid w:val="00B702F9"/>
    <w:rsid w:val="00B7152E"/>
    <w:rsid w:val="00B73D9D"/>
    <w:rsid w:val="00B770FF"/>
    <w:rsid w:val="00B77914"/>
    <w:rsid w:val="00B822F9"/>
    <w:rsid w:val="00B82EF9"/>
    <w:rsid w:val="00B837E3"/>
    <w:rsid w:val="00B845CB"/>
    <w:rsid w:val="00B85F47"/>
    <w:rsid w:val="00B87927"/>
    <w:rsid w:val="00B92619"/>
    <w:rsid w:val="00B93FB1"/>
    <w:rsid w:val="00B94563"/>
    <w:rsid w:val="00B978AE"/>
    <w:rsid w:val="00BA2E70"/>
    <w:rsid w:val="00BA6720"/>
    <w:rsid w:val="00BB0C52"/>
    <w:rsid w:val="00BB1DB0"/>
    <w:rsid w:val="00BB2091"/>
    <w:rsid w:val="00BB4E3C"/>
    <w:rsid w:val="00BC0D7A"/>
    <w:rsid w:val="00BC1A82"/>
    <w:rsid w:val="00BC3F1B"/>
    <w:rsid w:val="00BC50A4"/>
    <w:rsid w:val="00BC5DD4"/>
    <w:rsid w:val="00BC6D2F"/>
    <w:rsid w:val="00BD0AED"/>
    <w:rsid w:val="00BD146B"/>
    <w:rsid w:val="00BD2013"/>
    <w:rsid w:val="00BD23E4"/>
    <w:rsid w:val="00BD2BC6"/>
    <w:rsid w:val="00BD5650"/>
    <w:rsid w:val="00BE30E9"/>
    <w:rsid w:val="00BE5DC1"/>
    <w:rsid w:val="00BE6A8D"/>
    <w:rsid w:val="00BE71B4"/>
    <w:rsid w:val="00BE778B"/>
    <w:rsid w:val="00BF08FD"/>
    <w:rsid w:val="00BF0AF1"/>
    <w:rsid w:val="00BF0D85"/>
    <w:rsid w:val="00BF4BE5"/>
    <w:rsid w:val="00BF4F52"/>
    <w:rsid w:val="00BF58F7"/>
    <w:rsid w:val="00BF7841"/>
    <w:rsid w:val="00C04737"/>
    <w:rsid w:val="00C14A93"/>
    <w:rsid w:val="00C171C1"/>
    <w:rsid w:val="00C24681"/>
    <w:rsid w:val="00C2597E"/>
    <w:rsid w:val="00C30297"/>
    <w:rsid w:val="00C32F3F"/>
    <w:rsid w:val="00C378B2"/>
    <w:rsid w:val="00C37945"/>
    <w:rsid w:val="00C4065A"/>
    <w:rsid w:val="00C42EB4"/>
    <w:rsid w:val="00C471CC"/>
    <w:rsid w:val="00C53902"/>
    <w:rsid w:val="00C54E4E"/>
    <w:rsid w:val="00C616CD"/>
    <w:rsid w:val="00C663AB"/>
    <w:rsid w:val="00C7240C"/>
    <w:rsid w:val="00C72C54"/>
    <w:rsid w:val="00C75430"/>
    <w:rsid w:val="00C8072B"/>
    <w:rsid w:val="00C81AFA"/>
    <w:rsid w:val="00C83D63"/>
    <w:rsid w:val="00C84E78"/>
    <w:rsid w:val="00C85314"/>
    <w:rsid w:val="00C931E7"/>
    <w:rsid w:val="00C94FAA"/>
    <w:rsid w:val="00CA062B"/>
    <w:rsid w:val="00CA46D6"/>
    <w:rsid w:val="00CA4BC0"/>
    <w:rsid w:val="00CB1236"/>
    <w:rsid w:val="00CB4867"/>
    <w:rsid w:val="00CC36CD"/>
    <w:rsid w:val="00CC559D"/>
    <w:rsid w:val="00CD654B"/>
    <w:rsid w:val="00CD6BD4"/>
    <w:rsid w:val="00CD763F"/>
    <w:rsid w:val="00CD7B8B"/>
    <w:rsid w:val="00CE0C2C"/>
    <w:rsid w:val="00CE223E"/>
    <w:rsid w:val="00CE6059"/>
    <w:rsid w:val="00CE71A5"/>
    <w:rsid w:val="00CF07AA"/>
    <w:rsid w:val="00CF224C"/>
    <w:rsid w:val="00CF35A3"/>
    <w:rsid w:val="00CF399F"/>
    <w:rsid w:val="00CF757D"/>
    <w:rsid w:val="00D00A74"/>
    <w:rsid w:val="00D017A4"/>
    <w:rsid w:val="00D125BC"/>
    <w:rsid w:val="00D135F9"/>
    <w:rsid w:val="00D145F5"/>
    <w:rsid w:val="00D21BBE"/>
    <w:rsid w:val="00D24170"/>
    <w:rsid w:val="00D30B37"/>
    <w:rsid w:val="00D32092"/>
    <w:rsid w:val="00D355F0"/>
    <w:rsid w:val="00D35F8E"/>
    <w:rsid w:val="00D363C2"/>
    <w:rsid w:val="00D4062D"/>
    <w:rsid w:val="00D4454F"/>
    <w:rsid w:val="00D45AF8"/>
    <w:rsid w:val="00D50D8D"/>
    <w:rsid w:val="00D5130A"/>
    <w:rsid w:val="00D515B4"/>
    <w:rsid w:val="00D51C05"/>
    <w:rsid w:val="00D57CCD"/>
    <w:rsid w:val="00D63916"/>
    <w:rsid w:val="00D655F0"/>
    <w:rsid w:val="00D72213"/>
    <w:rsid w:val="00D74215"/>
    <w:rsid w:val="00D77460"/>
    <w:rsid w:val="00D81CEC"/>
    <w:rsid w:val="00D83BD9"/>
    <w:rsid w:val="00D842E5"/>
    <w:rsid w:val="00D909AC"/>
    <w:rsid w:val="00D915A8"/>
    <w:rsid w:val="00D9288C"/>
    <w:rsid w:val="00D9373D"/>
    <w:rsid w:val="00D94AD0"/>
    <w:rsid w:val="00D95FB9"/>
    <w:rsid w:val="00D96969"/>
    <w:rsid w:val="00D97F50"/>
    <w:rsid w:val="00DA686B"/>
    <w:rsid w:val="00DB0B93"/>
    <w:rsid w:val="00DB7F09"/>
    <w:rsid w:val="00DC00E8"/>
    <w:rsid w:val="00DC6577"/>
    <w:rsid w:val="00DC65C3"/>
    <w:rsid w:val="00DD0A62"/>
    <w:rsid w:val="00DD1047"/>
    <w:rsid w:val="00DD37D5"/>
    <w:rsid w:val="00DD6D8C"/>
    <w:rsid w:val="00DE17AF"/>
    <w:rsid w:val="00DE41AC"/>
    <w:rsid w:val="00DE56A6"/>
    <w:rsid w:val="00DE70FE"/>
    <w:rsid w:val="00DE7CB5"/>
    <w:rsid w:val="00DF0F19"/>
    <w:rsid w:val="00DF2C5A"/>
    <w:rsid w:val="00E03BE8"/>
    <w:rsid w:val="00E06A8E"/>
    <w:rsid w:val="00E10D39"/>
    <w:rsid w:val="00E1136B"/>
    <w:rsid w:val="00E15900"/>
    <w:rsid w:val="00E15BE3"/>
    <w:rsid w:val="00E22D51"/>
    <w:rsid w:val="00E22DAF"/>
    <w:rsid w:val="00E35FA1"/>
    <w:rsid w:val="00E403A9"/>
    <w:rsid w:val="00E421FE"/>
    <w:rsid w:val="00E42A71"/>
    <w:rsid w:val="00E42E52"/>
    <w:rsid w:val="00E45CAB"/>
    <w:rsid w:val="00E466CB"/>
    <w:rsid w:val="00E46B82"/>
    <w:rsid w:val="00E50E7C"/>
    <w:rsid w:val="00E51545"/>
    <w:rsid w:val="00E55326"/>
    <w:rsid w:val="00E666D4"/>
    <w:rsid w:val="00E711D7"/>
    <w:rsid w:val="00E751AF"/>
    <w:rsid w:val="00E76361"/>
    <w:rsid w:val="00E82A48"/>
    <w:rsid w:val="00E85DCC"/>
    <w:rsid w:val="00E86D08"/>
    <w:rsid w:val="00E8764D"/>
    <w:rsid w:val="00E90202"/>
    <w:rsid w:val="00E902B0"/>
    <w:rsid w:val="00E902E8"/>
    <w:rsid w:val="00E9070E"/>
    <w:rsid w:val="00E923BF"/>
    <w:rsid w:val="00E96676"/>
    <w:rsid w:val="00E968A9"/>
    <w:rsid w:val="00EA0168"/>
    <w:rsid w:val="00EA289F"/>
    <w:rsid w:val="00EB030F"/>
    <w:rsid w:val="00EB1A73"/>
    <w:rsid w:val="00EB38EC"/>
    <w:rsid w:val="00EB6EFD"/>
    <w:rsid w:val="00EC1994"/>
    <w:rsid w:val="00EC453F"/>
    <w:rsid w:val="00EC465B"/>
    <w:rsid w:val="00EC6B16"/>
    <w:rsid w:val="00ED1555"/>
    <w:rsid w:val="00ED2227"/>
    <w:rsid w:val="00ED474C"/>
    <w:rsid w:val="00EE0FFE"/>
    <w:rsid w:val="00EE6365"/>
    <w:rsid w:val="00EE677F"/>
    <w:rsid w:val="00EE74B0"/>
    <w:rsid w:val="00EF5067"/>
    <w:rsid w:val="00F0082D"/>
    <w:rsid w:val="00F01FF1"/>
    <w:rsid w:val="00F06CB0"/>
    <w:rsid w:val="00F0756B"/>
    <w:rsid w:val="00F079E5"/>
    <w:rsid w:val="00F07C90"/>
    <w:rsid w:val="00F111AF"/>
    <w:rsid w:val="00F20469"/>
    <w:rsid w:val="00F23126"/>
    <w:rsid w:val="00F24C61"/>
    <w:rsid w:val="00F260B6"/>
    <w:rsid w:val="00F3159B"/>
    <w:rsid w:val="00F36AEC"/>
    <w:rsid w:val="00F36C21"/>
    <w:rsid w:val="00F42C19"/>
    <w:rsid w:val="00F4677F"/>
    <w:rsid w:val="00F467A4"/>
    <w:rsid w:val="00F52800"/>
    <w:rsid w:val="00F5361D"/>
    <w:rsid w:val="00F53800"/>
    <w:rsid w:val="00F66B9F"/>
    <w:rsid w:val="00F670D1"/>
    <w:rsid w:val="00F71A0E"/>
    <w:rsid w:val="00F76F6E"/>
    <w:rsid w:val="00F81373"/>
    <w:rsid w:val="00F81619"/>
    <w:rsid w:val="00F92279"/>
    <w:rsid w:val="00FA0001"/>
    <w:rsid w:val="00FA0268"/>
    <w:rsid w:val="00FA057D"/>
    <w:rsid w:val="00FA2649"/>
    <w:rsid w:val="00FA5A45"/>
    <w:rsid w:val="00FB04A2"/>
    <w:rsid w:val="00FB2954"/>
    <w:rsid w:val="00FB4DB9"/>
    <w:rsid w:val="00FB5F1A"/>
    <w:rsid w:val="00FB64AA"/>
    <w:rsid w:val="00FC684E"/>
    <w:rsid w:val="00FC6ADA"/>
    <w:rsid w:val="00FC7199"/>
    <w:rsid w:val="00FC7DFF"/>
    <w:rsid w:val="00FC7F5F"/>
    <w:rsid w:val="00FD1088"/>
    <w:rsid w:val="00FD1A69"/>
    <w:rsid w:val="00FD26FC"/>
    <w:rsid w:val="00FD3BA5"/>
    <w:rsid w:val="00FD3FEE"/>
    <w:rsid w:val="00FD4EF2"/>
    <w:rsid w:val="00FE2811"/>
    <w:rsid w:val="00FF33D9"/>
    <w:rsid w:val="00FF5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80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9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863640"/>
    <w:pPr>
      <w:spacing w:after="360"/>
      <w:outlineLvl w:val="0"/>
    </w:pPr>
    <w:rPr>
      <w:b/>
      <w:bCs w:val="0"/>
      <w:caps/>
      <w:sz w:val="44"/>
    </w:rPr>
  </w:style>
  <w:style w:type="paragraph" w:styleId="Heading2">
    <w:name w:val="heading 2"/>
    <w:basedOn w:val="HeadingBase"/>
    <w:next w:val="Normal"/>
    <w:link w:val="Heading2Char"/>
    <w:qFormat/>
    <w:rsid w:val="0022164F"/>
    <w:pPr>
      <w:spacing w:before="120" w:after="240"/>
      <w:outlineLvl w:val="1"/>
    </w:pPr>
    <w:rPr>
      <w:b/>
      <w:bCs w:val="0"/>
      <w:iCs/>
      <w:sz w:val="36"/>
      <w:szCs w:val="28"/>
    </w:rPr>
  </w:style>
  <w:style w:type="paragraph" w:styleId="Heading3">
    <w:name w:val="heading 3"/>
    <w:basedOn w:val="HeadingBase"/>
    <w:next w:val="Normal"/>
    <w:link w:val="Heading3Char"/>
    <w:qFormat/>
    <w:rsid w:val="0089399E"/>
    <w:pPr>
      <w:spacing w:before="240"/>
      <w:outlineLvl w:val="2"/>
    </w:pPr>
    <w:rPr>
      <w:b/>
      <w:bCs w:val="0"/>
      <w:color w:val="595959" w:themeColor="text1" w:themeTint="A6"/>
      <w:sz w:val="32"/>
      <w:szCs w:val="26"/>
    </w:rPr>
  </w:style>
  <w:style w:type="paragraph" w:styleId="Heading4">
    <w:name w:val="heading 4"/>
    <w:basedOn w:val="HeadingBase"/>
    <w:next w:val="Normal"/>
    <w:link w:val="Heading4Char"/>
    <w:qFormat/>
    <w:rsid w:val="0089399E"/>
    <w:pPr>
      <w:spacing w:after="180"/>
      <w:outlineLvl w:val="3"/>
    </w:pPr>
    <w:rPr>
      <w:b/>
      <w:bCs w:val="0"/>
      <w:color w:val="336E98"/>
      <w:sz w:val="28"/>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640"/>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22164F"/>
    <w:rPr>
      <w:rFonts w:ascii="Calibri" w:eastAsia="Times New Roman" w:hAnsi="Calibri" w:cs="Arial"/>
      <w:b/>
      <w:iCs/>
      <w:color w:val="004A7F"/>
      <w:kern w:val="32"/>
      <w:sz w:val="36"/>
      <w:szCs w:val="28"/>
      <w:lang w:eastAsia="en-AU"/>
    </w:rPr>
  </w:style>
  <w:style w:type="character" w:customStyle="1" w:styleId="Heading3Char">
    <w:name w:val="Heading 3 Char"/>
    <w:basedOn w:val="DefaultParagraphFont"/>
    <w:link w:val="Heading3"/>
    <w:rsid w:val="0089399E"/>
    <w:rPr>
      <w:rFonts w:ascii="Calibri" w:eastAsia="Times New Roman" w:hAnsi="Calibri" w:cs="Arial"/>
      <w:b/>
      <w:color w:val="595959" w:themeColor="text1" w:themeTint="A6"/>
      <w:kern w:val="32"/>
      <w:sz w:val="32"/>
      <w:szCs w:val="26"/>
      <w:lang w:eastAsia="en-AU"/>
    </w:rPr>
  </w:style>
  <w:style w:type="character" w:customStyle="1" w:styleId="Heading4Char">
    <w:name w:val="Heading 4 Char"/>
    <w:basedOn w:val="DefaultParagraphFont"/>
    <w:link w:val="Heading4"/>
    <w:rsid w:val="0089399E"/>
    <w:rPr>
      <w:rFonts w:ascii="Calibri" w:eastAsia="Times New Roman" w:hAnsi="Calibri" w:cs="Arial"/>
      <w:b/>
      <w:color w:val="336E98"/>
      <w:kern w:val="32"/>
      <w:sz w:val="28"/>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76326F"/>
    <w:pPr>
      <w:keepNext/>
      <w:spacing w:before="180" w:after="120" w:line="240" w:lineRule="auto"/>
    </w:pPr>
    <w:rPr>
      <w:rFonts w:ascii="Arial" w:hAnsi="Arial"/>
      <w:b/>
      <w:caps/>
      <w:color w:val="004A7F"/>
      <w:szCs w:val="26"/>
    </w:rPr>
  </w:style>
  <w:style w:type="paragraph" w:customStyle="1" w:styleId="BoxText">
    <w:name w:val="Box Text"/>
    <w:basedOn w:val="Normal"/>
    <w:rsid w:val="0076326F"/>
    <w:pPr>
      <w:spacing w:before="120" w:after="120"/>
    </w:pPr>
  </w:style>
  <w:style w:type="paragraph" w:customStyle="1" w:styleId="Bullet">
    <w:name w:val="Bullet"/>
    <w:aliases w:val="Body,Bullet + line,b,b + line,b1,level 1"/>
    <w:basedOn w:val="Normal"/>
    <w:link w:val="BulletChar"/>
    <w:qFormat/>
    <w:rsid w:val="0089399E"/>
    <w:pPr>
      <w:numPr>
        <w:numId w:val="1"/>
      </w:numPr>
      <w:tabs>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3712B6"/>
    <w:pPr>
      <w:keepNext/>
      <w:spacing w:after="0" w:line="240" w:lineRule="auto"/>
      <w:ind w:right="142"/>
      <w:jc w:val="right"/>
    </w:pPr>
    <w:rPr>
      <w:color w:val="004A7F"/>
      <w:sz w:val="44"/>
    </w:rPr>
  </w:style>
  <w:style w:type="paragraph" w:customStyle="1" w:styleId="Dash">
    <w:name w:val="Dash"/>
    <w:basedOn w:val="Normal"/>
    <w:link w:val="DashChar"/>
    <w:qFormat/>
    <w:rsid w:val="000E0B74"/>
    <w:pPr>
      <w:numPr>
        <w:ilvl w:val="1"/>
        <w:numId w:val="1"/>
      </w:numPr>
      <w:ind w:left="568"/>
    </w:pPr>
  </w:style>
  <w:style w:type="paragraph" w:customStyle="1" w:styleId="DoubleDot">
    <w:name w:val="Double Dot"/>
    <w:basedOn w:val="Normal"/>
    <w:link w:val="DoubleDotChar"/>
    <w:qFormat/>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A61014"/>
    <w:pPr>
      <w:keepNext/>
      <w:tabs>
        <w:tab w:val="clear" w:pos="4513"/>
        <w:tab w:val="clear" w:pos="9026"/>
      </w:tabs>
      <w:spacing w:line="240" w:lineRule="auto"/>
      <w:jc w:val="left"/>
    </w:pPr>
    <w:rPr>
      <w:noProof/>
    </w:rPr>
  </w:style>
  <w:style w:type="paragraph" w:customStyle="1" w:styleId="FooterOdd">
    <w:name w:val="Footer Odd"/>
    <w:basedOn w:val="Footer"/>
    <w:rsid w:val="00A61014"/>
    <w:pPr>
      <w:keepNext/>
      <w:tabs>
        <w:tab w:val="clear" w:pos="4513"/>
        <w:tab w:val="clear" w:pos="9026"/>
      </w:tabs>
      <w:spacing w:line="240" w:lineRule="auto"/>
      <w:jc w:val="right"/>
    </w:pPr>
  </w:style>
  <w:style w:type="character" w:styleId="Hyperlink">
    <w:name w:val="Hyperlink"/>
    <w:basedOn w:val="DefaultParagraphFont"/>
    <w:uiPriority w:val="99"/>
    <w:rsid w:val="009004C8"/>
    <w:rPr>
      <w:b/>
      <w:color w:val="004A7F"/>
      <w:u w:val="none"/>
    </w:rPr>
  </w:style>
  <w:style w:type="paragraph" w:customStyle="1" w:styleId="OutlineNumbered1">
    <w:name w:val="Outline Numbered 1"/>
    <w:basedOn w:val="Normal"/>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9004C8"/>
    <w:pPr>
      <w:keepNext/>
      <w:tabs>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9004C8"/>
    <w:pPr>
      <w:keepNext/>
      <w:tabs>
        <w:tab w:val="right" w:leader="dot" w:pos="9072"/>
      </w:tabs>
      <w:spacing w:before="40" w:after="60"/>
      <w:ind w:left="284"/>
    </w:pPr>
    <w:rPr>
      <w:noProof/>
      <w:color w:val="004A7F"/>
    </w:rPr>
  </w:style>
  <w:style w:type="paragraph" w:styleId="TOC3">
    <w:name w:val="toc 3"/>
    <w:basedOn w:val="Normal"/>
    <w:next w:val="Normal"/>
    <w:uiPriority w:val="39"/>
    <w:qFormat/>
    <w:rsid w:val="00AD4B72"/>
    <w:pPr>
      <w:tabs>
        <w:tab w:val="right" w:leader="dot" w:pos="9072"/>
      </w:tabs>
      <w:spacing w:before="40" w:after="60"/>
      <w:ind w:left="567"/>
    </w:pPr>
    <w:rPr>
      <w:rFonts w:cs="Calibri"/>
      <w:noProof/>
      <w:color w:val="595959" w:themeColor="text1" w:themeTint="A6"/>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3712B6"/>
    <w:pPr>
      <w:spacing w:after="300" w:line="240" w:lineRule="auto"/>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3712B6"/>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3712B6"/>
    <w:pPr>
      <w:numPr>
        <w:ilvl w:val="1"/>
      </w:numPr>
      <w:spacing w:line="240" w:lineRule="auto"/>
      <w:jc w:val="right"/>
    </w:pPr>
    <w:rPr>
      <w:rFonts w:eastAsiaTheme="majorEastAsia" w:cstheme="majorBidi"/>
      <w:b/>
      <w:iCs/>
      <w:color w:val="595959" w:themeColor="text1" w:themeTint="A6"/>
      <w:sz w:val="44"/>
      <w:szCs w:val="44"/>
    </w:rPr>
  </w:style>
  <w:style w:type="character" w:customStyle="1" w:styleId="SubtitleChar">
    <w:name w:val="Subtitle Char"/>
    <w:basedOn w:val="DefaultParagraphFont"/>
    <w:link w:val="Subtitle"/>
    <w:uiPriority w:val="11"/>
    <w:rsid w:val="003712B6"/>
    <w:rPr>
      <w:rFonts w:ascii="Calibri" w:eastAsiaTheme="majorEastAsia" w:hAnsi="Calibri" w:cstheme="majorBidi"/>
      <w:b/>
      <w:iCs/>
      <w:color w:val="595959" w:themeColor="text1" w:themeTint="A6"/>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3712B6"/>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76326F"/>
    <w:pPr>
      <w:tabs>
        <w:tab w:val="left" w:pos="340"/>
      </w:tabs>
      <w:spacing w:after="20" w:line="240" w:lineRule="auto"/>
      <w:ind w:left="340" w:hanging="340"/>
    </w:pPr>
    <w:rPr>
      <w:sz w:val="19"/>
    </w:rPr>
  </w:style>
  <w:style w:type="character" w:customStyle="1" w:styleId="FootnoteTextChar">
    <w:name w:val="Footnote Text Char"/>
    <w:basedOn w:val="DefaultParagraphFont"/>
    <w:link w:val="FootnoteText"/>
    <w:uiPriority w:val="99"/>
    <w:rsid w:val="0076326F"/>
    <w:rPr>
      <w:rFonts w:ascii="Calibri" w:eastAsia="Times New Roman" w:hAnsi="Calibri" w:cs="Times New Roman"/>
      <w:sz w:val="19"/>
      <w:szCs w:val="20"/>
      <w:lang w:eastAsia="en-AU"/>
    </w:rPr>
  </w:style>
  <w:style w:type="paragraph" w:customStyle="1" w:styleId="Heading3noTOC">
    <w:name w:val="Heading 3 no TOC"/>
    <w:basedOn w:val="Heading3"/>
    <w:qFormat/>
    <w:rsid w:val="0022164F"/>
    <w:pPr>
      <w:outlineLvl w:val="9"/>
    </w:pPr>
    <w:rPr>
      <w:rFonts w:cs="Calibri"/>
      <w:b w:val="0"/>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E15BE3"/>
    <w:rPr>
      <w:color w:val="954F72" w:themeColor="followedHyperlink"/>
      <w:u w:val="single"/>
    </w:rPr>
  </w:style>
  <w:style w:type="character" w:customStyle="1" w:styleId="BulletChar">
    <w:name w:val="Bullet Char"/>
    <w:aliases w:val="Body Char,Bullet + line Char,b Char,b + line Char,b1 Char,level 1 Char"/>
    <w:basedOn w:val="DefaultParagraphFont"/>
    <w:link w:val="Bullet"/>
    <w:qFormat/>
    <w:rsid w:val="0089399E"/>
    <w:rPr>
      <w:rFonts w:ascii="Calibri" w:eastAsia="Times New Roman" w:hAnsi="Calibri" w:cs="Times New Roman"/>
      <w:szCs w:val="20"/>
      <w:lang w:eastAsia="en-AU"/>
    </w:rPr>
  </w:style>
  <w:style w:type="paragraph" w:customStyle="1" w:styleId="Default">
    <w:name w:val="Default"/>
    <w:rsid w:val="00C37945"/>
    <w:pPr>
      <w:autoSpaceDE w:val="0"/>
      <w:autoSpaceDN w:val="0"/>
      <w:adjustRightInd w:val="0"/>
      <w:spacing w:after="0" w:line="240" w:lineRule="auto"/>
    </w:pPr>
    <w:rPr>
      <w:rFonts w:ascii="Calibri" w:hAnsi="Calibri" w:cs="Calibri"/>
      <w:color w:val="000000"/>
      <w:sz w:val="24"/>
      <w:szCs w:val="24"/>
    </w:rPr>
  </w:style>
  <w:style w:type="character" w:customStyle="1" w:styleId="DashChar">
    <w:name w:val="Dash Char"/>
    <w:basedOn w:val="DefaultParagraphFont"/>
    <w:link w:val="Dash"/>
    <w:rsid w:val="003317DA"/>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3317DA"/>
    <w:rPr>
      <w:rFonts w:ascii="Calibri" w:eastAsia="Times New Roman" w:hAnsi="Calibri" w:cs="Times New Roman"/>
      <w:szCs w:val="20"/>
      <w:lang w:eastAsia="en-AU"/>
    </w:rPr>
  </w:style>
  <w:style w:type="paragraph" w:customStyle="1" w:styleId="Normal-Foreward">
    <w:name w:val="Normal - Foreward"/>
    <w:basedOn w:val="Normal"/>
    <w:rsid w:val="00B3768D"/>
    <w:pPr>
      <w:spacing w:after="160" w:line="260" w:lineRule="exact"/>
    </w:pPr>
    <w:rPr>
      <w:rFonts w:asciiTheme="minorHAnsi" w:hAnsiTheme="minorHAnsi"/>
    </w:rPr>
  </w:style>
  <w:style w:type="paragraph" w:styleId="ListParagraph">
    <w:name w:val="List Paragraph"/>
    <w:basedOn w:val="Normal"/>
    <w:uiPriority w:val="34"/>
    <w:qFormat/>
    <w:rsid w:val="00377DEA"/>
    <w:pPr>
      <w:ind w:left="720"/>
      <w:contextualSpacing/>
    </w:pPr>
  </w:style>
  <w:style w:type="character" w:styleId="CommentReference">
    <w:name w:val="annotation reference"/>
    <w:basedOn w:val="DefaultParagraphFont"/>
    <w:uiPriority w:val="99"/>
    <w:semiHidden/>
    <w:unhideWhenUsed/>
    <w:rsid w:val="00234056"/>
    <w:rPr>
      <w:sz w:val="16"/>
      <w:szCs w:val="16"/>
    </w:rPr>
  </w:style>
  <w:style w:type="paragraph" w:styleId="CommentText">
    <w:name w:val="annotation text"/>
    <w:basedOn w:val="Normal"/>
    <w:link w:val="CommentTextChar"/>
    <w:uiPriority w:val="99"/>
    <w:unhideWhenUsed/>
    <w:rsid w:val="00234056"/>
    <w:rPr>
      <w:sz w:val="20"/>
    </w:rPr>
  </w:style>
  <w:style w:type="character" w:customStyle="1" w:styleId="CommentTextChar">
    <w:name w:val="Comment Text Char"/>
    <w:basedOn w:val="DefaultParagraphFont"/>
    <w:link w:val="CommentText"/>
    <w:uiPriority w:val="99"/>
    <w:rsid w:val="00234056"/>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34056"/>
    <w:rPr>
      <w:b/>
      <w:bCs/>
    </w:rPr>
  </w:style>
  <w:style w:type="character" w:customStyle="1" w:styleId="CommentSubjectChar">
    <w:name w:val="Comment Subject Char"/>
    <w:basedOn w:val="CommentTextChar"/>
    <w:link w:val="CommentSubject"/>
    <w:uiPriority w:val="99"/>
    <w:semiHidden/>
    <w:rsid w:val="00234056"/>
    <w:rPr>
      <w:rFonts w:ascii="Calibri" w:eastAsia="Times New Roman" w:hAnsi="Calibri" w:cs="Times New Roman"/>
      <w:b/>
      <w:bCs/>
      <w:sz w:val="20"/>
      <w:szCs w:val="20"/>
      <w:lang w:eastAsia="en-AU"/>
    </w:rPr>
  </w:style>
  <w:style w:type="paragraph" w:styleId="Revision">
    <w:name w:val="Revision"/>
    <w:hidden/>
    <w:uiPriority w:val="99"/>
    <w:semiHidden/>
    <w:rsid w:val="00813BEC"/>
    <w:pPr>
      <w:spacing w:after="0" w:line="240" w:lineRule="auto"/>
    </w:pPr>
    <w:rPr>
      <w:rFonts w:ascii="Calibri" w:eastAsia="Times New Roman" w:hAnsi="Calibri" w:cs="Times New Roman"/>
      <w:szCs w:val="20"/>
      <w:lang w:eastAsia="en-AU"/>
    </w:rPr>
  </w:style>
  <w:style w:type="paragraph" w:customStyle="1" w:styleId="Heading1-TOC">
    <w:name w:val="Heading 1 - TOC"/>
    <w:basedOn w:val="Heading1"/>
    <w:rsid w:val="00AD4B72"/>
    <w:pPr>
      <w:outlineLvl w:val="9"/>
    </w:pPr>
    <w:rPr>
      <w:kern w:val="0"/>
    </w:rPr>
  </w:style>
  <w:style w:type="paragraph" w:styleId="Quote">
    <w:name w:val="Quote"/>
    <w:basedOn w:val="Normal"/>
    <w:next w:val="Normal"/>
    <w:link w:val="QuoteChar"/>
    <w:uiPriority w:val="29"/>
    <w:qFormat/>
    <w:rsid w:val="00941682"/>
    <w:pPr>
      <w:spacing w:line="320" w:lineRule="exact"/>
      <w:ind w:left="567" w:right="567"/>
    </w:pPr>
    <w:rPr>
      <w:rFonts w:ascii="Calibri Light" w:hAnsi="Calibri Light"/>
      <w:i/>
      <w:iCs/>
      <w:color w:val="000000" w:themeColor="text1"/>
    </w:rPr>
  </w:style>
  <w:style w:type="character" w:customStyle="1" w:styleId="QuoteChar">
    <w:name w:val="Quote Char"/>
    <w:basedOn w:val="DefaultParagraphFont"/>
    <w:link w:val="Quote"/>
    <w:uiPriority w:val="29"/>
    <w:rsid w:val="00941682"/>
    <w:rPr>
      <w:rFonts w:ascii="Calibri Light" w:eastAsia="Times New Roman" w:hAnsi="Calibri Light" w:cs="Times New Roman"/>
      <w:i/>
      <w:iCs/>
      <w:color w:val="000000" w:themeColor="text1"/>
      <w:szCs w:val="20"/>
      <w:lang w:eastAsia="en-AU"/>
    </w:rPr>
  </w:style>
  <w:style w:type="paragraph" w:customStyle="1" w:styleId="BoxText-Numbering">
    <w:name w:val="Box Text - Numbering"/>
    <w:basedOn w:val="BoxText"/>
    <w:rsid w:val="00A61014"/>
    <w:pPr>
      <w:numPr>
        <w:numId w:val="11"/>
      </w:numPr>
      <w:spacing w:before="80" w:after="80"/>
      <w:ind w:right="57"/>
    </w:pPr>
    <w:rPr>
      <w:rFonts w:ascii="Arial" w:hAnsi="Arial"/>
      <w:sz w:val="19"/>
    </w:rPr>
  </w:style>
  <w:style w:type="paragraph" w:customStyle="1" w:styleId="HeaderEven">
    <w:name w:val="Header Even"/>
    <w:basedOn w:val="FooterEven"/>
    <w:rsid w:val="00F079E5"/>
  </w:style>
  <w:style w:type="paragraph" w:customStyle="1" w:styleId="HeaderOdd">
    <w:name w:val="Header Odd"/>
    <w:basedOn w:val="FooterOdd"/>
    <w:rsid w:val="00F079E5"/>
  </w:style>
  <w:style w:type="paragraph" w:customStyle="1" w:styleId="Sub-Title">
    <w:name w:val="Sub-Title"/>
    <w:basedOn w:val="Subtitle"/>
    <w:rsid w:val="003712B6"/>
    <w:pPr>
      <w:spacing w:after="360"/>
    </w:pPr>
    <w:rPr>
      <w:b w:val="0"/>
      <w:color w:val="004A7F"/>
      <w:sz w:val="4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9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863640"/>
    <w:pPr>
      <w:spacing w:after="360"/>
      <w:outlineLvl w:val="0"/>
    </w:pPr>
    <w:rPr>
      <w:b/>
      <w:bCs w:val="0"/>
      <w:caps/>
      <w:sz w:val="44"/>
    </w:rPr>
  </w:style>
  <w:style w:type="paragraph" w:styleId="Heading2">
    <w:name w:val="heading 2"/>
    <w:basedOn w:val="HeadingBase"/>
    <w:next w:val="Normal"/>
    <w:link w:val="Heading2Char"/>
    <w:qFormat/>
    <w:rsid w:val="0022164F"/>
    <w:pPr>
      <w:spacing w:before="120" w:after="240"/>
      <w:outlineLvl w:val="1"/>
    </w:pPr>
    <w:rPr>
      <w:b/>
      <w:bCs w:val="0"/>
      <w:iCs/>
      <w:sz w:val="36"/>
      <w:szCs w:val="28"/>
    </w:rPr>
  </w:style>
  <w:style w:type="paragraph" w:styleId="Heading3">
    <w:name w:val="heading 3"/>
    <w:basedOn w:val="HeadingBase"/>
    <w:next w:val="Normal"/>
    <w:link w:val="Heading3Char"/>
    <w:qFormat/>
    <w:rsid w:val="0089399E"/>
    <w:pPr>
      <w:spacing w:before="240"/>
      <w:outlineLvl w:val="2"/>
    </w:pPr>
    <w:rPr>
      <w:b/>
      <w:bCs w:val="0"/>
      <w:color w:val="595959" w:themeColor="text1" w:themeTint="A6"/>
      <w:sz w:val="32"/>
      <w:szCs w:val="26"/>
    </w:rPr>
  </w:style>
  <w:style w:type="paragraph" w:styleId="Heading4">
    <w:name w:val="heading 4"/>
    <w:basedOn w:val="HeadingBase"/>
    <w:next w:val="Normal"/>
    <w:link w:val="Heading4Char"/>
    <w:qFormat/>
    <w:rsid w:val="0089399E"/>
    <w:pPr>
      <w:spacing w:after="180"/>
      <w:outlineLvl w:val="3"/>
    </w:pPr>
    <w:rPr>
      <w:b/>
      <w:bCs w:val="0"/>
      <w:color w:val="336E98"/>
      <w:sz w:val="28"/>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640"/>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22164F"/>
    <w:rPr>
      <w:rFonts w:ascii="Calibri" w:eastAsia="Times New Roman" w:hAnsi="Calibri" w:cs="Arial"/>
      <w:b/>
      <w:iCs/>
      <w:color w:val="004A7F"/>
      <w:kern w:val="32"/>
      <w:sz w:val="36"/>
      <w:szCs w:val="28"/>
      <w:lang w:eastAsia="en-AU"/>
    </w:rPr>
  </w:style>
  <w:style w:type="character" w:customStyle="1" w:styleId="Heading3Char">
    <w:name w:val="Heading 3 Char"/>
    <w:basedOn w:val="DefaultParagraphFont"/>
    <w:link w:val="Heading3"/>
    <w:rsid w:val="0089399E"/>
    <w:rPr>
      <w:rFonts w:ascii="Calibri" w:eastAsia="Times New Roman" w:hAnsi="Calibri" w:cs="Arial"/>
      <w:b/>
      <w:color w:val="595959" w:themeColor="text1" w:themeTint="A6"/>
      <w:kern w:val="32"/>
      <w:sz w:val="32"/>
      <w:szCs w:val="26"/>
      <w:lang w:eastAsia="en-AU"/>
    </w:rPr>
  </w:style>
  <w:style w:type="character" w:customStyle="1" w:styleId="Heading4Char">
    <w:name w:val="Heading 4 Char"/>
    <w:basedOn w:val="DefaultParagraphFont"/>
    <w:link w:val="Heading4"/>
    <w:rsid w:val="0089399E"/>
    <w:rPr>
      <w:rFonts w:ascii="Calibri" w:eastAsia="Times New Roman" w:hAnsi="Calibri" w:cs="Arial"/>
      <w:b/>
      <w:color w:val="336E98"/>
      <w:kern w:val="32"/>
      <w:sz w:val="28"/>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76326F"/>
    <w:pPr>
      <w:keepNext/>
      <w:spacing w:before="180" w:after="120" w:line="240" w:lineRule="auto"/>
    </w:pPr>
    <w:rPr>
      <w:rFonts w:ascii="Arial" w:hAnsi="Arial"/>
      <w:b/>
      <w:caps/>
      <w:color w:val="004A7F"/>
      <w:szCs w:val="26"/>
    </w:rPr>
  </w:style>
  <w:style w:type="paragraph" w:customStyle="1" w:styleId="BoxText">
    <w:name w:val="Box Text"/>
    <w:basedOn w:val="Normal"/>
    <w:rsid w:val="0076326F"/>
    <w:pPr>
      <w:spacing w:before="120" w:after="120"/>
    </w:pPr>
  </w:style>
  <w:style w:type="paragraph" w:customStyle="1" w:styleId="Bullet">
    <w:name w:val="Bullet"/>
    <w:aliases w:val="Body,Bullet + line,b,b + line,b1,level 1"/>
    <w:basedOn w:val="Normal"/>
    <w:link w:val="BulletChar"/>
    <w:qFormat/>
    <w:rsid w:val="0089399E"/>
    <w:pPr>
      <w:numPr>
        <w:numId w:val="1"/>
      </w:numPr>
      <w:tabs>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3712B6"/>
    <w:pPr>
      <w:keepNext/>
      <w:spacing w:after="0" w:line="240" w:lineRule="auto"/>
      <w:ind w:right="142"/>
      <w:jc w:val="right"/>
    </w:pPr>
    <w:rPr>
      <w:color w:val="004A7F"/>
      <w:sz w:val="44"/>
    </w:rPr>
  </w:style>
  <w:style w:type="paragraph" w:customStyle="1" w:styleId="Dash">
    <w:name w:val="Dash"/>
    <w:basedOn w:val="Normal"/>
    <w:link w:val="DashChar"/>
    <w:qFormat/>
    <w:rsid w:val="000E0B74"/>
    <w:pPr>
      <w:numPr>
        <w:ilvl w:val="1"/>
        <w:numId w:val="1"/>
      </w:numPr>
      <w:ind w:left="568"/>
    </w:pPr>
  </w:style>
  <w:style w:type="paragraph" w:customStyle="1" w:styleId="DoubleDot">
    <w:name w:val="Double Dot"/>
    <w:basedOn w:val="Normal"/>
    <w:link w:val="DoubleDotChar"/>
    <w:qFormat/>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A61014"/>
    <w:pPr>
      <w:keepNext/>
      <w:tabs>
        <w:tab w:val="clear" w:pos="4513"/>
        <w:tab w:val="clear" w:pos="9026"/>
      </w:tabs>
      <w:spacing w:line="240" w:lineRule="auto"/>
      <w:jc w:val="left"/>
    </w:pPr>
    <w:rPr>
      <w:noProof/>
    </w:rPr>
  </w:style>
  <w:style w:type="paragraph" w:customStyle="1" w:styleId="FooterOdd">
    <w:name w:val="Footer Odd"/>
    <w:basedOn w:val="Footer"/>
    <w:rsid w:val="00A61014"/>
    <w:pPr>
      <w:keepNext/>
      <w:tabs>
        <w:tab w:val="clear" w:pos="4513"/>
        <w:tab w:val="clear" w:pos="9026"/>
      </w:tabs>
      <w:spacing w:line="240" w:lineRule="auto"/>
      <w:jc w:val="right"/>
    </w:pPr>
  </w:style>
  <w:style w:type="character" w:styleId="Hyperlink">
    <w:name w:val="Hyperlink"/>
    <w:basedOn w:val="DefaultParagraphFont"/>
    <w:uiPriority w:val="99"/>
    <w:rsid w:val="009004C8"/>
    <w:rPr>
      <w:b/>
      <w:color w:val="004A7F"/>
      <w:u w:val="none"/>
    </w:rPr>
  </w:style>
  <w:style w:type="paragraph" w:customStyle="1" w:styleId="OutlineNumbered1">
    <w:name w:val="Outline Numbered 1"/>
    <w:basedOn w:val="Normal"/>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9004C8"/>
    <w:pPr>
      <w:keepNext/>
      <w:tabs>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9004C8"/>
    <w:pPr>
      <w:keepNext/>
      <w:tabs>
        <w:tab w:val="right" w:leader="dot" w:pos="9072"/>
      </w:tabs>
      <w:spacing w:before="40" w:after="60"/>
      <w:ind w:left="284"/>
    </w:pPr>
    <w:rPr>
      <w:noProof/>
      <w:color w:val="004A7F"/>
    </w:rPr>
  </w:style>
  <w:style w:type="paragraph" w:styleId="TOC3">
    <w:name w:val="toc 3"/>
    <w:basedOn w:val="Normal"/>
    <w:next w:val="Normal"/>
    <w:uiPriority w:val="39"/>
    <w:qFormat/>
    <w:rsid w:val="00AD4B72"/>
    <w:pPr>
      <w:tabs>
        <w:tab w:val="right" w:leader="dot" w:pos="9072"/>
      </w:tabs>
      <w:spacing w:before="40" w:after="60"/>
      <w:ind w:left="567"/>
    </w:pPr>
    <w:rPr>
      <w:rFonts w:cs="Calibri"/>
      <w:noProof/>
      <w:color w:val="595959" w:themeColor="text1" w:themeTint="A6"/>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3712B6"/>
    <w:pPr>
      <w:spacing w:after="300" w:line="240" w:lineRule="auto"/>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3712B6"/>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3712B6"/>
    <w:pPr>
      <w:numPr>
        <w:ilvl w:val="1"/>
      </w:numPr>
      <w:spacing w:line="240" w:lineRule="auto"/>
      <w:jc w:val="right"/>
    </w:pPr>
    <w:rPr>
      <w:rFonts w:eastAsiaTheme="majorEastAsia" w:cstheme="majorBidi"/>
      <w:b/>
      <w:iCs/>
      <w:color w:val="595959" w:themeColor="text1" w:themeTint="A6"/>
      <w:sz w:val="44"/>
      <w:szCs w:val="44"/>
    </w:rPr>
  </w:style>
  <w:style w:type="character" w:customStyle="1" w:styleId="SubtitleChar">
    <w:name w:val="Subtitle Char"/>
    <w:basedOn w:val="DefaultParagraphFont"/>
    <w:link w:val="Subtitle"/>
    <w:uiPriority w:val="11"/>
    <w:rsid w:val="003712B6"/>
    <w:rPr>
      <w:rFonts w:ascii="Calibri" w:eastAsiaTheme="majorEastAsia" w:hAnsi="Calibri" w:cstheme="majorBidi"/>
      <w:b/>
      <w:iCs/>
      <w:color w:val="595959" w:themeColor="text1" w:themeTint="A6"/>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3712B6"/>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76326F"/>
    <w:pPr>
      <w:tabs>
        <w:tab w:val="left" w:pos="340"/>
      </w:tabs>
      <w:spacing w:after="20" w:line="240" w:lineRule="auto"/>
      <w:ind w:left="340" w:hanging="340"/>
    </w:pPr>
    <w:rPr>
      <w:sz w:val="19"/>
    </w:rPr>
  </w:style>
  <w:style w:type="character" w:customStyle="1" w:styleId="FootnoteTextChar">
    <w:name w:val="Footnote Text Char"/>
    <w:basedOn w:val="DefaultParagraphFont"/>
    <w:link w:val="FootnoteText"/>
    <w:uiPriority w:val="99"/>
    <w:rsid w:val="0076326F"/>
    <w:rPr>
      <w:rFonts w:ascii="Calibri" w:eastAsia="Times New Roman" w:hAnsi="Calibri" w:cs="Times New Roman"/>
      <w:sz w:val="19"/>
      <w:szCs w:val="20"/>
      <w:lang w:eastAsia="en-AU"/>
    </w:rPr>
  </w:style>
  <w:style w:type="paragraph" w:customStyle="1" w:styleId="Heading3noTOC">
    <w:name w:val="Heading 3 no TOC"/>
    <w:basedOn w:val="Heading3"/>
    <w:qFormat/>
    <w:rsid w:val="0022164F"/>
    <w:pPr>
      <w:outlineLvl w:val="9"/>
    </w:pPr>
    <w:rPr>
      <w:rFonts w:cs="Calibri"/>
      <w:b w:val="0"/>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E15BE3"/>
    <w:rPr>
      <w:color w:val="954F72" w:themeColor="followedHyperlink"/>
      <w:u w:val="single"/>
    </w:rPr>
  </w:style>
  <w:style w:type="character" w:customStyle="1" w:styleId="BulletChar">
    <w:name w:val="Bullet Char"/>
    <w:aliases w:val="Body Char,Bullet + line Char,b Char,b + line Char,b1 Char,level 1 Char"/>
    <w:basedOn w:val="DefaultParagraphFont"/>
    <w:link w:val="Bullet"/>
    <w:qFormat/>
    <w:rsid w:val="0089399E"/>
    <w:rPr>
      <w:rFonts w:ascii="Calibri" w:eastAsia="Times New Roman" w:hAnsi="Calibri" w:cs="Times New Roman"/>
      <w:szCs w:val="20"/>
      <w:lang w:eastAsia="en-AU"/>
    </w:rPr>
  </w:style>
  <w:style w:type="paragraph" w:customStyle="1" w:styleId="Default">
    <w:name w:val="Default"/>
    <w:rsid w:val="00C37945"/>
    <w:pPr>
      <w:autoSpaceDE w:val="0"/>
      <w:autoSpaceDN w:val="0"/>
      <w:adjustRightInd w:val="0"/>
      <w:spacing w:after="0" w:line="240" w:lineRule="auto"/>
    </w:pPr>
    <w:rPr>
      <w:rFonts w:ascii="Calibri" w:hAnsi="Calibri" w:cs="Calibri"/>
      <w:color w:val="000000"/>
      <w:sz w:val="24"/>
      <w:szCs w:val="24"/>
    </w:rPr>
  </w:style>
  <w:style w:type="character" w:customStyle="1" w:styleId="DashChar">
    <w:name w:val="Dash Char"/>
    <w:basedOn w:val="DefaultParagraphFont"/>
    <w:link w:val="Dash"/>
    <w:rsid w:val="003317DA"/>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3317DA"/>
    <w:rPr>
      <w:rFonts w:ascii="Calibri" w:eastAsia="Times New Roman" w:hAnsi="Calibri" w:cs="Times New Roman"/>
      <w:szCs w:val="20"/>
      <w:lang w:eastAsia="en-AU"/>
    </w:rPr>
  </w:style>
  <w:style w:type="paragraph" w:customStyle="1" w:styleId="Normal-Foreward">
    <w:name w:val="Normal - Foreward"/>
    <w:basedOn w:val="Normal"/>
    <w:rsid w:val="00B3768D"/>
    <w:pPr>
      <w:spacing w:after="160" w:line="260" w:lineRule="exact"/>
    </w:pPr>
    <w:rPr>
      <w:rFonts w:asciiTheme="minorHAnsi" w:hAnsiTheme="minorHAnsi"/>
    </w:rPr>
  </w:style>
  <w:style w:type="paragraph" w:styleId="ListParagraph">
    <w:name w:val="List Paragraph"/>
    <w:basedOn w:val="Normal"/>
    <w:uiPriority w:val="34"/>
    <w:qFormat/>
    <w:rsid w:val="00377DEA"/>
    <w:pPr>
      <w:ind w:left="720"/>
      <w:contextualSpacing/>
    </w:pPr>
  </w:style>
  <w:style w:type="character" w:styleId="CommentReference">
    <w:name w:val="annotation reference"/>
    <w:basedOn w:val="DefaultParagraphFont"/>
    <w:uiPriority w:val="99"/>
    <w:semiHidden/>
    <w:unhideWhenUsed/>
    <w:rsid w:val="00234056"/>
    <w:rPr>
      <w:sz w:val="16"/>
      <w:szCs w:val="16"/>
    </w:rPr>
  </w:style>
  <w:style w:type="paragraph" w:styleId="CommentText">
    <w:name w:val="annotation text"/>
    <w:basedOn w:val="Normal"/>
    <w:link w:val="CommentTextChar"/>
    <w:uiPriority w:val="99"/>
    <w:unhideWhenUsed/>
    <w:rsid w:val="00234056"/>
    <w:rPr>
      <w:sz w:val="20"/>
    </w:rPr>
  </w:style>
  <w:style w:type="character" w:customStyle="1" w:styleId="CommentTextChar">
    <w:name w:val="Comment Text Char"/>
    <w:basedOn w:val="DefaultParagraphFont"/>
    <w:link w:val="CommentText"/>
    <w:uiPriority w:val="99"/>
    <w:rsid w:val="00234056"/>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34056"/>
    <w:rPr>
      <w:b/>
      <w:bCs/>
    </w:rPr>
  </w:style>
  <w:style w:type="character" w:customStyle="1" w:styleId="CommentSubjectChar">
    <w:name w:val="Comment Subject Char"/>
    <w:basedOn w:val="CommentTextChar"/>
    <w:link w:val="CommentSubject"/>
    <w:uiPriority w:val="99"/>
    <w:semiHidden/>
    <w:rsid w:val="00234056"/>
    <w:rPr>
      <w:rFonts w:ascii="Calibri" w:eastAsia="Times New Roman" w:hAnsi="Calibri" w:cs="Times New Roman"/>
      <w:b/>
      <w:bCs/>
      <w:sz w:val="20"/>
      <w:szCs w:val="20"/>
      <w:lang w:eastAsia="en-AU"/>
    </w:rPr>
  </w:style>
  <w:style w:type="paragraph" w:styleId="Revision">
    <w:name w:val="Revision"/>
    <w:hidden/>
    <w:uiPriority w:val="99"/>
    <w:semiHidden/>
    <w:rsid w:val="00813BEC"/>
    <w:pPr>
      <w:spacing w:after="0" w:line="240" w:lineRule="auto"/>
    </w:pPr>
    <w:rPr>
      <w:rFonts w:ascii="Calibri" w:eastAsia="Times New Roman" w:hAnsi="Calibri" w:cs="Times New Roman"/>
      <w:szCs w:val="20"/>
      <w:lang w:eastAsia="en-AU"/>
    </w:rPr>
  </w:style>
  <w:style w:type="paragraph" w:customStyle="1" w:styleId="Heading1-TOC">
    <w:name w:val="Heading 1 - TOC"/>
    <w:basedOn w:val="Heading1"/>
    <w:rsid w:val="00AD4B72"/>
    <w:pPr>
      <w:outlineLvl w:val="9"/>
    </w:pPr>
    <w:rPr>
      <w:kern w:val="0"/>
    </w:rPr>
  </w:style>
  <w:style w:type="paragraph" w:styleId="Quote">
    <w:name w:val="Quote"/>
    <w:basedOn w:val="Normal"/>
    <w:next w:val="Normal"/>
    <w:link w:val="QuoteChar"/>
    <w:uiPriority w:val="29"/>
    <w:qFormat/>
    <w:rsid w:val="00941682"/>
    <w:pPr>
      <w:spacing w:line="320" w:lineRule="exact"/>
      <w:ind w:left="567" w:right="567"/>
    </w:pPr>
    <w:rPr>
      <w:rFonts w:ascii="Calibri Light" w:hAnsi="Calibri Light"/>
      <w:i/>
      <w:iCs/>
      <w:color w:val="000000" w:themeColor="text1"/>
    </w:rPr>
  </w:style>
  <w:style w:type="character" w:customStyle="1" w:styleId="QuoteChar">
    <w:name w:val="Quote Char"/>
    <w:basedOn w:val="DefaultParagraphFont"/>
    <w:link w:val="Quote"/>
    <w:uiPriority w:val="29"/>
    <w:rsid w:val="00941682"/>
    <w:rPr>
      <w:rFonts w:ascii="Calibri Light" w:eastAsia="Times New Roman" w:hAnsi="Calibri Light" w:cs="Times New Roman"/>
      <w:i/>
      <w:iCs/>
      <w:color w:val="000000" w:themeColor="text1"/>
      <w:szCs w:val="20"/>
      <w:lang w:eastAsia="en-AU"/>
    </w:rPr>
  </w:style>
  <w:style w:type="paragraph" w:customStyle="1" w:styleId="BoxText-Numbering">
    <w:name w:val="Box Text - Numbering"/>
    <w:basedOn w:val="BoxText"/>
    <w:rsid w:val="00A61014"/>
    <w:pPr>
      <w:numPr>
        <w:numId w:val="11"/>
      </w:numPr>
      <w:spacing w:before="80" w:after="80"/>
      <w:ind w:right="57"/>
    </w:pPr>
    <w:rPr>
      <w:rFonts w:ascii="Arial" w:hAnsi="Arial"/>
      <w:sz w:val="19"/>
    </w:rPr>
  </w:style>
  <w:style w:type="paragraph" w:customStyle="1" w:styleId="HeaderEven">
    <w:name w:val="Header Even"/>
    <w:basedOn w:val="FooterEven"/>
    <w:rsid w:val="00F079E5"/>
  </w:style>
  <w:style w:type="paragraph" w:customStyle="1" w:styleId="HeaderOdd">
    <w:name w:val="Header Odd"/>
    <w:basedOn w:val="FooterOdd"/>
    <w:rsid w:val="00F079E5"/>
  </w:style>
  <w:style w:type="paragraph" w:customStyle="1" w:styleId="Sub-Title">
    <w:name w:val="Sub-Title"/>
    <w:basedOn w:val="Subtitle"/>
    <w:rsid w:val="003712B6"/>
    <w:pPr>
      <w:spacing w:after="360"/>
    </w:pPr>
    <w:rPr>
      <w:b w:val="0"/>
      <w:color w:val="004A7F"/>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541">
      <w:bodyDiv w:val="1"/>
      <w:marLeft w:val="0"/>
      <w:marRight w:val="0"/>
      <w:marTop w:val="0"/>
      <w:marBottom w:val="0"/>
      <w:divBdr>
        <w:top w:val="none" w:sz="0" w:space="0" w:color="auto"/>
        <w:left w:val="none" w:sz="0" w:space="0" w:color="auto"/>
        <w:bottom w:val="none" w:sz="0" w:space="0" w:color="auto"/>
        <w:right w:val="none" w:sz="0" w:space="0" w:color="auto"/>
      </w:divBdr>
    </w:div>
    <w:div w:id="820148840">
      <w:bodyDiv w:val="1"/>
      <w:marLeft w:val="0"/>
      <w:marRight w:val="0"/>
      <w:marTop w:val="0"/>
      <w:marBottom w:val="0"/>
      <w:divBdr>
        <w:top w:val="none" w:sz="0" w:space="0" w:color="auto"/>
        <w:left w:val="none" w:sz="0" w:space="0" w:color="auto"/>
        <w:bottom w:val="none" w:sz="0" w:space="0" w:color="auto"/>
        <w:right w:val="none" w:sz="0" w:space="0" w:color="auto"/>
      </w:divBdr>
    </w:div>
    <w:div w:id="1234466054">
      <w:bodyDiv w:val="1"/>
      <w:marLeft w:val="0"/>
      <w:marRight w:val="0"/>
      <w:marTop w:val="0"/>
      <w:marBottom w:val="0"/>
      <w:divBdr>
        <w:top w:val="none" w:sz="0" w:space="0" w:color="auto"/>
        <w:left w:val="none" w:sz="0" w:space="0" w:color="auto"/>
        <w:bottom w:val="none" w:sz="0" w:space="0" w:color="auto"/>
        <w:right w:val="none" w:sz="0" w:space="0" w:color="auto"/>
      </w:divBdr>
    </w:div>
    <w:div w:id="205751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creativecommons.org/licenses/by/3.0/au/deed.en" TargetMode="Externa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4.xml"/><Relationship Id="rId33" Type="http://schemas.openxmlformats.org/officeDocument/2006/relationships/image" Target="media/image5.jpe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http://www.pmc.gov.au/government/commonwealth-coat-arm" TargetMode="External"/><Relationship Id="rId31" Type="http://schemas.openxmlformats.org/officeDocument/2006/relationships/hyperlink" Target="mailto:superannuation@treasury.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abc.net.au/news/2018-06-03/sunsuper-insurance-members-sue-qld/9825324" TargetMode="External"/><Relationship Id="rId1" Type="http://schemas.openxmlformats.org/officeDocument/2006/relationships/hyperlink" Target="http://www.aist.asn.au/policy/insurance-in-superannuation-voluntary-code-of-practice/insurance-in-superannuation-voluntary-code-of-practic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5B4B1D44FE4198AFD6DED1285D2B5D"/>
        <w:category>
          <w:name w:val="General"/>
          <w:gallery w:val="placeholder"/>
        </w:category>
        <w:types>
          <w:type w:val="bbPlcHdr"/>
        </w:types>
        <w:behaviors>
          <w:behavior w:val="content"/>
        </w:behaviors>
        <w:guid w:val="{76E3B217-DEAD-44B8-B922-51D59A64216C}"/>
      </w:docPartPr>
      <w:docPartBody>
        <w:p w14:paraId="1FA60296" w14:textId="77777777" w:rsidR="00BD1A83" w:rsidRDefault="00BD1A83">
          <w:pPr>
            <w:pStyle w:val="2D5B4B1D44FE4198AFD6DED1285D2B5D"/>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83"/>
    <w:rsid w:val="0027261D"/>
    <w:rsid w:val="00521025"/>
    <w:rsid w:val="008501EF"/>
    <w:rsid w:val="008717A5"/>
    <w:rsid w:val="009D19EE"/>
    <w:rsid w:val="00BD1A83"/>
    <w:rsid w:val="00D86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FA6029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D6A3A1357C400691489D9CCEC0B9E8">
    <w:name w:val="CAD6A3A1357C400691489D9CCEC0B9E8"/>
  </w:style>
  <w:style w:type="character" w:styleId="PlaceholderText">
    <w:name w:val="Placeholder Text"/>
    <w:basedOn w:val="DefaultParagraphFont"/>
    <w:uiPriority w:val="99"/>
    <w:semiHidden/>
    <w:rPr>
      <w:color w:val="808080"/>
    </w:rPr>
  </w:style>
  <w:style w:type="paragraph" w:customStyle="1" w:styleId="2D5B4B1D44FE4198AFD6DED1285D2B5D">
    <w:name w:val="2D5B4B1D44FE4198AFD6DED1285D2B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D6A3A1357C400691489D9CCEC0B9E8">
    <w:name w:val="CAD6A3A1357C400691489D9CCEC0B9E8"/>
  </w:style>
  <w:style w:type="character" w:styleId="PlaceholderText">
    <w:name w:val="Placeholder Text"/>
    <w:basedOn w:val="DefaultParagraphFont"/>
    <w:uiPriority w:val="99"/>
    <w:semiHidden/>
    <w:rPr>
      <w:color w:val="808080"/>
    </w:rPr>
  </w:style>
  <w:style w:type="paragraph" w:customStyle="1" w:styleId="2D5B4B1D44FE4198AFD6DED1285D2B5D">
    <w:name w:val="2D5B4B1D44FE4198AFD6DED1285D2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75</Value>
    </TaxCatchAll>
    <_dlc_DocId xmlns="0f563589-9cf9-4143-b1eb-fb0534803d38">2019CSSG-835809292-417</_dlc_DocId>
    <_dlc_DocIdUrl xmlns="0f563589-9cf9-4143-b1eb-fb0534803d38">
      <Url>http://tweb/sites/cssg/ped/pu/pt/_layouts/15/DocIdRedir.aspx?ID=2019CSSG-835809292-417</Url>
      <Description>2019CSSG-835809292-417</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FAAEFECF4B76B4B9E1AE4C08850A518" ma:contentTypeVersion="18686" ma:contentTypeDescription="" ma:contentTypeScope="" ma:versionID="8bac7886df8f5fb53291f63876ac8b8f">
  <xsd:schema xmlns:xsd="http://www.w3.org/2001/XMLSchema" xmlns:xs="http://www.w3.org/2001/XMLSchema" xmlns:p="http://schemas.microsoft.com/office/2006/metadata/properties" xmlns:ns2="0f563589-9cf9-4143-b1eb-fb0534803d38" xmlns:ns3="eb47d8b7-fefc-4923-b53c-9685ba6b7210" targetNamespace="http://schemas.microsoft.com/office/2006/metadata/properties" ma:root="true" ma:fieldsID="894ff6b0f651bd4a0153d85b65cb7b64" ns2:_="" ns3:_="">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7ABF-78A2-436F-900A-47206F6199D6}">
  <ds:schemaRefs>
    <ds:schemaRef ds:uri="http://schemas.microsoft.com/sharepoint/v3/contenttype/forms"/>
  </ds:schemaRefs>
</ds:datastoreItem>
</file>

<file path=customXml/itemProps2.xml><?xml version="1.0" encoding="utf-8"?>
<ds:datastoreItem xmlns:ds="http://schemas.openxmlformats.org/officeDocument/2006/customXml" ds:itemID="{F1C6FEE8-2C2E-4CF5-A590-DC60121618DF}">
  <ds:schemaRefs>
    <ds:schemaRef ds:uri="http://schemas.microsoft.com/sharepoint/events"/>
  </ds:schemaRefs>
</ds:datastoreItem>
</file>

<file path=customXml/itemProps3.xml><?xml version="1.0" encoding="utf-8"?>
<ds:datastoreItem xmlns:ds="http://schemas.openxmlformats.org/officeDocument/2006/customXml" ds:itemID="{66B9C664-BBD9-401A-94EE-DDE1550F02EA}">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eb47d8b7-fefc-4923-b53c-9685ba6b7210"/>
    <ds:schemaRef ds:uri="http://schemas.microsoft.com/office/2006/documentManagement/types"/>
    <ds:schemaRef ds:uri="0f563589-9cf9-4143-b1eb-fb0534803d38"/>
    <ds:schemaRef ds:uri="http://purl.org/dc/dcmitype/"/>
  </ds:schemaRefs>
</ds:datastoreItem>
</file>

<file path=customXml/itemProps4.xml><?xml version="1.0" encoding="utf-8"?>
<ds:datastoreItem xmlns:ds="http://schemas.openxmlformats.org/officeDocument/2006/customXml" ds:itemID="{97B8EDC6-B611-4FBA-858A-4AC73C5E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0CD59-28D4-4824-B5DE-D6570C34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16</Pages>
  <Words>5198</Words>
  <Characters>29634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Universal term for insurance within MySuper products</vt:lpstr>
    </vt:vector>
  </TitlesOfParts>
  <Company>Australian Government - The Treasury</Company>
  <LinksUpToDate>false</LinksUpToDate>
  <CharactersWithSpaces>34763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term for insurance within MySuper products</dc:title>
  <dc:creator/>
  <cp:lastModifiedBy>Thomas, Deborah</cp:lastModifiedBy>
  <cp:revision>3</cp:revision>
  <cp:lastPrinted>2019-03-14T05:51:00Z</cp:lastPrinted>
  <dcterms:created xsi:type="dcterms:W3CDTF">2019-03-27T22:26:00Z</dcterms:created>
  <dcterms:modified xsi:type="dcterms:W3CDTF">2019-03-27T22:26:00Z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0x010100605AAC981168BE40A9BD548B81A50DF6006FAAEFECF4B76B4B9E1AE4C08850A518</vt:lpwstr>
  </property>
  <property fmtid="{D5CDD505-2E9C-101B-9397-08002B2CF9AE}" pid="3" name="TSYRecordClass">
    <vt:lpwstr>75;#AE-20337-Destroy 7 years after action completed|668ae28e-5138-4c7c-82db-1c8c6afc81a6</vt:lpwstr>
  </property>
  <property fmtid="{D5CDD505-2E9C-101B-9397-08002B2CF9AE}" pid="4" name="_dlc_DocIdItemGuid">
    <vt:lpwstr>8c1fd545-7ea3-44f0-86f4-6c620e49aff9</vt:lpwstr>
  </property>
  <property fmtid="{D5CDD505-2E9C-101B-9397-08002B2CF9AE}" pid="5" name="RecordPoint_WorkflowType">
    <vt:lpwstr>ActiveSubmitStub</vt:lpwstr>
  </property>
  <property fmtid="{D5CDD505-2E9C-101B-9397-08002B2CF9AE}" pid="6" name="RecordPoint_ActiveItemListId">
    <vt:lpwstr>{917c6d10-7849-4e91-b555-256976c549b5}</vt:lpwstr>
  </property>
  <property fmtid="{D5CDD505-2E9C-101B-9397-08002B2CF9AE}" pid="7" name="RecordPoint_ActiveItemUniqueId">
    <vt:lpwstr>{8c1fd545-7ea3-44f0-86f4-6c620e49aff9}</vt:lpwstr>
  </property>
  <property fmtid="{D5CDD505-2E9C-101B-9397-08002B2CF9AE}" pid="8" name="RecordPoint_ActiveItemWebId">
    <vt:lpwstr>{e237d495-0881-4849-ae62-ddc8a8132df5}</vt:lpwstr>
  </property>
  <property fmtid="{D5CDD505-2E9C-101B-9397-08002B2CF9AE}" pid="9" name="RecordPoint_ActiveItemSiteId">
    <vt:lpwstr>{de902461-0703-410e-906b-a2e3a4f5dd57}</vt:lpwstr>
  </property>
  <property fmtid="{D5CDD505-2E9C-101B-9397-08002B2CF9AE}" pid="10" name="RecordPoint_RecordNumberSubmitted">
    <vt:lpwstr/>
  </property>
  <property fmtid="{D5CDD505-2E9C-101B-9397-08002B2CF9AE}" pid="11" name="_AdHocReviewCycleID">
    <vt:i4>-1681992789</vt:i4>
  </property>
  <property fmtid="{D5CDD505-2E9C-101B-9397-08002B2CF9AE}" pid="12" name="_NewReviewCycle">
    <vt:lpwstr/>
  </property>
  <property fmtid="{D5CDD505-2E9C-101B-9397-08002B2CF9AE}" pid="13" name="_EmailSubject">
    <vt:lpwstr>Update - Consultation &amp; Discussions Papers Request #S89364 [SEC=UNCLASSIFIED]</vt:lpwstr>
  </property>
  <property fmtid="{D5CDD505-2E9C-101B-9397-08002B2CF9AE}" pid="14" name="_AuthorEmail">
    <vt:lpwstr>Sean.Easton@TREASURY.GOV.AU</vt:lpwstr>
  </property>
  <property fmtid="{D5CDD505-2E9C-101B-9397-08002B2CF9AE}" pid="15" name="_AuthorEmailDisplayName">
    <vt:lpwstr>Easton, Sean</vt:lpwstr>
  </property>
  <property fmtid="{D5CDD505-2E9C-101B-9397-08002B2CF9AE}" pid="16" name="RecordPoint_SubmissionCompleted">
    <vt:lpwstr/>
  </property>
  <property fmtid="{D5CDD505-2E9C-101B-9397-08002B2CF9AE}" pid="17" name="_PreviousAdHocReviewCycleID">
    <vt:i4>869766099</vt:i4>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